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548FE" w14:textId="21E60FBF" w:rsidR="00CB6455" w:rsidRPr="007E1908" w:rsidRDefault="00A26CA3" w:rsidP="00A73C9E">
      <w:pPr>
        <w:spacing w:after="0" w:line="276" w:lineRule="auto"/>
        <w:rPr>
          <w:rFonts w:ascii="Arial" w:hAnsi="Arial" w:cs="Arial"/>
          <w:b/>
          <w:caps/>
          <w:sz w:val="28"/>
          <w:szCs w:val="28"/>
        </w:rPr>
      </w:pPr>
      <w:bookmarkStart w:id="0" w:name="_GoBack"/>
      <w:r w:rsidRPr="007E1908">
        <w:rPr>
          <w:rFonts w:ascii="Arial" w:hAnsi="Arial" w:cs="Arial"/>
          <w:b/>
          <w:caps/>
          <w:sz w:val="28"/>
          <w:szCs w:val="28"/>
        </w:rPr>
        <w:t xml:space="preserve">A Clinical Approach to Aggressive Treatment of Children with </w:t>
      </w:r>
      <w:r w:rsidR="00CB6455" w:rsidRPr="007E1908">
        <w:rPr>
          <w:rFonts w:ascii="Arial" w:hAnsi="Arial" w:cs="Arial"/>
          <w:b/>
          <w:caps/>
          <w:sz w:val="28"/>
          <w:szCs w:val="28"/>
        </w:rPr>
        <w:t xml:space="preserve">Severe Hypertriglyceridemia </w:t>
      </w:r>
    </w:p>
    <w:bookmarkEnd w:id="0"/>
    <w:p w14:paraId="027EF194" w14:textId="77777777" w:rsidR="003F35E2" w:rsidRPr="00D50CE3" w:rsidRDefault="003F35E2" w:rsidP="00A73C9E">
      <w:pPr>
        <w:spacing w:after="0" w:line="276" w:lineRule="auto"/>
        <w:rPr>
          <w:rFonts w:ascii="Arial" w:hAnsi="Arial" w:cs="Arial"/>
          <w:b/>
          <w:u w:val="single"/>
          <w:vertAlign w:val="superscript"/>
        </w:rPr>
      </w:pPr>
    </w:p>
    <w:p w14:paraId="03A55E41" w14:textId="756E4573" w:rsidR="008246C1" w:rsidRPr="00D50CE3" w:rsidRDefault="00A12615" w:rsidP="00A73C9E">
      <w:pPr>
        <w:spacing w:after="0" w:line="276" w:lineRule="auto"/>
        <w:rPr>
          <w:rFonts w:ascii="Arial" w:hAnsi="Arial" w:cs="Arial"/>
          <w:b/>
          <w:sz w:val="20"/>
          <w:szCs w:val="20"/>
        </w:rPr>
      </w:pPr>
      <w:r w:rsidRPr="00D50CE3">
        <w:rPr>
          <w:rFonts w:ascii="Arial" w:hAnsi="Arial" w:cs="Arial"/>
          <w:b/>
          <w:sz w:val="24"/>
          <w:szCs w:val="24"/>
        </w:rPr>
        <w:t>Alejandro De La Torre, MD</w:t>
      </w:r>
      <w:r w:rsidR="00F25720" w:rsidRPr="00D50CE3">
        <w:rPr>
          <w:rFonts w:ascii="Arial" w:hAnsi="Arial" w:cs="Arial"/>
          <w:b/>
        </w:rPr>
        <w:t xml:space="preserve">, </w:t>
      </w:r>
      <w:r w:rsidR="008246C1" w:rsidRPr="00D50CE3">
        <w:rPr>
          <w:rFonts w:ascii="Arial" w:hAnsi="Arial" w:cs="Arial"/>
          <w:iCs/>
          <w:sz w:val="20"/>
          <w:szCs w:val="20"/>
        </w:rPr>
        <w:t xml:space="preserve">Department </w:t>
      </w:r>
      <w:r w:rsidR="007D4659" w:rsidRPr="00D50CE3">
        <w:rPr>
          <w:rFonts w:ascii="Arial" w:hAnsi="Arial" w:cs="Arial"/>
          <w:iCs/>
          <w:sz w:val="20"/>
          <w:szCs w:val="20"/>
        </w:rPr>
        <w:t>of Endocrinology</w:t>
      </w:r>
      <w:r w:rsidR="008246C1" w:rsidRPr="00D50CE3">
        <w:rPr>
          <w:rFonts w:ascii="Arial" w:hAnsi="Arial" w:cs="Arial"/>
          <w:iCs/>
          <w:sz w:val="20"/>
          <w:szCs w:val="20"/>
        </w:rPr>
        <w:t>, Cook Children’s Medical Center, Ft. Worth, TX.</w:t>
      </w:r>
    </w:p>
    <w:p w14:paraId="4796AAA8" w14:textId="7528415E" w:rsidR="008246C1" w:rsidRPr="00D50CE3" w:rsidRDefault="001635AB" w:rsidP="00A73C9E">
      <w:pPr>
        <w:spacing w:after="0" w:line="276" w:lineRule="auto"/>
        <w:rPr>
          <w:rFonts w:ascii="Arial" w:hAnsi="Arial" w:cs="Arial"/>
          <w:b/>
          <w:sz w:val="20"/>
          <w:szCs w:val="20"/>
        </w:rPr>
      </w:pPr>
      <w:r w:rsidRPr="00D50CE3">
        <w:rPr>
          <w:rFonts w:ascii="Arial" w:hAnsi="Arial" w:cs="Arial"/>
          <w:b/>
          <w:sz w:val="24"/>
          <w:szCs w:val="24"/>
        </w:rPr>
        <w:t>Luke Hamilton, MS</w:t>
      </w:r>
      <w:r w:rsidR="008246C1" w:rsidRPr="00D50CE3">
        <w:rPr>
          <w:rFonts w:ascii="Arial" w:hAnsi="Arial" w:cs="Arial"/>
          <w:b/>
        </w:rPr>
        <w:t xml:space="preserve">, </w:t>
      </w:r>
      <w:r w:rsidR="008246C1" w:rsidRPr="00D50CE3">
        <w:rPr>
          <w:rFonts w:ascii="Arial" w:hAnsi="Arial" w:cs="Arial"/>
          <w:iCs/>
          <w:sz w:val="20"/>
          <w:szCs w:val="20"/>
        </w:rPr>
        <w:t xml:space="preserve">Department </w:t>
      </w:r>
      <w:r w:rsidR="007D4659" w:rsidRPr="00D50CE3">
        <w:rPr>
          <w:rFonts w:ascii="Arial" w:hAnsi="Arial" w:cs="Arial"/>
          <w:iCs/>
          <w:sz w:val="20"/>
          <w:szCs w:val="20"/>
        </w:rPr>
        <w:t>of Endocrinology</w:t>
      </w:r>
      <w:r w:rsidR="008246C1" w:rsidRPr="00D50CE3">
        <w:rPr>
          <w:rFonts w:ascii="Arial" w:hAnsi="Arial" w:cs="Arial"/>
          <w:iCs/>
          <w:sz w:val="20"/>
          <w:szCs w:val="20"/>
        </w:rPr>
        <w:t>, Cook Children’s Medical Center, Ft. Worth, TX.</w:t>
      </w:r>
    </w:p>
    <w:p w14:paraId="054F02ED" w14:textId="4E3D1EFE" w:rsidR="003F35E2" w:rsidRPr="00D50CE3" w:rsidRDefault="003F35E2" w:rsidP="00A73C9E">
      <w:pPr>
        <w:spacing w:after="0" w:line="276" w:lineRule="auto"/>
        <w:rPr>
          <w:rFonts w:ascii="Arial" w:hAnsi="Arial" w:cs="Arial"/>
          <w:b/>
          <w:sz w:val="20"/>
          <w:szCs w:val="20"/>
        </w:rPr>
      </w:pPr>
      <w:r w:rsidRPr="00D50CE3">
        <w:rPr>
          <w:rFonts w:ascii="Arial" w:hAnsi="Arial" w:cs="Arial"/>
          <w:b/>
          <w:sz w:val="24"/>
          <w:szCs w:val="24"/>
        </w:rPr>
        <w:t>D</w:t>
      </w:r>
      <w:r w:rsidR="00AE7BA7" w:rsidRPr="00D50CE3">
        <w:rPr>
          <w:rFonts w:ascii="Arial" w:hAnsi="Arial" w:cs="Arial"/>
          <w:b/>
          <w:sz w:val="24"/>
          <w:szCs w:val="24"/>
        </w:rPr>
        <w:t>on P.</w:t>
      </w:r>
      <w:r w:rsidRPr="00D50CE3">
        <w:rPr>
          <w:rFonts w:ascii="Arial" w:hAnsi="Arial" w:cs="Arial"/>
          <w:b/>
          <w:sz w:val="24"/>
          <w:szCs w:val="24"/>
        </w:rPr>
        <w:t xml:space="preserve"> Wilson, MD, FNLA</w:t>
      </w:r>
      <w:r w:rsidR="008246C1" w:rsidRPr="00D50CE3">
        <w:rPr>
          <w:rFonts w:ascii="Arial" w:hAnsi="Arial" w:cs="Arial"/>
          <w:b/>
        </w:rPr>
        <w:t xml:space="preserve">, </w:t>
      </w:r>
      <w:r w:rsidR="008246C1" w:rsidRPr="00D50CE3">
        <w:rPr>
          <w:rFonts w:ascii="Arial" w:hAnsi="Arial" w:cs="Arial"/>
          <w:iCs/>
          <w:sz w:val="20"/>
          <w:szCs w:val="20"/>
        </w:rPr>
        <w:t xml:space="preserve">Department </w:t>
      </w:r>
      <w:r w:rsidR="007D4659" w:rsidRPr="00D50CE3">
        <w:rPr>
          <w:rFonts w:ascii="Arial" w:hAnsi="Arial" w:cs="Arial"/>
          <w:iCs/>
          <w:sz w:val="20"/>
          <w:szCs w:val="20"/>
        </w:rPr>
        <w:t>of Endocrinology</w:t>
      </w:r>
      <w:r w:rsidR="008246C1" w:rsidRPr="00D50CE3">
        <w:rPr>
          <w:rFonts w:ascii="Arial" w:hAnsi="Arial" w:cs="Arial"/>
          <w:iCs/>
          <w:sz w:val="20"/>
          <w:szCs w:val="20"/>
        </w:rPr>
        <w:t xml:space="preserve">, Cook Children’s Medical Center, Ft. Worth, TX. don.wilson@cookchildrens.org   </w:t>
      </w:r>
    </w:p>
    <w:p w14:paraId="60C312C2" w14:textId="77777777" w:rsidR="003F35E2" w:rsidRPr="00D50CE3" w:rsidRDefault="003F35E2" w:rsidP="00A73C9E">
      <w:pPr>
        <w:spacing w:after="0" w:line="276" w:lineRule="auto"/>
        <w:rPr>
          <w:rFonts w:ascii="Arial" w:hAnsi="Arial" w:cs="Arial"/>
          <w:b/>
          <w:iCs/>
        </w:rPr>
      </w:pPr>
    </w:p>
    <w:p w14:paraId="26758EC2" w14:textId="768D67E4" w:rsidR="008246C1" w:rsidRPr="00A73C9E" w:rsidRDefault="00A73C9E" w:rsidP="00A73C9E">
      <w:pPr>
        <w:spacing w:after="0" w:line="276" w:lineRule="auto"/>
        <w:rPr>
          <w:rFonts w:ascii="Arial" w:hAnsi="Arial" w:cs="Arial"/>
          <w:b/>
        </w:rPr>
      </w:pPr>
      <w:r w:rsidRPr="00A73C9E">
        <w:rPr>
          <w:rFonts w:ascii="Arial" w:hAnsi="Arial" w:cs="Arial"/>
          <w:b/>
        </w:rPr>
        <w:t>Update February 8, 2020</w:t>
      </w:r>
    </w:p>
    <w:p w14:paraId="29D7967B" w14:textId="77777777" w:rsidR="00A73C9E" w:rsidRPr="00A73C9E" w:rsidRDefault="00A73C9E" w:rsidP="00A73C9E">
      <w:pPr>
        <w:spacing w:after="0" w:line="276" w:lineRule="auto"/>
        <w:rPr>
          <w:rFonts w:ascii="Arial" w:hAnsi="Arial" w:cs="Arial"/>
          <w:b/>
        </w:rPr>
      </w:pPr>
    </w:p>
    <w:p w14:paraId="010AD5CD" w14:textId="70292A09" w:rsidR="00CB6455" w:rsidRPr="00433F39" w:rsidRDefault="00650FDF" w:rsidP="00A73C9E">
      <w:pPr>
        <w:spacing w:after="0" w:line="276" w:lineRule="auto"/>
        <w:rPr>
          <w:rFonts w:ascii="Arial" w:hAnsi="Arial" w:cs="Arial"/>
          <w:b/>
          <w:color w:val="0070C0"/>
        </w:rPr>
      </w:pPr>
      <w:r w:rsidRPr="00433F39">
        <w:rPr>
          <w:rFonts w:ascii="Arial" w:hAnsi="Arial" w:cs="Arial"/>
          <w:b/>
          <w:color w:val="0070C0"/>
        </w:rPr>
        <w:t>A</w:t>
      </w:r>
      <w:r w:rsidR="008246C1" w:rsidRPr="00433F39">
        <w:rPr>
          <w:rFonts w:ascii="Arial" w:hAnsi="Arial" w:cs="Arial"/>
          <w:b/>
          <w:color w:val="0070C0"/>
        </w:rPr>
        <w:t>BSTRACT</w:t>
      </w:r>
    </w:p>
    <w:p w14:paraId="1D567371" w14:textId="77777777" w:rsidR="008246C1" w:rsidRPr="00A73C9E" w:rsidRDefault="008246C1" w:rsidP="00A73C9E">
      <w:pPr>
        <w:spacing w:after="0" w:line="276" w:lineRule="auto"/>
        <w:rPr>
          <w:rFonts w:ascii="Arial" w:hAnsi="Arial" w:cs="Arial"/>
        </w:rPr>
      </w:pPr>
    </w:p>
    <w:p w14:paraId="2FC1CBA1" w14:textId="1994C82B" w:rsidR="00CB6455" w:rsidRPr="00A73C9E" w:rsidRDefault="00890A36" w:rsidP="00A73C9E">
      <w:pPr>
        <w:spacing w:after="0" w:line="276" w:lineRule="auto"/>
        <w:rPr>
          <w:rFonts w:ascii="Arial" w:hAnsi="Arial" w:cs="Arial"/>
        </w:rPr>
      </w:pPr>
      <w:r w:rsidRPr="00A73C9E">
        <w:rPr>
          <w:rFonts w:ascii="Arial" w:hAnsi="Arial" w:cs="Arial"/>
        </w:rPr>
        <w:t>Severe h</w:t>
      </w:r>
      <w:r w:rsidR="00CB6455" w:rsidRPr="00A73C9E">
        <w:rPr>
          <w:rFonts w:ascii="Arial" w:hAnsi="Arial" w:cs="Arial"/>
        </w:rPr>
        <w:t>ypertriglyceridemia</w:t>
      </w:r>
      <w:r w:rsidR="00E35653" w:rsidRPr="00A73C9E">
        <w:rPr>
          <w:rFonts w:ascii="Arial" w:hAnsi="Arial" w:cs="Arial"/>
        </w:rPr>
        <w:t xml:space="preserve"> (</w:t>
      </w:r>
      <w:r w:rsidR="00B60353" w:rsidRPr="00A73C9E">
        <w:rPr>
          <w:rFonts w:ascii="Arial" w:hAnsi="Arial" w:cs="Arial"/>
        </w:rPr>
        <w:t>S</w:t>
      </w:r>
      <w:r w:rsidR="00E35653" w:rsidRPr="00A73C9E">
        <w:rPr>
          <w:rFonts w:ascii="Arial" w:hAnsi="Arial" w:cs="Arial"/>
        </w:rPr>
        <w:t>HTG)</w:t>
      </w:r>
      <w:r w:rsidR="000F75C7" w:rsidRPr="00A73C9E">
        <w:rPr>
          <w:rFonts w:ascii="Arial" w:hAnsi="Arial" w:cs="Arial"/>
        </w:rPr>
        <w:t xml:space="preserve"> </w:t>
      </w:r>
      <w:r w:rsidR="00CB6455" w:rsidRPr="00A73C9E">
        <w:rPr>
          <w:rFonts w:ascii="Arial" w:hAnsi="Arial" w:cs="Arial"/>
        </w:rPr>
        <w:t xml:space="preserve">is </w:t>
      </w:r>
      <w:r w:rsidRPr="00A73C9E">
        <w:rPr>
          <w:rFonts w:ascii="Arial" w:hAnsi="Arial" w:cs="Arial"/>
        </w:rPr>
        <w:t>un</w:t>
      </w:r>
      <w:r w:rsidR="00CB6455" w:rsidRPr="00A73C9E">
        <w:rPr>
          <w:rFonts w:ascii="Arial" w:hAnsi="Arial" w:cs="Arial"/>
        </w:rPr>
        <w:t>common in children</w:t>
      </w:r>
      <w:r w:rsidR="00A26CA3" w:rsidRPr="00A73C9E">
        <w:rPr>
          <w:rFonts w:ascii="Arial" w:hAnsi="Arial" w:cs="Arial"/>
        </w:rPr>
        <w:t>. Those with triglyceride</w:t>
      </w:r>
      <w:r w:rsidR="00DE0810" w:rsidRPr="00A73C9E">
        <w:rPr>
          <w:rFonts w:ascii="Arial" w:hAnsi="Arial" w:cs="Arial"/>
        </w:rPr>
        <w:t xml:space="preserve"> (TG)</w:t>
      </w:r>
      <w:r w:rsidR="00A26CA3" w:rsidRPr="00A73C9E">
        <w:rPr>
          <w:rFonts w:ascii="Arial" w:hAnsi="Arial" w:cs="Arial"/>
        </w:rPr>
        <w:t xml:space="preserve"> levels of 1</w:t>
      </w:r>
      <w:r w:rsidR="001635AB" w:rsidRPr="00A73C9E">
        <w:rPr>
          <w:rFonts w:ascii="Arial" w:hAnsi="Arial" w:cs="Arial"/>
        </w:rPr>
        <w:t>,</w:t>
      </w:r>
      <w:r w:rsidR="00A26CA3" w:rsidRPr="00A73C9E">
        <w:rPr>
          <w:rFonts w:ascii="Arial" w:hAnsi="Arial" w:cs="Arial"/>
        </w:rPr>
        <w:t>000 mg/dL or more are likely to have an underlying monogenic</w:t>
      </w:r>
      <w:r w:rsidR="006675C8" w:rsidRPr="00A73C9E">
        <w:rPr>
          <w:rFonts w:ascii="Arial" w:hAnsi="Arial" w:cs="Arial"/>
        </w:rPr>
        <w:t xml:space="preserve"> or polygenic </w:t>
      </w:r>
      <w:r w:rsidR="00B60353" w:rsidRPr="00A73C9E">
        <w:rPr>
          <w:rFonts w:ascii="Arial" w:hAnsi="Arial" w:cs="Arial"/>
        </w:rPr>
        <w:t>diso</w:t>
      </w:r>
      <w:r w:rsidR="00DE0810" w:rsidRPr="00A73C9E">
        <w:rPr>
          <w:rFonts w:ascii="Arial" w:hAnsi="Arial" w:cs="Arial"/>
        </w:rPr>
        <w:t>rder affecting TG</w:t>
      </w:r>
      <w:r w:rsidR="00B60353" w:rsidRPr="00A73C9E">
        <w:rPr>
          <w:rFonts w:ascii="Arial" w:hAnsi="Arial" w:cs="Arial"/>
        </w:rPr>
        <w:t xml:space="preserve"> </w:t>
      </w:r>
      <w:r w:rsidR="00A26CA3" w:rsidRPr="00A73C9E">
        <w:rPr>
          <w:rFonts w:ascii="Arial" w:hAnsi="Arial" w:cs="Arial"/>
        </w:rPr>
        <w:t xml:space="preserve">metabolism. </w:t>
      </w:r>
      <w:r w:rsidR="00B60353" w:rsidRPr="00A73C9E">
        <w:rPr>
          <w:rFonts w:ascii="Arial" w:hAnsi="Arial" w:cs="Arial"/>
        </w:rPr>
        <w:t>SHTG</w:t>
      </w:r>
      <w:r w:rsidR="00A26CA3" w:rsidRPr="00A73C9E">
        <w:rPr>
          <w:rFonts w:ascii="Arial" w:hAnsi="Arial" w:cs="Arial"/>
        </w:rPr>
        <w:t xml:space="preserve"> </w:t>
      </w:r>
      <w:r w:rsidR="001635AB" w:rsidRPr="00A73C9E">
        <w:rPr>
          <w:rFonts w:ascii="Arial" w:hAnsi="Arial" w:cs="Arial"/>
        </w:rPr>
        <w:t xml:space="preserve">may also occur </w:t>
      </w:r>
      <w:r w:rsidR="00F61301" w:rsidRPr="00A73C9E">
        <w:rPr>
          <w:rFonts w:ascii="Arial" w:hAnsi="Arial" w:cs="Arial"/>
        </w:rPr>
        <w:t>in youth who are obese and insulin resistant, those with poorly controlled diabetes</w:t>
      </w:r>
      <w:r w:rsidR="008246C1" w:rsidRPr="00A73C9E">
        <w:rPr>
          <w:rFonts w:ascii="Arial" w:hAnsi="Arial" w:cs="Arial"/>
        </w:rPr>
        <w:t>,</w:t>
      </w:r>
      <w:r w:rsidR="00F61301" w:rsidRPr="00A73C9E">
        <w:rPr>
          <w:rFonts w:ascii="Arial" w:hAnsi="Arial" w:cs="Arial"/>
        </w:rPr>
        <w:t xml:space="preserve"> or who require medications that interfere with </w:t>
      </w:r>
      <w:r w:rsidR="00DE0810" w:rsidRPr="00A73C9E">
        <w:rPr>
          <w:rFonts w:ascii="Arial" w:hAnsi="Arial" w:cs="Arial"/>
        </w:rPr>
        <w:t xml:space="preserve">TG </w:t>
      </w:r>
      <w:r w:rsidR="00F61301" w:rsidRPr="00A73C9E">
        <w:rPr>
          <w:rFonts w:ascii="Arial" w:hAnsi="Arial" w:cs="Arial"/>
        </w:rPr>
        <w:t xml:space="preserve">metabolism, especially in those with an underlying genetic </w:t>
      </w:r>
      <w:r w:rsidR="00B60353" w:rsidRPr="00A73C9E">
        <w:rPr>
          <w:rFonts w:ascii="Arial" w:hAnsi="Arial" w:cs="Arial"/>
        </w:rPr>
        <w:t>predisposition</w:t>
      </w:r>
      <w:r w:rsidR="00A26CA3" w:rsidRPr="00A73C9E">
        <w:rPr>
          <w:rFonts w:ascii="Arial" w:eastAsia="Calibri" w:hAnsi="Arial" w:cs="Arial"/>
        </w:rPr>
        <w:t xml:space="preserve">. </w:t>
      </w:r>
      <w:r w:rsidR="00A26CA3" w:rsidRPr="00A73C9E">
        <w:rPr>
          <w:rFonts w:ascii="Arial" w:hAnsi="Arial" w:cs="Arial"/>
        </w:rPr>
        <w:t xml:space="preserve"> When present, </w:t>
      </w:r>
      <w:r w:rsidR="00B60353" w:rsidRPr="00A73C9E">
        <w:rPr>
          <w:rFonts w:ascii="Arial" w:hAnsi="Arial" w:cs="Arial"/>
        </w:rPr>
        <w:t>S</w:t>
      </w:r>
      <w:r w:rsidR="00016061" w:rsidRPr="00A73C9E">
        <w:rPr>
          <w:rFonts w:ascii="Arial" w:hAnsi="Arial" w:cs="Arial"/>
        </w:rPr>
        <w:t xml:space="preserve">HTG </w:t>
      </w:r>
      <w:r w:rsidR="00A229D3" w:rsidRPr="00A73C9E">
        <w:rPr>
          <w:rFonts w:ascii="Arial" w:hAnsi="Arial" w:cs="Arial"/>
        </w:rPr>
        <w:t xml:space="preserve">is associated with </w:t>
      </w:r>
      <w:r w:rsidR="00A73C9E">
        <w:rPr>
          <w:rFonts w:ascii="Arial" w:hAnsi="Arial" w:cs="Arial"/>
        </w:rPr>
        <w:t xml:space="preserve">an increased </w:t>
      </w:r>
      <w:r w:rsidR="00016061" w:rsidRPr="00A73C9E">
        <w:rPr>
          <w:rFonts w:ascii="Arial" w:hAnsi="Arial" w:cs="Arial"/>
        </w:rPr>
        <w:t>risk of acute pancreatitis</w:t>
      </w:r>
      <w:r w:rsidR="00DE0810" w:rsidRPr="00A73C9E">
        <w:rPr>
          <w:rFonts w:ascii="Arial" w:hAnsi="Arial" w:cs="Arial"/>
        </w:rPr>
        <w:t xml:space="preserve"> </w:t>
      </w:r>
      <w:r w:rsidR="00A229D3" w:rsidRPr="00A73C9E">
        <w:rPr>
          <w:rFonts w:ascii="Arial" w:hAnsi="Arial" w:cs="Arial"/>
        </w:rPr>
        <w:t>and</w:t>
      </w:r>
      <w:r w:rsidR="00B60353" w:rsidRPr="00A73C9E">
        <w:rPr>
          <w:rFonts w:ascii="Arial" w:hAnsi="Arial" w:cs="Arial"/>
        </w:rPr>
        <w:t>,</w:t>
      </w:r>
      <w:r w:rsidR="00A229D3" w:rsidRPr="00A73C9E">
        <w:rPr>
          <w:rFonts w:ascii="Arial" w:hAnsi="Arial" w:cs="Arial"/>
        </w:rPr>
        <w:t xml:space="preserve"> </w:t>
      </w:r>
      <w:r w:rsidR="001635AB" w:rsidRPr="00A73C9E">
        <w:rPr>
          <w:rFonts w:ascii="Arial" w:hAnsi="Arial" w:cs="Arial"/>
        </w:rPr>
        <w:t>long-term</w:t>
      </w:r>
      <w:r w:rsidR="00B60353" w:rsidRPr="00A73C9E">
        <w:rPr>
          <w:rFonts w:ascii="Arial" w:hAnsi="Arial" w:cs="Arial"/>
        </w:rPr>
        <w:t>,</w:t>
      </w:r>
      <w:r w:rsidR="001635AB" w:rsidRPr="00A73C9E">
        <w:rPr>
          <w:rFonts w:ascii="Arial" w:hAnsi="Arial" w:cs="Arial"/>
        </w:rPr>
        <w:t xml:space="preserve"> may </w:t>
      </w:r>
      <w:r w:rsidR="00A229D3" w:rsidRPr="00A73C9E">
        <w:rPr>
          <w:rFonts w:ascii="Arial" w:hAnsi="Arial" w:cs="Arial"/>
        </w:rPr>
        <w:t xml:space="preserve">contribute to </w:t>
      </w:r>
      <w:r w:rsidR="00A12615" w:rsidRPr="00A73C9E">
        <w:rPr>
          <w:rFonts w:ascii="Arial" w:hAnsi="Arial" w:cs="Arial"/>
        </w:rPr>
        <w:t xml:space="preserve">ASCVD-related morbid </w:t>
      </w:r>
      <w:r w:rsidR="00A229D3" w:rsidRPr="00A73C9E">
        <w:rPr>
          <w:rFonts w:ascii="Arial" w:hAnsi="Arial" w:cs="Arial"/>
        </w:rPr>
        <w:t xml:space="preserve">and </w:t>
      </w:r>
      <w:r w:rsidR="00A12615" w:rsidRPr="00A73C9E">
        <w:rPr>
          <w:rFonts w:ascii="Arial" w:hAnsi="Arial" w:cs="Arial"/>
        </w:rPr>
        <w:t xml:space="preserve">premature </w:t>
      </w:r>
      <w:r w:rsidR="00A229D3" w:rsidRPr="00A73C9E">
        <w:rPr>
          <w:rFonts w:ascii="Arial" w:hAnsi="Arial" w:cs="Arial"/>
        </w:rPr>
        <w:t>mortality</w:t>
      </w:r>
      <w:r w:rsidR="008260FF" w:rsidRPr="00A73C9E">
        <w:rPr>
          <w:rFonts w:ascii="Arial" w:hAnsi="Arial" w:cs="Arial"/>
        </w:rPr>
        <w:t xml:space="preserve">. </w:t>
      </w:r>
      <w:r w:rsidR="001635AB" w:rsidRPr="00A73C9E">
        <w:rPr>
          <w:rFonts w:ascii="Arial" w:hAnsi="Arial" w:cs="Arial"/>
        </w:rPr>
        <w:t xml:space="preserve">In 2011 the NHLBI Expert Panel published recommendations for treatment of hypertriglyceridemia in children.  </w:t>
      </w:r>
      <w:r w:rsidR="008260FF" w:rsidRPr="00A73C9E">
        <w:rPr>
          <w:rFonts w:ascii="Arial" w:hAnsi="Arial" w:cs="Arial"/>
        </w:rPr>
        <w:t>Presently</w:t>
      </w:r>
      <w:r w:rsidR="001635AB" w:rsidRPr="00A73C9E">
        <w:rPr>
          <w:rFonts w:ascii="Arial" w:hAnsi="Arial" w:cs="Arial"/>
        </w:rPr>
        <w:t>, however,</w:t>
      </w:r>
      <w:r w:rsidR="008260FF" w:rsidRPr="00A73C9E">
        <w:rPr>
          <w:rFonts w:ascii="Arial" w:hAnsi="Arial" w:cs="Arial"/>
        </w:rPr>
        <w:t xml:space="preserve"> there are no pediatric guidelines to assist clinical decision-making when aggressive therapy </w:t>
      </w:r>
      <w:r w:rsidR="001635AB" w:rsidRPr="00A73C9E">
        <w:rPr>
          <w:rFonts w:ascii="Arial" w:hAnsi="Arial" w:cs="Arial"/>
        </w:rPr>
        <w:t xml:space="preserve">of </w:t>
      </w:r>
      <w:r w:rsidR="00B60353" w:rsidRPr="00A73C9E">
        <w:rPr>
          <w:rFonts w:ascii="Arial" w:hAnsi="Arial" w:cs="Arial"/>
        </w:rPr>
        <w:t>SHTG</w:t>
      </w:r>
      <w:r w:rsidR="001635AB" w:rsidRPr="00A73C9E">
        <w:rPr>
          <w:rFonts w:ascii="Arial" w:hAnsi="Arial" w:cs="Arial"/>
        </w:rPr>
        <w:t xml:space="preserve"> might be</w:t>
      </w:r>
      <w:r w:rsidR="008260FF" w:rsidRPr="00A73C9E">
        <w:rPr>
          <w:rFonts w:ascii="Arial" w:hAnsi="Arial" w:cs="Arial"/>
        </w:rPr>
        <w:t xml:space="preserve"> </w:t>
      </w:r>
      <w:r w:rsidR="00F61301" w:rsidRPr="00A73C9E">
        <w:rPr>
          <w:rFonts w:ascii="Arial" w:hAnsi="Arial" w:cs="Arial"/>
        </w:rPr>
        <w:t>indicated</w:t>
      </w:r>
      <w:r w:rsidR="008260FF" w:rsidRPr="00A73C9E">
        <w:rPr>
          <w:rFonts w:ascii="Arial" w:hAnsi="Arial" w:cs="Arial"/>
        </w:rPr>
        <w:t xml:space="preserve">.  </w:t>
      </w:r>
      <w:r w:rsidR="00016061" w:rsidRPr="00A73C9E">
        <w:rPr>
          <w:rFonts w:ascii="Arial" w:hAnsi="Arial" w:cs="Arial"/>
        </w:rPr>
        <w:t xml:space="preserve">In this </w:t>
      </w:r>
      <w:r w:rsidR="00A73C9E">
        <w:rPr>
          <w:rFonts w:ascii="Arial" w:hAnsi="Arial" w:cs="Arial"/>
        </w:rPr>
        <w:t>chapter</w:t>
      </w:r>
      <w:r w:rsidR="00016061" w:rsidRPr="00A73C9E">
        <w:rPr>
          <w:rFonts w:ascii="Arial" w:hAnsi="Arial" w:cs="Arial"/>
        </w:rPr>
        <w:t xml:space="preserve"> we</w:t>
      </w:r>
      <w:r w:rsidR="00CB6455" w:rsidRPr="00A73C9E">
        <w:rPr>
          <w:rFonts w:ascii="Arial" w:hAnsi="Arial" w:cs="Arial"/>
        </w:rPr>
        <w:t xml:space="preserve"> review the mechanisms associated with </w:t>
      </w:r>
      <w:r w:rsidR="00B60353" w:rsidRPr="00A73C9E">
        <w:rPr>
          <w:rFonts w:ascii="Arial" w:hAnsi="Arial" w:cs="Arial"/>
        </w:rPr>
        <w:t>S</w:t>
      </w:r>
      <w:r w:rsidR="00E35653" w:rsidRPr="00A73C9E">
        <w:rPr>
          <w:rFonts w:ascii="Arial" w:hAnsi="Arial" w:cs="Arial"/>
        </w:rPr>
        <w:t>HTG</w:t>
      </w:r>
      <w:r w:rsidR="003A4844" w:rsidRPr="00A73C9E">
        <w:rPr>
          <w:rFonts w:ascii="Arial" w:hAnsi="Arial" w:cs="Arial"/>
        </w:rPr>
        <w:t>,</w:t>
      </w:r>
      <w:r w:rsidR="00CB6455" w:rsidRPr="00A73C9E">
        <w:rPr>
          <w:rFonts w:ascii="Arial" w:hAnsi="Arial" w:cs="Arial"/>
        </w:rPr>
        <w:t xml:space="preserve"> discuss management, follow-up</w:t>
      </w:r>
      <w:r w:rsidR="00562635" w:rsidRPr="00A73C9E">
        <w:rPr>
          <w:rFonts w:ascii="Arial" w:hAnsi="Arial" w:cs="Arial"/>
        </w:rPr>
        <w:t>,</w:t>
      </w:r>
      <w:r w:rsidR="00CB6455" w:rsidRPr="00A73C9E">
        <w:rPr>
          <w:rFonts w:ascii="Arial" w:hAnsi="Arial" w:cs="Arial"/>
        </w:rPr>
        <w:t xml:space="preserve"> and outcomes</w:t>
      </w:r>
      <w:r w:rsidR="003A4844" w:rsidRPr="00A73C9E">
        <w:rPr>
          <w:rFonts w:ascii="Arial" w:hAnsi="Arial" w:cs="Arial"/>
        </w:rPr>
        <w:t>, and suggest an approach for use of aggressive</w:t>
      </w:r>
      <w:r w:rsidR="00B43304" w:rsidRPr="00A73C9E">
        <w:rPr>
          <w:rFonts w:ascii="Arial" w:hAnsi="Arial" w:cs="Arial"/>
        </w:rPr>
        <w:t xml:space="preserve"> TG-</w:t>
      </w:r>
      <w:r w:rsidR="003A4844" w:rsidRPr="00A73C9E">
        <w:rPr>
          <w:rFonts w:ascii="Arial" w:hAnsi="Arial" w:cs="Arial"/>
        </w:rPr>
        <w:t>lowering</w:t>
      </w:r>
      <w:r w:rsidR="001635AB" w:rsidRPr="00A73C9E">
        <w:rPr>
          <w:rFonts w:ascii="Arial" w:hAnsi="Arial" w:cs="Arial"/>
        </w:rPr>
        <w:t xml:space="preserve"> therapy</w:t>
      </w:r>
      <w:r w:rsidR="003A4844" w:rsidRPr="00A73C9E">
        <w:rPr>
          <w:rFonts w:ascii="Arial" w:hAnsi="Arial" w:cs="Arial"/>
        </w:rPr>
        <w:t xml:space="preserve">. </w:t>
      </w:r>
    </w:p>
    <w:p w14:paraId="54111387" w14:textId="77777777" w:rsidR="00650FDF" w:rsidRPr="00A73C9E" w:rsidRDefault="00650FDF" w:rsidP="00A73C9E">
      <w:pPr>
        <w:spacing w:after="0" w:line="276" w:lineRule="auto"/>
        <w:rPr>
          <w:rFonts w:ascii="Arial" w:eastAsia="Calibri" w:hAnsi="Arial" w:cs="Arial"/>
          <w:b/>
        </w:rPr>
      </w:pPr>
    </w:p>
    <w:p w14:paraId="5724A454" w14:textId="60FA58D6" w:rsidR="00650FDF" w:rsidRPr="00433F39" w:rsidRDefault="00650FDF" w:rsidP="00A73C9E">
      <w:pPr>
        <w:spacing w:after="0" w:line="276" w:lineRule="auto"/>
        <w:rPr>
          <w:rFonts w:ascii="Arial" w:eastAsia="Calibri" w:hAnsi="Arial" w:cs="Arial"/>
          <w:b/>
          <w:color w:val="0070C0"/>
        </w:rPr>
      </w:pPr>
      <w:r w:rsidRPr="00433F39">
        <w:rPr>
          <w:rFonts w:ascii="Arial" w:eastAsia="Calibri" w:hAnsi="Arial" w:cs="Arial"/>
          <w:b/>
          <w:color w:val="0070C0"/>
        </w:rPr>
        <w:t>I</w:t>
      </w:r>
      <w:r w:rsidR="008246C1" w:rsidRPr="00433F39">
        <w:rPr>
          <w:rFonts w:ascii="Arial" w:eastAsia="Calibri" w:hAnsi="Arial" w:cs="Arial"/>
          <w:b/>
          <w:color w:val="0070C0"/>
        </w:rPr>
        <w:t xml:space="preserve">NTRODUCTION </w:t>
      </w:r>
    </w:p>
    <w:p w14:paraId="0F6941E1" w14:textId="77777777" w:rsidR="00650FDF" w:rsidRPr="00A73C9E" w:rsidRDefault="00650FDF" w:rsidP="00A73C9E">
      <w:pPr>
        <w:spacing w:after="0" w:line="276" w:lineRule="auto"/>
        <w:rPr>
          <w:rFonts w:ascii="Arial" w:eastAsia="Calibri" w:hAnsi="Arial" w:cs="Arial"/>
          <w:b/>
        </w:rPr>
      </w:pPr>
    </w:p>
    <w:p w14:paraId="2146CFE7" w14:textId="7BCFD230" w:rsidR="00562635" w:rsidRPr="00A73C9E" w:rsidRDefault="00650FDF" w:rsidP="00A73C9E">
      <w:pPr>
        <w:spacing w:after="0" w:line="276" w:lineRule="auto"/>
        <w:rPr>
          <w:rFonts w:ascii="Arial" w:hAnsi="Arial" w:cs="Arial"/>
        </w:rPr>
      </w:pPr>
      <w:r w:rsidRPr="00A73C9E">
        <w:rPr>
          <w:rFonts w:ascii="Arial" w:hAnsi="Arial" w:cs="Arial"/>
        </w:rPr>
        <w:t>Severe hypertriglyceridemia is uncommon in children but</w:t>
      </w:r>
      <w:r w:rsidR="001635AB" w:rsidRPr="00A73C9E">
        <w:rPr>
          <w:rFonts w:ascii="Arial" w:hAnsi="Arial" w:cs="Arial"/>
        </w:rPr>
        <w:t xml:space="preserve"> </w:t>
      </w:r>
      <w:r w:rsidR="00562635" w:rsidRPr="00A73C9E">
        <w:rPr>
          <w:rFonts w:ascii="Arial" w:hAnsi="Arial" w:cs="Arial"/>
        </w:rPr>
        <w:t xml:space="preserve">is </w:t>
      </w:r>
      <w:r w:rsidR="001635AB" w:rsidRPr="00A73C9E">
        <w:rPr>
          <w:rFonts w:ascii="Arial" w:hAnsi="Arial" w:cs="Arial"/>
        </w:rPr>
        <w:t xml:space="preserve">most </w:t>
      </w:r>
      <w:r w:rsidR="00562635" w:rsidRPr="00A73C9E">
        <w:rPr>
          <w:rFonts w:ascii="Arial" w:hAnsi="Arial" w:cs="Arial"/>
        </w:rPr>
        <w:t>common</w:t>
      </w:r>
      <w:r w:rsidR="001635AB" w:rsidRPr="00A73C9E">
        <w:rPr>
          <w:rFonts w:ascii="Arial" w:hAnsi="Arial" w:cs="Arial"/>
        </w:rPr>
        <w:t xml:space="preserve">ly encountered in youth who are obese and insulin resistant, </w:t>
      </w:r>
      <w:r w:rsidR="002E5EC0" w:rsidRPr="00A73C9E">
        <w:rPr>
          <w:rFonts w:ascii="Arial" w:hAnsi="Arial" w:cs="Arial"/>
        </w:rPr>
        <w:t xml:space="preserve">those who have </w:t>
      </w:r>
      <w:r w:rsidR="001635AB" w:rsidRPr="00A73C9E">
        <w:rPr>
          <w:rFonts w:ascii="Arial" w:hAnsi="Arial" w:cs="Arial"/>
        </w:rPr>
        <w:t>poorly controlled diabetes</w:t>
      </w:r>
      <w:r w:rsidR="008246C1" w:rsidRPr="00A73C9E">
        <w:rPr>
          <w:rFonts w:ascii="Arial" w:hAnsi="Arial" w:cs="Arial"/>
        </w:rPr>
        <w:t>,</w:t>
      </w:r>
      <w:r w:rsidR="001635AB" w:rsidRPr="00A73C9E">
        <w:rPr>
          <w:rFonts w:ascii="Arial" w:hAnsi="Arial" w:cs="Arial"/>
        </w:rPr>
        <w:t xml:space="preserve"> or who require medications that interfere with </w:t>
      </w:r>
      <w:r w:rsidR="00DE0810" w:rsidRPr="00A73C9E">
        <w:rPr>
          <w:rFonts w:ascii="Arial" w:hAnsi="Arial" w:cs="Arial"/>
        </w:rPr>
        <w:t>TG</w:t>
      </w:r>
      <w:r w:rsidR="001635AB" w:rsidRPr="00A73C9E">
        <w:rPr>
          <w:rFonts w:ascii="Arial" w:hAnsi="Arial" w:cs="Arial"/>
        </w:rPr>
        <w:t xml:space="preserve"> metabolism (Table</w:t>
      </w:r>
      <w:r w:rsidR="00F61301" w:rsidRPr="00A73C9E">
        <w:rPr>
          <w:rFonts w:ascii="Arial" w:hAnsi="Arial" w:cs="Arial"/>
        </w:rPr>
        <w:t xml:space="preserve"> 1</w:t>
      </w:r>
      <w:r w:rsidR="001635AB" w:rsidRPr="00A73C9E">
        <w:rPr>
          <w:rFonts w:ascii="Arial" w:hAnsi="Arial" w:cs="Arial"/>
        </w:rPr>
        <w:t xml:space="preserve">).  </w:t>
      </w:r>
      <w:r w:rsidR="002E5EC0" w:rsidRPr="00A73C9E">
        <w:rPr>
          <w:rFonts w:ascii="Arial" w:hAnsi="Arial" w:cs="Arial"/>
        </w:rPr>
        <w:t xml:space="preserve">Although rare, </w:t>
      </w:r>
      <w:r w:rsidR="00DE0810" w:rsidRPr="00A73C9E">
        <w:rPr>
          <w:rFonts w:ascii="Arial" w:hAnsi="Arial" w:cs="Arial"/>
        </w:rPr>
        <w:t>individuals</w:t>
      </w:r>
      <w:r w:rsidR="002E5EC0" w:rsidRPr="00A73C9E">
        <w:rPr>
          <w:rFonts w:ascii="Arial" w:hAnsi="Arial" w:cs="Arial"/>
        </w:rPr>
        <w:t xml:space="preserve"> with monogenic disorders have serve elevation</w:t>
      </w:r>
      <w:r w:rsidR="008246C1" w:rsidRPr="00A73C9E">
        <w:rPr>
          <w:rFonts w:ascii="Arial" w:hAnsi="Arial" w:cs="Arial"/>
        </w:rPr>
        <w:t>s</w:t>
      </w:r>
      <w:r w:rsidR="002E5EC0" w:rsidRPr="00A73C9E">
        <w:rPr>
          <w:rFonts w:ascii="Arial" w:hAnsi="Arial" w:cs="Arial"/>
        </w:rPr>
        <w:t xml:space="preserve"> of </w:t>
      </w:r>
      <w:r w:rsidR="00B60353" w:rsidRPr="00A73C9E">
        <w:rPr>
          <w:rFonts w:ascii="Arial" w:hAnsi="Arial" w:cs="Arial"/>
        </w:rPr>
        <w:t>TG</w:t>
      </w:r>
      <w:r w:rsidR="002E5EC0" w:rsidRPr="00A73C9E">
        <w:rPr>
          <w:rFonts w:ascii="Arial" w:hAnsi="Arial" w:cs="Arial"/>
        </w:rPr>
        <w:t xml:space="preserve">, typically 1000 mg/dL or more, while those with </w:t>
      </w:r>
      <w:r w:rsidR="00456D8A" w:rsidRPr="00A73C9E">
        <w:rPr>
          <w:rFonts w:ascii="Arial" w:hAnsi="Arial" w:cs="Arial"/>
        </w:rPr>
        <w:t xml:space="preserve">polygenic and small-effect </w:t>
      </w:r>
      <w:r w:rsidR="003724EF" w:rsidRPr="00A73C9E">
        <w:rPr>
          <w:rFonts w:ascii="Arial" w:hAnsi="Arial" w:cs="Arial"/>
        </w:rPr>
        <w:t xml:space="preserve">genetic </w:t>
      </w:r>
      <w:r w:rsidR="00456D8A" w:rsidRPr="00A73C9E">
        <w:rPr>
          <w:rFonts w:ascii="Arial" w:hAnsi="Arial" w:cs="Arial"/>
        </w:rPr>
        <w:t xml:space="preserve">variants </w:t>
      </w:r>
      <w:r w:rsidR="002E5EC0" w:rsidRPr="00A73C9E">
        <w:rPr>
          <w:rFonts w:ascii="Arial" w:hAnsi="Arial" w:cs="Arial"/>
        </w:rPr>
        <w:t>that contribute</w:t>
      </w:r>
      <w:r w:rsidR="00456D8A" w:rsidRPr="00A73C9E">
        <w:rPr>
          <w:rFonts w:ascii="Arial" w:hAnsi="Arial" w:cs="Arial"/>
        </w:rPr>
        <w:t xml:space="preserve"> to alterations </w:t>
      </w:r>
      <w:r w:rsidR="00562635" w:rsidRPr="00A73C9E">
        <w:rPr>
          <w:rFonts w:ascii="Arial" w:hAnsi="Arial" w:cs="Arial"/>
        </w:rPr>
        <w:t>in lipid and lipoprotein metabolism</w:t>
      </w:r>
      <w:r w:rsidR="00847119" w:rsidRPr="00A73C9E">
        <w:rPr>
          <w:rFonts w:ascii="Arial" w:hAnsi="Arial" w:cs="Arial"/>
        </w:rPr>
        <w:t>, particularly with secondary causes</w:t>
      </w:r>
      <w:r w:rsidR="002E5EC0" w:rsidRPr="00A73C9E">
        <w:rPr>
          <w:rFonts w:ascii="Arial" w:hAnsi="Arial" w:cs="Arial"/>
        </w:rPr>
        <w:t>, are more common</w:t>
      </w:r>
      <w:r w:rsidR="00F61301" w:rsidRPr="00A73C9E">
        <w:rPr>
          <w:rFonts w:ascii="Arial" w:hAnsi="Arial" w:cs="Arial"/>
        </w:rPr>
        <w:t xml:space="preserve"> (Table 2).</w:t>
      </w:r>
      <w:r w:rsidRPr="00A73C9E">
        <w:rPr>
          <w:rFonts w:ascii="Arial" w:hAnsi="Arial" w:cs="Arial"/>
        </w:rPr>
        <w:t xml:space="preserve">  Such severe elevations may cause significant morbidity </w:t>
      </w:r>
      <w:r w:rsidR="00DE0810" w:rsidRPr="00A73C9E">
        <w:rPr>
          <w:rFonts w:ascii="Arial" w:hAnsi="Arial" w:cs="Arial"/>
        </w:rPr>
        <w:t>which</w:t>
      </w:r>
      <w:r w:rsidRPr="00A73C9E">
        <w:rPr>
          <w:rFonts w:ascii="Arial" w:hAnsi="Arial" w:cs="Arial"/>
        </w:rPr>
        <w:t xml:space="preserve"> occasionally may be life-threatening, necessitating aggressive TG lowering.</w:t>
      </w:r>
    </w:p>
    <w:p w14:paraId="63BAD55F" w14:textId="11988058" w:rsidR="00A32584" w:rsidRPr="00A73C9E" w:rsidRDefault="00A32584" w:rsidP="00A73C9E">
      <w:pPr>
        <w:spacing w:after="0" w:line="276" w:lineRule="auto"/>
        <w:rPr>
          <w:rFonts w:ascii="Arial" w:hAnsi="Arial" w:cs="Arial"/>
        </w:rPr>
      </w:pPr>
    </w:p>
    <w:tbl>
      <w:tblPr>
        <w:tblStyle w:val="TableGrid1"/>
        <w:tblW w:w="9265" w:type="dxa"/>
        <w:tblLook w:val="04A0" w:firstRow="1" w:lastRow="0" w:firstColumn="1" w:lastColumn="0" w:noHBand="0" w:noVBand="1"/>
      </w:tblPr>
      <w:tblGrid>
        <w:gridCol w:w="2965"/>
        <w:gridCol w:w="6300"/>
      </w:tblGrid>
      <w:tr w:rsidR="00A32584" w:rsidRPr="00A73C9E" w14:paraId="168049FC" w14:textId="77777777" w:rsidTr="00A32584">
        <w:trPr>
          <w:trHeight w:val="269"/>
        </w:trPr>
        <w:tc>
          <w:tcPr>
            <w:tcW w:w="9265" w:type="dxa"/>
            <w:gridSpan w:val="2"/>
            <w:shd w:val="clear" w:color="auto" w:fill="FFFF00"/>
            <w:hideMark/>
          </w:tcPr>
          <w:p w14:paraId="1F86EEB5" w14:textId="77777777" w:rsidR="00A32584" w:rsidRPr="00A73C9E" w:rsidRDefault="00A32584" w:rsidP="00A73C9E">
            <w:pPr>
              <w:spacing w:line="276" w:lineRule="auto"/>
              <w:rPr>
                <w:rFonts w:ascii="Arial" w:hAnsi="Arial" w:cs="Arial"/>
                <w:b/>
              </w:rPr>
            </w:pPr>
            <w:r w:rsidRPr="00A73C9E">
              <w:rPr>
                <w:rFonts w:ascii="Arial" w:hAnsi="Arial" w:cs="Arial"/>
                <w:b/>
              </w:rPr>
              <w:t>Table 1. Common Secondary Causes of Dyslipidemia</w:t>
            </w:r>
          </w:p>
        </w:tc>
      </w:tr>
      <w:tr w:rsidR="00A32584" w:rsidRPr="00A73C9E" w14:paraId="7EF1E036" w14:textId="77777777" w:rsidTr="001B3C9D">
        <w:trPr>
          <w:trHeight w:val="213"/>
        </w:trPr>
        <w:tc>
          <w:tcPr>
            <w:tcW w:w="2965" w:type="dxa"/>
            <w:hideMark/>
          </w:tcPr>
          <w:p w14:paraId="52A303D0" w14:textId="77777777" w:rsidR="00A32584" w:rsidRPr="00A73C9E" w:rsidRDefault="00A32584" w:rsidP="00A73C9E">
            <w:pPr>
              <w:spacing w:line="276" w:lineRule="auto"/>
              <w:rPr>
                <w:rFonts w:ascii="Arial" w:hAnsi="Arial" w:cs="Arial"/>
                <w:b/>
              </w:rPr>
            </w:pPr>
            <w:r w:rsidRPr="00A73C9E">
              <w:rPr>
                <w:rFonts w:ascii="Arial" w:hAnsi="Arial" w:cs="Arial"/>
                <w:b/>
              </w:rPr>
              <w:t>Condition</w:t>
            </w:r>
          </w:p>
        </w:tc>
        <w:tc>
          <w:tcPr>
            <w:tcW w:w="6300" w:type="dxa"/>
            <w:hideMark/>
          </w:tcPr>
          <w:p w14:paraId="52D63667" w14:textId="77777777" w:rsidR="00A32584" w:rsidRPr="00A73C9E" w:rsidRDefault="00A32584" w:rsidP="00A73C9E">
            <w:pPr>
              <w:spacing w:line="276" w:lineRule="auto"/>
              <w:rPr>
                <w:rFonts w:ascii="Arial" w:hAnsi="Arial" w:cs="Arial"/>
                <w:b/>
              </w:rPr>
            </w:pPr>
            <w:r w:rsidRPr="00A73C9E">
              <w:rPr>
                <w:rFonts w:ascii="Arial" w:hAnsi="Arial" w:cs="Arial"/>
                <w:b/>
              </w:rPr>
              <w:t>Screening Tests</w:t>
            </w:r>
          </w:p>
        </w:tc>
      </w:tr>
      <w:tr w:rsidR="00A32584" w:rsidRPr="00A73C9E" w14:paraId="42CF03EA" w14:textId="77777777" w:rsidTr="00A73C9E">
        <w:trPr>
          <w:trHeight w:val="440"/>
        </w:trPr>
        <w:tc>
          <w:tcPr>
            <w:tcW w:w="2965" w:type="dxa"/>
            <w:hideMark/>
          </w:tcPr>
          <w:p w14:paraId="20336CCF" w14:textId="77777777" w:rsidR="00A32584" w:rsidRPr="00A73C9E" w:rsidRDefault="00A32584" w:rsidP="00A73C9E">
            <w:pPr>
              <w:spacing w:line="276" w:lineRule="auto"/>
              <w:rPr>
                <w:rFonts w:ascii="Arial" w:hAnsi="Arial" w:cs="Arial"/>
              </w:rPr>
            </w:pPr>
            <w:r w:rsidRPr="00A73C9E">
              <w:rPr>
                <w:rFonts w:ascii="Arial" w:hAnsi="Arial" w:cs="Arial"/>
                <w:bCs/>
              </w:rPr>
              <w:t xml:space="preserve">Hypothyroidism                        </w:t>
            </w:r>
          </w:p>
          <w:p w14:paraId="6FE1F7F8" w14:textId="77777777" w:rsidR="00A32584" w:rsidRPr="00A73C9E" w:rsidRDefault="00A32584" w:rsidP="00A73C9E">
            <w:pPr>
              <w:spacing w:line="276" w:lineRule="auto"/>
              <w:rPr>
                <w:rFonts w:ascii="Arial" w:hAnsi="Arial" w:cs="Arial"/>
              </w:rPr>
            </w:pPr>
            <w:r w:rsidRPr="00A73C9E">
              <w:rPr>
                <w:rFonts w:ascii="Arial" w:hAnsi="Arial" w:cs="Arial"/>
                <w:bCs/>
              </w:rPr>
              <w:t xml:space="preserve">Liver Diseases                         </w:t>
            </w:r>
          </w:p>
          <w:p w14:paraId="4AF2DCD4" w14:textId="77777777" w:rsidR="00A32584" w:rsidRPr="00A73C9E" w:rsidRDefault="00A32584" w:rsidP="00A73C9E">
            <w:pPr>
              <w:spacing w:line="276" w:lineRule="auto"/>
              <w:rPr>
                <w:rFonts w:ascii="Arial" w:hAnsi="Arial" w:cs="Arial"/>
              </w:rPr>
            </w:pPr>
            <w:r w:rsidRPr="00A73C9E">
              <w:rPr>
                <w:rFonts w:ascii="Arial" w:hAnsi="Arial" w:cs="Arial"/>
                <w:bCs/>
              </w:rPr>
              <w:t xml:space="preserve">Kidney diseases                       </w:t>
            </w:r>
          </w:p>
          <w:p w14:paraId="620E950B" w14:textId="77777777" w:rsidR="00A32584" w:rsidRPr="00A73C9E" w:rsidRDefault="00A32584" w:rsidP="00A73C9E">
            <w:pPr>
              <w:spacing w:line="276" w:lineRule="auto"/>
              <w:rPr>
                <w:rFonts w:ascii="Arial" w:hAnsi="Arial" w:cs="Arial"/>
              </w:rPr>
            </w:pPr>
            <w:r w:rsidRPr="00A73C9E">
              <w:rPr>
                <w:rFonts w:ascii="Arial" w:hAnsi="Arial" w:cs="Arial"/>
                <w:bCs/>
              </w:rPr>
              <w:t xml:space="preserve">Diabetes Mellitus                    </w:t>
            </w:r>
          </w:p>
          <w:p w14:paraId="6478B3A4" w14:textId="77777777" w:rsidR="00A32584" w:rsidRPr="00A73C9E" w:rsidRDefault="00A32584" w:rsidP="00A73C9E">
            <w:pPr>
              <w:spacing w:line="276" w:lineRule="auto"/>
              <w:rPr>
                <w:rFonts w:ascii="Arial" w:hAnsi="Arial" w:cs="Arial"/>
              </w:rPr>
            </w:pPr>
            <w:r w:rsidRPr="00A73C9E">
              <w:rPr>
                <w:rFonts w:ascii="Arial" w:hAnsi="Arial" w:cs="Arial"/>
                <w:bCs/>
              </w:rPr>
              <w:lastRenderedPageBreak/>
              <w:t>Obesity / Insulin Resistance</w:t>
            </w:r>
          </w:p>
        </w:tc>
        <w:tc>
          <w:tcPr>
            <w:tcW w:w="6300" w:type="dxa"/>
            <w:hideMark/>
          </w:tcPr>
          <w:p w14:paraId="059082F5" w14:textId="77777777" w:rsidR="00A32584" w:rsidRPr="00A73C9E" w:rsidRDefault="00A32584" w:rsidP="00A73C9E">
            <w:pPr>
              <w:spacing w:line="276" w:lineRule="auto"/>
              <w:rPr>
                <w:rFonts w:ascii="Arial" w:hAnsi="Arial" w:cs="Arial"/>
              </w:rPr>
            </w:pPr>
            <w:r w:rsidRPr="00A73C9E">
              <w:rPr>
                <w:rFonts w:ascii="Arial" w:hAnsi="Arial" w:cs="Arial"/>
              </w:rPr>
              <w:lastRenderedPageBreak/>
              <w:t>Free T4, TSH</w:t>
            </w:r>
          </w:p>
          <w:p w14:paraId="13FCA575" w14:textId="77777777" w:rsidR="00A32584" w:rsidRPr="00A73C9E" w:rsidRDefault="00A32584" w:rsidP="00A73C9E">
            <w:pPr>
              <w:spacing w:line="276" w:lineRule="auto"/>
              <w:rPr>
                <w:rFonts w:ascii="Arial" w:hAnsi="Arial" w:cs="Arial"/>
              </w:rPr>
            </w:pPr>
            <w:r w:rsidRPr="00A73C9E">
              <w:rPr>
                <w:rFonts w:ascii="Arial" w:hAnsi="Arial" w:cs="Arial"/>
              </w:rPr>
              <w:t>CMP</w:t>
            </w:r>
          </w:p>
          <w:p w14:paraId="5E6432AC" w14:textId="74401C67" w:rsidR="00A32584" w:rsidRPr="00A73C9E" w:rsidRDefault="00A32584" w:rsidP="00A73C9E">
            <w:pPr>
              <w:spacing w:line="276" w:lineRule="auto"/>
              <w:rPr>
                <w:rFonts w:ascii="Arial" w:hAnsi="Arial" w:cs="Arial"/>
              </w:rPr>
            </w:pPr>
            <w:r w:rsidRPr="00A73C9E">
              <w:rPr>
                <w:rFonts w:ascii="Arial" w:hAnsi="Arial" w:cs="Arial"/>
              </w:rPr>
              <w:t>CMP</w:t>
            </w:r>
            <w:r w:rsidR="001B3C9D" w:rsidRPr="00A73C9E">
              <w:rPr>
                <w:rFonts w:ascii="Arial" w:hAnsi="Arial" w:cs="Arial"/>
              </w:rPr>
              <w:t xml:space="preserve"> </w:t>
            </w:r>
            <w:r w:rsidRPr="00A73C9E">
              <w:rPr>
                <w:rFonts w:ascii="Arial" w:hAnsi="Arial" w:cs="Arial"/>
              </w:rPr>
              <w:t>/ UA</w:t>
            </w:r>
          </w:p>
          <w:p w14:paraId="44F8E107" w14:textId="17AA1DA6" w:rsidR="00A32584" w:rsidRPr="00A73C9E" w:rsidRDefault="00A32584" w:rsidP="00A73C9E">
            <w:pPr>
              <w:spacing w:line="276" w:lineRule="auto"/>
              <w:rPr>
                <w:rFonts w:ascii="Arial" w:hAnsi="Arial" w:cs="Arial"/>
              </w:rPr>
            </w:pPr>
            <w:r w:rsidRPr="00A73C9E">
              <w:rPr>
                <w:rFonts w:ascii="Arial" w:hAnsi="Arial" w:cs="Arial"/>
              </w:rPr>
              <w:t>CMP</w:t>
            </w:r>
            <w:r w:rsidR="001B3C9D" w:rsidRPr="00A73C9E">
              <w:rPr>
                <w:rFonts w:ascii="Arial" w:hAnsi="Arial" w:cs="Arial"/>
              </w:rPr>
              <w:t xml:space="preserve"> </w:t>
            </w:r>
            <w:r w:rsidRPr="00A73C9E">
              <w:rPr>
                <w:rFonts w:ascii="Arial" w:hAnsi="Arial" w:cs="Arial"/>
              </w:rPr>
              <w:t>/ U</w:t>
            </w:r>
            <w:r w:rsidR="00DE0810" w:rsidRPr="00A73C9E">
              <w:rPr>
                <w:rFonts w:ascii="Arial" w:hAnsi="Arial" w:cs="Arial"/>
              </w:rPr>
              <w:t>A</w:t>
            </w:r>
            <w:r w:rsidR="001B3C9D" w:rsidRPr="00A73C9E">
              <w:rPr>
                <w:rFonts w:ascii="Arial" w:hAnsi="Arial" w:cs="Arial"/>
              </w:rPr>
              <w:t xml:space="preserve"> </w:t>
            </w:r>
            <w:r w:rsidR="00DE0810" w:rsidRPr="00A73C9E">
              <w:rPr>
                <w:rFonts w:ascii="Arial" w:hAnsi="Arial" w:cs="Arial"/>
              </w:rPr>
              <w:t>/</w:t>
            </w:r>
            <w:r w:rsidR="001B3C9D" w:rsidRPr="00A73C9E">
              <w:rPr>
                <w:rFonts w:ascii="Arial" w:hAnsi="Arial" w:cs="Arial"/>
              </w:rPr>
              <w:t xml:space="preserve"> f</w:t>
            </w:r>
            <w:r w:rsidR="00DE0810" w:rsidRPr="00A73C9E">
              <w:rPr>
                <w:rFonts w:ascii="Arial" w:hAnsi="Arial" w:cs="Arial"/>
              </w:rPr>
              <w:t xml:space="preserve">asting or </w:t>
            </w:r>
            <w:r w:rsidR="001B3C9D" w:rsidRPr="00A73C9E">
              <w:rPr>
                <w:rFonts w:ascii="Arial" w:hAnsi="Arial" w:cs="Arial"/>
              </w:rPr>
              <w:t>r</w:t>
            </w:r>
            <w:r w:rsidR="00DE0810" w:rsidRPr="00A73C9E">
              <w:rPr>
                <w:rFonts w:ascii="Arial" w:hAnsi="Arial" w:cs="Arial"/>
              </w:rPr>
              <w:t xml:space="preserve">andom </w:t>
            </w:r>
            <w:r w:rsidR="001B3C9D" w:rsidRPr="00A73C9E">
              <w:rPr>
                <w:rFonts w:ascii="Arial" w:hAnsi="Arial" w:cs="Arial"/>
              </w:rPr>
              <w:t>g</w:t>
            </w:r>
            <w:r w:rsidR="00DE0810" w:rsidRPr="00A73C9E">
              <w:rPr>
                <w:rFonts w:ascii="Arial" w:hAnsi="Arial" w:cs="Arial"/>
              </w:rPr>
              <w:t>lucose / H</w:t>
            </w:r>
            <w:r w:rsidRPr="00A73C9E">
              <w:rPr>
                <w:rFonts w:ascii="Arial" w:hAnsi="Arial" w:cs="Arial"/>
              </w:rPr>
              <w:t>bA1c</w:t>
            </w:r>
          </w:p>
          <w:p w14:paraId="1ADD9CA4" w14:textId="31229B3C" w:rsidR="00A32584" w:rsidRPr="00A73C9E" w:rsidRDefault="00A32584" w:rsidP="00A73C9E">
            <w:pPr>
              <w:spacing w:line="276" w:lineRule="auto"/>
              <w:rPr>
                <w:rFonts w:ascii="Arial" w:hAnsi="Arial" w:cs="Arial"/>
              </w:rPr>
            </w:pPr>
            <w:r w:rsidRPr="00A73C9E">
              <w:rPr>
                <w:rFonts w:ascii="Arial" w:hAnsi="Arial" w:cs="Arial"/>
              </w:rPr>
              <w:lastRenderedPageBreak/>
              <w:t>CMP</w:t>
            </w:r>
            <w:r w:rsidR="001B3C9D" w:rsidRPr="00A73C9E">
              <w:rPr>
                <w:rFonts w:ascii="Arial" w:hAnsi="Arial" w:cs="Arial"/>
              </w:rPr>
              <w:t xml:space="preserve"> </w:t>
            </w:r>
            <w:r w:rsidRPr="00A73C9E">
              <w:rPr>
                <w:rFonts w:ascii="Arial" w:hAnsi="Arial" w:cs="Arial"/>
              </w:rPr>
              <w:t xml:space="preserve">/ </w:t>
            </w:r>
            <w:r w:rsidR="001B3C9D" w:rsidRPr="00A73C9E">
              <w:rPr>
                <w:rFonts w:ascii="Arial" w:hAnsi="Arial" w:cs="Arial"/>
              </w:rPr>
              <w:t>f</w:t>
            </w:r>
            <w:r w:rsidRPr="00A73C9E">
              <w:rPr>
                <w:rFonts w:ascii="Arial" w:hAnsi="Arial" w:cs="Arial"/>
              </w:rPr>
              <w:t xml:space="preserve">asting </w:t>
            </w:r>
            <w:r w:rsidR="001B3C9D" w:rsidRPr="00A73C9E">
              <w:rPr>
                <w:rFonts w:ascii="Arial" w:hAnsi="Arial" w:cs="Arial"/>
              </w:rPr>
              <w:t>g</w:t>
            </w:r>
            <w:r w:rsidRPr="00A73C9E">
              <w:rPr>
                <w:rFonts w:ascii="Arial" w:hAnsi="Arial" w:cs="Arial"/>
              </w:rPr>
              <w:t xml:space="preserve">lucose and </w:t>
            </w:r>
            <w:r w:rsidR="001B3C9D" w:rsidRPr="00A73C9E">
              <w:rPr>
                <w:rFonts w:ascii="Arial" w:hAnsi="Arial" w:cs="Arial"/>
              </w:rPr>
              <w:t>i</w:t>
            </w:r>
            <w:r w:rsidRPr="00A73C9E">
              <w:rPr>
                <w:rFonts w:ascii="Arial" w:hAnsi="Arial" w:cs="Arial"/>
              </w:rPr>
              <w:t xml:space="preserve">nsulin </w:t>
            </w:r>
          </w:p>
        </w:tc>
      </w:tr>
      <w:tr w:rsidR="00A32584" w:rsidRPr="00A73C9E" w14:paraId="34B7687F" w14:textId="77777777" w:rsidTr="001B3C9D">
        <w:trPr>
          <w:trHeight w:val="241"/>
        </w:trPr>
        <w:tc>
          <w:tcPr>
            <w:tcW w:w="2965" w:type="dxa"/>
            <w:hideMark/>
          </w:tcPr>
          <w:p w14:paraId="1AD5F4A9" w14:textId="77777777" w:rsidR="00A32584" w:rsidRPr="00A73C9E" w:rsidRDefault="00A32584" w:rsidP="00A73C9E">
            <w:pPr>
              <w:spacing w:line="276" w:lineRule="auto"/>
              <w:rPr>
                <w:rFonts w:ascii="Arial" w:hAnsi="Arial" w:cs="Arial"/>
              </w:rPr>
            </w:pPr>
            <w:r w:rsidRPr="00A73C9E">
              <w:rPr>
                <w:rFonts w:ascii="Arial" w:hAnsi="Arial" w:cs="Arial"/>
                <w:bCs/>
              </w:rPr>
              <w:lastRenderedPageBreak/>
              <w:t>Medications</w:t>
            </w:r>
          </w:p>
        </w:tc>
        <w:tc>
          <w:tcPr>
            <w:tcW w:w="6300" w:type="dxa"/>
            <w:hideMark/>
          </w:tcPr>
          <w:p w14:paraId="1D17CA45" w14:textId="77777777" w:rsidR="00A32584" w:rsidRPr="00A73C9E" w:rsidRDefault="00A32584" w:rsidP="00A73C9E">
            <w:pPr>
              <w:spacing w:line="276" w:lineRule="auto"/>
              <w:rPr>
                <w:rFonts w:ascii="Arial" w:hAnsi="Arial" w:cs="Arial"/>
              </w:rPr>
            </w:pPr>
            <w:r w:rsidRPr="00A73C9E">
              <w:rPr>
                <w:rFonts w:ascii="Arial" w:hAnsi="Arial" w:cs="Arial"/>
              </w:rPr>
              <w:t>Steroids, retinoids, oral contraceptives, protease inhibitors</w:t>
            </w:r>
          </w:p>
        </w:tc>
      </w:tr>
    </w:tbl>
    <w:p w14:paraId="228079DA" w14:textId="436064BD" w:rsidR="00A32584" w:rsidRPr="00A73C9E" w:rsidRDefault="001B3C9D" w:rsidP="00A73C9E">
      <w:pPr>
        <w:spacing w:after="0" w:line="276" w:lineRule="auto"/>
        <w:rPr>
          <w:rFonts w:ascii="Arial" w:eastAsia="Calibri" w:hAnsi="Arial" w:cs="Arial"/>
          <w:bCs/>
        </w:rPr>
      </w:pPr>
      <w:r w:rsidRPr="00A73C9E">
        <w:rPr>
          <w:rFonts w:ascii="Arial" w:eastAsia="Calibri" w:hAnsi="Arial" w:cs="Arial"/>
          <w:bCs/>
        </w:rPr>
        <w:t xml:space="preserve">Free T4-free thyroxine; TSH-thyroid-stimulating hormone; </w:t>
      </w:r>
      <w:r w:rsidR="006675C8" w:rsidRPr="00A73C9E">
        <w:rPr>
          <w:rFonts w:ascii="Arial" w:eastAsia="Calibri" w:hAnsi="Arial" w:cs="Arial"/>
          <w:bCs/>
        </w:rPr>
        <w:t>UA-</w:t>
      </w:r>
      <w:r w:rsidR="00DE0810" w:rsidRPr="00A73C9E">
        <w:rPr>
          <w:rFonts w:ascii="Arial" w:eastAsia="Calibri" w:hAnsi="Arial" w:cs="Arial"/>
          <w:bCs/>
        </w:rPr>
        <w:t>urinalysis; CMP-Comprehensive Metabolic Profile; HbA1c-hemoglobin A1c</w:t>
      </w:r>
    </w:p>
    <w:p w14:paraId="1D51CB1A" w14:textId="77777777" w:rsidR="00585CEC" w:rsidRPr="00A73C9E" w:rsidRDefault="00585CEC" w:rsidP="00A73C9E">
      <w:pPr>
        <w:spacing w:after="0" w:line="276" w:lineRule="auto"/>
        <w:rPr>
          <w:rFonts w:ascii="Arial" w:eastAsia="Calibri" w:hAnsi="Arial" w:cs="Arial"/>
          <w:b/>
        </w:rPr>
      </w:pPr>
    </w:p>
    <w:tbl>
      <w:tblPr>
        <w:tblStyle w:val="TableGrid1"/>
        <w:tblW w:w="10165" w:type="dxa"/>
        <w:tblLook w:val="0420" w:firstRow="1" w:lastRow="0" w:firstColumn="0" w:lastColumn="0" w:noHBand="0" w:noVBand="1"/>
      </w:tblPr>
      <w:tblGrid>
        <w:gridCol w:w="1345"/>
        <w:gridCol w:w="666"/>
        <w:gridCol w:w="956"/>
        <w:gridCol w:w="3598"/>
        <w:gridCol w:w="3600"/>
      </w:tblGrid>
      <w:tr w:rsidR="00585CEC" w:rsidRPr="00A73C9E" w14:paraId="58084348" w14:textId="77777777" w:rsidTr="00A73C9E">
        <w:trPr>
          <w:trHeight w:val="353"/>
        </w:trPr>
        <w:tc>
          <w:tcPr>
            <w:tcW w:w="10165" w:type="dxa"/>
            <w:gridSpan w:val="5"/>
            <w:shd w:val="clear" w:color="auto" w:fill="FFFF00"/>
            <w:vAlign w:val="center"/>
          </w:tcPr>
          <w:p w14:paraId="6C69097F" w14:textId="77777777" w:rsidR="001B3C9D" w:rsidRPr="00A73C9E" w:rsidRDefault="00585CEC" w:rsidP="00A73C9E">
            <w:pPr>
              <w:spacing w:line="276" w:lineRule="auto"/>
              <w:rPr>
                <w:rFonts w:ascii="Arial" w:eastAsia="Times New Roman" w:hAnsi="Arial" w:cs="Arial"/>
                <w:b/>
                <w:color w:val="000000" w:themeColor="text1"/>
              </w:rPr>
            </w:pPr>
            <w:r w:rsidRPr="00A73C9E">
              <w:rPr>
                <w:rFonts w:ascii="Arial" w:eastAsia="Times New Roman" w:hAnsi="Arial" w:cs="Arial"/>
                <w:b/>
                <w:color w:val="000000" w:themeColor="text1"/>
              </w:rPr>
              <w:t xml:space="preserve">Table 2. Estimated Prevalence of Severe Hypertriglyceridemia.  </w:t>
            </w:r>
          </w:p>
          <w:p w14:paraId="2A8F56F8" w14:textId="55AFEDAE" w:rsidR="00585CEC" w:rsidRPr="00A73C9E" w:rsidRDefault="00585CEC" w:rsidP="00A73C9E">
            <w:pPr>
              <w:spacing w:line="276" w:lineRule="auto"/>
              <w:rPr>
                <w:rFonts w:ascii="Arial" w:eastAsia="Times New Roman" w:hAnsi="Arial" w:cs="Arial"/>
                <w:b/>
                <w:color w:val="000000" w:themeColor="text1"/>
              </w:rPr>
            </w:pPr>
            <w:r w:rsidRPr="00A73C9E">
              <w:rPr>
                <w:rFonts w:ascii="Arial" w:eastAsia="Times New Roman" w:hAnsi="Arial" w:cs="Arial"/>
                <w:b/>
                <w:color w:val="000000" w:themeColor="text1"/>
              </w:rPr>
              <w:t>The Copenhagen General Population Study</w:t>
            </w:r>
            <w:r w:rsidR="00D51593" w:rsidRPr="00A73C9E">
              <w:rPr>
                <w:rFonts w:ascii="Arial" w:eastAsia="Times New Roman" w:hAnsi="Arial" w:cs="Arial"/>
                <w:b/>
                <w:color w:val="000000" w:themeColor="text1"/>
              </w:rPr>
              <w:t>. Modified from (15)</w:t>
            </w:r>
          </w:p>
        </w:tc>
      </w:tr>
      <w:tr w:rsidR="00585CEC" w:rsidRPr="00A73C9E" w14:paraId="040F3796" w14:textId="77777777" w:rsidTr="00A73C9E">
        <w:trPr>
          <w:trHeight w:val="443"/>
        </w:trPr>
        <w:tc>
          <w:tcPr>
            <w:tcW w:w="2967" w:type="dxa"/>
            <w:gridSpan w:val="3"/>
            <w:vAlign w:val="center"/>
            <w:hideMark/>
          </w:tcPr>
          <w:p w14:paraId="5009FD2B" w14:textId="77777777" w:rsidR="00585CEC" w:rsidRPr="00A73C9E" w:rsidRDefault="00585CEC" w:rsidP="00A73C9E">
            <w:pPr>
              <w:spacing w:line="276" w:lineRule="auto"/>
              <w:rPr>
                <w:rFonts w:ascii="Arial" w:eastAsia="Times New Roman" w:hAnsi="Arial" w:cs="Arial"/>
                <w:b/>
                <w:color w:val="000000" w:themeColor="text1"/>
              </w:rPr>
            </w:pPr>
            <w:r w:rsidRPr="00A73C9E">
              <w:rPr>
                <w:rFonts w:ascii="Arial" w:eastAsia="Times New Roman" w:hAnsi="Arial" w:cs="Arial"/>
                <w:b/>
                <w:color w:val="000000" w:themeColor="text1"/>
              </w:rPr>
              <w:t>Subjects: &gt;70,000 Adults</w:t>
            </w:r>
          </w:p>
          <w:p w14:paraId="2A42368F" w14:textId="77777777" w:rsidR="00585CEC" w:rsidRPr="00A73C9E" w:rsidRDefault="00585CEC" w:rsidP="00A73C9E">
            <w:pPr>
              <w:spacing w:line="276" w:lineRule="auto"/>
              <w:rPr>
                <w:rFonts w:ascii="Arial" w:eastAsia="Times New Roman" w:hAnsi="Arial" w:cs="Arial"/>
                <w:b/>
                <w:color w:val="000000" w:themeColor="text1"/>
              </w:rPr>
            </w:pPr>
            <w:r w:rsidRPr="00A73C9E">
              <w:rPr>
                <w:rFonts w:ascii="Arial" w:eastAsia="Times New Roman" w:hAnsi="Arial" w:cs="Arial"/>
                <w:b/>
                <w:color w:val="000000" w:themeColor="text1"/>
              </w:rPr>
              <w:t>Age: &gt;20 years</w:t>
            </w:r>
          </w:p>
        </w:tc>
        <w:tc>
          <w:tcPr>
            <w:tcW w:w="3598" w:type="dxa"/>
            <w:vAlign w:val="center"/>
            <w:hideMark/>
          </w:tcPr>
          <w:p w14:paraId="4933E0EB" w14:textId="77777777" w:rsidR="00585CEC" w:rsidRPr="00A73C9E" w:rsidRDefault="00585CEC" w:rsidP="00A73C9E">
            <w:pPr>
              <w:spacing w:line="276" w:lineRule="auto"/>
              <w:rPr>
                <w:rFonts w:ascii="Arial" w:eastAsia="Times New Roman" w:hAnsi="Arial" w:cs="Arial"/>
                <w:b/>
                <w:color w:val="000000" w:themeColor="text1"/>
              </w:rPr>
            </w:pPr>
            <w:r w:rsidRPr="00A73C9E">
              <w:rPr>
                <w:rFonts w:ascii="Arial" w:eastAsia="Times New Roman" w:hAnsi="Arial" w:cs="Arial"/>
                <w:b/>
                <w:color w:val="000000" w:themeColor="text1"/>
              </w:rPr>
              <w:t>Polygenic* and Small-Effect Variants</w:t>
            </w:r>
          </w:p>
        </w:tc>
        <w:tc>
          <w:tcPr>
            <w:tcW w:w="3600" w:type="dxa"/>
            <w:vAlign w:val="center"/>
            <w:hideMark/>
          </w:tcPr>
          <w:p w14:paraId="66487075" w14:textId="77777777" w:rsidR="00585CEC" w:rsidRPr="00A73C9E" w:rsidRDefault="00585CEC" w:rsidP="00A73C9E">
            <w:pPr>
              <w:spacing w:line="276" w:lineRule="auto"/>
              <w:rPr>
                <w:rFonts w:ascii="Arial" w:eastAsia="Times New Roman" w:hAnsi="Arial" w:cs="Arial"/>
                <w:b/>
                <w:color w:val="000000" w:themeColor="text1"/>
              </w:rPr>
            </w:pPr>
            <w:r w:rsidRPr="00A73C9E">
              <w:rPr>
                <w:rFonts w:ascii="Arial" w:eastAsia="Times New Roman" w:hAnsi="Arial" w:cs="Arial"/>
                <w:b/>
                <w:color w:val="000000" w:themeColor="text1"/>
              </w:rPr>
              <w:t>Can be Monogenic**</w:t>
            </w:r>
          </w:p>
        </w:tc>
      </w:tr>
      <w:tr w:rsidR="00585CEC" w:rsidRPr="00A73C9E" w14:paraId="6B345F9A" w14:textId="77777777" w:rsidTr="00A73C9E">
        <w:trPr>
          <w:trHeight w:val="305"/>
        </w:trPr>
        <w:tc>
          <w:tcPr>
            <w:tcW w:w="1345" w:type="dxa"/>
            <w:hideMark/>
          </w:tcPr>
          <w:p w14:paraId="56D42B5D" w14:textId="5B7F0017" w:rsidR="00585CEC" w:rsidRPr="00A73C9E" w:rsidRDefault="00585CEC" w:rsidP="00A73C9E">
            <w:pPr>
              <w:spacing w:line="276" w:lineRule="auto"/>
              <w:rPr>
                <w:rFonts w:ascii="Arial" w:eastAsia="Times New Roman" w:hAnsi="Arial" w:cs="Arial"/>
                <w:color w:val="000000" w:themeColor="text1"/>
              </w:rPr>
            </w:pPr>
            <w:r w:rsidRPr="00A73C9E">
              <w:rPr>
                <w:rFonts w:ascii="Arial" w:eastAsia="Times New Roman" w:hAnsi="Arial" w:cs="Arial"/>
                <w:color w:val="000000" w:themeColor="text1"/>
              </w:rPr>
              <w:t>% Pop</w:t>
            </w:r>
          </w:p>
        </w:tc>
        <w:tc>
          <w:tcPr>
            <w:tcW w:w="666" w:type="dxa"/>
            <w:hideMark/>
          </w:tcPr>
          <w:p w14:paraId="24907FA1" w14:textId="77777777" w:rsidR="00585CEC" w:rsidRPr="00A73C9E" w:rsidRDefault="00585CEC" w:rsidP="00A73C9E">
            <w:pPr>
              <w:spacing w:line="276" w:lineRule="auto"/>
              <w:rPr>
                <w:rFonts w:ascii="Arial" w:eastAsia="Times New Roman" w:hAnsi="Arial" w:cs="Arial"/>
                <w:color w:val="000000" w:themeColor="text1"/>
              </w:rPr>
            </w:pPr>
            <w:r w:rsidRPr="00A73C9E">
              <w:rPr>
                <w:rFonts w:ascii="Arial" w:eastAsia="Times New Roman" w:hAnsi="Arial" w:cs="Arial"/>
                <w:color w:val="000000" w:themeColor="text1"/>
              </w:rPr>
              <w:t>26%</w:t>
            </w:r>
          </w:p>
        </w:tc>
        <w:tc>
          <w:tcPr>
            <w:tcW w:w="956" w:type="dxa"/>
            <w:hideMark/>
          </w:tcPr>
          <w:p w14:paraId="567D0C18" w14:textId="77777777" w:rsidR="00585CEC" w:rsidRPr="00A73C9E" w:rsidRDefault="00585CEC" w:rsidP="00A73C9E">
            <w:pPr>
              <w:spacing w:line="276" w:lineRule="auto"/>
              <w:rPr>
                <w:rFonts w:ascii="Arial" w:eastAsia="Times New Roman" w:hAnsi="Arial" w:cs="Arial"/>
                <w:color w:val="000000" w:themeColor="text1"/>
              </w:rPr>
            </w:pPr>
            <w:r w:rsidRPr="00A73C9E">
              <w:rPr>
                <w:rFonts w:ascii="Arial" w:eastAsia="Times New Roman" w:hAnsi="Arial" w:cs="Arial"/>
                <w:color w:val="000000" w:themeColor="text1"/>
              </w:rPr>
              <w:t>46%</w:t>
            </w:r>
          </w:p>
        </w:tc>
        <w:tc>
          <w:tcPr>
            <w:tcW w:w="3598" w:type="dxa"/>
            <w:hideMark/>
          </w:tcPr>
          <w:p w14:paraId="1645CEEF" w14:textId="77777777" w:rsidR="00585CEC" w:rsidRPr="00A73C9E" w:rsidRDefault="00585CEC" w:rsidP="00A73C9E">
            <w:pPr>
              <w:spacing w:line="276" w:lineRule="auto"/>
              <w:rPr>
                <w:rFonts w:ascii="Arial" w:eastAsia="Times New Roman" w:hAnsi="Arial" w:cs="Arial"/>
                <w:color w:val="000000" w:themeColor="text1"/>
              </w:rPr>
            </w:pPr>
            <w:r w:rsidRPr="00A73C9E">
              <w:rPr>
                <w:rFonts w:ascii="Arial" w:eastAsia="Times New Roman" w:hAnsi="Arial" w:cs="Arial"/>
                <w:color w:val="000000" w:themeColor="text1"/>
              </w:rPr>
              <w:t>28%</w:t>
            </w:r>
          </w:p>
        </w:tc>
        <w:tc>
          <w:tcPr>
            <w:tcW w:w="3600" w:type="dxa"/>
            <w:hideMark/>
          </w:tcPr>
          <w:p w14:paraId="0F2074FA" w14:textId="77777777" w:rsidR="00585CEC" w:rsidRPr="00A73C9E" w:rsidRDefault="00585CEC" w:rsidP="00A73C9E">
            <w:pPr>
              <w:spacing w:line="276" w:lineRule="auto"/>
              <w:rPr>
                <w:rFonts w:ascii="Arial" w:eastAsia="Times New Roman" w:hAnsi="Arial" w:cs="Arial"/>
                <w:color w:val="000000" w:themeColor="text1"/>
              </w:rPr>
            </w:pPr>
            <w:r w:rsidRPr="00A73C9E">
              <w:rPr>
                <w:rFonts w:ascii="Arial" w:eastAsia="Times New Roman" w:hAnsi="Arial" w:cs="Arial"/>
                <w:color w:val="000000" w:themeColor="text1"/>
              </w:rPr>
              <w:t>0.1%</w:t>
            </w:r>
          </w:p>
        </w:tc>
      </w:tr>
      <w:tr w:rsidR="00585CEC" w:rsidRPr="00A73C9E" w14:paraId="5F543DAC" w14:textId="77777777" w:rsidTr="00A73C9E">
        <w:trPr>
          <w:trHeight w:val="316"/>
        </w:trPr>
        <w:tc>
          <w:tcPr>
            <w:tcW w:w="1345" w:type="dxa"/>
            <w:hideMark/>
          </w:tcPr>
          <w:p w14:paraId="5DE161CB" w14:textId="2330E715" w:rsidR="00585CEC" w:rsidRPr="00A73C9E" w:rsidRDefault="001B3C9D" w:rsidP="00A73C9E">
            <w:pPr>
              <w:spacing w:line="276" w:lineRule="auto"/>
              <w:rPr>
                <w:rFonts w:ascii="Arial" w:eastAsia="Times New Roman" w:hAnsi="Arial" w:cs="Arial"/>
                <w:color w:val="000000" w:themeColor="text1"/>
              </w:rPr>
            </w:pPr>
            <w:r w:rsidRPr="00A73C9E">
              <w:rPr>
                <w:rFonts w:ascii="Arial" w:eastAsia="Times New Roman" w:hAnsi="Arial" w:cs="Arial"/>
                <w:color w:val="000000" w:themeColor="text1"/>
              </w:rPr>
              <w:t>TG (</w:t>
            </w:r>
            <w:r w:rsidR="00585CEC" w:rsidRPr="00A73C9E">
              <w:rPr>
                <w:rFonts w:ascii="Arial" w:eastAsia="Times New Roman" w:hAnsi="Arial" w:cs="Arial"/>
                <w:color w:val="000000" w:themeColor="text1"/>
              </w:rPr>
              <w:t>mg/dL</w:t>
            </w:r>
            <w:r w:rsidRPr="00A73C9E">
              <w:rPr>
                <w:rFonts w:ascii="Arial" w:eastAsia="Times New Roman" w:hAnsi="Arial" w:cs="Arial"/>
                <w:color w:val="000000" w:themeColor="text1"/>
              </w:rPr>
              <w:t>)</w:t>
            </w:r>
          </w:p>
        </w:tc>
        <w:tc>
          <w:tcPr>
            <w:tcW w:w="666" w:type="dxa"/>
            <w:hideMark/>
          </w:tcPr>
          <w:p w14:paraId="2A718EE0" w14:textId="77777777" w:rsidR="00585CEC" w:rsidRPr="00A73C9E" w:rsidRDefault="00585CEC" w:rsidP="00A73C9E">
            <w:pPr>
              <w:spacing w:line="276" w:lineRule="auto"/>
              <w:rPr>
                <w:rFonts w:ascii="Arial" w:eastAsia="Times New Roman" w:hAnsi="Arial" w:cs="Arial"/>
                <w:color w:val="000000" w:themeColor="text1"/>
              </w:rPr>
            </w:pPr>
            <w:r w:rsidRPr="00A73C9E">
              <w:rPr>
                <w:rFonts w:ascii="Arial" w:eastAsia="Times New Roman" w:hAnsi="Arial" w:cs="Arial"/>
                <w:color w:val="000000" w:themeColor="text1"/>
              </w:rPr>
              <w:t>&lt;88</w:t>
            </w:r>
          </w:p>
        </w:tc>
        <w:tc>
          <w:tcPr>
            <w:tcW w:w="956" w:type="dxa"/>
            <w:hideMark/>
          </w:tcPr>
          <w:p w14:paraId="6182F0F4" w14:textId="77777777" w:rsidR="00585CEC" w:rsidRPr="00A73C9E" w:rsidRDefault="00585CEC" w:rsidP="00A73C9E">
            <w:pPr>
              <w:spacing w:line="276" w:lineRule="auto"/>
              <w:rPr>
                <w:rFonts w:ascii="Arial" w:eastAsia="Times New Roman" w:hAnsi="Arial" w:cs="Arial"/>
                <w:color w:val="000000" w:themeColor="text1"/>
              </w:rPr>
            </w:pPr>
            <w:r w:rsidRPr="00A73C9E">
              <w:rPr>
                <w:rFonts w:ascii="Arial" w:eastAsia="Times New Roman" w:hAnsi="Arial" w:cs="Arial"/>
                <w:color w:val="000000" w:themeColor="text1"/>
              </w:rPr>
              <w:t>88-177</w:t>
            </w:r>
          </w:p>
        </w:tc>
        <w:tc>
          <w:tcPr>
            <w:tcW w:w="3598" w:type="dxa"/>
            <w:hideMark/>
          </w:tcPr>
          <w:p w14:paraId="7762A8B7" w14:textId="77777777" w:rsidR="00585CEC" w:rsidRPr="00A73C9E" w:rsidRDefault="00585CEC" w:rsidP="00A73C9E">
            <w:pPr>
              <w:spacing w:line="276" w:lineRule="auto"/>
              <w:rPr>
                <w:rFonts w:ascii="Arial" w:eastAsia="Times New Roman" w:hAnsi="Arial" w:cs="Arial"/>
                <w:color w:val="000000" w:themeColor="text1"/>
              </w:rPr>
            </w:pPr>
            <w:r w:rsidRPr="00A73C9E">
              <w:rPr>
                <w:rFonts w:ascii="Arial" w:eastAsia="Times New Roman" w:hAnsi="Arial" w:cs="Arial"/>
                <w:color w:val="000000" w:themeColor="text1"/>
              </w:rPr>
              <w:t>177-797</w:t>
            </w:r>
          </w:p>
        </w:tc>
        <w:tc>
          <w:tcPr>
            <w:tcW w:w="3600" w:type="dxa"/>
            <w:hideMark/>
          </w:tcPr>
          <w:p w14:paraId="1EEF59C9" w14:textId="77777777" w:rsidR="00585CEC" w:rsidRPr="00A73C9E" w:rsidRDefault="00585CEC" w:rsidP="00A73C9E">
            <w:pPr>
              <w:spacing w:line="276" w:lineRule="auto"/>
              <w:rPr>
                <w:rFonts w:ascii="Arial" w:eastAsia="Times New Roman" w:hAnsi="Arial" w:cs="Arial"/>
                <w:color w:val="000000" w:themeColor="text1"/>
              </w:rPr>
            </w:pPr>
            <w:r w:rsidRPr="00A73C9E">
              <w:rPr>
                <w:rFonts w:ascii="Arial" w:eastAsia="Times New Roman" w:hAnsi="Arial" w:cs="Arial"/>
                <w:color w:val="000000" w:themeColor="text1"/>
              </w:rPr>
              <w:t>797-1329</w:t>
            </w:r>
          </w:p>
        </w:tc>
      </w:tr>
      <w:tr w:rsidR="00585CEC" w:rsidRPr="00A73C9E" w14:paraId="1145AB9B" w14:textId="77777777" w:rsidTr="00A73C9E">
        <w:trPr>
          <w:trHeight w:val="307"/>
        </w:trPr>
        <w:tc>
          <w:tcPr>
            <w:tcW w:w="2967" w:type="dxa"/>
            <w:gridSpan w:val="3"/>
            <w:hideMark/>
          </w:tcPr>
          <w:p w14:paraId="3DCEDE87" w14:textId="3F593FAB" w:rsidR="00585CEC" w:rsidRPr="00A73C9E" w:rsidRDefault="001B3C9D" w:rsidP="00A73C9E">
            <w:pPr>
              <w:spacing w:line="276" w:lineRule="auto"/>
              <w:rPr>
                <w:rFonts w:ascii="Arial" w:eastAsia="Times New Roman" w:hAnsi="Arial" w:cs="Arial"/>
                <w:color w:val="000000" w:themeColor="text1"/>
              </w:rPr>
            </w:pPr>
            <w:r w:rsidRPr="00A73C9E">
              <w:rPr>
                <w:rFonts w:ascii="Arial" w:eastAsia="Times New Roman" w:hAnsi="Arial" w:cs="Arial"/>
                <w:color w:val="000000" w:themeColor="text1"/>
              </w:rPr>
              <w:t>Severity</w:t>
            </w:r>
          </w:p>
        </w:tc>
        <w:tc>
          <w:tcPr>
            <w:tcW w:w="3598" w:type="dxa"/>
            <w:hideMark/>
          </w:tcPr>
          <w:p w14:paraId="443BC23A" w14:textId="604B7179" w:rsidR="00585CEC" w:rsidRPr="00A73C9E" w:rsidRDefault="00585CEC" w:rsidP="00A73C9E">
            <w:pPr>
              <w:spacing w:line="276" w:lineRule="auto"/>
              <w:rPr>
                <w:rFonts w:ascii="Arial" w:eastAsia="Times New Roman" w:hAnsi="Arial" w:cs="Arial"/>
                <w:color w:val="000000" w:themeColor="text1"/>
              </w:rPr>
            </w:pPr>
            <w:r w:rsidRPr="00A73C9E">
              <w:rPr>
                <w:rFonts w:ascii="Arial" w:eastAsia="Times New Roman" w:hAnsi="Arial" w:cs="Arial"/>
                <w:color w:val="000000" w:themeColor="text1"/>
              </w:rPr>
              <w:t>&lt;--------- Mild to High --------&gt;</w:t>
            </w:r>
          </w:p>
        </w:tc>
        <w:tc>
          <w:tcPr>
            <w:tcW w:w="3600" w:type="dxa"/>
            <w:hideMark/>
          </w:tcPr>
          <w:p w14:paraId="4396F519" w14:textId="122842BC" w:rsidR="00585CEC" w:rsidRPr="00A73C9E" w:rsidRDefault="00585CEC" w:rsidP="00A73C9E">
            <w:pPr>
              <w:spacing w:line="276" w:lineRule="auto"/>
              <w:rPr>
                <w:rFonts w:ascii="Arial" w:eastAsia="Times New Roman" w:hAnsi="Arial" w:cs="Arial"/>
                <w:color w:val="000000" w:themeColor="text1"/>
              </w:rPr>
            </w:pPr>
            <w:r w:rsidRPr="00A73C9E">
              <w:rPr>
                <w:rFonts w:ascii="Arial" w:eastAsia="Times New Roman" w:hAnsi="Arial" w:cs="Arial"/>
                <w:color w:val="000000" w:themeColor="text1"/>
              </w:rPr>
              <w:t>&lt;------------ Severe -----------&gt;</w:t>
            </w:r>
          </w:p>
        </w:tc>
      </w:tr>
      <w:tr w:rsidR="00585CEC" w:rsidRPr="00A73C9E" w14:paraId="2ADB7774" w14:textId="77777777" w:rsidTr="00A73C9E">
        <w:trPr>
          <w:trHeight w:val="263"/>
        </w:trPr>
        <w:tc>
          <w:tcPr>
            <w:tcW w:w="2967" w:type="dxa"/>
            <w:gridSpan w:val="3"/>
            <w:hideMark/>
          </w:tcPr>
          <w:p w14:paraId="38D525E3" w14:textId="34A02D1F" w:rsidR="00585CEC" w:rsidRPr="00A73C9E" w:rsidRDefault="001B3C9D" w:rsidP="00A73C9E">
            <w:pPr>
              <w:spacing w:line="276" w:lineRule="auto"/>
              <w:rPr>
                <w:rFonts w:ascii="Arial" w:eastAsia="Times New Roman" w:hAnsi="Arial" w:cs="Arial"/>
                <w:color w:val="000000" w:themeColor="text1"/>
              </w:rPr>
            </w:pPr>
            <w:r w:rsidRPr="00A73C9E">
              <w:rPr>
                <w:rFonts w:ascii="Arial" w:eastAsia="Times New Roman" w:hAnsi="Arial" w:cs="Arial"/>
                <w:color w:val="000000" w:themeColor="text1"/>
              </w:rPr>
              <w:t xml:space="preserve">Primary Health </w:t>
            </w:r>
            <w:r w:rsidR="00585CEC" w:rsidRPr="00A73C9E">
              <w:rPr>
                <w:rFonts w:ascii="Arial" w:eastAsia="Times New Roman" w:hAnsi="Arial" w:cs="Arial"/>
                <w:color w:val="000000" w:themeColor="text1"/>
              </w:rPr>
              <w:t>Risk</w:t>
            </w:r>
          </w:p>
        </w:tc>
        <w:tc>
          <w:tcPr>
            <w:tcW w:w="3598" w:type="dxa"/>
            <w:hideMark/>
          </w:tcPr>
          <w:p w14:paraId="641B415E" w14:textId="7FEFD0D4" w:rsidR="00585CEC" w:rsidRPr="00A73C9E" w:rsidRDefault="00585CEC" w:rsidP="00A73C9E">
            <w:pPr>
              <w:spacing w:line="276" w:lineRule="auto"/>
              <w:rPr>
                <w:rFonts w:ascii="Arial" w:eastAsia="Times New Roman" w:hAnsi="Arial" w:cs="Arial"/>
                <w:color w:val="000000" w:themeColor="text1"/>
              </w:rPr>
            </w:pPr>
            <w:r w:rsidRPr="00A73C9E">
              <w:rPr>
                <w:rFonts w:ascii="Arial" w:eastAsia="Times New Roman" w:hAnsi="Arial" w:cs="Arial"/>
                <w:color w:val="000000" w:themeColor="text1"/>
              </w:rPr>
              <w:t xml:space="preserve">Increase in </w:t>
            </w:r>
            <w:r w:rsidR="001B3C9D" w:rsidRPr="00A73C9E">
              <w:rPr>
                <w:rFonts w:ascii="Arial" w:eastAsia="Times New Roman" w:hAnsi="Arial" w:cs="Arial"/>
                <w:color w:val="000000" w:themeColor="text1"/>
              </w:rPr>
              <w:t xml:space="preserve">premature </w:t>
            </w:r>
            <w:r w:rsidRPr="00A73C9E">
              <w:rPr>
                <w:rFonts w:ascii="Arial" w:eastAsia="Times New Roman" w:hAnsi="Arial" w:cs="Arial"/>
                <w:color w:val="000000" w:themeColor="text1"/>
              </w:rPr>
              <w:t>CVD</w:t>
            </w:r>
          </w:p>
        </w:tc>
        <w:tc>
          <w:tcPr>
            <w:tcW w:w="3600" w:type="dxa"/>
            <w:hideMark/>
          </w:tcPr>
          <w:p w14:paraId="04A78D11" w14:textId="77777777" w:rsidR="00585CEC" w:rsidRPr="00A73C9E" w:rsidRDefault="00585CEC" w:rsidP="00A73C9E">
            <w:pPr>
              <w:spacing w:line="276" w:lineRule="auto"/>
              <w:rPr>
                <w:rFonts w:ascii="Arial" w:eastAsia="Times New Roman" w:hAnsi="Arial" w:cs="Arial"/>
                <w:color w:val="000000" w:themeColor="text1"/>
              </w:rPr>
            </w:pPr>
            <w:r w:rsidRPr="00A73C9E">
              <w:rPr>
                <w:rFonts w:ascii="Arial" w:eastAsia="Times New Roman" w:hAnsi="Arial" w:cs="Arial"/>
                <w:color w:val="000000" w:themeColor="text1"/>
              </w:rPr>
              <w:t>Chylomicronemia, Pancreatitis, CVD Risk Less Likely</w:t>
            </w:r>
          </w:p>
        </w:tc>
      </w:tr>
      <w:tr w:rsidR="00585CEC" w:rsidRPr="00A73C9E" w14:paraId="19431D1C" w14:textId="77777777" w:rsidTr="00A73C9E">
        <w:trPr>
          <w:trHeight w:val="476"/>
        </w:trPr>
        <w:tc>
          <w:tcPr>
            <w:tcW w:w="10165" w:type="dxa"/>
            <w:gridSpan w:val="5"/>
          </w:tcPr>
          <w:p w14:paraId="40827269" w14:textId="77777777" w:rsidR="00585CEC" w:rsidRPr="00A73C9E" w:rsidRDefault="00585CEC" w:rsidP="00A73C9E">
            <w:pPr>
              <w:spacing w:line="276" w:lineRule="auto"/>
              <w:rPr>
                <w:rFonts w:ascii="Arial" w:eastAsia="Times New Roman" w:hAnsi="Arial" w:cs="Arial"/>
                <w:color w:val="000000" w:themeColor="text1"/>
              </w:rPr>
            </w:pPr>
            <w:r w:rsidRPr="00A73C9E">
              <w:rPr>
                <w:rFonts w:ascii="Arial" w:eastAsia="Times New Roman" w:hAnsi="Arial" w:cs="Arial"/>
                <w:color w:val="000000" w:themeColor="text1"/>
              </w:rPr>
              <w:t>*LPL, APOA5, GCKR, APOB, LMF1, GPIHBP1, CREBH1, APOC2, APOE</w:t>
            </w:r>
          </w:p>
          <w:p w14:paraId="115F8A23" w14:textId="64DB68CB" w:rsidR="00585CEC" w:rsidRPr="00A73C9E" w:rsidRDefault="00585CEC" w:rsidP="00A73C9E">
            <w:pPr>
              <w:spacing w:line="276" w:lineRule="auto"/>
              <w:rPr>
                <w:rFonts w:ascii="Arial" w:eastAsia="Times New Roman" w:hAnsi="Arial" w:cs="Arial"/>
                <w:color w:val="000000" w:themeColor="text1"/>
              </w:rPr>
            </w:pPr>
            <w:r w:rsidRPr="00A73C9E">
              <w:rPr>
                <w:rFonts w:ascii="Arial" w:eastAsia="Times New Roman" w:hAnsi="Arial" w:cs="Arial"/>
                <w:color w:val="000000" w:themeColor="text1"/>
              </w:rPr>
              <w:t>**LPL, APOC2, APOA5, LMF1, GPIHBP1 AND GPD1</w:t>
            </w:r>
          </w:p>
        </w:tc>
      </w:tr>
    </w:tbl>
    <w:p w14:paraId="749227C3" w14:textId="49598B8C" w:rsidR="00A32584" w:rsidRPr="00A73C9E" w:rsidRDefault="00A32584" w:rsidP="00A73C9E">
      <w:pPr>
        <w:spacing w:after="0" w:line="276" w:lineRule="auto"/>
        <w:rPr>
          <w:rFonts w:ascii="Arial" w:eastAsia="Calibri" w:hAnsi="Arial" w:cs="Arial"/>
          <w:b/>
        </w:rPr>
      </w:pPr>
    </w:p>
    <w:p w14:paraId="2EFEF8D1" w14:textId="757FBD0C" w:rsidR="00E432C4" w:rsidRPr="00433F39" w:rsidRDefault="000F75C7" w:rsidP="00A73C9E">
      <w:pPr>
        <w:spacing w:after="0" w:line="276" w:lineRule="auto"/>
        <w:rPr>
          <w:rFonts w:ascii="Arial" w:eastAsia="Calibri" w:hAnsi="Arial" w:cs="Arial"/>
          <w:b/>
          <w:color w:val="0070C0"/>
        </w:rPr>
      </w:pPr>
      <w:r w:rsidRPr="00433F39">
        <w:rPr>
          <w:rFonts w:ascii="Arial" w:eastAsia="Calibri" w:hAnsi="Arial" w:cs="Arial"/>
          <w:b/>
          <w:color w:val="0070C0"/>
        </w:rPr>
        <w:t>P</w:t>
      </w:r>
      <w:r w:rsidR="00417E4C" w:rsidRPr="00433F39">
        <w:rPr>
          <w:rFonts w:ascii="Arial" w:eastAsia="Calibri" w:hAnsi="Arial" w:cs="Arial"/>
          <w:b/>
          <w:color w:val="0070C0"/>
        </w:rPr>
        <w:t>ANCREATITIS</w:t>
      </w:r>
    </w:p>
    <w:p w14:paraId="6FCB74CC" w14:textId="77777777" w:rsidR="00417E4C" w:rsidRPr="00A73C9E" w:rsidRDefault="00417E4C" w:rsidP="00A73C9E">
      <w:pPr>
        <w:spacing w:after="0" w:line="276" w:lineRule="auto"/>
        <w:rPr>
          <w:rFonts w:ascii="Arial" w:eastAsia="Calibri" w:hAnsi="Arial" w:cs="Arial"/>
        </w:rPr>
      </w:pPr>
    </w:p>
    <w:p w14:paraId="38BD10F4" w14:textId="7A8E59AB" w:rsidR="00A178F5" w:rsidRPr="00A73C9E" w:rsidRDefault="00495F86" w:rsidP="00A73C9E">
      <w:pPr>
        <w:spacing w:after="0" w:line="276" w:lineRule="auto"/>
        <w:rPr>
          <w:rFonts w:ascii="Arial" w:eastAsia="Calibri" w:hAnsi="Arial" w:cs="Arial"/>
        </w:rPr>
      </w:pPr>
      <w:r w:rsidRPr="00A73C9E">
        <w:rPr>
          <w:rFonts w:ascii="Arial" w:eastAsia="Calibri" w:hAnsi="Arial" w:cs="Arial"/>
        </w:rPr>
        <w:t xml:space="preserve">One of the main concerns in individuals with </w:t>
      </w:r>
      <w:r w:rsidR="00B60353" w:rsidRPr="00A73C9E">
        <w:rPr>
          <w:rFonts w:ascii="Arial" w:eastAsia="Calibri" w:hAnsi="Arial" w:cs="Arial"/>
        </w:rPr>
        <w:t>S</w:t>
      </w:r>
      <w:r w:rsidRPr="00A73C9E">
        <w:rPr>
          <w:rFonts w:ascii="Arial" w:eastAsia="Calibri" w:hAnsi="Arial" w:cs="Arial"/>
        </w:rPr>
        <w:t xml:space="preserve">HTG is </w:t>
      </w:r>
      <w:r w:rsidR="00722340" w:rsidRPr="00A73C9E">
        <w:rPr>
          <w:rFonts w:ascii="Arial" w:eastAsia="Calibri" w:hAnsi="Arial" w:cs="Arial"/>
        </w:rPr>
        <w:t xml:space="preserve">the </w:t>
      </w:r>
      <w:r w:rsidR="00B60353" w:rsidRPr="00A73C9E">
        <w:rPr>
          <w:rFonts w:ascii="Arial" w:eastAsia="Calibri" w:hAnsi="Arial" w:cs="Arial"/>
        </w:rPr>
        <w:t xml:space="preserve">development of </w:t>
      </w:r>
      <w:r w:rsidRPr="00A73C9E">
        <w:rPr>
          <w:rFonts w:ascii="Arial" w:eastAsia="Calibri" w:hAnsi="Arial" w:cs="Arial"/>
        </w:rPr>
        <w:t>a</w:t>
      </w:r>
      <w:r w:rsidR="0084213A" w:rsidRPr="00A73C9E">
        <w:rPr>
          <w:rFonts w:ascii="Arial" w:eastAsia="Calibri" w:hAnsi="Arial" w:cs="Arial"/>
        </w:rPr>
        <w:t xml:space="preserve">cute pancreatitis </w:t>
      </w:r>
      <w:r w:rsidR="00C853FB" w:rsidRPr="00A73C9E">
        <w:rPr>
          <w:rFonts w:ascii="Arial" w:eastAsia="Calibri" w:hAnsi="Arial" w:cs="Arial"/>
        </w:rPr>
        <w:t>(AP)</w:t>
      </w:r>
      <w:r w:rsidR="00B60353" w:rsidRPr="00A73C9E">
        <w:rPr>
          <w:rFonts w:ascii="Arial" w:eastAsia="Calibri" w:hAnsi="Arial" w:cs="Arial"/>
        </w:rPr>
        <w:t xml:space="preserve">.  When present AP is </w:t>
      </w:r>
      <w:r w:rsidRPr="00A73C9E">
        <w:rPr>
          <w:rFonts w:ascii="Arial" w:eastAsia="Calibri" w:hAnsi="Arial" w:cs="Arial"/>
        </w:rPr>
        <w:t xml:space="preserve">associated with </w:t>
      </w:r>
      <w:r w:rsidR="000B2552" w:rsidRPr="00A73C9E">
        <w:rPr>
          <w:rFonts w:ascii="Arial" w:eastAsia="Calibri" w:hAnsi="Arial" w:cs="Arial"/>
        </w:rPr>
        <w:t xml:space="preserve">significant </w:t>
      </w:r>
      <w:r w:rsidR="00931320" w:rsidRPr="00A73C9E">
        <w:rPr>
          <w:rFonts w:ascii="Arial" w:eastAsia="Calibri" w:hAnsi="Arial" w:cs="Arial"/>
        </w:rPr>
        <w:t xml:space="preserve">morbidity </w:t>
      </w:r>
      <w:r w:rsidR="002E5EC0" w:rsidRPr="00A73C9E">
        <w:rPr>
          <w:rFonts w:ascii="Arial" w:eastAsia="Calibri" w:hAnsi="Arial" w:cs="Arial"/>
        </w:rPr>
        <w:t>which</w:t>
      </w:r>
      <w:r w:rsidR="000B2552" w:rsidRPr="00A73C9E">
        <w:rPr>
          <w:rFonts w:ascii="Arial" w:eastAsia="Calibri" w:hAnsi="Arial" w:cs="Arial"/>
        </w:rPr>
        <w:t xml:space="preserve"> can be life-threatening</w:t>
      </w:r>
      <w:r w:rsidR="0084213A" w:rsidRPr="00A73C9E">
        <w:rPr>
          <w:rFonts w:ascii="Arial" w:eastAsia="Calibri" w:hAnsi="Arial" w:cs="Arial"/>
        </w:rPr>
        <w:t xml:space="preserve">.  </w:t>
      </w:r>
      <w:r w:rsidR="002E5EC0" w:rsidRPr="00A73C9E">
        <w:rPr>
          <w:rFonts w:ascii="Arial" w:hAnsi="Arial" w:cs="Arial"/>
        </w:rPr>
        <w:t xml:space="preserve">Although </w:t>
      </w:r>
      <w:r w:rsidR="00B60353" w:rsidRPr="00A73C9E">
        <w:rPr>
          <w:rFonts w:ascii="Arial" w:hAnsi="Arial" w:cs="Arial"/>
        </w:rPr>
        <w:t>S</w:t>
      </w:r>
      <w:r w:rsidR="002E5EC0" w:rsidRPr="00A73C9E">
        <w:rPr>
          <w:rFonts w:ascii="Arial" w:hAnsi="Arial" w:cs="Arial"/>
        </w:rPr>
        <w:t xml:space="preserve">HTG is a </w:t>
      </w:r>
      <w:r w:rsidR="00482C8B" w:rsidRPr="00A73C9E">
        <w:rPr>
          <w:rFonts w:ascii="Arial" w:hAnsi="Arial" w:cs="Arial"/>
        </w:rPr>
        <w:t>rare cause of AP</w:t>
      </w:r>
      <w:r w:rsidR="002E5EC0" w:rsidRPr="00A73C9E">
        <w:rPr>
          <w:rFonts w:ascii="Arial" w:hAnsi="Arial" w:cs="Arial"/>
        </w:rPr>
        <w:t xml:space="preserve"> in children</w:t>
      </w:r>
      <w:r w:rsidR="00E109C0" w:rsidRPr="00A73C9E">
        <w:rPr>
          <w:rFonts w:ascii="Arial" w:hAnsi="Arial" w:cs="Arial"/>
        </w:rPr>
        <w:t>,</w:t>
      </w:r>
      <w:r w:rsidR="00482C8B" w:rsidRPr="00A73C9E">
        <w:rPr>
          <w:rFonts w:ascii="Arial" w:hAnsi="Arial" w:cs="Arial"/>
        </w:rPr>
        <w:t xml:space="preserve"> </w:t>
      </w:r>
      <w:r w:rsidR="00B60353" w:rsidRPr="00A73C9E">
        <w:rPr>
          <w:rFonts w:ascii="Arial" w:hAnsi="Arial" w:cs="Arial"/>
        </w:rPr>
        <w:t>depending upon etiology</w:t>
      </w:r>
      <w:r w:rsidR="001B3C9D" w:rsidRPr="00A73C9E">
        <w:rPr>
          <w:rFonts w:ascii="Arial" w:hAnsi="Arial" w:cs="Arial"/>
        </w:rPr>
        <w:t xml:space="preserve"> </w:t>
      </w:r>
      <w:r w:rsidR="002E5EC0" w:rsidRPr="00A73C9E">
        <w:rPr>
          <w:rFonts w:ascii="Arial" w:hAnsi="Arial" w:cs="Arial"/>
        </w:rPr>
        <w:t>it</w:t>
      </w:r>
      <w:r w:rsidR="000B2552" w:rsidRPr="00A73C9E">
        <w:rPr>
          <w:rFonts w:ascii="Arial" w:hAnsi="Arial" w:cs="Arial"/>
        </w:rPr>
        <w:t xml:space="preserve"> may be recurrent</w:t>
      </w:r>
      <w:r w:rsidR="000A6483" w:rsidRPr="00A73C9E">
        <w:rPr>
          <w:rFonts w:ascii="Arial" w:hAnsi="Arial" w:cs="Arial"/>
        </w:rPr>
        <w:t xml:space="preserve">.  </w:t>
      </w:r>
      <w:r w:rsidR="00B60353" w:rsidRPr="00A73C9E">
        <w:rPr>
          <w:rFonts w:ascii="Arial" w:hAnsi="Arial" w:cs="Arial"/>
        </w:rPr>
        <w:t xml:space="preserve">TG-associated </w:t>
      </w:r>
      <w:r w:rsidR="002E5EC0" w:rsidRPr="00A73C9E">
        <w:rPr>
          <w:rFonts w:ascii="Arial" w:hAnsi="Arial" w:cs="Arial"/>
        </w:rPr>
        <w:t xml:space="preserve">AP </w:t>
      </w:r>
      <w:r w:rsidR="000A6483" w:rsidRPr="00A73C9E">
        <w:rPr>
          <w:rFonts w:ascii="Arial" w:hAnsi="Arial" w:cs="Arial"/>
        </w:rPr>
        <w:t xml:space="preserve">typically occurs in </w:t>
      </w:r>
      <w:r w:rsidR="002E5EC0" w:rsidRPr="00A73C9E">
        <w:rPr>
          <w:rFonts w:ascii="Arial" w:hAnsi="Arial" w:cs="Arial"/>
        </w:rPr>
        <w:t>individuals</w:t>
      </w:r>
      <w:r w:rsidR="000A6483" w:rsidRPr="00A73C9E">
        <w:rPr>
          <w:rFonts w:ascii="Arial" w:hAnsi="Arial" w:cs="Arial"/>
        </w:rPr>
        <w:t xml:space="preserve"> with a pre-existing lipid abnormality, such as a monogenic disorder of TG metabolism, in those with one or more secondary risk factors (e.g., poorly controlled diabetes, alcohol use, or </w:t>
      </w:r>
      <w:r w:rsidR="00E109C0" w:rsidRPr="00A73C9E">
        <w:rPr>
          <w:rFonts w:ascii="Arial" w:hAnsi="Arial" w:cs="Arial"/>
        </w:rPr>
        <w:t xml:space="preserve">use of </w:t>
      </w:r>
      <w:r w:rsidR="000A6483" w:rsidRPr="00A73C9E">
        <w:rPr>
          <w:rFonts w:ascii="Arial" w:hAnsi="Arial" w:cs="Arial"/>
        </w:rPr>
        <w:t xml:space="preserve">a medication that can provoke </w:t>
      </w:r>
      <w:r w:rsidR="00B60353" w:rsidRPr="00A73C9E">
        <w:rPr>
          <w:rFonts w:ascii="Arial" w:hAnsi="Arial" w:cs="Arial"/>
        </w:rPr>
        <w:t>S</w:t>
      </w:r>
      <w:r w:rsidR="000A6483" w:rsidRPr="00A73C9E">
        <w:rPr>
          <w:rFonts w:ascii="Arial" w:hAnsi="Arial" w:cs="Arial"/>
        </w:rPr>
        <w:t>HTG</w:t>
      </w:r>
      <w:r w:rsidR="00482C8B" w:rsidRPr="00A73C9E">
        <w:rPr>
          <w:rFonts w:ascii="Arial" w:hAnsi="Arial" w:cs="Arial"/>
        </w:rPr>
        <w:t>),</w:t>
      </w:r>
      <w:r w:rsidR="000A6483" w:rsidRPr="00A73C9E">
        <w:rPr>
          <w:rFonts w:ascii="Arial" w:hAnsi="Arial" w:cs="Arial"/>
        </w:rPr>
        <w:t xml:space="preserve"> or a combination of both. </w:t>
      </w:r>
      <w:r w:rsidR="00A178F5" w:rsidRPr="00A73C9E">
        <w:rPr>
          <w:rFonts w:ascii="Arial" w:hAnsi="Arial" w:cs="Arial"/>
        </w:rPr>
        <w:t xml:space="preserve">Compared to other causes, </w:t>
      </w:r>
      <w:r w:rsidR="00B60353" w:rsidRPr="00A73C9E">
        <w:rPr>
          <w:rFonts w:ascii="Arial" w:hAnsi="Arial" w:cs="Arial"/>
        </w:rPr>
        <w:t>S</w:t>
      </w:r>
      <w:r w:rsidR="00A178F5" w:rsidRPr="00A73C9E">
        <w:rPr>
          <w:rFonts w:ascii="Arial" w:hAnsi="Arial" w:cs="Arial"/>
        </w:rPr>
        <w:t>HTG</w:t>
      </w:r>
      <w:r w:rsidR="00B60353" w:rsidRPr="00A73C9E">
        <w:rPr>
          <w:rFonts w:ascii="Arial" w:hAnsi="Arial" w:cs="Arial"/>
        </w:rPr>
        <w:t xml:space="preserve">-related </w:t>
      </w:r>
      <w:r w:rsidR="00A178F5" w:rsidRPr="00A73C9E">
        <w:rPr>
          <w:rFonts w:ascii="Arial" w:hAnsi="Arial" w:cs="Arial"/>
        </w:rPr>
        <w:t>AP may contribute to increased severity and mortality, higher frequencies of co</w:t>
      </w:r>
      <w:r w:rsidR="00B60353" w:rsidRPr="00A73C9E">
        <w:rPr>
          <w:rFonts w:ascii="Arial" w:hAnsi="Arial" w:cs="Arial"/>
        </w:rPr>
        <w:t>-</w:t>
      </w:r>
      <w:r w:rsidR="00A178F5" w:rsidRPr="00A73C9E">
        <w:rPr>
          <w:rFonts w:ascii="Arial" w:hAnsi="Arial" w:cs="Arial"/>
        </w:rPr>
        <w:t>morbidities and systemic complications, longer length of hospitalization</w:t>
      </w:r>
      <w:r w:rsidR="006675C8" w:rsidRPr="00A73C9E">
        <w:rPr>
          <w:rFonts w:ascii="Arial" w:hAnsi="Arial" w:cs="Arial"/>
        </w:rPr>
        <w:t xml:space="preserve"> </w:t>
      </w:r>
      <w:r w:rsidR="00A178F5" w:rsidRPr="00A73C9E">
        <w:rPr>
          <w:rFonts w:ascii="Arial" w:hAnsi="Arial" w:cs="Arial"/>
        </w:rPr>
        <w:t>and more frequent recurrence</w:t>
      </w:r>
      <w:r w:rsidR="00BA2393" w:rsidRPr="00A73C9E">
        <w:rPr>
          <w:rFonts w:ascii="Arial" w:hAnsi="Arial" w:cs="Arial"/>
        </w:rPr>
        <w:t xml:space="preserve"> </w:t>
      </w:r>
      <w:r w:rsidR="00C1789F" w:rsidRPr="00A73C9E">
        <w:rPr>
          <w:rFonts w:ascii="Arial" w:hAnsi="Arial" w:cs="Arial"/>
        </w:rPr>
        <w:t>(</w:t>
      </w:r>
      <w:r w:rsidR="00BA2393" w:rsidRPr="00A73C9E">
        <w:rPr>
          <w:rFonts w:ascii="Arial" w:hAnsi="Arial" w:cs="Arial"/>
        </w:rPr>
        <w:t>1</w:t>
      </w:r>
      <w:r w:rsidR="00C1789F" w:rsidRPr="00A73C9E">
        <w:rPr>
          <w:rFonts w:ascii="Arial" w:hAnsi="Arial" w:cs="Arial"/>
        </w:rPr>
        <w:t>)</w:t>
      </w:r>
      <w:r w:rsidR="00417E4C" w:rsidRPr="00A73C9E">
        <w:rPr>
          <w:rFonts w:ascii="Arial" w:hAnsi="Arial" w:cs="Arial"/>
        </w:rPr>
        <w:t>.</w:t>
      </w:r>
      <w:r w:rsidR="004E1AE1" w:rsidRPr="00A73C9E">
        <w:rPr>
          <w:rFonts w:ascii="Arial" w:hAnsi="Arial" w:cs="Arial"/>
        </w:rPr>
        <w:t xml:space="preserve"> </w:t>
      </w:r>
      <w:r w:rsidR="009F01E5" w:rsidRPr="00A73C9E">
        <w:rPr>
          <w:rFonts w:ascii="Arial" w:hAnsi="Arial" w:cs="Arial"/>
        </w:rPr>
        <w:t>In general</w:t>
      </w:r>
      <w:r w:rsidR="00E109C0" w:rsidRPr="00A73C9E">
        <w:rPr>
          <w:rFonts w:ascii="Arial" w:hAnsi="Arial" w:cs="Arial"/>
        </w:rPr>
        <w:t>,</w:t>
      </w:r>
      <w:r w:rsidR="009F01E5" w:rsidRPr="00A73C9E">
        <w:rPr>
          <w:rFonts w:ascii="Arial" w:hAnsi="Arial" w:cs="Arial"/>
        </w:rPr>
        <w:t xml:space="preserve"> it is believed that a TG level of 1,000 mg/d</w:t>
      </w:r>
      <w:r w:rsidR="001B3C9D" w:rsidRPr="00A73C9E">
        <w:rPr>
          <w:rFonts w:ascii="Arial" w:hAnsi="Arial" w:cs="Arial"/>
        </w:rPr>
        <w:t>L</w:t>
      </w:r>
      <w:r w:rsidR="009F01E5" w:rsidRPr="00A73C9E">
        <w:rPr>
          <w:rFonts w:ascii="Arial" w:hAnsi="Arial" w:cs="Arial"/>
        </w:rPr>
        <w:t xml:space="preserve"> or more is needed to precipitate an episode of AP. </w:t>
      </w:r>
    </w:p>
    <w:p w14:paraId="36801BFE" w14:textId="77777777" w:rsidR="00D31B02" w:rsidRPr="00A73C9E" w:rsidRDefault="00D31B02" w:rsidP="00A73C9E">
      <w:pPr>
        <w:spacing w:after="0" w:line="276" w:lineRule="auto"/>
        <w:rPr>
          <w:rFonts w:ascii="Arial" w:eastAsia="Calibri" w:hAnsi="Arial" w:cs="Arial"/>
        </w:rPr>
      </w:pPr>
    </w:p>
    <w:p w14:paraId="386E7F59" w14:textId="54351D7E" w:rsidR="0084213A" w:rsidRPr="00A73C9E" w:rsidRDefault="008E5084" w:rsidP="00A73C9E">
      <w:pPr>
        <w:spacing w:after="0" w:line="276" w:lineRule="auto"/>
        <w:rPr>
          <w:rFonts w:ascii="Arial" w:eastAsia="Calibri" w:hAnsi="Arial" w:cs="Arial"/>
        </w:rPr>
      </w:pPr>
      <w:r w:rsidRPr="00A73C9E">
        <w:rPr>
          <w:rFonts w:ascii="Arial" w:eastAsia="Calibri" w:hAnsi="Arial" w:cs="Arial"/>
        </w:rPr>
        <w:t xml:space="preserve">AP in children has </w:t>
      </w:r>
      <w:r w:rsidR="000B2552" w:rsidRPr="00A73C9E">
        <w:rPr>
          <w:rFonts w:ascii="Arial" w:eastAsia="Calibri" w:hAnsi="Arial" w:cs="Arial"/>
        </w:rPr>
        <w:t xml:space="preserve">been </w:t>
      </w:r>
      <w:r w:rsidRPr="00A73C9E">
        <w:rPr>
          <w:rFonts w:ascii="Arial" w:eastAsia="Calibri" w:hAnsi="Arial" w:cs="Arial"/>
        </w:rPr>
        <w:t>defined as the presence of at least 2 of the following 3 criteria (</w:t>
      </w:r>
      <w:r w:rsidR="00D91F6F" w:rsidRPr="00A73C9E">
        <w:rPr>
          <w:rFonts w:ascii="Arial" w:eastAsia="Calibri" w:hAnsi="Arial" w:cs="Arial"/>
        </w:rPr>
        <w:t>2)</w:t>
      </w:r>
      <w:r w:rsidRPr="00A73C9E">
        <w:rPr>
          <w:rFonts w:ascii="Arial" w:eastAsia="Calibri" w:hAnsi="Arial" w:cs="Arial"/>
        </w:rPr>
        <w:t xml:space="preserve">: 1) abdominal pain compatible with pancreatic origin; 2) </w:t>
      </w:r>
      <w:r w:rsidR="001B3C9D" w:rsidRPr="00A73C9E">
        <w:rPr>
          <w:rFonts w:ascii="Arial" w:eastAsia="Calibri" w:hAnsi="Arial" w:cs="Arial"/>
        </w:rPr>
        <w:t>a</w:t>
      </w:r>
      <w:r w:rsidR="007A3EC7" w:rsidRPr="00A73C9E">
        <w:rPr>
          <w:rFonts w:ascii="Arial" w:eastAsia="Calibri" w:hAnsi="Arial" w:cs="Arial"/>
        </w:rPr>
        <w:t>n</w:t>
      </w:r>
      <w:r w:rsidR="001B3C9D" w:rsidRPr="00A73C9E">
        <w:rPr>
          <w:rFonts w:ascii="Arial" w:eastAsia="Calibri" w:hAnsi="Arial" w:cs="Arial"/>
        </w:rPr>
        <w:t xml:space="preserve"> </w:t>
      </w:r>
      <w:r w:rsidRPr="00A73C9E">
        <w:rPr>
          <w:rFonts w:ascii="Arial" w:eastAsia="Calibri" w:hAnsi="Arial" w:cs="Arial"/>
        </w:rPr>
        <w:t xml:space="preserve">amylase and/or lipase </w:t>
      </w:r>
      <w:r w:rsidR="001B3C9D" w:rsidRPr="00A73C9E">
        <w:rPr>
          <w:rFonts w:ascii="Arial" w:eastAsia="Calibri" w:hAnsi="Arial" w:cs="Arial"/>
        </w:rPr>
        <w:t xml:space="preserve">level </w:t>
      </w:r>
      <w:r w:rsidRPr="00A73C9E">
        <w:rPr>
          <w:rFonts w:ascii="Arial" w:eastAsia="Calibri" w:hAnsi="Arial" w:cs="Arial"/>
        </w:rPr>
        <w:t xml:space="preserve">at least 3 times </w:t>
      </w:r>
      <w:r w:rsidR="001B3C9D" w:rsidRPr="00A73C9E">
        <w:rPr>
          <w:rFonts w:ascii="Arial" w:eastAsia="Calibri" w:hAnsi="Arial" w:cs="Arial"/>
        </w:rPr>
        <w:t xml:space="preserve">the </w:t>
      </w:r>
      <w:r w:rsidRPr="00A73C9E">
        <w:rPr>
          <w:rFonts w:ascii="Arial" w:eastAsia="Calibri" w:hAnsi="Arial" w:cs="Arial"/>
        </w:rPr>
        <w:t>upper limits of normal</w:t>
      </w:r>
      <w:r w:rsidR="007A3EC7" w:rsidRPr="00A73C9E">
        <w:rPr>
          <w:rFonts w:ascii="Arial" w:eastAsia="Calibri" w:hAnsi="Arial" w:cs="Arial"/>
        </w:rPr>
        <w:t xml:space="preserve"> (ULN)</w:t>
      </w:r>
      <w:r w:rsidRPr="00A73C9E">
        <w:rPr>
          <w:rFonts w:ascii="Arial" w:eastAsia="Calibri" w:hAnsi="Arial" w:cs="Arial"/>
        </w:rPr>
        <w:t>; and 3) imaging suggestive</w:t>
      </w:r>
      <w:r w:rsidR="00E109C0" w:rsidRPr="00A73C9E">
        <w:rPr>
          <w:rFonts w:ascii="Arial" w:eastAsia="Calibri" w:hAnsi="Arial" w:cs="Arial"/>
        </w:rPr>
        <w:t xml:space="preserve"> of</w:t>
      </w:r>
      <w:r w:rsidR="00482C8B" w:rsidRPr="00A73C9E">
        <w:rPr>
          <w:rFonts w:ascii="Arial" w:eastAsia="Calibri" w:hAnsi="Arial" w:cs="Arial"/>
        </w:rPr>
        <w:t xml:space="preserve"> or </w:t>
      </w:r>
      <w:r w:rsidRPr="00A73C9E">
        <w:rPr>
          <w:rFonts w:ascii="Arial" w:eastAsia="Calibri" w:hAnsi="Arial" w:cs="Arial"/>
        </w:rPr>
        <w:t xml:space="preserve">compatible with pancreatic inflammation. Not all children with AP have abnormal levels of serum amylase and/or lipase.  </w:t>
      </w:r>
      <w:r w:rsidR="00B325E2" w:rsidRPr="00A73C9E">
        <w:rPr>
          <w:rFonts w:ascii="Arial" w:eastAsia="Calibri" w:hAnsi="Arial" w:cs="Arial"/>
        </w:rPr>
        <w:t>Furthermore</w:t>
      </w:r>
      <w:r w:rsidR="00E109C0" w:rsidRPr="00A73C9E">
        <w:rPr>
          <w:rFonts w:ascii="Arial" w:eastAsia="Calibri" w:hAnsi="Arial" w:cs="Arial"/>
        </w:rPr>
        <w:t>,</w:t>
      </w:r>
      <w:r w:rsidR="00B325E2" w:rsidRPr="00A73C9E">
        <w:rPr>
          <w:rFonts w:ascii="Arial" w:eastAsia="Calibri" w:hAnsi="Arial" w:cs="Arial"/>
        </w:rPr>
        <w:t xml:space="preserve"> interference with assays </w:t>
      </w:r>
      <w:r w:rsidR="007A3EC7" w:rsidRPr="00A73C9E">
        <w:rPr>
          <w:rFonts w:ascii="Arial" w:eastAsia="Calibri" w:hAnsi="Arial" w:cs="Arial"/>
        </w:rPr>
        <w:t xml:space="preserve">that use colorimetric methods </w:t>
      </w:r>
      <w:r w:rsidR="00B325E2" w:rsidRPr="00A73C9E">
        <w:rPr>
          <w:rFonts w:ascii="Arial" w:eastAsia="Calibri" w:hAnsi="Arial" w:cs="Arial"/>
        </w:rPr>
        <w:t xml:space="preserve">may cause falsely </w:t>
      </w:r>
      <w:r w:rsidR="002E5EC0" w:rsidRPr="00A73C9E">
        <w:rPr>
          <w:rFonts w:ascii="Arial" w:eastAsia="Calibri" w:hAnsi="Arial" w:cs="Arial"/>
        </w:rPr>
        <w:t xml:space="preserve">normal results when TG levels </w:t>
      </w:r>
      <w:r w:rsidR="00417E4C" w:rsidRPr="00A73C9E">
        <w:rPr>
          <w:rFonts w:ascii="Arial" w:eastAsia="Calibri" w:hAnsi="Arial" w:cs="Arial"/>
        </w:rPr>
        <w:t xml:space="preserve">are greater than </w:t>
      </w:r>
      <w:r w:rsidR="00B325E2" w:rsidRPr="00A73C9E">
        <w:rPr>
          <w:rFonts w:ascii="Arial" w:eastAsia="Calibri" w:hAnsi="Arial" w:cs="Arial"/>
        </w:rPr>
        <w:t>500 mg/dL</w:t>
      </w:r>
      <w:r w:rsidR="00251721" w:rsidRPr="00A73C9E">
        <w:rPr>
          <w:rFonts w:ascii="Arial" w:eastAsia="Calibri" w:hAnsi="Arial" w:cs="Arial"/>
        </w:rPr>
        <w:t xml:space="preserve">. </w:t>
      </w:r>
      <w:r w:rsidR="007A3EC7" w:rsidRPr="00A73C9E">
        <w:rPr>
          <w:rFonts w:ascii="Arial" w:eastAsia="Calibri" w:hAnsi="Arial" w:cs="Arial"/>
        </w:rPr>
        <w:t>In these circumstances, a</w:t>
      </w:r>
      <w:r w:rsidR="00251721" w:rsidRPr="00A73C9E">
        <w:rPr>
          <w:rFonts w:ascii="Arial" w:eastAsia="Calibri" w:hAnsi="Arial" w:cs="Arial"/>
        </w:rPr>
        <w:t xml:space="preserve">n estimate of the </w:t>
      </w:r>
      <w:r w:rsidR="001706CE" w:rsidRPr="00A73C9E">
        <w:rPr>
          <w:rFonts w:ascii="Arial" w:eastAsia="Calibri" w:hAnsi="Arial" w:cs="Arial"/>
        </w:rPr>
        <w:t>amylase/lipase</w:t>
      </w:r>
      <w:r w:rsidR="00251721" w:rsidRPr="00A73C9E">
        <w:rPr>
          <w:rFonts w:ascii="Arial" w:eastAsia="Calibri" w:hAnsi="Arial" w:cs="Arial"/>
        </w:rPr>
        <w:t xml:space="preserve"> level</w:t>
      </w:r>
      <w:r w:rsidR="001706CE" w:rsidRPr="00A73C9E">
        <w:rPr>
          <w:rFonts w:ascii="Arial" w:eastAsia="Calibri" w:hAnsi="Arial" w:cs="Arial"/>
        </w:rPr>
        <w:t>s</w:t>
      </w:r>
      <w:r w:rsidR="00251721" w:rsidRPr="00A73C9E">
        <w:rPr>
          <w:rFonts w:ascii="Arial" w:eastAsia="Calibri" w:hAnsi="Arial" w:cs="Arial"/>
        </w:rPr>
        <w:t xml:space="preserve"> </w:t>
      </w:r>
      <w:r w:rsidR="007A3EC7" w:rsidRPr="00A73C9E">
        <w:rPr>
          <w:rFonts w:ascii="Arial" w:eastAsia="Calibri" w:hAnsi="Arial" w:cs="Arial"/>
        </w:rPr>
        <w:t>can</w:t>
      </w:r>
      <w:r w:rsidR="00251721" w:rsidRPr="00A73C9E">
        <w:rPr>
          <w:rFonts w:ascii="Arial" w:eastAsia="Calibri" w:hAnsi="Arial" w:cs="Arial"/>
        </w:rPr>
        <w:t xml:space="preserve"> be obtained </w:t>
      </w:r>
      <w:r w:rsidR="007A3EC7" w:rsidRPr="00A73C9E">
        <w:rPr>
          <w:rFonts w:ascii="Arial" w:eastAsia="Calibri" w:hAnsi="Arial" w:cs="Arial"/>
        </w:rPr>
        <w:t xml:space="preserve">following </w:t>
      </w:r>
      <w:r w:rsidR="00B325E2" w:rsidRPr="00A73C9E">
        <w:rPr>
          <w:rFonts w:ascii="Arial" w:eastAsia="Calibri" w:hAnsi="Arial" w:cs="Arial"/>
        </w:rPr>
        <w:t>s</w:t>
      </w:r>
      <w:r w:rsidR="00F0466F" w:rsidRPr="00A73C9E">
        <w:rPr>
          <w:rFonts w:ascii="Arial" w:eastAsia="Calibri" w:hAnsi="Arial" w:cs="Arial"/>
        </w:rPr>
        <w:t xml:space="preserve">erial dilutions of the serum. </w:t>
      </w:r>
      <w:r w:rsidR="00B325E2" w:rsidRPr="00A73C9E">
        <w:rPr>
          <w:rFonts w:ascii="Arial" w:eastAsia="Calibri" w:hAnsi="Arial" w:cs="Arial"/>
        </w:rPr>
        <w:t>Compared to amylase, serum lipase appears to have higher specificity and sensitivity for AP</w:t>
      </w:r>
      <w:r w:rsidR="00C935AC" w:rsidRPr="00A73C9E">
        <w:rPr>
          <w:rFonts w:ascii="Arial" w:eastAsia="Calibri" w:hAnsi="Arial" w:cs="Arial"/>
        </w:rPr>
        <w:t>.</w:t>
      </w:r>
      <w:r w:rsidR="00434FD1" w:rsidRPr="00A73C9E">
        <w:rPr>
          <w:rFonts w:ascii="Arial" w:eastAsia="Calibri" w:hAnsi="Arial" w:cs="Arial"/>
        </w:rPr>
        <w:t xml:space="preserve"> </w:t>
      </w:r>
      <w:r w:rsidRPr="00A73C9E">
        <w:rPr>
          <w:rFonts w:ascii="Arial" w:eastAsia="Calibri" w:hAnsi="Arial" w:cs="Arial"/>
        </w:rPr>
        <w:t xml:space="preserve">To assist in clinical-decision making, Abu-El-Haija published guidelines </w:t>
      </w:r>
      <w:r w:rsidR="00C34EC6" w:rsidRPr="00A73C9E">
        <w:rPr>
          <w:rFonts w:ascii="Arial" w:eastAsia="Calibri" w:hAnsi="Arial" w:cs="Arial"/>
        </w:rPr>
        <w:t>(</w:t>
      </w:r>
      <w:r w:rsidR="002D2A97" w:rsidRPr="00A73C9E">
        <w:rPr>
          <w:rFonts w:ascii="Arial" w:eastAsia="Calibri" w:hAnsi="Arial" w:cs="Arial"/>
        </w:rPr>
        <w:t>3</w:t>
      </w:r>
      <w:r w:rsidR="00C34EC6" w:rsidRPr="00A73C9E">
        <w:rPr>
          <w:rFonts w:ascii="Arial" w:eastAsia="Calibri" w:hAnsi="Arial" w:cs="Arial"/>
        </w:rPr>
        <w:t xml:space="preserve">) </w:t>
      </w:r>
      <w:r w:rsidRPr="00A73C9E">
        <w:rPr>
          <w:rFonts w:ascii="Arial" w:eastAsia="Calibri" w:hAnsi="Arial" w:cs="Arial"/>
        </w:rPr>
        <w:t>to help categorize the severity of children</w:t>
      </w:r>
      <w:r w:rsidR="00B60353" w:rsidRPr="00A73C9E">
        <w:rPr>
          <w:rFonts w:ascii="Arial" w:eastAsia="Calibri" w:hAnsi="Arial" w:cs="Arial"/>
        </w:rPr>
        <w:t xml:space="preserve"> with AP</w:t>
      </w:r>
      <w:r w:rsidRPr="00A73C9E">
        <w:rPr>
          <w:rFonts w:ascii="Arial" w:eastAsia="Calibri" w:hAnsi="Arial" w:cs="Arial"/>
        </w:rPr>
        <w:t xml:space="preserve"> (</w:t>
      </w:r>
      <w:r w:rsidR="004B3EAC" w:rsidRPr="00A73C9E">
        <w:rPr>
          <w:rFonts w:ascii="Arial" w:eastAsia="Calibri" w:hAnsi="Arial" w:cs="Arial"/>
        </w:rPr>
        <w:t>Figure</w:t>
      </w:r>
      <w:r w:rsidR="0094205E">
        <w:rPr>
          <w:rFonts w:ascii="Arial" w:eastAsia="Calibri" w:hAnsi="Arial" w:cs="Arial"/>
        </w:rPr>
        <w:t xml:space="preserve"> 1</w:t>
      </w:r>
      <w:r w:rsidRPr="00A73C9E">
        <w:rPr>
          <w:rFonts w:ascii="Arial" w:eastAsia="Calibri" w:hAnsi="Arial" w:cs="Arial"/>
        </w:rPr>
        <w:t xml:space="preserve">). </w:t>
      </w:r>
      <w:r w:rsidR="00B60353" w:rsidRPr="00A73C9E">
        <w:rPr>
          <w:rFonts w:ascii="Arial" w:eastAsia="Calibri" w:hAnsi="Arial" w:cs="Arial"/>
        </w:rPr>
        <w:t xml:space="preserve"> C</w:t>
      </w:r>
      <w:r w:rsidR="005B1613" w:rsidRPr="00A73C9E">
        <w:rPr>
          <w:rFonts w:ascii="Arial" w:eastAsia="Calibri" w:hAnsi="Arial" w:cs="Arial"/>
        </w:rPr>
        <w:t xml:space="preserve">ategorization may be </w:t>
      </w:r>
      <w:r w:rsidR="00B60353" w:rsidRPr="00A73C9E">
        <w:rPr>
          <w:rFonts w:ascii="Arial" w:eastAsia="Calibri" w:hAnsi="Arial" w:cs="Arial"/>
        </w:rPr>
        <w:t xml:space="preserve">a </w:t>
      </w:r>
      <w:r w:rsidR="005B1613" w:rsidRPr="00A73C9E">
        <w:rPr>
          <w:rFonts w:ascii="Arial" w:eastAsia="Calibri" w:hAnsi="Arial" w:cs="Arial"/>
        </w:rPr>
        <w:t xml:space="preserve">helpful </w:t>
      </w:r>
      <w:r w:rsidR="00251721" w:rsidRPr="00A73C9E">
        <w:rPr>
          <w:rFonts w:ascii="Arial" w:eastAsia="Calibri" w:hAnsi="Arial" w:cs="Arial"/>
        </w:rPr>
        <w:t xml:space="preserve">clinical tool </w:t>
      </w:r>
      <w:r w:rsidR="005B1613" w:rsidRPr="00A73C9E">
        <w:rPr>
          <w:rFonts w:ascii="Arial" w:eastAsia="Calibri" w:hAnsi="Arial" w:cs="Arial"/>
        </w:rPr>
        <w:t>in determining how aggressive</w:t>
      </w:r>
      <w:r w:rsidR="0094205E">
        <w:rPr>
          <w:rFonts w:ascii="Arial" w:eastAsia="Calibri" w:hAnsi="Arial" w:cs="Arial"/>
        </w:rPr>
        <w:t>ly</w:t>
      </w:r>
      <w:r w:rsidR="005B1613" w:rsidRPr="00A73C9E">
        <w:rPr>
          <w:rFonts w:ascii="Arial" w:eastAsia="Calibri" w:hAnsi="Arial" w:cs="Arial"/>
        </w:rPr>
        <w:t xml:space="preserve"> to treat </w:t>
      </w:r>
      <w:r w:rsidR="00B60353" w:rsidRPr="00A73C9E">
        <w:rPr>
          <w:rFonts w:ascii="Arial" w:eastAsia="Calibri" w:hAnsi="Arial" w:cs="Arial"/>
        </w:rPr>
        <w:t>S</w:t>
      </w:r>
      <w:r w:rsidR="005B1613" w:rsidRPr="00A73C9E">
        <w:rPr>
          <w:rFonts w:ascii="Arial" w:eastAsia="Calibri" w:hAnsi="Arial" w:cs="Arial"/>
        </w:rPr>
        <w:t xml:space="preserve">HTG in this setting. </w:t>
      </w:r>
    </w:p>
    <w:p w14:paraId="6F0B9B48" w14:textId="77777777" w:rsidR="007A3EC7" w:rsidRPr="00A73C9E" w:rsidRDefault="007A3EC7" w:rsidP="00A73C9E">
      <w:pPr>
        <w:spacing w:after="0" w:line="276" w:lineRule="auto"/>
        <w:rPr>
          <w:rFonts w:ascii="Arial" w:eastAsia="Calibri" w:hAnsi="Arial" w:cs="Arial"/>
        </w:rPr>
      </w:pPr>
    </w:p>
    <w:p w14:paraId="322823ED" w14:textId="4C15D49F" w:rsidR="00585CEC" w:rsidRPr="00A73C9E" w:rsidRDefault="007A3EC7" w:rsidP="00A73C9E">
      <w:pPr>
        <w:spacing w:after="0" w:line="276" w:lineRule="auto"/>
        <w:rPr>
          <w:rFonts w:ascii="Arial" w:eastAsia="Calibri" w:hAnsi="Arial" w:cs="Arial"/>
        </w:rPr>
      </w:pPr>
      <w:r w:rsidRPr="00A73C9E">
        <w:rPr>
          <w:rFonts w:ascii="Arial" w:eastAsia="Calibri" w:hAnsi="Arial" w:cs="Arial"/>
          <w:noProof/>
        </w:rPr>
        <w:lastRenderedPageBreak/>
        <w:drawing>
          <wp:inline distT="0" distB="0" distL="0" distR="0" wp14:anchorId="79A1B2E4" wp14:editId="252225FC">
            <wp:extent cx="5711352" cy="33133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13325"/>
                    <a:stretch/>
                  </pic:blipFill>
                  <pic:spPr bwMode="auto">
                    <a:xfrm>
                      <a:off x="0" y="0"/>
                      <a:ext cx="5729792" cy="3324006"/>
                    </a:xfrm>
                    <a:prstGeom prst="rect">
                      <a:avLst/>
                    </a:prstGeom>
                    <a:noFill/>
                    <a:ln>
                      <a:noFill/>
                    </a:ln>
                    <a:extLst>
                      <a:ext uri="{53640926-AAD7-44D8-BBD7-CCE9431645EC}">
                        <a14:shadowObscured xmlns:a14="http://schemas.microsoft.com/office/drawing/2010/main"/>
                      </a:ext>
                    </a:extLst>
                  </pic:spPr>
                </pic:pic>
              </a:graphicData>
            </a:graphic>
          </wp:inline>
        </w:drawing>
      </w:r>
    </w:p>
    <w:p w14:paraId="36412B88" w14:textId="21BDF5E4" w:rsidR="00585CEC" w:rsidRPr="00A73C9E" w:rsidRDefault="00CC7633" w:rsidP="00A73C9E">
      <w:pPr>
        <w:spacing w:after="0" w:line="276" w:lineRule="auto"/>
        <w:rPr>
          <w:rFonts w:ascii="Arial" w:eastAsia="Calibri" w:hAnsi="Arial" w:cs="Arial"/>
          <w:b/>
          <w:bCs/>
        </w:rPr>
      </w:pPr>
      <w:r w:rsidRPr="00A73C9E">
        <w:rPr>
          <w:rFonts w:ascii="Arial" w:eastAsia="Calibri" w:hAnsi="Arial" w:cs="Arial"/>
          <w:b/>
          <w:bCs/>
        </w:rPr>
        <w:t>Figure</w:t>
      </w:r>
      <w:r w:rsidR="0094205E">
        <w:rPr>
          <w:rFonts w:ascii="Arial" w:eastAsia="Calibri" w:hAnsi="Arial" w:cs="Arial"/>
          <w:b/>
          <w:bCs/>
        </w:rPr>
        <w:t xml:space="preserve"> 1</w:t>
      </w:r>
      <w:r w:rsidRPr="00A73C9E">
        <w:rPr>
          <w:rFonts w:ascii="Arial" w:eastAsia="Calibri" w:hAnsi="Arial" w:cs="Arial"/>
          <w:b/>
          <w:bCs/>
        </w:rPr>
        <w:t>.  Algorithm to categorize severity of pediatric acute pancreatitis (AP) and</w:t>
      </w:r>
      <w:r w:rsidR="00D51593" w:rsidRPr="00A73C9E">
        <w:rPr>
          <w:rFonts w:ascii="Arial" w:eastAsia="Calibri" w:hAnsi="Arial" w:cs="Arial"/>
          <w:b/>
          <w:bCs/>
        </w:rPr>
        <w:t xml:space="preserve"> recommended treatment of HTG. </w:t>
      </w:r>
      <w:r w:rsidR="00D91F6F" w:rsidRPr="00A73C9E">
        <w:rPr>
          <w:rFonts w:ascii="Arial" w:eastAsia="Calibri" w:hAnsi="Arial" w:cs="Arial"/>
          <w:b/>
          <w:bCs/>
        </w:rPr>
        <w:t>M</w:t>
      </w:r>
      <w:r w:rsidRPr="00A73C9E">
        <w:rPr>
          <w:rFonts w:ascii="Arial" w:eastAsia="Calibri" w:hAnsi="Arial" w:cs="Arial"/>
          <w:b/>
          <w:bCs/>
        </w:rPr>
        <w:t xml:space="preserve">odified from </w:t>
      </w:r>
      <w:r w:rsidR="00D91F6F" w:rsidRPr="00A73C9E">
        <w:rPr>
          <w:rFonts w:ascii="Arial" w:eastAsia="Calibri" w:hAnsi="Arial" w:cs="Arial"/>
          <w:b/>
          <w:bCs/>
        </w:rPr>
        <w:t>(3</w:t>
      </w:r>
      <w:r w:rsidRPr="00A73C9E">
        <w:rPr>
          <w:rFonts w:ascii="Arial" w:eastAsia="Calibri" w:hAnsi="Arial" w:cs="Arial"/>
          <w:b/>
          <w:bCs/>
        </w:rPr>
        <w:t>)</w:t>
      </w:r>
      <w:r w:rsidR="00D51593" w:rsidRPr="00A73C9E">
        <w:rPr>
          <w:rFonts w:ascii="Arial" w:eastAsia="Calibri" w:hAnsi="Arial" w:cs="Arial"/>
          <w:b/>
          <w:bCs/>
        </w:rPr>
        <w:t>.</w:t>
      </w:r>
    </w:p>
    <w:p w14:paraId="0F7699EA" w14:textId="0E6E23D7" w:rsidR="00CC7633" w:rsidRPr="008C1EBF" w:rsidRDefault="00CC7633" w:rsidP="00A73C9E">
      <w:pPr>
        <w:spacing w:after="0" w:line="276" w:lineRule="auto"/>
        <w:rPr>
          <w:rFonts w:ascii="Arial" w:eastAsia="Calibri" w:hAnsi="Arial" w:cs="Arial"/>
          <w:b/>
          <w:bCs/>
        </w:rPr>
      </w:pPr>
      <w:r w:rsidRPr="008C1EBF">
        <w:rPr>
          <w:rFonts w:ascii="Arial" w:eastAsia="Calibri" w:hAnsi="Arial" w:cs="Arial"/>
          <w:b/>
          <w:bCs/>
          <w:vertAlign w:val="superscript"/>
        </w:rPr>
        <w:t>a</w:t>
      </w:r>
      <w:r w:rsidRPr="008C1EBF">
        <w:rPr>
          <w:rFonts w:ascii="Arial" w:eastAsia="Calibri" w:hAnsi="Arial" w:cs="Arial"/>
          <w:b/>
          <w:bCs/>
        </w:rPr>
        <w:t>Presence of at least 2 of the following 3 criteria: 1) abdominal pain compatible with pancreatic origin; 2) amylase and/or lipase at least 3 X ULN; and 3) imaging suggestive of/compatible with pancreatic inflammation</w:t>
      </w:r>
      <w:r w:rsidR="00660E1E" w:rsidRPr="008C1EBF">
        <w:rPr>
          <w:rFonts w:ascii="Arial" w:eastAsia="Calibri" w:hAnsi="Arial" w:cs="Arial"/>
          <w:b/>
          <w:bCs/>
        </w:rPr>
        <w:t xml:space="preserve">. </w:t>
      </w:r>
      <w:r w:rsidRPr="008C1EBF">
        <w:rPr>
          <w:rFonts w:ascii="Arial" w:eastAsia="Calibri" w:hAnsi="Arial" w:cs="Arial"/>
          <w:b/>
          <w:bCs/>
        </w:rPr>
        <w:t>(</w:t>
      </w:r>
      <w:r w:rsidR="00D91F6F" w:rsidRPr="008C1EBF">
        <w:rPr>
          <w:rFonts w:ascii="Arial" w:eastAsia="Calibri" w:hAnsi="Arial" w:cs="Arial"/>
          <w:b/>
          <w:bCs/>
        </w:rPr>
        <w:t>2</w:t>
      </w:r>
      <w:r w:rsidRPr="008C1EBF">
        <w:rPr>
          <w:rFonts w:ascii="Arial" w:eastAsia="Calibri" w:hAnsi="Arial" w:cs="Arial"/>
          <w:b/>
          <w:bCs/>
        </w:rPr>
        <w:t>)</w:t>
      </w:r>
    </w:p>
    <w:p w14:paraId="53FB6266" w14:textId="5E83E787" w:rsidR="00CC7633" w:rsidRPr="008C1EBF" w:rsidRDefault="00CC7633" w:rsidP="00A73C9E">
      <w:pPr>
        <w:spacing w:after="0" w:line="276" w:lineRule="auto"/>
        <w:rPr>
          <w:rFonts w:ascii="Arial" w:eastAsia="Calibri" w:hAnsi="Arial" w:cs="Arial"/>
          <w:b/>
          <w:bCs/>
        </w:rPr>
      </w:pPr>
      <w:r w:rsidRPr="008C1EBF">
        <w:rPr>
          <w:rFonts w:ascii="Arial" w:eastAsia="Calibri" w:hAnsi="Arial" w:cs="Arial"/>
          <w:b/>
          <w:bCs/>
          <w:vertAlign w:val="superscript"/>
        </w:rPr>
        <w:t>b</w:t>
      </w:r>
      <w:r w:rsidRPr="008C1EBF">
        <w:rPr>
          <w:rFonts w:ascii="Arial" w:eastAsia="Calibri" w:hAnsi="Arial" w:cs="Arial"/>
          <w:b/>
          <w:bCs/>
        </w:rPr>
        <w:t xml:space="preserve">Criteria of organ dysfunction as per the International Pediatric Sepsis Consensus </w:t>
      </w:r>
      <w:r w:rsidR="00D91F6F" w:rsidRPr="008C1EBF">
        <w:rPr>
          <w:rFonts w:ascii="Arial" w:eastAsia="Calibri" w:hAnsi="Arial" w:cs="Arial"/>
          <w:b/>
          <w:bCs/>
        </w:rPr>
        <w:t>[M</w:t>
      </w:r>
      <w:r w:rsidRPr="008C1EBF">
        <w:rPr>
          <w:rFonts w:ascii="Arial" w:eastAsia="Calibri" w:hAnsi="Arial" w:cs="Arial"/>
          <w:b/>
          <w:bCs/>
        </w:rPr>
        <w:t>odified from</w:t>
      </w:r>
      <w:r w:rsidR="00660E1E" w:rsidRPr="008C1EBF">
        <w:rPr>
          <w:rFonts w:ascii="Arial" w:hAnsi="Arial" w:cs="Arial"/>
          <w:b/>
          <w:bCs/>
          <w:color w:val="53565A"/>
        </w:rPr>
        <w:t> </w:t>
      </w:r>
      <w:r w:rsidR="00D91F6F" w:rsidRPr="008C1EBF">
        <w:rPr>
          <w:rFonts w:ascii="Arial" w:eastAsia="Calibri" w:hAnsi="Arial" w:cs="Arial"/>
          <w:b/>
          <w:bCs/>
        </w:rPr>
        <w:t>(1</w:t>
      </w:r>
      <w:r w:rsidR="00660E1E" w:rsidRPr="008C1EBF">
        <w:rPr>
          <w:rFonts w:ascii="Arial" w:eastAsia="Calibri" w:hAnsi="Arial" w:cs="Arial"/>
          <w:b/>
          <w:bCs/>
        </w:rPr>
        <w:t>6</w:t>
      </w:r>
      <w:r w:rsidRPr="008C1EBF">
        <w:rPr>
          <w:rFonts w:ascii="Arial" w:eastAsia="Calibri" w:hAnsi="Arial" w:cs="Arial"/>
          <w:b/>
          <w:bCs/>
        </w:rPr>
        <w:t>).</w:t>
      </w:r>
    </w:p>
    <w:p w14:paraId="6DFACC54" w14:textId="7B0B2552" w:rsidR="00CC7633" w:rsidRPr="008C1EBF" w:rsidRDefault="007A3EC7" w:rsidP="00A73C9E">
      <w:pPr>
        <w:spacing w:after="0" w:line="276" w:lineRule="auto"/>
        <w:rPr>
          <w:rFonts w:ascii="Arial" w:eastAsia="Calibri" w:hAnsi="Arial" w:cs="Arial"/>
          <w:b/>
          <w:bCs/>
        </w:rPr>
      </w:pPr>
      <w:r w:rsidRPr="008C1EBF">
        <w:rPr>
          <w:rFonts w:ascii="Arial" w:eastAsia="Calibri" w:hAnsi="Arial" w:cs="Arial"/>
          <w:b/>
          <w:bCs/>
        </w:rPr>
        <w:t xml:space="preserve">I. </w:t>
      </w:r>
      <w:r w:rsidR="00CC7633" w:rsidRPr="008C1EBF">
        <w:rPr>
          <w:rFonts w:ascii="Arial" w:eastAsia="Calibri" w:hAnsi="Arial" w:cs="Arial"/>
          <w:b/>
          <w:bCs/>
        </w:rPr>
        <w:t>Cardiovascular Dysfunction</w:t>
      </w:r>
    </w:p>
    <w:p w14:paraId="497D9439" w14:textId="7B2445E5" w:rsidR="00CC7633" w:rsidRPr="008C1EBF" w:rsidRDefault="00CC7633" w:rsidP="00A73C9E">
      <w:pPr>
        <w:spacing w:after="0" w:line="276" w:lineRule="auto"/>
        <w:rPr>
          <w:rFonts w:ascii="Arial" w:eastAsia="Calibri" w:hAnsi="Arial" w:cs="Arial"/>
          <w:b/>
          <w:bCs/>
        </w:rPr>
      </w:pPr>
      <w:r w:rsidRPr="008C1EBF">
        <w:rPr>
          <w:rFonts w:ascii="Arial" w:eastAsia="Calibri" w:hAnsi="Arial" w:cs="Arial"/>
          <w:b/>
          <w:bCs/>
        </w:rPr>
        <w:t>a.</w:t>
      </w:r>
      <w:r w:rsidR="00886DCD" w:rsidRPr="008C1EBF">
        <w:rPr>
          <w:rFonts w:ascii="Arial" w:eastAsia="Calibri" w:hAnsi="Arial" w:cs="Arial"/>
          <w:b/>
          <w:bCs/>
        </w:rPr>
        <w:t xml:space="preserve"> </w:t>
      </w:r>
      <w:r w:rsidRPr="008C1EBF">
        <w:rPr>
          <w:rFonts w:ascii="Arial" w:eastAsia="Calibri" w:hAnsi="Arial" w:cs="Arial"/>
          <w:b/>
          <w:bCs/>
        </w:rPr>
        <w:t>One or more of the following despite administration of isotopic IV fluid bolus &gt; 40 mL/kg in 1 hr.</w:t>
      </w:r>
    </w:p>
    <w:p w14:paraId="71AC2326" w14:textId="0909F16D" w:rsidR="00CC7633" w:rsidRPr="008C1EBF" w:rsidRDefault="00CC7633" w:rsidP="0094205E">
      <w:pPr>
        <w:pStyle w:val="ListParagraph"/>
        <w:numPr>
          <w:ilvl w:val="0"/>
          <w:numId w:val="46"/>
        </w:numPr>
        <w:spacing w:after="0"/>
        <w:ind w:left="360"/>
        <w:rPr>
          <w:rFonts w:ascii="Arial" w:eastAsia="Calibri" w:hAnsi="Arial" w:cs="Arial"/>
          <w:b/>
          <w:bCs/>
        </w:rPr>
      </w:pPr>
      <w:r w:rsidRPr="008C1EBF">
        <w:rPr>
          <w:rFonts w:ascii="Arial" w:eastAsia="Calibri" w:hAnsi="Arial" w:cs="Arial"/>
          <w:b/>
          <w:bCs/>
        </w:rPr>
        <w:t>Hypotension - Decrease in BP &lt; 5</w:t>
      </w:r>
      <w:r w:rsidRPr="008C1EBF">
        <w:rPr>
          <w:rFonts w:ascii="Arial" w:eastAsia="Calibri" w:hAnsi="Arial" w:cs="Arial"/>
          <w:b/>
          <w:bCs/>
          <w:vertAlign w:val="superscript"/>
        </w:rPr>
        <w:t>th</w:t>
      </w:r>
      <w:r w:rsidRPr="008C1EBF">
        <w:rPr>
          <w:rFonts w:ascii="Arial" w:eastAsia="Calibri" w:hAnsi="Arial" w:cs="Arial"/>
          <w:b/>
          <w:bCs/>
        </w:rPr>
        <w:t xml:space="preserve">% for age or systolic BP &lt; 2 SD below normal for age. </w:t>
      </w:r>
    </w:p>
    <w:p w14:paraId="73CD5DD7" w14:textId="12D265F8" w:rsidR="00CC7633" w:rsidRPr="008C1EBF" w:rsidRDefault="00CC7633" w:rsidP="0094205E">
      <w:pPr>
        <w:pStyle w:val="ListParagraph"/>
        <w:numPr>
          <w:ilvl w:val="0"/>
          <w:numId w:val="46"/>
        </w:numPr>
        <w:spacing w:after="0"/>
        <w:ind w:left="360"/>
        <w:rPr>
          <w:rFonts w:ascii="Arial" w:eastAsia="Calibri" w:hAnsi="Arial" w:cs="Arial"/>
          <w:b/>
          <w:bCs/>
        </w:rPr>
      </w:pPr>
      <w:r w:rsidRPr="008C1EBF">
        <w:rPr>
          <w:rFonts w:ascii="Arial" w:eastAsia="Calibri" w:hAnsi="Arial" w:cs="Arial"/>
          <w:b/>
          <w:bCs/>
        </w:rPr>
        <w:t>Need for vasoactive drug to maintain BP in normal range (dopamine &gt; 5 mcg/kg-</w:t>
      </w:r>
      <w:r w:rsidRPr="008C1EBF">
        <w:rPr>
          <w:rFonts w:ascii="Arial" w:eastAsia="Calibri" w:hAnsi="Arial" w:cs="Arial"/>
          <w:b/>
          <w:bCs/>
          <w:vertAlign w:val="superscript"/>
        </w:rPr>
        <w:t>1</w:t>
      </w:r>
      <w:r w:rsidRPr="008C1EBF">
        <w:rPr>
          <w:rFonts w:ascii="Arial" w:eastAsia="Calibri" w:hAnsi="Arial" w:cs="Arial"/>
          <w:b/>
          <w:bCs/>
        </w:rPr>
        <w:t>/mL-</w:t>
      </w:r>
      <w:r w:rsidRPr="008C1EBF">
        <w:rPr>
          <w:rFonts w:ascii="Arial" w:eastAsia="Calibri" w:hAnsi="Arial" w:cs="Arial"/>
          <w:b/>
          <w:bCs/>
          <w:vertAlign w:val="superscript"/>
        </w:rPr>
        <w:t>1</w:t>
      </w:r>
      <w:r w:rsidRPr="008C1EBF">
        <w:rPr>
          <w:rFonts w:ascii="Arial" w:eastAsia="Calibri" w:hAnsi="Arial" w:cs="Arial"/>
          <w:b/>
          <w:bCs/>
        </w:rPr>
        <w:t xml:space="preserve"> or dobutamine, epinephrine, or norepinephrine at any dose).</w:t>
      </w:r>
    </w:p>
    <w:p w14:paraId="2895F6D2" w14:textId="72B4EEC0" w:rsidR="00CC7633" w:rsidRPr="008C1EBF" w:rsidRDefault="00CC7633" w:rsidP="00A73C9E">
      <w:pPr>
        <w:spacing w:after="0" w:line="276" w:lineRule="auto"/>
        <w:rPr>
          <w:rFonts w:ascii="Arial" w:eastAsia="Calibri" w:hAnsi="Arial" w:cs="Arial"/>
          <w:b/>
          <w:bCs/>
        </w:rPr>
      </w:pPr>
      <w:r w:rsidRPr="008C1EBF">
        <w:rPr>
          <w:rFonts w:ascii="Arial" w:eastAsia="Calibri" w:hAnsi="Arial" w:cs="Arial"/>
          <w:b/>
          <w:bCs/>
        </w:rPr>
        <w:t>b.</w:t>
      </w:r>
      <w:r w:rsidR="00886DCD" w:rsidRPr="008C1EBF">
        <w:rPr>
          <w:rFonts w:ascii="Arial" w:eastAsia="Calibri" w:hAnsi="Arial" w:cs="Arial"/>
          <w:b/>
          <w:bCs/>
        </w:rPr>
        <w:t xml:space="preserve"> </w:t>
      </w:r>
      <w:r w:rsidRPr="008C1EBF">
        <w:rPr>
          <w:rFonts w:ascii="Arial" w:eastAsia="Calibri" w:hAnsi="Arial" w:cs="Arial"/>
          <w:b/>
          <w:bCs/>
        </w:rPr>
        <w:t>Two of the following:</w:t>
      </w:r>
    </w:p>
    <w:p w14:paraId="1C2A978E" w14:textId="629A8F9A" w:rsidR="00CC7633" w:rsidRPr="008C1EBF" w:rsidRDefault="00CC7633" w:rsidP="0094205E">
      <w:pPr>
        <w:pStyle w:val="ListParagraph"/>
        <w:numPr>
          <w:ilvl w:val="0"/>
          <w:numId w:val="45"/>
        </w:numPr>
        <w:spacing w:after="0"/>
        <w:ind w:left="360"/>
        <w:rPr>
          <w:rFonts w:ascii="Arial" w:eastAsia="Calibri" w:hAnsi="Arial" w:cs="Arial"/>
          <w:b/>
          <w:bCs/>
        </w:rPr>
      </w:pPr>
      <w:r w:rsidRPr="008C1EBF">
        <w:rPr>
          <w:rFonts w:ascii="Arial" w:eastAsia="Calibri" w:hAnsi="Arial" w:cs="Arial"/>
          <w:b/>
          <w:bCs/>
        </w:rPr>
        <w:t>Unexplained metabolic acidosis (B</w:t>
      </w:r>
      <w:r w:rsidR="0094205E" w:rsidRPr="008C1EBF">
        <w:rPr>
          <w:rFonts w:ascii="Arial" w:eastAsia="Calibri" w:hAnsi="Arial" w:cs="Arial"/>
          <w:b/>
          <w:bCs/>
        </w:rPr>
        <w:t xml:space="preserve">ase </w:t>
      </w:r>
      <w:r w:rsidRPr="008C1EBF">
        <w:rPr>
          <w:rFonts w:ascii="Arial" w:eastAsia="Calibri" w:hAnsi="Arial" w:cs="Arial"/>
          <w:b/>
          <w:bCs/>
        </w:rPr>
        <w:t>D</w:t>
      </w:r>
      <w:r w:rsidR="0094205E" w:rsidRPr="008C1EBF">
        <w:rPr>
          <w:rFonts w:ascii="Arial" w:eastAsia="Calibri" w:hAnsi="Arial" w:cs="Arial"/>
          <w:b/>
          <w:bCs/>
        </w:rPr>
        <w:t>eficit</w:t>
      </w:r>
      <w:r w:rsidRPr="008C1EBF">
        <w:rPr>
          <w:rFonts w:ascii="Arial" w:eastAsia="Calibri" w:hAnsi="Arial" w:cs="Arial"/>
          <w:b/>
          <w:bCs/>
        </w:rPr>
        <w:t xml:space="preserve"> &gt; 5 mEq/L).</w:t>
      </w:r>
    </w:p>
    <w:p w14:paraId="2904DE15" w14:textId="718E7391" w:rsidR="00CC7633" w:rsidRPr="008C1EBF" w:rsidRDefault="00CC7633" w:rsidP="0094205E">
      <w:pPr>
        <w:pStyle w:val="ListParagraph"/>
        <w:numPr>
          <w:ilvl w:val="0"/>
          <w:numId w:val="45"/>
        </w:numPr>
        <w:spacing w:after="0"/>
        <w:ind w:left="360"/>
        <w:rPr>
          <w:rFonts w:ascii="Arial" w:eastAsia="Calibri" w:hAnsi="Arial" w:cs="Arial"/>
          <w:b/>
          <w:bCs/>
        </w:rPr>
      </w:pPr>
      <w:r w:rsidRPr="008C1EBF">
        <w:rPr>
          <w:rFonts w:ascii="Arial" w:eastAsia="Calibri" w:hAnsi="Arial" w:cs="Arial"/>
          <w:b/>
          <w:bCs/>
        </w:rPr>
        <w:t>Increased arterial lactate &gt; 2 X ULN.</w:t>
      </w:r>
    </w:p>
    <w:p w14:paraId="3AC887A6" w14:textId="1DA7F883" w:rsidR="00CC7633" w:rsidRPr="008C1EBF" w:rsidRDefault="00CC7633" w:rsidP="0094205E">
      <w:pPr>
        <w:pStyle w:val="ListParagraph"/>
        <w:numPr>
          <w:ilvl w:val="0"/>
          <w:numId w:val="45"/>
        </w:numPr>
        <w:spacing w:after="0"/>
        <w:ind w:left="360"/>
        <w:rPr>
          <w:rFonts w:ascii="Arial" w:eastAsia="Calibri" w:hAnsi="Arial" w:cs="Arial"/>
          <w:b/>
          <w:bCs/>
        </w:rPr>
      </w:pPr>
      <w:r w:rsidRPr="008C1EBF">
        <w:rPr>
          <w:rFonts w:ascii="Arial" w:eastAsia="Calibri" w:hAnsi="Arial" w:cs="Arial"/>
          <w:b/>
          <w:bCs/>
        </w:rPr>
        <w:t>Oliguria: urine output &lt; 0.5 mL/kg-</w:t>
      </w:r>
      <w:r w:rsidRPr="008C1EBF">
        <w:rPr>
          <w:rFonts w:ascii="Arial" w:eastAsia="Calibri" w:hAnsi="Arial" w:cs="Arial"/>
          <w:b/>
          <w:bCs/>
          <w:vertAlign w:val="superscript"/>
        </w:rPr>
        <w:t>1</w:t>
      </w:r>
      <w:r w:rsidRPr="008C1EBF">
        <w:rPr>
          <w:rFonts w:ascii="Arial" w:eastAsia="Calibri" w:hAnsi="Arial" w:cs="Arial"/>
          <w:b/>
          <w:bCs/>
        </w:rPr>
        <w:t>/hr-</w:t>
      </w:r>
      <w:r w:rsidRPr="008C1EBF">
        <w:rPr>
          <w:rFonts w:ascii="Arial" w:eastAsia="Calibri" w:hAnsi="Arial" w:cs="Arial"/>
          <w:b/>
          <w:bCs/>
          <w:vertAlign w:val="superscript"/>
        </w:rPr>
        <w:t>1</w:t>
      </w:r>
      <w:r w:rsidRPr="008C1EBF">
        <w:rPr>
          <w:rFonts w:ascii="Arial" w:eastAsia="Calibri" w:hAnsi="Arial" w:cs="Arial"/>
          <w:b/>
          <w:bCs/>
        </w:rPr>
        <w:t>.</w:t>
      </w:r>
    </w:p>
    <w:p w14:paraId="3A08B1BD" w14:textId="16D2F41A" w:rsidR="00CC7633" w:rsidRPr="008C1EBF" w:rsidRDefault="00CC7633" w:rsidP="0094205E">
      <w:pPr>
        <w:pStyle w:val="ListParagraph"/>
        <w:numPr>
          <w:ilvl w:val="0"/>
          <w:numId w:val="45"/>
        </w:numPr>
        <w:spacing w:after="0"/>
        <w:ind w:left="360"/>
        <w:rPr>
          <w:rFonts w:ascii="Arial" w:eastAsia="Calibri" w:hAnsi="Arial" w:cs="Arial"/>
          <w:b/>
          <w:bCs/>
        </w:rPr>
      </w:pPr>
      <w:r w:rsidRPr="008C1EBF">
        <w:rPr>
          <w:rFonts w:ascii="Arial" w:eastAsia="Calibri" w:hAnsi="Arial" w:cs="Arial"/>
          <w:b/>
          <w:bCs/>
        </w:rPr>
        <w:t>Core to peripheral temperature gap &gt; 3° C.</w:t>
      </w:r>
    </w:p>
    <w:p w14:paraId="7A976F9B" w14:textId="246C1E0E" w:rsidR="00CC7633" w:rsidRPr="008C1EBF" w:rsidRDefault="007A3EC7" w:rsidP="00A73C9E">
      <w:pPr>
        <w:spacing w:after="0" w:line="276" w:lineRule="auto"/>
        <w:rPr>
          <w:rFonts w:ascii="Arial" w:eastAsia="Calibri" w:hAnsi="Arial" w:cs="Arial"/>
          <w:b/>
          <w:bCs/>
        </w:rPr>
      </w:pPr>
      <w:r w:rsidRPr="008C1EBF">
        <w:rPr>
          <w:rFonts w:ascii="Arial" w:eastAsia="Calibri" w:hAnsi="Arial" w:cs="Arial"/>
          <w:b/>
          <w:bCs/>
        </w:rPr>
        <w:t xml:space="preserve">II. </w:t>
      </w:r>
      <w:r w:rsidR="00CC7633" w:rsidRPr="008C1EBF">
        <w:rPr>
          <w:rFonts w:ascii="Arial" w:eastAsia="Calibri" w:hAnsi="Arial" w:cs="Arial"/>
          <w:b/>
          <w:bCs/>
        </w:rPr>
        <w:t>Respiratory Dysfunction</w:t>
      </w:r>
    </w:p>
    <w:p w14:paraId="1EA1863F" w14:textId="5E6A1F1D" w:rsidR="00CC7633" w:rsidRPr="008C1EBF" w:rsidRDefault="00CC7633" w:rsidP="00A73C9E">
      <w:pPr>
        <w:spacing w:after="0" w:line="276" w:lineRule="auto"/>
        <w:rPr>
          <w:rFonts w:ascii="Arial" w:eastAsia="Calibri" w:hAnsi="Arial" w:cs="Arial"/>
          <w:b/>
          <w:bCs/>
        </w:rPr>
      </w:pPr>
      <w:r w:rsidRPr="008C1EBF">
        <w:rPr>
          <w:rFonts w:ascii="Arial" w:eastAsia="Calibri" w:hAnsi="Arial" w:cs="Arial"/>
          <w:b/>
          <w:bCs/>
        </w:rPr>
        <w:t>a.</w:t>
      </w:r>
      <w:r w:rsidR="00886DCD" w:rsidRPr="008C1EBF">
        <w:rPr>
          <w:rFonts w:ascii="Arial" w:eastAsia="Calibri" w:hAnsi="Arial" w:cs="Arial"/>
          <w:b/>
          <w:bCs/>
        </w:rPr>
        <w:t xml:space="preserve"> </w:t>
      </w:r>
      <w:r w:rsidRPr="008C1EBF">
        <w:rPr>
          <w:rFonts w:ascii="Arial" w:eastAsia="Calibri" w:hAnsi="Arial" w:cs="Arial"/>
          <w:b/>
          <w:bCs/>
        </w:rPr>
        <w:t>One or more of the following in absence of pre-existing lung disease or cyanotic heart disease.</w:t>
      </w:r>
    </w:p>
    <w:p w14:paraId="35A7D8F5" w14:textId="069A4DD9" w:rsidR="00CC7633" w:rsidRPr="008C1EBF" w:rsidRDefault="00CC7633" w:rsidP="0094205E">
      <w:pPr>
        <w:pStyle w:val="ListParagraph"/>
        <w:numPr>
          <w:ilvl w:val="0"/>
          <w:numId w:val="44"/>
        </w:numPr>
        <w:spacing w:after="0"/>
        <w:ind w:left="360"/>
        <w:rPr>
          <w:rFonts w:ascii="Arial" w:eastAsia="Calibri" w:hAnsi="Arial" w:cs="Arial"/>
          <w:b/>
          <w:bCs/>
        </w:rPr>
      </w:pPr>
      <w:r w:rsidRPr="008C1EBF">
        <w:rPr>
          <w:rFonts w:ascii="Arial" w:eastAsia="Calibri" w:hAnsi="Arial" w:cs="Arial"/>
          <w:b/>
          <w:bCs/>
        </w:rPr>
        <w:t>PaO</w:t>
      </w:r>
      <w:r w:rsidRPr="008C1EBF">
        <w:rPr>
          <w:rFonts w:ascii="Arial" w:eastAsia="Calibri" w:hAnsi="Arial" w:cs="Arial"/>
          <w:b/>
          <w:bCs/>
          <w:vertAlign w:val="subscript"/>
        </w:rPr>
        <w:t>2</w:t>
      </w:r>
      <w:r w:rsidRPr="008C1EBF">
        <w:rPr>
          <w:rFonts w:ascii="Arial" w:eastAsia="Calibri" w:hAnsi="Arial" w:cs="Arial"/>
          <w:b/>
          <w:bCs/>
        </w:rPr>
        <w:t>/FIO</w:t>
      </w:r>
      <w:r w:rsidRPr="008C1EBF">
        <w:rPr>
          <w:rFonts w:ascii="Arial" w:eastAsia="Calibri" w:hAnsi="Arial" w:cs="Arial"/>
          <w:b/>
          <w:bCs/>
          <w:vertAlign w:val="subscript"/>
        </w:rPr>
        <w:t>2</w:t>
      </w:r>
      <w:r w:rsidRPr="008C1EBF">
        <w:rPr>
          <w:rFonts w:ascii="Arial" w:eastAsia="Calibri" w:hAnsi="Arial" w:cs="Arial"/>
          <w:b/>
          <w:bCs/>
        </w:rPr>
        <w:t xml:space="preserve"> &lt; 300 in absence of cyanotic heart disease or pre-existing lung disease.</w:t>
      </w:r>
    </w:p>
    <w:p w14:paraId="033B0015" w14:textId="0C3AE104" w:rsidR="00CC7633" w:rsidRPr="008C1EBF" w:rsidRDefault="00CC7633" w:rsidP="0094205E">
      <w:pPr>
        <w:pStyle w:val="ListParagraph"/>
        <w:numPr>
          <w:ilvl w:val="0"/>
          <w:numId w:val="44"/>
        </w:numPr>
        <w:spacing w:after="0"/>
        <w:ind w:left="360"/>
        <w:rPr>
          <w:rFonts w:ascii="Arial" w:eastAsia="Calibri" w:hAnsi="Arial" w:cs="Arial"/>
          <w:b/>
          <w:bCs/>
        </w:rPr>
      </w:pPr>
      <w:r w:rsidRPr="008C1EBF">
        <w:rPr>
          <w:rFonts w:ascii="Arial" w:eastAsia="Calibri" w:hAnsi="Arial" w:cs="Arial"/>
          <w:b/>
          <w:bCs/>
        </w:rPr>
        <w:t>PaCO</w:t>
      </w:r>
      <w:r w:rsidRPr="008C1EBF">
        <w:rPr>
          <w:rFonts w:ascii="Arial" w:eastAsia="Calibri" w:hAnsi="Arial" w:cs="Arial"/>
          <w:b/>
          <w:bCs/>
          <w:vertAlign w:val="subscript"/>
        </w:rPr>
        <w:t>2</w:t>
      </w:r>
      <w:r w:rsidRPr="008C1EBF">
        <w:rPr>
          <w:rFonts w:ascii="Arial" w:eastAsia="Calibri" w:hAnsi="Arial" w:cs="Arial"/>
          <w:b/>
          <w:bCs/>
        </w:rPr>
        <w:t xml:space="preserve"> &gt; 65 torr or 20 mmHg over baseline PaCO</w:t>
      </w:r>
      <w:r w:rsidRPr="008C1EBF">
        <w:rPr>
          <w:rFonts w:ascii="Arial" w:eastAsia="Calibri" w:hAnsi="Arial" w:cs="Arial"/>
          <w:b/>
          <w:bCs/>
          <w:vertAlign w:val="subscript"/>
        </w:rPr>
        <w:t>2</w:t>
      </w:r>
      <w:r w:rsidRPr="008C1EBF">
        <w:rPr>
          <w:rFonts w:ascii="Arial" w:eastAsia="Calibri" w:hAnsi="Arial" w:cs="Arial"/>
          <w:b/>
          <w:bCs/>
        </w:rPr>
        <w:t>.</w:t>
      </w:r>
    </w:p>
    <w:p w14:paraId="097EC746" w14:textId="26B3F3F2" w:rsidR="00CC7633" w:rsidRPr="008C1EBF" w:rsidRDefault="00CC7633" w:rsidP="0094205E">
      <w:pPr>
        <w:pStyle w:val="ListParagraph"/>
        <w:numPr>
          <w:ilvl w:val="0"/>
          <w:numId w:val="44"/>
        </w:numPr>
        <w:spacing w:after="0"/>
        <w:ind w:left="360"/>
        <w:rPr>
          <w:rFonts w:ascii="Arial" w:eastAsia="Calibri" w:hAnsi="Arial" w:cs="Arial"/>
          <w:b/>
          <w:bCs/>
        </w:rPr>
      </w:pPr>
      <w:r w:rsidRPr="008C1EBF">
        <w:rPr>
          <w:rFonts w:ascii="Arial" w:eastAsia="Calibri" w:hAnsi="Arial" w:cs="Arial"/>
          <w:b/>
          <w:bCs/>
        </w:rPr>
        <w:t>Proven need or &gt; 50% FIO2 to maintain saturation &gt; 92%.</w:t>
      </w:r>
    </w:p>
    <w:p w14:paraId="5FAF9143" w14:textId="183340D9" w:rsidR="00CC7633" w:rsidRPr="008C1EBF" w:rsidRDefault="00CC7633" w:rsidP="0094205E">
      <w:pPr>
        <w:pStyle w:val="ListParagraph"/>
        <w:numPr>
          <w:ilvl w:val="0"/>
          <w:numId w:val="44"/>
        </w:numPr>
        <w:spacing w:after="0"/>
        <w:ind w:left="360"/>
        <w:rPr>
          <w:rFonts w:ascii="Arial" w:eastAsia="Calibri" w:hAnsi="Arial" w:cs="Arial"/>
          <w:b/>
          <w:bCs/>
        </w:rPr>
      </w:pPr>
      <w:r w:rsidRPr="008C1EBF">
        <w:rPr>
          <w:rFonts w:ascii="Arial" w:eastAsia="Calibri" w:hAnsi="Arial" w:cs="Arial"/>
          <w:b/>
          <w:bCs/>
        </w:rPr>
        <w:t>Need for non-elective mechanical ventilation.</w:t>
      </w:r>
    </w:p>
    <w:p w14:paraId="6D649716" w14:textId="77777777" w:rsidR="00CC7633" w:rsidRPr="008C1EBF" w:rsidRDefault="00CC7633" w:rsidP="00A73C9E">
      <w:pPr>
        <w:spacing w:after="0" w:line="276" w:lineRule="auto"/>
        <w:rPr>
          <w:rFonts w:ascii="Arial" w:eastAsia="Calibri" w:hAnsi="Arial" w:cs="Arial"/>
          <w:b/>
          <w:bCs/>
        </w:rPr>
      </w:pPr>
      <w:r w:rsidRPr="008C1EBF">
        <w:rPr>
          <w:rFonts w:ascii="Arial" w:eastAsia="Calibri" w:hAnsi="Arial" w:cs="Arial"/>
          <w:b/>
          <w:bCs/>
        </w:rPr>
        <w:lastRenderedPageBreak/>
        <w:t>III.</w:t>
      </w:r>
      <w:r w:rsidRPr="008C1EBF">
        <w:rPr>
          <w:rFonts w:ascii="Arial" w:eastAsia="Calibri" w:hAnsi="Arial" w:cs="Arial"/>
          <w:b/>
          <w:bCs/>
        </w:rPr>
        <w:tab/>
        <w:t>Renal Dysfunction</w:t>
      </w:r>
    </w:p>
    <w:p w14:paraId="47051D27" w14:textId="10DCD9C7" w:rsidR="00CC7633" w:rsidRPr="008C1EBF" w:rsidRDefault="00CC7633" w:rsidP="0094205E">
      <w:pPr>
        <w:pStyle w:val="ListParagraph"/>
        <w:numPr>
          <w:ilvl w:val="0"/>
          <w:numId w:val="49"/>
        </w:numPr>
        <w:spacing w:after="0"/>
        <w:ind w:left="360"/>
        <w:rPr>
          <w:rFonts w:ascii="Arial" w:eastAsia="Calibri" w:hAnsi="Arial" w:cs="Arial"/>
          <w:b/>
          <w:bCs/>
        </w:rPr>
      </w:pPr>
      <w:r w:rsidRPr="008C1EBF">
        <w:rPr>
          <w:rFonts w:ascii="Arial" w:eastAsia="Calibri" w:hAnsi="Arial" w:cs="Arial"/>
          <w:b/>
          <w:bCs/>
        </w:rPr>
        <w:t xml:space="preserve">Serum creatinine ≥ 2 X ULN for age; or </w:t>
      </w:r>
    </w:p>
    <w:p w14:paraId="2A3C4C3E" w14:textId="470FD9C7" w:rsidR="00CC7633" w:rsidRPr="008C1EBF" w:rsidRDefault="00CC7633" w:rsidP="0094205E">
      <w:pPr>
        <w:pStyle w:val="ListParagraph"/>
        <w:numPr>
          <w:ilvl w:val="0"/>
          <w:numId w:val="49"/>
        </w:numPr>
        <w:spacing w:after="0"/>
        <w:ind w:left="360"/>
        <w:rPr>
          <w:rFonts w:ascii="Arial" w:eastAsia="Calibri" w:hAnsi="Arial" w:cs="Arial"/>
          <w:b/>
          <w:bCs/>
        </w:rPr>
      </w:pPr>
      <w:r w:rsidRPr="008C1EBF">
        <w:rPr>
          <w:rFonts w:ascii="Arial" w:eastAsia="Calibri" w:hAnsi="Arial" w:cs="Arial"/>
          <w:b/>
          <w:bCs/>
        </w:rPr>
        <w:t>2-fold increase in baseline creatinine.</w:t>
      </w:r>
    </w:p>
    <w:p w14:paraId="6645AFA7" w14:textId="77777777" w:rsidR="00CC7633" w:rsidRPr="00A73C9E" w:rsidRDefault="00CC7633" w:rsidP="00A73C9E">
      <w:pPr>
        <w:spacing w:after="0" w:line="276" w:lineRule="auto"/>
        <w:rPr>
          <w:rFonts w:ascii="Arial" w:eastAsia="Calibri" w:hAnsi="Arial" w:cs="Arial"/>
        </w:rPr>
      </w:pPr>
    </w:p>
    <w:p w14:paraId="57B29D45" w14:textId="44C55216" w:rsidR="00365276" w:rsidRPr="00433F39" w:rsidRDefault="00365276" w:rsidP="00A73C9E">
      <w:pPr>
        <w:spacing w:after="0" w:line="276" w:lineRule="auto"/>
        <w:rPr>
          <w:rFonts w:ascii="Arial" w:eastAsia="Calibri" w:hAnsi="Arial" w:cs="Arial"/>
          <w:b/>
          <w:color w:val="0070C0"/>
        </w:rPr>
      </w:pPr>
      <w:r w:rsidRPr="00433F39">
        <w:rPr>
          <w:rFonts w:ascii="Arial" w:eastAsia="Calibri" w:hAnsi="Arial" w:cs="Arial"/>
          <w:b/>
          <w:color w:val="0070C0"/>
        </w:rPr>
        <w:t>T</w:t>
      </w:r>
      <w:r w:rsidR="00886DCD" w:rsidRPr="00433F39">
        <w:rPr>
          <w:rFonts w:ascii="Arial" w:eastAsia="Calibri" w:hAnsi="Arial" w:cs="Arial"/>
          <w:b/>
          <w:color w:val="0070C0"/>
        </w:rPr>
        <w:t xml:space="preserve">REATMENT OF HYPERTRIGLYCERIDE-RELATED PANCREATITIS </w:t>
      </w:r>
    </w:p>
    <w:p w14:paraId="60EB0256" w14:textId="77777777" w:rsidR="00886DCD" w:rsidRPr="00A73C9E" w:rsidRDefault="00886DCD" w:rsidP="00A73C9E">
      <w:pPr>
        <w:spacing w:after="0" w:line="276" w:lineRule="auto"/>
        <w:rPr>
          <w:rFonts w:ascii="Arial" w:eastAsia="Calibri" w:hAnsi="Arial" w:cs="Arial"/>
          <w:b/>
        </w:rPr>
      </w:pPr>
    </w:p>
    <w:p w14:paraId="51A104A8" w14:textId="6831DD67" w:rsidR="00C56DF9" w:rsidRPr="00433F39" w:rsidRDefault="000C6070" w:rsidP="00A73C9E">
      <w:pPr>
        <w:spacing w:after="0" w:line="276" w:lineRule="auto"/>
        <w:rPr>
          <w:rFonts w:ascii="Arial" w:eastAsia="Calibri" w:hAnsi="Arial" w:cs="Arial"/>
          <w:b/>
          <w:color w:val="00B050"/>
        </w:rPr>
      </w:pPr>
      <w:r w:rsidRPr="00433F39">
        <w:rPr>
          <w:rFonts w:ascii="Arial" w:eastAsia="Calibri" w:hAnsi="Arial" w:cs="Arial"/>
          <w:b/>
          <w:color w:val="00B050"/>
        </w:rPr>
        <w:t>Treatment of Acute Pancreatitis</w:t>
      </w:r>
    </w:p>
    <w:p w14:paraId="5C07AECE" w14:textId="77777777" w:rsidR="00433F39" w:rsidRPr="00A73C9E" w:rsidRDefault="00433F39" w:rsidP="00A73C9E">
      <w:pPr>
        <w:spacing w:after="0" w:line="276" w:lineRule="auto"/>
        <w:rPr>
          <w:rFonts w:ascii="Arial" w:eastAsia="Calibri" w:hAnsi="Arial" w:cs="Arial"/>
          <w:b/>
        </w:rPr>
      </w:pPr>
    </w:p>
    <w:p w14:paraId="7A484CA2" w14:textId="08B74639" w:rsidR="00365276" w:rsidRPr="00A73C9E" w:rsidRDefault="00365276" w:rsidP="00A73C9E">
      <w:pPr>
        <w:spacing w:after="0" w:line="276" w:lineRule="auto"/>
        <w:rPr>
          <w:rFonts w:ascii="Arial" w:eastAsia="Calibri" w:hAnsi="Arial" w:cs="Arial"/>
        </w:rPr>
      </w:pPr>
      <w:r w:rsidRPr="00A73C9E">
        <w:rPr>
          <w:rFonts w:ascii="Arial" w:eastAsia="Calibri" w:hAnsi="Arial" w:cs="Arial"/>
        </w:rPr>
        <w:t xml:space="preserve">The clinical course and treatment of </w:t>
      </w:r>
      <w:r w:rsidR="00B60353" w:rsidRPr="00A73C9E">
        <w:rPr>
          <w:rFonts w:ascii="Arial" w:eastAsia="Calibri" w:hAnsi="Arial" w:cs="Arial"/>
        </w:rPr>
        <w:t>S</w:t>
      </w:r>
      <w:r w:rsidRPr="00A73C9E">
        <w:rPr>
          <w:rFonts w:ascii="Arial" w:eastAsia="Calibri" w:hAnsi="Arial" w:cs="Arial"/>
        </w:rPr>
        <w:t xml:space="preserve">HTG-related </w:t>
      </w:r>
      <w:r w:rsidR="00B60353" w:rsidRPr="00A73C9E">
        <w:rPr>
          <w:rFonts w:ascii="Arial" w:eastAsia="Calibri" w:hAnsi="Arial" w:cs="Arial"/>
        </w:rPr>
        <w:t>AP</w:t>
      </w:r>
      <w:r w:rsidRPr="00A73C9E">
        <w:rPr>
          <w:rFonts w:ascii="Arial" w:eastAsia="Calibri" w:hAnsi="Arial" w:cs="Arial"/>
        </w:rPr>
        <w:t xml:space="preserve"> </w:t>
      </w:r>
      <w:r w:rsidR="004B3EAC" w:rsidRPr="00A73C9E">
        <w:rPr>
          <w:rFonts w:ascii="Arial" w:eastAsia="Calibri" w:hAnsi="Arial" w:cs="Arial"/>
        </w:rPr>
        <w:t xml:space="preserve">in children </w:t>
      </w:r>
      <w:r w:rsidRPr="00A73C9E">
        <w:rPr>
          <w:rFonts w:ascii="Arial" w:eastAsia="Calibri" w:hAnsi="Arial" w:cs="Arial"/>
        </w:rPr>
        <w:t>is generally no different from that of pancreatitis of other causes (Table</w:t>
      </w:r>
      <w:r w:rsidR="00C721AC" w:rsidRPr="00A73C9E">
        <w:rPr>
          <w:rFonts w:ascii="Arial" w:eastAsia="Calibri" w:hAnsi="Arial" w:cs="Arial"/>
        </w:rPr>
        <w:t xml:space="preserve"> </w:t>
      </w:r>
      <w:r w:rsidR="00F61301" w:rsidRPr="00A73C9E">
        <w:rPr>
          <w:rFonts w:ascii="Arial" w:eastAsia="Calibri" w:hAnsi="Arial" w:cs="Arial"/>
        </w:rPr>
        <w:t>3</w:t>
      </w:r>
      <w:r w:rsidRPr="00A73C9E">
        <w:rPr>
          <w:rFonts w:ascii="Arial" w:eastAsia="Calibri" w:hAnsi="Arial" w:cs="Arial"/>
        </w:rPr>
        <w:t>)</w:t>
      </w:r>
      <w:r w:rsidR="00E109C0" w:rsidRPr="00A73C9E">
        <w:rPr>
          <w:rFonts w:ascii="Arial" w:eastAsia="Calibri" w:hAnsi="Arial" w:cs="Arial"/>
        </w:rPr>
        <w:t>.</w:t>
      </w:r>
      <w:r w:rsidRPr="00A73C9E">
        <w:rPr>
          <w:rFonts w:ascii="Arial" w:eastAsia="Calibri" w:hAnsi="Arial" w:cs="Arial"/>
        </w:rPr>
        <w:t xml:space="preserve"> Reduction of TG levels to well below 1,000 mg/dL </w:t>
      </w:r>
      <w:r w:rsidR="00A229D3" w:rsidRPr="00A73C9E">
        <w:rPr>
          <w:rFonts w:ascii="Arial" w:eastAsia="Calibri" w:hAnsi="Arial" w:cs="Arial"/>
        </w:rPr>
        <w:t>generally</w:t>
      </w:r>
      <w:r w:rsidRPr="00A73C9E">
        <w:rPr>
          <w:rFonts w:ascii="Arial" w:eastAsia="Calibri" w:hAnsi="Arial" w:cs="Arial"/>
        </w:rPr>
        <w:t xml:space="preserve"> prevents further episodes of pancreatitis.  </w:t>
      </w:r>
    </w:p>
    <w:p w14:paraId="6036471B" w14:textId="1D52B4D9" w:rsidR="00886DCD" w:rsidRPr="00A73C9E" w:rsidRDefault="00886DCD" w:rsidP="00A73C9E">
      <w:pPr>
        <w:spacing w:after="0" w:line="276" w:lineRule="auto"/>
        <w:rPr>
          <w:rFonts w:ascii="Arial" w:eastAsia="Calibri" w:hAnsi="Arial" w:cs="Arial"/>
        </w:rPr>
      </w:pPr>
    </w:p>
    <w:tbl>
      <w:tblPr>
        <w:tblStyle w:val="TableGrid"/>
        <w:tblW w:w="9715" w:type="dxa"/>
        <w:tblLook w:val="04A0" w:firstRow="1" w:lastRow="0" w:firstColumn="1" w:lastColumn="0" w:noHBand="0" w:noVBand="1"/>
      </w:tblPr>
      <w:tblGrid>
        <w:gridCol w:w="9715"/>
      </w:tblGrid>
      <w:tr w:rsidR="00886DCD" w:rsidRPr="00A73C9E" w14:paraId="09ACA50C" w14:textId="77777777" w:rsidTr="007A3EC7">
        <w:trPr>
          <w:trHeight w:val="260"/>
        </w:trPr>
        <w:tc>
          <w:tcPr>
            <w:tcW w:w="9715" w:type="dxa"/>
            <w:shd w:val="clear" w:color="auto" w:fill="FFFF00"/>
          </w:tcPr>
          <w:p w14:paraId="391F87E1" w14:textId="04FDF5D4" w:rsidR="00886DCD" w:rsidRPr="00A73C9E" w:rsidRDefault="00886DCD" w:rsidP="00A73C9E">
            <w:pPr>
              <w:spacing w:line="276" w:lineRule="auto"/>
              <w:rPr>
                <w:rFonts w:ascii="Arial" w:eastAsia="Times New Roman" w:hAnsi="Arial" w:cs="Arial"/>
              </w:rPr>
            </w:pPr>
            <w:r w:rsidRPr="00A73C9E">
              <w:rPr>
                <w:rFonts w:ascii="Arial" w:eastAsia="Times New Roman" w:hAnsi="Arial" w:cs="Arial"/>
                <w:b/>
              </w:rPr>
              <w:t>Table 3. Guidelines for Treatment of Children with Acute Pancreatitis</w:t>
            </w:r>
            <w:r w:rsidR="00D51593" w:rsidRPr="00A73C9E">
              <w:rPr>
                <w:rFonts w:ascii="Arial" w:eastAsia="Times New Roman" w:hAnsi="Arial" w:cs="Arial"/>
              </w:rPr>
              <w:t xml:space="preserve">. </w:t>
            </w:r>
            <w:r w:rsidRPr="00A73C9E">
              <w:rPr>
                <w:rFonts w:ascii="Arial" w:eastAsia="Times New Roman" w:hAnsi="Arial" w:cs="Arial"/>
              </w:rPr>
              <w:t>Modified from</w:t>
            </w:r>
            <w:r w:rsidR="00D51593" w:rsidRPr="00A73C9E">
              <w:rPr>
                <w:rFonts w:ascii="Arial" w:eastAsia="Times New Roman" w:hAnsi="Arial" w:cs="Arial"/>
              </w:rPr>
              <w:t xml:space="preserve"> </w:t>
            </w:r>
            <w:r w:rsidR="00660E1E" w:rsidRPr="008C1EBF">
              <w:rPr>
                <w:rFonts w:ascii="Arial" w:hAnsi="Arial" w:cs="Arial"/>
                <w:color w:val="53565A"/>
                <w:shd w:val="clear" w:color="auto" w:fill="FFFF00"/>
              </w:rPr>
              <w:t>(17)</w:t>
            </w:r>
            <w:r w:rsidR="00D51593" w:rsidRPr="008C1EBF">
              <w:rPr>
                <w:rFonts w:ascii="Arial" w:eastAsia="Times New Roman" w:hAnsi="Arial" w:cs="Arial"/>
                <w:shd w:val="clear" w:color="auto" w:fill="FFFF00"/>
              </w:rPr>
              <w:t>.</w:t>
            </w:r>
          </w:p>
        </w:tc>
      </w:tr>
      <w:tr w:rsidR="00886DCD" w:rsidRPr="00A73C9E" w14:paraId="442B8CBB" w14:textId="77777777" w:rsidTr="007A3EC7">
        <w:trPr>
          <w:trHeight w:val="1589"/>
        </w:trPr>
        <w:tc>
          <w:tcPr>
            <w:tcW w:w="9715" w:type="dxa"/>
          </w:tcPr>
          <w:p w14:paraId="3F447CD3" w14:textId="77777777" w:rsidR="00886DCD" w:rsidRPr="00A73C9E" w:rsidRDefault="00886DCD" w:rsidP="00A73C9E">
            <w:pPr>
              <w:numPr>
                <w:ilvl w:val="0"/>
                <w:numId w:val="12"/>
              </w:numPr>
              <w:spacing w:line="276" w:lineRule="auto"/>
              <w:ind w:left="0"/>
              <w:rPr>
                <w:rFonts w:ascii="Arial" w:eastAsia="Times New Roman" w:hAnsi="Arial" w:cs="Arial"/>
              </w:rPr>
            </w:pPr>
            <w:r w:rsidRPr="00A73C9E">
              <w:rPr>
                <w:rFonts w:ascii="Arial" w:eastAsia="Times New Roman" w:hAnsi="Arial" w:cs="Arial"/>
              </w:rPr>
              <w:t xml:space="preserve">Adequate fluid resuscitation with crystalloid appears key, especially within the first 24 hours. </w:t>
            </w:r>
          </w:p>
          <w:p w14:paraId="41757EB9" w14:textId="77777777" w:rsidR="00886DCD" w:rsidRPr="00A73C9E" w:rsidRDefault="00886DCD" w:rsidP="00A73C9E">
            <w:pPr>
              <w:numPr>
                <w:ilvl w:val="0"/>
                <w:numId w:val="12"/>
              </w:numPr>
              <w:spacing w:line="276" w:lineRule="auto"/>
              <w:ind w:left="0"/>
              <w:rPr>
                <w:rFonts w:ascii="Arial" w:eastAsia="Times New Roman" w:hAnsi="Arial" w:cs="Arial"/>
              </w:rPr>
            </w:pPr>
            <w:r w:rsidRPr="00A73C9E">
              <w:rPr>
                <w:rFonts w:ascii="Arial" w:eastAsia="Times New Roman" w:hAnsi="Arial" w:cs="Arial"/>
              </w:rPr>
              <w:t xml:space="preserve">Analgesia may include opioid medications when opioid-sparing measures are inadequate. </w:t>
            </w:r>
          </w:p>
          <w:p w14:paraId="538B5167" w14:textId="77777777" w:rsidR="00886DCD" w:rsidRPr="00A73C9E" w:rsidRDefault="00886DCD" w:rsidP="00A73C9E">
            <w:pPr>
              <w:numPr>
                <w:ilvl w:val="0"/>
                <w:numId w:val="12"/>
              </w:numPr>
              <w:spacing w:line="276" w:lineRule="auto"/>
              <w:ind w:left="0"/>
              <w:rPr>
                <w:rFonts w:ascii="Arial" w:eastAsia="Times New Roman" w:hAnsi="Arial" w:cs="Arial"/>
              </w:rPr>
            </w:pPr>
            <w:r w:rsidRPr="00A73C9E">
              <w:rPr>
                <w:rFonts w:ascii="Arial" w:eastAsia="Times New Roman" w:hAnsi="Arial" w:cs="Arial"/>
              </w:rPr>
              <w:t xml:space="preserve">Pulmonary, cardiovascular, and renal status should be closely monitored, particularly within the first 48 hours. </w:t>
            </w:r>
          </w:p>
          <w:p w14:paraId="22BEC039" w14:textId="77777777" w:rsidR="00886DCD" w:rsidRPr="00A73C9E" w:rsidRDefault="00886DCD" w:rsidP="00A73C9E">
            <w:pPr>
              <w:numPr>
                <w:ilvl w:val="0"/>
                <w:numId w:val="12"/>
              </w:numPr>
              <w:spacing w:line="276" w:lineRule="auto"/>
              <w:ind w:left="0"/>
              <w:rPr>
                <w:rFonts w:ascii="Arial" w:eastAsia="Times New Roman" w:hAnsi="Arial" w:cs="Arial"/>
              </w:rPr>
            </w:pPr>
            <w:r w:rsidRPr="00A73C9E">
              <w:rPr>
                <w:rFonts w:ascii="Arial" w:eastAsia="Times New Roman" w:hAnsi="Arial" w:cs="Arial"/>
              </w:rPr>
              <w:t xml:space="preserve">Enteral nutrition should be started as early as tolerated, whether through oral, gastric, or jejunal route. </w:t>
            </w:r>
          </w:p>
          <w:p w14:paraId="0AE12274" w14:textId="77777777" w:rsidR="00886DCD" w:rsidRPr="00A73C9E" w:rsidRDefault="00886DCD" w:rsidP="00A73C9E">
            <w:pPr>
              <w:numPr>
                <w:ilvl w:val="0"/>
                <w:numId w:val="12"/>
              </w:numPr>
              <w:spacing w:line="276" w:lineRule="auto"/>
              <w:ind w:left="0"/>
              <w:rPr>
                <w:rFonts w:ascii="Arial" w:eastAsia="Times New Roman" w:hAnsi="Arial" w:cs="Arial"/>
              </w:rPr>
            </w:pPr>
            <w:r w:rsidRPr="00A73C9E">
              <w:rPr>
                <w:rFonts w:ascii="Arial" w:eastAsia="Times New Roman" w:hAnsi="Arial" w:cs="Arial"/>
              </w:rPr>
              <w:t xml:space="preserve">There is little evidence to support the use of prophylactic antibiotics, antioxidants, probiotics, or protease inhibitors. </w:t>
            </w:r>
          </w:p>
          <w:p w14:paraId="79F36426" w14:textId="77777777" w:rsidR="00886DCD" w:rsidRPr="00A73C9E" w:rsidRDefault="00886DCD" w:rsidP="00A73C9E">
            <w:pPr>
              <w:numPr>
                <w:ilvl w:val="0"/>
                <w:numId w:val="12"/>
              </w:numPr>
              <w:spacing w:line="276" w:lineRule="auto"/>
              <w:ind w:left="0"/>
              <w:rPr>
                <w:rFonts w:ascii="Arial" w:eastAsia="Times New Roman" w:hAnsi="Arial" w:cs="Arial"/>
              </w:rPr>
            </w:pPr>
            <w:r w:rsidRPr="00A73C9E">
              <w:rPr>
                <w:rFonts w:ascii="Arial" w:eastAsia="Times New Roman" w:hAnsi="Arial" w:cs="Arial"/>
              </w:rPr>
              <w:t xml:space="preserve">Esophagogastroduodenoscopy, endoscopic retrograde cholangiopancreatography, and endoscopic ultrasonography have limited roles in diagnosis and management. </w:t>
            </w:r>
          </w:p>
          <w:p w14:paraId="095605DC" w14:textId="77777777" w:rsidR="00886DCD" w:rsidRPr="00A73C9E" w:rsidRDefault="00886DCD" w:rsidP="00A73C9E">
            <w:pPr>
              <w:numPr>
                <w:ilvl w:val="0"/>
                <w:numId w:val="12"/>
              </w:numPr>
              <w:spacing w:line="276" w:lineRule="auto"/>
              <w:ind w:left="0"/>
              <w:rPr>
                <w:rFonts w:ascii="Arial" w:eastAsia="Times New Roman" w:hAnsi="Arial" w:cs="Arial"/>
              </w:rPr>
            </w:pPr>
            <w:r w:rsidRPr="00A73C9E">
              <w:rPr>
                <w:rFonts w:ascii="Arial" w:eastAsia="Times New Roman" w:hAnsi="Arial" w:cs="Arial"/>
              </w:rPr>
              <w:t>Children should be carefully followed for development of early or late complications and recurrent attacks.</w:t>
            </w:r>
          </w:p>
        </w:tc>
      </w:tr>
    </w:tbl>
    <w:p w14:paraId="29664CCD" w14:textId="549D2B50" w:rsidR="00886DCD" w:rsidRPr="00A73C9E" w:rsidRDefault="00886DCD" w:rsidP="00A73C9E">
      <w:pPr>
        <w:spacing w:after="0" w:line="276" w:lineRule="auto"/>
        <w:rPr>
          <w:rFonts w:ascii="Arial" w:eastAsia="Calibri" w:hAnsi="Arial" w:cs="Arial"/>
        </w:rPr>
      </w:pPr>
    </w:p>
    <w:p w14:paraId="77D9CEB2" w14:textId="154780A8" w:rsidR="001E5D57" w:rsidRPr="00A73C9E" w:rsidRDefault="00D50CE3" w:rsidP="00A73C9E">
      <w:pPr>
        <w:spacing w:after="0" w:line="276" w:lineRule="auto"/>
        <w:rPr>
          <w:rFonts w:ascii="Arial" w:eastAsia="Calibri" w:hAnsi="Arial" w:cs="Arial"/>
        </w:rPr>
      </w:pPr>
      <w:r w:rsidRPr="00A73C9E">
        <w:rPr>
          <w:rFonts w:ascii="Arial" w:eastAsia="Calibri" w:hAnsi="Arial" w:cs="Arial"/>
        </w:rPr>
        <w:t>Once</w:t>
      </w:r>
      <w:r w:rsidR="007A3EC7" w:rsidRPr="00A73C9E">
        <w:rPr>
          <w:rFonts w:ascii="Arial" w:eastAsia="Calibri" w:hAnsi="Arial" w:cs="Arial"/>
        </w:rPr>
        <w:t xml:space="preserve"> placed NPO, patients with AP general</w:t>
      </w:r>
      <w:r w:rsidR="00EE442C" w:rsidRPr="00A73C9E">
        <w:rPr>
          <w:rFonts w:ascii="Arial" w:eastAsia="Calibri" w:hAnsi="Arial" w:cs="Arial"/>
        </w:rPr>
        <w:t>ly</w:t>
      </w:r>
      <w:r w:rsidR="007A3EC7" w:rsidRPr="00A73C9E">
        <w:rPr>
          <w:rFonts w:ascii="Arial" w:eastAsia="Calibri" w:hAnsi="Arial" w:cs="Arial"/>
        </w:rPr>
        <w:t xml:space="preserve"> experience a rapid decline in TG levels</w:t>
      </w:r>
      <w:r w:rsidR="00EE442C" w:rsidRPr="00A73C9E">
        <w:rPr>
          <w:rFonts w:ascii="Arial" w:eastAsia="Calibri" w:hAnsi="Arial" w:cs="Arial"/>
        </w:rPr>
        <w:t xml:space="preserve">, at which time a </w:t>
      </w:r>
      <w:r w:rsidR="007A3EC7" w:rsidRPr="00A73C9E">
        <w:rPr>
          <w:rFonts w:ascii="Arial" w:eastAsia="Calibri" w:hAnsi="Arial" w:cs="Arial"/>
        </w:rPr>
        <w:t>very low-fat diet can be</w:t>
      </w:r>
      <w:r w:rsidR="00EE442C" w:rsidRPr="00A73C9E">
        <w:rPr>
          <w:rFonts w:ascii="Arial" w:eastAsia="Calibri" w:hAnsi="Arial" w:cs="Arial"/>
        </w:rPr>
        <w:t xml:space="preserve"> initiated. </w:t>
      </w:r>
      <w:r w:rsidR="001E5D57" w:rsidRPr="00A73C9E">
        <w:rPr>
          <w:rFonts w:ascii="Arial" w:eastAsia="Calibri" w:hAnsi="Arial" w:cs="Arial"/>
        </w:rPr>
        <w:t>In situations where urgent reduction in TG levels is needed, a more aggressive approach may be indicated, including use of intravenous insulin, heparin, or both (</w:t>
      </w:r>
      <w:r w:rsidR="00D91F6F" w:rsidRPr="00A73C9E">
        <w:rPr>
          <w:rFonts w:ascii="Arial" w:eastAsia="Calibri" w:hAnsi="Arial" w:cs="Arial"/>
        </w:rPr>
        <w:t>4</w:t>
      </w:r>
      <w:r w:rsidR="001E5D57" w:rsidRPr="00A73C9E">
        <w:rPr>
          <w:rFonts w:ascii="Arial" w:eastAsia="Calibri" w:hAnsi="Arial" w:cs="Arial"/>
        </w:rPr>
        <w:t xml:space="preserve">), and TG removal (e.g., plasmapheresis, apheresis) (Table </w:t>
      </w:r>
      <w:r w:rsidR="00C56DF9" w:rsidRPr="00A73C9E">
        <w:rPr>
          <w:rFonts w:ascii="Arial" w:eastAsia="Calibri" w:hAnsi="Arial" w:cs="Arial"/>
        </w:rPr>
        <w:t>4</w:t>
      </w:r>
      <w:r w:rsidR="001E5D57" w:rsidRPr="00A73C9E">
        <w:rPr>
          <w:rFonts w:ascii="Arial" w:eastAsia="Calibri" w:hAnsi="Arial" w:cs="Arial"/>
        </w:rPr>
        <w:t>). A single session of plasmapheresis has been shown to lower TG levels by up to 70% (</w:t>
      </w:r>
      <w:r w:rsidR="00D91F6F" w:rsidRPr="00A73C9E">
        <w:rPr>
          <w:rFonts w:ascii="Arial" w:eastAsia="Calibri" w:hAnsi="Arial" w:cs="Arial"/>
        </w:rPr>
        <w:t>5</w:t>
      </w:r>
      <w:r w:rsidR="001E5D57" w:rsidRPr="00A73C9E">
        <w:rPr>
          <w:rFonts w:ascii="Arial" w:eastAsia="Calibri" w:hAnsi="Arial" w:cs="Arial"/>
        </w:rPr>
        <w:t>)</w:t>
      </w:r>
      <w:r w:rsidR="00D91F6F" w:rsidRPr="00A73C9E">
        <w:rPr>
          <w:rFonts w:ascii="Arial" w:eastAsia="Calibri" w:hAnsi="Arial" w:cs="Arial"/>
        </w:rPr>
        <w:t>.</w:t>
      </w:r>
      <w:r w:rsidR="001E5D57" w:rsidRPr="00A73C9E">
        <w:rPr>
          <w:rFonts w:ascii="Arial" w:eastAsia="Calibri" w:hAnsi="Arial" w:cs="Arial"/>
        </w:rPr>
        <w:t xml:space="preserve"> While apheresis can rapidly lower TG, rigorous proof of efficacy is lacking. Studies comparing technical aspects of apheresis are also limited, such as different apheresis techniques (plasma exchange vs. double-membrane filtration) and proper fluid replacement (fresh frozen plasma vs. albumin).  Apheresis is expensive and not widely available. Furthermore, a large retrospective study comparing two groups of adults with HTG before and after the availability of apheresis found no benefit (</w:t>
      </w:r>
      <w:r w:rsidR="00D91F6F" w:rsidRPr="00A73C9E">
        <w:rPr>
          <w:rFonts w:ascii="Arial" w:eastAsia="Calibri" w:hAnsi="Arial" w:cs="Arial"/>
        </w:rPr>
        <w:t>6</w:t>
      </w:r>
      <w:r w:rsidR="001E5D57" w:rsidRPr="00A73C9E">
        <w:rPr>
          <w:rFonts w:ascii="Arial" w:eastAsia="Calibri" w:hAnsi="Arial" w:cs="Arial"/>
        </w:rPr>
        <w:t>)</w:t>
      </w:r>
      <w:r w:rsidR="00D91F6F" w:rsidRPr="00A73C9E">
        <w:rPr>
          <w:rFonts w:ascii="Arial" w:eastAsia="Calibri" w:hAnsi="Arial" w:cs="Arial"/>
        </w:rPr>
        <w:t>.</w:t>
      </w:r>
      <w:r w:rsidR="001E5D57" w:rsidRPr="00A73C9E">
        <w:rPr>
          <w:rFonts w:ascii="Arial" w:eastAsia="Calibri" w:hAnsi="Arial" w:cs="Arial"/>
        </w:rPr>
        <w:t xml:space="preserve"> However, the authors suggested the timing of apheresis could be a critical factor, based on other reports showing that maximal reduction in morbidity and mortality can be achieved when apheresis is used as early as possible.</w:t>
      </w:r>
      <w:r w:rsidRPr="00A73C9E">
        <w:rPr>
          <w:rFonts w:ascii="Arial" w:eastAsia="Calibri" w:hAnsi="Arial" w:cs="Arial"/>
        </w:rPr>
        <w:t xml:space="preserve"> Comparable studies in children are not available. </w:t>
      </w:r>
      <w:r w:rsidR="001E5D57" w:rsidRPr="00A73C9E">
        <w:rPr>
          <w:rFonts w:ascii="Arial" w:hAnsi="Arial" w:cs="Arial"/>
        </w:rPr>
        <w:t xml:space="preserve">Randomized trials have not compared the efficacy of insulin and heparin to apheresis for the treatment of HTGP.  </w:t>
      </w:r>
    </w:p>
    <w:p w14:paraId="79DB6EEF" w14:textId="77777777" w:rsidR="001E5D57" w:rsidRPr="00A73C9E" w:rsidRDefault="001E5D57" w:rsidP="00A73C9E">
      <w:pPr>
        <w:spacing w:after="0" w:line="276" w:lineRule="auto"/>
        <w:rPr>
          <w:rFonts w:ascii="Arial" w:hAnsi="Arial" w:cs="Arial"/>
        </w:rPr>
      </w:pPr>
    </w:p>
    <w:tbl>
      <w:tblPr>
        <w:tblW w:w="10070" w:type="dxa"/>
        <w:tblCellMar>
          <w:left w:w="0" w:type="dxa"/>
          <w:right w:w="0" w:type="dxa"/>
        </w:tblCellMar>
        <w:tblLook w:val="04A0" w:firstRow="1" w:lastRow="0" w:firstColumn="1" w:lastColumn="0" w:noHBand="0" w:noVBand="1"/>
      </w:tblPr>
      <w:tblGrid>
        <w:gridCol w:w="1380"/>
        <w:gridCol w:w="3650"/>
        <w:gridCol w:w="5040"/>
      </w:tblGrid>
      <w:tr w:rsidR="001E5D57" w:rsidRPr="00A73C9E" w14:paraId="77470C34" w14:textId="77777777" w:rsidTr="00C930C7">
        <w:trPr>
          <w:trHeight w:val="206"/>
        </w:trPr>
        <w:tc>
          <w:tcPr>
            <w:tcW w:w="10070" w:type="dxa"/>
            <w:gridSpan w:val="3"/>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tcPr>
          <w:p w14:paraId="723BB2CB" w14:textId="5245176C" w:rsidR="001E5D57" w:rsidRPr="00A73C9E" w:rsidRDefault="001E5D57" w:rsidP="00A73C9E">
            <w:pPr>
              <w:spacing w:after="0" w:line="276" w:lineRule="auto"/>
              <w:rPr>
                <w:rFonts w:ascii="Arial" w:eastAsia="Calibri" w:hAnsi="Arial" w:cs="Arial"/>
                <w:b/>
                <w:color w:val="000000" w:themeColor="text1"/>
                <w:kern w:val="24"/>
              </w:rPr>
            </w:pPr>
            <w:r w:rsidRPr="00A73C9E">
              <w:rPr>
                <w:rFonts w:ascii="Arial" w:eastAsia="Calibri" w:hAnsi="Arial" w:cs="Arial"/>
                <w:b/>
                <w:color w:val="000000" w:themeColor="text1"/>
                <w:kern w:val="24"/>
              </w:rPr>
              <w:t>Table 4. More Aggressive Management for Hypertriglyceridemia</w:t>
            </w:r>
            <w:r w:rsidR="00D51593" w:rsidRPr="00A73C9E">
              <w:rPr>
                <w:rFonts w:ascii="Arial" w:eastAsia="Calibri" w:hAnsi="Arial" w:cs="Arial"/>
                <w:b/>
                <w:color w:val="000000" w:themeColor="text1"/>
                <w:kern w:val="24"/>
              </w:rPr>
              <w:t xml:space="preserve"> (18,19,20)</w:t>
            </w:r>
          </w:p>
        </w:tc>
      </w:tr>
      <w:tr w:rsidR="001E5D57" w:rsidRPr="00A73C9E" w14:paraId="2EFA3B15" w14:textId="77777777" w:rsidTr="00C930C7">
        <w:trPr>
          <w:trHeight w:val="287"/>
        </w:trPr>
        <w:tc>
          <w:tcPr>
            <w:tcW w:w="1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AC2DD5" w14:textId="77777777" w:rsidR="001E5D57" w:rsidRPr="00A73C9E" w:rsidRDefault="001E5D57" w:rsidP="00A73C9E">
            <w:pPr>
              <w:spacing w:after="0" w:line="276" w:lineRule="auto"/>
              <w:rPr>
                <w:rFonts w:ascii="Arial" w:eastAsia="Times New Roman" w:hAnsi="Arial" w:cs="Arial"/>
                <w:b/>
              </w:rPr>
            </w:pPr>
            <w:r w:rsidRPr="00A73C9E">
              <w:rPr>
                <w:rFonts w:ascii="Arial" w:eastAsia="Calibri" w:hAnsi="Arial" w:cs="Arial"/>
                <w:b/>
                <w:color w:val="000000" w:themeColor="text1"/>
                <w:kern w:val="24"/>
              </w:rPr>
              <w:t>Method</w:t>
            </w:r>
          </w:p>
        </w:tc>
        <w:tc>
          <w:tcPr>
            <w:tcW w:w="36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76749D4" w14:textId="77777777" w:rsidR="001E5D57" w:rsidRPr="00A73C9E" w:rsidRDefault="001E5D57" w:rsidP="00A73C9E">
            <w:pPr>
              <w:spacing w:after="0" w:line="276" w:lineRule="auto"/>
              <w:rPr>
                <w:rFonts w:ascii="Arial" w:eastAsia="Times New Roman" w:hAnsi="Arial" w:cs="Arial"/>
                <w:b/>
              </w:rPr>
            </w:pPr>
            <w:r w:rsidRPr="00A73C9E">
              <w:rPr>
                <w:rFonts w:ascii="Arial" w:eastAsia="Calibri" w:hAnsi="Arial" w:cs="Arial"/>
                <w:b/>
                <w:color w:val="000000" w:themeColor="text1"/>
                <w:kern w:val="24"/>
              </w:rPr>
              <w:t>Route</w:t>
            </w:r>
          </w:p>
        </w:tc>
        <w:tc>
          <w:tcPr>
            <w:tcW w:w="5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8810D2" w14:textId="77777777" w:rsidR="001E5D57" w:rsidRPr="00A73C9E" w:rsidRDefault="001E5D57" w:rsidP="00A73C9E">
            <w:pPr>
              <w:spacing w:after="0" w:line="276" w:lineRule="auto"/>
              <w:rPr>
                <w:rFonts w:ascii="Arial" w:eastAsia="Times New Roman" w:hAnsi="Arial" w:cs="Arial"/>
                <w:b/>
              </w:rPr>
            </w:pPr>
            <w:r w:rsidRPr="00A73C9E">
              <w:rPr>
                <w:rFonts w:ascii="Arial" w:eastAsia="Calibri" w:hAnsi="Arial" w:cs="Arial"/>
                <w:b/>
                <w:color w:val="000000" w:themeColor="text1"/>
                <w:kern w:val="24"/>
              </w:rPr>
              <w:t>Mechanism</w:t>
            </w:r>
          </w:p>
        </w:tc>
      </w:tr>
      <w:tr w:rsidR="001E5D57" w:rsidRPr="00A73C9E" w14:paraId="652D68B5" w14:textId="77777777" w:rsidTr="00C930C7">
        <w:trPr>
          <w:trHeight w:val="990"/>
        </w:trPr>
        <w:tc>
          <w:tcPr>
            <w:tcW w:w="1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B95298" w14:textId="731F6BF8" w:rsidR="001E5D57" w:rsidRPr="00A73C9E" w:rsidRDefault="001E5D57" w:rsidP="00A73C9E">
            <w:pPr>
              <w:spacing w:after="0" w:line="276" w:lineRule="auto"/>
              <w:rPr>
                <w:rFonts w:ascii="Arial" w:eastAsia="Times New Roman" w:hAnsi="Arial" w:cs="Arial"/>
              </w:rPr>
            </w:pPr>
            <w:r w:rsidRPr="00A73C9E">
              <w:rPr>
                <w:rFonts w:ascii="Arial" w:eastAsia="Calibri" w:hAnsi="Arial" w:cs="Arial"/>
                <w:color w:val="000000" w:themeColor="text1"/>
                <w:kern w:val="24"/>
              </w:rPr>
              <w:lastRenderedPageBreak/>
              <w:t>Insulin</w:t>
            </w:r>
          </w:p>
        </w:tc>
        <w:tc>
          <w:tcPr>
            <w:tcW w:w="36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A2735F" w14:textId="77777777" w:rsidR="001E5D57" w:rsidRPr="00A73C9E" w:rsidRDefault="001E5D57" w:rsidP="00A73C9E">
            <w:pPr>
              <w:numPr>
                <w:ilvl w:val="0"/>
                <w:numId w:val="31"/>
              </w:numPr>
              <w:spacing w:after="0" w:line="276" w:lineRule="auto"/>
              <w:ind w:left="0" w:hanging="242"/>
              <w:contextualSpacing/>
              <w:rPr>
                <w:rFonts w:ascii="Arial" w:eastAsia="Times New Roman" w:hAnsi="Arial" w:cs="Arial"/>
              </w:rPr>
            </w:pPr>
            <w:r w:rsidRPr="00A73C9E">
              <w:rPr>
                <w:rFonts w:ascii="Arial" w:eastAsia="Calibri" w:hAnsi="Arial" w:cs="Arial"/>
                <w:color w:val="000000" w:themeColor="text1"/>
                <w:kern w:val="24"/>
              </w:rPr>
              <w:t>Dose: 0.05-0.1/kg/hr by continuous IV infusion.</w:t>
            </w:r>
          </w:p>
          <w:p w14:paraId="233101C5" w14:textId="77777777" w:rsidR="001E5D57" w:rsidRPr="00A73C9E" w:rsidRDefault="001E5D57" w:rsidP="00A73C9E">
            <w:pPr>
              <w:numPr>
                <w:ilvl w:val="0"/>
                <w:numId w:val="31"/>
              </w:numPr>
              <w:spacing w:after="0" w:line="276" w:lineRule="auto"/>
              <w:ind w:left="0" w:hanging="242"/>
              <w:contextualSpacing/>
              <w:rPr>
                <w:rFonts w:ascii="Arial" w:eastAsia="Times New Roman" w:hAnsi="Arial" w:cs="Arial"/>
              </w:rPr>
            </w:pPr>
            <w:r w:rsidRPr="00A73C9E">
              <w:rPr>
                <w:rFonts w:ascii="Arial" w:eastAsia="Calibri" w:hAnsi="Arial" w:cs="Arial"/>
                <w:color w:val="000000" w:themeColor="text1"/>
                <w:kern w:val="24"/>
              </w:rPr>
              <w:t xml:space="preserve">Administer concomitant IV dextrose to avoid hypoglycemia. </w:t>
            </w:r>
          </w:p>
          <w:p w14:paraId="2A1D9897" w14:textId="77777777" w:rsidR="001E5D57" w:rsidRPr="00A73C9E" w:rsidRDefault="001E5D57" w:rsidP="00A73C9E">
            <w:pPr>
              <w:numPr>
                <w:ilvl w:val="0"/>
                <w:numId w:val="31"/>
              </w:numPr>
              <w:spacing w:after="0" w:line="276" w:lineRule="auto"/>
              <w:ind w:left="0" w:hanging="242"/>
              <w:contextualSpacing/>
              <w:rPr>
                <w:rFonts w:ascii="Arial" w:eastAsia="Times New Roman" w:hAnsi="Arial" w:cs="Arial"/>
              </w:rPr>
            </w:pPr>
            <w:r w:rsidRPr="00A73C9E">
              <w:rPr>
                <w:rFonts w:ascii="Arial" w:eastAsia="Calibri" w:hAnsi="Arial" w:cs="Arial"/>
                <w:color w:val="000000" w:themeColor="text1"/>
                <w:kern w:val="24"/>
              </w:rPr>
              <w:t>Consider use of the “2-bag” system to titrate insulin and dextrose delivery.</w:t>
            </w:r>
          </w:p>
        </w:tc>
        <w:tc>
          <w:tcPr>
            <w:tcW w:w="5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73B145" w14:textId="77777777" w:rsidR="001E5D57" w:rsidRPr="00A73C9E" w:rsidRDefault="001E5D57" w:rsidP="00A73C9E">
            <w:pPr>
              <w:numPr>
                <w:ilvl w:val="0"/>
                <w:numId w:val="28"/>
              </w:numPr>
              <w:spacing w:after="0" w:line="276" w:lineRule="auto"/>
              <w:ind w:left="0" w:hanging="232"/>
              <w:contextualSpacing/>
              <w:rPr>
                <w:rFonts w:ascii="Arial" w:eastAsia="Times New Roman" w:hAnsi="Arial" w:cs="Arial"/>
              </w:rPr>
            </w:pPr>
            <w:r w:rsidRPr="00A73C9E">
              <w:rPr>
                <w:rFonts w:ascii="Arial" w:eastAsia="Calibri" w:hAnsi="Arial" w:cs="Arial"/>
                <w:color w:val="000000" w:themeColor="text1"/>
                <w:kern w:val="24"/>
              </w:rPr>
              <w:t xml:space="preserve">Insulin increases lipoprotein lipase (LPL) activity which can degrade chylomicrons and thus reduce serum triglycerides. </w:t>
            </w:r>
          </w:p>
          <w:p w14:paraId="0D648ACC" w14:textId="77777777" w:rsidR="001E5D57" w:rsidRPr="00A73C9E" w:rsidRDefault="001E5D57" w:rsidP="00A73C9E">
            <w:pPr>
              <w:numPr>
                <w:ilvl w:val="0"/>
                <w:numId w:val="28"/>
              </w:numPr>
              <w:spacing w:after="0" w:line="276" w:lineRule="auto"/>
              <w:ind w:left="0" w:hanging="232"/>
              <w:contextualSpacing/>
              <w:rPr>
                <w:rFonts w:ascii="Arial" w:eastAsia="Times New Roman" w:hAnsi="Arial" w:cs="Arial"/>
              </w:rPr>
            </w:pPr>
            <w:r w:rsidRPr="00A73C9E">
              <w:rPr>
                <w:rFonts w:ascii="Arial" w:eastAsia="Calibri" w:hAnsi="Arial" w:cs="Arial"/>
                <w:color w:val="000000" w:themeColor="text1"/>
                <w:kern w:val="24"/>
              </w:rPr>
              <w:t>Intravenous insulin may be more effective than subcutaneous insulin in severe cases of HTG.</w:t>
            </w:r>
          </w:p>
        </w:tc>
      </w:tr>
      <w:tr w:rsidR="001E5D57" w:rsidRPr="00A73C9E" w14:paraId="1C6BCE57" w14:textId="77777777" w:rsidTr="00C930C7">
        <w:trPr>
          <w:trHeight w:val="747"/>
        </w:trPr>
        <w:tc>
          <w:tcPr>
            <w:tcW w:w="1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16D53A" w14:textId="177DF91D" w:rsidR="001E5D57" w:rsidRPr="00A73C9E" w:rsidRDefault="001E5D57" w:rsidP="00A73C9E">
            <w:pPr>
              <w:spacing w:after="0" w:line="276" w:lineRule="auto"/>
              <w:rPr>
                <w:rFonts w:ascii="Arial" w:eastAsia="Times New Roman" w:hAnsi="Arial" w:cs="Arial"/>
              </w:rPr>
            </w:pPr>
            <w:r w:rsidRPr="00A73C9E">
              <w:rPr>
                <w:rFonts w:ascii="Arial" w:eastAsia="Calibri" w:hAnsi="Arial" w:cs="Arial"/>
                <w:color w:val="000000" w:themeColor="text1"/>
                <w:kern w:val="24"/>
              </w:rPr>
              <w:t>Heparin</w:t>
            </w:r>
          </w:p>
        </w:tc>
        <w:tc>
          <w:tcPr>
            <w:tcW w:w="36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FED401" w14:textId="77777777" w:rsidR="001E5D57" w:rsidRPr="00A73C9E" w:rsidRDefault="001E5D57" w:rsidP="00A73C9E">
            <w:pPr>
              <w:numPr>
                <w:ilvl w:val="0"/>
                <w:numId w:val="29"/>
              </w:numPr>
              <w:spacing w:after="0" w:line="276" w:lineRule="auto"/>
              <w:ind w:left="0" w:hanging="242"/>
              <w:contextualSpacing/>
              <w:rPr>
                <w:rFonts w:ascii="Arial" w:eastAsia="Times New Roman" w:hAnsi="Arial" w:cs="Arial"/>
              </w:rPr>
            </w:pPr>
            <w:r w:rsidRPr="00A73C9E">
              <w:rPr>
                <w:rFonts w:ascii="Arial" w:eastAsia="Calibri" w:hAnsi="Arial" w:cs="Arial"/>
                <w:color w:val="000000" w:themeColor="text1"/>
                <w:kern w:val="24"/>
              </w:rPr>
              <w:t>Generally, not recommended as a monotherapy.</w:t>
            </w:r>
          </w:p>
        </w:tc>
        <w:tc>
          <w:tcPr>
            <w:tcW w:w="5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182492" w14:textId="77777777" w:rsidR="001E5D57" w:rsidRPr="00A73C9E" w:rsidRDefault="001E5D57" w:rsidP="00A73C9E">
            <w:pPr>
              <w:numPr>
                <w:ilvl w:val="0"/>
                <w:numId w:val="29"/>
              </w:numPr>
              <w:tabs>
                <w:tab w:val="num" w:pos="232"/>
              </w:tabs>
              <w:spacing w:after="0" w:line="276" w:lineRule="auto"/>
              <w:ind w:left="0" w:hanging="412"/>
              <w:contextualSpacing/>
              <w:rPr>
                <w:rFonts w:ascii="Arial" w:eastAsia="Times New Roman" w:hAnsi="Arial" w:cs="Arial"/>
              </w:rPr>
            </w:pPr>
            <w:r w:rsidRPr="00A73C9E">
              <w:rPr>
                <w:rFonts w:ascii="Arial" w:eastAsia="Calibri" w:hAnsi="Arial" w:cs="Arial"/>
                <w:color w:val="000000" w:themeColor="text1"/>
                <w:kern w:val="24"/>
              </w:rPr>
              <w:t xml:space="preserve">Stimulates release of endothelial LPL into circulation. </w:t>
            </w:r>
          </w:p>
          <w:p w14:paraId="303FD8C5" w14:textId="77777777" w:rsidR="001E5D57" w:rsidRPr="00A73C9E" w:rsidRDefault="001E5D57" w:rsidP="00A73C9E">
            <w:pPr>
              <w:numPr>
                <w:ilvl w:val="0"/>
                <w:numId w:val="29"/>
              </w:numPr>
              <w:tabs>
                <w:tab w:val="num" w:pos="232"/>
              </w:tabs>
              <w:spacing w:after="0" w:line="276" w:lineRule="auto"/>
              <w:ind w:left="0" w:hanging="232"/>
              <w:contextualSpacing/>
              <w:rPr>
                <w:rFonts w:ascii="Arial" w:eastAsia="Times New Roman" w:hAnsi="Arial" w:cs="Arial"/>
              </w:rPr>
            </w:pPr>
            <w:r w:rsidRPr="00A73C9E">
              <w:rPr>
                <w:rFonts w:ascii="Arial" w:eastAsia="Calibri" w:hAnsi="Arial" w:cs="Arial"/>
                <w:color w:val="000000" w:themeColor="text1"/>
                <w:kern w:val="24"/>
              </w:rPr>
              <w:t>However, use of heparin may only result in transient rise in LPL followed by increased degradation of plasma stores causing LPL deficiency.</w:t>
            </w:r>
          </w:p>
        </w:tc>
      </w:tr>
      <w:tr w:rsidR="001E5D57" w:rsidRPr="00A73C9E" w14:paraId="65F5140F" w14:textId="77777777" w:rsidTr="00C930C7">
        <w:trPr>
          <w:trHeight w:val="1704"/>
        </w:trPr>
        <w:tc>
          <w:tcPr>
            <w:tcW w:w="1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D7B219" w14:textId="56CA964A" w:rsidR="001E5D57" w:rsidRPr="00A73C9E" w:rsidRDefault="001E5D57" w:rsidP="00A73C9E">
            <w:pPr>
              <w:spacing w:after="0" w:line="276" w:lineRule="auto"/>
              <w:rPr>
                <w:rFonts w:ascii="Arial" w:eastAsia="Times New Roman" w:hAnsi="Arial" w:cs="Arial"/>
              </w:rPr>
            </w:pPr>
            <w:r w:rsidRPr="00A73C9E">
              <w:rPr>
                <w:rFonts w:ascii="Arial" w:eastAsia="Calibri" w:hAnsi="Arial" w:cs="Arial"/>
                <w:color w:val="000000" w:themeColor="text1"/>
                <w:kern w:val="24"/>
              </w:rPr>
              <w:t>Double membrane filtration or plasma exchange</w:t>
            </w:r>
          </w:p>
        </w:tc>
        <w:tc>
          <w:tcPr>
            <w:tcW w:w="36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D868C2" w14:textId="77777777" w:rsidR="001E5D57" w:rsidRPr="00A73C9E" w:rsidRDefault="001E5D57" w:rsidP="00A73C9E">
            <w:pPr>
              <w:numPr>
                <w:ilvl w:val="0"/>
                <w:numId w:val="30"/>
              </w:numPr>
              <w:spacing w:after="0" w:line="276" w:lineRule="auto"/>
              <w:ind w:left="0" w:hanging="242"/>
              <w:contextualSpacing/>
              <w:rPr>
                <w:rFonts w:ascii="Arial" w:eastAsia="Times New Roman" w:hAnsi="Arial" w:cs="Arial"/>
              </w:rPr>
            </w:pPr>
            <w:r w:rsidRPr="00A73C9E">
              <w:rPr>
                <w:rFonts w:ascii="Arial" w:eastAsia="Calibri" w:hAnsi="Arial" w:cs="Arial"/>
                <w:color w:val="000000" w:themeColor="text1"/>
                <w:kern w:val="24"/>
              </w:rPr>
              <w:t xml:space="preserve">Adequate vascular access may be challenging. </w:t>
            </w:r>
          </w:p>
          <w:p w14:paraId="0037C81A" w14:textId="77777777" w:rsidR="001E5D57" w:rsidRPr="00A73C9E" w:rsidRDefault="001E5D57" w:rsidP="00A73C9E">
            <w:pPr>
              <w:numPr>
                <w:ilvl w:val="0"/>
                <w:numId w:val="30"/>
              </w:numPr>
              <w:spacing w:after="0" w:line="276" w:lineRule="auto"/>
              <w:ind w:left="0" w:hanging="242"/>
              <w:contextualSpacing/>
              <w:rPr>
                <w:rFonts w:ascii="Arial" w:eastAsia="Times New Roman" w:hAnsi="Arial" w:cs="Arial"/>
              </w:rPr>
            </w:pPr>
            <w:r w:rsidRPr="00A73C9E">
              <w:rPr>
                <w:rFonts w:ascii="Arial" w:eastAsia="Calibri" w:hAnsi="Arial" w:cs="Arial"/>
                <w:color w:val="000000" w:themeColor="text1"/>
                <w:kern w:val="24"/>
              </w:rPr>
              <w:t>Expensive procedure; not available in all medical centers.</w:t>
            </w:r>
          </w:p>
        </w:tc>
        <w:tc>
          <w:tcPr>
            <w:tcW w:w="5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70436F4" w14:textId="77777777" w:rsidR="001E5D57" w:rsidRPr="00A73C9E" w:rsidRDefault="001E5D57" w:rsidP="00A73C9E">
            <w:pPr>
              <w:numPr>
                <w:ilvl w:val="0"/>
                <w:numId w:val="30"/>
              </w:numPr>
              <w:spacing w:after="0" w:line="276" w:lineRule="auto"/>
              <w:ind w:left="0" w:hanging="232"/>
              <w:contextualSpacing/>
              <w:rPr>
                <w:rFonts w:ascii="Arial" w:eastAsia="Times New Roman" w:hAnsi="Arial" w:cs="Arial"/>
              </w:rPr>
            </w:pPr>
            <w:r w:rsidRPr="00A73C9E">
              <w:rPr>
                <w:rFonts w:ascii="Arial" w:eastAsia="Calibri" w:hAnsi="Arial" w:cs="Arial"/>
                <w:color w:val="000000" w:themeColor="text1"/>
                <w:kern w:val="24"/>
              </w:rPr>
              <w:t xml:space="preserve">The beneficial effect of plasmapheresis is believed to be due to a rapid decrease in TG levels.  </w:t>
            </w:r>
          </w:p>
          <w:p w14:paraId="77BD209B" w14:textId="77777777" w:rsidR="001E5D57" w:rsidRPr="00A73C9E" w:rsidRDefault="001E5D57" w:rsidP="00A73C9E">
            <w:pPr>
              <w:numPr>
                <w:ilvl w:val="0"/>
                <w:numId w:val="30"/>
              </w:numPr>
              <w:spacing w:after="0" w:line="276" w:lineRule="auto"/>
              <w:ind w:left="0" w:hanging="232"/>
              <w:contextualSpacing/>
              <w:rPr>
                <w:rFonts w:ascii="Arial" w:eastAsia="Times New Roman" w:hAnsi="Arial" w:cs="Arial"/>
              </w:rPr>
            </w:pPr>
            <w:r w:rsidRPr="00A73C9E">
              <w:rPr>
                <w:rFonts w:ascii="Arial" w:eastAsia="Calibri" w:hAnsi="Arial" w:cs="Arial"/>
                <w:color w:val="000000" w:themeColor="text1"/>
                <w:kern w:val="24"/>
              </w:rPr>
              <w:t>The effects of heparin, the removal of excessive proteases from the plasma, and replacement of consumed protease-inhibitors with new ones from donor plasma may play an additional beneficial role.</w:t>
            </w:r>
          </w:p>
          <w:p w14:paraId="2D98CD2D" w14:textId="77777777" w:rsidR="001E5D57" w:rsidRPr="00A73C9E" w:rsidRDefault="001E5D57" w:rsidP="00A73C9E">
            <w:pPr>
              <w:numPr>
                <w:ilvl w:val="0"/>
                <w:numId w:val="30"/>
              </w:numPr>
              <w:spacing w:after="0" w:line="276" w:lineRule="auto"/>
              <w:ind w:left="0" w:hanging="232"/>
              <w:contextualSpacing/>
              <w:rPr>
                <w:rFonts w:ascii="Arial" w:eastAsia="Times New Roman" w:hAnsi="Arial" w:cs="Arial"/>
              </w:rPr>
            </w:pPr>
            <w:r w:rsidRPr="00A73C9E">
              <w:rPr>
                <w:rFonts w:ascii="Arial" w:eastAsia="Calibri" w:hAnsi="Arial" w:cs="Arial"/>
                <w:color w:val="000000" w:themeColor="text1"/>
                <w:kern w:val="24"/>
              </w:rPr>
              <w:t xml:space="preserve">Use of donor plasma carries risks of transfusion-related allergic reaction or infection. </w:t>
            </w:r>
          </w:p>
          <w:p w14:paraId="5A03FC5B" w14:textId="77777777" w:rsidR="001E5D57" w:rsidRPr="00A73C9E" w:rsidRDefault="001E5D57" w:rsidP="00A73C9E">
            <w:pPr>
              <w:numPr>
                <w:ilvl w:val="0"/>
                <w:numId w:val="30"/>
              </w:numPr>
              <w:spacing w:after="0" w:line="276" w:lineRule="auto"/>
              <w:ind w:left="0" w:hanging="232"/>
              <w:contextualSpacing/>
              <w:rPr>
                <w:rFonts w:ascii="Arial" w:eastAsia="Times New Roman" w:hAnsi="Arial" w:cs="Arial"/>
              </w:rPr>
            </w:pPr>
            <w:r w:rsidRPr="00A73C9E">
              <w:rPr>
                <w:rFonts w:ascii="Arial" w:eastAsia="Calibri" w:hAnsi="Arial" w:cs="Arial"/>
                <w:color w:val="000000" w:themeColor="text1"/>
                <w:kern w:val="24"/>
              </w:rPr>
              <w:t>Requires transient anti-coagulation.</w:t>
            </w:r>
          </w:p>
        </w:tc>
      </w:tr>
    </w:tbl>
    <w:p w14:paraId="4BE6C64E" w14:textId="77777777" w:rsidR="001E5D57" w:rsidRPr="00A73C9E" w:rsidRDefault="001E5D57" w:rsidP="00A73C9E">
      <w:pPr>
        <w:spacing w:after="0" w:line="276" w:lineRule="auto"/>
        <w:rPr>
          <w:rFonts w:ascii="Arial" w:eastAsia="Calibri" w:hAnsi="Arial" w:cs="Arial"/>
        </w:rPr>
      </w:pPr>
    </w:p>
    <w:p w14:paraId="6F527673" w14:textId="6C663E80" w:rsidR="001E5D57" w:rsidRPr="00A73C9E" w:rsidRDefault="001E5D57" w:rsidP="00A73C9E">
      <w:pPr>
        <w:spacing w:after="0" w:line="276" w:lineRule="auto"/>
        <w:rPr>
          <w:rFonts w:ascii="Arial" w:eastAsia="Calibri" w:hAnsi="Arial" w:cs="Arial"/>
        </w:rPr>
      </w:pPr>
      <w:r w:rsidRPr="00A73C9E">
        <w:rPr>
          <w:rFonts w:ascii="Arial" w:eastAsia="Calibri" w:hAnsi="Arial" w:cs="Arial"/>
        </w:rPr>
        <w:t>Presently there are no pediatric guidelines to assist clinical decision-making when more aggressive therapy might be appropriate. In general, more aggressive TG-lowering should be considered in those who fail to response to</w:t>
      </w:r>
      <w:r w:rsidR="008C1EBF">
        <w:rPr>
          <w:rFonts w:ascii="Arial" w:eastAsia="Calibri" w:hAnsi="Arial" w:cs="Arial"/>
        </w:rPr>
        <w:t xml:space="preserve"> </w:t>
      </w:r>
      <w:r w:rsidRPr="00A73C9E">
        <w:rPr>
          <w:rFonts w:ascii="Arial" w:eastAsia="Calibri" w:hAnsi="Arial" w:cs="Arial"/>
        </w:rPr>
        <w:t>conventional treatment and in whom there is evidence of organ dysfunction or failure (Figure</w:t>
      </w:r>
      <w:r w:rsidR="008C1EBF">
        <w:rPr>
          <w:rFonts w:ascii="Arial" w:eastAsia="Calibri" w:hAnsi="Arial" w:cs="Arial"/>
        </w:rPr>
        <w:t xml:space="preserve"> 1</w:t>
      </w:r>
      <w:r w:rsidRPr="00A73C9E">
        <w:rPr>
          <w:rFonts w:ascii="Arial" w:eastAsia="Calibri" w:hAnsi="Arial" w:cs="Arial"/>
        </w:rPr>
        <w:t xml:space="preserve">). In addition to the parameters listed </w:t>
      </w:r>
      <w:r w:rsidR="008C1EBF">
        <w:rPr>
          <w:rFonts w:ascii="Arial" w:eastAsia="Calibri" w:hAnsi="Arial" w:cs="Arial"/>
        </w:rPr>
        <w:t xml:space="preserve">in </w:t>
      </w:r>
      <w:r w:rsidRPr="00A73C9E">
        <w:rPr>
          <w:rFonts w:ascii="Arial" w:eastAsia="Calibri" w:hAnsi="Arial" w:cs="Arial"/>
        </w:rPr>
        <w:t>Figure</w:t>
      </w:r>
      <w:r w:rsidR="008C1EBF">
        <w:rPr>
          <w:rFonts w:ascii="Arial" w:eastAsia="Calibri" w:hAnsi="Arial" w:cs="Arial"/>
        </w:rPr>
        <w:t xml:space="preserve"> 1</w:t>
      </w:r>
      <w:r w:rsidRPr="00A73C9E">
        <w:rPr>
          <w:rFonts w:ascii="Arial" w:eastAsia="Calibri" w:hAnsi="Arial" w:cs="Arial"/>
        </w:rPr>
        <w:t>, given the effects of SHTG, alternated sensorium may also be an indication for aggressive TG-lowering. Although</w:t>
      </w:r>
      <w:r w:rsidRPr="00A73C9E">
        <w:rPr>
          <w:rFonts w:ascii="Arial" w:hAnsi="Arial" w:cs="Arial"/>
        </w:rPr>
        <w:t xml:space="preserve"> </w:t>
      </w:r>
      <w:r w:rsidRPr="00A73C9E">
        <w:rPr>
          <w:rFonts w:ascii="Arial" w:eastAsia="Calibri" w:hAnsi="Arial" w:cs="Arial"/>
        </w:rPr>
        <w:t>plasma exchange for treating TG-related AP was included in the 2007 Guidelines on the Use of Therapeutic Apheresis in Clinical Practice from the Apheresis, the strength of the evidence was assigned to category III (“suggestion of benefit or for which existing evidence is insufficient to establish or clarify the risk/benefit”)</w:t>
      </w:r>
      <w:r w:rsidR="00D91F6F" w:rsidRPr="00A73C9E">
        <w:rPr>
          <w:rFonts w:ascii="Arial" w:eastAsia="Calibri" w:hAnsi="Arial" w:cs="Arial"/>
        </w:rPr>
        <w:t xml:space="preserve"> (7)</w:t>
      </w:r>
      <w:r w:rsidRPr="00A73C9E">
        <w:rPr>
          <w:rFonts w:ascii="Arial" w:eastAsia="Calibri" w:hAnsi="Arial" w:cs="Arial"/>
        </w:rPr>
        <w:t>. Therefore, clinical judgement is needed in deciding when to use of more aggressive HTG-lowering treatment.</w:t>
      </w:r>
    </w:p>
    <w:p w14:paraId="228CB53B" w14:textId="77777777" w:rsidR="00C56DF9" w:rsidRPr="00A73C9E" w:rsidRDefault="00C56DF9" w:rsidP="00A73C9E">
      <w:pPr>
        <w:spacing w:after="0" w:line="276" w:lineRule="auto"/>
        <w:rPr>
          <w:rFonts w:ascii="Arial" w:eastAsia="Calibri" w:hAnsi="Arial" w:cs="Arial"/>
        </w:rPr>
      </w:pPr>
    </w:p>
    <w:p w14:paraId="61325529" w14:textId="297899CE" w:rsidR="00C56DF9" w:rsidRPr="00433F39" w:rsidRDefault="00C56DF9" w:rsidP="00A73C9E">
      <w:pPr>
        <w:spacing w:after="0" w:line="276" w:lineRule="auto"/>
        <w:rPr>
          <w:rFonts w:ascii="Arial" w:eastAsia="Calibri" w:hAnsi="Arial" w:cs="Arial"/>
          <w:b/>
          <w:color w:val="00B050"/>
        </w:rPr>
      </w:pPr>
      <w:r w:rsidRPr="00433F39">
        <w:rPr>
          <w:rFonts w:ascii="Arial" w:eastAsia="Calibri" w:hAnsi="Arial" w:cs="Arial"/>
          <w:b/>
          <w:color w:val="00B050"/>
        </w:rPr>
        <w:t>Prevention of Future Episodes of Acute Pancreatitis</w:t>
      </w:r>
    </w:p>
    <w:p w14:paraId="12B13D7E" w14:textId="77777777" w:rsidR="008C1EBF" w:rsidRPr="00A73C9E" w:rsidRDefault="008C1EBF" w:rsidP="00A73C9E">
      <w:pPr>
        <w:spacing w:after="0" w:line="276" w:lineRule="auto"/>
        <w:rPr>
          <w:rFonts w:ascii="Arial" w:eastAsia="Calibri" w:hAnsi="Arial" w:cs="Arial"/>
          <w:b/>
        </w:rPr>
      </w:pPr>
    </w:p>
    <w:p w14:paraId="36C43FD4" w14:textId="11863C2F" w:rsidR="00C56DF9" w:rsidRPr="00A73C9E" w:rsidRDefault="00C56DF9" w:rsidP="00A73C9E">
      <w:pPr>
        <w:spacing w:after="0" w:line="276" w:lineRule="auto"/>
        <w:rPr>
          <w:rFonts w:ascii="Arial" w:eastAsia="Calibri" w:hAnsi="Arial" w:cs="Arial"/>
        </w:rPr>
      </w:pPr>
      <w:r w:rsidRPr="00A73C9E">
        <w:rPr>
          <w:rFonts w:ascii="Arial" w:eastAsia="Calibri" w:hAnsi="Arial" w:cs="Arial"/>
        </w:rPr>
        <w:t>Although lipid lowering drugs, mainly fibric acid derivatives and omega-3-fatty acids, have been shown to effectively lower TG in adults, none are FDA approved for use in children (Table 5).  Published guidelines, however, suggest lipid lowering drugs should be considered in children 18 years of age or younger with persistent TG ≥ 500 mg/dL (</w:t>
      </w:r>
      <w:r w:rsidR="00D91F6F" w:rsidRPr="00A73C9E">
        <w:rPr>
          <w:rFonts w:ascii="Arial" w:eastAsia="Calibri" w:hAnsi="Arial" w:cs="Arial"/>
        </w:rPr>
        <w:t>8</w:t>
      </w:r>
      <w:r w:rsidR="008C1EBF">
        <w:rPr>
          <w:rFonts w:ascii="Arial" w:eastAsia="Calibri" w:hAnsi="Arial" w:cs="Arial"/>
        </w:rPr>
        <w:t xml:space="preserve">, </w:t>
      </w:r>
      <w:r w:rsidR="00D91F6F" w:rsidRPr="00A73C9E">
        <w:rPr>
          <w:rFonts w:ascii="Arial" w:eastAsia="Calibri" w:hAnsi="Arial" w:cs="Arial"/>
        </w:rPr>
        <w:t>9</w:t>
      </w:r>
      <w:r w:rsidRPr="00A73C9E">
        <w:rPr>
          <w:rFonts w:ascii="Arial" w:eastAsia="Calibri" w:hAnsi="Arial" w:cs="Arial"/>
        </w:rPr>
        <w:t>)</w:t>
      </w:r>
      <w:r w:rsidR="00D91F6F" w:rsidRPr="00A73C9E">
        <w:rPr>
          <w:rFonts w:ascii="Arial" w:eastAsia="Calibri" w:hAnsi="Arial" w:cs="Arial"/>
        </w:rPr>
        <w:t>.</w:t>
      </w:r>
      <w:r w:rsidRPr="00A73C9E">
        <w:rPr>
          <w:rFonts w:ascii="Arial" w:eastAsia="Calibri" w:hAnsi="Arial" w:cs="Arial"/>
        </w:rPr>
        <w:t xml:space="preserve"> </w:t>
      </w:r>
    </w:p>
    <w:p w14:paraId="1C659989" w14:textId="77777777" w:rsidR="00C853FB" w:rsidRPr="00A73C9E" w:rsidRDefault="00C853FB" w:rsidP="00A73C9E">
      <w:pPr>
        <w:spacing w:after="0" w:line="276" w:lineRule="auto"/>
        <w:rPr>
          <w:rFonts w:ascii="Arial" w:eastAsia="Calibri" w:hAnsi="Arial" w:cs="Arial"/>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2340"/>
        <w:gridCol w:w="1620"/>
        <w:gridCol w:w="2218"/>
        <w:gridCol w:w="2665"/>
      </w:tblGrid>
      <w:tr w:rsidR="00EF1C54" w:rsidRPr="00A73C9E" w14:paraId="528CFCC3" w14:textId="77777777" w:rsidTr="00D51593">
        <w:trPr>
          <w:trHeight w:val="257"/>
        </w:trPr>
        <w:tc>
          <w:tcPr>
            <w:tcW w:w="10278" w:type="dxa"/>
            <w:gridSpan w:val="5"/>
            <w:shd w:val="clear" w:color="auto" w:fill="FFFF00"/>
            <w:vAlign w:val="center"/>
          </w:tcPr>
          <w:p w14:paraId="142E62B2" w14:textId="558189C6" w:rsidR="00EF1C54" w:rsidRPr="00A73C9E" w:rsidRDefault="001E5D57" w:rsidP="00A73C9E">
            <w:pPr>
              <w:autoSpaceDE w:val="0"/>
              <w:autoSpaceDN w:val="0"/>
              <w:adjustRightInd w:val="0"/>
              <w:spacing w:after="0" w:line="276" w:lineRule="auto"/>
              <w:rPr>
                <w:rFonts w:ascii="Arial" w:hAnsi="Arial" w:cs="Arial"/>
              </w:rPr>
            </w:pPr>
            <w:r w:rsidRPr="00A73C9E">
              <w:rPr>
                <w:rFonts w:ascii="Arial" w:hAnsi="Arial" w:cs="Arial"/>
                <w:b/>
              </w:rPr>
              <w:lastRenderedPageBreak/>
              <w:t>Table 5</w:t>
            </w:r>
            <w:r w:rsidR="00EF1C54" w:rsidRPr="00A73C9E">
              <w:rPr>
                <w:rFonts w:ascii="Arial" w:hAnsi="Arial" w:cs="Arial"/>
                <w:b/>
              </w:rPr>
              <w:t xml:space="preserve">.  Medications for Primarily Lowering Triglycerides </w:t>
            </w:r>
            <w:r w:rsidR="00B830DB" w:rsidRPr="00A73C9E">
              <w:rPr>
                <w:rFonts w:ascii="Arial" w:hAnsi="Arial" w:cs="Arial"/>
              </w:rPr>
              <w:t>[M</w:t>
            </w:r>
            <w:r w:rsidR="00EF1C54" w:rsidRPr="00A73C9E">
              <w:rPr>
                <w:rFonts w:ascii="Arial" w:hAnsi="Arial" w:cs="Arial"/>
              </w:rPr>
              <w:t xml:space="preserve">odified from </w:t>
            </w:r>
            <w:r w:rsidR="00D51593" w:rsidRPr="00A73C9E">
              <w:rPr>
                <w:rFonts w:ascii="Arial" w:hAnsi="Arial" w:cs="Arial"/>
              </w:rPr>
              <w:t>(</w:t>
            </w:r>
            <w:r w:rsidR="00B830DB" w:rsidRPr="00A73C9E">
              <w:rPr>
                <w:rFonts w:ascii="Arial" w:hAnsi="Arial" w:cs="Arial"/>
                <w:color w:val="53565A"/>
              </w:rPr>
              <w:t>9</w:t>
            </w:r>
            <w:r w:rsidR="00EF1C54" w:rsidRPr="00A73C9E">
              <w:rPr>
                <w:rFonts w:ascii="Arial" w:hAnsi="Arial" w:cs="Arial"/>
              </w:rPr>
              <w:t>)</w:t>
            </w:r>
            <w:r w:rsidR="00D51593" w:rsidRPr="00A73C9E">
              <w:rPr>
                <w:rFonts w:ascii="Arial" w:hAnsi="Arial" w:cs="Arial"/>
              </w:rPr>
              <w:t>.</w:t>
            </w:r>
          </w:p>
        </w:tc>
      </w:tr>
      <w:tr w:rsidR="00EF1C54" w:rsidRPr="00A73C9E" w14:paraId="3F5EFB2B" w14:textId="77777777" w:rsidTr="00D51593">
        <w:trPr>
          <w:trHeight w:val="203"/>
        </w:trPr>
        <w:tc>
          <w:tcPr>
            <w:tcW w:w="1435" w:type="dxa"/>
          </w:tcPr>
          <w:p w14:paraId="05C9A43A" w14:textId="77777777" w:rsidR="00EF1C54" w:rsidRPr="00A73C9E" w:rsidRDefault="00EF1C54" w:rsidP="00A73C9E">
            <w:pPr>
              <w:autoSpaceDE w:val="0"/>
              <w:autoSpaceDN w:val="0"/>
              <w:adjustRightInd w:val="0"/>
              <w:spacing w:after="0" w:line="276" w:lineRule="auto"/>
              <w:rPr>
                <w:rFonts w:ascii="Arial" w:hAnsi="Arial" w:cs="Arial"/>
                <w:color w:val="000000"/>
              </w:rPr>
            </w:pPr>
            <w:r w:rsidRPr="00A73C9E">
              <w:rPr>
                <w:rFonts w:ascii="Arial" w:hAnsi="Arial" w:cs="Arial"/>
                <w:b/>
                <w:bCs/>
                <w:color w:val="000000"/>
              </w:rPr>
              <w:t xml:space="preserve">Medication </w:t>
            </w:r>
          </w:p>
        </w:tc>
        <w:tc>
          <w:tcPr>
            <w:tcW w:w="2340" w:type="dxa"/>
          </w:tcPr>
          <w:p w14:paraId="23AE0151" w14:textId="77777777" w:rsidR="00EF1C54" w:rsidRPr="00A73C9E" w:rsidRDefault="00EF1C54" w:rsidP="00A73C9E">
            <w:pPr>
              <w:autoSpaceDE w:val="0"/>
              <w:autoSpaceDN w:val="0"/>
              <w:adjustRightInd w:val="0"/>
              <w:spacing w:after="0" w:line="276" w:lineRule="auto"/>
              <w:rPr>
                <w:rFonts w:ascii="Arial" w:hAnsi="Arial" w:cs="Arial"/>
                <w:color w:val="000000"/>
              </w:rPr>
            </w:pPr>
            <w:r w:rsidRPr="00A73C9E">
              <w:rPr>
                <w:rFonts w:ascii="Arial" w:hAnsi="Arial" w:cs="Arial"/>
                <w:b/>
                <w:bCs/>
                <w:color w:val="000000"/>
              </w:rPr>
              <w:t>Pediatric Dosing</w:t>
            </w:r>
          </w:p>
        </w:tc>
        <w:tc>
          <w:tcPr>
            <w:tcW w:w="1620" w:type="dxa"/>
          </w:tcPr>
          <w:p w14:paraId="65753566" w14:textId="77777777" w:rsidR="00EF1C54" w:rsidRPr="00A73C9E" w:rsidRDefault="00EF1C54" w:rsidP="00A73C9E">
            <w:pPr>
              <w:autoSpaceDE w:val="0"/>
              <w:autoSpaceDN w:val="0"/>
              <w:adjustRightInd w:val="0"/>
              <w:spacing w:after="0" w:line="276" w:lineRule="auto"/>
              <w:rPr>
                <w:rFonts w:ascii="Arial" w:hAnsi="Arial" w:cs="Arial"/>
                <w:color w:val="000000"/>
              </w:rPr>
            </w:pPr>
            <w:r w:rsidRPr="00A73C9E">
              <w:rPr>
                <w:rFonts w:ascii="Arial" w:hAnsi="Arial" w:cs="Arial"/>
                <w:b/>
                <w:bCs/>
                <w:color w:val="000000"/>
              </w:rPr>
              <w:t xml:space="preserve">Adult Dosing </w:t>
            </w:r>
          </w:p>
        </w:tc>
        <w:tc>
          <w:tcPr>
            <w:tcW w:w="2218" w:type="dxa"/>
          </w:tcPr>
          <w:p w14:paraId="5C8E7400" w14:textId="77777777" w:rsidR="00EF1C54" w:rsidRPr="00A73C9E" w:rsidRDefault="00EF1C54" w:rsidP="00A73C9E">
            <w:pPr>
              <w:autoSpaceDE w:val="0"/>
              <w:autoSpaceDN w:val="0"/>
              <w:adjustRightInd w:val="0"/>
              <w:spacing w:after="0" w:line="276" w:lineRule="auto"/>
              <w:rPr>
                <w:rFonts w:ascii="Arial" w:hAnsi="Arial" w:cs="Arial"/>
                <w:b/>
                <w:bCs/>
                <w:color w:val="000000"/>
              </w:rPr>
            </w:pPr>
            <w:r w:rsidRPr="00A73C9E">
              <w:rPr>
                <w:rFonts w:ascii="Arial" w:hAnsi="Arial" w:cs="Arial"/>
                <w:b/>
                <w:bCs/>
                <w:color w:val="000000"/>
              </w:rPr>
              <w:t>Side Effects</w:t>
            </w:r>
          </w:p>
        </w:tc>
        <w:tc>
          <w:tcPr>
            <w:tcW w:w="2665" w:type="dxa"/>
          </w:tcPr>
          <w:p w14:paraId="60051E0E" w14:textId="77777777" w:rsidR="00EF1C54" w:rsidRPr="00A73C9E" w:rsidRDefault="00EF1C54" w:rsidP="00A73C9E">
            <w:pPr>
              <w:autoSpaceDE w:val="0"/>
              <w:autoSpaceDN w:val="0"/>
              <w:adjustRightInd w:val="0"/>
              <w:spacing w:after="0" w:line="276" w:lineRule="auto"/>
              <w:rPr>
                <w:rFonts w:ascii="Arial" w:hAnsi="Arial" w:cs="Arial"/>
                <w:color w:val="000000"/>
              </w:rPr>
            </w:pPr>
            <w:r w:rsidRPr="00A73C9E">
              <w:rPr>
                <w:rFonts w:ascii="Arial" w:hAnsi="Arial" w:cs="Arial"/>
                <w:b/>
                <w:bCs/>
              </w:rPr>
              <w:t xml:space="preserve">Indication / Comments </w:t>
            </w:r>
          </w:p>
        </w:tc>
      </w:tr>
      <w:tr w:rsidR="00EF1C54" w:rsidRPr="00A73C9E" w14:paraId="72F9DFFC" w14:textId="77777777" w:rsidTr="00D51593">
        <w:trPr>
          <w:trHeight w:val="230"/>
        </w:trPr>
        <w:tc>
          <w:tcPr>
            <w:tcW w:w="10278" w:type="dxa"/>
            <w:gridSpan w:val="5"/>
            <w:vAlign w:val="center"/>
          </w:tcPr>
          <w:p w14:paraId="39D672AB" w14:textId="77777777" w:rsidR="00EF1C54" w:rsidRPr="00A73C9E" w:rsidRDefault="00EF1C54" w:rsidP="00A73C9E">
            <w:pPr>
              <w:autoSpaceDE w:val="0"/>
              <w:autoSpaceDN w:val="0"/>
              <w:adjustRightInd w:val="0"/>
              <w:spacing w:after="0" w:line="276" w:lineRule="auto"/>
              <w:rPr>
                <w:rFonts w:ascii="Arial" w:hAnsi="Arial" w:cs="Arial"/>
                <w:b/>
                <w:color w:val="000000"/>
              </w:rPr>
            </w:pPr>
            <w:r w:rsidRPr="00A73C9E">
              <w:rPr>
                <w:rFonts w:ascii="Arial" w:hAnsi="Arial" w:cs="Arial"/>
                <w:b/>
                <w:color w:val="000000"/>
              </w:rPr>
              <w:t>Fibric Acid Derivatives</w:t>
            </w:r>
          </w:p>
        </w:tc>
      </w:tr>
      <w:tr w:rsidR="00EF1C54" w:rsidRPr="00A73C9E" w14:paraId="1534AB8C" w14:textId="77777777" w:rsidTr="00D51593">
        <w:trPr>
          <w:trHeight w:val="318"/>
        </w:trPr>
        <w:tc>
          <w:tcPr>
            <w:tcW w:w="1435" w:type="dxa"/>
          </w:tcPr>
          <w:p w14:paraId="7712CCE4" w14:textId="77777777" w:rsidR="00EF1C54" w:rsidRPr="00A73C9E" w:rsidRDefault="00EF1C54" w:rsidP="00A73C9E">
            <w:pPr>
              <w:autoSpaceDE w:val="0"/>
              <w:autoSpaceDN w:val="0"/>
              <w:adjustRightInd w:val="0"/>
              <w:spacing w:after="0" w:line="276" w:lineRule="auto"/>
              <w:rPr>
                <w:rFonts w:ascii="Arial" w:hAnsi="Arial" w:cs="Arial"/>
                <w:bCs/>
                <w:color w:val="000000"/>
              </w:rPr>
            </w:pPr>
            <w:r w:rsidRPr="00A73C9E">
              <w:rPr>
                <w:rFonts w:ascii="Arial" w:hAnsi="Arial" w:cs="Arial"/>
                <w:bCs/>
                <w:color w:val="000000"/>
              </w:rPr>
              <w:t xml:space="preserve">Fenofibrate </w:t>
            </w:r>
          </w:p>
          <w:p w14:paraId="274B3AE5" w14:textId="77777777" w:rsidR="00EF1C54" w:rsidRPr="00A73C9E" w:rsidRDefault="00EF1C54" w:rsidP="00A73C9E">
            <w:pPr>
              <w:autoSpaceDE w:val="0"/>
              <w:autoSpaceDN w:val="0"/>
              <w:adjustRightInd w:val="0"/>
              <w:spacing w:after="0" w:line="276" w:lineRule="auto"/>
              <w:rPr>
                <w:rFonts w:ascii="Arial" w:hAnsi="Arial" w:cs="Arial"/>
                <w:color w:val="000000"/>
              </w:rPr>
            </w:pPr>
            <w:r w:rsidRPr="00A73C9E">
              <w:rPr>
                <w:rFonts w:ascii="Arial" w:hAnsi="Arial" w:cs="Arial"/>
                <w:bCs/>
                <w:color w:val="000000"/>
              </w:rPr>
              <w:t>(Many generic preparations available)</w:t>
            </w:r>
          </w:p>
        </w:tc>
        <w:tc>
          <w:tcPr>
            <w:tcW w:w="2340" w:type="dxa"/>
          </w:tcPr>
          <w:p w14:paraId="0C1F249B" w14:textId="77777777" w:rsidR="00EF1C54" w:rsidRPr="00A73C9E" w:rsidRDefault="00EF1C54" w:rsidP="00A73C9E">
            <w:pPr>
              <w:autoSpaceDE w:val="0"/>
              <w:autoSpaceDN w:val="0"/>
              <w:adjustRightInd w:val="0"/>
              <w:spacing w:after="0" w:line="276" w:lineRule="auto"/>
              <w:rPr>
                <w:rFonts w:ascii="Arial" w:hAnsi="Arial" w:cs="Arial"/>
                <w:color w:val="000000"/>
              </w:rPr>
            </w:pPr>
            <w:r w:rsidRPr="00A73C9E">
              <w:rPr>
                <w:rFonts w:ascii="Arial" w:hAnsi="Arial" w:cs="Arial"/>
              </w:rPr>
              <w:t xml:space="preserve">Pediatric safety and efficacy not established. Not FDA approved for use in children. </w:t>
            </w:r>
          </w:p>
          <w:p w14:paraId="21CC17BE" w14:textId="77777777" w:rsidR="00EF1C54" w:rsidRPr="00A73C9E" w:rsidRDefault="00EF1C54" w:rsidP="00A73C9E">
            <w:pPr>
              <w:autoSpaceDE w:val="0"/>
              <w:autoSpaceDN w:val="0"/>
              <w:adjustRightInd w:val="0"/>
              <w:spacing w:after="0" w:line="276" w:lineRule="auto"/>
              <w:rPr>
                <w:rFonts w:ascii="Arial" w:hAnsi="Arial" w:cs="Arial"/>
                <w:color w:val="000000"/>
              </w:rPr>
            </w:pPr>
          </w:p>
        </w:tc>
        <w:tc>
          <w:tcPr>
            <w:tcW w:w="1620" w:type="dxa"/>
          </w:tcPr>
          <w:p w14:paraId="2DB787CD" w14:textId="30C504D9" w:rsidR="00EF1C54" w:rsidRPr="00A73C9E" w:rsidRDefault="00EF1C54" w:rsidP="00A73C9E">
            <w:pPr>
              <w:autoSpaceDE w:val="0"/>
              <w:autoSpaceDN w:val="0"/>
              <w:adjustRightInd w:val="0"/>
              <w:spacing w:after="0" w:line="276" w:lineRule="auto"/>
              <w:rPr>
                <w:rFonts w:ascii="Arial" w:hAnsi="Arial" w:cs="Arial"/>
                <w:color w:val="000000"/>
              </w:rPr>
            </w:pPr>
            <w:r w:rsidRPr="00A73C9E">
              <w:rPr>
                <w:rFonts w:ascii="Arial" w:hAnsi="Arial" w:cs="Arial"/>
                <w:color w:val="000000"/>
              </w:rPr>
              <w:t>Product specific. Generally, employ full dose in the setting of normal renal function.</w:t>
            </w:r>
          </w:p>
        </w:tc>
        <w:tc>
          <w:tcPr>
            <w:tcW w:w="2218" w:type="dxa"/>
          </w:tcPr>
          <w:p w14:paraId="74E18AA7" w14:textId="77777777" w:rsidR="00EF1C54" w:rsidRPr="00A73C9E" w:rsidRDefault="00EF1C54" w:rsidP="00A73C9E">
            <w:pPr>
              <w:autoSpaceDE w:val="0"/>
              <w:autoSpaceDN w:val="0"/>
              <w:adjustRightInd w:val="0"/>
              <w:spacing w:after="0" w:line="276" w:lineRule="auto"/>
              <w:rPr>
                <w:rFonts w:ascii="Arial" w:hAnsi="Arial" w:cs="Arial"/>
                <w:color w:val="000000"/>
              </w:rPr>
            </w:pPr>
            <w:r w:rsidRPr="00A73C9E">
              <w:rPr>
                <w:rFonts w:ascii="Arial" w:hAnsi="Arial" w:cs="Arial"/>
                <w:color w:val="000000"/>
              </w:rPr>
              <w:t>Skin rash, gastrointestinal (nausea, bloating, cramping) myalgia; lowers blood cyclosporine levels; potentially nephrotoxic in cyclosporine treated patients. Avoid in patients with CrCl &lt; 30 mL/min.</w:t>
            </w:r>
          </w:p>
        </w:tc>
        <w:tc>
          <w:tcPr>
            <w:tcW w:w="2665" w:type="dxa"/>
          </w:tcPr>
          <w:p w14:paraId="0B9117F1" w14:textId="77777777" w:rsidR="00EF1C54" w:rsidRPr="00A73C9E" w:rsidRDefault="00EF1C54" w:rsidP="00A73C9E">
            <w:pPr>
              <w:autoSpaceDE w:val="0"/>
              <w:autoSpaceDN w:val="0"/>
              <w:adjustRightInd w:val="0"/>
              <w:spacing w:after="0" w:line="276" w:lineRule="auto"/>
              <w:rPr>
                <w:rFonts w:ascii="Arial" w:hAnsi="Arial" w:cs="Arial"/>
                <w:color w:val="000000"/>
              </w:rPr>
            </w:pPr>
            <w:r w:rsidRPr="00A73C9E">
              <w:rPr>
                <w:rFonts w:ascii="Arial" w:hAnsi="Arial" w:cs="Arial"/>
                <w:color w:val="000000"/>
              </w:rPr>
              <w:t>Hypertriglyceridemia.</w:t>
            </w:r>
          </w:p>
          <w:p w14:paraId="585021FC" w14:textId="43430829" w:rsidR="00EF1C54" w:rsidRPr="00A73C9E" w:rsidRDefault="00EF1C54" w:rsidP="00A73C9E">
            <w:pPr>
              <w:autoSpaceDE w:val="0"/>
              <w:autoSpaceDN w:val="0"/>
              <w:adjustRightInd w:val="0"/>
              <w:spacing w:after="0" w:line="276" w:lineRule="auto"/>
              <w:rPr>
                <w:rFonts w:ascii="Arial" w:hAnsi="Arial" w:cs="Arial"/>
                <w:color w:val="000000"/>
              </w:rPr>
            </w:pPr>
            <w:r w:rsidRPr="00A73C9E">
              <w:rPr>
                <w:rFonts w:ascii="Arial" w:hAnsi="Arial" w:cs="Arial"/>
                <w:color w:val="000000"/>
              </w:rPr>
              <w:t>Monitor renal function; avoid in the presence of severe renal function.  Regular monitoring of liver function test is required.  Discontinue if p</w:t>
            </w:r>
            <w:r w:rsidR="00D50CE3" w:rsidRPr="00A73C9E">
              <w:rPr>
                <w:rFonts w:ascii="Arial" w:hAnsi="Arial" w:cs="Arial"/>
                <w:color w:val="000000"/>
              </w:rPr>
              <w:t>ersistent elevation of LFTs &gt; 3</w:t>
            </w:r>
            <w:r w:rsidRPr="00A73C9E">
              <w:rPr>
                <w:rFonts w:ascii="Arial" w:hAnsi="Arial" w:cs="Arial"/>
                <w:color w:val="000000"/>
              </w:rPr>
              <w:t>X ULN.</w:t>
            </w:r>
          </w:p>
        </w:tc>
      </w:tr>
      <w:tr w:rsidR="00EF1C54" w:rsidRPr="00A73C9E" w14:paraId="2C243BAB" w14:textId="77777777" w:rsidTr="00D51593">
        <w:trPr>
          <w:trHeight w:val="318"/>
        </w:trPr>
        <w:tc>
          <w:tcPr>
            <w:tcW w:w="1435" w:type="dxa"/>
          </w:tcPr>
          <w:p w14:paraId="20A5DC06" w14:textId="77777777" w:rsidR="00EF1C54" w:rsidRPr="00A73C9E" w:rsidRDefault="00EF1C54" w:rsidP="00A73C9E">
            <w:pPr>
              <w:autoSpaceDE w:val="0"/>
              <w:autoSpaceDN w:val="0"/>
              <w:adjustRightInd w:val="0"/>
              <w:spacing w:after="0" w:line="276" w:lineRule="auto"/>
              <w:rPr>
                <w:rFonts w:ascii="Arial" w:hAnsi="Arial" w:cs="Arial"/>
                <w:bCs/>
                <w:color w:val="000000"/>
              </w:rPr>
            </w:pPr>
            <w:r w:rsidRPr="00A73C9E">
              <w:rPr>
                <w:rFonts w:ascii="Arial" w:hAnsi="Arial" w:cs="Arial"/>
                <w:bCs/>
                <w:color w:val="000000"/>
              </w:rPr>
              <w:t xml:space="preserve">Gemfibrozil </w:t>
            </w:r>
          </w:p>
          <w:p w14:paraId="15F69492" w14:textId="77777777" w:rsidR="00EF1C54" w:rsidRPr="00A73C9E" w:rsidRDefault="00EF1C54" w:rsidP="00A73C9E">
            <w:pPr>
              <w:autoSpaceDE w:val="0"/>
              <w:autoSpaceDN w:val="0"/>
              <w:adjustRightInd w:val="0"/>
              <w:spacing w:after="0" w:line="276" w:lineRule="auto"/>
              <w:rPr>
                <w:rFonts w:ascii="Arial" w:hAnsi="Arial" w:cs="Arial"/>
                <w:color w:val="000000"/>
              </w:rPr>
            </w:pPr>
            <w:r w:rsidRPr="00A73C9E">
              <w:rPr>
                <w:rFonts w:ascii="Arial" w:hAnsi="Arial" w:cs="Arial"/>
                <w:bCs/>
                <w:color w:val="000000"/>
              </w:rPr>
              <w:t>(Lopid)</w:t>
            </w:r>
          </w:p>
        </w:tc>
        <w:tc>
          <w:tcPr>
            <w:tcW w:w="2340" w:type="dxa"/>
          </w:tcPr>
          <w:p w14:paraId="2FAE55F8" w14:textId="77777777" w:rsidR="00EF1C54" w:rsidRPr="00A73C9E" w:rsidRDefault="00EF1C54" w:rsidP="00A73C9E">
            <w:pPr>
              <w:autoSpaceDE w:val="0"/>
              <w:autoSpaceDN w:val="0"/>
              <w:adjustRightInd w:val="0"/>
              <w:spacing w:after="0" w:line="276" w:lineRule="auto"/>
              <w:rPr>
                <w:rFonts w:ascii="Arial" w:hAnsi="Arial" w:cs="Arial"/>
                <w:color w:val="000000"/>
              </w:rPr>
            </w:pPr>
            <w:r w:rsidRPr="00A73C9E">
              <w:rPr>
                <w:rFonts w:ascii="Arial" w:hAnsi="Arial" w:cs="Arial"/>
              </w:rPr>
              <w:t xml:space="preserve">Pediatric safety and efficacy not established. Not FDA approved for use in children. </w:t>
            </w:r>
          </w:p>
          <w:p w14:paraId="4E24D606" w14:textId="77777777" w:rsidR="00EF1C54" w:rsidRPr="00A73C9E" w:rsidRDefault="00EF1C54" w:rsidP="00A73C9E">
            <w:pPr>
              <w:autoSpaceDE w:val="0"/>
              <w:autoSpaceDN w:val="0"/>
              <w:adjustRightInd w:val="0"/>
              <w:spacing w:after="0" w:line="276" w:lineRule="auto"/>
              <w:rPr>
                <w:rFonts w:ascii="Arial" w:hAnsi="Arial" w:cs="Arial"/>
                <w:color w:val="000000"/>
              </w:rPr>
            </w:pPr>
          </w:p>
        </w:tc>
        <w:tc>
          <w:tcPr>
            <w:tcW w:w="1620" w:type="dxa"/>
          </w:tcPr>
          <w:p w14:paraId="7633703B" w14:textId="7D9CD26D" w:rsidR="00EF1C54" w:rsidRPr="00A73C9E" w:rsidRDefault="00EF1C54" w:rsidP="00A73C9E">
            <w:pPr>
              <w:autoSpaceDE w:val="0"/>
              <w:autoSpaceDN w:val="0"/>
              <w:adjustRightInd w:val="0"/>
              <w:spacing w:after="0" w:line="276" w:lineRule="auto"/>
              <w:rPr>
                <w:rFonts w:ascii="Arial" w:hAnsi="Arial" w:cs="Arial"/>
                <w:color w:val="000000"/>
              </w:rPr>
            </w:pPr>
            <w:r w:rsidRPr="00A73C9E">
              <w:rPr>
                <w:rFonts w:ascii="Arial" w:hAnsi="Arial" w:cs="Arial"/>
                <w:color w:val="000000"/>
              </w:rPr>
              <w:t>1200 mg p.o. daily, divided BID, 30 mins before breakfast and dinner</w:t>
            </w:r>
            <w:r w:rsidR="00D50CE3" w:rsidRPr="00A73C9E">
              <w:rPr>
                <w:rFonts w:ascii="Arial" w:hAnsi="Arial" w:cs="Arial"/>
                <w:color w:val="000000"/>
              </w:rPr>
              <w:t>.</w:t>
            </w:r>
          </w:p>
        </w:tc>
        <w:tc>
          <w:tcPr>
            <w:tcW w:w="2218" w:type="dxa"/>
          </w:tcPr>
          <w:p w14:paraId="2E656F49" w14:textId="5896FB83" w:rsidR="00EF1C54" w:rsidRPr="00A73C9E" w:rsidRDefault="00EF1C54" w:rsidP="00A73C9E">
            <w:pPr>
              <w:autoSpaceDE w:val="0"/>
              <w:autoSpaceDN w:val="0"/>
              <w:adjustRightInd w:val="0"/>
              <w:spacing w:after="0" w:line="276" w:lineRule="auto"/>
              <w:rPr>
                <w:rFonts w:ascii="Arial" w:hAnsi="Arial" w:cs="Arial"/>
                <w:color w:val="000000"/>
              </w:rPr>
            </w:pPr>
            <w:r w:rsidRPr="00A73C9E">
              <w:rPr>
                <w:rFonts w:ascii="Arial" w:eastAsia="Times New Roman" w:hAnsi="Arial" w:cs="Arial"/>
              </w:rPr>
              <w:t xml:space="preserve">Potentiates warfarin action. Absorption of gemfibrozil diminished by bile acid sequestrants. </w:t>
            </w:r>
          </w:p>
        </w:tc>
        <w:tc>
          <w:tcPr>
            <w:tcW w:w="2665" w:type="dxa"/>
          </w:tcPr>
          <w:p w14:paraId="046B1412" w14:textId="77777777" w:rsidR="00EF1C54" w:rsidRPr="00A73C9E" w:rsidRDefault="00EF1C54" w:rsidP="00A73C9E">
            <w:pPr>
              <w:autoSpaceDE w:val="0"/>
              <w:autoSpaceDN w:val="0"/>
              <w:adjustRightInd w:val="0"/>
              <w:spacing w:after="0" w:line="276" w:lineRule="auto"/>
              <w:rPr>
                <w:rFonts w:ascii="Arial" w:hAnsi="Arial" w:cs="Arial"/>
                <w:color w:val="000000"/>
              </w:rPr>
            </w:pPr>
            <w:r w:rsidRPr="00A73C9E">
              <w:rPr>
                <w:rFonts w:ascii="Arial" w:hAnsi="Arial" w:cs="Arial"/>
                <w:color w:val="000000"/>
              </w:rPr>
              <w:t>Hypertriglyceridemia.</w:t>
            </w:r>
          </w:p>
          <w:p w14:paraId="1AEDB422" w14:textId="77777777" w:rsidR="00EF1C54" w:rsidRPr="00A73C9E" w:rsidRDefault="00EF1C54" w:rsidP="00A73C9E">
            <w:pPr>
              <w:autoSpaceDE w:val="0"/>
              <w:autoSpaceDN w:val="0"/>
              <w:adjustRightInd w:val="0"/>
              <w:spacing w:after="0" w:line="276" w:lineRule="auto"/>
              <w:rPr>
                <w:rFonts w:ascii="Arial" w:hAnsi="Arial" w:cs="Arial"/>
                <w:color w:val="000000"/>
              </w:rPr>
            </w:pPr>
            <w:r w:rsidRPr="00A73C9E">
              <w:rPr>
                <w:rFonts w:ascii="Arial" w:hAnsi="Arial" w:cs="Arial"/>
                <w:color w:val="000000"/>
              </w:rPr>
              <w:t>Use with caution in patients with renal impairment, contraindicated with severe renal impairment; use contraindicated with hepatic impairment. Avoid with concurrent statin therapy.</w:t>
            </w:r>
          </w:p>
        </w:tc>
      </w:tr>
      <w:tr w:rsidR="00EF1C54" w:rsidRPr="00A73C9E" w14:paraId="182EF90E" w14:textId="77777777" w:rsidTr="00D51593">
        <w:trPr>
          <w:trHeight w:val="185"/>
        </w:trPr>
        <w:tc>
          <w:tcPr>
            <w:tcW w:w="10278" w:type="dxa"/>
            <w:gridSpan w:val="5"/>
            <w:vAlign w:val="center"/>
          </w:tcPr>
          <w:p w14:paraId="0511D542" w14:textId="77777777" w:rsidR="00EF1C54" w:rsidRPr="00A73C9E" w:rsidRDefault="00EF1C54" w:rsidP="00A73C9E">
            <w:pPr>
              <w:autoSpaceDE w:val="0"/>
              <w:autoSpaceDN w:val="0"/>
              <w:adjustRightInd w:val="0"/>
              <w:spacing w:after="0" w:line="276" w:lineRule="auto"/>
              <w:rPr>
                <w:rFonts w:ascii="Arial" w:hAnsi="Arial" w:cs="Arial"/>
                <w:b/>
                <w:color w:val="000000"/>
              </w:rPr>
            </w:pPr>
            <w:r w:rsidRPr="00A73C9E">
              <w:rPr>
                <w:rFonts w:ascii="Arial" w:hAnsi="Arial" w:cs="Arial"/>
                <w:b/>
                <w:color w:val="000000"/>
              </w:rPr>
              <w:t>Nicotinic Acid</w:t>
            </w:r>
          </w:p>
        </w:tc>
      </w:tr>
      <w:tr w:rsidR="00EF1C54" w:rsidRPr="00A73C9E" w14:paraId="083AF66A" w14:textId="77777777" w:rsidTr="00D51593">
        <w:trPr>
          <w:trHeight w:val="863"/>
        </w:trPr>
        <w:tc>
          <w:tcPr>
            <w:tcW w:w="1435" w:type="dxa"/>
          </w:tcPr>
          <w:p w14:paraId="5D154AC7" w14:textId="77777777" w:rsidR="00EF1C54" w:rsidRPr="00A73C9E" w:rsidRDefault="00EF1C54" w:rsidP="00A73C9E">
            <w:pPr>
              <w:autoSpaceDE w:val="0"/>
              <w:autoSpaceDN w:val="0"/>
              <w:adjustRightInd w:val="0"/>
              <w:spacing w:after="0" w:line="276" w:lineRule="auto"/>
              <w:rPr>
                <w:rFonts w:ascii="Arial" w:hAnsi="Arial" w:cs="Arial"/>
                <w:bCs/>
                <w:color w:val="000000"/>
              </w:rPr>
            </w:pPr>
            <w:r w:rsidRPr="00A73C9E">
              <w:rPr>
                <w:rFonts w:ascii="Arial" w:hAnsi="Arial" w:cs="Arial"/>
                <w:bCs/>
                <w:color w:val="000000"/>
              </w:rPr>
              <w:t xml:space="preserve">Niacin </w:t>
            </w:r>
          </w:p>
          <w:p w14:paraId="14E29315" w14:textId="77777777" w:rsidR="00EF1C54" w:rsidRPr="00A73C9E" w:rsidRDefault="00EF1C54" w:rsidP="00A73C9E">
            <w:pPr>
              <w:autoSpaceDE w:val="0"/>
              <w:autoSpaceDN w:val="0"/>
              <w:adjustRightInd w:val="0"/>
              <w:spacing w:after="0" w:line="276" w:lineRule="auto"/>
              <w:rPr>
                <w:rFonts w:ascii="Arial" w:hAnsi="Arial" w:cs="Arial"/>
                <w:color w:val="000000"/>
              </w:rPr>
            </w:pPr>
            <w:r w:rsidRPr="00A73C9E">
              <w:rPr>
                <w:rFonts w:ascii="Arial" w:hAnsi="Arial" w:cs="Arial"/>
                <w:bCs/>
                <w:color w:val="000000"/>
              </w:rPr>
              <w:t>(Multiple preparations available)</w:t>
            </w:r>
          </w:p>
        </w:tc>
        <w:tc>
          <w:tcPr>
            <w:tcW w:w="2340" w:type="dxa"/>
          </w:tcPr>
          <w:p w14:paraId="5331377D" w14:textId="77777777" w:rsidR="00EF1C54" w:rsidRPr="00A73C9E" w:rsidRDefault="00EF1C54" w:rsidP="00A73C9E">
            <w:pPr>
              <w:autoSpaceDE w:val="0"/>
              <w:autoSpaceDN w:val="0"/>
              <w:adjustRightInd w:val="0"/>
              <w:spacing w:after="0" w:line="276" w:lineRule="auto"/>
              <w:rPr>
                <w:rFonts w:ascii="Arial" w:hAnsi="Arial" w:cs="Arial"/>
                <w:color w:val="000000"/>
              </w:rPr>
            </w:pPr>
            <w:r w:rsidRPr="00A73C9E">
              <w:rPr>
                <w:rFonts w:ascii="Arial" w:hAnsi="Arial" w:cs="Arial"/>
                <w:color w:val="000000"/>
              </w:rPr>
              <w:t xml:space="preserve">Age ≥ 10 </w:t>
            </w:r>
          </w:p>
          <w:p w14:paraId="222A8C5B" w14:textId="77777777" w:rsidR="00EF1C54" w:rsidRPr="00A73C9E" w:rsidRDefault="00EF1C54" w:rsidP="00A73C9E">
            <w:pPr>
              <w:autoSpaceDE w:val="0"/>
              <w:autoSpaceDN w:val="0"/>
              <w:adjustRightInd w:val="0"/>
              <w:spacing w:after="0" w:line="276" w:lineRule="auto"/>
              <w:rPr>
                <w:rFonts w:ascii="Arial" w:hAnsi="Arial" w:cs="Arial"/>
                <w:color w:val="000000"/>
              </w:rPr>
            </w:pPr>
            <w:r w:rsidRPr="00A73C9E">
              <w:rPr>
                <w:rFonts w:ascii="Arial" w:hAnsi="Arial" w:cs="Arial"/>
              </w:rPr>
              <w:t xml:space="preserve">Pediatric safety and efficacy not established. Not FDA approved for use in children. </w:t>
            </w:r>
            <w:r w:rsidRPr="00A73C9E">
              <w:rPr>
                <w:rFonts w:ascii="Arial" w:hAnsi="Arial" w:cs="Arial"/>
                <w:color w:val="000000"/>
              </w:rPr>
              <w:t xml:space="preserve"> </w:t>
            </w:r>
            <w:r w:rsidRPr="00A73C9E">
              <w:rPr>
                <w:rFonts w:ascii="Arial" w:hAnsi="Arial" w:cs="Arial"/>
              </w:rPr>
              <w:t xml:space="preserve">If used, suggested dose </w:t>
            </w:r>
          </w:p>
          <w:p w14:paraId="55573FA5" w14:textId="77777777" w:rsidR="00EF1C54" w:rsidRPr="00A73C9E" w:rsidRDefault="00EF1C54" w:rsidP="00A73C9E">
            <w:pPr>
              <w:autoSpaceDE w:val="0"/>
              <w:autoSpaceDN w:val="0"/>
              <w:adjustRightInd w:val="0"/>
              <w:spacing w:after="0" w:line="276" w:lineRule="auto"/>
              <w:rPr>
                <w:rFonts w:ascii="Arial" w:hAnsi="Arial" w:cs="Arial"/>
                <w:color w:val="000000"/>
              </w:rPr>
            </w:pPr>
            <w:r w:rsidRPr="00A73C9E">
              <w:rPr>
                <w:rFonts w:ascii="Arial" w:hAnsi="Arial" w:cs="Arial"/>
                <w:color w:val="000000"/>
              </w:rPr>
              <w:t xml:space="preserve">Initial: 100-250 mg/d (Max: 10 mg/kg/day) divided three times daily with meals </w:t>
            </w:r>
          </w:p>
        </w:tc>
        <w:tc>
          <w:tcPr>
            <w:tcW w:w="1620" w:type="dxa"/>
          </w:tcPr>
          <w:p w14:paraId="0F318CD0" w14:textId="04418F05" w:rsidR="00EF1C54" w:rsidRPr="00A73C9E" w:rsidRDefault="00EF1C54" w:rsidP="00A73C9E">
            <w:pPr>
              <w:autoSpaceDE w:val="0"/>
              <w:autoSpaceDN w:val="0"/>
              <w:adjustRightInd w:val="0"/>
              <w:spacing w:after="0" w:line="276" w:lineRule="auto"/>
              <w:rPr>
                <w:rFonts w:ascii="Arial" w:hAnsi="Arial" w:cs="Arial"/>
                <w:color w:val="000000"/>
              </w:rPr>
            </w:pPr>
            <w:r w:rsidRPr="00A73C9E">
              <w:rPr>
                <w:rFonts w:ascii="Arial" w:hAnsi="Arial" w:cs="Arial"/>
                <w:color w:val="000000"/>
              </w:rPr>
              <w:t>Slowly titrate to max dose of intermediate release niacin (3 g/day) or slow-release niacin) 2 g/day)</w:t>
            </w:r>
            <w:r w:rsidR="00D50CE3" w:rsidRPr="00A73C9E">
              <w:rPr>
                <w:rFonts w:ascii="Arial" w:hAnsi="Arial" w:cs="Arial"/>
                <w:color w:val="000000"/>
              </w:rPr>
              <w:t>.</w:t>
            </w:r>
          </w:p>
        </w:tc>
        <w:tc>
          <w:tcPr>
            <w:tcW w:w="2218" w:type="dxa"/>
          </w:tcPr>
          <w:p w14:paraId="7AF3C24E" w14:textId="77777777" w:rsidR="00EF1C54" w:rsidRPr="00A73C9E" w:rsidRDefault="00EF1C54" w:rsidP="00A73C9E">
            <w:pPr>
              <w:autoSpaceDE w:val="0"/>
              <w:autoSpaceDN w:val="0"/>
              <w:adjustRightInd w:val="0"/>
              <w:spacing w:after="0" w:line="276" w:lineRule="auto"/>
              <w:rPr>
                <w:rFonts w:ascii="Arial" w:hAnsi="Arial" w:cs="Arial"/>
                <w:color w:val="000000"/>
              </w:rPr>
            </w:pPr>
            <w:r w:rsidRPr="00A73C9E">
              <w:rPr>
                <w:rFonts w:ascii="Arial" w:eastAsia="Times New Roman" w:hAnsi="Arial" w:cs="Arial"/>
              </w:rPr>
              <w:t>Prostaglandin-mediated cutaneous flushing, headache, warm sensation, and pruritus; dry skin; nausea; vomiting; diarrhea; and myositis.</w:t>
            </w:r>
          </w:p>
        </w:tc>
        <w:tc>
          <w:tcPr>
            <w:tcW w:w="2665" w:type="dxa"/>
          </w:tcPr>
          <w:p w14:paraId="747213C2" w14:textId="77777777" w:rsidR="00EF1C54" w:rsidRPr="00A73C9E" w:rsidRDefault="00EF1C54" w:rsidP="00A73C9E">
            <w:pPr>
              <w:autoSpaceDE w:val="0"/>
              <w:autoSpaceDN w:val="0"/>
              <w:adjustRightInd w:val="0"/>
              <w:spacing w:after="0" w:line="276" w:lineRule="auto"/>
              <w:rPr>
                <w:rFonts w:ascii="Arial" w:hAnsi="Arial" w:cs="Arial"/>
                <w:color w:val="000000"/>
              </w:rPr>
            </w:pPr>
            <w:r w:rsidRPr="00A73C9E">
              <w:rPr>
                <w:rFonts w:ascii="Arial" w:hAnsi="Arial" w:cs="Arial"/>
                <w:color w:val="000000"/>
              </w:rPr>
              <w:t xml:space="preserve">Adjunct therapy to reduce high TG.  </w:t>
            </w:r>
          </w:p>
          <w:p w14:paraId="576CE932" w14:textId="0DC4BF14" w:rsidR="00EF1C54" w:rsidRPr="00A73C9E" w:rsidRDefault="00D50CE3" w:rsidP="00A73C9E">
            <w:pPr>
              <w:autoSpaceDE w:val="0"/>
              <w:autoSpaceDN w:val="0"/>
              <w:adjustRightInd w:val="0"/>
              <w:spacing w:after="0" w:line="276" w:lineRule="auto"/>
              <w:rPr>
                <w:rFonts w:ascii="Arial" w:hAnsi="Arial" w:cs="Arial"/>
                <w:color w:val="000000"/>
              </w:rPr>
            </w:pPr>
            <w:r w:rsidRPr="00A73C9E">
              <w:rPr>
                <w:rFonts w:ascii="Arial" w:hAnsi="Arial" w:cs="Arial"/>
                <w:color w:val="000000"/>
              </w:rPr>
              <w:t>For p</w:t>
            </w:r>
            <w:r w:rsidR="00EF1C54" w:rsidRPr="00A73C9E">
              <w:rPr>
                <w:rFonts w:ascii="Arial" w:hAnsi="Arial" w:cs="Arial"/>
                <w:color w:val="000000"/>
              </w:rPr>
              <w:t>ed</w:t>
            </w:r>
            <w:r w:rsidRPr="00A73C9E">
              <w:rPr>
                <w:rFonts w:ascii="Arial" w:hAnsi="Arial" w:cs="Arial"/>
                <w:color w:val="000000"/>
              </w:rPr>
              <w:t>iatric</w:t>
            </w:r>
            <w:r w:rsidR="00EF1C54" w:rsidRPr="00A73C9E">
              <w:rPr>
                <w:rFonts w:ascii="Arial" w:hAnsi="Arial" w:cs="Arial"/>
                <w:color w:val="000000"/>
              </w:rPr>
              <w:t xml:space="preserve"> dosing may titrate weekly by 100 mg/day or every 2 – 3 weeks by 250 mg/day.  No dosing adjustment has been provided by the manufacturer for renal or hepatic impairment.  Contraindicated in the presence of significant unexplained hepatic dysfunction, active liver disease, or unexplained persistent LFT elevation.</w:t>
            </w:r>
          </w:p>
        </w:tc>
      </w:tr>
      <w:tr w:rsidR="00EF1C54" w:rsidRPr="00A73C9E" w14:paraId="39798948" w14:textId="77777777" w:rsidTr="00D51593">
        <w:trPr>
          <w:trHeight w:val="185"/>
        </w:trPr>
        <w:tc>
          <w:tcPr>
            <w:tcW w:w="10278" w:type="dxa"/>
            <w:gridSpan w:val="5"/>
            <w:vAlign w:val="center"/>
          </w:tcPr>
          <w:p w14:paraId="590BEC6A" w14:textId="77777777" w:rsidR="00EF1C54" w:rsidRPr="00A73C9E" w:rsidRDefault="00EF1C54" w:rsidP="00A73C9E">
            <w:pPr>
              <w:autoSpaceDE w:val="0"/>
              <w:autoSpaceDN w:val="0"/>
              <w:adjustRightInd w:val="0"/>
              <w:spacing w:after="0" w:line="276" w:lineRule="auto"/>
              <w:rPr>
                <w:rFonts w:ascii="Arial" w:hAnsi="Arial" w:cs="Arial"/>
                <w:b/>
                <w:color w:val="000000"/>
              </w:rPr>
            </w:pPr>
            <w:r w:rsidRPr="00A73C9E">
              <w:rPr>
                <w:rFonts w:ascii="Arial" w:hAnsi="Arial" w:cs="Arial"/>
                <w:b/>
                <w:color w:val="000000"/>
              </w:rPr>
              <w:t>Omega 3 Fatty Acids</w:t>
            </w:r>
          </w:p>
        </w:tc>
      </w:tr>
      <w:tr w:rsidR="00EF1C54" w:rsidRPr="00A73C9E" w14:paraId="59EE8CEA" w14:textId="77777777" w:rsidTr="00D51593">
        <w:trPr>
          <w:trHeight w:val="899"/>
        </w:trPr>
        <w:tc>
          <w:tcPr>
            <w:tcW w:w="1435" w:type="dxa"/>
          </w:tcPr>
          <w:p w14:paraId="069462C8" w14:textId="77777777" w:rsidR="00EF1C54" w:rsidRPr="00A73C9E" w:rsidRDefault="00EF1C54" w:rsidP="00A73C9E">
            <w:pPr>
              <w:spacing w:after="0" w:line="276" w:lineRule="auto"/>
              <w:rPr>
                <w:rFonts w:ascii="Arial" w:eastAsia="Times New Roman" w:hAnsi="Arial" w:cs="Arial"/>
              </w:rPr>
            </w:pPr>
            <w:r w:rsidRPr="00A73C9E">
              <w:rPr>
                <w:rFonts w:ascii="Arial" w:eastAsia="Times New Roman" w:hAnsi="Arial" w:cs="Arial"/>
              </w:rPr>
              <w:lastRenderedPageBreak/>
              <w:t>Ethyl esters</w:t>
            </w:r>
          </w:p>
          <w:p w14:paraId="059E3B0C" w14:textId="77777777" w:rsidR="00EF1C54" w:rsidRPr="00A73C9E" w:rsidRDefault="00EF1C54" w:rsidP="00A73C9E">
            <w:pPr>
              <w:spacing w:after="0" w:line="276" w:lineRule="auto"/>
              <w:rPr>
                <w:rFonts w:ascii="Arial" w:eastAsia="Times New Roman" w:hAnsi="Arial" w:cs="Arial"/>
              </w:rPr>
            </w:pPr>
            <w:r w:rsidRPr="00A73C9E">
              <w:rPr>
                <w:rFonts w:ascii="Arial" w:eastAsia="Times New Roman" w:hAnsi="Arial" w:cs="Arial"/>
              </w:rPr>
              <w:t>(Lovaza)</w:t>
            </w:r>
          </w:p>
        </w:tc>
        <w:tc>
          <w:tcPr>
            <w:tcW w:w="2340" w:type="dxa"/>
          </w:tcPr>
          <w:p w14:paraId="224BEB2A" w14:textId="77777777" w:rsidR="00EF1C54" w:rsidRPr="00A73C9E" w:rsidRDefault="00EF1C54" w:rsidP="00A73C9E">
            <w:pPr>
              <w:spacing w:after="0" w:line="276" w:lineRule="auto"/>
              <w:rPr>
                <w:rFonts w:ascii="Arial" w:eastAsia="Times New Roman" w:hAnsi="Arial" w:cs="Arial"/>
              </w:rPr>
            </w:pPr>
            <w:r w:rsidRPr="00A73C9E">
              <w:rPr>
                <w:rFonts w:ascii="Arial" w:hAnsi="Arial" w:cs="Arial"/>
              </w:rPr>
              <w:t>Pediatric safety and efficacy not established. Not FDA approved for use in children.</w:t>
            </w:r>
          </w:p>
          <w:p w14:paraId="55897FC0" w14:textId="77777777" w:rsidR="00EF1C54" w:rsidRPr="00A73C9E" w:rsidRDefault="00EF1C54" w:rsidP="00A73C9E">
            <w:pPr>
              <w:spacing w:after="0" w:line="276" w:lineRule="auto"/>
              <w:rPr>
                <w:rFonts w:ascii="Arial" w:eastAsia="Times New Roman" w:hAnsi="Arial" w:cs="Arial"/>
              </w:rPr>
            </w:pPr>
          </w:p>
        </w:tc>
        <w:tc>
          <w:tcPr>
            <w:tcW w:w="1620" w:type="dxa"/>
          </w:tcPr>
          <w:p w14:paraId="16F6CC42" w14:textId="77777777" w:rsidR="00EF1C54" w:rsidRPr="00A73C9E" w:rsidRDefault="00EF1C54" w:rsidP="00A73C9E">
            <w:pPr>
              <w:spacing w:after="0" w:line="276" w:lineRule="auto"/>
              <w:rPr>
                <w:rFonts w:ascii="Arial" w:eastAsia="Times New Roman" w:hAnsi="Arial" w:cs="Arial"/>
              </w:rPr>
            </w:pPr>
            <w:r w:rsidRPr="00A73C9E">
              <w:rPr>
                <w:rFonts w:ascii="Arial" w:eastAsia="Times New Roman" w:hAnsi="Arial" w:cs="Arial"/>
              </w:rPr>
              <w:t>2-4 g EPA + DHA daily, divided BID</w:t>
            </w:r>
          </w:p>
        </w:tc>
        <w:tc>
          <w:tcPr>
            <w:tcW w:w="2218" w:type="dxa"/>
          </w:tcPr>
          <w:p w14:paraId="1506BBD9" w14:textId="77777777" w:rsidR="00EF1C54" w:rsidRPr="00A73C9E" w:rsidRDefault="00EF1C54" w:rsidP="00A73C9E">
            <w:pPr>
              <w:autoSpaceDE w:val="0"/>
              <w:autoSpaceDN w:val="0"/>
              <w:adjustRightInd w:val="0"/>
              <w:spacing w:after="0" w:line="276" w:lineRule="auto"/>
              <w:rPr>
                <w:rFonts w:ascii="Arial" w:hAnsi="Arial" w:cs="Arial"/>
                <w:color w:val="000000"/>
              </w:rPr>
            </w:pPr>
            <w:r w:rsidRPr="00A73C9E">
              <w:rPr>
                <w:rFonts w:ascii="Arial" w:eastAsia="Times New Roman" w:hAnsi="Arial" w:cs="Arial"/>
              </w:rPr>
              <w:t>Eructation, dyspepsia. Diarrhea (7%-15%) most commonly reported.  May enhance anticoagulant and antiplatelet effects of other medications.</w:t>
            </w:r>
          </w:p>
        </w:tc>
        <w:tc>
          <w:tcPr>
            <w:tcW w:w="2665" w:type="dxa"/>
            <w:vMerge w:val="restart"/>
          </w:tcPr>
          <w:p w14:paraId="3E612C54" w14:textId="77777777" w:rsidR="00EF1C54" w:rsidRPr="00A73C9E" w:rsidRDefault="00EF1C54" w:rsidP="00A73C9E">
            <w:pPr>
              <w:autoSpaceDE w:val="0"/>
              <w:autoSpaceDN w:val="0"/>
              <w:adjustRightInd w:val="0"/>
              <w:spacing w:after="0" w:line="276" w:lineRule="auto"/>
              <w:rPr>
                <w:rFonts w:ascii="Arial" w:hAnsi="Arial" w:cs="Arial"/>
                <w:color w:val="000000"/>
              </w:rPr>
            </w:pPr>
            <w:r w:rsidRPr="00A73C9E">
              <w:rPr>
                <w:rFonts w:ascii="Arial" w:hAnsi="Arial" w:cs="Arial"/>
                <w:color w:val="000000"/>
              </w:rPr>
              <w:t xml:space="preserve">Adjunct therapy to reduce high TG.  </w:t>
            </w:r>
          </w:p>
          <w:p w14:paraId="30EE6AB5" w14:textId="77777777" w:rsidR="00EF1C54" w:rsidRPr="00A73C9E" w:rsidRDefault="00EF1C54" w:rsidP="00A73C9E">
            <w:pPr>
              <w:autoSpaceDE w:val="0"/>
              <w:autoSpaceDN w:val="0"/>
              <w:adjustRightInd w:val="0"/>
              <w:spacing w:after="0" w:line="276" w:lineRule="auto"/>
              <w:rPr>
                <w:rFonts w:ascii="Arial" w:hAnsi="Arial" w:cs="Arial"/>
                <w:color w:val="000000"/>
              </w:rPr>
            </w:pPr>
            <w:r w:rsidRPr="00A73C9E">
              <w:rPr>
                <w:rFonts w:ascii="Arial" w:hAnsi="Arial" w:cs="Arial"/>
                <w:color w:val="000000"/>
              </w:rPr>
              <w:t>No dosage adjustments required for impaired renal or hepatic function.  Periodic monitoring of ALT and AST is recommended for patients with hepatic impairment.</w:t>
            </w:r>
          </w:p>
          <w:p w14:paraId="45807393" w14:textId="77777777" w:rsidR="00EF1C54" w:rsidRPr="00A73C9E" w:rsidRDefault="00EF1C54" w:rsidP="00A73C9E">
            <w:pPr>
              <w:autoSpaceDE w:val="0"/>
              <w:autoSpaceDN w:val="0"/>
              <w:adjustRightInd w:val="0"/>
              <w:spacing w:after="0" w:line="276" w:lineRule="auto"/>
              <w:rPr>
                <w:rFonts w:ascii="Arial" w:hAnsi="Arial" w:cs="Arial"/>
                <w:color w:val="000000"/>
              </w:rPr>
            </w:pPr>
          </w:p>
          <w:p w14:paraId="6BDEB5BA" w14:textId="333BC5DB" w:rsidR="00EF1C54" w:rsidRPr="00A73C9E" w:rsidRDefault="00EF1C54" w:rsidP="00A73C9E">
            <w:pPr>
              <w:autoSpaceDE w:val="0"/>
              <w:autoSpaceDN w:val="0"/>
              <w:adjustRightInd w:val="0"/>
              <w:spacing w:after="0" w:line="276" w:lineRule="auto"/>
              <w:rPr>
                <w:rFonts w:ascii="Arial" w:hAnsi="Arial" w:cs="Arial"/>
                <w:color w:val="000000"/>
              </w:rPr>
            </w:pPr>
          </w:p>
        </w:tc>
      </w:tr>
      <w:tr w:rsidR="00EF1C54" w:rsidRPr="00A73C9E" w14:paraId="3A0FF756" w14:textId="77777777" w:rsidTr="00D51593">
        <w:trPr>
          <w:trHeight w:val="318"/>
        </w:trPr>
        <w:tc>
          <w:tcPr>
            <w:tcW w:w="1435" w:type="dxa"/>
          </w:tcPr>
          <w:p w14:paraId="2FA0E006" w14:textId="77777777" w:rsidR="00EF1C54" w:rsidRPr="00A73C9E" w:rsidRDefault="00EF1C54" w:rsidP="00A73C9E">
            <w:pPr>
              <w:spacing w:after="0" w:line="276" w:lineRule="auto"/>
              <w:rPr>
                <w:rFonts w:ascii="Arial" w:eastAsia="Times New Roman" w:hAnsi="Arial" w:cs="Arial"/>
              </w:rPr>
            </w:pPr>
            <w:r w:rsidRPr="00A73C9E">
              <w:rPr>
                <w:rFonts w:ascii="Arial" w:eastAsia="Times New Roman" w:hAnsi="Arial" w:cs="Arial"/>
              </w:rPr>
              <w:t xml:space="preserve">Icosapent </w:t>
            </w:r>
          </w:p>
          <w:p w14:paraId="49BF190D" w14:textId="77777777" w:rsidR="00EF1C54" w:rsidRPr="00A73C9E" w:rsidRDefault="00EF1C54" w:rsidP="00A73C9E">
            <w:pPr>
              <w:spacing w:after="0" w:line="276" w:lineRule="auto"/>
              <w:rPr>
                <w:rFonts w:ascii="Arial" w:eastAsia="Times New Roman" w:hAnsi="Arial" w:cs="Arial"/>
              </w:rPr>
            </w:pPr>
            <w:r w:rsidRPr="00A73C9E">
              <w:rPr>
                <w:rFonts w:ascii="Arial" w:eastAsia="Times New Roman" w:hAnsi="Arial" w:cs="Arial"/>
              </w:rPr>
              <w:t>(Vascepa)</w:t>
            </w:r>
          </w:p>
        </w:tc>
        <w:tc>
          <w:tcPr>
            <w:tcW w:w="2340" w:type="dxa"/>
          </w:tcPr>
          <w:p w14:paraId="4330DD84" w14:textId="77777777" w:rsidR="00EF1C54" w:rsidRPr="00A73C9E" w:rsidRDefault="00EF1C54" w:rsidP="00A73C9E">
            <w:pPr>
              <w:spacing w:after="0" w:line="276" w:lineRule="auto"/>
              <w:rPr>
                <w:rFonts w:ascii="Arial" w:eastAsia="Times New Roman" w:hAnsi="Arial" w:cs="Arial"/>
              </w:rPr>
            </w:pPr>
            <w:r w:rsidRPr="00A73C9E">
              <w:rPr>
                <w:rFonts w:ascii="Arial" w:hAnsi="Arial" w:cs="Arial"/>
              </w:rPr>
              <w:t>Pediatric safety and efficacy not established. Not FDA approved for use in children.</w:t>
            </w:r>
          </w:p>
        </w:tc>
        <w:tc>
          <w:tcPr>
            <w:tcW w:w="1620" w:type="dxa"/>
          </w:tcPr>
          <w:p w14:paraId="44AEE9F8" w14:textId="77777777" w:rsidR="00EF1C54" w:rsidRPr="00A73C9E" w:rsidRDefault="00EF1C54" w:rsidP="00A73C9E">
            <w:pPr>
              <w:spacing w:after="0" w:line="276" w:lineRule="auto"/>
              <w:rPr>
                <w:rFonts w:ascii="Arial" w:eastAsia="Times New Roman" w:hAnsi="Arial" w:cs="Arial"/>
              </w:rPr>
            </w:pPr>
            <w:r w:rsidRPr="00A73C9E">
              <w:rPr>
                <w:rFonts w:ascii="Arial" w:eastAsia="Times New Roman" w:hAnsi="Arial" w:cs="Arial"/>
              </w:rPr>
              <w:t>2-4 g EPA daily, divided BID</w:t>
            </w:r>
          </w:p>
        </w:tc>
        <w:tc>
          <w:tcPr>
            <w:tcW w:w="2218" w:type="dxa"/>
          </w:tcPr>
          <w:p w14:paraId="0552A0D8" w14:textId="77777777" w:rsidR="00EF1C54" w:rsidRPr="00A73C9E" w:rsidRDefault="00EF1C54" w:rsidP="00A73C9E">
            <w:pPr>
              <w:autoSpaceDE w:val="0"/>
              <w:autoSpaceDN w:val="0"/>
              <w:adjustRightInd w:val="0"/>
              <w:spacing w:after="0" w:line="276" w:lineRule="auto"/>
              <w:rPr>
                <w:rFonts w:ascii="Arial" w:hAnsi="Arial" w:cs="Arial"/>
                <w:color w:val="000000"/>
              </w:rPr>
            </w:pPr>
            <w:r w:rsidRPr="00A73C9E">
              <w:rPr>
                <w:rFonts w:ascii="Arial" w:eastAsia="Times New Roman" w:hAnsi="Arial" w:cs="Arial"/>
              </w:rPr>
              <w:t>Arthralgia, oropharyngeal pain</w:t>
            </w:r>
          </w:p>
        </w:tc>
        <w:tc>
          <w:tcPr>
            <w:tcW w:w="2665" w:type="dxa"/>
            <w:vMerge/>
          </w:tcPr>
          <w:p w14:paraId="4DF13876" w14:textId="77777777" w:rsidR="00EF1C54" w:rsidRPr="00A73C9E" w:rsidRDefault="00EF1C54" w:rsidP="00A73C9E">
            <w:pPr>
              <w:autoSpaceDE w:val="0"/>
              <w:autoSpaceDN w:val="0"/>
              <w:adjustRightInd w:val="0"/>
              <w:spacing w:after="0" w:line="276" w:lineRule="auto"/>
              <w:rPr>
                <w:rFonts w:ascii="Arial" w:hAnsi="Arial" w:cs="Arial"/>
                <w:color w:val="000000"/>
              </w:rPr>
            </w:pPr>
          </w:p>
        </w:tc>
      </w:tr>
      <w:tr w:rsidR="00EF1C54" w:rsidRPr="00A73C9E" w14:paraId="5621C360" w14:textId="77777777" w:rsidTr="00D51593">
        <w:trPr>
          <w:trHeight w:val="318"/>
        </w:trPr>
        <w:tc>
          <w:tcPr>
            <w:tcW w:w="10278" w:type="dxa"/>
            <w:gridSpan w:val="5"/>
          </w:tcPr>
          <w:p w14:paraId="6D6EFE61" w14:textId="5CF1B092" w:rsidR="00EF1C54" w:rsidRPr="00A73C9E" w:rsidRDefault="00EF1C54" w:rsidP="00A73C9E">
            <w:pPr>
              <w:autoSpaceDE w:val="0"/>
              <w:autoSpaceDN w:val="0"/>
              <w:adjustRightInd w:val="0"/>
              <w:spacing w:after="0" w:line="276" w:lineRule="auto"/>
              <w:rPr>
                <w:rFonts w:ascii="Arial" w:hAnsi="Arial" w:cs="Arial"/>
                <w:b/>
                <w:bCs/>
                <w:color w:val="000000"/>
              </w:rPr>
            </w:pPr>
            <w:r w:rsidRPr="00A73C9E">
              <w:rPr>
                <w:rFonts w:ascii="Arial" w:hAnsi="Arial" w:cs="Arial"/>
                <w:b/>
                <w:bCs/>
                <w:color w:val="000000"/>
              </w:rPr>
              <w:t>Statins</w:t>
            </w:r>
          </w:p>
        </w:tc>
      </w:tr>
      <w:tr w:rsidR="00EF1C54" w:rsidRPr="00A73C9E" w14:paraId="47066C38" w14:textId="77777777" w:rsidTr="00D51593">
        <w:trPr>
          <w:trHeight w:val="318"/>
        </w:trPr>
        <w:tc>
          <w:tcPr>
            <w:tcW w:w="1435" w:type="dxa"/>
          </w:tcPr>
          <w:p w14:paraId="11906A5F" w14:textId="5D311B5F" w:rsidR="00EF1C54" w:rsidRPr="00A73C9E" w:rsidRDefault="00EF1C54" w:rsidP="00A73C9E">
            <w:pPr>
              <w:spacing w:after="0" w:line="276" w:lineRule="auto"/>
              <w:rPr>
                <w:rFonts w:ascii="Arial" w:eastAsia="Times New Roman" w:hAnsi="Arial" w:cs="Arial"/>
              </w:rPr>
            </w:pPr>
            <w:r w:rsidRPr="00A73C9E">
              <w:rPr>
                <w:rFonts w:ascii="Arial" w:eastAsia="Times New Roman" w:hAnsi="Arial" w:cs="Arial"/>
              </w:rPr>
              <w:t>Multiple preparations available</w:t>
            </w:r>
          </w:p>
        </w:tc>
        <w:tc>
          <w:tcPr>
            <w:tcW w:w="2340" w:type="dxa"/>
          </w:tcPr>
          <w:p w14:paraId="6C4D86F7" w14:textId="77777777" w:rsidR="00EF1C54" w:rsidRPr="00A73C9E" w:rsidRDefault="00EF1C54" w:rsidP="00A73C9E">
            <w:pPr>
              <w:spacing w:after="0" w:line="276" w:lineRule="auto"/>
              <w:rPr>
                <w:rFonts w:ascii="Arial" w:eastAsia="Times New Roman" w:hAnsi="Arial" w:cs="Arial"/>
              </w:rPr>
            </w:pPr>
            <w:r w:rsidRPr="00A73C9E">
              <w:rPr>
                <w:rFonts w:ascii="Arial" w:eastAsia="Times New Roman" w:hAnsi="Arial" w:cs="Arial"/>
              </w:rPr>
              <w:t>Not FDA approved for use in children other than familial hypercholesterolemia.</w:t>
            </w:r>
          </w:p>
        </w:tc>
        <w:tc>
          <w:tcPr>
            <w:tcW w:w="1620" w:type="dxa"/>
          </w:tcPr>
          <w:p w14:paraId="753FA45E" w14:textId="77777777" w:rsidR="00EF1C54" w:rsidRPr="00A73C9E" w:rsidRDefault="00EF1C54" w:rsidP="00A73C9E">
            <w:pPr>
              <w:spacing w:after="0" w:line="276" w:lineRule="auto"/>
              <w:rPr>
                <w:rFonts w:ascii="Arial" w:eastAsia="Times New Roman" w:hAnsi="Arial" w:cs="Arial"/>
              </w:rPr>
            </w:pPr>
            <w:r w:rsidRPr="00A73C9E">
              <w:rPr>
                <w:rFonts w:ascii="Arial" w:eastAsia="Times New Roman" w:hAnsi="Arial" w:cs="Arial"/>
              </w:rPr>
              <w:t xml:space="preserve">Product specific.  </w:t>
            </w:r>
          </w:p>
        </w:tc>
        <w:tc>
          <w:tcPr>
            <w:tcW w:w="2218" w:type="dxa"/>
          </w:tcPr>
          <w:p w14:paraId="2591A70E" w14:textId="2059DBB7" w:rsidR="00EF1C54" w:rsidRPr="00A73C9E" w:rsidRDefault="00EF1C54" w:rsidP="00A73C9E">
            <w:pPr>
              <w:autoSpaceDE w:val="0"/>
              <w:autoSpaceDN w:val="0"/>
              <w:adjustRightInd w:val="0"/>
              <w:spacing w:after="0" w:line="276" w:lineRule="auto"/>
              <w:rPr>
                <w:rFonts w:ascii="Arial" w:eastAsia="Times New Roman" w:hAnsi="Arial" w:cs="Arial"/>
              </w:rPr>
            </w:pPr>
            <w:r w:rsidRPr="00A73C9E">
              <w:rPr>
                <w:rFonts w:ascii="Arial" w:eastAsia="Times New Roman" w:hAnsi="Arial" w:cs="Arial"/>
              </w:rPr>
              <w:t>Myositis and rhabdomyolysis, primarily when given with gemfibrozil or cyclosporine; myositis is also seen with severe renal insufficiency (CrCl &lt; 30 mL/min).</w:t>
            </w:r>
          </w:p>
        </w:tc>
        <w:tc>
          <w:tcPr>
            <w:tcW w:w="2665" w:type="dxa"/>
          </w:tcPr>
          <w:p w14:paraId="5FC29621" w14:textId="77777777" w:rsidR="00EF1C54" w:rsidRPr="00A73C9E" w:rsidRDefault="00EF1C54" w:rsidP="00A73C9E">
            <w:pPr>
              <w:autoSpaceDE w:val="0"/>
              <w:autoSpaceDN w:val="0"/>
              <w:adjustRightInd w:val="0"/>
              <w:spacing w:after="0" w:line="276" w:lineRule="auto"/>
              <w:rPr>
                <w:rFonts w:ascii="Arial" w:hAnsi="Arial" w:cs="Arial"/>
                <w:color w:val="000000"/>
              </w:rPr>
            </w:pPr>
            <w:r w:rsidRPr="00A73C9E">
              <w:rPr>
                <w:rFonts w:ascii="Arial" w:hAnsi="Arial" w:cs="Arial"/>
                <w:color w:val="000000"/>
              </w:rPr>
              <w:t>If used off label, in HTG, statins are most often used in combination with other drugs, such as fibrates, in order to achieve synergistic effects.</w:t>
            </w:r>
          </w:p>
        </w:tc>
      </w:tr>
    </w:tbl>
    <w:p w14:paraId="2144247E" w14:textId="77777777" w:rsidR="00EF1C54" w:rsidRPr="00A73C9E" w:rsidRDefault="00EF1C54" w:rsidP="00A73C9E">
      <w:pPr>
        <w:spacing w:after="0" w:line="276" w:lineRule="auto"/>
        <w:rPr>
          <w:rFonts w:ascii="Arial" w:eastAsia="Calibri" w:hAnsi="Arial" w:cs="Arial"/>
        </w:rPr>
      </w:pPr>
    </w:p>
    <w:p w14:paraId="7327A97E" w14:textId="714F0EAE" w:rsidR="00C853FB" w:rsidRPr="00A73C9E" w:rsidRDefault="00C853FB" w:rsidP="00A73C9E">
      <w:pPr>
        <w:spacing w:after="0" w:line="276" w:lineRule="auto"/>
        <w:rPr>
          <w:rFonts w:ascii="Arial" w:eastAsia="Calibri" w:hAnsi="Arial" w:cs="Arial"/>
        </w:rPr>
      </w:pPr>
      <w:r w:rsidRPr="00A73C9E">
        <w:rPr>
          <w:rFonts w:ascii="Arial" w:eastAsia="Calibri" w:hAnsi="Arial" w:cs="Arial"/>
        </w:rPr>
        <w:t xml:space="preserve">Fenofibrate, a potent hypolipemic agent, is widely used in patients with </w:t>
      </w:r>
      <w:r w:rsidR="00EE442C" w:rsidRPr="00A73C9E">
        <w:rPr>
          <w:rFonts w:ascii="Arial" w:eastAsia="Calibri" w:hAnsi="Arial" w:cs="Arial"/>
        </w:rPr>
        <w:t>hypertriglyceridemia</w:t>
      </w:r>
      <w:r w:rsidRPr="00A73C9E">
        <w:rPr>
          <w:rFonts w:ascii="Arial" w:eastAsia="Calibri" w:hAnsi="Arial" w:cs="Arial"/>
        </w:rPr>
        <w:t>. A moderate reversible increase in serum creatinine is a well described side effect of fenofibrate therapy, although the mechanism remains unknown</w:t>
      </w:r>
      <w:r w:rsidR="0030693D" w:rsidRPr="00A73C9E">
        <w:rPr>
          <w:rFonts w:ascii="Arial" w:eastAsia="Calibri" w:hAnsi="Arial" w:cs="Arial"/>
        </w:rPr>
        <w:t xml:space="preserve"> (10)</w:t>
      </w:r>
      <w:r w:rsidRPr="00A73C9E">
        <w:rPr>
          <w:rFonts w:ascii="Arial" w:eastAsia="Calibri" w:hAnsi="Arial" w:cs="Arial"/>
        </w:rPr>
        <w:t>.</w:t>
      </w:r>
      <w:r w:rsidR="006040FD" w:rsidRPr="00A73C9E">
        <w:rPr>
          <w:rFonts w:ascii="Arial" w:hAnsi="Arial" w:cs="Arial"/>
        </w:rPr>
        <w:t xml:space="preserve"> </w:t>
      </w:r>
      <w:r w:rsidR="00F85150" w:rsidRPr="00A73C9E">
        <w:rPr>
          <w:rFonts w:ascii="Arial" w:eastAsia="Calibri" w:hAnsi="Arial" w:cs="Arial"/>
        </w:rPr>
        <w:t>It does not appear to</w:t>
      </w:r>
      <w:r w:rsidRPr="00A73C9E">
        <w:rPr>
          <w:rFonts w:ascii="Arial" w:eastAsia="Calibri" w:hAnsi="Arial" w:cs="Arial"/>
        </w:rPr>
        <w:t xml:space="preserve"> reflect an impairment of renal function, nor an alteration of tubular creatinine secretion, and is not falsely increased by dosage interference. Furthermore, </w:t>
      </w:r>
      <w:r w:rsidR="006040FD" w:rsidRPr="00A73C9E">
        <w:rPr>
          <w:rFonts w:ascii="Arial" w:eastAsia="Calibri" w:hAnsi="Arial" w:cs="Arial"/>
        </w:rPr>
        <w:t>a fenofibrate-induced increase of daily creatinine production is not readily explained by accelerated muscular cell lysis</w:t>
      </w:r>
      <w:r w:rsidRPr="00A73C9E">
        <w:rPr>
          <w:rFonts w:ascii="Arial" w:eastAsia="Calibri" w:hAnsi="Arial" w:cs="Arial"/>
        </w:rPr>
        <w:t>. Rather</w:t>
      </w:r>
      <w:r w:rsidR="004E7A22" w:rsidRPr="00A73C9E">
        <w:rPr>
          <w:rFonts w:ascii="Arial" w:eastAsia="Calibri" w:hAnsi="Arial" w:cs="Arial"/>
        </w:rPr>
        <w:t>,</w:t>
      </w:r>
      <w:r w:rsidRPr="00A73C9E">
        <w:rPr>
          <w:rFonts w:ascii="Arial" w:eastAsia="Calibri" w:hAnsi="Arial" w:cs="Arial"/>
        </w:rPr>
        <w:t xml:space="preserve"> it has been proposed that fenofibrate increases the metabolic production rate of creatinine</w:t>
      </w:r>
      <w:r w:rsidR="0030693D" w:rsidRPr="00A73C9E">
        <w:rPr>
          <w:rFonts w:ascii="Arial" w:eastAsia="Calibri" w:hAnsi="Arial" w:cs="Arial"/>
        </w:rPr>
        <w:t xml:space="preserve"> (10)</w:t>
      </w:r>
      <w:r w:rsidRPr="00A73C9E">
        <w:rPr>
          <w:rFonts w:ascii="Arial" w:eastAsia="Calibri" w:hAnsi="Arial" w:cs="Arial"/>
        </w:rPr>
        <w:t>. Although current evidence does not suggest</w:t>
      </w:r>
      <w:r w:rsidR="00F85150" w:rsidRPr="00A73C9E">
        <w:rPr>
          <w:rFonts w:ascii="Arial" w:eastAsia="Calibri" w:hAnsi="Arial" w:cs="Arial"/>
        </w:rPr>
        <w:t xml:space="preserve"> fenofibrate is nephrotoxic</w:t>
      </w:r>
      <w:r w:rsidRPr="00A73C9E">
        <w:rPr>
          <w:rFonts w:ascii="Arial" w:eastAsia="Calibri" w:hAnsi="Arial" w:cs="Arial"/>
        </w:rPr>
        <w:t>, close monitoring of serum creatinine is recommended, especially in high-risk patients. Increases in serum creatinine levels ≥</w:t>
      </w:r>
      <w:r w:rsidR="00482C8B" w:rsidRPr="00A73C9E">
        <w:rPr>
          <w:rFonts w:ascii="Arial" w:eastAsia="Calibri" w:hAnsi="Arial" w:cs="Arial"/>
        </w:rPr>
        <w:t xml:space="preserve"> </w:t>
      </w:r>
      <w:r w:rsidRPr="00A73C9E">
        <w:rPr>
          <w:rFonts w:ascii="Arial" w:eastAsia="Calibri" w:hAnsi="Arial" w:cs="Arial"/>
        </w:rPr>
        <w:t>30%</w:t>
      </w:r>
      <w:r w:rsidR="005B1613" w:rsidRPr="00A73C9E">
        <w:rPr>
          <w:rFonts w:ascii="Arial" w:eastAsia="Calibri" w:hAnsi="Arial" w:cs="Arial"/>
        </w:rPr>
        <w:t xml:space="preserve"> </w:t>
      </w:r>
      <w:r w:rsidRPr="00A73C9E">
        <w:rPr>
          <w:rFonts w:ascii="Arial" w:eastAsia="Calibri" w:hAnsi="Arial" w:cs="Arial"/>
        </w:rPr>
        <w:t>may sugge</w:t>
      </w:r>
      <w:r w:rsidR="0030693D" w:rsidRPr="00A73C9E">
        <w:rPr>
          <w:rFonts w:ascii="Arial" w:eastAsia="Calibri" w:hAnsi="Arial" w:cs="Arial"/>
        </w:rPr>
        <w:t>st the need for discontinuation</w:t>
      </w:r>
      <w:r w:rsidRPr="00A73C9E">
        <w:rPr>
          <w:rFonts w:ascii="Arial" w:eastAsia="Calibri" w:hAnsi="Arial" w:cs="Arial"/>
        </w:rPr>
        <w:t xml:space="preserve"> (1</w:t>
      </w:r>
      <w:r w:rsidR="0030693D" w:rsidRPr="00A73C9E">
        <w:rPr>
          <w:rFonts w:ascii="Arial" w:eastAsia="Calibri" w:hAnsi="Arial" w:cs="Arial"/>
        </w:rPr>
        <w:t>1</w:t>
      </w:r>
      <w:r w:rsidRPr="00A73C9E">
        <w:rPr>
          <w:rFonts w:ascii="Arial" w:eastAsia="Calibri" w:hAnsi="Arial" w:cs="Arial"/>
        </w:rPr>
        <w:t>)</w:t>
      </w:r>
      <w:r w:rsidR="0030693D" w:rsidRPr="00A73C9E">
        <w:rPr>
          <w:rFonts w:ascii="Arial" w:eastAsia="Calibri" w:hAnsi="Arial" w:cs="Arial"/>
        </w:rPr>
        <w:t>.</w:t>
      </w:r>
    </w:p>
    <w:p w14:paraId="7470D080" w14:textId="77777777" w:rsidR="00F0466F" w:rsidRPr="00A73C9E" w:rsidRDefault="00F0466F" w:rsidP="00A73C9E">
      <w:pPr>
        <w:spacing w:after="0" w:line="276" w:lineRule="auto"/>
        <w:rPr>
          <w:rFonts w:ascii="Arial" w:eastAsia="Calibri" w:hAnsi="Arial" w:cs="Arial"/>
        </w:rPr>
      </w:pPr>
    </w:p>
    <w:p w14:paraId="75EF4CEE" w14:textId="347CA0C1" w:rsidR="000A6483" w:rsidRPr="00A73C9E" w:rsidRDefault="00BF5A12" w:rsidP="00A73C9E">
      <w:pPr>
        <w:spacing w:after="0" w:line="276" w:lineRule="auto"/>
        <w:rPr>
          <w:rFonts w:ascii="Arial" w:hAnsi="Arial" w:cs="Arial"/>
        </w:rPr>
      </w:pPr>
      <w:r w:rsidRPr="00A73C9E">
        <w:rPr>
          <w:rFonts w:ascii="Arial" w:eastAsia="Calibri" w:hAnsi="Arial" w:cs="Arial"/>
        </w:rPr>
        <w:t xml:space="preserve">While </w:t>
      </w:r>
      <w:r w:rsidR="00F85150" w:rsidRPr="00A73C9E">
        <w:rPr>
          <w:rFonts w:ascii="Arial" w:eastAsia="Calibri" w:hAnsi="Arial" w:cs="Arial"/>
        </w:rPr>
        <w:t>over-the-</w:t>
      </w:r>
      <w:r w:rsidRPr="00A73C9E">
        <w:rPr>
          <w:rFonts w:ascii="Arial" w:eastAsia="Calibri" w:hAnsi="Arial" w:cs="Arial"/>
        </w:rPr>
        <w:t xml:space="preserve">counter long chain omega-3-fatty acids have variable </w:t>
      </w:r>
      <w:r w:rsidR="00F85150" w:rsidRPr="00A73C9E">
        <w:rPr>
          <w:rFonts w:ascii="Arial" w:eastAsia="Calibri" w:hAnsi="Arial" w:cs="Arial"/>
        </w:rPr>
        <w:t xml:space="preserve">TG-lowering </w:t>
      </w:r>
      <w:r w:rsidRPr="00A73C9E">
        <w:rPr>
          <w:rFonts w:ascii="Arial" w:eastAsia="Calibri" w:hAnsi="Arial" w:cs="Arial"/>
        </w:rPr>
        <w:t xml:space="preserve">effects, prescription preparations </w:t>
      </w:r>
      <w:r w:rsidR="000A6483" w:rsidRPr="00A73C9E">
        <w:rPr>
          <w:rFonts w:ascii="Arial" w:eastAsia="Calibri" w:hAnsi="Arial" w:cs="Arial"/>
        </w:rPr>
        <w:t>lower TG levels by 20</w:t>
      </w:r>
      <w:r w:rsidR="00BC0A8B" w:rsidRPr="00A73C9E">
        <w:rPr>
          <w:rFonts w:ascii="Arial" w:eastAsia="Calibri" w:hAnsi="Arial" w:cs="Arial"/>
        </w:rPr>
        <w:t>-</w:t>
      </w:r>
      <w:r w:rsidR="000A6483" w:rsidRPr="00A73C9E">
        <w:rPr>
          <w:rFonts w:ascii="Arial" w:eastAsia="Calibri" w:hAnsi="Arial" w:cs="Arial"/>
        </w:rPr>
        <w:t>50%</w:t>
      </w:r>
      <w:r w:rsidR="00F85150" w:rsidRPr="00A73C9E">
        <w:rPr>
          <w:rFonts w:ascii="Arial" w:eastAsia="Calibri" w:hAnsi="Arial" w:cs="Arial"/>
        </w:rPr>
        <w:t>.</w:t>
      </w:r>
      <w:r w:rsidRPr="00A73C9E">
        <w:rPr>
          <w:rFonts w:ascii="Arial" w:eastAsia="Calibri" w:hAnsi="Arial" w:cs="Arial"/>
        </w:rPr>
        <w:t xml:space="preserve"> In</w:t>
      </w:r>
      <w:r w:rsidRPr="00A73C9E">
        <w:rPr>
          <w:rFonts w:ascii="Arial" w:hAnsi="Arial" w:cs="Arial"/>
        </w:rPr>
        <w:t xml:space="preserve"> </w:t>
      </w:r>
      <w:r w:rsidR="00B60353" w:rsidRPr="00A73C9E">
        <w:rPr>
          <w:rFonts w:ascii="Arial" w:hAnsi="Arial" w:cs="Arial"/>
        </w:rPr>
        <w:t xml:space="preserve">lipoprotein lipase </w:t>
      </w:r>
      <w:r w:rsidRPr="00A73C9E">
        <w:rPr>
          <w:rFonts w:ascii="Arial" w:eastAsia="Calibri" w:hAnsi="Arial" w:cs="Arial"/>
        </w:rPr>
        <w:t>deficiency states, omega-3-f</w:t>
      </w:r>
      <w:r w:rsidR="000A6483" w:rsidRPr="00A73C9E">
        <w:rPr>
          <w:rFonts w:ascii="Arial" w:eastAsia="Calibri" w:hAnsi="Arial" w:cs="Arial"/>
        </w:rPr>
        <w:t>atty acids may aggravate severe HTG</w:t>
      </w:r>
      <w:r w:rsidR="0030693D" w:rsidRPr="00A73C9E">
        <w:rPr>
          <w:rFonts w:ascii="Arial" w:eastAsia="Calibri" w:hAnsi="Arial" w:cs="Arial"/>
        </w:rPr>
        <w:t xml:space="preserve"> (12).</w:t>
      </w:r>
    </w:p>
    <w:p w14:paraId="235A0BBE" w14:textId="77777777" w:rsidR="00BF5A12" w:rsidRPr="00A73C9E" w:rsidRDefault="00BF5A12" w:rsidP="00A73C9E">
      <w:pPr>
        <w:spacing w:after="0" w:line="276" w:lineRule="auto"/>
        <w:rPr>
          <w:rFonts w:ascii="Arial" w:eastAsia="Calibri" w:hAnsi="Arial" w:cs="Arial"/>
        </w:rPr>
      </w:pPr>
    </w:p>
    <w:p w14:paraId="00BFEB4C" w14:textId="60EC8CBF" w:rsidR="00C853FB" w:rsidRPr="00A73C9E" w:rsidRDefault="00F85150" w:rsidP="00A73C9E">
      <w:pPr>
        <w:spacing w:after="0" w:line="276" w:lineRule="auto"/>
        <w:rPr>
          <w:rFonts w:ascii="Arial" w:eastAsia="Calibri" w:hAnsi="Arial" w:cs="Arial"/>
        </w:rPr>
      </w:pPr>
      <w:r w:rsidRPr="00A73C9E">
        <w:rPr>
          <w:rFonts w:ascii="Arial" w:eastAsia="Calibri" w:hAnsi="Arial" w:cs="Arial"/>
        </w:rPr>
        <w:t>Use of n</w:t>
      </w:r>
      <w:r w:rsidR="00BF5A12" w:rsidRPr="00A73C9E">
        <w:rPr>
          <w:rFonts w:ascii="Arial" w:eastAsia="Calibri" w:hAnsi="Arial" w:cs="Arial"/>
        </w:rPr>
        <w:t>iacin</w:t>
      </w:r>
      <w:r w:rsidRPr="00A73C9E">
        <w:rPr>
          <w:rFonts w:ascii="Arial" w:eastAsia="Calibri" w:hAnsi="Arial" w:cs="Arial"/>
        </w:rPr>
        <w:t>, which</w:t>
      </w:r>
      <w:r w:rsidR="00BF5A12" w:rsidRPr="00A73C9E">
        <w:rPr>
          <w:rFonts w:ascii="Arial" w:eastAsia="Calibri" w:hAnsi="Arial" w:cs="Arial"/>
        </w:rPr>
        <w:t xml:space="preserve"> lowers TGs 10</w:t>
      </w:r>
      <w:r w:rsidR="00525991" w:rsidRPr="00A73C9E">
        <w:rPr>
          <w:rFonts w:ascii="Arial" w:eastAsia="Calibri" w:hAnsi="Arial" w:cs="Arial"/>
        </w:rPr>
        <w:t>-</w:t>
      </w:r>
      <w:r w:rsidR="00BF5A12" w:rsidRPr="00A73C9E">
        <w:rPr>
          <w:rFonts w:ascii="Arial" w:eastAsia="Calibri" w:hAnsi="Arial" w:cs="Arial"/>
        </w:rPr>
        <w:t>30%, increases HDL</w:t>
      </w:r>
      <w:r w:rsidR="004E7A22" w:rsidRPr="00A73C9E">
        <w:rPr>
          <w:rFonts w:ascii="Arial" w:eastAsia="Calibri" w:hAnsi="Arial" w:cs="Arial"/>
        </w:rPr>
        <w:t>-C</w:t>
      </w:r>
      <w:r w:rsidR="004A5680" w:rsidRPr="00A73C9E">
        <w:rPr>
          <w:rFonts w:ascii="Arial" w:eastAsia="Calibri" w:hAnsi="Arial" w:cs="Arial"/>
        </w:rPr>
        <w:t xml:space="preserve"> </w:t>
      </w:r>
      <w:r w:rsidR="00BF5A12" w:rsidRPr="00A73C9E">
        <w:rPr>
          <w:rFonts w:ascii="Arial" w:eastAsia="Calibri" w:hAnsi="Arial" w:cs="Arial"/>
        </w:rPr>
        <w:t>by 10</w:t>
      </w:r>
      <w:r w:rsidR="00525991" w:rsidRPr="00A73C9E">
        <w:rPr>
          <w:rFonts w:ascii="Arial" w:eastAsia="Calibri" w:hAnsi="Arial" w:cs="Arial"/>
        </w:rPr>
        <w:t>-</w:t>
      </w:r>
      <w:r w:rsidR="00BF5A12" w:rsidRPr="00A73C9E">
        <w:rPr>
          <w:rFonts w:ascii="Arial" w:eastAsia="Calibri" w:hAnsi="Arial" w:cs="Arial"/>
        </w:rPr>
        <w:t>40%</w:t>
      </w:r>
      <w:r w:rsidR="005B1613" w:rsidRPr="00A73C9E">
        <w:rPr>
          <w:rFonts w:ascii="Arial" w:eastAsia="Calibri" w:hAnsi="Arial" w:cs="Arial"/>
        </w:rPr>
        <w:t>,</w:t>
      </w:r>
      <w:r w:rsidR="00EC6F1E" w:rsidRPr="00A73C9E">
        <w:rPr>
          <w:rFonts w:ascii="Arial" w:eastAsia="Calibri" w:hAnsi="Arial" w:cs="Arial"/>
        </w:rPr>
        <w:t xml:space="preserve"> and lowers LDL-C </w:t>
      </w:r>
      <w:r w:rsidR="00BF5A12" w:rsidRPr="00A73C9E">
        <w:rPr>
          <w:rFonts w:ascii="Arial" w:eastAsia="Calibri" w:hAnsi="Arial" w:cs="Arial"/>
        </w:rPr>
        <w:t>by 5</w:t>
      </w:r>
      <w:r w:rsidR="00525991" w:rsidRPr="00A73C9E">
        <w:rPr>
          <w:rFonts w:ascii="Arial" w:eastAsia="Calibri" w:hAnsi="Arial" w:cs="Arial"/>
        </w:rPr>
        <w:t>-</w:t>
      </w:r>
      <w:r w:rsidR="00BF5A12" w:rsidRPr="00A73C9E">
        <w:rPr>
          <w:rFonts w:ascii="Arial" w:eastAsia="Calibri" w:hAnsi="Arial" w:cs="Arial"/>
        </w:rPr>
        <w:t>20%</w:t>
      </w:r>
      <w:r w:rsidRPr="00A73C9E">
        <w:rPr>
          <w:rFonts w:ascii="Arial" w:eastAsia="Calibri" w:hAnsi="Arial" w:cs="Arial"/>
        </w:rPr>
        <w:t xml:space="preserve">, is limited by </w:t>
      </w:r>
      <w:r w:rsidR="007F7CC4" w:rsidRPr="00A73C9E">
        <w:rPr>
          <w:rFonts w:ascii="Arial" w:eastAsia="Calibri" w:hAnsi="Arial" w:cs="Arial"/>
        </w:rPr>
        <w:t>common side effects, such as f</w:t>
      </w:r>
      <w:r w:rsidR="00BF5A12" w:rsidRPr="00A73C9E">
        <w:rPr>
          <w:rFonts w:ascii="Arial" w:eastAsia="Calibri" w:hAnsi="Arial" w:cs="Arial"/>
        </w:rPr>
        <w:t xml:space="preserve">lushing </w:t>
      </w:r>
      <w:r w:rsidR="007F7CC4" w:rsidRPr="00A73C9E">
        <w:rPr>
          <w:rFonts w:ascii="Arial" w:eastAsia="Calibri" w:hAnsi="Arial" w:cs="Arial"/>
        </w:rPr>
        <w:t xml:space="preserve">and </w:t>
      </w:r>
      <w:r w:rsidR="007F0782" w:rsidRPr="00A73C9E">
        <w:rPr>
          <w:rFonts w:ascii="Arial" w:eastAsia="Calibri" w:hAnsi="Arial" w:cs="Arial"/>
        </w:rPr>
        <w:t>pruritus</w:t>
      </w:r>
      <w:r w:rsidRPr="00A73C9E">
        <w:rPr>
          <w:rFonts w:ascii="Arial" w:eastAsia="Calibri" w:hAnsi="Arial" w:cs="Arial"/>
        </w:rPr>
        <w:t xml:space="preserve">. </w:t>
      </w:r>
      <w:r w:rsidR="007F7CC4" w:rsidRPr="00A73C9E">
        <w:rPr>
          <w:rFonts w:ascii="Arial" w:eastAsia="Calibri" w:hAnsi="Arial" w:cs="Arial"/>
        </w:rPr>
        <w:t xml:space="preserve"> </w:t>
      </w:r>
      <w:r w:rsidRPr="00A73C9E">
        <w:rPr>
          <w:rFonts w:ascii="Arial" w:eastAsia="Calibri" w:hAnsi="Arial" w:cs="Arial"/>
        </w:rPr>
        <w:t>In addition</w:t>
      </w:r>
      <w:r w:rsidR="00B10D0B" w:rsidRPr="00A73C9E">
        <w:rPr>
          <w:rFonts w:ascii="Arial" w:eastAsia="Calibri" w:hAnsi="Arial" w:cs="Arial"/>
        </w:rPr>
        <w:t>,</w:t>
      </w:r>
      <w:r w:rsidRPr="00A73C9E">
        <w:rPr>
          <w:rFonts w:ascii="Arial" w:eastAsia="Calibri" w:hAnsi="Arial" w:cs="Arial"/>
        </w:rPr>
        <w:t xml:space="preserve"> it</w:t>
      </w:r>
      <w:r w:rsidR="007F7CC4" w:rsidRPr="00A73C9E">
        <w:rPr>
          <w:rFonts w:ascii="Arial" w:eastAsia="Calibri" w:hAnsi="Arial" w:cs="Arial"/>
        </w:rPr>
        <w:t xml:space="preserve"> may </w:t>
      </w:r>
      <w:r w:rsidR="007F7CC4" w:rsidRPr="00A73C9E">
        <w:rPr>
          <w:rFonts w:ascii="Arial" w:eastAsia="Calibri" w:hAnsi="Arial" w:cs="Arial"/>
        </w:rPr>
        <w:lastRenderedPageBreak/>
        <w:t>contribute to insulin resistance</w:t>
      </w:r>
      <w:r w:rsidRPr="00A73C9E">
        <w:rPr>
          <w:rFonts w:ascii="Arial" w:eastAsia="Calibri" w:hAnsi="Arial" w:cs="Arial"/>
        </w:rPr>
        <w:t xml:space="preserve">, </w:t>
      </w:r>
      <w:r w:rsidR="007F0782" w:rsidRPr="00A73C9E">
        <w:rPr>
          <w:rFonts w:ascii="Arial" w:eastAsia="Calibri" w:hAnsi="Arial" w:cs="Arial"/>
        </w:rPr>
        <w:t>further increasing TG levels</w:t>
      </w:r>
      <w:r w:rsidR="007F7CC4" w:rsidRPr="00A73C9E">
        <w:rPr>
          <w:rFonts w:ascii="Arial" w:eastAsia="Calibri" w:hAnsi="Arial" w:cs="Arial"/>
        </w:rPr>
        <w:t xml:space="preserve">.  </w:t>
      </w:r>
      <w:r w:rsidR="00C115CE" w:rsidRPr="00A73C9E">
        <w:rPr>
          <w:rFonts w:ascii="Arial" w:eastAsia="Calibri" w:hAnsi="Arial" w:cs="Arial"/>
        </w:rPr>
        <w:t xml:space="preserve">Bile acid sequestrants </w:t>
      </w:r>
      <w:r w:rsidR="005B1613" w:rsidRPr="00A73C9E">
        <w:rPr>
          <w:rFonts w:ascii="Arial" w:eastAsia="Calibri" w:hAnsi="Arial" w:cs="Arial"/>
        </w:rPr>
        <w:t xml:space="preserve">may </w:t>
      </w:r>
      <w:r w:rsidR="00C115CE" w:rsidRPr="00A73C9E">
        <w:rPr>
          <w:rFonts w:ascii="Arial" w:eastAsia="Calibri" w:hAnsi="Arial" w:cs="Arial"/>
        </w:rPr>
        <w:t xml:space="preserve">worsen HTG and are contraindicated in patients with </w:t>
      </w:r>
      <w:r w:rsidR="00EE442C" w:rsidRPr="00A73C9E">
        <w:rPr>
          <w:rFonts w:ascii="Arial" w:eastAsia="Calibri" w:hAnsi="Arial" w:cs="Arial"/>
        </w:rPr>
        <w:t>SHTG</w:t>
      </w:r>
      <w:r w:rsidR="00C115CE" w:rsidRPr="00A73C9E">
        <w:rPr>
          <w:rFonts w:ascii="Arial" w:eastAsia="Calibri" w:hAnsi="Arial" w:cs="Arial"/>
        </w:rPr>
        <w:t xml:space="preserve"> (&gt;</w:t>
      </w:r>
      <w:r w:rsidR="004E7A22" w:rsidRPr="00A73C9E">
        <w:rPr>
          <w:rFonts w:ascii="Arial" w:eastAsia="Calibri" w:hAnsi="Arial" w:cs="Arial"/>
        </w:rPr>
        <w:t xml:space="preserve"> </w:t>
      </w:r>
      <w:r w:rsidR="00C115CE" w:rsidRPr="00A73C9E">
        <w:rPr>
          <w:rFonts w:ascii="Arial" w:eastAsia="Calibri" w:hAnsi="Arial" w:cs="Arial"/>
        </w:rPr>
        <w:t>1000 mg/d</w:t>
      </w:r>
      <w:r w:rsidR="004E7A22" w:rsidRPr="00A73C9E">
        <w:rPr>
          <w:rFonts w:ascii="Arial" w:eastAsia="Calibri" w:hAnsi="Arial" w:cs="Arial"/>
        </w:rPr>
        <w:t>L</w:t>
      </w:r>
      <w:r w:rsidR="00C115CE" w:rsidRPr="00A73C9E">
        <w:rPr>
          <w:rFonts w:ascii="Arial" w:eastAsia="Calibri" w:hAnsi="Arial" w:cs="Arial"/>
        </w:rPr>
        <w:t>).</w:t>
      </w:r>
    </w:p>
    <w:p w14:paraId="2F02EBB0" w14:textId="77777777" w:rsidR="007F7CC4" w:rsidRPr="00A73C9E" w:rsidRDefault="007F7CC4" w:rsidP="00A73C9E">
      <w:pPr>
        <w:spacing w:after="0" w:line="276" w:lineRule="auto"/>
        <w:rPr>
          <w:rFonts w:ascii="Arial" w:eastAsia="Calibri" w:hAnsi="Arial" w:cs="Arial"/>
        </w:rPr>
      </w:pPr>
    </w:p>
    <w:p w14:paraId="5081329E" w14:textId="3AE7247A" w:rsidR="00BF5A12" w:rsidRPr="00A73C9E" w:rsidRDefault="007F7CC4" w:rsidP="00A73C9E">
      <w:pPr>
        <w:spacing w:after="0" w:line="276" w:lineRule="auto"/>
        <w:rPr>
          <w:rFonts w:ascii="Arial" w:eastAsia="Calibri" w:hAnsi="Arial" w:cs="Arial"/>
        </w:rPr>
      </w:pPr>
      <w:r w:rsidRPr="00A73C9E">
        <w:rPr>
          <w:rFonts w:ascii="Arial" w:eastAsia="Calibri" w:hAnsi="Arial" w:cs="Arial"/>
        </w:rPr>
        <w:t>Several novel therapies for treatment of HTG are in development</w:t>
      </w:r>
      <w:r w:rsidR="0097218A" w:rsidRPr="00A73C9E">
        <w:rPr>
          <w:rFonts w:ascii="Arial" w:eastAsia="Calibri" w:hAnsi="Arial" w:cs="Arial"/>
        </w:rPr>
        <w:t>,</w:t>
      </w:r>
      <w:r w:rsidRPr="00A73C9E">
        <w:rPr>
          <w:rFonts w:ascii="Arial" w:eastAsia="Calibri" w:hAnsi="Arial" w:cs="Arial"/>
        </w:rPr>
        <w:t xml:space="preserve"> but their clinical efficacy, cost-effectiveness, and indications, especially in children, have not yet been established.</w:t>
      </w:r>
    </w:p>
    <w:p w14:paraId="01430BE6" w14:textId="77777777" w:rsidR="007F7CC4" w:rsidRPr="00A73C9E" w:rsidRDefault="007F7CC4" w:rsidP="00A73C9E">
      <w:pPr>
        <w:spacing w:after="0" w:line="276" w:lineRule="auto"/>
        <w:rPr>
          <w:rFonts w:ascii="Arial" w:eastAsia="Calibri" w:hAnsi="Arial" w:cs="Arial"/>
        </w:rPr>
      </w:pPr>
    </w:p>
    <w:p w14:paraId="6EAA3F5A" w14:textId="4FBA0835" w:rsidR="00365276" w:rsidRPr="00A73C9E" w:rsidRDefault="00365276" w:rsidP="00A73C9E">
      <w:pPr>
        <w:spacing w:after="0" w:line="276" w:lineRule="auto"/>
        <w:rPr>
          <w:rFonts w:ascii="Arial" w:eastAsia="Calibri" w:hAnsi="Arial" w:cs="Arial"/>
        </w:rPr>
      </w:pPr>
      <w:r w:rsidRPr="00A73C9E">
        <w:rPr>
          <w:rFonts w:ascii="Arial" w:eastAsia="Calibri" w:hAnsi="Arial" w:cs="Arial"/>
        </w:rPr>
        <w:t>Following recovery from the acute episode of pancreatitis, patient should be encouraged to adopt</w:t>
      </w:r>
      <w:r w:rsidR="007F7CC4" w:rsidRPr="00A73C9E">
        <w:rPr>
          <w:rFonts w:ascii="Arial" w:eastAsia="Calibri" w:hAnsi="Arial" w:cs="Arial"/>
        </w:rPr>
        <w:t xml:space="preserve"> </w:t>
      </w:r>
      <w:r w:rsidRPr="00A73C9E">
        <w:rPr>
          <w:rFonts w:ascii="Arial" w:eastAsia="Calibri" w:hAnsi="Arial" w:cs="Arial"/>
        </w:rPr>
        <w:t xml:space="preserve">a healthy lifestyle, </w:t>
      </w:r>
      <w:r w:rsidR="004E7A22" w:rsidRPr="00A73C9E">
        <w:rPr>
          <w:rFonts w:ascii="Arial" w:eastAsia="Calibri" w:hAnsi="Arial" w:cs="Arial"/>
        </w:rPr>
        <w:t>including</w:t>
      </w:r>
      <w:r w:rsidR="007F7CC4" w:rsidRPr="00A73C9E">
        <w:rPr>
          <w:rFonts w:ascii="Arial" w:eastAsia="Calibri" w:hAnsi="Arial" w:cs="Arial"/>
        </w:rPr>
        <w:t xml:space="preserve"> </w:t>
      </w:r>
      <w:r w:rsidRPr="00A73C9E">
        <w:rPr>
          <w:rFonts w:ascii="Arial" w:eastAsia="Calibri" w:hAnsi="Arial" w:cs="Arial"/>
        </w:rPr>
        <w:t>a diet low in saturated fat</w:t>
      </w:r>
      <w:r w:rsidR="00EE442C" w:rsidRPr="00A73C9E">
        <w:rPr>
          <w:rFonts w:ascii="Arial" w:eastAsia="Calibri" w:hAnsi="Arial" w:cs="Arial"/>
        </w:rPr>
        <w:t xml:space="preserve"> and </w:t>
      </w:r>
      <w:r w:rsidRPr="00A73C9E">
        <w:rPr>
          <w:rFonts w:ascii="Arial" w:eastAsia="Calibri" w:hAnsi="Arial" w:cs="Arial"/>
        </w:rPr>
        <w:t>cholesterol</w:t>
      </w:r>
      <w:r w:rsidR="00EE442C" w:rsidRPr="00A73C9E">
        <w:rPr>
          <w:rFonts w:ascii="Arial" w:eastAsia="Calibri" w:hAnsi="Arial" w:cs="Arial"/>
        </w:rPr>
        <w:t>, avoiding excessive</w:t>
      </w:r>
      <w:r w:rsidRPr="00A73C9E">
        <w:rPr>
          <w:rFonts w:ascii="Arial" w:eastAsia="Calibri" w:hAnsi="Arial" w:cs="Arial"/>
        </w:rPr>
        <w:t xml:space="preserve"> carbohydrate</w:t>
      </w:r>
      <w:r w:rsidR="00EE442C" w:rsidRPr="00A73C9E">
        <w:rPr>
          <w:rFonts w:ascii="Arial" w:eastAsia="Calibri" w:hAnsi="Arial" w:cs="Arial"/>
        </w:rPr>
        <w:t xml:space="preserve"> intake</w:t>
      </w:r>
      <w:r w:rsidRPr="00A73C9E">
        <w:rPr>
          <w:rFonts w:ascii="Arial" w:eastAsia="Calibri" w:hAnsi="Arial" w:cs="Arial"/>
        </w:rPr>
        <w:t xml:space="preserve">, avoidance/cessation </w:t>
      </w:r>
      <w:r w:rsidR="007F7CC4" w:rsidRPr="00A73C9E">
        <w:rPr>
          <w:rFonts w:ascii="Arial" w:eastAsia="Calibri" w:hAnsi="Arial" w:cs="Arial"/>
        </w:rPr>
        <w:t xml:space="preserve">of </w:t>
      </w:r>
      <w:r w:rsidRPr="00A73C9E">
        <w:rPr>
          <w:rFonts w:ascii="Arial" w:eastAsia="Calibri" w:hAnsi="Arial" w:cs="Arial"/>
        </w:rPr>
        <w:t>smoking, and 30</w:t>
      </w:r>
      <w:r w:rsidR="00BC0A8B" w:rsidRPr="00A73C9E">
        <w:rPr>
          <w:rFonts w:ascii="Arial" w:eastAsia="Calibri" w:hAnsi="Arial" w:cs="Arial"/>
        </w:rPr>
        <w:t>-</w:t>
      </w:r>
      <w:r w:rsidR="00251721" w:rsidRPr="00A73C9E">
        <w:rPr>
          <w:rFonts w:ascii="Arial" w:eastAsia="Calibri" w:hAnsi="Arial" w:cs="Arial"/>
        </w:rPr>
        <w:t>60 minutes of moderate-to-</w:t>
      </w:r>
      <w:r w:rsidRPr="00A73C9E">
        <w:rPr>
          <w:rFonts w:ascii="Arial" w:eastAsia="Calibri" w:hAnsi="Arial" w:cs="Arial"/>
        </w:rPr>
        <w:t>vigorous</w:t>
      </w:r>
      <w:r w:rsidR="004E7A22" w:rsidRPr="00A73C9E">
        <w:rPr>
          <w:rFonts w:ascii="Arial" w:eastAsia="Calibri" w:hAnsi="Arial" w:cs="Arial"/>
        </w:rPr>
        <w:t xml:space="preserve"> daily</w:t>
      </w:r>
      <w:r w:rsidRPr="00A73C9E">
        <w:rPr>
          <w:rFonts w:ascii="Arial" w:eastAsia="Calibri" w:hAnsi="Arial" w:cs="Arial"/>
        </w:rPr>
        <w:t xml:space="preserve"> physical activity. In selected cases</w:t>
      </w:r>
      <w:r w:rsidR="004E7A22" w:rsidRPr="00A73C9E">
        <w:rPr>
          <w:rFonts w:ascii="Arial" w:eastAsia="Calibri" w:hAnsi="Arial" w:cs="Arial"/>
        </w:rPr>
        <w:t>,</w:t>
      </w:r>
      <w:r w:rsidRPr="00A73C9E">
        <w:rPr>
          <w:rFonts w:ascii="Arial" w:eastAsia="Calibri" w:hAnsi="Arial" w:cs="Arial"/>
        </w:rPr>
        <w:t xml:space="preserve"> pharmacotherapy has been recommended to prevent pancreatitis</w:t>
      </w:r>
      <w:r w:rsidR="00B54A67" w:rsidRPr="00A73C9E">
        <w:rPr>
          <w:rFonts w:ascii="Arial" w:eastAsia="Calibri" w:hAnsi="Arial" w:cs="Arial"/>
        </w:rPr>
        <w:t xml:space="preserve"> </w:t>
      </w:r>
      <w:r w:rsidRPr="00A73C9E">
        <w:rPr>
          <w:rFonts w:ascii="Arial" w:eastAsia="Calibri" w:hAnsi="Arial" w:cs="Arial"/>
        </w:rPr>
        <w:t>and/or reduce ri</w:t>
      </w:r>
      <w:r w:rsidR="007F7CC4" w:rsidRPr="00A73C9E">
        <w:rPr>
          <w:rFonts w:ascii="Arial" w:eastAsia="Calibri" w:hAnsi="Arial" w:cs="Arial"/>
        </w:rPr>
        <w:t>sk of cardiovascular disease</w:t>
      </w:r>
      <w:r w:rsidRPr="00A73C9E">
        <w:rPr>
          <w:rFonts w:ascii="Arial" w:eastAsia="Calibri" w:hAnsi="Arial" w:cs="Arial"/>
        </w:rPr>
        <w:t>, although outc</w:t>
      </w:r>
      <w:r w:rsidR="00B43304" w:rsidRPr="00A73C9E">
        <w:rPr>
          <w:rFonts w:ascii="Arial" w:eastAsia="Calibri" w:hAnsi="Arial" w:cs="Arial"/>
        </w:rPr>
        <w:t>ome data are lacking.  Youth at-</w:t>
      </w:r>
      <w:r w:rsidRPr="00A73C9E">
        <w:rPr>
          <w:rFonts w:ascii="Arial" w:eastAsia="Calibri" w:hAnsi="Arial" w:cs="Arial"/>
        </w:rPr>
        <w:t xml:space="preserve">risk of recurrent episodes of HTG-related pancreatitis should also be encouraged to avoid use of alcohol, </w:t>
      </w:r>
      <w:r w:rsidR="007F0782" w:rsidRPr="00A73C9E">
        <w:rPr>
          <w:rFonts w:ascii="Arial" w:eastAsia="Calibri" w:hAnsi="Arial" w:cs="Arial"/>
        </w:rPr>
        <w:t xml:space="preserve">other medications associated with HTG, such as isotretinoin, </w:t>
      </w:r>
      <w:r w:rsidRPr="00A73C9E">
        <w:rPr>
          <w:rFonts w:ascii="Arial" w:eastAsia="Calibri" w:hAnsi="Arial" w:cs="Arial"/>
        </w:rPr>
        <w:t xml:space="preserve">and in girls, </w:t>
      </w:r>
      <w:r w:rsidR="00931320" w:rsidRPr="00A73C9E">
        <w:rPr>
          <w:rFonts w:ascii="Arial" w:eastAsia="Calibri" w:hAnsi="Arial" w:cs="Arial"/>
        </w:rPr>
        <w:t>oral contraceptives</w:t>
      </w:r>
      <w:r w:rsidRPr="00A73C9E">
        <w:rPr>
          <w:rFonts w:ascii="Arial" w:eastAsia="Calibri" w:hAnsi="Arial" w:cs="Arial"/>
        </w:rPr>
        <w:t>.</w:t>
      </w:r>
      <w:r w:rsidR="00EB5BB8" w:rsidRPr="00A73C9E">
        <w:rPr>
          <w:rFonts w:ascii="Arial" w:eastAsia="Calibri" w:hAnsi="Arial" w:cs="Arial"/>
        </w:rPr>
        <w:t xml:space="preserve"> T</w:t>
      </w:r>
      <w:r w:rsidR="007F0782" w:rsidRPr="00A73C9E">
        <w:rPr>
          <w:rFonts w:ascii="Arial" w:eastAsia="Calibri" w:hAnsi="Arial" w:cs="Arial"/>
        </w:rPr>
        <w:t>est</w:t>
      </w:r>
      <w:r w:rsidR="00EB5BB8" w:rsidRPr="00A73C9E">
        <w:rPr>
          <w:rFonts w:ascii="Arial" w:eastAsia="Calibri" w:hAnsi="Arial" w:cs="Arial"/>
        </w:rPr>
        <w:t>s</w:t>
      </w:r>
      <w:r w:rsidR="007F0782" w:rsidRPr="00A73C9E">
        <w:rPr>
          <w:rFonts w:ascii="Arial" w:eastAsia="Calibri" w:hAnsi="Arial" w:cs="Arial"/>
        </w:rPr>
        <w:t xml:space="preserve"> for genetic mutations </w:t>
      </w:r>
      <w:r w:rsidR="00EB5BB8" w:rsidRPr="00A73C9E">
        <w:rPr>
          <w:rFonts w:ascii="Arial" w:eastAsia="Calibri" w:hAnsi="Arial" w:cs="Arial"/>
        </w:rPr>
        <w:t xml:space="preserve">associated with pancreatitis </w:t>
      </w:r>
      <w:r w:rsidR="007F0782" w:rsidRPr="00A73C9E">
        <w:rPr>
          <w:rFonts w:ascii="Arial" w:eastAsia="Calibri" w:hAnsi="Arial" w:cs="Arial"/>
        </w:rPr>
        <w:t xml:space="preserve">may be informative </w:t>
      </w:r>
      <w:r w:rsidR="009A0474" w:rsidRPr="00A73C9E">
        <w:rPr>
          <w:rFonts w:ascii="Arial" w:eastAsia="Calibri" w:hAnsi="Arial" w:cs="Arial"/>
        </w:rPr>
        <w:t>(</w:t>
      </w:r>
      <w:r w:rsidR="0030693D" w:rsidRPr="00A73C9E">
        <w:rPr>
          <w:rFonts w:ascii="Arial" w:eastAsia="Calibri" w:hAnsi="Arial" w:cs="Arial"/>
        </w:rPr>
        <w:t>13</w:t>
      </w:r>
      <w:r w:rsidR="008C1EBF">
        <w:rPr>
          <w:rFonts w:ascii="Arial" w:eastAsia="Calibri" w:hAnsi="Arial" w:cs="Arial"/>
        </w:rPr>
        <w:t xml:space="preserve">, </w:t>
      </w:r>
      <w:r w:rsidR="0030693D" w:rsidRPr="00A73C9E">
        <w:rPr>
          <w:rFonts w:ascii="Arial" w:eastAsia="Calibri" w:hAnsi="Arial" w:cs="Arial"/>
        </w:rPr>
        <w:t>14</w:t>
      </w:r>
      <w:r w:rsidR="009A0474" w:rsidRPr="00A73C9E">
        <w:rPr>
          <w:rFonts w:ascii="Arial" w:eastAsia="Calibri" w:hAnsi="Arial" w:cs="Arial"/>
        </w:rPr>
        <w:t>)</w:t>
      </w:r>
      <w:r w:rsidR="0030693D" w:rsidRPr="00A73C9E">
        <w:rPr>
          <w:rFonts w:ascii="Arial" w:eastAsia="Calibri" w:hAnsi="Arial" w:cs="Arial"/>
        </w:rPr>
        <w:t>.</w:t>
      </w:r>
    </w:p>
    <w:p w14:paraId="5BD3A7CA" w14:textId="77777777" w:rsidR="00365276" w:rsidRPr="00A73C9E" w:rsidRDefault="00365276" w:rsidP="00A73C9E">
      <w:pPr>
        <w:spacing w:after="0" w:line="276" w:lineRule="auto"/>
        <w:rPr>
          <w:rFonts w:ascii="Arial" w:eastAsia="Calibri" w:hAnsi="Arial" w:cs="Arial"/>
        </w:rPr>
      </w:pPr>
    </w:p>
    <w:p w14:paraId="05C08BAE" w14:textId="665B71E8" w:rsidR="00046284" w:rsidRPr="00433F39" w:rsidRDefault="00046284" w:rsidP="00A73C9E">
      <w:pPr>
        <w:spacing w:after="0" w:line="276" w:lineRule="auto"/>
        <w:rPr>
          <w:rFonts w:ascii="Arial" w:eastAsia="Calibri" w:hAnsi="Arial" w:cs="Arial"/>
          <w:b/>
          <w:color w:val="0070C0"/>
        </w:rPr>
      </w:pPr>
      <w:r w:rsidRPr="00433F39">
        <w:rPr>
          <w:rFonts w:ascii="Arial" w:eastAsia="Calibri" w:hAnsi="Arial" w:cs="Arial"/>
          <w:b/>
          <w:color w:val="0070C0"/>
        </w:rPr>
        <w:t>C</w:t>
      </w:r>
      <w:r w:rsidR="006C3861" w:rsidRPr="00433F39">
        <w:rPr>
          <w:rFonts w:ascii="Arial" w:eastAsia="Calibri" w:hAnsi="Arial" w:cs="Arial"/>
          <w:b/>
          <w:color w:val="0070C0"/>
        </w:rPr>
        <w:t xml:space="preserve">ONCLUSION </w:t>
      </w:r>
    </w:p>
    <w:p w14:paraId="4FBD3B29" w14:textId="77777777" w:rsidR="006C3861" w:rsidRPr="00A73C9E" w:rsidRDefault="006C3861" w:rsidP="00A73C9E">
      <w:pPr>
        <w:spacing w:after="0" w:line="276" w:lineRule="auto"/>
        <w:rPr>
          <w:rFonts w:ascii="Arial" w:eastAsia="Calibri" w:hAnsi="Arial" w:cs="Arial"/>
          <w:b/>
        </w:rPr>
      </w:pPr>
    </w:p>
    <w:p w14:paraId="19BDBEFE" w14:textId="17964B32" w:rsidR="00046284" w:rsidRPr="00A73C9E" w:rsidRDefault="00251721" w:rsidP="00A73C9E">
      <w:pPr>
        <w:spacing w:after="0" w:line="276" w:lineRule="auto"/>
        <w:rPr>
          <w:rFonts w:ascii="Arial" w:eastAsia="Calibri" w:hAnsi="Arial" w:cs="Arial"/>
        </w:rPr>
      </w:pPr>
      <w:r w:rsidRPr="00A73C9E">
        <w:rPr>
          <w:rFonts w:ascii="Arial" w:eastAsia="Calibri" w:hAnsi="Arial" w:cs="Arial"/>
        </w:rPr>
        <w:t xml:space="preserve">Aggressive TG-lowering therapy, when indicated, can rapidly lower severely elevated levels of triglycerides, potentially reducing morbidity and mortality associated with TG-related acute pancreatitis. </w:t>
      </w:r>
      <w:r w:rsidR="00650FDF" w:rsidRPr="00A73C9E">
        <w:rPr>
          <w:rFonts w:ascii="Arial" w:eastAsia="Calibri" w:hAnsi="Arial" w:cs="Arial"/>
        </w:rPr>
        <w:t>An algorithm to categorize severity of acute pancreatitis, the presence of organ dysfunction</w:t>
      </w:r>
      <w:r w:rsidR="00EE442C" w:rsidRPr="00A73C9E">
        <w:rPr>
          <w:rFonts w:ascii="Arial" w:eastAsia="Calibri" w:hAnsi="Arial" w:cs="Arial"/>
        </w:rPr>
        <w:t xml:space="preserve"> or failure</w:t>
      </w:r>
      <w:r w:rsidR="00650FDF" w:rsidRPr="00A73C9E">
        <w:rPr>
          <w:rFonts w:ascii="Arial" w:eastAsia="Calibri" w:hAnsi="Arial" w:cs="Arial"/>
        </w:rPr>
        <w:t xml:space="preserve">, and </w:t>
      </w:r>
      <w:r w:rsidR="008720B6" w:rsidRPr="00A73C9E">
        <w:rPr>
          <w:rFonts w:ascii="Arial" w:eastAsia="Calibri" w:hAnsi="Arial" w:cs="Arial"/>
        </w:rPr>
        <w:t>l</w:t>
      </w:r>
      <w:r w:rsidR="00650FDF" w:rsidRPr="00A73C9E">
        <w:rPr>
          <w:rFonts w:ascii="Arial" w:eastAsia="Calibri" w:hAnsi="Arial" w:cs="Arial"/>
        </w:rPr>
        <w:t xml:space="preserve">ocal pancreatic or systemic complications or exacerbations of prior co-morbid disease can </w:t>
      </w:r>
      <w:r w:rsidRPr="00A73C9E">
        <w:rPr>
          <w:rFonts w:ascii="Arial" w:eastAsia="Calibri" w:hAnsi="Arial" w:cs="Arial"/>
        </w:rPr>
        <w:t xml:space="preserve">assist clinical decision-making in </w:t>
      </w:r>
      <w:r w:rsidR="00650FDF" w:rsidRPr="00A73C9E">
        <w:rPr>
          <w:rFonts w:ascii="Arial" w:eastAsia="Calibri" w:hAnsi="Arial" w:cs="Arial"/>
        </w:rPr>
        <w:t xml:space="preserve">helping to </w:t>
      </w:r>
      <w:r w:rsidR="005266FA" w:rsidRPr="00A73C9E">
        <w:rPr>
          <w:rFonts w:ascii="Arial" w:eastAsia="Calibri" w:hAnsi="Arial" w:cs="Arial"/>
        </w:rPr>
        <w:t>determin</w:t>
      </w:r>
      <w:r w:rsidR="00650FDF" w:rsidRPr="00A73C9E">
        <w:rPr>
          <w:rFonts w:ascii="Arial" w:eastAsia="Calibri" w:hAnsi="Arial" w:cs="Arial"/>
        </w:rPr>
        <w:t>e</w:t>
      </w:r>
      <w:r w:rsidR="005266FA" w:rsidRPr="00A73C9E">
        <w:rPr>
          <w:rFonts w:ascii="Arial" w:eastAsia="Calibri" w:hAnsi="Arial" w:cs="Arial"/>
        </w:rPr>
        <w:t xml:space="preserve"> appropriate candidates for aggressive TG-lowering therapy.</w:t>
      </w:r>
      <w:r w:rsidRPr="00A73C9E">
        <w:rPr>
          <w:rFonts w:ascii="Arial" w:eastAsia="Calibri" w:hAnsi="Arial" w:cs="Arial"/>
        </w:rPr>
        <w:t xml:space="preserve">  </w:t>
      </w:r>
    </w:p>
    <w:p w14:paraId="01B1F08D" w14:textId="77777777" w:rsidR="00A26CA3" w:rsidRPr="00A73C9E" w:rsidRDefault="00A26CA3" w:rsidP="00A73C9E">
      <w:pPr>
        <w:spacing w:after="0" w:line="276" w:lineRule="auto"/>
        <w:rPr>
          <w:rFonts w:ascii="Arial" w:eastAsia="Calibri" w:hAnsi="Arial" w:cs="Arial"/>
        </w:rPr>
      </w:pPr>
    </w:p>
    <w:p w14:paraId="0BBC3FC1" w14:textId="0457FA6A" w:rsidR="006C3861" w:rsidRPr="00A73C9E" w:rsidRDefault="00B43304" w:rsidP="00FD5F4E">
      <w:pPr>
        <w:spacing w:after="0" w:line="276" w:lineRule="auto"/>
        <w:rPr>
          <w:rFonts w:ascii="Arial" w:eastAsia="Calibri" w:hAnsi="Arial" w:cs="Arial"/>
          <w:b/>
        </w:rPr>
      </w:pPr>
      <w:r w:rsidRPr="00433F39">
        <w:rPr>
          <w:rFonts w:ascii="Arial" w:eastAsia="Calibri" w:hAnsi="Arial" w:cs="Arial"/>
          <w:b/>
          <w:color w:val="0070C0"/>
        </w:rPr>
        <w:t>A</w:t>
      </w:r>
      <w:r w:rsidR="006C3861" w:rsidRPr="00433F39">
        <w:rPr>
          <w:rFonts w:ascii="Arial" w:eastAsia="Calibri" w:hAnsi="Arial" w:cs="Arial"/>
          <w:b/>
          <w:color w:val="0070C0"/>
        </w:rPr>
        <w:t xml:space="preserve">CKNOWLEDGEMENTS   </w:t>
      </w:r>
      <w:r w:rsidR="006C3861" w:rsidRPr="00A73C9E">
        <w:rPr>
          <w:rFonts w:ascii="Arial" w:eastAsia="Calibri" w:hAnsi="Arial" w:cs="Arial"/>
          <w:b/>
        </w:rPr>
        <w:t xml:space="preserve">  </w:t>
      </w:r>
    </w:p>
    <w:p w14:paraId="3E2E6669" w14:textId="77777777" w:rsidR="006C3861" w:rsidRPr="00A73C9E" w:rsidRDefault="006C3861" w:rsidP="00FD5F4E">
      <w:pPr>
        <w:spacing w:after="0" w:line="276" w:lineRule="auto"/>
        <w:rPr>
          <w:rFonts w:ascii="Arial" w:eastAsia="Calibri" w:hAnsi="Arial" w:cs="Arial"/>
          <w:b/>
        </w:rPr>
      </w:pPr>
    </w:p>
    <w:p w14:paraId="57569F03" w14:textId="4FE692B3" w:rsidR="00B43304" w:rsidRPr="00A73C9E" w:rsidRDefault="00B43304" w:rsidP="00FD5F4E">
      <w:pPr>
        <w:spacing w:after="0" w:line="276" w:lineRule="auto"/>
        <w:rPr>
          <w:rFonts w:ascii="Arial" w:eastAsia="Calibri" w:hAnsi="Arial" w:cs="Arial"/>
        </w:rPr>
      </w:pPr>
      <w:r w:rsidRPr="00A73C9E">
        <w:rPr>
          <w:rFonts w:ascii="Arial" w:eastAsia="Calibri" w:hAnsi="Arial" w:cs="Arial"/>
        </w:rPr>
        <w:t>The authors would like to acknowledge Suzanne Beckett, Dena Hanson, and Ashley Brock for their assistance in preparing and editing this manuscript.</w:t>
      </w:r>
    </w:p>
    <w:p w14:paraId="3514460A" w14:textId="13D5607D" w:rsidR="00DF237C" w:rsidRPr="00A73C9E" w:rsidRDefault="00DF237C" w:rsidP="00FD5F4E">
      <w:pPr>
        <w:spacing w:after="0" w:line="276" w:lineRule="auto"/>
        <w:rPr>
          <w:rFonts w:ascii="Arial" w:eastAsia="Calibri" w:hAnsi="Arial" w:cs="Arial"/>
        </w:rPr>
      </w:pPr>
    </w:p>
    <w:p w14:paraId="1F54C901" w14:textId="29C12775" w:rsidR="00046284" w:rsidRPr="00433F39" w:rsidRDefault="00046284" w:rsidP="00FD5F4E">
      <w:pPr>
        <w:spacing w:after="0" w:line="276" w:lineRule="auto"/>
        <w:rPr>
          <w:rFonts w:ascii="Arial" w:eastAsia="Calibri" w:hAnsi="Arial" w:cs="Arial"/>
          <w:b/>
          <w:color w:val="0070C0"/>
        </w:rPr>
      </w:pPr>
      <w:r w:rsidRPr="00433F39">
        <w:rPr>
          <w:rFonts w:ascii="Arial" w:eastAsia="Calibri" w:hAnsi="Arial" w:cs="Arial"/>
          <w:b/>
          <w:color w:val="0070C0"/>
        </w:rPr>
        <w:t>R</w:t>
      </w:r>
      <w:r w:rsidR="006C3861" w:rsidRPr="00433F39">
        <w:rPr>
          <w:rFonts w:ascii="Arial" w:eastAsia="Calibri" w:hAnsi="Arial" w:cs="Arial"/>
          <w:b/>
          <w:color w:val="0070C0"/>
        </w:rPr>
        <w:t>EFERENCES</w:t>
      </w:r>
    </w:p>
    <w:p w14:paraId="7A9C2A49" w14:textId="77777777" w:rsidR="00AE7BA7" w:rsidRPr="00A73C9E" w:rsidRDefault="00AE7BA7" w:rsidP="00FD5F4E">
      <w:pPr>
        <w:spacing w:after="0" w:line="276" w:lineRule="auto"/>
        <w:rPr>
          <w:rFonts w:ascii="Arial" w:eastAsia="Calibri" w:hAnsi="Arial" w:cs="Arial"/>
        </w:rPr>
      </w:pPr>
    </w:p>
    <w:p w14:paraId="325212D1" w14:textId="07EF7D23" w:rsidR="002D2A97" w:rsidRPr="00A73C9E" w:rsidRDefault="002D2A97" w:rsidP="00FD5F4E">
      <w:pPr>
        <w:pStyle w:val="ListParagraph"/>
        <w:numPr>
          <w:ilvl w:val="0"/>
          <w:numId w:val="15"/>
        </w:numPr>
        <w:spacing w:after="0"/>
        <w:ind w:left="576" w:hanging="576"/>
        <w:rPr>
          <w:rFonts w:ascii="Arial" w:eastAsia="Times New Roman" w:hAnsi="Arial" w:cs="Arial"/>
        </w:rPr>
      </w:pPr>
      <w:r w:rsidRPr="00A73C9E">
        <w:rPr>
          <w:rFonts w:ascii="Arial" w:eastAsia="Times New Roman" w:hAnsi="Arial" w:cs="Arial"/>
        </w:rPr>
        <w:t>Zhang XL, Li F, Zhen YM, Li A, Fang Y. Clinical study of 224 patients with hypertriglyceridemia pancreatitis. Chin Med J (</w:t>
      </w:r>
      <w:proofErr w:type="spellStart"/>
      <w:r w:rsidRPr="00A73C9E">
        <w:rPr>
          <w:rFonts w:ascii="Arial" w:eastAsia="Times New Roman" w:hAnsi="Arial" w:cs="Arial"/>
        </w:rPr>
        <w:t>Engl</w:t>
      </w:r>
      <w:proofErr w:type="spellEnd"/>
      <w:r w:rsidRPr="00A73C9E">
        <w:rPr>
          <w:rFonts w:ascii="Arial" w:eastAsia="Times New Roman" w:hAnsi="Arial" w:cs="Arial"/>
        </w:rPr>
        <w:t>). 2015;128(15):2045–2049. [PubMed 26228216]</w:t>
      </w:r>
    </w:p>
    <w:p w14:paraId="35435AF3" w14:textId="09A054FA" w:rsidR="002D2A97" w:rsidRPr="00A73C9E" w:rsidRDefault="002D2A97" w:rsidP="00FD5F4E">
      <w:pPr>
        <w:pStyle w:val="ListParagraph"/>
        <w:numPr>
          <w:ilvl w:val="0"/>
          <w:numId w:val="15"/>
        </w:numPr>
        <w:spacing w:after="0"/>
        <w:ind w:left="576" w:hanging="576"/>
        <w:rPr>
          <w:rFonts w:ascii="Arial" w:eastAsia="Times New Roman" w:hAnsi="Arial" w:cs="Arial"/>
        </w:rPr>
      </w:pPr>
      <w:proofErr w:type="spellStart"/>
      <w:r w:rsidRPr="00A73C9E">
        <w:rPr>
          <w:rFonts w:ascii="Arial" w:eastAsia="Times New Roman" w:hAnsi="Arial" w:cs="Arial"/>
        </w:rPr>
        <w:t>Morinville</w:t>
      </w:r>
      <w:proofErr w:type="spellEnd"/>
      <w:r w:rsidRPr="00A73C9E">
        <w:rPr>
          <w:rFonts w:ascii="Arial" w:eastAsia="Times New Roman" w:hAnsi="Arial" w:cs="Arial"/>
        </w:rPr>
        <w:t xml:space="preserve"> VD, Lowe ME, Ahuja M, Barth B, Bellin MD, Davis H, Durie PR, Finley B, Fishman DS, Freedman SD, </w:t>
      </w:r>
      <w:proofErr w:type="spellStart"/>
      <w:r w:rsidRPr="00A73C9E">
        <w:rPr>
          <w:rFonts w:ascii="Arial" w:eastAsia="Times New Roman" w:hAnsi="Arial" w:cs="Arial"/>
        </w:rPr>
        <w:t>Gariepy</w:t>
      </w:r>
      <w:proofErr w:type="spellEnd"/>
      <w:r w:rsidRPr="00A73C9E">
        <w:rPr>
          <w:rFonts w:ascii="Arial" w:eastAsia="Times New Roman" w:hAnsi="Arial" w:cs="Arial"/>
        </w:rPr>
        <w:t xml:space="preserve"> CE, </w:t>
      </w:r>
      <w:proofErr w:type="spellStart"/>
      <w:r w:rsidRPr="00A73C9E">
        <w:rPr>
          <w:rFonts w:ascii="Arial" w:eastAsia="Times New Roman" w:hAnsi="Arial" w:cs="Arial"/>
        </w:rPr>
        <w:t>Giefer</w:t>
      </w:r>
      <w:proofErr w:type="spellEnd"/>
      <w:r w:rsidRPr="00A73C9E">
        <w:rPr>
          <w:rFonts w:ascii="Arial" w:eastAsia="Times New Roman" w:hAnsi="Arial" w:cs="Arial"/>
        </w:rPr>
        <w:t xml:space="preserve"> MJ, </w:t>
      </w:r>
      <w:proofErr w:type="spellStart"/>
      <w:r w:rsidRPr="00A73C9E">
        <w:rPr>
          <w:rFonts w:ascii="Arial" w:eastAsia="Times New Roman" w:hAnsi="Arial" w:cs="Arial"/>
        </w:rPr>
        <w:t>Gonska</w:t>
      </w:r>
      <w:proofErr w:type="spellEnd"/>
      <w:r w:rsidRPr="00A73C9E">
        <w:rPr>
          <w:rFonts w:ascii="Arial" w:eastAsia="Times New Roman" w:hAnsi="Arial" w:cs="Arial"/>
        </w:rPr>
        <w:t xml:space="preserve"> T, Heyman MB, Himes R, Husain S, Kumar S, </w:t>
      </w:r>
      <w:proofErr w:type="spellStart"/>
      <w:r w:rsidRPr="00A73C9E">
        <w:rPr>
          <w:rFonts w:ascii="Arial" w:eastAsia="Times New Roman" w:hAnsi="Arial" w:cs="Arial"/>
        </w:rPr>
        <w:t>Ooi</w:t>
      </w:r>
      <w:proofErr w:type="spellEnd"/>
      <w:r w:rsidRPr="00A73C9E">
        <w:rPr>
          <w:rFonts w:ascii="Arial" w:eastAsia="Times New Roman" w:hAnsi="Arial" w:cs="Arial"/>
        </w:rPr>
        <w:t xml:space="preserve"> CY, Pohl JF, Schwarzenberg SJ, </w:t>
      </w:r>
      <w:proofErr w:type="spellStart"/>
      <w:r w:rsidRPr="00A73C9E">
        <w:rPr>
          <w:rFonts w:ascii="Arial" w:eastAsia="Times New Roman" w:hAnsi="Arial" w:cs="Arial"/>
        </w:rPr>
        <w:t>Troendle</w:t>
      </w:r>
      <w:proofErr w:type="spellEnd"/>
      <w:r w:rsidRPr="00A73C9E">
        <w:rPr>
          <w:rFonts w:ascii="Arial" w:eastAsia="Times New Roman" w:hAnsi="Arial" w:cs="Arial"/>
        </w:rPr>
        <w:t xml:space="preserve"> D, </w:t>
      </w:r>
      <w:proofErr w:type="spellStart"/>
      <w:r w:rsidRPr="00A73C9E">
        <w:rPr>
          <w:rFonts w:ascii="Arial" w:eastAsia="Times New Roman" w:hAnsi="Arial" w:cs="Arial"/>
        </w:rPr>
        <w:t>Werlin</w:t>
      </w:r>
      <w:proofErr w:type="spellEnd"/>
      <w:r w:rsidRPr="00A73C9E">
        <w:rPr>
          <w:rFonts w:ascii="Arial" w:eastAsia="Times New Roman" w:hAnsi="Arial" w:cs="Arial"/>
        </w:rPr>
        <w:t xml:space="preserve"> SL, </w:t>
      </w:r>
      <w:proofErr w:type="spellStart"/>
      <w:r w:rsidRPr="00A73C9E">
        <w:rPr>
          <w:rFonts w:ascii="Arial" w:eastAsia="Times New Roman" w:hAnsi="Arial" w:cs="Arial"/>
        </w:rPr>
        <w:t>Wilschanski</w:t>
      </w:r>
      <w:proofErr w:type="spellEnd"/>
      <w:r w:rsidRPr="00A73C9E">
        <w:rPr>
          <w:rFonts w:ascii="Arial" w:eastAsia="Times New Roman" w:hAnsi="Arial" w:cs="Arial"/>
        </w:rPr>
        <w:t xml:space="preserve"> M, Yen E, </w:t>
      </w:r>
      <w:proofErr w:type="spellStart"/>
      <w:r w:rsidRPr="00A73C9E">
        <w:rPr>
          <w:rFonts w:ascii="Arial" w:eastAsia="Times New Roman" w:hAnsi="Arial" w:cs="Arial"/>
        </w:rPr>
        <w:t>Uc</w:t>
      </w:r>
      <w:proofErr w:type="spellEnd"/>
      <w:r w:rsidRPr="00A73C9E">
        <w:rPr>
          <w:rFonts w:ascii="Arial" w:eastAsia="Times New Roman" w:hAnsi="Arial" w:cs="Arial"/>
        </w:rPr>
        <w:t xml:space="preserve"> A. Design and implementation of INSPPIRE. J </w:t>
      </w:r>
      <w:proofErr w:type="spellStart"/>
      <w:r w:rsidRPr="00A73C9E">
        <w:rPr>
          <w:rFonts w:ascii="Arial" w:eastAsia="Times New Roman" w:hAnsi="Arial" w:cs="Arial"/>
        </w:rPr>
        <w:t>Pediatr</w:t>
      </w:r>
      <w:proofErr w:type="spellEnd"/>
      <w:r w:rsidRPr="00A73C9E">
        <w:rPr>
          <w:rFonts w:ascii="Arial" w:eastAsia="Times New Roman" w:hAnsi="Arial" w:cs="Arial"/>
        </w:rPr>
        <w:t xml:space="preserve"> Gastroenterol </w:t>
      </w:r>
      <w:proofErr w:type="spellStart"/>
      <w:r w:rsidRPr="00A73C9E">
        <w:rPr>
          <w:rFonts w:ascii="Arial" w:eastAsia="Times New Roman" w:hAnsi="Arial" w:cs="Arial"/>
        </w:rPr>
        <w:t>Nutr</w:t>
      </w:r>
      <w:proofErr w:type="spellEnd"/>
      <w:r w:rsidRPr="00A73C9E">
        <w:rPr>
          <w:rFonts w:ascii="Arial" w:eastAsia="Times New Roman" w:hAnsi="Arial" w:cs="Arial"/>
        </w:rPr>
        <w:t>. 2014;59(3):360–364. [PubMed 24824361]</w:t>
      </w:r>
    </w:p>
    <w:p w14:paraId="54E8D3AB" w14:textId="7CEEAC21" w:rsidR="00E430E8" w:rsidRPr="00A73C9E" w:rsidRDefault="007523A9" w:rsidP="00FD5F4E">
      <w:pPr>
        <w:pStyle w:val="ListParagraph"/>
        <w:numPr>
          <w:ilvl w:val="0"/>
          <w:numId w:val="15"/>
        </w:numPr>
        <w:spacing w:after="0"/>
        <w:ind w:left="576" w:hanging="576"/>
        <w:rPr>
          <w:rFonts w:ascii="Arial" w:eastAsia="Times New Roman" w:hAnsi="Arial" w:cs="Arial"/>
        </w:rPr>
      </w:pPr>
      <w:r w:rsidRPr="00A73C9E">
        <w:rPr>
          <w:rFonts w:ascii="Arial" w:eastAsia="Times New Roman" w:hAnsi="Arial" w:cs="Arial"/>
        </w:rPr>
        <w:t>Abu-El-</w:t>
      </w:r>
      <w:proofErr w:type="spellStart"/>
      <w:r w:rsidRPr="00A73C9E">
        <w:rPr>
          <w:rFonts w:ascii="Arial" w:eastAsia="Times New Roman" w:hAnsi="Arial" w:cs="Arial"/>
        </w:rPr>
        <w:t>Haija</w:t>
      </w:r>
      <w:proofErr w:type="spellEnd"/>
      <w:r w:rsidRPr="00A73C9E">
        <w:rPr>
          <w:rFonts w:ascii="Arial" w:eastAsia="Times New Roman" w:hAnsi="Arial" w:cs="Arial"/>
        </w:rPr>
        <w:t xml:space="preserve"> M, Kumar S, Szabo F, Werlin S, Co</w:t>
      </w:r>
      <w:r w:rsidR="00412543" w:rsidRPr="00A73C9E">
        <w:rPr>
          <w:rFonts w:ascii="Arial" w:eastAsia="Times New Roman" w:hAnsi="Arial" w:cs="Arial"/>
        </w:rPr>
        <w:t xml:space="preserve">nwell D, Banks P, </w:t>
      </w:r>
      <w:proofErr w:type="spellStart"/>
      <w:r w:rsidR="00412543" w:rsidRPr="00A73C9E">
        <w:rPr>
          <w:rFonts w:ascii="Arial" w:eastAsia="Times New Roman" w:hAnsi="Arial" w:cs="Arial"/>
        </w:rPr>
        <w:t>Morinville</w:t>
      </w:r>
      <w:proofErr w:type="spellEnd"/>
      <w:r w:rsidR="00412543" w:rsidRPr="00A73C9E">
        <w:rPr>
          <w:rFonts w:ascii="Arial" w:eastAsia="Times New Roman" w:hAnsi="Arial" w:cs="Arial"/>
        </w:rPr>
        <w:t xml:space="preserve"> VD</w:t>
      </w:r>
      <w:r w:rsidR="00A824C8" w:rsidRPr="00A73C9E">
        <w:rPr>
          <w:rFonts w:ascii="Arial" w:eastAsia="Times New Roman" w:hAnsi="Arial" w:cs="Arial"/>
        </w:rPr>
        <w:t xml:space="preserve"> NASPGHAN P</w:t>
      </w:r>
      <w:r w:rsidR="00E51763" w:rsidRPr="00A73C9E">
        <w:rPr>
          <w:rFonts w:ascii="Arial" w:eastAsia="Times New Roman" w:hAnsi="Arial" w:cs="Arial"/>
        </w:rPr>
        <w:t xml:space="preserve">ancreas </w:t>
      </w:r>
      <w:r w:rsidR="00A824C8" w:rsidRPr="00A73C9E">
        <w:rPr>
          <w:rFonts w:ascii="Arial" w:eastAsia="Times New Roman" w:hAnsi="Arial" w:cs="Arial"/>
        </w:rPr>
        <w:t>C</w:t>
      </w:r>
      <w:r w:rsidR="00E51763" w:rsidRPr="00A73C9E">
        <w:rPr>
          <w:rFonts w:ascii="Arial" w:eastAsia="Times New Roman" w:hAnsi="Arial" w:cs="Arial"/>
        </w:rPr>
        <w:t>ommittee</w:t>
      </w:r>
      <w:r w:rsidR="00412543" w:rsidRPr="00A73C9E">
        <w:rPr>
          <w:rFonts w:ascii="Arial" w:eastAsia="Times New Roman" w:hAnsi="Arial" w:cs="Arial"/>
        </w:rPr>
        <w:t xml:space="preserve">. </w:t>
      </w:r>
      <w:r w:rsidR="00A824C8" w:rsidRPr="00A73C9E">
        <w:rPr>
          <w:rFonts w:ascii="Arial" w:eastAsia="Times New Roman" w:hAnsi="Arial" w:cs="Arial"/>
        </w:rPr>
        <w:t>C</w:t>
      </w:r>
      <w:r w:rsidRPr="00A73C9E">
        <w:rPr>
          <w:rFonts w:ascii="Arial" w:eastAsia="Times New Roman" w:hAnsi="Arial" w:cs="Arial"/>
        </w:rPr>
        <w:t xml:space="preserve">lassification of </w:t>
      </w:r>
      <w:r w:rsidR="00E51763" w:rsidRPr="00A73C9E">
        <w:rPr>
          <w:rFonts w:ascii="Arial" w:eastAsia="Times New Roman" w:hAnsi="Arial" w:cs="Arial"/>
        </w:rPr>
        <w:t>acute p</w:t>
      </w:r>
      <w:r w:rsidRPr="00A73C9E">
        <w:rPr>
          <w:rFonts w:ascii="Arial" w:eastAsia="Times New Roman" w:hAnsi="Arial" w:cs="Arial"/>
        </w:rPr>
        <w:t xml:space="preserve">ancreatitis in the </w:t>
      </w:r>
      <w:r w:rsidR="00E51763" w:rsidRPr="00A73C9E">
        <w:rPr>
          <w:rFonts w:ascii="Arial" w:eastAsia="Times New Roman" w:hAnsi="Arial" w:cs="Arial"/>
        </w:rPr>
        <w:t>p</w:t>
      </w:r>
      <w:r w:rsidRPr="00A73C9E">
        <w:rPr>
          <w:rFonts w:ascii="Arial" w:eastAsia="Times New Roman" w:hAnsi="Arial" w:cs="Arial"/>
        </w:rPr>
        <w:t xml:space="preserve">ediatric </w:t>
      </w:r>
      <w:r w:rsidR="00E51763" w:rsidRPr="00A73C9E">
        <w:rPr>
          <w:rFonts w:ascii="Arial" w:eastAsia="Times New Roman" w:hAnsi="Arial" w:cs="Arial"/>
        </w:rPr>
        <w:t>p</w:t>
      </w:r>
      <w:r w:rsidRPr="00A73C9E">
        <w:rPr>
          <w:rFonts w:ascii="Arial" w:eastAsia="Times New Roman" w:hAnsi="Arial" w:cs="Arial"/>
        </w:rPr>
        <w:t xml:space="preserve">opulation: Clinical </w:t>
      </w:r>
      <w:r w:rsidR="00E51763" w:rsidRPr="00A73C9E">
        <w:rPr>
          <w:rFonts w:ascii="Arial" w:eastAsia="Times New Roman" w:hAnsi="Arial" w:cs="Arial"/>
        </w:rPr>
        <w:t>r</w:t>
      </w:r>
      <w:r w:rsidRPr="00A73C9E">
        <w:rPr>
          <w:rFonts w:ascii="Arial" w:eastAsia="Times New Roman" w:hAnsi="Arial" w:cs="Arial"/>
        </w:rPr>
        <w:t xml:space="preserve">eport </w:t>
      </w:r>
      <w:r w:rsidR="00E51763" w:rsidRPr="00A73C9E">
        <w:rPr>
          <w:rFonts w:ascii="Arial" w:eastAsia="Times New Roman" w:hAnsi="Arial" w:cs="Arial"/>
        </w:rPr>
        <w:t>f</w:t>
      </w:r>
      <w:r w:rsidRPr="00A73C9E">
        <w:rPr>
          <w:rFonts w:ascii="Arial" w:eastAsia="Times New Roman" w:hAnsi="Arial" w:cs="Arial"/>
        </w:rPr>
        <w:t xml:space="preserve">rom the NASPGHAN Pancreas Committee. J </w:t>
      </w:r>
      <w:proofErr w:type="spellStart"/>
      <w:r w:rsidRPr="00A73C9E">
        <w:rPr>
          <w:rFonts w:ascii="Arial" w:eastAsia="Times New Roman" w:hAnsi="Arial" w:cs="Arial"/>
        </w:rPr>
        <w:t>Pediatr</w:t>
      </w:r>
      <w:proofErr w:type="spellEnd"/>
      <w:r w:rsidRPr="00A73C9E">
        <w:rPr>
          <w:rFonts w:ascii="Arial" w:eastAsia="Times New Roman" w:hAnsi="Arial" w:cs="Arial"/>
        </w:rPr>
        <w:t xml:space="preserve"> Gastroenterol </w:t>
      </w:r>
      <w:proofErr w:type="spellStart"/>
      <w:r w:rsidRPr="00A73C9E">
        <w:rPr>
          <w:rFonts w:ascii="Arial" w:eastAsia="Times New Roman" w:hAnsi="Arial" w:cs="Arial"/>
        </w:rPr>
        <w:t>Nutr</w:t>
      </w:r>
      <w:proofErr w:type="spellEnd"/>
      <w:r w:rsidR="00E430E8" w:rsidRPr="00A73C9E">
        <w:rPr>
          <w:rFonts w:ascii="Arial" w:eastAsia="Times New Roman" w:hAnsi="Arial" w:cs="Arial"/>
        </w:rPr>
        <w:t>.</w:t>
      </w:r>
      <w:r w:rsidRPr="00A73C9E">
        <w:rPr>
          <w:rFonts w:ascii="Arial" w:eastAsia="Times New Roman" w:hAnsi="Arial" w:cs="Arial"/>
        </w:rPr>
        <w:t xml:space="preserve"> 2017;64</w:t>
      </w:r>
      <w:r w:rsidR="000F4C2B" w:rsidRPr="00A73C9E">
        <w:rPr>
          <w:rFonts w:ascii="Arial" w:eastAsia="Times New Roman" w:hAnsi="Arial" w:cs="Arial"/>
        </w:rPr>
        <w:t>(6)</w:t>
      </w:r>
      <w:r w:rsidRPr="00A73C9E">
        <w:rPr>
          <w:rFonts w:ascii="Arial" w:eastAsia="Times New Roman" w:hAnsi="Arial" w:cs="Arial"/>
        </w:rPr>
        <w:t xml:space="preserve">:984-990. </w:t>
      </w:r>
      <w:r w:rsidR="00E51763" w:rsidRPr="00A73C9E">
        <w:rPr>
          <w:rFonts w:ascii="Arial" w:eastAsia="Times New Roman" w:hAnsi="Arial" w:cs="Arial"/>
        </w:rPr>
        <w:t>[PubMed: 28333771]</w:t>
      </w:r>
    </w:p>
    <w:p w14:paraId="6255B710" w14:textId="6B4E7349" w:rsidR="002D2A97" w:rsidRPr="00A73C9E" w:rsidRDefault="002D2A97" w:rsidP="00FD5F4E">
      <w:pPr>
        <w:pStyle w:val="ListParagraph"/>
        <w:numPr>
          <w:ilvl w:val="0"/>
          <w:numId w:val="15"/>
        </w:numPr>
        <w:spacing w:after="0"/>
        <w:ind w:left="576" w:hanging="576"/>
        <w:rPr>
          <w:rFonts w:ascii="Arial" w:eastAsia="Times New Roman" w:hAnsi="Arial" w:cs="Arial"/>
        </w:rPr>
      </w:pPr>
      <w:proofErr w:type="spellStart"/>
      <w:r w:rsidRPr="00A73C9E">
        <w:rPr>
          <w:rFonts w:ascii="Arial" w:eastAsia="Times New Roman" w:hAnsi="Arial" w:cs="Arial"/>
        </w:rPr>
        <w:lastRenderedPageBreak/>
        <w:t>Alagozlu</w:t>
      </w:r>
      <w:proofErr w:type="spellEnd"/>
      <w:r w:rsidRPr="00A73C9E">
        <w:rPr>
          <w:rFonts w:ascii="Arial" w:eastAsia="Times New Roman" w:hAnsi="Arial" w:cs="Arial"/>
        </w:rPr>
        <w:t xml:space="preserve"> H, </w:t>
      </w:r>
      <w:proofErr w:type="spellStart"/>
      <w:r w:rsidRPr="00A73C9E">
        <w:rPr>
          <w:rFonts w:ascii="Arial" w:eastAsia="Times New Roman" w:hAnsi="Arial" w:cs="Arial"/>
        </w:rPr>
        <w:t>Cindoruk</w:t>
      </w:r>
      <w:proofErr w:type="spellEnd"/>
      <w:r w:rsidRPr="00A73C9E">
        <w:rPr>
          <w:rFonts w:ascii="Arial" w:eastAsia="Times New Roman" w:hAnsi="Arial" w:cs="Arial"/>
        </w:rPr>
        <w:t xml:space="preserve"> M, </w:t>
      </w:r>
      <w:proofErr w:type="spellStart"/>
      <w:r w:rsidRPr="00A73C9E">
        <w:rPr>
          <w:rFonts w:ascii="Arial" w:eastAsia="Times New Roman" w:hAnsi="Arial" w:cs="Arial"/>
        </w:rPr>
        <w:t>Karakan</w:t>
      </w:r>
      <w:proofErr w:type="spellEnd"/>
      <w:r w:rsidRPr="00A73C9E">
        <w:rPr>
          <w:rFonts w:ascii="Arial" w:eastAsia="Times New Roman" w:hAnsi="Arial" w:cs="Arial"/>
        </w:rPr>
        <w:t xml:space="preserve"> T, </w:t>
      </w:r>
      <w:proofErr w:type="spellStart"/>
      <w:r w:rsidRPr="00A73C9E">
        <w:rPr>
          <w:rFonts w:ascii="Arial" w:eastAsia="Times New Roman" w:hAnsi="Arial" w:cs="Arial"/>
        </w:rPr>
        <w:t>Unal</w:t>
      </w:r>
      <w:proofErr w:type="spellEnd"/>
      <w:r w:rsidRPr="00A73C9E">
        <w:rPr>
          <w:rFonts w:ascii="Arial" w:eastAsia="Times New Roman" w:hAnsi="Arial" w:cs="Arial"/>
        </w:rPr>
        <w:t xml:space="preserve"> S. Heparin and insulin in the treatment of hypertriglyceridemia-induced severe acute pancreatitis. Dig Dis Sci. 2006;51(5):931-933. [PubMed </w:t>
      </w:r>
      <w:r w:rsidRPr="00A73C9E">
        <w:rPr>
          <w:rFonts w:ascii="Arial" w:eastAsia="Times New Roman" w:hAnsi="Arial" w:cs="Arial"/>
          <w:color w:val="212121"/>
        </w:rPr>
        <w:t>16670939]</w:t>
      </w:r>
    </w:p>
    <w:p w14:paraId="3C4B43B3" w14:textId="3BA996C1" w:rsidR="002D2A97" w:rsidRPr="00A73C9E" w:rsidRDefault="002D2A97" w:rsidP="00FD5F4E">
      <w:pPr>
        <w:pStyle w:val="ListParagraph"/>
        <w:numPr>
          <w:ilvl w:val="0"/>
          <w:numId w:val="15"/>
        </w:numPr>
        <w:spacing w:after="0"/>
        <w:ind w:left="576" w:hanging="576"/>
        <w:rPr>
          <w:rFonts w:ascii="Arial" w:eastAsia="Times New Roman" w:hAnsi="Arial" w:cs="Arial"/>
        </w:rPr>
      </w:pPr>
      <w:r w:rsidRPr="00A73C9E">
        <w:rPr>
          <w:rFonts w:ascii="Arial" w:eastAsia="Times New Roman" w:hAnsi="Arial" w:cs="Arial"/>
        </w:rPr>
        <w:t xml:space="preserve">Yeh JH, Lee MF, Chiu HC. Plasmapheresis for severe lipemia: Comparison of serum-lipid clearance rates for the plasma-exchange and double-filtration variants. J Clin </w:t>
      </w:r>
      <w:proofErr w:type="spellStart"/>
      <w:r w:rsidRPr="00A73C9E">
        <w:rPr>
          <w:rFonts w:ascii="Arial" w:eastAsia="Times New Roman" w:hAnsi="Arial" w:cs="Arial"/>
        </w:rPr>
        <w:t>Apher</w:t>
      </w:r>
      <w:proofErr w:type="spellEnd"/>
      <w:r w:rsidRPr="00A73C9E">
        <w:rPr>
          <w:rFonts w:ascii="Arial" w:eastAsia="Times New Roman" w:hAnsi="Arial" w:cs="Arial"/>
        </w:rPr>
        <w:t>. 2003;18(1):32-36. [PubMed 12717791]</w:t>
      </w:r>
    </w:p>
    <w:p w14:paraId="6C412C34" w14:textId="74093EDB" w:rsidR="002D2A97" w:rsidRPr="00A73C9E" w:rsidRDefault="002D2A97" w:rsidP="00FD5F4E">
      <w:pPr>
        <w:pStyle w:val="ListParagraph"/>
        <w:numPr>
          <w:ilvl w:val="0"/>
          <w:numId w:val="15"/>
        </w:numPr>
        <w:spacing w:after="0"/>
        <w:ind w:left="576" w:hanging="576"/>
        <w:rPr>
          <w:rFonts w:ascii="Arial" w:eastAsia="Times New Roman" w:hAnsi="Arial" w:cs="Arial"/>
        </w:rPr>
      </w:pPr>
      <w:r w:rsidRPr="00A73C9E">
        <w:rPr>
          <w:rFonts w:ascii="Arial" w:eastAsia="Times New Roman" w:hAnsi="Arial" w:cs="Arial"/>
        </w:rPr>
        <w:t>Chen JH, Yeh JH, Lai HW, Liao CS. Therapeutic plasma exchange in patients with hyperlipidemic pancreatitis. World J Gastroenterol. 2004;10(15):2272-2274. [PubMed 15259080]</w:t>
      </w:r>
    </w:p>
    <w:p w14:paraId="299132FB" w14:textId="21BD421C" w:rsidR="003F4AF7" w:rsidRPr="00A73C9E" w:rsidRDefault="002D2A97" w:rsidP="00FD5F4E">
      <w:pPr>
        <w:pStyle w:val="ListParagraph"/>
        <w:numPr>
          <w:ilvl w:val="0"/>
          <w:numId w:val="15"/>
        </w:numPr>
        <w:spacing w:after="0"/>
        <w:ind w:left="576" w:hanging="576"/>
        <w:rPr>
          <w:rFonts w:ascii="Arial" w:eastAsia="Times New Roman" w:hAnsi="Arial" w:cs="Arial"/>
        </w:rPr>
      </w:pPr>
      <w:proofErr w:type="spellStart"/>
      <w:r w:rsidRPr="00A73C9E">
        <w:rPr>
          <w:rFonts w:ascii="Arial" w:eastAsia="Times New Roman" w:hAnsi="Arial" w:cs="Arial"/>
        </w:rPr>
        <w:t>Shaz</w:t>
      </w:r>
      <w:proofErr w:type="spellEnd"/>
      <w:r w:rsidRPr="00A73C9E">
        <w:rPr>
          <w:rFonts w:ascii="Arial" w:eastAsia="Times New Roman" w:hAnsi="Arial" w:cs="Arial"/>
        </w:rPr>
        <w:t xml:space="preserve"> BH, </w:t>
      </w:r>
      <w:proofErr w:type="spellStart"/>
      <w:r w:rsidRPr="00A73C9E">
        <w:rPr>
          <w:rFonts w:ascii="Arial" w:eastAsia="Times New Roman" w:hAnsi="Arial" w:cs="Arial"/>
        </w:rPr>
        <w:t>Linenberger</w:t>
      </w:r>
      <w:proofErr w:type="spellEnd"/>
      <w:r w:rsidRPr="00A73C9E">
        <w:rPr>
          <w:rFonts w:ascii="Arial" w:eastAsia="Times New Roman" w:hAnsi="Arial" w:cs="Arial"/>
        </w:rPr>
        <w:t xml:space="preserve"> ML, </w:t>
      </w:r>
      <w:proofErr w:type="spellStart"/>
      <w:r w:rsidRPr="00A73C9E">
        <w:rPr>
          <w:rFonts w:ascii="Arial" w:eastAsia="Times New Roman" w:hAnsi="Arial" w:cs="Arial"/>
        </w:rPr>
        <w:t>Bandarenko</w:t>
      </w:r>
      <w:proofErr w:type="spellEnd"/>
      <w:r w:rsidRPr="00A73C9E">
        <w:rPr>
          <w:rFonts w:ascii="Arial" w:eastAsia="Times New Roman" w:hAnsi="Arial" w:cs="Arial"/>
        </w:rPr>
        <w:t xml:space="preserve"> N, Winters JL, Kim HC, Marques MB, </w:t>
      </w:r>
      <w:proofErr w:type="spellStart"/>
      <w:r w:rsidRPr="00A73C9E">
        <w:rPr>
          <w:rFonts w:ascii="Arial" w:eastAsia="Times New Roman" w:hAnsi="Arial" w:cs="Arial"/>
        </w:rPr>
        <w:t>Sarode</w:t>
      </w:r>
      <w:proofErr w:type="spellEnd"/>
      <w:r w:rsidRPr="00A73C9E">
        <w:rPr>
          <w:rFonts w:ascii="Arial" w:eastAsia="Times New Roman" w:hAnsi="Arial" w:cs="Arial"/>
        </w:rPr>
        <w:t xml:space="preserve"> R, Schwartz J, Weinstein R, </w:t>
      </w:r>
      <w:proofErr w:type="spellStart"/>
      <w:r w:rsidRPr="00A73C9E">
        <w:rPr>
          <w:rFonts w:ascii="Arial" w:eastAsia="Times New Roman" w:hAnsi="Arial" w:cs="Arial"/>
        </w:rPr>
        <w:t>Wirk</w:t>
      </w:r>
      <w:proofErr w:type="spellEnd"/>
      <w:r w:rsidRPr="00A73C9E">
        <w:rPr>
          <w:rFonts w:ascii="Arial" w:eastAsia="Times New Roman" w:hAnsi="Arial" w:cs="Arial"/>
        </w:rPr>
        <w:t xml:space="preserve"> A, </w:t>
      </w:r>
      <w:proofErr w:type="spellStart"/>
      <w:r w:rsidRPr="00A73C9E">
        <w:rPr>
          <w:rFonts w:ascii="Arial" w:eastAsia="Times New Roman" w:hAnsi="Arial" w:cs="Arial"/>
        </w:rPr>
        <w:t>Szczepiorkowski</w:t>
      </w:r>
      <w:proofErr w:type="spellEnd"/>
      <w:r w:rsidRPr="00A73C9E">
        <w:rPr>
          <w:rFonts w:ascii="Arial" w:eastAsia="Times New Roman" w:hAnsi="Arial" w:cs="Arial"/>
        </w:rPr>
        <w:t xml:space="preserve"> ZM. Category IV indications for therapeutic apheresis: ASFA fourth special issue. J Clin </w:t>
      </w:r>
      <w:proofErr w:type="spellStart"/>
      <w:r w:rsidRPr="00A73C9E">
        <w:rPr>
          <w:rFonts w:ascii="Arial" w:eastAsia="Times New Roman" w:hAnsi="Arial" w:cs="Arial"/>
        </w:rPr>
        <w:t>Apher</w:t>
      </w:r>
      <w:proofErr w:type="spellEnd"/>
      <w:r w:rsidRPr="00A73C9E">
        <w:rPr>
          <w:rFonts w:ascii="Arial" w:eastAsia="Times New Roman" w:hAnsi="Arial" w:cs="Arial"/>
        </w:rPr>
        <w:t>. 2007;22(3):176–180. [PubMed 17377982]</w:t>
      </w:r>
    </w:p>
    <w:p w14:paraId="58468BCA" w14:textId="749DEB09" w:rsidR="002D2A97" w:rsidRPr="00A73C9E" w:rsidRDefault="002D2A97" w:rsidP="00FD5F4E">
      <w:pPr>
        <w:numPr>
          <w:ilvl w:val="0"/>
          <w:numId w:val="15"/>
        </w:numPr>
        <w:shd w:val="clear" w:color="auto" w:fill="FFFFFF"/>
        <w:spacing w:after="0" w:line="276" w:lineRule="auto"/>
        <w:ind w:left="576" w:hanging="576"/>
        <w:rPr>
          <w:rFonts w:ascii="Arial" w:eastAsia="Times New Roman" w:hAnsi="Arial" w:cs="Arial"/>
        </w:rPr>
      </w:pPr>
      <w:r w:rsidRPr="00A73C9E">
        <w:rPr>
          <w:rFonts w:ascii="Arial" w:hAnsi="Arial" w:cs="Arial"/>
        </w:rPr>
        <w:t>Expert Panel on Integrated Guidelines for Cardiovascular Health and Risk Reduction in Children and Adolescents, National Heart, Lung, and Blood Institute. Expert Panel on Integrated Guidelines for Cardiovascular Health and Risk Reduction in Children and Adolescents: Summary report. Pediatrics. 2011;128 (Suppl 5</w:t>
      </w:r>
      <w:proofErr w:type="gramStart"/>
      <w:r w:rsidRPr="00A73C9E">
        <w:rPr>
          <w:rFonts w:ascii="Arial" w:hAnsi="Arial" w:cs="Arial"/>
        </w:rPr>
        <w:t>):S</w:t>
      </w:r>
      <w:proofErr w:type="gramEnd"/>
      <w:r w:rsidRPr="00A73C9E">
        <w:rPr>
          <w:rFonts w:ascii="Arial" w:hAnsi="Arial" w:cs="Arial"/>
        </w:rPr>
        <w:t>213-S256. [PubMed: 22084329].</w:t>
      </w:r>
    </w:p>
    <w:p w14:paraId="19A5B795" w14:textId="694EA151" w:rsidR="00EA7ACF" w:rsidRPr="00A73C9E" w:rsidRDefault="002D2A97" w:rsidP="00FD5F4E">
      <w:pPr>
        <w:numPr>
          <w:ilvl w:val="0"/>
          <w:numId w:val="15"/>
        </w:numPr>
        <w:shd w:val="clear" w:color="auto" w:fill="FFFFFF"/>
        <w:spacing w:after="0" w:line="276" w:lineRule="auto"/>
        <w:ind w:left="576" w:hanging="576"/>
        <w:rPr>
          <w:rFonts w:ascii="Arial" w:eastAsia="Times New Roman" w:hAnsi="Arial" w:cs="Arial"/>
        </w:rPr>
      </w:pPr>
      <w:r w:rsidRPr="00A73C9E">
        <w:rPr>
          <w:rFonts w:ascii="Arial" w:eastAsia="Times New Roman" w:hAnsi="Arial" w:cs="Arial"/>
        </w:rPr>
        <w:t>Wilson</w:t>
      </w:r>
      <w:r w:rsidRPr="00A73C9E">
        <w:rPr>
          <w:rFonts w:ascii="Arial" w:hAnsi="Arial" w:cs="Arial"/>
        </w:rPr>
        <w:t xml:space="preserve"> </w:t>
      </w:r>
      <w:r w:rsidRPr="00A73C9E">
        <w:rPr>
          <w:rFonts w:ascii="Arial" w:eastAsia="Times New Roman" w:hAnsi="Arial" w:cs="Arial"/>
        </w:rPr>
        <w:t>DP, McNeal</w:t>
      </w:r>
      <w:r w:rsidRPr="00A73C9E">
        <w:rPr>
          <w:rFonts w:ascii="Arial" w:hAnsi="Arial" w:cs="Arial"/>
        </w:rPr>
        <w:t xml:space="preserve"> </w:t>
      </w:r>
      <w:r w:rsidRPr="00A73C9E">
        <w:rPr>
          <w:rFonts w:ascii="Arial" w:eastAsia="Times New Roman" w:hAnsi="Arial" w:cs="Arial"/>
        </w:rPr>
        <w:t>C, Blackett</w:t>
      </w:r>
      <w:r w:rsidRPr="00A73C9E">
        <w:rPr>
          <w:rFonts w:ascii="Arial" w:hAnsi="Arial" w:cs="Arial"/>
        </w:rPr>
        <w:t xml:space="preserve"> </w:t>
      </w:r>
      <w:r w:rsidRPr="00A73C9E">
        <w:rPr>
          <w:rFonts w:ascii="Arial" w:eastAsia="Times New Roman" w:hAnsi="Arial" w:cs="Arial"/>
        </w:rPr>
        <w:t xml:space="preserve">PR. Children and </w:t>
      </w:r>
      <w:proofErr w:type="gramStart"/>
      <w:r w:rsidRPr="00A73C9E">
        <w:rPr>
          <w:rFonts w:ascii="Arial" w:eastAsia="Times New Roman" w:hAnsi="Arial" w:cs="Arial"/>
        </w:rPr>
        <w:t>adolescents</w:t>
      </w:r>
      <w:proofErr w:type="gramEnd"/>
      <w:r w:rsidRPr="00A73C9E">
        <w:rPr>
          <w:rFonts w:ascii="Arial" w:eastAsia="Times New Roman" w:hAnsi="Arial" w:cs="Arial"/>
        </w:rPr>
        <w:t xml:space="preserve"> step-by-step evaluation and management plan (chapter 14). In: Meyerson M, ed. Dyslipidemia: A Clinical Approach. Philadelphia: Wolters Kluwer; 2018: 213-234.</w:t>
      </w:r>
    </w:p>
    <w:p w14:paraId="66D22E5C" w14:textId="088F93BE" w:rsidR="00EA7ACF" w:rsidRPr="00A73C9E" w:rsidRDefault="00EA7ACF" w:rsidP="00FD5F4E">
      <w:pPr>
        <w:numPr>
          <w:ilvl w:val="0"/>
          <w:numId w:val="15"/>
        </w:numPr>
        <w:shd w:val="clear" w:color="auto" w:fill="FFFFFF"/>
        <w:spacing w:after="0" w:line="276" w:lineRule="auto"/>
        <w:ind w:left="576" w:hanging="576"/>
        <w:rPr>
          <w:rFonts w:ascii="Arial" w:eastAsia="Times New Roman" w:hAnsi="Arial" w:cs="Arial"/>
        </w:rPr>
      </w:pPr>
      <w:proofErr w:type="spellStart"/>
      <w:r w:rsidRPr="00A73C9E">
        <w:rPr>
          <w:rFonts w:ascii="Arial" w:eastAsia="Times New Roman" w:hAnsi="Arial" w:cs="Arial"/>
        </w:rPr>
        <w:t>Hottelart</w:t>
      </w:r>
      <w:proofErr w:type="spellEnd"/>
      <w:r w:rsidRPr="00A73C9E">
        <w:rPr>
          <w:rFonts w:ascii="Arial" w:eastAsia="Times New Roman" w:hAnsi="Arial" w:cs="Arial"/>
        </w:rPr>
        <w:t xml:space="preserve"> C, El Esper N, Rose F, Achard JM, Fournier A. Fenofibrate increases creatininemia by increasing metabolic production of creatinine. Nephron. 2002;92(3):536-541. [PubMed 12372935]</w:t>
      </w:r>
    </w:p>
    <w:p w14:paraId="3D2A31A4" w14:textId="0723A868" w:rsidR="00EA7ACF" w:rsidRPr="00A73C9E" w:rsidRDefault="00EA7ACF" w:rsidP="00FD5F4E">
      <w:pPr>
        <w:numPr>
          <w:ilvl w:val="0"/>
          <w:numId w:val="15"/>
        </w:numPr>
        <w:shd w:val="clear" w:color="auto" w:fill="FFFFFF"/>
        <w:spacing w:after="0" w:line="276" w:lineRule="auto"/>
        <w:ind w:left="576" w:hanging="576"/>
        <w:rPr>
          <w:rFonts w:ascii="Arial" w:eastAsia="Times New Roman" w:hAnsi="Arial" w:cs="Arial"/>
        </w:rPr>
      </w:pPr>
      <w:proofErr w:type="spellStart"/>
      <w:r w:rsidRPr="00A73C9E">
        <w:rPr>
          <w:rFonts w:ascii="Arial" w:eastAsia="Times New Roman" w:hAnsi="Arial" w:cs="Arial"/>
        </w:rPr>
        <w:t>Kostapanos</w:t>
      </w:r>
      <w:proofErr w:type="spellEnd"/>
      <w:r w:rsidRPr="00A73C9E">
        <w:rPr>
          <w:rFonts w:ascii="Arial" w:eastAsia="Times New Roman" w:hAnsi="Arial" w:cs="Arial"/>
        </w:rPr>
        <w:t xml:space="preserve"> MS, </w:t>
      </w:r>
      <w:proofErr w:type="spellStart"/>
      <w:r w:rsidRPr="00A73C9E">
        <w:rPr>
          <w:rFonts w:ascii="Arial" w:eastAsia="Times New Roman" w:hAnsi="Arial" w:cs="Arial"/>
        </w:rPr>
        <w:t>Florentin</w:t>
      </w:r>
      <w:proofErr w:type="spellEnd"/>
      <w:r w:rsidRPr="00A73C9E">
        <w:rPr>
          <w:rFonts w:ascii="Arial" w:eastAsia="Times New Roman" w:hAnsi="Arial" w:cs="Arial"/>
        </w:rPr>
        <w:t xml:space="preserve"> M, </w:t>
      </w:r>
      <w:proofErr w:type="spellStart"/>
      <w:r w:rsidRPr="00A73C9E">
        <w:rPr>
          <w:rFonts w:ascii="Arial" w:eastAsia="Times New Roman" w:hAnsi="Arial" w:cs="Arial"/>
        </w:rPr>
        <w:t>Elisaf</w:t>
      </w:r>
      <w:proofErr w:type="spellEnd"/>
      <w:r w:rsidRPr="00A73C9E">
        <w:rPr>
          <w:rFonts w:ascii="Arial" w:eastAsia="Times New Roman" w:hAnsi="Arial" w:cs="Arial"/>
        </w:rPr>
        <w:t xml:space="preserve"> MS. Fenofibrate and the kidney: an overview. Eur J Clin Invest. 2013;43(5):522-531. [PubMed</w:t>
      </w:r>
      <w:r w:rsidRPr="00A73C9E">
        <w:rPr>
          <w:rFonts w:ascii="Arial" w:hAnsi="Arial" w:cs="Arial"/>
        </w:rPr>
        <w:t xml:space="preserve"> </w:t>
      </w:r>
      <w:r w:rsidRPr="00A73C9E">
        <w:rPr>
          <w:rFonts w:ascii="Arial" w:eastAsia="Times New Roman" w:hAnsi="Arial" w:cs="Arial"/>
        </w:rPr>
        <w:t>23480615]</w:t>
      </w:r>
    </w:p>
    <w:p w14:paraId="49DCEDAD" w14:textId="7E006316" w:rsidR="00750E48" w:rsidRPr="00A73C9E" w:rsidRDefault="00EA7ACF" w:rsidP="00FD5F4E">
      <w:pPr>
        <w:numPr>
          <w:ilvl w:val="0"/>
          <w:numId w:val="15"/>
        </w:numPr>
        <w:shd w:val="clear" w:color="auto" w:fill="FFFFFF"/>
        <w:spacing w:after="0" w:line="276" w:lineRule="auto"/>
        <w:ind w:left="576" w:hanging="576"/>
        <w:rPr>
          <w:rFonts w:ascii="Arial" w:eastAsia="Times New Roman" w:hAnsi="Arial" w:cs="Arial"/>
        </w:rPr>
      </w:pPr>
      <w:proofErr w:type="spellStart"/>
      <w:r w:rsidRPr="00A73C9E">
        <w:rPr>
          <w:rFonts w:ascii="Arial" w:eastAsia="Times New Roman" w:hAnsi="Arial" w:cs="Arial"/>
        </w:rPr>
        <w:t>Rouis</w:t>
      </w:r>
      <w:proofErr w:type="spellEnd"/>
      <w:r w:rsidRPr="00A73C9E">
        <w:rPr>
          <w:rFonts w:ascii="Arial" w:eastAsia="Times New Roman" w:hAnsi="Arial" w:cs="Arial"/>
        </w:rPr>
        <w:t xml:space="preserve"> M, Dugi KA, </w:t>
      </w:r>
      <w:proofErr w:type="spellStart"/>
      <w:r w:rsidRPr="00A73C9E">
        <w:rPr>
          <w:rFonts w:ascii="Arial" w:eastAsia="Times New Roman" w:hAnsi="Arial" w:cs="Arial"/>
        </w:rPr>
        <w:t>Previato</w:t>
      </w:r>
      <w:proofErr w:type="spellEnd"/>
      <w:r w:rsidRPr="00A73C9E">
        <w:rPr>
          <w:rFonts w:ascii="Arial" w:eastAsia="Times New Roman" w:hAnsi="Arial" w:cs="Arial"/>
        </w:rPr>
        <w:t xml:space="preserve"> L, Patterson AP, </w:t>
      </w:r>
      <w:proofErr w:type="spellStart"/>
      <w:r w:rsidRPr="00A73C9E">
        <w:rPr>
          <w:rFonts w:ascii="Arial" w:eastAsia="Times New Roman" w:hAnsi="Arial" w:cs="Arial"/>
        </w:rPr>
        <w:t>Brunzell</w:t>
      </w:r>
      <w:proofErr w:type="spellEnd"/>
      <w:r w:rsidRPr="00A73C9E">
        <w:rPr>
          <w:rFonts w:ascii="Arial" w:eastAsia="Times New Roman" w:hAnsi="Arial" w:cs="Arial"/>
        </w:rPr>
        <w:t xml:space="preserve"> JD, Brewer HB, </w:t>
      </w:r>
      <w:proofErr w:type="spellStart"/>
      <w:r w:rsidRPr="00A73C9E">
        <w:rPr>
          <w:rFonts w:ascii="Arial" w:eastAsia="Times New Roman" w:hAnsi="Arial" w:cs="Arial"/>
        </w:rPr>
        <w:t>Santamarina-Fojo</w:t>
      </w:r>
      <w:proofErr w:type="spellEnd"/>
      <w:r w:rsidRPr="00A73C9E">
        <w:rPr>
          <w:rFonts w:ascii="Arial" w:eastAsia="Times New Roman" w:hAnsi="Arial" w:cs="Arial"/>
        </w:rPr>
        <w:t xml:space="preserve"> S. Therapeutic response to medium-chain triglycerides and omega-3 fatty acids in a patient with the familial chylomicronemia syndrome. </w:t>
      </w:r>
      <w:proofErr w:type="spellStart"/>
      <w:r w:rsidRPr="00A73C9E">
        <w:rPr>
          <w:rFonts w:ascii="Arial" w:eastAsia="Times New Roman" w:hAnsi="Arial" w:cs="Arial"/>
        </w:rPr>
        <w:t>Arterioscler</w:t>
      </w:r>
      <w:proofErr w:type="spellEnd"/>
      <w:r w:rsidRPr="00A73C9E">
        <w:rPr>
          <w:rFonts w:ascii="Arial" w:eastAsia="Times New Roman" w:hAnsi="Arial" w:cs="Arial"/>
        </w:rPr>
        <w:t xml:space="preserve"> </w:t>
      </w:r>
      <w:proofErr w:type="spellStart"/>
      <w:r w:rsidRPr="00A73C9E">
        <w:rPr>
          <w:rFonts w:ascii="Arial" w:eastAsia="Times New Roman" w:hAnsi="Arial" w:cs="Arial"/>
        </w:rPr>
        <w:t>Thromb</w:t>
      </w:r>
      <w:proofErr w:type="spellEnd"/>
      <w:r w:rsidRPr="00A73C9E">
        <w:rPr>
          <w:rFonts w:ascii="Arial" w:eastAsia="Times New Roman" w:hAnsi="Arial" w:cs="Arial"/>
        </w:rPr>
        <w:t xml:space="preserve"> </w:t>
      </w:r>
      <w:proofErr w:type="spellStart"/>
      <w:r w:rsidRPr="00A73C9E">
        <w:rPr>
          <w:rFonts w:ascii="Arial" w:eastAsia="Times New Roman" w:hAnsi="Arial" w:cs="Arial"/>
        </w:rPr>
        <w:t>Vasc</w:t>
      </w:r>
      <w:proofErr w:type="spellEnd"/>
      <w:r w:rsidRPr="00A73C9E">
        <w:rPr>
          <w:rFonts w:ascii="Arial" w:eastAsia="Times New Roman" w:hAnsi="Arial" w:cs="Arial"/>
        </w:rPr>
        <w:t xml:space="preserve"> Biol. 1997;17(7):1400-1406. [PubMed 9261273]</w:t>
      </w:r>
    </w:p>
    <w:p w14:paraId="3B96E109" w14:textId="6FE643DE" w:rsidR="00750E48" w:rsidRPr="00A73C9E" w:rsidRDefault="00750E48" w:rsidP="00FD5F4E">
      <w:pPr>
        <w:pStyle w:val="ListParagraph"/>
        <w:numPr>
          <w:ilvl w:val="0"/>
          <w:numId w:val="15"/>
        </w:numPr>
        <w:spacing w:after="0"/>
        <w:ind w:left="576" w:hanging="576"/>
        <w:rPr>
          <w:rFonts w:ascii="Arial" w:eastAsia="Times New Roman" w:hAnsi="Arial" w:cs="Arial"/>
        </w:rPr>
      </w:pPr>
      <w:r w:rsidRPr="00A73C9E">
        <w:rPr>
          <w:rFonts w:ascii="Arial" w:eastAsia="Times New Roman" w:hAnsi="Arial" w:cs="Arial"/>
        </w:rPr>
        <w:t xml:space="preserve">Jap TS, </w:t>
      </w:r>
      <w:proofErr w:type="spellStart"/>
      <w:r w:rsidRPr="00A73C9E">
        <w:rPr>
          <w:rFonts w:ascii="Arial" w:eastAsia="Times New Roman" w:hAnsi="Arial" w:cs="Arial"/>
        </w:rPr>
        <w:t>Jenq</w:t>
      </w:r>
      <w:proofErr w:type="spellEnd"/>
      <w:r w:rsidRPr="00A73C9E">
        <w:rPr>
          <w:rFonts w:ascii="Arial" w:eastAsia="Times New Roman" w:hAnsi="Arial" w:cs="Arial"/>
        </w:rPr>
        <w:t xml:space="preserve"> SF, Wu YC, Chiu CY, Cheng HM. Mutations in the lipoprotein lipase gene as a cause of hypertriglyceridemia and pancreatitis in Taiwan. Pancreas. 2003;27(2):122-126. [PubMed 12883259]</w:t>
      </w:r>
    </w:p>
    <w:p w14:paraId="1DF7D46A" w14:textId="2E02F239" w:rsidR="00921BB2" w:rsidRPr="00A73C9E" w:rsidRDefault="00750E48" w:rsidP="00FD5F4E">
      <w:pPr>
        <w:numPr>
          <w:ilvl w:val="0"/>
          <w:numId w:val="15"/>
        </w:numPr>
        <w:shd w:val="clear" w:color="auto" w:fill="FFFFFF"/>
        <w:spacing w:after="0" w:line="276" w:lineRule="auto"/>
        <w:ind w:left="576" w:hanging="576"/>
        <w:rPr>
          <w:rFonts w:ascii="Arial" w:eastAsia="Times New Roman" w:hAnsi="Arial" w:cs="Arial"/>
        </w:rPr>
      </w:pPr>
      <w:r w:rsidRPr="00A73C9E">
        <w:rPr>
          <w:rFonts w:ascii="Arial" w:hAnsi="Arial" w:cs="Arial"/>
        </w:rPr>
        <w:t xml:space="preserve">Tremblay K, Dubois-Bouchard C, Brisson D, Gaudet D. Association of CTRC and SPINK1 gene variants with recurrent hospitalizations for pancreatitis or acute abdominal pain in lipoprotein lipase deficiency. Front Genet. </w:t>
      </w:r>
      <w:proofErr w:type="gramStart"/>
      <w:r w:rsidRPr="00A73C9E">
        <w:rPr>
          <w:rFonts w:ascii="Arial" w:hAnsi="Arial" w:cs="Arial"/>
        </w:rPr>
        <w:t>2014;5:90</w:t>
      </w:r>
      <w:proofErr w:type="gramEnd"/>
      <w:r w:rsidRPr="00A73C9E">
        <w:rPr>
          <w:rFonts w:ascii="Arial" w:hAnsi="Arial" w:cs="Arial"/>
        </w:rPr>
        <w:t xml:space="preserve">. </w:t>
      </w:r>
      <w:r w:rsidRPr="00A73C9E">
        <w:rPr>
          <w:rFonts w:ascii="Arial" w:eastAsia="Times New Roman" w:hAnsi="Arial" w:cs="Arial"/>
        </w:rPr>
        <w:t>[PubMed 24795752]</w:t>
      </w:r>
    </w:p>
    <w:p w14:paraId="746C2AA9" w14:textId="77777777" w:rsidR="00FD5F4E" w:rsidRDefault="00FE44A0" w:rsidP="00892426">
      <w:pPr>
        <w:pStyle w:val="ListParagraph"/>
        <w:numPr>
          <w:ilvl w:val="0"/>
          <w:numId w:val="15"/>
        </w:numPr>
        <w:spacing w:after="0"/>
        <w:ind w:left="576" w:hanging="576"/>
        <w:rPr>
          <w:rFonts w:ascii="Arial" w:eastAsia="Times New Roman" w:hAnsi="Arial" w:cs="Arial"/>
        </w:rPr>
      </w:pPr>
      <w:r w:rsidRPr="00FD5F4E">
        <w:rPr>
          <w:rFonts w:ascii="Arial" w:eastAsia="Times New Roman" w:hAnsi="Arial" w:cs="Arial"/>
        </w:rPr>
        <w:t xml:space="preserve">Hegele RA, Ginsberg HN, Chapman MJ, </w:t>
      </w:r>
      <w:proofErr w:type="spellStart"/>
      <w:r w:rsidRPr="00FD5F4E">
        <w:rPr>
          <w:rFonts w:ascii="Arial" w:eastAsia="Times New Roman" w:hAnsi="Arial" w:cs="Arial"/>
        </w:rPr>
        <w:t>Nordestgaard</w:t>
      </w:r>
      <w:proofErr w:type="spellEnd"/>
      <w:r w:rsidRPr="00FD5F4E">
        <w:rPr>
          <w:rFonts w:ascii="Arial" w:eastAsia="Times New Roman" w:hAnsi="Arial" w:cs="Arial"/>
        </w:rPr>
        <w:t xml:space="preserve"> BG, </w:t>
      </w:r>
      <w:proofErr w:type="spellStart"/>
      <w:r w:rsidRPr="00FD5F4E">
        <w:rPr>
          <w:rFonts w:ascii="Arial" w:eastAsia="Times New Roman" w:hAnsi="Arial" w:cs="Arial"/>
        </w:rPr>
        <w:t>Kuivenhoven</w:t>
      </w:r>
      <w:proofErr w:type="spellEnd"/>
      <w:r w:rsidRPr="00FD5F4E">
        <w:rPr>
          <w:rFonts w:ascii="Arial" w:eastAsia="Times New Roman" w:hAnsi="Arial" w:cs="Arial"/>
        </w:rPr>
        <w:t xml:space="preserve"> JA, Averna M, Boren J, Bruckert E, </w:t>
      </w:r>
      <w:proofErr w:type="spellStart"/>
      <w:r w:rsidRPr="00FD5F4E">
        <w:rPr>
          <w:rFonts w:ascii="Arial" w:eastAsia="Times New Roman" w:hAnsi="Arial" w:cs="Arial"/>
        </w:rPr>
        <w:t>Catapano</w:t>
      </w:r>
      <w:proofErr w:type="spellEnd"/>
      <w:r w:rsidRPr="00FD5F4E">
        <w:rPr>
          <w:rFonts w:ascii="Arial" w:eastAsia="Times New Roman" w:hAnsi="Arial" w:cs="Arial"/>
        </w:rPr>
        <w:t xml:space="preserve"> AL, Descamps OS, Hovingh GK, Humphries SE, </w:t>
      </w:r>
      <w:proofErr w:type="spellStart"/>
      <w:r w:rsidRPr="00FD5F4E">
        <w:rPr>
          <w:rFonts w:ascii="Arial" w:eastAsia="Times New Roman" w:hAnsi="Arial" w:cs="Arial"/>
        </w:rPr>
        <w:t>Kovanen</w:t>
      </w:r>
      <w:proofErr w:type="spellEnd"/>
      <w:r w:rsidRPr="00FD5F4E">
        <w:rPr>
          <w:rFonts w:ascii="Arial" w:eastAsia="Times New Roman" w:hAnsi="Arial" w:cs="Arial"/>
        </w:rPr>
        <w:t xml:space="preserve"> PT, </w:t>
      </w:r>
      <w:proofErr w:type="spellStart"/>
      <w:r w:rsidRPr="00FD5F4E">
        <w:rPr>
          <w:rFonts w:ascii="Arial" w:eastAsia="Times New Roman" w:hAnsi="Arial" w:cs="Arial"/>
        </w:rPr>
        <w:t>Masana</w:t>
      </w:r>
      <w:proofErr w:type="spellEnd"/>
      <w:r w:rsidRPr="00FD5F4E">
        <w:rPr>
          <w:rFonts w:ascii="Arial" w:eastAsia="Times New Roman" w:hAnsi="Arial" w:cs="Arial"/>
        </w:rPr>
        <w:t xml:space="preserve"> L, </w:t>
      </w:r>
      <w:proofErr w:type="spellStart"/>
      <w:r w:rsidRPr="00FD5F4E">
        <w:rPr>
          <w:rFonts w:ascii="Arial" w:eastAsia="Times New Roman" w:hAnsi="Arial" w:cs="Arial"/>
        </w:rPr>
        <w:t>Pajukanta</w:t>
      </w:r>
      <w:proofErr w:type="spellEnd"/>
      <w:r w:rsidRPr="00FD5F4E">
        <w:rPr>
          <w:rFonts w:ascii="Arial" w:eastAsia="Times New Roman" w:hAnsi="Arial" w:cs="Arial"/>
        </w:rPr>
        <w:t xml:space="preserve"> P, </w:t>
      </w:r>
      <w:proofErr w:type="spellStart"/>
      <w:r w:rsidRPr="00FD5F4E">
        <w:rPr>
          <w:rFonts w:ascii="Arial" w:eastAsia="Times New Roman" w:hAnsi="Arial" w:cs="Arial"/>
        </w:rPr>
        <w:t>Parhofer</w:t>
      </w:r>
      <w:proofErr w:type="spellEnd"/>
      <w:r w:rsidRPr="00FD5F4E">
        <w:rPr>
          <w:rFonts w:ascii="Arial" w:eastAsia="Times New Roman" w:hAnsi="Arial" w:cs="Arial"/>
        </w:rPr>
        <w:t xml:space="preserve"> KG, </w:t>
      </w:r>
      <w:proofErr w:type="spellStart"/>
      <w:r w:rsidRPr="00FD5F4E">
        <w:rPr>
          <w:rFonts w:ascii="Arial" w:eastAsia="Times New Roman" w:hAnsi="Arial" w:cs="Arial"/>
        </w:rPr>
        <w:t>Raal</w:t>
      </w:r>
      <w:proofErr w:type="spellEnd"/>
      <w:r w:rsidRPr="00FD5F4E">
        <w:rPr>
          <w:rFonts w:ascii="Arial" w:eastAsia="Times New Roman" w:hAnsi="Arial" w:cs="Arial"/>
        </w:rPr>
        <w:t xml:space="preserve"> FJ, Ray KK, Santos RD, </w:t>
      </w:r>
      <w:proofErr w:type="spellStart"/>
      <w:r w:rsidRPr="00FD5F4E">
        <w:rPr>
          <w:rFonts w:ascii="Arial" w:eastAsia="Times New Roman" w:hAnsi="Arial" w:cs="Arial"/>
        </w:rPr>
        <w:t>Stalenhoef</w:t>
      </w:r>
      <w:proofErr w:type="spellEnd"/>
      <w:r w:rsidRPr="00FD5F4E">
        <w:rPr>
          <w:rFonts w:ascii="Arial" w:eastAsia="Times New Roman" w:hAnsi="Arial" w:cs="Arial"/>
        </w:rPr>
        <w:t xml:space="preserve"> AFH, </w:t>
      </w:r>
      <w:proofErr w:type="spellStart"/>
      <w:r w:rsidRPr="00FD5F4E">
        <w:rPr>
          <w:rFonts w:ascii="Arial" w:eastAsia="Times New Roman" w:hAnsi="Arial" w:cs="Arial"/>
        </w:rPr>
        <w:t>Stroes</w:t>
      </w:r>
      <w:proofErr w:type="spellEnd"/>
      <w:r w:rsidRPr="00FD5F4E">
        <w:rPr>
          <w:rFonts w:ascii="Arial" w:eastAsia="Times New Roman" w:hAnsi="Arial" w:cs="Arial"/>
        </w:rPr>
        <w:t xml:space="preserve"> E, </w:t>
      </w:r>
      <w:proofErr w:type="spellStart"/>
      <w:r w:rsidRPr="00FD5F4E">
        <w:rPr>
          <w:rFonts w:ascii="Arial" w:eastAsia="Times New Roman" w:hAnsi="Arial" w:cs="Arial"/>
        </w:rPr>
        <w:t>Taskinen</w:t>
      </w:r>
      <w:proofErr w:type="spellEnd"/>
      <w:r w:rsidRPr="00FD5F4E">
        <w:rPr>
          <w:rFonts w:ascii="Arial" w:eastAsia="Times New Roman" w:hAnsi="Arial" w:cs="Arial"/>
        </w:rPr>
        <w:t xml:space="preserve"> M, </w:t>
      </w:r>
      <w:proofErr w:type="spellStart"/>
      <w:r w:rsidRPr="00FD5F4E">
        <w:rPr>
          <w:rFonts w:ascii="Arial" w:eastAsia="Times New Roman" w:hAnsi="Arial" w:cs="Arial"/>
        </w:rPr>
        <w:t>Tybjaerg</w:t>
      </w:r>
      <w:proofErr w:type="spellEnd"/>
      <w:r w:rsidRPr="00FD5F4E">
        <w:rPr>
          <w:rFonts w:ascii="Arial" w:eastAsia="Times New Roman" w:hAnsi="Arial" w:cs="Arial"/>
        </w:rPr>
        <w:t xml:space="preserve">-Hansen A, Watts GF, </w:t>
      </w:r>
      <w:proofErr w:type="spellStart"/>
      <w:r w:rsidRPr="00FD5F4E">
        <w:rPr>
          <w:rFonts w:ascii="Arial" w:eastAsia="Times New Roman" w:hAnsi="Arial" w:cs="Arial"/>
        </w:rPr>
        <w:t>Wiklund</w:t>
      </w:r>
      <w:proofErr w:type="spellEnd"/>
      <w:r w:rsidRPr="00FD5F4E">
        <w:rPr>
          <w:rFonts w:ascii="Arial" w:eastAsia="Times New Roman" w:hAnsi="Arial" w:cs="Arial"/>
        </w:rPr>
        <w:t xml:space="preserve"> O, European Atherosclerosis Society Consensus Panel. The polygenic nature of </w:t>
      </w:r>
      <w:proofErr w:type="spellStart"/>
      <w:r w:rsidRPr="00FD5F4E">
        <w:rPr>
          <w:rFonts w:ascii="Arial" w:eastAsia="Times New Roman" w:hAnsi="Arial" w:cs="Arial"/>
        </w:rPr>
        <w:t>hypertriglyceridaemia</w:t>
      </w:r>
      <w:proofErr w:type="spellEnd"/>
      <w:r w:rsidRPr="00FD5F4E">
        <w:rPr>
          <w:rFonts w:ascii="Arial" w:eastAsia="Times New Roman" w:hAnsi="Arial" w:cs="Arial"/>
        </w:rPr>
        <w:t>: Implications for definition, diagnosis, and management. Lancet Diabetes Endocrinol 2014;2(8):655-666. [PubMed 24731657]</w:t>
      </w:r>
    </w:p>
    <w:p w14:paraId="7B703B3D" w14:textId="74AD9A04" w:rsidR="002D2A97" w:rsidRPr="00FD5F4E" w:rsidRDefault="002D2A97" w:rsidP="00892426">
      <w:pPr>
        <w:pStyle w:val="ListParagraph"/>
        <w:numPr>
          <w:ilvl w:val="0"/>
          <w:numId w:val="15"/>
        </w:numPr>
        <w:spacing w:after="0"/>
        <w:ind w:left="576" w:hanging="576"/>
        <w:rPr>
          <w:rFonts w:ascii="Arial" w:eastAsia="Times New Roman" w:hAnsi="Arial" w:cs="Arial"/>
        </w:rPr>
      </w:pPr>
      <w:r w:rsidRPr="00FD5F4E">
        <w:rPr>
          <w:rFonts w:ascii="Arial" w:eastAsia="Times New Roman" w:hAnsi="Arial" w:cs="Arial"/>
        </w:rPr>
        <w:lastRenderedPageBreak/>
        <w:t xml:space="preserve">Goldstein B, </w:t>
      </w:r>
      <w:proofErr w:type="spellStart"/>
      <w:r w:rsidRPr="00FD5F4E">
        <w:rPr>
          <w:rFonts w:ascii="Arial" w:eastAsia="Times New Roman" w:hAnsi="Arial" w:cs="Arial"/>
        </w:rPr>
        <w:t>Giroir</w:t>
      </w:r>
      <w:proofErr w:type="spellEnd"/>
      <w:r w:rsidRPr="00FD5F4E">
        <w:rPr>
          <w:rFonts w:ascii="Arial" w:eastAsia="Times New Roman" w:hAnsi="Arial" w:cs="Arial"/>
        </w:rPr>
        <w:t xml:space="preserve"> B, Randolph A, International Consensus Conference on Pediatric Sepsis. International pediatric sepsis consensus conference: Definitions for sepsis and organ dysfunction in pediatrics. </w:t>
      </w:r>
      <w:proofErr w:type="spellStart"/>
      <w:r w:rsidRPr="00FD5F4E">
        <w:rPr>
          <w:rFonts w:ascii="Arial" w:eastAsia="Times New Roman" w:hAnsi="Arial" w:cs="Arial"/>
        </w:rPr>
        <w:t>Pediatr</w:t>
      </w:r>
      <w:proofErr w:type="spellEnd"/>
      <w:r w:rsidRPr="00FD5F4E">
        <w:rPr>
          <w:rFonts w:ascii="Arial" w:eastAsia="Times New Roman" w:hAnsi="Arial" w:cs="Arial"/>
        </w:rPr>
        <w:t xml:space="preserve"> </w:t>
      </w:r>
      <w:proofErr w:type="spellStart"/>
      <w:r w:rsidRPr="00FD5F4E">
        <w:rPr>
          <w:rFonts w:ascii="Arial" w:eastAsia="Times New Roman" w:hAnsi="Arial" w:cs="Arial"/>
        </w:rPr>
        <w:t>Crit</w:t>
      </w:r>
      <w:proofErr w:type="spellEnd"/>
      <w:r w:rsidRPr="00FD5F4E">
        <w:rPr>
          <w:rFonts w:ascii="Arial" w:eastAsia="Times New Roman" w:hAnsi="Arial" w:cs="Arial"/>
        </w:rPr>
        <w:t xml:space="preserve"> Care Med. 2005;6(1):2-8. [PubMed 15636651]</w:t>
      </w:r>
    </w:p>
    <w:p w14:paraId="5F67F4D5" w14:textId="42FA78C6" w:rsidR="002D2A97" w:rsidRPr="00A73C9E" w:rsidRDefault="002D2A97" w:rsidP="00FD5F4E">
      <w:pPr>
        <w:pStyle w:val="ListParagraph"/>
        <w:numPr>
          <w:ilvl w:val="0"/>
          <w:numId w:val="15"/>
        </w:numPr>
        <w:spacing w:after="0"/>
        <w:ind w:left="576" w:hanging="576"/>
        <w:rPr>
          <w:rFonts w:ascii="Arial" w:eastAsia="Times New Roman" w:hAnsi="Arial" w:cs="Arial"/>
        </w:rPr>
      </w:pPr>
      <w:r w:rsidRPr="00A73C9E">
        <w:rPr>
          <w:rFonts w:ascii="Arial" w:eastAsia="Times New Roman" w:hAnsi="Arial" w:cs="Arial"/>
        </w:rPr>
        <w:t>Abu-El-</w:t>
      </w:r>
      <w:proofErr w:type="spellStart"/>
      <w:r w:rsidRPr="00A73C9E">
        <w:rPr>
          <w:rFonts w:ascii="Arial" w:eastAsia="Times New Roman" w:hAnsi="Arial" w:cs="Arial"/>
        </w:rPr>
        <w:t>Haija</w:t>
      </w:r>
      <w:proofErr w:type="spellEnd"/>
      <w:r w:rsidRPr="00A73C9E">
        <w:rPr>
          <w:rFonts w:ascii="Arial" w:eastAsia="Times New Roman" w:hAnsi="Arial" w:cs="Arial"/>
        </w:rPr>
        <w:t xml:space="preserve"> M, Kumar S, </w:t>
      </w:r>
      <w:proofErr w:type="spellStart"/>
      <w:r w:rsidRPr="00A73C9E">
        <w:rPr>
          <w:rFonts w:ascii="Arial" w:eastAsia="Times New Roman" w:hAnsi="Arial" w:cs="Arial"/>
        </w:rPr>
        <w:t>Quiros</w:t>
      </w:r>
      <w:proofErr w:type="spellEnd"/>
      <w:r w:rsidRPr="00A73C9E">
        <w:rPr>
          <w:rFonts w:ascii="Arial" w:eastAsia="Times New Roman" w:hAnsi="Arial" w:cs="Arial"/>
        </w:rPr>
        <w:t xml:space="preserve"> JA, Balakrishnan K, Barth B, </w:t>
      </w:r>
      <w:proofErr w:type="spellStart"/>
      <w:r w:rsidRPr="00A73C9E">
        <w:rPr>
          <w:rFonts w:ascii="Arial" w:eastAsia="Times New Roman" w:hAnsi="Arial" w:cs="Arial"/>
        </w:rPr>
        <w:t>Bitton</w:t>
      </w:r>
      <w:proofErr w:type="spellEnd"/>
      <w:r w:rsidRPr="00A73C9E">
        <w:rPr>
          <w:rFonts w:ascii="Arial" w:eastAsia="Times New Roman" w:hAnsi="Arial" w:cs="Arial"/>
        </w:rPr>
        <w:t xml:space="preserve"> S, </w:t>
      </w:r>
      <w:proofErr w:type="spellStart"/>
      <w:r w:rsidRPr="00A73C9E">
        <w:rPr>
          <w:rFonts w:ascii="Arial" w:eastAsia="Times New Roman" w:hAnsi="Arial" w:cs="Arial"/>
        </w:rPr>
        <w:t>Eisses</w:t>
      </w:r>
      <w:proofErr w:type="spellEnd"/>
      <w:r w:rsidRPr="00A73C9E">
        <w:rPr>
          <w:rFonts w:ascii="Arial" w:eastAsia="Times New Roman" w:hAnsi="Arial" w:cs="Arial"/>
        </w:rPr>
        <w:t xml:space="preserve"> JF, </w:t>
      </w:r>
      <w:proofErr w:type="spellStart"/>
      <w:r w:rsidRPr="00A73C9E">
        <w:rPr>
          <w:rFonts w:ascii="Arial" w:eastAsia="Times New Roman" w:hAnsi="Arial" w:cs="Arial"/>
        </w:rPr>
        <w:t>Foglio</w:t>
      </w:r>
      <w:proofErr w:type="spellEnd"/>
      <w:r w:rsidRPr="00A73C9E">
        <w:rPr>
          <w:rFonts w:ascii="Arial" w:eastAsia="Times New Roman" w:hAnsi="Arial" w:cs="Arial"/>
        </w:rPr>
        <w:t xml:space="preserve"> EJ, Fox V, Francis D, Freeman AJ, </w:t>
      </w:r>
      <w:proofErr w:type="spellStart"/>
      <w:r w:rsidRPr="00A73C9E">
        <w:rPr>
          <w:rFonts w:ascii="Arial" w:eastAsia="Times New Roman" w:hAnsi="Arial" w:cs="Arial"/>
        </w:rPr>
        <w:t>Gonska</w:t>
      </w:r>
      <w:proofErr w:type="spellEnd"/>
      <w:r w:rsidRPr="00A73C9E">
        <w:rPr>
          <w:rFonts w:ascii="Arial" w:eastAsia="Times New Roman" w:hAnsi="Arial" w:cs="Arial"/>
        </w:rPr>
        <w:t xml:space="preserve"> T, Grover AS, Husain SZ, Kumar R, </w:t>
      </w:r>
      <w:proofErr w:type="spellStart"/>
      <w:r w:rsidRPr="00A73C9E">
        <w:rPr>
          <w:rFonts w:ascii="Arial" w:eastAsia="Times New Roman" w:hAnsi="Arial" w:cs="Arial"/>
        </w:rPr>
        <w:t>Lapsia</w:t>
      </w:r>
      <w:proofErr w:type="spellEnd"/>
      <w:r w:rsidRPr="00A73C9E">
        <w:rPr>
          <w:rFonts w:ascii="Arial" w:eastAsia="Times New Roman" w:hAnsi="Arial" w:cs="Arial"/>
        </w:rPr>
        <w:t xml:space="preserve"> S, Lin T, Liu QY, Maqbool A, Sellers ZM, Szabo F, </w:t>
      </w:r>
      <w:proofErr w:type="spellStart"/>
      <w:r w:rsidRPr="00A73C9E">
        <w:rPr>
          <w:rFonts w:ascii="Arial" w:eastAsia="Times New Roman" w:hAnsi="Arial" w:cs="Arial"/>
        </w:rPr>
        <w:t>Uc</w:t>
      </w:r>
      <w:proofErr w:type="spellEnd"/>
      <w:r w:rsidRPr="00A73C9E">
        <w:rPr>
          <w:rFonts w:ascii="Arial" w:eastAsia="Times New Roman" w:hAnsi="Arial" w:cs="Arial"/>
        </w:rPr>
        <w:t xml:space="preserve"> A, </w:t>
      </w:r>
      <w:proofErr w:type="spellStart"/>
      <w:r w:rsidRPr="00A73C9E">
        <w:rPr>
          <w:rFonts w:ascii="Arial" w:eastAsia="Times New Roman" w:hAnsi="Arial" w:cs="Arial"/>
        </w:rPr>
        <w:t>Werlin</w:t>
      </w:r>
      <w:proofErr w:type="spellEnd"/>
      <w:r w:rsidRPr="00A73C9E">
        <w:rPr>
          <w:rFonts w:ascii="Arial" w:eastAsia="Times New Roman" w:hAnsi="Arial" w:cs="Arial"/>
        </w:rPr>
        <w:t xml:space="preserve"> SL, </w:t>
      </w:r>
      <w:proofErr w:type="spellStart"/>
      <w:r w:rsidRPr="00A73C9E">
        <w:rPr>
          <w:rFonts w:ascii="Arial" w:eastAsia="Times New Roman" w:hAnsi="Arial" w:cs="Arial"/>
        </w:rPr>
        <w:t>Morinville</w:t>
      </w:r>
      <w:proofErr w:type="spellEnd"/>
      <w:r w:rsidRPr="00A73C9E">
        <w:rPr>
          <w:rFonts w:ascii="Arial" w:eastAsia="Times New Roman" w:hAnsi="Arial" w:cs="Arial"/>
        </w:rPr>
        <w:t xml:space="preserve"> VD. Management of acute pancreatitis in the pediatric population: A clinical report from the North American Society for Pediatric Gastroenterology, Hepatology and Nutrition Pancreas Committee. </w:t>
      </w:r>
      <w:r w:rsidR="003E2877" w:rsidRPr="00A73C9E">
        <w:rPr>
          <w:rFonts w:ascii="Arial" w:eastAsia="Times New Roman" w:hAnsi="Arial" w:cs="Arial"/>
        </w:rPr>
        <w:t xml:space="preserve">J </w:t>
      </w:r>
      <w:proofErr w:type="spellStart"/>
      <w:r w:rsidR="003E2877" w:rsidRPr="00A73C9E">
        <w:rPr>
          <w:rFonts w:ascii="Arial" w:eastAsia="Times New Roman" w:hAnsi="Arial" w:cs="Arial"/>
        </w:rPr>
        <w:t>Pediatr</w:t>
      </w:r>
      <w:proofErr w:type="spellEnd"/>
      <w:r w:rsidR="003E2877" w:rsidRPr="00A73C9E">
        <w:rPr>
          <w:rFonts w:ascii="Arial" w:eastAsia="Times New Roman" w:hAnsi="Arial" w:cs="Arial"/>
        </w:rPr>
        <w:t xml:space="preserve"> </w:t>
      </w:r>
      <w:r w:rsidRPr="00A73C9E">
        <w:rPr>
          <w:rFonts w:ascii="Arial" w:eastAsia="Times New Roman" w:hAnsi="Arial" w:cs="Arial"/>
        </w:rPr>
        <w:t xml:space="preserve">Gastroenterol </w:t>
      </w:r>
      <w:proofErr w:type="spellStart"/>
      <w:r w:rsidRPr="00A73C9E">
        <w:rPr>
          <w:rFonts w:ascii="Arial" w:eastAsia="Times New Roman" w:hAnsi="Arial" w:cs="Arial"/>
        </w:rPr>
        <w:t>Nutr</w:t>
      </w:r>
      <w:proofErr w:type="spellEnd"/>
      <w:r w:rsidRPr="00A73C9E">
        <w:rPr>
          <w:rFonts w:ascii="Arial" w:eastAsia="Times New Roman" w:hAnsi="Arial" w:cs="Arial"/>
        </w:rPr>
        <w:t xml:space="preserve">. 2018;66(1):159-176. [PubMed </w:t>
      </w:r>
      <w:r w:rsidRPr="00A73C9E">
        <w:rPr>
          <w:rFonts w:ascii="Arial" w:eastAsia="Times New Roman" w:hAnsi="Arial" w:cs="Arial"/>
          <w:color w:val="212121"/>
        </w:rPr>
        <w:t>29280782]</w:t>
      </w:r>
    </w:p>
    <w:p w14:paraId="140D521D" w14:textId="1DF81E5F" w:rsidR="002D2A97" w:rsidRPr="00A73C9E" w:rsidRDefault="002D2A97" w:rsidP="00FD5F4E">
      <w:pPr>
        <w:pStyle w:val="ListParagraph"/>
        <w:numPr>
          <w:ilvl w:val="0"/>
          <w:numId w:val="15"/>
        </w:numPr>
        <w:spacing w:after="0"/>
        <w:ind w:left="576" w:hanging="576"/>
        <w:rPr>
          <w:rFonts w:ascii="Arial" w:eastAsia="Times New Roman" w:hAnsi="Arial" w:cs="Arial"/>
        </w:rPr>
      </w:pPr>
      <w:proofErr w:type="spellStart"/>
      <w:r w:rsidRPr="00A73C9E">
        <w:rPr>
          <w:rFonts w:ascii="Arial" w:eastAsia="Times New Roman" w:hAnsi="Arial" w:cs="Arial"/>
        </w:rPr>
        <w:t>Tsuang</w:t>
      </w:r>
      <w:proofErr w:type="spellEnd"/>
      <w:r w:rsidRPr="00A73C9E">
        <w:rPr>
          <w:rFonts w:ascii="Arial" w:eastAsia="Times New Roman" w:hAnsi="Arial" w:cs="Arial"/>
        </w:rPr>
        <w:t xml:space="preserve"> W, Navaneethan U, Ruiz L, </w:t>
      </w:r>
      <w:proofErr w:type="spellStart"/>
      <w:r w:rsidRPr="00A73C9E">
        <w:rPr>
          <w:rFonts w:ascii="Arial" w:eastAsia="Times New Roman" w:hAnsi="Arial" w:cs="Arial"/>
        </w:rPr>
        <w:t>Palascak</w:t>
      </w:r>
      <w:proofErr w:type="spellEnd"/>
      <w:r w:rsidRPr="00A73C9E">
        <w:rPr>
          <w:rFonts w:ascii="Arial" w:eastAsia="Times New Roman" w:hAnsi="Arial" w:cs="Arial"/>
        </w:rPr>
        <w:t xml:space="preserve"> JB, </w:t>
      </w:r>
      <w:proofErr w:type="spellStart"/>
      <w:r w:rsidRPr="00A73C9E">
        <w:rPr>
          <w:rFonts w:ascii="Arial" w:eastAsia="Times New Roman" w:hAnsi="Arial" w:cs="Arial"/>
        </w:rPr>
        <w:t>Gelrud</w:t>
      </w:r>
      <w:proofErr w:type="spellEnd"/>
      <w:r w:rsidRPr="00A73C9E">
        <w:rPr>
          <w:rFonts w:ascii="Arial" w:eastAsia="Times New Roman" w:hAnsi="Arial" w:cs="Arial"/>
        </w:rPr>
        <w:t xml:space="preserve"> A. Hypertriglyceridemic pancreatitis: Presentation and management. Am J Gastroenterol. 2009;104(4):984-991. [PubMed 19293788]</w:t>
      </w:r>
    </w:p>
    <w:p w14:paraId="1DE2FDD8" w14:textId="52B1DF34" w:rsidR="002D2A97" w:rsidRPr="00A73C9E" w:rsidRDefault="002D2A97" w:rsidP="00FD5F4E">
      <w:pPr>
        <w:pStyle w:val="ListParagraph"/>
        <w:numPr>
          <w:ilvl w:val="0"/>
          <w:numId w:val="15"/>
        </w:numPr>
        <w:spacing w:after="0"/>
        <w:ind w:left="576" w:hanging="576"/>
        <w:rPr>
          <w:rFonts w:ascii="Arial" w:eastAsia="Times New Roman" w:hAnsi="Arial" w:cs="Arial"/>
        </w:rPr>
      </w:pPr>
      <w:r w:rsidRPr="00A73C9E">
        <w:rPr>
          <w:rFonts w:ascii="Arial" w:eastAsia="Times New Roman" w:hAnsi="Arial" w:cs="Arial"/>
        </w:rPr>
        <w:t xml:space="preserve">Ewald N, </w:t>
      </w:r>
      <w:proofErr w:type="spellStart"/>
      <w:r w:rsidRPr="00A73C9E">
        <w:rPr>
          <w:rFonts w:ascii="Arial" w:eastAsia="Times New Roman" w:hAnsi="Arial" w:cs="Arial"/>
        </w:rPr>
        <w:t>Kloer</w:t>
      </w:r>
      <w:proofErr w:type="spellEnd"/>
      <w:r w:rsidRPr="00A73C9E">
        <w:rPr>
          <w:rFonts w:ascii="Arial" w:eastAsia="Times New Roman" w:hAnsi="Arial" w:cs="Arial"/>
        </w:rPr>
        <w:t xml:space="preserve"> HU. Treatment options for severe hypertriglyceridemia (SHTG): The role of apheresis. Clin Res </w:t>
      </w:r>
      <w:proofErr w:type="spellStart"/>
      <w:r w:rsidRPr="00A73C9E">
        <w:rPr>
          <w:rFonts w:ascii="Arial" w:eastAsia="Times New Roman" w:hAnsi="Arial" w:cs="Arial"/>
        </w:rPr>
        <w:t>Cardiol</w:t>
      </w:r>
      <w:proofErr w:type="spellEnd"/>
      <w:r w:rsidRPr="00A73C9E">
        <w:rPr>
          <w:rFonts w:ascii="Arial" w:eastAsia="Times New Roman" w:hAnsi="Arial" w:cs="Arial"/>
        </w:rPr>
        <w:t xml:space="preserve"> Suppl. 2012;7(1):31-35. [PubMed 22528130]</w:t>
      </w:r>
    </w:p>
    <w:p w14:paraId="459DEABC" w14:textId="37B07A3B" w:rsidR="00750E48" w:rsidRPr="00A73C9E" w:rsidRDefault="002D2A97" w:rsidP="00FD5F4E">
      <w:pPr>
        <w:pStyle w:val="ListParagraph"/>
        <w:numPr>
          <w:ilvl w:val="0"/>
          <w:numId w:val="15"/>
        </w:numPr>
        <w:spacing w:after="0"/>
        <w:ind w:left="576" w:hanging="576"/>
        <w:rPr>
          <w:rFonts w:ascii="Arial" w:eastAsia="Times New Roman" w:hAnsi="Arial" w:cs="Arial"/>
        </w:rPr>
      </w:pPr>
      <w:proofErr w:type="spellStart"/>
      <w:r w:rsidRPr="00A73C9E">
        <w:rPr>
          <w:rFonts w:ascii="Arial" w:eastAsia="Times New Roman" w:hAnsi="Arial" w:cs="Arial"/>
        </w:rPr>
        <w:t>Lennertz</w:t>
      </w:r>
      <w:proofErr w:type="spellEnd"/>
      <w:r w:rsidRPr="00A73C9E">
        <w:rPr>
          <w:rFonts w:ascii="Arial" w:eastAsia="Times New Roman" w:hAnsi="Arial" w:cs="Arial"/>
        </w:rPr>
        <w:t xml:space="preserve"> A, </w:t>
      </w:r>
      <w:proofErr w:type="spellStart"/>
      <w:r w:rsidRPr="00A73C9E">
        <w:rPr>
          <w:rFonts w:ascii="Arial" w:eastAsia="Times New Roman" w:hAnsi="Arial" w:cs="Arial"/>
        </w:rPr>
        <w:t>Parhofer</w:t>
      </w:r>
      <w:proofErr w:type="spellEnd"/>
      <w:r w:rsidRPr="00A73C9E">
        <w:rPr>
          <w:rFonts w:ascii="Arial" w:eastAsia="Times New Roman" w:hAnsi="Arial" w:cs="Arial"/>
        </w:rPr>
        <w:t xml:space="preserve"> KG, </w:t>
      </w:r>
      <w:proofErr w:type="spellStart"/>
      <w:r w:rsidRPr="00A73C9E">
        <w:rPr>
          <w:rFonts w:ascii="Arial" w:eastAsia="Times New Roman" w:hAnsi="Arial" w:cs="Arial"/>
        </w:rPr>
        <w:t>Samtleben</w:t>
      </w:r>
      <w:proofErr w:type="spellEnd"/>
      <w:r w:rsidRPr="00A73C9E">
        <w:rPr>
          <w:rFonts w:ascii="Arial" w:eastAsia="Times New Roman" w:hAnsi="Arial" w:cs="Arial"/>
        </w:rPr>
        <w:t xml:space="preserve"> W, Bosch T. Therapeutic plasma exchange in patients with chylomicronemia syndrome complicated by acute pancreatitis. </w:t>
      </w:r>
      <w:proofErr w:type="spellStart"/>
      <w:r w:rsidRPr="00A73C9E">
        <w:rPr>
          <w:rFonts w:ascii="Arial" w:eastAsia="Times New Roman" w:hAnsi="Arial" w:cs="Arial"/>
        </w:rPr>
        <w:t>Ther</w:t>
      </w:r>
      <w:proofErr w:type="spellEnd"/>
      <w:r w:rsidRPr="00A73C9E">
        <w:rPr>
          <w:rFonts w:ascii="Arial" w:eastAsia="Times New Roman" w:hAnsi="Arial" w:cs="Arial"/>
        </w:rPr>
        <w:t xml:space="preserve"> </w:t>
      </w:r>
      <w:proofErr w:type="spellStart"/>
      <w:r w:rsidRPr="00A73C9E">
        <w:rPr>
          <w:rFonts w:ascii="Arial" w:eastAsia="Times New Roman" w:hAnsi="Arial" w:cs="Arial"/>
        </w:rPr>
        <w:t>Apher</w:t>
      </w:r>
      <w:proofErr w:type="spellEnd"/>
      <w:r w:rsidRPr="00A73C9E">
        <w:rPr>
          <w:rFonts w:ascii="Arial" w:eastAsia="Times New Roman" w:hAnsi="Arial" w:cs="Arial"/>
        </w:rPr>
        <w:t>. 1999;3(3):227-233. [PubMed 10427620]</w:t>
      </w:r>
      <w:r w:rsidR="00750E48" w:rsidRPr="00A73C9E">
        <w:rPr>
          <w:rFonts w:ascii="Arial" w:eastAsia="Times New Roman" w:hAnsi="Arial" w:cs="Arial"/>
        </w:rPr>
        <w:br/>
      </w:r>
    </w:p>
    <w:sectPr w:rsidR="00750E48" w:rsidRPr="00A73C9E" w:rsidSect="00A73C9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ADEA4" w14:textId="77777777" w:rsidR="009A0B9A" w:rsidRDefault="009A0B9A" w:rsidP="00CA3D02">
      <w:pPr>
        <w:spacing w:after="0" w:line="240" w:lineRule="auto"/>
      </w:pPr>
      <w:r>
        <w:separator/>
      </w:r>
    </w:p>
  </w:endnote>
  <w:endnote w:type="continuationSeparator" w:id="0">
    <w:p w14:paraId="2F63FFAD" w14:textId="77777777" w:rsidR="009A0B9A" w:rsidRDefault="009A0B9A" w:rsidP="00CA3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7D12C" w14:textId="77777777" w:rsidR="00C438EC" w:rsidRDefault="00C43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5D02B" w14:textId="77777777" w:rsidR="009A0B9A" w:rsidRDefault="009A0B9A" w:rsidP="00CA3D02">
      <w:pPr>
        <w:spacing w:after="0" w:line="240" w:lineRule="auto"/>
      </w:pPr>
      <w:r>
        <w:separator/>
      </w:r>
    </w:p>
  </w:footnote>
  <w:footnote w:type="continuationSeparator" w:id="0">
    <w:p w14:paraId="7C264AAE" w14:textId="77777777" w:rsidR="009A0B9A" w:rsidRDefault="009A0B9A" w:rsidP="00CA3D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C5C53"/>
    <w:multiLevelType w:val="hybridMultilevel"/>
    <w:tmpl w:val="3BC2C9AE"/>
    <w:lvl w:ilvl="0" w:tplc="0409000F">
      <w:start w:val="1"/>
      <w:numFmt w:val="decimal"/>
      <w:lvlText w:val="%1."/>
      <w:lvlJc w:val="left"/>
      <w:pPr>
        <w:ind w:left="360" w:hanging="360"/>
      </w:pPr>
    </w:lvl>
    <w:lvl w:ilvl="1" w:tplc="9B4E655C">
      <w:start w:val="1"/>
      <w:numFmt w:val="lowerLetter"/>
      <w:lvlText w:val="%2."/>
      <w:lvlJc w:val="left"/>
      <w:pPr>
        <w:ind w:left="1080" w:hanging="360"/>
      </w:pPr>
      <w:rPr>
        <w:sz w:val="16"/>
        <w:szCs w:val="16"/>
        <w:vertAlign w:val="baseli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75166D"/>
    <w:multiLevelType w:val="hybridMultilevel"/>
    <w:tmpl w:val="6BD4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375EE"/>
    <w:multiLevelType w:val="hybridMultilevel"/>
    <w:tmpl w:val="2EDADA70"/>
    <w:lvl w:ilvl="0" w:tplc="CE7CECF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1E4E92"/>
    <w:multiLevelType w:val="hybridMultilevel"/>
    <w:tmpl w:val="7966D5A4"/>
    <w:lvl w:ilvl="0" w:tplc="1F1CD0BA">
      <w:start w:val="1"/>
      <w:numFmt w:val="bullet"/>
      <w:lvlText w:val=""/>
      <w:lvlJc w:val="left"/>
      <w:pPr>
        <w:tabs>
          <w:tab w:val="num" w:pos="488"/>
        </w:tabs>
        <w:ind w:left="488" w:hanging="360"/>
      </w:pPr>
      <w:rPr>
        <w:rFonts w:ascii="Symbol" w:hAnsi="Symbol" w:hint="default"/>
      </w:rPr>
    </w:lvl>
    <w:lvl w:ilvl="1" w:tplc="2872169A" w:tentative="1">
      <w:start w:val="1"/>
      <w:numFmt w:val="bullet"/>
      <w:lvlText w:val=""/>
      <w:lvlJc w:val="left"/>
      <w:pPr>
        <w:tabs>
          <w:tab w:val="num" w:pos="1440"/>
        </w:tabs>
        <w:ind w:left="1440" w:hanging="360"/>
      </w:pPr>
      <w:rPr>
        <w:rFonts w:ascii="Symbol" w:hAnsi="Symbol" w:hint="default"/>
      </w:rPr>
    </w:lvl>
    <w:lvl w:ilvl="2" w:tplc="681ED4CE" w:tentative="1">
      <w:start w:val="1"/>
      <w:numFmt w:val="bullet"/>
      <w:lvlText w:val=""/>
      <w:lvlJc w:val="left"/>
      <w:pPr>
        <w:tabs>
          <w:tab w:val="num" w:pos="2160"/>
        </w:tabs>
        <w:ind w:left="2160" w:hanging="360"/>
      </w:pPr>
      <w:rPr>
        <w:rFonts w:ascii="Symbol" w:hAnsi="Symbol" w:hint="default"/>
      </w:rPr>
    </w:lvl>
    <w:lvl w:ilvl="3" w:tplc="600AC9AA" w:tentative="1">
      <w:start w:val="1"/>
      <w:numFmt w:val="bullet"/>
      <w:lvlText w:val=""/>
      <w:lvlJc w:val="left"/>
      <w:pPr>
        <w:tabs>
          <w:tab w:val="num" w:pos="2880"/>
        </w:tabs>
        <w:ind w:left="2880" w:hanging="360"/>
      </w:pPr>
      <w:rPr>
        <w:rFonts w:ascii="Symbol" w:hAnsi="Symbol" w:hint="default"/>
      </w:rPr>
    </w:lvl>
    <w:lvl w:ilvl="4" w:tplc="21201A76" w:tentative="1">
      <w:start w:val="1"/>
      <w:numFmt w:val="bullet"/>
      <w:lvlText w:val=""/>
      <w:lvlJc w:val="left"/>
      <w:pPr>
        <w:tabs>
          <w:tab w:val="num" w:pos="3600"/>
        </w:tabs>
        <w:ind w:left="3600" w:hanging="360"/>
      </w:pPr>
      <w:rPr>
        <w:rFonts w:ascii="Symbol" w:hAnsi="Symbol" w:hint="default"/>
      </w:rPr>
    </w:lvl>
    <w:lvl w:ilvl="5" w:tplc="6228048C" w:tentative="1">
      <w:start w:val="1"/>
      <w:numFmt w:val="bullet"/>
      <w:lvlText w:val=""/>
      <w:lvlJc w:val="left"/>
      <w:pPr>
        <w:tabs>
          <w:tab w:val="num" w:pos="4320"/>
        </w:tabs>
        <w:ind w:left="4320" w:hanging="360"/>
      </w:pPr>
      <w:rPr>
        <w:rFonts w:ascii="Symbol" w:hAnsi="Symbol" w:hint="default"/>
      </w:rPr>
    </w:lvl>
    <w:lvl w:ilvl="6" w:tplc="CD361292" w:tentative="1">
      <w:start w:val="1"/>
      <w:numFmt w:val="bullet"/>
      <w:lvlText w:val=""/>
      <w:lvlJc w:val="left"/>
      <w:pPr>
        <w:tabs>
          <w:tab w:val="num" w:pos="5040"/>
        </w:tabs>
        <w:ind w:left="5040" w:hanging="360"/>
      </w:pPr>
      <w:rPr>
        <w:rFonts w:ascii="Symbol" w:hAnsi="Symbol" w:hint="default"/>
      </w:rPr>
    </w:lvl>
    <w:lvl w:ilvl="7" w:tplc="A72CC610" w:tentative="1">
      <w:start w:val="1"/>
      <w:numFmt w:val="bullet"/>
      <w:lvlText w:val=""/>
      <w:lvlJc w:val="left"/>
      <w:pPr>
        <w:tabs>
          <w:tab w:val="num" w:pos="5760"/>
        </w:tabs>
        <w:ind w:left="5760" w:hanging="360"/>
      </w:pPr>
      <w:rPr>
        <w:rFonts w:ascii="Symbol" w:hAnsi="Symbol" w:hint="default"/>
      </w:rPr>
    </w:lvl>
    <w:lvl w:ilvl="8" w:tplc="ECB4446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4011B31"/>
    <w:multiLevelType w:val="hybridMultilevel"/>
    <w:tmpl w:val="9B4A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F40ED"/>
    <w:multiLevelType w:val="multilevel"/>
    <w:tmpl w:val="16C0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ED4758"/>
    <w:multiLevelType w:val="hybridMultilevel"/>
    <w:tmpl w:val="645ED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342A79"/>
    <w:multiLevelType w:val="hybridMultilevel"/>
    <w:tmpl w:val="1BDE7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656384"/>
    <w:multiLevelType w:val="hybridMultilevel"/>
    <w:tmpl w:val="FEB28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F953C4"/>
    <w:multiLevelType w:val="hybridMultilevel"/>
    <w:tmpl w:val="B4B4D9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F26157"/>
    <w:multiLevelType w:val="hybridMultilevel"/>
    <w:tmpl w:val="1F569A5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AE673F8"/>
    <w:multiLevelType w:val="hybridMultilevel"/>
    <w:tmpl w:val="DCB21D20"/>
    <w:lvl w:ilvl="0" w:tplc="04090013">
      <w:start w:val="1"/>
      <w:numFmt w:val="upperRoman"/>
      <w:lvlText w:val="%1."/>
      <w:lvlJc w:val="right"/>
      <w:pPr>
        <w:ind w:left="720" w:hanging="360"/>
      </w:pPr>
    </w:lvl>
    <w:lvl w:ilvl="1" w:tplc="B3DEE100">
      <w:start w:val="1"/>
      <w:numFmt w:val="lowerLetter"/>
      <w:lvlText w:val="%2."/>
      <w:lvlJc w:val="left"/>
      <w:pPr>
        <w:ind w:left="1440" w:hanging="360"/>
      </w:pPr>
      <w:rPr>
        <w:b w:val="0"/>
        <w:sz w:val="16"/>
        <w:szCs w:val="16"/>
      </w:rPr>
    </w:lvl>
    <w:lvl w:ilvl="2" w:tplc="9484FE48">
      <w:start w:val="1"/>
      <w:numFmt w:val="lowerRoman"/>
      <w:lvlText w:val="%3."/>
      <w:lvlJc w:val="right"/>
      <w:pPr>
        <w:ind w:left="2160" w:hanging="180"/>
      </w:pPr>
      <w:rPr>
        <w:rFonts w:asciiTheme="minorHAnsi" w:hAnsiTheme="minorHAnsi" w:hint="default"/>
        <w:b w:val="0"/>
        <w:sz w:val="16"/>
        <w:szCs w:val="1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3C6006"/>
    <w:multiLevelType w:val="hybridMultilevel"/>
    <w:tmpl w:val="4A3C44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08425F"/>
    <w:multiLevelType w:val="hybridMultilevel"/>
    <w:tmpl w:val="F8487AFE"/>
    <w:lvl w:ilvl="0" w:tplc="D5303AEC">
      <w:start w:val="1"/>
      <w:numFmt w:val="bullet"/>
      <w:lvlText w:val=""/>
      <w:lvlJc w:val="left"/>
      <w:pPr>
        <w:tabs>
          <w:tab w:val="num" w:pos="1350"/>
        </w:tabs>
        <w:ind w:left="1350" w:hanging="360"/>
      </w:pPr>
      <w:rPr>
        <w:rFonts w:ascii="Symbol" w:hAnsi="Symbol" w:hint="default"/>
      </w:rPr>
    </w:lvl>
    <w:lvl w:ilvl="1" w:tplc="C3EAA56A" w:tentative="1">
      <w:start w:val="1"/>
      <w:numFmt w:val="bullet"/>
      <w:lvlText w:val=""/>
      <w:lvlJc w:val="left"/>
      <w:pPr>
        <w:tabs>
          <w:tab w:val="num" w:pos="1440"/>
        </w:tabs>
        <w:ind w:left="1440" w:hanging="360"/>
      </w:pPr>
      <w:rPr>
        <w:rFonts w:ascii="Symbol" w:hAnsi="Symbol" w:hint="default"/>
      </w:rPr>
    </w:lvl>
    <w:lvl w:ilvl="2" w:tplc="4228648E" w:tentative="1">
      <w:start w:val="1"/>
      <w:numFmt w:val="bullet"/>
      <w:lvlText w:val=""/>
      <w:lvlJc w:val="left"/>
      <w:pPr>
        <w:tabs>
          <w:tab w:val="num" w:pos="2160"/>
        </w:tabs>
        <w:ind w:left="2160" w:hanging="360"/>
      </w:pPr>
      <w:rPr>
        <w:rFonts w:ascii="Symbol" w:hAnsi="Symbol" w:hint="default"/>
      </w:rPr>
    </w:lvl>
    <w:lvl w:ilvl="3" w:tplc="033A157A" w:tentative="1">
      <w:start w:val="1"/>
      <w:numFmt w:val="bullet"/>
      <w:lvlText w:val=""/>
      <w:lvlJc w:val="left"/>
      <w:pPr>
        <w:tabs>
          <w:tab w:val="num" w:pos="2880"/>
        </w:tabs>
        <w:ind w:left="2880" w:hanging="360"/>
      </w:pPr>
      <w:rPr>
        <w:rFonts w:ascii="Symbol" w:hAnsi="Symbol" w:hint="default"/>
      </w:rPr>
    </w:lvl>
    <w:lvl w:ilvl="4" w:tplc="369C73D8" w:tentative="1">
      <w:start w:val="1"/>
      <w:numFmt w:val="bullet"/>
      <w:lvlText w:val=""/>
      <w:lvlJc w:val="left"/>
      <w:pPr>
        <w:tabs>
          <w:tab w:val="num" w:pos="3600"/>
        </w:tabs>
        <w:ind w:left="3600" w:hanging="360"/>
      </w:pPr>
      <w:rPr>
        <w:rFonts w:ascii="Symbol" w:hAnsi="Symbol" w:hint="default"/>
      </w:rPr>
    </w:lvl>
    <w:lvl w:ilvl="5" w:tplc="A71ECAAE" w:tentative="1">
      <w:start w:val="1"/>
      <w:numFmt w:val="bullet"/>
      <w:lvlText w:val=""/>
      <w:lvlJc w:val="left"/>
      <w:pPr>
        <w:tabs>
          <w:tab w:val="num" w:pos="4320"/>
        </w:tabs>
        <w:ind w:left="4320" w:hanging="360"/>
      </w:pPr>
      <w:rPr>
        <w:rFonts w:ascii="Symbol" w:hAnsi="Symbol" w:hint="default"/>
      </w:rPr>
    </w:lvl>
    <w:lvl w:ilvl="6" w:tplc="039CC3AC" w:tentative="1">
      <w:start w:val="1"/>
      <w:numFmt w:val="bullet"/>
      <w:lvlText w:val=""/>
      <w:lvlJc w:val="left"/>
      <w:pPr>
        <w:tabs>
          <w:tab w:val="num" w:pos="5040"/>
        </w:tabs>
        <w:ind w:left="5040" w:hanging="360"/>
      </w:pPr>
      <w:rPr>
        <w:rFonts w:ascii="Symbol" w:hAnsi="Symbol" w:hint="default"/>
      </w:rPr>
    </w:lvl>
    <w:lvl w:ilvl="7" w:tplc="2D6E3190" w:tentative="1">
      <w:start w:val="1"/>
      <w:numFmt w:val="bullet"/>
      <w:lvlText w:val=""/>
      <w:lvlJc w:val="left"/>
      <w:pPr>
        <w:tabs>
          <w:tab w:val="num" w:pos="5760"/>
        </w:tabs>
        <w:ind w:left="5760" w:hanging="360"/>
      </w:pPr>
      <w:rPr>
        <w:rFonts w:ascii="Symbol" w:hAnsi="Symbol" w:hint="default"/>
      </w:rPr>
    </w:lvl>
    <w:lvl w:ilvl="8" w:tplc="DBB8D452"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2006FCD"/>
    <w:multiLevelType w:val="hybridMultilevel"/>
    <w:tmpl w:val="A94E84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28B31BC"/>
    <w:multiLevelType w:val="hybridMultilevel"/>
    <w:tmpl w:val="0296966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6" w15:restartNumberingAfterBreak="0">
    <w:nsid w:val="32D5599C"/>
    <w:multiLevelType w:val="hybridMultilevel"/>
    <w:tmpl w:val="051430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17074C"/>
    <w:multiLevelType w:val="hybridMultilevel"/>
    <w:tmpl w:val="5F908A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4880E4D"/>
    <w:multiLevelType w:val="hybridMultilevel"/>
    <w:tmpl w:val="A39408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5B361B0"/>
    <w:multiLevelType w:val="hybridMultilevel"/>
    <w:tmpl w:val="CCC64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A02719"/>
    <w:multiLevelType w:val="hybridMultilevel"/>
    <w:tmpl w:val="2C18F7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0040E84"/>
    <w:multiLevelType w:val="hybridMultilevel"/>
    <w:tmpl w:val="5FA60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F66B6E"/>
    <w:multiLevelType w:val="hybridMultilevel"/>
    <w:tmpl w:val="60226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213231"/>
    <w:multiLevelType w:val="hybridMultilevel"/>
    <w:tmpl w:val="F7646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B46A93"/>
    <w:multiLevelType w:val="hybridMultilevel"/>
    <w:tmpl w:val="38A0B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F05EDA"/>
    <w:multiLevelType w:val="hybridMultilevel"/>
    <w:tmpl w:val="B9BE545A"/>
    <w:lvl w:ilvl="0" w:tplc="5D68F0AC">
      <w:start w:val="1"/>
      <w:numFmt w:val="lowerLetter"/>
      <w:lvlText w:val="%1."/>
      <w:lvlJc w:val="left"/>
      <w:pPr>
        <w:ind w:left="360" w:hanging="360"/>
      </w:pPr>
      <w:rPr>
        <w:sz w:val="16"/>
        <w:szCs w:val="16"/>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E20734F"/>
    <w:multiLevelType w:val="hybridMultilevel"/>
    <w:tmpl w:val="8E3042CC"/>
    <w:lvl w:ilvl="0" w:tplc="A042793E">
      <w:start w:val="1"/>
      <w:numFmt w:val="bullet"/>
      <w:lvlText w:val=""/>
      <w:lvlJc w:val="left"/>
      <w:pPr>
        <w:ind w:left="4320" w:hanging="180"/>
      </w:pPr>
      <w:rPr>
        <w:rFonts w:ascii="Symbol" w:hAnsi="Symbol" w:hint="default"/>
        <w:b/>
        <w:sz w:val="16"/>
        <w:szCs w:val="16"/>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4EC81393"/>
    <w:multiLevelType w:val="hybridMultilevel"/>
    <w:tmpl w:val="40009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E30129"/>
    <w:multiLevelType w:val="hybridMultilevel"/>
    <w:tmpl w:val="597A2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2A00B5A"/>
    <w:multiLevelType w:val="hybridMultilevel"/>
    <w:tmpl w:val="9906237C"/>
    <w:lvl w:ilvl="0" w:tplc="C85631FA">
      <w:start w:val="1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250089"/>
    <w:multiLevelType w:val="hybridMultilevel"/>
    <w:tmpl w:val="856E60D0"/>
    <w:lvl w:ilvl="0" w:tplc="04090019">
      <w:start w:val="1"/>
      <w:numFmt w:val="lowerLetter"/>
      <w:lvlText w:val="%1."/>
      <w:lvlJc w:val="left"/>
      <w:pPr>
        <w:ind w:left="720" w:hanging="360"/>
      </w:pPr>
      <w:rPr>
        <w:sz w:val="20"/>
        <w:szCs w:val="20"/>
        <w:vertAlign w:val="baseli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0F108D"/>
    <w:multiLevelType w:val="hybridMultilevel"/>
    <w:tmpl w:val="35905A98"/>
    <w:lvl w:ilvl="0" w:tplc="A042793E">
      <w:start w:val="1"/>
      <w:numFmt w:val="bullet"/>
      <w:lvlText w:val=""/>
      <w:lvlJc w:val="left"/>
      <w:pPr>
        <w:ind w:left="4320" w:hanging="180"/>
      </w:pPr>
      <w:rPr>
        <w:rFonts w:ascii="Symbol" w:hAnsi="Symbol" w:hint="default"/>
        <w:b/>
        <w:sz w:val="16"/>
        <w:szCs w:val="16"/>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549C340C"/>
    <w:multiLevelType w:val="hybridMultilevel"/>
    <w:tmpl w:val="A38CCCFE"/>
    <w:lvl w:ilvl="0" w:tplc="22BABC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2943B0"/>
    <w:multiLevelType w:val="hybridMultilevel"/>
    <w:tmpl w:val="EE76B5DE"/>
    <w:lvl w:ilvl="0" w:tplc="04090001">
      <w:start w:val="1"/>
      <w:numFmt w:val="bullet"/>
      <w:lvlText w:val=""/>
      <w:lvlJc w:val="left"/>
      <w:pPr>
        <w:tabs>
          <w:tab w:val="num" w:pos="720"/>
        </w:tabs>
        <w:ind w:left="720" w:hanging="360"/>
      </w:pPr>
      <w:rPr>
        <w:rFonts w:ascii="Symbol" w:hAnsi="Symbol" w:hint="default"/>
      </w:rPr>
    </w:lvl>
    <w:lvl w:ilvl="1" w:tplc="C8CCBAD2" w:tentative="1">
      <w:start w:val="1"/>
      <w:numFmt w:val="bullet"/>
      <w:lvlText w:val="•"/>
      <w:lvlJc w:val="left"/>
      <w:pPr>
        <w:tabs>
          <w:tab w:val="num" w:pos="1440"/>
        </w:tabs>
        <w:ind w:left="1440" w:hanging="360"/>
      </w:pPr>
      <w:rPr>
        <w:rFonts w:ascii="Arial" w:hAnsi="Arial" w:hint="default"/>
      </w:rPr>
    </w:lvl>
    <w:lvl w:ilvl="2" w:tplc="98603120" w:tentative="1">
      <w:start w:val="1"/>
      <w:numFmt w:val="bullet"/>
      <w:lvlText w:val="•"/>
      <w:lvlJc w:val="left"/>
      <w:pPr>
        <w:tabs>
          <w:tab w:val="num" w:pos="2160"/>
        </w:tabs>
        <w:ind w:left="2160" w:hanging="360"/>
      </w:pPr>
      <w:rPr>
        <w:rFonts w:ascii="Arial" w:hAnsi="Arial" w:hint="default"/>
      </w:rPr>
    </w:lvl>
    <w:lvl w:ilvl="3" w:tplc="E506933C" w:tentative="1">
      <w:start w:val="1"/>
      <w:numFmt w:val="bullet"/>
      <w:lvlText w:val="•"/>
      <w:lvlJc w:val="left"/>
      <w:pPr>
        <w:tabs>
          <w:tab w:val="num" w:pos="2880"/>
        </w:tabs>
        <w:ind w:left="2880" w:hanging="360"/>
      </w:pPr>
      <w:rPr>
        <w:rFonts w:ascii="Arial" w:hAnsi="Arial" w:hint="default"/>
      </w:rPr>
    </w:lvl>
    <w:lvl w:ilvl="4" w:tplc="D828FD00" w:tentative="1">
      <w:start w:val="1"/>
      <w:numFmt w:val="bullet"/>
      <w:lvlText w:val="•"/>
      <w:lvlJc w:val="left"/>
      <w:pPr>
        <w:tabs>
          <w:tab w:val="num" w:pos="3600"/>
        </w:tabs>
        <w:ind w:left="3600" w:hanging="360"/>
      </w:pPr>
      <w:rPr>
        <w:rFonts w:ascii="Arial" w:hAnsi="Arial" w:hint="default"/>
      </w:rPr>
    </w:lvl>
    <w:lvl w:ilvl="5" w:tplc="A7504688" w:tentative="1">
      <w:start w:val="1"/>
      <w:numFmt w:val="bullet"/>
      <w:lvlText w:val="•"/>
      <w:lvlJc w:val="left"/>
      <w:pPr>
        <w:tabs>
          <w:tab w:val="num" w:pos="4320"/>
        </w:tabs>
        <w:ind w:left="4320" w:hanging="360"/>
      </w:pPr>
      <w:rPr>
        <w:rFonts w:ascii="Arial" w:hAnsi="Arial" w:hint="default"/>
      </w:rPr>
    </w:lvl>
    <w:lvl w:ilvl="6" w:tplc="2EB414A6" w:tentative="1">
      <w:start w:val="1"/>
      <w:numFmt w:val="bullet"/>
      <w:lvlText w:val="•"/>
      <w:lvlJc w:val="left"/>
      <w:pPr>
        <w:tabs>
          <w:tab w:val="num" w:pos="5040"/>
        </w:tabs>
        <w:ind w:left="5040" w:hanging="360"/>
      </w:pPr>
      <w:rPr>
        <w:rFonts w:ascii="Arial" w:hAnsi="Arial" w:hint="default"/>
      </w:rPr>
    </w:lvl>
    <w:lvl w:ilvl="7" w:tplc="810C236C" w:tentative="1">
      <w:start w:val="1"/>
      <w:numFmt w:val="bullet"/>
      <w:lvlText w:val="•"/>
      <w:lvlJc w:val="left"/>
      <w:pPr>
        <w:tabs>
          <w:tab w:val="num" w:pos="5760"/>
        </w:tabs>
        <w:ind w:left="5760" w:hanging="360"/>
      </w:pPr>
      <w:rPr>
        <w:rFonts w:ascii="Arial" w:hAnsi="Arial" w:hint="default"/>
      </w:rPr>
    </w:lvl>
    <w:lvl w:ilvl="8" w:tplc="2A9E675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7CC76DD"/>
    <w:multiLevelType w:val="hybridMultilevel"/>
    <w:tmpl w:val="8878DA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C502630"/>
    <w:multiLevelType w:val="hybridMultilevel"/>
    <w:tmpl w:val="7B48D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D7E0470"/>
    <w:multiLevelType w:val="hybridMultilevel"/>
    <w:tmpl w:val="593C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C317E6"/>
    <w:multiLevelType w:val="hybridMultilevel"/>
    <w:tmpl w:val="2ABE328A"/>
    <w:lvl w:ilvl="0" w:tplc="ED1E23BC">
      <w:start w:val="1"/>
      <w:numFmt w:val="decimal"/>
      <w:lvlText w:val="%1."/>
      <w:lvlJc w:val="left"/>
      <w:pPr>
        <w:ind w:left="360" w:hanging="360"/>
      </w:pPr>
      <w:rPr>
        <w:sz w:val="20"/>
        <w:szCs w:val="2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3770D58"/>
    <w:multiLevelType w:val="hybridMultilevel"/>
    <w:tmpl w:val="16CA877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633FF7"/>
    <w:multiLevelType w:val="hybridMultilevel"/>
    <w:tmpl w:val="D62E25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E0636EF"/>
    <w:multiLevelType w:val="hybridMultilevel"/>
    <w:tmpl w:val="746232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B30B79"/>
    <w:multiLevelType w:val="hybridMultilevel"/>
    <w:tmpl w:val="98767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0122800"/>
    <w:multiLevelType w:val="hybridMultilevel"/>
    <w:tmpl w:val="73E0E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2604D2"/>
    <w:multiLevelType w:val="hybridMultilevel"/>
    <w:tmpl w:val="219A8F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9C5996"/>
    <w:multiLevelType w:val="multilevel"/>
    <w:tmpl w:val="0F8C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132C62"/>
    <w:multiLevelType w:val="hybridMultilevel"/>
    <w:tmpl w:val="CACA3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CF87F2F"/>
    <w:multiLevelType w:val="hybridMultilevel"/>
    <w:tmpl w:val="EFAE9D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7" w15:restartNumberingAfterBreak="0">
    <w:nsid w:val="7D4E77B3"/>
    <w:multiLevelType w:val="hybridMultilevel"/>
    <w:tmpl w:val="9AF67F5C"/>
    <w:lvl w:ilvl="0" w:tplc="617C658C">
      <w:start w:val="1"/>
      <w:numFmt w:val="bullet"/>
      <w:lvlText w:val=""/>
      <w:lvlJc w:val="left"/>
      <w:pPr>
        <w:tabs>
          <w:tab w:val="num" w:pos="1350"/>
        </w:tabs>
        <w:ind w:left="1350" w:hanging="360"/>
      </w:pPr>
      <w:rPr>
        <w:rFonts w:ascii="Symbol" w:hAnsi="Symbol" w:hint="default"/>
      </w:rPr>
    </w:lvl>
    <w:lvl w:ilvl="1" w:tplc="48CC2BB4" w:tentative="1">
      <w:start w:val="1"/>
      <w:numFmt w:val="bullet"/>
      <w:lvlText w:val=""/>
      <w:lvlJc w:val="left"/>
      <w:pPr>
        <w:tabs>
          <w:tab w:val="num" w:pos="2070"/>
        </w:tabs>
        <w:ind w:left="2070" w:hanging="360"/>
      </w:pPr>
      <w:rPr>
        <w:rFonts w:ascii="Symbol" w:hAnsi="Symbol" w:hint="default"/>
      </w:rPr>
    </w:lvl>
    <w:lvl w:ilvl="2" w:tplc="EB1E61D4" w:tentative="1">
      <w:start w:val="1"/>
      <w:numFmt w:val="bullet"/>
      <w:lvlText w:val=""/>
      <w:lvlJc w:val="left"/>
      <w:pPr>
        <w:tabs>
          <w:tab w:val="num" w:pos="2790"/>
        </w:tabs>
        <w:ind w:left="2790" w:hanging="360"/>
      </w:pPr>
      <w:rPr>
        <w:rFonts w:ascii="Symbol" w:hAnsi="Symbol" w:hint="default"/>
      </w:rPr>
    </w:lvl>
    <w:lvl w:ilvl="3" w:tplc="803E43C6" w:tentative="1">
      <w:start w:val="1"/>
      <w:numFmt w:val="bullet"/>
      <w:lvlText w:val=""/>
      <w:lvlJc w:val="left"/>
      <w:pPr>
        <w:tabs>
          <w:tab w:val="num" w:pos="3510"/>
        </w:tabs>
        <w:ind w:left="3510" w:hanging="360"/>
      </w:pPr>
      <w:rPr>
        <w:rFonts w:ascii="Symbol" w:hAnsi="Symbol" w:hint="default"/>
      </w:rPr>
    </w:lvl>
    <w:lvl w:ilvl="4" w:tplc="5C967D1E" w:tentative="1">
      <w:start w:val="1"/>
      <w:numFmt w:val="bullet"/>
      <w:lvlText w:val=""/>
      <w:lvlJc w:val="left"/>
      <w:pPr>
        <w:tabs>
          <w:tab w:val="num" w:pos="4230"/>
        </w:tabs>
        <w:ind w:left="4230" w:hanging="360"/>
      </w:pPr>
      <w:rPr>
        <w:rFonts w:ascii="Symbol" w:hAnsi="Symbol" w:hint="default"/>
      </w:rPr>
    </w:lvl>
    <w:lvl w:ilvl="5" w:tplc="65DE4E32" w:tentative="1">
      <w:start w:val="1"/>
      <w:numFmt w:val="bullet"/>
      <w:lvlText w:val=""/>
      <w:lvlJc w:val="left"/>
      <w:pPr>
        <w:tabs>
          <w:tab w:val="num" w:pos="4950"/>
        </w:tabs>
        <w:ind w:left="4950" w:hanging="360"/>
      </w:pPr>
      <w:rPr>
        <w:rFonts w:ascii="Symbol" w:hAnsi="Symbol" w:hint="default"/>
      </w:rPr>
    </w:lvl>
    <w:lvl w:ilvl="6" w:tplc="3CACEA60" w:tentative="1">
      <w:start w:val="1"/>
      <w:numFmt w:val="bullet"/>
      <w:lvlText w:val=""/>
      <w:lvlJc w:val="left"/>
      <w:pPr>
        <w:tabs>
          <w:tab w:val="num" w:pos="5670"/>
        </w:tabs>
        <w:ind w:left="5670" w:hanging="360"/>
      </w:pPr>
      <w:rPr>
        <w:rFonts w:ascii="Symbol" w:hAnsi="Symbol" w:hint="default"/>
      </w:rPr>
    </w:lvl>
    <w:lvl w:ilvl="7" w:tplc="1FC4F0EC" w:tentative="1">
      <w:start w:val="1"/>
      <w:numFmt w:val="bullet"/>
      <w:lvlText w:val=""/>
      <w:lvlJc w:val="left"/>
      <w:pPr>
        <w:tabs>
          <w:tab w:val="num" w:pos="6390"/>
        </w:tabs>
        <w:ind w:left="6390" w:hanging="360"/>
      </w:pPr>
      <w:rPr>
        <w:rFonts w:ascii="Symbol" w:hAnsi="Symbol" w:hint="default"/>
      </w:rPr>
    </w:lvl>
    <w:lvl w:ilvl="8" w:tplc="15B05684" w:tentative="1">
      <w:start w:val="1"/>
      <w:numFmt w:val="bullet"/>
      <w:lvlText w:val=""/>
      <w:lvlJc w:val="left"/>
      <w:pPr>
        <w:tabs>
          <w:tab w:val="num" w:pos="7110"/>
        </w:tabs>
        <w:ind w:left="7110" w:hanging="360"/>
      </w:pPr>
      <w:rPr>
        <w:rFonts w:ascii="Symbol" w:hAnsi="Symbol" w:hint="default"/>
      </w:rPr>
    </w:lvl>
  </w:abstractNum>
  <w:num w:numId="1">
    <w:abstractNumId w:val="28"/>
  </w:num>
  <w:num w:numId="2">
    <w:abstractNumId w:val="45"/>
  </w:num>
  <w:num w:numId="3">
    <w:abstractNumId w:val="2"/>
  </w:num>
  <w:num w:numId="4">
    <w:abstractNumId w:val="9"/>
  </w:num>
  <w:num w:numId="5">
    <w:abstractNumId w:val="39"/>
  </w:num>
  <w:num w:numId="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42"/>
  </w:num>
  <w:num w:numId="10">
    <w:abstractNumId w:val="34"/>
  </w:num>
  <w:num w:numId="11">
    <w:abstractNumId w:val="18"/>
  </w:num>
  <w:num w:numId="12">
    <w:abstractNumId w:val="14"/>
  </w:num>
  <w:num w:numId="13">
    <w:abstractNumId w:val="6"/>
  </w:num>
  <w:num w:numId="14">
    <w:abstractNumId w:val="27"/>
  </w:num>
  <w:num w:numId="15">
    <w:abstractNumId w:val="12"/>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4"/>
  </w:num>
  <w:num w:numId="23">
    <w:abstractNumId w:val="22"/>
  </w:num>
  <w:num w:numId="24">
    <w:abstractNumId w:val="16"/>
  </w:num>
  <w:num w:numId="25">
    <w:abstractNumId w:val="7"/>
  </w:num>
  <w:num w:numId="26">
    <w:abstractNumId w:val="35"/>
  </w:num>
  <w:num w:numId="27">
    <w:abstractNumId w:val="21"/>
  </w:num>
  <w:num w:numId="28">
    <w:abstractNumId w:val="47"/>
  </w:num>
  <w:num w:numId="29">
    <w:abstractNumId w:val="3"/>
  </w:num>
  <w:num w:numId="30">
    <w:abstractNumId w:val="13"/>
  </w:num>
  <w:num w:numId="31">
    <w:abstractNumId w:val="33"/>
  </w:num>
  <w:num w:numId="32">
    <w:abstractNumId w:val="41"/>
  </w:num>
  <w:num w:numId="33">
    <w:abstractNumId w:val="0"/>
  </w:num>
  <w:num w:numId="34">
    <w:abstractNumId w:val="29"/>
  </w:num>
  <w:num w:numId="35">
    <w:abstractNumId w:val="19"/>
  </w:num>
  <w:num w:numId="36">
    <w:abstractNumId w:val="32"/>
  </w:num>
  <w:num w:numId="37">
    <w:abstractNumId w:val="43"/>
  </w:num>
  <w:num w:numId="38">
    <w:abstractNumId w:val="40"/>
  </w:num>
  <w:num w:numId="39">
    <w:abstractNumId w:val="38"/>
  </w:num>
  <w:num w:numId="40">
    <w:abstractNumId w:val="11"/>
  </w:num>
  <w:num w:numId="41">
    <w:abstractNumId w:val="31"/>
  </w:num>
  <w:num w:numId="42">
    <w:abstractNumId w:val="26"/>
  </w:num>
  <w:num w:numId="43">
    <w:abstractNumId w:val="17"/>
  </w:num>
  <w:num w:numId="44">
    <w:abstractNumId w:val="15"/>
  </w:num>
  <w:num w:numId="45">
    <w:abstractNumId w:val="1"/>
  </w:num>
  <w:num w:numId="46">
    <w:abstractNumId w:val="36"/>
  </w:num>
  <w:num w:numId="47">
    <w:abstractNumId w:val="44"/>
  </w:num>
  <w:num w:numId="48">
    <w:abstractNumId w:val="5"/>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41A"/>
    <w:rsid w:val="00016061"/>
    <w:rsid w:val="00016A10"/>
    <w:rsid w:val="0002090E"/>
    <w:rsid w:val="00022C6D"/>
    <w:rsid w:val="00046284"/>
    <w:rsid w:val="00065DE2"/>
    <w:rsid w:val="000809D9"/>
    <w:rsid w:val="0008571E"/>
    <w:rsid w:val="000950CB"/>
    <w:rsid w:val="000A0DD8"/>
    <w:rsid w:val="000A61A1"/>
    <w:rsid w:val="000A6483"/>
    <w:rsid w:val="000B2552"/>
    <w:rsid w:val="000C45AD"/>
    <w:rsid w:val="000C6070"/>
    <w:rsid w:val="000D4530"/>
    <w:rsid w:val="000D5521"/>
    <w:rsid w:val="000E22EF"/>
    <w:rsid w:val="000F4C2B"/>
    <w:rsid w:val="000F75C7"/>
    <w:rsid w:val="001041BD"/>
    <w:rsid w:val="00107AD4"/>
    <w:rsid w:val="0012525A"/>
    <w:rsid w:val="00127C6F"/>
    <w:rsid w:val="0013191C"/>
    <w:rsid w:val="0013473F"/>
    <w:rsid w:val="0014214A"/>
    <w:rsid w:val="00154F05"/>
    <w:rsid w:val="00160FB0"/>
    <w:rsid w:val="001635AB"/>
    <w:rsid w:val="00165251"/>
    <w:rsid w:val="001706CE"/>
    <w:rsid w:val="001776C5"/>
    <w:rsid w:val="001827E3"/>
    <w:rsid w:val="001938A2"/>
    <w:rsid w:val="00195A62"/>
    <w:rsid w:val="001B3C9D"/>
    <w:rsid w:val="001C00DD"/>
    <w:rsid w:val="001E5D57"/>
    <w:rsid w:val="001F434D"/>
    <w:rsid w:val="001F5594"/>
    <w:rsid w:val="002432C5"/>
    <w:rsid w:val="00251721"/>
    <w:rsid w:val="00254584"/>
    <w:rsid w:val="00257FCE"/>
    <w:rsid w:val="00270355"/>
    <w:rsid w:val="00282550"/>
    <w:rsid w:val="002832F8"/>
    <w:rsid w:val="002854AB"/>
    <w:rsid w:val="00292F26"/>
    <w:rsid w:val="002A3EDE"/>
    <w:rsid w:val="002A7937"/>
    <w:rsid w:val="002C33DF"/>
    <w:rsid w:val="002C5EAC"/>
    <w:rsid w:val="002D2A97"/>
    <w:rsid w:val="002D55C5"/>
    <w:rsid w:val="002E5EC0"/>
    <w:rsid w:val="002E62B9"/>
    <w:rsid w:val="0030693D"/>
    <w:rsid w:val="00314694"/>
    <w:rsid w:val="00315E49"/>
    <w:rsid w:val="00322799"/>
    <w:rsid w:val="0032634C"/>
    <w:rsid w:val="00327864"/>
    <w:rsid w:val="0033647E"/>
    <w:rsid w:val="00347200"/>
    <w:rsid w:val="003616B8"/>
    <w:rsid w:val="00365276"/>
    <w:rsid w:val="00371F6B"/>
    <w:rsid w:val="003724EF"/>
    <w:rsid w:val="00374ACF"/>
    <w:rsid w:val="00391E84"/>
    <w:rsid w:val="003A0D82"/>
    <w:rsid w:val="003A4844"/>
    <w:rsid w:val="003C160D"/>
    <w:rsid w:val="003D0F38"/>
    <w:rsid w:val="003E2877"/>
    <w:rsid w:val="003E50D8"/>
    <w:rsid w:val="003E621C"/>
    <w:rsid w:val="003F35E2"/>
    <w:rsid w:val="003F4AF7"/>
    <w:rsid w:val="00405B4B"/>
    <w:rsid w:val="00412543"/>
    <w:rsid w:val="00412EB1"/>
    <w:rsid w:val="00416A27"/>
    <w:rsid w:val="00417E4C"/>
    <w:rsid w:val="00422998"/>
    <w:rsid w:val="00426D6F"/>
    <w:rsid w:val="00433F39"/>
    <w:rsid w:val="00434FD1"/>
    <w:rsid w:val="00450496"/>
    <w:rsid w:val="00456D8A"/>
    <w:rsid w:val="0046210C"/>
    <w:rsid w:val="00465631"/>
    <w:rsid w:val="00482C8B"/>
    <w:rsid w:val="00495F86"/>
    <w:rsid w:val="0049650E"/>
    <w:rsid w:val="00496A62"/>
    <w:rsid w:val="004A5680"/>
    <w:rsid w:val="004A6546"/>
    <w:rsid w:val="004B3EAC"/>
    <w:rsid w:val="004E1AE1"/>
    <w:rsid w:val="004E7A22"/>
    <w:rsid w:val="004F62A2"/>
    <w:rsid w:val="00502CEA"/>
    <w:rsid w:val="00525991"/>
    <w:rsid w:val="005266FA"/>
    <w:rsid w:val="00537FEF"/>
    <w:rsid w:val="00552A23"/>
    <w:rsid w:val="00562635"/>
    <w:rsid w:val="005700AF"/>
    <w:rsid w:val="00576867"/>
    <w:rsid w:val="00583213"/>
    <w:rsid w:val="00584051"/>
    <w:rsid w:val="005849B9"/>
    <w:rsid w:val="0058515D"/>
    <w:rsid w:val="00585CEC"/>
    <w:rsid w:val="00592E3E"/>
    <w:rsid w:val="00593A7A"/>
    <w:rsid w:val="005A4632"/>
    <w:rsid w:val="005B1613"/>
    <w:rsid w:val="005D31CF"/>
    <w:rsid w:val="005F590A"/>
    <w:rsid w:val="006040FD"/>
    <w:rsid w:val="00616C08"/>
    <w:rsid w:val="00627917"/>
    <w:rsid w:val="006372DB"/>
    <w:rsid w:val="00641CAB"/>
    <w:rsid w:val="00646149"/>
    <w:rsid w:val="00650F8D"/>
    <w:rsid w:val="00650FDF"/>
    <w:rsid w:val="00656514"/>
    <w:rsid w:val="00656F88"/>
    <w:rsid w:val="00660E1E"/>
    <w:rsid w:val="00666E8B"/>
    <w:rsid w:val="006675C8"/>
    <w:rsid w:val="006A1FA7"/>
    <w:rsid w:val="006C3861"/>
    <w:rsid w:val="006D60F0"/>
    <w:rsid w:val="00702463"/>
    <w:rsid w:val="007059C3"/>
    <w:rsid w:val="00714F87"/>
    <w:rsid w:val="00717598"/>
    <w:rsid w:val="00722340"/>
    <w:rsid w:val="007458D8"/>
    <w:rsid w:val="00750E48"/>
    <w:rsid w:val="007523A9"/>
    <w:rsid w:val="00774732"/>
    <w:rsid w:val="00776761"/>
    <w:rsid w:val="00781C20"/>
    <w:rsid w:val="007866A3"/>
    <w:rsid w:val="007955D6"/>
    <w:rsid w:val="007A3EC7"/>
    <w:rsid w:val="007A7D31"/>
    <w:rsid w:val="007B55EE"/>
    <w:rsid w:val="007C3E25"/>
    <w:rsid w:val="007D4659"/>
    <w:rsid w:val="007E0D9C"/>
    <w:rsid w:val="007E1908"/>
    <w:rsid w:val="007F0782"/>
    <w:rsid w:val="007F40AE"/>
    <w:rsid w:val="007F7CC4"/>
    <w:rsid w:val="0080048E"/>
    <w:rsid w:val="00812B80"/>
    <w:rsid w:val="00823AFE"/>
    <w:rsid w:val="008246C1"/>
    <w:rsid w:val="008260FF"/>
    <w:rsid w:val="00835EDE"/>
    <w:rsid w:val="0084213A"/>
    <w:rsid w:val="00842D29"/>
    <w:rsid w:val="008431F2"/>
    <w:rsid w:val="00847119"/>
    <w:rsid w:val="00852892"/>
    <w:rsid w:val="0086388C"/>
    <w:rsid w:val="008662B8"/>
    <w:rsid w:val="00870FF3"/>
    <w:rsid w:val="008720B6"/>
    <w:rsid w:val="00886DCD"/>
    <w:rsid w:val="00887388"/>
    <w:rsid w:val="00890A36"/>
    <w:rsid w:val="00892C7F"/>
    <w:rsid w:val="008B6957"/>
    <w:rsid w:val="008C0241"/>
    <w:rsid w:val="008C1EBF"/>
    <w:rsid w:val="008D3529"/>
    <w:rsid w:val="008D4053"/>
    <w:rsid w:val="008D7C89"/>
    <w:rsid w:val="008E5084"/>
    <w:rsid w:val="008F5D79"/>
    <w:rsid w:val="00921BB2"/>
    <w:rsid w:val="00921BEA"/>
    <w:rsid w:val="00931320"/>
    <w:rsid w:val="0094205E"/>
    <w:rsid w:val="009459A4"/>
    <w:rsid w:val="00946328"/>
    <w:rsid w:val="00950B69"/>
    <w:rsid w:val="00965AC9"/>
    <w:rsid w:val="0097218A"/>
    <w:rsid w:val="009A0474"/>
    <w:rsid w:val="009A0B9A"/>
    <w:rsid w:val="009A7D79"/>
    <w:rsid w:val="009F01E5"/>
    <w:rsid w:val="00A03BF9"/>
    <w:rsid w:val="00A12615"/>
    <w:rsid w:val="00A13422"/>
    <w:rsid w:val="00A178F5"/>
    <w:rsid w:val="00A229D3"/>
    <w:rsid w:val="00A26CA3"/>
    <w:rsid w:val="00A32584"/>
    <w:rsid w:val="00A40700"/>
    <w:rsid w:val="00A443C3"/>
    <w:rsid w:val="00A51441"/>
    <w:rsid w:val="00A51A99"/>
    <w:rsid w:val="00A54FBB"/>
    <w:rsid w:val="00A67B18"/>
    <w:rsid w:val="00A717E8"/>
    <w:rsid w:val="00A73C9E"/>
    <w:rsid w:val="00A824C8"/>
    <w:rsid w:val="00AA127D"/>
    <w:rsid w:val="00AA230B"/>
    <w:rsid w:val="00AB6385"/>
    <w:rsid w:val="00AE7BA7"/>
    <w:rsid w:val="00B006FE"/>
    <w:rsid w:val="00B10D0B"/>
    <w:rsid w:val="00B20F3D"/>
    <w:rsid w:val="00B27AE8"/>
    <w:rsid w:val="00B325E2"/>
    <w:rsid w:val="00B3697B"/>
    <w:rsid w:val="00B43304"/>
    <w:rsid w:val="00B47C08"/>
    <w:rsid w:val="00B54A67"/>
    <w:rsid w:val="00B560FF"/>
    <w:rsid w:val="00B60353"/>
    <w:rsid w:val="00B830DB"/>
    <w:rsid w:val="00B90A18"/>
    <w:rsid w:val="00BA2393"/>
    <w:rsid w:val="00BA5BF7"/>
    <w:rsid w:val="00BB371E"/>
    <w:rsid w:val="00BB3A0B"/>
    <w:rsid w:val="00BC0A8B"/>
    <w:rsid w:val="00BC4432"/>
    <w:rsid w:val="00BC55A1"/>
    <w:rsid w:val="00BC5932"/>
    <w:rsid w:val="00BD49F2"/>
    <w:rsid w:val="00BF00EA"/>
    <w:rsid w:val="00BF0AB9"/>
    <w:rsid w:val="00BF25BA"/>
    <w:rsid w:val="00BF40C2"/>
    <w:rsid w:val="00BF5A12"/>
    <w:rsid w:val="00C071B6"/>
    <w:rsid w:val="00C07558"/>
    <w:rsid w:val="00C115CE"/>
    <w:rsid w:val="00C154A0"/>
    <w:rsid w:val="00C1614F"/>
    <w:rsid w:val="00C16C62"/>
    <w:rsid w:val="00C1789F"/>
    <w:rsid w:val="00C20981"/>
    <w:rsid w:val="00C21A8F"/>
    <w:rsid w:val="00C3146E"/>
    <w:rsid w:val="00C33E1C"/>
    <w:rsid w:val="00C34EC6"/>
    <w:rsid w:val="00C438EC"/>
    <w:rsid w:val="00C56DF9"/>
    <w:rsid w:val="00C721AC"/>
    <w:rsid w:val="00C82014"/>
    <w:rsid w:val="00C853FB"/>
    <w:rsid w:val="00C90A8C"/>
    <w:rsid w:val="00C9352E"/>
    <w:rsid w:val="00C935AC"/>
    <w:rsid w:val="00CA3D02"/>
    <w:rsid w:val="00CA68C0"/>
    <w:rsid w:val="00CB341A"/>
    <w:rsid w:val="00CB6455"/>
    <w:rsid w:val="00CC50A0"/>
    <w:rsid w:val="00CC7633"/>
    <w:rsid w:val="00CD2F62"/>
    <w:rsid w:val="00CF0D56"/>
    <w:rsid w:val="00CF383A"/>
    <w:rsid w:val="00CF598A"/>
    <w:rsid w:val="00D31B02"/>
    <w:rsid w:val="00D45578"/>
    <w:rsid w:val="00D50CE3"/>
    <w:rsid w:val="00D51593"/>
    <w:rsid w:val="00D5180D"/>
    <w:rsid w:val="00D72492"/>
    <w:rsid w:val="00D761F1"/>
    <w:rsid w:val="00D82EF4"/>
    <w:rsid w:val="00D852B9"/>
    <w:rsid w:val="00D91F6F"/>
    <w:rsid w:val="00DB1E32"/>
    <w:rsid w:val="00DB73AA"/>
    <w:rsid w:val="00DD2CA2"/>
    <w:rsid w:val="00DE0810"/>
    <w:rsid w:val="00DE083F"/>
    <w:rsid w:val="00DE1FAB"/>
    <w:rsid w:val="00DF0155"/>
    <w:rsid w:val="00DF237C"/>
    <w:rsid w:val="00E109C0"/>
    <w:rsid w:val="00E250A5"/>
    <w:rsid w:val="00E35653"/>
    <w:rsid w:val="00E40949"/>
    <w:rsid w:val="00E430E8"/>
    <w:rsid w:val="00E432C4"/>
    <w:rsid w:val="00E51763"/>
    <w:rsid w:val="00E62A9D"/>
    <w:rsid w:val="00E815CF"/>
    <w:rsid w:val="00EA12B1"/>
    <w:rsid w:val="00EA7ACF"/>
    <w:rsid w:val="00EB1440"/>
    <w:rsid w:val="00EB5BB8"/>
    <w:rsid w:val="00EC6F1E"/>
    <w:rsid w:val="00ED56DD"/>
    <w:rsid w:val="00EE0AA3"/>
    <w:rsid w:val="00EE442C"/>
    <w:rsid w:val="00EF1C54"/>
    <w:rsid w:val="00EF25B8"/>
    <w:rsid w:val="00EF7592"/>
    <w:rsid w:val="00F0466F"/>
    <w:rsid w:val="00F135A7"/>
    <w:rsid w:val="00F17993"/>
    <w:rsid w:val="00F21D98"/>
    <w:rsid w:val="00F25720"/>
    <w:rsid w:val="00F272EF"/>
    <w:rsid w:val="00F46725"/>
    <w:rsid w:val="00F52535"/>
    <w:rsid w:val="00F61301"/>
    <w:rsid w:val="00F61CF3"/>
    <w:rsid w:val="00F77400"/>
    <w:rsid w:val="00F81B13"/>
    <w:rsid w:val="00F84F81"/>
    <w:rsid w:val="00F85150"/>
    <w:rsid w:val="00F96012"/>
    <w:rsid w:val="00F97571"/>
    <w:rsid w:val="00FA3989"/>
    <w:rsid w:val="00FB2F18"/>
    <w:rsid w:val="00FC495B"/>
    <w:rsid w:val="00FD5F4E"/>
    <w:rsid w:val="00FE44A0"/>
    <w:rsid w:val="00FE6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7B6A0"/>
  <w15:docId w15:val="{0A4BE0BD-3674-4F01-9C94-7598949A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D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34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41A"/>
    <w:rPr>
      <w:rFonts w:ascii="Segoe UI" w:hAnsi="Segoe UI" w:cs="Segoe UI"/>
      <w:sz w:val="18"/>
      <w:szCs w:val="18"/>
    </w:rPr>
  </w:style>
  <w:style w:type="character" w:styleId="Hyperlink">
    <w:name w:val="Hyperlink"/>
    <w:basedOn w:val="DefaultParagraphFont"/>
    <w:uiPriority w:val="99"/>
    <w:unhideWhenUsed/>
    <w:rsid w:val="00C90A8C"/>
    <w:rPr>
      <w:color w:val="0000FF"/>
      <w:u w:val="single"/>
    </w:rPr>
  </w:style>
  <w:style w:type="paragraph" w:styleId="ListParagraph">
    <w:name w:val="List Paragraph"/>
    <w:basedOn w:val="Normal"/>
    <w:uiPriority w:val="34"/>
    <w:qFormat/>
    <w:rsid w:val="00C90A8C"/>
    <w:pPr>
      <w:spacing w:after="200" w:line="276" w:lineRule="auto"/>
      <w:ind w:left="720"/>
      <w:contextualSpacing/>
    </w:pPr>
    <w:rPr>
      <w:rFonts w:ascii="Calibri" w:hAnsi="Calibri" w:cs="Times New Roman"/>
    </w:rPr>
  </w:style>
  <w:style w:type="paragraph" w:styleId="Header">
    <w:name w:val="header"/>
    <w:basedOn w:val="Normal"/>
    <w:link w:val="HeaderChar"/>
    <w:uiPriority w:val="99"/>
    <w:unhideWhenUsed/>
    <w:rsid w:val="00CA3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D02"/>
  </w:style>
  <w:style w:type="paragraph" w:styleId="Footer">
    <w:name w:val="footer"/>
    <w:basedOn w:val="Normal"/>
    <w:link w:val="FooterChar"/>
    <w:uiPriority w:val="99"/>
    <w:unhideWhenUsed/>
    <w:rsid w:val="00CA3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D02"/>
  </w:style>
  <w:style w:type="character" w:styleId="CommentReference">
    <w:name w:val="annotation reference"/>
    <w:basedOn w:val="DefaultParagraphFont"/>
    <w:uiPriority w:val="99"/>
    <w:semiHidden/>
    <w:unhideWhenUsed/>
    <w:rsid w:val="00107AD4"/>
    <w:rPr>
      <w:sz w:val="16"/>
      <w:szCs w:val="16"/>
    </w:rPr>
  </w:style>
  <w:style w:type="paragraph" w:styleId="CommentText">
    <w:name w:val="annotation text"/>
    <w:basedOn w:val="Normal"/>
    <w:link w:val="CommentTextChar"/>
    <w:uiPriority w:val="99"/>
    <w:semiHidden/>
    <w:unhideWhenUsed/>
    <w:rsid w:val="00107AD4"/>
    <w:pPr>
      <w:spacing w:line="240" w:lineRule="auto"/>
    </w:pPr>
    <w:rPr>
      <w:sz w:val="20"/>
      <w:szCs w:val="20"/>
    </w:rPr>
  </w:style>
  <w:style w:type="character" w:customStyle="1" w:styleId="CommentTextChar">
    <w:name w:val="Comment Text Char"/>
    <w:basedOn w:val="DefaultParagraphFont"/>
    <w:link w:val="CommentText"/>
    <w:uiPriority w:val="99"/>
    <w:semiHidden/>
    <w:rsid w:val="00107AD4"/>
    <w:rPr>
      <w:sz w:val="20"/>
      <w:szCs w:val="20"/>
    </w:rPr>
  </w:style>
  <w:style w:type="paragraph" w:styleId="CommentSubject">
    <w:name w:val="annotation subject"/>
    <w:basedOn w:val="CommentText"/>
    <w:next w:val="CommentText"/>
    <w:link w:val="CommentSubjectChar"/>
    <w:uiPriority w:val="99"/>
    <w:semiHidden/>
    <w:unhideWhenUsed/>
    <w:rsid w:val="00107AD4"/>
    <w:rPr>
      <w:b/>
      <w:bCs/>
    </w:rPr>
  </w:style>
  <w:style w:type="character" w:customStyle="1" w:styleId="CommentSubjectChar">
    <w:name w:val="Comment Subject Char"/>
    <w:basedOn w:val="CommentTextChar"/>
    <w:link w:val="CommentSubject"/>
    <w:uiPriority w:val="99"/>
    <w:semiHidden/>
    <w:rsid w:val="00107AD4"/>
    <w:rPr>
      <w:b/>
      <w:bCs/>
      <w:sz w:val="20"/>
      <w:szCs w:val="20"/>
    </w:rPr>
  </w:style>
  <w:style w:type="table" w:styleId="TableGrid">
    <w:name w:val="Table Grid"/>
    <w:basedOn w:val="TableNormal"/>
    <w:uiPriority w:val="39"/>
    <w:rsid w:val="00046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D7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56F88"/>
    <w:pPr>
      <w:spacing w:after="0" w:line="240" w:lineRule="auto"/>
    </w:pPr>
  </w:style>
  <w:style w:type="paragraph" w:styleId="NormalWeb">
    <w:name w:val="Normal (Web)"/>
    <w:basedOn w:val="Normal"/>
    <w:uiPriority w:val="99"/>
    <w:semiHidden/>
    <w:unhideWhenUsed/>
    <w:rsid w:val="005266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30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57309">
      <w:bodyDiv w:val="1"/>
      <w:marLeft w:val="0"/>
      <w:marRight w:val="0"/>
      <w:marTop w:val="0"/>
      <w:marBottom w:val="0"/>
      <w:divBdr>
        <w:top w:val="none" w:sz="0" w:space="0" w:color="auto"/>
        <w:left w:val="none" w:sz="0" w:space="0" w:color="auto"/>
        <w:bottom w:val="none" w:sz="0" w:space="0" w:color="auto"/>
        <w:right w:val="none" w:sz="0" w:space="0" w:color="auto"/>
      </w:divBdr>
    </w:div>
    <w:div w:id="168913519">
      <w:bodyDiv w:val="1"/>
      <w:marLeft w:val="0"/>
      <w:marRight w:val="0"/>
      <w:marTop w:val="0"/>
      <w:marBottom w:val="0"/>
      <w:divBdr>
        <w:top w:val="none" w:sz="0" w:space="0" w:color="auto"/>
        <w:left w:val="none" w:sz="0" w:space="0" w:color="auto"/>
        <w:bottom w:val="none" w:sz="0" w:space="0" w:color="auto"/>
        <w:right w:val="none" w:sz="0" w:space="0" w:color="auto"/>
      </w:divBdr>
    </w:div>
    <w:div w:id="237599338">
      <w:bodyDiv w:val="1"/>
      <w:marLeft w:val="0"/>
      <w:marRight w:val="0"/>
      <w:marTop w:val="0"/>
      <w:marBottom w:val="0"/>
      <w:divBdr>
        <w:top w:val="none" w:sz="0" w:space="0" w:color="auto"/>
        <w:left w:val="none" w:sz="0" w:space="0" w:color="auto"/>
        <w:bottom w:val="none" w:sz="0" w:space="0" w:color="auto"/>
        <w:right w:val="none" w:sz="0" w:space="0" w:color="auto"/>
      </w:divBdr>
    </w:div>
    <w:div w:id="322706387">
      <w:bodyDiv w:val="1"/>
      <w:marLeft w:val="0"/>
      <w:marRight w:val="0"/>
      <w:marTop w:val="0"/>
      <w:marBottom w:val="0"/>
      <w:divBdr>
        <w:top w:val="none" w:sz="0" w:space="0" w:color="auto"/>
        <w:left w:val="none" w:sz="0" w:space="0" w:color="auto"/>
        <w:bottom w:val="none" w:sz="0" w:space="0" w:color="auto"/>
        <w:right w:val="none" w:sz="0" w:space="0" w:color="auto"/>
      </w:divBdr>
    </w:div>
    <w:div w:id="333920703">
      <w:bodyDiv w:val="1"/>
      <w:marLeft w:val="0"/>
      <w:marRight w:val="0"/>
      <w:marTop w:val="0"/>
      <w:marBottom w:val="0"/>
      <w:divBdr>
        <w:top w:val="none" w:sz="0" w:space="0" w:color="auto"/>
        <w:left w:val="none" w:sz="0" w:space="0" w:color="auto"/>
        <w:bottom w:val="none" w:sz="0" w:space="0" w:color="auto"/>
        <w:right w:val="none" w:sz="0" w:space="0" w:color="auto"/>
      </w:divBdr>
    </w:div>
    <w:div w:id="398745779">
      <w:bodyDiv w:val="1"/>
      <w:marLeft w:val="0"/>
      <w:marRight w:val="0"/>
      <w:marTop w:val="0"/>
      <w:marBottom w:val="0"/>
      <w:divBdr>
        <w:top w:val="none" w:sz="0" w:space="0" w:color="auto"/>
        <w:left w:val="none" w:sz="0" w:space="0" w:color="auto"/>
        <w:bottom w:val="none" w:sz="0" w:space="0" w:color="auto"/>
        <w:right w:val="none" w:sz="0" w:space="0" w:color="auto"/>
      </w:divBdr>
    </w:div>
    <w:div w:id="426194762">
      <w:bodyDiv w:val="1"/>
      <w:marLeft w:val="0"/>
      <w:marRight w:val="0"/>
      <w:marTop w:val="0"/>
      <w:marBottom w:val="0"/>
      <w:divBdr>
        <w:top w:val="none" w:sz="0" w:space="0" w:color="auto"/>
        <w:left w:val="none" w:sz="0" w:space="0" w:color="auto"/>
        <w:bottom w:val="none" w:sz="0" w:space="0" w:color="auto"/>
        <w:right w:val="none" w:sz="0" w:space="0" w:color="auto"/>
      </w:divBdr>
    </w:div>
    <w:div w:id="430931286">
      <w:bodyDiv w:val="1"/>
      <w:marLeft w:val="0"/>
      <w:marRight w:val="0"/>
      <w:marTop w:val="0"/>
      <w:marBottom w:val="0"/>
      <w:divBdr>
        <w:top w:val="none" w:sz="0" w:space="0" w:color="auto"/>
        <w:left w:val="none" w:sz="0" w:space="0" w:color="auto"/>
        <w:bottom w:val="none" w:sz="0" w:space="0" w:color="auto"/>
        <w:right w:val="none" w:sz="0" w:space="0" w:color="auto"/>
      </w:divBdr>
    </w:div>
    <w:div w:id="575479489">
      <w:bodyDiv w:val="1"/>
      <w:marLeft w:val="0"/>
      <w:marRight w:val="0"/>
      <w:marTop w:val="0"/>
      <w:marBottom w:val="0"/>
      <w:divBdr>
        <w:top w:val="none" w:sz="0" w:space="0" w:color="auto"/>
        <w:left w:val="none" w:sz="0" w:space="0" w:color="auto"/>
        <w:bottom w:val="none" w:sz="0" w:space="0" w:color="auto"/>
        <w:right w:val="none" w:sz="0" w:space="0" w:color="auto"/>
      </w:divBdr>
    </w:div>
    <w:div w:id="598679519">
      <w:bodyDiv w:val="1"/>
      <w:marLeft w:val="0"/>
      <w:marRight w:val="0"/>
      <w:marTop w:val="0"/>
      <w:marBottom w:val="0"/>
      <w:divBdr>
        <w:top w:val="none" w:sz="0" w:space="0" w:color="auto"/>
        <w:left w:val="none" w:sz="0" w:space="0" w:color="auto"/>
        <w:bottom w:val="none" w:sz="0" w:space="0" w:color="auto"/>
        <w:right w:val="none" w:sz="0" w:space="0" w:color="auto"/>
      </w:divBdr>
    </w:div>
    <w:div w:id="628706103">
      <w:bodyDiv w:val="1"/>
      <w:marLeft w:val="0"/>
      <w:marRight w:val="0"/>
      <w:marTop w:val="0"/>
      <w:marBottom w:val="0"/>
      <w:divBdr>
        <w:top w:val="none" w:sz="0" w:space="0" w:color="auto"/>
        <w:left w:val="none" w:sz="0" w:space="0" w:color="auto"/>
        <w:bottom w:val="none" w:sz="0" w:space="0" w:color="auto"/>
        <w:right w:val="none" w:sz="0" w:space="0" w:color="auto"/>
      </w:divBdr>
    </w:div>
    <w:div w:id="701902459">
      <w:bodyDiv w:val="1"/>
      <w:marLeft w:val="0"/>
      <w:marRight w:val="0"/>
      <w:marTop w:val="0"/>
      <w:marBottom w:val="0"/>
      <w:divBdr>
        <w:top w:val="none" w:sz="0" w:space="0" w:color="auto"/>
        <w:left w:val="none" w:sz="0" w:space="0" w:color="auto"/>
        <w:bottom w:val="none" w:sz="0" w:space="0" w:color="auto"/>
        <w:right w:val="none" w:sz="0" w:space="0" w:color="auto"/>
      </w:divBdr>
    </w:div>
    <w:div w:id="920257152">
      <w:bodyDiv w:val="1"/>
      <w:marLeft w:val="0"/>
      <w:marRight w:val="0"/>
      <w:marTop w:val="0"/>
      <w:marBottom w:val="0"/>
      <w:divBdr>
        <w:top w:val="none" w:sz="0" w:space="0" w:color="auto"/>
        <w:left w:val="none" w:sz="0" w:space="0" w:color="auto"/>
        <w:bottom w:val="none" w:sz="0" w:space="0" w:color="auto"/>
        <w:right w:val="none" w:sz="0" w:space="0" w:color="auto"/>
      </w:divBdr>
    </w:div>
    <w:div w:id="1078482281">
      <w:bodyDiv w:val="1"/>
      <w:marLeft w:val="0"/>
      <w:marRight w:val="0"/>
      <w:marTop w:val="0"/>
      <w:marBottom w:val="0"/>
      <w:divBdr>
        <w:top w:val="none" w:sz="0" w:space="0" w:color="auto"/>
        <w:left w:val="none" w:sz="0" w:space="0" w:color="auto"/>
        <w:bottom w:val="none" w:sz="0" w:space="0" w:color="auto"/>
        <w:right w:val="none" w:sz="0" w:space="0" w:color="auto"/>
      </w:divBdr>
    </w:div>
    <w:div w:id="1262228149">
      <w:bodyDiv w:val="1"/>
      <w:marLeft w:val="0"/>
      <w:marRight w:val="0"/>
      <w:marTop w:val="0"/>
      <w:marBottom w:val="0"/>
      <w:divBdr>
        <w:top w:val="none" w:sz="0" w:space="0" w:color="auto"/>
        <w:left w:val="none" w:sz="0" w:space="0" w:color="auto"/>
        <w:bottom w:val="none" w:sz="0" w:space="0" w:color="auto"/>
        <w:right w:val="none" w:sz="0" w:space="0" w:color="auto"/>
      </w:divBdr>
    </w:div>
    <w:div w:id="1284851227">
      <w:bodyDiv w:val="1"/>
      <w:marLeft w:val="0"/>
      <w:marRight w:val="0"/>
      <w:marTop w:val="0"/>
      <w:marBottom w:val="0"/>
      <w:divBdr>
        <w:top w:val="none" w:sz="0" w:space="0" w:color="auto"/>
        <w:left w:val="none" w:sz="0" w:space="0" w:color="auto"/>
        <w:bottom w:val="none" w:sz="0" w:space="0" w:color="auto"/>
        <w:right w:val="none" w:sz="0" w:space="0" w:color="auto"/>
      </w:divBdr>
    </w:div>
    <w:div w:id="1440291693">
      <w:bodyDiv w:val="1"/>
      <w:marLeft w:val="0"/>
      <w:marRight w:val="0"/>
      <w:marTop w:val="0"/>
      <w:marBottom w:val="0"/>
      <w:divBdr>
        <w:top w:val="none" w:sz="0" w:space="0" w:color="auto"/>
        <w:left w:val="none" w:sz="0" w:space="0" w:color="auto"/>
        <w:bottom w:val="none" w:sz="0" w:space="0" w:color="auto"/>
        <w:right w:val="none" w:sz="0" w:space="0" w:color="auto"/>
      </w:divBdr>
    </w:div>
    <w:div w:id="1550190910">
      <w:bodyDiv w:val="1"/>
      <w:marLeft w:val="0"/>
      <w:marRight w:val="0"/>
      <w:marTop w:val="0"/>
      <w:marBottom w:val="0"/>
      <w:divBdr>
        <w:top w:val="none" w:sz="0" w:space="0" w:color="auto"/>
        <w:left w:val="none" w:sz="0" w:space="0" w:color="auto"/>
        <w:bottom w:val="none" w:sz="0" w:space="0" w:color="auto"/>
        <w:right w:val="none" w:sz="0" w:space="0" w:color="auto"/>
      </w:divBdr>
      <w:divsChild>
        <w:div w:id="1481533051">
          <w:marLeft w:val="0"/>
          <w:marRight w:val="0"/>
          <w:marTop w:val="0"/>
          <w:marBottom w:val="0"/>
          <w:divBdr>
            <w:top w:val="none" w:sz="0" w:space="0" w:color="auto"/>
            <w:left w:val="none" w:sz="0" w:space="0" w:color="auto"/>
            <w:bottom w:val="none" w:sz="0" w:space="0" w:color="auto"/>
            <w:right w:val="none" w:sz="0" w:space="0" w:color="auto"/>
          </w:divBdr>
        </w:div>
        <w:div w:id="640235771">
          <w:marLeft w:val="0"/>
          <w:marRight w:val="0"/>
          <w:marTop w:val="0"/>
          <w:marBottom w:val="0"/>
          <w:divBdr>
            <w:top w:val="none" w:sz="0" w:space="0" w:color="auto"/>
            <w:left w:val="none" w:sz="0" w:space="0" w:color="auto"/>
            <w:bottom w:val="none" w:sz="0" w:space="0" w:color="auto"/>
            <w:right w:val="none" w:sz="0" w:space="0" w:color="auto"/>
          </w:divBdr>
        </w:div>
        <w:div w:id="79983013">
          <w:marLeft w:val="0"/>
          <w:marRight w:val="0"/>
          <w:marTop w:val="0"/>
          <w:marBottom w:val="0"/>
          <w:divBdr>
            <w:top w:val="none" w:sz="0" w:space="0" w:color="auto"/>
            <w:left w:val="none" w:sz="0" w:space="0" w:color="auto"/>
            <w:bottom w:val="none" w:sz="0" w:space="0" w:color="auto"/>
            <w:right w:val="none" w:sz="0" w:space="0" w:color="auto"/>
          </w:divBdr>
        </w:div>
      </w:divsChild>
    </w:div>
    <w:div w:id="1653680714">
      <w:bodyDiv w:val="1"/>
      <w:marLeft w:val="0"/>
      <w:marRight w:val="0"/>
      <w:marTop w:val="0"/>
      <w:marBottom w:val="0"/>
      <w:divBdr>
        <w:top w:val="none" w:sz="0" w:space="0" w:color="auto"/>
        <w:left w:val="none" w:sz="0" w:space="0" w:color="auto"/>
        <w:bottom w:val="none" w:sz="0" w:space="0" w:color="auto"/>
        <w:right w:val="none" w:sz="0" w:space="0" w:color="auto"/>
      </w:divBdr>
    </w:div>
    <w:div w:id="208767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13BC5-6AF9-40CC-87AD-4BFDB4FE6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3513</Words>
  <Characters>20028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Cook Children's Health Care System</Company>
  <LinksUpToDate>false</LinksUpToDate>
  <CharactersWithSpaces>23495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TechnicalDress Rehearsal6</dc:creator>
  <cp:lastModifiedBy>Kenneth Feingold</cp:lastModifiedBy>
  <cp:revision>6</cp:revision>
  <cp:lastPrinted>2018-08-17T16:30:00Z</cp:lastPrinted>
  <dcterms:created xsi:type="dcterms:W3CDTF">2020-02-09T00:47:00Z</dcterms:created>
  <dcterms:modified xsi:type="dcterms:W3CDTF">2020-02-09T02:18:00Z</dcterms:modified>
</cp:coreProperties>
</file>