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BF2ABB" w14:textId="01B596E0" w:rsidR="27522CD1" w:rsidRPr="00B34FDF" w:rsidRDefault="27522CD1" w:rsidP="0024096A">
      <w:pPr>
        <w:shd w:val="clear" w:color="auto" w:fill="FFFFFF" w:themeFill="background1"/>
        <w:spacing w:after="0" w:line="276" w:lineRule="auto"/>
        <w:rPr>
          <w:rFonts w:ascii="Arial" w:eastAsia="Times New Roman" w:hAnsi="Arial" w:cs="Arial"/>
          <w:b/>
          <w:bCs/>
          <w:sz w:val="36"/>
          <w:szCs w:val="36"/>
          <w:lang w:val="en-US" w:eastAsia="el-GR"/>
        </w:rPr>
      </w:pPr>
      <w:r w:rsidRPr="1F59776C">
        <w:rPr>
          <w:rFonts w:ascii="Arial" w:eastAsia="Times New Roman" w:hAnsi="Arial" w:cs="Arial"/>
          <w:b/>
          <w:bCs/>
          <w:sz w:val="28"/>
          <w:szCs w:val="28"/>
          <w:lang w:val="en-US" w:eastAsia="el-GR"/>
        </w:rPr>
        <w:t xml:space="preserve">ADRENAL </w:t>
      </w:r>
      <w:bookmarkStart w:id="0" w:name="_Int_T5IimRuA"/>
      <w:r w:rsidR="71196300" w:rsidRPr="1F59776C">
        <w:rPr>
          <w:rFonts w:ascii="Arial" w:eastAsia="Times New Roman" w:hAnsi="Arial" w:cs="Arial"/>
          <w:b/>
          <w:bCs/>
          <w:sz w:val="28"/>
          <w:szCs w:val="28"/>
          <w:lang w:val="en-US" w:eastAsia="el-GR"/>
        </w:rPr>
        <w:t>INSUFFICIENCY</w:t>
      </w:r>
      <w:bookmarkEnd w:id="0"/>
      <w:r w:rsidRPr="1F59776C">
        <w:rPr>
          <w:rFonts w:ascii="Arial" w:eastAsia="Times New Roman" w:hAnsi="Arial" w:cs="Arial"/>
          <w:b/>
          <w:bCs/>
          <w:sz w:val="28"/>
          <w:szCs w:val="28"/>
          <w:lang w:val="en-US" w:eastAsia="el-GR"/>
        </w:rPr>
        <w:t xml:space="preserve"> DUE TO X-LINKED ADRENOLEUKODYSTROPHY</w:t>
      </w:r>
    </w:p>
    <w:p w14:paraId="144D88C9" w14:textId="77777777" w:rsidR="00AB08EF" w:rsidRDefault="00AB08EF" w:rsidP="0024096A">
      <w:pPr>
        <w:shd w:val="clear" w:color="auto" w:fill="FFFFFF" w:themeFill="background1"/>
        <w:spacing w:after="0" w:line="276" w:lineRule="auto"/>
        <w:textAlignment w:val="baseline"/>
        <w:rPr>
          <w:rFonts w:ascii="Arial" w:eastAsia="Times New Roman" w:hAnsi="Arial" w:cs="Arial"/>
          <w:b/>
          <w:bCs/>
          <w:color w:val="000000"/>
          <w:kern w:val="0"/>
          <w:sz w:val="28"/>
          <w:szCs w:val="28"/>
          <w:lang w:val="en-US" w:eastAsia="el-GR"/>
        </w:rPr>
      </w:pPr>
    </w:p>
    <w:p w14:paraId="1B41850A" w14:textId="74AEC4B6" w:rsidR="00AD2CD0" w:rsidRPr="00B34FDF" w:rsidRDefault="00AB08EF" w:rsidP="0024096A">
      <w:pPr>
        <w:shd w:val="clear" w:color="auto" w:fill="FFFFFF" w:themeFill="background1"/>
        <w:spacing w:after="0" w:line="276" w:lineRule="auto"/>
        <w:textAlignment w:val="baseline"/>
        <w:rPr>
          <w:rFonts w:ascii="Arial" w:eastAsia="Times New Roman" w:hAnsi="Arial" w:cs="Arial"/>
          <w:b/>
          <w:bCs/>
          <w:color w:val="000000" w:themeColor="text1"/>
          <w:lang w:val="en-US" w:eastAsia="el-GR"/>
        </w:rPr>
      </w:pPr>
      <w:r w:rsidRPr="1F59776C">
        <w:rPr>
          <w:rFonts w:ascii="Arial" w:eastAsia="Times New Roman" w:hAnsi="Arial" w:cs="Arial"/>
          <w:b/>
          <w:bCs/>
          <w:kern w:val="0"/>
          <w:lang w:val="en-US" w:eastAsia="el-GR"/>
        </w:rPr>
        <w:t xml:space="preserve">Sophia </w:t>
      </w:r>
      <w:proofErr w:type="spellStart"/>
      <w:r w:rsidRPr="1F59776C">
        <w:rPr>
          <w:rFonts w:ascii="Arial" w:eastAsia="Times New Roman" w:hAnsi="Arial" w:cs="Arial"/>
          <w:b/>
          <w:bCs/>
          <w:kern w:val="0"/>
          <w:lang w:val="en-US" w:eastAsia="el-GR"/>
        </w:rPr>
        <w:t>Vlachou</w:t>
      </w:r>
      <w:proofErr w:type="spellEnd"/>
      <w:r w:rsidRPr="1F59776C">
        <w:rPr>
          <w:rFonts w:ascii="Arial" w:eastAsia="Times New Roman" w:hAnsi="Arial" w:cs="Arial"/>
          <w:b/>
          <w:bCs/>
          <w:kern w:val="0"/>
          <w:lang w:val="en-US" w:eastAsia="el-GR"/>
        </w:rPr>
        <w:t xml:space="preserve">, MD, </w:t>
      </w:r>
      <w:r w:rsidR="00192CAB" w:rsidRPr="1F59776C">
        <w:rPr>
          <w:rFonts w:ascii="Arial" w:eastAsia="Times New Roman" w:hAnsi="Arial" w:cs="Arial"/>
          <w:b/>
          <w:bCs/>
          <w:kern w:val="0"/>
          <w:lang w:val="en-US" w:eastAsia="el-GR"/>
        </w:rPr>
        <w:t>PhD</w:t>
      </w:r>
      <w:r w:rsidR="2C05B9B1" w:rsidRPr="1F59776C">
        <w:rPr>
          <w:rFonts w:ascii="Arial" w:eastAsia="Times New Roman" w:hAnsi="Arial" w:cs="Arial"/>
          <w:b/>
          <w:bCs/>
          <w:kern w:val="0"/>
          <w:lang w:val="en-US" w:eastAsia="el-GR"/>
        </w:rPr>
        <w:t xml:space="preserve">, </w:t>
      </w:r>
      <w:r w:rsidR="1426C4C0" w:rsidRPr="1F59776C">
        <w:rPr>
          <w:rFonts w:ascii="Arial" w:eastAsia="Arial" w:hAnsi="Arial" w:cs="Arial"/>
          <w:sz w:val="20"/>
          <w:szCs w:val="20"/>
          <w:lang w:val="en-US"/>
        </w:rPr>
        <w:t>1s</w:t>
      </w:r>
      <w:r w:rsidR="147AAAE8" w:rsidRPr="1F59776C">
        <w:rPr>
          <w:rFonts w:ascii="Arial" w:eastAsia="Arial" w:hAnsi="Arial" w:cs="Arial"/>
          <w:sz w:val="20"/>
          <w:szCs w:val="20"/>
          <w:lang w:val="en-US"/>
        </w:rPr>
        <w:t>t</w:t>
      </w:r>
      <w:r w:rsidR="1426C4C0" w:rsidRPr="1F59776C">
        <w:rPr>
          <w:rFonts w:ascii="Arial" w:eastAsia="Arial" w:hAnsi="Arial" w:cs="Arial"/>
          <w:sz w:val="20"/>
          <w:szCs w:val="20"/>
          <w:lang w:val="en-US"/>
        </w:rPr>
        <w:t xml:space="preserve"> Propaedeutic Department of Internal Medicine</w:t>
      </w:r>
      <w:r w:rsidR="6B977CF8" w:rsidRPr="1F59776C">
        <w:rPr>
          <w:rFonts w:ascii="Arial" w:eastAsia="Arial" w:hAnsi="Arial" w:cs="Arial"/>
          <w:sz w:val="20"/>
          <w:szCs w:val="20"/>
          <w:lang w:val="en-US"/>
        </w:rPr>
        <w:t xml:space="preserve"> and Endocrinology</w:t>
      </w:r>
      <w:r w:rsidR="1426C4C0" w:rsidRPr="1F59776C">
        <w:rPr>
          <w:rFonts w:ascii="Arial" w:eastAsia="Arial" w:hAnsi="Arial" w:cs="Arial"/>
          <w:sz w:val="20"/>
          <w:szCs w:val="20"/>
          <w:lang w:val="en-US"/>
        </w:rPr>
        <w:t>,</w:t>
      </w:r>
      <w:r w:rsidR="7DC540EB" w:rsidRPr="1F59776C">
        <w:rPr>
          <w:rFonts w:ascii="Arial" w:eastAsia="Arial" w:hAnsi="Arial" w:cs="Arial"/>
          <w:sz w:val="20"/>
          <w:szCs w:val="20"/>
          <w:lang w:val="en-US"/>
        </w:rPr>
        <w:t xml:space="preserve"> </w:t>
      </w:r>
      <w:r w:rsidR="1426C4C0" w:rsidRPr="1F59776C">
        <w:rPr>
          <w:rFonts w:ascii="Arial" w:eastAsia="Arial" w:hAnsi="Arial" w:cs="Arial"/>
          <w:sz w:val="20"/>
          <w:szCs w:val="20"/>
          <w:lang w:val="en-US"/>
        </w:rPr>
        <w:t xml:space="preserve">National and </w:t>
      </w:r>
      <w:proofErr w:type="spellStart"/>
      <w:r w:rsidR="1426C4C0" w:rsidRPr="1F59776C">
        <w:rPr>
          <w:rFonts w:ascii="Arial" w:eastAsia="Arial" w:hAnsi="Arial" w:cs="Arial"/>
          <w:sz w:val="20"/>
          <w:szCs w:val="20"/>
          <w:lang w:val="en-US"/>
        </w:rPr>
        <w:t>Kapodistrian</w:t>
      </w:r>
      <w:proofErr w:type="spellEnd"/>
      <w:r w:rsidR="1426C4C0" w:rsidRPr="1F59776C">
        <w:rPr>
          <w:rFonts w:ascii="Arial" w:eastAsia="Arial" w:hAnsi="Arial" w:cs="Arial"/>
          <w:sz w:val="20"/>
          <w:szCs w:val="20"/>
          <w:lang w:val="en-US"/>
        </w:rPr>
        <w:t xml:space="preserve"> University of Athens, Greece. </w:t>
      </w:r>
    </w:p>
    <w:p w14:paraId="462CB006" w14:textId="504D0D17" w:rsidR="00AD2CD0" w:rsidRPr="00B34FDF" w:rsidRDefault="00AB08EF" w:rsidP="0024096A">
      <w:pPr>
        <w:shd w:val="clear" w:color="auto" w:fill="FFFFFF" w:themeFill="background1"/>
        <w:spacing w:after="0" w:line="276" w:lineRule="auto"/>
        <w:textAlignment w:val="baseline"/>
        <w:rPr>
          <w:rFonts w:ascii="Arial" w:eastAsia="Times New Roman" w:hAnsi="Arial" w:cs="Arial"/>
          <w:b/>
          <w:bCs/>
          <w:lang w:val="en-US" w:eastAsia="el-GR"/>
        </w:rPr>
      </w:pPr>
      <w:r w:rsidRPr="1F59776C">
        <w:rPr>
          <w:rFonts w:ascii="Arial" w:eastAsia="Times New Roman" w:hAnsi="Arial" w:cs="Arial"/>
          <w:b/>
          <w:bCs/>
          <w:color w:val="000000"/>
          <w:kern w:val="0"/>
          <w:lang w:val="en-US" w:eastAsia="el-GR"/>
        </w:rPr>
        <w:t>George Kanakis, MD, PhD</w:t>
      </w:r>
      <w:r w:rsidR="39C5FD7B" w:rsidRPr="1F59776C">
        <w:rPr>
          <w:rFonts w:ascii="Arial" w:eastAsia="Times New Roman" w:hAnsi="Arial" w:cs="Arial"/>
          <w:b/>
          <w:bCs/>
          <w:color w:val="000000"/>
          <w:kern w:val="0"/>
          <w:lang w:val="en-US" w:eastAsia="el-GR"/>
        </w:rPr>
        <w:t>,</w:t>
      </w:r>
      <w:r w:rsidR="17C22317" w:rsidRPr="1F59776C">
        <w:rPr>
          <w:rFonts w:ascii="Arial" w:eastAsia="Times New Roman" w:hAnsi="Arial" w:cs="Arial"/>
          <w:b/>
          <w:bCs/>
          <w:color w:val="000000"/>
          <w:kern w:val="0"/>
          <w:lang w:val="en-US" w:eastAsia="el-GR"/>
        </w:rPr>
        <w:t xml:space="preserve"> </w:t>
      </w:r>
      <w:r w:rsidR="17C22317" w:rsidRPr="1F59776C">
        <w:rPr>
          <w:rFonts w:ascii="Arial" w:eastAsia="Times New Roman" w:hAnsi="Arial" w:cs="Arial"/>
          <w:sz w:val="20"/>
          <w:szCs w:val="20"/>
          <w:lang w:val="en-US" w:eastAsia="el-GR"/>
        </w:rPr>
        <w:t>Athens Naval &amp; VA Hospital, Department of Endocrinology, Athens, Greece</w:t>
      </w:r>
    </w:p>
    <w:p w14:paraId="2BD74C74" w14:textId="2D926C9E" w:rsidR="00AD2CD0" w:rsidRPr="00B34FDF" w:rsidRDefault="00AB08EF" w:rsidP="00DE3121">
      <w:pPr>
        <w:shd w:val="clear" w:color="auto" w:fill="FFFFFF" w:themeFill="background1"/>
        <w:spacing w:after="0" w:line="276" w:lineRule="auto"/>
        <w:textAlignment w:val="baseline"/>
        <w:outlineLvl w:val="1"/>
        <w:rPr>
          <w:rFonts w:ascii="Arial" w:eastAsia="Arial" w:hAnsi="Arial" w:cs="Arial"/>
          <w:sz w:val="20"/>
          <w:szCs w:val="20"/>
          <w:lang w:val="en-US"/>
        </w:rPr>
      </w:pPr>
      <w:r w:rsidRPr="1F59776C">
        <w:rPr>
          <w:rFonts w:ascii="Arial" w:eastAsia="Times New Roman" w:hAnsi="Arial" w:cs="Arial"/>
          <w:b/>
          <w:bCs/>
          <w:kern w:val="0"/>
          <w:lang w:val="en-US" w:eastAsia="el-GR"/>
        </w:rPr>
        <w:t>Gregory Kaltsas, MD, FRCP</w:t>
      </w:r>
      <w:r w:rsidR="1D2C951B" w:rsidRPr="1F59776C">
        <w:rPr>
          <w:rFonts w:ascii="Arial" w:eastAsia="Times New Roman" w:hAnsi="Arial" w:cs="Arial"/>
          <w:b/>
          <w:bCs/>
          <w:kern w:val="0"/>
          <w:lang w:val="en-US" w:eastAsia="el-GR"/>
        </w:rPr>
        <w:t xml:space="preserve">, </w:t>
      </w:r>
      <w:r w:rsidR="3A849CD9" w:rsidRPr="1F59776C">
        <w:rPr>
          <w:rFonts w:ascii="Arial" w:eastAsia="Arial" w:hAnsi="Arial" w:cs="Arial"/>
          <w:sz w:val="20"/>
          <w:szCs w:val="20"/>
          <w:lang w:val="en-US"/>
        </w:rPr>
        <w:t>Professor in General Medicine and Endocrinology, 1s</w:t>
      </w:r>
      <w:r w:rsidR="29928E63" w:rsidRPr="1F59776C">
        <w:rPr>
          <w:rFonts w:ascii="Arial" w:eastAsia="Arial" w:hAnsi="Arial" w:cs="Arial"/>
          <w:sz w:val="20"/>
          <w:szCs w:val="20"/>
          <w:lang w:val="en-US"/>
        </w:rPr>
        <w:t>t</w:t>
      </w:r>
      <w:r w:rsidR="3A849CD9" w:rsidRPr="1F59776C">
        <w:rPr>
          <w:rFonts w:ascii="Arial" w:eastAsia="Arial" w:hAnsi="Arial" w:cs="Arial"/>
          <w:sz w:val="20"/>
          <w:szCs w:val="20"/>
          <w:lang w:val="en-US"/>
        </w:rPr>
        <w:t xml:space="preserve"> Propaedeutic Department of Internal Medicine</w:t>
      </w:r>
      <w:r w:rsidR="071DA5B9" w:rsidRPr="1F59776C">
        <w:rPr>
          <w:rFonts w:ascii="Arial" w:eastAsia="Arial" w:hAnsi="Arial" w:cs="Arial"/>
          <w:sz w:val="20"/>
          <w:szCs w:val="20"/>
          <w:lang w:val="en-US"/>
        </w:rPr>
        <w:t xml:space="preserve"> and Endocrinology</w:t>
      </w:r>
      <w:r w:rsidR="3A849CD9" w:rsidRPr="1F59776C">
        <w:rPr>
          <w:rFonts w:ascii="Arial" w:eastAsia="Arial" w:hAnsi="Arial" w:cs="Arial"/>
          <w:sz w:val="20"/>
          <w:szCs w:val="20"/>
          <w:lang w:val="en-US"/>
        </w:rPr>
        <w:t xml:space="preserve">, National and </w:t>
      </w:r>
      <w:proofErr w:type="spellStart"/>
      <w:r w:rsidR="3A849CD9" w:rsidRPr="1F59776C">
        <w:rPr>
          <w:rFonts w:ascii="Arial" w:eastAsia="Arial" w:hAnsi="Arial" w:cs="Arial"/>
          <w:sz w:val="20"/>
          <w:szCs w:val="20"/>
          <w:lang w:val="en-US"/>
        </w:rPr>
        <w:t>Kapodistrian</w:t>
      </w:r>
      <w:proofErr w:type="spellEnd"/>
      <w:r w:rsidR="3A849CD9" w:rsidRPr="1F59776C">
        <w:rPr>
          <w:rFonts w:ascii="Arial" w:eastAsia="Arial" w:hAnsi="Arial" w:cs="Arial"/>
          <w:sz w:val="20"/>
          <w:szCs w:val="20"/>
          <w:lang w:val="en-US"/>
        </w:rPr>
        <w:t xml:space="preserve"> University of Athens, Greece.</w:t>
      </w:r>
      <w:r w:rsidR="62390673" w:rsidRPr="1F59776C">
        <w:rPr>
          <w:rFonts w:ascii="Arial" w:eastAsia="Arial" w:hAnsi="Arial" w:cs="Arial"/>
          <w:sz w:val="20"/>
          <w:szCs w:val="20"/>
          <w:lang w:val="en-US"/>
        </w:rPr>
        <w:t xml:space="preserve"> </w:t>
      </w:r>
      <w:hyperlink r:id="rId7" w:history="1">
        <w:r w:rsidR="3A849CD9" w:rsidRPr="1F59776C">
          <w:rPr>
            <w:rStyle w:val="Hyperlink"/>
            <w:rFonts w:ascii="Arial" w:eastAsia="Arial" w:hAnsi="Arial" w:cs="Arial"/>
            <w:sz w:val="20"/>
            <w:szCs w:val="20"/>
            <w:lang w:val="en-US"/>
          </w:rPr>
          <w:t>gregory.kaltsas@gmail.com</w:t>
        </w:r>
      </w:hyperlink>
    </w:p>
    <w:p w14:paraId="287F273C" w14:textId="6470B655" w:rsidR="00AD2CD0" w:rsidRPr="00B34FDF" w:rsidRDefault="00AD2CD0" w:rsidP="00DE3121">
      <w:pPr>
        <w:shd w:val="clear" w:color="auto" w:fill="FFFFFF" w:themeFill="background1"/>
        <w:spacing w:after="0" w:line="276" w:lineRule="auto"/>
        <w:textAlignment w:val="baseline"/>
        <w:outlineLvl w:val="1"/>
        <w:rPr>
          <w:rStyle w:val="Hyperlink"/>
          <w:rFonts w:ascii="Arial" w:eastAsia="Arial" w:hAnsi="Arial" w:cs="Arial"/>
          <w:sz w:val="20"/>
          <w:szCs w:val="20"/>
          <w:lang w:val="en-US"/>
        </w:rPr>
      </w:pPr>
    </w:p>
    <w:p w14:paraId="73CBCD64" w14:textId="45F695C6" w:rsidR="00DE3121" w:rsidRPr="004D1B6C" w:rsidRDefault="00DE3121" w:rsidP="00DE3121">
      <w:pPr>
        <w:spacing w:after="0" w:line="276" w:lineRule="auto"/>
        <w:textAlignment w:val="baseline"/>
        <w:outlineLvl w:val="2"/>
        <w:rPr>
          <w:rFonts w:ascii="Arial" w:eastAsia="Times New Roman" w:hAnsi="Arial" w:cs="Arial"/>
          <w:b/>
          <w:bCs/>
          <w:color w:val="0E2841" w:themeColor="text2"/>
          <w:sz w:val="22"/>
          <w:szCs w:val="22"/>
          <w:lang w:val="en-US" w:eastAsia="el-GR"/>
        </w:rPr>
      </w:pPr>
      <w:r w:rsidRPr="004D1B6C">
        <w:rPr>
          <w:rFonts w:ascii="Arial" w:eastAsia="Times New Roman" w:hAnsi="Arial" w:cs="Arial"/>
          <w:b/>
          <w:bCs/>
          <w:color w:val="0E2841" w:themeColor="text2"/>
          <w:sz w:val="22"/>
          <w:szCs w:val="22"/>
          <w:lang w:val="en-US" w:eastAsia="el-GR"/>
        </w:rPr>
        <w:t>Updated June 20, 2024</w:t>
      </w:r>
    </w:p>
    <w:p w14:paraId="2BACC082" w14:textId="77777777" w:rsidR="002D7341" w:rsidRPr="00DE3121" w:rsidRDefault="48889E8E" w:rsidP="00DE3121">
      <w:pPr>
        <w:spacing w:after="0" w:line="276" w:lineRule="auto"/>
        <w:textAlignment w:val="baseline"/>
        <w:rPr>
          <w:rFonts w:ascii="Arial" w:eastAsia="Times New Roman" w:hAnsi="Arial" w:cs="Arial"/>
          <w:color w:val="000000" w:themeColor="text1"/>
          <w:sz w:val="22"/>
          <w:szCs w:val="22"/>
          <w:lang w:val="en-US" w:eastAsia="el-GR"/>
        </w:rPr>
      </w:pPr>
      <w:r w:rsidRPr="00DE3121">
        <w:rPr>
          <w:rFonts w:ascii="Arial" w:eastAsia="Times New Roman" w:hAnsi="Arial" w:cs="Arial"/>
          <w:color w:val="000000" w:themeColor="text1"/>
          <w:sz w:val="22"/>
          <w:szCs w:val="22"/>
          <w:lang w:val="en-US" w:eastAsia="el-GR"/>
        </w:rPr>
        <w:t> </w:t>
      </w:r>
    </w:p>
    <w:p w14:paraId="056CBDF8" w14:textId="77777777" w:rsidR="002D7341" w:rsidRPr="004D1B6C" w:rsidRDefault="002D7341" w:rsidP="00DE3121">
      <w:pPr>
        <w:spacing w:after="0" w:line="276" w:lineRule="auto"/>
        <w:textAlignment w:val="baseline"/>
        <w:rPr>
          <w:rFonts w:ascii="Arial" w:eastAsia="Times New Roman" w:hAnsi="Arial" w:cs="Arial"/>
          <w:b/>
          <w:bCs/>
          <w:color w:val="0070C0"/>
          <w:kern w:val="0"/>
          <w:sz w:val="22"/>
          <w:szCs w:val="22"/>
          <w:lang w:val="en-US" w:eastAsia="el-GR"/>
        </w:rPr>
      </w:pPr>
      <w:r w:rsidRPr="004D1B6C">
        <w:rPr>
          <w:rFonts w:ascii="Arial" w:eastAsia="Times New Roman" w:hAnsi="Arial" w:cs="Arial"/>
          <w:b/>
          <w:bCs/>
          <w:color w:val="0070C0"/>
          <w:kern w:val="0"/>
          <w:sz w:val="22"/>
          <w:szCs w:val="22"/>
          <w:lang w:val="en-US" w:eastAsia="el-GR"/>
        </w:rPr>
        <w:t>ABSTRACT</w:t>
      </w:r>
    </w:p>
    <w:p w14:paraId="7AEA1189" w14:textId="303C2239" w:rsidR="1F59776C" w:rsidRPr="00DE3121" w:rsidRDefault="1F59776C" w:rsidP="00DE3121">
      <w:pPr>
        <w:shd w:val="clear" w:color="auto" w:fill="FFFFFF" w:themeFill="background1"/>
        <w:spacing w:after="0" w:line="276" w:lineRule="auto"/>
        <w:outlineLvl w:val="1"/>
        <w:rPr>
          <w:rFonts w:ascii="Arial" w:eastAsia="Times New Roman" w:hAnsi="Arial" w:cs="Arial"/>
          <w:b/>
          <w:bCs/>
          <w:color w:val="000000" w:themeColor="text1"/>
          <w:sz w:val="22"/>
          <w:szCs w:val="22"/>
          <w:lang w:val="en-US" w:eastAsia="el-GR"/>
        </w:rPr>
      </w:pPr>
    </w:p>
    <w:p w14:paraId="5DAB6C7B" w14:textId="7BC41948" w:rsidR="00F13699" w:rsidRDefault="00612565" w:rsidP="0024096A">
      <w:pPr>
        <w:spacing w:after="0" w:line="276" w:lineRule="auto"/>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 xml:space="preserve">X-linked adrenoleukodystrophy (X-ALD) is a rare inherited neurodegenerative disorder, involving mainly the white matter and axons of the central nervous system and the adrenal cortex and is a frequent but under-recognized cause of primary adrenocortical insufficiency. X-ALD is caused by a defect in the gene ABCD1 that maps to Xq 28 locus. The primary biochemical disorder is the accumulation of saturated very long chain fatty acids (VLCFA) secondary to peroxisomal dysfunction. The incidence in males is estimated to be </w:t>
      </w:r>
      <w:r w:rsidR="009956EC" w:rsidRPr="00DE3121">
        <w:rPr>
          <w:rFonts w:ascii="Arial" w:eastAsia="Arial" w:hAnsi="Arial" w:cs="Arial"/>
          <w:sz w:val="22"/>
          <w:szCs w:val="22"/>
          <w:lang w:val="en-US"/>
        </w:rPr>
        <w:t>1:14</w:t>
      </w:r>
      <w:r w:rsidR="0024096A">
        <w:rPr>
          <w:rFonts w:ascii="Arial" w:eastAsia="Arial" w:hAnsi="Arial" w:cs="Arial"/>
          <w:sz w:val="22"/>
          <w:szCs w:val="22"/>
          <w:lang w:val="en-US"/>
        </w:rPr>
        <w:t>,</w:t>
      </w:r>
      <w:r w:rsidR="009956EC" w:rsidRPr="00DE3121">
        <w:rPr>
          <w:rFonts w:ascii="Arial" w:eastAsia="Arial" w:hAnsi="Arial" w:cs="Arial"/>
          <w:sz w:val="22"/>
          <w:szCs w:val="22"/>
          <w:lang w:val="en-US"/>
        </w:rPr>
        <w:t>700 live births</w:t>
      </w:r>
      <w:r w:rsidRPr="00DE3121">
        <w:rPr>
          <w:rFonts w:ascii="Arial" w:eastAsia="Arial" w:hAnsi="Arial" w:cs="Arial"/>
          <w:color w:val="000000"/>
          <w:kern w:val="0"/>
          <w:sz w:val="22"/>
          <w:szCs w:val="22"/>
          <w:lang w:val="en-US" w:eastAsia="el-GR"/>
        </w:rPr>
        <w:t>, without any difference among different ethnicities.</w:t>
      </w:r>
      <w:r w:rsidR="009956EC" w:rsidRPr="00DE3121">
        <w:rPr>
          <w:rFonts w:ascii="Arial" w:eastAsia="Arial" w:hAnsi="Arial" w:cs="Arial"/>
          <w:sz w:val="22"/>
          <w:szCs w:val="22"/>
          <w:lang w:val="en-US"/>
        </w:rPr>
        <w:t xml:space="preserve"> X-ALD presents with a variable clinical spectrum that includes primary adrenal insufficiency, myelopathy, and cerebral ALD</w:t>
      </w:r>
      <w:r w:rsidRPr="00DE3121">
        <w:rPr>
          <w:rFonts w:ascii="Arial" w:eastAsia="Arial" w:hAnsi="Arial" w:cs="Arial"/>
          <w:kern w:val="0"/>
          <w:sz w:val="22"/>
          <w:szCs w:val="22"/>
          <w:lang w:val="en-US" w:eastAsia="el-GR"/>
        </w:rPr>
        <w:t xml:space="preserve">; however, there is no correlation between X-ALD phenotype and </w:t>
      </w:r>
      <w:r w:rsidR="00AD2CD0" w:rsidRPr="00DE3121">
        <w:rPr>
          <w:rFonts w:ascii="Arial" w:eastAsia="Arial" w:hAnsi="Arial" w:cs="Arial"/>
          <w:sz w:val="22"/>
          <w:szCs w:val="22"/>
          <w:lang w:val="en-US" w:eastAsia="el-GR"/>
        </w:rPr>
        <w:t>specific</w:t>
      </w:r>
      <w:r w:rsidR="61DF85E3" w:rsidRPr="00DE3121">
        <w:rPr>
          <w:rFonts w:ascii="Arial" w:eastAsia="Arial" w:hAnsi="Arial" w:cs="Arial"/>
          <w:sz w:val="22"/>
          <w:szCs w:val="22"/>
          <w:lang w:val="en-US" w:eastAsia="el-GR"/>
        </w:rPr>
        <w:t xml:space="preserve"> </w:t>
      </w:r>
      <w:r w:rsidRPr="00DE3121">
        <w:rPr>
          <w:rFonts w:ascii="Arial" w:eastAsia="Arial" w:hAnsi="Arial" w:cs="Arial"/>
          <w:kern w:val="0"/>
          <w:sz w:val="22"/>
          <w:szCs w:val="22"/>
          <w:lang w:val="en-US" w:eastAsia="el-GR"/>
        </w:rPr>
        <w:t xml:space="preserve">mutations in the ABCD1 gene. When suspected, the diagnosis is established biochemically </w:t>
      </w:r>
      <w:r w:rsidR="009956EC" w:rsidRPr="00DE3121">
        <w:rPr>
          <w:rFonts w:ascii="Arial" w:eastAsia="Arial" w:hAnsi="Arial" w:cs="Arial"/>
          <w:kern w:val="0"/>
          <w:sz w:val="22"/>
          <w:szCs w:val="22"/>
          <w:lang w:val="en-US" w:eastAsia="el-GR"/>
        </w:rPr>
        <w:t>with the gold standard for diagnosis being genetic testing</w:t>
      </w:r>
      <w:r w:rsidR="00995490" w:rsidRPr="00DE3121">
        <w:rPr>
          <w:rFonts w:ascii="Arial" w:eastAsia="Arial" w:hAnsi="Arial" w:cs="Arial"/>
          <w:kern w:val="0"/>
          <w:sz w:val="22"/>
          <w:szCs w:val="22"/>
          <w:lang w:val="en-US" w:eastAsia="el-GR"/>
        </w:rPr>
        <w:t xml:space="preserve"> </w:t>
      </w:r>
      <w:r w:rsidR="00995490" w:rsidRPr="00DE3121">
        <w:rPr>
          <w:rFonts w:ascii="Arial" w:eastAsia="Arial" w:hAnsi="Arial" w:cs="Arial"/>
          <w:sz w:val="22"/>
          <w:szCs w:val="22"/>
          <w:lang w:val="en-US"/>
        </w:rPr>
        <w:t>(ABCD1 analysis)</w:t>
      </w:r>
      <w:r w:rsidR="009956EC" w:rsidRPr="00DE3121">
        <w:rPr>
          <w:rFonts w:ascii="Arial" w:eastAsia="Arial" w:hAnsi="Arial" w:cs="Arial"/>
          <w:kern w:val="0"/>
          <w:sz w:val="22"/>
          <w:szCs w:val="22"/>
          <w:lang w:val="en-US" w:eastAsia="el-GR"/>
        </w:rPr>
        <w:t>.</w:t>
      </w:r>
      <w:r w:rsidRPr="00DE3121">
        <w:rPr>
          <w:rFonts w:ascii="Arial" w:eastAsia="Arial" w:hAnsi="Arial" w:cs="Arial"/>
          <w:kern w:val="0"/>
          <w:sz w:val="22"/>
          <w:szCs w:val="22"/>
          <w:lang w:val="en-US" w:eastAsia="el-GR"/>
        </w:rPr>
        <w:t xml:space="preserve"> Currently, there is no satisfying treatment to prevent the onset or modify the progression of the </w:t>
      </w:r>
      <w:r w:rsidR="009956EC" w:rsidRPr="00DE3121">
        <w:rPr>
          <w:rFonts w:ascii="Arial" w:eastAsia="Arial" w:hAnsi="Arial" w:cs="Arial"/>
          <w:kern w:val="0"/>
          <w:sz w:val="22"/>
          <w:szCs w:val="22"/>
          <w:lang w:val="en-US" w:eastAsia="el-GR"/>
        </w:rPr>
        <w:t>neurologic or endocrine</w:t>
      </w:r>
      <w:r w:rsidR="009956EC" w:rsidRPr="00DE3121">
        <w:rPr>
          <w:rFonts w:ascii="Arial" w:eastAsia="Arial" w:hAnsi="Arial" w:cs="Arial"/>
          <w:color w:val="FF0000"/>
          <w:kern w:val="0"/>
          <w:sz w:val="22"/>
          <w:szCs w:val="22"/>
          <w:lang w:val="en-US" w:eastAsia="el-GR"/>
        </w:rPr>
        <w:t xml:space="preserve"> </w:t>
      </w:r>
      <w:r w:rsidR="009956EC" w:rsidRPr="00DE3121">
        <w:rPr>
          <w:rFonts w:ascii="Arial" w:eastAsia="Arial" w:hAnsi="Arial" w:cs="Arial"/>
          <w:kern w:val="0"/>
          <w:sz w:val="22"/>
          <w:szCs w:val="22"/>
          <w:lang w:val="en-US" w:eastAsia="el-GR"/>
        </w:rPr>
        <w:t>component</w:t>
      </w:r>
      <w:r w:rsidR="00AD2CD0" w:rsidRPr="00DE3121">
        <w:rPr>
          <w:rFonts w:ascii="Arial" w:eastAsia="Arial" w:hAnsi="Arial" w:cs="Arial"/>
          <w:sz w:val="22"/>
          <w:szCs w:val="22"/>
          <w:lang w:val="en-US" w:eastAsia="el-GR"/>
        </w:rPr>
        <w:t>s</w:t>
      </w:r>
      <w:r w:rsidR="009956EC" w:rsidRPr="00DE3121">
        <w:rPr>
          <w:rFonts w:ascii="Arial" w:eastAsia="Arial" w:hAnsi="Arial" w:cs="Arial"/>
          <w:kern w:val="0"/>
          <w:sz w:val="22"/>
          <w:szCs w:val="22"/>
          <w:lang w:val="en-US" w:eastAsia="el-GR"/>
        </w:rPr>
        <w:t xml:space="preserve"> of the disease</w:t>
      </w:r>
      <w:r w:rsidRPr="00DE3121">
        <w:rPr>
          <w:rFonts w:ascii="Arial" w:eastAsia="Arial" w:hAnsi="Arial" w:cs="Arial"/>
          <w:color w:val="ED0000"/>
          <w:kern w:val="0"/>
          <w:sz w:val="22"/>
          <w:szCs w:val="22"/>
          <w:lang w:val="en-US" w:eastAsia="el-GR"/>
        </w:rPr>
        <w:t xml:space="preserve">. </w:t>
      </w:r>
      <w:r w:rsidRPr="00DE3121">
        <w:rPr>
          <w:rFonts w:ascii="Arial" w:eastAsia="Arial" w:hAnsi="Arial" w:cs="Arial"/>
          <w:color w:val="000000"/>
          <w:kern w:val="0"/>
          <w:sz w:val="22"/>
          <w:szCs w:val="22"/>
          <w:lang w:val="en-US" w:eastAsia="el-GR"/>
        </w:rPr>
        <w:t>Allogeneic hematopoietic stem cell (HSC) transplantation is the treatment of choice for individuals with early stages of the cerebral form of the disease. An alternative option for patients without HLA-matched donors is autologous</w:t>
      </w:r>
      <w:r w:rsidRPr="00DE3121" w:rsidDel="61DF85E3">
        <w:rPr>
          <w:rFonts w:ascii="Arial" w:eastAsia="Arial" w:hAnsi="Arial" w:cs="Arial"/>
          <w:color w:val="000000" w:themeColor="text1"/>
          <w:sz w:val="22"/>
          <w:szCs w:val="22"/>
          <w:lang w:val="en-US" w:eastAsia="el-GR"/>
        </w:rPr>
        <w:t xml:space="preserve"> HSC-</w:t>
      </w:r>
      <w:r w:rsidRPr="00DE3121">
        <w:rPr>
          <w:rFonts w:ascii="Arial" w:eastAsia="Arial" w:hAnsi="Arial" w:cs="Arial"/>
          <w:color w:val="000000"/>
          <w:kern w:val="0"/>
          <w:sz w:val="22"/>
          <w:szCs w:val="22"/>
          <w:lang w:val="en-US" w:eastAsia="el-GR"/>
        </w:rPr>
        <w:t xml:space="preserve">gene therapy with lentivirally corrected cells. Once adrenal insufficiency is present, hormonal replacement therapy is identical to that of autoimmune Addison’s disease. </w:t>
      </w:r>
    </w:p>
    <w:p w14:paraId="15FAE4B4" w14:textId="77777777" w:rsidR="0024096A" w:rsidRPr="00DE3121" w:rsidRDefault="0024096A" w:rsidP="0024096A">
      <w:pPr>
        <w:spacing w:after="0" w:line="276" w:lineRule="auto"/>
        <w:textAlignment w:val="baseline"/>
        <w:rPr>
          <w:rFonts w:ascii="Arial" w:hAnsi="Arial" w:cs="Arial"/>
          <w:sz w:val="22"/>
          <w:szCs w:val="22"/>
          <w:lang w:val="en-US" w:eastAsia="el-GR"/>
        </w:rPr>
      </w:pPr>
    </w:p>
    <w:p w14:paraId="2C8B4F07" w14:textId="77777777" w:rsidR="006623E0" w:rsidRPr="004D1B6C" w:rsidRDefault="006623E0" w:rsidP="00DE3121">
      <w:pPr>
        <w:spacing w:after="0" w:line="276" w:lineRule="auto"/>
        <w:textAlignment w:val="baseline"/>
        <w:outlineLvl w:val="1"/>
        <w:rPr>
          <w:rFonts w:ascii="Arial" w:eastAsia="Times New Roman" w:hAnsi="Arial" w:cs="Arial"/>
          <w:b/>
          <w:bCs/>
          <w:color w:val="0070C0"/>
          <w:kern w:val="0"/>
          <w:sz w:val="22"/>
          <w:szCs w:val="22"/>
          <w:lang w:val="en-US" w:eastAsia="el-GR"/>
        </w:rPr>
      </w:pPr>
      <w:r w:rsidRPr="004D1B6C">
        <w:rPr>
          <w:rFonts w:ascii="Arial" w:eastAsia="Times New Roman" w:hAnsi="Arial" w:cs="Arial"/>
          <w:b/>
          <w:bCs/>
          <w:color w:val="0070C0"/>
          <w:kern w:val="0"/>
          <w:sz w:val="22"/>
          <w:szCs w:val="22"/>
          <w:lang w:val="en-US" w:eastAsia="el-GR"/>
        </w:rPr>
        <w:t>INTRODUCTION</w:t>
      </w:r>
    </w:p>
    <w:p w14:paraId="02EB378F" w14:textId="77777777" w:rsidR="00CF7DB0" w:rsidRPr="00DE3121" w:rsidRDefault="00CF7DB0" w:rsidP="00DE3121">
      <w:pPr>
        <w:spacing w:after="0" w:line="276" w:lineRule="auto"/>
        <w:textAlignment w:val="baseline"/>
        <w:rPr>
          <w:rFonts w:ascii="Arial" w:eastAsia="Times New Roman" w:hAnsi="Arial" w:cs="Arial"/>
          <w:color w:val="000000"/>
          <w:kern w:val="0"/>
          <w:sz w:val="22"/>
          <w:szCs w:val="22"/>
          <w:lang w:val="en-US" w:eastAsia="el-GR"/>
        </w:rPr>
      </w:pPr>
    </w:p>
    <w:p w14:paraId="248C3757" w14:textId="5387AF82" w:rsidR="00213F0D" w:rsidRDefault="003F26A5" w:rsidP="00DE3121">
      <w:pPr>
        <w:spacing w:after="0"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xml:space="preserve">Leukodystrophies are inherited neurodegenerative disorders, </w:t>
      </w:r>
      <w:r w:rsidR="007942EB" w:rsidRPr="00DE3121">
        <w:rPr>
          <w:rFonts w:ascii="Arial" w:eastAsia="Times New Roman" w:hAnsi="Arial" w:cs="Arial"/>
          <w:color w:val="000000"/>
          <w:kern w:val="0"/>
          <w:sz w:val="22"/>
          <w:szCs w:val="22"/>
          <w:lang w:val="en-US" w:eastAsia="el-GR"/>
        </w:rPr>
        <w:t>primarily</w:t>
      </w:r>
      <w:r w:rsidRPr="00DE3121">
        <w:rPr>
          <w:rFonts w:ascii="Arial" w:eastAsia="Times New Roman" w:hAnsi="Arial" w:cs="Arial"/>
          <w:color w:val="000000"/>
          <w:kern w:val="0"/>
          <w:sz w:val="22"/>
          <w:szCs w:val="22"/>
          <w:lang w:val="en-US" w:eastAsia="el-GR"/>
        </w:rPr>
        <w:t xml:space="preserve"> affecting the brain myelin</w:t>
      </w:r>
      <w:r w:rsidR="00C14F5E" w:rsidRPr="00DE3121">
        <w:rPr>
          <w:rFonts w:ascii="Arial" w:eastAsia="Times New Roman" w:hAnsi="Arial" w:cs="Arial"/>
          <w:color w:val="000000"/>
          <w:kern w:val="0"/>
          <w:sz w:val="22"/>
          <w:szCs w:val="22"/>
          <w:lang w:val="en-US" w:eastAsia="el-GR"/>
        </w:rPr>
        <w:t>.</w:t>
      </w:r>
      <w:r w:rsidR="00FC460A" w:rsidRPr="00DE3121">
        <w:rPr>
          <w:rFonts w:ascii="Arial" w:eastAsia="Times New Roman" w:hAnsi="Arial" w:cs="Arial"/>
          <w:b/>
          <w:bCs/>
          <w:color w:val="000000"/>
          <w:kern w:val="0"/>
          <w:sz w:val="22"/>
          <w:szCs w:val="22"/>
          <w:lang w:val="en-US" w:eastAsia="el-GR"/>
        </w:rPr>
        <w:t xml:space="preserve"> </w:t>
      </w:r>
      <w:r w:rsidR="00213F0D" w:rsidRPr="00DE3121">
        <w:rPr>
          <w:rFonts w:ascii="Arial" w:eastAsia="Times New Roman" w:hAnsi="Arial" w:cs="Arial"/>
          <w:color w:val="000000"/>
          <w:kern w:val="0"/>
          <w:sz w:val="22"/>
          <w:szCs w:val="22"/>
          <w:lang w:val="en-US" w:eastAsia="el-GR"/>
        </w:rPr>
        <w:t>X-linked adrenoleukodystrophy (X-ALD; OMIM:300100) is the most common leukodystrophy usually presenting as chronic myelopathy and peripheral neuropathy, a clinical entity called adrenomyeloneuropathy (AMN), frequently accompanied by adrenocortical insufficiency (</w:t>
      </w:r>
      <w:r w:rsidR="00E56422" w:rsidRPr="00DE3121">
        <w:rPr>
          <w:rFonts w:ascii="Arial" w:eastAsia="Times New Roman" w:hAnsi="Arial" w:cs="Arial"/>
          <w:color w:val="000000"/>
          <w:kern w:val="0"/>
          <w:sz w:val="22"/>
          <w:szCs w:val="22"/>
          <w:lang w:val="en-US" w:eastAsia="el-GR"/>
        </w:rPr>
        <w:t>1</w:t>
      </w:r>
      <w:r w:rsidR="00213F0D" w:rsidRPr="00DE3121">
        <w:rPr>
          <w:rFonts w:ascii="Arial" w:eastAsia="Times New Roman" w:hAnsi="Arial" w:cs="Arial"/>
          <w:color w:val="000000"/>
          <w:kern w:val="0"/>
          <w:sz w:val="22"/>
          <w:szCs w:val="22"/>
          <w:lang w:val="en-US" w:eastAsia="el-GR"/>
        </w:rPr>
        <w:t>). The pattern of inheritance is X-</w:t>
      </w:r>
      <w:r w:rsidR="2F6072E6" w:rsidRPr="00DE3121">
        <w:rPr>
          <w:rFonts w:ascii="Arial" w:eastAsia="Times New Roman" w:hAnsi="Arial" w:cs="Arial"/>
          <w:color w:val="000000"/>
          <w:kern w:val="0"/>
          <w:sz w:val="22"/>
          <w:szCs w:val="22"/>
          <w:lang w:val="en-US" w:eastAsia="el-GR"/>
        </w:rPr>
        <w:t xml:space="preserve"> </w:t>
      </w:r>
      <w:r w:rsidR="00213F0D" w:rsidRPr="00DE3121">
        <w:rPr>
          <w:rFonts w:ascii="Arial" w:eastAsia="Times New Roman" w:hAnsi="Arial" w:cs="Arial"/>
          <w:color w:val="000000"/>
          <w:kern w:val="0"/>
          <w:sz w:val="22"/>
          <w:szCs w:val="22"/>
          <w:lang w:val="en-US" w:eastAsia="el-GR"/>
        </w:rPr>
        <w:t xml:space="preserve">linked and the disease is clinically evident in almost all male patients and in more than 80% of female carriers older than 60 years, though with milder </w:t>
      </w:r>
      <w:r w:rsidR="60711B86" w:rsidRPr="00DE3121">
        <w:rPr>
          <w:rFonts w:ascii="Arial" w:eastAsia="Times New Roman" w:hAnsi="Arial" w:cs="Arial"/>
          <w:color w:val="000000"/>
          <w:kern w:val="0"/>
          <w:sz w:val="22"/>
          <w:szCs w:val="22"/>
          <w:lang w:val="en-US" w:eastAsia="el-GR"/>
        </w:rPr>
        <w:t>clinical presentation</w:t>
      </w:r>
      <w:r w:rsidR="00213F0D" w:rsidRPr="00DE3121">
        <w:rPr>
          <w:rFonts w:ascii="Arial" w:eastAsia="Times New Roman" w:hAnsi="Arial" w:cs="Arial"/>
          <w:color w:val="000000"/>
          <w:kern w:val="0"/>
          <w:sz w:val="22"/>
          <w:szCs w:val="22"/>
          <w:lang w:val="en-US" w:eastAsia="el-GR"/>
        </w:rPr>
        <w:t>. Occasionally, male patients and very rarely female carriers may develop a rapidly progressive, devastating cerebral form of the disease known as Cerebral Adrenoleukodystrophy (CALD). The pathophysiological basis of the disease is peroxisome dysfunction and accumulation of very long chain fatty acids (VLCFA</w:t>
      </w:r>
      <w:r w:rsidR="00F13699" w:rsidRPr="00DE3121">
        <w:rPr>
          <w:rFonts w:ascii="Arial" w:eastAsia="Times New Roman" w:hAnsi="Arial" w:cs="Arial"/>
          <w:color w:val="000000"/>
          <w:kern w:val="0"/>
          <w:sz w:val="22"/>
          <w:szCs w:val="22"/>
          <w:lang w:val="en-US" w:eastAsia="el-GR"/>
        </w:rPr>
        <w:t>)</w:t>
      </w:r>
      <w:r w:rsidR="00213F0D" w:rsidRPr="00DE3121">
        <w:rPr>
          <w:rFonts w:ascii="Arial" w:eastAsia="Times New Roman" w:hAnsi="Arial" w:cs="Arial"/>
          <w:color w:val="000000"/>
          <w:kern w:val="0"/>
          <w:sz w:val="22"/>
          <w:szCs w:val="22"/>
          <w:lang w:val="en-US" w:eastAsia="el-GR"/>
        </w:rPr>
        <w:t xml:space="preserve"> due to impaired VLCFA degradation (</w:t>
      </w:r>
      <w:r w:rsidR="00E56422" w:rsidRPr="00DE3121">
        <w:rPr>
          <w:rFonts w:ascii="Arial" w:eastAsia="Times New Roman" w:hAnsi="Arial" w:cs="Arial"/>
          <w:color w:val="000000"/>
          <w:kern w:val="0"/>
          <w:sz w:val="22"/>
          <w:szCs w:val="22"/>
          <w:lang w:val="en-US" w:eastAsia="el-GR"/>
        </w:rPr>
        <w:t>2</w:t>
      </w:r>
      <w:r w:rsidR="00213F0D" w:rsidRPr="00DE3121">
        <w:rPr>
          <w:rFonts w:ascii="Arial" w:eastAsia="Times New Roman" w:hAnsi="Arial" w:cs="Arial"/>
          <w:color w:val="000000"/>
          <w:kern w:val="0"/>
          <w:sz w:val="22"/>
          <w:szCs w:val="22"/>
          <w:lang w:val="en-US" w:eastAsia="el-GR"/>
        </w:rPr>
        <w:t>).</w:t>
      </w:r>
    </w:p>
    <w:p w14:paraId="1C6EC329" w14:textId="77777777" w:rsidR="004D1B6C" w:rsidRPr="00DE3121" w:rsidRDefault="004D1B6C" w:rsidP="00DE3121">
      <w:pPr>
        <w:spacing w:after="0" w:line="276" w:lineRule="auto"/>
        <w:textAlignment w:val="baseline"/>
        <w:rPr>
          <w:rFonts w:ascii="Arial" w:eastAsia="Times New Roman" w:hAnsi="Arial" w:cs="Arial"/>
          <w:color w:val="000000"/>
          <w:kern w:val="0"/>
          <w:sz w:val="22"/>
          <w:szCs w:val="22"/>
          <w:lang w:val="en-US" w:eastAsia="el-GR"/>
        </w:rPr>
      </w:pPr>
    </w:p>
    <w:p w14:paraId="79183D66" w14:textId="55248EE1" w:rsidR="00213F0D" w:rsidRPr="00DE3121" w:rsidRDefault="00213F0D" w:rsidP="00DE3121">
      <w:pPr>
        <w:spacing w:after="0" w:line="276" w:lineRule="auto"/>
        <w:textAlignment w:val="baseline"/>
        <w:rPr>
          <w:rFonts w:ascii="Arial" w:eastAsia="Arial"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lastRenderedPageBreak/>
        <w:t xml:space="preserve">In the early 20th century, patients with signs and symptoms belonging </w:t>
      </w:r>
      <w:r w:rsidR="007942EB" w:rsidRPr="00DE3121">
        <w:rPr>
          <w:rFonts w:ascii="Arial" w:eastAsia="Times New Roman" w:hAnsi="Arial" w:cs="Arial"/>
          <w:color w:val="000000"/>
          <w:kern w:val="0"/>
          <w:sz w:val="22"/>
          <w:szCs w:val="22"/>
          <w:lang w:val="en-US" w:eastAsia="el-GR"/>
        </w:rPr>
        <w:t>to</w:t>
      </w:r>
      <w:r w:rsidRPr="00DE3121">
        <w:rPr>
          <w:rFonts w:ascii="Arial" w:eastAsia="Times New Roman" w:hAnsi="Arial" w:cs="Arial"/>
          <w:color w:val="000000"/>
          <w:kern w:val="0"/>
          <w:sz w:val="22"/>
          <w:szCs w:val="22"/>
          <w:lang w:val="en-US" w:eastAsia="el-GR"/>
        </w:rPr>
        <w:t xml:space="preserve"> the Leukodystrophies spectrum were grouped under the name “Addison–Schilder disease”. It </w:t>
      </w:r>
      <w:r w:rsidRPr="00DE3121">
        <w:rPr>
          <w:rFonts w:ascii="Arial" w:eastAsia="Arial" w:hAnsi="Arial" w:cs="Arial"/>
          <w:color w:val="000000"/>
          <w:kern w:val="0"/>
          <w:sz w:val="22"/>
          <w:szCs w:val="22"/>
          <w:lang w:val="en-US" w:eastAsia="el-GR"/>
        </w:rPr>
        <w:t>was not until the 1960s that Blaw introduced the term “adrenoleukodystrophy” as a distinct disease entity with X-linked inheritance (</w:t>
      </w:r>
      <w:r w:rsidR="00E56422" w:rsidRPr="00DE3121">
        <w:rPr>
          <w:rFonts w:ascii="Arial" w:eastAsia="Arial" w:hAnsi="Arial" w:cs="Arial"/>
          <w:color w:val="000000"/>
          <w:kern w:val="0"/>
          <w:sz w:val="22"/>
          <w:szCs w:val="22"/>
          <w:lang w:val="en-US" w:eastAsia="el-GR"/>
        </w:rPr>
        <w:t>3</w:t>
      </w:r>
      <w:r w:rsidRPr="00DE3121">
        <w:rPr>
          <w:rFonts w:ascii="Arial" w:eastAsia="Arial" w:hAnsi="Arial" w:cs="Arial"/>
          <w:color w:val="000000"/>
          <w:kern w:val="0"/>
          <w:sz w:val="22"/>
          <w:szCs w:val="22"/>
          <w:lang w:val="en-US" w:eastAsia="el-GR"/>
        </w:rPr>
        <w:t>).</w:t>
      </w:r>
      <w:r w:rsidR="00674655" w:rsidRPr="00DE3121">
        <w:rPr>
          <w:rFonts w:ascii="Arial" w:eastAsia="Arial" w:hAnsi="Arial" w:cs="Arial"/>
          <w:color w:val="000000"/>
          <w:kern w:val="0"/>
          <w:sz w:val="22"/>
          <w:szCs w:val="22"/>
          <w:lang w:val="en-US" w:eastAsia="el-GR"/>
        </w:rPr>
        <w:t xml:space="preserve"> </w:t>
      </w:r>
      <w:r w:rsidRPr="00DE3121">
        <w:rPr>
          <w:rFonts w:ascii="Arial" w:eastAsia="Arial" w:hAnsi="Arial" w:cs="Arial"/>
          <w:color w:val="000000"/>
          <w:kern w:val="0"/>
          <w:sz w:val="22"/>
          <w:szCs w:val="22"/>
          <w:lang w:val="en-US" w:eastAsia="el-GR"/>
        </w:rPr>
        <w:t xml:space="preserve">In 1976 it was shown that the principal biochemical disorder in X-ALD was the accumulation of VLCFA (4). In 1993, the gene responsible for the disease was identified at </w:t>
      </w:r>
      <w:r w:rsidR="007942EB" w:rsidRPr="00DE3121">
        <w:rPr>
          <w:rFonts w:ascii="Arial" w:eastAsia="Arial" w:hAnsi="Arial" w:cs="Arial"/>
          <w:color w:val="000000"/>
          <w:kern w:val="0"/>
          <w:sz w:val="22"/>
          <w:szCs w:val="22"/>
          <w:lang w:val="en-US" w:eastAsia="el-GR"/>
        </w:rPr>
        <w:t xml:space="preserve">the </w:t>
      </w:r>
      <w:r w:rsidRPr="00DE3121">
        <w:rPr>
          <w:rFonts w:ascii="Arial" w:eastAsia="Arial" w:hAnsi="Arial" w:cs="Arial"/>
          <w:color w:val="000000"/>
          <w:kern w:val="0"/>
          <w:sz w:val="22"/>
          <w:szCs w:val="22"/>
          <w:lang w:val="en-US" w:eastAsia="el-GR"/>
        </w:rPr>
        <w:t>Xq28 locus and it was subsequently shown to be the ABCD1 gene, which encodes the Adrenoleukodystrophy Protein (ALDP) (5).</w:t>
      </w:r>
    </w:p>
    <w:p w14:paraId="53283EBA" w14:textId="77777777" w:rsidR="004D1B6C" w:rsidRDefault="004D1B6C" w:rsidP="00DE3121">
      <w:pPr>
        <w:spacing w:after="0" w:line="276" w:lineRule="auto"/>
        <w:textAlignment w:val="baseline"/>
        <w:rPr>
          <w:rFonts w:ascii="Arial" w:eastAsia="Arial" w:hAnsi="Arial" w:cs="Arial"/>
          <w:color w:val="000000"/>
          <w:kern w:val="0"/>
          <w:sz w:val="22"/>
          <w:szCs w:val="22"/>
          <w:lang w:val="en-US" w:eastAsia="el-GR"/>
        </w:rPr>
      </w:pPr>
    </w:p>
    <w:p w14:paraId="13301368" w14:textId="6041B0CB" w:rsidR="00646214" w:rsidRPr="00DE3121" w:rsidRDefault="00646214" w:rsidP="00DE3121">
      <w:pPr>
        <w:spacing w:after="0" w:line="276" w:lineRule="auto"/>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This chapter summarizes the latest data in the literature regarding the progress made in elucidating the pathogenesis of the disease, the strategies for early diagnosis, and the results of established as well as newer experimental therapies.</w:t>
      </w:r>
    </w:p>
    <w:p w14:paraId="6A05A809" w14:textId="77777777" w:rsidR="00777358" w:rsidRPr="00DE3121" w:rsidRDefault="00777358" w:rsidP="00DE3121">
      <w:pPr>
        <w:spacing w:after="0" w:line="276" w:lineRule="auto"/>
        <w:rPr>
          <w:rFonts w:ascii="Arial" w:eastAsia="Arial" w:hAnsi="Arial" w:cs="Arial"/>
          <w:sz w:val="22"/>
          <w:szCs w:val="22"/>
          <w:lang w:val="en-US" w:eastAsia="el-GR"/>
        </w:rPr>
      </w:pPr>
    </w:p>
    <w:p w14:paraId="02472B6D" w14:textId="77777777" w:rsidR="00777358" w:rsidRPr="004D1B6C" w:rsidRDefault="00777358" w:rsidP="00DE3121">
      <w:pPr>
        <w:spacing w:after="0" w:line="276" w:lineRule="auto"/>
        <w:textAlignment w:val="baseline"/>
        <w:outlineLvl w:val="1"/>
        <w:rPr>
          <w:rFonts w:ascii="Arial" w:eastAsia="Times New Roman" w:hAnsi="Arial" w:cs="Arial"/>
          <w:b/>
          <w:bCs/>
          <w:color w:val="0070C0"/>
          <w:kern w:val="0"/>
          <w:sz w:val="22"/>
          <w:szCs w:val="22"/>
          <w:lang w:val="en-US" w:eastAsia="el-GR"/>
        </w:rPr>
      </w:pPr>
      <w:r w:rsidRPr="004D1B6C">
        <w:rPr>
          <w:rFonts w:ascii="Arial" w:eastAsia="Times New Roman" w:hAnsi="Arial" w:cs="Arial"/>
          <w:b/>
          <w:bCs/>
          <w:color w:val="0070C0"/>
          <w:kern w:val="0"/>
          <w:sz w:val="22"/>
          <w:szCs w:val="22"/>
          <w:lang w:val="en-US" w:eastAsia="el-GR"/>
        </w:rPr>
        <w:t>GENETICS &amp; PATHOPHYSIOLOGY</w:t>
      </w:r>
    </w:p>
    <w:p w14:paraId="5A39BBE3" w14:textId="77777777" w:rsidR="00213F0D" w:rsidRPr="00DE3121" w:rsidRDefault="00213F0D" w:rsidP="00DE3121">
      <w:pPr>
        <w:spacing w:after="0" w:line="276" w:lineRule="auto"/>
        <w:rPr>
          <w:rFonts w:ascii="Arial" w:hAnsi="Arial" w:cs="Arial"/>
          <w:sz w:val="22"/>
          <w:szCs w:val="22"/>
          <w:lang w:val="en-US"/>
        </w:rPr>
      </w:pPr>
    </w:p>
    <w:p w14:paraId="4EF8D456" w14:textId="768A1E22" w:rsidR="0049331E" w:rsidRPr="00DE3121" w:rsidRDefault="61DF85E3" w:rsidP="00DE3121">
      <w:pPr>
        <w:shd w:val="clear" w:color="auto" w:fill="FFFFFF" w:themeFill="background1"/>
        <w:spacing w:after="0" w:line="276" w:lineRule="auto"/>
        <w:textAlignment w:val="baseline"/>
        <w:outlineLvl w:val="1"/>
        <w:rPr>
          <w:rFonts w:ascii="Arial" w:eastAsia="Times New Roman" w:hAnsi="Arial" w:cs="Arial"/>
          <w:b/>
          <w:bCs/>
          <w:kern w:val="0"/>
          <w:sz w:val="22"/>
          <w:szCs w:val="22"/>
          <w:lang w:val="en-US" w:eastAsia="el-GR"/>
        </w:rPr>
      </w:pPr>
      <w:r w:rsidRPr="00DE3121">
        <w:rPr>
          <w:rFonts w:ascii="Arial" w:hAnsi="Arial" w:cs="Arial"/>
          <w:sz w:val="22"/>
          <w:szCs w:val="22"/>
          <w:lang w:val="en-US"/>
        </w:rPr>
        <w:t>ALD is a rare progressive neurodegenerative disorder with an annual incidence of 1:14</w:t>
      </w:r>
      <w:r w:rsidR="0024096A">
        <w:rPr>
          <w:rFonts w:ascii="Arial" w:hAnsi="Arial" w:cs="Arial"/>
          <w:sz w:val="22"/>
          <w:szCs w:val="22"/>
          <w:lang w:val="en-US"/>
        </w:rPr>
        <w:t>,</w:t>
      </w:r>
      <w:r w:rsidRPr="00DE3121">
        <w:rPr>
          <w:rFonts w:ascii="Arial" w:hAnsi="Arial" w:cs="Arial"/>
          <w:sz w:val="22"/>
          <w:szCs w:val="22"/>
          <w:lang w:val="en-US"/>
        </w:rPr>
        <w:t xml:space="preserve">700 live births (considering both hemizygous males and heterozygous females), and no marked difference between males and females (6).   </w:t>
      </w:r>
    </w:p>
    <w:p w14:paraId="466ED44F" w14:textId="77777777" w:rsidR="004D1B6C" w:rsidRDefault="004D1B6C" w:rsidP="00DE3121">
      <w:pPr>
        <w:spacing w:after="0" w:line="276" w:lineRule="auto"/>
        <w:rPr>
          <w:rFonts w:ascii="Arial" w:hAnsi="Arial" w:cs="Arial"/>
          <w:sz w:val="22"/>
          <w:szCs w:val="22"/>
          <w:lang w:val="en-US"/>
        </w:rPr>
      </w:pPr>
    </w:p>
    <w:p w14:paraId="5D8C91CB" w14:textId="49FB3D63" w:rsidR="00581A29" w:rsidRPr="00DE3121" w:rsidRDefault="003D7433" w:rsidP="00DE3121">
      <w:pPr>
        <w:spacing w:after="0" w:line="276" w:lineRule="auto"/>
        <w:rPr>
          <w:rFonts w:ascii="Arial" w:hAnsi="Arial" w:cs="Arial"/>
          <w:sz w:val="22"/>
          <w:szCs w:val="22"/>
          <w:lang w:val="en-US"/>
        </w:rPr>
      </w:pPr>
      <w:r w:rsidRPr="00DE3121">
        <w:rPr>
          <w:rFonts w:ascii="Arial" w:hAnsi="Arial" w:cs="Arial"/>
          <w:sz w:val="22"/>
          <w:szCs w:val="22"/>
          <w:lang w:val="en-US"/>
        </w:rPr>
        <w:t xml:space="preserve">X-ALD is caused by mutations in the ABCD1 gene located on the X chromosome (Xq28), which </w:t>
      </w:r>
      <w:r w:rsidR="004033A3" w:rsidRPr="00DE3121">
        <w:rPr>
          <w:rFonts w:ascii="Arial" w:hAnsi="Arial" w:cs="Arial"/>
          <w:sz w:val="22"/>
          <w:szCs w:val="22"/>
          <w:lang w:val="en-US"/>
        </w:rPr>
        <w:t>covers</w:t>
      </w:r>
      <w:r w:rsidRPr="00DE3121">
        <w:rPr>
          <w:rFonts w:ascii="Arial" w:hAnsi="Arial" w:cs="Arial"/>
          <w:sz w:val="22"/>
          <w:szCs w:val="22"/>
          <w:lang w:val="en-US"/>
        </w:rPr>
        <w:t xml:space="preserve"> 19.9 kb and</w:t>
      </w:r>
      <w:r w:rsidR="004033A3" w:rsidRPr="00DE3121">
        <w:rPr>
          <w:rFonts w:ascii="Arial" w:hAnsi="Arial" w:cs="Arial"/>
          <w:sz w:val="22"/>
          <w:szCs w:val="22"/>
          <w:lang w:val="en-US"/>
        </w:rPr>
        <w:t xml:space="preserve"> contains</w:t>
      </w:r>
      <w:r w:rsidRPr="00DE3121">
        <w:rPr>
          <w:rFonts w:ascii="Arial" w:hAnsi="Arial" w:cs="Arial"/>
          <w:sz w:val="22"/>
          <w:szCs w:val="22"/>
          <w:lang w:val="en-US"/>
        </w:rPr>
        <w:t xml:space="preserve"> 10 exons (</w:t>
      </w:r>
      <w:r w:rsidR="00E56422" w:rsidRPr="00DE3121">
        <w:rPr>
          <w:rFonts w:ascii="Arial" w:hAnsi="Arial" w:cs="Arial"/>
          <w:sz w:val="22"/>
          <w:szCs w:val="22"/>
          <w:lang w:val="en-US"/>
        </w:rPr>
        <w:t>7</w:t>
      </w:r>
      <w:r w:rsidRPr="00DE3121">
        <w:rPr>
          <w:rFonts w:ascii="Arial" w:hAnsi="Arial" w:cs="Arial"/>
          <w:sz w:val="22"/>
          <w:szCs w:val="22"/>
          <w:lang w:val="en-US"/>
        </w:rPr>
        <w:t xml:space="preserve">) </w:t>
      </w:r>
      <w:r w:rsidRPr="00DE3121">
        <w:rPr>
          <w:rFonts w:ascii="Arial" w:hAnsi="Arial" w:cs="Arial"/>
          <w:sz w:val="22"/>
          <w:szCs w:val="22"/>
          <w:shd w:val="clear" w:color="auto" w:fill="FFFFFF"/>
          <w:lang w:val="en-US"/>
        </w:rPr>
        <w:t xml:space="preserve">with </w:t>
      </w:r>
      <w:r w:rsidR="004635E0" w:rsidRPr="00DE3121">
        <w:rPr>
          <w:rFonts w:ascii="Arial" w:hAnsi="Arial" w:cs="Arial"/>
          <w:sz w:val="22"/>
          <w:szCs w:val="22"/>
          <w:shd w:val="clear" w:color="auto" w:fill="FFFFFF"/>
          <w:lang w:val="en-US"/>
        </w:rPr>
        <w:t>approximately</w:t>
      </w:r>
      <w:r w:rsidRPr="00DE3121">
        <w:rPr>
          <w:rFonts w:ascii="Arial" w:hAnsi="Arial" w:cs="Arial"/>
          <w:sz w:val="22"/>
          <w:szCs w:val="22"/>
          <w:shd w:val="clear" w:color="auto" w:fill="FFFFFF"/>
          <w:lang w:val="en-US"/>
        </w:rPr>
        <w:t xml:space="preserve"> </w:t>
      </w:r>
      <w:r w:rsidR="00F13699" w:rsidRPr="00DE3121">
        <w:rPr>
          <w:rFonts w:ascii="Arial" w:hAnsi="Arial" w:cs="Arial"/>
          <w:sz w:val="22"/>
          <w:szCs w:val="22"/>
          <w:shd w:val="clear" w:color="auto" w:fill="FFFFFF"/>
          <w:lang w:val="en-US"/>
        </w:rPr>
        <w:t>9</w:t>
      </w:r>
      <w:r w:rsidRPr="00DE3121">
        <w:rPr>
          <w:rFonts w:ascii="Arial" w:hAnsi="Arial" w:cs="Arial"/>
          <w:sz w:val="22"/>
          <w:szCs w:val="22"/>
          <w:shd w:val="clear" w:color="auto" w:fill="FFFFFF"/>
          <w:lang w:val="en-US"/>
        </w:rPr>
        <w:t>00 different mutations reported (</w:t>
      </w:r>
      <w:r w:rsidR="00E56422" w:rsidRPr="00DE3121">
        <w:rPr>
          <w:rFonts w:ascii="Arial" w:hAnsi="Arial" w:cs="Arial"/>
          <w:sz w:val="22"/>
          <w:szCs w:val="22"/>
          <w:shd w:val="clear" w:color="auto" w:fill="FFFFFF"/>
          <w:lang w:val="en-US"/>
        </w:rPr>
        <w:t>8</w:t>
      </w:r>
      <w:r w:rsidRPr="00DE3121">
        <w:rPr>
          <w:rFonts w:ascii="Arial" w:hAnsi="Arial" w:cs="Arial"/>
          <w:sz w:val="22"/>
          <w:szCs w:val="22"/>
          <w:shd w:val="clear" w:color="auto" w:fill="FFFFFF"/>
          <w:lang w:val="en-US"/>
        </w:rPr>
        <w:t>). M</w:t>
      </w:r>
      <w:r w:rsidRPr="00DE3121">
        <w:rPr>
          <w:rFonts w:ascii="Arial" w:hAnsi="Arial" w:cs="Arial"/>
          <w:sz w:val="22"/>
          <w:szCs w:val="22"/>
          <w:lang w:val="en-US"/>
        </w:rPr>
        <w:t>utations in the ABCD1 gene include missense, nonsense, frameshift</w:t>
      </w:r>
      <w:r w:rsidR="007942EB" w:rsidRPr="00DE3121">
        <w:rPr>
          <w:rFonts w:ascii="Arial" w:hAnsi="Arial" w:cs="Arial"/>
          <w:sz w:val="22"/>
          <w:szCs w:val="22"/>
          <w:lang w:val="en-US"/>
        </w:rPr>
        <w:t>,</w:t>
      </w:r>
      <w:r w:rsidRPr="00DE3121">
        <w:rPr>
          <w:rFonts w:ascii="Arial" w:hAnsi="Arial" w:cs="Arial"/>
          <w:sz w:val="22"/>
          <w:szCs w:val="22"/>
          <w:lang w:val="en-US"/>
        </w:rPr>
        <w:t xml:space="preserve"> and splice-site variants</w:t>
      </w:r>
      <w:r w:rsidR="004635E0" w:rsidRPr="00DE3121">
        <w:rPr>
          <w:rFonts w:ascii="Arial" w:hAnsi="Arial" w:cs="Arial"/>
          <w:sz w:val="22"/>
          <w:szCs w:val="22"/>
          <w:lang w:val="en-US"/>
        </w:rPr>
        <w:t xml:space="preserve"> </w:t>
      </w:r>
      <w:r w:rsidR="004375D9" w:rsidRPr="00DE3121">
        <w:rPr>
          <w:rFonts w:ascii="Arial" w:hAnsi="Arial" w:cs="Arial"/>
          <w:sz w:val="22"/>
          <w:szCs w:val="22"/>
          <w:lang w:val="en-US"/>
        </w:rPr>
        <w:t>(</w:t>
      </w:r>
      <w:r w:rsidR="0001619B" w:rsidRPr="00DE3121">
        <w:rPr>
          <w:rFonts w:ascii="Arial" w:hAnsi="Arial" w:cs="Arial"/>
          <w:sz w:val="22"/>
          <w:szCs w:val="22"/>
          <w:lang w:val="en-US"/>
        </w:rPr>
        <w:t xml:space="preserve">9). </w:t>
      </w:r>
      <w:r w:rsidR="004375D9" w:rsidRPr="00DE3121">
        <w:rPr>
          <w:rFonts w:ascii="Arial" w:hAnsi="Arial" w:cs="Arial"/>
          <w:sz w:val="22"/>
          <w:szCs w:val="22"/>
          <w:lang w:val="en-US"/>
        </w:rPr>
        <w:t xml:space="preserve">However, </w:t>
      </w:r>
      <w:r w:rsidRPr="00DE3121">
        <w:rPr>
          <w:rFonts w:ascii="Arial" w:hAnsi="Arial" w:cs="Arial"/>
          <w:sz w:val="22"/>
          <w:szCs w:val="22"/>
          <w:lang w:val="en-US"/>
        </w:rPr>
        <w:t>identical variants can result in highly diverse clinical phenotypes,</w:t>
      </w:r>
      <w:r w:rsidR="004375D9" w:rsidRPr="00DE3121">
        <w:rPr>
          <w:rFonts w:ascii="Arial" w:hAnsi="Arial" w:cs="Arial"/>
          <w:sz w:val="22"/>
          <w:szCs w:val="22"/>
          <w:lang w:val="en-US"/>
        </w:rPr>
        <w:t xml:space="preserve"> </w:t>
      </w:r>
      <w:r w:rsidRPr="00DE3121">
        <w:rPr>
          <w:rFonts w:ascii="Arial" w:hAnsi="Arial" w:cs="Arial"/>
          <w:sz w:val="22"/>
          <w:szCs w:val="22"/>
          <w:lang w:val="en-US"/>
        </w:rPr>
        <w:t xml:space="preserve">suggesting the presence of </w:t>
      </w:r>
      <w:r w:rsidR="00DA235D" w:rsidRPr="00DE3121">
        <w:rPr>
          <w:rFonts w:ascii="Arial" w:hAnsi="Arial" w:cs="Arial"/>
          <w:sz w:val="22"/>
          <w:szCs w:val="22"/>
          <w:lang w:val="en-US"/>
        </w:rPr>
        <w:t xml:space="preserve">unknown </w:t>
      </w:r>
      <w:r w:rsidRPr="00DE3121">
        <w:rPr>
          <w:rFonts w:ascii="Arial" w:hAnsi="Arial" w:cs="Arial"/>
          <w:sz w:val="22"/>
          <w:szCs w:val="22"/>
          <w:lang w:val="en-US"/>
        </w:rPr>
        <w:t xml:space="preserve">additional factors that </w:t>
      </w:r>
      <w:r w:rsidR="00DA235D" w:rsidRPr="00DE3121">
        <w:rPr>
          <w:rFonts w:ascii="Arial" w:hAnsi="Arial" w:cs="Arial"/>
          <w:sz w:val="22"/>
          <w:szCs w:val="22"/>
          <w:lang w:val="en-US"/>
        </w:rPr>
        <w:t>have an impact on</w:t>
      </w:r>
      <w:r w:rsidRPr="00DE3121">
        <w:rPr>
          <w:rFonts w:ascii="Arial" w:hAnsi="Arial" w:cs="Arial"/>
          <w:sz w:val="22"/>
          <w:szCs w:val="22"/>
          <w:lang w:val="en-US"/>
        </w:rPr>
        <w:t xml:space="preserve"> the expression of the disease (</w:t>
      </w:r>
      <w:r w:rsidR="0001619B" w:rsidRPr="00DE3121">
        <w:rPr>
          <w:rFonts w:ascii="Arial" w:hAnsi="Arial" w:cs="Arial"/>
          <w:sz w:val="22"/>
          <w:szCs w:val="22"/>
          <w:lang w:val="en-US"/>
        </w:rPr>
        <w:t>2</w:t>
      </w:r>
      <w:r w:rsidR="004375D9" w:rsidRPr="00DE3121">
        <w:rPr>
          <w:rFonts w:ascii="Arial" w:hAnsi="Arial" w:cs="Arial"/>
          <w:sz w:val="22"/>
          <w:szCs w:val="22"/>
          <w:lang w:val="en-US"/>
        </w:rPr>
        <w:t xml:space="preserve">). </w:t>
      </w:r>
      <w:r w:rsidR="00581A29" w:rsidRPr="00DE3121">
        <w:rPr>
          <w:rFonts w:ascii="Arial" w:hAnsi="Arial" w:cs="Arial"/>
          <w:sz w:val="22"/>
          <w:szCs w:val="22"/>
          <w:lang w:val="en-US"/>
        </w:rPr>
        <w:t xml:space="preserve">Thus, there is a lack of a </w:t>
      </w:r>
      <w:r w:rsidR="007942EB" w:rsidRPr="00DE3121">
        <w:rPr>
          <w:rFonts w:ascii="Arial" w:hAnsi="Arial" w:cs="Arial"/>
          <w:sz w:val="22"/>
          <w:szCs w:val="22"/>
          <w:lang w:val="en-US"/>
        </w:rPr>
        <w:t>genotype-phenotype</w:t>
      </w:r>
      <w:r w:rsidR="00581A29" w:rsidRPr="00DE3121">
        <w:rPr>
          <w:rFonts w:ascii="Arial" w:hAnsi="Arial" w:cs="Arial"/>
          <w:sz w:val="22"/>
          <w:szCs w:val="22"/>
          <w:lang w:val="en-US"/>
        </w:rPr>
        <w:t xml:space="preserve"> correlation in ALD (</w:t>
      </w:r>
      <w:r w:rsidR="0001619B" w:rsidRPr="00DE3121">
        <w:rPr>
          <w:rFonts w:ascii="Arial" w:hAnsi="Arial" w:cs="Arial"/>
          <w:sz w:val="22"/>
          <w:szCs w:val="22"/>
          <w:lang w:val="en-US"/>
        </w:rPr>
        <w:t>10</w:t>
      </w:r>
      <w:r w:rsidR="00581A29" w:rsidRPr="00DE3121">
        <w:rPr>
          <w:rFonts w:ascii="Arial" w:hAnsi="Arial" w:cs="Arial"/>
          <w:sz w:val="22"/>
          <w:szCs w:val="22"/>
          <w:lang w:val="en-US"/>
        </w:rPr>
        <w:t xml:space="preserve">, </w:t>
      </w:r>
      <w:r w:rsidR="00D7706F" w:rsidRPr="00DE3121">
        <w:rPr>
          <w:rFonts w:ascii="Arial" w:hAnsi="Arial" w:cs="Arial"/>
          <w:sz w:val="22"/>
          <w:szCs w:val="22"/>
          <w:lang w:val="en-US"/>
        </w:rPr>
        <w:t>1</w:t>
      </w:r>
      <w:r w:rsidR="0001619B" w:rsidRPr="00DE3121">
        <w:rPr>
          <w:rFonts w:ascii="Arial" w:hAnsi="Arial" w:cs="Arial"/>
          <w:sz w:val="22"/>
          <w:szCs w:val="22"/>
          <w:lang w:val="en-US"/>
        </w:rPr>
        <w:t>1</w:t>
      </w:r>
      <w:r w:rsidR="00581A29" w:rsidRPr="00DE3121">
        <w:rPr>
          <w:rFonts w:ascii="Arial" w:hAnsi="Arial" w:cs="Arial"/>
          <w:sz w:val="22"/>
          <w:szCs w:val="22"/>
          <w:lang w:val="en-US"/>
        </w:rPr>
        <w:t>)</w:t>
      </w:r>
      <w:r w:rsidR="00D3003A" w:rsidRPr="00DE3121">
        <w:rPr>
          <w:rFonts w:ascii="Arial" w:hAnsi="Arial" w:cs="Arial"/>
          <w:sz w:val="22"/>
          <w:szCs w:val="22"/>
          <w:lang w:val="en-US"/>
        </w:rPr>
        <w:t xml:space="preserve">. </w:t>
      </w:r>
    </w:p>
    <w:p w14:paraId="681E0B2D" w14:textId="77777777" w:rsidR="004D1B6C" w:rsidRDefault="004D1B6C" w:rsidP="00DE3121">
      <w:pPr>
        <w:spacing w:after="0" w:line="276" w:lineRule="auto"/>
        <w:textAlignment w:val="baseline"/>
        <w:rPr>
          <w:rFonts w:ascii="Arial" w:hAnsi="Arial" w:cs="Arial"/>
          <w:sz w:val="22"/>
          <w:szCs w:val="22"/>
          <w:lang w:val="en-US"/>
        </w:rPr>
      </w:pPr>
    </w:p>
    <w:p w14:paraId="3CE9F1B9" w14:textId="2BB2FABC" w:rsidR="00F13699" w:rsidRDefault="00072F1D" w:rsidP="00DE3121">
      <w:pPr>
        <w:spacing w:after="0" w:line="276" w:lineRule="auto"/>
        <w:textAlignment w:val="baseline"/>
        <w:rPr>
          <w:rFonts w:ascii="Arial" w:eastAsia="Times New Roman" w:hAnsi="Arial" w:cs="Arial"/>
          <w:color w:val="000000"/>
          <w:kern w:val="0"/>
          <w:sz w:val="22"/>
          <w:szCs w:val="22"/>
          <w:lang w:val="en-US" w:eastAsia="el-GR"/>
        </w:rPr>
      </w:pPr>
      <w:r w:rsidRPr="00DE3121">
        <w:rPr>
          <w:rFonts w:ascii="Arial" w:hAnsi="Arial" w:cs="Arial"/>
          <w:sz w:val="22"/>
          <w:szCs w:val="22"/>
          <w:lang w:val="en-US"/>
        </w:rPr>
        <w:t>The ABCD1 gene</w:t>
      </w:r>
      <w:r w:rsidRPr="00DE3121">
        <w:rPr>
          <w:rFonts w:ascii="Arial" w:eastAsia="Times New Roman" w:hAnsi="Arial" w:cs="Arial"/>
          <w:kern w:val="0"/>
          <w:sz w:val="22"/>
          <w:szCs w:val="22"/>
          <w:lang w:val="en-US" w:eastAsia="el-GR"/>
        </w:rPr>
        <w:t xml:space="preserve"> encodes a peroxisomal trans-membrane protein of 745 amino acids, ALDP, a member of the ATP binding cassette (ABC) transport protein family, which helps to form the channel through which VLCFAs move into the peroxisome as VLCFA-CoA</w:t>
      </w:r>
      <w:r w:rsidR="00014762" w:rsidRPr="00DE3121">
        <w:rPr>
          <w:rFonts w:ascii="Arial" w:eastAsia="Times New Roman" w:hAnsi="Arial" w:cs="Arial"/>
          <w:kern w:val="0"/>
          <w:sz w:val="22"/>
          <w:szCs w:val="22"/>
          <w:lang w:val="en-US" w:eastAsia="el-GR"/>
        </w:rPr>
        <w:t xml:space="preserve"> </w:t>
      </w:r>
      <w:r w:rsidRPr="00DE3121">
        <w:rPr>
          <w:rFonts w:ascii="Arial" w:eastAsia="Times New Roman" w:hAnsi="Arial" w:cs="Arial"/>
          <w:kern w:val="0"/>
          <w:sz w:val="22"/>
          <w:szCs w:val="22"/>
          <w:lang w:val="en-US" w:eastAsia="el-GR"/>
        </w:rPr>
        <w:t>(</w:t>
      </w:r>
      <w:r w:rsidR="00D7706F" w:rsidRPr="00DE3121">
        <w:rPr>
          <w:rFonts w:ascii="Arial" w:eastAsia="Times New Roman" w:hAnsi="Arial" w:cs="Arial"/>
          <w:kern w:val="0"/>
          <w:sz w:val="22"/>
          <w:szCs w:val="22"/>
          <w:lang w:val="en-US" w:eastAsia="el-GR"/>
        </w:rPr>
        <w:t>12</w:t>
      </w:r>
      <w:r w:rsidRPr="00DE3121">
        <w:rPr>
          <w:rFonts w:ascii="Arial" w:eastAsia="Times New Roman" w:hAnsi="Arial" w:cs="Arial"/>
          <w:kern w:val="0"/>
          <w:sz w:val="22"/>
          <w:szCs w:val="22"/>
          <w:lang w:val="en-US" w:eastAsia="el-GR"/>
        </w:rPr>
        <w:t>).</w:t>
      </w:r>
      <w:r w:rsidR="00014762" w:rsidRPr="00DE3121">
        <w:rPr>
          <w:rFonts w:ascii="Arial" w:eastAsia="Times New Roman" w:hAnsi="Arial" w:cs="Arial"/>
          <w:kern w:val="0"/>
          <w:sz w:val="22"/>
          <w:szCs w:val="22"/>
          <w:lang w:val="en-US" w:eastAsia="el-GR"/>
        </w:rPr>
        <w:t xml:space="preserve"> </w:t>
      </w:r>
      <w:r w:rsidR="00581A29" w:rsidRPr="00DE3121">
        <w:rPr>
          <w:rFonts w:ascii="Arial" w:hAnsi="Arial" w:cs="Arial"/>
          <w:sz w:val="22"/>
          <w:szCs w:val="22"/>
          <w:lang w:val="en-US"/>
        </w:rPr>
        <w:t xml:space="preserve">ALDP deficiency leads to an impaired peroxisomal </w:t>
      </w:r>
      <w:r w:rsidR="00581A29" w:rsidRPr="00DE3121">
        <w:rPr>
          <w:rFonts w:ascii="Arial" w:hAnsi="Arial" w:cs="Arial"/>
          <w:sz w:val="22"/>
          <w:szCs w:val="22"/>
        </w:rPr>
        <w:t>β</w:t>
      </w:r>
      <w:r w:rsidR="00581A29" w:rsidRPr="00DE3121">
        <w:rPr>
          <w:rFonts w:ascii="Arial" w:hAnsi="Arial" w:cs="Arial"/>
          <w:sz w:val="22"/>
          <w:szCs w:val="22"/>
          <w:lang w:val="en-US"/>
        </w:rPr>
        <w:t>-</w:t>
      </w:r>
      <w:r w:rsidR="00581A29" w:rsidRPr="00DE3121">
        <w:rPr>
          <w:rFonts w:ascii="Arial" w:hAnsi="Arial" w:cs="Arial"/>
          <w:sz w:val="22"/>
          <w:szCs w:val="22"/>
          <w:lang w:val="en-US"/>
        </w:rPr>
        <w:noBreakHyphen/>
        <w:t>oxidation of saturated straight-chain very long-chain fatty acids (VLCFA) (</w:t>
      </w:r>
      <w:r w:rsidR="00D7706F" w:rsidRPr="00DE3121">
        <w:rPr>
          <w:rFonts w:ascii="Arial" w:hAnsi="Arial" w:cs="Arial"/>
          <w:sz w:val="22"/>
          <w:szCs w:val="22"/>
          <w:lang w:val="en-US"/>
        </w:rPr>
        <w:t>13</w:t>
      </w:r>
      <w:r w:rsidR="00581A29" w:rsidRPr="00DE3121">
        <w:rPr>
          <w:rFonts w:ascii="Arial" w:hAnsi="Arial" w:cs="Arial"/>
          <w:sz w:val="22"/>
          <w:szCs w:val="22"/>
          <w:lang w:val="en-US"/>
        </w:rPr>
        <w:t>) result</w:t>
      </w:r>
      <w:r w:rsidR="00014762" w:rsidRPr="00DE3121">
        <w:rPr>
          <w:rFonts w:ascii="Arial" w:hAnsi="Arial" w:cs="Arial"/>
          <w:sz w:val="22"/>
          <w:szCs w:val="22"/>
          <w:lang w:val="en-US"/>
        </w:rPr>
        <w:t>ing</w:t>
      </w:r>
      <w:r w:rsidR="00581A29" w:rsidRPr="00DE3121">
        <w:rPr>
          <w:rFonts w:ascii="Arial" w:hAnsi="Arial" w:cs="Arial"/>
          <w:sz w:val="22"/>
          <w:szCs w:val="22"/>
          <w:lang w:val="en-US"/>
        </w:rPr>
        <w:t xml:space="preserve"> </w:t>
      </w:r>
      <w:r w:rsidR="002F0E0D" w:rsidRPr="00DE3121">
        <w:rPr>
          <w:rFonts w:ascii="Arial" w:hAnsi="Arial" w:cs="Arial"/>
          <w:sz w:val="22"/>
          <w:szCs w:val="22"/>
          <w:lang w:val="en-US"/>
        </w:rPr>
        <w:t>in the accumulation of VLCFAs in plasma and tissues, including the white matter of the brain, spinal cord</w:t>
      </w:r>
      <w:r w:rsidR="0024096A">
        <w:rPr>
          <w:rFonts w:ascii="Arial" w:hAnsi="Arial" w:cs="Arial"/>
          <w:sz w:val="22"/>
          <w:szCs w:val="22"/>
          <w:lang w:val="en-US"/>
        </w:rPr>
        <w:t>,</w:t>
      </w:r>
      <w:r w:rsidR="002F0E0D" w:rsidRPr="00DE3121">
        <w:rPr>
          <w:rFonts w:ascii="Arial" w:hAnsi="Arial" w:cs="Arial"/>
          <w:sz w:val="22"/>
          <w:szCs w:val="22"/>
          <w:lang w:val="en-US"/>
        </w:rPr>
        <w:t xml:space="preserve"> and adrenal cortex (</w:t>
      </w:r>
      <w:r w:rsidR="00D7706F" w:rsidRPr="00DE3121">
        <w:rPr>
          <w:rFonts w:ascii="Arial" w:hAnsi="Arial" w:cs="Arial"/>
          <w:sz w:val="22"/>
          <w:szCs w:val="22"/>
          <w:lang w:val="en-US"/>
        </w:rPr>
        <w:t>1</w:t>
      </w:r>
      <w:r w:rsidR="0001619B" w:rsidRPr="00DE3121">
        <w:rPr>
          <w:rFonts w:ascii="Arial" w:hAnsi="Arial" w:cs="Arial"/>
          <w:sz w:val="22"/>
          <w:szCs w:val="22"/>
          <w:lang w:val="en-US"/>
        </w:rPr>
        <w:t>4</w:t>
      </w:r>
      <w:r w:rsidR="002F0E0D" w:rsidRPr="00DE3121">
        <w:rPr>
          <w:rFonts w:ascii="Arial" w:hAnsi="Arial" w:cs="Arial"/>
          <w:sz w:val="22"/>
          <w:szCs w:val="22"/>
          <w:lang w:val="en-US"/>
        </w:rPr>
        <w:t xml:space="preserve">). </w:t>
      </w:r>
      <w:r w:rsidR="00C03489" w:rsidRPr="00DE3121">
        <w:rPr>
          <w:rFonts w:ascii="Arial" w:hAnsi="Arial" w:cs="Arial"/>
          <w:sz w:val="22"/>
          <w:szCs w:val="22"/>
          <w:lang w:val="en-US"/>
        </w:rPr>
        <w:t>Chronic accumulation of cholesterol with saturated VLCFA in the zona fasciculata and reticularis of the adrenal cortex is believed to result in cytotoxic effects, apoptosis and ultimately atrophy of the adrenal cortex and with loss of cortisol production (</w:t>
      </w:r>
      <w:r w:rsidR="00D7706F" w:rsidRPr="00DE3121">
        <w:rPr>
          <w:rFonts w:ascii="Arial" w:hAnsi="Arial" w:cs="Arial"/>
          <w:sz w:val="22"/>
          <w:szCs w:val="22"/>
          <w:lang w:val="en-US"/>
        </w:rPr>
        <w:t>15</w:t>
      </w:r>
      <w:r w:rsidR="00C03489" w:rsidRPr="00DE3121">
        <w:rPr>
          <w:rFonts w:ascii="Arial" w:hAnsi="Arial" w:cs="Arial"/>
          <w:sz w:val="22"/>
          <w:szCs w:val="22"/>
          <w:lang w:val="en-US"/>
        </w:rPr>
        <w:t xml:space="preserve">, </w:t>
      </w:r>
      <w:r w:rsidR="00D7706F" w:rsidRPr="00DE3121">
        <w:rPr>
          <w:rFonts w:ascii="Arial" w:hAnsi="Arial" w:cs="Arial"/>
          <w:sz w:val="22"/>
          <w:szCs w:val="22"/>
          <w:lang w:val="en-US"/>
        </w:rPr>
        <w:t>16</w:t>
      </w:r>
      <w:r w:rsidR="00C03489" w:rsidRPr="00DE3121">
        <w:rPr>
          <w:rFonts w:ascii="Arial" w:hAnsi="Arial" w:cs="Arial"/>
          <w:sz w:val="22"/>
          <w:szCs w:val="22"/>
          <w:lang w:val="en-US"/>
        </w:rPr>
        <w:t xml:space="preserve">). </w:t>
      </w:r>
      <w:r w:rsidR="00F13699" w:rsidRPr="00DE3121">
        <w:rPr>
          <w:rFonts w:ascii="Arial" w:eastAsia="Times New Roman" w:hAnsi="Arial" w:cs="Arial"/>
          <w:color w:val="000000"/>
          <w:kern w:val="0"/>
          <w:sz w:val="22"/>
          <w:szCs w:val="22"/>
          <w:lang w:val="en-US" w:eastAsia="el-GR"/>
        </w:rPr>
        <w:t>The pathogenesis of X-ALD is summarized in Figure 1.</w:t>
      </w:r>
    </w:p>
    <w:p w14:paraId="0EF68B40" w14:textId="77777777" w:rsidR="004D1B6C" w:rsidRPr="00DE3121" w:rsidRDefault="004D1B6C" w:rsidP="00DE3121">
      <w:pPr>
        <w:spacing w:after="0" w:line="276" w:lineRule="auto"/>
        <w:textAlignment w:val="baseline"/>
        <w:rPr>
          <w:rFonts w:ascii="Arial" w:eastAsia="Times New Roman" w:hAnsi="Arial" w:cs="Arial"/>
          <w:color w:val="000000"/>
          <w:kern w:val="0"/>
          <w:sz w:val="22"/>
          <w:szCs w:val="22"/>
          <w:lang w:val="en-US" w:eastAsia="el-GR"/>
        </w:rPr>
      </w:pPr>
    </w:p>
    <w:p w14:paraId="72A3D3EC" w14:textId="77777777" w:rsidR="00F517A7" w:rsidRPr="00DE3121" w:rsidRDefault="00F517A7" w:rsidP="00DE3121">
      <w:pPr>
        <w:pStyle w:val="NormalWeb"/>
        <w:spacing w:before="0" w:beforeAutospacing="0" w:after="0" w:afterAutospacing="0" w:line="276" w:lineRule="auto"/>
        <w:rPr>
          <w:rFonts w:ascii="Arial" w:hAnsi="Arial" w:cs="Arial"/>
          <w:sz w:val="22"/>
          <w:szCs w:val="22"/>
          <w:lang w:val="en-US"/>
        </w:rPr>
      </w:pPr>
      <w:r w:rsidRPr="00DE3121">
        <w:rPr>
          <w:rFonts w:ascii="Arial" w:hAnsi="Arial" w:cs="Arial"/>
          <w:noProof/>
          <w:sz w:val="22"/>
          <w:szCs w:val="22"/>
          <w:lang w:val="en-US" w:eastAsia="en-US"/>
        </w:rPr>
        <w:lastRenderedPageBreak/>
        <w:drawing>
          <wp:inline distT="0" distB="0" distL="0" distR="0" wp14:anchorId="44A05FD0" wp14:editId="07777777">
            <wp:extent cx="5274310" cy="3885565"/>
            <wp:effectExtent l="0" t="0" r="2540" b="635"/>
            <wp:docPr id="811075103" name="Εικόνα 5" descr="Εικόνα που περιέχει κύκλος, διάγραμμα, κείμενο, εικονογράφη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75103" name="Εικόνα 5" descr="Εικόνα που περιέχει κύκλος, διάγραμμα, κείμενο, εικονογράφηση&#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885565"/>
                    </a:xfrm>
                    <a:prstGeom prst="rect">
                      <a:avLst/>
                    </a:prstGeom>
                    <a:noFill/>
                    <a:ln>
                      <a:noFill/>
                    </a:ln>
                  </pic:spPr>
                </pic:pic>
              </a:graphicData>
            </a:graphic>
          </wp:inline>
        </w:drawing>
      </w:r>
    </w:p>
    <w:p w14:paraId="0BE28DAA" w14:textId="516E93B3" w:rsidR="00F517A7" w:rsidRPr="004D1B6C" w:rsidRDefault="61DF85E3" w:rsidP="00DE3121">
      <w:pPr>
        <w:pStyle w:val="NormalWeb"/>
        <w:spacing w:before="0" w:beforeAutospacing="0" w:after="0" w:afterAutospacing="0" w:line="276" w:lineRule="auto"/>
        <w:rPr>
          <w:rFonts w:ascii="Arial" w:hAnsi="Arial" w:cs="Arial"/>
          <w:b/>
          <w:bCs/>
          <w:sz w:val="22"/>
          <w:szCs w:val="22"/>
          <w:lang w:val="en-US"/>
        </w:rPr>
      </w:pPr>
      <w:r w:rsidRPr="004D1B6C">
        <w:rPr>
          <w:rFonts w:ascii="Arial" w:hAnsi="Arial" w:cs="Arial"/>
          <w:b/>
          <w:bCs/>
          <w:sz w:val="22"/>
          <w:szCs w:val="22"/>
          <w:lang w:val="en-US"/>
        </w:rPr>
        <w:t>Figure 1. The pathogenesis of ALD. Adapted with permission from www.adrenoleukodystrophy.info</w:t>
      </w:r>
      <w:r w:rsidR="004D1B6C">
        <w:rPr>
          <w:rFonts w:ascii="Arial" w:hAnsi="Arial" w:cs="Arial"/>
          <w:b/>
          <w:bCs/>
          <w:sz w:val="22"/>
          <w:szCs w:val="22"/>
          <w:lang w:val="en-US"/>
        </w:rPr>
        <w:t>.</w:t>
      </w:r>
    </w:p>
    <w:p w14:paraId="6EC7E622" w14:textId="4544C6A8" w:rsidR="61DF85E3" w:rsidRPr="00DE3121" w:rsidRDefault="61DF85E3" w:rsidP="00DE3121">
      <w:pPr>
        <w:pStyle w:val="NormalWeb"/>
        <w:spacing w:before="0" w:beforeAutospacing="0" w:after="0" w:afterAutospacing="0" w:line="276" w:lineRule="auto"/>
        <w:rPr>
          <w:rFonts w:ascii="Arial" w:hAnsi="Arial" w:cs="Arial"/>
          <w:color w:val="000000" w:themeColor="text1"/>
          <w:sz w:val="22"/>
          <w:szCs w:val="22"/>
          <w:lang w:val="en-US"/>
        </w:rPr>
      </w:pPr>
    </w:p>
    <w:p w14:paraId="7D1E9EE9" w14:textId="722068E7" w:rsidR="00AF4520" w:rsidRDefault="007D6F32" w:rsidP="00DE3121">
      <w:pPr>
        <w:pStyle w:val="NormalWeb"/>
        <w:spacing w:before="0" w:beforeAutospacing="0" w:after="0" w:afterAutospacing="0" w:line="276" w:lineRule="auto"/>
        <w:rPr>
          <w:rFonts w:ascii="Arial" w:hAnsi="Arial" w:cs="Arial"/>
          <w:color w:val="000000"/>
          <w:sz w:val="22"/>
          <w:szCs w:val="22"/>
          <w:shd w:val="clear" w:color="auto" w:fill="FFFFFF"/>
          <w:lang w:val="en-US"/>
        </w:rPr>
      </w:pPr>
      <w:r w:rsidRPr="00DE3121">
        <w:rPr>
          <w:rFonts w:ascii="Arial" w:hAnsi="Arial" w:cs="Arial"/>
          <w:color w:val="000000"/>
          <w:sz w:val="22"/>
          <w:szCs w:val="22"/>
          <w:lang w:val="en-US"/>
        </w:rPr>
        <w:t>The mode of inheritance of X-ALD is X-linked recessive</w:t>
      </w:r>
      <w:r w:rsidR="00F13699" w:rsidRPr="00DE3121">
        <w:rPr>
          <w:rFonts w:ascii="Arial" w:hAnsi="Arial" w:cs="Arial"/>
          <w:color w:val="000000"/>
          <w:sz w:val="22"/>
          <w:szCs w:val="22"/>
          <w:lang w:val="en-US"/>
        </w:rPr>
        <w:t xml:space="preserve"> (figure 2)</w:t>
      </w:r>
      <w:r w:rsidRPr="00DE3121">
        <w:rPr>
          <w:rFonts w:ascii="Arial" w:hAnsi="Arial" w:cs="Arial"/>
          <w:color w:val="000000"/>
          <w:sz w:val="22"/>
          <w:szCs w:val="22"/>
          <w:lang w:val="en-US"/>
        </w:rPr>
        <w:t xml:space="preserve">, thus the possibility of a son of a female carrier developing X-ALD is 50%, whilst 50% of female </w:t>
      </w:r>
      <w:r w:rsidR="007942EB" w:rsidRPr="00DE3121">
        <w:rPr>
          <w:rFonts w:ascii="Arial" w:hAnsi="Arial" w:cs="Arial"/>
          <w:color w:val="000000"/>
          <w:sz w:val="22"/>
          <w:szCs w:val="22"/>
          <w:lang w:val="en-US"/>
        </w:rPr>
        <w:t>offspring</w:t>
      </w:r>
      <w:r w:rsidR="00E57BEF" w:rsidRPr="00DE3121">
        <w:rPr>
          <w:rFonts w:ascii="Arial" w:hAnsi="Arial" w:cs="Arial"/>
          <w:color w:val="000000"/>
          <w:sz w:val="22"/>
          <w:szCs w:val="22"/>
          <w:lang w:val="en-US"/>
        </w:rPr>
        <w:t>s</w:t>
      </w:r>
      <w:r w:rsidRPr="00DE3121">
        <w:rPr>
          <w:rFonts w:ascii="Arial" w:hAnsi="Arial" w:cs="Arial"/>
          <w:color w:val="000000"/>
          <w:sz w:val="22"/>
          <w:szCs w:val="22"/>
          <w:lang w:val="en-US"/>
        </w:rPr>
        <w:t xml:space="preserve"> will also be heterozygous carriers. All female </w:t>
      </w:r>
      <w:r w:rsidR="007942EB" w:rsidRPr="00DE3121">
        <w:rPr>
          <w:rFonts w:ascii="Arial" w:hAnsi="Arial" w:cs="Arial"/>
          <w:color w:val="000000"/>
          <w:sz w:val="22"/>
          <w:szCs w:val="22"/>
          <w:lang w:val="en-US"/>
        </w:rPr>
        <w:t>offspring</w:t>
      </w:r>
      <w:r w:rsidR="00E57BEF" w:rsidRPr="00DE3121">
        <w:rPr>
          <w:rFonts w:ascii="Arial" w:hAnsi="Arial" w:cs="Arial"/>
          <w:color w:val="000000"/>
          <w:sz w:val="22"/>
          <w:szCs w:val="22"/>
          <w:lang w:val="en-US"/>
        </w:rPr>
        <w:t>s</w:t>
      </w:r>
      <w:r w:rsidRPr="00DE3121">
        <w:rPr>
          <w:rFonts w:ascii="Arial" w:hAnsi="Arial" w:cs="Arial"/>
          <w:color w:val="000000"/>
          <w:sz w:val="22"/>
          <w:szCs w:val="22"/>
          <w:lang w:val="en-US"/>
        </w:rPr>
        <w:t xml:space="preserve"> of an affected male will be carriers but none of his male </w:t>
      </w:r>
      <w:r w:rsidR="007942EB" w:rsidRPr="00DE3121">
        <w:rPr>
          <w:rFonts w:ascii="Arial" w:hAnsi="Arial" w:cs="Arial"/>
          <w:color w:val="000000"/>
          <w:sz w:val="22"/>
          <w:szCs w:val="22"/>
          <w:lang w:val="en-US"/>
        </w:rPr>
        <w:t>offspring</w:t>
      </w:r>
      <w:r w:rsidR="00E57BEF" w:rsidRPr="00DE3121">
        <w:rPr>
          <w:rFonts w:ascii="Arial" w:hAnsi="Arial" w:cs="Arial"/>
          <w:color w:val="000000"/>
          <w:sz w:val="22"/>
          <w:szCs w:val="22"/>
          <w:lang w:val="en-US"/>
        </w:rPr>
        <w:t>s</w:t>
      </w:r>
      <w:r w:rsidRPr="00DE3121">
        <w:rPr>
          <w:rFonts w:ascii="Arial" w:hAnsi="Arial" w:cs="Arial"/>
          <w:color w:val="000000"/>
          <w:sz w:val="22"/>
          <w:szCs w:val="22"/>
          <w:lang w:val="en-US"/>
        </w:rPr>
        <w:t xml:space="preserve"> will be affected. </w:t>
      </w:r>
      <w:r w:rsidR="00AF4520" w:rsidRPr="00DE3121">
        <w:rPr>
          <w:rFonts w:ascii="Arial" w:hAnsi="Arial" w:cs="Arial"/>
          <w:sz w:val="22"/>
          <w:szCs w:val="22"/>
          <w:lang w:val="en-US"/>
        </w:rPr>
        <w:t>Since X-ALD is an X-linked inherited disorder, males are more severely affected than females. Some heterozygous X-ALD females can exhibit symptoms due to skewed X-chromosome inactivation or other genetic factors.</w:t>
      </w:r>
      <w:r w:rsidR="00AF4520" w:rsidRPr="00DE3121">
        <w:rPr>
          <w:rFonts w:ascii="Arial" w:hAnsi="Arial" w:cs="Arial"/>
          <w:color w:val="000000"/>
          <w:sz w:val="22"/>
          <w:szCs w:val="22"/>
          <w:shd w:val="clear" w:color="auto" w:fill="FFFFFF"/>
          <w:lang w:val="en-US"/>
        </w:rPr>
        <w:t xml:space="preserve"> Females who carry the defective gene used to be referred to as “carriers” because it was thought that only a small percentage of the</w:t>
      </w:r>
      <w:r w:rsidR="00E57BEF" w:rsidRPr="00DE3121">
        <w:rPr>
          <w:rFonts w:ascii="Arial" w:hAnsi="Arial" w:cs="Arial"/>
          <w:color w:val="000000"/>
          <w:sz w:val="22"/>
          <w:szCs w:val="22"/>
          <w:shd w:val="clear" w:color="auto" w:fill="FFFFFF"/>
          <w:lang w:val="en-US"/>
        </w:rPr>
        <w:t>m</w:t>
      </w:r>
      <w:r w:rsidR="00AF4520" w:rsidRPr="00DE3121">
        <w:rPr>
          <w:rFonts w:ascii="Arial" w:hAnsi="Arial" w:cs="Arial"/>
          <w:color w:val="000000"/>
          <w:sz w:val="22"/>
          <w:szCs w:val="22"/>
          <w:shd w:val="clear" w:color="auto" w:fill="FFFFFF"/>
          <w:lang w:val="en-US"/>
        </w:rPr>
        <w:t xml:space="preserve"> w</w:t>
      </w:r>
      <w:r w:rsidR="00E57BEF" w:rsidRPr="00DE3121">
        <w:rPr>
          <w:rFonts w:ascii="Arial" w:hAnsi="Arial" w:cs="Arial"/>
          <w:color w:val="000000"/>
          <w:sz w:val="22"/>
          <w:szCs w:val="22"/>
          <w:shd w:val="clear" w:color="auto" w:fill="FFFFFF"/>
          <w:lang w:val="en-US"/>
        </w:rPr>
        <w:t>ill</w:t>
      </w:r>
      <w:r w:rsidR="00AF4520" w:rsidRPr="00DE3121">
        <w:rPr>
          <w:rFonts w:ascii="Arial" w:hAnsi="Arial" w:cs="Arial"/>
          <w:color w:val="000000"/>
          <w:sz w:val="22"/>
          <w:szCs w:val="22"/>
          <w:shd w:val="clear" w:color="auto" w:fill="FFFFFF"/>
          <w:lang w:val="en-US"/>
        </w:rPr>
        <w:t xml:space="preserve"> develop clinical symptoms. However, it has been recently </w:t>
      </w:r>
      <w:r w:rsidR="007942EB" w:rsidRPr="00DE3121">
        <w:rPr>
          <w:rFonts w:ascii="Arial" w:hAnsi="Arial" w:cs="Arial"/>
          <w:color w:val="000000"/>
          <w:sz w:val="22"/>
          <w:szCs w:val="22"/>
          <w:shd w:val="clear" w:color="auto" w:fill="FFFFFF"/>
          <w:lang w:val="en-US"/>
        </w:rPr>
        <w:t>shown</w:t>
      </w:r>
      <w:r w:rsidR="00AF4520" w:rsidRPr="00DE3121">
        <w:rPr>
          <w:rFonts w:ascii="Arial" w:hAnsi="Arial" w:cs="Arial"/>
          <w:color w:val="000000"/>
          <w:sz w:val="22"/>
          <w:szCs w:val="22"/>
          <w:shd w:val="clear" w:color="auto" w:fill="FFFFFF"/>
          <w:lang w:val="en-US"/>
        </w:rPr>
        <w:t xml:space="preserve"> that 80% of female</w:t>
      </w:r>
      <w:r w:rsidR="007E0469" w:rsidRPr="00DE3121">
        <w:rPr>
          <w:rFonts w:ascii="Arial" w:hAnsi="Arial" w:cs="Arial"/>
          <w:color w:val="000000"/>
          <w:sz w:val="22"/>
          <w:szCs w:val="22"/>
          <w:shd w:val="clear" w:color="auto" w:fill="FFFFFF"/>
          <w:lang w:val="en-US"/>
        </w:rPr>
        <w:t xml:space="preserve"> patients </w:t>
      </w:r>
      <w:r w:rsidR="00AF4520" w:rsidRPr="00DE3121">
        <w:rPr>
          <w:rFonts w:ascii="Arial" w:hAnsi="Arial" w:cs="Arial"/>
          <w:color w:val="000000"/>
          <w:sz w:val="22"/>
          <w:szCs w:val="22"/>
          <w:shd w:val="clear" w:color="auto" w:fill="FFFFFF"/>
          <w:lang w:val="en-US"/>
        </w:rPr>
        <w:t>will eventually develop symptoms although milder</w:t>
      </w:r>
      <w:r w:rsidR="00E57BEF" w:rsidRPr="00DE3121">
        <w:rPr>
          <w:rFonts w:ascii="Arial" w:hAnsi="Arial" w:cs="Arial"/>
          <w:color w:val="000000"/>
          <w:sz w:val="22"/>
          <w:szCs w:val="22"/>
          <w:shd w:val="clear" w:color="auto" w:fill="FFFFFF"/>
          <w:lang w:val="en-US"/>
        </w:rPr>
        <w:t xml:space="preserve"> in severity</w:t>
      </w:r>
      <w:r w:rsidR="00AF4520" w:rsidRPr="00DE3121">
        <w:rPr>
          <w:rFonts w:ascii="Arial" w:hAnsi="Arial" w:cs="Arial"/>
          <w:color w:val="000000"/>
          <w:sz w:val="22"/>
          <w:szCs w:val="22"/>
          <w:shd w:val="clear" w:color="auto" w:fill="FFFFFF"/>
          <w:lang w:val="en-US"/>
        </w:rPr>
        <w:t xml:space="preserve"> than m</w:t>
      </w:r>
      <w:r w:rsidR="00E57BEF" w:rsidRPr="00DE3121">
        <w:rPr>
          <w:rFonts w:ascii="Arial" w:hAnsi="Arial" w:cs="Arial"/>
          <w:color w:val="000000"/>
          <w:sz w:val="22"/>
          <w:szCs w:val="22"/>
          <w:shd w:val="clear" w:color="auto" w:fill="FFFFFF"/>
          <w:lang w:val="en-US"/>
        </w:rPr>
        <w:t xml:space="preserve">ales. </w:t>
      </w:r>
      <w:r w:rsidR="00AF4520" w:rsidRPr="00DE3121">
        <w:rPr>
          <w:rFonts w:ascii="Arial" w:hAnsi="Arial" w:cs="Arial"/>
          <w:color w:val="000000"/>
          <w:sz w:val="22"/>
          <w:szCs w:val="22"/>
          <w:shd w:val="clear" w:color="auto" w:fill="FFFFFF"/>
          <w:lang w:val="en-US"/>
        </w:rPr>
        <w:t>The most likely explanation</w:t>
      </w:r>
      <w:r w:rsidR="00E57BEF" w:rsidRPr="00DE3121">
        <w:rPr>
          <w:rFonts w:ascii="Arial" w:hAnsi="Arial" w:cs="Arial"/>
          <w:color w:val="000000"/>
          <w:sz w:val="22"/>
          <w:szCs w:val="22"/>
          <w:shd w:val="clear" w:color="auto" w:fill="FFFFFF"/>
          <w:lang w:val="en-US"/>
        </w:rPr>
        <w:t xml:space="preserve"> for this clinical manifestation</w:t>
      </w:r>
      <w:r w:rsidR="00AF4520" w:rsidRPr="00DE3121">
        <w:rPr>
          <w:rFonts w:ascii="Arial" w:hAnsi="Arial" w:cs="Arial"/>
          <w:color w:val="000000"/>
          <w:sz w:val="22"/>
          <w:szCs w:val="22"/>
          <w:shd w:val="clear" w:color="auto" w:fill="FFFFFF"/>
          <w:lang w:val="en-US"/>
        </w:rPr>
        <w:t xml:space="preserve"> is the presence of a </w:t>
      </w:r>
      <w:r w:rsidR="007E0469" w:rsidRPr="00DE3121">
        <w:rPr>
          <w:rFonts w:ascii="Arial" w:hAnsi="Arial" w:cs="Arial"/>
          <w:color w:val="000000"/>
          <w:sz w:val="22"/>
          <w:szCs w:val="22"/>
          <w:shd w:val="clear" w:color="auto" w:fill="FFFFFF"/>
          <w:lang w:val="en-US"/>
        </w:rPr>
        <w:t>normal</w:t>
      </w:r>
      <w:r w:rsidR="00AF4520" w:rsidRPr="00DE3121">
        <w:rPr>
          <w:rFonts w:ascii="Arial" w:hAnsi="Arial" w:cs="Arial"/>
          <w:color w:val="000000"/>
          <w:sz w:val="22"/>
          <w:szCs w:val="22"/>
          <w:shd w:val="clear" w:color="auto" w:fill="FFFFFF"/>
          <w:lang w:val="en-US"/>
        </w:rPr>
        <w:t xml:space="preserve"> copy of the </w:t>
      </w:r>
      <w:r w:rsidR="00AF4520" w:rsidRPr="00DE3121">
        <w:rPr>
          <w:rStyle w:val="Emphasis"/>
          <w:rFonts w:ascii="Arial" w:eastAsiaTheme="majorEastAsia" w:hAnsi="Arial" w:cs="Arial"/>
          <w:i w:val="0"/>
          <w:iCs w:val="0"/>
          <w:color w:val="000000"/>
          <w:sz w:val="22"/>
          <w:szCs w:val="22"/>
          <w:shd w:val="clear" w:color="auto" w:fill="FFFFFF"/>
          <w:lang w:val="en-US"/>
        </w:rPr>
        <w:t>ABCD1</w:t>
      </w:r>
      <w:r w:rsidR="00AF4520" w:rsidRPr="00DE3121">
        <w:rPr>
          <w:rFonts w:ascii="Arial" w:hAnsi="Arial" w:cs="Arial"/>
          <w:i/>
          <w:iCs/>
          <w:color w:val="000000"/>
          <w:sz w:val="22"/>
          <w:szCs w:val="22"/>
          <w:shd w:val="clear" w:color="auto" w:fill="FFFFFF"/>
          <w:lang w:val="en-US"/>
        </w:rPr>
        <w:t> </w:t>
      </w:r>
      <w:r w:rsidR="00AF4520" w:rsidRPr="00DE3121">
        <w:rPr>
          <w:rFonts w:ascii="Arial" w:hAnsi="Arial" w:cs="Arial"/>
          <w:color w:val="000000"/>
          <w:sz w:val="22"/>
          <w:szCs w:val="22"/>
          <w:shd w:val="clear" w:color="auto" w:fill="FFFFFF"/>
          <w:lang w:val="en-US"/>
        </w:rPr>
        <w:t>gene on their other X-chromosome</w:t>
      </w:r>
      <w:r w:rsidR="007E0469" w:rsidRPr="00DE3121">
        <w:rPr>
          <w:rFonts w:ascii="Arial" w:hAnsi="Arial" w:cs="Arial"/>
          <w:color w:val="000000"/>
          <w:sz w:val="22"/>
          <w:szCs w:val="22"/>
          <w:shd w:val="clear" w:color="auto" w:fill="FFFFFF"/>
          <w:lang w:val="en-US"/>
        </w:rPr>
        <w:t xml:space="preserve"> that </w:t>
      </w:r>
      <w:r w:rsidR="00AF4520" w:rsidRPr="00DE3121">
        <w:rPr>
          <w:rFonts w:ascii="Arial" w:hAnsi="Arial" w:cs="Arial"/>
          <w:color w:val="000000"/>
          <w:sz w:val="22"/>
          <w:szCs w:val="22"/>
          <w:shd w:val="clear" w:color="auto" w:fill="FFFFFF"/>
          <w:lang w:val="en-US"/>
        </w:rPr>
        <w:t xml:space="preserve">protects </w:t>
      </w:r>
      <w:r w:rsidR="007E0469" w:rsidRPr="00DE3121">
        <w:rPr>
          <w:rFonts w:ascii="Arial" w:hAnsi="Arial" w:cs="Arial"/>
          <w:color w:val="000000"/>
          <w:sz w:val="22"/>
          <w:szCs w:val="22"/>
          <w:shd w:val="clear" w:color="auto" w:fill="FFFFFF"/>
          <w:lang w:val="en-US"/>
        </w:rPr>
        <w:t xml:space="preserve">women </w:t>
      </w:r>
      <w:r w:rsidR="00AF4520" w:rsidRPr="00DE3121">
        <w:rPr>
          <w:rFonts w:ascii="Arial" w:hAnsi="Arial" w:cs="Arial"/>
          <w:color w:val="000000"/>
          <w:sz w:val="22"/>
          <w:szCs w:val="22"/>
          <w:shd w:val="clear" w:color="auto" w:fill="FFFFFF"/>
          <w:lang w:val="en-US"/>
        </w:rPr>
        <w:t>with ALD from developing the brain variant (cerebral ALD)</w:t>
      </w:r>
      <w:r w:rsidR="007E0469" w:rsidRPr="00DE3121">
        <w:rPr>
          <w:rFonts w:ascii="Arial" w:hAnsi="Arial" w:cs="Arial"/>
          <w:color w:val="000000"/>
          <w:sz w:val="22"/>
          <w:szCs w:val="22"/>
          <w:shd w:val="clear" w:color="auto" w:fill="FFFFFF"/>
          <w:lang w:val="en-US"/>
        </w:rPr>
        <w:t xml:space="preserve"> or other </w:t>
      </w:r>
      <w:r w:rsidR="00E57BEF" w:rsidRPr="00DE3121">
        <w:rPr>
          <w:rFonts w:ascii="Arial" w:hAnsi="Arial" w:cs="Arial"/>
          <w:color w:val="000000"/>
          <w:sz w:val="22"/>
          <w:szCs w:val="22"/>
          <w:shd w:val="clear" w:color="auto" w:fill="FFFFFF"/>
          <w:lang w:val="en-US"/>
        </w:rPr>
        <w:t xml:space="preserve">still unexplored </w:t>
      </w:r>
      <w:r w:rsidR="007E0469" w:rsidRPr="00DE3121">
        <w:rPr>
          <w:rFonts w:ascii="Arial" w:hAnsi="Arial" w:cs="Arial"/>
          <w:color w:val="000000"/>
          <w:sz w:val="22"/>
          <w:szCs w:val="22"/>
          <w:shd w:val="clear" w:color="auto" w:fill="FFFFFF"/>
          <w:lang w:val="en-US"/>
        </w:rPr>
        <w:t xml:space="preserve">genetic factors. </w:t>
      </w:r>
    </w:p>
    <w:p w14:paraId="3913E5E4" w14:textId="77777777" w:rsidR="004D1B6C" w:rsidRPr="00DE3121" w:rsidRDefault="004D1B6C" w:rsidP="00DE3121">
      <w:pPr>
        <w:pStyle w:val="NormalWeb"/>
        <w:spacing w:before="0" w:beforeAutospacing="0" w:after="0" w:afterAutospacing="0" w:line="276" w:lineRule="auto"/>
        <w:rPr>
          <w:rFonts w:ascii="Arial" w:hAnsi="Arial" w:cs="Arial"/>
          <w:sz w:val="22"/>
          <w:szCs w:val="22"/>
          <w:lang w:val="en-US"/>
        </w:rPr>
      </w:pPr>
    </w:p>
    <w:p w14:paraId="0D0B940D" w14:textId="77777777" w:rsidR="00AF4520" w:rsidRPr="00DE3121" w:rsidRDefault="00AF4520" w:rsidP="00DE3121">
      <w:pPr>
        <w:pStyle w:val="NormalWeb"/>
        <w:spacing w:before="0" w:beforeAutospacing="0" w:after="0" w:afterAutospacing="0" w:line="276" w:lineRule="auto"/>
        <w:rPr>
          <w:rFonts w:ascii="Arial" w:hAnsi="Arial" w:cs="Arial"/>
          <w:sz w:val="22"/>
          <w:szCs w:val="22"/>
          <w:lang w:val="en-US"/>
        </w:rPr>
      </w:pPr>
      <w:r w:rsidRPr="00DE3121">
        <w:rPr>
          <w:rFonts w:ascii="Arial" w:hAnsi="Arial" w:cs="Arial"/>
          <w:noProof/>
          <w:sz w:val="22"/>
          <w:szCs w:val="22"/>
        </w:rPr>
        <w:lastRenderedPageBreak/>
        <w:drawing>
          <wp:inline distT="0" distB="0" distL="0" distR="0" wp14:anchorId="2C75C4BF" wp14:editId="15D365C4">
            <wp:extent cx="5274310" cy="2520950"/>
            <wp:effectExtent l="0" t="0" r="2540" b="0"/>
            <wp:docPr id="779922369" name="Εικόνα 6" descr="Εικόνα που περιέχει κείμενο, διάγραμμα,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pic:nvPicPr>
                  <pic:blipFill>
                    <a:blip r:embed="rId9">
                      <a:extLst>
                        <a:ext uri="{28A0092B-C50C-407E-A947-70E740481C1C}">
                          <a14:useLocalDpi xmlns:a14="http://schemas.microsoft.com/office/drawing/2010/main" val="0"/>
                        </a:ext>
                      </a:extLst>
                    </a:blip>
                    <a:stretch>
                      <a:fillRect/>
                    </a:stretch>
                  </pic:blipFill>
                  <pic:spPr>
                    <a:xfrm>
                      <a:off x="0" y="0"/>
                      <a:ext cx="5274310" cy="2520950"/>
                    </a:xfrm>
                    <a:prstGeom prst="rect">
                      <a:avLst/>
                    </a:prstGeom>
                  </pic:spPr>
                </pic:pic>
              </a:graphicData>
            </a:graphic>
          </wp:inline>
        </w:drawing>
      </w:r>
    </w:p>
    <w:p w14:paraId="5F7B33FA" w14:textId="4B673524" w:rsidR="00AF4520" w:rsidRPr="004D1B6C" w:rsidRDefault="00F13699" w:rsidP="00DE3121">
      <w:pPr>
        <w:pStyle w:val="NormalWeb"/>
        <w:spacing w:before="0" w:beforeAutospacing="0" w:after="0" w:afterAutospacing="0" w:line="276" w:lineRule="auto"/>
        <w:rPr>
          <w:rFonts w:ascii="Arial" w:hAnsi="Arial" w:cs="Arial"/>
          <w:b/>
          <w:bCs/>
          <w:sz w:val="22"/>
          <w:szCs w:val="22"/>
          <w:lang w:val="en-US"/>
        </w:rPr>
      </w:pPr>
      <w:r w:rsidRPr="004D1B6C">
        <w:rPr>
          <w:rFonts w:ascii="Arial" w:hAnsi="Arial" w:cs="Arial"/>
          <w:b/>
          <w:bCs/>
          <w:sz w:val="22"/>
          <w:szCs w:val="22"/>
          <w:lang w:val="en-US"/>
        </w:rPr>
        <w:t xml:space="preserve">Figure 2. Adapted </w:t>
      </w:r>
      <w:r w:rsidR="00594A95" w:rsidRPr="004D1B6C">
        <w:rPr>
          <w:rFonts w:ascii="Arial" w:hAnsi="Arial" w:cs="Arial"/>
          <w:b/>
          <w:bCs/>
          <w:sz w:val="22"/>
          <w:szCs w:val="22"/>
          <w:lang w:val="en-US"/>
        </w:rPr>
        <w:t xml:space="preserve">with permission </w:t>
      </w:r>
      <w:r w:rsidRPr="004D1B6C">
        <w:rPr>
          <w:rFonts w:ascii="Arial" w:hAnsi="Arial" w:cs="Arial"/>
          <w:b/>
          <w:bCs/>
          <w:sz w:val="22"/>
          <w:szCs w:val="22"/>
          <w:lang w:val="en-US"/>
        </w:rPr>
        <w:t xml:space="preserve">from </w:t>
      </w:r>
      <w:hyperlink r:id="rId10" w:history="1">
        <w:r w:rsidRPr="004D1B6C">
          <w:rPr>
            <w:rStyle w:val="Hyperlink"/>
            <w:rFonts w:ascii="Arial" w:hAnsi="Arial" w:cs="Arial"/>
            <w:b/>
            <w:bCs/>
            <w:color w:val="auto"/>
            <w:sz w:val="22"/>
            <w:szCs w:val="22"/>
            <w:u w:val="none"/>
            <w:lang w:val="en-US"/>
          </w:rPr>
          <w:t>www.adrenoleukodystrophy.info</w:t>
        </w:r>
      </w:hyperlink>
      <w:r w:rsidR="004D1B6C">
        <w:rPr>
          <w:rStyle w:val="Hyperlink"/>
          <w:rFonts w:ascii="Arial" w:hAnsi="Arial" w:cs="Arial"/>
          <w:b/>
          <w:bCs/>
          <w:color w:val="auto"/>
          <w:sz w:val="22"/>
          <w:szCs w:val="22"/>
          <w:u w:val="none"/>
          <w:lang w:val="en-US"/>
        </w:rPr>
        <w:t>.</w:t>
      </w:r>
    </w:p>
    <w:p w14:paraId="0E27B00A" w14:textId="77777777" w:rsidR="00AF4520" w:rsidRPr="00DE3121" w:rsidRDefault="00AF4520" w:rsidP="00DE3121">
      <w:pPr>
        <w:spacing w:after="0" w:line="276" w:lineRule="auto"/>
        <w:textAlignment w:val="baseline"/>
        <w:rPr>
          <w:rFonts w:ascii="Arial" w:eastAsia="Times New Roman" w:hAnsi="Arial" w:cs="Arial"/>
          <w:kern w:val="0"/>
          <w:sz w:val="22"/>
          <w:szCs w:val="22"/>
          <w:lang w:val="en-US" w:eastAsia="el-GR"/>
        </w:rPr>
      </w:pPr>
    </w:p>
    <w:p w14:paraId="7BD7EA3F" w14:textId="77777777" w:rsidR="007D6F32" w:rsidRPr="00DE3121" w:rsidRDefault="007D6F32" w:rsidP="00DE3121">
      <w:pPr>
        <w:spacing w:after="0"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Significant intra-familiar phenotype variability has been observed as different clinical phenotypes can occur even among monozygotic twins (</w:t>
      </w:r>
      <w:r w:rsidR="00D7706F" w:rsidRPr="00DE3121">
        <w:rPr>
          <w:rFonts w:ascii="Arial" w:eastAsia="Times New Roman" w:hAnsi="Arial" w:cs="Arial"/>
          <w:color w:val="000000"/>
          <w:kern w:val="0"/>
          <w:sz w:val="22"/>
          <w:szCs w:val="22"/>
          <w:lang w:val="en-US" w:eastAsia="el-GR"/>
        </w:rPr>
        <w:t>17</w:t>
      </w:r>
      <w:r w:rsidRPr="00DE3121">
        <w:rPr>
          <w:rFonts w:ascii="Arial" w:eastAsia="Times New Roman" w:hAnsi="Arial" w:cs="Arial"/>
          <w:color w:val="000000"/>
          <w:kern w:val="0"/>
          <w:sz w:val="22"/>
          <w:szCs w:val="22"/>
          <w:lang w:val="en-US" w:eastAsia="el-GR"/>
        </w:rPr>
        <w:t>). Fifty percent of ABCD1 mutations lead to a truncated ALDP, whereas many missense mutations result in the formation of an unstable protein (</w:t>
      </w:r>
      <w:r w:rsidR="00E811E9" w:rsidRPr="00DE3121">
        <w:rPr>
          <w:rFonts w:ascii="Arial" w:eastAsia="Times New Roman" w:hAnsi="Arial" w:cs="Arial"/>
          <w:color w:val="000000"/>
          <w:kern w:val="0"/>
          <w:sz w:val="22"/>
          <w:szCs w:val="22"/>
          <w:lang w:val="en-US" w:eastAsia="el-GR"/>
        </w:rPr>
        <w:t>18</w:t>
      </w:r>
      <w:r w:rsidRPr="00DE3121">
        <w:rPr>
          <w:rFonts w:ascii="Arial" w:eastAsia="Times New Roman" w:hAnsi="Arial" w:cs="Arial"/>
          <w:color w:val="000000"/>
          <w:kern w:val="0"/>
          <w:sz w:val="22"/>
          <w:szCs w:val="22"/>
          <w:lang w:val="en-US" w:eastAsia="el-GR"/>
        </w:rPr>
        <w:t xml:space="preserve">). The complete absence of a functional ALDP does not necessarily lead to the severe form of X-ALD, implicating the existence of additional factors that could modify </w:t>
      </w:r>
      <w:r w:rsidR="007942EB" w:rsidRPr="00DE3121">
        <w:rPr>
          <w:rFonts w:ascii="Arial" w:eastAsia="Times New Roman" w:hAnsi="Arial" w:cs="Arial"/>
          <w:color w:val="000000"/>
          <w:kern w:val="0"/>
          <w:sz w:val="22"/>
          <w:szCs w:val="22"/>
          <w:lang w:val="en-US" w:eastAsia="el-GR"/>
        </w:rPr>
        <w:t xml:space="preserve">the </w:t>
      </w:r>
      <w:r w:rsidRPr="00DE3121">
        <w:rPr>
          <w:rFonts w:ascii="Arial" w:eastAsia="Times New Roman" w:hAnsi="Arial" w:cs="Arial"/>
          <w:color w:val="000000"/>
          <w:kern w:val="0"/>
          <w:sz w:val="22"/>
          <w:szCs w:val="22"/>
          <w:lang w:val="en-US" w:eastAsia="el-GR"/>
        </w:rPr>
        <w:t xml:space="preserve">disease’s clinical expression. </w:t>
      </w:r>
      <w:r w:rsidR="001A6078" w:rsidRPr="00DE3121">
        <w:rPr>
          <w:rFonts w:ascii="Arial" w:eastAsia="Times New Roman" w:hAnsi="Arial" w:cs="Arial"/>
          <w:color w:val="000000"/>
          <w:kern w:val="0"/>
          <w:sz w:val="22"/>
          <w:szCs w:val="22"/>
          <w:lang w:val="en-US" w:eastAsia="el-GR"/>
        </w:rPr>
        <w:t>F</w:t>
      </w:r>
      <w:r w:rsidRPr="00DE3121">
        <w:rPr>
          <w:rFonts w:ascii="Arial" w:eastAsia="Times New Roman" w:hAnsi="Arial" w:cs="Arial"/>
          <w:color w:val="000000"/>
          <w:kern w:val="0"/>
          <w:sz w:val="22"/>
          <w:szCs w:val="22"/>
          <w:lang w:val="en-US" w:eastAsia="el-GR"/>
        </w:rPr>
        <w:t>actors, such as moderate head trauma, have been shown to trigger the progression of the disease to the severe central nervous system (CNS) form (</w:t>
      </w:r>
      <w:r w:rsidR="00E811E9" w:rsidRPr="00DE3121">
        <w:rPr>
          <w:rFonts w:ascii="Arial" w:eastAsia="Times New Roman" w:hAnsi="Arial" w:cs="Arial"/>
          <w:color w:val="000000"/>
          <w:kern w:val="0"/>
          <w:sz w:val="22"/>
          <w:szCs w:val="22"/>
          <w:lang w:val="en-US" w:eastAsia="el-GR"/>
        </w:rPr>
        <w:t>19</w:t>
      </w:r>
      <w:r w:rsidRPr="00DE3121">
        <w:rPr>
          <w:rFonts w:ascii="Arial" w:eastAsia="Times New Roman" w:hAnsi="Arial" w:cs="Arial"/>
          <w:color w:val="000000"/>
          <w:kern w:val="0"/>
          <w:sz w:val="22"/>
          <w:szCs w:val="22"/>
          <w:lang w:val="en-US" w:eastAsia="el-GR"/>
        </w:rPr>
        <w:t>)</w:t>
      </w:r>
      <w:r w:rsidR="001A6078" w:rsidRPr="00DE3121">
        <w:rPr>
          <w:rFonts w:ascii="Arial" w:eastAsia="Times New Roman" w:hAnsi="Arial" w:cs="Arial"/>
          <w:color w:val="000000"/>
          <w:kern w:val="0"/>
          <w:sz w:val="22"/>
          <w:szCs w:val="22"/>
          <w:lang w:val="en-US" w:eastAsia="el-GR"/>
        </w:rPr>
        <w:t xml:space="preserve">, </w:t>
      </w:r>
      <w:r w:rsidR="001A6078" w:rsidRPr="00DE3121">
        <w:rPr>
          <w:rFonts w:ascii="Arial" w:hAnsi="Arial" w:cs="Arial"/>
          <w:color w:val="000000"/>
          <w:sz w:val="22"/>
          <w:szCs w:val="22"/>
          <w:shd w:val="clear" w:color="auto" w:fill="FFFFFF"/>
          <w:lang w:val="en-US"/>
        </w:rPr>
        <w:t xml:space="preserve">but other unknown genetic and environmental factors are likely required for the development of </w:t>
      </w:r>
      <w:r w:rsidR="00BC5D66" w:rsidRPr="00DE3121">
        <w:rPr>
          <w:rFonts w:ascii="Arial" w:hAnsi="Arial" w:cs="Arial"/>
          <w:color w:val="000000"/>
          <w:sz w:val="22"/>
          <w:szCs w:val="22"/>
          <w:shd w:val="clear" w:color="auto" w:fill="FFFFFF"/>
          <w:lang w:val="en-US"/>
        </w:rPr>
        <w:t>C</w:t>
      </w:r>
      <w:r w:rsidR="001A6078" w:rsidRPr="00DE3121">
        <w:rPr>
          <w:rFonts w:ascii="Arial" w:hAnsi="Arial" w:cs="Arial"/>
          <w:color w:val="000000"/>
          <w:sz w:val="22"/>
          <w:szCs w:val="22"/>
          <w:shd w:val="clear" w:color="auto" w:fill="FFFFFF"/>
          <w:lang w:val="en-US"/>
        </w:rPr>
        <w:t>ALD. </w:t>
      </w:r>
      <w:r w:rsidRPr="00DE3121">
        <w:rPr>
          <w:rFonts w:ascii="Arial" w:eastAsia="Times New Roman" w:hAnsi="Arial" w:cs="Arial"/>
          <w:color w:val="000000"/>
          <w:kern w:val="0"/>
          <w:sz w:val="22"/>
          <w:szCs w:val="22"/>
          <w:lang w:val="en-US" w:eastAsia="el-GR"/>
        </w:rPr>
        <w:t>In contrast, mutations with residual transporter activity or over-expression of ALDP-related protein (ALDRP, ABCD2), the closest homolog of ALDP, might prevent this progression (</w:t>
      </w:r>
      <w:r w:rsidR="00E811E9" w:rsidRPr="00DE3121">
        <w:rPr>
          <w:rFonts w:ascii="Arial" w:eastAsia="Times New Roman" w:hAnsi="Arial" w:cs="Arial"/>
          <w:color w:val="000000"/>
          <w:kern w:val="0"/>
          <w:sz w:val="22"/>
          <w:szCs w:val="22"/>
          <w:lang w:val="en-US" w:eastAsia="el-GR"/>
        </w:rPr>
        <w:t>20</w:t>
      </w:r>
      <w:r w:rsidRPr="00DE3121">
        <w:rPr>
          <w:rFonts w:ascii="Arial" w:eastAsia="Times New Roman" w:hAnsi="Arial" w:cs="Arial"/>
          <w:color w:val="000000"/>
          <w:kern w:val="0"/>
          <w:sz w:val="22"/>
          <w:szCs w:val="22"/>
          <w:lang w:val="en-US" w:eastAsia="el-GR"/>
        </w:rPr>
        <w:t>). Variations in methionine metabolism have also been associated with the wide phenotypic spectrum of X-ALD (</w:t>
      </w:r>
      <w:r w:rsidR="00E811E9" w:rsidRPr="00DE3121">
        <w:rPr>
          <w:rFonts w:ascii="Arial" w:eastAsia="Times New Roman" w:hAnsi="Arial" w:cs="Arial"/>
          <w:color w:val="000000"/>
          <w:kern w:val="0"/>
          <w:sz w:val="22"/>
          <w:szCs w:val="22"/>
          <w:lang w:val="en-US" w:eastAsia="el-GR"/>
        </w:rPr>
        <w:t>21</w:t>
      </w:r>
      <w:r w:rsidRPr="00DE3121">
        <w:rPr>
          <w:rFonts w:ascii="Arial" w:eastAsia="Times New Roman" w:hAnsi="Arial" w:cs="Arial"/>
          <w:color w:val="000000"/>
          <w:kern w:val="0"/>
          <w:sz w:val="22"/>
          <w:szCs w:val="22"/>
          <w:lang w:val="en-US" w:eastAsia="el-GR"/>
        </w:rPr>
        <w:t>).</w:t>
      </w:r>
    </w:p>
    <w:p w14:paraId="60061E4C" w14:textId="77777777" w:rsidR="00BA0600" w:rsidRPr="00DE3121" w:rsidRDefault="00BA0600" w:rsidP="00DE3121">
      <w:pPr>
        <w:spacing w:after="0" w:line="276" w:lineRule="auto"/>
        <w:textAlignment w:val="baseline"/>
        <w:outlineLvl w:val="1"/>
        <w:rPr>
          <w:rFonts w:ascii="Arial" w:eastAsia="Times New Roman" w:hAnsi="Arial" w:cs="Arial"/>
          <w:b/>
          <w:bCs/>
          <w:color w:val="000000"/>
          <w:kern w:val="0"/>
          <w:sz w:val="22"/>
          <w:szCs w:val="22"/>
          <w:lang w:val="en-US" w:eastAsia="el-GR"/>
        </w:rPr>
      </w:pPr>
    </w:p>
    <w:p w14:paraId="33F3219F" w14:textId="77777777" w:rsidR="0084005D" w:rsidRPr="004D1B6C" w:rsidRDefault="0084005D" w:rsidP="00DE3121">
      <w:pPr>
        <w:spacing w:after="0" w:line="276" w:lineRule="auto"/>
        <w:textAlignment w:val="baseline"/>
        <w:outlineLvl w:val="1"/>
        <w:rPr>
          <w:rFonts w:ascii="Arial" w:eastAsia="Times New Roman" w:hAnsi="Arial" w:cs="Arial"/>
          <w:b/>
          <w:bCs/>
          <w:color w:val="0070C0"/>
          <w:kern w:val="0"/>
          <w:sz w:val="22"/>
          <w:szCs w:val="22"/>
          <w:lang w:val="en-US" w:eastAsia="el-GR"/>
        </w:rPr>
      </w:pPr>
      <w:r w:rsidRPr="004D1B6C">
        <w:rPr>
          <w:rFonts w:ascii="Arial" w:eastAsia="Times New Roman" w:hAnsi="Arial" w:cs="Arial"/>
          <w:b/>
          <w:bCs/>
          <w:color w:val="0070C0"/>
          <w:kern w:val="0"/>
          <w:sz w:val="22"/>
          <w:szCs w:val="22"/>
          <w:lang w:val="en-US" w:eastAsia="el-GR"/>
        </w:rPr>
        <w:t>CLINICAL MANIFESTATIONS OF X-ALD</w:t>
      </w:r>
    </w:p>
    <w:p w14:paraId="535A876D" w14:textId="469F1E33" w:rsidR="1F59776C" w:rsidRPr="00DE3121" w:rsidRDefault="1F59776C" w:rsidP="00DE3121">
      <w:pPr>
        <w:pStyle w:val="NormalWeb"/>
        <w:spacing w:before="0" w:beforeAutospacing="0" w:after="0" w:afterAutospacing="0" w:line="276" w:lineRule="auto"/>
        <w:rPr>
          <w:rFonts w:ascii="Arial" w:hAnsi="Arial" w:cs="Arial"/>
          <w:sz w:val="22"/>
          <w:szCs w:val="22"/>
          <w:lang w:val="en-US"/>
        </w:rPr>
      </w:pPr>
    </w:p>
    <w:p w14:paraId="3824C277" w14:textId="77777777" w:rsidR="00784A04" w:rsidRDefault="00BA0600" w:rsidP="00DE3121">
      <w:pPr>
        <w:pStyle w:val="NormalWeb"/>
        <w:spacing w:before="0" w:beforeAutospacing="0" w:after="0" w:afterAutospacing="0" w:line="276" w:lineRule="auto"/>
        <w:rPr>
          <w:rFonts w:ascii="Arial" w:hAnsi="Arial" w:cs="Arial"/>
          <w:sz w:val="22"/>
          <w:szCs w:val="22"/>
          <w:lang w:val="en-US"/>
        </w:rPr>
      </w:pPr>
      <w:r w:rsidRPr="00DE3121">
        <w:rPr>
          <w:rFonts w:ascii="Arial" w:hAnsi="Arial" w:cs="Arial"/>
          <w:sz w:val="22"/>
          <w:szCs w:val="22"/>
          <w:lang w:val="en-US"/>
        </w:rPr>
        <w:t xml:space="preserve">The range of clinical expression of X-ALD varies widely. </w:t>
      </w:r>
      <w:r w:rsidR="00A01B1A" w:rsidRPr="00DE3121">
        <w:rPr>
          <w:rFonts w:ascii="Arial" w:hAnsi="Arial" w:cs="Arial"/>
          <w:sz w:val="22"/>
          <w:szCs w:val="22"/>
          <w:lang w:val="en-US"/>
        </w:rPr>
        <w:t xml:space="preserve">The main phenotypes </w:t>
      </w:r>
      <w:r w:rsidR="00C238E3" w:rsidRPr="00DE3121">
        <w:rPr>
          <w:rFonts w:ascii="Arial" w:hAnsi="Arial" w:cs="Arial"/>
          <w:sz w:val="22"/>
          <w:szCs w:val="22"/>
          <w:lang w:val="en-US"/>
        </w:rPr>
        <w:t>of</w:t>
      </w:r>
      <w:r w:rsidR="00A01B1A" w:rsidRPr="00DE3121">
        <w:rPr>
          <w:rFonts w:ascii="Arial" w:hAnsi="Arial" w:cs="Arial"/>
          <w:sz w:val="22"/>
          <w:szCs w:val="22"/>
          <w:lang w:val="en-US"/>
        </w:rPr>
        <w:t xml:space="preserve"> X-ALD are primary adrenal insufficiency (Addison</w:t>
      </w:r>
      <w:r w:rsidR="0084005D" w:rsidRPr="00DE3121">
        <w:rPr>
          <w:rFonts w:ascii="Arial" w:hAnsi="Arial" w:cs="Arial"/>
          <w:sz w:val="22"/>
          <w:szCs w:val="22"/>
          <w:lang w:val="en-US"/>
        </w:rPr>
        <w:t>’s</w:t>
      </w:r>
      <w:r w:rsidR="00A01B1A" w:rsidRPr="00DE3121">
        <w:rPr>
          <w:rFonts w:ascii="Arial" w:hAnsi="Arial" w:cs="Arial"/>
          <w:sz w:val="22"/>
          <w:szCs w:val="22"/>
          <w:lang w:val="en-US"/>
        </w:rPr>
        <w:t xml:space="preserve"> disease), myelopathy, and cerebral ALD (</w:t>
      </w:r>
      <w:r w:rsidR="004F5779" w:rsidRPr="00DE3121">
        <w:rPr>
          <w:rFonts w:ascii="Arial" w:hAnsi="Arial" w:cs="Arial"/>
          <w:sz w:val="22"/>
          <w:szCs w:val="22"/>
          <w:lang w:val="en-US"/>
        </w:rPr>
        <w:t>C</w:t>
      </w:r>
      <w:r w:rsidR="00A01B1A" w:rsidRPr="00DE3121">
        <w:rPr>
          <w:rFonts w:ascii="Arial" w:hAnsi="Arial" w:cs="Arial"/>
          <w:sz w:val="22"/>
          <w:szCs w:val="22"/>
          <w:lang w:val="en-US"/>
        </w:rPr>
        <w:t xml:space="preserve">ALD), </w:t>
      </w:r>
      <w:r w:rsidR="00E57BEF" w:rsidRPr="00DE3121">
        <w:rPr>
          <w:rFonts w:ascii="Arial" w:hAnsi="Arial" w:cs="Arial"/>
          <w:sz w:val="22"/>
          <w:szCs w:val="22"/>
          <w:lang w:val="en-US"/>
        </w:rPr>
        <w:t xml:space="preserve">either </w:t>
      </w:r>
      <w:r w:rsidR="00A01B1A" w:rsidRPr="00DE3121">
        <w:rPr>
          <w:rFonts w:ascii="Arial" w:hAnsi="Arial" w:cs="Arial"/>
          <w:sz w:val="22"/>
          <w:szCs w:val="22"/>
          <w:lang w:val="en-US"/>
        </w:rPr>
        <w:t xml:space="preserve">alone or in any combination. </w:t>
      </w:r>
    </w:p>
    <w:p w14:paraId="19F9AE86" w14:textId="77777777" w:rsidR="004D1B6C" w:rsidRPr="00DE3121" w:rsidRDefault="004D1B6C" w:rsidP="00DE3121">
      <w:pPr>
        <w:pStyle w:val="NormalWeb"/>
        <w:spacing w:before="0" w:beforeAutospacing="0" w:after="0" w:afterAutospacing="0" w:line="276" w:lineRule="auto"/>
        <w:rPr>
          <w:rFonts w:ascii="Arial" w:hAnsi="Arial" w:cs="Arial"/>
          <w:sz w:val="22"/>
          <w:szCs w:val="22"/>
          <w:lang w:val="en-US"/>
        </w:rPr>
      </w:pPr>
    </w:p>
    <w:p w14:paraId="1350E3FD" w14:textId="0C3E0F6F" w:rsidR="003D7433" w:rsidRDefault="003731F3" w:rsidP="00DE3121">
      <w:pPr>
        <w:spacing w:after="0" w:line="276" w:lineRule="auto"/>
        <w:textAlignment w:val="baseline"/>
        <w:rPr>
          <w:rFonts w:ascii="Arial" w:hAnsi="Arial" w:cs="Arial"/>
          <w:sz w:val="22"/>
          <w:szCs w:val="22"/>
          <w:lang w:val="en-US"/>
        </w:rPr>
      </w:pPr>
      <w:r w:rsidRPr="00DE3121">
        <w:rPr>
          <w:rFonts w:ascii="Arial" w:hAnsi="Arial" w:cs="Arial"/>
          <w:sz w:val="22"/>
          <w:szCs w:val="22"/>
          <w:lang w:val="en-US"/>
        </w:rPr>
        <w:t xml:space="preserve">The most devastating form of ALD is </w:t>
      </w:r>
      <w:r w:rsidR="004F5779" w:rsidRPr="00DE3121">
        <w:rPr>
          <w:rFonts w:ascii="Arial" w:hAnsi="Arial" w:cs="Arial"/>
          <w:sz w:val="22"/>
          <w:szCs w:val="22"/>
          <w:lang w:val="en-US"/>
        </w:rPr>
        <w:t>C</w:t>
      </w:r>
      <w:r w:rsidRPr="00DE3121">
        <w:rPr>
          <w:rFonts w:ascii="Arial" w:hAnsi="Arial" w:cs="Arial"/>
          <w:sz w:val="22"/>
          <w:szCs w:val="22"/>
          <w:lang w:val="en-US"/>
        </w:rPr>
        <w:t>ALD which presents early in life between 4-12 years of age, affecting 1/3 of boys with X-ALD</w:t>
      </w:r>
      <w:r w:rsidR="00F021E3" w:rsidRPr="00DE3121">
        <w:rPr>
          <w:rFonts w:ascii="Arial" w:hAnsi="Arial" w:cs="Arial"/>
          <w:sz w:val="22"/>
          <w:szCs w:val="22"/>
          <w:lang w:val="en-US"/>
        </w:rPr>
        <w:t xml:space="preserve"> and is rare after 15 years of age</w:t>
      </w:r>
      <w:r w:rsidRPr="00DE3121">
        <w:rPr>
          <w:rFonts w:ascii="Arial" w:hAnsi="Arial" w:cs="Arial"/>
          <w:sz w:val="22"/>
          <w:szCs w:val="22"/>
          <w:lang w:val="en-US"/>
        </w:rPr>
        <w:t xml:space="preserve"> </w:t>
      </w:r>
      <w:r w:rsidR="00F021E3" w:rsidRPr="00DE3121">
        <w:rPr>
          <w:rFonts w:ascii="Arial" w:hAnsi="Arial" w:cs="Arial"/>
          <w:sz w:val="22"/>
          <w:szCs w:val="22"/>
          <w:lang w:val="en-US"/>
        </w:rPr>
        <w:t>(</w:t>
      </w:r>
      <w:r w:rsidR="00E811E9" w:rsidRPr="00DE3121">
        <w:rPr>
          <w:rFonts w:ascii="Arial" w:hAnsi="Arial" w:cs="Arial"/>
          <w:sz w:val="22"/>
          <w:szCs w:val="22"/>
          <w:lang w:val="en-US"/>
        </w:rPr>
        <w:t>22</w:t>
      </w:r>
      <w:r w:rsidR="00F021E3" w:rsidRPr="00DE3121">
        <w:rPr>
          <w:rFonts w:ascii="Arial" w:hAnsi="Arial" w:cs="Arial"/>
          <w:sz w:val="22"/>
          <w:szCs w:val="22"/>
          <w:lang w:val="en-US"/>
        </w:rPr>
        <w:t xml:space="preserve">). </w:t>
      </w:r>
      <w:r w:rsidR="00045CFD" w:rsidRPr="00DE3121">
        <w:rPr>
          <w:rFonts w:ascii="Arial" w:hAnsi="Arial" w:cs="Arial"/>
          <w:sz w:val="22"/>
          <w:szCs w:val="22"/>
          <w:lang w:val="en-US"/>
        </w:rPr>
        <w:t>It is characterized by inflammatory demyelination mainly of the supratentorial and infratentorial white matter</w:t>
      </w:r>
      <w:r w:rsidR="00634AF5" w:rsidRPr="00DE3121">
        <w:rPr>
          <w:rFonts w:ascii="Arial" w:hAnsi="Arial" w:cs="Arial"/>
          <w:sz w:val="22"/>
          <w:szCs w:val="22"/>
          <w:lang w:val="en-US"/>
        </w:rPr>
        <w:t xml:space="preserve"> and b</w:t>
      </w:r>
      <w:r w:rsidR="001A6078" w:rsidRPr="00DE3121">
        <w:rPr>
          <w:rFonts w:ascii="Arial" w:hAnsi="Arial" w:cs="Arial"/>
          <w:sz w:val="22"/>
          <w:szCs w:val="22"/>
          <w:lang w:val="en-US"/>
        </w:rPr>
        <w:t xml:space="preserve">rain </w:t>
      </w:r>
      <w:r w:rsidR="00E57BEF" w:rsidRPr="00DE3121">
        <w:rPr>
          <w:rFonts w:ascii="Arial" w:hAnsi="Arial" w:cs="Arial"/>
          <w:sz w:val="22"/>
          <w:szCs w:val="22"/>
          <w:lang w:val="en-US"/>
        </w:rPr>
        <w:t>magnetic resonance imaging (</w:t>
      </w:r>
      <w:r w:rsidR="001A6078" w:rsidRPr="00DE3121">
        <w:rPr>
          <w:rFonts w:ascii="Arial" w:hAnsi="Arial" w:cs="Arial"/>
          <w:sz w:val="22"/>
          <w:szCs w:val="22"/>
          <w:lang w:val="en-US"/>
        </w:rPr>
        <w:t>MRI</w:t>
      </w:r>
      <w:r w:rsidR="00E57BEF" w:rsidRPr="00DE3121">
        <w:rPr>
          <w:rFonts w:ascii="Arial" w:hAnsi="Arial" w:cs="Arial"/>
          <w:sz w:val="22"/>
          <w:szCs w:val="22"/>
          <w:lang w:val="en-US"/>
        </w:rPr>
        <w:t>)</w:t>
      </w:r>
      <w:r w:rsidR="00F021E3" w:rsidRPr="00DE3121">
        <w:rPr>
          <w:rFonts w:ascii="Arial" w:hAnsi="Arial" w:cs="Arial"/>
          <w:sz w:val="22"/>
          <w:szCs w:val="22"/>
          <w:lang w:val="en-US"/>
        </w:rPr>
        <w:t xml:space="preserve"> findings usually precede clinical symptomatology</w:t>
      </w:r>
      <w:r w:rsidR="00932EBC" w:rsidRPr="00DE3121">
        <w:rPr>
          <w:rFonts w:ascii="Arial" w:hAnsi="Arial" w:cs="Arial"/>
          <w:sz w:val="22"/>
          <w:szCs w:val="22"/>
          <w:lang w:val="en-US"/>
        </w:rPr>
        <w:t xml:space="preserve"> </w:t>
      </w:r>
      <w:r w:rsidR="00932EBC" w:rsidRPr="00DE3121">
        <w:rPr>
          <w:rFonts w:ascii="Arial" w:eastAsia="Times New Roman" w:hAnsi="Arial" w:cs="Arial"/>
          <w:kern w:val="0"/>
          <w:sz w:val="22"/>
          <w:szCs w:val="22"/>
          <w:lang w:val="en-US" w:eastAsia="el-GR"/>
        </w:rPr>
        <w:t>(</w:t>
      </w:r>
      <w:r w:rsidR="00E811E9" w:rsidRPr="00DE3121">
        <w:rPr>
          <w:rFonts w:ascii="Arial" w:eastAsia="Times New Roman" w:hAnsi="Arial" w:cs="Arial"/>
          <w:kern w:val="0"/>
          <w:sz w:val="22"/>
          <w:szCs w:val="22"/>
          <w:lang w:val="en-US" w:eastAsia="el-GR"/>
        </w:rPr>
        <w:t>23</w:t>
      </w:r>
      <w:r w:rsidR="00932EBC" w:rsidRPr="00DE3121">
        <w:rPr>
          <w:rFonts w:ascii="Arial" w:eastAsia="Times New Roman" w:hAnsi="Arial" w:cs="Arial"/>
          <w:kern w:val="0"/>
          <w:sz w:val="22"/>
          <w:szCs w:val="22"/>
          <w:lang w:val="en-US" w:eastAsia="el-GR"/>
        </w:rPr>
        <w:t>).</w:t>
      </w:r>
      <w:r w:rsidR="00634AF5" w:rsidRPr="00DE3121">
        <w:rPr>
          <w:rFonts w:ascii="Arial" w:hAnsi="Arial" w:cs="Arial"/>
          <w:sz w:val="22"/>
          <w:szCs w:val="22"/>
          <w:lang w:val="en-US"/>
        </w:rPr>
        <w:t xml:space="preserve"> </w:t>
      </w:r>
      <w:r w:rsidR="00407F18" w:rsidRPr="00DE3121">
        <w:rPr>
          <w:rFonts w:ascii="Arial" w:eastAsia="Times New Roman" w:hAnsi="Arial" w:cs="Arial"/>
          <w:kern w:val="0"/>
          <w:sz w:val="22"/>
          <w:szCs w:val="22"/>
          <w:lang w:val="en-US" w:eastAsia="el-GR"/>
        </w:rPr>
        <w:t xml:space="preserve">The onset of </w:t>
      </w:r>
      <w:r w:rsidR="004631CA" w:rsidRPr="00DE3121">
        <w:rPr>
          <w:rFonts w:ascii="Arial" w:eastAsia="Times New Roman" w:hAnsi="Arial" w:cs="Arial"/>
          <w:kern w:val="0"/>
          <w:sz w:val="22"/>
          <w:szCs w:val="22"/>
          <w:lang w:val="en-US" w:eastAsia="el-GR"/>
        </w:rPr>
        <w:t>C</w:t>
      </w:r>
      <w:r w:rsidR="00407F18" w:rsidRPr="00DE3121">
        <w:rPr>
          <w:rFonts w:ascii="Arial" w:eastAsia="Times New Roman" w:hAnsi="Arial" w:cs="Arial"/>
          <w:kern w:val="0"/>
          <w:sz w:val="22"/>
          <w:szCs w:val="22"/>
          <w:lang w:val="en-US" w:eastAsia="el-GR"/>
        </w:rPr>
        <w:t xml:space="preserve">ALD is insidious, with symptoms </w:t>
      </w:r>
      <w:r w:rsidR="00AB08EF" w:rsidRPr="00DE3121">
        <w:rPr>
          <w:rFonts w:ascii="Arial" w:eastAsia="Times New Roman" w:hAnsi="Arial" w:cs="Arial"/>
          <w:kern w:val="0"/>
          <w:sz w:val="22"/>
          <w:szCs w:val="22"/>
          <w:lang w:val="en-US" w:eastAsia="el-GR"/>
        </w:rPr>
        <w:t>at</w:t>
      </w:r>
      <w:r w:rsidR="00407F18" w:rsidRPr="00DE3121">
        <w:rPr>
          <w:rFonts w:ascii="Arial" w:eastAsia="Times New Roman" w:hAnsi="Arial" w:cs="Arial"/>
          <w:kern w:val="0"/>
          <w:sz w:val="22"/>
          <w:szCs w:val="22"/>
          <w:lang w:val="en-US" w:eastAsia="el-GR"/>
        </w:rPr>
        <w:t xml:space="preserve"> school age such as </w:t>
      </w:r>
      <w:r w:rsidR="00407F18" w:rsidRPr="00DE3121">
        <w:rPr>
          <w:rFonts w:ascii="Arial" w:hAnsi="Arial" w:cs="Arial"/>
          <w:sz w:val="22"/>
          <w:szCs w:val="22"/>
          <w:lang w:val="en-US"/>
        </w:rPr>
        <w:t>learning, behavioral</w:t>
      </w:r>
      <w:r w:rsidR="00EC3EEC">
        <w:rPr>
          <w:rFonts w:ascii="Arial" w:hAnsi="Arial" w:cs="Arial"/>
          <w:sz w:val="22"/>
          <w:szCs w:val="22"/>
          <w:lang w:val="en-US"/>
        </w:rPr>
        <w:t>,</w:t>
      </w:r>
      <w:r w:rsidR="00407F18" w:rsidRPr="00DE3121">
        <w:rPr>
          <w:rFonts w:ascii="Arial" w:hAnsi="Arial" w:cs="Arial"/>
          <w:sz w:val="22"/>
          <w:szCs w:val="22"/>
          <w:lang w:val="en-US"/>
        </w:rPr>
        <w:t xml:space="preserve"> and cognitive disabilities</w:t>
      </w:r>
      <w:r w:rsidR="00407F18" w:rsidRPr="00DE3121">
        <w:rPr>
          <w:rFonts w:ascii="Arial" w:eastAsia="Times New Roman" w:hAnsi="Arial" w:cs="Arial"/>
          <w:kern w:val="0"/>
          <w:sz w:val="22"/>
          <w:szCs w:val="22"/>
          <w:lang w:val="en-US" w:eastAsia="el-GR"/>
        </w:rPr>
        <w:t xml:space="preserve"> often being attributed to Attention Deficit/Hyperactivity Disorder that delay </w:t>
      </w:r>
      <w:r w:rsidR="00E57BEF" w:rsidRPr="00DE3121">
        <w:rPr>
          <w:rFonts w:ascii="Arial" w:eastAsia="Times New Roman" w:hAnsi="Arial" w:cs="Arial"/>
          <w:kern w:val="0"/>
          <w:sz w:val="22"/>
          <w:szCs w:val="22"/>
          <w:lang w:val="en-US" w:eastAsia="el-GR"/>
        </w:rPr>
        <w:t xml:space="preserve">the </w:t>
      </w:r>
      <w:r w:rsidR="00407F18" w:rsidRPr="00DE3121">
        <w:rPr>
          <w:rFonts w:ascii="Arial" w:eastAsia="Times New Roman" w:hAnsi="Arial" w:cs="Arial"/>
          <w:kern w:val="0"/>
          <w:sz w:val="22"/>
          <w:szCs w:val="22"/>
          <w:lang w:val="en-US" w:eastAsia="el-GR"/>
        </w:rPr>
        <w:t xml:space="preserve">diagnosis. </w:t>
      </w:r>
      <w:r w:rsidR="00634AF5" w:rsidRPr="00DE3121">
        <w:rPr>
          <w:rFonts w:ascii="Arial" w:hAnsi="Arial" w:cs="Arial"/>
          <w:sz w:val="22"/>
          <w:szCs w:val="22"/>
          <w:shd w:val="clear" w:color="auto" w:fill="FFFFFF"/>
          <w:lang w:val="en-US"/>
        </w:rPr>
        <w:t>As the disease progresses, overt neurologic deficits become apparent</w:t>
      </w:r>
      <w:r w:rsidR="00407F18" w:rsidRPr="00DE3121">
        <w:rPr>
          <w:rFonts w:ascii="Arial" w:hAnsi="Arial" w:cs="Arial"/>
          <w:sz w:val="22"/>
          <w:szCs w:val="22"/>
          <w:shd w:val="clear" w:color="auto" w:fill="FFFFFF"/>
          <w:lang w:val="en-US"/>
        </w:rPr>
        <w:t xml:space="preserve">, including </w:t>
      </w:r>
      <w:r w:rsidR="00F021E3" w:rsidRPr="00DE3121">
        <w:rPr>
          <w:rFonts w:ascii="Arial" w:hAnsi="Arial" w:cs="Arial"/>
          <w:sz w:val="22"/>
          <w:szCs w:val="22"/>
          <w:lang w:val="en-US"/>
        </w:rPr>
        <w:t>cortical blindness, central deafness</w:t>
      </w:r>
      <w:r w:rsidR="00407F18" w:rsidRPr="00DE3121">
        <w:rPr>
          <w:rFonts w:ascii="Arial" w:hAnsi="Arial" w:cs="Arial"/>
          <w:sz w:val="22"/>
          <w:szCs w:val="22"/>
          <w:lang w:val="en-US"/>
        </w:rPr>
        <w:t>, hemiplegia</w:t>
      </w:r>
      <w:r w:rsidR="00EC3EEC">
        <w:rPr>
          <w:rFonts w:ascii="Arial" w:hAnsi="Arial" w:cs="Arial"/>
          <w:sz w:val="22"/>
          <w:szCs w:val="22"/>
          <w:lang w:val="en-US"/>
        </w:rPr>
        <w:t>,</w:t>
      </w:r>
      <w:r w:rsidR="00407F18" w:rsidRPr="00DE3121">
        <w:rPr>
          <w:rFonts w:ascii="Arial" w:hAnsi="Arial" w:cs="Arial"/>
          <w:sz w:val="22"/>
          <w:szCs w:val="22"/>
          <w:lang w:val="en-US"/>
        </w:rPr>
        <w:t xml:space="preserve"> </w:t>
      </w:r>
      <w:r w:rsidR="00F021E3" w:rsidRPr="00DE3121">
        <w:rPr>
          <w:rFonts w:ascii="Arial" w:hAnsi="Arial" w:cs="Arial"/>
          <w:sz w:val="22"/>
          <w:szCs w:val="22"/>
          <w:lang w:val="en-US"/>
        </w:rPr>
        <w:t>and quadriparesis. Progression of the disease is often rapid, leading to death within 5 – 10 years following diagnosis</w:t>
      </w:r>
      <w:r w:rsidRPr="00DE3121">
        <w:rPr>
          <w:rFonts w:ascii="Arial" w:hAnsi="Arial" w:cs="Arial"/>
          <w:sz w:val="22"/>
          <w:szCs w:val="22"/>
          <w:lang w:val="en-US"/>
        </w:rPr>
        <w:t xml:space="preserve"> </w:t>
      </w:r>
      <w:r w:rsidR="00045CFD" w:rsidRPr="00DE3121">
        <w:rPr>
          <w:rFonts w:ascii="Arial" w:hAnsi="Arial" w:cs="Arial"/>
          <w:sz w:val="22"/>
          <w:szCs w:val="22"/>
          <w:lang w:val="en-US"/>
        </w:rPr>
        <w:t>(</w:t>
      </w:r>
      <w:r w:rsidR="00E811E9" w:rsidRPr="00DE3121">
        <w:rPr>
          <w:rFonts w:ascii="Arial" w:hAnsi="Arial" w:cs="Arial"/>
          <w:sz w:val="22"/>
          <w:szCs w:val="22"/>
          <w:lang w:val="en-US"/>
        </w:rPr>
        <w:t>24</w:t>
      </w:r>
      <w:r w:rsidR="00045CFD" w:rsidRPr="00DE3121">
        <w:rPr>
          <w:rFonts w:ascii="Arial" w:hAnsi="Arial" w:cs="Arial"/>
          <w:sz w:val="22"/>
          <w:szCs w:val="22"/>
          <w:lang w:val="en-US"/>
        </w:rPr>
        <w:t>)</w:t>
      </w:r>
      <w:r w:rsidRPr="00DE3121">
        <w:rPr>
          <w:rFonts w:ascii="Arial" w:hAnsi="Arial" w:cs="Arial"/>
          <w:sz w:val="22"/>
          <w:szCs w:val="22"/>
          <w:lang w:val="en-US"/>
        </w:rPr>
        <w:t xml:space="preserve">. </w:t>
      </w:r>
      <w:r w:rsidR="00A01B1A" w:rsidRPr="00DE3121">
        <w:rPr>
          <w:rFonts w:ascii="Arial" w:hAnsi="Arial" w:cs="Arial"/>
          <w:sz w:val="22"/>
          <w:szCs w:val="22"/>
          <w:lang w:val="en-US"/>
        </w:rPr>
        <w:t xml:space="preserve">Most men who do not develop </w:t>
      </w:r>
      <w:r w:rsidR="00A22DFB" w:rsidRPr="00DE3121">
        <w:rPr>
          <w:rFonts w:ascii="Arial" w:hAnsi="Arial" w:cs="Arial"/>
          <w:sz w:val="22"/>
          <w:szCs w:val="22"/>
          <w:lang w:val="en-US"/>
        </w:rPr>
        <w:t>C</w:t>
      </w:r>
      <w:r w:rsidR="00A01B1A" w:rsidRPr="00DE3121">
        <w:rPr>
          <w:rFonts w:ascii="Arial" w:hAnsi="Arial" w:cs="Arial"/>
          <w:sz w:val="22"/>
          <w:szCs w:val="22"/>
          <w:lang w:val="en-US"/>
        </w:rPr>
        <w:t xml:space="preserve">ALD during childhood develop </w:t>
      </w:r>
      <w:r w:rsidR="00932EBC" w:rsidRPr="00DE3121">
        <w:rPr>
          <w:rFonts w:ascii="Arial" w:hAnsi="Arial" w:cs="Arial"/>
          <w:sz w:val="22"/>
          <w:szCs w:val="22"/>
          <w:lang w:val="en-US"/>
        </w:rPr>
        <w:t>myelopathy</w:t>
      </w:r>
      <w:r w:rsidR="00A01B1A" w:rsidRPr="00DE3121">
        <w:rPr>
          <w:rFonts w:ascii="Arial" w:hAnsi="Arial" w:cs="Arial"/>
          <w:sz w:val="22"/>
          <w:szCs w:val="22"/>
          <w:lang w:val="en-US"/>
        </w:rPr>
        <w:t xml:space="preserve"> in adult life.</w:t>
      </w:r>
    </w:p>
    <w:p w14:paraId="61C063F7" w14:textId="77777777" w:rsidR="004D1B6C" w:rsidRPr="00DE3121" w:rsidRDefault="004D1B6C" w:rsidP="00DE3121">
      <w:pPr>
        <w:spacing w:after="0" w:line="276" w:lineRule="auto"/>
        <w:textAlignment w:val="baseline"/>
        <w:rPr>
          <w:rFonts w:ascii="Arial" w:eastAsia="Times New Roman" w:hAnsi="Arial" w:cs="Arial"/>
          <w:kern w:val="0"/>
          <w:sz w:val="22"/>
          <w:szCs w:val="22"/>
          <w:highlight w:val="yellow"/>
          <w:lang w:val="en-US" w:eastAsia="el-GR"/>
        </w:rPr>
      </w:pPr>
    </w:p>
    <w:p w14:paraId="357837EB" w14:textId="43E2BB50" w:rsidR="003D7433" w:rsidRPr="00DE3121" w:rsidRDefault="00C238E3" w:rsidP="00DE3121">
      <w:pPr>
        <w:spacing w:after="0" w:line="276" w:lineRule="auto"/>
        <w:rPr>
          <w:rFonts w:ascii="Arial" w:hAnsi="Arial" w:cs="Arial"/>
          <w:sz w:val="22"/>
          <w:szCs w:val="22"/>
          <w:shd w:val="clear" w:color="auto" w:fill="FFFFFF"/>
          <w:lang w:val="en-US"/>
        </w:rPr>
      </w:pPr>
      <w:r w:rsidRPr="00DE3121">
        <w:rPr>
          <w:rFonts w:ascii="Arial" w:hAnsi="Arial" w:cs="Arial"/>
          <w:sz w:val="22"/>
          <w:szCs w:val="22"/>
          <w:lang w:val="en-US"/>
        </w:rPr>
        <w:lastRenderedPageBreak/>
        <w:t>Myelopathy</w:t>
      </w:r>
      <w:r w:rsidRPr="00DE3121">
        <w:rPr>
          <w:rFonts w:ascii="Arial" w:hAnsi="Arial" w:cs="Arial"/>
          <w:b/>
          <w:bCs/>
          <w:sz w:val="22"/>
          <w:szCs w:val="22"/>
          <w:lang w:val="en-US"/>
        </w:rPr>
        <w:t xml:space="preserve"> </w:t>
      </w:r>
      <w:r w:rsidR="00045CFD" w:rsidRPr="00DE3121">
        <w:rPr>
          <w:rFonts w:ascii="Arial" w:hAnsi="Arial" w:cs="Arial"/>
          <w:sz w:val="22"/>
          <w:szCs w:val="22"/>
          <w:lang w:val="en-US"/>
        </w:rPr>
        <w:t>manifests later in life, typically presents in adult males between 20 and 40 years of age, with a median age at onset of 28 years (</w:t>
      </w:r>
      <w:r w:rsidR="00E811E9" w:rsidRPr="00DE3121">
        <w:rPr>
          <w:rFonts w:ascii="Arial" w:hAnsi="Arial" w:cs="Arial"/>
          <w:sz w:val="22"/>
          <w:szCs w:val="22"/>
          <w:lang w:val="en-US"/>
        </w:rPr>
        <w:t>25</w:t>
      </w:r>
      <w:r w:rsidR="00887BD3" w:rsidRPr="00DE3121">
        <w:rPr>
          <w:rFonts w:ascii="Arial" w:hAnsi="Arial" w:cs="Arial"/>
          <w:sz w:val="22"/>
          <w:szCs w:val="22"/>
          <w:lang w:val="en-US"/>
        </w:rPr>
        <w:t xml:space="preserve">). </w:t>
      </w:r>
      <w:r w:rsidR="00045CFD" w:rsidRPr="00DE3121">
        <w:rPr>
          <w:rFonts w:ascii="Arial" w:hAnsi="Arial" w:cs="Arial"/>
          <w:sz w:val="22"/>
          <w:szCs w:val="22"/>
          <w:lang w:val="en-US"/>
        </w:rPr>
        <w:t xml:space="preserve">The primary </w:t>
      </w:r>
      <w:r w:rsidR="00E57BEF" w:rsidRPr="00DE3121">
        <w:rPr>
          <w:rFonts w:ascii="Arial" w:hAnsi="Arial" w:cs="Arial"/>
          <w:sz w:val="22"/>
          <w:szCs w:val="22"/>
          <w:lang w:val="en-US"/>
        </w:rPr>
        <w:t xml:space="preserve">clinical presentation </w:t>
      </w:r>
      <w:r w:rsidR="00045CFD" w:rsidRPr="00DE3121">
        <w:rPr>
          <w:rFonts w:ascii="Arial" w:hAnsi="Arial" w:cs="Arial"/>
          <w:sz w:val="22"/>
          <w:szCs w:val="22"/>
          <w:lang w:val="en-US"/>
        </w:rPr>
        <w:t xml:space="preserve">is spinal cord </w:t>
      </w:r>
      <w:r w:rsidR="001A6078" w:rsidRPr="00DE3121">
        <w:rPr>
          <w:rFonts w:ascii="Arial" w:hAnsi="Arial" w:cs="Arial"/>
          <w:sz w:val="22"/>
          <w:szCs w:val="22"/>
          <w:lang w:val="en-US"/>
        </w:rPr>
        <w:t xml:space="preserve">and peripheral </w:t>
      </w:r>
      <w:r w:rsidR="007942EB" w:rsidRPr="00DE3121">
        <w:rPr>
          <w:rFonts w:ascii="Arial" w:hAnsi="Arial" w:cs="Arial"/>
          <w:sz w:val="22"/>
          <w:szCs w:val="22"/>
          <w:lang w:val="en-US"/>
        </w:rPr>
        <w:t xml:space="preserve">nerve </w:t>
      </w:r>
      <w:r w:rsidR="00045CFD" w:rsidRPr="00DE3121">
        <w:rPr>
          <w:rFonts w:ascii="Arial" w:hAnsi="Arial" w:cs="Arial"/>
          <w:sz w:val="22"/>
          <w:szCs w:val="22"/>
          <w:lang w:val="en-US"/>
        </w:rPr>
        <w:t>dysfunction, leading to progressive spastic paraparesis, abnormal sphincter control, sensory ataxia</w:t>
      </w:r>
      <w:r w:rsidR="00EC3EEC">
        <w:rPr>
          <w:rFonts w:ascii="Arial" w:hAnsi="Arial" w:cs="Arial"/>
          <w:sz w:val="22"/>
          <w:szCs w:val="22"/>
          <w:lang w:val="en-US"/>
        </w:rPr>
        <w:t>,</w:t>
      </w:r>
      <w:r w:rsidR="00045CFD" w:rsidRPr="00DE3121">
        <w:rPr>
          <w:rFonts w:ascii="Arial" w:hAnsi="Arial" w:cs="Arial"/>
          <w:sz w:val="22"/>
          <w:szCs w:val="22"/>
          <w:lang w:val="en-US"/>
        </w:rPr>
        <w:t xml:space="preserve"> and sexual dysfunction. </w:t>
      </w:r>
      <w:r w:rsidR="001A6078" w:rsidRPr="00DE3121">
        <w:rPr>
          <w:rFonts w:ascii="Arial" w:hAnsi="Arial" w:cs="Arial"/>
          <w:sz w:val="22"/>
          <w:szCs w:val="22"/>
          <w:shd w:val="clear" w:color="auto" w:fill="FFFFFF"/>
          <w:lang w:val="en-US"/>
        </w:rPr>
        <w:t>S</w:t>
      </w:r>
      <w:r w:rsidRPr="00DE3121">
        <w:rPr>
          <w:rFonts w:ascii="Arial" w:hAnsi="Arial" w:cs="Arial"/>
          <w:sz w:val="22"/>
          <w:szCs w:val="22"/>
          <w:shd w:val="clear" w:color="auto" w:fill="FFFFFF"/>
          <w:lang w:val="en-US"/>
        </w:rPr>
        <w:t>ymptoms are progressive over years or decades, with most patients losing unassisted functionality by the 5</w:t>
      </w:r>
      <w:r w:rsidRPr="00DE3121">
        <w:rPr>
          <w:rFonts w:ascii="Arial" w:hAnsi="Arial" w:cs="Arial"/>
          <w:sz w:val="22"/>
          <w:szCs w:val="22"/>
          <w:shd w:val="clear" w:color="auto" w:fill="FFFFFF"/>
          <w:vertAlign w:val="superscript"/>
          <w:lang w:val="en-US"/>
        </w:rPr>
        <w:t>th</w:t>
      </w:r>
      <w:r w:rsidRPr="00DE3121">
        <w:rPr>
          <w:rFonts w:ascii="Arial" w:hAnsi="Arial" w:cs="Arial"/>
          <w:sz w:val="22"/>
          <w:szCs w:val="22"/>
          <w:shd w:val="clear" w:color="auto" w:fill="FFFFFF"/>
          <w:lang w:val="en-US"/>
        </w:rPr>
        <w:t> – 6</w:t>
      </w:r>
      <w:r w:rsidRPr="00DE3121">
        <w:rPr>
          <w:rFonts w:ascii="Arial" w:hAnsi="Arial" w:cs="Arial"/>
          <w:sz w:val="22"/>
          <w:szCs w:val="22"/>
          <w:shd w:val="clear" w:color="auto" w:fill="FFFFFF"/>
          <w:vertAlign w:val="superscript"/>
          <w:lang w:val="en-US"/>
        </w:rPr>
        <w:t>th</w:t>
      </w:r>
      <w:r w:rsidRPr="00DE3121">
        <w:rPr>
          <w:rFonts w:ascii="Arial" w:hAnsi="Arial" w:cs="Arial"/>
          <w:sz w:val="22"/>
          <w:szCs w:val="22"/>
          <w:shd w:val="clear" w:color="auto" w:fill="FFFFFF"/>
          <w:lang w:val="en-US"/>
        </w:rPr>
        <w:t xml:space="preserve"> decade of life. </w:t>
      </w:r>
      <w:r w:rsidR="001A6078" w:rsidRPr="00DE3121">
        <w:rPr>
          <w:rFonts w:ascii="Arial" w:hAnsi="Arial" w:cs="Arial"/>
          <w:sz w:val="22"/>
          <w:szCs w:val="22"/>
          <w:lang w:val="en-US"/>
        </w:rPr>
        <w:t xml:space="preserve">Brain MRI is usually normal but spinal cord atrophy can be detected by conventional T2-weighted MRI sequences. </w:t>
      </w:r>
      <w:r w:rsidR="00887BD3" w:rsidRPr="00DE3121">
        <w:rPr>
          <w:rFonts w:ascii="Arial" w:hAnsi="Arial" w:cs="Arial"/>
          <w:sz w:val="22"/>
          <w:szCs w:val="22"/>
          <w:lang w:val="en-US"/>
        </w:rPr>
        <w:t>Althoug</w:t>
      </w:r>
      <w:r w:rsidR="001A6078" w:rsidRPr="00DE3121">
        <w:rPr>
          <w:rFonts w:ascii="Arial" w:hAnsi="Arial" w:cs="Arial"/>
          <w:sz w:val="22"/>
          <w:szCs w:val="22"/>
          <w:lang w:val="en-US"/>
        </w:rPr>
        <w:t>h</w:t>
      </w:r>
      <w:r w:rsidR="00887BD3" w:rsidRPr="00DE3121">
        <w:rPr>
          <w:rFonts w:ascii="Arial" w:hAnsi="Arial" w:cs="Arial"/>
          <w:sz w:val="22"/>
          <w:szCs w:val="22"/>
          <w:lang w:val="en-US"/>
        </w:rPr>
        <w:t xml:space="preserve"> myelopathy is a milder form of ALD, cerebral involvement can occur in 27% to 63% of patients</w:t>
      </w:r>
      <w:r w:rsidR="001A6078" w:rsidRPr="00DE3121">
        <w:rPr>
          <w:rFonts w:ascii="Arial" w:hAnsi="Arial" w:cs="Arial"/>
          <w:sz w:val="22"/>
          <w:szCs w:val="22"/>
          <w:lang w:val="en-US"/>
        </w:rPr>
        <w:t xml:space="preserve"> (</w:t>
      </w:r>
      <w:r w:rsidR="00E811E9" w:rsidRPr="00DE3121">
        <w:rPr>
          <w:rFonts w:ascii="Arial" w:hAnsi="Arial" w:cs="Arial"/>
          <w:sz w:val="22"/>
          <w:szCs w:val="22"/>
          <w:lang w:val="en-US"/>
        </w:rPr>
        <w:t>26</w:t>
      </w:r>
      <w:r w:rsidR="001A6078" w:rsidRPr="00DE3121">
        <w:rPr>
          <w:rFonts w:ascii="Arial" w:hAnsi="Arial" w:cs="Arial"/>
          <w:sz w:val="22"/>
          <w:szCs w:val="22"/>
          <w:lang w:val="en-US"/>
        </w:rPr>
        <w:t>). C</w:t>
      </w:r>
      <w:r w:rsidR="00887BD3" w:rsidRPr="00DE3121">
        <w:rPr>
          <w:rFonts w:ascii="Arial" w:hAnsi="Arial" w:cs="Arial"/>
          <w:sz w:val="22"/>
          <w:szCs w:val="22"/>
          <w:lang w:val="en-US"/>
        </w:rPr>
        <w:t xml:space="preserve">erebral involvement leads to rapid neurologic deterioration with disabilities and early death </w:t>
      </w:r>
      <w:r w:rsidR="001A6078" w:rsidRPr="00DE3121">
        <w:rPr>
          <w:rFonts w:ascii="Arial" w:hAnsi="Arial" w:cs="Arial"/>
          <w:sz w:val="22"/>
          <w:szCs w:val="22"/>
          <w:lang w:val="en-US"/>
        </w:rPr>
        <w:t xml:space="preserve">in 10% to 20% of adult males </w:t>
      </w:r>
      <w:r w:rsidR="00887BD3" w:rsidRPr="00DE3121">
        <w:rPr>
          <w:rFonts w:ascii="Arial" w:hAnsi="Arial" w:cs="Arial"/>
          <w:sz w:val="22"/>
          <w:szCs w:val="22"/>
          <w:lang w:val="en-US"/>
        </w:rPr>
        <w:t>(</w:t>
      </w:r>
      <w:r w:rsidR="00E811E9" w:rsidRPr="00DE3121">
        <w:rPr>
          <w:rFonts w:ascii="Arial" w:hAnsi="Arial" w:cs="Arial"/>
          <w:sz w:val="22"/>
          <w:szCs w:val="22"/>
          <w:lang w:val="en-US"/>
        </w:rPr>
        <w:t>26</w:t>
      </w:r>
      <w:r w:rsidRPr="00DE3121">
        <w:rPr>
          <w:rFonts w:ascii="Arial" w:hAnsi="Arial" w:cs="Arial"/>
          <w:sz w:val="22"/>
          <w:szCs w:val="22"/>
          <w:lang w:val="en-US"/>
        </w:rPr>
        <w:t>). Adrenal insufficiency is often present at the time of myelopathy diagnosis</w:t>
      </w:r>
      <w:r w:rsidR="001A6078" w:rsidRPr="00DE3121">
        <w:rPr>
          <w:rFonts w:ascii="Arial" w:hAnsi="Arial" w:cs="Arial"/>
          <w:sz w:val="22"/>
          <w:szCs w:val="22"/>
          <w:lang w:val="en-US"/>
        </w:rPr>
        <w:t xml:space="preserve">, </w:t>
      </w:r>
      <w:r w:rsidRPr="00DE3121">
        <w:rPr>
          <w:rFonts w:ascii="Arial" w:hAnsi="Arial" w:cs="Arial"/>
          <w:sz w:val="22"/>
          <w:szCs w:val="22"/>
          <w:lang w:val="en-US"/>
        </w:rPr>
        <w:t xml:space="preserve">a clinical entity called </w:t>
      </w:r>
      <w:r w:rsidR="001A6078" w:rsidRPr="00DE3121">
        <w:rPr>
          <w:rFonts w:ascii="Arial" w:hAnsi="Arial" w:cs="Arial"/>
          <w:sz w:val="22"/>
          <w:szCs w:val="22"/>
          <w:shd w:val="clear" w:color="auto" w:fill="FFFFFF"/>
          <w:lang w:val="en-US"/>
        </w:rPr>
        <w:t xml:space="preserve">adrenomyeloneuropathy (AMN). </w:t>
      </w:r>
    </w:p>
    <w:p w14:paraId="44EAFD9C" w14:textId="77777777" w:rsidR="00F11B7E" w:rsidRPr="00DE3121" w:rsidRDefault="00F11B7E" w:rsidP="00DE3121">
      <w:pPr>
        <w:spacing w:after="0" w:line="276" w:lineRule="auto"/>
        <w:textAlignment w:val="baseline"/>
        <w:outlineLvl w:val="2"/>
        <w:rPr>
          <w:rFonts w:ascii="Arial" w:eastAsia="Times New Roman" w:hAnsi="Arial" w:cs="Arial"/>
          <w:b/>
          <w:bCs/>
          <w:color w:val="000000"/>
          <w:kern w:val="0"/>
          <w:sz w:val="22"/>
          <w:szCs w:val="22"/>
          <w:lang w:val="en-US" w:eastAsia="el-GR"/>
        </w:rPr>
      </w:pPr>
    </w:p>
    <w:p w14:paraId="2A321FF8" w14:textId="77777777" w:rsidR="00932EBC" w:rsidRPr="004D1B6C" w:rsidRDefault="00932EBC" w:rsidP="00DE3121">
      <w:pPr>
        <w:spacing w:after="0" w:line="276" w:lineRule="auto"/>
        <w:textAlignment w:val="baseline"/>
        <w:outlineLvl w:val="2"/>
        <w:rPr>
          <w:rFonts w:ascii="Arial" w:eastAsia="Times New Roman" w:hAnsi="Arial" w:cs="Arial"/>
          <w:b/>
          <w:bCs/>
          <w:color w:val="00B050"/>
          <w:kern w:val="0"/>
          <w:sz w:val="22"/>
          <w:szCs w:val="22"/>
          <w:lang w:val="en-US" w:eastAsia="el-GR"/>
        </w:rPr>
      </w:pPr>
      <w:r w:rsidRPr="004D1B6C">
        <w:rPr>
          <w:rFonts w:ascii="Arial" w:eastAsia="Times New Roman" w:hAnsi="Arial" w:cs="Arial"/>
          <w:b/>
          <w:bCs/>
          <w:color w:val="00B050"/>
          <w:kern w:val="0"/>
          <w:sz w:val="22"/>
          <w:szCs w:val="22"/>
          <w:lang w:val="en-US" w:eastAsia="el-GR"/>
        </w:rPr>
        <w:t>Incidence Of Primary Adrenal Deficiency In X-ALD</w:t>
      </w:r>
    </w:p>
    <w:p w14:paraId="4B94D5A5" w14:textId="77777777" w:rsidR="00BA0600" w:rsidRPr="00DE3121" w:rsidRDefault="00BA0600" w:rsidP="00DE3121">
      <w:pPr>
        <w:spacing w:after="0" w:line="276" w:lineRule="auto"/>
        <w:rPr>
          <w:rFonts w:ascii="Arial" w:hAnsi="Arial" w:cs="Arial"/>
          <w:sz w:val="22"/>
          <w:szCs w:val="22"/>
          <w:lang w:val="en-US"/>
        </w:rPr>
      </w:pPr>
    </w:p>
    <w:p w14:paraId="18663FC8" w14:textId="629D2A6E" w:rsidR="000C49E7" w:rsidRDefault="00CF276B" w:rsidP="00DE3121">
      <w:pPr>
        <w:spacing w:after="0" w:line="276" w:lineRule="auto"/>
        <w:rPr>
          <w:rFonts w:ascii="Arial" w:hAnsi="Arial" w:cs="Arial"/>
          <w:sz w:val="22"/>
          <w:szCs w:val="22"/>
          <w:lang w:val="en-US"/>
        </w:rPr>
      </w:pPr>
      <w:r w:rsidRPr="00DE3121">
        <w:rPr>
          <w:rFonts w:ascii="Arial" w:hAnsi="Arial" w:cs="Arial"/>
          <w:sz w:val="22"/>
          <w:szCs w:val="22"/>
          <w:lang w:val="en-US"/>
        </w:rPr>
        <w:t>The n</w:t>
      </w:r>
      <w:r w:rsidR="00A33456" w:rsidRPr="00DE3121">
        <w:rPr>
          <w:rFonts w:ascii="Arial" w:hAnsi="Arial" w:cs="Arial"/>
          <w:sz w:val="22"/>
          <w:szCs w:val="22"/>
          <w:lang w:val="en-US"/>
        </w:rPr>
        <w:t>atural history of adrenal insufficiency</w:t>
      </w:r>
      <w:r w:rsidR="00FA66BB" w:rsidRPr="00DE3121">
        <w:rPr>
          <w:rFonts w:ascii="Arial" w:hAnsi="Arial" w:cs="Arial"/>
          <w:sz w:val="22"/>
          <w:szCs w:val="22"/>
          <w:lang w:val="en-US"/>
        </w:rPr>
        <w:t xml:space="preserve"> in ALD</w:t>
      </w:r>
      <w:r w:rsidR="00A33456" w:rsidRPr="00DE3121">
        <w:rPr>
          <w:rFonts w:ascii="Arial" w:hAnsi="Arial" w:cs="Arial"/>
          <w:sz w:val="22"/>
          <w:szCs w:val="22"/>
          <w:lang w:val="en-US"/>
        </w:rPr>
        <w:t xml:space="preserve"> </w:t>
      </w:r>
      <w:r w:rsidR="00FA66BB" w:rsidRPr="00DE3121">
        <w:rPr>
          <w:rFonts w:ascii="Arial" w:hAnsi="Arial" w:cs="Arial"/>
          <w:sz w:val="22"/>
          <w:szCs w:val="22"/>
          <w:lang w:val="en-US"/>
        </w:rPr>
        <w:t>is largely</w:t>
      </w:r>
      <w:r w:rsidR="00A33456" w:rsidRPr="00DE3121">
        <w:rPr>
          <w:rFonts w:ascii="Arial" w:hAnsi="Arial" w:cs="Arial"/>
          <w:sz w:val="22"/>
          <w:szCs w:val="22"/>
          <w:lang w:val="en-US"/>
        </w:rPr>
        <w:t xml:space="preserve"> unknown because large prospective natural history studies are lacking. However, the loss of adrenal function </w:t>
      </w:r>
      <w:r w:rsidR="00082734" w:rsidRPr="00DE3121">
        <w:rPr>
          <w:rFonts w:ascii="Arial" w:hAnsi="Arial" w:cs="Arial"/>
          <w:sz w:val="22"/>
          <w:szCs w:val="22"/>
          <w:lang w:val="en-US"/>
        </w:rPr>
        <w:t>evolves</w:t>
      </w:r>
      <w:r w:rsidR="661F1075" w:rsidRPr="00DE3121">
        <w:rPr>
          <w:rFonts w:ascii="Arial" w:hAnsi="Arial" w:cs="Arial"/>
          <w:sz w:val="22"/>
          <w:szCs w:val="22"/>
          <w:lang w:val="en-US"/>
        </w:rPr>
        <w:t xml:space="preserve"> </w:t>
      </w:r>
      <w:r w:rsidR="00A33456" w:rsidRPr="00DE3121">
        <w:rPr>
          <w:rFonts w:ascii="Arial" w:hAnsi="Arial" w:cs="Arial"/>
          <w:sz w:val="22"/>
          <w:szCs w:val="22"/>
          <w:lang w:val="en-US"/>
        </w:rPr>
        <w:t>gradual</w:t>
      </w:r>
      <w:r w:rsidR="00082734" w:rsidRPr="00DE3121">
        <w:rPr>
          <w:rFonts w:ascii="Arial" w:hAnsi="Arial" w:cs="Arial"/>
          <w:sz w:val="22"/>
          <w:szCs w:val="22"/>
          <w:lang w:val="en-US"/>
        </w:rPr>
        <w:t>ly</w:t>
      </w:r>
      <w:r w:rsidR="00A33456" w:rsidRPr="00DE3121">
        <w:rPr>
          <w:rFonts w:ascii="Arial" w:hAnsi="Arial" w:cs="Arial"/>
          <w:sz w:val="22"/>
          <w:szCs w:val="22"/>
          <w:lang w:val="en-US"/>
        </w:rPr>
        <w:t xml:space="preserve"> and initially starts with elevated plasma </w:t>
      </w:r>
      <w:r w:rsidR="09932CBC" w:rsidRPr="00DE3121">
        <w:rPr>
          <w:rFonts w:ascii="Arial" w:hAnsi="Arial" w:cs="Arial"/>
          <w:sz w:val="22"/>
          <w:szCs w:val="22"/>
          <w:lang w:val="en-US"/>
        </w:rPr>
        <w:t xml:space="preserve">corticotropin hormone </w:t>
      </w:r>
      <w:r w:rsidR="00784562" w:rsidRPr="00DE3121">
        <w:rPr>
          <w:rFonts w:ascii="Arial" w:hAnsi="Arial" w:cs="Arial"/>
          <w:sz w:val="22"/>
          <w:szCs w:val="22"/>
          <w:lang w:val="en-US"/>
        </w:rPr>
        <w:t>(</w:t>
      </w:r>
      <w:r w:rsidR="00A33456" w:rsidRPr="00DE3121">
        <w:rPr>
          <w:rFonts w:ascii="Arial" w:hAnsi="Arial" w:cs="Arial"/>
          <w:sz w:val="22"/>
          <w:szCs w:val="22"/>
          <w:lang w:val="en-US"/>
        </w:rPr>
        <w:t>ACTH</w:t>
      </w:r>
      <w:r w:rsidR="00784562" w:rsidRPr="00DE3121">
        <w:rPr>
          <w:rFonts w:ascii="Arial" w:hAnsi="Arial" w:cs="Arial"/>
          <w:sz w:val="22"/>
          <w:szCs w:val="22"/>
          <w:lang w:val="en-US"/>
        </w:rPr>
        <w:t>)</w:t>
      </w:r>
      <w:r w:rsidR="00A33456" w:rsidRPr="00DE3121">
        <w:rPr>
          <w:rFonts w:ascii="Arial" w:hAnsi="Arial" w:cs="Arial"/>
          <w:sz w:val="22"/>
          <w:szCs w:val="22"/>
          <w:lang w:val="en-US"/>
        </w:rPr>
        <w:t xml:space="preserve"> levels before overt adrenal insufficiency with an abnormal cortisol response after cosyntropin stimulation and endocrine symptoms become apparent (</w:t>
      </w:r>
      <w:r w:rsidR="00D76BFB" w:rsidRPr="00DE3121">
        <w:rPr>
          <w:rFonts w:ascii="Arial" w:hAnsi="Arial" w:cs="Arial"/>
          <w:sz w:val="22"/>
          <w:szCs w:val="22"/>
          <w:lang w:val="en-US"/>
        </w:rPr>
        <w:t>10, 27</w:t>
      </w:r>
      <w:r w:rsidR="00A33456" w:rsidRPr="00DE3121">
        <w:rPr>
          <w:rFonts w:ascii="Arial" w:hAnsi="Arial" w:cs="Arial"/>
          <w:sz w:val="22"/>
          <w:szCs w:val="22"/>
          <w:lang w:val="en-US"/>
        </w:rPr>
        <w:t xml:space="preserve">). </w:t>
      </w:r>
      <w:r w:rsidR="007942EB" w:rsidRPr="00DE3121">
        <w:rPr>
          <w:rFonts w:ascii="Arial" w:hAnsi="Arial" w:cs="Arial"/>
          <w:sz w:val="22"/>
          <w:szCs w:val="22"/>
          <w:lang w:val="en-US"/>
        </w:rPr>
        <w:t xml:space="preserve">The average </w:t>
      </w:r>
      <w:r w:rsidR="00A33456" w:rsidRPr="00DE3121">
        <w:rPr>
          <w:rFonts w:ascii="Arial" w:hAnsi="Arial" w:cs="Arial"/>
          <w:sz w:val="22"/>
          <w:szCs w:val="22"/>
          <w:lang w:val="en-US"/>
        </w:rPr>
        <w:t xml:space="preserve">time to adrenal insufficiency or time from initial plasma ACTH elevation to </w:t>
      </w:r>
      <w:r w:rsidR="007942EB" w:rsidRPr="00DE3121">
        <w:rPr>
          <w:rFonts w:ascii="Arial" w:hAnsi="Arial" w:cs="Arial"/>
          <w:sz w:val="22"/>
          <w:szCs w:val="22"/>
          <w:lang w:val="en-US"/>
        </w:rPr>
        <w:t xml:space="preserve">the </w:t>
      </w:r>
      <w:r w:rsidR="00A33456" w:rsidRPr="00DE3121">
        <w:rPr>
          <w:rFonts w:ascii="Arial" w:hAnsi="Arial" w:cs="Arial"/>
          <w:sz w:val="22"/>
          <w:szCs w:val="22"/>
          <w:lang w:val="en-US"/>
        </w:rPr>
        <w:t xml:space="preserve">onset of endocrine symptoms </w:t>
      </w:r>
      <w:r w:rsidR="00FF315A" w:rsidRPr="00DE3121">
        <w:rPr>
          <w:rFonts w:ascii="Arial" w:hAnsi="Arial" w:cs="Arial"/>
          <w:sz w:val="22"/>
          <w:szCs w:val="22"/>
          <w:lang w:val="en-US"/>
        </w:rPr>
        <w:t>is</w:t>
      </w:r>
      <w:r w:rsidR="00A33456" w:rsidRPr="00DE3121">
        <w:rPr>
          <w:rFonts w:ascii="Arial" w:hAnsi="Arial" w:cs="Arial"/>
          <w:sz w:val="22"/>
          <w:szCs w:val="22"/>
          <w:lang w:val="en-US"/>
        </w:rPr>
        <w:t xml:space="preserve"> u</w:t>
      </w:r>
      <w:r w:rsidR="004B695F" w:rsidRPr="00DE3121">
        <w:rPr>
          <w:rFonts w:ascii="Arial" w:hAnsi="Arial" w:cs="Arial"/>
          <w:sz w:val="22"/>
          <w:szCs w:val="22"/>
          <w:lang w:val="en-US"/>
        </w:rPr>
        <w:t>nk</w:t>
      </w:r>
      <w:r w:rsidR="00A33456" w:rsidRPr="00DE3121">
        <w:rPr>
          <w:rFonts w:ascii="Arial" w:hAnsi="Arial" w:cs="Arial"/>
          <w:sz w:val="22"/>
          <w:szCs w:val="22"/>
          <w:lang w:val="en-US"/>
        </w:rPr>
        <w:t>nown (</w:t>
      </w:r>
      <w:r w:rsidR="00E811E9" w:rsidRPr="00DE3121">
        <w:rPr>
          <w:rFonts w:ascii="Arial" w:hAnsi="Arial" w:cs="Arial"/>
          <w:sz w:val="22"/>
          <w:szCs w:val="22"/>
          <w:lang w:val="en-US"/>
        </w:rPr>
        <w:t>27</w:t>
      </w:r>
      <w:r w:rsidR="00FA66BB" w:rsidRPr="00DE3121">
        <w:rPr>
          <w:rFonts w:ascii="Arial" w:hAnsi="Arial" w:cs="Arial"/>
          <w:sz w:val="22"/>
          <w:szCs w:val="22"/>
          <w:lang w:val="en-US"/>
        </w:rPr>
        <w:t xml:space="preserve">, </w:t>
      </w:r>
      <w:r w:rsidR="00E811E9" w:rsidRPr="00DE3121">
        <w:rPr>
          <w:rFonts w:ascii="Arial" w:hAnsi="Arial" w:cs="Arial"/>
          <w:sz w:val="22"/>
          <w:szCs w:val="22"/>
          <w:lang w:val="en-US"/>
        </w:rPr>
        <w:t>28</w:t>
      </w:r>
      <w:r w:rsidR="00A33456" w:rsidRPr="00DE3121">
        <w:rPr>
          <w:rFonts w:ascii="Arial" w:hAnsi="Arial" w:cs="Arial"/>
          <w:sz w:val="22"/>
          <w:szCs w:val="22"/>
          <w:lang w:val="en-US"/>
        </w:rPr>
        <w:t xml:space="preserve">). </w:t>
      </w:r>
    </w:p>
    <w:p w14:paraId="7CDDFF5B" w14:textId="77777777" w:rsidR="004D1B6C" w:rsidRPr="00DE3121" w:rsidRDefault="004D1B6C" w:rsidP="00DE3121">
      <w:pPr>
        <w:spacing w:after="0" w:line="276" w:lineRule="auto"/>
        <w:rPr>
          <w:rFonts w:ascii="Arial" w:hAnsi="Arial" w:cs="Arial"/>
          <w:sz w:val="22"/>
          <w:szCs w:val="22"/>
          <w:lang w:val="en-US"/>
        </w:rPr>
      </w:pPr>
    </w:p>
    <w:p w14:paraId="767655BC" w14:textId="4271B4A6" w:rsidR="00320023" w:rsidRDefault="00D44799" w:rsidP="00DE3121">
      <w:pPr>
        <w:spacing w:after="0" w:line="276" w:lineRule="auto"/>
        <w:rPr>
          <w:rFonts w:ascii="Arial" w:hAnsi="Arial" w:cs="Arial"/>
          <w:sz w:val="22"/>
          <w:szCs w:val="22"/>
          <w:lang w:val="en-US"/>
        </w:rPr>
      </w:pPr>
      <w:r w:rsidRPr="00DE3121">
        <w:rPr>
          <w:rFonts w:ascii="Arial" w:hAnsi="Arial" w:cs="Arial"/>
          <w:sz w:val="22"/>
          <w:szCs w:val="22"/>
          <w:lang w:val="en-US"/>
        </w:rPr>
        <w:t>The</w:t>
      </w:r>
      <w:r w:rsidR="00CF276B" w:rsidRPr="00DE3121">
        <w:rPr>
          <w:rFonts w:ascii="Arial" w:hAnsi="Arial" w:cs="Arial"/>
          <w:sz w:val="22"/>
          <w:szCs w:val="22"/>
          <w:lang w:val="en-US"/>
        </w:rPr>
        <w:t xml:space="preserve"> estimated </w:t>
      </w:r>
      <w:r w:rsidRPr="00DE3121">
        <w:rPr>
          <w:rFonts w:ascii="Arial" w:hAnsi="Arial" w:cs="Arial"/>
          <w:sz w:val="22"/>
          <w:szCs w:val="22"/>
          <w:lang w:val="en-US"/>
        </w:rPr>
        <w:t xml:space="preserve">lifetime prevalence of adrenal insufficiency in ALD is </w:t>
      </w:r>
      <w:r w:rsidR="00CF276B" w:rsidRPr="00DE3121">
        <w:rPr>
          <w:rFonts w:ascii="Arial" w:hAnsi="Arial" w:cs="Arial"/>
          <w:sz w:val="22"/>
          <w:szCs w:val="22"/>
          <w:lang w:val="en-US"/>
        </w:rPr>
        <w:t xml:space="preserve">considered to be approximately </w:t>
      </w:r>
      <w:r w:rsidRPr="00DE3121">
        <w:rPr>
          <w:rFonts w:ascii="Arial" w:hAnsi="Arial" w:cs="Arial"/>
          <w:sz w:val="22"/>
          <w:szCs w:val="22"/>
          <w:lang w:val="en-US"/>
        </w:rPr>
        <w:t>80</w:t>
      </w:r>
      <w:r w:rsidR="00CF276B" w:rsidRPr="00DE3121">
        <w:rPr>
          <w:rFonts w:ascii="Arial" w:hAnsi="Arial" w:cs="Arial"/>
          <w:sz w:val="22"/>
          <w:szCs w:val="22"/>
          <w:lang w:val="en-US"/>
        </w:rPr>
        <w:t>%</w:t>
      </w:r>
      <w:r w:rsidRPr="00DE3121">
        <w:rPr>
          <w:rFonts w:ascii="Arial" w:hAnsi="Arial" w:cs="Arial"/>
          <w:sz w:val="22"/>
          <w:szCs w:val="22"/>
          <w:lang w:val="en-US"/>
        </w:rPr>
        <w:t xml:space="preserve"> (</w:t>
      </w:r>
      <w:r w:rsidR="00E811E9" w:rsidRPr="00DE3121">
        <w:rPr>
          <w:rFonts w:ascii="Arial" w:hAnsi="Arial" w:cs="Arial"/>
          <w:sz w:val="22"/>
          <w:szCs w:val="22"/>
          <w:lang w:val="en-US"/>
        </w:rPr>
        <w:t>27</w:t>
      </w:r>
      <w:r w:rsidR="00CF276B" w:rsidRPr="00DE3121">
        <w:rPr>
          <w:rFonts w:ascii="Arial" w:hAnsi="Arial" w:cs="Arial"/>
          <w:sz w:val="22"/>
          <w:szCs w:val="22"/>
          <w:lang w:val="en-US"/>
        </w:rPr>
        <w:t xml:space="preserve">, </w:t>
      </w:r>
      <w:r w:rsidR="00E811E9" w:rsidRPr="00DE3121">
        <w:rPr>
          <w:rFonts w:ascii="Arial" w:hAnsi="Arial" w:cs="Arial"/>
          <w:sz w:val="22"/>
          <w:szCs w:val="22"/>
          <w:lang w:val="en-US"/>
        </w:rPr>
        <w:t>29</w:t>
      </w:r>
      <w:r w:rsidR="00CF276B" w:rsidRPr="00DE3121">
        <w:rPr>
          <w:rFonts w:ascii="Arial" w:hAnsi="Arial" w:cs="Arial"/>
          <w:sz w:val="22"/>
          <w:szCs w:val="22"/>
          <w:lang w:val="en-US"/>
        </w:rPr>
        <w:t xml:space="preserve">, </w:t>
      </w:r>
      <w:r w:rsidR="00E811E9" w:rsidRPr="00DE3121">
        <w:rPr>
          <w:rFonts w:ascii="Arial" w:hAnsi="Arial" w:cs="Arial"/>
          <w:sz w:val="22"/>
          <w:szCs w:val="22"/>
          <w:lang w:val="en-US"/>
        </w:rPr>
        <w:t>30</w:t>
      </w:r>
      <w:r w:rsidRPr="00DE3121">
        <w:rPr>
          <w:rFonts w:ascii="Arial" w:hAnsi="Arial" w:cs="Arial"/>
          <w:sz w:val="22"/>
          <w:szCs w:val="22"/>
          <w:lang w:val="en-US"/>
        </w:rPr>
        <w:t>)</w:t>
      </w:r>
      <w:r w:rsidR="00CF276B" w:rsidRPr="00DE3121">
        <w:rPr>
          <w:rFonts w:ascii="Arial" w:hAnsi="Arial" w:cs="Arial"/>
          <w:sz w:val="22"/>
          <w:szCs w:val="22"/>
          <w:lang w:val="en-US"/>
        </w:rPr>
        <w:t xml:space="preserve">. Addison’s disease </w:t>
      </w:r>
      <w:r w:rsidR="00320023" w:rsidRPr="00DE3121">
        <w:rPr>
          <w:rFonts w:ascii="Arial" w:hAnsi="Arial" w:cs="Arial"/>
          <w:sz w:val="22"/>
          <w:szCs w:val="22"/>
          <w:lang w:val="en-US"/>
        </w:rPr>
        <w:t xml:space="preserve">is </w:t>
      </w:r>
      <w:r w:rsidR="00CF276B" w:rsidRPr="00DE3121">
        <w:rPr>
          <w:rFonts w:ascii="Arial" w:hAnsi="Arial" w:cs="Arial"/>
          <w:sz w:val="22"/>
          <w:szCs w:val="22"/>
          <w:lang w:val="en-US"/>
        </w:rPr>
        <w:t xml:space="preserve">reported to be </w:t>
      </w:r>
      <w:r w:rsidR="00320023" w:rsidRPr="00DE3121">
        <w:rPr>
          <w:rFonts w:ascii="Arial" w:hAnsi="Arial" w:cs="Arial"/>
          <w:sz w:val="22"/>
          <w:szCs w:val="22"/>
          <w:lang w:val="en-US"/>
        </w:rPr>
        <w:t>the initial clinical manifestation of ALD in 38% of cases</w:t>
      </w:r>
      <w:r w:rsidR="00CF276B" w:rsidRPr="00DE3121">
        <w:rPr>
          <w:rFonts w:ascii="Arial" w:hAnsi="Arial" w:cs="Arial"/>
          <w:sz w:val="22"/>
          <w:szCs w:val="22"/>
          <w:lang w:val="en-US"/>
        </w:rPr>
        <w:t>, representing the most common presenting symptom of ALD in</w:t>
      </w:r>
      <w:r w:rsidR="00100E1B" w:rsidRPr="00DE3121">
        <w:rPr>
          <w:rFonts w:ascii="Arial" w:hAnsi="Arial" w:cs="Arial"/>
          <w:sz w:val="22"/>
          <w:szCs w:val="22"/>
          <w:lang w:val="en-US"/>
        </w:rPr>
        <w:t xml:space="preserve"> </w:t>
      </w:r>
      <w:r w:rsidR="00CF276B" w:rsidRPr="00DE3121">
        <w:rPr>
          <w:rFonts w:ascii="Arial" w:hAnsi="Arial" w:cs="Arial"/>
          <w:sz w:val="22"/>
          <w:szCs w:val="22"/>
          <w:lang w:val="en-US"/>
        </w:rPr>
        <w:t>childhood</w:t>
      </w:r>
      <w:r w:rsidR="00320023" w:rsidRPr="00DE3121">
        <w:rPr>
          <w:rFonts w:ascii="Arial" w:hAnsi="Arial" w:cs="Arial"/>
          <w:sz w:val="22"/>
          <w:szCs w:val="22"/>
          <w:lang w:val="en-US"/>
        </w:rPr>
        <w:t xml:space="preserve"> (</w:t>
      </w:r>
      <w:r w:rsidR="00D76BFB" w:rsidRPr="00DE3121">
        <w:rPr>
          <w:rFonts w:ascii="Arial" w:hAnsi="Arial" w:cs="Arial"/>
          <w:sz w:val="22"/>
          <w:szCs w:val="22"/>
          <w:lang w:val="en-US"/>
        </w:rPr>
        <w:t>10, 29</w:t>
      </w:r>
      <w:r w:rsidR="00320023" w:rsidRPr="00DE3121">
        <w:rPr>
          <w:rFonts w:ascii="Arial" w:hAnsi="Arial" w:cs="Arial"/>
          <w:sz w:val="22"/>
          <w:szCs w:val="22"/>
          <w:lang w:val="en-US"/>
        </w:rPr>
        <w:t xml:space="preserve">). ALD has been reported to account for 4% to 35% of cases of idiopathic primary adrenal insufficiency </w:t>
      </w:r>
      <w:r w:rsidR="00E47C5E" w:rsidRPr="00DE3121">
        <w:rPr>
          <w:rFonts w:ascii="Arial" w:hAnsi="Arial" w:cs="Arial"/>
          <w:sz w:val="22"/>
          <w:szCs w:val="22"/>
          <w:lang w:val="en-US"/>
        </w:rPr>
        <w:t>with</w:t>
      </w:r>
      <w:r w:rsidR="00320023" w:rsidRPr="00DE3121">
        <w:rPr>
          <w:rFonts w:ascii="Arial" w:hAnsi="Arial" w:cs="Arial"/>
          <w:sz w:val="22"/>
          <w:szCs w:val="22"/>
          <w:lang w:val="en-US"/>
        </w:rPr>
        <w:t xml:space="preserve"> </w:t>
      </w:r>
      <w:r w:rsidR="00E47C5E" w:rsidRPr="00DE3121">
        <w:rPr>
          <w:rFonts w:ascii="Arial" w:hAnsi="Arial" w:cs="Arial"/>
          <w:sz w:val="22"/>
          <w:szCs w:val="22"/>
          <w:lang w:val="en-US"/>
        </w:rPr>
        <w:t>no detectable steroid-21-hydroxylase antibodies or other obvious cause</w:t>
      </w:r>
      <w:r w:rsidR="00320023" w:rsidRPr="00DE3121">
        <w:rPr>
          <w:rFonts w:ascii="Arial" w:hAnsi="Arial" w:cs="Arial"/>
          <w:sz w:val="22"/>
          <w:szCs w:val="22"/>
          <w:lang w:val="en-US"/>
        </w:rPr>
        <w:t xml:space="preserve"> (</w:t>
      </w:r>
      <w:r w:rsidR="005E49CE" w:rsidRPr="00DE3121">
        <w:rPr>
          <w:rFonts w:ascii="Arial" w:hAnsi="Arial" w:cs="Arial"/>
          <w:sz w:val="22"/>
          <w:szCs w:val="22"/>
          <w:lang w:val="en-US"/>
        </w:rPr>
        <w:t>3</w:t>
      </w:r>
      <w:r w:rsidR="00D76BFB" w:rsidRPr="00DE3121">
        <w:rPr>
          <w:rFonts w:ascii="Arial" w:hAnsi="Arial" w:cs="Arial"/>
          <w:sz w:val="22"/>
          <w:szCs w:val="22"/>
          <w:lang w:val="en-US"/>
        </w:rPr>
        <w:t>1</w:t>
      </w:r>
      <w:r w:rsidR="00320023" w:rsidRPr="00DE3121">
        <w:rPr>
          <w:rFonts w:ascii="Arial" w:hAnsi="Arial" w:cs="Arial"/>
          <w:sz w:val="22"/>
          <w:szCs w:val="22"/>
          <w:lang w:val="en-US"/>
        </w:rPr>
        <w:t xml:space="preserve">, </w:t>
      </w:r>
      <w:r w:rsidR="00B3294A" w:rsidRPr="00DE3121">
        <w:rPr>
          <w:rFonts w:ascii="Arial" w:hAnsi="Arial" w:cs="Arial"/>
          <w:sz w:val="22"/>
          <w:szCs w:val="22"/>
          <w:lang w:val="en-US"/>
        </w:rPr>
        <w:t>32</w:t>
      </w:r>
      <w:r w:rsidR="00320023" w:rsidRPr="00DE3121">
        <w:rPr>
          <w:rFonts w:ascii="Arial" w:hAnsi="Arial" w:cs="Arial"/>
          <w:sz w:val="22"/>
          <w:szCs w:val="22"/>
          <w:lang w:val="en-US"/>
        </w:rPr>
        <w:t xml:space="preserve">, </w:t>
      </w:r>
      <w:r w:rsidR="00B3294A" w:rsidRPr="00DE3121">
        <w:rPr>
          <w:rFonts w:ascii="Arial" w:hAnsi="Arial" w:cs="Arial"/>
          <w:sz w:val="22"/>
          <w:szCs w:val="22"/>
          <w:lang w:val="en-US"/>
        </w:rPr>
        <w:t>33</w:t>
      </w:r>
      <w:r w:rsidR="00320023" w:rsidRPr="00DE3121">
        <w:rPr>
          <w:rFonts w:ascii="Arial" w:hAnsi="Arial" w:cs="Arial"/>
          <w:sz w:val="22"/>
          <w:szCs w:val="22"/>
          <w:lang w:val="en-US"/>
        </w:rPr>
        <w:t xml:space="preserve">). </w:t>
      </w:r>
    </w:p>
    <w:p w14:paraId="17ABD3EB" w14:textId="77777777" w:rsidR="004D1B6C" w:rsidRPr="00DE3121" w:rsidRDefault="004D1B6C" w:rsidP="00DE3121">
      <w:pPr>
        <w:spacing w:after="0" w:line="276" w:lineRule="auto"/>
        <w:rPr>
          <w:rFonts w:ascii="Arial" w:hAnsi="Arial" w:cs="Arial"/>
          <w:sz w:val="22"/>
          <w:szCs w:val="22"/>
          <w:lang w:val="en-US"/>
        </w:rPr>
      </w:pPr>
    </w:p>
    <w:p w14:paraId="5CFA530E" w14:textId="230F76B7" w:rsidR="00E21B22" w:rsidRDefault="00320023" w:rsidP="00DE3121">
      <w:pPr>
        <w:spacing w:after="0" w:line="276" w:lineRule="auto"/>
        <w:rPr>
          <w:rFonts w:ascii="Arial" w:hAnsi="Arial" w:cs="Arial"/>
          <w:sz w:val="22"/>
          <w:szCs w:val="22"/>
          <w:lang w:val="en-US"/>
        </w:rPr>
      </w:pPr>
      <w:r w:rsidRPr="00DE3121">
        <w:rPr>
          <w:rFonts w:ascii="Arial" w:hAnsi="Arial" w:cs="Arial"/>
          <w:sz w:val="22"/>
          <w:szCs w:val="22"/>
          <w:lang w:val="en-US"/>
        </w:rPr>
        <w:t xml:space="preserve">Therefore, all boys must be tested for ALD upon diagnosis of adrenal insufficiency if the cause is otherwise not clear. </w:t>
      </w:r>
      <w:r w:rsidR="00D44799" w:rsidRPr="00DE3121">
        <w:rPr>
          <w:rFonts w:ascii="Arial" w:hAnsi="Arial" w:cs="Arial"/>
          <w:sz w:val="22"/>
          <w:szCs w:val="22"/>
          <w:lang w:val="en-US"/>
        </w:rPr>
        <w:t>The risk for adrenal insufficiency varies throughout</w:t>
      </w:r>
      <w:r w:rsidRPr="00DE3121">
        <w:rPr>
          <w:rFonts w:ascii="Arial" w:hAnsi="Arial" w:cs="Arial"/>
          <w:sz w:val="22"/>
          <w:szCs w:val="22"/>
          <w:lang w:val="en-US"/>
        </w:rPr>
        <w:t xml:space="preserve"> </w:t>
      </w:r>
      <w:r w:rsidR="007942EB" w:rsidRPr="00DE3121">
        <w:rPr>
          <w:rFonts w:ascii="Arial" w:hAnsi="Arial" w:cs="Arial"/>
          <w:sz w:val="22"/>
          <w:szCs w:val="22"/>
          <w:lang w:val="en-US"/>
        </w:rPr>
        <w:t xml:space="preserve">the </w:t>
      </w:r>
      <w:r w:rsidR="00D44799" w:rsidRPr="00DE3121">
        <w:rPr>
          <w:rFonts w:ascii="Arial" w:hAnsi="Arial" w:cs="Arial"/>
          <w:sz w:val="22"/>
          <w:szCs w:val="22"/>
          <w:lang w:val="en-US"/>
        </w:rPr>
        <w:t>life</w:t>
      </w:r>
      <w:r w:rsidRPr="00DE3121">
        <w:rPr>
          <w:rFonts w:ascii="Arial" w:hAnsi="Arial" w:cs="Arial"/>
          <w:sz w:val="22"/>
          <w:szCs w:val="22"/>
          <w:lang w:val="en-US"/>
        </w:rPr>
        <w:t>time and peaks during the first decade of life between 3 and 10 years of age (</w:t>
      </w:r>
      <w:r w:rsidR="00B3294A" w:rsidRPr="00DE3121">
        <w:rPr>
          <w:rFonts w:ascii="Arial" w:hAnsi="Arial" w:cs="Arial"/>
          <w:sz w:val="22"/>
          <w:szCs w:val="22"/>
          <w:lang w:val="en-US"/>
        </w:rPr>
        <w:t>27</w:t>
      </w:r>
      <w:r w:rsidRPr="00DE3121">
        <w:rPr>
          <w:rFonts w:ascii="Arial" w:hAnsi="Arial" w:cs="Arial"/>
          <w:sz w:val="22"/>
          <w:szCs w:val="22"/>
          <w:lang w:val="en-US"/>
        </w:rPr>
        <w:t xml:space="preserve">, </w:t>
      </w:r>
      <w:r w:rsidR="00B3294A" w:rsidRPr="00DE3121">
        <w:rPr>
          <w:rFonts w:ascii="Arial" w:hAnsi="Arial" w:cs="Arial"/>
          <w:sz w:val="22"/>
          <w:szCs w:val="22"/>
          <w:lang w:val="en-US"/>
        </w:rPr>
        <w:t>29</w:t>
      </w:r>
      <w:r w:rsidRPr="00DE3121">
        <w:rPr>
          <w:rFonts w:ascii="Arial" w:hAnsi="Arial" w:cs="Arial"/>
          <w:sz w:val="22"/>
          <w:szCs w:val="22"/>
          <w:lang w:val="en-US"/>
        </w:rPr>
        <w:t>).</w:t>
      </w:r>
      <w:r w:rsidR="00E21B22" w:rsidRPr="00DE3121">
        <w:rPr>
          <w:rFonts w:ascii="Arial" w:hAnsi="Arial" w:cs="Arial"/>
          <w:sz w:val="22"/>
          <w:szCs w:val="22"/>
          <w:lang w:val="en-US"/>
        </w:rPr>
        <w:t xml:space="preserve"> The youngest patients suffering from adrenal insufficiency and ALD have been reported to be as young as </w:t>
      </w:r>
      <w:r w:rsidR="00C36E31" w:rsidRPr="00DE3121">
        <w:rPr>
          <w:rFonts w:ascii="Arial" w:hAnsi="Arial" w:cs="Arial"/>
          <w:sz w:val="22"/>
          <w:szCs w:val="22"/>
          <w:lang w:val="en-US"/>
        </w:rPr>
        <w:t xml:space="preserve">3, </w:t>
      </w:r>
      <w:r w:rsidR="00E21B22" w:rsidRPr="00DE3121">
        <w:rPr>
          <w:rFonts w:ascii="Arial" w:hAnsi="Arial" w:cs="Arial"/>
          <w:sz w:val="22"/>
          <w:szCs w:val="22"/>
          <w:lang w:val="en-US"/>
        </w:rPr>
        <w:t>5 and 7 months of age (</w:t>
      </w:r>
      <w:r w:rsidR="00B3294A" w:rsidRPr="00DE3121">
        <w:rPr>
          <w:rFonts w:ascii="Arial" w:hAnsi="Arial" w:cs="Arial"/>
          <w:sz w:val="22"/>
          <w:szCs w:val="22"/>
          <w:lang w:val="en-US"/>
        </w:rPr>
        <w:t>27</w:t>
      </w:r>
      <w:r w:rsidR="00E21B22" w:rsidRPr="00DE3121">
        <w:rPr>
          <w:rFonts w:ascii="Arial" w:hAnsi="Arial" w:cs="Arial"/>
          <w:sz w:val="22"/>
          <w:szCs w:val="22"/>
          <w:lang w:val="en-US"/>
        </w:rPr>
        <w:t xml:space="preserve">, </w:t>
      </w:r>
      <w:r w:rsidR="00B3294A" w:rsidRPr="00DE3121">
        <w:rPr>
          <w:rFonts w:ascii="Arial" w:hAnsi="Arial" w:cs="Arial"/>
          <w:sz w:val="22"/>
          <w:szCs w:val="22"/>
          <w:lang w:val="en-US"/>
        </w:rPr>
        <w:t>29</w:t>
      </w:r>
      <w:r w:rsidR="001C2D51" w:rsidRPr="00DE3121">
        <w:rPr>
          <w:rFonts w:ascii="Arial" w:hAnsi="Arial" w:cs="Arial"/>
          <w:sz w:val="22"/>
          <w:szCs w:val="22"/>
          <w:lang w:val="en-US"/>
        </w:rPr>
        <w:t>, 34</w:t>
      </w:r>
      <w:r w:rsidR="00E21B22" w:rsidRPr="00DE3121">
        <w:rPr>
          <w:rFonts w:ascii="Arial" w:hAnsi="Arial" w:cs="Arial"/>
          <w:sz w:val="22"/>
          <w:szCs w:val="22"/>
          <w:lang w:val="en-US"/>
        </w:rPr>
        <w:t>)</w:t>
      </w:r>
      <w:r w:rsidR="00784562" w:rsidRPr="00DE3121">
        <w:rPr>
          <w:rFonts w:ascii="Arial" w:hAnsi="Arial" w:cs="Arial"/>
          <w:sz w:val="22"/>
          <w:szCs w:val="22"/>
          <w:lang w:val="en-US"/>
        </w:rPr>
        <w:t>.</w:t>
      </w:r>
      <w:r w:rsidR="00E21B22" w:rsidRPr="00DE3121">
        <w:rPr>
          <w:rFonts w:ascii="Arial" w:hAnsi="Arial" w:cs="Arial"/>
          <w:sz w:val="22"/>
          <w:szCs w:val="22"/>
          <w:lang w:val="en-US"/>
        </w:rPr>
        <w:t xml:space="preserve"> </w:t>
      </w:r>
      <w:r w:rsidR="00784562" w:rsidRPr="00DE3121">
        <w:rPr>
          <w:rFonts w:ascii="Arial" w:hAnsi="Arial" w:cs="Arial"/>
          <w:sz w:val="22"/>
          <w:szCs w:val="22"/>
          <w:lang w:val="en-US"/>
        </w:rPr>
        <w:t xml:space="preserve">it has </w:t>
      </w:r>
      <w:r w:rsidR="00E21B22" w:rsidRPr="00DE3121">
        <w:rPr>
          <w:rFonts w:ascii="Arial" w:hAnsi="Arial" w:cs="Arial"/>
          <w:sz w:val="22"/>
          <w:szCs w:val="22"/>
          <w:lang w:val="en-US"/>
        </w:rPr>
        <w:t xml:space="preserve">therefore been recommended </w:t>
      </w:r>
      <w:r w:rsidR="00784562" w:rsidRPr="00DE3121">
        <w:rPr>
          <w:rFonts w:ascii="Arial" w:hAnsi="Arial" w:cs="Arial"/>
          <w:sz w:val="22"/>
          <w:szCs w:val="22"/>
          <w:lang w:val="en-US"/>
        </w:rPr>
        <w:t xml:space="preserve">to start </w:t>
      </w:r>
      <w:r w:rsidR="00E21B22" w:rsidRPr="00DE3121">
        <w:rPr>
          <w:rFonts w:ascii="Arial" w:hAnsi="Arial" w:cs="Arial"/>
          <w:sz w:val="22"/>
          <w:szCs w:val="22"/>
          <w:lang w:val="en-US"/>
        </w:rPr>
        <w:t>adrenal testing in the first six months of life (</w:t>
      </w:r>
      <w:r w:rsidR="001C2D51" w:rsidRPr="00DE3121">
        <w:rPr>
          <w:rFonts w:ascii="Arial" w:hAnsi="Arial" w:cs="Arial"/>
          <w:sz w:val="22"/>
          <w:szCs w:val="22"/>
          <w:lang w:val="en-US"/>
        </w:rPr>
        <w:t>29</w:t>
      </w:r>
      <w:r w:rsidR="00E21B22" w:rsidRPr="00DE3121">
        <w:rPr>
          <w:rFonts w:ascii="Arial" w:hAnsi="Arial" w:cs="Arial"/>
          <w:sz w:val="22"/>
          <w:szCs w:val="22"/>
          <w:lang w:val="en-US"/>
        </w:rPr>
        <w:t xml:space="preserve">). </w:t>
      </w:r>
    </w:p>
    <w:p w14:paraId="77EF6D42" w14:textId="77777777" w:rsidR="004D1B6C" w:rsidRPr="00DE3121" w:rsidRDefault="004D1B6C" w:rsidP="00DE3121">
      <w:pPr>
        <w:spacing w:after="0" w:line="276" w:lineRule="auto"/>
        <w:rPr>
          <w:rFonts w:ascii="Arial" w:hAnsi="Arial" w:cs="Arial"/>
          <w:sz w:val="22"/>
          <w:szCs w:val="22"/>
          <w:lang w:val="en-US"/>
        </w:rPr>
      </w:pPr>
    </w:p>
    <w:p w14:paraId="72465C02" w14:textId="1F2C135B" w:rsidR="00320023" w:rsidRDefault="00320023" w:rsidP="00DE3121">
      <w:pPr>
        <w:spacing w:after="0" w:line="276" w:lineRule="auto"/>
        <w:rPr>
          <w:rFonts w:ascii="Arial" w:hAnsi="Arial" w:cs="Arial"/>
          <w:sz w:val="22"/>
          <w:szCs w:val="22"/>
          <w:lang w:val="en-US"/>
        </w:rPr>
      </w:pPr>
      <w:r w:rsidRPr="00DE3121">
        <w:rPr>
          <w:rFonts w:ascii="Arial" w:hAnsi="Arial" w:cs="Arial"/>
          <w:sz w:val="22"/>
          <w:szCs w:val="22"/>
          <w:lang w:val="en-US"/>
        </w:rPr>
        <w:t>In a large natural history study of adrenal insufficiency in ALD (</w:t>
      </w:r>
      <w:r w:rsidR="001C2D51" w:rsidRPr="00DE3121">
        <w:rPr>
          <w:rFonts w:ascii="Arial" w:hAnsi="Arial" w:cs="Arial"/>
          <w:sz w:val="22"/>
          <w:szCs w:val="22"/>
          <w:lang w:val="en-US"/>
        </w:rPr>
        <w:t>29</w:t>
      </w:r>
      <w:r w:rsidRPr="00DE3121">
        <w:rPr>
          <w:rFonts w:ascii="Arial" w:hAnsi="Arial" w:cs="Arial"/>
          <w:sz w:val="22"/>
          <w:szCs w:val="22"/>
          <w:lang w:val="en-US"/>
        </w:rPr>
        <w:t>) t</w:t>
      </w:r>
      <w:r w:rsidR="00D44799" w:rsidRPr="00DE3121">
        <w:rPr>
          <w:rFonts w:ascii="Arial" w:hAnsi="Arial" w:cs="Arial"/>
          <w:sz w:val="22"/>
          <w:szCs w:val="22"/>
          <w:lang w:val="en-US"/>
        </w:rPr>
        <w:t xml:space="preserve">he cumulative probability of adrenal insufficiency was highest until the age of 10 years, remained prominent until 40 years of age, and decreased substantially thereafter. </w:t>
      </w:r>
      <w:r w:rsidR="00491E92" w:rsidRPr="00DE3121">
        <w:rPr>
          <w:rFonts w:ascii="Arial" w:hAnsi="Arial" w:cs="Arial"/>
          <w:sz w:val="22"/>
          <w:szCs w:val="22"/>
          <w:lang w:val="en-US"/>
        </w:rPr>
        <w:t>A timeframe for adrenal testing has been suggested as follows: B</w:t>
      </w:r>
      <w:r w:rsidR="00D44799" w:rsidRPr="00DE3121">
        <w:rPr>
          <w:rFonts w:ascii="Arial" w:hAnsi="Arial" w:cs="Arial"/>
          <w:sz w:val="22"/>
          <w:szCs w:val="22"/>
          <w:lang w:val="en-US"/>
        </w:rPr>
        <w:t>esides</w:t>
      </w:r>
      <w:r w:rsidR="00345664" w:rsidRPr="00DE3121">
        <w:rPr>
          <w:rFonts w:ascii="Arial" w:hAnsi="Arial" w:cs="Arial"/>
          <w:sz w:val="22"/>
          <w:szCs w:val="22"/>
          <w:lang w:val="en-US"/>
        </w:rPr>
        <w:t xml:space="preserve"> </w:t>
      </w:r>
      <w:r w:rsidR="007942EB" w:rsidRPr="00DE3121">
        <w:rPr>
          <w:rFonts w:ascii="Arial" w:hAnsi="Arial" w:cs="Arial"/>
          <w:sz w:val="22"/>
          <w:szCs w:val="22"/>
          <w:lang w:val="en-US"/>
        </w:rPr>
        <w:t>on-demand</w:t>
      </w:r>
      <w:r w:rsidR="00D44799" w:rsidRPr="00DE3121">
        <w:rPr>
          <w:rFonts w:ascii="Arial" w:hAnsi="Arial" w:cs="Arial"/>
          <w:sz w:val="22"/>
          <w:szCs w:val="22"/>
          <w:lang w:val="en-US"/>
        </w:rPr>
        <w:t xml:space="preserve"> testing if endocrine symptoms </w:t>
      </w:r>
      <w:r w:rsidR="00192CAB" w:rsidRPr="00DE3121">
        <w:rPr>
          <w:rFonts w:ascii="Arial" w:hAnsi="Arial" w:cs="Arial"/>
          <w:sz w:val="22"/>
          <w:szCs w:val="22"/>
          <w:lang w:val="en-US"/>
        </w:rPr>
        <w:t>are present</w:t>
      </w:r>
      <w:r w:rsidR="00491E92" w:rsidRPr="00DE3121">
        <w:rPr>
          <w:rFonts w:ascii="Arial" w:hAnsi="Arial" w:cs="Arial"/>
          <w:sz w:val="22"/>
          <w:szCs w:val="22"/>
          <w:lang w:val="en-US"/>
        </w:rPr>
        <w:t xml:space="preserve">, </w:t>
      </w:r>
      <w:r w:rsidR="00E21BE2" w:rsidRPr="00DE3121">
        <w:rPr>
          <w:rFonts w:ascii="Arial" w:hAnsi="Arial" w:cs="Arial"/>
          <w:sz w:val="22"/>
          <w:szCs w:val="22"/>
          <w:lang w:val="en-US"/>
        </w:rPr>
        <w:t xml:space="preserve">screening for adrenal insufficiency should be initiated in the first 6 months of life, then </w:t>
      </w:r>
      <w:r w:rsidR="00D44799" w:rsidRPr="00DE3121">
        <w:rPr>
          <w:rFonts w:ascii="Arial" w:hAnsi="Arial" w:cs="Arial"/>
          <w:sz w:val="22"/>
          <w:szCs w:val="22"/>
          <w:lang w:val="en-US"/>
        </w:rPr>
        <w:t xml:space="preserve">routine adrenal testing </w:t>
      </w:r>
      <w:r w:rsidR="00491E92" w:rsidRPr="00DE3121">
        <w:rPr>
          <w:rFonts w:ascii="Arial" w:hAnsi="Arial" w:cs="Arial"/>
          <w:sz w:val="22"/>
          <w:szCs w:val="22"/>
          <w:lang w:val="en-US"/>
        </w:rPr>
        <w:t xml:space="preserve">should be performed </w:t>
      </w:r>
      <w:r w:rsidR="00D44799" w:rsidRPr="00DE3121">
        <w:rPr>
          <w:rFonts w:ascii="Arial" w:hAnsi="Arial" w:cs="Arial"/>
          <w:sz w:val="22"/>
          <w:szCs w:val="22"/>
          <w:lang w:val="en-US"/>
        </w:rPr>
        <w:t xml:space="preserve">every </w:t>
      </w:r>
      <w:r w:rsidR="00E21BE2" w:rsidRPr="00DE3121">
        <w:rPr>
          <w:rFonts w:ascii="Arial" w:hAnsi="Arial" w:cs="Arial"/>
          <w:sz w:val="22"/>
          <w:szCs w:val="22"/>
          <w:lang w:val="en-US"/>
        </w:rPr>
        <w:t>3</w:t>
      </w:r>
      <w:r w:rsidR="00D44799" w:rsidRPr="00DE3121">
        <w:rPr>
          <w:rFonts w:ascii="Arial" w:hAnsi="Arial" w:cs="Arial"/>
          <w:sz w:val="22"/>
          <w:szCs w:val="22"/>
          <w:lang w:val="en-US"/>
        </w:rPr>
        <w:t xml:space="preserve"> to 6 months until 10 years of age, annual testing thereafter until 40 years of age, and solely on-demand testing in case </w:t>
      </w:r>
      <w:r w:rsidR="00E21B22" w:rsidRPr="00DE3121">
        <w:rPr>
          <w:rFonts w:ascii="Arial" w:hAnsi="Arial" w:cs="Arial"/>
          <w:sz w:val="22"/>
          <w:szCs w:val="22"/>
          <w:lang w:val="en-US"/>
        </w:rPr>
        <w:t xml:space="preserve">of </w:t>
      </w:r>
      <w:r w:rsidR="00D44799" w:rsidRPr="00DE3121">
        <w:rPr>
          <w:rFonts w:ascii="Arial" w:hAnsi="Arial" w:cs="Arial"/>
          <w:sz w:val="22"/>
          <w:szCs w:val="22"/>
          <w:lang w:val="en-US"/>
        </w:rPr>
        <w:t xml:space="preserve">endocrine symptoms from age 41 years onward </w:t>
      </w:r>
      <w:r w:rsidRPr="00DE3121">
        <w:rPr>
          <w:rFonts w:ascii="Arial" w:hAnsi="Arial" w:cs="Arial"/>
          <w:sz w:val="22"/>
          <w:szCs w:val="22"/>
          <w:lang w:val="en-US"/>
        </w:rPr>
        <w:t>(</w:t>
      </w:r>
      <w:r w:rsidR="00C073F3" w:rsidRPr="00DE3121">
        <w:rPr>
          <w:rFonts w:ascii="Arial" w:hAnsi="Arial" w:cs="Arial"/>
          <w:sz w:val="22"/>
          <w:szCs w:val="22"/>
          <w:lang w:val="en-US"/>
        </w:rPr>
        <w:t>29</w:t>
      </w:r>
      <w:r w:rsidRPr="00DE3121">
        <w:rPr>
          <w:rFonts w:ascii="Arial" w:hAnsi="Arial" w:cs="Arial"/>
          <w:sz w:val="22"/>
          <w:szCs w:val="22"/>
          <w:lang w:val="en-US"/>
        </w:rPr>
        <w:t>)</w:t>
      </w:r>
      <w:r w:rsidR="00491E92" w:rsidRPr="00DE3121">
        <w:rPr>
          <w:rFonts w:ascii="Arial" w:hAnsi="Arial" w:cs="Arial"/>
          <w:sz w:val="22"/>
          <w:szCs w:val="22"/>
          <w:lang w:val="en-US"/>
        </w:rPr>
        <w:t>.</w:t>
      </w:r>
    </w:p>
    <w:p w14:paraId="36685D99" w14:textId="77777777" w:rsidR="002739CB" w:rsidRPr="00DE3121" w:rsidRDefault="002739CB" w:rsidP="00DE3121">
      <w:pPr>
        <w:spacing w:after="0" w:line="276" w:lineRule="auto"/>
        <w:rPr>
          <w:rFonts w:ascii="Arial" w:hAnsi="Arial" w:cs="Arial"/>
          <w:sz w:val="22"/>
          <w:szCs w:val="22"/>
          <w:lang w:val="en-US"/>
        </w:rPr>
      </w:pPr>
    </w:p>
    <w:p w14:paraId="5BB1E7D0" w14:textId="656C0B0D" w:rsidR="00491E92" w:rsidRPr="00DE3121" w:rsidRDefault="00345664" w:rsidP="00DE3121">
      <w:pPr>
        <w:spacing w:after="0" w:line="276" w:lineRule="auto"/>
        <w:rPr>
          <w:rFonts w:ascii="Arial" w:hAnsi="Arial" w:cs="Arial"/>
          <w:sz w:val="22"/>
          <w:szCs w:val="22"/>
          <w:lang w:val="en-US"/>
        </w:rPr>
      </w:pPr>
      <w:r w:rsidRPr="00DE3121">
        <w:rPr>
          <w:rFonts w:ascii="Arial" w:hAnsi="Arial" w:cs="Arial"/>
          <w:sz w:val="22"/>
          <w:szCs w:val="22"/>
          <w:lang w:val="en-US"/>
        </w:rPr>
        <w:t xml:space="preserve">In this context, </w:t>
      </w:r>
      <w:r w:rsidR="00491E92" w:rsidRPr="00DE3121">
        <w:rPr>
          <w:rFonts w:ascii="Arial" w:hAnsi="Arial" w:cs="Arial"/>
          <w:sz w:val="22"/>
          <w:szCs w:val="22"/>
          <w:lang w:val="en-US"/>
        </w:rPr>
        <w:t xml:space="preserve">International Recommendations for the Diagnosis and Management of Patients </w:t>
      </w:r>
      <w:r w:rsidR="1422CE93" w:rsidRPr="00DE3121">
        <w:rPr>
          <w:rFonts w:ascii="Arial" w:hAnsi="Arial" w:cs="Arial"/>
          <w:sz w:val="22"/>
          <w:szCs w:val="22"/>
          <w:lang w:val="en-US"/>
        </w:rPr>
        <w:t xml:space="preserve">with </w:t>
      </w:r>
      <w:r w:rsidR="00491E92" w:rsidRPr="00DE3121">
        <w:rPr>
          <w:rFonts w:ascii="Arial" w:hAnsi="Arial" w:cs="Arial"/>
          <w:sz w:val="22"/>
          <w:szCs w:val="22"/>
          <w:lang w:val="en-US"/>
        </w:rPr>
        <w:t xml:space="preserve">Adrenoleukodystrophy have been recently issued </w:t>
      </w:r>
      <w:r w:rsidR="00E21BE2" w:rsidRPr="00DE3121">
        <w:rPr>
          <w:rFonts w:ascii="Arial" w:hAnsi="Arial" w:cs="Arial"/>
          <w:sz w:val="22"/>
          <w:szCs w:val="22"/>
          <w:lang w:val="en-US"/>
        </w:rPr>
        <w:t>emphasizing the need for early and regular adrenal testing (</w:t>
      </w:r>
      <w:r w:rsidR="00254F7B" w:rsidRPr="00DE3121">
        <w:rPr>
          <w:rFonts w:ascii="Arial" w:hAnsi="Arial" w:cs="Arial"/>
          <w:sz w:val="22"/>
          <w:szCs w:val="22"/>
          <w:lang w:val="en-US"/>
        </w:rPr>
        <w:t>35</w:t>
      </w:r>
      <w:r w:rsidR="00254F7B" w:rsidRPr="00DE3121">
        <w:rPr>
          <w:rFonts w:ascii="Arial" w:hAnsi="Arial" w:cs="Arial"/>
          <w:sz w:val="22"/>
          <w:szCs w:val="22"/>
          <w:shd w:val="clear" w:color="auto" w:fill="FFFFFF"/>
          <w:lang w:val="en-US"/>
        </w:rPr>
        <w:t xml:space="preserve">, </w:t>
      </w:r>
      <w:r w:rsidR="00E21BE2" w:rsidRPr="00DE3121">
        <w:rPr>
          <w:rFonts w:ascii="Arial" w:hAnsi="Arial" w:cs="Arial"/>
          <w:sz w:val="22"/>
          <w:szCs w:val="22"/>
          <w:lang w:val="en-US"/>
        </w:rPr>
        <w:t>figure</w:t>
      </w:r>
      <w:r w:rsidR="00FF315A" w:rsidRPr="00DE3121">
        <w:rPr>
          <w:rFonts w:ascii="Arial" w:hAnsi="Arial" w:cs="Arial"/>
          <w:sz w:val="22"/>
          <w:szCs w:val="22"/>
          <w:lang w:val="en-US"/>
        </w:rPr>
        <w:t xml:space="preserve"> 3</w:t>
      </w:r>
      <w:r w:rsidR="00E21BE2" w:rsidRPr="00DE3121">
        <w:rPr>
          <w:rFonts w:ascii="Arial" w:hAnsi="Arial" w:cs="Arial"/>
          <w:sz w:val="22"/>
          <w:szCs w:val="22"/>
          <w:lang w:val="en-US"/>
        </w:rPr>
        <w:t xml:space="preserve">). </w:t>
      </w:r>
    </w:p>
    <w:p w14:paraId="3DEEC669" w14:textId="77777777" w:rsidR="00E47C5E" w:rsidRPr="00DE3121" w:rsidRDefault="00E47C5E" w:rsidP="00DE3121">
      <w:pPr>
        <w:spacing w:after="0" w:line="276" w:lineRule="auto"/>
        <w:rPr>
          <w:rFonts w:ascii="Arial" w:hAnsi="Arial" w:cs="Arial"/>
          <w:sz w:val="22"/>
          <w:szCs w:val="22"/>
          <w:lang w:val="en-US"/>
        </w:rPr>
      </w:pPr>
    </w:p>
    <w:p w14:paraId="3656B9AB" w14:textId="77777777" w:rsidR="00E47C5E" w:rsidRPr="00DE3121" w:rsidRDefault="00E47C5E" w:rsidP="00DE3121">
      <w:pPr>
        <w:spacing w:after="0" w:line="276" w:lineRule="auto"/>
        <w:rPr>
          <w:rFonts w:ascii="Arial" w:hAnsi="Arial" w:cs="Arial"/>
          <w:sz w:val="22"/>
          <w:szCs w:val="22"/>
          <w:lang w:val="en-US"/>
        </w:rPr>
      </w:pPr>
      <w:r w:rsidRPr="00DE3121">
        <w:rPr>
          <w:rFonts w:ascii="Arial" w:hAnsi="Arial" w:cs="Arial"/>
          <w:noProof/>
          <w:sz w:val="22"/>
          <w:szCs w:val="22"/>
        </w:rPr>
        <w:drawing>
          <wp:inline distT="0" distB="0" distL="0" distR="0" wp14:anchorId="28B25B2E" wp14:editId="6EBF9FF2">
            <wp:extent cx="6093082" cy="3059011"/>
            <wp:effectExtent l="0" t="0" r="3175" b="8255"/>
            <wp:docPr id="1987959844" name="Εικόνα 4" descr="Εικόνα που περιέχει κείμενο, στιγμιότυπο οθόνης, απόδειξ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pic:nvPicPr>
                  <pic:blipFill>
                    <a:blip r:embed="rId11">
                      <a:extLst>
                        <a:ext uri="{28A0092B-C50C-407E-A947-70E740481C1C}">
                          <a14:useLocalDpi xmlns:a14="http://schemas.microsoft.com/office/drawing/2010/main" val="0"/>
                        </a:ext>
                      </a:extLst>
                    </a:blip>
                    <a:stretch>
                      <a:fillRect/>
                    </a:stretch>
                  </pic:blipFill>
                  <pic:spPr>
                    <a:xfrm>
                      <a:off x="0" y="0"/>
                      <a:ext cx="6093082" cy="3059011"/>
                    </a:xfrm>
                    <a:prstGeom prst="rect">
                      <a:avLst/>
                    </a:prstGeom>
                  </pic:spPr>
                </pic:pic>
              </a:graphicData>
            </a:graphic>
          </wp:inline>
        </w:drawing>
      </w:r>
    </w:p>
    <w:p w14:paraId="2D016362" w14:textId="0E36EBCE" w:rsidR="00E47C5E" w:rsidRPr="002739CB" w:rsidRDefault="00FF315A" w:rsidP="00DE3121">
      <w:pPr>
        <w:spacing w:after="0" w:line="276" w:lineRule="auto"/>
        <w:rPr>
          <w:rFonts w:ascii="Arial" w:hAnsi="Arial" w:cs="Arial"/>
          <w:b/>
          <w:bCs/>
          <w:sz w:val="22"/>
          <w:szCs w:val="22"/>
          <w:lang w:val="en-US"/>
        </w:rPr>
      </w:pPr>
      <w:r w:rsidRPr="002739CB">
        <w:rPr>
          <w:rFonts w:ascii="Arial" w:hAnsi="Arial" w:cs="Arial"/>
          <w:b/>
          <w:bCs/>
          <w:sz w:val="22"/>
          <w:szCs w:val="22"/>
          <w:lang w:val="en-US"/>
        </w:rPr>
        <w:t xml:space="preserve">Figure 3. </w:t>
      </w:r>
      <w:r w:rsidR="00E47C5E" w:rsidRPr="002739CB">
        <w:rPr>
          <w:rFonts w:ascii="Arial" w:hAnsi="Arial" w:cs="Arial"/>
          <w:b/>
          <w:bCs/>
          <w:sz w:val="22"/>
          <w:szCs w:val="22"/>
          <w:lang w:val="en-US"/>
        </w:rPr>
        <w:t xml:space="preserve">Screening and management overview in ALD. </w:t>
      </w:r>
      <w:r w:rsidR="001C2D51" w:rsidRPr="002739CB">
        <w:rPr>
          <w:rFonts w:ascii="Arial" w:hAnsi="Arial" w:cs="Arial"/>
          <w:b/>
          <w:bCs/>
          <w:sz w:val="22"/>
          <w:szCs w:val="22"/>
          <w:lang w:val="en-US"/>
        </w:rPr>
        <w:t xml:space="preserve">Adapted </w:t>
      </w:r>
      <w:r w:rsidR="00192CAB" w:rsidRPr="002739CB">
        <w:rPr>
          <w:rFonts w:ascii="Arial" w:hAnsi="Arial" w:cs="Arial"/>
          <w:b/>
          <w:bCs/>
          <w:sz w:val="22"/>
          <w:szCs w:val="22"/>
          <w:lang w:val="en-US"/>
        </w:rPr>
        <w:t xml:space="preserve">with permission </w:t>
      </w:r>
      <w:r w:rsidR="001C2D51" w:rsidRPr="002739CB">
        <w:rPr>
          <w:rFonts w:ascii="Arial" w:hAnsi="Arial" w:cs="Arial"/>
          <w:b/>
          <w:bCs/>
          <w:sz w:val="22"/>
          <w:szCs w:val="22"/>
          <w:lang w:val="en-US"/>
        </w:rPr>
        <w:t xml:space="preserve">from: </w:t>
      </w:r>
      <w:r w:rsidR="00E47C5E" w:rsidRPr="002739CB">
        <w:rPr>
          <w:rFonts w:ascii="Arial" w:hAnsi="Arial" w:cs="Arial"/>
          <w:b/>
          <w:bCs/>
          <w:sz w:val="22"/>
          <w:szCs w:val="22"/>
          <w:lang w:val="en-US"/>
        </w:rPr>
        <w:t xml:space="preserve">International Recommendations for the Diagnosis and Management of Patients </w:t>
      </w:r>
      <w:r w:rsidR="001C2D51" w:rsidRPr="002739CB">
        <w:rPr>
          <w:rFonts w:ascii="Arial" w:hAnsi="Arial" w:cs="Arial"/>
          <w:b/>
          <w:bCs/>
          <w:sz w:val="22"/>
          <w:szCs w:val="22"/>
          <w:lang w:val="en-US"/>
        </w:rPr>
        <w:t>w</w:t>
      </w:r>
      <w:r w:rsidR="00E47C5E" w:rsidRPr="002739CB">
        <w:rPr>
          <w:rFonts w:ascii="Arial" w:hAnsi="Arial" w:cs="Arial"/>
          <w:b/>
          <w:bCs/>
          <w:sz w:val="22"/>
          <w:szCs w:val="22"/>
          <w:lang w:val="en-US"/>
        </w:rPr>
        <w:t xml:space="preserve">ith Adrenoleukodystrophy. Neurology 2022. </w:t>
      </w:r>
    </w:p>
    <w:p w14:paraId="45FB0818" w14:textId="77777777" w:rsidR="001214FB" w:rsidRPr="00DE3121" w:rsidRDefault="001214FB" w:rsidP="00DE3121">
      <w:pPr>
        <w:spacing w:after="0" w:line="276" w:lineRule="auto"/>
        <w:rPr>
          <w:rFonts w:ascii="Arial" w:hAnsi="Arial" w:cs="Arial"/>
          <w:sz w:val="22"/>
          <w:szCs w:val="22"/>
          <w:lang w:val="en-US"/>
        </w:rPr>
      </w:pPr>
    </w:p>
    <w:p w14:paraId="78F4887B" w14:textId="77777777" w:rsidR="001214FB" w:rsidRDefault="001214FB" w:rsidP="00DE3121">
      <w:pPr>
        <w:spacing w:after="0" w:line="276" w:lineRule="auto"/>
        <w:rPr>
          <w:rFonts w:ascii="Arial" w:hAnsi="Arial" w:cs="Arial"/>
          <w:sz w:val="22"/>
          <w:szCs w:val="22"/>
          <w:lang w:val="en-US"/>
        </w:rPr>
      </w:pPr>
      <w:r w:rsidRPr="00DE3121">
        <w:rPr>
          <w:rFonts w:ascii="Arial" w:hAnsi="Arial" w:cs="Arial"/>
          <w:sz w:val="22"/>
          <w:szCs w:val="22"/>
          <w:lang w:val="en-US"/>
        </w:rPr>
        <w:t xml:space="preserve">The most recent Endocrine Society and Pediatric Endocrine Society clinical practice recommendations for </w:t>
      </w:r>
      <w:r w:rsidR="007942EB" w:rsidRPr="00DE3121">
        <w:rPr>
          <w:rFonts w:ascii="Arial" w:hAnsi="Arial" w:cs="Arial"/>
          <w:sz w:val="22"/>
          <w:szCs w:val="22"/>
          <w:lang w:val="en-US"/>
        </w:rPr>
        <w:t xml:space="preserve">the </w:t>
      </w:r>
      <w:r w:rsidRPr="00DE3121">
        <w:rPr>
          <w:rFonts w:ascii="Arial" w:hAnsi="Arial" w:cs="Arial"/>
          <w:sz w:val="22"/>
          <w:szCs w:val="22"/>
          <w:lang w:val="en-US"/>
        </w:rPr>
        <w:t>evaluation of adrenal insufficiency are used as guides for establishing cutoff values for ACTH and cortisol (</w:t>
      </w:r>
      <w:r w:rsidR="001C2D51" w:rsidRPr="00DE3121">
        <w:rPr>
          <w:rFonts w:ascii="Arial" w:hAnsi="Arial" w:cs="Arial"/>
          <w:sz w:val="22"/>
          <w:szCs w:val="22"/>
          <w:lang w:val="en-US"/>
        </w:rPr>
        <w:t>36</w:t>
      </w:r>
      <w:r w:rsidRPr="00DE3121">
        <w:rPr>
          <w:rFonts w:ascii="Arial" w:hAnsi="Arial" w:cs="Arial"/>
          <w:sz w:val="22"/>
          <w:szCs w:val="22"/>
          <w:lang w:val="en-US"/>
        </w:rPr>
        <w:t xml:space="preserve">). </w:t>
      </w:r>
    </w:p>
    <w:p w14:paraId="4854A2DF" w14:textId="77777777" w:rsidR="002739CB" w:rsidRPr="00DE3121" w:rsidRDefault="002739CB" w:rsidP="00DE3121">
      <w:pPr>
        <w:spacing w:after="0" w:line="276" w:lineRule="auto"/>
        <w:rPr>
          <w:rFonts w:ascii="Arial" w:hAnsi="Arial" w:cs="Arial"/>
          <w:sz w:val="22"/>
          <w:szCs w:val="22"/>
          <w:lang w:val="en-US"/>
        </w:rPr>
      </w:pPr>
    </w:p>
    <w:p w14:paraId="120AA20C" w14:textId="0F601491" w:rsidR="4F4F472F" w:rsidRPr="00DE3121" w:rsidRDefault="001214FB" w:rsidP="00DE3121">
      <w:pPr>
        <w:spacing w:after="0" w:line="276" w:lineRule="auto"/>
        <w:rPr>
          <w:rFonts w:ascii="Arial" w:hAnsi="Arial" w:cs="Arial"/>
          <w:sz w:val="22"/>
          <w:szCs w:val="22"/>
          <w:lang w:val="en-US"/>
        </w:rPr>
      </w:pPr>
      <w:r w:rsidRPr="00DE3121">
        <w:rPr>
          <w:rFonts w:ascii="Arial" w:hAnsi="Arial" w:cs="Arial"/>
          <w:sz w:val="22"/>
          <w:szCs w:val="22"/>
          <w:lang w:val="en-US"/>
        </w:rPr>
        <w:t>An ACTH value of &gt; 100 pg/mL and a cortisol value of &lt; 10 m</w:t>
      </w:r>
      <w:r w:rsidR="00192CAB" w:rsidRPr="00DE3121">
        <w:rPr>
          <w:rFonts w:ascii="Arial" w:hAnsi="Arial" w:cs="Arial"/>
          <w:sz w:val="22"/>
          <w:szCs w:val="22"/>
          <w:lang w:val="en-US"/>
        </w:rPr>
        <w:t>c</w:t>
      </w:r>
      <w:r w:rsidRPr="00DE3121">
        <w:rPr>
          <w:rFonts w:ascii="Arial" w:hAnsi="Arial" w:cs="Arial"/>
          <w:sz w:val="22"/>
          <w:szCs w:val="22"/>
          <w:lang w:val="en-US"/>
        </w:rPr>
        <w:t xml:space="preserve">g/dL is suggestive of adrenal insufficiency. Children with normal ACTH and cortisol levels (&lt;100 pg/mL and </w:t>
      </w:r>
      <w:r w:rsidR="1B016C65" w:rsidRPr="00DE3121">
        <w:rPr>
          <w:rFonts w:ascii="Arial" w:hAnsi="Arial" w:cs="Arial"/>
          <w:sz w:val="22"/>
          <w:szCs w:val="22"/>
          <w:lang w:val="en-US"/>
        </w:rPr>
        <w:t>≥5 mcg/d</w:t>
      </w:r>
      <w:r w:rsidR="6203BE6F" w:rsidRPr="00DE3121">
        <w:rPr>
          <w:rFonts w:ascii="Arial" w:hAnsi="Arial" w:cs="Arial"/>
          <w:sz w:val="22"/>
          <w:szCs w:val="22"/>
          <w:lang w:val="en-US"/>
        </w:rPr>
        <w:t>L</w:t>
      </w:r>
      <w:r w:rsidRPr="00DE3121">
        <w:rPr>
          <w:rFonts w:ascii="Arial" w:hAnsi="Arial" w:cs="Arial"/>
          <w:sz w:val="22"/>
          <w:szCs w:val="22"/>
          <w:lang w:val="en-US"/>
        </w:rPr>
        <w:t xml:space="preserve"> respectively) do not require immediate treatment and should be retested in 3 to 4 months. Children with clearly abnormal ACTH (&gt; 300 pg/mL</w:t>
      </w:r>
      <w:r w:rsidR="006E3973" w:rsidRPr="00DE3121">
        <w:rPr>
          <w:rFonts w:ascii="Arial" w:hAnsi="Arial" w:cs="Arial"/>
          <w:sz w:val="22"/>
          <w:szCs w:val="22"/>
          <w:lang w:val="en-US"/>
        </w:rPr>
        <w:t>)</w:t>
      </w:r>
      <w:r w:rsidRPr="00DE3121">
        <w:rPr>
          <w:rFonts w:ascii="Arial" w:hAnsi="Arial" w:cs="Arial"/>
          <w:sz w:val="22"/>
          <w:szCs w:val="22"/>
          <w:lang w:val="en-US"/>
        </w:rPr>
        <w:t xml:space="preserve"> </w:t>
      </w:r>
      <w:r w:rsidR="006E3973" w:rsidRPr="00DE3121">
        <w:rPr>
          <w:rFonts w:ascii="Arial" w:hAnsi="Arial" w:cs="Arial"/>
          <w:sz w:val="22"/>
          <w:szCs w:val="22"/>
          <w:lang w:val="en-US"/>
        </w:rPr>
        <w:t xml:space="preserve">and inappropriately low cortisol levels </w:t>
      </w:r>
      <w:r w:rsidRPr="00DE3121">
        <w:rPr>
          <w:rFonts w:ascii="Arial" w:hAnsi="Arial" w:cs="Arial"/>
          <w:sz w:val="22"/>
          <w:szCs w:val="22"/>
          <w:lang w:val="en-US"/>
        </w:rPr>
        <w:t>should begin daily and stress-dose glucocorticoid replacement. ACTH and cortisol values of 100 - 299 pg/mL and &lt; 10 m</w:t>
      </w:r>
      <w:r w:rsidR="3AADF68B" w:rsidRPr="00DE3121">
        <w:rPr>
          <w:rFonts w:ascii="Arial" w:hAnsi="Arial" w:cs="Arial"/>
          <w:sz w:val="22"/>
          <w:szCs w:val="22"/>
          <w:lang w:val="en-US"/>
        </w:rPr>
        <w:t>c</w:t>
      </w:r>
      <w:r w:rsidRPr="00DE3121">
        <w:rPr>
          <w:rFonts w:ascii="Arial" w:hAnsi="Arial" w:cs="Arial"/>
          <w:sz w:val="22"/>
          <w:szCs w:val="22"/>
          <w:lang w:val="en-US"/>
        </w:rPr>
        <w:t>g/dL respectively should prompt high-dose ACTH (cosyntropin) stimulation testing (</w:t>
      </w:r>
      <w:r w:rsidR="001C2D51" w:rsidRPr="00DE3121">
        <w:rPr>
          <w:rFonts w:ascii="Arial" w:hAnsi="Arial" w:cs="Arial"/>
          <w:sz w:val="22"/>
          <w:szCs w:val="22"/>
          <w:lang w:val="en-US"/>
        </w:rPr>
        <w:t>34</w:t>
      </w:r>
      <w:r w:rsidRPr="00DE3121">
        <w:rPr>
          <w:rFonts w:ascii="Arial" w:hAnsi="Arial" w:cs="Arial"/>
          <w:sz w:val="22"/>
          <w:szCs w:val="22"/>
          <w:lang w:val="en-US"/>
        </w:rPr>
        <w:t>). The median time to transition from stress to maintenance dose has been reported as short as 1.46 years (</w:t>
      </w:r>
      <w:r w:rsidR="001C2D51" w:rsidRPr="00DE3121">
        <w:rPr>
          <w:rFonts w:ascii="Arial" w:hAnsi="Arial" w:cs="Arial"/>
          <w:sz w:val="22"/>
          <w:szCs w:val="22"/>
          <w:lang w:val="en-US"/>
        </w:rPr>
        <w:t>30</w:t>
      </w:r>
      <w:r w:rsidRPr="00DE3121">
        <w:rPr>
          <w:rFonts w:ascii="Arial" w:hAnsi="Arial" w:cs="Arial"/>
          <w:sz w:val="22"/>
          <w:szCs w:val="22"/>
          <w:lang w:val="en-US"/>
        </w:rPr>
        <w:t>).</w:t>
      </w:r>
      <w:r w:rsidR="004F5CDE" w:rsidRPr="00DE3121">
        <w:rPr>
          <w:rFonts w:ascii="Arial" w:hAnsi="Arial" w:cs="Arial"/>
          <w:sz w:val="22"/>
          <w:szCs w:val="22"/>
          <w:lang w:val="en-US"/>
        </w:rPr>
        <w:t xml:space="preserve"> </w:t>
      </w:r>
      <w:r w:rsidR="00ED51A8" w:rsidRPr="00DE3121">
        <w:rPr>
          <w:rFonts w:ascii="Arial" w:hAnsi="Arial" w:cs="Arial"/>
          <w:sz w:val="22"/>
          <w:szCs w:val="22"/>
          <w:lang w:val="en-US"/>
        </w:rPr>
        <w:t xml:space="preserve">The recommended </w:t>
      </w:r>
      <w:r w:rsidR="004F5CDE" w:rsidRPr="00DE3121">
        <w:rPr>
          <w:rFonts w:ascii="Arial" w:hAnsi="Arial" w:cs="Arial"/>
          <w:sz w:val="22"/>
          <w:szCs w:val="22"/>
          <w:lang w:val="en-US"/>
        </w:rPr>
        <w:t>hormonal</w:t>
      </w:r>
      <w:r w:rsidR="007D52EE" w:rsidRPr="00DE3121">
        <w:rPr>
          <w:rFonts w:ascii="Arial" w:hAnsi="Arial" w:cs="Arial"/>
          <w:sz w:val="22"/>
          <w:szCs w:val="22"/>
          <w:lang w:val="en-US"/>
        </w:rPr>
        <w:t xml:space="preserve"> </w:t>
      </w:r>
      <w:r w:rsidR="006E3973" w:rsidRPr="00DE3121">
        <w:rPr>
          <w:rFonts w:ascii="Arial" w:hAnsi="Arial" w:cs="Arial"/>
          <w:sz w:val="22"/>
          <w:szCs w:val="22"/>
          <w:lang w:val="en-US"/>
        </w:rPr>
        <w:t>workup</w:t>
      </w:r>
      <w:r w:rsidR="004F5CDE" w:rsidRPr="00DE3121">
        <w:rPr>
          <w:rFonts w:ascii="Arial" w:hAnsi="Arial" w:cs="Arial"/>
          <w:sz w:val="22"/>
          <w:szCs w:val="22"/>
          <w:lang w:val="en-US"/>
        </w:rPr>
        <w:t xml:space="preserve"> is depicted in figure 4.</w:t>
      </w:r>
    </w:p>
    <w:p w14:paraId="6EFB9142" w14:textId="77777777" w:rsidR="00B34FDF" w:rsidRPr="00DE3121" w:rsidRDefault="00B34FDF" w:rsidP="00DE3121">
      <w:pPr>
        <w:spacing w:after="0" w:line="276" w:lineRule="auto"/>
        <w:rPr>
          <w:rFonts w:ascii="Arial" w:hAnsi="Arial" w:cs="Arial"/>
          <w:sz w:val="22"/>
          <w:szCs w:val="22"/>
          <w:lang w:val="en-US"/>
        </w:rPr>
      </w:pPr>
    </w:p>
    <w:p w14:paraId="60E5E817" w14:textId="3789F9DF" w:rsidR="2BF4BFDA" w:rsidRPr="00DE3121" w:rsidRDefault="2BF4BFDA" w:rsidP="00DE3121">
      <w:pPr>
        <w:spacing w:after="0" w:line="276" w:lineRule="auto"/>
        <w:rPr>
          <w:rFonts w:ascii="Arial" w:hAnsi="Arial" w:cs="Arial"/>
          <w:sz w:val="22"/>
          <w:szCs w:val="22"/>
        </w:rPr>
      </w:pPr>
      <w:r w:rsidRPr="00DE3121">
        <w:rPr>
          <w:rFonts w:ascii="Arial" w:hAnsi="Arial" w:cs="Arial"/>
          <w:noProof/>
          <w:sz w:val="22"/>
          <w:szCs w:val="22"/>
        </w:rPr>
        <w:lastRenderedPageBreak/>
        <w:drawing>
          <wp:inline distT="0" distB="0" distL="0" distR="0" wp14:anchorId="27B7AD28" wp14:editId="5E639A32">
            <wp:extent cx="5388610" cy="2728411"/>
            <wp:effectExtent l="0" t="0" r="2540" b="0"/>
            <wp:docPr id="368104901" name="Picture 36810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10490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88610" cy="2728411"/>
                    </a:xfrm>
                    <a:prstGeom prst="rect">
                      <a:avLst/>
                    </a:prstGeom>
                  </pic:spPr>
                </pic:pic>
              </a:graphicData>
            </a:graphic>
          </wp:inline>
        </w:drawing>
      </w:r>
    </w:p>
    <w:p w14:paraId="32FE7986" w14:textId="77777777" w:rsidR="002739CB" w:rsidRPr="002739CB" w:rsidRDefault="002739CB" w:rsidP="002739CB">
      <w:pPr>
        <w:spacing w:after="0" w:line="276" w:lineRule="auto"/>
        <w:rPr>
          <w:rFonts w:ascii="Arial" w:hAnsi="Arial" w:cs="Arial"/>
          <w:b/>
          <w:bCs/>
          <w:sz w:val="22"/>
          <w:szCs w:val="22"/>
          <w:lang w:val="en-US"/>
        </w:rPr>
      </w:pPr>
      <w:r w:rsidRPr="002739CB">
        <w:rPr>
          <w:rFonts w:ascii="Arial" w:hAnsi="Arial" w:cs="Arial"/>
          <w:b/>
          <w:bCs/>
          <w:sz w:val="22"/>
          <w:szCs w:val="22"/>
          <w:lang w:val="en-US"/>
        </w:rPr>
        <w:t xml:space="preserve">Figure 4. Suggested hormonal work up for glucocorticoid deficiency in ALD. </w:t>
      </w:r>
    </w:p>
    <w:p w14:paraId="049F31CB" w14:textId="77777777" w:rsidR="002F4D9B" w:rsidRPr="00DE3121" w:rsidRDefault="002F4D9B" w:rsidP="00DE3121">
      <w:pPr>
        <w:spacing w:after="0" w:line="276" w:lineRule="auto"/>
        <w:rPr>
          <w:rFonts w:ascii="Arial" w:hAnsi="Arial" w:cs="Arial"/>
          <w:sz w:val="22"/>
          <w:szCs w:val="22"/>
          <w:lang w:val="en-US"/>
        </w:rPr>
      </w:pPr>
    </w:p>
    <w:p w14:paraId="6E9CC1E8" w14:textId="30D09B57" w:rsidR="00FB35D8" w:rsidRDefault="00667D79" w:rsidP="00DE3121">
      <w:pPr>
        <w:spacing w:after="0" w:line="276" w:lineRule="auto"/>
        <w:rPr>
          <w:rFonts w:ascii="Arial" w:hAnsi="Arial" w:cs="Arial"/>
          <w:sz w:val="22"/>
          <w:szCs w:val="22"/>
          <w:lang w:val="en-US"/>
        </w:rPr>
      </w:pPr>
      <w:r w:rsidRPr="00DE3121">
        <w:rPr>
          <w:rFonts w:ascii="Arial" w:hAnsi="Arial" w:cs="Arial"/>
          <w:sz w:val="22"/>
          <w:szCs w:val="22"/>
          <w:lang w:val="en-US"/>
        </w:rPr>
        <w:t>Of note</w:t>
      </w:r>
      <w:r w:rsidR="00FB35D8" w:rsidRPr="00DE3121">
        <w:rPr>
          <w:rFonts w:ascii="Arial" w:hAnsi="Arial" w:cs="Arial"/>
          <w:sz w:val="22"/>
          <w:szCs w:val="22"/>
          <w:lang w:val="en-US"/>
        </w:rPr>
        <w:t xml:space="preserve">, the mineralocorticoid function often remains intact, </w:t>
      </w:r>
      <w:r w:rsidRPr="00DE3121">
        <w:rPr>
          <w:rFonts w:ascii="Arial" w:hAnsi="Arial" w:cs="Arial"/>
          <w:sz w:val="22"/>
          <w:szCs w:val="22"/>
          <w:lang w:val="en-US"/>
        </w:rPr>
        <w:t>reflecting the relative sparing of the zona glomerulosa in the adrenal cortex (</w:t>
      </w:r>
      <w:r w:rsidR="001C2D51" w:rsidRPr="00DE3121">
        <w:rPr>
          <w:rFonts w:ascii="Arial" w:hAnsi="Arial" w:cs="Arial"/>
          <w:sz w:val="22"/>
          <w:szCs w:val="22"/>
          <w:lang w:val="en-US"/>
        </w:rPr>
        <w:t>10</w:t>
      </w:r>
      <w:r w:rsidRPr="00DE3121">
        <w:rPr>
          <w:rFonts w:ascii="Arial" w:hAnsi="Arial" w:cs="Arial"/>
          <w:sz w:val="22"/>
          <w:szCs w:val="22"/>
          <w:lang w:val="en-US"/>
        </w:rPr>
        <w:t xml:space="preserve">). Mineralocorticoid deficiency, leading to salt wasting, is not typically described in patients with ALD, consistent with the preservation of aldosterone production and the lack of VLCFA accumulation </w:t>
      </w:r>
      <w:r w:rsidR="00F954EA" w:rsidRPr="00DE3121">
        <w:rPr>
          <w:rFonts w:ascii="Arial" w:hAnsi="Arial" w:cs="Arial"/>
          <w:sz w:val="22"/>
          <w:szCs w:val="22"/>
          <w:lang w:val="en-US"/>
        </w:rPr>
        <w:t>(</w:t>
      </w:r>
      <w:r w:rsidR="001C2D51" w:rsidRPr="00DE3121">
        <w:rPr>
          <w:rFonts w:ascii="Arial" w:hAnsi="Arial" w:cs="Arial"/>
          <w:sz w:val="22"/>
          <w:szCs w:val="22"/>
          <w:lang w:val="en-US"/>
        </w:rPr>
        <w:t>3</w:t>
      </w:r>
      <w:r w:rsidR="00C073F3" w:rsidRPr="00DE3121">
        <w:rPr>
          <w:rFonts w:ascii="Arial" w:hAnsi="Arial" w:cs="Arial"/>
          <w:sz w:val="22"/>
          <w:szCs w:val="22"/>
          <w:lang w:val="en-US"/>
        </w:rPr>
        <w:t>7</w:t>
      </w:r>
      <w:r w:rsidRPr="00DE3121">
        <w:rPr>
          <w:rFonts w:ascii="Arial" w:hAnsi="Arial" w:cs="Arial"/>
          <w:sz w:val="22"/>
          <w:szCs w:val="22"/>
          <w:lang w:val="en-US"/>
        </w:rPr>
        <w:t xml:space="preserve">, </w:t>
      </w:r>
      <w:r w:rsidR="001C2D51" w:rsidRPr="00DE3121">
        <w:rPr>
          <w:rFonts w:ascii="Arial" w:hAnsi="Arial" w:cs="Arial"/>
          <w:sz w:val="22"/>
          <w:szCs w:val="22"/>
          <w:lang w:val="en-US"/>
        </w:rPr>
        <w:t>38</w:t>
      </w:r>
      <w:r w:rsidRPr="00DE3121">
        <w:rPr>
          <w:rFonts w:ascii="Arial" w:hAnsi="Arial" w:cs="Arial"/>
          <w:sz w:val="22"/>
          <w:szCs w:val="22"/>
          <w:lang w:val="en-US"/>
        </w:rPr>
        <w:t>)</w:t>
      </w:r>
      <w:r w:rsidR="00F954EA" w:rsidRPr="00DE3121">
        <w:rPr>
          <w:rFonts w:ascii="Arial" w:hAnsi="Arial" w:cs="Arial"/>
          <w:sz w:val="22"/>
          <w:szCs w:val="22"/>
          <w:lang w:val="en-US"/>
        </w:rPr>
        <w:t>. As VLCFAs mainly accumulate in the zona fasciculat</w:t>
      </w:r>
      <w:r w:rsidR="00981909" w:rsidRPr="00DE3121">
        <w:rPr>
          <w:rFonts w:ascii="Arial" w:hAnsi="Arial" w:cs="Arial"/>
          <w:sz w:val="22"/>
          <w:szCs w:val="22"/>
          <w:lang w:val="en-US"/>
        </w:rPr>
        <w:t>a</w:t>
      </w:r>
      <w:r w:rsidR="00F954EA" w:rsidRPr="00DE3121">
        <w:rPr>
          <w:rFonts w:ascii="Arial" w:hAnsi="Arial" w:cs="Arial"/>
          <w:sz w:val="22"/>
          <w:szCs w:val="22"/>
          <w:lang w:val="en-US"/>
        </w:rPr>
        <w:t xml:space="preserve"> and reticularis, the relative preservation of the zona glomerulosa aligns with the observation that mineralocorticoid function remains functional in approximately 50% of the patients (</w:t>
      </w:r>
      <w:r w:rsidR="001C2D51" w:rsidRPr="00DE3121">
        <w:rPr>
          <w:rFonts w:ascii="Arial" w:hAnsi="Arial" w:cs="Arial"/>
          <w:sz w:val="22"/>
          <w:szCs w:val="22"/>
          <w:lang w:val="en-US"/>
        </w:rPr>
        <w:t>29</w:t>
      </w:r>
      <w:r w:rsidR="00F954EA" w:rsidRPr="00DE3121">
        <w:rPr>
          <w:rFonts w:ascii="Arial" w:hAnsi="Arial" w:cs="Arial"/>
          <w:sz w:val="22"/>
          <w:szCs w:val="22"/>
          <w:lang w:val="en-US"/>
        </w:rPr>
        <w:t xml:space="preserve">). </w:t>
      </w:r>
      <w:r w:rsidRPr="00DE3121">
        <w:rPr>
          <w:rFonts w:ascii="Arial" w:hAnsi="Arial" w:cs="Arial"/>
          <w:sz w:val="22"/>
          <w:szCs w:val="22"/>
          <w:lang w:val="en-US"/>
        </w:rPr>
        <w:t>Therefore</w:t>
      </w:r>
      <w:r w:rsidR="00F954EA" w:rsidRPr="00DE3121">
        <w:rPr>
          <w:rFonts w:ascii="Arial" w:hAnsi="Arial" w:cs="Arial"/>
          <w:sz w:val="22"/>
          <w:szCs w:val="22"/>
          <w:lang w:val="en-US"/>
        </w:rPr>
        <w:t xml:space="preserve">, </w:t>
      </w:r>
      <w:r w:rsidRPr="00DE3121">
        <w:rPr>
          <w:rFonts w:ascii="Arial" w:hAnsi="Arial" w:cs="Arial"/>
          <w:sz w:val="22"/>
          <w:szCs w:val="22"/>
          <w:lang w:val="en-US"/>
        </w:rPr>
        <w:t>mineralocorticoid replacement therapy should not be initiated unless abnormal signs</w:t>
      </w:r>
      <w:r w:rsidR="00FD289B" w:rsidRPr="00DE3121">
        <w:rPr>
          <w:rFonts w:ascii="Arial" w:hAnsi="Arial" w:cs="Arial"/>
          <w:sz w:val="22"/>
          <w:szCs w:val="22"/>
          <w:lang w:val="en-US"/>
        </w:rPr>
        <w:t xml:space="preserve">/plasma renin activity and </w:t>
      </w:r>
      <w:r w:rsidR="00981909" w:rsidRPr="00DE3121">
        <w:rPr>
          <w:rFonts w:ascii="Arial" w:hAnsi="Arial" w:cs="Arial"/>
          <w:sz w:val="22"/>
          <w:szCs w:val="22"/>
          <w:lang w:val="en-US"/>
        </w:rPr>
        <w:t xml:space="preserve">electrolyte </w:t>
      </w:r>
      <w:r w:rsidR="00FF315A" w:rsidRPr="00DE3121">
        <w:rPr>
          <w:rFonts w:ascii="Arial" w:hAnsi="Arial" w:cs="Arial"/>
          <w:sz w:val="22"/>
          <w:szCs w:val="22"/>
          <w:lang w:val="en-US"/>
        </w:rPr>
        <w:t xml:space="preserve">levels </w:t>
      </w:r>
      <w:r w:rsidRPr="00DE3121">
        <w:rPr>
          <w:rFonts w:ascii="Arial" w:hAnsi="Arial" w:cs="Arial"/>
          <w:sz w:val="22"/>
          <w:szCs w:val="22"/>
          <w:lang w:val="en-US"/>
        </w:rPr>
        <w:t xml:space="preserve">become </w:t>
      </w:r>
      <w:r w:rsidR="00FD289B" w:rsidRPr="00DE3121">
        <w:rPr>
          <w:rFonts w:ascii="Arial" w:hAnsi="Arial" w:cs="Arial"/>
          <w:sz w:val="22"/>
          <w:szCs w:val="22"/>
          <w:lang w:val="en-US"/>
        </w:rPr>
        <w:t>evident</w:t>
      </w:r>
      <w:r w:rsidRPr="00DE3121">
        <w:rPr>
          <w:rFonts w:ascii="Arial" w:hAnsi="Arial" w:cs="Arial"/>
          <w:sz w:val="22"/>
          <w:szCs w:val="22"/>
          <w:lang w:val="en-US"/>
        </w:rPr>
        <w:t>.</w:t>
      </w:r>
      <w:r w:rsidR="008D3235" w:rsidRPr="00DE3121">
        <w:rPr>
          <w:rFonts w:ascii="Arial" w:hAnsi="Arial" w:cs="Arial"/>
          <w:sz w:val="22"/>
          <w:szCs w:val="22"/>
          <w:lang w:val="en-US"/>
        </w:rPr>
        <w:t xml:space="preserve"> </w:t>
      </w:r>
    </w:p>
    <w:p w14:paraId="2E3FFE40" w14:textId="77777777" w:rsidR="002739CB" w:rsidRPr="00DE3121" w:rsidRDefault="002739CB" w:rsidP="00DE3121">
      <w:pPr>
        <w:spacing w:after="0" w:line="276" w:lineRule="auto"/>
        <w:rPr>
          <w:rFonts w:ascii="Arial" w:hAnsi="Arial" w:cs="Arial"/>
          <w:sz w:val="22"/>
          <w:szCs w:val="22"/>
          <w:lang w:val="en-US"/>
        </w:rPr>
      </w:pPr>
    </w:p>
    <w:p w14:paraId="73A1721F" w14:textId="7D95DC99" w:rsidR="008D3235" w:rsidRDefault="008D3235" w:rsidP="00DE3121">
      <w:pPr>
        <w:spacing w:after="0" w:line="276" w:lineRule="auto"/>
        <w:rPr>
          <w:rFonts w:ascii="Arial" w:hAnsi="Arial" w:cs="Arial"/>
          <w:sz w:val="22"/>
          <w:szCs w:val="22"/>
          <w:lang w:val="en-US"/>
        </w:rPr>
      </w:pPr>
      <w:r w:rsidRPr="00DE3121">
        <w:rPr>
          <w:rFonts w:ascii="Arial" w:hAnsi="Arial" w:cs="Arial"/>
          <w:sz w:val="22"/>
          <w:szCs w:val="22"/>
          <w:lang w:val="en-US"/>
        </w:rPr>
        <w:t xml:space="preserve">Once the diagnosis of glucocorticoid deficiency has been made, further evaluation of aldosterone production should be considered </w:t>
      </w:r>
      <w:r w:rsidR="00F954EA" w:rsidRPr="00DE3121">
        <w:rPr>
          <w:rFonts w:ascii="Arial" w:hAnsi="Arial" w:cs="Arial"/>
          <w:sz w:val="22"/>
          <w:szCs w:val="22"/>
          <w:lang w:val="en-US"/>
        </w:rPr>
        <w:t>in case of</w:t>
      </w:r>
      <w:r w:rsidRPr="00DE3121">
        <w:rPr>
          <w:rFonts w:ascii="Arial" w:hAnsi="Arial" w:cs="Arial"/>
          <w:sz w:val="22"/>
          <w:szCs w:val="22"/>
          <w:lang w:val="en-US"/>
        </w:rPr>
        <w:t xml:space="preserve"> symptoms, such as salt craving and </w:t>
      </w:r>
      <w:r w:rsidR="00192CAB" w:rsidRPr="00DE3121">
        <w:rPr>
          <w:rFonts w:ascii="Arial" w:hAnsi="Arial" w:cs="Arial"/>
          <w:sz w:val="22"/>
          <w:szCs w:val="22"/>
          <w:lang w:val="en-US"/>
        </w:rPr>
        <w:t>hypotension</w:t>
      </w:r>
      <w:r w:rsidR="44C6D147" w:rsidRPr="00DE3121">
        <w:rPr>
          <w:rFonts w:ascii="Arial" w:hAnsi="Arial" w:cs="Arial"/>
          <w:sz w:val="22"/>
          <w:szCs w:val="22"/>
          <w:lang w:val="en-US"/>
        </w:rPr>
        <w:t>.</w:t>
      </w:r>
      <w:r w:rsidRPr="00DE3121">
        <w:rPr>
          <w:rFonts w:ascii="Arial" w:hAnsi="Arial" w:cs="Arial"/>
          <w:color w:val="ED0000"/>
          <w:sz w:val="22"/>
          <w:szCs w:val="22"/>
          <w:lang w:val="en-US"/>
        </w:rPr>
        <w:t xml:space="preserve"> </w:t>
      </w:r>
      <w:r w:rsidRPr="00DE3121">
        <w:rPr>
          <w:rFonts w:ascii="Arial" w:hAnsi="Arial" w:cs="Arial"/>
          <w:sz w:val="22"/>
          <w:szCs w:val="22"/>
          <w:lang w:val="en-US"/>
        </w:rPr>
        <w:t xml:space="preserve">Because symptoms are difficult to assess in infancy, it is recommended that serum plasma renin activity and electrolytes be </w:t>
      </w:r>
      <w:r w:rsidR="00F954EA" w:rsidRPr="00DE3121">
        <w:rPr>
          <w:rFonts w:ascii="Arial" w:hAnsi="Arial" w:cs="Arial"/>
          <w:sz w:val="22"/>
          <w:szCs w:val="22"/>
          <w:lang w:val="en-US"/>
        </w:rPr>
        <w:t>tested</w:t>
      </w:r>
      <w:r w:rsidRPr="00DE3121">
        <w:rPr>
          <w:rFonts w:ascii="Arial" w:hAnsi="Arial" w:cs="Arial"/>
          <w:sz w:val="22"/>
          <w:szCs w:val="22"/>
          <w:lang w:val="en-US"/>
        </w:rPr>
        <w:t xml:space="preserve"> every 6 months (</w:t>
      </w:r>
      <w:r w:rsidR="001C2D51" w:rsidRPr="00DE3121">
        <w:rPr>
          <w:rFonts w:ascii="Arial" w:hAnsi="Arial" w:cs="Arial"/>
          <w:sz w:val="22"/>
          <w:szCs w:val="22"/>
          <w:lang w:val="en-US"/>
        </w:rPr>
        <w:t>34</w:t>
      </w:r>
      <w:r w:rsidRPr="00DE3121">
        <w:rPr>
          <w:rFonts w:ascii="Arial" w:hAnsi="Arial" w:cs="Arial"/>
          <w:sz w:val="22"/>
          <w:szCs w:val="22"/>
          <w:lang w:val="en-US"/>
        </w:rPr>
        <w:t xml:space="preserve">). Fludrocortisone should be started when there is evidence of mineralocorticoid deficiency. Infants would also require additional salt supplementation. </w:t>
      </w:r>
    </w:p>
    <w:p w14:paraId="56CA8A26" w14:textId="77777777" w:rsidR="002739CB" w:rsidRPr="00DE3121" w:rsidRDefault="002739CB" w:rsidP="00DE3121">
      <w:pPr>
        <w:spacing w:after="0" w:line="276" w:lineRule="auto"/>
        <w:rPr>
          <w:rFonts w:ascii="Arial" w:hAnsi="Arial" w:cs="Arial"/>
          <w:sz w:val="22"/>
          <w:szCs w:val="22"/>
          <w:lang w:val="en-US"/>
        </w:rPr>
      </w:pPr>
    </w:p>
    <w:p w14:paraId="61EFC837" w14:textId="2D0004CE" w:rsidR="001C724E" w:rsidRPr="00DE3121" w:rsidRDefault="00D34C0E" w:rsidP="00DE3121">
      <w:pPr>
        <w:spacing w:after="0" w:line="276" w:lineRule="auto"/>
        <w:rPr>
          <w:rFonts w:ascii="Arial" w:hAnsi="Arial" w:cs="Arial"/>
          <w:sz w:val="22"/>
          <w:szCs w:val="22"/>
          <w:lang w:val="en-US"/>
        </w:rPr>
      </w:pPr>
      <w:r w:rsidRPr="00DE3121">
        <w:rPr>
          <w:rFonts w:ascii="Arial" w:hAnsi="Arial" w:cs="Arial"/>
          <w:sz w:val="22"/>
          <w:szCs w:val="22"/>
          <w:lang w:val="en-US"/>
        </w:rPr>
        <w:t>M</w:t>
      </w:r>
      <w:r w:rsidR="001C724E" w:rsidRPr="00DE3121">
        <w:rPr>
          <w:rFonts w:ascii="Arial" w:hAnsi="Arial" w:cs="Arial"/>
          <w:sz w:val="22"/>
          <w:szCs w:val="22"/>
          <w:lang w:val="en-US"/>
        </w:rPr>
        <w:t xml:space="preserve">ineralocorticoid deficiency is </w:t>
      </w:r>
      <w:r w:rsidRPr="00DE3121">
        <w:rPr>
          <w:rFonts w:ascii="Arial" w:hAnsi="Arial" w:cs="Arial"/>
          <w:sz w:val="22"/>
          <w:szCs w:val="22"/>
          <w:lang w:val="en-US"/>
        </w:rPr>
        <w:t xml:space="preserve">reported to be present in 40% of patients with ALD with the vast majority </w:t>
      </w:r>
      <w:r w:rsidR="00F954EA" w:rsidRPr="00DE3121">
        <w:rPr>
          <w:rFonts w:ascii="Arial" w:hAnsi="Arial" w:cs="Arial"/>
          <w:sz w:val="22"/>
          <w:szCs w:val="22"/>
          <w:lang w:val="en-US"/>
        </w:rPr>
        <w:t>presenting</w:t>
      </w:r>
      <w:r w:rsidRPr="00DE3121">
        <w:rPr>
          <w:rFonts w:ascii="Arial" w:hAnsi="Arial" w:cs="Arial"/>
          <w:sz w:val="22"/>
          <w:szCs w:val="22"/>
          <w:lang w:val="en-US"/>
        </w:rPr>
        <w:t xml:space="preserve"> in adulthood (</w:t>
      </w:r>
      <w:r w:rsidR="001C2D51" w:rsidRPr="00DE3121">
        <w:rPr>
          <w:rFonts w:ascii="Arial" w:hAnsi="Arial" w:cs="Arial"/>
          <w:sz w:val="22"/>
          <w:szCs w:val="22"/>
          <w:lang w:val="en-US"/>
        </w:rPr>
        <w:t>30</w:t>
      </w:r>
      <w:r w:rsidRPr="00DE3121">
        <w:rPr>
          <w:rFonts w:ascii="Arial" w:hAnsi="Arial" w:cs="Arial"/>
          <w:sz w:val="22"/>
          <w:szCs w:val="22"/>
          <w:lang w:val="en-US"/>
        </w:rPr>
        <w:t xml:space="preserve">). Given that mineralocorticoid deficiency is </w:t>
      </w:r>
      <w:r w:rsidR="001C724E" w:rsidRPr="00DE3121">
        <w:rPr>
          <w:rFonts w:ascii="Arial" w:hAnsi="Arial" w:cs="Arial"/>
          <w:sz w:val="22"/>
          <w:szCs w:val="22"/>
          <w:lang w:val="en-US"/>
        </w:rPr>
        <w:t xml:space="preserve">less common and generally </w:t>
      </w:r>
      <w:r w:rsidRPr="00DE3121">
        <w:rPr>
          <w:rFonts w:ascii="Arial" w:hAnsi="Arial" w:cs="Arial"/>
          <w:sz w:val="22"/>
          <w:szCs w:val="22"/>
          <w:lang w:val="en-US"/>
        </w:rPr>
        <w:t>follows</w:t>
      </w:r>
      <w:r w:rsidR="001C724E" w:rsidRPr="00DE3121">
        <w:rPr>
          <w:rFonts w:ascii="Arial" w:hAnsi="Arial" w:cs="Arial"/>
          <w:sz w:val="22"/>
          <w:szCs w:val="22"/>
          <w:lang w:val="en-US"/>
        </w:rPr>
        <w:t xml:space="preserve"> glucocorticoid deficiency,</w:t>
      </w:r>
      <w:r w:rsidRPr="00DE3121">
        <w:rPr>
          <w:rFonts w:ascii="Arial" w:hAnsi="Arial" w:cs="Arial"/>
          <w:sz w:val="22"/>
          <w:szCs w:val="22"/>
          <w:lang w:val="en-US"/>
        </w:rPr>
        <w:t xml:space="preserve"> </w:t>
      </w:r>
      <w:r w:rsidR="001C724E" w:rsidRPr="00DE3121">
        <w:rPr>
          <w:rFonts w:ascii="Arial" w:hAnsi="Arial" w:cs="Arial"/>
          <w:sz w:val="22"/>
          <w:szCs w:val="22"/>
          <w:lang w:val="en-US"/>
        </w:rPr>
        <w:t>evaluation with plasma renin activity and electrolytes is recommended every 6 months starting after diagnosis of glucocorticoid deficiency</w:t>
      </w:r>
      <w:r w:rsidR="001C2D51" w:rsidRPr="00DE3121">
        <w:rPr>
          <w:rFonts w:ascii="Arial" w:hAnsi="Arial" w:cs="Arial"/>
          <w:sz w:val="22"/>
          <w:szCs w:val="22"/>
          <w:lang w:val="en-US"/>
        </w:rPr>
        <w:t xml:space="preserve"> </w:t>
      </w:r>
      <w:r w:rsidR="001C724E" w:rsidRPr="00DE3121">
        <w:rPr>
          <w:rFonts w:ascii="Arial" w:hAnsi="Arial" w:cs="Arial"/>
          <w:sz w:val="22"/>
          <w:szCs w:val="22"/>
          <w:lang w:val="en-US"/>
        </w:rPr>
        <w:t>(</w:t>
      </w:r>
      <w:r w:rsidR="007D52EE" w:rsidRPr="00DE3121">
        <w:rPr>
          <w:rFonts w:ascii="Arial" w:hAnsi="Arial" w:cs="Arial"/>
          <w:sz w:val="22"/>
          <w:szCs w:val="22"/>
          <w:lang w:val="en-US"/>
        </w:rPr>
        <w:t>34</w:t>
      </w:r>
      <w:r w:rsidR="001C724E" w:rsidRPr="00DE3121">
        <w:rPr>
          <w:rFonts w:ascii="Arial" w:hAnsi="Arial" w:cs="Arial"/>
          <w:sz w:val="22"/>
          <w:szCs w:val="22"/>
          <w:lang w:val="en-US"/>
        </w:rPr>
        <w:t>)</w:t>
      </w:r>
      <w:r w:rsidR="00F954EA" w:rsidRPr="00DE3121">
        <w:rPr>
          <w:rFonts w:ascii="Arial" w:hAnsi="Arial" w:cs="Arial"/>
          <w:sz w:val="22"/>
          <w:szCs w:val="22"/>
          <w:lang w:val="en-US"/>
        </w:rPr>
        <w:t>.</w:t>
      </w:r>
      <w:r w:rsidR="6C4A75FA" w:rsidRPr="00DE3121">
        <w:rPr>
          <w:rFonts w:ascii="Arial" w:hAnsi="Arial" w:cs="Arial"/>
          <w:sz w:val="22"/>
          <w:szCs w:val="22"/>
          <w:lang w:val="en-US"/>
        </w:rPr>
        <w:t xml:space="preserve"> </w:t>
      </w:r>
      <w:r w:rsidR="00981909" w:rsidRPr="00DE3121">
        <w:rPr>
          <w:rFonts w:ascii="Arial" w:hAnsi="Arial" w:cs="Arial"/>
          <w:sz w:val="22"/>
          <w:szCs w:val="22"/>
          <w:lang w:val="en-US"/>
        </w:rPr>
        <w:t xml:space="preserve">The median </w:t>
      </w:r>
      <w:r w:rsidR="0026135C" w:rsidRPr="00DE3121">
        <w:rPr>
          <w:rFonts w:ascii="Arial" w:hAnsi="Arial" w:cs="Arial"/>
          <w:sz w:val="22"/>
          <w:szCs w:val="22"/>
          <w:lang w:val="en-US"/>
        </w:rPr>
        <w:t xml:space="preserve">time until mineralocorticoid replacement therapy has been reported to be 56 years of age in contrast to a much shorter time for glucocorticoid replacement therapy </w:t>
      </w:r>
      <w:r w:rsidR="00981909" w:rsidRPr="00DE3121">
        <w:rPr>
          <w:rFonts w:ascii="Arial" w:hAnsi="Arial" w:cs="Arial"/>
          <w:sz w:val="22"/>
          <w:szCs w:val="22"/>
          <w:lang w:val="en-US"/>
        </w:rPr>
        <w:t xml:space="preserve">which </w:t>
      </w:r>
      <w:r w:rsidR="0026135C" w:rsidRPr="00DE3121">
        <w:rPr>
          <w:rFonts w:ascii="Arial" w:hAnsi="Arial" w:cs="Arial"/>
          <w:sz w:val="22"/>
          <w:szCs w:val="22"/>
          <w:lang w:val="en-US"/>
        </w:rPr>
        <w:t>was 16 years of age (</w:t>
      </w:r>
      <w:r w:rsidR="001C2D51" w:rsidRPr="00DE3121">
        <w:rPr>
          <w:rFonts w:ascii="Arial" w:hAnsi="Arial" w:cs="Arial"/>
          <w:sz w:val="22"/>
          <w:szCs w:val="22"/>
          <w:lang w:val="en-US"/>
        </w:rPr>
        <w:t>29</w:t>
      </w:r>
      <w:r w:rsidR="00771575" w:rsidRPr="00DE3121">
        <w:rPr>
          <w:rFonts w:ascii="Arial" w:hAnsi="Arial" w:cs="Arial"/>
          <w:sz w:val="22"/>
          <w:szCs w:val="22"/>
          <w:lang w:val="en-US"/>
        </w:rPr>
        <w:t>).</w:t>
      </w:r>
    </w:p>
    <w:p w14:paraId="4101652C" w14:textId="77777777" w:rsidR="00F954EA" w:rsidRPr="00DE3121" w:rsidRDefault="00F954EA" w:rsidP="00DE3121">
      <w:pPr>
        <w:spacing w:after="0" w:line="276" w:lineRule="auto"/>
        <w:rPr>
          <w:rFonts w:ascii="Arial" w:hAnsi="Arial" w:cs="Arial"/>
          <w:sz w:val="22"/>
          <w:szCs w:val="22"/>
          <w:lang w:val="en-US"/>
        </w:rPr>
      </w:pPr>
    </w:p>
    <w:p w14:paraId="7FFBCDC2" w14:textId="55B9D59C" w:rsidR="00F954EA" w:rsidRPr="002739CB" w:rsidRDefault="00F954EA" w:rsidP="00DE3121">
      <w:pPr>
        <w:spacing w:after="0" w:line="276" w:lineRule="auto"/>
        <w:textAlignment w:val="baseline"/>
        <w:outlineLvl w:val="2"/>
        <w:rPr>
          <w:rFonts w:ascii="Arial" w:eastAsia="Times New Roman" w:hAnsi="Arial" w:cs="Arial"/>
          <w:b/>
          <w:bCs/>
          <w:color w:val="00B050"/>
          <w:kern w:val="0"/>
          <w:sz w:val="22"/>
          <w:szCs w:val="22"/>
          <w:lang w:val="en-US" w:eastAsia="el-GR"/>
        </w:rPr>
      </w:pPr>
      <w:r w:rsidRPr="002739CB">
        <w:rPr>
          <w:rFonts w:ascii="Arial" w:eastAsia="Times New Roman" w:hAnsi="Arial" w:cs="Arial"/>
          <w:b/>
          <w:bCs/>
          <w:color w:val="00B050"/>
          <w:kern w:val="0"/>
          <w:sz w:val="22"/>
          <w:szCs w:val="22"/>
          <w:lang w:val="en-US" w:eastAsia="el-GR"/>
        </w:rPr>
        <w:t xml:space="preserve">Female </w:t>
      </w:r>
      <w:r w:rsidR="002739CB" w:rsidRPr="002739CB">
        <w:rPr>
          <w:rFonts w:ascii="Arial" w:eastAsia="Times New Roman" w:hAnsi="Arial" w:cs="Arial"/>
          <w:b/>
          <w:bCs/>
          <w:color w:val="00B050"/>
          <w:kern w:val="0"/>
          <w:sz w:val="22"/>
          <w:szCs w:val="22"/>
          <w:lang w:val="en-US" w:eastAsia="el-GR"/>
        </w:rPr>
        <w:t>P</w:t>
      </w:r>
      <w:r w:rsidRPr="002739CB">
        <w:rPr>
          <w:rFonts w:ascii="Arial" w:eastAsia="Times New Roman" w:hAnsi="Arial" w:cs="Arial"/>
          <w:b/>
          <w:bCs/>
          <w:color w:val="00B050"/>
          <w:kern w:val="0"/>
          <w:sz w:val="22"/>
          <w:szCs w:val="22"/>
          <w:lang w:val="en-US" w:eastAsia="el-GR"/>
        </w:rPr>
        <w:t>atients</w:t>
      </w:r>
    </w:p>
    <w:p w14:paraId="4B99056E" w14:textId="77777777" w:rsidR="00F954EA" w:rsidRPr="00DE3121" w:rsidRDefault="00F954EA" w:rsidP="00DE3121">
      <w:pPr>
        <w:spacing w:after="0" w:line="276" w:lineRule="auto"/>
        <w:rPr>
          <w:rFonts w:ascii="Arial" w:hAnsi="Arial" w:cs="Arial"/>
          <w:sz w:val="22"/>
          <w:szCs w:val="22"/>
          <w:lang w:val="en-US"/>
        </w:rPr>
      </w:pPr>
    </w:p>
    <w:p w14:paraId="46E871EE" w14:textId="1A022EA1" w:rsidR="0038237D" w:rsidRDefault="00522F58" w:rsidP="00DE3121">
      <w:pPr>
        <w:spacing w:after="0" w:line="276" w:lineRule="auto"/>
        <w:rPr>
          <w:rFonts w:ascii="Arial" w:hAnsi="Arial" w:cs="Arial"/>
          <w:sz w:val="22"/>
          <w:szCs w:val="22"/>
          <w:lang w:val="en-US"/>
        </w:rPr>
      </w:pPr>
      <w:r w:rsidRPr="00DE3121">
        <w:rPr>
          <w:rFonts w:ascii="Arial" w:hAnsi="Arial" w:cs="Arial"/>
          <w:sz w:val="22"/>
          <w:szCs w:val="22"/>
          <w:lang w:val="en-US"/>
        </w:rPr>
        <w:t xml:space="preserve">As ALD is an X-linked disease, women were previously considered </w:t>
      </w:r>
      <w:r w:rsidR="000A0AE6" w:rsidRPr="00DE3121">
        <w:rPr>
          <w:rFonts w:ascii="Arial" w:hAnsi="Arial" w:cs="Arial"/>
          <w:sz w:val="22"/>
          <w:szCs w:val="22"/>
          <w:lang w:val="en-US"/>
        </w:rPr>
        <w:t xml:space="preserve">to be </w:t>
      </w:r>
      <w:r w:rsidRPr="00DE3121">
        <w:rPr>
          <w:rFonts w:ascii="Arial" w:hAnsi="Arial" w:cs="Arial"/>
          <w:sz w:val="22"/>
          <w:szCs w:val="22"/>
          <w:lang w:val="en-US"/>
        </w:rPr>
        <w:t xml:space="preserve">asymptomatic carriers. It is now known that even though adrenal insufficiency and cerebral disease </w:t>
      </w:r>
      <w:r w:rsidR="00A9012A" w:rsidRPr="00DE3121">
        <w:rPr>
          <w:rFonts w:ascii="Arial" w:hAnsi="Arial" w:cs="Arial"/>
          <w:sz w:val="22"/>
          <w:szCs w:val="22"/>
          <w:lang w:val="en-US"/>
        </w:rPr>
        <w:t>are rare in</w:t>
      </w:r>
      <w:r w:rsidRPr="00DE3121">
        <w:rPr>
          <w:rFonts w:ascii="Arial" w:hAnsi="Arial" w:cs="Arial"/>
          <w:sz w:val="22"/>
          <w:szCs w:val="22"/>
          <w:lang w:val="en-US"/>
        </w:rPr>
        <w:t xml:space="preserve"> women, more than 80% eventually develop progressive spinal cord disease </w:t>
      </w:r>
      <w:r w:rsidR="006C4BCA" w:rsidRPr="00DE3121">
        <w:rPr>
          <w:rFonts w:ascii="Arial" w:hAnsi="Arial" w:cs="Arial"/>
          <w:sz w:val="22"/>
          <w:szCs w:val="22"/>
          <w:lang w:val="en-US"/>
        </w:rPr>
        <w:t>(</w:t>
      </w:r>
      <w:r w:rsidR="00AF2EFB" w:rsidRPr="00DE3121">
        <w:rPr>
          <w:rFonts w:ascii="Arial" w:hAnsi="Arial" w:cs="Arial"/>
          <w:sz w:val="22"/>
          <w:szCs w:val="22"/>
          <w:lang w:val="en-US"/>
        </w:rPr>
        <w:t>39</w:t>
      </w:r>
      <w:r w:rsidR="00032864" w:rsidRPr="00DE3121">
        <w:rPr>
          <w:rFonts w:ascii="Arial" w:hAnsi="Arial" w:cs="Arial"/>
          <w:sz w:val="22"/>
          <w:szCs w:val="22"/>
          <w:lang w:val="en-US"/>
        </w:rPr>
        <w:t xml:space="preserve">, </w:t>
      </w:r>
      <w:r w:rsidR="007F17EC" w:rsidRPr="00DE3121">
        <w:rPr>
          <w:rFonts w:ascii="Arial" w:hAnsi="Arial" w:cs="Arial"/>
          <w:sz w:val="22"/>
          <w:szCs w:val="22"/>
          <w:lang w:val="en-US"/>
        </w:rPr>
        <w:t>40</w:t>
      </w:r>
      <w:r w:rsidR="00032864" w:rsidRPr="00DE3121">
        <w:rPr>
          <w:rFonts w:ascii="Arial" w:hAnsi="Arial" w:cs="Arial"/>
          <w:sz w:val="22"/>
          <w:szCs w:val="22"/>
          <w:lang w:val="en-US"/>
        </w:rPr>
        <w:t>)</w:t>
      </w:r>
      <w:r w:rsidR="00206B79" w:rsidRPr="00DE3121">
        <w:rPr>
          <w:rFonts w:ascii="Arial" w:hAnsi="Arial" w:cs="Arial"/>
          <w:sz w:val="22"/>
          <w:szCs w:val="22"/>
          <w:lang w:val="en-US"/>
        </w:rPr>
        <w:t xml:space="preserve">; </w:t>
      </w:r>
      <w:r w:rsidR="00067273" w:rsidRPr="00DE3121">
        <w:rPr>
          <w:rFonts w:ascii="Arial" w:hAnsi="Arial" w:cs="Arial"/>
          <w:sz w:val="22"/>
          <w:szCs w:val="22"/>
          <w:lang w:val="en-US"/>
        </w:rPr>
        <w:t>however,</w:t>
      </w:r>
      <w:r w:rsidR="00032864" w:rsidRPr="00DE3121">
        <w:rPr>
          <w:rFonts w:ascii="Arial" w:hAnsi="Arial" w:cs="Arial"/>
          <w:sz w:val="22"/>
          <w:szCs w:val="22"/>
          <w:lang w:val="en-US"/>
        </w:rPr>
        <w:t xml:space="preserve"> the pr</w:t>
      </w:r>
      <w:r w:rsidR="00F3242C" w:rsidRPr="00DE3121">
        <w:rPr>
          <w:rFonts w:ascii="Arial" w:hAnsi="Arial" w:cs="Arial"/>
          <w:sz w:val="22"/>
          <w:szCs w:val="22"/>
          <w:lang w:val="en-US"/>
        </w:rPr>
        <w:t>o</w:t>
      </w:r>
      <w:r w:rsidR="00032864" w:rsidRPr="00DE3121">
        <w:rPr>
          <w:rFonts w:ascii="Arial" w:hAnsi="Arial" w:cs="Arial"/>
          <w:sz w:val="22"/>
          <w:szCs w:val="22"/>
          <w:lang w:val="en-US"/>
        </w:rPr>
        <w:t xml:space="preserve">gression rate of </w:t>
      </w:r>
      <w:r w:rsidR="000871E3" w:rsidRPr="00DE3121">
        <w:rPr>
          <w:rFonts w:ascii="Arial" w:hAnsi="Arial" w:cs="Arial"/>
          <w:sz w:val="22"/>
          <w:szCs w:val="22"/>
          <w:lang w:val="en-US"/>
        </w:rPr>
        <w:t>myelon</w:t>
      </w:r>
      <w:r w:rsidR="00F3242C" w:rsidRPr="00DE3121">
        <w:rPr>
          <w:rFonts w:ascii="Arial" w:hAnsi="Arial" w:cs="Arial"/>
          <w:sz w:val="22"/>
          <w:szCs w:val="22"/>
          <w:lang w:val="en-US"/>
        </w:rPr>
        <w:t>e</w:t>
      </w:r>
      <w:r w:rsidR="000871E3" w:rsidRPr="00DE3121">
        <w:rPr>
          <w:rFonts w:ascii="Arial" w:hAnsi="Arial" w:cs="Arial"/>
          <w:sz w:val="22"/>
          <w:szCs w:val="22"/>
          <w:lang w:val="en-US"/>
        </w:rPr>
        <w:t>uropathy remains slow (</w:t>
      </w:r>
      <w:r w:rsidR="007F17EC" w:rsidRPr="00DE3121">
        <w:rPr>
          <w:rFonts w:ascii="Arial" w:hAnsi="Arial" w:cs="Arial"/>
          <w:sz w:val="22"/>
          <w:szCs w:val="22"/>
          <w:lang w:val="en-US"/>
        </w:rPr>
        <w:t>29</w:t>
      </w:r>
      <w:r w:rsidR="00EC1372" w:rsidRPr="00DE3121">
        <w:rPr>
          <w:rFonts w:ascii="Arial" w:hAnsi="Arial" w:cs="Arial"/>
          <w:sz w:val="22"/>
          <w:szCs w:val="22"/>
          <w:lang w:val="en-US"/>
        </w:rPr>
        <w:t>)</w:t>
      </w:r>
      <w:r w:rsidR="0038237D" w:rsidRPr="00DE3121">
        <w:rPr>
          <w:rFonts w:ascii="Arial" w:hAnsi="Arial" w:cs="Arial"/>
          <w:sz w:val="22"/>
          <w:szCs w:val="22"/>
          <w:lang w:val="en-US"/>
        </w:rPr>
        <w:t>.</w:t>
      </w:r>
      <w:r w:rsidR="006C4BCA" w:rsidRPr="00DE3121">
        <w:rPr>
          <w:rFonts w:ascii="Arial" w:hAnsi="Arial" w:cs="Arial"/>
          <w:sz w:val="22"/>
          <w:szCs w:val="22"/>
          <w:lang w:val="en-US"/>
        </w:rPr>
        <w:t xml:space="preserve"> </w:t>
      </w:r>
      <w:r w:rsidR="003E0A3F" w:rsidRPr="00DE3121">
        <w:rPr>
          <w:rFonts w:ascii="Arial" w:hAnsi="Arial" w:cs="Arial"/>
          <w:sz w:val="22"/>
          <w:szCs w:val="22"/>
          <w:lang w:val="en-US"/>
        </w:rPr>
        <w:t xml:space="preserve">Female patients with </w:t>
      </w:r>
      <w:r w:rsidR="003E0A3F" w:rsidRPr="00DE3121">
        <w:rPr>
          <w:rFonts w:ascii="Arial" w:hAnsi="Arial" w:cs="Arial"/>
          <w:sz w:val="22"/>
          <w:szCs w:val="22"/>
          <w:lang w:val="en-US"/>
        </w:rPr>
        <w:lastRenderedPageBreak/>
        <w:t>ALD</w:t>
      </w:r>
      <w:r w:rsidR="00655FF5" w:rsidRPr="00DE3121">
        <w:rPr>
          <w:rFonts w:ascii="Arial" w:hAnsi="Arial" w:cs="Arial"/>
          <w:sz w:val="22"/>
          <w:szCs w:val="22"/>
          <w:lang w:val="en-US"/>
        </w:rPr>
        <w:t xml:space="preserve"> typically</w:t>
      </w:r>
      <w:r w:rsidR="003E0A3F" w:rsidRPr="00DE3121">
        <w:rPr>
          <w:rFonts w:ascii="Arial" w:hAnsi="Arial" w:cs="Arial"/>
          <w:sz w:val="22"/>
          <w:szCs w:val="22"/>
          <w:lang w:val="en-US"/>
        </w:rPr>
        <w:t xml:space="preserve"> remain asymptomatic in childhood and adolescence, while, myeloneuropathy symptoms </w:t>
      </w:r>
      <w:r w:rsidR="00CD07BC" w:rsidRPr="00DE3121">
        <w:rPr>
          <w:rFonts w:ascii="Arial" w:hAnsi="Arial" w:cs="Arial"/>
          <w:sz w:val="22"/>
          <w:szCs w:val="22"/>
          <w:lang w:val="en-US"/>
        </w:rPr>
        <w:t>usually</w:t>
      </w:r>
      <w:r w:rsidR="003E0A3F" w:rsidRPr="00DE3121">
        <w:rPr>
          <w:rFonts w:ascii="Arial" w:hAnsi="Arial" w:cs="Arial"/>
          <w:sz w:val="22"/>
          <w:szCs w:val="22"/>
          <w:lang w:val="en-US"/>
        </w:rPr>
        <w:t xml:space="preserve"> arise</w:t>
      </w:r>
      <w:r w:rsidR="00CD07BC" w:rsidRPr="00DE3121">
        <w:rPr>
          <w:rFonts w:ascii="Arial" w:hAnsi="Arial" w:cs="Arial"/>
          <w:sz w:val="22"/>
          <w:szCs w:val="22"/>
          <w:lang w:val="en-US"/>
        </w:rPr>
        <w:t xml:space="preserve"> </w:t>
      </w:r>
      <w:r w:rsidR="00895B3A" w:rsidRPr="00DE3121">
        <w:rPr>
          <w:rFonts w:ascii="Arial" w:hAnsi="Arial" w:cs="Arial"/>
          <w:sz w:val="22"/>
          <w:szCs w:val="22"/>
          <w:lang w:val="en-US"/>
        </w:rPr>
        <w:t>in adulthood</w:t>
      </w:r>
      <w:r w:rsidR="003E0A3F" w:rsidRPr="00DE3121">
        <w:rPr>
          <w:rFonts w:ascii="Arial" w:hAnsi="Arial" w:cs="Arial"/>
          <w:sz w:val="22"/>
          <w:szCs w:val="22"/>
          <w:lang w:val="en-US"/>
        </w:rPr>
        <w:t xml:space="preserve">. </w:t>
      </w:r>
    </w:p>
    <w:p w14:paraId="25F95F65" w14:textId="77777777" w:rsidR="002739CB" w:rsidRPr="00DE3121" w:rsidRDefault="002739CB" w:rsidP="00DE3121">
      <w:pPr>
        <w:spacing w:after="0" w:line="276" w:lineRule="auto"/>
        <w:rPr>
          <w:rFonts w:ascii="Arial" w:hAnsi="Arial" w:cs="Arial"/>
          <w:sz w:val="22"/>
          <w:szCs w:val="22"/>
          <w:lang w:val="en-US"/>
        </w:rPr>
      </w:pPr>
    </w:p>
    <w:p w14:paraId="54F7BAF8" w14:textId="77777777" w:rsidR="004D419C" w:rsidRPr="00DE3121" w:rsidRDefault="008666C0" w:rsidP="00DE3121">
      <w:pPr>
        <w:spacing w:after="0" w:line="276" w:lineRule="auto"/>
        <w:rPr>
          <w:rFonts w:ascii="Arial" w:hAnsi="Arial" w:cs="Arial"/>
          <w:color w:val="ED0000"/>
          <w:sz w:val="22"/>
          <w:szCs w:val="22"/>
          <w:lang w:val="en-US"/>
        </w:rPr>
      </w:pPr>
      <w:r w:rsidRPr="00DE3121">
        <w:rPr>
          <w:rFonts w:ascii="Arial" w:hAnsi="Arial" w:cs="Arial"/>
          <w:sz w:val="22"/>
          <w:szCs w:val="22"/>
          <w:lang w:val="en-US"/>
        </w:rPr>
        <w:t xml:space="preserve">Fewer than 1% of female </w:t>
      </w:r>
      <w:r w:rsidR="0038237D" w:rsidRPr="00DE3121">
        <w:rPr>
          <w:rFonts w:ascii="Arial" w:hAnsi="Arial" w:cs="Arial"/>
          <w:sz w:val="22"/>
          <w:szCs w:val="22"/>
          <w:lang w:val="en-US"/>
        </w:rPr>
        <w:t xml:space="preserve">patients </w:t>
      </w:r>
      <w:r w:rsidRPr="00DE3121">
        <w:rPr>
          <w:rFonts w:ascii="Arial" w:hAnsi="Arial" w:cs="Arial"/>
          <w:sz w:val="22"/>
          <w:szCs w:val="22"/>
          <w:lang w:val="en-US"/>
        </w:rPr>
        <w:t>are reported to develop adrenal insufficiency</w:t>
      </w:r>
      <w:r w:rsidR="0038237D" w:rsidRPr="00DE3121">
        <w:rPr>
          <w:rFonts w:ascii="Arial" w:hAnsi="Arial" w:cs="Arial"/>
          <w:sz w:val="22"/>
          <w:szCs w:val="22"/>
          <w:lang w:val="en-US"/>
        </w:rPr>
        <w:t xml:space="preserve"> (</w:t>
      </w:r>
      <w:r w:rsidR="006C4BCA" w:rsidRPr="00DE3121">
        <w:rPr>
          <w:rFonts w:ascii="Arial" w:hAnsi="Arial" w:cs="Arial"/>
          <w:sz w:val="22"/>
          <w:szCs w:val="22"/>
          <w:lang w:val="en-US"/>
        </w:rPr>
        <w:t xml:space="preserve">30, 35, 39, 41). </w:t>
      </w:r>
      <w:r w:rsidR="008D3235" w:rsidRPr="00DE3121">
        <w:rPr>
          <w:rFonts w:ascii="Arial" w:hAnsi="Arial" w:cs="Arial"/>
          <w:sz w:val="22"/>
          <w:szCs w:val="22"/>
          <w:lang w:val="en-US"/>
        </w:rPr>
        <w:t>Therefore, routine monitoring for adrenal insufficiency and MRI of the brain in women are not recommended (</w:t>
      </w:r>
      <w:r w:rsidR="005C197B" w:rsidRPr="00DE3121">
        <w:rPr>
          <w:rFonts w:ascii="Arial" w:hAnsi="Arial" w:cs="Arial"/>
          <w:sz w:val="22"/>
          <w:szCs w:val="22"/>
          <w:lang w:val="en-US"/>
        </w:rPr>
        <w:t>34</w:t>
      </w:r>
      <w:r w:rsidR="008D3235" w:rsidRPr="00DE3121">
        <w:rPr>
          <w:rFonts w:ascii="Arial" w:hAnsi="Arial" w:cs="Arial"/>
          <w:sz w:val="22"/>
          <w:szCs w:val="22"/>
          <w:lang w:val="en-US"/>
        </w:rPr>
        <w:t>)</w:t>
      </w:r>
      <w:r w:rsidR="00F3242C" w:rsidRPr="00DE3121">
        <w:rPr>
          <w:rFonts w:ascii="Arial" w:hAnsi="Arial" w:cs="Arial"/>
          <w:sz w:val="22"/>
          <w:szCs w:val="22"/>
          <w:lang w:val="en-US"/>
        </w:rPr>
        <w:t>.</w:t>
      </w:r>
      <w:r w:rsidR="004D419C" w:rsidRPr="00DE3121">
        <w:rPr>
          <w:rFonts w:ascii="Arial" w:eastAsia="Times New Roman" w:hAnsi="Arial" w:cs="Arial"/>
          <w:kern w:val="0"/>
          <w:sz w:val="22"/>
          <w:szCs w:val="22"/>
          <w:lang w:val="en-US" w:eastAsia="el-GR"/>
        </w:rPr>
        <w:t xml:space="preserve"> </w:t>
      </w:r>
      <w:r w:rsidR="004D419C" w:rsidRPr="00DE3121">
        <w:rPr>
          <w:rFonts w:ascii="Arial" w:eastAsia="Times New Roman" w:hAnsi="Arial" w:cs="Arial"/>
          <w:color w:val="000000"/>
          <w:kern w:val="0"/>
          <w:sz w:val="22"/>
          <w:szCs w:val="22"/>
          <w:lang w:val="en-US" w:eastAsia="el-GR"/>
        </w:rPr>
        <w:t>Only a few females have been reported to develop CALD and this has been attributed to skewed inactivation of the X-chromosome carrying the mutated ABCD1 gene (</w:t>
      </w:r>
      <w:r w:rsidR="005C197B" w:rsidRPr="00DE3121">
        <w:rPr>
          <w:rFonts w:ascii="Arial" w:eastAsia="Times New Roman" w:hAnsi="Arial" w:cs="Arial"/>
          <w:color w:val="000000"/>
          <w:kern w:val="0"/>
          <w:sz w:val="22"/>
          <w:szCs w:val="22"/>
          <w:lang w:val="en-US" w:eastAsia="el-GR"/>
        </w:rPr>
        <w:t>42</w:t>
      </w:r>
      <w:r w:rsidR="004D419C" w:rsidRPr="00DE3121">
        <w:rPr>
          <w:rFonts w:ascii="Arial" w:eastAsia="Times New Roman" w:hAnsi="Arial" w:cs="Arial"/>
          <w:color w:val="000000"/>
          <w:kern w:val="0"/>
          <w:sz w:val="22"/>
          <w:szCs w:val="22"/>
          <w:lang w:val="en-US" w:eastAsia="el-GR"/>
        </w:rPr>
        <w:t xml:space="preserve">). </w:t>
      </w:r>
    </w:p>
    <w:p w14:paraId="4DDBEF00" w14:textId="77777777" w:rsidR="00376E4A" w:rsidRPr="00DE3121" w:rsidRDefault="00376E4A" w:rsidP="00DE3121">
      <w:pPr>
        <w:spacing w:after="0" w:line="276" w:lineRule="auto"/>
        <w:rPr>
          <w:rFonts w:ascii="Arial" w:hAnsi="Arial" w:cs="Arial"/>
          <w:sz w:val="22"/>
          <w:szCs w:val="22"/>
          <w:lang w:val="en-US"/>
        </w:rPr>
      </w:pPr>
    </w:p>
    <w:p w14:paraId="4DD228DD" w14:textId="65D69647" w:rsidR="00F3242C" w:rsidRPr="002739CB" w:rsidRDefault="00F3242C" w:rsidP="00DE3121">
      <w:pPr>
        <w:spacing w:after="0" w:line="276" w:lineRule="auto"/>
        <w:rPr>
          <w:rFonts w:ascii="Arial" w:hAnsi="Arial" w:cs="Arial"/>
          <w:b/>
          <w:bCs/>
          <w:color w:val="00B050"/>
          <w:sz w:val="22"/>
          <w:szCs w:val="22"/>
          <w:lang w:val="en-US"/>
        </w:rPr>
      </w:pPr>
      <w:r w:rsidRPr="002739CB">
        <w:rPr>
          <w:rFonts w:ascii="Arial" w:hAnsi="Arial" w:cs="Arial"/>
          <w:b/>
          <w:bCs/>
          <w:color w:val="00B050"/>
          <w:sz w:val="22"/>
          <w:szCs w:val="22"/>
          <w:lang w:val="en-US"/>
        </w:rPr>
        <w:t xml:space="preserve">Primary </w:t>
      </w:r>
      <w:r w:rsidR="002739CB" w:rsidRPr="002739CB">
        <w:rPr>
          <w:rFonts w:ascii="Arial" w:hAnsi="Arial" w:cs="Arial"/>
          <w:b/>
          <w:bCs/>
          <w:color w:val="00B050"/>
          <w:sz w:val="22"/>
          <w:szCs w:val="22"/>
          <w:lang w:val="en-US"/>
        </w:rPr>
        <w:t>H</w:t>
      </w:r>
      <w:r w:rsidRPr="002739CB">
        <w:rPr>
          <w:rFonts w:ascii="Arial" w:hAnsi="Arial" w:cs="Arial"/>
          <w:b/>
          <w:bCs/>
          <w:color w:val="00B050"/>
          <w:sz w:val="22"/>
          <w:szCs w:val="22"/>
          <w:lang w:val="en-US"/>
        </w:rPr>
        <w:t>ypogonadism</w:t>
      </w:r>
    </w:p>
    <w:p w14:paraId="44F1A90E" w14:textId="4D452AC3" w:rsidR="1F59776C" w:rsidRPr="00DE3121" w:rsidRDefault="1F59776C" w:rsidP="00DE3121">
      <w:pPr>
        <w:spacing w:after="0" w:line="276" w:lineRule="auto"/>
        <w:rPr>
          <w:rFonts w:ascii="Arial" w:hAnsi="Arial" w:cs="Arial"/>
          <w:sz w:val="22"/>
          <w:szCs w:val="22"/>
          <w:lang w:val="en-US"/>
        </w:rPr>
      </w:pPr>
    </w:p>
    <w:p w14:paraId="61209061" w14:textId="07C93B86" w:rsidR="00376E4A" w:rsidRDefault="00376E4A" w:rsidP="00DE3121">
      <w:pPr>
        <w:spacing w:after="0" w:line="276" w:lineRule="auto"/>
        <w:rPr>
          <w:rFonts w:ascii="Arial" w:hAnsi="Arial" w:cs="Arial"/>
          <w:sz w:val="22"/>
          <w:szCs w:val="22"/>
          <w:lang w:val="en-US"/>
        </w:rPr>
      </w:pPr>
      <w:r w:rsidRPr="00DE3121">
        <w:rPr>
          <w:rFonts w:ascii="Arial" w:hAnsi="Arial" w:cs="Arial"/>
          <w:sz w:val="22"/>
          <w:szCs w:val="22"/>
          <w:lang w:val="en-US"/>
        </w:rPr>
        <w:t xml:space="preserve">Gonadal function can also be affected in ALD. </w:t>
      </w:r>
      <w:r w:rsidR="00F3242C" w:rsidRPr="00DE3121">
        <w:rPr>
          <w:rFonts w:ascii="Arial" w:hAnsi="Arial" w:cs="Arial"/>
          <w:sz w:val="22"/>
          <w:szCs w:val="22"/>
          <w:lang w:val="en-US"/>
        </w:rPr>
        <w:t xml:space="preserve">Abnormal hormone levels indicating gonadal insufficiency </w:t>
      </w:r>
      <w:r w:rsidR="00F16DB1" w:rsidRPr="00DE3121">
        <w:rPr>
          <w:rFonts w:ascii="Arial" w:hAnsi="Arial" w:cs="Arial"/>
          <w:sz w:val="22"/>
          <w:szCs w:val="22"/>
          <w:lang w:val="en-US"/>
        </w:rPr>
        <w:t>have been</w:t>
      </w:r>
      <w:r w:rsidR="00F3242C" w:rsidRPr="00DE3121">
        <w:rPr>
          <w:rFonts w:ascii="Arial" w:hAnsi="Arial" w:cs="Arial"/>
          <w:sz w:val="22"/>
          <w:szCs w:val="22"/>
          <w:lang w:val="en-US"/>
        </w:rPr>
        <w:t xml:space="preserve"> described in boys and men with ALD (</w:t>
      </w:r>
      <w:r w:rsidR="005C197B" w:rsidRPr="00DE3121">
        <w:rPr>
          <w:rFonts w:ascii="Arial" w:hAnsi="Arial" w:cs="Arial"/>
          <w:sz w:val="22"/>
          <w:szCs w:val="22"/>
          <w:lang w:val="en-US"/>
        </w:rPr>
        <w:t>35</w:t>
      </w:r>
      <w:r w:rsidR="00F3242C" w:rsidRPr="00DE3121">
        <w:rPr>
          <w:rFonts w:ascii="Arial" w:hAnsi="Arial" w:cs="Arial"/>
          <w:sz w:val="22"/>
          <w:szCs w:val="22"/>
          <w:lang w:val="en-US"/>
        </w:rPr>
        <w:t xml:space="preserve">, </w:t>
      </w:r>
      <w:r w:rsidR="005C197B" w:rsidRPr="00DE3121">
        <w:rPr>
          <w:rFonts w:ascii="Arial" w:hAnsi="Arial" w:cs="Arial"/>
          <w:sz w:val="22"/>
          <w:szCs w:val="22"/>
          <w:lang w:val="en-US"/>
        </w:rPr>
        <w:t>43</w:t>
      </w:r>
      <w:r w:rsidR="00F3242C" w:rsidRPr="00DE3121">
        <w:rPr>
          <w:rFonts w:ascii="Arial" w:hAnsi="Arial" w:cs="Arial"/>
          <w:sz w:val="22"/>
          <w:szCs w:val="22"/>
          <w:lang w:val="en-US"/>
        </w:rPr>
        <w:t xml:space="preserve">, </w:t>
      </w:r>
      <w:r w:rsidR="005C197B" w:rsidRPr="00DE3121">
        <w:rPr>
          <w:rFonts w:ascii="Arial" w:hAnsi="Arial" w:cs="Arial"/>
          <w:sz w:val="22"/>
          <w:szCs w:val="22"/>
          <w:lang w:val="en-US"/>
        </w:rPr>
        <w:t>44</w:t>
      </w:r>
      <w:r w:rsidR="00F3242C" w:rsidRPr="00DE3121">
        <w:rPr>
          <w:rFonts w:ascii="Arial" w:hAnsi="Arial" w:cs="Arial"/>
          <w:sz w:val="22"/>
          <w:szCs w:val="22"/>
          <w:lang w:val="en-US"/>
        </w:rPr>
        <w:t xml:space="preserve">). </w:t>
      </w:r>
      <w:r w:rsidRPr="00DE3121">
        <w:rPr>
          <w:rFonts w:ascii="Arial" w:hAnsi="Arial" w:cs="Arial"/>
          <w:sz w:val="22"/>
          <w:szCs w:val="22"/>
          <w:lang w:val="en-US"/>
        </w:rPr>
        <w:t>Levels of testosterone in men with ALD are usually in the low</w:t>
      </w:r>
      <w:r w:rsidR="00ED51A8" w:rsidRPr="00DE3121">
        <w:rPr>
          <w:rFonts w:ascii="Arial" w:hAnsi="Arial" w:cs="Arial"/>
          <w:sz w:val="22"/>
          <w:szCs w:val="22"/>
          <w:lang w:val="en-US"/>
        </w:rPr>
        <w:t>-</w:t>
      </w:r>
      <w:r w:rsidRPr="00DE3121">
        <w:rPr>
          <w:rFonts w:ascii="Arial" w:hAnsi="Arial" w:cs="Arial"/>
          <w:sz w:val="22"/>
          <w:szCs w:val="22"/>
          <w:lang w:val="en-US"/>
        </w:rPr>
        <w:t>normal range with elevation of luteinizing hormone in some patients (</w:t>
      </w:r>
      <w:r w:rsidR="005C197B" w:rsidRPr="00DE3121">
        <w:rPr>
          <w:rFonts w:ascii="Arial" w:hAnsi="Arial" w:cs="Arial"/>
          <w:sz w:val="22"/>
          <w:szCs w:val="22"/>
          <w:lang w:val="en-US"/>
        </w:rPr>
        <w:t>45</w:t>
      </w:r>
      <w:r w:rsidRPr="00DE3121">
        <w:rPr>
          <w:rFonts w:ascii="Arial" w:hAnsi="Arial" w:cs="Arial"/>
          <w:sz w:val="22"/>
          <w:szCs w:val="22"/>
          <w:lang w:val="en-US"/>
        </w:rPr>
        <w:t xml:space="preserve">). </w:t>
      </w:r>
      <w:r w:rsidR="002F13D1" w:rsidRPr="00DE3121">
        <w:rPr>
          <w:rFonts w:ascii="Arial" w:hAnsi="Arial" w:cs="Arial"/>
          <w:sz w:val="22"/>
          <w:szCs w:val="22"/>
          <w:lang w:val="en-US"/>
        </w:rPr>
        <w:t xml:space="preserve">These findings indicate </w:t>
      </w:r>
      <w:r w:rsidRPr="00DE3121">
        <w:rPr>
          <w:rFonts w:ascii="Arial" w:hAnsi="Arial" w:cs="Arial"/>
          <w:sz w:val="22"/>
          <w:szCs w:val="22"/>
          <w:lang w:val="en-US"/>
        </w:rPr>
        <w:t>primary hypogonadism, possibly due to the toxicity of VLCFA in Leydig cells, but tissue androgen receptor resistance</w:t>
      </w:r>
      <w:r w:rsidR="002F13D1" w:rsidRPr="00DE3121">
        <w:rPr>
          <w:rFonts w:ascii="Arial" w:hAnsi="Arial" w:cs="Arial"/>
          <w:sz w:val="22"/>
          <w:szCs w:val="22"/>
          <w:lang w:val="en-US"/>
        </w:rPr>
        <w:t xml:space="preserve"> </w:t>
      </w:r>
      <w:r w:rsidRPr="00DE3121">
        <w:rPr>
          <w:rFonts w:ascii="Arial" w:hAnsi="Arial" w:cs="Arial"/>
          <w:sz w:val="22"/>
          <w:szCs w:val="22"/>
          <w:lang w:val="en-US"/>
        </w:rPr>
        <w:t>ha</w:t>
      </w:r>
      <w:r w:rsidR="002F13D1" w:rsidRPr="00DE3121">
        <w:rPr>
          <w:rFonts w:ascii="Arial" w:hAnsi="Arial" w:cs="Arial"/>
          <w:sz w:val="22"/>
          <w:szCs w:val="22"/>
          <w:lang w:val="en-US"/>
        </w:rPr>
        <w:t>s</w:t>
      </w:r>
      <w:r w:rsidRPr="00DE3121">
        <w:rPr>
          <w:rFonts w:ascii="Arial" w:hAnsi="Arial" w:cs="Arial"/>
          <w:sz w:val="22"/>
          <w:szCs w:val="22"/>
          <w:lang w:val="en-US"/>
        </w:rPr>
        <w:t xml:space="preserve"> also been suggested as </w:t>
      </w:r>
      <w:r w:rsidR="002604E9">
        <w:rPr>
          <w:rFonts w:ascii="Arial" w:hAnsi="Arial" w:cs="Arial"/>
          <w:sz w:val="22"/>
          <w:szCs w:val="22"/>
          <w:lang w:val="en-US"/>
        </w:rPr>
        <w:t xml:space="preserve">an </w:t>
      </w:r>
      <w:r w:rsidRPr="00DE3121">
        <w:rPr>
          <w:rFonts w:ascii="Arial" w:hAnsi="Arial" w:cs="Arial"/>
          <w:sz w:val="22"/>
          <w:szCs w:val="22"/>
          <w:lang w:val="en-US"/>
        </w:rPr>
        <w:t>alternative hypothesis to explain this finding (</w:t>
      </w:r>
      <w:r w:rsidR="005C197B" w:rsidRPr="00DE3121">
        <w:rPr>
          <w:rFonts w:ascii="Arial" w:hAnsi="Arial" w:cs="Arial"/>
          <w:sz w:val="22"/>
          <w:szCs w:val="22"/>
          <w:lang w:val="en-US"/>
        </w:rPr>
        <w:t>46</w:t>
      </w:r>
      <w:r w:rsidRPr="00DE3121">
        <w:rPr>
          <w:rFonts w:ascii="Arial" w:hAnsi="Arial" w:cs="Arial"/>
          <w:sz w:val="22"/>
          <w:szCs w:val="22"/>
          <w:lang w:val="en-US"/>
        </w:rPr>
        <w:t>)</w:t>
      </w:r>
      <w:r w:rsidR="00660457" w:rsidRPr="00DE3121">
        <w:rPr>
          <w:rFonts w:ascii="Arial" w:hAnsi="Arial" w:cs="Arial"/>
          <w:sz w:val="22"/>
          <w:szCs w:val="22"/>
          <w:lang w:val="en-US"/>
        </w:rPr>
        <w:t>.</w:t>
      </w:r>
      <w:r w:rsidR="00AE7310" w:rsidRPr="00DE3121">
        <w:rPr>
          <w:rFonts w:ascii="Arial" w:hAnsi="Arial" w:cs="Arial"/>
          <w:sz w:val="22"/>
          <w:szCs w:val="22"/>
          <w:lang w:val="en-US"/>
        </w:rPr>
        <w:t xml:space="preserve"> </w:t>
      </w:r>
    </w:p>
    <w:p w14:paraId="3FB3D6A3" w14:textId="77777777" w:rsidR="002739CB" w:rsidRPr="00DE3121" w:rsidRDefault="002739CB" w:rsidP="00DE3121">
      <w:pPr>
        <w:spacing w:after="0" w:line="276" w:lineRule="auto"/>
        <w:rPr>
          <w:rFonts w:ascii="Arial" w:hAnsi="Arial" w:cs="Arial"/>
          <w:sz w:val="22"/>
          <w:szCs w:val="22"/>
          <w:lang w:val="en-US"/>
        </w:rPr>
      </w:pPr>
    </w:p>
    <w:p w14:paraId="06493C8B" w14:textId="14A55204" w:rsidR="00660457" w:rsidRPr="00DE3121" w:rsidRDefault="00660457" w:rsidP="00DE3121">
      <w:pPr>
        <w:spacing w:after="0" w:line="276" w:lineRule="auto"/>
        <w:rPr>
          <w:rFonts w:ascii="Arial" w:hAnsi="Arial" w:cs="Arial"/>
          <w:sz w:val="22"/>
          <w:szCs w:val="22"/>
          <w:lang w:val="en-US"/>
        </w:rPr>
      </w:pPr>
      <w:r w:rsidRPr="00DE3121">
        <w:rPr>
          <w:rFonts w:ascii="Arial" w:hAnsi="Arial" w:cs="Arial"/>
          <w:sz w:val="22"/>
          <w:szCs w:val="22"/>
          <w:lang w:val="en-US"/>
        </w:rPr>
        <w:t xml:space="preserve">To date, no trials </w:t>
      </w:r>
      <w:r w:rsidR="00F3242C" w:rsidRPr="00DE3121">
        <w:rPr>
          <w:rFonts w:ascii="Arial" w:hAnsi="Arial" w:cs="Arial"/>
          <w:sz w:val="22"/>
          <w:szCs w:val="22"/>
          <w:lang w:val="en-US"/>
        </w:rPr>
        <w:t xml:space="preserve">have been performed </w:t>
      </w:r>
      <w:r w:rsidRPr="00DE3121">
        <w:rPr>
          <w:rFonts w:ascii="Arial" w:hAnsi="Arial" w:cs="Arial"/>
          <w:sz w:val="22"/>
          <w:szCs w:val="22"/>
          <w:lang w:val="en-US"/>
        </w:rPr>
        <w:t xml:space="preserve">to test the outcome of testosterone supplementation in men with ALD. In </w:t>
      </w:r>
      <w:r w:rsidR="002604E9">
        <w:rPr>
          <w:rFonts w:ascii="Arial" w:hAnsi="Arial" w:cs="Arial"/>
          <w:sz w:val="22"/>
          <w:szCs w:val="22"/>
          <w:lang w:val="en-US"/>
        </w:rPr>
        <w:t xml:space="preserve">most </w:t>
      </w:r>
      <w:r w:rsidRPr="00DE3121">
        <w:rPr>
          <w:rFonts w:ascii="Arial" w:hAnsi="Arial" w:cs="Arial"/>
          <w:sz w:val="22"/>
          <w:szCs w:val="22"/>
          <w:lang w:val="en-US"/>
        </w:rPr>
        <w:t>men with ALD, fertility seems to be normal (</w:t>
      </w:r>
      <w:r w:rsidR="006C4BCA" w:rsidRPr="00DE3121">
        <w:rPr>
          <w:rFonts w:ascii="Arial" w:hAnsi="Arial" w:cs="Arial"/>
          <w:sz w:val="22"/>
          <w:szCs w:val="22"/>
          <w:lang w:val="en-US"/>
        </w:rPr>
        <w:t xml:space="preserve">29, </w:t>
      </w:r>
      <w:r w:rsidR="005C197B" w:rsidRPr="00DE3121">
        <w:rPr>
          <w:rFonts w:ascii="Arial" w:hAnsi="Arial" w:cs="Arial"/>
          <w:sz w:val="22"/>
          <w:szCs w:val="22"/>
          <w:lang w:val="en-US"/>
        </w:rPr>
        <w:t>47</w:t>
      </w:r>
      <w:r w:rsidRPr="00DE3121">
        <w:rPr>
          <w:rFonts w:ascii="Arial" w:hAnsi="Arial" w:cs="Arial"/>
          <w:sz w:val="22"/>
          <w:szCs w:val="22"/>
          <w:lang w:val="en-US"/>
        </w:rPr>
        <w:t>)</w:t>
      </w:r>
      <w:r w:rsidR="00F3242C" w:rsidRPr="00DE3121">
        <w:rPr>
          <w:rFonts w:ascii="Arial" w:hAnsi="Arial" w:cs="Arial"/>
          <w:sz w:val="22"/>
          <w:szCs w:val="22"/>
          <w:lang w:val="en-US"/>
        </w:rPr>
        <w:t>. N</w:t>
      </w:r>
      <w:r w:rsidRPr="00DE3121">
        <w:rPr>
          <w:rFonts w:ascii="Arial" w:hAnsi="Arial" w:cs="Arial"/>
          <w:sz w:val="22"/>
          <w:szCs w:val="22"/>
          <w:lang w:val="en-US"/>
        </w:rPr>
        <w:t xml:space="preserve">o data exists on fertility in women with ALD. </w:t>
      </w:r>
    </w:p>
    <w:p w14:paraId="3461D779" w14:textId="77777777" w:rsidR="001214FB" w:rsidRPr="00DE3121" w:rsidRDefault="001214FB" w:rsidP="00DE3121">
      <w:pPr>
        <w:spacing w:after="0" w:line="276" w:lineRule="auto"/>
        <w:rPr>
          <w:rFonts w:ascii="Arial" w:hAnsi="Arial" w:cs="Arial"/>
          <w:sz w:val="22"/>
          <w:szCs w:val="22"/>
          <w:lang w:val="en-US"/>
        </w:rPr>
      </w:pPr>
    </w:p>
    <w:p w14:paraId="75882268" w14:textId="77777777" w:rsidR="002739CB" w:rsidRDefault="001214FB" w:rsidP="00DE3121">
      <w:pPr>
        <w:spacing w:after="0" w:line="276" w:lineRule="auto"/>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xml:space="preserve">Tables 1 and </w:t>
      </w:r>
      <w:r w:rsidR="00ED6F64" w:rsidRPr="00DE3121">
        <w:rPr>
          <w:rFonts w:ascii="Arial" w:eastAsia="Times New Roman" w:hAnsi="Arial" w:cs="Arial"/>
          <w:color w:val="000000"/>
          <w:kern w:val="0"/>
          <w:sz w:val="22"/>
          <w:szCs w:val="22"/>
          <w:lang w:val="en-US" w:eastAsia="el-GR"/>
        </w:rPr>
        <w:t>2</w:t>
      </w:r>
      <w:r w:rsidRPr="00DE3121">
        <w:rPr>
          <w:rFonts w:ascii="Arial" w:eastAsia="Times New Roman" w:hAnsi="Arial" w:cs="Arial"/>
          <w:color w:val="000000"/>
          <w:kern w:val="0"/>
          <w:sz w:val="22"/>
          <w:szCs w:val="22"/>
          <w:lang w:val="en-US" w:eastAsia="el-GR"/>
        </w:rPr>
        <w:t xml:space="preserve"> summarize the clinical phenotypes in male and female patients.</w:t>
      </w:r>
    </w:p>
    <w:p w14:paraId="0B7176AA" w14:textId="713E13BD" w:rsidR="001214FB" w:rsidRPr="00DE3121" w:rsidRDefault="001214FB" w:rsidP="00DE3121">
      <w:pPr>
        <w:spacing w:after="0" w:line="276" w:lineRule="auto"/>
        <w:rPr>
          <w:rFonts w:ascii="Arial" w:hAnsi="Arial" w:cs="Arial"/>
          <w:sz w:val="22"/>
          <w:szCs w:val="22"/>
          <w:lang w:val="en-US"/>
        </w:rPr>
      </w:pPr>
      <w:r w:rsidRPr="00DE3121">
        <w:rPr>
          <w:rFonts w:ascii="Arial" w:eastAsia="Times New Roman" w:hAnsi="Arial" w:cs="Arial"/>
          <w:color w:val="000000"/>
          <w:kern w:val="0"/>
          <w:sz w:val="22"/>
          <w:szCs w:val="22"/>
          <w:lang w:val="en-US" w:eastAsia="el-GR"/>
        </w:rPr>
        <w:t xml:space="preserve"> </w:t>
      </w:r>
    </w:p>
    <w:tbl>
      <w:tblPr>
        <w:tblStyle w:val="TableGrid"/>
        <w:tblW w:w="9985" w:type="dxa"/>
        <w:tblLayout w:type="fixed"/>
        <w:tblLook w:val="04A0" w:firstRow="1" w:lastRow="0" w:firstColumn="1" w:lastColumn="0" w:noHBand="0" w:noVBand="1"/>
      </w:tblPr>
      <w:tblGrid>
        <w:gridCol w:w="2614"/>
        <w:gridCol w:w="2589"/>
        <w:gridCol w:w="2234"/>
        <w:gridCol w:w="2548"/>
      </w:tblGrid>
      <w:tr w:rsidR="002F4D9B" w:rsidRPr="00DE3121" w14:paraId="5DFFD69B" w14:textId="77777777" w:rsidTr="002739CB">
        <w:tc>
          <w:tcPr>
            <w:tcW w:w="9985" w:type="dxa"/>
            <w:gridSpan w:val="4"/>
            <w:shd w:val="clear" w:color="auto" w:fill="FFFF00"/>
            <w:hideMark/>
          </w:tcPr>
          <w:p w14:paraId="2CB0DFF7" w14:textId="4CC169B2" w:rsidR="002F4D9B" w:rsidRPr="00DE3121" w:rsidRDefault="002F4D9B" w:rsidP="002739CB">
            <w:pPr>
              <w:spacing w:line="276" w:lineRule="auto"/>
              <w:textAlignment w:val="baseline"/>
              <w:outlineLvl w:val="2"/>
              <w:rPr>
                <w:rFonts w:ascii="Arial" w:eastAsia="Times New Roman" w:hAnsi="Arial" w:cs="Arial"/>
                <w:b/>
                <w:bCs/>
                <w:color w:val="000000"/>
                <w:kern w:val="0"/>
                <w:sz w:val="22"/>
                <w:szCs w:val="22"/>
                <w:lang w:val="en-US" w:eastAsia="el-GR"/>
              </w:rPr>
            </w:pPr>
            <w:r w:rsidRPr="00DE3121">
              <w:rPr>
                <w:rFonts w:ascii="Arial" w:eastAsia="Times New Roman" w:hAnsi="Arial" w:cs="Arial"/>
                <w:b/>
                <w:bCs/>
                <w:color w:val="000000"/>
                <w:kern w:val="0"/>
                <w:sz w:val="22"/>
                <w:szCs w:val="22"/>
                <w:bdr w:val="none" w:sz="0" w:space="0" w:color="auto" w:frame="1"/>
                <w:lang w:val="en-US" w:eastAsia="el-GR"/>
              </w:rPr>
              <w:t xml:space="preserve">Table 1. X-ALD Phenotypes </w:t>
            </w:r>
            <w:r w:rsidR="5A289451" w:rsidRPr="00DE3121">
              <w:rPr>
                <w:rFonts w:ascii="Arial" w:eastAsia="Times New Roman" w:hAnsi="Arial" w:cs="Arial"/>
                <w:b/>
                <w:bCs/>
                <w:kern w:val="0"/>
                <w:sz w:val="22"/>
                <w:szCs w:val="22"/>
                <w:bdr w:val="none" w:sz="0" w:space="0" w:color="auto" w:frame="1"/>
                <w:lang w:val="en-US" w:eastAsia="el-GR"/>
              </w:rPr>
              <w:t>i</w:t>
            </w:r>
            <w:r w:rsidRPr="00DE3121">
              <w:rPr>
                <w:rFonts w:ascii="Arial" w:eastAsia="Times New Roman" w:hAnsi="Arial" w:cs="Arial"/>
                <w:b/>
                <w:bCs/>
                <w:kern w:val="0"/>
                <w:sz w:val="22"/>
                <w:szCs w:val="22"/>
                <w:bdr w:val="none" w:sz="0" w:space="0" w:color="auto" w:frame="1"/>
                <w:lang w:val="en-US" w:eastAsia="el-GR"/>
              </w:rPr>
              <w:t>n</w:t>
            </w:r>
            <w:r w:rsidRPr="00DE3121">
              <w:rPr>
                <w:rFonts w:ascii="Arial" w:eastAsia="Times New Roman" w:hAnsi="Arial" w:cs="Arial"/>
                <w:b/>
                <w:bCs/>
                <w:color w:val="000000"/>
                <w:kern w:val="0"/>
                <w:sz w:val="22"/>
                <w:szCs w:val="22"/>
                <w:bdr w:val="none" w:sz="0" w:space="0" w:color="auto" w:frame="1"/>
                <w:lang w:val="en-US" w:eastAsia="el-GR"/>
              </w:rPr>
              <w:t xml:space="preserve"> Males</w:t>
            </w:r>
          </w:p>
        </w:tc>
      </w:tr>
      <w:tr w:rsidR="002F4D9B" w:rsidRPr="00DE3121" w14:paraId="1BB5C6FA" w14:textId="77777777" w:rsidTr="002739CB">
        <w:tc>
          <w:tcPr>
            <w:tcW w:w="2614" w:type="dxa"/>
            <w:hideMark/>
          </w:tcPr>
          <w:p w14:paraId="159A1A2C"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b/>
                <w:bCs/>
                <w:color w:val="000000"/>
                <w:kern w:val="0"/>
                <w:sz w:val="22"/>
                <w:szCs w:val="22"/>
                <w:bdr w:val="none" w:sz="0" w:space="0" w:color="auto" w:frame="1"/>
                <w:lang w:eastAsia="el-GR"/>
              </w:rPr>
              <w:t>Phenotype</w:t>
            </w:r>
          </w:p>
        </w:tc>
        <w:tc>
          <w:tcPr>
            <w:tcW w:w="2589" w:type="dxa"/>
            <w:hideMark/>
          </w:tcPr>
          <w:p w14:paraId="31FF54C8"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b/>
                <w:bCs/>
                <w:color w:val="000000"/>
                <w:kern w:val="0"/>
                <w:sz w:val="22"/>
                <w:szCs w:val="22"/>
                <w:bdr w:val="none" w:sz="0" w:space="0" w:color="auto" w:frame="1"/>
                <w:lang w:eastAsia="el-GR"/>
              </w:rPr>
              <w:t>Description</w:t>
            </w:r>
          </w:p>
        </w:tc>
        <w:tc>
          <w:tcPr>
            <w:tcW w:w="2234" w:type="dxa"/>
            <w:hideMark/>
          </w:tcPr>
          <w:p w14:paraId="7538E9D7"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b/>
                <w:bCs/>
                <w:color w:val="000000"/>
                <w:kern w:val="0"/>
                <w:sz w:val="22"/>
                <w:szCs w:val="22"/>
                <w:bdr w:val="none" w:sz="0" w:space="0" w:color="auto" w:frame="1"/>
                <w:lang w:eastAsia="el-GR"/>
              </w:rPr>
              <w:t>Estimated Relative Frequency</w:t>
            </w:r>
          </w:p>
        </w:tc>
        <w:tc>
          <w:tcPr>
            <w:tcW w:w="2548" w:type="dxa"/>
            <w:hideMark/>
          </w:tcPr>
          <w:p w14:paraId="7C3A0FCA" w14:textId="59FD961F" w:rsidR="002739CB" w:rsidRDefault="002F4D9B" w:rsidP="002739CB">
            <w:pPr>
              <w:spacing w:line="276" w:lineRule="auto"/>
              <w:rPr>
                <w:rFonts w:ascii="Arial" w:eastAsia="Times New Roman" w:hAnsi="Arial" w:cs="Arial"/>
                <w:b/>
                <w:bCs/>
                <w:color w:val="000000"/>
                <w:kern w:val="0"/>
                <w:sz w:val="22"/>
                <w:szCs w:val="22"/>
                <w:bdr w:val="none" w:sz="0" w:space="0" w:color="auto" w:frame="1"/>
                <w:lang w:val="en-US" w:eastAsia="el-GR"/>
              </w:rPr>
            </w:pPr>
            <w:r w:rsidRPr="00DE3121">
              <w:rPr>
                <w:rFonts w:ascii="Arial" w:eastAsia="Times New Roman" w:hAnsi="Arial" w:cs="Arial"/>
                <w:b/>
                <w:bCs/>
                <w:color w:val="000000"/>
                <w:kern w:val="0"/>
                <w:sz w:val="22"/>
                <w:szCs w:val="22"/>
                <w:bdr w:val="none" w:sz="0" w:space="0" w:color="auto" w:frame="1"/>
                <w:lang w:eastAsia="el-GR"/>
              </w:rPr>
              <w:t>Adrenocortical </w:t>
            </w:r>
          </w:p>
          <w:p w14:paraId="071058BF" w14:textId="55A02862"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b/>
                <w:bCs/>
                <w:color w:val="000000"/>
                <w:kern w:val="0"/>
                <w:sz w:val="22"/>
                <w:szCs w:val="22"/>
                <w:bdr w:val="none" w:sz="0" w:space="0" w:color="auto" w:frame="1"/>
                <w:lang w:eastAsia="el-GR"/>
              </w:rPr>
              <w:t>Insufficiency</w:t>
            </w:r>
          </w:p>
        </w:tc>
      </w:tr>
      <w:tr w:rsidR="002F4D9B" w:rsidRPr="00DE3121" w14:paraId="64DD7ACF" w14:textId="77777777" w:rsidTr="002739CB">
        <w:tc>
          <w:tcPr>
            <w:tcW w:w="2614" w:type="dxa"/>
            <w:vMerge w:val="restart"/>
            <w:hideMark/>
          </w:tcPr>
          <w:p w14:paraId="1EB8EB1C"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Childhood cerebral</w:t>
            </w:r>
          </w:p>
        </w:tc>
        <w:tc>
          <w:tcPr>
            <w:tcW w:w="2589" w:type="dxa"/>
            <w:hideMark/>
          </w:tcPr>
          <w:p w14:paraId="3487C555"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Onset 3-10 years.</w:t>
            </w:r>
          </w:p>
        </w:tc>
        <w:tc>
          <w:tcPr>
            <w:tcW w:w="2234" w:type="dxa"/>
            <w:vMerge w:val="restart"/>
            <w:hideMark/>
          </w:tcPr>
          <w:p w14:paraId="469BBD9B"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31-35%</w:t>
            </w:r>
          </w:p>
        </w:tc>
        <w:tc>
          <w:tcPr>
            <w:tcW w:w="2548" w:type="dxa"/>
            <w:vMerge w:val="restart"/>
            <w:hideMark/>
          </w:tcPr>
          <w:p w14:paraId="7760324C"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79%</w:t>
            </w:r>
          </w:p>
        </w:tc>
      </w:tr>
      <w:tr w:rsidR="002F4D9B" w:rsidRPr="00DE3121" w14:paraId="527B6B66" w14:textId="77777777" w:rsidTr="002739CB">
        <w:tc>
          <w:tcPr>
            <w:tcW w:w="2614" w:type="dxa"/>
            <w:vMerge/>
            <w:hideMark/>
          </w:tcPr>
          <w:p w14:paraId="3CF2D8B6"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p>
        </w:tc>
        <w:tc>
          <w:tcPr>
            <w:tcW w:w="2589" w:type="dxa"/>
            <w:hideMark/>
          </w:tcPr>
          <w:p w14:paraId="324BF93F" w14:textId="77777777" w:rsidR="002F4D9B" w:rsidRPr="00DE3121" w:rsidRDefault="002F4D9B" w:rsidP="002739CB">
            <w:pPr>
              <w:spacing w:line="276" w:lineRule="auto"/>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Progressive behavioral, cognitive, neurologic deficits.</w:t>
            </w:r>
          </w:p>
        </w:tc>
        <w:tc>
          <w:tcPr>
            <w:tcW w:w="2234" w:type="dxa"/>
            <w:vMerge/>
            <w:hideMark/>
          </w:tcPr>
          <w:p w14:paraId="0FB78278" w14:textId="77777777" w:rsidR="002F4D9B" w:rsidRPr="00DE3121" w:rsidRDefault="002F4D9B" w:rsidP="002739CB">
            <w:pPr>
              <w:spacing w:line="276" w:lineRule="auto"/>
              <w:rPr>
                <w:rFonts w:ascii="Arial" w:eastAsia="Times New Roman" w:hAnsi="Arial" w:cs="Arial"/>
                <w:color w:val="000000"/>
                <w:kern w:val="0"/>
                <w:sz w:val="22"/>
                <w:szCs w:val="22"/>
                <w:lang w:val="en-US" w:eastAsia="el-GR"/>
              </w:rPr>
            </w:pPr>
          </w:p>
        </w:tc>
        <w:tc>
          <w:tcPr>
            <w:tcW w:w="2548" w:type="dxa"/>
            <w:vMerge/>
            <w:hideMark/>
          </w:tcPr>
          <w:p w14:paraId="1FC39945" w14:textId="77777777" w:rsidR="002F4D9B" w:rsidRPr="00DE3121" w:rsidRDefault="002F4D9B" w:rsidP="002739CB">
            <w:pPr>
              <w:spacing w:line="276" w:lineRule="auto"/>
              <w:rPr>
                <w:rFonts w:ascii="Arial" w:eastAsia="Times New Roman" w:hAnsi="Arial" w:cs="Arial"/>
                <w:color w:val="000000"/>
                <w:kern w:val="0"/>
                <w:sz w:val="22"/>
                <w:szCs w:val="22"/>
                <w:lang w:val="en-US" w:eastAsia="el-GR"/>
              </w:rPr>
            </w:pPr>
          </w:p>
        </w:tc>
      </w:tr>
      <w:tr w:rsidR="002F4D9B" w:rsidRPr="00DE3121" w14:paraId="7B2874E7" w14:textId="77777777" w:rsidTr="002739CB">
        <w:tc>
          <w:tcPr>
            <w:tcW w:w="2614" w:type="dxa"/>
            <w:hideMark/>
          </w:tcPr>
          <w:p w14:paraId="6E7BEAA2" w14:textId="77777777" w:rsidR="002F4D9B" w:rsidRPr="00DE3121" w:rsidRDefault="002F4D9B" w:rsidP="002739CB">
            <w:pPr>
              <w:spacing w:line="276" w:lineRule="auto"/>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w:t>
            </w:r>
          </w:p>
        </w:tc>
        <w:tc>
          <w:tcPr>
            <w:tcW w:w="2589" w:type="dxa"/>
            <w:hideMark/>
          </w:tcPr>
          <w:p w14:paraId="2A9E07B2" w14:textId="77777777" w:rsidR="002F4D9B" w:rsidRPr="00DE3121" w:rsidRDefault="002F4D9B" w:rsidP="002739CB">
            <w:pPr>
              <w:spacing w:line="276" w:lineRule="auto"/>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Total disability often within 3 years.</w:t>
            </w:r>
          </w:p>
        </w:tc>
        <w:tc>
          <w:tcPr>
            <w:tcW w:w="2234" w:type="dxa"/>
            <w:hideMark/>
          </w:tcPr>
          <w:p w14:paraId="63E4A9CD" w14:textId="77777777" w:rsidR="002F4D9B" w:rsidRPr="00DE3121" w:rsidRDefault="002F4D9B" w:rsidP="002739CB">
            <w:pPr>
              <w:spacing w:line="276" w:lineRule="auto"/>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w:t>
            </w:r>
          </w:p>
        </w:tc>
        <w:tc>
          <w:tcPr>
            <w:tcW w:w="2548" w:type="dxa"/>
            <w:hideMark/>
          </w:tcPr>
          <w:p w14:paraId="4F6584BE" w14:textId="77777777" w:rsidR="002F4D9B" w:rsidRPr="00DE3121" w:rsidRDefault="002F4D9B" w:rsidP="002739CB">
            <w:pPr>
              <w:spacing w:line="276" w:lineRule="auto"/>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w:t>
            </w:r>
          </w:p>
        </w:tc>
      </w:tr>
      <w:tr w:rsidR="002F4D9B" w:rsidRPr="00DE3121" w14:paraId="0150F0BF" w14:textId="77777777" w:rsidTr="002739CB">
        <w:tc>
          <w:tcPr>
            <w:tcW w:w="2614" w:type="dxa"/>
            <w:hideMark/>
          </w:tcPr>
          <w:p w14:paraId="23CD5D42"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Adolescent cerebral</w:t>
            </w:r>
          </w:p>
        </w:tc>
        <w:tc>
          <w:tcPr>
            <w:tcW w:w="2589" w:type="dxa"/>
            <w:hideMark/>
          </w:tcPr>
          <w:p w14:paraId="03B5E943" w14:textId="77777777" w:rsidR="002F4D9B" w:rsidRPr="00DE3121" w:rsidRDefault="002F4D9B" w:rsidP="002739CB">
            <w:pPr>
              <w:spacing w:line="276" w:lineRule="auto"/>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Like childhood cerebral; somewhat slower progression</w:t>
            </w:r>
          </w:p>
        </w:tc>
        <w:tc>
          <w:tcPr>
            <w:tcW w:w="2234" w:type="dxa"/>
            <w:hideMark/>
          </w:tcPr>
          <w:p w14:paraId="3F94C33C"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4-7%</w:t>
            </w:r>
          </w:p>
        </w:tc>
        <w:tc>
          <w:tcPr>
            <w:tcW w:w="2548" w:type="dxa"/>
            <w:hideMark/>
          </w:tcPr>
          <w:p w14:paraId="5B7E48BC"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62%</w:t>
            </w:r>
          </w:p>
        </w:tc>
      </w:tr>
      <w:tr w:rsidR="002F4D9B" w:rsidRPr="00DE3121" w14:paraId="02408781" w14:textId="77777777" w:rsidTr="002739CB">
        <w:tc>
          <w:tcPr>
            <w:tcW w:w="2614" w:type="dxa"/>
            <w:hideMark/>
          </w:tcPr>
          <w:p w14:paraId="7DC0DD1A"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Adult cerebral</w:t>
            </w:r>
          </w:p>
        </w:tc>
        <w:tc>
          <w:tcPr>
            <w:tcW w:w="2589" w:type="dxa"/>
            <w:hideMark/>
          </w:tcPr>
          <w:p w14:paraId="748C8A83" w14:textId="70751659" w:rsidR="002F4D9B" w:rsidRPr="00DE3121" w:rsidRDefault="002F4D9B" w:rsidP="002739CB">
            <w:pPr>
              <w:spacing w:line="276" w:lineRule="auto"/>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Dementia, behavioral disturbances</w:t>
            </w:r>
            <w:r w:rsidR="002604E9">
              <w:rPr>
                <w:rFonts w:ascii="Arial" w:eastAsia="Times New Roman" w:hAnsi="Arial" w:cs="Arial"/>
                <w:color w:val="000000"/>
                <w:kern w:val="0"/>
                <w:sz w:val="22"/>
                <w:szCs w:val="22"/>
                <w:lang w:val="en-US" w:eastAsia="el-GR"/>
              </w:rPr>
              <w:t>,</w:t>
            </w:r>
            <w:r w:rsidRPr="00DE3121">
              <w:rPr>
                <w:rFonts w:ascii="Arial" w:eastAsia="Times New Roman" w:hAnsi="Arial" w:cs="Arial"/>
                <w:color w:val="000000"/>
                <w:kern w:val="0"/>
                <w:sz w:val="22"/>
                <w:szCs w:val="22"/>
                <w:lang w:val="en-US" w:eastAsia="el-GR"/>
              </w:rPr>
              <w:t xml:space="preserve"> focal neurologic deficits without preceding adrenomyeloneuropathy</w:t>
            </w:r>
          </w:p>
        </w:tc>
        <w:tc>
          <w:tcPr>
            <w:tcW w:w="2234" w:type="dxa"/>
            <w:hideMark/>
          </w:tcPr>
          <w:p w14:paraId="5889E3D0"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2-3%</w:t>
            </w:r>
          </w:p>
        </w:tc>
        <w:tc>
          <w:tcPr>
            <w:tcW w:w="2548" w:type="dxa"/>
            <w:hideMark/>
          </w:tcPr>
          <w:p w14:paraId="30BEA60F"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&gt;50%</w:t>
            </w:r>
          </w:p>
        </w:tc>
      </w:tr>
      <w:tr w:rsidR="002F4D9B" w:rsidRPr="00DE3121" w14:paraId="30C77DD0" w14:textId="77777777" w:rsidTr="002739CB">
        <w:tc>
          <w:tcPr>
            <w:tcW w:w="2614" w:type="dxa"/>
            <w:hideMark/>
          </w:tcPr>
          <w:p w14:paraId="5B3FB2D7"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Adrenomyeloneuropathy</w:t>
            </w:r>
          </w:p>
        </w:tc>
        <w:tc>
          <w:tcPr>
            <w:tcW w:w="2589" w:type="dxa"/>
            <w:hideMark/>
          </w:tcPr>
          <w:p w14:paraId="6E594152"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Onset 28 ± 9 years.</w:t>
            </w:r>
          </w:p>
        </w:tc>
        <w:tc>
          <w:tcPr>
            <w:tcW w:w="2234" w:type="dxa"/>
            <w:hideMark/>
          </w:tcPr>
          <w:p w14:paraId="680701E7"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40-46%</w:t>
            </w:r>
          </w:p>
        </w:tc>
        <w:tc>
          <w:tcPr>
            <w:tcW w:w="2548" w:type="dxa"/>
            <w:hideMark/>
          </w:tcPr>
          <w:p w14:paraId="13908CD1"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50-70%</w:t>
            </w:r>
          </w:p>
        </w:tc>
      </w:tr>
      <w:tr w:rsidR="002F4D9B" w:rsidRPr="00DE3121" w14:paraId="1E231511" w14:textId="77777777" w:rsidTr="002739CB">
        <w:tc>
          <w:tcPr>
            <w:tcW w:w="2614" w:type="dxa"/>
            <w:hideMark/>
          </w:tcPr>
          <w:p w14:paraId="09AF38FC"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 </w:t>
            </w:r>
          </w:p>
        </w:tc>
        <w:tc>
          <w:tcPr>
            <w:tcW w:w="2589" w:type="dxa"/>
            <w:hideMark/>
          </w:tcPr>
          <w:p w14:paraId="05460675" w14:textId="77777777" w:rsidR="002F4D9B" w:rsidRPr="00DE3121" w:rsidRDefault="002F4D9B" w:rsidP="002739CB">
            <w:pPr>
              <w:spacing w:line="276" w:lineRule="auto"/>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Slowly progressive paraparesis, sphincter disturbances</w:t>
            </w:r>
          </w:p>
        </w:tc>
        <w:tc>
          <w:tcPr>
            <w:tcW w:w="2234" w:type="dxa"/>
            <w:hideMark/>
          </w:tcPr>
          <w:p w14:paraId="15AA318D" w14:textId="77777777" w:rsidR="002F4D9B" w:rsidRPr="00DE3121" w:rsidRDefault="002F4D9B" w:rsidP="002739CB">
            <w:pPr>
              <w:spacing w:line="276" w:lineRule="auto"/>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w:t>
            </w:r>
          </w:p>
        </w:tc>
        <w:tc>
          <w:tcPr>
            <w:tcW w:w="2548" w:type="dxa"/>
            <w:hideMark/>
          </w:tcPr>
          <w:p w14:paraId="01512BE8" w14:textId="77777777" w:rsidR="002F4D9B" w:rsidRPr="00DE3121" w:rsidRDefault="002F4D9B" w:rsidP="002739CB">
            <w:pPr>
              <w:spacing w:line="276" w:lineRule="auto"/>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w:t>
            </w:r>
          </w:p>
        </w:tc>
      </w:tr>
      <w:tr w:rsidR="002F4D9B" w:rsidRPr="00DE3121" w14:paraId="5FAE5495" w14:textId="77777777" w:rsidTr="002739CB">
        <w:tc>
          <w:tcPr>
            <w:tcW w:w="2614" w:type="dxa"/>
            <w:hideMark/>
          </w:tcPr>
          <w:p w14:paraId="62DAC3F6"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lastRenderedPageBreak/>
              <w:t>Addison only</w:t>
            </w:r>
          </w:p>
        </w:tc>
        <w:tc>
          <w:tcPr>
            <w:tcW w:w="2589" w:type="dxa"/>
            <w:hideMark/>
          </w:tcPr>
          <w:p w14:paraId="363F05C7" w14:textId="77777777" w:rsidR="002F4D9B" w:rsidRPr="00DE3121" w:rsidRDefault="002F4D9B" w:rsidP="002739CB">
            <w:pPr>
              <w:spacing w:line="276" w:lineRule="auto"/>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Primary adrenal insufficiency without neurologic involvement.</w:t>
            </w:r>
          </w:p>
        </w:tc>
        <w:tc>
          <w:tcPr>
            <w:tcW w:w="2234" w:type="dxa"/>
            <w:hideMark/>
          </w:tcPr>
          <w:p w14:paraId="65BEE17A" w14:textId="77777777" w:rsidR="002F4D9B" w:rsidRPr="00DE3121" w:rsidRDefault="002F4D9B" w:rsidP="002739CB">
            <w:pPr>
              <w:spacing w:line="276" w:lineRule="auto"/>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Varies with age. Up to 50% in childhood</w:t>
            </w:r>
          </w:p>
        </w:tc>
        <w:tc>
          <w:tcPr>
            <w:tcW w:w="2548" w:type="dxa"/>
            <w:hideMark/>
          </w:tcPr>
          <w:p w14:paraId="135237C8"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100%</w:t>
            </w:r>
          </w:p>
        </w:tc>
      </w:tr>
      <w:tr w:rsidR="002F4D9B" w:rsidRPr="00DE3121" w14:paraId="2B59BEE0" w14:textId="77777777" w:rsidTr="002739CB">
        <w:tc>
          <w:tcPr>
            <w:tcW w:w="2614" w:type="dxa"/>
            <w:hideMark/>
          </w:tcPr>
          <w:p w14:paraId="0DA70637"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 </w:t>
            </w:r>
          </w:p>
        </w:tc>
        <w:tc>
          <w:tcPr>
            <w:tcW w:w="2589" w:type="dxa"/>
            <w:hideMark/>
          </w:tcPr>
          <w:p w14:paraId="191E0289" w14:textId="77777777" w:rsidR="002F4D9B" w:rsidRPr="00DE3121" w:rsidRDefault="002F4D9B" w:rsidP="002739CB">
            <w:pPr>
              <w:spacing w:line="276" w:lineRule="auto"/>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Most common onset 5-7 years. Most eventually develop AMN or cerebral forms</w:t>
            </w:r>
          </w:p>
        </w:tc>
        <w:tc>
          <w:tcPr>
            <w:tcW w:w="2234" w:type="dxa"/>
            <w:hideMark/>
          </w:tcPr>
          <w:p w14:paraId="46624170" w14:textId="77777777" w:rsidR="002F4D9B" w:rsidRPr="00DE3121" w:rsidRDefault="002F4D9B" w:rsidP="002739CB">
            <w:pPr>
              <w:spacing w:line="276" w:lineRule="auto"/>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w:t>
            </w:r>
          </w:p>
        </w:tc>
        <w:tc>
          <w:tcPr>
            <w:tcW w:w="2548" w:type="dxa"/>
            <w:hideMark/>
          </w:tcPr>
          <w:p w14:paraId="4B8484D5" w14:textId="77777777" w:rsidR="002F4D9B" w:rsidRPr="00DE3121" w:rsidRDefault="002F4D9B" w:rsidP="002739CB">
            <w:pPr>
              <w:spacing w:line="276" w:lineRule="auto"/>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w:t>
            </w:r>
          </w:p>
        </w:tc>
      </w:tr>
      <w:tr w:rsidR="002F4D9B" w:rsidRPr="00DE3121" w14:paraId="75A8D0CE" w14:textId="77777777" w:rsidTr="002739CB">
        <w:tc>
          <w:tcPr>
            <w:tcW w:w="2614" w:type="dxa"/>
            <w:hideMark/>
          </w:tcPr>
          <w:p w14:paraId="07818764"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Asymptomatic</w:t>
            </w:r>
          </w:p>
        </w:tc>
        <w:tc>
          <w:tcPr>
            <w:tcW w:w="2589" w:type="dxa"/>
            <w:hideMark/>
          </w:tcPr>
          <w:p w14:paraId="23090E69" w14:textId="77777777" w:rsidR="002F4D9B" w:rsidRPr="00DE3121" w:rsidRDefault="002F4D9B" w:rsidP="002739CB">
            <w:pPr>
              <w:spacing w:line="276" w:lineRule="auto"/>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No demonstrable neurologic or adrenal involvement</w:t>
            </w:r>
          </w:p>
        </w:tc>
        <w:tc>
          <w:tcPr>
            <w:tcW w:w="2234" w:type="dxa"/>
            <w:hideMark/>
          </w:tcPr>
          <w:p w14:paraId="43290968" w14:textId="77777777" w:rsidR="002F4D9B" w:rsidRPr="00DE3121" w:rsidRDefault="002F4D9B" w:rsidP="002739CB">
            <w:pPr>
              <w:spacing w:line="276" w:lineRule="auto"/>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Common before 4 years. Diminishes with age.</w:t>
            </w:r>
          </w:p>
        </w:tc>
        <w:tc>
          <w:tcPr>
            <w:tcW w:w="2548" w:type="dxa"/>
            <w:hideMark/>
          </w:tcPr>
          <w:p w14:paraId="129415DF"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50% plus with testing</w:t>
            </w:r>
          </w:p>
        </w:tc>
      </w:tr>
    </w:tbl>
    <w:p w14:paraId="0562CB0E" w14:textId="77777777" w:rsidR="001214FB" w:rsidRPr="00DE3121" w:rsidRDefault="001214FB" w:rsidP="00DE3121">
      <w:pPr>
        <w:spacing w:after="0" w:line="276" w:lineRule="auto"/>
        <w:rPr>
          <w:rFonts w:ascii="Arial" w:hAnsi="Arial" w:cs="Arial"/>
          <w:sz w:val="22"/>
          <w:szCs w:val="22"/>
          <w:lang w:val="en-US"/>
        </w:rPr>
      </w:pPr>
    </w:p>
    <w:tbl>
      <w:tblPr>
        <w:tblStyle w:val="TableGrid"/>
        <w:tblW w:w="9375" w:type="dxa"/>
        <w:tblLook w:val="04A0" w:firstRow="1" w:lastRow="0" w:firstColumn="1" w:lastColumn="0" w:noHBand="0" w:noVBand="1"/>
      </w:tblPr>
      <w:tblGrid>
        <w:gridCol w:w="2488"/>
        <w:gridCol w:w="2837"/>
        <w:gridCol w:w="4050"/>
      </w:tblGrid>
      <w:tr w:rsidR="002F4D9B" w:rsidRPr="00DE3121" w14:paraId="05DC2746" w14:textId="77777777" w:rsidTr="002739CB">
        <w:tc>
          <w:tcPr>
            <w:tcW w:w="9375" w:type="dxa"/>
            <w:gridSpan w:val="3"/>
            <w:shd w:val="clear" w:color="auto" w:fill="FFFF00"/>
            <w:hideMark/>
          </w:tcPr>
          <w:p w14:paraId="07390DC8" w14:textId="77777777" w:rsidR="002F4D9B" w:rsidRPr="00DE3121" w:rsidRDefault="002F4D9B" w:rsidP="002739CB">
            <w:pPr>
              <w:spacing w:line="276" w:lineRule="auto"/>
              <w:textAlignment w:val="baseline"/>
              <w:outlineLvl w:val="2"/>
              <w:rPr>
                <w:rFonts w:ascii="Arial" w:eastAsia="Times New Roman" w:hAnsi="Arial" w:cs="Arial"/>
                <w:b/>
                <w:bCs/>
                <w:color w:val="000000"/>
                <w:kern w:val="0"/>
                <w:sz w:val="22"/>
                <w:szCs w:val="22"/>
                <w:lang w:val="en-US" w:eastAsia="el-GR"/>
              </w:rPr>
            </w:pPr>
            <w:r w:rsidRPr="00DE3121">
              <w:rPr>
                <w:rFonts w:ascii="Arial" w:eastAsia="Times New Roman" w:hAnsi="Arial" w:cs="Arial"/>
                <w:b/>
                <w:bCs/>
                <w:color w:val="000000"/>
                <w:kern w:val="0"/>
                <w:sz w:val="22"/>
                <w:szCs w:val="22"/>
                <w:bdr w:val="none" w:sz="0" w:space="0" w:color="auto" w:frame="1"/>
                <w:lang w:val="en-US" w:eastAsia="el-GR"/>
              </w:rPr>
              <w:t>Table 2. Phenotypes In Female X-ALD Carriers</w:t>
            </w:r>
          </w:p>
        </w:tc>
      </w:tr>
      <w:tr w:rsidR="002F4D9B" w:rsidRPr="00DE3121" w14:paraId="06F19E46" w14:textId="77777777" w:rsidTr="002739CB">
        <w:tc>
          <w:tcPr>
            <w:tcW w:w="2488" w:type="dxa"/>
            <w:hideMark/>
          </w:tcPr>
          <w:p w14:paraId="6AE32172"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b/>
                <w:bCs/>
                <w:color w:val="000000"/>
                <w:kern w:val="0"/>
                <w:sz w:val="22"/>
                <w:szCs w:val="22"/>
                <w:bdr w:val="none" w:sz="0" w:space="0" w:color="auto" w:frame="1"/>
                <w:lang w:eastAsia="el-GR"/>
              </w:rPr>
              <w:t>Phenotype</w:t>
            </w:r>
          </w:p>
        </w:tc>
        <w:tc>
          <w:tcPr>
            <w:tcW w:w="2837" w:type="dxa"/>
            <w:hideMark/>
          </w:tcPr>
          <w:p w14:paraId="02F99ED9"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b/>
                <w:bCs/>
                <w:color w:val="000000"/>
                <w:kern w:val="0"/>
                <w:sz w:val="22"/>
                <w:szCs w:val="22"/>
                <w:bdr w:val="none" w:sz="0" w:space="0" w:color="auto" w:frame="1"/>
                <w:lang w:eastAsia="el-GR"/>
              </w:rPr>
              <w:t>Description</w:t>
            </w:r>
          </w:p>
        </w:tc>
        <w:tc>
          <w:tcPr>
            <w:tcW w:w="4050" w:type="dxa"/>
            <w:hideMark/>
          </w:tcPr>
          <w:p w14:paraId="51FF19F9"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b/>
                <w:bCs/>
                <w:color w:val="000000"/>
                <w:kern w:val="0"/>
                <w:sz w:val="22"/>
                <w:szCs w:val="22"/>
                <w:bdr w:val="none" w:sz="0" w:space="0" w:color="auto" w:frame="1"/>
                <w:lang w:eastAsia="el-GR"/>
              </w:rPr>
              <w:t>Estimated relative frequency</w:t>
            </w:r>
          </w:p>
        </w:tc>
      </w:tr>
      <w:tr w:rsidR="002F4D9B" w:rsidRPr="00DE3121" w14:paraId="39F9A3DB" w14:textId="77777777" w:rsidTr="002739CB">
        <w:tc>
          <w:tcPr>
            <w:tcW w:w="2488" w:type="dxa"/>
            <w:hideMark/>
          </w:tcPr>
          <w:p w14:paraId="0C28E289"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Asymptomatic</w:t>
            </w:r>
          </w:p>
        </w:tc>
        <w:tc>
          <w:tcPr>
            <w:tcW w:w="2837" w:type="dxa"/>
            <w:hideMark/>
          </w:tcPr>
          <w:p w14:paraId="450DE56C" w14:textId="77777777" w:rsidR="002F4D9B" w:rsidRPr="00DE3121" w:rsidRDefault="002F4D9B" w:rsidP="002739CB">
            <w:pPr>
              <w:spacing w:line="276" w:lineRule="auto"/>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No neurologic or adrenal involvement</w:t>
            </w:r>
          </w:p>
        </w:tc>
        <w:tc>
          <w:tcPr>
            <w:tcW w:w="4050" w:type="dxa"/>
            <w:hideMark/>
          </w:tcPr>
          <w:p w14:paraId="1434FBBF"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Diminishes with age</w:t>
            </w:r>
          </w:p>
        </w:tc>
      </w:tr>
      <w:tr w:rsidR="002F4D9B" w:rsidRPr="00DE3121" w14:paraId="1B9EF4EE" w14:textId="77777777" w:rsidTr="002739CB">
        <w:tc>
          <w:tcPr>
            <w:tcW w:w="2488" w:type="dxa"/>
            <w:hideMark/>
          </w:tcPr>
          <w:p w14:paraId="14F64B2C"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Mild myeloneuropathy</w:t>
            </w:r>
          </w:p>
        </w:tc>
        <w:tc>
          <w:tcPr>
            <w:tcW w:w="2837" w:type="dxa"/>
            <w:hideMark/>
          </w:tcPr>
          <w:p w14:paraId="2DF1A079" w14:textId="77777777" w:rsidR="002F4D9B" w:rsidRPr="00DE3121" w:rsidRDefault="002F4D9B" w:rsidP="002739CB">
            <w:pPr>
              <w:spacing w:line="276" w:lineRule="auto"/>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Increased deep tendon reflexes and sensory changes in lower extremities</w:t>
            </w:r>
          </w:p>
        </w:tc>
        <w:tc>
          <w:tcPr>
            <w:tcW w:w="4050" w:type="dxa"/>
            <w:hideMark/>
          </w:tcPr>
          <w:p w14:paraId="3545CEA7" w14:textId="77777777" w:rsidR="002F4D9B" w:rsidRPr="00DE3121" w:rsidRDefault="002F4D9B" w:rsidP="002739CB">
            <w:pPr>
              <w:spacing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Increases with age.</w:t>
            </w:r>
          </w:p>
          <w:p w14:paraId="5C93A87B" w14:textId="77777777" w:rsidR="002F4D9B" w:rsidRPr="00DE3121" w:rsidRDefault="002F4D9B" w:rsidP="002739CB">
            <w:pPr>
              <w:spacing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50% at age &gt;40 years.</w:t>
            </w:r>
          </w:p>
        </w:tc>
      </w:tr>
      <w:tr w:rsidR="002F4D9B" w:rsidRPr="00DE3121" w14:paraId="2A8B9E8C" w14:textId="77777777" w:rsidTr="002739CB">
        <w:tc>
          <w:tcPr>
            <w:tcW w:w="2488" w:type="dxa"/>
            <w:hideMark/>
          </w:tcPr>
          <w:p w14:paraId="4BCAD119"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Moderate to severe myeloneuropathy</w:t>
            </w:r>
          </w:p>
        </w:tc>
        <w:tc>
          <w:tcPr>
            <w:tcW w:w="2837" w:type="dxa"/>
            <w:hideMark/>
          </w:tcPr>
          <w:p w14:paraId="638EFE64" w14:textId="77777777" w:rsidR="002F4D9B" w:rsidRPr="00DE3121" w:rsidRDefault="002F4D9B" w:rsidP="002739CB">
            <w:pPr>
              <w:spacing w:line="276" w:lineRule="auto"/>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Resembles AMN, but milder and later onset</w:t>
            </w:r>
          </w:p>
        </w:tc>
        <w:tc>
          <w:tcPr>
            <w:tcW w:w="4050" w:type="dxa"/>
            <w:hideMark/>
          </w:tcPr>
          <w:p w14:paraId="79AF23AC" w14:textId="77777777" w:rsidR="002F4D9B" w:rsidRPr="00DE3121" w:rsidRDefault="002F4D9B" w:rsidP="002739CB">
            <w:pPr>
              <w:spacing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Increases with age</w:t>
            </w:r>
          </w:p>
          <w:p w14:paraId="4B9C2771" w14:textId="77777777" w:rsidR="002F4D9B" w:rsidRPr="00DE3121" w:rsidRDefault="002F4D9B" w:rsidP="002739CB">
            <w:pPr>
              <w:spacing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&gt;15% at age &gt;40.</w:t>
            </w:r>
          </w:p>
        </w:tc>
      </w:tr>
      <w:tr w:rsidR="002F4D9B" w:rsidRPr="00DE3121" w14:paraId="3F1AB6F5" w14:textId="77777777" w:rsidTr="002739CB">
        <w:tc>
          <w:tcPr>
            <w:tcW w:w="2488" w:type="dxa"/>
            <w:hideMark/>
          </w:tcPr>
          <w:p w14:paraId="77C84DEF"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Clinically evident Addison’s disease</w:t>
            </w:r>
          </w:p>
        </w:tc>
        <w:tc>
          <w:tcPr>
            <w:tcW w:w="2837" w:type="dxa"/>
            <w:hideMark/>
          </w:tcPr>
          <w:p w14:paraId="6C7C9099"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Rare at any age</w:t>
            </w:r>
          </w:p>
        </w:tc>
        <w:tc>
          <w:tcPr>
            <w:tcW w:w="4050" w:type="dxa"/>
            <w:hideMark/>
          </w:tcPr>
          <w:p w14:paraId="04B1F234" w14:textId="77777777" w:rsidR="002F4D9B" w:rsidRPr="00DE3121" w:rsidRDefault="002F4D9B" w:rsidP="002739CB">
            <w:pPr>
              <w:spacing w:line="276" w:lineRule="auto"/>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&lt;1%</w:t>
            </w:r>
          </w:p>
        </w:tc>
      </w:tr>
    </w:tbl>
    <w:p w14:paraId="62EBF3C5" w14:textId="77777777" w:rsidR="001214FB" w:rsidRPr="00DE3121" w:rsidRDefault="001214FB" w:rsidP="00DE3121">
      <w:pPr>
        <w:spacing w:after="0" w:line="276" w:lineRule="auto"/>
        <w:rPr>
          <w:rFonts w:ascii="Arial" w:hAnsi="Arial" w:cs="Arial"/>
          <w:sz w:val="22"/>
          <w:szCs w:val="22"/>
          <w:lang w:val="en-US"/>
        </w:rPr>
      </w:pPr>
    </w:p>
    <w:p w14:paraId="359B1984" w14:textId="77777777" w:rsidR="00BA0600" w:rsidRPr="002739CB" w:rsidRDefault="00BA0600" w:rsidP="00DE3121">
      <w:pPr>
        <w:spacing w:after="0" w:line="276" w:lineRule="auto"/>
        <w:textAlignment w:val="baseline"/>
        <w:rPr>
          <w:rFonts w:ascii="Arial" w:eastAsia="Times New Roman" w:hAnsi="Arial" w:cs="Arial"/>
          <w:b/>
          <w:bCs/>
          <w:color w:val="0070C0"/>
          <w:kern w:val="0"/>
          <w:sz w:val="22"/>
          <w:szCs w:val="22"/>
          <w:lang w:val="en-US" w:eastAsia="el-GR"/>
        </w:rPr>
      </w:pPr>
      <w:r w:rsidRPr="002739CB">
        <w:rPr>
          <w:rFonts w:ascii="Arial" w:eastAsia="Times New Roman" w:hAnsi="Arial" w:cs="Arial"/>
          <w:b/>
          <w:bCs/>
          <w:color w:val="0070C0"/>
          <w:kern w:val="0"/>
          <w:sz w:val="22"/>
          <w:szCs w:val="22"/>
          <w:lang w:val="en-US" w:eastAsia="el-GR"/>
        </w:rPr>
        <w:t>DIAGNOSIS OF X-ALD</w:t>
      </w:r>
    </w:p>
    <w:p w14:paraId="5997CC1D" w14:textId="77777777" w:rsidR="002F4D9B" w:rsidRPr="00DE3121" w:rsidRDefault="002F4D9B" w:rsidP="00DE3121">
      <w:pPr>
        <w:spacing w:after="0" w:line="276" w:lineRule="auto"/>
        <w:textAlignment w:val="baseline"/>
        <w:outlineLvl w:val="1"/>
        <w:rPr>
          <w:rFonts w:ascii="Arial" w:eastAsia="Times New Roman" w:hAnsi="Arial" w:cs="Arial"/>
          <w:b/>
          <w:bCs/>
          <w:color w:val="000000"/>
          <w:kern w:val="0"/>
          <w:sz w:val="22"/>
          <w:szCs w:val="22"/>
          <w:lang w:val="en-US" w:eastAsia="el-GR"/>
        </w:rPr>
      </w:pPr>
    </w:p>
    <w:p w14:paraId="725D29C8" w14:textId="77777777" w:rsidR="00FB35D8" w:rsidRDefault="002F4D9B" w:rsidP="00DE3121">
      <w:pPr>
        <w:spacing w:after="0" w:line="276" w:lineRule="auto"/>
        <w:textAlignment w:val="baseline"/>
        <w:outlineLvl w:val="1"/>
        <w:rPr>
          <w:rFonts w:ascii="Arial" w:hAnsi="Arial" w:cs="Arial"/>
          <w:sz w:val="22"/>
          <w:szCs w:val="22"/>
          <w:lang w:val="en-US"/>
        </w:rPr>
      </w:pPr>
      <w:r w:rsidRPr="00DE3121">
        <w:rPr>
          <w:rFonts w:ascii="Arial" w:hAnsi="Arial" w:cs="Arial"/>
          <w:sz w:val="22"/>
          <w:szCs w:val="22"/>
          <w:lang w:val="en-US"/>
        </w:rPr>
        <w:t xml:space="preserve">In patients </w:t>
      </w:r>
      <w:r w:rsidR="00304EA9" w:rsidRPr="00DE3121">
        <w:rPr>
          <w:rFonts w:ascii="Arial" w:hAnsi="Arial" w:cs="Arial"/>
          <w:sz w:val="22"/>
          <w:szCs w:val="22"/>
          <w:lang w:val="en-US"/>
        </w:rPr>
        <w:t xml:space="preserve">highly </w:t>
      </w:r>
      <w:r w:rsidRPr="00DE3121">
        <w:rPr>
          <w:rFonts w:ascii="Arial" w:hAnsi="Arial" w:cs="Arial"/>
          <w:sz w:val="22"/>
          <w:szCs w:val="22"/>
          <w:lang w:val="en-US"/>
        </w:rPr>
        <w:t>suspected of having ALD</w:t>
      </w:r>
      <w:r w:rsidR="00304EA9" w:rsidRPr="00DE3121">
        <w:rPr>
          <w:rFonts w:ascii="Arial" w:hAnsi="Arial" w:cs="Arial"/>
          <w:sz w:val="22"/>
          <w:szCs w:val="22"/>
          <w:lang w:val="en-US"/>
        </w:rPr>
        <w:t xml:space="preserve">, </w:t>
      </w:r>
      <w:r w:rsidRPr="00DE3121">
        <w:rPr>
          <w:rFonts w:ascii="Arial" w:hAnsi="Arial" w:cs="Arial"/>
          <w:sz w:val="22"/>
          <w:szCs w:val="22"/>
          <w:lang w:val="en-US"/>
        </w:rPr>
        <w:t xml:space="preserve">measurement of very long chain fatty acids (VCLFA) in </w:t>
      </w:r>
      <w:r w:rsidR="002D3156" w:rsidRPr="00DE3121">
        <w:rPr>
          <w:rFonts w:ascii="Arial" w:hAnsi="Arial" w:cs="Arial"/>
          <w:sz w:val="22"/>
          <w:szCs w:val="22"/>
          <w:lang w:val="en-US"/>
        </w:rPr>
        <w:t xml:space="preserve">the </w:t>
      </w:r>
      <w:r w:rsidRPr="00DE3121">
        <w:rPr>
          <w:rFonts w:ascii="Arial" w:hAnsi="Arial" w:cs="Arial"/>
          <w:sz w:val="22"/>
          <w:szCs w:val="22"/>
          <w:lang w:val="en-US"/>
        </w:rPr>
        <w:t>blood is diagnostic, with high specificity and sensitivity (</w:t>
      </w:r>
      <w:r w:rsidR="005C197B" w:rsidRPr="00DE3121">
        <w:rPr>
          <w:rFonts w:ascii="Arial" w:hAnsi="Arial" w:cs="Arial"/>
          <w:sz w:val="22"/>
          <w:szCs w:val="22"/>
          <w:lang w:val="en-US"/>
        </w:rPr>
        <w:t>48</w:t>
      </w:r>
      <w:r w:rsidRPr="00DE3121">
        <w:rPr>
          <w:rFonts w:ascii="Arial" w:hAnsi="Arial" w:cs="Arial"/>
          <w:sz w:val="22"/>
          <w:szCs w:val="22"/>
          <w:lang w:val="en-US"/>
        </w:rPr>
        <w:t>).</w:t>
      </w:r>
      <w:r w:rsidR="00304EA9" w:rsidRPr="00DE3121">
        <w:rPr>
          <w:rFonts w:ascii="Arial" w:hAnsi="Arial" w:cs="Arial"/>
          <w:sz w:val="22"/>
          <w:szCs w:val="22"/>
          <w:lang w:val="en-US"/>
        </w:rPr>
        <w:t xml:space="preserve"> </w:t>
      </w:r>
      <w:r w:rsidRPr="00DE3121">
        <w:rPr>
          <w:rFonts w:ascii="Arial" w:eastAsia="Times New Roman" w:hAnsi="Arial" w:cs="Arial"/>
          <w:color w:val="000000"/>
          <w:kern w:val="0"/>
          <w:sz w:val="22"/>
          <w:szCs w:val="22"/>
          <w:lang w:val="en-US" w:eastAsia="el-GR"/>
        </w:rPr>
        <w:t>VLCFA levels are already increased on the day of birth and in untreated patients remain stable throughout life. Testing typically includes three VLCFA parameters: the level of hexacosanoic acid (C26:0) and tetracosanoic acid (C24:0), and the ratio of these two compounds to docosanoic acid (normal values of C24:0/C22:0 ratio &lt;1.0 and C26:0/C22:0 ratio &lt;0.02). Hexacosanoic acid is the one most consistently elevated and is therefore considered to be diagnostic of the disease.</w:t>
      </w:r>
      <w:r w:rsidR="004579A6" w:rsidRPr="00DE3121">
        <w:rPr>
          <w:rFonts w:ascii="Arial" w:eastAsia="Times New Roman" w:hAnsi="Arial" w:cs="Arial"/>
          <w:color w:val="000000"/>
          <w:kern w:val="0"/>
          <w:sz w:val="22"/>
          <w:szCs w:val="22"/>
          <w:lang w:val="en-US" w:eastAsia="el-GR"/>
        </w:rPr>
        <w:t xml:space="preserve"> </w:t>
      </w:r>
      <w:r w:rsidR="004579A6" w:rsidRPr="00DE3121">
        <w:rPr>
          <w:rFonts w:ascii="Arial" w:hAnsi="Arial" w:cs="Arial"/>
          <w:sz w:val="22"/>
          <w:szCs w:val="22"/>
          <w:lang w:val="en-US"/>
        </w:rPr>
        <w:t xml:space="preserve">Of note, </w:t>
      </w:r>
      <w:r w:rsidR="004579A6" w:rsidRPr="00DE3121">
        <w:rPr>
          <w:rFonts w:ascii="Arial" w:eastAsia="Times New Roman" w:hAnsi="Arial" w:cs="Arial"/>
          <w:color w:val="000000"/>
          <w:kern w:val="0"/>
          <w:sz w:val="22"/>
          <w:szCs w:val="22"/>
          <w:lang w:val="en-US" w:eastAsia="el-GR"/>
        </w:rPr>
        <w:t>VLCFA levels are also elevated in other peroxisomal disorders</w:t>
      </w:r>
      <w:r w:rsidR="004579A6" w:rsidRPr="00DE3121">
        <w:rPr>
          <w:rFonts w:ascii="Arial" w:hAnsi="Arial" w:cs="Arial"/>
          <w:sz w:val="22"/>
          <w:szCs w:val="22"/>
          <w:lang w:val="en-US"/>
        </w:rPr>
        <w:t xml:space="preserve"> </w:t>
      </w:r>
      <w:r w:rsidR="004579A6" w:rsidRPr="00DE3121">
        <w:rPr>
          <w:rFonts w:ascii="Arial" w:eastAsia="Times New Roman" w:hAnsi="Arial" w:cs="Arial"/>
          <w:color w:val="000000"/>
          <w:kern w:val="0"/>
          <w:sz w:val="22"/>
          <w:szCs w:val="22"/>
          <w:lang w:val="en-US" w:eastAsia="el-GR"/>
        </w:rPr>
        <w:t xml:space="preserve">whereas they can be falsely elevated in patients with </w:t>
      </w:r>
      <w:r w:rsidR="004579A6" w:rsidRPr="00DE3121">
        <w:rPr>
          <w:rFonts w:ascii="Arial" w:hAnsi="Arial" w:cs="Arial"/>
          <w:sz w:val="22"/>
          <w:szCs w:val="22"/>
          <w:lang w:val="en-US"/>
        </w:rPr>
        <w:t>liver insufficiency</w:t>
      </w:r>
      <w:r w:rsidR="004579A6" w:rsidRPr="00DE3121">
        <w:rPr>
          <w:rFonts w:ascii="Arial" w:eastAsia="Times New Roman" w:hAnsi="Arial" w:cs="Arial"/>
          <w:color w:val="000000"/>
          <w:kern w:val="0"/>
          <w:sz w:val="22"/>
          <w:szCs w:val="22"/>
          <w:lang w:val="en-US" w:eastAsia="el-GR"/>
        </w:rPr>
        <w:t xml:space="preserve"> or on ketogenic diets (</w:t>
      </w:r>
      <w:r w:rsidR="005C197B" w:rsidRPr="00DE3121">
        <w:rPr>
          <w:rFonts w:ascii="Arial" w:eastAsia="Times New Roman" w:hAnsi="Arial" w:cs="Arial"/>
          <w:color w:val="000000"/>
          <w:kern w:val="0"/>
          <w:sz w:val="22"/>
          <w:szCs w:val="22"/>
          <w:lang w:val="en-US" w:eastAsia="el-GR"/>
        </w:rPr>
        <w:t>49</w:t>
      </w:r>
      <w:r w:rsidR="004579A6" w:rsidRPr="00DE3121">
        <w:rPr>
          <w:rFonts w:ascii="Arial" w:eastAsia="Times New Roman" w:hAnsi="Arial" w:cs="Arial"/>
          <w:color w:val="000000"/>
          <w:kern w:val="0"/>
          <w:sz w:val="22"/>
          <w:szCs w:val="22"/>
          <w:lang w:val="en-US" w:eastAsia="el-GR"/>
        </w:rPr>
        <w:t xml:space="preserve">). </w:t>
      </w:r>
      <w:r w:rsidR="00346BC7" w:rsidRPr="00DE3121">
        <w:rPr>
          <w:rFonts w:ascii="Arial" w:eastAsia="Times New Roman" w:hAnsi="Arial" w:cs="Arial"/>
          <w:color w:val="000000"/>
          <w:kern w:val="0"/>
          <w:sz w:val="22"/>
          <w:szCs w:val="22"/>
          <w:lang w:val="en-US" w:eastAsia="el-GR"/>
        </w:rPr>
        <w:t xml:space="preserve">False negative results may occur in approximately 20% of female patients, </w:t>
      </w:r>
      <w:r w:rsidR="00346BC7" w:rsidRPr="00DE3121">
        <w:rPr>
          <w:rFonts w:ascii="Arial" w:hAnsi="Arial" w:cs="Arial"/>
          <w:sz w:val="22"/>
          <w:szCs w:val="22"/>
          <w:lang w:val="en-US"/>
        </w:rPr>
        <w:t>thus, any woman with symptoms of myelopathy with or without a family history of ALD should undergo further genetic testing</w:t>
      </w:r>
      <w:r w:rsidR="00346BC7" w:rsidRPr="00DE3121">
        <w:rPr>
          <w:rFonts w:ascii="Arial" w:eastAsia="Times New Roman" w:hAnsi="Arial" w:cs="Arial"/>
          <w:color w:val="000000"/>
          <w:kern w:val="0"/>
          <w:sz w:val="22"/>
          <w:szCs w:val="22"/>
          <w:lang w:val="en-US" w:eastAsia="el-GR"/>
        </w:rPr>
        <w:t xml:space="preserve"> (</w:t>
      </w:r>
      <w:r w:rsidR="005C197B" w:rsidRPr="00DE3121">
        <w:rPr>
          <w:rFonts w:ascii="Arial" w:eastAsia="Times New Roman" w:hAnsi="Arial" w:cs="Arial"/>
          <w:color w:val="000000"/>
          <w:kern w:val="0"/>
          <w:sz w:val="22"/>
          <w:szCs w:val="22"/>
          <w:lang w:val="en-US" w:eastAsia="el-GR"/>
        </w:rPr>
        <w:t>48</w:t>
      </w:r>
      <w:r w:rsidR="00346BC7" w:rsidRPr="00DE3121">
        <w:rPr>
          <w:rFonts w:ascii="Arial" w:eastAsia="Times New Roman" w:hAnsi="Arial" w:cs="Arial"/>
          <w:color w:val="000000"/>
          <w:kern w:val="0"/>
          <w:sz w:val="22"/>
          <w:szCs w:val="22"/>
          <w:lang w:val="en-US" w:eastAsia="el-GR"/>
        </w:rPr>
        <w:t xml:space="preserve">). </w:t>
      </w:r>
      <w:r w:rsidR="00FB35D8" w:rsidRPr="00DE3121">
        <w:rPr>
          <w:rFonts w:ascii="Arial" w:hAnsi="Arial" w:cs="Arial"/>
          <w:sz w:val="22"/>
          <w:szCs w:val="22"/>
          <w:lang w:val="en-US"/>
        </w:rPr>
        <w:t>Plasma C26:0/C22:0 and C24:0/C22:0 ratios, although diagnostic</w:t>
      </w:r>
      <w:r w:rsidR="001214FB" w:rsidRPr="00DE3121">
        <w:rPr>
          <w:rFonts w:ascii="Arial" w:hAnsi="Arial" w:cs="Arial"/>
          <w:sz w:val="22"/>
          <w:szCs w:val="22"/>
          <w:lang w:val="en-US"/>
        </w:rPr>
        <w:t xml:space="preserve"> </w:t>
      </w:r>
      <w:r w:rsidR="00FB35D8" w:rsidRPr="00DE3121">
        <w:rPr>
          <w:rFonts w:ascii="Arial" w:hAnsi="Arial" w:cs="Arial"/>
          <w:sz w:val="22"/>
          <w:szCs w:val="22"/>
          <w:lang w:val="en-US"/>
        </w:rPr>
        <w:t xml:space="preserve">for ALD, are not associated with the (age-dependent) risk of developing adrenal insufficiency, spinal cord disease, or cerebral disease </w:t>
      </w:r>
      <w:r w:rsidRPr="00DE3121">
        <w:rPr>
          <w:rFonts w:ascii="Arial" w:hAnsi="Arial" w:cs="Arial"/>
          <w:sz w:val="22"/>
          <w:szCs w:val="22"/>
          <w:lang w:val="en-US"/>
        </w:rPr>
        <w:t>(</w:t>
      </w:r>
      <w:r w:rsidR="005C197B" w:rsidRPr="00DE3121">
        <w:rPr>
          <w:rFonts w:ascii="Arial" w:hAnsi="Arial" w:cs="Arial"/>
          <w:sz w:val="22"/>
          <w:szCs w:val="22"/>
          <w:lang w:val="en-US"/>
        </w:rPr>
        <w:t>50</w:t>
      </w:r>
      <w:r w:rsidR="00995490" w:rsidRPr="00DE3121">
        <w:rPr>
          <w:rFonts w:ascii="Arial" w:hAnsi="Arial" w:cs="Arial"/>
          <w:sz w:val="22"/>
          <w:szCs w:val="22"/>
          <w:lang w:val="en-US"/>
        </w:rPr>
        <w:t xml:space="preserve">, </w:t>
      </w:r>
      <w:r w:rsidR="005C197B" w:rsidRPr="00DE3121">
        <w:rPr>
          <w:rFonts w:ascii="Arial" w:hAnsi="Arial" w:cs="Arial"/>
          <w:sz w:val="22"/>
          <w:szCs w:val="22"/>
          <w:lang w:val="en-US"/>
        </w:rPr>
        <w:t>51</w:t>
      </w:r>
      <w:r w:rsidRPr="00DE3121">
        <w:rPr>
          <w:rFonts w:ascii="Arial" w:hAnsi="Arial" w:cs="Arial"/>
          <w:sz w:val="22"/>
          <w:szCs w:val="22"/>
          <w:lang w:val="en-US"/>
        </w:rPr>
        <w:t>)</w:t>
      </w:r>
      <w:r w:rsidR="00346BC7" w:rsidRPr="00DE3121">
        <w:rPr>
          <w:rFonts w:ascii="Arial" w:hAnsi="Arial" w:cs="Arial"/>
          <w:sz w:val="22"/>
          <w:szCs w:val="22"/>
          <w:lang w:val="en-US"/>
        </w:rPr>
        <w:t xml:space="preserve">. </w:t>
      </w:r>
      <w:r w:rsidRPr="00DE3121">
        <w:rPr>
          <w:rFonts w:ascii="Arial" w:hAnsi="Arial" w:cs="Arial"/>
          <w:sz w:val="22"/>
          <w:szCs w:val="22"/>
          <w:lang w:val="en-US"/>
        </w:rPr>
        <w:t xml:space="preserve"> </w:t>
      </w:r>
    </w:p>
    <w:p w14:paraId="63ED5295" w14:textId="77777777" w:rsidR="002739CB" w:rsidRPr="00DE3121" w:rsidRDefault="002739CB" w:rsidP="00DE3121">
      <w:pPr>
        <w:spacing w:after="0" w:line="276" w:lineRule="auto"/>
        <w:textAlignment w:val="baseline"/>
        <w:outlineLvl w:val="1"/>
        <w:rPr>
          <w:rFonts w:ascii="Arial" w:hAnsi="Arial" w:cs="Arial"/>
          <w:sz w:val="22"/>
          <w:szCs w:val="22"/>
          <w:lang w:val="en-US"/>
        </w:rPr>
      </w:pPr>
    </w:p>
    <w:p w14:paraId="7E274677" w14:textId="77777777" w:rsidR="00365C27" w:rsidRPr="00DE3121" w:rsidRDefault="00365C27" w:rsidP="00DE3121">
      <w:pPr>
        <w:spacing w:after="0" w:line="276" w:lineRule="auto"/>
        <w:rPr>
          <w:rFonts w:ascii="Arial" w:hAnsi="Arial" w:cs="Arial"/>
          <w:sz w:val="22"/>
          <w:szCs w:val="22"/>
          <w:lang w:val="en-US"/>
        </w:rPr>
      </w:pPr>
      <w:r w:rsidRPr="00DE3121">
        <w:rPr>
          <w:rFonts w:ascii="Arial" w:hAnsi="Arial" w:cs="Arial"/>
          <w:sz w:val="22"/>
          <w:szCs w:val="22"/>
          <w:lang w:val="en-US"/>
        </w:rPr>
        <w:t>However, genetic testing (ABCD1 analysis) is the gold standard for diagnosis</w:t>
      </w:r>
      <w:r w:rsidR="00FF315A" w:rsidRPr="00DE3121">
        <w:rPr>
          <w:rFonts w:ascii="Arial" w:hAnsi="Arial" w:cs="Arial"/>
          <w:sz w:val="22"/>
          <w:szCs w:val="22"/>
          <w:lang w:val="en-US"/>
        </w:rPr>
        <w:t>.</w:t>
      </w:r>
    </w:p>
    <w:p w14:paraId="503088B4" w14:textId="77777777" w:rsidR="00BA0600" w:rsidRDefault="00346BC7" w:rsidP="00DE3121">
      <w:pPr>
        <w:spacing w:after="0"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xml:space="preserve">The diagnosis of X-ALD should be sought </w:t>
      </w:r>
      <w:r w:rsidR="005C197B" w:rsidRPr="00DE3121">
        <w:rPr>
          <w:rFonts w:ascii="Arial" w:eastAsia="Times New Roman" w:hAnsi="Arial" w:cs="Arial"/>
          <w:color w:val="000000"/>
          <w:kern w:val="0"/>
          <w:sz w:val="22"/>
          <w:szCs w:val="22"/>
          <w:lang w:val="en-US" w:eastAsia="el-GR"/>
        </w:rPr>
        <w:t xml:space="preserve">(35): </w:t>
      </w:r>
    </w:p>
    <w:p w14:paraId="09C8A849" w14:textId="77777777" w:rsidR="002739CB" w:rsidRPr="00DE3121" w:rsidRDefault="002739CB" w:rsidP="00DE3121">
      <w:pPr>
        <w:spacing w:after="0" w:line="276" w:lineRule="auto"/>
        <w:textAlignment w:val="baseline"/>
        <w:rPr>
          <w:rFonts w:ascii="Arial" w:eastAsia="Times New Roman" w:hAnsi="Arial" w:cs="Arial"/>
          <w:color w:val="000000"/>
          <w:kern w:val="0"/>
          <w:sz w:val="22"/>
          <w:szCs w:val="22"/>
          <w:lang w:val="en-US" w:eastAsia="el-GR"/>
        </w:rPr>
      </w:pPr>
    </w:p>
    <w:p w14:paraId="0DE0855B" w14:textId="77777777" w:rsidR="00346BC7" w:rsidRPr="00DE3121" w:rsidRDefault="00BA0600" w:rsidP="002739CB">
      <w:pPr>
        <w:pStyle w:val="ListParagraph"/>
        <w:numPr>
          <w:ilvl w:val="0"/>
          <w:numId w:val="8"/>
        </w:numPr>
        <w:spacing w:after="0" w:line="276" w:lineRule="auto"/>
        <w:ind w:left="432" w:hanging="432"/>
        <w:rPr>
          <w:rFonts w:ascii="Arial" w:hAnsi="Arial" w:cs="Arial"/>
          <w:sz w:val="22"/>
          <w:szCs w:val="22"/>
          <w:lang w:val="en-US"/>
        </w:rPr>
      </w:pPr>
      <w:r w:rsidRPr="00DE3121">
        <w:rPr>
          <w:rFonts w:ascii="Arial" w:hAnsi="Arial" w:cs="Arial"/>
          <w:sz w:val="22"/>
          <w:szCs w:val="22"/>
          <w:lang w:val="en-US"/>
        </w:rPr>
        <w:t>In boys and men with confluent white matter abnormalities on brain MRI in a pattern suggestive of ALD with or without cognitive and neurologic symptoms</w:t>
      </w:r>
    </w:p>
    <w:p w14:paraId="53E83A77" w14:textId="77777777" w:rsidR="00346BC7" w:rsidRPr="00DE3121" w:rsidRDefault="00BA0600" w:rsidP="002739CB">
      <w:pPr>
        <w:pStyle w:val="ListParagraph"/>
        <w:numPr>
          <w:ilvl w:val="0"/>
          <w:numId w:val="8"/>
        </w:numPr>
        <w:spacing w:after="0" w:line="276" w:lineRule="auto"/>
        <w:ind w:left="432" w:hanging="432"/>
        <w:rPr>
          <w:rFonts w:ascii="Arial" w:hAnsi="Arial" w:cs="Arial"/>
          <w:sz w:val="22"/>
          <w:szCs w:val="22"/>
          <w:lang w:val="en-US"/>
        </w:rPr>
      </w:pPr>
      <w:r w:rsidRPr="00DE3121">
        <w:rPr>
          <w:rFonts w:ascii="Arial" w:hAnsi="Arial" w:cs="Arial"/>
          <w:sz w:val="22"/>
          <w:szCs w:val="22"/>
          <w:lang w:val="en-US"/>
        </w:rPr>
        <w:lastRenderedPageBreak/>
        <w:t>In adult men and women with symptoms and signs of chronic myelopathy with a normal</w:t>
      </w:r>
      <w:r w:rsidR="007D52EE" w:rsidRPr="00DE3121">
        <w:rPr>
          <w:rFonts w:ascii="Arial" w:hAnsi="Arial" w:cs="Arial"/>
          <w:sz w:val="22"/>
          <w:szCs w:val="22"/>
          <w:lang w:val="en-US"/>
        </w:rPr>
        <w:t xml:space="preserve"> </w:t>
      </w:r>
      <w:r w:rsidRPr="00DE3121">
        <w:rPr>
          <w:rFonts w:ascii="Arial" w:hAnsi="Arial" w:cs="Arial"/>
          <w:sz w:val="22"/>
          <w:szCs w:val="22"/>
          <w:lang w:val="en-US"/>
        </w:rPr>
        <w:t xml:space="preserve">MRI; </w:t>
      </w:r>
    </w:p>
    <w:p w14:paraId="01CB3AC0" w14:textId="77777777" w:rsidR="00346BC7" w:rsidRPr="00DE3121" w:rsidRDefault="00BA0600" w:rsidP="002739CB">
      <w:pPr>
        <w:pStyle w:val="ListParagraph"/>
        <w:numPr>
          <w:ilvl w:val="0"/>
          <w:numId w:val="8"/>
        </w:numPr>
        <w:spacing w:after="0" w:line="276" w:lineRule="auto"/>
        <w:ind w:left="432" w:hanging="432"/>
        <w:rPr>
          <w:rFonts w:ascii="Arial" w:hAnsi="Arial" w:cs="Arial"/>
          <w:sz w:val="22"/>
          <w:szCs w:val="22"/>
          <w:lang w:val="en-US"/>
        </w:rPr>
      </w:pPr>
      <w:r w:rsidRPr="00DE3121">
        <w:rPr>
          <w:rFonts w:ascii="Arial" w:hAnsi="Arial" w:cs="Arial"/>
          <w:sz w:val="22"/>
          <w:szCs w:val="22"/>
          <w:lang w:val="en-US"/>
        </w:rPr>
        <w:t xml:space="preserve">In boys and men with primary adrenal insufficiency with no detectable steroid-21-hydroxylase antibodies or other </w:t>
      </w:r>
      <w:r w:rsidR="002D3156" w:rsidRPr="00DE3121">
        <w:rPr>
          <w:rFonts w:ascii="Arial" w:hAnsi="Arial" w:cs="Arial"/>
          <w:sz w:val="22"/>
          <w:szCs w:val="22"/>
          <w:lang w:val="en-US"/>
        </w:rPr>
        <w:t>organ-specific</w:t>
      </w:r>
      <w:r w:rsidRPr="00DE3121">
        <w:rPr>
          <w:rFonts w:ascii="Arial" w:hAnsi="Arial" w:cs="Arial"/>
          <w:sz w:val="22"/>
          <w:szCs w:val="22"/>
          <w:lang w:val="en-US"/>
        </w:rPr>
        <w:t xml:space="preserve"> antibodies;</w:t>
      </w:r>
    </w:p>
    <w:p w14:paraId="36ABD34E" w14:textId="77777777" w:rsidR="00BA0600" w:rsidRPr="00DE3121" w:rsidRDefault="00BA0600" w:rsidP="002739CB">
      <w:pPr>
        <w:pStyle w:val="ListParagraph"/>
        <w:numPr>
          <w:ilvl w:val="0"/>
          <w:numId w:val="8"/>
        </w:numPr>
        <w:spacing w:after="0" w:line="276" w:lineRule="auto"/>
        <w:ind w:left="432" w:hanging="432"/>
        <w:rPr>
          <w:rFonts w:ascii="Arial" w:hAnsi="Arial" w:cs="Arial"/>
          <w:sz w:val="22"/>
          <w:szCs w:val="22"/>
          <w:lang w:val="en-US"/>
        </w:rPr>
      </w:pPr>
      <w:r w:rsidRPr="00DE3121">
        <w:rPr>
          <w:rFonts w:ascii="Arial" w:hAnsi="Arial" w:cs="Arial"/>
          <w:sz w:val="22"/>
          <w:szCs w:val="22"/>
          <w:lang w:val="en-US"/>
        </w:rPr>
        <w:t>In all at-risk patients with a relative diagnosed with ALD</w:t>
      </w:r>
      <w:r w:rsidR="00304EA9" w:rsidRPr="00DE3121">
        <w:rPr>
          <w:rFonts w:ascii="Arial" w:hAnsi="Arial" w:cs="Arial"/>
          <w:sz w:val="22"/>
          <w:szCs w:val="22"/>
          <w:lang w:val="en-US"/>
        </w:rPr>
        <w:t>.</w:t>
      </w:r>
    </w:p>
    <w:p w14:paraId="110FFD37" w14:textId="77777777" w:rsidR="00304EA9" w:rsidRPr="00DE3121" w:rsidRDefault="00304EA9" w:rsidP="002739CB">
      <w:pPr>
        <w:spacing w:after="0" w:line="276" w:lineRule="auto"/>
        <w:ind w:left="432" w:hanging="432"/>
        <w:rPr>
          <w:rFonts w:ascii="Arial" w:hAnsi="Arial" w:cs="Arial"/>
          <w:sz w:val="22"/>
          <w:szCs w:val="22"/>
          <w:lang w:val="en-US"/>
        </w:rPr>
      </w:pPr>
    </w:p>
    <w:p w14:paraId="79AD2AC7" w14:textId="72C95505" w:rsidR="00304EA9" w:rsidRPr="002739CB" w:rsidRDefault="00304EA9" w:rsidP="00DE3121">
      <w:pPr>
        <w:spacing w:after="0" w:line="276" w:lineRule="auto"/>
        <w:rPr>
          <w:rFonts w:ascii="Arial" w:hAnsi="Arial" w:cs="Arial"/>
          <w:b/>
          <w:bCs/>
          <w:color w:val="00B050"/>
          <w:sz w:val="22"/>
          <w:szCs w:val="22"/>
          <w:lang w:val="en-US"/>
        </w:rPr>
      </w:pPr>
      <w:r w:rsidRPr="002739CB">
        <w:rPr>
          <w:rFonts w:ascii="Arial" w:hAnsi="Arial" w:cs="Arial"/>
          <w:b/>
          <w:bCs/>
          <w:color w:val="00B050"/>
          <w:sz w:val="22"/>
          <w:szCs w:val="22"/>
          <w:lang w:val="en-US"/>
        </w:rPr>
        <w:t>Genetic </w:t>
      </w:r>
      <w:r w:rsidR="002739CB" w:rsidRPr="002739CB">
        <w:rPr>
          <w:rFonts w:ascii="Arial" w:hAnsi="Arial" w:cs="Arial"/>
          <w:b/>
          <w:bCs/>
          <w:color w:val="00B050"/>
          <w:sz w:val="22"/>
          <w:szCs w:val="22"/>
          <w:lang w:val="en-US"/>
        </w:rPr>
        <w:t>T</w:t>
      </w:r>
      <w:r w:rsidRPr="002739CB">
        <w:rPr>
          <w:rFonts w:ascii="Arial" w:hAnsi="Arial" w:cs="Arial"/>
          <w:b/>
          <w:bCs/>
          <w:color w:val="00B050"/>
          <w:sz w:val="22"/>
          <w:szCs w:val="22"/>
          <w:lang w:val="en-US"/>
        </w:rPr>
        <w:t xml:space="preserve">esting </w:t>
      </w:r>
    </w:p>
    <w:p w14:paraId="3F2BF39D" w14:textId="5AF10BF4" w:rsidR="1F59776C" w:rsidRPr="00DE3121" w:rsidRDefault="1F59776C" w:rsidP="00DE3121">
      <w:pPr>
        <w:spacing w:after="0" w:line="276" w:lineRule="auto"/>
        <w:rPr>
          <w:rFonts w:ascii="Arial" w:hAnsi="Arial" w:cs="Arial"/>
          <w:sz w:val="22"/>
          <w:szCs w:val="22"/>
          <w:lang w:val="en-US"/>
        </w:rPr>
      </w:pPr>
    </w:p>
    <w:p w14:paraId="468E3A48" w14:textId="77777777" w:rsidR="006B2D0A" w:rsidRPr="00DE3121" w:rsidRDefault="00304EA9" w:rsidP="00DE3121">
      <w:pPr>
        <w:spacing w:after="0" w:line="276" w:lineRule="auto"/>
        <w:rPr>
          <w:rFonts w:ascii="Arial" w:hAnsi="Arial" w:cs="Arial"/>
          <w:sz w:val="22"/>
          <w:szCs w:val="22"/>
          <w:lang w:val="en-US"/>
        </w:rPr>
      </w:pPr>
      <w:r w:rsidRPr="00DE3121">
        <w:rPr>
          <w:rFonts w:ascii="Arial" w:hAnsi="Arial" w:cs="Arial"/>
          <w:sz w:val="22"/>
          <w:szCs w:val="22"/>
          <w:lang w:val="en-US"/>
        </w:rPr>
        <w:t>To date, more than 800 ABCD1 mutations have been described in the X-ALD database</w:t>
      </w:r>
      <w:r w:rsidR="006B2D0A" w:rsidRPr="00DE3121">
        <w:rPr>
          <w:rFonts w:ascii="Arial" w:hAnsi="Arial" w:cs="Arial"/>
          <w:sz w:val="22"/>
          <w:szCs w:val="22"/>
          <w:lang w:val="en-US"/>
        </w:rPr>
        <w:t xml:space="preserve"> (</w:t>
      </w:r>
      <w:r w:rsidR="005C197B" w:rsidRPr="00DE3121">
        <w:rPr>
          <w:rFonts w:ascii="Arial" w:hAnsi="Arial" w:cs="Arial"/>
          <w:sz w:val="22"/>
          <w:szCs w:val="22"/>
          <w:lang w:val="en-US"/>
        </w:rPr>
        <w:t>52</w:t>
      </w:r>
      <w:r w:rsidR="006B2D0A" w:rsidRPr="00DE3121">
        <w:rPr>
          <w:rFonts w:ascii="Arial" w:hAnsi="Arial" w:cs="Arial"/>
          <w:sz w:val="22"/>
          <w:szCs w:val="22"/>
          <w:lang w:val="en-US"/>
        </w:rPr>
        <w:t xml:space="preserve">). Mutations include </w:t>
      </w:r>
      <w:r w:rsidRPr="00DE3121">
        <w:rPr>
          <w:rFonts w:ascii="Arial" w:hAnsi="Arial" w:cs="Arial"/>
          <w:sz w:val="22"/>
          <w:szCs w:val="22"/>
          <w:lang w:val="en-US"/>
        </w:rPr>
        <w:t>missense mutations</w:t>
      </w:r>
      <w:r w:rsidR="006B2D0A" w:rsidRPr="00DE3121">
        <w:rPr>
          <w:rFonts w:ascii="Arial" w:hAnsi="Arial" w:cs="Arial"/>
          <w:sz w:val="22"/>
          <w:szCs w:val="22"/>
          <w:lang w:val="en-US"/>
        </w:rPr>
        <w:t xml:space="preserve"> (49%), large deletions (3%), frameshifts (24%), amino acid insertions/ deletions (6%), and nonsense mutations (12%), leading to decreased or absent ABCD1 protein expression</w:t>
      </w:r>
      <w:r w:rsidRPr="00DE3121">
        <w:rPr>
          <w:rFonts w:ascii="Arial" w:hAnsi="Arial" w:cs="Arial"/>
          <w:sz w:val="22"/>
          <w:szCs w:val="22"/>
          <w:lang w:val="en-US"/>
        </w:rPr>
        <w:t>.</w:t>
      </w:r>
      <w:r w:rsidR="006B2D0A" w:rsidRPr="00DE3121">
        <w:rPr>
          <w:rFonts w:ascii="Arial" w:hAnsi="Arial" w:cs="Arial"/>
          <w:sz w:val="22"/>
          <w:szCs w:val="22"/>
          <w:lang w:val="en-US"/>
        </w:rPr>
        <w:t xml:space="preserve"> </w:t>
      </w:r>
      <w:r w:rsidR="006B2D0A" w:rsidRPr="00DE3121">
        <w:rPr>
          <w:rFonts w:ascii="Arial" w:hAnsi="Arial" w:cs="Arial"/>
          <w:i/>
          <w:iCs/>
          <w:sz w:val="22"/>
          <w:szCs w:val="22"/>
          <w:lang w:val="en-US"/>
        </w:rPr>
        <w:t>D</w:t>
      </w:r>
      <w:r w:rsidRPr="00DE3121">
        <w:rPr>
          <w:rFonts w:ascii="Arial" w:hAnsi="Arial" w:cs="Arial"/>
          <w:i/>
          <w:iCs/>
          <w:sz w:val="22"/>
          <w:szCs w:val="22"/>
          <w:lang w:val="en-US"/>
        </w:rPr>
        <w:t>e novo</w:t>
      </w:r>
      <w:r w:rsidRPr="00DE3121">
        <w:rPr>
          <w:rFonts w:ascii="Arial" w:hAnsi="Arial" w:cs="Arial"/>
          <w:sz w:val="22"/>
          <w:szCs w:val="22"/>
          <w:lang w:val="en-US"/>
        </w:rPr>
        <w:t xml:space="preserve"> mutation rate </w:t>
      </w:r>
      <w:r w:rsidR="006B2D0A" w:rsidRPr="00DE3121">
        <w:rPr>
          <w:rFonts w:ascii="Arial" w:hAnsi="Arial" w:cs="Arial"/>
          <w:sz w:val="22"/>
          <w:szCs w:val="22"/>
          <w:lang w:val="en-US"/>
        </w:rPr>
        <w:t xml:space="preserve">is reported to </w:t>
      </w:r>
      <w:r w:rsidRPr="00DE3121">
        <w:rPr>
          <w:rFonts w:ascii="Arial" w:hAnsi="Arial" w:cs="Arial"/>
          <w:sz w:val="22"/>
          <w:szCs w:val="22"/>
          <w:lang w:val="en-US"/>
        </w:rPr>
        <w:t xml:space="preserve">range from 5% to 19% </w:t>
      </w:r>
      <w:r w:rsidR="006B2D0A" w:rsidRPr="00DE3121">
        <w:rPr>
          <w:rFonts w:ascii="Arial" w:hAnsi="Arial" w:cs="Arial"/>
          <w:sz w:val="22"/>
          <w:szCs w:val="22"/>
          <w:lang w:val="en-US"/>
        </w:rPr>
        <w:t>(</w:t>
      </w:r>
      <w:r w:rsidR="005C197B" w:rsidRPr="00DE3121">
        <w:rPr>
          <w:rFonts w:ascii="Arial" w:hAnsi="Arial" w:cs="Arial"/>
          <w:sz w:val="22"/>
          <w:szCs w:val="22"/>
          <w:lang w:val="en-US"/>
        </w:rPr>
        <w:t>53</w:t>
      </w:r>
      <w:r w:rsidRPr="00DE3121">
        <w:rPr>
          <w:rFonts w:ascii="Arial" w:hAnsi="Arial" w:cs="Arial"/>
          <w:sz w:val="22"/>
          <w:szCs w:val="22"/>
          <w:lang w:val="en-US"/>
        </w:rPr>
        <w:t xml:space="preserve">). </w:t>
      </w:r>
      <w:r w:rsidR="006B2D0A" w:rsidRPr="00DE3121">
        <w:rPr>
          <w:rFonts w:ascii="Arial" w:hAnsi="Arial" w:cs="Arial"/>
          <w:sz w:val="22"/>
          <w:szCs w:val="22"/>
          <w:lang w:val="en-US"/>
        </w:rPr>
        <w:t>Importantly a</w:t>
      </w:r>
      <w:r w:rsidRPr="00DE3121">
        <w:rPr>
          <w:rFonts w:ascii="Arial" w:hAnsi="Arial" w:cs="Arial"/>
          <w:sz w:val="22"/>
          <w:szCs w:val="22"/>
          <w:lang w:val="en-US"/>
        </w:rPr>
        <w:t>ll clinical phenotypes of X-ALD can occur within the same nuclear family</w:t>
      </w:r>
      <w:r w:rsidR="00471E65" w:rsidRPr="00DE3121">
        <w:rPr>
          <w:rFonts w:ascii="Arial" w:hAnsi="Arial" w:cs="Arial"/>
          <w:sz w:val="22"/>
          <w:szCs w:val="22"/>
          <w:lang w:val="en-US"/>
        </w:rPr>
        <w:t xml:space="preserve"> and there is no correlation between ABCD1 mutation and clinical phenotype</w:t>
      </w:r>
      <w:r w:rsidR="00984B2D" w:rsidRPr="00DE3121">
        <w:rPr>
          <w:rFonts w:ascii="Arial" w:hAnsi="Arial" w:cs="Arial"/>
          <w:sz w:val="22"/>
          <w:szCs w:val="22"/>
          <w:lang w:val="en-US"/>
        </w:rPr>
        <w:t xml:space="preserve"> </w:t>
      </w:r>
      <w:r w:rsidR="00471E65" w:rsidRPr="00DE3121">
        <w:rPr>
          <w:rFonts w:ascii="Arial" w:hAnsi="Arial" w:cs="Arial"/>
          <w:sz w:val="22"/>
          <w:szCs w:val="22"/>
          <w:lang w:val="en-US"/>
        </w:rPr>
        <w:t xml:space="preserve">except for rare cases </w:t>
      </w:r>
      <w:r w:rsidR="00984B2D" w:rsidRPr="00DE3121">
        <w:rPr>
          <w:rFonts w:ascii="Arial" w:hAnsi="Arial" w:cs="Arial"/>
          <w:sz w:val="22"/>
          <w:szCs w:val="22"/>
          <w:lang w:val="en-US"/>
        </w:rPr>
        <w:t>such as a</w:t>
      </w:r>
      <w:r w:rsidRPr="00DE3121">
        <w:rPr>
          <w:rFonts w:ascii="Arial" w:hAnsi="Arial" w:cs="Arial"/>
          <w:sz w:val="22"/>
          <w:szCs w:val="22"/>
          <w:lang w:val="en-US"/>
        </w:rPr>
        <w:t xml:space="preserve">ll reported cases of translation initiation mutations in ABCD1 have presented with an AMN-only phenotype </w:t>
      </w:r>
      <w:r w:rsidR="00984B2D" w:rsidRPr="00DE3121">
        <w:rPr>
          <w:rFonts w:ascii="Arial" w:hAnsi="Arial" w:cs="Arial"/>
          <w:sz w:val="22"/>
          <w:szCs w:val="22"/>
          <w:lang w:val="en-US"/>
        </w:rPr>
        <w:t>(</w:t>
      </w:r>
      <w:r w:rsidR="005C197B" w:rsidRPr="00DE3121">
        <w:rPr>
          <w:rFonts w:ascii="Arial" w:hAnsi="Arial" w:cs="Arial"/>
          <w:sz w:val="22"/>
          <w:szCs w:val="22"/>
          <w:lang w:val="en-US"/>
        </w:rPr>
        <w:t>54</w:t>
      </w:r>
      <w:r w:rsidR="00984B2D" w:rsidRPr="00DE3121">
        <w:rPr>
          <w:rFonts w:ascii="Arial" w:hAnsi="Arial" w:cs="Arial"/>
          <w:sz w:val="22"/>
          <w:szCs w:val="22"/>
          <w:lang w:val="en-US"/>
        </w:rPr>
        <w:t xml:space="preserve">, </w:t>
      </w:r>
      <w:r w:rsidR="005C197B" w:rsidRPr="00DE3121">
        <w:rPr>
          <w:rFonts w:ascii="Arial" w:hAnsi="Arial" w:cs="Arial"/>
          <w:sz w:val="22"/>
          <w:szCs w:val="22"/>
          <w:lang w:val="en-US"/>
        </w:rPr>
        <w:t>55</w:t>
      </w:r>
      <w:r w:rsidR="00984B2D" w:rsidRPr="00DE3121">
        <w:rPr>
          <w:rFonts w:ascii="Arial" w:hAnsi="Arial" w:cs="Arial"/>
          <w:sz w:val="22"/>
          <w:szCs w:val="22"/>
          <w:lang w:val="en-US"/>
        </w:rPr>
        <w:t>)</w:t>
      </w:r>
      <w:r w:rsidRPr="00DE3121">
        <w:rPr>
          <w:rFonts w:ascii="Arial" w:hAnsi="Arial" w:cs="Arial"/>
          <w:sz w:val="22"/>
          <w:szCs w:val="22"/>
          <w:lang w:val="en-US"/>
        </w:rPr>
        <w:t xml:space="preserve">. </w:t>
      </w:r>
    </w:p>
    <w:p w14:paraId="03CEE93A" w14:textId="4C444FBD" w:rsidR="1F59776C" w:rsidRPr="00DE3121" w:rsidRDefault="1F59776C" w:rsidP="00DE3121">
      <w:pPr>
        <w:spacing w:after="0" w:line="276" w:lineRule="auto"/>
        <w:rPr>
          <w:rFonts w:ascii="Arial" w:hAnsi="Arial" w:cs="Arial"/>
          <w:sz w:val="22"/>
          <w:szCs w:val="22"/>
          <w:lang w:val="en-US"/>
        </w:rPr>
      </w:pPr>
    </w:p>
    <w:p w14:paraId="430027E6" w14:textId="77777777" w:rsidR="00A36307" w:rsidRPr="00DE3121" w:rsidRDefault="00A36307" w:rsidP="00DE3121">
      <w:pPr>
        <w:spacing w:after="0" w:line="276" w:lineRule="auto"/>
        <w:textAlignment w:val="baseline"/>
        <w:rPr>
          <w:rFonts w:ascii="Arial" w:eastAsia="Times New Roman" w:hAnsi="Arial" w:cs="Arial"/>
          <w:b/>
          <w:bCs/>
          <w:color w:val="000000"/>
          <w:kern w:val="0"/>
          <w:sz w:val="22"/>
          <w:szCs w:val="22"/>
          <w:lang w:val="en-US" w:eastAsia="el-GR"/>
        </w:rPr>
      </w:pPr>
      <w:r w:rsidRPr="002739CB">
        <w:rPr>
          <w:rFonts w:ascii="Arial" w:eastAsia="Times New Roman" w:hAnsi="Arial" w:cs="Arial"/>
          <w:b/>
          <w:bCs/>
          <w:color w:val="00B050"/>
          <w:kern w:val="0"/>
          <w:sz w:val="22"/>
          <w:szCs w:val="22"/>
          <w:lang w:val="en-US" w:eastAsia="el-GR"/>
        </w:rPr>
        <w:t>Newborn Screening</w:t>
      </w:r>
      <w:r w:rsidR="00E53F65" w:rsidRPr="002739CB">
        <w:rPr>
          <w:rFonts w:ascii="Arial" w:eastAsia="Times New Roman" w:hAnsi="Arial" w:cs="Arial"/>
          <w:b/>
          <w:bCs/>
          <w:color w:val="00B050"/>
          <w:kern w:val="0"/>
          <w:sz w:val="22"/>
          <w:szCs w:val="22"/>
          <w:lang w:val="en-US" w:eastAsia="el-GR"/>
        </w:rPr>
        <w:t xml:space="preserve"> </w:t>
      </w:r>
    </w:p>
    <w:p w14:paraId="1DB4023D" w14:textId="63A72AAC" w:rsidR="00A36307" w:rsidRPr="00DE3121" w:rsidDel="00206B79" w:rsidRDefault="00A36307" w:rsidP="00DE3121">
      <w:pPr>
        <w:spacing w:after="0" w:line="276" w:lineRule="auto"/>
        <w:textAlignment w:val="baseline"/>
        <w:rPr>
          <w:rFonts w:ascii="Arial" w:eastAsia="Times New Roman" w:hAnsi="Arial" w:cs="Arial"/>
          <w:color w:val="000000" w:themeColor="text1"/>
          <w:sz w:val="22"/>
          <w:szCs w:val="22"/>
          <w:lang w:val="en-US" w:eastAsia="el-GR"/>
        </w:rPr>
      </w:pPr>
      <w:r w:rsidRPr="00DE3121">
        <w:rPr>
          <w:rFonts w:ascii="Arial" w:eastAsia="Times New Roman" w:hAnsi="Arial" w:cs="Arial"/>
          <w:color w:val="000000"/>
          <w:kern w:val="0"/>
          <w:sz w:val="22"/>
          <w:szCs w:val="22"/>
          <w:lang w:val="en-US" w:eastAsia="el-GR"/>
        </w:rPr>
        <w:t> </w:t>
      </w:r>
    </w:p>
    <w:p w14:paraId="06C28695" w14:textId="6840003C" w:rsidR="00A36307" w:rsidRPr="00DE3121" w:rsidDel="00206B79" w:rsidRDefault="00A36307" w:rsidP="00DE3121">
      <w:pPr>
        <w:spacing w:after="0"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xml:space="preserve">Newborn screening (NBS) is justified for a disorder, </w:t>
      </w:r>
      <w:r w:rsidR="3BAA72DC" w:rsidRPr="00DE3121">
        <w:rPr>
          <w:rFonts w:ascii="Arial" w:eastAsia="Times New Roman" w:hAnsi="Arial" w:cs="Arial"/>
          <w:color w:val="000000"/>
          <w:kern w:val="0"/>
          <w:sz w:val="22"/>
          <w:szCs w:val="22"/>
          <w:lang w:val="en-US" w:eastAsia="el-GR"/>
        </w:rPr>
        <w:t>provided that</w:t>
      </w:r>
      <w:r w:rsidRPr="00DE3121">
        <w:rPr>
          <w:rFonts w:ascii="Arial" w:eastAsia="Times New Roman" w:hAnsi="Arial" w:cs="Arial"/>
          <w:color w:val="000000"/>
          <w:kern w:val="0"/>
          <w:sz w:val="22"/>
          <w:szCs w:val="22"/>
          <w:lang w:val="en-US" w:eastAsia="el-GR"/>
        </w:rPr>
        <w:t xml:space="preserve"> therapy </w:t>
      </w:r>
      <w:r w:rsidR="630FEBA5" w:rsidRPr="00DE3121">
        <w:rPr>
          <w:rFonts w:ascii="Arial" w:eastAsia="Times New Roman" w:hAnsi="Arial" w:cs="Arial"/>
          <w:kern w:val="0"/>
          <w:sz w:val="22"/>
          <w:szCs w:val="22"/>
          <w:lang w:val="en-US" w:eastAsia="el-GR"/>
        </w:rPr>
        <w:t xml:space="preserve">is </w:t>
      </w:r>
      <w:r w:rsidR="07B3A4FA" w:rsidRPr="00DE3121">
        <w:rPr>
          <w:rFonts w:ascii="Arial" w:eastAsia="Times New Roman" w:hAnsi="Arial" w:cs="Arial"/>
          <w:kern w:val="0"/>
          <w:sz w:val="22"/>
          <w:szCs w:val="22"/>
          <w:lang w:val="en-US" w:eastAsia="el-GR"/>
        </w:rPr>
        <w:t>available,</w:t>
      </w:r>
      <w:r w:rsidR="623CA57C" w:rsidRPr="00DE3121">
        <w:rPr>
          <w:rFonts w:ascii="Arial" w:eastAsia="Times New Roman" w:hAnsi="Arial" w:cs="Arial"/>
          <w:color w:val="000000"/>
          <w:kern w:val="0"/>
          <w:sz w:val="22"/>
          <w:szCs w:val="22"/>
          <w:lang w:val="en-US" w:eastAsia="el-GR"/>
        </w:rPr>
        <w:t xml:space="preserve"> </w:t>
      </w:r>
      <w:r w:rsidRPr="00DE3121">
        <w:rPr>
          <w:rFonts w:ascii="Arial" w:eastAsia="Times New Roman" w:hAnsi="Arial" w:cs="Arial"/>
          <w:color w:val="000000"/>
          <w:kern w:val="0"/>
          <w:sz w:val="22"/>
          <w:szCs w:val="22"/>
          <w:lang w:val="en-US" w:eastAsia="el-GR"/>
        </w:rPr>
        <w:t xml:space="preserve">and that early diagnosis allows timely implementation. This is particularly relevant for X-ALD </w:t>
      </w:r>
      <w:r w:rsidR="00DB264A" w:rsidRPr="00DE3121">
        <w:rPr>
          <w:rFonts w:ascii="Arial" w:eastAsia="Times New Roman" w:hAnsi="Arial" w:cs="Arial"/>
          <w:color w:val="000000"/>
          <w:kern w:val="0"/>
          <w:sz w:val="22"/>
          <w:szCs w:val="22"/>
          <w:lang w:val="en-US" w:eastAsia="el-GR"/>
        </w:rPr>
        <w:t>as</w:t>
      </w:r>
      <w:r w:rsidR="0038237D" w:rsidRPr="00DE3121">
        <w:rPr>
          <w:rFonts w:ascii="Arial" w:eastAsia="Times New Roman" w:hAnsi="Arial" w:cs="Arial"/>
          <w:color w:val="000000"/>
          <w:kern w:val="0"/>
          <w:sz w:val="22"/>
          <w:szCs w:val="22"/>
          <w:lang w:val="en-US" w:eastAsia="el-GR"/>
        </w:rPr>
        <w:t xml:space="preserve"> </w:t>
      </w:r>
      <w:r w:rsidRPr="00DE3121">
        <w:rPr>
          <w:rFonts w:ascii="Arial" w:eastAsia="Times New Roman" w:hAnsi="Arial" w:cs="Arial"/>
          <w:color w:val="000000"/>
          <w:kern w:val="0"/>
          <w:sz w:val="22"/>
          <w:szCs w:val="22"/>
          <w:lang w:val="en-US" w:eastAsia="el-GR"/>
        </w:rPr>
        <w:t xml:space="preserve">early diagnosis at birth would allow </w:t>
      </w:r>
      <w:r w:rsidR="001B4CF7">
        <w:rPr>
          <w:rFonts w:ascii="Arial" w:eastAsia="Times New Roman" w:hAnsi="Arial" w:cs="Arial"/>
          <w:color w:val="000000"/>
          <w:kern w:val="0"/>
          <w:sz w:val="22"/>
          <w:szCs w:val="22"/>
          <w:lang w:val="en-US" w:eastAsia="el-GR"/>
        </w:rPr>
        <w:t xml:space="preserve">for </w:t>
      </w:r>
      <w:r w:rsidRPr="00DE3121">
        <w:rPr>
          <w:rFonts w:ascii="Arial" w:eastAsia="Times New Roman" w:hAnsi="Arial" w:cs="Arial"/>
          <w:color w:val="000000"/>
          <w:kern w:val="0"/>
          <w:sz w:val="22"/>
          <w:szCs w:val="22"/>
          <w:lang w:val="en-US" w:eastAsia="el-GR"/>
        </w:rPr>
        <w:t xml:space="preserve">the early detection of </w:t>
      </w:r>
      <w:r w:rsidR="00DD5BB3" w:rsidRPr="00DE3121">
        <w:rPr>
          <w:rFonts w:ascii="Arial" w:eastAsia="Times New Roman" w:hAnsi="Arial" w:cs="Arial"/>
          <w:color w:val="000000"/>
          <w:kern w:val="0"/>
          <w:sz w:val="22"/>
          <w:szCs w:val="22"/>
          <w:lang w:val="en-US" w:eastAsia="el-GR"/>
        </w:rPr>
        <w:t xml:space="preserve">adrenal insufficiency </w:t>
      </w:r>
      <w:r w:rsidR="001B4CF7">
        <w:rPr>
          <w:rFonts w:ascii="Arial" w:eastAsia="Times New Roman" w:hAnsi="Arial" w:cs="Arial"/>
          <w:color w:val="000000"/>
          <w:kern w:val="0"/>
          <w:sz w:val="22"/>
          <w:szCs w:val="22"/>
          <w:lang w:val="en-US" w:eastAsia="el-GR"/>
        </w:rPr>
        <w:t>for</w:t>
      </w:r>
      <w:r w:rsidRPr="00DE3121">
        <w:rPr>
          <w:rFonts w:ascii="Arial" w:eastAsia="Times New Roman" w:hAnsi="Arial" w:cs="Arial"/>
          <w:color w:val="000000"/>
          <w:kern w:val="0"/>
          <w:sz w:val="22"/>
          <w:szCs w:val="22"/>
          <w:lang w:val="en-US" w:eastAsia="el-GR"/>
        </w:rPr>
        <w:t xml:space="preserve"> </w:t>
      </w:r>
      <w:r w:rsidR="00ED6F64" w:rsidRPr="00DE3121">
        <w:rPr>
          <w:rFonts w:ascii="Arial" w:eastAsia="Times New Roman" w:hAnsi="Arial" w:cs="Arial"/>
          <w:color w:val="000000"/>
          <w:kern w:val="0"/>
          <w:sz w:val="22"/>
          <w:szCs w:val="22"/>
          <w:lang w:val="en-US" w:eastAsia="el-GR"/>
        </w:rPr>
        <w:t xml:space="preserve">timely </w:t>
      </w:r>
      <w:r w:rsidRPr="00DE3121">
        <w:rPr>
          <w:rFonts w:ascii="Arial" w:eastAsia="Times New Roman" w:hAnsi="Arial" w:cs="Arial"/>
          <w:color w:val="000000"/>
          <w:kern w:val="0"/>
          <w:sz w:val="22"/>
          <w:szCs w:val="22"/>
          <w:lang w:val="en-US" w:eastAsia="el-GR"/>
        </w:rPr>
        <w:t>initiat</w:t>
      </w:r>
      <w:r w:rsidR="001B4CF7">
        <w:rPr>
          <w:rFonts w:ascii="Arial" w:eastAsia="Times New Roman" w:hAnsi="Arial" w:cs="Arial"/>
          <w:color w:val="000000"/>
          <w:kern w:val="0"/>
          <w:sz w:val="22"/>
          <w:szCs w:val="22"/>
          <w:lang w:val="en-US" w:eastAsia="el-GR"/>
        </w:rPr>
        <w:t>ion of</w:t>
      </w:r>
      <w:r w:rsidRPr="00DE3121">
        <w:rPr>
          <w:rFonts w:ascii="Arial" w:eastAsia="Times New Roman" w:hAnsi="Arial" w:cs="Arial"/>
          <w:color w:val="000000"/>
          <w:kern w:val="0"/>
          <w:sz w:val="22"/>
          <w:szCs w:val="22"/>
          <w:lang w:val="en-US" w:eastAsia="el-GR"/>
        </w:rPr>
        <w:t xml:space="preserve"> adrenal steroid replacement therapy</w:t>
      </w:r>
      <w:r w:rsidR="001B4CF7">
        <w:rPr>
          <w:rFonts w:ascii="Arial" w:eastAsia="Times New Roman" w:hAnsi="Arial" w:cs="Arial"/>
          <w:color w:val="000000"/>
          <w:kern w:val="0"/>
          <w:sz w:val="22"/>
          <w:szCs w:val="22"/>
          <w:lang w:val="en-US" w:eastAsia="el-GR"/>
        </w:rPr>
        <w:t xml:space="preserve"> and</w:t>
      </w:r>
      <w:r w:rsidRPr="00DE3121">
        <w:rPr>
          <w:rFonts w:ascii="Arial" w:eastAsia="Times New Roman" w:hAnsi="Arial" w:cs="Arial"/>
          <w:color w:val="000000"/>
          <w:kern w:val="0"/>
          <w:sz w:val="22"/>
          <w:szCs w:val="22"/>
          <w:lang w:val="en-US" w:eastAsia="el-GR"/>
        </w:rPr>
        <w:t xml:space="preserve"> early detection of </w:t>
      </w:r>
      <w:r w:rsidR="00DD5BB3" w:rsidRPr="00DE3121">
        <w:rPr>
          <w:rFonts w:ascii="Arial" w:eastAsia="Times New Roman" w:hAnsi="Arial" w:cs="Arial"/>
          <w:color w:val="000000"/>
          <w:kern w:val="0"/>
          <w:sz w:val="22"/>
          <w:szCs w:val="22"/>
          <w:lang w:val="en-US" w:eastAsia="el-GR"/>
        </w:rPr>
        <w:t xml:space="preserve">cerebral </w:t>
      </w:r>
      <w:r w:rsidRPr="00DE3121">
        <w:rPr>
          <w:rFonts w:ascii="Arial" w:eastAsia="Times New Roman" w:hAnsi="Arial" w:cs="Arial"/>
          <w:color w:val="000000"/>
          <w:kern w:val="0"/>
          <w:sz w:val="22"/>
          <w:szCs w:val="22"/>
          <w:lang w:val="en-US" w:eastAsia="el-GR"/>
        </w:rPr>
        <w:t xml:space="preserve">ALD would permit </w:t>
      </w:r>
      <w:r w:rsidR="001B4CF7" w:rsidRPr="001B4CF7">
        <w:rPr>
          <w:rFonts w:ascii="Arial" w:eastAsia="Times New Roman" w:hAnsi="Arial" w:cs="Arial"/>
          <w:color w:val="000000"/>
          <w:kern w:val="0"/>
          <w:sz w:val="22"/>
          <w:szCs w:val="22"/>
          <w:lang w:val="en-US" w:eastAsia="el-GR"/>
        </w:rPr>
        <w:t xml:space="preserve">hematopoietic stem cell transplantation (HSCT) </w:t>
      </w:r>
      <w:r w:rsidRPr="00DE3121">
        <w:rPr>
          <w:rFonts w:ascii="Arial" w:eastAsia="Times New Roman" w:hAnsi="Arial" w:cs="Arial"/>
          <w:color w:val="000000"/>
          <w:kern w:val="0"/>
          <w:sz w:val="22"/>
          <w:szCs w:val="22"/>
          <w:lang w:val="en-US" w:eastAsia="el-GR"/>
        </w:rPr>
        <w:t>before severe neurologic impairment is established. Important improvements towards this target</w:t>
      </w:r>
      <w:r w:rsidR="007D52EE" w:rsidRPr="00DE3121">
        <w:rPr>
          <w:rFonts w:ascii="Arial" w:eastAsia="Times New Roman" w:hAnsi="Arial" w:cs="Arial"/>
          <w:color w:val="000000"/>
          <w:kern w:val="0"/>
          <w:sz w:val="22"/>
          <w:szCs w:val="22"/>
          <w:lang w:val="en-US" w:eastAsia="el-GR"/>
        </w:rPr>
        <w:t xml:space="preserve"> </w:t>
      </w:r>
      <w:r w:rsidR="002D3156" w:rsidRPr="00DE3121">
        <w:rPr>
          <w:rFonts w:ascii="Arial" w:eastAsia="Times New Roman" w:hAnsi="Arial" w:cs="Arial"/>
          <w:color w:val="000000"/>
          <w:kern w:val="0"/>
          <w:sz w:val="22"/>
          <w:szCs w:val="22"/>
          <w:lang w:val="en-US" w:eastAsia="el-GR"/>
        </w:rPr>
        <w:t xml:space="preserve">were </w:t>
      </w:r>
      <w:r w:rsidRPr="00DE3121">
        <w:rPr>
          <w:rFonts w:ascii="Arial" w:eastAsia="Times New Roman" w:hAnsi="Arial" w:cs="Arial"/>
          <w:color w:val="000000"/>
          <w:kern w:val="0"/>
          <w:sz w:val="22"/>
          <w:szCs w:val="22"/>
          <w:lang w:val="en-US" w:eastAsia="el-GR"/>
        </w:rPr>
        <w:t>the development of mass spectrometry methods to assess the presence of VLCFA in dried-blood spots as well as a combined liquid chromatography/tandem mass spectrometry (LC-MS/MS) high-throughput assay that could measure VLCFA enriched lysophosphatidylcholine (lysoPC</w:t>
      </w:r>
      <w:r w:rsidR="00DD5BB3" w:rsidRPr="00DE3121">
        <w:rPr>
          <w:rFonts w:ascii="Arial" w:eastAsia="Times New Roman" w:hAnsi="Arial" w:cs="Arial"/>
          <w:color w:val="000000"/>
          <w:kern w:val="0"/>
          <w:sz w:val="22"/>
          <w:szCs w:val="22"/>
          <w:lang w:val="en-US" w:eastAsia="el-GR"/>
        </w:rPr>
        <w:t>)</w:t>
      </w:r>
      <w:r w:rsidRPr="00DE3121">
        <w:rPr>
          <w:rFonts w:ascii="Arial" w:eastAsia="Times New Roman" w:hAnsi="Arial" w:cs="Arial"/>
          <w:color w:val="000000"/>
          <w:kern w:val="0"/>
          <w:sz w:val="22"/>
          <w:szCs w:val="22"/>
          <w:lang w:val="en-US" w:eastAsia="el-GR"/>
        </w:rPr>
        <w:t>, thus providing the technical background for NBS (</w:t>
      </w:r>
      <w:r w:rsidR="000A481D" w:rsidRPr="00DE3121">
        <w:rPr>
          <w:rFonts w:ascii="Arial" w:eastAsia="Times New Roman" w:hAnsi="Arial" w:cs="Arial"/>
          <w:color w:val="000000"/>
          <w:kern w:val="0"/>
          <w:sz w:val="22"/>
          <w:szCs w:val="22"/>
          <w:lang w:val="en-US" w:eastAsia="el-GR"/>
        </w:rPr>
        <w:t>56</w:t>
      </w:r>
      <w:r w:rsidR="00A01E9A" w:rsidRPr="00DE3121">
        <w:rPr>
          <w:rFonts w:ascii="Arial" w:eastAsia="Times New Roman" w:hAnsi="Arial" w:cs="Arial"/>
          <w:color w:val="000000"/>
          <w:kern w:val="0"/>
          <w:sz w:val="22"/>
          <w:szCs w:val="22"/>
          <w:lang w:val="en-US" w:eastAsia="el-GR"/>
        </w:rPr>
        <w:t>).</w:t>
      </w:r>
      <w:r w:rsidRPr="00DE3121">
        <w:rPr>
          <w:rFonts w:ascii="Arial" w:eastAsia="Times New Roman" w:hAnsi="Arial" w:cs="Arial"/>
          <w:color w:val="000000" w:themeColor="text1"/>
          <w:sz w:val="22"/>
          <w:szCs w:val="22"/>
          <w:lang w:val="en-US" w:eastAsia="el-GR"/>
        </w:rPr>
        <w:t xml:space="preserve"> </w:t>
      </w:r>
    </w:p>
    <w:p w14:paraId="35B578C8" w14:textId="77777777" w:rsidR="002739CB" w:rsidRDefault="002739CB" w:rsidP="00DE3121">
      <w:pPr>
        <w:spacing w:after="0" w:line="276" w:lineRule="auto"/>
        <w:textAlignment w:val="baseline"/>
        <w:rPr>
          <w:rFonts w:ascii="Arial" w:eastAsia="Times New Roman" w:hAnsi="Arial" w:cs="Arial"/>
          <w:color w:val="000000"/>
          <w:kern w:val="0"/>
          <w:sz w:val="22"/>
          <w:szCs w:val="22"/>
          <w:lang w:val="en-US" w:eastAsia="el-GR"/>
        </w:rPr>
      </w:pPr>
    </w:p>
    <w:p w14:paraId="3162FE90" w14:textId="3B3685BD" w:rsidR="00E80807" w:rsidRDefault="00A36307" w:rsidP="00DE3121">
      <w:pPr>
        <w:spacing w:after="0"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xml:space="preserve">New York State (NYS) in 2013 was the first authority to include screening for X-ALD in the </w:t>
      </w:r>
      <w:r w:rsidR="17700A52" w:rsidRPr="00DE3121">
        <w:rPr>
          <w:rFonts w:ascii="Arial" w:eastAsia="Times New Roman" w:hAnsi="Arial" w:cs="Arial"/>
          <w:color w:val="000000"/>
          <w:kern w:val="0"/>
          <w:sz w:val="22"/>
          <w:szCs w:val="22"/>
          <w:lang w:val="en-US" w:eastAsia="el-GR"/>
        </w:rPr>
        <w:t xml:space="preserve">NBS </w:t>
      </w:r>
      <w:r w:rsidRPr="00DE3121">
        <w:rPr>
          <w:rFonts w:ascii="Arial" w:eastAsia="Times New Roman" w:hAnsi="Arial" w:cs="Arial"/>
          <w:color w:val="000000"/>
          <w:kern w:val="0"/>
          <w:sz w:val="22"/>
          <w:szCs w:val="22"/>
          <w:lang w:val="en-US" w:eastAsia="el-GR"/>
        </w:rPr>
        <w:t>program</w:t>
      </w:r>
      <w:r w:rsidR="00B82365" w:rsidRPr="00DE3121">
        <w:rPr>
          <w:rFonts w:ascii="Arial" w:eastAsia="Times New Roman" w:hAnsi="Arial" w:cs="Arial"/>
          <w:color w:val="000000"/>
          <w:kern w:val="0"/>
          <w:sz w:val="22"/>
          <w:szCs w:val="22"/>
          <w:lang w:val="en-US" w:eastAsia="el-GR"/>
        </w:rPr>
        <w:t xml:space="preserve"> and </w:t>
      </w:r>
      <w:r w:rsidR="00B82365" w:rsidRPr="00DE3121">
        <w:rPr>
          <w:rFonts w:ascii="Arial" w:hAnsi="Arial" w:cs="Arial"/>
          <w:sz w:val="22"/>
          <w:szCs w:val="22"/>
          <w:lang w:val="en-US"/>
        </w:rPr>
        <w:t>since February 2016, X-ALD has been added to the United States Recommended Uniform Screening Panel (RUSP) (</w:t>
      </w:r>
      <w:r w:rsidR="000A481D" w:rsidRPr="00DE3121">
        <w:rPr>
          <w:rFonts w:ascii="Arial" w:hAnsi="Arial" w:cs="Arial"/>
          <w:sz w:val="22"/>
          <w:szCs w:val="22"/>
          <w:lang w:val="en-US"/>
        </w:rPr>
        <w:t>57</w:t>
      </w:r>
      <w:r w:rsidR="00B82365" w:rsidRPr="00DE3121">
        <w:rPr>
          <w:rFonts w:ascii="Arial" w:hAnsi="Arial" w:cs="Arial"/>
          <w:sz w:val="22"/>
          <w:szCs w:val="22"/>
          <w:lang w:val="en-US"/>
        </w:rPr>
        <w:t>).</w:t>
      </w:r>
      <w:r w:rsidR="00B82365" w:rsidRPr="00DE3121">
        <w:rPr>
          <w:rFonts w:ascii="Arial" w:eastAsia="Times New Roman" w:hAnsi="Arial" w:cs="Arial"/>
          <w:color w:val="000000"/>
          <w:kern w:val="0"/>
          <w:sz w:val="22"/>
          <w:szCs w:val="22"/>
          <w:lang w:val="en-US" w:eastAsia="el-GR"/>
        </w:rPr>
        <w:t xml:space="preserve"> </w:t>
      </w:r>
    </w:p>
    <w:p w14:paraId="7E278742" w14:textId="77777777" w:rsidR="002739CB" w:rsidRPr="00DE3121" w:rsidRDefault="002739CB" w:rsidP="00DE3121">
      <w:pPr>
        <w:spacing w:after="0" w:line="276" w:lineRule="auto"/>
        <w:textAlignment w:val="baseline"/>
        <w:rPr>
          <w:rFonts w:ascii="Arial" w:eastAsia="Times New Roman" w:hAnsi="Arial" w:cs="Arial"/>
          <w:color w:val="000000"/>
          <w:kern w:val="0"/>
          <w:sz w:val="22"/>
          <w:szCs w:val="22"/>
          <w:lang w:val="en-US" w:eastAsia="el-GR"/>
        </w:rPr>
      </w:pPr>
    </w:p>
    <w:p w14:paraId="72E6389E" w14:textId="71BA420F" w:rsidR="00ED6F64" w:rsidRDefault="00ED6F64" w:rsidP="00DE3121">
      <w:pPr>
        <w:spacing w:after="0" w:line="276" w:lineRule="auto"/>
        <w:textAlignment w:val="baseline"/>
        <w:rPr>
          <w:rFonts w:ascii="Arial" w:hAnsi="Arial" w:cs="Arial"/>
          <w:sz w:val="22"/>
          <w:szCs w:val="22"/>
          <w:lang w:val="en-US"/>
        </w:rPr>
      </w:pPr>
      <w:r w:rsidRPr="00DE3121">
        <w:rPr>
          <w:rFonts w:ascii="Arial" w:eastAsia="Times New Roman" w:hAnsi="Arial" w:cs="Arial"/>
          <w:color w:val="000000"/>
          <w:kern w:val="0"/>
          <w:sz w:val="22"/>
          <w:szCs w:val="22"/>
          <w:lang w:val="en-US" w:eastAsia="el-GR"/>
        </w:rPr>
        <w:t xml:space="preserve">NYS NBS for X-ALD </w:t>
      </w:r>
      <w:r w:rsidR="001B4CF7">
        <w:rPr>
          <w:rFonts w:ascii="Arial" w:eastAsia="Times New Roman" w:hAnsi="Arial" w:cs="Arial"/>
          <w:color w:val="000000"/>
          <w:kern w:val="0"/>
          <w:sz w:val="22"/>
          <w:szCs w:val="22"/>
          <w:lang w:val="en-US" w:eastAsia="el-GR"/>
        </w:rPr>
        <w:t xml:space="preserve">is </w:t>
      </w:r>
      <w:r w:rsidR="00984B2D" w:rsidRPr="00DE3121">
        <w:rPr>
          <w:rFonts w:ascii="Arial" w:eastAsia="Times New Roman" w:hAnsi="Arial" w:cs="Arial"/>
          <w:color w:val="000000"/>
          <w:kern w:val="0"/>
          <w:sz w:val="22"/>
          <w:szCs w:val="22"/>
          <w:lang w:val="en-US" w:eastAsia="el-GR"/>
        </w:rPr>
        <w:t xml:space="preserve">used by most states </w:t>
      </w:r>
      <w:r w:rsidR="000A0AE6" w:rsidRPr="00DE3121">
        <w:rPr>
          <w:rFonts w:ascii="Arial" w:eastAsia="Times New Roman" w:hAnsi="Arial" w:cs="Arial"/>
          <w:color w:val="000000"/>
          <w:kern w:val="0"/>
          <w:sz w:val="22"/>
          <w:szCs w:val="22"/>
          <w:lang w:val="en-US" w:eastAsia="el-GR"/>
        </w:rPr>
        <w:t xml:space="preserve">in the </w:t>
      </w:r>
      <w:r w:rsidR="000A0AE6" w:rsidRPr="00DE3121">
        <w:rPr>
          <w:rFonts w:ascii="Arial" w:eastAsia="Times New Roman" w:hAnsi="Arial" w:cs="Arial"/>
          <w:color w:val="000000" w:themeColor="text1"/>
          <w:sz w:val="22"/>
          <w:szCs w:val="22"/>
          <w:lang w:val="en-US" w:eastAsia="el-GR"/>
        </w:rPr>
        <w:t>Un</w:t>
      </w:r>
      <w:r w:rsidR="08C6B72D" w:rsidRPr="00DE3121">
        <w:rPr>
          <w:rFonts w:ascii="Arial" w:eastAsia="Times New Roman" w:hAnsi="Arial" w:cs="Arial"/>
          <w:color w:val="000000" w:themeColor="text1"/>
          <w:sz w:val="22"/>
          <w:szCs w:val="22"/>
          <w:lang w:val="en-US" w:eastAsia="el-GR"/>
        </w:rPr>
        <w:t>i</w:t>
      </w:r>
      <w:r w:rsidR="000A0AE6" w:rsidRPr="00DE3121">
        <w:rPr>
          <w:rFonts w:ascii="Arial" w:eastAsia="Times New Roman" w:hAnsi="Arial" w:cs="Arial"/>
          <w:color w:val="000000"/>
          <w:kern w:val="0"/>
          <w:sz w:val="22"/>
          <w:szCs w:val="22"/>
          <w:lang w:val="en-US" w:eastAsia="el-GR"/>
        </w:rPr>
        <w:t xml:space="preserve">ted States (US) </w:t>
      </w:r>
      <w:r w:rsidR="001B4CF7">
        <w:rPr>
          <w:rFonts w:ascii="Arial" w:eastAsia="Times New Roman" w:hAnsi="Arial" w:cs="Arial"/>
          <w:color w:val="000000"/>
          <w:kern w:val="0"/>
          <w:sz w:val="22"/>
          <w:szCs w:val="22"/>
          <w:lang w:val="en-US" w:eastAsia="el-GR"/>
        </w:rPr>
        <w:t xml:space="preserve">and </w:t>
      </w:r>
      <w:r w:rsidRPr="00DE3121">
        <w:rPr>
          <w:rFonts w:ascii="Arial" w:eastAsia="Times New Roman" w:hAnsi="Arial" w:cs="Arial"/>
          <w:color w:val="000000"/>
          <w:kern w:val="0"/>
          <w:sz w:val="22"/>
          <w:szCs w:val="22"/>
          <w:lang w:val="en-US" w:eastAsia="el-GR"/>
        </w:rPr>
        <w:t>is based on a 3-tier algorithm</w:t>
      </w:r>
      <w:r w:rsidRPr="00DE3121">
        <w:rPr>
          <w:rFonts w:ascii="Arial" w:hAnsi="Arial" w:cs="Arial"/>
          <w:sz w:val="22"/>
          <w:szCs w:val="22"/>
          <w:lang w:val="en-US"/>
        </w:rPr>
        <w:t>: the first tier is tandem mass spectrometry (MS/MS) of C26:0-lysophosphatidylcholine (LPS); the second tier is a confirmatory HPLC-MS/MS; and the third tier is Sanger DNA sequencing of the ABCD1 gene (</w:t>
      </w:r>
      <w:bookmarkStart w:id="1" w:name="_Hlk159847869"/>
      <w:r w:rsidR="00703588" w:rsidRPr="00DE3121">
        <w:rPr>
          <w:rFonts w:ascii="Arial" w:hAnsi="Arial" w:cs="Arial"/>
          <w:sz w:val="22"/>
          <w:szCs w:val="22"/>
          <w:lang w:val="en-US"/>
        </w:rPr>
        <w:t>58</w:t>
      </w:r>
      <w:r w:rsidRPr="00DE3121">
        <w:rPr>
          <w:rFonts w:ascii="Arial" w:hAnsi="Arial" w:cs="Arial"/>
          <w:sz w:val="22"/>
          <w:szCs w:val="22"/>
          <w:lang w:val="en-US"/>
        </w:rPr>
        <w:t>)</w:t>
      </w:r>
      <w:r w:rsidR="0062664C" w:rsidRPr="00DE3121">
        <w:rPr>
          <w:rFonts w:ascii="Arial" w:hAnsi="Arial" w:cs="Arial"/>
          <w:sz w:val="22"/>
          <w:szCs w:val="22"/>
          <w:lang w:val="en-US"/>
        </w:rPr>
        <w:t>.</w:t>
      </w:r>
      <w:r w:rsidR="009003EA" w:rsidRPr="00DE3121">
        <w:rPr>
          <w:rFonts w:ascii="Arial" w:hAnsi="Arial" w:cs="Arial"/>
          <w:sz w:val="22"/>
          <w:szCs w:val="22"/>
          <w:lang w:val="en-US"/>
        </w:rPr>
        <w:t xml:space="preserve"> </w:t>
      </w:r>
      <w:r w:rsidR="009003EA" w:rsidRPr="00DE3121">
        <w:rPr>
          <w:rFonts w:ascii="Arial" w:eastAsia="Times New Roman" w:hAnsi="Arial" w:cs="Arial"/>
          <w:color w:val="000000"/>
          <w:kern w:val="0"/>
          <w:sz w:val="22"/>
          <w:szCs w:val="22"/>
          <w:lang w:val="en-US" w:eastAsia="el-GR"/>
        </w:rPr>
        <w:t xml:space="preserve">If ABCD1 mutation analysis is negative, then other peroxisomal disorders </w:t>
      </w:r>
      <w:r w:rsidR="001B4CF7">
        <w:rPr>
          <w:rFonts w:ascii="Arial" w:eastAsia="Times New Roman" w:hAnsi="Arial" w:cs="Arial"/>
          <w:color w:val="000000"/>
          <w:kern w:val="0"/>
          <w:sz w:val="22"/>
          <w:szCs w:val="22"/>
          <w:lang w:val="en-US" w:eastAsia="el-GR"/>
        </w:rPr>
        <w:t>which are</w:t>
      </w:r>
      <w:r w:rsidR="009003EA" w:rsidRPr="00DE3121">
        <w:rPr>
          <w:rFonts w:ascii="Arial" w:eastAsia="Times New Roman" w:hAnsi="Arial" w:cs="Arial"/>
          <w:color w:val="000000"/>
          <w:kern w:val="0"/>
          <w:sz w:val="22"/>
          <w:szCs w:val="22"/>
          <w:lang w:val="en-US" w:eastAsia="el-GR"/>
        </w:rPr>
        <w:t xml:space="preserve"> also </w:t>
      </w:r>
      <w:r w:rsidR="009003EA" w:rsidRPr="00DE3121">
        <w:rPr>
          <w:rFonts w:ascii="Arial" w:hAnsi="Arial" w:cs="Arial"/>
          <w:sz w:val="22"/>
          <w:szCs w:val="22"/>
          <w:lang w:val="en-US"/>
        </w:rPr>
        <w:t>C26:0-HLPC positive</w:t>
      </w:r>
      <w:r w:rsidR="009003EA" w:rsidRPr="00DE3121">
        <w:rPr>
          <w:rFonts w:ascii="Arial" w:eastAsia="Times New Roman" w:hAnsi="Arial" w:cs="Arial"/>
          <w:color w:val="000000"/>
          <w:kern w:val="0"/>
          <w:sz w:val="22"/>
          <w:szCs w:val="22"/>
          <w:lang w:val="en-US" w:eastAsia="el-GR"/>
        </w:rPr>
        <w:t xml:space="preserve"> should be sought, such as </w:t>
      </w:r>
      <w:r w:rsidR="009003EA" w:rsidRPr="00DE3121">
        <w:rPr>
          <w:rFonts w:ascii="Arial" w:hAnsi="Arial" w:cs="Arial"/>
          <w:sz w:val="22"/>
          <w:szCs w:val="22"/>
          <w:lang w:val="en-US"/>
        </w:rPr>
        <w:t>Zellweger Spectrum Disorders, ACOX1, HSD1B4, ACBD5 deficiency, and CADDS (Contiguous ABCD1 DXS1357/BCAP31 Deletion Syndrome) (</w:t>
      </w:r>
      <w:r w:rsidR="00051FED" w:rsidRPr="00DE3121">
        <w:rPr>
          <w:rFonts w:ascii="Arial" w:hAnsi="Arial" w:cs="Arial"/>
          <w:sz w:val="22"/>
          <w:szCs w:val="22"/>
          <w:lang w:val="en-US"/>
        </w:rPr>
        <w:t>5</w:t>
      </w:r>
      <w:r w:rsidR="00703588" w:rsidRPr="00DE3121">
        <w:rPr>
          <w:rFonts w:ascii="Arial" w:hAnsi="Arial" w:cs="Arial"/>
          <w:sz w:val="22"/>
          <w:szCs w:val="22"/>
          <w:lang w:val="en-US"/>
        </w:rPr>
        <w:t>7</w:t>
      </w:r>
      <w:r w:rsidR="009003EA" w:rsidRPr="00DE3121">
        <w:rPr>
          <w:rFonts w:ascii="Arial" w:hAnsi="Arial" w:cs="Arial"/>
          <w:sz w:val="22"/>
          <w:szCs w:val="22"/>
          <w:lang w:val="en-US"/>
        </w:rPr>
        <w:t>).</w:t>
      </w:r>
    </w:p>
    <w:p w14:paraId="4D694407" w14:textId="77777777" w:rsidR="002739CB" w:rsidRPr="00DE3121" w:rsidRDefault="002739CB" w:rsidP="00DE3121">
      <w:pPr>
        <w:spacing w:after="0" w:line="276" w:lineRule="auto"/>
        <w:textAlignment w:val="baseline"/>
        <w:rPr>
          <w:rFonts w:ascii="Arial" w:hAnsi="Arial" w:cs="Arial"/>
          <w:sz w:val="22"/>
          <w:szCs w:val="22"/>
          <w:lang w:val="en-US"/>
        </w:rPr>
      </w:pPr>
    </w:p>
    <w:p w14:paraId="5C40C837" w14:textId="52DF3B2E" w:rsidR="00A92338" w:rsidRPr="00DE3121" w:rsidRDefault="00333FB9" w:rsidP="00DE3121">
      <w:pPr>
        <w:spacing w:after="0" w:line="276" w:lineRule="auto"/>
        <w:rPr>
          <w:rFonts w:ascii="Arial" w:hAnsi="Arial" w:cs="Arial"/>
          <w:sz w:val="22"/>
          <w:szCs w:val="22"/>
          <w:lang w:val="en-US"/>
        </w:rPr>
      </w:pPr>
      <w:r w:rsidRPr="00DE3121">
        <w:rPr>
          <w:rFonts w:ascii="Arial" w:hAnsi="Arial" w:cs="Arial"/>
          <w:sz w:val="22"/>
          <w:szCs w:val="22"/>
          <w:lang w:val="en-US"/>
        </w:rPr>
        <w:t xml:space="preserve">As of </w:t>
      </w:r>
      <w:r w:rsidR="001A5508" w:rsidRPr="00DE3121">
        <w:rPr>
          <w:rFonts w:ascii="Arial" w:hAnsi="Arial" w:cs="Arial"/>
          <w:sz w:val="22"/>
          <w:szCs w:val="22"/>
          <w:lang w:val="en-US"/>
        </w:rPr>
        <w:t>January 2023,</w:t>
      </w:r>
      <w:r w:rsidRPr="00DE3121">
        <w:rPr>
          <w:rFonts w:ascii="Arial" w:hAnsi="Arial" w:cs="Arial"/>
          <w:sz w:val="22"/>
          <w:szCs w:val="22"/>
          <w:lang w:val="en-US"/>
        </w:rPr>
        <w:t xml:space="preserve"> thirty-five US states have successfully added ALD to the conditions screened via NBS with plans to expand to all states (5</w:t>
      </w:r>
      <w:r w:rsidR="00703588" w:rsidRPr="00DE3121">
        <w:rPr>
          <w:rFonts w:ascii="Arial" w:hAnsi="Arial" w:cs="Arial"/>
          <w:sz w:val="22"/>
          <w:szCs w:val="22"/>
          <w:lang w:val="en-US"/>
        </w:rPr>
        <w:t>9</w:t>
      </w:r>
      <w:r w:rsidRPr="00DE3121">
        <w:rPr>
          <w:rFonts w:ascii="Arial" w:hAnsi="Arial" w:cs="Arial"/>
          <w:sz w:val="22"/>
          <w:szCs w:val="22"/>
          <w:lang w:val="en-US"/>
        </w:rPr>
        <w:t xml:space="preserve">, </w:t>
      </w:r>
      <w:r w:rsidR="00703588" w:rsidRPr="00DE3121">
        <w:rPr>
          <w:rFonts w:ascii="Arial" w:hAnsi="Arial" w:cs="Arial"/>
          <w:sz w:val="22"/>
          <w:szCs w:val="22"/>
          <w:lang w:val="en-US"/>
        </w:rPr>
        <w:t>60</w:t>
      </w:r>
      <w:r w:rsidRPr="00DE3121">
        <w:rPr>
          <w:rFonts w:ascii="Arial" w:hAnsi="Arial" w:cs="Arial"/>
          <w:sz w:val="22"/>
          <w:szCs w:val="22"/>
          <w:lang w:val="en-US"/>
        </w:rPr>
        <w:t>, 6</w:t>
      </w:r>
      <w:r w:rsidR="00703588" w:rsidRPr="00DE3121">
        <w:rPr>
          <w:rFonts w:ascii="Arial" w:hAnsi="Arial" w:cs="Arial"/>
          <w:sz w:val="22"/>
          <w:szCs w:val="22"/>
          <w:lang w:val="en-US"/>
        </w:rPr>
        <w:t>1</w:t>
      </w:r>
      <w:r w:rsidRPr="00DE3121">
        <w:rPr>
          <w:rFonts w:ascii="Arial" w:hAnsi="Arial" w:cs="Arial"/>
          <w:sz w:val="22"/>
          <w:szCs w:val="22"/>
          <w:lang w:val="en-US"/>
        </w:rPr>
        <w:t>, 6</w:t>
      </w:r>
      <w:r w:rsidR="00703588" w:rsidRPr="00DE3121">
        <w:rPr>
          <w:rFonts w:ascii="Arial" w:hAnsi="Arial" w:cs="Arial"/>
          <w:sz w:val="22"/>
          <w:szCs w:val="22"/>
          <w:lang w:val="en-US"/>
        </w:rPr>
        <w:t>2</w:t>
      </w:r>
      <w:r w:rsidRPr="00DE3121">
        <w:rPr>
          <w:rFonts w:ascii="Arial" w:hAnsi="Arial" w:cs="Arial"/>
          <w:sz w:val="22"/>
          <w:szCs w:val="22"/>
          <w:lang w:val="en-US"/>
        </w:rPr>
        <w:t>, 6</w:t>
      </w:r>
      <w:r w:rsidR="00703588" w:rsidRPr="00DE3121">
        <w:rPr>
          <w:rFonts w:ascii="Arial" w:hAnsi="Arial" w:cs="Arial"/>
          <w:sz w:val="22"/>
          <w:szCs w:val="22"/>
          <w:lang w:val="en-US"/>
        </w:rPr>
        <w:t>3</w:t>
      </w:r>
      <w:r w:rsidRPr="00DE3121">
        <w:rPr>
          <w:rFonts w:ascii="Arial" w:hAnsi="Arial" w:cs="Arial"/>
          <w:sz w:val="22"/>
          <w:szCs w:val="22"/>
          <w:lang w:val="en-US"/>
        </w:rPr>
        <w:t>, 6</w:t>
      </w:r>
      <w:r w:rsidR="00703588" w:rsidRPr="00DE3121">
        <w:rPr>
          <w:rFonts w:ascii="Arial" w:hAnsi="Arial" w:cs="Arial"/>
          <w:sz w:val="22"/>
          <w:szCs w:val="22"/>
          <w:lang w:val="en-US"/>
        </w:rPr>
        <w:t>4</w:t>
      </w:r>
      <w:r w:rsidRPr="00DE3121">
        <w:rPr>
          <w:rFonts w:ascii="Arial" w:hAnsi="Arial" w:cs="Arial"/>
          <w:sz w:val="22"/>
          <w:szCs w:val="22"/>
          <w:lang w:val="en-US"/>
        </w:rPr>
        <w:t>, 6</w:t>
      </w:r>
      <w:r w:rsidR="00703588" w:rsidRPr="00DE3121">
        <w:rPr>
          <w:rFonts w:ascii="Arial" w:hAnsi="Arial" w:cs="Arial"/>
          <w:sz w:val="22"/>
          <w:szCs w:val="22"/>
          <w:lang w:val="en-US"/>
        </w:rPr>
        <w:t>5</w:t>
      </w:r>
      <w:r w:rsidRPr="00DE3121">
        <w:rPr>
          <w:rFonts w:ascii="Arial" w:hAnsi="Arial" w:cs="Arial"/>
          <w:sz w:val="22"/>
          <w:szCs w:val="22"/>
          <w:lang w:val="en-US"/>
        </w:rPr>
        <w:t>, 6</w:t>
      </w:r>
      <w:r w:rsidR="00703588" w:rsidRPr="00DE3121">
        <w:rPr>
          <w:rFonts w:ascii="Arial" w:hAnsi="Arial" w:cs="Arial"/>
          <w:sz w:val="22"/>
          <w:szCs w:val="22"/>
          <w:lang w:val="en-US"/>
        </w:rPr>
        <w:t>6</w:t>
      </w:r>
      <w:r w:rsidRPr="00DE3121">
        <w:rPr>
          <w:rFonts w:ascii="Arial" w:hAnsi="Arial" w:cs="Arial"/>
          <w:sz w:val="22"/>
          <w:szCs w:val="22"/>
          <w:lang w:val="en-US"/>
        </w:rPr>
        <w:t>). Globally, the Netherlands is the only other country that is actively screening for ALD through the Screening for ALD in the Netherlands (SCAN) pilot study, a sex-specific newborn screen for boys (6</w:t>
      </w:r>
      <w:r w:rsidR="00703588" w:rsidRPr="00DE3121">
        <w:rPr>
          <w:rFonts w:ascii="Arial" w:hAnsi="Arial" w:cs="Arial"/>
          <w:sz w:val="22"/>
          <w:szCs w:val="22"/>
          <w:lang w:val="en-US"/>
        </w:rPr>
        <w:t>7</w:t>
      </w:r>
      <w:r w:rsidRPr="00DE3121">
        <w:rPr>
          <w:rFonts w:ascii="Arial" w:hAnsi="Arial" w:cs="Arial"/>
          <w:sz w:val="22"/>
          <w:szCs w:val="22"/>
          <w:lang w:val="en-US"/>
        </w:rPr>
        <w:t>).</w:t>
      </w:r>
      <w:r w:rsidR="56E414C9" w:rsidRPr="00DE3121">
        <w:rPr>
          <w:rFonts w:ascii="Arial" w:hAnsi="Arial" w:cs="Arial"/>
          <w:sz w:val="22"/>
          <w:szCs w:val="22"/>
          <w:lang w:val="en-US"/>
        </w:rPr>
        <w:t xml:space="preserve"> </w:t>
      </w:r>
      <w:r w:rsidR="00A92338" w:rsidRPr="00DE3121">
        <w:rPr>
          <w:rFonts w:ascii="Arial" w:hAnsi="Arial" w:cs="Arial"/>
          <w:sz w:val="22"/>
          <w:szCs w:val="22"/>
          <w:lang w:val="en-US"/>
        </w:rPr>
        <w:t>Since the implementation of Newborn screening for ALD, data show a rise in</w:t>
      </w:r>
      <w:r w:rsidR="001B4CF7">
        <w:rPr>
          <w:rFonts w:ascii="Arial" w:hAnsi="Arial" w:cs="Arial"/>
          <w:sz w:val="22"/>
          <w:szCs w:val="22"/>
          <w:lang w:val="en-US"/>
        </w:rPr>
        <w:t xml:space="preserve"> the</w:t>
      </w:r>
      <w:r w:rsidR="00A92338" w:rsidRPr="00DE3121">
        <w:rPr>
          <w:rFonts w:ascii="Arial" w:hAnsi="Arial" w:cs="Arial"/>
          <w:sz w:val="22"/>
          <w:szCs w:val="22"/>
          <w:lang w:val="en-US"/>
        </w:rPr>
        <w:t xml:space="preserve"> </w:t>
      </w:r>
      <w:r w:rsidR="00A92338" w:rsidRPr="00DE3121">
        <w:rPr>
          <w:rFonts w:ascii="Arial" w:hAnsi="Arial" w:cs="Arial"/>
          <w:sz w:val="22"/>
          <w:szCs w:val="22"/>
          <w:lang w:val="en-US"/>
        </w:rPr>
        <w:lastRenderedPageBreak/>
        <w:t xml:space="preserve">diagnosis of ALD </w:t>
      </w:r>
      <w:r w:rsidR="003732BA" w:rsidRPr="00DE3121">
        <w:rPr>
          <w:rFonts w:ascii="Arial" w:hAnsi="Arial" w:cs="Arial"/>
          <w:sz w:val="22"/>
          <w:szCs w:val="22"/>
          <w:lang w:val="en-US"/>
        </w:rPr>
        <w:t xml:space="preserve">up to ~1 in 10,500 births </w:t>
      </w:r>
      <w:r w:rsidR="00A92338" w:rsidRPr="00DE3121">
        <w:rPr>
          <w:rFonts w:ascii="Arial" w:hAnsi="Arial" w:cs="Arial"/>
          <w:sz w:val="22"/>
          <w:szCs w:val="22"/>
          <w:lang w:val="en-US"/>
        </w:rPr>
        <w:t>as well as an earlier diagnosis of adrenal insufficiency (</w:t>
      </w:r>
      <w:r w:rsidR="00051FED" w:rsidRPr="00DE3121">
        <w:rPr>
          <w:rFonts w:ascii="Arial" w:hAnsi="Arial" w:cs="Arial"/>
          <w:sz w:val="22"/>
          <w:szCs w:val="22"/>
          <w:lang w:val="en-US"/>
        </w:rPr>
        <w:t>30</w:t>
      </w:r>
      <w:r w:rsidR="00A92338" w:rsidRPr="00DE3121">
        <w:rPr>
          <w:rFonts w:ascii="Arial" w:hAnsi="Arial" w:cs="Arial"/>
          <w:sz w:val="22"/>
          <w:szCs w:val="22"/>
          <w:lang w:val="en-US"/>
        </w:rPr>
        <w:t xml:space="preserve">). </w:t>
      </w:r>
    </w:p>
    <w:p w14:paraId="1F72F646" w14:textId="77777777" w:rsidR="00A92338" w:rsidRPr="00DE3121" w:rsidRDefault="00A92338" w:rsidP="00DE3121">
      <w:pPr>
        <w:spacing w:after="0" w:line="276" w:lineRule="auto"/>
        <w:textAlignment w:val="baseline"/>
        <w:rPr>
          <w:rFonts w:ascii="Arial" w:hAnsi="Arial" w:cs="Arial"/>
          <w:sz w:val="22"/>
          <w:szCs w:val="22"/>
          <w:lang w:val="en-US"/>
        </w:rPr>
      </w:pPr>
    </w:p>
    <w:p w14:paraId="1DBC9AB3" w14:textId="77777777" w:rsidR="00E53F65" w:rsidRPr="002739CB" w:rsidRDefault="00E53F65" w:rsidP="00DE3121">
      <w:pPr>
        <w:spacing w:after="0" w:line="276" w:lineRule="auto"/>
        <w:textAlignment w:val="baseline"/>
        <w:outlineLvl w:val="2"/>
        <w:rPr>
          <w:rFonts w:ascii="Arial" w:eastAsia="Times New Roman" w:hAnsi="Arial" w:cs="Arial"/>
          <w:b/>
          <w:bCs/>
          <w:color w:val="00B050"/>
          <w:kern w:val="0"/>
          <w:sz w:val="22"/>
          <w:szCs w:val="22"/>
          <w:lang w:val="en-US" w:eastAsia="el-GR"/>
        </w:rPr>
      </w:pPr>
      <w:r w:rsidRPr="002739CB">
        <w:rPr>
          <w:rFonts w:ascii="Arial" w:eastAsia="Times New Roman" w:hAnsi="Arial" w:cs="Arial"/>
          <w:b/>
          <w:bCs/>
          <w:color w:val="00B050"/>
          <w:kern w:val="0"/>
          <w:sz w:val="22"/>
          <w:szCs w:val="22"/>
          <w:lang w:val="en-US" w:eastAsia="el-GR"/>
        </w:rPr>
        <w:t>Genetic Counseling</w:t>
      </w:r>
      <w:r w:rsidR="00984B2D" w:rsidRPr="002739CB">
        <w:rPr>
          <w:rFonts w:ascii="Arial" w:eastAsia="Times New Roman" w:hAnsi="Arial" w:cs="Arial"/>
          <w:b/>
          <w:bCs/>
          <w:color w:val="00B050"/>
          <w:kern w:val="0"/>
          <w:sz w:val="22"/>
          <w:szCs w:val="22"/>
          <w:lang w:val="en-US" w:eastAsia="el-GR"/>
        </w:rPr>
        <w:t xml:space="preserve"> </w:t>
      </w:r>
    </w:p>
    <w:p w14:paraId="7B8FF37E" w14:textId="0B86BB17" w:rsidR="1F59776C" w:rsidRPr="00DE3121" w:rsidRDefault="1F59776C" w:rsidP="00DE3121">
      <w:pPr>
        <w:spacing w:after="0" w:line="276" w:lineRule="auto"/>
        <w:outlineLvl w:val="2"/>
        <w:rPr>
          <w:rFonts w:ascii="Arial" w:eastAsia="Times New Roman" w:hAnsi="Arial" w:cs="Arial"/>
          <w:b/>
          <w:bCs/>
          <w:color w:val="000000" w:themeColor="text1"/>
          <w:sz w:val="22"/>
          <w:szCs w:val="22"/>
          <w:lang w:val="en-US" w:eastAsia="el-GR"/>
        </w:rPr>
      </w:pPr>
    </w:p>
    <w:p w14:paraId="357C4616" w14:textId="77777777" w:rsidR="006D2811" w:rsidRPr="00DE3121" w:rsidRDefault="006D2811" w:rsidP="00DE3121">
      <w:pPr>
        <w:spacing w:after="0"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xml:space="preserve">As soon as an index case is detected either as a consequence of symptoms or as a result of NBS, genetic counseling should be offered to the family. If the index case is male, testing should be offered to his mother and female offspring.  If the mother is confirmed to be a carrier for an ABCD1 mutation, testing should also include all the male siblings of the index case. If the index case is female, initial testing should include both parents. Regarding mutation testing of minor females of an affected family, there is no consensus </w:t>
      </w:r>
      <w:r w:rsidR="00ED51A8" w:rsidRPr="00DE3121">
        <w:rPr>
          <w:rFonts w:ascii="Arial" w:eastAsia="Times New Roman" w:hAnsi="Arial" w:cs="Arial"/>
          <w:color w:val="000000"/>
          <w:kern w:val="0"/>
          <w:sz w:val="22"/>
          <w:szCs w:val="22"/>
          <w:lang w:val="en-US" w:eastAsia="el-GR"/>
        </w:rPr>
        <w:t xml:space="preserve">on </w:t>
      </w:r>
      <w:r w:rsidRPr="00DE3121">
        <w:rPr>
          <w:rFonts w:ascii="Arial" w:eastAsia="Times New Roman" w:hAnsi="Arial" w:cs="Arial"/>
          <w:color w:val="000000"/>
          <w:kern w:val="0"/>
          <w:sz w:val="22"/>
          <w:szCs w:val="22"/>
          <w:lang w:val="en-US" w:eastAsia="el-GR"/>
        </w:rPr>
        <w:t>whether it should be performed on a routine base. (</w:t>
      </w:r>
      <w:r w:rsidR="000A481D" w:rsidRPr="00DE3121">
        <w:rPr>
          <w:rFonts w:ascii="Arial" w:eastAsia="Times New Roman" w:hAnsi="Arial" w:cs="Arial"/>
          <w:color w:val="000000"/>
          <w:kern w:val="0"/>
          <w:sz w:val="22"/>
          <w:szCs w:val="22"/>
          <w:lang w:val="en-US" w:eastAsia="el-GR"/>
        </w:rPr>
        <w:t>57</w:t>
      </w:r>
      <w:r w:rsidRPr="00DE3121">
        <w:rPr>
          <w:rFonts w:ascii="Arial" w:eastAsia="Times New Roman" w:hAnsi="Arial" w:cs="Arial"/>
          <w:color w:val="000000"/>
          <w:kern w:val="0"/>
          <w:sz w:val="22"/>
          <w:szCs w:val="22"/>
          <w:lang w:val="en-US" w:eastAsia="el-GR"/>
        </w:rPr>
        <w:t>).</w:t>
      </w:r>
    </w:p>
    <w:p w14:paraId="6BB9E253" w14:textId="77777777" w:rsidR="006D2811" w:rsidRPr="00DE3121" w:rsidRDefault="006D2811" w:rsidP="00DE3121">
      <w:pPr>
        <w:spacing w:after="0" w:line="276" w:lineRule="auto"/>
        <w:textAlignment w:val="baseline"/>
        <w:outlineLvl w:val="2"/>
        <w:rPr>
          <w:rFonts w:ascii="Arial" w:eastAsia="Times New Roman" w:hAnsi="Arial" w:cs="Arial"/>
          <w:b/>
          <w:bCs/>
          <w:color w:val="000000"/>
          <w:kern w:val="0"/>
          <w:sz w:val="22"/>
          <w:szCs w:val="22"/>
          <w:lang w:val="en-US" w:eastAsia="el-GR"/>
        </w:rPr>
      </w:pPr>
    </w:p>
    <w:p w14:paraId="6B25B1EF" w14:textId="77777777" w:rsidR="00963909" w:rsidRPr="002739CB" w:rsidRDefault="00943C44" w:rsidP="00DE3121">
      <w:pPr>
        <w:spacing w:after="0" w:line="276" w:lineRule="auto"/>
        <w:textAlignment w:val="baseline"/>
        <w:outlineLvl w:val="2"/>
        <w:rPr>
          <w:rFonts w:ascii="Arial" w:eastAsia="Times New Roman" w:hAnsi="Arial" w:cs="Arial"/>
          <w:b/>
          <w:bCs/>
          <w:color w:val="00B050"/>
          <w:kern w:val="0"/>
          <w:sz w:val="22"/>
          <w:szCs w:val="22"/>
          <w:lang w:val="en-US" w:eastAsia="el-GR"/>
        </w:rPr>
      </w:pPr>
      <w:r w:rsidRPr="002739CB">
        <w:rPr>
          <w:rFonts w:ascii="Arial" w:eastAsia="Times New Roman" w:hAnsi="Arial" w:cs="Arial"/>
          <w:b/>
          <w:bCs/>
          <w:color w:val="00B050"/>
          <w:kern w:val="0"/>
          <w:sz w:val="22"/>
          <w:szCs w:val="22"/>
          <w:lang w:val="en-US" w:eastAsia="el-GR"/>
        </w:rPr>
        <w:t>Imaging</w:t>
      </w:r>
    </w:p>
    <w:p w14:paraId="2CD92C6E" w14:textId="233E08DF" w:rsidR="1F59776C" w:rsidRPr="00DE3121" w:rsidRDefault="1F59776C" w:rsidP="00DE3121">
      <w:pPr>
        <w:spacing w:after="0" w:line="276" w:lineRule="auto"/>
        <w:outlineLvl w:val="2"/>
        <w:rPr>
          <w:rFonts w:ascii="Arial" w:eastAsia="Times New Roman" w:hAnsi="Arial" w:cs="Arial"/>
          <w:color w:val="000000" w:themeColor="text1"/>
          <w:sz w:val="22"/>
          <w:szCs w:val="22"/>
          <w:lang w:val="en-US" w:eastAsia="el-GR"/>
        </w:rPr>
      </w:pPr>
    </w:p>
    <w:p w14:paraId="19FA326E" w14:textId="67107C34" w:rsidR="00943C44" w:rsidRDefault="00943C44" w:rsidP="00DE3121">
      <w:pPr>
        <w:spacing w:after="0" w:line="276" w:lineRule="auto"/>
        <w:textAlignment w:val="baseline"/>
        <w:outlineLvl w:val="2"/>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All individuals with confirmed ALD/AMN complex should undergo neuroimaging to determine if cerebral involvement is present. Brain MRI abnormalities precede symptoms in patients with the cerebral forms of X-ALD (</w:t>
      </w:r>
      <w:r w:rsidR="00051FED" w:rsidRPr="00DE3121">
        <w:rPr>
          <w:rFonts w:ascii="Arial" w:eastAsia="Times New Roman" w:hAnsi="Arial" w:cs="Arial"/>
          <w:color w:val="000000"/>
          <w:kern w:val="0"/>
          <w:sz w:val="22"/>
          <w:szCs w:val="22"/>
          <w:lang w:val="en-US" w:eastAsia="el-GR"/>
        </w:rPr>
        <w:t>23</w:t>
      </w:r>
      <w:r w:rsidRPr="00DE3121">
        <w:rPr>
          <w:rFonts w:ascii="Arial" w:eastAsia="Times New Roman" w:hAnsi="Arial" w:cs="Arial"/>
          <w:color w:val="000000"/>
          <w:kern w:val="0"/>
          <w:sz w:val="22"/>
          <w:szCs w:val="22"/>
          <w:lang w:val="en-US" w:eastAsia="el-GR"/>
        </w:rPr>
        <w:t>). Findings are always abnormal in symptomatic patients, demonstrating cerebral white matter demyelination (</w:t>
      </w:r>
      <w:r w:rsidR="001D4CEC" w:rsidRPr="00DE3121">
        <w:rPr>
          <w:rFonts w:ascii="Arial" w:eastAsia="Times New Roman" w:hAnsi="Arial" w:cs="Arial"/>
          <w:color w:val="000000"/>
          <w:kern w:val="0"/>
          <w:sz w:val="22"/>
          <w:szCs w:val="22"/>
          <w:lang w:val="en-US" w:eastAsia="el-GR"/>
        </w:rPr>
        <w:t>F</w:t>
      </w:r>
      <w:r w:rsidR="001D4CEC" w:rsidRPr="00DE3121">
        <w:rPr>
          <w:rFonts w:ascii="Arial" w:eastAsia="Times New Roman" w:hAnsi="Arial" w:cs="Arial"/>
          <w:kern w:val="0"/>
          <w:sz w:val="22"/>
          <w:szCs w:val="22"/>
          <w:lang w:val="en-US" w:eastAsia="el-GR"/>
        </w:rPr>
        <w:t>igure</w:t>
      </w:r>
      <w:r w:rsidR="00F11D4E" w:rsidRPr="00DE3121">
        <w:rPr>
          <w:rFonts w:ascii="Arial" w:eastAsia="Times New Roman" w:hAnsi="Arial" w:cs="Arial"/>
          <w:color w:val="000000"/>
          <w:kern w:val="0"/>
          <w:sz w:val="22"/>
          <w:szCs w:val="22"/>
          <w:lang w:val="en-US" w:eastAsia="el-GR"/>
        </w:rPr>
        <w:t xml:space="preserve"> 5</w:t>
      </w:r>
      <w:r w:rsidRPr="00DE3121">
        <w:rPr>
          <w:rFonts w:ascii="Arial" w:eastAsia="Times New Roman" w:hAnsi="Arial" w:cs="Arial"/>
          <w:color w:val="000000"/>
          <w:kern w:val="0"/>
          <w:sz w:val="22"/>
          <w:szCs w:val="22"/>
          <w:lang w:val="en-US" w:eastAsia="el-GR"/>
        </w:rPr>
        <w:t>). The lesions typically begin in the splenium of the corpus callosum before gradually expanding to the occipito-parietal region and they are usually bilateral but occasionally can be limited to only one side, particularly if previous head trauma has triggered CALD (</w:t>
      </w:r>
      <w:r w:rsidR="00051FED" w:rsidRPr="00DE3121">
        <w:rPr>
          <w:rFonts w:ascii="Arial" w:eastAsia="Times New Roman" w:hAnsi="Arial" w:cs="Arial"/>
          <w:color w:val="000000"/>
          <w:kern w:val="0"/>
          <w:sz w:val="22"/>
          <w:szCs w:val="22"/>
          <w:lang w:val="en-US" w:eastAsia="el-GR"/>
        </w:rPr>
        <w:t>19</w:t>
      </w:r>
      <w:r w:rsidRPr="00DE3121">
        <w:rPr>
          <w:rFonts w:ascii="Arial" w:eastAsia="Times New Roman" w:hAnsi="Arial" w:cs="Arial"/>
          <w:kern w:val="0"/>
          <w:sz w:val="22"/>
          <w:szCs w:val="22"/>
          <w:lang w:val="en-US" w:eastAsia="el-GR"/>
        </w:rPr>
        <w:t xml:space="preserve">). </w:t>
      </w:r>
      <w:r w:rsidRPr="00DE3121">
        <w:rPr>
          <w:rFonts w:ascii="Arial" w:eastAsia="Times New Roman" w:hAnsi="Arial" w:cs="Arial"/>
          <w:color w:val="000000"/>
          <w:kern w:val="0"/>
          <w:sz w:val="22"/>
          <w:szCs w:val="22"/>
          <w:lang w:val="en-US" w:eastAsia="el-GR"/>
        </w:rPr>
        <w:t xml:space="preserve">The presence of contrast enhancement just behind the outermost edge of the lesions as seen in T1-weighted images (WI), heralds the progression to inflammatory devastating form of CALD </w:t>
      </w:r>
      <w:r w:rsidR="001A5508" w:rsidRPr="00DE3121">
        <w:rPr>
          <w:rFonts w:ascii="Arial" w:eastAsia="Times New Roman" w:hAnsi="Arial" w:cs="Arial"/>
          <w:color w:val="000000"/>
          <w:kern w:val="0"/>
          <w:sz w:val="22"/>
          <w:szCs w:val="22"/>
          <w:lang w:val="en-US" w:eastAsia="el-GR"/>
        </w:rPr>
        <w:t>(68</w:t>
      </w:r>
      <w:r w:rsidRPr="00DE3121">
        <w:rPr>
          <w:rFonts w:ascii="Arial" w:eastAsia="Times New Roman" w:hAnsi="Arial" w:cs="Arial"/>
          <w:color w:val="000000"/>
          <w:kern w:val="0"/>
          <w:sz w:val="22"/>
          <w:szCs w:val="22"/>
          <w:lang w:val="en-US" w:eastAsia="el-GR"/>
        </w:rPr>
        <w:t xml:space="preserve">). </w:t>
      </w:r>
      <w:r w:rsidR="004814E6" w:rsidRPr="00DE3121">
        <w:rPr>
          <w:rFonts w:ascii="Arial" w:eastAsia="Times New Roman" w:hAnsi="Arial" w:cs="Arial"/>
          <w:color w:val="000000"/>
          <w:kern w:val="0"/>
          <w:sz w:val="22"/>
          <w:szCs w:val="22"/>
          <w:lang w:val="en-US" w:eastAsia="el-GR"/>
        </w:rPr>
        <w:t>A</w:t>
      </w:r>
      <w:r w:rsidRPr="00DE3121">
        <w:rPr>
          <w:rFonts w:ascii="Arial" w:eastAsia="Times New Roman" w:hAnsi="Arial" w:cs="Arial"/>
          <w:color w:val="000000"/>
          <w:kern w:val="0"/>
          <w:sz w:val="22"/>
          <w:szCs w:val="22"/>
          <w:lang w:val="en-US" w:eastAsia="el-GR"/>
        </w:rPr>
        <w:t xml:space="preserve"> grading system to assess the degree of MRI abnormalities in X-ALD</w:t>
      </w:r>
      <w:r w:rsidR="004814E6" w:rsidRPr="00DE3121">
        <w:rPr>
          <w:rFonts w:ascii="Arial" w:eastAsia="Times New Roman" w:hAnsi="Arial" w:cs="Arial"/>
          <w:color w:val="000000"/>
          <w:kern w:val="0"/>
          <w:sz w:val="22"/>
          <w:szCs w:val="22"/>
          <w:lang w:val="en-US" w:eastAsia="el-GR"/>
        </w:rPr>
        <w:t xml:space="preserve"> has been proposed by Loes et al. </w:t>
      </w:r>
      <w:r w:rsidRPr="00DE3121">
        <w:rPr>
          <w:rFonts w:ascii="Arial" w:eastAsia="Times New Roman" w:hAnsi="Arial" w:cs="Arial"/>
          <w:color w:val="000000"/>
          <w:kern w:val="0"/>
          <w:sz w:val="22"/>
          <w:szCs w:val="22"/>
          <w:lang w:val="en-US" w:eastAsia="el-GR"/>
        </w:rPr>
        <w:t>(</w:t>
      </w:r>
      <w:r w:rsidR="00051FED" w:rsidRPr="00DE3121">
        <w:rPr>
          <w:rFonts w:ascii="Arial" w:eastAsia="Times New Roman" w:hAnsi="Arial" w:cs="Arial"/>
          <w:color w:val="000000"/>
          <w:kern w:val="0"/>
          <w:sz w:val="22"/>
          <w:szCs w:val="22"/>
          <w:lang w:val="en-US" w:eastAsia="el-GR"/>
        </w:rPr>
        <w:t>69</w:t>
      </w:r>
      <w:r w:rsidRPr="00DE3121">
        <w:rPr>
          <w:rFonts w:ascii="Arial" w:eastAsia="Times New Roman" w:hAnsi="Arial" w:cs="Arial"/>
          <w:color w:val="000000"/>
          <w:kern w:val="0"/>
          <w:sz w:val="22"/>
          <w:szCs w:val="22"/>
          <w:lang w:val="en-US" w:eastAsia="el-GR"/>
        </w:rPr>
        <w:t xml:space="preserve">). This is a 32-point scale score (0: normal, 32: most severe) that assesses the degree and extent of hyperintense lesions on FLAIR or T2W images as well as the degree of regional atrophy and has proven to have predictive value for the response to </w:t>
      </w:r>
      <w:r w:rsidR="004814E6" w:rsidRPr="00DE3121">
        <w:rPr>
          <w:rFonts w:ascii="Arial" w:hAnsi="Arial" w:cs="Arial"/>
          <w:sz w:val="22"/>
          <w:szCs w:val="22"/>
          <w:lang w:val="en-US"/>
        </w:rPr>
        <w:t>allogenic hematopoietic stem cell transplantation</w:t>
      </w:r>
      <w:r w:rsidRPr="00DE3121">
        <w:rPr>
          <w:rFonts w:ascii="Arial" w:eastAsia="Times New Roman" w:hAnsi="Arial" w:cs="Arial"/>
          <w:color w:val="000000"/>
          <w:kern w:val="0"/>
          <w:sz w:val="22"/>
          <w:szCs w:val="22"/>
          <w:lang w:val="en-US" w:eastAsia="el-GR"/>
        </w:rPr>
        <w:t xml:space="preserve"> (</w:t>
      </w:r>
      <w:r w:rsidR="00051FED" w:rsidRPr="00DE3121">
        <w:rPr>
          <w:rFonts w:ascii="Arial" w:eastAsia="Times New Roman" w:hAnsi="Arial" w:cs="Arial"/>
          <w:color w:val="000000"/>
          <w:kern w:val="0"/>
          <w:sz w:val="22"/>
          <w:szCs w:val="22"/>
          <w:lang w:val="en-US" w:eastAsia="el-GR"/>
        </w:rPr>
        <w:t>70</w:t>
      </w:r>
      <w:r w:rsidRPr="00DE3121">
        <w:rPr>
          <w:rFonts w:ascii="Arial" w:eastAsia="Times New Roman" w:hAnsi="Arial" w:cs="Arial"/>
          <w:color w:val="000000"/>
          <w:kern w:val="0"/>
          <w:sz w:val="22"/>
          <w:szCs w:val="22"/>
          <w:lang w:val="en-US" w:eastAsia="el-GR"/>
        </w:rPr>
        <w:t>)</w:t>
      </w:r>
      <w:r w:rsidR="004814E6" w:rsidRPr="00DE3121">
        <w:rPr>
          <w:rFonts w:ascii="Arial" w:eastAsia="Times New Roman" w:hAnsi="Arial" w:cs="Arial"/>
          <w:color w:val="000000"/>
          <w:kern w:val="0"/>
          <w:sz w:val="22"/>
          <w:szCs w:val="22"/>
          <w:lang w:val="en-US" w:eastAsia="el-GR"/>
        </w:rPr>
        <w:t>.</w:t>
      </w:r>
    </w:p>
    <w:p w14:paraId="382F69E8" w14:textId="77777777" w:rsidR="002739CB" w:rsidRPr="00DE3121" w:rsidRDefault="002739CB" w:rsidP="00DE3121">
      <w:pPr>
        <w:spacing w:after="0" w:line="276" w:lineRule="auto"/>
        <w:textAlignment w:val="baseline"/>
        <w:outlineLvl w:val="2"/>
        <w:rPr>
          <w:rFonts w:ascii="Arial" w:eastAsia="Times New Roman" w:hAnsi="Arial" w:cs="Arial"/>
          <w:b/>
          <w:bCs/>
          <w:color w:val="000000"/>
          <w:kern w:val="0"/>
          <w:sz w:val="22"/>
          <w:szCs w:val="22"/>
          <w:lang w:val="en-US" w:eastAsia="el-GR"/>
        </w:rPr>
      </w:pPr>
    </w:p>
    <w:p w14:paraId="1EE72039" w14:textId="77777777" w:rsidR="004814E6" w:rsidRDefault="004814E6" w:rsidP="00DE3121">
      <w:pPr>
        <w:spacing w:after="0"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Regarding AMN, MRI of the spinal cord is unremarkable on standard sequences, it can however show atrophy in advanced cases (</w:t>
      </w:r>
      <w:r w:rsidR="00051FED" w:rsidRPr="00DE3121">
        <w:rPr>
          <w:rFonts w:ascii="Arial" w:eastAsia="Times New Roman" w:hAnsi="Arial" w:cs="Arial"/>
          <w:color w:val="000000"/>
          <w:kern w:val="0"/>
          <w:sz w:val="22"/>
          <w:szCs w:val="22"/>
          <w:lang w:val="en-US" w:eastAsia="el-GR"/>
        </w:rPr>
        <w:t>71</w:t>
      </w:r>
      <w:r w:rsidRPr="00DE3121">
        <w:rPr>
          <w:rFonts w:ascii="Arial" w:eastAsia="Times New Roman" w:hAnsi="Arial" w:cs="Arial"/>
          <w:color w:val="000000"/>
          <w:kern w:val="0"/>
          <w:sz w:val="22"/>
          <w:szCs w:val="22"/>
          <w:lang w:val="en-US" w:eastAsia="el-GR"/>
        </w:rPr>
        <w:t>). Contrast enhancement is not observed in AMN, since inflammation is not a feature of extra-cerebral lesions.</w:t>
      </w:r>
    </w:p>
    <w:p w14:paraId="0056FC09" w14:textId="77777777" w:rsidR="002739CB" w:rsidRPr="00DE3121" w:rsidRDefault="002739CB" w:rsidP="00DE3121">
      <w:pPr>
        <w:spacing w:after="0" w:line="276" w:lineRule="auto"/>
        <w:textAlignment w:val="baseline"/>
        <w:rPr>
          <w:rFonts w:ascii="Arial" w:eastAsia="Times New Roman" w:hAnsi="Arial" w:cs="Arial"/>
          <w:color w:val="000000"/>
          <w:kern w:val="0"/>
          <w:sz w:val="22"/>
          <w:szCs w:val="22"/>
          <w:lang w:val="en-US" w:eastAsia="el-GR"/>
        </w:rPr>
      </w:pPr>
    </w:p>
    <w:p w14:paraId="66C762BA" w14:textId="77777777" w:rsidR="004814E6" w:rsidRPr="00DE3121" w:rsidRDefault="004814E6" w:rsidP="00DE3121">
      <w:pPr>
        <w:spacing w:after="0"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xml:space="preserve">Brain F18 fludeoxy-glucose positron emission tomography (PET) may reveal hypometabolic regions particularly in </w:t>
      </w:r>
      <w:r w:rsidR="00ED51A8" w:rsidRPr="00DE3121">
        <w:rPr>
          <w:rFonts w:ascii="Arial" w:eastAsia="Times New Roman" w:hAnsi="Arial" w:cs="Arial"/>
          <w:color w:val="000000"/>
          <w:kern w:val="0"/>
          <w:sz w:val="22"/>
          <w:szCs w:val="22"/>
          <w:lang w:val="en-US" w:eastAsia="el-GR"/>
        </w:rPr>
        <w:t xml:space="preserve">the </w:t>
      </w:r>
      <w:r w:rsidRPr="00DE3121">
        <w:rPr>
          <w:rFonts w:ascii="Arial" w:eastAsia="Times New Roman" w:hAnsi="Arial" w:cs="Arial"/>
          <w:color w:val="000000"/>
          <w:kern w:val="0"/>
          <w:sz w:val="22"/>
          <w:szCs w:val="22"/>
          <w:lang w:val="en-US" w:eastAsia="el-GR"/>
        </w:rPr>
        <w:t>cerebellum and temporal lobe areas, before lesions emerge in MRI (</w:t>
      </w:r>
      <w:r w:rsidR="00051FED" w:rsidRPr="00DE3121">
        <w:rPr>
          <w:rFonts w:ascii="Arial" w:eastAsia="Times New Roman" w:hAnsi="Arial" w:cs="Arial"/>
          <w:color w:val="000000"/>
          <w:kern w:val="0"/>
          <w:sz w:val="22"/>
          <w:szCs w:val="22"/>
          <w:lang w:val="en-US" w:eastAsia="el-GR"/>
        </w:rPr>
        <w:t>72</w:t>
      </w:r>
      <w:r w:rsidRPr="00DE3121">
        <w:rPr>
          <w:rFonts w:ascii="Arial" w:eastAsia="Times New Roman" w:hAnsi="Arial" w:cs="Arial"/>
          <w:color w:val="000000"/>
          <w:kern w:val="0"/>
          <w:sz w:val="22"/>
          <w:szCs w:val="22"/>
          <w:lang w:val="en-US" w:eastAsia="el-GR"/>
        </w:rPr>
        <w:t>). In contrast, hypermetabolism may be evident in the frontal lobes, related to the clinical severity of the disease (</w:t>
      </w:r>
      <w:r w:rsidR="00051FED" w:rsidRPr="00DE3121">
        <w:rPr>
          <w:rFonts w:ascii="Arial" w:eastAsia="Times New Roman" w:hAnsi="Arial" w:cs="Arial"/>
          <w:color w:val="000000"/>
          <w:kern w:val="0"/>
          <w:sz w:val="22"/>
          <w:szCs w:val="22"/>
          <w:lang w:val="en-US" w:eastAsia="el-GR"/>
        </w:rPr>
        <w:t>73</w:t>
      </w:r>
      <w:r w:rsidRPr="00DE3121">
        <w:rPr>
          <w:rFonts w:ascii="Arial" w:eastAsia="Times New Roman" w:hAnsi="Arial" w:cs="Arial"/>
          <w:color w:val="000000"/>
          <w:kern w:val="0"/>
          <w:sz w:val="22"/>
          <w:szCs w:val="22"/>
          <w:lang w:val="en-US" w:eastAsia="el-GR"/>
        </w:rPr>
        <w:t>).</w:t>
      </w:r>
    </w:p>
    <w:p w14:paraId="52E56223" w14:textId="77777777" w:rsidR="00AF6532" w:rsidRPr="00DE3121" w:rsidRDefault="00AF6532" w:rsidP="00DE3121">
      <w:pPr>
        <w:spacing w:after="0" w:line="276" w:lineRule="auto"/>
        <w:textAlignment w:val="baseline"/>
        <w:rPr>
          <w:rFonts w:ascii="Arial" w:eastAsia="Times New Roman" w:hAnsi="Arial" w:cs="Arial"/>
          <w:color w:val="000000"/>
          <w:kern w:val="0"/>
          <w:sz w:val="22"/>
          <w:szCs w:val="22"/>
          <w:lang w:val="en-US" w:eastAsia="el-GR"/>
        </w:rPr>
      </w:pPr>
    </w:p>
    <w:p w14:paraId="07547A01" w14:textId="77777777" w:rsidR="004814E6" w:rsidRPr="00DE3121" w:rsidRDefault="00FB2F5C" w:rsidP="00DE3121">
      <w:pPr>
        <w:spacing w:after="0"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noProof/>
          <w:color w:val="000000"/>
          <w:kern w:val="0"/>
          <w:sz w:val="22"/>
          <w:szCs w:val="22"/>
          <w:lang w:val="en-US"/>
        </w:rPr>
        <w:lastRenderedPageBreak/>
        <w:drawing>
          <wp:inline distT="0" distB="0" distL="0" distR="0" wp14:anchorId="24921BDE" wp14:editId="07777777">
            <wp:extent cx="4314190" cy="4314190"/>
            <wp:effectExtent l="0" t="0" r="0" b="0"/>
            <wp:docPr id="4" name="Εικόνα 1" descr="Εικόνα που περιέχει μονοχρωματικό, ασπρόμαυ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1" descr="Εικόνα που περιέχει μονοχρωματικό, ασπρόμαυρο&#10;&#10;Περιγραφή που δημιουργήθηκε αυτόματ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4190" cy="4314190"/>
                    </a:xfrm>
                    <a:prstGeom prst="rect">
                      <a:avLst/>
                    </a:prstGeom>
                    <a:noFill/>
                    <a:ln>
                      <a:noFill/>
                    </a:ln>
                  </pic:spPr>
                </pic:pic>
              </a:graphicData>
            </a:graphic>
          </wp:inline>
        </w:drawing>
      </w:r>
    </w:p>
    <w:p w14:paraId="1510DE40" w14:textId="03A61D1C" w:rsidR="00FB2F5C" w:rsidRPr="002739CB" w:rsidRDefault="00FB2F5C" w:rsidP="00DE3121">
      <w:pPr>
        <w:spacing w:after="0" w:line="276" w:lineRule="auto"/>
        <w:textAlignment w:val="baseline"/>
        <w:rPr>
          <w:rFonts w:ascii="Arial" w:eastAsia="Times New Roman" w:hAnsi="Arial" w:cs="Arial"/>
          <w:b/>
          <w:bCs/>
          <w:kern w:val="0"/>
          <w:sz w:val="22"/>
          <w:szCs w:val="22"/>
          <w:lang w:val="en-US" w:eastAsia="el-GR"/>
        </w:rPr>
      </w:pPr>
      <w:r w:rsidRPr="002739CB">
        <w:rPr>
          <w:rFonts w:ascii="Arial" w:eastAsia="Times New Roman" w:hAnsi="Arial" w:cs="Arial"/>
          <w:b/>
          <w:bCs/>
          <w:color w:val="000000"/>
          <w:kern w:val="0"/>
          <w:sz w:val="22"/>
          <w:szCs w:val="22"/>
          <w:bdr w:val="none" w:sz="0" w:space="0" w:color="auto" w:frame="1"/>
          <w:lang w:val="en-US" w:eastAsia="el-GR"/>
        </w:rPr>
        <w:t xml:space="preserve">Figure </w:t>
      </w:r>
      <w:r w:rsidR="005B242B" w:rsidRPr="002739CB">
        <w:rPr>
          <w:rFonts w:ascii="Arial" w:eastAsia="Times New Roman" w:hAnsi="Arial" w:cs="Arial"/>
          <w:b/>
          <w:bCs/>
          <w:color w:val="000000"/>
          <w:kern w:val="0"/>
          <w:sz w:val="22"/>
          <w:szCs w:val="22"/>
          <w:bdr w:val="none" w:sz="0" w:space="0" w:color="auto" w:frame="1"/>
          <w:lang w:val="en-US" w:eastAsia="el-GR"/>
        </w:rPr>
        <w:t>5</w:t>
      </w:r>
      <w:r w:rsidRPr="002739CB">
        <w:rPr>
          <w:rFonts w:ascii="Arial" w:eastAsia="Times New Roman" w:hAnsi="Arial" w:cs="Arial"/>
          <w:b/>
          <w:bCs/>
          <w:color w:val="000000"/>
          <w:kern w:val="0"/>
          <w:sz w:val="22"/>
          <w:szCs w:val="22"/>
          <w:bdr w:val="none" w:sz="0" w:space="0" w:color="auto" w:frame="1"/>
          <w:lang w:val="en-US" w:eastAsia="el-GR"/>
        </w:rPr>
        <w:t>. </w:t>
      </w:r>
      <w:r w:rsidRPr="002739CB">
        <w:rPr>
          <w:rFonts w:ascii="Arial" w:eastAsia="Times New Roman" w:hAnsi="Arial" w:cs="Arial"/>
          <w:b/>
          <w:bCs/>
          <w:color w:val="000000"/>
          <w:kern w:val="0"/>
          <w:sz w:val="22"/>
          <w:szCs w:val="22"/>
          <w:lang w:val="en-US" w:eastAsia="el-GR"/>
        </w:rPr>
        <w:t xml:space="preserve">MRI of a patient with </w:t>
      </w:r>
      <w:r w:rsidR="005B242B" w:rsidRPr="002739CB">
        <w:rPr>
          <w:rFonts w:ascii="Arial" w:eastAsia="Times New Roman" w:hAnsi="Arial" w:cs="Arial"/>
          <w:b/>
          <w:bCs/>
          <w:color w:val="000000"/>
          <w:kern w:val="0"/>
          <w:sz w:val="22"/>
          <w:szCs w:val="22"/>
          <w:lang w:val="en-US" w:eastAsia="el-GR"/>
        </w:rPr>
        <w:t xml:space="preserve">cerebral </w:t>
      </w:r>
      <w:r w:rsidRPr="002739CB">
        <w:rPr>
          <w:rFonts w:ascii="Arial" w:eastAsia="Times New Roman" w:hAnsi="Arial" w:cs="Arial"/>
          <w:b/>
          <w:bCs/>
          <w:color w:val="000000"/>
          <w:kern w:val="0"/>
          <w:sz w:val="22"/>
          <w:szCs w:val="22"/>
          <w:lang w:val="en-US" w:eastAsia="el-GR"/>
        </w:rPr>
        <w:t>ALD, showing reduced volume and increased signal intensity of the white matter locali</w:t>
      </w:r>
      <w:r w:rsidR="005B242B" w:rsidRPr="002739CB">
        <w:rPr>
          <w:rFonts w:ascii="Arial" w:eastAsia="Times New Roman" w:hAnsi="Arial" w:cs="Arial"/>
          <w:b/>
          <w:bCs/>
          <w:color w:val="000000"/>
          <w:kern w:val="0"/>
          <w:sz w:val="22"/>
          <w:szCs w:val="22"/>
          <w:lang w:val="en-US" w:eastAsia="el-GR"/>
        </w:rPr>
        <w:t>z</w:t>
      </w:r>
      <w:r w:rsidRPr="002739CB">
        <w:rPr>
          <w:rFonts w:ascii="Arial" w:eastAsia="Times New Roman" w:hAnsi="Arial" w:cs="Arial"/>
          <w:b/>
          <w:bCs/>
          <w:color w:val="000000"/>
          <w:kern w:val="0"/>
          <w:sz w:val="22"/>
          <w:szCs w:val="22"/>
          <w:lang w:val="en-US" w:eastAsia="el-GR"/>
        </w:rPr>
        <w:t>ed mainly at the parieto-occipital regions. The anterior white matter is spared.</w:t>
      </w:r>
      <w:r w:rsidR="002739CB">
        <w:rPr>
          <w:rFonts w:ascii="Arial" w:eastAsia="Times New Roman" w:hAnsi="Arial" w:cs="Arial"/>
          <w:b/>
          <w:bCs/>
          <w:color w:val="000000"/>
          <w:kern w:val="0"/>
          <w:sz w:val="22"/>
          <w:szCs w:val="22"/>
          <w:lang w:val="en-US" w:eastAsia="el-GR"/>
        </w:rPr>
        <w:t xml:space="preserve"> </w:t>
      </w:r>
      <w:r w:rsidRPr="002739CB">
        <w:rPr>
          <w:rFonts w:ascii="Arial" w:eastAsia="Times New Roman" w:hAnsi="Arial" w:cs="Arial"/>
          <w:b/>
          <w:bCs/>
          <w:kern w:val="0"/>
          <w:sz w:val="22"/>
          <w:szCs w:val="22"/>
          <w:lang w:val="en-US" w:eastAsia="el-GR"/>
        </w:rPr>
        <w:t>(</w:t>
      </w:r>
      <w:hyperlink r:id="rId14" w:history="1">
        <w:r w:rsidR="00206B79" w:rsidRPr="002739CB">
          <w:rPr>
            <w:rStyle w:val="Hyperlink"/>
            <w:rFonts w:ascii="Arial" w:eastAsia="Times New Roman" w:hAnsi="Arial" w:cs="Arial"/>
            <w:b/>
            <w:bCs/>
            <w:color w:val="auto"/>
            <w:kern w:val="0"/>
            <w:sz w:val="22"/>
            <w:szCs w:val="22"/>
            <w:u w:val="none"/>
            <w:bdr w:val="none" w:sz="0" w:space="0" w:color="auto" w:frame="1"/>
            <w:lang w:val="en-US" w:eastAsia="el-GR"/>
          </w:rPr>
          <w:t>http://en.wikipedia.org/w/index.php?title=Adrenoleukodystrophy&amp;oldid=506277486</w:t>
        </w:r>
      </w:hyperlink>
      <w:r w:rsidRPr="002739CB">
        <w:rPr>
          <w:rFonts w:ascii="Arial" w:eastAsia="Times New Roman" w:hAnsi="Arial" w:cs="Arial"/>
          <w:b/>
          <w:bCs/>
          <w:kern w:val="0"/>
          <w:sz w:val="22"/>
          <w:szCs w:val="22"/>
          <w:lang w:val="en-US" w:eastAsia="el-GR"/>
        </w:rPr>
        <w:t>).</w:t>
      </w:r>
    </w:p>
    <w:p w14:paraId="5043CB0F" w14:textId="77777777" w:rsidR="004814E6" w:rsidRPr="00DE3121" w:rsidRDefault="004814E6" w:rsidP="00DE3121">
      <w:pPr>
        <w:spacing w:after="0" w:line="276" w:lineRule="auto"/>
        <w:textAlignment w:val="baseline"/>
        <w:rPr>
          <w:rFonts w:ascii="Arial" w:eastAsia="Times New Roman" w:hAnsi="Arial" w:cs="Arial"/>
          <w:kern w:val="0"/>
          <w:sz w:val="22"/>
          <w:szCs w:val="22"/>
          <w:lang w:val="en-US" w:eastAsia="el-GR"/>
        </w:rPr>
      </w:pPr>
    </w:p>
    <w:bookmarkEnd w:id="1"/>
    <w:p w14:paraId="2C95A3EC" w14:textId="77777777" w:rsidR="00557CF7" w:rsidRPr="002739CB" w:rsidRDefault="00557CF7" w:rsidP="00DE3121">
      <w:pPr>
        <w:spacing w:after="0" w:line="276" w:lineRule="auto"/>
        <w:textAlignment w:val="baseline"/>
        <w:outlineLvl w:val="1"/>
        <w:rPr>
          <w:rFonts w:ascii="Arial" w:eastAsia="Times New Roman" w:hAnsi="Arial" w:cs="Arial"/>
          <w:b/>
          <w:bCs/>
          <w:color w:val="0070C0"/>
          <w:kern w:val="0"/>
          <w:sz w:val="22"/>
          <w:szCs w:val="22"/>
          <w:lang w:val="en-US" w:eastAsia="el-GR"/>
        </w:rPr>
      </w:pPr>
      <w:r w:rsidRPr="002739CB">
        <w:rPr>
          <w:rFonts w:ascii="Arial" w:eastAsia="Times New Roman" w:hAnsi="Arial" w:cs="Arial"/>
          <w:b/>
          <w:bCs/>
          <w:color w:val="0070C0"/>
          <w:kern w:val="0"/>
          <w:sz w:val="22"/>
          <w:szCs w:val="22"/>
          <w:lang w:val="en-US" w:eastAsia="el-GR"/>
        </w:rPr>
        <w:t>THERAPY</w:t>
      </w:r>
    </w:p>
    <w:p w14:paraId="07459315" w14:textId="77777777" w:rsidR="00594E4A" w:rsidRPr="00DE3121" w:rsidRDefault="00594E4A" w:rsidP="00DE3121">
      <w:pPr>
        <w:spacing w:after="0" w:line="276" w:lineRule="auto"/>
        <w:textAlignment w:val="baseline"/>
        <w:outlineLvl w:val="1"/>
        <w:rPr>
          <w:rFonts w:ascii="Arial" w:eastAsia="Times New Roman" w:hAnsi="Arial" w:cs="Arial"/>
          <w:b/>
          <w:bCs/>
          <w:color w:val="000000"/>
          <w:kern w:val="0"/>
          <w:sz w:val="22"/>
          <w:szCs w:val="22"/>
          <w:lang w:val="en-US" w:eastAsia="el-GR"/>
        </w:rPr>
      </w:pPr>
    </w:p>
    <w:p w14:paraId="7429DBCA" w14:textId="77777777" w:rsidR="00594E4A" w:rsidRPr="002739CB" w:rsidRDefault="00594E4A" w:rsidP="00DE3121">
      <w:pPr>
        <w:spacing w:after="0" w:line="276" w:lineRule="auto"/>
        <w:textAlignment w:val="baseline"/>
        <w:outlineLvl w:val="2"/>
        <w:rPr>
          <w:rFonts w:ascii="Arial" w:eastAsia="Times New Roman" w:hAnsi="Arial" w:cs="Arial"/>
          <w:b/>
          <w:bCs/>
          <w:color w:val="00B050"/>
          <w:kern w:val="0"/>
          <w:sz w:val="22"/>
          <w:szCs w:val="22"/>
          <w:lang w:val="en-US" w:eastAsia="el-GR"/>
        </w:rPr>
      </w:pPr>
      <w:r w:rsidRPr="002739CB">
        <w:rPr>
          <w:rFonts w:ascii="Arial" w:eastAsia="Times New Roman" w:hAnsi="Arial" w:cs="Arial"/>
          <w:b/>
          <w:bCs/>
          <w:color w:val="00B050"/>
          <w:kern w:val="0"/>
          <w:sz w:val="22"/>
          <w:szCs w:val="22"/>
          <w:lang w:val="en-US" w:eastAsia="el-GR"/>
        </w:rPr>
        <w:t>Dietary Treatment</w:t>
      </w:r>
    </w:p>
    <w:p w14:paraId="649CC1FA" w14:textId="77777777" w:rsidR="00594E4A" w:rsidRPr="00DE3121" w:rsidRDefault="00594E4A" w:rsidP="00DE3121">
      <w:pPr>
        <w:spacing w:after="0"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w:t>
      </w:r>
    </w:p>
    <w:p w14:paraId="4C22CB82" w14:textId="77777777" w:rsidR="00594E4A" w:rsidRDefault="00594E4A" w:rsidP="00DE3121">
      <w:pPr>
        <w:spacing w:after="0" w:line="276" w:lineRule="auto"/>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 xml:space="preserve">Τherapeutic options include dietary therapies with restriction of fat intake and particularly of VLCFAs and saturated fats to avoid their accumulation. In order to achieve this, total fat intake is restricted to 15% of the total calorie supply and a maximum of 5-10 mg of C26:0 </w:t>
      </w:r>
      <w:r w:rsidR="003E5E84" w:rsidRPr="00DE3121">
        <w:rPr>
          <w:rFonts w:ascii="Arial" w:eastAsia="Arial" w:hAnsi="Arial" w:cs="Arial"/>
          <w:color w:val="000000"/>
          <w:kern w:val="0"/>
          <w:sz w:val="22"/>
          <w:szCs w:val="22"/>
          <w:lang w:val="en-US" w:eastAsia="el-GR"/>
        </w:rPr>
        <w:t xml:space="preserve">is </w:t>
      </w:r>
      <w:r w:rsidRPr="00DE3121">
        <w:rPr>
          <w:rFonts w:ascii="Arial" w:eastAsia="Arial" w:hAnsi="Arial" w:cs="Arial"/>
          <w:color w:val="000000"/>
          <w:kern w:val="0"/>
          <w:sz w:val="22"/>
          <w:szCs w:val="22"/>
          <w:lang w:val="en-US" w:eastAsia="el-GR"/>
        </w:rPr>
        <w:t xml:space="preserve">allowed on a daily basis (Table </w:t>
      </w:r>
      <w:r w:rsidR="005B242B" w:rsidRPr="00DE3121">
        <w:rPr>
          <w:rFonts w:ascii="Arial" w:eastAsia="Arial" w:hAnsi="Arial" w:cs="Arial"/>
          <w:color w:val="000000"/>
          <w:kern w:val="0"/>
          <w:sz w:val="22"/>
          <w:szCs w:val="22"/>
          <w:lang w:val="en-US" w:eastAsia="el-GR"/>
        </w:rPr>
        <w:t>3</w:t>
      </w:r>
      <w:r w:rsidRPr="00DE3121">
        <w:rPr>
          <w:rFonts w:ascii="Arial" w:eastAsia="Arial" w:hAnsi="Arial" w:cs="Arial"/>
          <w:color w:val="000000"/>
          <w:kern w:val="0"/>
          <w:sz w:val="22"/>
          <w:szCs w:val="22"/>
          <w:lang w:val="en-US" w:eastAsia="el-GR"/>
        </w:rPr>
        <w:t xml:space="preserve">). </w:t>
      </w:r>
    </w:p>
    <w:p w14:paraId="0A730418" w14:textId="77777777" w:rsidR="002739CB" w:rsidRPr="00DE3121" w:rsidRDefault="002739CB" w:rsidP="00DE3121">
      <w:pPr>
        <w:spacing w:after="0" w:line="276" w:lineRule="auto"/>
        <w:textAlignment w:val="baseline"/>
        <w:rPr>
          <w:rFonts w:ascii="Arial" w:eastAsia="Arial" w:hAnsi="Arial" w:cs="Arial"/>
          <w:color w:val="000000"/>
          <w:kern w:val="0"/>
          <w:sz w:val="22"/>
          <w:szCs w:val="22"/>
          <w:lang w:val="en-US" w:eastAsia="el-GR"/>
        </w:rPr>
      </w:pPr>
    </w:p>
    <w:tbl>
      <w:tblPr>
        <w:tblStyle w:val="TableGrid"/>
        <w:tblW w:w="9375" w:type="dxa"/>
        <w:tblLook w:val="04A0" w:firstRow="1" w:lastRow="0" w:firstColumn="1" w:lastColumn="0" w:noHBand="0" w:noVBand="1"/>
      </w:tblPr>
      <w:tblGrid>
        <w:gridCol w:w="4680"/>
        <w:gridCol w:w="4695"/>
      </w:tblGrid>
      <w:tr w:rsidR="00594E4A" w:rsidRPr="00DE3121" w14:paraId="5129EF7D" w14:textId="77777777" w:rsidTr="002739CB">
        <w:tc>
          <w:tcPr>
            <w:tcW w:w="9015" w:type="dxa"/>
            <w:gridSpan w:val="2"/>
            <w:shd w:val="clear" w:color="auto" w:fill="FFFF00"/>
            <w:hideMark/>
          </w:tcPr>
          <w:p w14:paraId="43B0A87E" w14:textId="77777777" w:rsidR="00594E4A" w:rsidRPr="00DE3121" w:rsidRDefault="00594E4A" w:rsidP="00DE3121">
            <w:pPr>
              <w:spacing w:line="276" w:lineRule="auto"/>
              <w:textAlignment w:val="baseline"/>
              <w:outlineLvl w:val="2"/>
              <w:rPr>
                <w:rFonts w:ascii="Arial" w:eastAsia="Arial" w:hAnsi="Arial" w:cs="Arial"/>
                <w:b/>
                <w:bCs/>
                <w:color w:val="000000"/>
                <w:kern w:val="0"/>
                <w:sz w:val="22"/>
                <w:szCs w:val="22"/>
                <w:lang w:eastAsia="el-GR"/>
              </w:rPr>
            </w:pPr>
            <w:r w:rsidRPr="00DE3121">
              <w:rPr>
                <w:rFonts w:ascii="Arial" w:eastAsia="Arial" w:hAnsi="Arial" w:cs="Arial"/>
                <w:b/>
                <w:bCs/>
                <w:color w:val="000000"/>
                <w:kern w:val="0"/>
                <w:sz w:val="22"/>
                <w:szCs w:val="22"/>
                <w:bdr w:val="none" w:sz="0" w:space="0" w:color="auto" w:frame="1"/>
                <w:lang w:val="en-US" w:eastAsia="el-GR"/>
              </w:rPr>
              <w:t>Table</w:t>
            </w:r>
            <w:r w:rsidR="005B242B" w:rsidRPr="00DE3121">
              <w:rPr>
                <w:rFonts w:ascii="Arial" w:eastAsia="Arial" w:hAnsi="Arial" w:cs="Arial"/>
                <w:b/>
                <w:bCs/>
                <w:color w:val="000000"/>
                <w:kern w:val="0"/>
                <w:sz w:val="22"/>
                <w:szCs w:val="22"/>
                <w:bdr w:val="none" w:sz="0" w:space="0" w:color="auto" w:frame="1"/>
                <w:lang w:val="en-US" w:eastAsia="el-GR"/>
              </w:rPr>
              <w:t xml:space="preserve"> 3</w:t>
            </w:r>
            <w:r w:rsidRPr="00DE3121">
              <w:rPr>
                <w:rFonts w:ascii="Arial" w:eastAsia="Arial" w:hAnsi="Arial" w:cs="Arial"/>
                <w:b/>
                <w:bCs/>
                <w:color w:val="000000"/>
                <w:kern w:val="0"/>
                <w:sz w:val="22"/>
                <w:szCs w:val="22"/>
                <w:lang w:val="en-US" w:eastAsia="el-GR"/>
              </w:rPr>
              <w:t>. </w:t>
            </w:r>
            <w:r w:rsidRPr="00DE3121">
              <w:rPr>
                <w:rFonts w:ascii="Arial" w:eastAsia="Arial" w:hAnsi="Arial" w:cs="Arial"/>
                <w:b/>
                <w:bCs/>
                <w:color w:val="000000"/>
                <w:kern w:val="0"/>
                <w:sz w:val="22"/>
                <w:szCs w:val="22"/>
                <w:bdr w:val="none" w:sz="0" w:space="0" w:color="auto" w:frame="1"/>
                <w:lang w:val="en-US" w:eastAsia="el-GR"/>
              </w:rPr>
              <w:t xml:space="preserve">Dietary Restrictions In X-ALD. </w:t>
            </w:r>
            <w:r w:rsidRPr="00DE3121">
              <w:rPr>
                <w:rFonts w:ascii="Arial" w:eastAsia="Arial" w:hAnsi="Arial" w:cs="Arial"/>
                <w:b/>
                <w:bCs/>
                <w:color w:val="000000"/>
                <w:kern w:val="0"/>
                <w:sz w:val="22"/>
                <w:szCs w:val="22"/>
                <w:bdr w:val="none" w:sz="0" w:space="0" w:color="auto" w:frame="1"/>
                <w:lang w:eastAsia="el-GR"/>
              </w:rPr>
              <w:t>Adopted Form Ref</w:t>
            </w:r>
            <w:r w:rsidR="003732BA" w:rsidRPr="00DE3121">
              <w:rPr>
                <w:rFonts w:ascii="Arial" w:eastAsia="Arial" w:hAnsi="Arial" w:cs="Arial"/>
                <w:b/>
                <w:bCs/>
                <w:color w:val="000000"/>
                <w:kern w:val="0"/>
                <w:sz w:val="22"/>
                <w:szCs w:val="22"/>
                <w:bdr w:val="none" w:sz="0" w:space="0" w:color="auto" w:frame="1"/>
                <w:lang w:eastAsia="el-GR"/>
              </w:rPr>
              <w:t>.</w:t>
            </w:r>
            <w:r w:rsidRPr="00DE3121">
              <w:rPr>
                <w:rFonts w:ascii="Arial" w:eastAsia="Arial" w:hAnsi="Arial" w:cs="Arial"/>
                <w:b/>
                <w:bCs/>
                <w:color w:val="000000"/>
                <w:kern w:val="0"/>
                <w:sz w:val="22"/>
                <w:szCs w:val="22"/>
                <w:bdr w:val="none" w:sz="0" w:space="0" w:color="auto" w:frame="1"/>
                <w:lang w:eastAsia="el-GR"/>
              </w:rPr>
              <w:t xml:space="preserve"> </w:t>
            </w:r>
            <w:r w:rsidR="003732BA" w:rsidRPr="00DE3121">
              <w:rPr>
                <w:rFonts w:ascii="Arial" w:eastAsia="Arial" w:hAnsi="Arial" w:cs="Arial"/>
                <w:b/>
                <w:bCs/>
                <w:color w:val="000000"/>
                <w:kern w:val="0"/>
                <w:sz w:val="22"/>
                <w:szCs w:val="22"/>
                <w:bdr w:val="none" w:sz="0" w:space="0" w:color="auto" w:frame="1"/>
                <w:lang w:eastAsia="el-GR"/>
              </w:rPr>
              <w:t>2</w:t>
            </w:r>
          </w:p>
        </w:tc>
      </w:tr>
      <w:tr w:rsidR="00594E4A" w:rsidRPr="00DE3121" w14:paraId="0C70B557" w14:textId="77777777" w:rsidTr="002739CB">
        <w:tc>
          <w:tcPr>
            <w:tcW w:w="4500" w:type="dxa"/>
            <w:hideMark/>
          </w:tcPr>
          <w:p w14:paraId="1634AD6C" w14:textId="77777777" w:rsidR="00594E4A" w:rsidRPr="00DE3121" w:rsidRDefault="00594E4A" w:rsidP="00DE3121">
            <w:pPr>
              <w:spacing w:line="276" w:lineRule="auto"/>
              <w:rPr>
                <w:rFonts w:ascii="Arial" w:eastAsia="Arial" w:hAnsi="Arial" w:cs="Arial"/>
                <w:color w:val="000000"/>
                <w:kern w:val="0"/>
                <w:sz w:val="22"/>
                <w:szCs w:val="22"/>
                <w:lang w:eastAsia="el-GR"/>
              </w:rPr>
            </w:pPr>
            <w:r w:rsidRPr="00DE3121">
              <w:rPr>
                <w:rFonts w:ascii="Arial" w:eastAsia="Arial" w:hAnsi="Arial" w:cs="Arial"/>
                <w:b/>
                <w:bCs/>
                <w:color w:val="000000"/>
                <w:kern w:val="0"/>
                <w:sz w:val="22"/>
                <w:szCs w:val="22"/>
                <w:bdr w:val="none" w:sz="0" w:space="0" w:color="auto" w:frame="1"/>
                <w:lang w:eastAsia="el-GR"/>
              </w:rPr>
              <w:t>Foods rich in VLCFAs</w:t>
            </w:r>
          </w:p>
        </w:tc>
        <w:tc>
          <w:tcPr>
            <w:tcW w:w="4500" w:type="dxa"/>
            <w:hideMark/>
          </w:tcPr>
          <w:p w14:paraId="47B749F4" w14:textId="77777777" w:rsidR="00594E4A" w:rsidRPr="00DE3121" w:rsidRDefault="00594E4A" w:rsidP="00DE3121">
            <w:pPr>
              <w:spacing w:line="276" w:lineRule="auto"/>
              <w:rPr>
                <w:rFonts w:ascii="Arial" w:eastAsia="Arial" w:hAnsi="Arial" w:cs="Arial"/>
                <w:color w:val="000000"/>
                <w:kern w:val="0"/>
                <w:sz w:val="22"/>
                <w:szCs w:val="22"/>
                <w:lang w:val="en-US" w:eastAsia="el-GR"/>
              </w:rPr>
            </w:pPr>
            <w:r w:rsidRPr="00DE3121">
              <w:rPr>
                <w:rFonts w:ascii="Arial" w:eastAsia="Arial" w:hAnsi="Arial" w:cs="Arial"/>
                <w:b/>
                <w:bCs/>
                <w:color w:val="000000"/>
                <w:kern w:val="0"/>
                <w:sz w:val="22"/>
                <w:szCs w:val="22"/>
                <w:bdr w:val="none" w:sz="0" w:space="0" w:color="auto" w:frame="1"/>
                <w:lang w:val="en-US" w:eastAsia="el-GR"/>
              </w:rPr>
              <w:t>Foods rich in saturated fat</w:t>
            </w:r>
          </w:p>
        </w:tc>
      </w:tr>
      <w:tr w:rsidR="00594E4A" w:rsidRPr="00DE3121" w14:paraId="2EE73D92" w14:textId="77777777" w:rsidTr="002739CB">
        <w:tc>
          <w:tcPr>
            <w:tcW w:w="4500" w:type="dxa"/>
            <w:hideMark/>
          </w:tcPr>
          <w:p w14:paraId="7465293A" w14:textId="77777777" w:rsidR="00594E4A" w:rsidRPr="00DE3121" w:rsidRDefault="00594E4A" w:rsidP="00DE3121">
            <w:pPr>
              <w:spacing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Vegetable oils</w:t>
            </w:r>
          </w:p>
          <w:p w14:paraId="374D85A2" w14:textId="77777777" w:rsidR="00594E4A" w:rsidRPr="00DE3121" w:rsidRDefault="00594E4A" w:rsidP="00DE3121">
            <w:pPr>
              <w:spacing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Fatty fish and meat</w:t>
            </w:r>
          </w:p>
          <w:p w14:paraId="7EFC0D9E" w14:textId="77777777" w:rsidR="00594E4A" w:rsidRPr="00DE3121" w:rsidRDefault="00594E4A" w:rsidP="00DE3121">
            <w:pPr>
              <w:spacing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Plant cover and cuticle</w:t>
            </w:r>
          </w:p>
          <w:p w14:paraId="64382900" w14:textId="77777777" w:rsidR="00594E4A" w:rsidRPr="00DE3121" w:rsidRDefault="00594E4A" w:rsidP="00DE3121">
            <w:pPr>
              <w:spacing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Fruit peel and seeds</w:t>
            </w:r>
          </w:p>
          <w:p w14:paraId="1BED72F8" w14:textId="77777777" w:rsidR="00594E4A" w:rsidRPr="00DE3121" w:rsidRDefault="00594E4A" w:rsidP="00DE3121">
            <w:pPr>
              <w:spacing w:line="276" w:lineRule="auto"/>
              <w:textAlignment w:val="baseline"/>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Grains and nuts</w:t>
            </w:r>
          </w:p>
        </w:tc>
        <w:tc>
          <w:tcPr>
            <w:tcW w:w="4500" w:type="dxa"/>
            <w:hideMark/>
          </w:tcPr>
          <w:p w14:paraId="072BCEE6" w14:textId="77777777" w:rsidR="00594E4A" w:rsidRPr="00DE3121" w:rsidRDefault="00594E4A" w:rsidP="00DE3121">
            <w:pPr>
              <w:spacing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Vegetable oils</w:t>
            </w:r>
          </w:p>
          <w:p w14:paraId="3D96A7D7" w14:textId="77777777" w:rsidR="00594E4A" w:rsidRPr="00DE3121" w:rsidRDefault="00594E4A" w:rsidP="00DE3121">
            <w:pPr>
              <w:spacing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Fatty fish and meat</w:t>
            </w:r>
          </w:p>
          <w:p w14:paraId="3F31310F" w14:textId="77777777" w:rsidR="00594E4A" w:rsidRPr="00DE3121" w:rsidRDefault="00594E4A" w:rsidP="00DE3121">
            <w:pPr>
              <w:spacing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Milk and milk products</w:t>
            </w:r>
          </w:p>
          <w:p w14:paraId="77002E74" w14:textId="77777777" w:rsidR="00594E4A" w:rsidRPr="00DE3121" w:rsidRDefault="00594E4A" w:rsidP="00DE3121">
            <w:pPr>
              <w:spacing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Egg yolk</w:t>
            </w:r>
          </w:p>
          <w:p w14:paraId="0A9B74AE" w14:textId="77777777" w:rsidR="00594E4A" w:rsidRPr="00DE3121" w:rsidRDefault="00594E4A" w:rsidP="00DE3121">
            <w:pPr>
              <w:spacing w:line="276" w:lineRule="auto"/>
              <w:textAlignment w:val="baseline"/>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eastAsia="el-GR"/>
              </w:rPr>
              <w:t>Industrial pastry</w:t>
            </w:r>
          </w:p>
        </w:tc>
      </w:tr>
    </w:tbl>
    <w:p w14:paraId="6537F28F" w14:textId="77777777" w:rsidR="00594E4A" w:rsidRPr="00DE3121" w:rsidRDefault="00594E4A" w:rsidP="00DE3121">
      <w:pPr>
        <w:spacing w:after="0" w:line="276" w:lineRule="auto"/>
        <w:textAlignment w:val="baseline"/>
        <w:rPr>
          <w:rFonts w:ascii="Arial" w:eastAsia="Times New Roman" w:hAnsi="Arial" w:cs="Arial"/>
          <w:color w:val="000000"/>
          <w:kern w:val="0"/>
          <w:sz w:val="22"/>
          <w:szCs w:val="22"/>
          <w:lang w:val="en-US" w:eastAsia="el-GR"/>
        </w:rPr>
      </w:pPr>
    </w:p>
    <w:p w14:paraId="59FA8C10" w14:textId="77777777" w:rsidR="007A5777" w:rsidRDefault="00594E4A" w:rsidP="00DE3121">
      <w:pPr>
        <w:spacing w:after="0"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However, since the majority of VLCFA are of endogenous origin (</w:t>
      </w:r>
      <w:r w:rsidR="00E009E5" w:rsidRPr="00DE3121">
        <w:rPr>
          <w:rFonts w:ascii="Arial" w:eastAsia="Times New Roman" w:hAnsi="Arial" w:cs="Arial"/>
          <w:color w:val="000000"/>
          <w:kern w:val="0"/>
          <w:sz w:val="22"/>
          <w:szCs w:val="22"/>
          <w:lang w:val="en-US" w:eastAsia="el-GR"/>
        </w:rPr>
        <w:t>74</w:t>
      </w:r>
      <w:r w:rsidRPr="00DE3121">
        <w:rPr>
          <w:rFonts w:ascii="Arial" w:eastAsia="Times New Roman" w:hAnsi="Arial" w:cs="Arial"/>
          <w:color w:val="000000"/>
          <w:kern w:val="0"/>
          <w:sz w:val="22"/>
          <w:szCs w:val="22"/>
          <w:lang w:val="en-US" w:eastAsia="el-GR"/>
        </w:rPr>
        <w:t xml:space="preserve">), this approach is not sufficient. A mixture of </w:t>
      </w:r>
      <w:r w:rsidR="007F0D4F" w:rsidRPr="00DE3121">
        <w:rPr>
          <w:rFonts w:ascii="Arial" w:hAnsi="Arial" w:cs="Arial"/>
          <w:sz w:val="22"/>
          <w:szCs w:val="22"/>
          <w:lang w:val="en-US"/>
        </w:rPr>
        <w:t>oleic acid [C18:1] and erucic acid [C22:1]</w:t>
      </w:r>
      <w:r w:rsidRPr="00DE3121">
        <w:rPr>
          <w:rFonts w:ascii="Arial" w:eastAsia="Times New Roman" w:hAnsi="Arial" w:cs="Arial"/>
          <w:color w:val="000000"/>
          <w:kern w:val="0"/>
          <w:sz w:val="22"/>
          <w:szCs w:val="22"/>
          <w:lang w:val="en-US" w:eastAsia="el-GR"/>
        </w:rPr>
        <w:t xml:space="preserve">, also referred </w:t>
      </w:r>
      <w:r w:rsidR="007F0D4F" w:rsidRPr="00DE3121">
        <w:rPr>
          <w:rFonts w:ascii="Arial" w:eastAsia="Times New Roman" w:hAnsi="Arial" w:cs="Arial"/>
          <w:color w:val="000000"/>
          <w:kern w:val="0"/>
          <w:sz w:val="22"/>
          <w:szCs w:val="22"/>
          <w:lang w:val="en-US" w:eastAsia="el-GR"/>
        </w:rPr>
        <w:t xml:space="preserve">to </w:t>
      </w:r>
      <w:r w:rsidRPr="00DE3121">
        <w:rPr>
          <w:rFonts w:ascii="Arial" w:eastAsia="Times New Roman" w:hAnsi="Arial" w:cs="Arial"/>
          <w:color w:val="000000"/>
          <w:kern w:val="0"/>
          <w:sz w:val="22"/>
          <w:szCs w:val="22"/>
          <w:lang w:val="en-US" w:eastAsia="el-GR"/>
        </w:rPr>
        <w:t xml:space="preserve">as </w:t>
      </w:r>
      <w:r w:rsidRPr="00DE3121">
        <w:rPr>
          <w:rFonts w:ascii="Arial" w:eastAsia="Times New Roman" w:hAnsi="Arial" w:cs="Arial"/>
          <w:color w:val="000000"/>
          <w:kern w:val="0"/>
          <w:sz w:val="22"/>
          <w:szCs w:val="22"/>
          <w:lang w:val="en-US" w:eastAsia="el-GR"/>
        </w:rPr>
        <w:lastRenderedPageBreak/>
        <w:t xml:space="preserve">Lorenzo's Oil (LO), </w:t>
      </w:r>
      <w:r w:rsidR="007A5777" w:rsidRPr="00DE3121">
        <w:rPr>
          <w:rFonts w:ascii="Arial" w:eastAsia="Times New Roman" w:hAnsi="Arial" w:cs="Arial"/>
          <w:color w:val="000000"/>
          <w:kern w:val="0"/>
          <w:sz w:val="22"/>
          <w:szCs w:val="22"/>
          <w:lang w:val="en-US" w:eastAsia="el-GR"/>
        </w:rPr>
        <w:t xml:space="preserve">has also been applied (75). LO has been shown </w:t>
      </w:r>
      <w:r w:rsidRPr="00DE3121">
        <w:rPr>
          <w:rFonts w:ascii="Arial" w:eastAsia="Times New Roman" w:hAnsi="Arial" w:cs="Arial"/>
          <w:color w:val="000000"/>
          <w:kern w:val="0"/>
          <w:sz w:val="22"/>
          <w:szCs w:val="22"/>
          <w:lang w:val="en-US" w:eastAsia="el-GR"/>
        </w:rPr>
        <w:t>to halt the elongation of VLCFA by inhibiting ELOVL1</w:t>
      </w:r>
      <w:r w:rsidR="007A5777" w:rsidRPr="00DE3121">
        <w:rPr>
          <w:rFonts w:ascii="Arial" w:eastAsia="Times New Roman" w:hAnsi="Arial" w:cs="Arial"/>
          <w:color w:val="000000"/>
          <w:kern w:val="0"/>
          <w:sz w:val="22"/>
          <w:szCs w:val="22"/>
          <w:lang w:val="en-US" w:eastAsia="el-GR"/>
        </w:rPr>
        <w:t xml:space="preserve">, </w:t>
      </w:r>
      <w:r w:rsidR="007A5777" w:rsidRPr="00DE3121">
        <w:rPr>
          <w:rFonts w:ascii="Arial" w:hAnsi="Arial" w:cs="Arial"/>
          <w:color w:val="212121"/>
          <w:sz w:val="22"/>
          <w:szCs w:val="22"/>
          <w:shd w:val="clear" w:color="auto" w:fill="FFFFFF"/>
          <w:lang w:val="en-US"/>
        </w:rPr>
        <w:t xml:space="preserve">the primary enzyme </w:t>
      </w:r>
      <w:r w:rsidR="007A5777" w:rsidRPr="00DE3121">
        <w:rPr>
          <w:rFonts w:ascii="Arial" w:hAnsi="Arial" w:cs="Arial"/>
          <w:color w:val="1F1F1F"/>
          <w:sz w:val="22"/>
          <w:szCs w:val="22"/>
          <w:shd w:val="clear" w:color="auto" w:fill="FFFFFF"/>
          <w:lang w:val="en-US"/>
        </w:rPr>
        <w:t>responsible for VLCFA synthesis</w:t>
      </w:r>
      <w:r w:rsidR="007A5777" w:rsidRPr="00DE3121">
        <w:rPr>
          <w:rFonts w:ascii="Arial" w:eastAsia="Times New Roman" w:hAnsi="Arial" w:cs="Arial"/>
          <w:color w:val="000000"/>
          <w:kern w:val="0"/>
          <w:sz w:val="22"/>
          <w:szCs w:val="22"/>
          <w:lang w:val="en-US" w:eastAsia="el-GR"/>
        </w:rPr>
        <w:t xml:space="preserve">. </w:t>
      </w:r>
    </w:p>
    <w:p w14:paraId="46662857" w14:textId="77777777" w:rsidR="002739CB" w:rsidRPr="00DE3121" w:rsidRDefault="002739CB" w:rsidP="00DE3121">
      <w:pPr>
        <w:spacing w:after="0" w:line="276" w:lineRule="auto"/>
        <w:textAlignment w:val="baseline"/>
        <w:rPr>
          <w:rFonts w:ascii="Arial" w:eastAsia="Times New Roman" w:hAnsi="Arial" w:cs="Arial"/>
          <w:color w:val="000000"/>
          <w:kern w:val="0"/>
          <w:sz w:val="22"/>
          <w:szCs w:val="22"/>
          <w:lang w:val="en-US" w:eastAsia="el-GR"/>
        </w:rPr>
      </w:pPr>
    </w:p>
    <w:p w14:paraId="42AE4F1F" w14:textId="77777777" w:rsidR="007F0D4F" w:rsidRPr="00DE3121" w:rsidRDefault="007F0D4F" w:rsidP="00DE3121">
      <w:pPr>
        <w:spacing w:after="0"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LO</w:t>
      </w:r>
      <w:r w:rsidR="00594E4A" w:rsidRPr="00DE3121">
        <w:rPr>
          <w:rFonts w:ascii="Arial" w:eastAsia="Times New Roman" w:hAnsi="Arial" w:cs="Arial"/>
          <w:color w:val="000000"/>
          <w:kern w:val="0"/>
          <w:sz w:val="22"/>
          <w:szCs w:val="22"/>
          <w:lang w:val="en-US" w:eastAsia="el-GR"/>
        </w:rPr>
        <w:t xml:space="preserve"> </w:t>
      </w:r>
      <w:r w:rsidRPr="00DE3121">
        <w:rPr>
          <w:rFonts w:ascii="Arial" w:hAnsi="Arial" w:cs="Arial"/>
          <w:sz w:val="22"/>
          <w:szCs w:val="22"/>
          <w:lang w:val="en-US"/>
        </w:rPr>
        <w:t xml:space="preserve">in combination with a low-fat diet nearly </w:t>
      </w:r>
      <w:r w:rsidR="00594E4A" w:rsidRPr="00DE3121">
        <w:rPr>
          <w:rFonts w:ascii="Arial" w:eastAsia="Times New Roman" w:hAnsi="Arial" w:cs="Arial"/>
          <w:color w:val="000000"/>
          <w:kern w:val="0"/>
          <w:sz w:val="22"/>
          <w:szCs w:val="22"/>
          <w:lang w:val="en-US" w:eastAsia="el-GR"/>
        </w:rPr>
        <w:t>normalizes plasma VLCFA levels within four weeks and in a study involving asymptomatic X-ALD patients with normal brain MRI, dietary treatment with LO resulted in a two</w:t>
      </w:r>
      <w:r w:rsidR="00633A4D" w:rsidRPr="00DE3121">
        <w:rPr>
          <w:rFonts w:ascii="Arial" w:eastAsia="Times New Roman" w:hAnsi="Arial" w:cs="Arial"/>
          <w:color w:val="000000" w:themeColor="text1"/>
          <w:sz w:val="22"/>
          <w:szCs w:val="22"/>
          <w:lang w:val="en-US" w:eastAsia="el-GR"/>
        </w:rPr>
        <w:t>-</w:t>
      </w:r>
      <w:r w:rsidR="00594E4A" w:rsidRPr="00DE3121">
        <w:rPr>
          <w:rFonts w:ascii="Arial" w:eastAsia="Times New Roman" w:hAnsi="Arial" w:cs="Arial"/>
          <w:color w:val="000000"/>
          <w:kern w:val="0"/>
          <w:sz w:val="22"/>
          <w:szCs w:val="22"/>
          <w:lang w:val="en-US" w:eastAsia="el-GR"/>
        </w:rPr>
        <w:t>fold or greater reduction in the risk of developing the childhood cerebral form of X-ALD (</w:t>
      </w:r>
      <w:r w:rsidR="00E009E5" w:rsidRPr="00DE3121">
        <w:rPr>
          <w:rFonts w:ascii="Arial" w:eastAsia="Times New Roman" w:hAnsi="Arial" w:cs="Arial"/>
          <w:color w:val="000000"/>
          <w:kern w:val="0"/>
          <w:sz w:val="22"/>
          <w:szCs w:val="22"/>
          <w:lang w:val="en-US" w:eastAsia="el-GR"/>
        </w:rPr>
        <w:t>76</w:t>
      </w:r>
      <w:r w:rsidR="00594E4A" w:rsidRPr="00DE3121">
        <w:rPr>
          <w:rFonts w:ascii="Arial" w:eastAsia="Times New Roman" w:hAnsi="Arial" w:cs="Arial"/>
          <w:color w:val="000000"/>
          <w:kern w:val="0"/>
          <w:sz w:val="22"/>
          <w:szCs w:val="22"/>
          <w:lang w:val="en-US" w:eastAsia="el-GR"/>
        </w:rPr>
        <w:t>).</w:t>
      </w:r>
      <w:r w:rsidRPr="00DE3121">
        <w:rPr>
          <w:rFonts w:ascii="Arial" w:eastAsia="Times New Roman" w:hAnsi="Arial" w:cs="Arial"/>
          <w:color w:val="000000"/>
          <w:kern w:val="0"/>
          <w:sz w:val="22"/>
          <w:szCs w:val="22"/>
          <w:lang w:val="en-US" w:eastAsia="el-GR"/>
        </w:rPr>
        <w:t xml:space="preserve"> </w:t>
      </w:r>
      <w:r w:rsidRPr="00DE3121">
        <w:rPr>
          <w:rFonts w:ascii="Arial" w:eastAsia="Times New Roman" w:hAnsi="Arial" w:cs="Arial"/>
          <w:kern w:val="0"/>
          <w:sz w:val="22"/>
          <w:szCs w:val="22"/>
          <w:lang w:val="en-US" w:eastAsia="el-GR"/>
        </w:rPr>
        <w:t xml:space="preserve">However, </w:t>
      </w:r>
      <w:r w:rsidR="00B3140C" w:rsidRPr="00DE3121">
        <w:rPr>
          <w:rFonts w:ascii="Arial" w:eastAsia="Times New Roman" w:hAnsi="Arial" w:cs="Arial"/>
          <w:kern w:val="0"/>
          <w:sz w:val="22"/>
          <w:szCs w:val="22"/>
          <w:lang w:val="en-US" w:eastAsia="el-GR"/>
        </w:rPr>
        <w:t xml:space="preserve">in patients who are already symptomatic, </w:t>
      </w:r>
      <w:r w:rsidRPr="00DE3121">
        <w:rPr>
          <w:rFonts w:ascii="Arial" w:hAnsi="Arial" w:cs="Arial"/>
          <w:sz w:val="22"/>
          <w:szCs w:val="22"/>
          <w:lang w:val="en-US"/>
        </w:rPr>
        <w:t>controlled clinical trials failed to show improved neurological or endocrine function, nor did it arrest the progression of the disease (</w:t>
      </w:r>
      <w:r w:rsidR="00E009E5" w:rsidRPr="00DE3121">
        <w:rPr>
          <w:rFonts w:ascii="Arial" w:hAnsi="Arial" w:cs="Arial"/>
          <w:sz w:val="22"/>
          <w:szCs w:val="22"/>
          <w:lang w:val="en-US"/>
        </w:rPr>
        <w:t>35</w:t>
      </w:r>
      <w:r w:rsidR="003732BA" w:rsidRPr="00DE3121">
        <w:rPr>
          <w:rFonts w:ascii="Arial" w:hAnsi="Arial" w:cs="Arial"/>
          <w:sz w:val="22"/>
          <w:szCs w:val="22"/>
          <w:lang w:val="en-US"/>
        </w:rPr>
        <w:t>,</w:t>
      </w:r>
      <w:r w:rsidRPr="00DE3121">
        <w:rPr>
          <w:rFonts w:ascii="Arial" w:hAnsi="Arial" w:cs="Arial"/>
          <w:sz w:val="22"/>
          <w:szCs w:val="22"/>
          <w:lang w:val="en-US"/>
        </w:rPr>
        <w:t xml:space="preserve"> </w:t>
      </w:r>
      <w:r w:rsidR="00E009E5" w:rsidRPr="00DE3121">
        <w:rPr>
          <w:rFonts w:ascii="Arial" w:hAnsi="Arial" w:cs="Arial"/>
          <w:sz w:val="22"/>
          <w:szCs w:val="22"/>
          <w:lang w:val="en-US"/>
        </w:rPr>
        <w:t>77</w:t>
      </w:r>
      <w:r w:rsidR="006822F9" w:rsidRPr="00DE3121">
        <w:rPr>
          <w:rFonts w:ascii="Arial" w:hAnsi="Arial" w:cs="Arial"/>
          <w:sz w:val="22"/>
          <w:szCs w:val="22"/>
          <w:lang w:val="en-US"/>
        </w:rPr>
        <w:t xml:space="preserve">, </w:t>
      </w:r>
      <w:r w:rsidR="004E0A15" w:rsidRPr="00DE3121">
        <w:rPr>
          <w:rFonts w:ascii="Arial" w:hAnsi="Arial" w:cs="Arial"/>
          <w:sz w:val="22"/>
          <w:szCs w:val="22"/>
          <w:lang w:val="en-US"/>
        </w:rPr>
        <w:t>78</w:t>
      </w:r>
      <w:r w:rsidRPr="00DE3121">
        <w:rPr>
          <w:rFonts w:ascii="Arial" w:hAnsi="Arial" w:cs="Arial"/>
          <w:sz w:val="22"/>
          <w:szCs w:val="22"/>
          <w:lang w:val="en-US"/>
        </w:rPr>
        <w:t>).</w:t>
      </w:r>
      <w:r w:rsidR="006822F9" w:rsidRPr="00DE3121">
        <w:rPr>
          <w:rFonts w:ascii="Arial" w:hAnsi="Arial" w:cs="Arial"/>
          <w:sz w:val="22"/>
          <w:szCs w:val="22"/>
          <w:lang w:val="en-US"/>
        </w:rPr>
        <w:t xml:space="preserve"> </w:t>
      </w:r>
      <w:r w:rsidRPr="00DE3121">
        <w:rPr>
          <w:rFonts w:ascii="Arial" w:eastAsia="Times New Roman" w:hAnsi="Arial" w:cs="Arial"/>
          <w:color w:val="000000"/>
          <w:kern w:val="0"/>
          <w:sz w:val="22"/>
          <w:szCs w:val="22"/>
          <w:lang w:val="en-US" w:eastAsia="el-GR"/>
        </w:rPr>
        <w:t>Treatment with LO may be continued for an indefinite time until disease progression and/or severe side effects occur. It is not recommended in children under one year of age, as it causes a decrease in the levels of other fatty acids, particularly docosahexaenoic acid, which is essential for neurocognitive development.</w:t>
      </w:r>
    </w:p>
    <w:p w14:paraId="6DFB9E20" w14:textId="77777777" w:rsidR="007F0D4F" w:rsidRPr="00DE3121" w:rsidRDefault="007F0D4F" w:rsidP="00DE3121">
      <w:pPr>
        <w:spacing w:after="0" w:line="276" w:lineRule="auto"/>
        <w:rPr>
          <w:rFonts w:ascii="Arial" w:hAnsi="Arial" w:cs="Arial"/>
          <w:color w:val="C00000"/>
          <w:sz w:val="22"/>
          <w:szCs w:val="22"/>
          <w:lang w:val="en-US"/>
        </w:rPr>
      </w:pPr>
    </w:p>
    <w:p w14:paraId="4C884FD8" w14:textId="493F44FD" w:rsidR="00241237" w:rsidRPr="002739CB" w:rsidRDefault="00241237" w:rsidP="00DE3121">
      <w:pPr>
        <w:spacing w:after="0" w:line="276" w:lineRule="auto"/>
        <w:textAlignment w:val="baseline"/>
        <w:rPr>
          <w:rFonts w:ascii="Arial" w:eastAsia="Times New Roman" w:hAnsi="Arial" w:cs="Arial"/>
          <w:color w:val="00B050"/>
          <w:kern w:val="0"/>
          <w:sz w:val="22"/>
          <w:szCs w:val="22"/>
          <w:lang w:val="en-US" w:eastAsia="el-GR"/>
        </w:rPr>
      </w:pPr>
      <w:r w:rsidRPr="002739CB">
        <w:rPr>
          <w:rFonts w:ascii="Arial" w:hAnsi="Arial" w:cs="Arial"/>
          <w:b/>
          <w:bCs/>
          <w:color w:val="00B050"/>
          <w:sz w:val="22"/>
          <w:szCs w:val="22"/>
          <w:lang w:val="en-US"/>
        </w:rPr>
        <w:t xml:space="preserve">Allogenic </w:t>
      </w:r>
      <w:r w:rsidR="002739CB" w:rsidRPr="002739CB">
        <w:rPr>
          <w:rFonts w:ascii="Arial" w:hAnsi="Arial" w:cs="Arial"/>
          <w:b/>
          <w:bCs/>
          <w:color w:val="00B050"/>
          <w:sz w:val="22"/>
          <w:szCs w:val="22"/>
          <w:lang w:val="en-US"/>
        </w:rPr>
        <w:t>H</w:t>
      </w:r>
      <w:r w:rsidRPr="002739CB">
        <w:rPr>
          <w:rFonts w:ascii="Arial" w:hAnsi="Arial" w:cs="Arial"/>
          <w:b/>
          <w:bCs/>
          <w:color w:val="00B050"/>
          <w:sz w:val="22"/>
          <w:szCs w:val="22"/>
          <w:lang w:val="en-US"/>
        </w:rPr>
        <w:t xml:space="preserve">ematopoietic </w:t>
      </w:r>
      <w:r w:rsidR="002739CB" w:rsidRPr="002739CB">
        <w:rPr>
          <w:rFonts w:ascii="Arial" w:hAnsi="Arial" w:cs="Arial"/>
          <w:b/>
          <w:bCs/>
          <w:color w:val="00B050"/>
          <w:sz w:val="22"/>
          <w:szCs w:val="22"/>
          <w:lang w:val="en-US"/>
        </w:rPr>
        <w:t>S</w:t>
      </w:r>
      <w:r w:rsidRPr="002739CB">
        <w:rPr>
          <w:rFonts w:ascii="Arial" w:hAnsi="Arial" w:cs="Arial"/>
          <w:b/>
          <w:bCs/>
          <w:color w:val="00B050"/>
          <w:sz w:val="22"/>
          <w:szCs w:val="22"/>
          <w:lang w:val="en-US"/>
        </w:rPr>
        <w:t xml:space="preserve">tem </w:t>
      </w:r>
      <w:r w:rsidR="002739CB" w:rsidRPr="002739CB">
        <w:rPr>
          <w:rFonts w:ascii="Arial" w:hAnsi="Arial" w:cs="Arial"/>
          <w:b/>
          <w:bCs/>
          <w:color w:val="00B050"/>
          <w:sz w:val="22"/>
          <w:szCs w:val="22"/>
          <w:lang w:val="en-US"/>
        </w:rPr>
        <w:t>C</w:t>
      </w:r>
      <w:r w:rsidRPr="002739CB">
        <w:rPr>
          <w:rFonts w:ascii="Arial" w:hAnsi="Arial" w:cs="Arial"/>
          <w:b/>
          <w:bCs/>
          <w:color w:val="00B050"/>
          <w:sz w:val="22"/>
          <w:szCs w:val="22"/>
          <w:lang w:val="en-US"/>
        </w:rPr>
        <w:t xml:space="preserve">ell </w:t>
      </w:r>
      <w:r w:rsidR="002739CB" w:rsidRPr="002739CB">
        <w:rPr>
          <w:rFonts w:ascii="Arial" w:hAnsi="Arial" w:cs="Arial"/>
          <w:b/>
          <w:bCs/>
          <w:color w:val="00B050"/>
          <w:sz w:val="22"/>
          <w:szCs w:val="22"/>
          <w:lang w:val="en-US"/>
        </w:rPr>
        <w:t>T</w:t>
      </w:r>
      <w:r w:rsidRPr="002739CB">
        <w:rPr>
          <w:rFonts w:ascii="Arial" w:hAnsi="Arial" w:cs="Arial"/>
          <w:b/>
          <w:bCs/>
          <w:color w:val="00B050"/>
          <w:sz w:val="22"/>
          <w:szCs w:val="22"/>
          <w:lang w:val="en-US"/>
        </w:rPr>
        <w:t xml:space="preserve">ransplantation (HSCT) </w:t>
      </w:r>
    </w:p>
    <w:p w14:paraId="44E871BC" w14:textId="77777777" w:rsidR="004103B9" w:rsidRPr="00DE3121" w:rsidRDefault="004103B9" w:rsidP="00DE3121">
      <w:pPr>
        <w:spacing w:after="0" w:line="276" w:lineRule="auto"/>
        <w:rPr>
          <w:rFonts w:ascii="Arial" w:eastAsia="Times New Roman" w:hAnsi="Arial" w:cs="Arial"/>
          <w:color w:val="000000"/>
          <w:kern w:val="0"/>
          <w:sz w:val="22"/>
          <w:szCs w:val="22"/>
          <w:lang w:val="en-US" w:eastAsia="el-GR"/>
        </w:rPr>
      </w:pPr>
    </w:p>
    <w:p w14:paraId="693AE4B7" w14:textId="77777777" w:rsidR="009261C3" w:rsidRDefault="00814865" w:rsidP="00DE3121">
      <w:pPr>
        <w:spacing w:after="0" w:line="276" w:lineRule="auto"/>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xml:space="preserve">Allogeneic HSCT is the treatment of choice for individuals with early stages of cerebral involvement of X-ALD, which may increase </w:t>
      </w:r>
      <w:r w:rsidR="00ED51A8" w:rsidRPr="00DE3121">
        <w:rPr>
          <w:rFonts w:ascii="Arial" w:eastAsia="Times New Roman" w:hAnsi="Arial" w:cs="Arial"/>
          <w:color w:val="000000"/>
          <w:kern w:val="0"/>
          <w:sz w:val="22"/>
          <w:szCs w:val="22"/>
          <w:lang w:val="en-US" w:eastAsia="el-GR"/>
        </w:rPr>
        <w:t>disease-</w:t>
      </w:r>
      <w:r w:rsidRPr="00DE3121">
        <w:rPr>
          <w:rFonts w:ascii="Arial" w:eastAsia="Times New Roman" w:hAnsi="Arial" w:cs="Arial"/>
          <w:color w:val="000000"/>
          <w:kern w:val="0"/>
          <w:sz w:val="22"/>
          <w:szCs w:val="22"/>
          <w:lang w:val="en-US" w:eastAsia="el-GR"/>
        </w:rPr>
        <w:t xml:space="preserve">specific survival and can lead to long-term stabilization and improvement </w:t>
      </w:r>
      <w:r w:rsidR="00AD4C3A" w:rsidRPr="00DE3121">
        <w:rPr>
          <w:rFonts w:ascii="Arial" w:eastAsia="Times New Roman" w:hAnsi="Arial" w:cs="Arial"/>
          <w:color w:val="000000"/>
          <w:kern w:val="0"/>
          <w:sz w:val="22"/>
          <w:szCs w:val="22"/>
          <w:lang w:val="en-US" w:eastAsia="el-GR"/>
        </w:rPr>
        <w:t xml:space="preserve">of neurological status </w:t>
      </w:r>
      <w:r w:rsidRPr="00DE3121">
        <w:rPr>
          <w:rFonts w:ascii="Arial" w:eastAsia="Times New Roman" w:hAnsi="Arial" w:cs="Arial"/>
          <w:color w:val="000000"/>
          <w:kern w:val="0"/>
          <w:sz w:val="22"/>
          <w:szCs w:val="22"/>
          <w:lang w:val="en-US" w:eastAsia="el-GR"/>
        </w:rPr>
        <w:t>(</w:t>
      </w:r>
      <w:r w:rsidR="00831150" w:rsidRPr="00DE3121">
        <w:rPr>
          <w:rFonts w:ascii="Arial" w:eastAsia="Times New Roman" w:hAnsi="Arial" w:cs="Arial"/>
          <w:color w:val="000000"/>
          <w:kern w:val="0"/>
          <w:sz w:val="22"/>
          <w:szCs w:val="22"/>
          <w:lang w:val="en-US" w:eastAsia="el-GR"/>
        </w:rPr>
        <w:t>77</w:t>
      </w:r>
      <w:r w:rsidRPr="00DE3121">
        <w:rPr>
          <w:rFonts w:ascii="Arial" w:eastAsia="Times New Roman" w:hAnsi="Arial" w:cs="Arial"/>
          <w:color w:val="000000"/>
          <w:kern w:val="0"/>
          <w:sz w:val="22"/>
          <w:szCs w:val="22"/>
          <w:lang w:val="en-US" w:eastAsia="el-GR"/>
        </w:rPr>
        <w:t xml:space="preserve">, </w:t>
      </w:r>
      <w:r w:rsidR="00831150" w:rsidRPr="00DE3121">
        <w:rPr>
          <w:rFonts w:ascii="Arial" w:eastAsia="Times New Roman" w:hAnsi="Arial" w:cs="Arial"/>
          <w:color w:val="000000"/>
          <w:kern w:val="0"/>
          <w:sz w:val="22"/>
          <w:szCs w:val="22"/>
          <w:lang w:val="en-US" w:eastAsia="el-GR"/>
        </w:rPr>
        <w:t>79</w:t>
      </w:r>
      <w:r w:rsidRPr="00DE3121">
        <w:rPr>
          <w:rFonts w:ascii="Arial" w:eastAsia="Times New Roman" w:hAnsi="Arial" w:cs="Arial"/>
          <w:color w:val="000000"/>
          <w:kern w:val="0"/>
          <w:sz w:val="22"/>
          <w:szCs w:val="22"/>
          <w:lang w:val="en-US" w:eastAsia="el-GR"/>
        </w:rPr>
        <w:t xml:space="preserve">, </w:t>
      </w:r>
      <w:r w:rsidR="00831150" w:rsidRPr="00DE3121">
        <w:rPr>
          <w:rFonts w:ascii="Arial" w:eastAsia="Times New Roman" w:hAnsi="Arial" w:cs="Arial"/>
          <w:color w:val="000000"/>
          <w:kern w:val="0"/>
          <w:sz w:val="22"/>
          <w:szCs w:val="22"/>
          <w:lang w:val="en-US" w:eastAsia="el-GR"/>
        </w:rPr>
        <w:t>8</w:t>
      </w:r>
      <w:r w:rsidR="006822F9" w:rsidRPr="00DE3121">
        <w:rPr>
          <w:rFonts w:ascii="Arial" w:eastAsia="Times New Roman" w:hAnsi="Arial" w:cs="Arial"/>
          <w:color w:val="000000"/>
          <w:kern w:val="0"/>
          <w:sz w:val="22"/>
          <w:szCs w:val="22"/>
          <w:lang w:val="en-US" w:eastAsia="el-GR"/>
        </w:rPr>
        <w:t>0</w:t>
      </w:r>
      <w:r w:rsidRPr="00DE3121">
        <w:rPr>
          <w:rFonts w:ascii="Arial" w:eastAsia="Times New Roman" w:hAnsi="Arial" w:cs="Arial"/>
          <w:color w:val="000000"/>
          <w:kern w:val="0"/>
          <w:sz w:val="22"/>
          <w:szCs w:val="22"/>
          <w:lang w:val="en-US" w:eastAsia="el-GR"/>
        </w:rPr>
        <w:t>). Stem cells can be harvested from peripheral blood, bone marrow, and umbilical cord blood of immune-compatible donors. Although the mechanism of this effect is still unclear, bone marrow cells do express the ABCD1 gene and plasma VLCFA levels are reduced after bone marrow transplantation, offering a useful biomarker for the assessment of engraftment, graft failure, or rejection (</w:t>
      </w:r>
      <w:r w:rsidR="00831150" w:rsidRPr="00DE3121">
        <w:rPr>
          <w:rFonts w:ascii="Arial" w:eastAsia="Times New Roman" w:hAnsi="Arial" w:cs="Arial"/>
          <w:color w:val="000000"/>
          <w:kern w:val="0"/>
          <w:sz w:val="22"/>
          <w:szCs w:val="22"/>
          <w:lang w:val="en-US" w:eastAsia="el-GR"/>
        </w:rPr>
        <w:t>81</w:t>
      </w:r>
      <w:r w:rsidRPr="00DE3121">
        <w:rPr>
          <w:rFonts w:ascii="Arial" w:eastAsia="Times New Roman" w:hAnsi="Arial" w:cs="Arial"/>
          <w:color w:val="000000"/>
          <w:kern w:val="0"/>
          <w:sz w:val="22"/>
          <w:szCs w:val="22"/>
          <w:lang w:val="en-US" w:eastAsia="el-GR"/>
        </w:rPr>
        <w:t>).</w:t>
      </w:r>
      <w:r w:rsidR="009261C3" w:rsidRPr="00DE3121">
        <w:rPr>
          <w:rFonts w:ascii="Arial" w:eastAsia="Times New Roman" w:hAnsi="Arial" w:cs="Arial"/>
          <w:color w:val="000000"/>
          <w:kern w:val="0"/>
          <w:sz w:val="22"/>
          <w:szCs w:val="22"/>
          <w:lang w:val="en-US" w:eastAsia="el-GR"/>
        </w:rPr>
        <w:t xml:space="preserve"> It has been shown that bone marrow-derived cells do enter the brain-blood barrier and that a portion of perivascular microglia is gradually replaced by </w:t>
      </w:r>
      <w:r w:rsidR="00ED51A8" w:rsidRPr="00DE3121">
        <w:rPr>
          <w:rFonts w:ascii="Arial" w:eastAsia="Times New Roman" w:hAnsi="Arial" w:cs="Arial"/>
          <w:color w:val="000000"/>
          <w:kern w:val="0"/>
          <w:sz w:val="22"/>
          <w:szCs w:val="22"/>
          <w:lang w:val="en-US" w:eastAsia="el-GR"/>
        </w:rPr>
        <w:t>donor-</w:t>
      </w:r>
      <w:r w:rsidR="009261C3" w:rsidRPr="00DE3121">
        <w:rPr>
          <w:rFonts w:ascii="Arial" w:eastAsia="Times New Roman" w:hAnsi="Arial" w:cs="Arial"/>
          <w:color w:val="000000"/>
          <w:kern w:val="0"/>
          <w:sz w:val="22"/>
          <w:szCs w:val="22"/>
          <w:lang w:val="en-US" w:eastAsia="el-GR"/>
        </w:rPr>
        <w:t>derived cells (</w:t>
      </w:r>
      <w:r w:rsidR="00831150" w:rsidRPr="00DE3121">
        <w:rPr>
          <w:rFonts w:ascii="Arial" w:eastAsia="Times New Roman" w:hAnsi="Arial" w:cs="Arial"/>
          <w:color w:val="000000"/>
          <w:kern w:val="0"/>
          <w:sz w:val="22"/>
          <w:szCs w:val="22"/>
          <w:lang w:val="en-US" w:eastAsia="el-GR"/>
        </w:rPr>
        <w:t>82</w:t>
      </w:r>
      <w:r w:rsidR="009261C3" w:rsidRPr="00DE3121">
        <w:rPr>
          <w:rFonts w:ascii="Arial" w:eastAsia="Times New Roman" w:hAnsi="Arial" w:cs="Arial"/>
          <w:color w:val="000000"/>
          <w:kern w:val="0"/>
          <w:sz w:val="22"/>
          <w:szCs w:val="22"/>
          <w:lang w:val="en-US" w:eastAsia="el-GR"/>
        </w:rPr>
        <w:t xml:space="preserve">). </w:t>
      </w:r>
    </w:p>
    <w:p w14:paraId="7B249EA2" w14:textId="77777777" w:rsidR="002739CB" w:rsidRPr="00DE3121" w:rsidRDefault="002739CB" w:rsidP="00DE3121">
      <w:pPr>
        <w:spacing w:after="0" w:line="276" w:lineRule="auto"/>
        <w:rPr>
          <w:rFonts w:ascii="Arial" w:eastAsia="Times New Roman" w:hAnsi="Arial" w:cs="Arial"/>
          <w:color w:val="000000"/>
          <w:kern w:val="0"/>
          <w:sz w:val="22"/>
          <w:szCs w:val="22"/>
          <w:lang w:val="en-US" w:eastAsia="el-GR"/>
        </w:rPr>
      </w:pPr>
    </w:p>
    <w:p w14:paraId="13CB1BDD" w14:textId="71CCBF60" w:rsidR="00AD4C3A" w:rsidRDefault="00241237" w:rsidP="00DE3121">
      <w:pPr>
        <w:spacing w:after="0" w:line="276" w:lineRule="auto"/>
        <w:rPr>
          <w:rFonts w:ascii="Arial" w:hAnsi="Arial" w:cs="Arial"/>
          <w:sz w:val="22"/>
          <w:szCs w:val="22"/>
          <w:lang w:val="en-US"/>
        </w:rPr>
      </w:pPr>
      <w:r w:rsidRPr="00DE3121">
        <w:rPr>
          <w:rFonts w:ascii="Arial" w:hAnsi="Arial" w:cs="Arial"/>
          <w:sz w:val="22"/>
          <w:szCs w:val="22"/>
          <w:lang w:val="en-US"/>
        </w:rPr>
        <w:t xml:space="preserve">Allogeneic HSCT has been shown to </w:t>
      </w:r>
      <w:r w:rsidR="000D0887" w:rsidRPr="00DE3121">
        <w:rPr>
          <w:rFonts w:ascii="Arial" w:hAnsi="Arial" w:cs="Arial"/>
          <w:sz w:val="22"/>
          <w:szCs w:val="22"/>
          <w:lang w:val="en-US"/>
        </w:rPr>
        <w:t xml:space="preserve">increase 5-year survival compared to no transplant (95% versus 54%) and </w:t>
      </w:r>
      <w:r w:rsidRPr="00DE3121">
        <w:rPr>
          <w:rFonts w:ascii="Arial" w:hAnsi="Arial" w:cs="Arial"/>
          <w:sz w:val="22"/>
          <w:szCs w:val="22"/>
          <w:lang w:val="en-US"/>
        </w:rPr>
        <w:t xml:space="preserve">arrest the progression of the neurologic disease when </w:t>
      </w:r>
      <w:r w:rsidR="003532B7" w:rsidRPr="00DE3121">
        <w:rPr>
          <w:rFonts w:ascii="Arial" w:hAnsi="Arial" w:cs="Arial"/>
          <w:sz w:val="22"/>
          <w:szCs w:val="22"/>
          <w:lang w:val="en-US"/>
        </w:rPr>
        <w:t>undertaken early in the course of cerebral disease (</w:t>
      </w:r>
      <w:r w:rsidR="00EC1A49" w:rsidRPr="00DE3121">
        <w:rPr>
          <w:rFonts w:ascii="Arial" w:hAnsi="Arial" w:cs="Arial"/>
          <w:sz w:val="22"/>
          <w:szCs w:val="22"/>
          <w:lang w:val="en-US"/>
        </w:rPr>
        <w:t>44</w:t>
      </w:r>
      <w:r w:rsidR="000D0887" w:rsidRPr="00DE3121">
        <w:rPr>
          <w:rFonts w:ascii="Arial" w:hAnsi="Arial" w:cs="Arial"/>
          <w:sz w:val="22"/>
          <w:szCs w:val="22"/>
          <w:lang w:val="en-US"/>
        </w:rPr>
        <w:t>)</w:t>
      </w:r>
      <w:r w:rsidRPr="00DE3121">
        <w:rPr>
          <w:rFonts w:ascii="Arial" w:hAnsi="Arial" w:cs="Arial"/>
          <w:sz w:val="22"/>
          <w:szCs w:val="22"/>
          <w:lang w:val="en-US"/>
        </w:rPr>
        <w:t xml:space="preserve">. In contrast, hematopoietic stem cell transplantation is not effective in patients </w:t>
      </w:r>
      <w:r w:rsidR="00100E1B" w:rsidRPr="00DE3121">
        <w:rPr>
          <w:rFonts w:ascii="Arial" w:hAnsi="Arial" w:cs="Arial"/>
          <w:sz w:val="22"/>
          <w:szCs w:val="22"/>
          <w:lang w:val="en-US"/>
        </w:rPr>
        <w:t>with</w:t>
      </w:r>
      <w:r w:rsidRPr="00DE3121">
        <w:rPr>
          <w:rFonts w:ascii="Arial" w:hAnsi="Arial" w:cs="Arial"/>
          <w:sz w:val="22"/>
          <w:szCs w:val="22"/>
          <w:lang w:val="en-US"/>
        </w:rPr>
        <w:t xml:space="preserve"> advanced </w:t>
      </w:r>
      <w:r w:rsidR="000D0887" w:rsidRPr="00DE3121">
        <w:rPr>
          <w:rFonts w:ascii="Arial" w:hAnsi="Arial" w:cs="Arial"/>
          <w:sz w:val="22"/>
          <w:szCs w:val="22"/>
          <w:lang w:val="en-US"/>
        </w:rPr>
        <w:t xml:space="preserve">cerebral </w:t>
      </w:r>
      <w:r w:rsidRPr="00DE3121">
        <w:rPr>
          <w:rFonts w:ascii="Arial" w:hAnsi="Arial" w:cs="Arial"/>
          <w:sz w:val="22"/>
          <w:szCs w:val="22"/>
          <w:lang w:val="en-US"/>
        </w:rPr>
        <w:t>ALD, therefor</w:t>
      </w:r>
      <w:r w:rsidR="003532B7" w:rsidRPr="00DE3121">
        <w:rPr>
          <w:rFonts w:ascii="Arial" w:hAnsi="Arial" w:cs="Arial"/>
          <w:sz w:val="22"/>
          <w:szCs w:val="22"/>
          <w:lang w:val="en-US"/>
        </w:rPr>
        <w:t>e</w:t>
      </w:r>
      <w:r w:rsidRPr="00DE3121">
        <w:rPr>
          <w:rFonts w:ascii="Arial" w:hAnsi="Arial" w:cs="Arial"/>
          <w:sz w:val="22"/>
          <w:szCs w:val="22"/>
          <w:lang w:val="en-US"/>
        </w:rPr>
        <w:t xml:space="preserve"> the general criteria for eligibility are a genetically and/or clinically confirmed diagnosis of ALD and the presence of cerebral disease that is not advanced, based on neurological symptoms and brain MRI findings </w:t>
      </w:r>
      <w:r w:rsidR="00017F5D" w:rsidRPr="00DE3121">
        <w:rPr>
          <w:rFonts w:ascii="Arial" w:hAnsi="Arial" w:cs="Arial"/>
          <w:sz w:val="22"/>
          <w:szCs w:val="22"/>
          <w:lang w:val="en-US"/>
        </w:rPr>
        <w:t>(83</w:t>
      </w:r>
      <w:r w:rsidR="000D0887" w:rsidRPr="00DE3121">
        <w:rPr>
          <w:rFonts w:ascii="Arial" w:hAnsi="Arial" w:cs="Arial"/>
          <w:sz w:val="22"/>
          <w:szCs w:val="22"/>
          <w:lang w:val="en-US"/>
        </w:rPr>
        <w:t>)</w:t>
      </w:r>
      <w:r w:rsidR="001F7E1C" w:rsidRPr="00DE3121">
        <w:rPr>
          <w:rFonts w:ascii="Arial" w:hAnsi="Arial" w:cs="Arial"/>
          <w:sz w:val="22"/>
          <w:szCs w:val="22"/>
          <w:lang w:val="en-US"/>
        </w:rPr>
        <w:t>.</w:t>
      </w:r>
      <w:r w:rsidR="000D0887" w:rsidRPr="00DE3121">
        <w:rPr>
          <w:rFonts w:ascii="Arial" w:hAnsi="Arial" w:cs="Arial"/>
          <w:sz w:val="22"/>
          <w:szCs w:val="22"/>
          <w:lang w:val="en-US"/>
        </w:rPr>
        <w:t xml:space="preserve"> </w:t>
      </w:r>
      <w:r w:rsidR="00AC0498" w:rsidRPr="00DE3121">
        <w:rPr>
          <w:rFonts w:ascii="Arial" w:hAnsi="Arial" w:cs="Arial"/>
          <w:sz w:val="22"/>
          <w:szCs w:val="22"/>
          <w:lang w:val="en-US"/>
        </w:rPr>
        <w:t>Eligibility of a patient for transplantation can be assessed using the ALD-specific Neurologic Function Scale (NFS) and the Loes MRI severity score (</w:t>
      </w:r>
      <w:r w:rsidR="0085728C" w:rsidRPr="00DE3121">
        <w:rPr>
          <w:rFonts w:ascii="Arial" w:hAnsi="Arial" w:cs="Arial"/>
          <w:sz w:val="22"/>
          <w:szCs w:val="22"/>
          <w:lang w:val="en-US"/>
        </w:rPr>
        <w:t>54</w:t>
      </w:r>
      <w:r w:rsidR="00AC0498" w:rsidRPr="00DE3121">
        <w:rPr>
          <w:rFonts w:ascii="Arial" w:hAnsi="Arial" w:cs="Arial"/>
          <w:sz w:val="22"/>
          <w:szCs w:val="22"/>
          <w:lang w:val="en-US"/>
        </w:rPr>
        <w:t xml:space="preserve">). The NFS </w:t>
      </w:r>
      <w:r w:rsidR="00AD4C3A" w:rsidRPr="00DE3121">
        <w:rPr>
          <w:rFonts w:ascii="Arial" w:hAnsi="Arial" w:cs="Arial"/>
          <w:sz w:val="22"/>
          <w:szCs w:val="22"/>
          <w:lang w:val="en-US"/>
        </w:rPr>
        <w:t xml:space="preserve">scale is a 25-point, ALD-specific tool that </w:t>
      </w:r>
      <w:r w:rsidR="00AC0498" w:rsidRPr="00DE3121">
        <w:rPr>
          <w:rFonts w:ascii="Arial" w:hAnsi="Arial" w:cs="Arial"/>
          <w:sz w:val="22"/>
          <w:szCs w:val="22"/>
          <w:lang w:val="en-US"/>
        </w:rPr>
        <w:t xml:space="preserve">assesses the severity of neurological disability according to the severity of </w:t>
      </w:r>
      <w:r w:rsidR="63CE71F4" w:rsidRPr="00DE3121">
        <w:rPr>
          <w:rFonts w:ascii="Arial" w:hAnsi="Arial" w:cs="Arial"/>
          <w:sz w:val="22"/>
          <w:szCs w:val="22"/>
          <w:lang w:val="en-US"/>
        </w:rPr>
        <w:t>symptoms,</w:t>
      </w:r>
      <w:r w:rsidR="00AD4C3A" w:rsidRPr="00DE3121">
        <w:rPr>
          <w:rFonts w:ascii="Arial" w:hAnsi="Arial" w:cs="Arial"/>
          <w:sz w:val="22"/>
          <w:szCs w:val="22"/>
          <w:lang w:val="en-US"/>
        </w:rPr>
        <w:t xml:space="preserve"> but </w:t>
      </w:r>
      <w:r w:rsidR="00ED51A8" w:rsidRPr="00DE3121">
        <w:rPr>
          <w:rFonts w:ascii="Arial" w:hAnsi="Arial" w:cs="Arial"/>
          <w:sz w:val="22"/>
          <w:szCs w:val="22"/>
          <w:lang w:val="en-US"/>
        </w:rPr>
        <w:t>no score</w:t>
      </w:r>
      <w:r w:rsidR="00AD4C3A" w:rsidRPr="00DE3121">
        <w:rPr>
          <w:rFonts w:ascii="Arial" w:hAnsi="Arial" w:cs="Arial"/>
          <w:sz w:val="22"/>
          <w:szCs w:val="22"/>
          <w:lang w:val="en-US"/>
        </w:rPr>
        <w:t xml:space="preserve"> absolutely determines the decision for</w:t>
      </w:r>
      <w:r w:rsidR="00AD4C3A" w:rsidRPr="00DE3121">
        <w:rPr>
          <w:rFonts w:ascii="Arial" w:hAnsi="Arial" w:cs="Arial"/>
          <w:color w:val="FF0000"/>
          <w:sz w:val="22"/>
          <w:szCs w:val="22"/>
          <w:lang w:val="en-US"/>
        </w:rPr>
        <w:t xml:space="preserve"> </w:t>
      </w:r>
      <w:r w:rsidR="00AD4C3A" w:rsidRPr="00DE3121">
        <w:rPr>
          <w:rFonts w:ascii="Arial" w:hAnsi="Arial" w:cs="Arial"/>
          <w:sz w:val="22"/>
          <w:szCs w:val="22"/>
          <w:lang w:val="en-US"/>
        </w:rPr>
        <w:t xml:space="preserve">HSCT. </w:t>
      </w:r>
      <w:r w:rsidR="004203F1" w:rsidRPr="00DE3121">
        <w:rPr>
          <w:rFonts w:ascii="Arial" w:hAnsi="Arial" w:cs="Arial"/>
          <w:sz w:val="22"/>
          <w:szCs w:val="22"/>
          <w:lang w:val="en-US"/>
        </w:rPr>
        <w:t>HSCT affects not only survival, but also the long-term function</w:t>
      </w:r>
      <w:r w:rsidR="00633A4D" w:rsidRPr="00DE3121">
        <w:rPr>
          <w:rFonts w:ascii="Arial" w:hAnsi="Arial" w:cs="Arial"/>
          <w:sz w:val="22"/>
          <w:szCs w:val="22"/>
          <w:lang w:val="en-US"/>
        </w:rPr>
        <w:t>al</w:t>
      </w:r>
      <w:r w:rsidR="004203F1" w:rsidRPr="00DE3121">
        <w:rPr>
          <w:rFonts w:ascii="Arial" w:hAnsi="Arial" w:cs="Arial"/>
          <w:sz w:val="22"/>
          <w:szCs w:val="22"/>
          <w:lang w:val="en-US"/>
        </w:rPr>
        <w:t xml:space="preserve"> status of patients.</w:t>
      </w:r>
      <w:r w:rsidR="00017F5D" w:rsidRPr="00DE3121">
        <w:rPr>
          <w:rFonts w:ascii="Arial" w:hAnsi="Arial" w:cs="Arial"/>
          <w:sz w:val="22"/>
          <w:szCs w:val="22"/>
          <w:lang w:val="en-US"/>
        </w:rPr>
        <w:t xml:space="preserve"> </w:t>
      </w:r>
      <w:r w:rsidR="00AC0498" w:rsidRPr="00DE3121">
        <w:rPr>
          <w:rFonts w:ascii="Arial" w:hAnsi="Arial" w:cs="Arial"/>
          <w:sz w:val="22"/>
          <w:szCs w:val="22"/>
          <w:lang w:val="en-US"/>
        </w:rPr>
        <w:t>Studies have shown that post-transplant survival and major functional disability (MFD)-free survival are superior in patients with lower NFS and Loes score (</w:t>
      </w:r>
      <w:r w:rsidR="008D5602" w:rsidRPr="00DE3121">
        <w:rPr>
          <w:rFonts w:ascii="Arial" w:hAnsi="Arial" w:cs="Arial"/>
          <w:sz w:val="22"/>
          <w:szCs w:val="22"/>
          <w:lang w:val="en-US"/>
        </w:rPr>
        <w:t>8</w:t>
      </w:r>
      <w:r w:rsidR="00017F5D" w:rsidRPr="00DE3121">
        <w:rPr>
          <w:rFonts w:ascii="Arial" w:hAnsi="Arial" w:cs="Arial"/>
          <w:sz w:val="22"/>
          <w:szCs w:val="22"/>
          <w:lang w:val="en-US"/>
        </w:rPr>
        <w:t>4</w:t>
      </w:r>
      <w:r w:rsidR="00AC0498" w:rsidRPr="00DE3121">
        <w:rPr>
          <w:rFonts w:ascii="Arial" w:hAnsi="Arial" w:cs="Arial"/>
          <w:sz w:val="22"/>
          <w:szCs w:val="22"/>
          <w:lang w:val="en-US"/>
        </w:rPr>
        <w:t xml:space="preserve">, </w:t>
      </w:r>
      <w:r w:rsidR="008D5602" w:rsidRPr="00DE3121">
        <w:rPr>
          <w:rFonts w:ascii="Arial" w:hAnsi="Arial" w:cs="Arial"/>
          <w:sz w:val="22"/>
          <w:szCs w:val="22"/>
          <w:lang w:val="en-US"/>
        </w:rPr>
        <w:t>8</w:t>
      </w:r>
      <w:r w:rsidR="00017F5D" w:rsidRPr="00DE3121">
        <w:rPr>
          <w:rFonts w:ascii="Arial" w:hAnsi="Arial" w:cs="Arial"/>
          <w:sz w:val="22"/>
          <w:szCs w:val="22"/>
          <w:lang w:val="en-US"/>
        </w:rPr>
        <w:t>5</w:t>
      </w:r>
      <w:r w:rsidR="00AC0498" w:rsidRPr="00DE3121">
        <w:rPr>
          <w:rFonts w:ascii="Arial" w:hAnsi="Arial" w:cs="Arial"/>
          <w:sz w:val="22"/>
          <w:szCs w:val="22"/>
          <w:lang w:val="en-US"/>
        </w:rPr>
        <w:t xml:space="preserve">). </w:t>
      </w:r>
      <w:r w:rsidR="00AD4C3A" w:rsidRPr="00DE3121">
        <w:rPr>
          <w:rFonts w:ascii="Arial" w:hAnsi="Arial" w:cs="Arial"/>
          <w:sz w:val="22"/>
          <w:szCs w:val="22"/>
          <w:lang w:val="en-US"/>
        </w:rPr>
        <w:t xml:space="preserve">A recent </w:t>
      </w:r>
      <w:r w:rsidR="002505E5" w:rsidRPr="00DE3121">
        <w:rPr>
          <w:rFonts w:ascii="Arial" w:hAnsi="Arial" w:cs="Arial"/>
          <w:sz w:val="22"/>
          <w:szCs w:val="22"/>
          <w:lang w:val="en-US"/>
        </w:rPr>
        <w:t>multi-center</w:t>
      </w:r>
      <w:r w:rsidR="00AD4C3A" w:rsidRPr="00DE3121">
        <w:rPr>
          <w:rFonts w:ascii="Arial" w:hAnsi="Arial" w:cs="Arial"/>
          <w:sz w:val="22"/>
          <w:szCs w:val="22"/>
          <w:lang w:val="en-US"/>
        </w:rPr>
        <w:t xml:space="preserve"> analysis showed that in </w:t>
      </w:r>
      <w:r w:rsidR="00ED51A8" w:rsidRPr="00DE3121">
        <w:rPr>
          <w:rFonts w:ascii="Arial" w:hAnsi="Arial" w:cs="Arial"/>
          <w:sz w:val="22"/>
          <w:szCs w:val="22"/>
          <w:lang w:val="en-US"/>
        </w:rPr>
        <w:t>early-</w:t>
      </w:r>
      <w:r w:rsidR="00AD4C3A" w:rsidRPr="00DE3121">
        <w:rPr>
          <w:rFonts w:ascii="Arial" w:hAnsi="Arial" w:cs="Arial"/>
          <w:sz w:val="22"/>
          <w:szCs w:val="22"/>
          <w:lang w:val="en-US"/>
        </w:rPr>
        <w:t>stage transplanted patients the overall survival at 5 years from CALD diagnosis was 94% and the MFD -free survival was 91%, whereas in patients with advanced disease the overall survival and the MFD-free survival were 90% and 10% respectively (</w:t>
      </w:r>
      <w:r w:rsidR="008D5602" w:rsidRPr="00DE3121">
        <w:rPr>
          <w:rFonts w:ascii="Arial" w:hAnsi="Arial" w:cs="Arial"/>
          <w:sz w:val="22"/>
          <w:szCs w:val="22"/>
          <w:lang w:val="en-US"/>
        </w:rPr>
        <w:t>8</w:t>
      </w:r>
      <w:r w:rsidR="00017F5D" w:rsidRPr="00DE3121">
        <w:rPr>
          <w:rFonts w:ascii="Arial" w:hAnsi="Arial" w:cs="Arial"/>
          <w:sz w:val="22"/>
          <w:szCs w:val="22"/>
          <w:lang w:val="en-US"/>
        </w:rPr>
        <w:t>3</w:t>
      </w:r>
      <w:r w:rsidR="00AD4C3A" w:rsidRPr="00DE3121">
        <w:rPr>
          <w:rFonts w:ascii="Arial" w:hAnsi="Arial" w:cs="Arial"/>
          <w:sz w:val="22"/>
          <w:szCs w:val="22"/>
          <w:lang w:val="en-US"/>
        </w:rPr>
        <w:t xml:space="preserve">). </w:t>
      </w:r>
    </w:p>
    <w:p w14:paraId="17F78187" w14:textId="77777777" w:rsidR="002739CB" w:rsidRPr="00DE3121" w:rsidRDefault="002739CB" w:rsidP="00DE3121">
      <w:pPr>
        <w:spacing w:after="0" w:line="276" w:lineRule="auto"/>
        <w:rPr>
          <w:rFonts w:ascii="Arial" w:hAnsi="Arial" w:cs="Arial"/>
          <w:sz w:val="22"/>
          <w:szCs w:val="22"/>
          <w:lang w:val="en-US"/>
        </w:rPr>
      </w:pPr>
    </w:p>
    <w:p w14:paraId="5EAFCF37" w14:textId="12FC1DC5" w:rsidR="00C66C7A" w:rsidRPr="00DE3121" w:rsidRDefault="00AD4C3A" w:rsidP="00DE3121">
      <w:pPr>
        <w:spacing w:after="0" w:line="276" w:lineRule="auto"/>
        <w:rPr>
          <w:rFonts w:ascii="Arial" w:hAnsi="Arial" w:cs="Arial"/>
          <w:sz w:val="22"/>
          <w:szCs w:val="22"/>
          <w:lang w:val="en-US"/>
        </w:rPr>
      </w:pPr>
      <w:r w:rsidRPr="00DE3121">
        <w:rPr>
          <w:rFonts w:ascii="Arial" w:hAnsi="Arial" w:cs="Arial"/>
          <w:sz w:val="22"/>
          <w:szCs w:val="22"/>
          <w:lang w:val="en-US"/>
        </w:rPr>
        <w:t xml:space="preserve">Allogeneic HSCT has its limitations. Transplantation is not effective in patients with advanced disease. Neurologic findings present at the time of HSCT do not reverse and symptoms can progress after HSCT as cerebral disease stabilization is not achieved </w:t>
      </w:r>
      <w:r w:rsidR="00664828" w:rsidRPr="00DE3121">
        <w:rPr>
          <w:rFonts w:ascii="Arial" w:hAnsi="Arial" w:cs="Arial"/>
          <w:sz w:val="22"/>
          <w:szCs w:val="22"/>
          <w:lang w:val="en-US"/>
        </w:rPr>
        <w:t>before</w:t>
      </w:r>
      <w:r w:rsidRPr="00DE3121">
        <w:rPr>
          <w:rFonts w:ascii="Arial" w:hAnsi="Arial" w:cs="Arial"/>
          <w:sz w:val="22"/>
          <w:szCs w:val="22"/>
          <w:lang w:val="en-US"/>
        </w:rPr>
        <w:t xml:space="preserve"> </w:t>
      </w:r>
      <w:r w:rsidRPr="00DE3121">
        <w:rPr>
          <w:rFonts w:ascii="Arial" w:hAnsi="Arial" w:cs="Arial"/>
          <w:sz w:val="22"/>
          <w:szCs w:val="22"/>
          <w:lang w:val="en-US"/>
        </w:rPr>
        <w:lastRenderedPageBreak/>
        <w:t>3 to 24 months after stem cell infusion</w:t>
      </w:r>
      <w:r w:rsidR="001010A0" w:rsidRPr="00DE3121">
        <w:rPr>
          <w:rFonts w:ascii="Arial" w:hAnsi="Arial" w:cs="Arial"/>
          <w:sz w:val="22"/>
          <w:szCs w:val="22"/>
          <w:lang w:val="en-US"/>
        </w:rPr>
        <w:t xml:space="preserve"> (</w:t>
      </w:r>
      <w:r w:rsidR="008D5602" w:rsidRPr="00DE3121">
        <w:rPr>
          <w:rFonts w:ascii="Arial" w:hAnsi="Arial" w:cs="Arial"/>
          <w:sz w:val="22"/>
          <w:szCs w:val="22"/>
          <w:lang w:val="en-US"/>
        </w:rPr>
        <w:t>54</w:t>
      </w:r>
      <w:r w:rsidR="001010A0" w:rsidRPr="00DE3121">
        <w:rPr>
          <w:rFonts w:ascii="Arial" w:hAnsi="Arial" w:cs="Arial"/>
          <w:sz w:val="22"/>
          <w:szCs w:val="22"/>
          <w:lang w:val="en-US"/>
        </w:rPr>
        <w:t>)</w:t>
      </w:r>
      <w:r w:rsidRPr="00DE3121">
        <w:rPr>
          <w:rFonts w:ascii="Arial" w:hAnsi="Arial" w:cs="Arial"/>
          <w:sz w:val="22"/>
          <w:szCs w:val="22"/>
          <w:lang w:val="en-US"/>
        </w:rPr>
        <w:t xml:space="preserve">. </w:t>
      </w:r>
      <w:r w:rsidR="00C66C7A" w:rsidRPr="00DE3121">
        <w:rPr>
          <w:rFonts w:ascii="Arial" w:hAnsi="Arial" w:cs="Arial"/>
          <w:sz w:val="22"/>
          <w:szCs w:val="22"/>
          <w:lang w:val="en-US"/>
        </w:rPr>
        <w:t>Furthermore, the identification of an acceptable donor for HSCT could be very challengi</w:t>
      </w:r>
      <w:r w:rsidR="004F5CDE" w:rsidRPr="00DE3121">
        <w:rPr>
          <w:rFonts w:ascii="Arial" w:hAnsi="Arial" w:cs="Arial"/>
          <w:sz w:val="22"/>
          <w:szCs w:val="22"/>
          <w:lang w:val="en-US"/>
        </w:rPr>
        <w:t>ng</w:t>
      </w:r>
      <w:r w:rsidR="00C66C7A" w:rsidRPr="00DE3121">
        <w:rPr>
          <w:rFonts w:ascii="Arial" w:hAnsi="Arial" w:cs="Arial"/>
          <w:sz w:val="22"/>
          <w:szCs w:val="22"/>
          <w:lang w:val="en-US"/>
        </w:rPr>
        <w:t xml:space="preserve">. </w:t>
      </w:r>
      <w:r w:rsidR="004F5CDE" w:rsidRPr="00DE3121">
        <w:rPr>
          <w:rFonts w:ascii="Arial" w:hAnsi="Arial" w:cs="Arial"/>
          <w:sz w:val="22"/>
          <w:szCs w:val="22"/>
          <w:lang w:val="en-US"/>
        </w:rPr>
        <w:t>S</w:t>
      </w:r>
      <w:r w:rsidR="00C66C7A" w:rsidRPr="00DE3121">
        <w:rPr>
          <w:rFonts w:ascii="Arial" w:hAnsi="Arial" w:cs="Arial"/>
          <w:sz w:val="22"/>
          <w:szCs w:val="22"/>
          <w:lang w:val="en-US"/>
        </w:rPr>
        <w:t xml:space="preserve">ignificant risks associated with HSCT </w:t>
      </w:r>
      <w:r w:rsidR="00085E6F" w:rsidRPr="00DE3121">
        <w:rPr>
          <w:rFonts w:ascii="Arial" w:hAnsi="Arial" w:cs="Arial"/>
          <w:sz w:val="22"/>
          <w:szCs w:val="22"/>
          <w:lang w:val="en-US"/>
        </w:rPr>
        <w:t xml:space="preserve">include </w:t>
      </w:r>
      <w:r w:rsidR="004F5CDE" w:rsidRPr="00DE3121">
        <w:rPr>
          <w:rFonts w:ascii="Arial" w:hAnsi="Arial" w:cs="Arial"/>
          <w:sz w:val="22"/>
          <w:szCs w:val="22"/>
          <w:lang w:val="en-US"/>
        </w:rPr>
        <w:t xml:space="preserve">acute mortality (10% at day 100 from transplant), failure of donor cell engraftment (5% risk), and graft-versus-host disease (GVHD) (10-40% risk of acute GVHD and 20% risk of chronic GVHD) </w:t>
      </w:r>
      <w:r w:rsidR="00C66C7A" w:rsidRPr="00DE3121">
        <w:rPr>
          <w:rFonts w:ascii="Arial" w:hAnsi="Arial" w:cs="Arial"/>
          <w:sz w:val="22"/>
          <w:szCs w:val="22"/>
          <w:lang w:val="en-US"/>
        </w:rPr>
        <w:t>(</w:t>
      </w:r>
      <w:r w:rsidR="008D5602" w:rsidRPr="00DE3121">
        <w:rPr>
          <w:rFonts w:ascii="Arial" w:hAnsi="Arial" w:cs="Arial"/>
          <w:sz w:val="22"/>
          <w:szCs w:val="22"/>
          <w:lang w:val="en-US"/>
        </w:rPr>
        <w:t>8</w:t>
      </w:r>
      <w:r w:rsidR="00017F5D" w:rsidRPr="00DE3121">
        <w:rPr>
          <w:rFonts w:ascii="Arial" w:hAnsi="Arial" w:cs="Arial"/>
          <w:sz w:val="22"/>
          <w:szCs w:val="22"/>
          <w:lang w:val="en-US"/>
        </w:rPr>
        <w:t>5</w:t>
      </w:r>
      <w:r w:rsidR="00C66C7A" w:rsidRPr="00DE3121">
        <w:rPr>
          <w:rFonts w:ascii="Arial" w:hAnsi="Arial" w:cs="Arial"/>
          <w:sz w:val="22"/>
          <w:szCs w:val="22"/>
          <w:lang w:val="en-US"/>
        </w:rPr>
        <w:t>).</w:t>
      </w:r>
    </w:p>
    <w:p w14:paraId="144A5D23" w14:textId="77777777" w:rsidR="00AD4C3A" w:rsidRPr="00DE3121" w:rsidRDefault="00AD4C3A" w:rsidP="00DE3121">
      <w:pPr>
        <w:spacing w:after="0" w:line="276" w:lineRule="auto"/>
        <w:rPr>
          <w:rFonts w:ascii="Arial" w:hAnsi="Arial" w:cs="Arial"/>
          <w:sz w:val="22"/>
          <w:szCs w:val="22"/>
          <w:lang w:val="en-US"/>
        </w:rPr>
      </w:pPr>
    </w:p>
    <w:p w14:paraId="571ED091" w14:textId="77777777" w:rsidR="001010A0" w:rsidRDefault="001010A0" w:rsidP="00DE3121">
      <w:pPr>
        <w:spacing w:after="0" w:line="276" w:lineRule="auto"/>
        <w:rPr>
          <w:rFonts w:ascii="Arial" w:eastAsia="Arial" w:hAnsi="Arial" w:cs="Arial"/>
          <w:kern w:val="0"/>
          <w:sz w:val="22"/>
          <w:szCs w:val="22"/>
          <w:lang w:val="en-US" w:eastAsia="el-GR"/>
        </w:rPr>
      </w:pPr>
      <w:r w:rsidRPr="00DE3121">
        <w:rPr>
          <w:rFonts w:ascii="Arial" w:eastAsia="Arial" w:hAnsi="Arial" w:cs="Arial"/>
          <w:kern w:val="0"/>
          <w:sz w:val="22"/>
          <w:szCs w:val="22"/>
          <w:lang w:val="en-US" w:eastAsia="el-GR"/>
        </w:rPr>
        <w:t>HSCT has not been tested systematically in AMN because of concern</w:t>
      </w:r>
      <w:r w:rsidR="00633A4D" w:rsidRPr="00DE3121">
        <w:rPr>
          <w:rFonts w:ascii="Arial" w:eastAsia="Arial" w:hAnsi="Arial" w:cs="Arial"/>
          <w:kern w:val="0"/>
          <w:sz w:val="22"/>
          <w:szCs w:val="22"/>
          <w:lang w:val="en-US" w:eastAsia="el-GR"/>
        </w:rPr>
        <w:t>s</w:t>
      </w:r>
      <w:r w:rsidRPr="00DE3121">
        <w:rPr>
          <w:rFonts w:ascii="Arial" w:eastAsia="Arial" w:hAnsi="Arial" w:cs="Arial"/>
          <w:kern w:val="0"/>
          <w:sz w:val="22"/>
          <w:szCs w:val="22"/>
          <w:lang w:val="en-US" w:eastAsia="el-GR"/>
        </w:rPr>
        <w:t xml:space="preserve"> that the risk-benefit ratio may not be favorable: up to 50% of AMN patients will never develop cerebral involvement, whereas it is high</w:t>
      </w:r>
      <w:r w:rsidR="00ED51A8" w:rsidRPr="00DE3121">
        <w:rPr>
          <w:rFonts w:ascii="Arial" w:eastAsia="Arial" w:hAnsi="Arial" w:cs="Arial"/>
          <w:kern w:val="0"/>
          <w:sz w:val="22"/>
          <w:szCs w:val="22"/>
          <w:lang w:val="en-US" w:eastAsia="el-GR"/>
        </w:rPr>
        <w:t>ly</w:t>
      </w:r>
      <w:r w:rsidRPr="00DE3121">
        <w:rPr>
          <w:rFonts w:ascii="Arial" w:eastAsia="Arial" w:hAnsi="Arial" w:cs="Arial"/>
          <w:kern w:val="0"/>
          <w:sz w:val="22"/>
          <w:szCs w:val="22"/>
          <w:lang w:val="en-US" w:eastAsia="el-GR"/>
        </w:rPr>
        <w:t xml:space="preserve"> unlikely that HSCT will affect the non-</w:t>
      </w:r>
      <w:r w:rsidRPr="00DE3121">
        <w:rPr>
          <w:rFonts w:ascii="Arial" w:eastAsia="Arial" w:hAnsi="Arial" w:cs="Arial"/>
          <w:strike/>
          <w:kern w:val="0"/>
          <w:sz w:val="22"/>
          <w:szCs w:val="22"/>
          <w:bdr w:val="none" w:sz="0" w:space="0" w:color="auto" w:frame="1"/>
          <w:lang w:val="en-US" w:eastAsia="el-GR"/>
        </w:rPr>
        <w:t>i</w:t>
      </w:r>
      <w:r w:rsidRPr="00DE3121">
        <w:rPr>
          <w:rFonts w:ascii="Arial" w:eastAsia="Arial" w:hAnsi="Arial" w:cs="Arial"/>
          <w:kern w:val="0"/>
          <w:sz w:val="22"/>
          <w:szCs w:val="22"/>
          <w:lang w:val="en-US" w:eastAsia="el-GR"/>
        </w:rPr>
        <w:t>nflammatory distal axonopathy which is the main pathological feature in AMN (</w:t>
      </w:r>
      <w:r w:rsidR="008D5602" w:rsidRPr="00DE3121">
        <w:rPr>
          <w:rFonts w:ascii="Arial" w:eastAsia="Arial" w:hAnsi="Arial" w:cs="Arial"/>
          <w:kern w:val="0"/>
          <w:sz w:val="22"/>
          <w:szCs w:val="22"/>
          <w:lang w:val="en-US" w:eastAsia="el-GR"/>
        </w:rPr>
        <w:t>8</w:t>
      </w:r>
      <w:r w:rsidR="00DB7EF2" w:rsidRPr="00DE3121">
        <w:rPr>
          <w:rFonts w:ascii="Arial" w:eastAsia="Arial" w:hAnsi="Arial" w:cs="Arial"/>
          <w:kern w:val="0"/>
          <w:sz w:val="22"/>
          <w:szCs w:val="22"/>
          <w:lang w:val="en-US" w:eastAsia="el-GR"/>
        </w:rPr>
        <w:t>6</w:t>
      </w:r>
      <w:r w:rsidRPr="00DE3121">
        <w:rPr>
          <w:rFonts w:ascii="Arial" w:eastAsia="Arial" w:hAnsi="Arial" w:cs="Arial"/>
          <w:kern w:val="0"/>
          <w:sz w:val="22"/>
          <w:szCs w:val="22"/>
          <w:lang w:val="en-US" w:eastAsia="el-GR"/>
        </w:rPr>
        <w:t>). Moreover, in retrospective series of patients who successfully underwent HSCT for CALD in childhood, it was shown that it could not prevent the onset of AMN in adulthood (</w:t>
      </w:r>
      <w:r w:rsidR="00C12591" w:rsidRPr="00DE3121">
        <w:rPr>
          <w:rFonts w:ascii="Arial" w:eastAsia="Arial" w:hAnsi="Arial" w:cs="Arial"/>
          <w:kern w:val="0"/>
          <w:sz w:val="22"/>
          <w:szCs w:val="22"/>
          <w:lang w:val="en-US" w:eastAsia="el-GR"/>
        </w:rPr>
        <w:t>8</w:t>
      </w:r>
      <w:r w:rsidR="00DB7EF2" w:rsidRPr="00DE3121">
        <w:rPr>
          <w:rFonts w:ascii="Arial" w:eastAsia="Arial" w:hAnsi="Arial" w:cs="Arial"/>
          <w:kern w:val="0"/>
          <w:sz w:val="22"/>
          <w:szCs w:val="22"/>
          <w:lang w:val="en-US" w:eastAsia="el-GR"/>
        </w:rPr>
        <w:t>7</w:t>
      </w:r>
      <w:r w:rsidRPr="00DE3121">
        <w:rPr>
          <w:rFonts w:ascii="Arial" w:eastAsia="Arial" w:hAnsi="Arial" w:cs="Arial"/>
          <w:kern w:val="0"/>
          <w:sz w:val="22"/>
          <w:szCs w:val="22"/>
          <w:lang w:val="en-US" w:eastAsia="el-GR"/>
        </w:rPr>
        <w:t>).</w:t>
      </w:r>
    </w:p>
    <w:p w14:paraId="23B4A239" w14:textId="77777777" w:rsidR="002739CB" w:rsidRPr="00DE3121" w:rsidRDefault="002739CB" w:rsidP="00DE3121">
      <w:pPr>
        <w:spacing w:after="0" w:line="276" w:lineRule="auto"/>
        <w:rPr>
          <w:rFonts w:ascii="Arial" w:eastAsia="Arial" w:hAnsi="Arial" w:cs="Arial"/>
          <w:sz w:val="22"/>
          <w:szCs w:val="22"/>
          <w:lang w:val="en-US"/>
        </w:rPr>
      </w:pPr>
    </w:p>
    <w:p w14:paraId="0170FCD2" w14:textId="77777777" w:rsidR="00C66C7A" w:rsidRPr="00DE3121" w:rsidRDefault="00C66C7A" w:rsidP="00DE3121">
      <w:pPr>
        <w:spacing w:after="0" w:line="276" w:lineRule="auto"/>
        <w:rPr>
          <w:rFonts w:ascii="Arial" w:eastAsia="Arial" w:hAnsi="Arial" w:cs="Arial"/>
          <w:sz w:val="22"/>
          <w:szCs w:val="22"/>
          <w:lang w:val="en-US"/>
        </w:rPr>
      </w:pPr>
      <w:r w:rsidRPr="00DE3121">
        <w:rPr>
          <w:rFonts w:ascii="Arial" w:eastAsia="Arial" w:hAnsi="Arial" w:cs="Arial"/>
          <w:sz w:val="22"/>
          <w:szCs w:val="22"/>
          <w:lang w:val="en-US"/>
        </w:rPr>
        <w:t>Although data are limited, HSCT is unlikely to affect adrenal insufficiency (</w:t>
      </w:r>
      <w:r w:rsidR="00C12591" w:rsidRPr="00DE3121">
        <w:rPr>
          <w:rFonts w:ascii="Arial" w:eastAsia="Arial" w:hAnsi="Arial" w:cs="Arial"/>
          <w:sz w:val="22"/>
          <w:szCs w:val="22"/>
          <w:lang w:val="en-US"/>
        </w:rPr>
        <w:t>35</w:t>
      </w:r>
      <w:r w:rsidRPr="00DE3121">
        <w:rPr>
          <w:rFonts w:ascii="Arial" w:eastAsia="Arial" w:hAnsi="Arial" w:cs="Arial"/>
          <w:sz w:val="22"/>
          <w:szCs w:val="22"/>
          <w:lang w:val="en-US"/>
        </w:rPr>
        <w:t xml:space="preserve">). The proposed underlying mechanism is that VLCFAs accumulation in the adrenal cortex has already reached a </w:t>
      </w:r>
      <w:r w:rsidR="003B1416" w:rsidRPr="00DE3121">
        <w:rPr>
          <w:rFonts w:ascii="Arial" w:eastAsia="Arial" w:hAnsi="Arial" w:cs="Arial"/>
          <w:sz w:val="22"/>
          <w:szCs w:val="22"/>
          <w:lang w:val="en-US"/>
        </w:rPr>
        <w:t>critical point</w:t>
      </w:r>
      <w:r w:rsidRPr="00DE3121">
        <w:rPr>
          <w:rFonts w:ascii="Arial" w:eastAsia="Arial" w:hAnsi="Arial" w:cs="Arial"/>
          <w:sz w:val="22"/>
          <w:szCs w:val="22"/>
          <w:lang w:val="en-US"/>
        </w:rPr>
        <w:t xml:space="preserve"> that is irreversible by the time of transplant, whereas cerebral ALD has a considerable progressive inflammatory component that is stabilized by the transplant (</w:t>
      </w:r>
      <w:r w:rsidR="00DB7EF2" w:rsidRPr="00DE3121">
        <w:rPr>
          <w:rFonts w:ascii="Arial" w:eastAsia="Arial" w:hAnsi="Arial" w:cs="Arial"/>
          <w:sz w:val="22"/>
          <w:szCs w:val="22"/>
          <w:lang w:val="en-US"/>
        </w:rPr>
        <w:t>88</w:t>
      </w:r>
      <w:r w:rsidRPr="00DE3121">
        <w:rPr>
          <w:rFonts w:ascii="Arial" w:eastAsia="Arial" w:hAnsi="Arial" w:cs="Arial"/>
          <w:sz w:val="22"/>
          <w:szCs w:val="22"/>
          <w:lang w:val="en-US"/>
        </w:rPr>
        <w:t xml:space="preserve">). </w:t>
      </w:r>
    </w:p>
    <w:p w14:paraId="738610EB" w14:textId="77777777" w:rsidR="00F43C31" w:rsidRPr="00DE3121" w:rsidRDefault="00F43C31" w:rsidP="00DE3121">
      <w:pPr>
        <w:spacing w:after="0" w:line="276" w:lineRule="auto"/>
        <w:rPr>
          <w:rFonts w:ascii="Arial" w:eastAsia="Arial" w:hAnsi="Arial" w:cs="Arial"/>
          <w:b/>
          <w:bCs/>
          <w:sz w:val="22"/>
          <w:szCs w:val="22"/>
          <w:lang w:val="en-US"/>
        </w:rPr>
      </w:pPr>
    </w:p>
    <w:p w14:paraId="21A3DCCF" w14:textId="5F4C4821" w:rsidR="00C66C7A" w:rsidRPr="002739CB" w:rsidRDefault="00F43C31" w:rsidP="00DE3121">
      <w:pPr>
        <w:spacing w:after="0" w:line="276" w:lineRule="auto"/>
        <w:rPr>
          <w:rFonts w:ascii="Arial" w:eastAsia="Arial" w:hAnsi="Arial" w:cs="Arial"/>
          <w:b/>
          <w:bCs/>
          <w:color w:val="00B050"/>
          <w:sz w:val="22"/>
          <w:szCs w:val="22"/>
          <w:lang w:val="en-US"/>
        </w:rPr>
      </w:pPr>
      <w:r w:rsidRPr="002739CB">
        <w:rPr>
          <w:rFonts w:ascii="Arial" w:eastAsia="Arial" w:hAnsi="Arial" w:cs="Arial"/>
          <w:b/>
          <w:bCs/>
          <w:color w:val="00B050"/>
          <w:sz w:val="22"/>
          <w:szCs w:val="22"/>
          <w:lang w:val="en-US"/>
        </w:rPr>
        <w:t xml:space="preserve">Gene </w:t>
      </w:r>
      <w:r w:rsidR="002739CB" w:rsidRPr="002739CB">
        <w:rPr>
          <w:rFonts w:ascii="Arial" w:eastAsia="Arial" w:hAnsi="Arial" w:cs="Arial"/>
          <w:b/>
          <w:bCs/>
          <w:color w:val="00B050"/>
          <w:sz w:val="22"/>
          <w:szCs w:val="22"/>
          <w:lang w:val="en-US"/>
        </w:rPr>
        <w:t>T</w:t>
      </w:r>
      <w:r w:rsidRPr="002739CB">
        <w:rPr>
          <w:rFonts w:ascii="Arial" w:eastAsia="Arial" w:hAnsi="Arial" w:cs="Arial"/>
          <w:b/>
          <w:bCs/>
          <w:color w:val="00B050"/>
          <w:sz w:val="22"/>
          <w:szCs w:val="22"/>
          <w:lang w:val="en-US"/>
        </w:rPr>
        <w:t>herapy</w:t>
      </w:r>
    </w:p>
    <w:p w14:paraId="637805D2" w14:textId="77777777" w:rsidR="00AF6532" w:rsidRPr="00DE3121" w:rsidRDefault="00AF6532" w:rsidP="00DE3121">
      <w:pPr>
        <w:spacing w:after="0" w:line="276" w:lineRule="auto"/>
        <w:rPr>
          <w:rFonts w:ascii="Arial" w:hAnsi="Arial" w:cs="Arial"/>
          <w:b/>
          <w:bCs/>
          <w:sz w:val="22"/>
          <w:szCs w:val="22"/>
          <w:lang w:val="en-US"/>
        </w:rPr>
      </w:pPr>
    </w:p>
    <w:p w14:paraId="21DE18ED" w14:textId="1D2A06DC" w:rsidR="00FA457B" w:rsidRDefault="00F43C31" w:rsidP="00DE3121">
      <w:pPr>
        <w:widowControl w:val="0"/>
        <w:autoSpaceDE w:val="0"/>
        <w:autoSpaceDN w:val="0"/>
        <w:adjustRightInd w:val="0"/>
        <w:spacing w:after="0" w:line="276" w:lineRule="auto"/>
        <w:rPr>
          <w:rFonts w:ascii="Arial" w:eastAsia="Times New Roman" w:hAnsi="Arial" w:cs="Arial"/>
          <w:kern w:val="0"/>
          <w:sz w:val="22"/>
          <w:szCs w:val="22"/>
          <w:lang w:val="en-US" w:eastAsia="el-GR"/>
        </w:rPr>
      </w:pPr>
      <w:r w:rsidRPr="00DE3121">
        <w:rPr>
          <w:rFonts w:ascii="Arial" w:eastAsia="Times New Roman" w:hAnsi="Arial" w:cs="Arial"/>
          <w:color w:val="000000"/>
          <w:kern w:val="0"/>
          <w:sz w:val="22"/>
          <w:szCs w:val="22"/>
          <w:lang w:val="en-US" w:eastAsia="el-GR"/>
        </w:rPr>
        <w:t>In case of patients without HLA-matched donors or adult patients with CALD (given the</w:t>
      </w:r>
      <w:r w:rsidR="00E2546A" w:rsidRPr="00DE3121">
        <w:rPr>
          <w:rFonts w:ascii="Arial" w:eastAsia="Times New Roman" w:hAnsi="Arial" w:cs="Arial"/>
          <w:color w:val="000000"/>
          <w:kern w:val="0"/>
          <w:sz w:val="22"/>
          <w:szCs w:val="22"/>
          <w:lang w:val="en-US" w:eastAsia="el-GR"/>
        </w:rPr>
        <w:t xml:space="preserve"> </w:t>
      </w:r>
      <w:r w:rsidRPr="00DE3121">
        <w:rPr>
          <w:rFonts w:ascii="Arial" w:eastAsia="Times New Roman" w:hAnsi="Arial" w:cs="Arial"/>
          <w:color w:val="000000"/>
          <w:kern w:val="0"/>
          <w:sz w:val="22"/>
          <w:szCs w:val="22"/>
          <w:lang w:val="en-US" w:eastAsia="el-GR"/>
        </w:rPr>
        <w:t>higher mortality risk of allogeneic HSCT compared to children), an alternative option is autologous HSC-gene therapy with lentivirally corrected cells (</w:t>
      </w:r>
      <w:r w:rsidR="00DB7EF2" w:rsidRPr="00DE3121">
        <w:rPr>
          <w:rFonts w:ascii="Arial" w:eastAsia="Times New Roman" w:hAnsi="Arial" w:cs="Arial"/>
          <w:color w:val="000000"/>
          <w:kern w:val="0"/>
          <w:sz w:val="22"/>
          <w:szCs w:val="22"/>
          <w:lang w:val="en-US" w:eastAsia="el-GR"/>
        </w:rPr>
        <w:t>89</w:t>
      </w:r>
      <w:r w:rsidRPr="00DE3121">
        <w:rPr>
          <w:rFonts w:ascii="Arial" w:eastAsia="Times New Roman" w:hAnsi="Arial" w:cs="Arial"/>
          <w:color w:val="000000"/>
          <w:kern w:val="0"/>
          <w:sz w:val="22"/>
          <w:szCs w:val="22"/>
          <w:lang w:val="en-US" w:eastAsia="el-GR"/>
        </w:rPr>
        <w:t>). In this procedure, CD34+ cells from X-ALD patients are transfected </w:t>
      </w:r>
      <w:r w:rsidRPr="00DE3121">
        <w:rPr>
          <w:rFonts w:ascii="Arial" w:eastAsia="Times New Roman" w:hAnsi="Arial" w:cs="Arial"/>
          <w:i/>
          <w:iCs/>
          <w:color w:val="000000"/>
          <w:kern w:val="0"/>
          <w:sz w:val="22"/>
          <w:szCs w:val="22"/>
          <w:bdr w:val="none" w:sz="0" w:space="0" w:color="auto" w:frame="1"/>
          <w:lang w:val="en-US" w:eastAsia="el-GR"/>
        </w:rPr>
        <w:t>ex vivo</w:t>
      </w:r>
      <w:r w:rsidRPr="00DE3121">
        <w:rPr>
          <w:rFonts w:ascii="Arial" w:eastAsia="Times New Roman" w:hAnsi="Arial" w:cs="Arial"/>
          <w:color w:val="000000"/>
          <w:kern w:val="0"/>
          <w:sz w:val="22"/>
          <w:szCs w:val="22"/>
          <w:lang w:val="en-US" w:eastAsia="el-GR"/>
        </w:rPr>
        <w:t> using a lentiviral vector encoding the wild-type ABCD1 cDNA. As a result of this therapy, 7-14% of granulocytes, monocytes, T and B lymphocytes express the lentivirally encoded ALDP. In</w:t>
      </w:r>
      <w:r w:rsidR="00AF6532" w:rsidRPr="00DE3121">
        <w:rPr>
          <w:rFonts w:ascii="Arial" w:eastAsia="Times New Roman" w:hAnsi="Arial" w:cs="Arial"/>
          <w:color w:val="000000"/>
          <w:kern w:val="0"/>
          <w:sz w:val="22"/>
          <w:szCs w:val="22"/>
          <w:lang w:val="en-US" w:eastAsia="el-GR"/>
        </w:rPr>
        <w:t xml:space="preserve"> </w:t>
      </w:r>
      <w:r w:rsidRPr="00DE3121">
        <w:rPr>
          <w:rFonts w:ascii="Arial" w:eastAsia="Times New Roman" w:hAnsi="Arial" w:cs="Arial"/>
          <w:color w:val="000000"/>
          <w:kern w:val="0"/>
          <w:sz w:val="22"/>
          <w:szCs w:val="22"/>
          <w:lang w:val="en-US" w:eastAsia="el-GR"/>
        </w:rPr>
        <w:t>a recent phase 2-3 study including 17 boys, short-term clinical outcomes were reported to be comparable to that of allogeneic HSCT (</w:t>
      </w:r>
      <w:r w:rsidR="00A50678" w:rsidRPr="00DE3121">
        <w:rPr>
          <w:rFonts w:ascii="Arial" w:eastAsia="Times New Roman" w:hAnsi="Arial" w:cs="Arial"/>
          <w:color w:val="000000"/>
          <w:kern w:val="0"/>
          <w:sz w:val="22"/>
          <w:szCs w:val="22"/>
          <w:lang w:val="en-US" w:eastAsia="el-GR"/>
        </w:rPr>
        <w:t>9</w:t>
      </w:r>
      <w:r w:rsidR="00DB7EF2" w:rsidRPr="00DE3121">
        <w:rPr>
          <w:rFonts w:ascii="Arial" w:eastAsia="Times New Roman" w:hAnsi="Arial" w:cs="Arial"/>
          <w:color w:val="000000"/>
          <w:kern w:val="0"/>
          <w:sz w:val="22"/>
          <w:szCs w:val="22"/>
          <w:lang w:val="en-US" w:eastAsia="el-GR"/>
        </w:rPr>
        <w:t>0</w:t>
      </w:r>
      <w:r w:rsidRPr="00DE3121">
        <w:rPr>
          <w:rFonts w:ascii="Arial" w:eastAsia="Times New Roman" w:hAnsi="Arial" w:cs="Arial"/>
          <w:color w:val="000000"/>
          <w:kern w:val="0"/>
          <w:sz w:val="22"/>
          <w:szCs w:val="22"/>
          <w:lang w:val="en-US" w:eastAsia="el-GR"/>
        </w:rPr>
        <w:t>).</w:t>
      </w:r>
      <w:r w:rsidR="00C90FBB" w:rsidRPr="00DE3121">
        <w:rPr>
          <w:rFonts w:ascii="Arial" w:eastAsia="Times New Roman" w:hAnsi="Arial" w:cs="Arial"/>
          <w:color w:val="000000"/>
          <w:kern w:val="0"/>
          <w:sz w:val="22"/>
          <w:szCs w:val="22"/>
          <w:lang w:val="en-US" w:eastAsia="el-GR"/>
        </w:rPr>
        <w:t xml:space="preserve"> </w:t>
      </w:r>
      <w:r w:rsidR="00B673B0" w:rsidRPr="00DE3121">
        <w:rPr>
          <w:rFonts w:ascii="Arial" w:eastAsia="Times New Roman" w:hAnsi="Arial" w:cs="Arial"/>
          <w:color w:val="000000"/>
          <w:kern w:val="0"/>
          <w:sz w:val="22"/>
          <w:szCs w:val="22"/>
          <w:lang w:val="en-US" w:eastAsia="el-GR"/>
        </w:rPr>
        <w:t xml:space="preserve">The procedure called </w:t>
      </w:r>
      <w:r w:rsidR="00C90FBB" w:rsidRPr="00DE3121">
        <w:rPr>
          <w:rFonts w:ascii="Arial" w:hAnsi="Arial" w:cs="Arial"/>
          <w:sz w:val="22"/>
          <w:szCs w:val="22"/>
          <w:lang w:val="en-US"/>
        </w:rPr>
        <w:t xml:space="preserve">Lenti-D gene therapy resulted in </w:t>
      </w:r>
      <w:r w:rsidR="00B673B0" w:rsidRPr="00DE3121">
        <w:rPr>
          <w:rFonts w:ascii="Arial" w:hAnsi="Arial" w:cs="Arial"/>
          <w:sz w:val="22"/>
          <w:szCs w:val="22"/>
          <w:lang w:val="en-US"/>
        </w:rPr>
        <w:t xml:space="preserve">clinical </w:t>
      </w:r>
      <w:r w:rsidR="00C90FBB" w:rsidRPr="00DE3121">
        <w:rPr>
          <w:rFonts w:ascii="Arial" w:hAnsi="Arial" w:cs="Arial"/>
          <w:sz w:val="22"/>
          <w:szCs w:val="22"/>
          <w:lang w:val="en-US"/>
        </w:rPr>
        <w:t xml:space="preserve">disease </w:t>
      </w:r>
      <w:r w:rsidR="00B673B0" w:rsidRPr="00DE3121">
        <w:rPr>
          <w:rFonts w:ascii="Arial" w:hAnsi="Arial" w:cs="Arial"/>
          <w:sz w:val="22"/>
          <w:szCs w:val="22"/>
          <w:lang w:val="en-US"/>
        </w:rPr>
        <w:t xml:space="preserve">and imaging </w:t>
      </w:r>
      <w:r w:rsidR="00C90FBB" w:rsidRPr="00DE3121">
        <w:rPr>
          <w:rFonts w:ascii="Arial" w:hAnsi="Arial" w:cs="Arial"/>
          <w:sz w:val="22"/>
          <w:szCs w:val="22"/>
          <w:lang w:val="en-US"/>
        </w:rPr>
        <w:t xml:space="preserve">stabilization according </w:t>
      </w:r>
      <w:r w:rsidR="00B673B0" w:rsidRPr="00DE3121">
        <w:rPr>
          <w:rFonts w:ascii="Arial" w:hAnsi="Arial" w:cs="Arial"/>
          <w:sz w:val="22"/>
          <w:szCs w:val="22"/>
          <w:lang w:val="en-US"/>
        </w:rPr>
        <w:t>to</w:t>
      </w:r>
      <w:r w:rsidR="00C90FBB" w:rsidRPr="00DE3121">
        <w:rPr>
          <w:rFonts w:ascii="Arial" w:hAnsi="Arial" w:cs="Arial"/>
          <w:sz w:val="22"/>
          <w:szCs w:val="22"/>
          <w:lang w:val="en-US"/>
        </w:rPr>
        <w:t xml:space="preserve"> neurological </w:t>
      </w:r>
      <w:r w:rsidR="00FA457B" w:rsidRPr="00DE3121">
        <w:rPr>
          <w:rFonts w:ascii="Arial" w:hAnsi="Arial" w:cs="Arial"/>
          <w:sz w:val="22"/>
          <w:szCs w:val="22"/>
          <w:lang w:val="en-US"/>
        </w:rPr>
        <w:t>symptoms</w:t>
      </w:r>
      <w:r w:rsidR="00B673B0" w:rsidRPr="00DE3121">
        <w:rPr>
          <w:rFonts w:ascii="Arial" w:hAnsi="Arial" w:cs="Arial"/>
          <w:sz w:val="22"/>
          <w:szCs w:val="22"/>
          <w:lang w:val="en-US"/>
        </w:rPr>
        <w:t xml:space="preserve"> and brain MRI findings</w:t>
      </w:r>
      <w:r w:rsidR="00B32071" w:rsidRPr="00DE3121">
        <w:rPr>
          <w:rFonts w:ascii="Arial" w:hAnsi="Arial" w:cs="Arial"/>
          <w:sz w:val="22"/>
          <w:szCs w:val="22"/>
          <w:lang w:val="en-US"/>
        </w:rPr>
        <w:t xml:space="preserve"> in the vast majority of enrolled patients</w:t>
      </w:r>
      <w:r w:rsidR="00FA457B" w:rsidRPr="00DE3121">
        <w:rPr>
          <w:rFonts w:ascii="Arial" w:hAnsi="Arial" w:cs="Arial"/>
          <w:sz w:val="22"/>
          <w:szCs w:val="22"/>
          <w:lang w:val="en-US"/>
        </w:rPr>
        <w:t>.</w:t>
      </w:r>
      <w:r w:rsidR="00C90FBB" w:rsidRPr="00DE3121">
        <w:rPr>
          <w:rFonts w:ascii="Arial" w:hAnsi="Arial" w:cs="Arial"/>
          <w:sz w:val="22"/>
          <w:szCs w:val="22"/>
          <w:lang w:val="en-US"/>
        </w:rPr>
        <w:t xml:space="preserve"> An ongoing study </w:t>
      </w:r>
      <w:r w:rsidR="00E2546A" w:rsidRPr="00DE3121">
        <w:rPr>
          <w:rFonts w:ascii="Arial" w:hAnsi="Arial" w:cs="Arial"/>
          <w:sz w:val="22"/>
          <w:szCs w:val="22"/>
          <w:lang w:val="en-US"/>
        </w:rPr>
        <w:t xml:space="preserve">recruiting for a phase III trial that has been recently opened across the </w:t>
      </w:r>
      <w:r w:rsidR="00633A4D" w:rsidRPr="00DE3121">
        <w:rPr>
          <w:rFonts w:ascii="Arial" w:hAnsi="Arial" w:cs="Arial"/>
          <w:sz w:val="22"/>
          <w:szCs w:val="22"/>
          <w:lang w:val="en-US"/>
        </w:rPr>
        <w:t xml:space="preserve">US </w:t>
      </w:r>
      <w:r w:rsidR="00E2546A" w:rsidRPr="00DE3121">
        <w:rPr>
          <w:rFonts w:ascii="Arial" w:hAnsi="Arial" w:cs="Arial"/>
          <w:sz w:val="22"/>
          <w:szCs w:val="22"/>
          <w:lang w:val="en-US"/>
        </w:rPr>
        <w:t xml:space="preserve">and Europe </w:t>
      </w:r>
      <w:r w:rsidR="00C90FBB" w:rsidRPr="00DE3121">
        <w:rPr>
          <w:rFonts w:ascii="Arial" w:hAnsi="Arial" w:cs="Arial"/>
          <w:sz w:val="22"/>
          <w:szCs w:val="22"/>
          <w:lang w:val="en-US"/>
        </w:rPr>
        <w:t>(</w:t>
      </w:r>
      <w:r w:rsidR="00C90FBB" w:rsidRPr="00DE3121">
        <w:rPr>
          <w:rFonts w:ascii="Arial" w:hAnsi="Arial" w:cs="Arial"/>
          <w:kern w:val="0"/>
          <w:sz w:val="22"/>
          <w:szCs w:val="22"/>
          <w:lang w:val="en-US"/>
        </w:rPr>
        <w:t>NCT03852498)</w:t>
      </w:r>
      <w:r w:rsidR="00C90FBB" w:rsidRPr="00DE3121">
        <w:rPr>
          <w:rFonts w:ascii="Arial" w:hAnsi="Arial" w:cs="Arial"/>
          <w:sz w:val="22"/>
          <w:szCs w:val="22"/>
          <w:lang w:val="en-US"/>
        </w:rPr>
        <w:t xml:space="preserve"> will </w:t>
      </w:r>
      <w:r w:rsidR="00B32071" w:rsidRPr="00DE3121">
        <w:rPr>
          <w:rFonts w:ascii="Arial" w:hAnsi="Arial" w:cs="Arial"/>
          <w:sz w:val="22"/>
          <w:szCs w:val="22"/>
          <w:lang w:val="en-US"/>
        </w:rPr>
        <w:t xml:space="preserve">further </w:t>
      </w:r>
      <w:r w:rsidR="00C90FBB" w:rsidRPr="00DE3121">
        <w:rPr>
          <w:rFonts w:ascii="Arial" w:hAnsi="Arial" w:cs="Arial"/>
          <w:sz w:val="22"/>
          <w:szCs w:val="22"/>
          <w:lang w:val="en-US"/>
        </w:rPr>
        <w:t>evaluate the efficacy and safety of Lenti-D</w:t>
      </w:r>
      <w:r w:rsidR="00B32071" w:rsidRPr="00DE3121">
        <w:rPr>
          <w:rFonts w:ascii="Arial" w:hAnsi="Arial" w:cs="Arial"/>
          <w:sz w:val="22"/>
          <w:szCs w:val="22"/>
          <w:lang w:val="en-US"/>
        </w:rPr>
        <w:t xml:space="preserve"> gene therapy</w:t>
      </w:r>
      <w:r w:rsidR="00C90FBB" w:rsidRPr="00DE3121">
        <w:rPr>
          <w:rFonts w:ascii="Arial" w:hAnsi="Arial" w:cs="Arial"/>
          <w:sz w:val="22"/>
          <w:szCs w:val="22"/>
          <w:lang w:val="en-US"/>
        </w:rPr>
        <w:t xml:space="preserve"> in participants with CALD.</w:t>
      </w:r>
      <w:r w:rsidR="00AF6532" w:rsidRPr="00DE3121">
        <w:rPr>
          <w:rFonts w:ascii="Arial" w:eastAsia="Times New Roman" w:hAnsi="Arial" w:cs="Arial"/>
          <w:kern w:val="0"/>
          <w:sz w:val="22"/>
          <w:szCs w:val="22"/>
          <w:lang w:val="en-US" w:eastAsia="el-GR"/>
        </w:rPr>
        <w:t xml:space="preserve"> </w:t>
      </w:r>
      <w:r w:rsidR="00C90FBB" w:rsidRPr="00DE3121">
        <w:rPr>
          <w:rFonts w:ascii="Arial" w:eastAsia="Times New Roman" w:hAnsi="Arial" w:cs="Arial"/>
          <w:kern w:val="0"/>
          <w:sz w:val="22"/>
          <w:szCs w:val="22"/>
          <w:lang w:val="en-US" w:eastAsia="el-GR"/>
        </w:rPr>
        <w:t>Nevertheless, concerns regarding long-term efficacy, biosafety of lentiviral vectors, as well as the high cost of this therapy need to be taken</w:t>
      </w:r>
      <w:r w:rsidR="00A50678" w:rsidRPr="00DE3121">
        <w:rPr>
          <w:rFonts w:ascii="Arial" w:eastAsia="Times New Roman" w:hAnsi="Arial" w:cs="Arial"/>
          <w:kern w:val="0"/>
          <w:sz w:val="22"/>
          <w:szCs w:val="22"/>
          <w:lang w:val="en-US" w:eastAsia="el-GR"/>
        </w:rPr>
        <w:t xml:space="preserve"> </w:t>
      </w:r>
      <w:r w:rsidR="00C90FBB" w:rsidRPr="00DE3121">
        <w:rPr>
          <w:rFonts w:ascii="Arial" w:eastAsia="Times New Roman" w:hAnsi="Arial" w:cs="Arial"/>
          <w:kern w:val="0"/>
          <w:sz w:val="22"/>
          <w:szCs w:val="22"/>
          <w:lang w:val="en-US" w:eastAsia="el-GR"/>
        </w:rPr>
        <w:t>into account</w:t>
      </w:r>
      <w:r w:rsidR="00AF6532" w:rsidRPr="00DE3121">
        <w:rPr>
          <w:rFonts w:ascii="Arial" w:eastAsia="Times New Roman" w:hAnsi="Arial" w:cs="Arial"/>
          <w:kern w:val="0"/>
          <w:sz w:val="22"/>
          <w:szCs w:val="22"/>
          <w:lang w:val="en-US" w:eastAsia="el-GR"/>
        </w:rPr>
        <w:t xml:space="preserve"> </w:t>
      </w:r>
      <w:r w:rsidR="00E2546A" w:rsidRPr="00DE3121">
        <w:rPr>
          <w:rFonts w:ascii="Arial" w:eastAsia="Times New Roman" w:hAnsi="Arial" w:cs="Arial"/>
          <w:kern w:val="0"/>
          <w:sz w:val="22"/>
          <w:szCs w:val="22"/>
          <w:lang w:val="en-US" w:eastAsia="el-GR"/>
        </w:rPr>
        <w:t>(</w:t>
      </w:r>
      <w:r w:rsidR="00A50678" w:rsidRPr="00DE3121">
        <w:rPr>
          <w:rFonts w:ascii="Arial" w:eastAsia="Times New Roman" w:hAnsi="Arial" w:cs="Arial"/>
          <w:kern w:val="0"/>
          <w:sz w:val="22"/>
          <w:szCs w:val="22"/>
          <w:lang w:val="en-US" w:eastAsia="el-GR"/>
        </w:rPr>
        <w:t>9</w:t>
      </w:r>
      <w:r w:rsidR="00DB7EF2" w:rsidRPr="00DE3121">
        <w:rPr>
          <w:rFonts w:ascii="Arial" w:eastAsia="Times New Roman" w:hAnsi="Arial" w:cs="Arial"/>
          <w:kern w:val="0"/>
          <w:sz w:val="22"/>
          <w:szCs w:val="22"/>
          <w:lang w:val="en-US" w:eastAsia="el-GR"/>
        </w:rPr>
        <w:t>1</w:t>
      </w:r>
      <w:r w:rsidR="00E2546A" w:rsidRPr="00DE3121">
        <w:rPr>
          <w:rFonts w:ascii="Arial" w:eastAsia="Times New Roman" w:hAnsi="Arial" w:cs="Arial"/>
          <w:kern w:val="0"/>
          <w:sz w:val="22"/>
          <w:szCs w:val="22"/>
          <w:lang w:val="en-US" w:eastAsia="el-GR"/>
        </w:rPr>
        <w:t xml:space="preserve">, </w:t>
      </w:r>
      <w:r w:rsidR="00A50678" w:rsidRPr="00DE3121">
        <w:rPr>
          <w:rFonts w:ascii="Arial" w:eastAsia="Times New Roman" w:hAnsi="Arial" w:cs="Arial"/>
          <w:kern w:val="0"/>
          <w:sz w:val="22"/>
          <w:szCs w:val="22"/>
          <w:lang w:val="en-US" w:eastAsia="el-GR"/>
        </w:rPr>
        <w:t>9</w:t>
      </w:r>
      <w:r w:rsidR="00DB7EF2" w:rsidRPr="00DE3121">
        <w:rPr>
          <w:rFonts w:ascii="Arial" w:eastAsia="Times New Roman" w:hAnsi="Arial" w:cs="Arial"/>
          <w:kern w:val="0"/>
          <w:sz w:val="22"/>
          <w:szCs w:val="22"/>
          <w:lang w:val="en-US" w:eastAsia="el-GR"/>
        </w:rPr>
        <w:t>2</w:t>
      </w:r>
      <w:r w:rsidR="004103B9" w:rsidRPr="00DE3121">
        <w:rPr>
          <w:rFonts w:ascii="Arial" w:eastAsia="Times New Roman" w:hAnsi="Arial" w:cs="Arial"/>
          <w:kern w:val="0"/>
          <w:sz w:val="22"/>
          <w:szCs w:val="22"/>
          <w:lang w:val="en-US" w:eastAsia="el-GR"/>
        </w:rPr>
        <w:t>)</w:t>
      </w:r>
      <w:r w:rsidR="00C90FBB" w:rsidRPr="00DE3121">
        <w:rPr>
          <w:rFonts w:ascii="Arial" w:eastAsia="Times New Roman" w:hAnsi="Arial" w:cs="Arial"/>
          <w:kern w:val="0"/>
          <w:sz w:val="22"/>
          <w:szCs w:val="22"/>
          <w:lang w:val="en-US" w:eastAsia="el-GR"/>
        </w:rPr>
        <w:t>. An alternative approach is performing allogeneic</w:t>
      </w:r>
      <w:r w:rsidR="00E2546A" w:rsidRPr="00DE3121">
        <w:rPr>
          <w:rFonts w:ascii="Arial" w:eastAsia="Times New Roman" w:hAnsi="Arial" w:cs="Arial"/>
          <w:kern w:val="0"/>
          <w:sz w:val="22"/>
          <w:szCs w:val="22"/>
          <w:lang w:val="en-US" w:eastAsia="el-GR"/>
        </w:rPr>
        <w:t xml:space="preserve"> </w:t>
      </w:r>
      <w:r w:rsidR="00C90FBB" w:rsidRPr="00DE3121">
        <w:rPr>
          <w:rFonts w:ascii="Arial" w:eastAsia="Times New Roman" w:hAnsi="Arial" w:cs="Arial"/>
          <w:kern w:val="0"/>
          <w:sz w:val="22"/>
          <w:szCs w:val="22"/>
          <w:lang w:val="en-US" w:eastAsia="el-GR"/>
        </w:rPr>
        <w:t xml:space="preserve">HSCT from </w:t>
      </w:r>
      <w:r w:rsidR="00E2546A" w:rsidRPr="00DE3121">
        <w:rPr>
          <w:rFonts w:ascii="Arial" w:eastAsia="Times New Roman" w:hAnsi="Arial" w:cs="Arial"/>
          <w:kern w:val="0"/>
          <w:sz w:val="22"/>
          <w:szCs w:val="22"/>
          <w:lang w:val="en-US" w:eastAsia="el-GR"/>
        </w:rPr>
        <w:t>healthy siblings conceived after preimplantation HLA matching which</w:t>
      </w:r>
      <w:r w:rsidR="00AF6532" w:rsidRPr="00DE3121">
        <w:rPr>
          <w:rFonts w:ascii="Arial" w:eastAsia="Times New Roman" w:hAnsi="Arial" w:cs="Arial"/>
          <w:kern w:val="0"/>
          <w:sz w:val="22"/>
          <w:szCs w:val="22"/>
          <w:lang w:val="en-US" w:eastAsia="el-GR"/>
        </w:rPr>
        <w:t xml:space="preserve"> </w:t>
      </w:r>
      <w:r w:rsidR="00E2546A" w:rsidRPr="00DE3121">
        <w:rPr>
          <w:rFonts w:ascii="Arial" w:eastAsia="Times New Roman" w:hAnsi="Arial" w:cs="Arial"/>
          <w:kern w:val="0"/>
          <w:sz w:val="22"/>
          <w:szCs w:val="22"/>
          <w:lang w:val="en-US" w:eastAsia="el-GR"/>
        </w:rPr>
        <w:t>offers the possibility of selecting unaffected embryos that are HLA compatible wit</w:t>
      </w:r>
      <w:r w:rsidR="00AF6532" w:rsidRPr="00DE3121">
        <w:rPr>
          <w:rFonts w:ascii="Arial" w:eastAsia="Times New Roman" w:hAnsi="Arial" w:cs="Arial"/>
          <w:kern w:val="0"/>
          <w:sz w:val="22"/>
          <w:szCs w:val="22"/>
          <w:lang w:val="en-US" w:eastAsia="el-GR"/>
        </w:rPr>
        <w:t xml:space="preserve">h </w:t>
      </w:r>
      <w:r w:rsidR="00E2546A" w:rsidRPr="00DE3121">
        <w:rPr>
          <w:rFonts w:ascii="Arial" w:eastAsia="Times New Roman" w:hAnsi="Arial" w:cs="Arial"/>
          <w:kern w:val="0"/>
          <w:sz w:val="22"/>
          <w:szCs w:val="22"/>
          <w:lang w:val="en-US" w:eastAsia="el-GR"/>
        </w:rPr>
        <w:t>the sick child</w:t>
      </w:r>
      <w:r w:rsidR="00FA3037" w:rsidRPr="00DE3121">
        <w:rPr>
          <w:rFonts w:ascii="Arial" w:eastAsia="Times New Roman" w:hAnsi="Arial" w:cs="Arial"/>
          <w:kern w:val="0"/>
          <w:sz w:val="22"/>
          <w:szCs w:val="22"/>
          <w:lang w:val="en-US" w:eastAsia="el-GR"/>
        </w:rPr>
        <w:t xml:space="preserve"> (</w:t>
      </w:r>
      <w:r w:rsidR="00A50678" w:rsidRPr="00DE3121">
        <w:rPr>
          <w:rFonts w:ascii="Arial" w:eastAsia="Times New Roman" w:hAnsi="Arial" w:cs="Arial"/>
          <w:kern w:val="0"/>
          <w:sz w:val="22"/>
          <w:szCs w:val="22"/>
          <w:lang w:val="en-US" w:eastAsia="el-GR"/>
        </w:rPr>
        <w:t>9</w:t>
      </w:r>
      <w:r w:rsidR="00DB7EF2" w:rsidRPr="00DE3121">
        <w:rPr>
          <w:rFonts w:ascii="Arial" w:eastAsia="Times New Roman" w:hAnsi="Arial" w:cs="Arial"/>
          <w:kern w:val="0"/>
          <w:sz w:val="22"/>
          <w:szCs w:val="22"/>
          <w:lang w:val="en-US" w:eastAsia="el-GR"/>
        </w:rPr>
        <w:t>3</w:t>
      </w:r>
      <w:r w:rsidR="00FA3037" w:rsidRPr="00DE3121">
        <w:rPr>
          <w:rFonts w:ascii="Arial" w:hAnsi="Arial" w:cs="Arial"/>
          <w:noProof/>
          <w:kern w:val="0"/>
          <w:sz w:val="22"/>
          <w:szCs w:val="22"/>
          <w:lang w:val="en-US"/>
        </w:rPr>
        <w:t>)</w:t>
      </w:r>
      <w:r w:rsidR="00E2546A" w:rsidRPr="00DE3121">
        <w:rPr>
          <w:rFonts w:ascii="Arial" w:eastAsia="Times New Roman" w:hAnsi="Arial" w:cs="Arial"/>
          <w:kern w:val="0"/>
          <w:sz w:val="22"/>
          <w:szCs w:val="22"/>
          <w:lang w:val="en-US" w:eastAsia="el-GR"/>
        </w:rPr>
        <w:t xml:space="preserve">. </w:t>
      </w:r>
    </w:p>
    <w:p w14:paraId="70678278" w14:textId="77777777" w:rsidR="002739CB" w:rsidRPr="00DE3121" w:rsidRDefault="002739CB" w:rsidP="00DE3121">
      <w:pPr>
        <w:widowControl w:val="0"/>
        <w:autoSpaceDE w:val="0"/>
        <w:autoSpaceDN w:val="0"/>
        <w:adjustRightInd w:val="0"/>
        <w:spacing w:after="0" w:line="276" w:lineRule="auto"/>
        <w:rPr>
          <w:rFonts w:ascii="Arial" w:eastAsia="Times New Roman" w:hAnsi="Arial" w:cs="Arial"/>
          <w:kern w:val="0"/>
          <w:sz w:val="22"/>
          <w:szCs w:val="22"/>
          <w:lang w:val="en-US" w:eastAsia="el-GR"/>
        </w:rPr>
      </w:pPr>
    </w:p>
    <w:p w14:paraId="3772D583" w14:textId="11C0D2D2" w:rsidR="004103B9" w:rsidRPr="00DE3121" w:rsidRDefault="00FA3037" w:rsidP="00DE3121">
      <w:pPr>
        <w:widowControl w:val="0"/>
        <w:autoSpaceDE w:val="0"/>
        <w:autoSpaceDN w:val="0"/>
        <w:adjustRightInd w:val="0"/>
        <w:spacing w:after="0" w:line="276" w:lineRule="auto"/>
        <w:rPr>
          <w:rFonts w:ascii="Arial" w:eastAsia="Times New Roman" w:hAnsi="Arial" w:cs="Arial"/>
          <w:kern w:val="0"/>
          <w:sz w:val="22"/>
          <w:szCs w:val="22"/>
          <w:lang w:val="en-US" w:eastAsia="el-GR"/>
        </w:rPr>
      </w:pPr>
      <w:r w:rsidRPr="00DE3121">
        <w:rPr>
          <w:rFonts w:ascii="Arial" w:eastAsia="Times New Roman" w:hAnsi="Arial" w:cs="Arial"/>
          <w:kern w:val="0"/>
          <w:sz w:val="22"/>
          <w:szCs w:val="22"/>
          <w:lang w:val="en-US" w:eastAsia="el-GR"/>
        </w:rPr>
        <w:t xml:space="preserve">Regarding adrenal function, </w:t>
      </w:r>
      <w:r w:rsidR="00FE34E0" w:rsidRPr="00DE3121">
        <w:rPr>
          <w:rFonts w:ascii="Arial" w:eastAsia="Times New Roman" w:hAnsi="Arial" w:cs="Arial"/>
          <w:kern w:val="0"/>
          <w:sz w:val="22"/>
          <w:szCs w:val="22"/>
          <w:lang w:val="en-US" w:eastAsia="el-GR"/>
        </w:rPr>
        <w:t>similarly</w:t>
      </w:r>
      <w:r w:rsidR="009F6781" w:rsidRPr="00DE3121">
        <w:rPr>
          <w:rFonts w:ascii="Arial" w:eastAsia="Times New Roman" w:hAnsi="Arial" w:cs="Arial"/>
          <w:kern w:val="0"/>
          <w:sz w:val="22"/>
          <w:szCs w:val="22"/>
          <w:lang w:val="en-US" w:eastAsia="el-GR"/>
        </w:rPr>
        <w:t xml:space="preserve"> to </w:t>
      </w:r>
      <w:r w:rsidR="00FE34E0" w:rsidRPr="00DE3121">
        <w:rPr>
          <w:rFonts w:ascii="Arial" w:eastAsia="Times New Roman" w:hAnsi="Arial" w:cs="Arial"/>
          <w:kern w:val="0"/>
          <w:sz w:val="22"/>
          <w:szCs w:val="22"/>
          <w:lang w:val="en-US" w:eastAsia="el-GR"/>
        </w:rPr>
        <w:t xml:space="preserve">HSCT, </w:t>
      </w:r>
      <w:r w:rsidRPr="00DE3121">
        <w:rPr>
          <w:rFonts w:ascii="Arial" w:eastAsia="Times New Roman" w:hAnsi="Arial" w:cs="Arial"/>
          <w:kern w:val="0"/>
          <w:sz w:val="22"/>
          <w:szCs w:val="22"/>
          <w:lang w:val="en-US" w:eastAsia="el-GR"/>
        </w:rPr>
        <w:t>there is</w:t>
      </w:r>
      <w:r w:rsidR="00AF6532" w:rsidRPr="00DE3121">
        <w:rPr>
          <w:rFonts w:ascii="Arial" w:eastAsia="Times New Roman" w:hAnsi="Arial" w:cs="Arial"/>
          <w:kern w:val="0"/>
          <w:sz w:val="22"/>
          <w:szCs w:val="22"/>
          <w:lang w:val="en-US" w:eastAsia="el-GR"/>
        </w:rPr>
        <w:t xml:space="preserve"> </w:t>
      </w:r>
      <w:r w:rsidRPr="00DE3121">
        <w:rPr>
          <w:rFonts w:ascii="Arial" w:eastAsia="Times New Roman" w:hAnsi="Arial" w:cs="Arial"/>
          <w:kern w:val="0"/>
          <w:sz w:val="22"/>
          <w:szCs w:val="22"/>
          <w:lang w:val="en-US" w:eastAsia="el-GR"/>
        </w:rPr>
        <w:t>no evidence for the reversal of adrenal failure after autologous HSC gene therapy</w:t>
      </w:r>
      <w:r w:rsidR="00AF6532" w:rsidRPr="00DE3121">
        <w:rPr>
          <w:rFonts w:ascii="Arial" w:eastAsia="Times New Roman" w:hAnsi="Arial" w:cs="Arial"/>
          <w:kern w:val="0"/>
          <w:sz w:val="22"/>
          <w:szCs w:val="22"/>
          <w:lang w:val="en-US" w:eastAsia="el-GR"/>
        </w:rPr>
        <w:t xml:space="preserve"> </w:t>
      </w:r>
      <w:r w:rsidRPr="00DE3121">
        <w:rPr>
          <w:rFonts w:ascii="Arial" w:eastAsia="Times New Roman" w:hAnsi="Arial" w:cs="Arial"/>
          <w:kern w:val="0"/>
          <w:sz w:val="22"/>
          <w:szCs w:val="22"/>
          <w:lang w:val="en-US" w:eastAsia="el-GR"/>
        </w:rPr>
        <w:t>(</w:t>
      </w:r>
      <w:r w:rsidR="00DB7EF2" w:rsidRPr="00DE3121">
        <w:rPr>
          <w:rFonts w:ascii="Arial" w:eastAsia="Times New Roman" w:hAnsi="Arial" w:cs="Arial"/>
          <w:kern w:val="0"/>
          <w:sz w:val="22"/>
          <w:szCs w:val="22"/>
          <w:lang w:val="en-US" w:eastAsia="el-GR"/>
        </w:rPr>
        <w:t>88</w:t>
      </w:r>
      <w:r w:rsidRPr="00DE3121">
        <w:rPr>
          <w:rFonts w:ascii="Arial" w:eastAsia="Times New Roman" w:hAnsi="Arial" w:cs="Arial"/>
          <w:kern w:val="0"/>
          <w:sz w:val="22"/>
          <w:szCs w:val="22"/>
          <w:lang w:val="en-US" w:eastAsia="el-GR"/>
        </w:rPr>
        <w:t>).</w:t>
      </w:r>
      <w:r w:rsidR="00AF6532" w:rsidRPr="00DE3121">
        <w:rPr>
          <w:rFonts w:ascii="Arial" w:eastAsia="Times New Roman" w:hAnsi="Arial" w:cs="Arial"/>
          <w:kern w:val="0"/>
          <w:sz w:val="22"/>
          <w:szCs w:val="22"/>
          <w:lang w:val="en-US" w:eastAsia="el-GR"/>
        </w:rPr>
        <w:t xml:space="preserve"> </w:t>
      </w:r>
      <w:r w:rsidR="004103B9" w:rsidRPr="00DE3121">
        <w:rPr>
          <w:rFonts w:ascii="Arial" w:eastAsia="Times New Roman" w:hAnsi="Arial" w:cs="Arial"/>
          <w:kern w:val="0"/>
          <w:sz w:val="22"/>
          <w:szCs w:val="22"/>
          <w:lang w:val="en-US" w:eastAsia="el-GR"/>
        </w:rPr>
        <w:t>Advances in gene therapy could offer new treatment</w:t>
      </w:r>
      <w:r w:rsidR="00AF6532" w:rsidRPr="00DE3121">
        <w:rPr>
          <w:rFonts w:ascii="Arial" w:eastAsia="Times New Roman" w:hAnsi="Arial" w:cs="Arial"/>
          <w:kern w:val="0"/>
          <w:sz w:val="22"/>
          <w:szCs w:val="22"/>
          <w:lang w:val="en-US" w:eastAsia="el-GR"/>
        </w:rPr>
        <w:t xml:space="preserve"> </w:t>
      </w:r>
      <w:r w:rsidR="004103B9" w:rsidRPr="00DE3121">
        <w:rPr>
          <w:rFonts w:ascii="Arial" w:eastAsia="Times New Roman" w:hAnsi="Arial" w:cs="Arial"/>
          <w:kern w:val="0"/>
          <w:sz w:val="22"/>
          <w:szCs w:val="22"/>
          <w:lang w:val="en-US" w:eastAsia="el-GR"/>
        </w:rPr>
        <w:t xml:space="preserve">options for ALD. </w:t>
      </w:r>
      <w:r w:rsidR="00633A4D" w:rsidRPr="00DE3121">
        <w:rPr>
          <w:rFonts w:ascii="Arial" w:eastAsia="Times New Roman" w:hAnsi="Arial" w:cs="Arial"/>
          <w:kern w:val="0"/>
          <w:sz w:val="22"/>
          <w:szCs w:val="22"/>
          <w:lang w:val="en-US" w:eastAsia="el-GR"/>
        </w:rPr>
        <w:t>Potential</w:t>
      </w:r>
      <w:r w:rsidR="004103B9" w:rsidRPr="00DE3121">
        <w:rPr>
          <w:rFonts w:ascii="Arial" w:eastAsia="Times New Roman" w:hAnsi="Arial" w:cs="Arial"/>
          <w:kern w:val="0"/>
          <w:sz w:val="22"/>
          <w:szCs w:val="22"/>
          <w:lang w:val="en-US" w:eastAsia="el-GR"/>
        </w:rPr>
        <w:t xml:space="preserve"> therapies include a) antisense oligonucleotides which target specific mutations to exclude pathogenic variants or to establish a normal reading frame shift, b) gene editing through the use of endonucleases that allows permanent modifications to specific DNA segments and c) targeted viral vector therapy that could deliver a normal copy of the </w:t>
      </w:r>
      <w:r w:rsidR="004103B9" w:rsidRPr="00DE3121">
        <w:rPr>
          <w:rFonts w:ascii="Arial" w:eastAsia="Times New Roman" w:hAnsi="Arial" w:cs="Arial"/>
          <w:i/>
          <w:iCs/>
          <w:kern w:val="0"/>
          <w:sz w:val="22"/>
          <w:szCs w:val="22"/>
          <w:lang w:val="en-US" w:eastAsia="el-GR"/>
        </w:rPr>
        <w:t>ABCD1</w:t>
      </w:r>
      <w:r w:rsidR="004103B9" w:rsidRPr="00DE3121">
        <w:rPr>
          <w:rFonts w:ascii="Arial" w:eastAsia="Times New Roman" w:hAnsi="Arial" w:cs="Arial"/>
          <w:kern w:val="0"/>
          <w:sz w:val="22"/>
          <w:szCs w:val="22"/>
          <w:lang w:val="en-US" w:eastAsia="el-GR"/>
        </w:rPr>
        <w:t xml:space="preserve"> gene to steroidogenic and to microglial cells to prevent adrenal disease and neurological dysfunction respectively (</w:t>
      </w:r>
      <w:r w:rsidR="0085728C" w:rsidRPr="00DE3121">
        <w:rPr>
          <w:rFonts w:ascii="Arial" w:eastAsia="Times New Roman" w:hAnsi="Arial" w:cs="Arial"/>
          <w:kern w:val="0"/>
          <w:sz w:val="22"/>
          <w:szCs w:val="22"/>
          <w:lang w:val="en-US" w:eastAsia="el-GR"/>
        </w:rPr>
        <w:t>54</w:t>
      </w:r>
      <w:r w:rsidR="004103B9" w:rsidRPr="00DE3121">
        <w:rPr>
          <w:rFonts w:ascii="Arial" w:eastAsia="Times New Roman" w:hAnsi="Arial" w:cs="Arial"/>
          <w:kern w:val="0"/>
          <w:sz w:val="22"/>
          <w:szCs w:val="22"/>
          <w:lang w:val="en-US" w:eastAsia="el-GR"/>
        </w:rPr>
        <w:t>).</w:t>
      </w:r>
    </w:p>
    <w:p w14:paraId="463F29E8" w14:textId="77777777" w:rsidR="004103B9" w:rsidRPr="00DE3121" w:rsidRDefault="004103B9" w:rsidP="00DE3121">
      <w:pPr>
        <w:spacing w:after="0" w:line="276" w:lineRule="auto"/>
        <w:rPr>
          <w:rFonts w:ascii="Arial" w:eastAsia="Times New Roman" w:hAnsi="Arial" w:cs="Arial"/>
          <w:kern w:val="0"/>
          <w:sz w:val="22"/>
          <w:szCs w:val="22"/>
          <w:lang w:val="en-US" w:eastAsia="el-GR"/>
        </w:rPr>
      </w:pPr>
    </w:p>
    <w:p w14:paraId="59B5DFE7" w14:textId="2EF45A81" w:rsidR="004103B9" w:rsidRPr="002739CB" w:rsidRDefault="004103B9" w:rsidP="00DE3121">
      <w:pPr>
        <w:spacing w:after="0" w:line="276" w:lineRule="auto"/>
        <w:textAlignment w:val="baseline"/>
        <w:outlineLvl w:val="2"/>
        <w:rPr>
          <w:rFonts w:ascii="Arial" w:eastAsia="Times New Roman" w:hAnsi="Arial" w:cs="Arial"/>
          <w:b/>
          <w:bCs/>
          <w:color w:val="00B050"/>
          <w:kern w:val="0"/>
          <w:sz w:val="22"/>
          <w:szCs w:val="22"/>
          <w:lang w:val="en-US" w:eastAsia="el-GR"/>
        </w:rPr>
      </w:pPr>
      <w:r w:rsidRPr="002739CB">
        <w:rPr>
          <w:rFonts w:ascii="Arial" w:eastAsia="Times New Roman" w:hAnsi="Arial" w:cs="Arial"/>
          <w:b/>
          <w:bCs/>
          <w:color w:val="00B050"/>
          <w:kern w:val="0"/>
          <w:sz w:val="22"/>
          <w:szCs w:val="22"/>
          <w:bdr w:val="none" w:sz="0" w:space="0" w:color="auto" w:frame="1"/>
          <w:lang w:val="en-US" w:eastAsia="el-GR"/>
        </w:rPr>
        <w:lastRenderedPageBreak/>
        <w:t xml:space="preserve">Treatment Of Adrenal Insufficiency </w:t>
      </w:r>
      <w:r w:rsidR="78323725" w:rsidRPr="002739CB">
        <w:rPr>
          <w:rFonts w:ascii="Arial" w:eastAsia="Times New Roman" w:hAnsi="Arial" w:cs="Arial"/>
          <w:b/>
          <w:bCs/>
          <w:color w:val="00B050"/>
          <w:kern w:val="0"/>
          <w:sz w:val="22"/>
          <w:szCs w:val="22"/>
          <w:bdr w:val="none" w:sz="0" w:space="0" w:color="auto" w:frame="1"/>
          <w:lang w:val="en-US" w:eastAsia="el-GR"/>
        </w:rPr>
        <w:t>a</w:t>
      </w:r>
      <w:r w:rsidRPr="002739CB">
        <w:rPr>
          <w:rFonts w:ascii="Arial" w:eastAsia="Times New Roman" w:hAnsi="Arial" w:cs="Arial"/>
          <w:b/>
          <w:bCs/>
          <w:color w:val="00B050"/>
          <w:kern w:val="0"/>
          <w:sz w:val="22"/>
          <w:szCs w:val="22"/>
          <w:bdr w:val="none" w:sz="0" w:space="0" w:color="auto" w:frame="1"/>
          <w:lang w:val="en-US" w:eastAsia="el-GR"/>
        </w:rPr>
        <w:t>nd Hypogonadism</w:t>
      </w:r>
    </w:p>
    <w:p w14:paraId="10EF996B" w14:textId="77777777" w:rsidR="004103B9" w:rsidRPr="00DE3121" w:rsidRDefault="004103B9" w:rsidP="00DE3121">
      <w:pPr>
        <w:spacing w:after="0"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w:t>
      </w:r>
    </w:p>
    <w:p w14:paraId="2535AEC8" w14:textId="77777777" w:rsidR="004103B9" w:rsidRDefault="004103B9" w:rsidP="00DE3121">
      <w:pPr>
        <w:spacing w:after="0"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For those patients with X-ALD who have impaired adrenal function</w:t>
      </w:r>
      <w:r w:rsidR="000E1F03" w:rsidRPr="00DE3121">
        <w:rPr>
          <w:rFonts w:ascii="Arial" w:eastAsia="Times New Roman" w:hAnsi="Arial" w:cs="Arial"/>
          <w:color w:val="000000"/>
          <w:kern w:val="0"/>
          <w:sz w:val="22"/>
          <w:szCs w:val="22"/>
          <w:lang w:val="en-US" w:eastAsia="el-GR"/>
        </w:rPr>
        <w:t>,</w:t>
      </w:r>
      <w:r w:rsidRPr="00DE3121">
        <w:rPr>
          <w:rFonts w:ascii="Arial" w:eastAsia="Times New Roman" w:hAnsi="Arial" w:cs="Arial"/>
          <w:color w:val="000000"/>
          <w:kern w:val="0"/>
          <w:sz w:val="22"/>
          <w:szCs w:val="22"/>
          <w:lang w:val="en-US" w:eastAsia="el-GR"/>
        </w:rPr>
        <w:t xml:space="preserve"> glucocorticoid replacement therapy is mandatory. Glucocorticoid replacement requirements are generally the same as in other forms of PAI</w:t>
      </w:r>
      <w:r w:rsidR="00BC39D3" w:rsidRPr="00DE3121">
        <w:rPr>
          <w:rFonts w:ascii="Arial" w:eastAsia="Times New Roman" w:hAnsi="Arial" w:cs="Arial"/>
          <w:color w:val="000000"/>
          <w:kern w:val="0"/>
          <w:sz w:val="22"/>
          <w:szCs w:val="22"/>
          <w:lang w:val="en-US" w:eastAsia="el-GR"/>
        </w:rPr>
        <w:t>,</w:t>
      </w:r>
      <w:r w:rsidRPr="00DE3121">
        <w:rPr>
          <w:rFonts w:ascii="Arial" w:eastAsia="Times New Roman" w:hAnsi="Arial" w:cs="Arial"/>
          <w:color w:val="000000"/>
          <w:kern w:val="0"/>
          <w:sz w:val="22"/>
          <w:szCs w:val="22"/>
          <w:lang w:val="en-US" w:eastAsia="el-GR"/>
        </w:rPr>
        <w:t xml:space="preserve"> whereas most patients may not require mineralocorticoid replacement. </w:t>
      </w:r>
    </w:p>
    <w:p w14:paraId="38B7073D" w14:textId="77777777" w:rsidR="002739CB" w:rsidRPr="00DE3121" w:rsidRDefault="002739CB" w:rsidP="00DE3121">
      <w:pPr>
        <w:spacing w:after="0" w:line="276" w:lineRule="auto"/>
        <w:textAlignment w:val="baseline"/>
        <w:rPr>
          <w:rFonts w:ascii="Arial" w:eastAsia="Times New Roman" w:hAnsi="Arial" w:cs="Arial"/>
          <w:color w:val="000000"/>
          <w:kern w:val="0"/>
          <w:sz w:val="22"/>
          <w:szCs w:val="22"/>
          <w:lang w:val="en-US" w:eastAsia="el-GR"/>
        </w:rPr>
      </w:pPr>
    </w:p>
    <w:p w14:paraId="71C5C8F1" w14:textId="77777777" w:rsidR="004103B9" w:rsidRPr="00DE3121" w:rsidRDefault="004103B9" w:rsidP="00DE3121">
      <w:pPr>
        <w:spacing w:after="0"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Male patients who present clinical manifestations of hypogonadism and confirmed low serum testosterone levels, should be treated with testosterone. Nevertheless, careful evaluation should be warranted, since impotence, in most instances may imply spinal cord involvement or neuropathy, rather than testosterone deficiency.</w:t>
      </w:r>
    </w:p>
    <w:p w14:paraId="3A0FF5F2" w14:textId="77777777" w:rsidR="0086052A" w:rsidRPr="00DE3121" w:rsidRDefault="0086052A" w:rsidP="00DE3121">
      <w:pPr>
        <w:spacing w:after="0" w:line="276" w:lineRule="auto"/>
        <w:textAlignment w:val="baseline"/>
        <w:rPr>
          <w:rFonts w:ascii="Arial" w:eastAsia="Times New Roman" w:hAnsi="Arial" w:cs="Arial"/>
          <w:color w:val="000000"/>
          <w:kern w:val="0"/>
          <w:sz w:val="22"/>
          <w:szCs w:val="22"/>
          <w:lang w:val="en-US" w:eastAsia="el-GR"/>
        </w:rPr>
      </w:pPr>
    </w:p>
    <w:p w14:paraId="700DA3C6" w14:textId="77777777" w:rsidR="0086052A" w:rsidRPr="002739CB" w:rsidRDefault="0086052A" w:rsidP="00DE3121">
      <w:pPr>
        <w:spacing w:after="0" w:line="276" w:lineRule="auto"/>
        <w:textAlignment w:val="baseline"/>
        <w:outlineLvl w:val="2"/>
        <w:rPr>
          <w:rFonts w:ascii="Arial" w:eastAsia="Times New Roman" w:hAnsi="Arial" w:cs="Arial"/>
          <w:b/>
          <w:bCs/>
          <w:color w:val="00B050"/>
          <w:kern w:val="0"/>
          <w:sz w:val="22"/>
          <w:szCs w:val="22"/>
          <w:lang w:val="en-US" w:eastAsia="el-GR"/>
        </w:rPr>
      </w:pPr>
      <w:r w:rsidRPr="002739CB">
        <w:rPr>
          <w:rFonts w:ascii="Arial" w:eastAsia="Times New Roman" w:hAnsi="Arial" w:cs="Arial"/>
          <w:b/>
          <w:bCs/>
          <w:color w:val="00B050"/>
          <w:kern w:val="0"/>
          <w:sz w:val="22"/>
          <w:szCs w:val="22"/>
          <w:lang w:val="en-US" w:eastAsia="el-GR"/>
        </w:rPr>
        <w:t>Experimental Therapies</w:t>
      </w:r>
    </w:p>
    <w:p w14:paraId="5E3886A4" w14:textId="77777777" w:rsidR="0086052A" w:rsidRPr="00DE3121" w:rsidRDefault="0086052A" w:rsidP="00DE3121">
      <w:pPr>
        <w:spacing w:after="0"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w:t>
      </w:r>
    </w:p>
    <w:p w14:paraId="0B9A9A60" w14:textId="77777777" w:rsidR="0086052A" w:rsidRDefault="0086052A" w:rsidP="00DE3121">
      <w:pPr>
        <w:spacing w:after="0"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Experimental treatment options include a) agents that bypass the defective ALDP by inducing alternative pathways for VLCFA degradation, b) combinations of antioxidants that diminish oxidative stress, c) agents that halt VLCFA elongation and d) the use of neurotrophic factors.</w:t>
      </w:r>
    </w:p>
    <w:p w14:paraId="16C8B4BC" w14:textId="77777777" w:rsidR="002739CB" w:rsidRPr="00DE3121" w:rsidRDefault="002739CB" w:rsidP="00DE3121">
      <w:pPr>
        <w:spacing w:after="0" w:line="276" w:lineRule="auto"/>
        <w:textAlignment w:val="baseline"/>
        <w:rPr>
          <w:rFonts w:ascii="Arial" w:eastAsia="Times New Roman" w:hAnsi="Arial" w:cs="Arial"/>
          <w:color w:val="000000"/>
          <w:kern w:val="0"/>
          <w:sz w:val="22"/>
          <w:szCs w:val="22"/>
          <w:lang w:val="en-US" w:eastAsia="el-GR"/>
        </w:rPr>
      </w:pPr>
    </w:p>
    <w:p w14:paraId="13A2767E" w14:textId="7F573786" w:rsidR="0086052A" w:rsidRDefault="0086052A" w:rsidP="00DE3121">
      <w:pPr>
        <w:spacing w:after="0" w:line="276" w:lineRule="auto"/>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Apart from ALDP, three additional closely related ABC half-transporters exist: ALDRP, PMP70</w:t>
      </w:r>
      <w:r w:rsidR="004277E6">
        <w:rPr>
          <w:rFonts w:ascii="Arial" w:eastAsia="Times New Roman" w:hAnsi="Arial" w:cs="Arial"/>
          <w:color w:val="000000"/>
          <w:kern w:val="0"/>
          <w:sz w:val="22"/>
          <w:szCs w:val="22"/>
          <w:lang w:val="en-US" w:eastAsia="el-GR"/>
        </w:rPr>
        <w:t>,</w:t>
      </w:r>
      <w:r w:rsidRPr="00DE3121">
        <w:rPr>
          <w:rFonts w:ascii="Arial" w:eastAsia="Times New Roman" w:hAnsi="Arial" w:cs="Arial"/>
          <w:color w:val="000000"/>
          <w:kern w:val="0"/>
          <w:sz w:val="22"/>
          <w:szCs w:val="22"/>
          <w:lang w:val="en-US" w:eastAsia="el-GR"/>
        </w:rPr>
        <w:t xml:space="preserve"> and PMP69, which are located on the membrane of </w:t>
      </w:r>
      <w:r w:rsidR="00C7493A" w:rsidRPr="00DE3121">
        <w:rPr>
          <w:rFonts w:ascii="Arial" w:eastAsia="Times New Roman" w:hAnsi="Arial" w:cs="Arial"/>
          <w:color w:val="000000"/>
          <w:kern w:val="0"/>
          <w:sz w:val="22"/>
          <w:szCs w:val="22"/>
          <w:lang w:val="en-US" w:eastAsia="el-GR"/>
        </w:rPr>
        <w:t>peroxisomes</w:t>
      </w:r>
      <w:r w:rsidRPr="00DE3121">
        <w:rPr>
          <w:rFonts w:ascii="Arial" w:eastAsia="Times New Roman" w:hAnsi="Arial" w:cs="Arial"/>
          <w:color w:val="000000"/>
          <w:kern w:val="0"/>
          <w:sz w:val="22"/>
          <w:szCs w:val="22"/>
          <w:lang w:val="en-US" w:eastAsia="el-GR"/>
        </w:rPr>
        <w:t xml:space="preserve">. ALDP must dimerize with one of these half-transporters to form a functional </w:t>
      </w:r>
      <w:r w:rsidR="1089AC1E" w:rsidRPr="00DE3121">
        <w:rPr>
          <w:rFonts w:ascii="Arial" w:eastAsia="Times New Roman" w:hAnsi="Arial" w:cs="Arial"/>
          <w:color w:val="000000"/>
          <w:kern w:val="0"/>
          <w:sz w:val="22"/>
          <w:szCs w:val="22"/>
          <w:lang w:val="en-US" w:eastAsia="el-GR"/>
        </w:rPr>
        <w:t>full transporter</w:t>
      </w:r>
      <w:r w:rsidRPr="00DE3121">
        <w:rPr>
          <w:rFonts w:ascii="Arial" w:eastAsia="Times New Roman" w:hAnsi="Arial" w:cs="Arial"/>
          <w:color w:val="000000"/>
          <w:kern w:val="0"/>
          <w:sz w:val="22"/>
          <w:szCs w:val="22"/>
          <w:lang w:val="en-US" w:eastAsia="el-GR"/>
        </w:rPr>
        <w:t xml:space="preserve"> (</w:t>
      </w:r>
      <w:r w:rsidR="00A50678" w:rsidRPr="00DE3121">
        <w:rPr>
          <w:rFonts w:ascii="Arial" w:eastAsia="Times New Roman" w:hAnsi="Arial" w:cs="Arial"/>
          <w:color w:val="000000"/>
          <w:kern w:val="0"/>
          <w:sz w:val="22"/>
          <w:szCs w:val="22"/>
          <w:lang w:val="en-US" w:eastAsia="el-GR"/>
        </w:rPr>
        <w:t>9</w:t>
      </w:r>
      <w:r w:rsidR="00DB7EF2" w:rsidRPr="00DE3121">
        <w:rPr>
          <w:rFonts w:ascii="Arial" w:eastAsia="Times New Roman" w:hAnsi="Arial" w:cs="Arial"/>
          <w:color w:val="000000"/>
          <w:kern w:val="0"/>
          <w:sz w:val="22"/>
          <w:szCs w:val="22"/>
          <w:lang w:val="en-US" w:eastAsia="el-GR"/>
        </w:rPr>
        <w:t>4</w:t>
      </w:r>
      <w:r w:rsidRPr="00DE3121">
        <w:rPr>
          <w:rFonts w:ascii="Arial" w:eastAsia="Times New Roman" w:hAnsi="Arial" w:cs="Arial"/>
          <w:color w:val="000000"/>
          <w:kern w:val="0"/>
          <w:sz w:val="22"/>
          <w:szCs w:val="22"/>
          <w:lang w:val="en-US" w:eastAsia="el-GR"/>
        </w:rPr>
        <w:t>). Over-expression of ABCD2, the gene producing ALDRP has been shown to compensate for ABCD1 deficiency and ameliorate VLCFA production from X-ALD cell series (</w:t>
      </w:r>
      <w:r w:rsidR="00A50678" w:rsidRPr="00DE3121">
        <w:rPr>
          <w:rFonts w:ascii="Arial" w:eastAsia="Times New Roman" w:hAnsi="Arial" w:cs="Arial"/>
          <w:color w:val="000000"/>
          <w:kern w:val="0"/>
          <w:sz w:val="22"/>
          <w:szCs w:val="22"/>
          <w:lang w:val="en-US" w:eastAsia="el-GR"/>
        </w:rPr>
        <w:t>9</w:t>
      </w:r>
      <w:r w:rsidR="00DB7EF2" w:rsidRPr="00DE3121">
        <w:rPr>
          <w:rFonts w:ascii="Arial" w:eastAsia="Times New Roman" w:hAnsi="Arial" w:cs="Arial"/>
          <w:color w:val="000000"/>
          <w:kern w:val="0"/>
          <w:sz w:val="22"/>
          <w:szCs w:val="22"/>
          <w:lang w:val="en-US" w:eastAsia="el-GR"/>
        </w:rPr>
        <w:t>5</w:t>
      </w:r>
      <w:r w:rsidRPr="00DE3121">
        <w:rPr>
          <w:rFonts w:ascii="Arial" w:eastAsia="Times New Roman" w:hAnsi="Arial" w:cs="Arial"/>
          <w:color w:val="000000"/>
          <w:kern w:val="0"/>
          <w:sz w:val="22"/>
          <w:szCs w:val="22"/>
          <w:lang w:val="en-US" w:eastAsia="el-GR"/>
        </w:rPr>
        <w:t>). Valproic acid (VPA), a widely used anti-epileptic drug, 4-phenylbutyrate, and other histone deacetylase inhibitors, are known inducers of the expression of ALDRP. In a 6-month pilot trial of VPA in X-ALD patients marked correction of the protein oxidative damage was observed (</w:t>
      </w:r>
      <w:r w:rsidR="00A50678" w:rsidRPr="00DE3121">
        <w:rPr>
          <w:rFonts w:ascii="Arial" w:eastAsia="Times New Roman" w:hAnsi="Arial" w:cs="Arial"/>
          <w:color w:val="000000"/>
          <w:kern w:val="0"/>
          <w:sz w:val="22"/>
          <w:szCs w:val="22"/>
          <w:lang w:val="en-US" w:eastAsia="el-GR"/>
        </w:rPr>
        <w:t>9</w:t>
      </w:r>
      <w:r w:rsidR="00DB7EF2" w:rsidRPr="00DE3121">
        <w:rPr>
          <w:rFonts w:ascii="Arial" w:eastAsia="Times New Roman" w:hAnsi="Arial" w:cs="Arial"/>
          <w:color w:val="000000"/>
          <w:kern w:val="0"/>
          <w:sz w:val="22"/>
          <w:szCs w:val="22"/>
          <w:lang w:val="en-US" w:eastAsia="el-GR"/>
        </w:rPr>
        <w:t>6</w:t>
      </w:r>
      <w:r w:rsidRPr="00DE3121">
        <w:rPr>
          <w:rFonts w:ascii="Arial" w:eastAsia="Times New Roman" w:hAnsi="Arial" w:cs="Arial"/>
          <w:color w:val="000000"/>
          <w:kern w:val="0"/>
          <w:sz w:val="22"/>
          <w:szCs w:val="22"/>
          <w:lang w:val="en-US" w:eastAsia="el-GR"/>
        </w:rPr>
        <w:t>). Other agents known to evoke induction of the ABCD2 gene are ligands to several nuclear receptors: fibrates for PPAR alpha, thyroid hormones and thyromimetics, retinoids, and lately LXR antagonists</w:t>
      </w:r>
      <w:r w:rsidR="003117C9" w:rsidRPr="00DE3121">
        <w:rPr>
          <w:rFonts w:ascii="Arial" w:eastAsia="Times New Roman" w:hAnsi="Arial" w:cs="Arial"/>
          <w:color w:val="000000"/>
          <w:kern w:val="0"/>
          <w:sz w:val="22"/>
          <w:szCs w:val="22"/>
          <w:lang w:val="en-US" w:eastAsia="el-GR"/>
        </w:rPr>
        <w:t>,</w:t>
      </w:r>
      <w:r w:rsidRPr="00DE3121">
        <w:rPr>
          <w:rFonts w:ascii="Arial" w:eastAsia="Times New Roman" w:hAnsi="Arial" w:cs="Arial"/>
          <w:color w:val="000000"/>
          <w:kern w:val="0"/>
          <w:sz w:val="22"/>
          <w:szCs w:val="22"/>
          <w:lang w:val="en-US" w:eastAsia="el-GR"/>
        </w:rPr>
        <w:t xml:space="preserve"> </w:t>
      </w:r>
      <w:r w:rsidR="00575545" w:rsidRPr="00DE3121">
        <w:rPr>
          <w:rFonts w:ascii="Arial" w:eastAsia="Times New Roman" w:hAnsi="Arial" w:cs="Arial"/>
          <w:color w:val="000000"/>
          <w:kern w:val="0"/>
          <w:sz w:val="22"/>
          <w:szCs w:val="22"/>
          <w:lang w:val="en-US" w:eastAsia="el-GR"/>
        </w:rPr>
        <w:t>which</w:t>
      </w:r>
      <w:r w:rsidRPr="00DE3121">
        <w:rPr>
          <w:rFonts w:ascii="Arial" w:eastAsia="Times New Roman" w:hAnsi="Arial" w:cs="Arial"/>
          <w:color w:val="000000"/>
          <w:kern w:val="0"/>
          <w:sz w:val="22"/>
          <w:szCs w:val="22"/>
          <w:lang w:val="en-US" w:eastAsia="el-GR"/>
        </w:rPr>
        <w:t xml:space="preserve"> are being tested </w:t>
      </w:r>
      <w:r w:rsidRPr="00DE3121">
        <w:rPr>
          <w:rFonts w:ascii="Arial" w:eastAsia="Times New Roman" w:hAnsi="Arial" w:cs="Arial"/>
          <w:i/>
          <w:iCs/>
          <w:color w:val="000000"/>
          <w:kern w:val="0"/>
          <w:sz w:val="22"/>
          <w:szCs w:val="22"/>
          <w:bdr w:val="none" w:sz="0" w:space="0" w:color="auto" w:frame="1"/>
          <w:lang w:val="en-US" w:eastAsia="el-GR"/>
        </w:rPr>
        <w:t>in vitro</w:t>
      </w:r>
      <w:r w:rsidRPr="00DE3121">
        <w:rPr>
          <w:rFonts w:ascii="Arial" w:eastAsia="Times New Roman" w:hAnsi="Arial" w:cs="Arial"/>
          <w:color w:val="000000"/>
          <w:kern w:val="0"/>
          <w:sz w:val="22"/>
          <w:szCs w:val="22"/>
          <w:lang w:val="en-US" w:eastAsia="el-GR"/>
        </w:rPr>
        <w:t> and </w:t>
      </w:r>
      <w:r w:rsidRPr="00DE3121">
        <w:rPr>
          <w:rFonts w:ascii="Arial" w:eastAsia="Times New Roman" w:hAnsi="Arial" w:cs="Arial"/>
          <w:i/>
          <w:iCs/>
          <w:color w:val="000000"/>
          <w:kern w:val="0"/>
          <w:sz w:val="22"/>
          <w:szCs w:val="22"/>
          <w:bdr w:val="none" w:sz="0" w:space="0" w:color="auto" w:frame="1"/>
          <w:lang w:val="en-US" w:eastAsia="el-GR"/>
        </w:rPr>
        <w:t>in vivo</w:t>
      </w:r>
      <w:r w:rsidRPr="00DE3121">
        <w:rPr>
          <w:rFonts w:ascii="Arial" w:eastAsia="Times New Roman" w:hAnsi="Arial" w:cs="Arial"/>
          <w:color w:val="000000"/>
          <w:kern w:val="0"/>
          <w:sz w:val="22"/>
          <w:szCs w:val="22"/>
          <w:lang w:val="en-US" w:eastAsia="el-GR"/>
        </w:rPr>
        <w:t> for the treatment of X-ALD (</w:t>
      </w:r>
      <w:r w:rsidR="00A50678" w:rsidRPr="00DE3121">
        <w:rPr>
          <w:rFonts w:ascii="Arial" w:eastAsia="Times New Roman" w:hAnsi="Arial" w:cs="Arial"/>
          <w:color w:val="000000"/>
          <w:kern w:val="0"/>
          <w:sz w:val="22"/>
          <w:szCs w:val="22"/>
          <w:lang w:val="en-US" w:eastAsia="el-GR"/>
        </w:rPr>
        <w:t>9</w:t>
      </w:r>
      <w:r w:rsidR="00DB7EF2" w:rsidRPr="00DE3121">
        <w:rPr>
          <w:rFonts w:ascii="Arial" w:eastAsia="Times New Roman" w:hAnsi="Arial" w:cs="Arial"/>
          <w:color w:val="000000"/>
          <w:kern w:val="0"/>
          <w:sz w:val="22"/>
          <w:szCs w:val="22"/>
          <w:lang w:val="en-US" w:eastAsia="el-GR"/>
        </w:rPr>
        <w:t>7</w:t>
      </w:r>
      <w:r w:rsidRPr="00DE3121">
        <w:rPr>
          <w:rFonts w:ascii="Arial" w:eastAsia="Times New Roman" w:hAnsi="Arial" w:cs="Arial"/>
          <w:color w:val="000000"/>
          <w:kern w:val="0"/>
          <w:sz w:val="22"/>
          <w:szCs w:val="22"/>
          <w:lang w:val="en-US" w:eastAsia="el-GR"/>
        </w:rPr>
        <w:t xml:space="preserve">, </w:t>
      </w:r>
      <w:r w:rsidR="00DB7EF2" w:rsidRPr="00DE3121">
        <w:rPr>
          <w:rFonts w:ascii="Arial" w:eastAsia="Times New Roman" w:hAnsi="Arial" w:cs="Arial"/>
          <w:color w:val="000000"/>
          <w:kern w:val="0"/>
          <w:sz w:val="22"/>
          <w:szCs w:val="22"/>
          <w:lang w:val="en-US" w:eastAsia="el-GR"/>
        </w:rPr>
        <w:t>98</w:t>
      </w:r>
      <w:r w:rsidRPr="00DE3121">
        <w:rPr>
          <w:rFonts w:ascii="Arial" w:eastAsia="Times New Roman" w:hAnsi="Arial" w:cs="Arial"/>
          <w:color w:val="000000"/>
          <w:kern w:val="0"/>
          <w:sz w:val="22"/>
          <w:szCs w:val="22"/>
          <w:lang w:val="en-US" w:eastAsia="el-GR"/>
        </w:rPr>
        <w:t xml:space="preserve">, </w:t>
      </w:r>
      <w:r w:rsidR="00DB7EF2" w:rsidRPr="00DE3121">
        <w:rPr>
          <w:rFonts w:ascii="Arial" w:eastAsia="Times New Roman" w:hAnsi="Arial" w:cs="Arial"/>
          <w:color w:val="000000"/>
          <w:kern w:val="0"/>
          <w:sz w:val="22"/>
          <w:szCs w:val="22"/>
          <w:lang w:val="en-US" w:eastAsia="el-GR"/>
        </w:rPr>
        <w:t>99</w:t>
      </w:r>
      <w:r w:rsidRPr="00DE3121">
        <w:rPr>
          <w:rFonts w:ascii="Arial" w:eastAsia="Times New Roman" w:hAnsi="Arial" w:cs="Arial"/>
          <w:color w:val="000000"/>
          <w:kern w:val="0"/>
          <w:sz w:val="22"/>
          <w:szCs w:val="22"/>
          <w:lang w:val="en-US" w:eastAsia="el-GR"/>
        </w:rPr>
        <w:t>). Lately, it has been shown that AMP-activated protein kinase (AMPK</w:t>
      </w:r>
      <w:r w:rsidRPr="00DE3121">
        <w:rPr>
          <w:rFonts w:ascii="Arial" w:eastAsia="Times New Roman" w:hAnsi="Arial" w:cs="Arial"/>
          <w:color w:val="000000"/>
          <w:kern w:val="0"/>
          <w:sz w:val="22"/>
          <w:szCs w:val="22"/>
          <w:lang w:eastAsia="el-GR"/>
        </w:rPr>
        <w:t>α</w:t>
      </w:r>
      <w:r w:rsidRPr="00DE3121">
        <w:rPr>
          <w:rFonts w:ascii="Arial" w:eastAsia="Times New Roman" w:hAnsi="Arial" w:cs="Arial"/>
          <w:color w:val="000000"/>
          <w:kern w:val="0"/>
          <w:sz w:val="22"/>
          <w:szCs w:val="22"/>
          <w:lang w:val="en-US" w:eastAsia="el-GR"/>
        </w:rPr>
        <w:t>1) is reduced in X-ALD, raising the question if metformin, a well-known AMPK</w:t>
      </w:r>
      <w:r w:rsidRPr="00DE3121">
        <w:rPr>
          <w:rFonts w:ascii="Arial" w:eastAsia="Times New Roman" w:hAnsi="Arial" w:cs="Arial"/>
          <w:color w:val="000000"/>
          <w:kern w:val="0"/>
          <w:sz w:val="22"/>
          <w:szCs w:val="22"/>
          <w:lang w:eastAsia="el-GR"/>
        </w:rPr>
        <w:t>α</w:t>
      </w:r>
      <w:r w:rsidRPr="00DE3121">
        <w:rPr>
          <w:rFonts w:ascii="Arial" w:eastAsia="Times New Roman" w:hAnsi="Arial" w:cs="Arial"/>
          <w:color w:val="000000"/>
          <w:kern w:val="0"/>
          <w:sz w:val="22"/>
          <w:szCs w:val="22"/>
          <w:lang w:val="en-US" w:eastAsia="el-GR"/>
        </w:rPr>
        <w:t>1inducer, may have a therapeutic role for X-ALD (</w:t>
      </w:r>
      <w:r w:rsidR="003B7700" w:rsidRPr="00DE3121">
        <w:rPr>
          <w:rFonts w:ascii="Arial" w:eastAsia="Times New Roman" w:hAnsi="Arial" w:cs="Arial"/>
          <w:color w:val="000000"/>
          <w:kern w:val="0"/>
          <w:sz w:val="22"/>
          <w:szCs w:val="22"/>
          <w:lang w:val="en-US" w:eastAsia="el-GR"/>
        </w:rPr>
        <w:t>10</w:t>
      </w:r>
      <w:r w:rsidR="00BF55D8" w:rsidRPr="00DE3121">
        <w:rPr>
          <w:rFonts w:ascii="Arial" w:eastAsia="Times New Roman" w:hAnsi="Arial" w:cs="Arial"/>
          <w:color w:val="000000"/>
          <w:kern w:val="0"/>
          <w:sz w:val="22"/>
          <w:szCs w:val="22"/>
          <w:lang w:val="en-US" w:eastAsia="el-GR"/>
        </w:rPr>
        <w:t>0</w:t>
      </w:r>
      <w:r w:rsidRPr="00DE3121">
        <w:rPr>
          <w:rFonts w:ascii="Arial" w:eastAsia="Times New Roman" w:hAnsi="Arial" w:cs="Arial"/>
          <w:color w:val="000000"/>
          <w:kern w:val="0"/>
          <w:sz w:val="22"/>
          <w:szCs w:val="22"/>
          <w:lang w:val="en-US" w:eastAsia="el-GR"/>
        </w:rPr>
        <w:t>).</w:t>
      </w:r>
    </w:p>
    <w:p w14:paraId="68C19BA4" w14:textId="77777777" w:rsidR="002739CB" w:rsidRPr="00DE3121" w:rsidRDefault="002739CB" w:rsidP="00DE3121">
      <w:pPr>
        <w:spacing w:after="0" w:line="276" w:lineRule="auto"/>
        <w:textAlignment w:val="baseline"/>
        <w:rPr>
          <w:rFonts w:ascii="Arial" w:eastAsia="Times New Roman" w:hAnsi="Arial" w:cs="Arial"/>
          <w:color w:val="000000"/>
          <w:kern w:val="0"/>
          <w:sz w:val="22"/>
          <w:szCs w:val="22"/>
          <w:lang w:val="en-US" w:eastAsia="el-GR"/>
        </w:rPr>
      </w:pPr>
    </w:p>
    <w:p w14:paraId="1C8DE23D" w14:textId="77777777" w:rsidR="0086052A" w:rsidRDefault="0086052A" w:rsidP="00DE3121">
      <w:pPr>
        <w:spacing w:after="0" w:line="276" w:lineRule="auto"/>
        <w:textAlignment w:val="baseline"/>
        <w:rPr>
          <w:rFonts w:ascii="Arial" w:eastAsia="Arial"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w:t>
      </w:r>
      <w:r w:rsidRPr="00DE3121">
        <w:rPr>
          <w:rFonts w:ascii="Arial" w:eastAsia="Arial" w:hAnsi="Arial" w:cs="Arial"/>
          <w:color w:val="000000"/>
          <w:kern w:val="0"/>
          <w:sz w:val="22"/>
          <w:szCs w:val="22"/>
          <w:lang w:val="en-US" w:eastAsia="el-GR"/>
        </w:rPr>
        <w:t xml:space="preserve">Regarding the use of antioxidative treatments, experimental data show that treatment of ABCD1 null mice with a combination of antioxidants containing </w:t>
      </w:r>
      <w:r w:rsidRPr="00DE3121">
        <w:rPr>
          <w:rFonts w:ascii="Arial" w:eastAsia="Arial" w:hAnsi="Arial" w:cs="Arial"/>
          <w:color w:val="000000"/>
          <w:kern w:val="0"/>
          <w:sz w:val="22"/>
          <w:szCs w:val="22"/>
          <w:lang w:eastAsia="el-GR"/>
        </w:rPr>
        <w:t>α</w:t>
      </w:r>
      <w:r w:rsidRPr="00DE3121">
        <w:rPr>
          <w:rFonts w:ascii="Arial" w:eastAsia="Arial" w:hAnsi="Arial" w:cs="Arial"/>
          <w:color w:val="000000"/>
          <w:kern w:val="0"/>
          <w:sz w:val="22"/>
          <w:szCs w:val="22"/>
          <w:lang w:val="en-US" w:eastAsia="el-GR"/>
        </w:rPr>
        <w:t xml:space="preserve">-tocopherol, N-acetyl-cysteine and </w:t>
      </w:r>
      <w:r w:rsidRPr="00DE3121">
        <w:rPr>
          <w:rFonts w:ascii="Arial" w:eastAsia="Arial" w:hAnsi="Arial" w:cs="Arial"/>
          <w:color w:val="000000"/>
          <w:kern w:val="0"/>
          <w:sz w:val="22"/>
          <w:szCs w:val="22"/>
          <w:lang w:eastAsia="el-GR"/>
        </w:rPr>
        <w:t>α</w:t>
      </w:r>
      <w:r w:rsidRPr="00DE3121">
        <w:rPr>
          <w:rFonts w:ascii="Arial" w:eastAsia="Arial" w:hAnsi="Arial" w:cs="Arial"/>
          <w:color w:val="000000"/>
          <w:kern w:val="0"/>
          <w:sz w:val="22"/>
          <w:szCs w:val="22"/>
          <w:lang w:val="en-US" w:eastAsia="el-GR"/>
        </w:rPr>
        <w:t>-lipoic acid reversed oxidative damage, axonal degeneration, and locomotor impairment (</w:t>
      </w:r>
      <w:r w:rsidR="003B7700" w:rsidRPr="00DE3121">
        <w:rPr>
          <w:rFonts w:ascii="Arial" w:eastAsia="Arial" w:hAnsi="Arial" w:cs="Arial"/>
          <w:color w:val="000000"/>
          <w:kern w:val="0"/>
          <w:sz w:val="22"/>
          <w:szCs w:val="22"/>
          <w:lang w:val="en-US" w:eastAsia="el-GR"/>
        </w:rPr>
        <w:t>10</w:t>
      </w:r>
      <w:r w:rsidR="00BF55D8" w:rsidRPr="00DE3121">
        <w:rPr>
          <w:rFonts w:ascii="Arial" w:eastAsia="Arial" w:hAnsi="Arial" w:cs="Arial"/>
          <w:color w:val="000000"/>
          <w:kern w:val="0"/>
          <w:sz w:val="22"/>
          <w:szCs w:val="22"/>
          <w:lang w:val="en-US" w:eastAsia="el-GR"/>
        </w:rPr>
        <w:t>1</w:t>
      </w:r>
      <w:r w:rsidRPr="00DE3121">
        <w:rPr>
          <w:rFonts w:ascii="Arial" w:eastAsia="Arial" w:hAnsi="Arial" w:cs="Arial"/>
          <w:color w:val="000000"/>
          <w:kern w:val="0"/>
          <w:sz w:val="22"/>
          <w:szCs w:val="22"/>
          <w:lang w:val="en-US" w:eastAsia="el-GR"/>
        </w:rPr>
        <w:t>). Similar results have been observed with the oral administration of pioglitazone, an agonist of the PPAR gamma receptor, which restored oxidative damage to mitochondrial proteins and DNA, and reversed bioenergetic failure. Lately, bezafibrate, a PPAR pan agonist has been demonstrated to reduce VLCFA levels in X-ALD fibroblasts (</w:t>
      </w:r>
      <w:r w:rsidR="00ED7CCB" w:rsidRPr="00DE3121">
        <w:rPr>
          <w:rFonts w:ascii="Arial" w:eastAsia="Arial" w:hAnsi="Arial" w:cs="Arial"/>
          <w:color w:val="000000"/>
          <w:kern w:val="0"/>
          <w:sz w:val="22"/>
          <w:szCs w:val="22"/>
          <w:lang w:val="en-US" w:eastAsia="el-GR"/>
        </w:rPr>
        <w:t>10</w:t>
      </w:r>
      <w:r w:rsidR="00BF55D8" w:rsidRPr="00DE3121">
        <w:rPr>
          <w:rFonts w:ascii="Arial" w:eastAsia="Arial" w:hAnsi="Arial" w:cs="Arial"/>
          <w:color w:val="000000"/>
          <w:kern w:val="0"/>
          <w:sz w:val="22"/>
          <w:szCs w:val="22"/>
          <w:lang w:val="en-US" w:eastAsia="el-GR"/>
        </w:rPr>
        <w:t>2</w:t>
      </w:r>
      <w:r w:rsidR="000127A1" w:rsidRPr="00DE3121">
        <w:rPr>
          <w:rFonts w:ascii="Arial" w:eastAsia="Arial" w:hAnsi="Arial" w:cs="Arial"/>
          <w:color w:val="000000"/>
          <w:kern w:val="0"/>
          <w:sz w:val="22"/>
          <w:szCs w:val="22"/>
          <w:lang w:val="en-US" w:eastAsia="el-GR"/>
        </w:rPr>
        <w:t xml:space="preserve">). </w:t>
      </w:r>
      <w:r w:rsidRPr="00DE3121">
        <w:rPr>
          <w:rFonts w:ascii="Arial" w:eastAsia="Arial" w:hAnsi="Arial" w:cs="Arial"/>
          <w:color w:val="000000"/>
          <w:kern w:val="0"/>
          <w:sz w:val="22"/>
          <w:szCs w:val="22"/>
          <w:lang w:val="en-US" w:eastAsia="el-GR"/>
        </w:rPr>
        <w:t>The mechanism for this action is by decreasing the synthesis of C26:0 through a direct inhibition of ELOVL-1 and subsequent fatty acid elongation activity. Unfortunately, these actions could not be confirmed </w:t>
      </w:r>
      <w:r w:rsidRPr="00DE3121">
        <w:rPr>
          <w:rFonts w:ascii="Arial" w:eastAsia="Arial" w:hAnsi="Arial" w:cs="Arial"/>
          <w:i/>
          <w:iCs/>
          <w:color w:val="000000"/>
          <w:kern w:val="0"/>
          <w:sz w:val="22"/>
          <w:szCs w:val="22"/>
          <w:bdr w:val="none" w:sz="0" w:space="0" w:color="auto" w:frame="1"/>
          <w:lang w:val="en-US" w:eastAsia="el-GR"/>
        </w:rPr>
        <w:t>in vivo</w:t>
      </w:r>
      <w:r w:rsidRPr="00DE3121">
        <w:rPr>
          <w:rFonts w:ascii="Arial" w:eastAsia="Arial" w:hAnsi="Arial" w:cs="Arial"/>
          <w:color w:val="000000"/>
          <w:kern w:val="0"/>
          <w:sz w:val="22"/>
          <w:szCs w:val="22"/>
          <w:lang w:val="en-US" w:eastAsia="el-GR"/>
        </w:rPr>
        <w:t> as in a recent clinical trial, bezafibrate was unable to lower VLCFA levels in plasma or lymphocytes of X-ALD patients (</w:t>
      </w:r>
      <w:r w:rsidR="00ED7CCB" w:rsidRPr="00DE3121">
        <w:rPr>
          <w:rFonts w:ascii="Arial" w:eastAsia="Arial" w:hAnsi="Arial" w:cs="Arial"/>
          <w:color w:val="000000"/>
          <w:kern w:val="0"/>
          <w:sz w:val="22"/>
          <w:szCs w:val="22"/>
          <w:lang w:val="en-US" w:eastAsia="el-GR"/>
        </w:rPr>
        <w:t>10</w:t>
      </w:r>
      <w:r w:rsidR="00BF55D8" w:rsidRPr="00DE3121">
        <w:rPr>
          <w:rFonts w:ascii="Arial" w:eastAsia="Arial" w:hAnsi="Arial" w:cs="Arial"/>
          <w:color w:val="000000"/>
          <w:kern w:val="0"/>
          <w:sz w:val="22"/>
          <w:szCs w:val="22"/>
          <w:lang w:val="en-US" w:eastAsia="el-GR"/>
        </w:rPr>
        <w:t>3</w:t>
      </w:r>
      <w:r w:rsidRPr="00DE3121">
        <w:rPr>
          <w:rFonts w:ascii="Arial" w:eastAsia="Arial" w:hAnsi="Arial" w:cs="Arial"/>
          <w:color w:val="000000"/>
          <w:kern w:val="0"/>
          <w:sz w:val="22"/>
          <w:szCs w:val="22"/>
          <w:lang w:val="en-US" w:eastAsia="el-GR"/>
        </w:rPr>
        <w:t>).</w:t>
      </w:r>
    </w:p>
    <w:p w14:paraId="5BCDB59A" w14:textId="77777777" w:rsidR="002739CB" w:rsidRPr="00DE3121" w:rsidRDefault="002739CB" w:rsidP="00DE3121">
      <w:pPr>
        <w:spacing w:after="0" w:line="276" w:lineRule="auto"/>
        <w:textAlignment w:val="baseline"/>
        <w:rPr>
          <w:rFonts w:ascii="Arial" w:eastAsia="Arial" w:hAnsi="Arial" w:cs="Arial"/>
          <w:color w:val="000000"/>
          <w:kern w:val="0"/>
          <w:sz w:val="22"/>
          <w:szCs w:val="22"/>
          <w:lang w:val="en-US" w:eastAsia="el-GR"/>
        </w:rPr>
      </w:pPr>
    </w:p>
    <w:p w14:paraId="2FBEF891" w14:textId="77777777" w:rsidR="0086052A" w:rsidRPr="00DE3121" w:rsidRDefault="0086052A" w:rsidP="00DE3121">
      <w:pPr>
        <w:spacing w:after="0" w:line="276" w:lineRule="auto"/>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 xml:space="preserve">The options for treatment of the advanced progressive form of CALD remain limited. Even though the presence of inflammatory lesions is well recognized, trials of immunosuppressive </w:t>
      </w:r>
      <w:r w:rsidRPr="00DE3121">
        <w:rPr>
          <w:rFonts w:ascii="Arial" w:eastAsia="Arial" w:hAnsi="Arial" w:cs="Arial"/>
          <w:color w:val="000000"/>
          <w:kern w:val="0"/>
          <w:sz w:val="22"/>
          <w:szCs w:val="22"/>
          <w:lang w:val="en-US" w:eastAsia="el-GR"/>
        </w:rPr>
        <w:lastRenderedPageBreak/>
        <w:t>therapies have yielded poor results. Cyclophosphamide, interferon, IVIG, and other immunomodulators have been used without success (</w:t>
      </w:r>
      <w:r w:rsidR="00ED7CCB" w:rsidRPr="00DE3121">
        <w:rPr>
          <w:rFonts w:ascii="Arial" w:eastAsia="Arial" w:hAnsi="Arial" w:cs="Arial"/>
          <w:color w:val="000000"/>
          <w:kern w:val="0"/>
          <w:sz w:val="22"/>
          <w:szCs w:val="22"/>
          <w:lang w:val="en-US" w:eastAsia="el-GR"/>
        </w:rPr>
        <w:t>10</w:t>
      </w:r>
      <w:r w:rsidR="00BF55D8" w:rsidRPr="00DE3121">
        <w:rPr>
          <w:rFonts w:ascii="Arial" w:eastAsia="Arial" w:hAnsi="Arial" w:cs="Arial"/>
          <w:color w:val="000000"/>
          <w:kern w:val="0"/>
          <w:sz w:val="22"/>
          <w:szCs w:val="22"/>
          <w:lang w:val="en-US" w:eastAsia="el-GR"/>
        </w:rPr>
        <w:t>4</w:t>
      </w:r>
      <w:r w:rsidR="000127A1" w:rsidRPr="00DE3121">
        <w:rPr>
          <w:rFonts w:ascii="Arial" w:eastAsia="Arial" w:hAnsi="Arial" w:cs="Arial"/>
          <w:color w:val="000000"/>
          <w:kern w:val="0"/>
          <w:sz w:val="22"/>
          <w:szCs w:val="22"/>
          <w:lang w:val="en-US" w:eastAsia="el-GR"/>
        </w:rPr>
        <w:t xml:space="preserve">, </w:t>
      </w:r>
      <w:r w:rsidR="00ED7CCB" w:rsidRPr="00DE3121">
        <w:rPr>
          <w:rFonts w:ascii="Arial" w:eastAsia="Arial" w:hAnsi="Arial" w:cs="Arial"/>
          <w:color w:val="000000"/>
          <w:kern w:val="0"/>
          <w:sz w:val="22"/>
          <w:szCs w:val="22"/>
          <w:lang w:val="en-US" w:eastAsia="el-GR"/>
        </w:rPr>
        <w:t>10</w:t>
      </w:r>
      <w:r w:rsidR="00BF55D8" w:rsidRPr="00DE3121">
        <w:rPr>
          <w:rFonts w:ascii="Arial" w:eastAsia="Arial" w:hAnsi="Arial" w:cs="Arial"/>
          <w:color w:val="000000"/>
          <w:kern w:val="0"/>
          <w:sz w:val="22"/>
          <w:szCs w:val="22"/>
          <w:lang w:val="en-US" w:eastAsia="el-GR"/>
        </w:rPr>
        <w:t>5</w:t>
      </w:r>
      <w:r w:rsidRPr="00DE3121">
        <w:rPr>
          <w:rFonts w:ascii="Arial" w:eastAsia="Arial" w:hAnsi="Arial" w:cs="Arial"/>
          <w:color w:val="000000"/>
          <w:kern w:val="0"/>
          <w:sz w:val="22"/>
          <w:szCs w:val="22"/>
          <w:lang w:val="en-US" w:eastAsia="el-GR"/>
        </w:rPr>
        <w:t>). Promising results have been extracted by the use of the antioxidant N-acetyl-L-cysteine as adjunctive therapy to HSCT in patients with advanced CALD (</w:t>
      </w:r>
      <w:r w:rsidR="00ED7CCB" w:rsidRPr="00DE3121">
        <w:rPr>
          <w:rFonts w:ascii="Arial" w:eastAsia="Arial" w:hAnsi="Arial" w:cs="Arial"/>
          <w:color w:val="000000"/>
          <w:kern w:val="0"/>
          <w:sz w:val="22"/>
          <w:szCs w:val="22"/>
          <w:lang w:val="en-US" w:eastAsia="el-GR"/>
        </w:rPr>
        <w:t>10</w:t>
      </w:r>
      <w:r w:rsidR="00BF55D8" w:rsidRPr="00DE3121">
        <w:rPr>
          <w:rFonts w:ascii="Arial" w:eastAsia="Arial" w:hAnsi="Arial" w:cs="Arial"/>
          <w:color w:val="000000"/>
          <w:kern w:val="0"/>
          <w:sz w:val="22"/>
          <w:szCs w:val="22"/>
          <w:lang w:val="en-US" w:eastAsia="el-GR"/>
        </w:rPr>
        <w:t>6</w:t>
      </w:r>
      <w:r w:rsidR="00612565" w:rsidRPr="00DE3121">
        <w:rPr>
          <w:rFonts w:ascii="Arial" w:eastAsia="Arial" w:hAnsi="Arial" w:cs="Arial"/>
          <w:sz w:val="22"/>
          <w:szCs w:val="22"/>
          <w:lang w:val="en-US"/>
        </w:rPr>
        <w:t xml:space="preserve">, </w:t>
      </w:r>
      <w:r w:rsidR="00ED7CCB" w:rsidRPr="00DE3121">
        <w:rPr>
          <w:rFonts w:ascii="Arial" w:eastAsia="Arial" w:hAnsi="Arial" w:cs="Arial"/>
          <w:sz w:val="22"/>
          <w:szCs w:val="22"/>
          <w:lang w:val="en-US"/>
        </w:rPr>
        <w:t>10</w:t>
      </w:r>
      <w:r w:rsidR="00BF55D8" w:rsidRPr="00DE3121">
        <w:rPr>
          <w:rFonts w:ascii="Arial" w:eastAsia="Arial" w:hAnsi="Arial" w:cs="Arial"/>
          <w:sz w:val="22"/>
          <w:szCs w:val="22"/>
          <w:lang w:val="en-US"/>
        </w:rPr>
        <w:t>7</w:t>
      </w:r>
      <w:r w:rsidRPr="00DE3121">
        <w:rPr>
          <w:rFonts w:ascii="Arial" w:eastAsia="Arial" w:hAnsi="Arial" w:cs="Arial"/>
          <w:color w:val="000000"/>
          <w:kern w:val="0"/>
          <w:sz w:val="22"/>
          <w:szCs w:val="22"/>
          <w:lang w:val="en-US" w:eastAsia="el-GR"/>
        </w:rPr>
        <w:t>).</w:t>
      </w:r>
    </w:p>
    <w:p w14:paraId="61829076" w14:textId="3E71D82F" w:rsidR="004103B9" w:rsidRPr="00DE3121" w:rsidRDefault="004103B9" w:rsidP="00DE3121">
      <w:pPr>
        <w:spacing w:after="0" w:line="276" w:lineRule="auto"/>
        <w:rPr>
          <w:rFonts w:ascii="Arial" w:eastAsia="Arial" w:hAnsi="Arial" w:cs="Arial"/>
          <w:color w:val="000000" w:themeColor="text1"/>
          <w:kern w:val="0"/>
          <w:sz w:val="22"/>
          <w:szCs w:val="22"/>
          <w:lang w:val="en-US" w:eastAsia="el-GR"/>
        </w:rPr>
      </w:pPr>
    </w:p>
    <w:p w14:paraId="7797E7DE" w14:textId="77777777" w:rsidR="00085E6F" w:rsidRPr="00B06267" w:rsidRDefault="00085E6F" w:rsidP="00B06267">
      <w:pPr>
        <w:spacing w:after="0" w:line="276" w:lineRule="auto"/>
        <w:textAlignment w:val="baseline"/>
        <w:rPr>
          <w:rFonts w:ascii="Arial" w:eastAsia="Times New Roman" w:hAnsi="Arial" w:cs="Arial"/>
          <w:b/>
          <w:bCs/>
          <w:color w:val="0070C0"/>
          <w:kern w:val="0"/>
          <w:sz w:val="22"/>
          <w:szCs w:val="22"/>
          <w:lang w:val="en-US" w:eastAsia="el-GR"/>
        </w:rPr>
      </w:pPr>
      <w:r w:rsidRPr="00B06267">
        <w:rPr>
          <w:rFonts w:ascii="Arial" w:eastAsia="Times New Roman" w:hAnsi="Arial" w:cs="Arial"/>
          <w:b/>
          <w:bCs/>
          <w:color w:val="0070C0"/>
          <w:kern w:val="0"/>
          <w:sz w:val="22"/>
          <w:szCs w:val="22"/>
          <w:lang w:val="en-US" w:eastAsia="el-GR"/>
        </w:rPr>
        <w:t>REFERENCES</w:t>
      </w:r>
    </w:p>
    <w:p w14:paraId="769D0D3C" w14:textId="77777777" w:rsidR="00085E6F" w:rsidRDefault="00085E6F" w:rsidP="00B06267">
      <w:pPr>
        <w:spacing w:after="0" w:line="276" w:lineRule="auto"/>
        <w:textAlignment w:val="baseline"/>
        <w:rPr>
          <w:rFonts w:ascii="Arial" w:eastAsia="Times New Roman" w:hAnsi="Arial" w:cs="Arial"/>
          <w:color w:val="000000"/>
          <w:kern w:val="0"/>
          <w:sz w:val="21"/>
          <w:szCs w:val="21"/>
          <w:lang w:val="en-US" w:eastAsia="el-GR"/>
        </w:rPr>
      </w:pPr>
    </w:p>
    <w:p w14:paraId="1DC6F70B" w14:textId="77777777" w:rsidR="00085E6F" w:rsidRPr="00DE3121" w:rsidRDefault="00085E6F" w:rsidP="00DE3121">
      <w:pPr>
        <w:numPr>
          <w:ilvl w:val="0"/>
          <w:numId w:val="2"/>
        </w:numPr>
        <w:spacing w:after="0" w:line="276" w:lineRule="auto"/>
        <w:ind w:left="576" w:hanging="576"/>
        <w:textAlignment w:val="baseline"/>
        <w:rPr>
          <w:rFonts w:ascii="Arial" w:eastAsia="Times New Roman" w:hAnsi="Arial" w:cs="Arial"/>
          <w:color w:val="000000"/>
          <w:kern w:val="0"/>
          <w:sz w:val="22"/>
          <w:szCs w:val="22"/>
          <w:lang w:eastAsia="el-GR"/>
        </w:rPr>
      </w:pPr>
      <w:bookmarkStart w:id="2" w:name="_Hlk160403079"/>
      <w:r w:rsidRPr="00DE3121">
        <w:rPr>
          <w:rFonts w:ascii="Arial" w:eastAsia="Times New Roman" w:hAnsi="Arial" w:cs="Arial"/>
          <w:color w:val="000000"/>
          <w:kern w:val="0"/>
          <w:sz w:val="22"/>
          <w:szCs w:val="22"/>
          <w:lang w:val="en-US" w:eastAsia="el-GR"/>
        </w:rPr>
        <w:t xml:space="preserve">Moser HW. Adrenoleukodystrophy: phenotype, genetics, pathogenesis and therapy. </w:t>
      </w:r>
      <w:r w:rsidRPr="00DE3121">
        <w:rPr>
          <w:rFonts w:ascii="Arial" w:eastAsia="Times New Roman" w:hAnsi="Arial" w:cs="Arial"/>
          <w:color w:val="000000"/>
          <w:kern w:val="0"/>
          <w:sz w:val="22"/>
          <w:szCs w:val="22"/>
          <w:lang w:eastAsia="el-GR"/>
        </w:rPr>
        <w:t>Brain. 1997;120 ( Pt 8:1485–508.</w:t>
      </w:r>
    </w:p>
    <w:p w14:paraId="5F46149E" w14:textId="77777777" w:rsidR="00085E6F" w:rsidRPr="00DE3121" w:rsidRDefault="00085E6F" w:rsidP="00DE3121">
      <w:pPr>
        <w:numPr>
          <w:ilvl w:val="0"/>
          <w:numId w:val="2"/>
        </w:numPr>
        <w:spacing w:after="0" w:line="276" w:lineRule="auto"/>
        <w:ind w:left="576" w:hanging="576"/>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xml:space="preserve">Engelen M, Kemp S, Poll-The BT. X-linked adrenoleukodystrophy: pathogenesis and treatment. Curr Neurol </w:t>
      </w:r>
      <w:proofErr w:type="spellStart"/>
      <w:r w:rsidRPr="00DE3121">
        <w:rPr>
          <w:rFonts w:ascii="Arial" w:eastAsia="Times New Roman" w:hAnsi="Arial" w:cs="Arial"/>
          <w:color w:val="000000"/>
          <w:kern w:val="0"/>
          <w:sz w:val="22"/>
          <w:szCs w:val="22"/>
          <w:lang w:val="en-US" w:eastAsia="el-GR"/>
        </w:rPr>
        <w:t>Neurosci</w:t>
      </w:r>
      <w:proofErr w:type="spellEnd"/>
      <w:r w:rsidRPr="00DE3121">
        <w:rPr>
          <w:rFonts w:ascii="Arial" w:eastAsia="Times New Roman" w:hAnsi="Arial" w:cs="Arial"/>
          <w:color w:val="000000"/>
          <w:kern w:val="0"/>
          <w:sz w:val="22"/>
          <w:szCs w:val="22"/>
          <w:lang w:val="en-US" w:eastAsia="el-GR"/>
        </w:rPr>
        <w:t xml:space="preserve"> Rep. 2014;14(10):486.</w:t>
      </w:r>
    </w:p>
    <w:p w14:paraId="4FB5CC74" w14:textId="77777777" w:rsidR="00085E6F" w:rsidRPr="00DE3121" w:rsidRDefault="00085E6F" w:rsidP="00DE3121">
      <w:pPr>
        <w:numPr>
          <w:ilvl w:val="0"/>
          <w:numId w:val="2"/>
        </w:numPr>
        <w:spacing w:after="0" w:line="276" w:lineRule="auto"/>
        <w:ind w:left="576" w:hanging="576"/>
        <w:textAlignment w:val="baseline"/>
        <w:rPr>
          <w:rFonts w:ascii="Arial" w:eastAsia="Times New Roman" w:hAnsi="Arial" w:cs="Arial"/>
          <w:color w:val="000000"/>
          <w:kern w:val="0"/>
          <w:sz w:val="22"/>
          <w:szCs w:val="22"/>
          <w:lang w:eastAsia="el-GR"/>
        </w:rPr>
      </w:pPr>
      <w:r w:rsidRPr="00DE3121">
        <w:rPr>
          <w:rFonts w:ascii="Arial" w:eastAsia="Times New Roman" w:hAnsi="Arial" w:cs="Arial"/>
          <w:color w:val="000000"/>
          <w:kern w:val="0"/>
          <w:sz w:val="22"/>
          <w:szCs w:val="22"/>
          <w:lang w:val="en-US" w:eastAsia="el-GR"/>
        </w:rPr>
        <w:t xml:space="preserve">Blaw ME, Osterberg K, Kozak P, Nelson E. Sudanophilic Leukodystrophy and Adrenal Cortical Atrophy. </w:t>
      </w:r>
      <w:r w:rsidRPr="00DE3121">
        <w:rPr>
          <w:rFonts w:ascii="Arial" w:eastAsia="Times New Roman" w:hAnsi="Arial" w:cs="Arial"/>
          <w:color w:val="000000"/>
          <w:kern w:val="0"/>
          <w:sz w:val="22"/>
          <w:szCs w:val="22"/>
          <w:lang w:eastAsia="el-GR"/>
        </w:rPr>
        <w:t>Arch Neurol. 1964;11:626–31.</w:t>
      </w:r>
    </w:p>
    <w:p w14:paraId="1FB9534F" w14:textId="77777777" w:rsidR="00085E6F" w:rsidRPr="00DE3121" w:rsidRDefault="00085E6F" w:rsidP="00DE3121">
      <w:pPr>
        <w:numPr>
          <w:ilvl w:val="0"/>
          <w:numId w:val="2"/>
        </w:numPr>
        <w:spacing w:after="0" w:line="276" w:lineRule="auto"/>
        <w:ind w:left="576" w:hanging="576"/>
        <w:textAlignment w:val="baseline"/>
        <w:rPr>
          <w:rFonts w:ascii="Arial" w:eastAsia="Times New Roman" w:hAnsi="Arial" w:cs="Arial"/>
          <w:color w:val="000000"/>
          <w:kern w:val="0"/>
          <w:sz w:val="22"/>
          <w:szCs w:val="22"/>
          <w:lang w:eastAsia="el-GR"/>
        </w:rPr>
      </w:pPr>
      <w:bookmarkStart w:id="3" w:name="_Hlk162298593"/>
      <w:r w:rsidRPr="00DE3121">
        <w:rPr>
          <w:rFonts w:ascii="Arial" w:eastAsia="Times New Roman" w:hAnsi="Arial" w:cs="Arial"/>
          <w:color w:val="000000"/>
          <w:kern w:val="0"/>
          <w:sz w:val="22"/>
          <w:szCs w:val="22"/>
          <w:lang w:val="en-US" w:eastAsia="el-GR"/>
        </w:rPr>
        <w:t>Igarash</w:t>
      </w:r>
      <w:bookmarkEnd w:id="3"/>
      <w:r w:rsidRPr="00DE3121">
        <w:rPr>
          <w:rFonts w:ascii="Arial" w:eastAsia="Times New Roman" w:hAnsi="Arial" w:cs="Arial"/>
          <w:color w:val="000000"/>
          <w:kern w:val="0"/>
          <w:sz w:val="22"/>
          <w:szCs w:val="22"/>
          <w:lang w:val="en-US" w:eastAsia="el-GR"/>
        </w:rPr>
        <w:t xml:space="preserve">i M, Schaumburg HH, Powers J, </w:t>
      </w:r>
      <w:proofErr w:type="spellStart"/>
      <w:r w:rsidRPr="00DE3121">
        <w:rPr>
          <w:rFonts w:ascii="Arial" w:eastAsia="Times New Roman" w:hAnsi="Arial" w:cs="Arial"/>
          <w:color w:val="000000"/>
          <w:kern w:val="0"/>
          <w:sz w:val="22"/>
          <w:szCs w:val="22"/>
          <w:lang w:val="en-US" w:eastAsia="el-GR"/>
        </w:rPr>
        <w:t>Kishmoto</w:t>
      </w:r>
      <w:proofErr w:type="spellEnd"/>
      <w:r w:rsidRPr="00DE3121">
        <w:rPr>
          <w:rFonts w:ascii="Arial" w:eastAsia="Times New Roman" w:hAnsi="Arial" w:cs="Arial"/>
          <w:color w:val="000000"/>
          <w:kern w:val="0"/>
          <w:sz w:val="22"/>
          <w:szCs w:val="22"/>
          <w:lang w:val="en-US" w:eastAsia="el-GR"/>
        </w:rPr>
        <w:t xml:space="preserve"> Y, Kolodny E, Suzuki K. Fatty acid abnormality in adrenoleukodystrophy. </w:t>
      </w:r>
      <w:r w:rsidRPr="00DE3121">
        <w:rPr>
          <w:rFonts w:ascii="Arial" w:eastAsia="Times New Roman" w:hAnsi="Arial" w:cs="Arial"/>
          <w:color w:val="000000"/>
          <w:kern w:val="0"/>
          <w:sz w:val="22"/>
          <w:szCs w:val="22"/>
          <w:lang w:eastAsia="el-GR"/>
        </w:rPr>
        <w:t>J Neurochem. 1976;26(4):851–60.</w:t>
      </w:r>
    </w:p>
    <w:p w14:paraId="1C816025" w14:textId="77777777" w:rsidR="00085E6F" w:rsidRPr="00DE3121" w:rsidRDefault="00085E6F" w:rsidP="00DE3121">
      <w:pPr>
        <w:numPr>
          <w:ilvl w:val="0"/>
          <w:numId w:val="2"/>
        </w:numPr>
        <w:spacing w:after="0" w:line="276" w:lineRule="auto"/>
        <w:ind w:left="576" w:hanging="576"/>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xml:space="preserve">Mosser J, Douar AM, Sarde CO, </w:t>
      </w:r>
      <w:proofErr w:type="spellStart"/>
      <w:r w:rsidRPr="00DE3121">
        <w:rPr>
          <w:rFonts w:ascii="Arial" w:eastAsia="Times New Roman" w:hAnsi="Arial" w:cs="Arial"/>
          <w:color w:val="000000"/>
          <w:kern w:val="0"/>
          <w:sz w:val="22"/>
          <w:szCs w:val="22"/>
          <w:lang w:val="en-US" w:eastAsia="el-GR"/>
        </w:rPr>
        <w:t>Kioschis</w:t>
      </w:r>
      <w:proofErr w:type="spellEnd"/>
      <w:r w:rsidRPr="00DE3121">
        <w:rPr>
          <w:rFonts w:ascii="Arial" w:eastAsia="Times New Roman" w:hAnsi="Arial" w:cs="Arial"/>
          <w:color w:val="000000"/>
          <w:kern w:val="0"/>
          <w:sz w:val="22"/>
          <w:szCs w:val="22"/>
          <w:lang w:val="en-US" w:eastAsia="el-GR"/>
        </w:rPr>
        <w:t xml:space="preserve"> P, Feil R, Moser H, et al. Putative X-linked adrenoleukodystrophy gene shares unexpected homology with ABC transporters. Nature. 1993;361(6414):726–30.</w:t>
      </w:r>
    </w:p>
    <w:p w14:paraId="3D6E36A7" w14:textId="77777777" w:rsidR="00D7706F" w:rsidRPr="00DE3121" w:rsidRDefault="00E56422" w:rsidP="00DE3121">
      <w:pPr>
        <w:pStyle w:val="ListParagraph"/>
        <w:numPr>
          <w:ilvl w:val="0"/>
          <w:numId w:val="2"/>
        </w:numPr>
        <w:spacing w:after="0" w:line="276" w:lineRule="auto"/>
        <w:ind w:left="576" w:hanging="576"/>
        <w:rPr>
          <w:rFonts w:ascii="Arial" w:hAnsi="Arial" w:cs="Arial"/>
          <w:sz w:val="22"/>
          <w:szCs w:val="22"/>
          <w:lang w:val="en-US"/>
        </w:rPr>
      </w:pPr>
      <w:r w:rsidRPr="00DE3121">
        <w:rPr>
          <w:rFonts w:ascii="Arial" w:hAnsi="Arial" w:cs="Arial"/>
          <w:sz w:val="22"/>
          <w:szCs w:val="22"/>
          <w:lang w:val="en-US"/>
        </w:rPr>
        <w:t xml:space="preserve">Moser A, Jones R, Hubbard W, Tortorelli S, Orsini J, </w:t>
      </w:r>
      <w:proofErr w:type="spellStart"/>
      <w:r w:rsidRPr="00DE3121">
        <w:rPr>
          <w:rFonts w:ascii="Arial" w:hAnsi="Arial" w:cs="Arial"/>
          <w:sz w:val="22"/>
          <w:szCs w:val="22"/>
          <w:lang w:val="en-US"/>
        </w:rPr>
        <w:t>Caggana</w:t>
      </w:r>
      <w:proofErr w:type="spellEnd"/>
      <w:r w:rsidRPr="00DE3121">
        <w:rPr>
          <w:rFonts w:ascii="Arial" w:hAnsi="Arial" w:cs="Arial"/>
          <w:sz w:val="22"/>
          <w:szCs w:val="22"/>
          <w:lang w:val="en-US"/>
        </w:rPr>
        <w:t xml:space="preserve"> M, Vogel B, Raymond G. Newborn screening for X-linked adrenoleukodystrophy. Int J Neonatal Screen. 2016;2(4):15.</w:t>
      </w:r>
    </w:p>
    <w:p w14:paraId="50E12A87" w14:textId="77777777" w:rsidR="00D7706F" w:rsidRPr="00DE3121" w:rsidRDefault="00E56422" w:rsidP="00DE3121">
      <w:pPr>
        <w:pStyle w:val="ListParagraph"/>
        <w:numPr>
          <w:ilvl w:val="0"/>
          <w:numId w:val="2"/>
        </w:numPr>
        <w:spacing w:after="0" w:line="276" w:lineRule="auto"/>
        <w:ind w:left="576" w:hanging="576"/>
        <w:rPr>
          <w:rFonts w:ascii="Arial" w:hAnsi="Arial" w:cs="Arial"/>
          <w:sz w:val="22"/>
          <w:szCs w:val="22"/>
          <w:lang w:val="en-US"/>
        </w:rPr>
      </w:pPr>
      <w:r w:rsidRPr="00DE3121">
        <w:rPr>
          <w:rFonts w:ascii="Arial" w:hAnsi="Arial" w:cs="Arial"/>
          <w:sz w:val="22"/>
          <w:szCs w:val="22"/>
          <w:lang w:val="en-US"/>
        </w:rPr>
        <w:t xml:space="preserve">Kemp S, Berger J, Aubourg P. X-linked adrenoleukodystrophy: clinical, metabolic, genetic and pathophysiological aspects. </w:t>
      </w:r>
      <w:proofErr w:type="spellStart"/>
      <w:r w:rsidRPr="00DE3121">
        <w:rPr>
          <w:rFonts w:ascii="Arial" w:hAnsi="Arial" w:cs="Arial"/>
          <w:sz w:val="22"/>
          <w:szCs w:val="22"/>
          <w:lang w:val="en-US"/>
        </w:rPr>
        <w:t>Biochim</w:t>
      </w:r>
      <w:proofErr w:type="spellEnd"/>
      <w:r w:rsidRPr="00DE3121">
        <w:rPr>
          <w:rFonts w:ascii="Arial" w:hAnsi="Arial" w:cs="Arial"/>
          <w:sz w:val="22"/>
          <w:szCs w:val="22"/>
          <w:lang w:val="en-US"/>
        </w:rPr>
        <w:t xml:space="preserve"> </w:t>
      </w:r>
      <w:proofErr w:type="spellStart"/>
      <w:r w:rsidRPr="00DE3121">
        <w:rPr>
          <w:rFonts w:ascii="Arial" w:hAnsi="Arial" w:cs="Arial"/>
          <w:sz w:val="22"/>
          <w:szCs w:val="22"/>
          <w:lang w:val="en-US"/>
        </w:rPr>
        <w:t>Biophys</w:t>
      </w:r>
      <w:proofErr w:type="spellEnd"/>
      <w:r w:rsidRPr="00DE3121">
        <w:rPr>
          <w:rFonts w:ascii="Arial" w:hAnsi="Arial" w:cs="Arial"/>
          <w:sz w:val="22"/>
          <w:szCs w:val="22"/>
          <w:lang w:val="en-US"/>
        </w:rPr>
        <w:t xml:space="preserve"> Acta 2012</w:t>
      </w:r>
      <w:r w:rsidR="00674655" w:rsidRPr="00DE3121">
        <w:rPr>
          <w:rFonts w:ascii="Arial" w:hAnsi="Arial" w:cs="Arial"/>
          <w:sz w:val="22"/>
          <w:szCs w:val="22"/>
          <w:lang w:val="en-US"/>
        </w:rPr>
        <w:t>;</w:t>
      </w:r>
      <w:r w:rsidRPr="00DE3121">
        <w:rPr>
          <w:rFonts w:ascii="Arial" w:hAnsi="Arial" w:cs="Arial"/>
          <w:sz w:val="22"/>
          <w:szCs w:val="22"/>
          <w:lang w:val="en-US"/>
        </w:rPr>
        <w:t>1822 (9):1465–74.</w:t>
      </w:r>
    </w:p>
    <w:p w14:paraId="54376C38" w14:textId="77777777" w:rsidR="00E56422" w:rsidRPr="00DE3121" w:rsidRDefault="00E56422" w:rsidP="00DE3121">
      <w:pPr>
        <w:pStyle w:val="ListParagraph"/>
        <w:numPr>
          <w:ilvl w:val="0"/>
          <w:numId w:val="2"/>
        </w:numPr>
        <w:spacing w:after="0" w:line="276" w:lineRule="auto"/>
        <w:ind w:left="576" w:hanging="576"/>
        <w:rPr>
          <w:rFonts w:ascii="Arial" w:hAnsi="Arial" w:cs="Arial"/>
          <w:sz w:val="22"/>
          <w:szCs w:val="22"/>
          <w:lang w:val="en-US"/>
        </w:rPr>
      </w:pPr>
      <w:proofErr w:type="spellStart"/>
      <w:r w:rsidRPr="00DE3121">
        <w:rPr>
          <w:rFonts w:ascii="Arial" w:hAnsi="Arial" w:cs="Arial"/>
          <w:sz w:val="22"/>
          <w:szCs w:val="22"/>
          <w:lang w:val="en-US"/>
        </w:rPr>
        <w:t>Orphanet</w:t>
      </w:r>
      <w:proofErr w:type="spellEnd"/>
      <w:r w:rsidRPr="00DE3121">
        <w:rPr>
          <w:rFonts w:ascii="Arial" w:hAnsi="Arial" w:cs="Arial"/>
          <w:sz w:val="22"/>
          <w:szCs w:val="22"/>
          <w:lang w:val="en-US"/>
        </w:rPr>
        <w:t>. X-linked adrenoleukodystrophy</w:t>
      </w:r>
      <w:r w:rsidR="00D7706F" w:rsidRPr="00DE3121">
        <w:rPr>
          <w:rFonts w:ascii="Arial" w:hAnsi="Arial" w:cs="Arial"/>
          <w:sz w:val="22"/>
          <w:szCs w:val="22"/>
          <w:lang w:val="en-US"/>
        </w:rPr>
        <w:t>.</w:t>
      </w:r>
    </w:p>
    <w:p w14:paraId="1B9F68C7" w14:textId="77777777" w:rsidR="0001619B" w:rsidRPr="00DE3121" w:rsidRDefault="0001619B" w:rsidP="00DE3121">
      <w:pPr>
        <w:pStyle w:val="ListParagraph"/>
        <w:numPr>
          <w:ilvl w:val="0"/>
          <w:numId w:val="2"/>
        </w:numPr>
        <w:spacing w:after="0" w:line="276" w:lineRule="auto"/>
        <w:ind w:left="576" w:hanging="576"/>
        <w:rPr>
          <w:rFonts w:ascii="Arial" w:hAnsi="Arial" w:cs="Arial"/>
          <w:sz w:val="22"/>
          <w:szCs w:val="22"/>
          <w:lang w:val="en-US"/>
        </w:rPr>
      </w:pPr>
      <w:r w:rsidRPr="00DE3121">
        <w:rPr>
          <w:rFonts w:ascii="Arial" w:hAnsi="Arial" w:cs="Arial"/>
          <w:sz w:val="22"/>
          <w:szCs w:val="22"/>
          <w:lang w:val="en-US"/>
        </w:rPr>
        <w:t xml:space="preserve">ALD info website. </w:t>
      </w:r>
      <w:proofErr w:type="spellStart"/>
      <w:r w:rsidRPr="00DE3121">
        <w:rPr>
          <w:rFonts w:ascii="Arial" w:hAnsi="Arial" w:cs="Arial"/>
          <w:sz w:val="22"/>
          <w:szCs w:val="22"/>
          <w:lang w:val="en-US"/>
        </w:rPr>
        <w:t>ProMED</w:t>
      </w:r>
      <w:proofErr w:type="spellEnd"/>
      <w:r w:rsidRPr="00DE3121">
        <w:rPr>
          <w:rFonts w:ascii="Arial" w:hAnsi="Arial" w:cs="Arial"/>
          <w:sz w:val="22"/>
          <w:szCs w:val="22"/>
          <w:lang w:val="en-US"/>
        </w:rPr>
        <w:t xml:space="preserve">-mail website </w:t>
      </w:r>
      <w:hyperlink r:id="rId15" w:history="1">
        <w:r w:rsidRPr="00DE3121">
          <w:rPr>
            <w:rStyle w:val="Hyperlink"/>
            <w:rFonts w:ascii="Arial" w:hAnsi="Arial" w:cs="Arial"/>
            <w:sz w:val="22"/>
            <w:szCs w:val="22"/>
            <w:lang w:val="en-US"/>
          </w:rPr>
          <w:t>https://adrenoleukodystrophy.info/mutations-and-variants-in-abcd1</w:t>
        </w:r>
      </w:hyperlink>
      <w:r w:rsidRPr="00DE3121">
        <w:rPr>
          <w:rFonts w:ascii="Arial" w:hAnsi="Arial" w:cs="Arial"/>
          <w:sz w:val="22"/>
          <w:szCs w:val="22"/>
          <w:lang w:val="en-US"/>
        </w:rPr>
        <w:t xml:space="preserve">. </w:t>
      </w:r>
    </w:p>
    <w:p w14:paraId="460ECF00" w14:textId="77777777" w:rsidR="00D7706F" w:rsidRPr="00DE3121" w:rsidRDefault="00D7706F" w:rsidP="00DE3121">
      <w:pPr>
        <w:pStyle w:val="ListParagraph"/>
        <w:numPr>
          <w:ilvl w:val="0"/>
          <w:numId w:val="2"/>
        </w:numPr>
        <w:spacing w:after="0" w:line="276" w:lineRule="auto"/>
        <w:ind w:left="576" w:hanging="576"/>
        <w:rPr>
          <w:rFonts w:ascii="Arial" w:hAnsi="Arial" w:cs="Arial"/>
          <w:sz w:val="22"/>
          <w:szCs w:val="22"/>
          <w:lang w:val="en-US"/>
        </w:rPr>
      </w:pPr>
      <w:r w:rsidRPr="00DE3121">
        <w:rPr>
          <w:rFonts w:ascii="Arial" w:hAnsi="Arial" w:cs="Arial"/>
          <w:color w:val="212121"/>
          <w:sz w:val="22"/>
          <w:szCs w:val="22"/>
          <w:shd w:val="clear" w:color="auto" w:fill="FFFFFF"/>
          <w:lang w:val="en-US"/>
        </w:rPr>
        <w:t xml:space="preserve">Kemp S, </w:t>
      </w:r>
      <w:proofErr w:type="spellStart"/>
      <w:r w:rsidRPr="00DE3121">
        <w:rPr>
          <w:rFonts w:ascii="Arial" w:hAnsi="Arial" w:cs="Arial"/>
          <w:color w:val="212121"/>
          <w:sz w:val="22"/>
          <w:szCs w:val="22"/>
          <w:shd w:val="clear" w:color="auto" w:fill="FFFFFF"/>
          <w:lang w:val="en-US"/>
        </w:rPr>
        <w:t>Huffnagel</w:t>
      </w:r>
      <w:proofErr w:type="spellEnd"/>
      <w:r w:rsidRPr="00DE3121">
        <w:rPr>
          <w:rFonts w:ascii="Arial" w:hAnsi="Arial" w:cs="Arial"/>
          <w:color w:val="212121"/>
          <w:sz w:val="22"/>
          <w:szCs w:val="22"/>
          <w:shd w:val="clear" w:color="auto" w:fill="FFFFFF"/>
          <w:lang w:val="en-US"/>
        </w:rPr>
        <w:t xml:space="preserve"> IC, </w:t>
      </w:r>
      <w:proofErr w:type="spellStart"/>
      <w:r w:rsidRPr="00DE3121">
        <w:rPr>
          <w:rFonts w:ascii="Arial" w:hAnsi="Arial" w:cs="Arial"/>
          <w:color w:val="212121"/>
          <w:sz w:val="22"/>
          <w:szCs w:val="22"/>
          <w:shd w:val="clear" w:color="auto" w:fill="FFFFFF"/>
          <w:lang w:val="en-US"/>
        </w:rPr>
        <w:t>Linthorst</w:t>
      </w:r>
      <w:proofErr w:type="spellEnd"/>
      <w:r w:rsidRPr="00DE3121">
        <w:rPr>
          <w:rFonts w:ascii="Arial" w:hAnsi="Arial" w:cs="Arial"/>
          <w:color w:val="212121"/>
          <w:sz w:val="22"/>
          <w:szCs w:val="22"/>
          <w:shd w:val="clear" w:color="auto" w:fill="FFFFFF"/>
          <w:lang w:val="en-US"/>
        </w:rPr>
        <w:t xml:space="preserve"> GE, Wanders RJ, Engelen M. Adrenoleukodystrophy - neuroendocrine pathogenesis and redefinition of natural history. Nat Rev Endocrinol. 2016;12(10):606-615. </w:t>
      </w:r>
    </w:p>
    <w:p w14:paraId="3B9F3166" w14:textId="77777777" w:rsidR="00E56422" w:rsidRPr="00DE3121" w:rsidRDefault="00D7706F" w:rsidP="00DE3121">
      <w:pPr>
        <w:pStyle w:val="ListParagraph"/>
        <w:numPr>
          <w:ilvl w:val="0"/>
          <w:numId w:val="2"/>
        </w:numPr>
        <w:spacing w:after="0" w:line="276" w:lineRule="auto"/>
        <w:ind w:left="576" w:hanging="576"/>
        <w:rPr>
          <w:rFonts w:ascii="Arial" w:hAnsi="Arial" w:cs="Arial"/>
          <w:sz w:val="22"/>
          <w:szCs w:val="22"/>
          <w:lang w:val="en-US"/>
        </w:rPr>
      </w:pPr>
      <w:r w:rsidRPr="00DE3121">
        <w:rPr>
          <w:rFonts w:ascii="Arial" w:hAnsi="Arial" w:cs="Arial"/>
          <w:sz w:val="22"/>
          <w:szCs w:val="22"/>
          <w:lang w:val="en-US"/>
        </w:rPr>
        <w:t xml:space="preserve"> </w:t>
      </w:r>
      <w:r w:rsidR="0001619B" w:rsidRPr="00DE3121">
        <w:rPr>
          <w:rFonts w:ascii="Arial" w:hAnsi="Arial" w:cs="Arial"/>
          <w:sz w:val="22"/>
          <w:szCs w:val="22"/>
          <w:lang w:val="en-US"/>
        </w:rPr>
        <w:t xml:space="preserve">Di </w:t>
      </w:r>
      <w:r w:rsidRPr="00DE3121">
        <w:rPr>
          <w:rFonts w:ascii="Arial" w:hAnsi="Arial" w:cs="Arial"/>
          <w:sz w:val="22"/>
          <w:szCs w:val="22"/>
          <w:lang w:val="en-US"/>
        </w:rPr>
        <w:t>Rocco M, Doria-Lamba L, Caruso U. Monozygotic twins with X-linked adrenoleukodystrophy and different phenotypes. Ann Neurol. 2001;50(3):424.</w:t>
      </w:r>
    </w:p>
    <w:p w14:paraId="5629339F" w14:textId="77777777" w:rsidR="00D7706F" w:rsidRPr="00DE3121" w:rsidRDefault="00D7706F" w:rsidP="00DE3121">
      <w:pPr>
        <w:pStyle w:val="ListParagraph"/>
        <w:numPr>
          <w:ilvl w:val="0"/>
          <w:numId w:val="2"/>
        </w:numPr>
        <w:spacing w:after="0" w:line="276" w:lineRule="auto"/>
        <w:ind w:left="576" w:hanging="576"/>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Higgins CF. ABC transporters: from microorganisms to man. Annu Rev Cell Biol. 1992;8: 67–113.</w:t>
      </w:r>
    </w:p>
    <w:p w14:paraId="19610898" w14:textId="77777777" w:rsidR="00D7706F" w:rsidRPr="00DE3121" w:rsidRDefault="00D7706F" w:rsidP="00DE3121">
      <w:pPr>
        <w:pStyle w:val="NormalWeb"/>
        <w:numPr>
          <w:ilvl w:val="0"/>
          <w:numId w:val="2"/>
        </w:numPr>
        <w:spacing w:before="0" w:beforeAutospacing="0" w:after="0" w:afterAutospacing="0" w:line="276" w:lineRule="auto"/>
        <w:ind w:left="576" w:hanging="576"/>
        <w:rPr>
          <w:rFonts w:ascii="Arial" w:hAnsi="Arial" w:cs="Arial"/>
          <w:sz w:val="22"/>
          <w:szCs w:val="22"/>
          <w:lang w:val="en-US"/>
        </w:rPr>
      </w:pPr>
      <w:r w:rsidRPr="00DE3121">
        <w:rPr>
          <w:rFonts w:ascii="Arial" w:hAnsi="Arial" w:cs="Arial"/>
          <w:sz w:val="22"/>
          <w:szCs w:val="22"/>
          <w:lang w:val="en-US"/>
        </w:rPr>
        <w:t xml:space="preserve">Kemp, S. &amp; Wanders, R. Biochemical aspects of </w:t>
      </w:r>
      <w:proofErr w:type="spellStart"/>
      <w:r w:rsidRPr="00DE3121">
        <w:rPr>
          <w:rFonts w:ascii="Arial" w:hAnsi="Arial" w:cs="Arial"/>
          <w:sz w:val="22"/>
          <w:szCs w:val="22"/>
          <w:lang w:val="en-US"/>
        </w:rPr>
        <w:t>Xlinked</w:t>
      </w:r>
      <w:proofErr w:type="spellEnd"/>
      <w:r w:rsidRPr="00DE3121">
        <w:rPr>
          <w:rFonts w:ascii="Arial" w:hAnsi="Arial" w:cs="Arial"/>
          <w:sz w:val="22"/>
          <w:szCs w:val="22"/>
          <w:lang w:val="en-US"/>
        </w:rPr>
        <w:t xml:space="preserve"> adrenoleukodystrophy. Brain </w:t>
      </w:r>
      <w:proofErr w:type="spellStart"/>
      <w:r w:rsidRPr="00DE3121">
        <w:rPr>
          <w:rFonts w:ascii="Arial" w:hAnsi="Arial" w:cs="Arial"/>
          <w:sz w:val="22"/>
          <w:szCs w:val="22"/>
          <w:lang w:val="en-US"/>
        </w:rPr>
        <w:t>Pathol</w:t>
      </w:r>
      <w:proofErr w:type="spellEnd"/>
      <w:r w:rsidRPr="00DE3121">
        <w:rPr>
          <w:rFonts w:ascii="Arial" w:hAnsi="Arial" w:cs="Arial"/>
          <w:sz w:val="22"/>
          <w:szCs w:val="22"/>
          <w:lang w:val="en-US"/>
        </w:rPr>
        <w:t>. 2010; 20, 831–837.</w:t>
      </w:r>
    </w:p>
    <w:p w14:paraId="6E2A3831" w14:textId="77777777" w:rsidR="00D7706F" w:rsidRPr="00DE3121" w:rsidRDefault="00D7706F" w:rsidP="00DE3121">
      <w:pPr>
        <w:pStyle w:val="NormalWeb"/>
        <w:numPr>
          <w:ilvl w:val="0"/>
          <w:numId w:val="2"/>
        </w:numPr>
        <w:spacing w:before="0" w:beforeAutospacing="0" w:after="0" w:afterAutospacing="0" w:line="276" w:lineRule="auto"/>
        <w:ind w:left="576" w:hanging="576"/>
        <w:rPr>
          <w:rFonts w:ascii="Arial" w:hAnsi="Arial" w:cs="Arial"/>
          <w:sz w:val="22"/>
          <w:szCs w:val="22"/>
          <w:lang w:val="en-US"/>
        </w:rPr>
      </w:pPr>
      <w:r w:rsidRPr="00DE3121">
        <w:rPr>
          <w:rFonts w:ascii="Arial" w:hAnsi="Arial" w:cs="Arial"/>
          <w:sz w:val="22"/>
          <w:szCs w:val="22"/>
          <w:lang w:val="en-US"/>
        </w:rPr>
        <w:t>Moser, H. W., Smith, K. D., Watkins, P. A., Powers, J. &amp; Moser, A. B. in The Metabolic and Molecular Bases of Inherited Disease 3257–3301 (McGraw Hill, 2001)</w:t>
      </w:r>
    </w:p>
    <w:p w14:paraId="752A02E3" w14:textId="74A27165" w:rsidR="00D7706F" w:rsidRPr="00DE3121" w:rsidRDefault="00D7706F" w:rsidP="00DE3121">
      <w:pPr>
        <w:pStyle w:val="ListParagraph"/>
        <w:numPr>
          <w:ilvl w:val="0"/>
          <w:numId w:val="2"/>
        </w:numPr>
        <w:spacing w:after="0" w:line="276" w:lineRule="auto"/>
        <w:ind w:left="576" w:hanging="576"/>
        <w:rPr>
          <w:rFonts w:ascii="Arial" w:hAnsi="Arial" w:cs="Arial"/>
          <w:sz w:val="22"/>
          <w:szCs w:val="22"/>
          <w:lang w:val="en-US"/>
        </w:rPr>
      </w:pPr>
      <w:r w:rsidRPr="00DE3121">
        <w:rPr>
          <w:rFonts w:ascii="Arial" w:hAnsi="Arial" w:cs="Arial"/>
          <w:sz w:val="22"/>
          <w:szCs w:val="22"/>
          <w:lang w:val="en-US"/>
        </w:rPr>
        <w:t xml:space="preserve">Powers, J. M., Schaumburg, H. H., Johnson, A. B. &amp; Raine, C. S. A correlative study of the adrenal cortex in adreno-leukodystrophy — evidence for a fatal intoxication with very long chain saturated fatty acids. Invest. Cell </w:t>
      </w:r>
      <w:proofErr w:type="spellStart"/>
      <w:r w:rsidRPr="00DE3121">
        <w:rPr>
          <w:rFonts w:ascii="Arial" w:hAnsi="Arial" w:cs="Arial"/>
          <w:sz w:val="22"/>
          <w:szCs w:val="22"/>
          <w:lang w:val="en-US"/>
        </w:rPr>
        <w:t>Pathol</w:t>
      </w:r>
      <w:proofErr w:type="spellEnd"/>
      <w:r w:rsidRPr="00DE3121">
        <w:rPr>
          <w:rFonts w:ascii="Arial" w:hAnsi="Arial" w:cs="Arial"/>
          <w:sz w:val="22"/>
          <w:szCs w:val="22"/>
          <w:lang w:val="en-US"/>
        </w:rPr>
        <w:t xml:space="preserve"> 1980;3:</w:t>
      </w:r>
      <w:r w:rsidR="1EA39924" w:rsidRPr="00DE3121">
        <w:rPr>
          <w:rFonts w:ascii="Arial" w:hAnsi="Arial" w:cs="Arial"/>
          <w:sz w:val="22"/>
          <w:szCs w:val="22"/>
          <w:lang w:val="en-US"/>
        </w:rPr>
        <w:t xml:space="preserve"> </w:t>
      </w:r>
      <w:r w:rsidRPr="00DE3121">
        <w:rPr>
          <w:rFonts w:ascii="Arial" w:hAnsi="Arial" w:cs="Arial"/>
          <w:sz w:val="22"/>
          <w:szCs w:val="22"/>
          <w:lang w:val="en-US"/>
        </w:rPr>
        <w:t>353–376.</w:t>
      </w:r>
    </w:p>
    <w:p w14:paraId="78684D75" w14:textId="77777777" w:rsidR="00D7706F" w:rsidRPr="00DE3121" w:rsidRDefault="00D7706F" w:rsidP="00DE3121">
      <w:pPr>
        <w:pStyle w:val="ListParagraph"/>
        <w:numPr>
          <w:ilvl w:val="0"/>
          <w:numId w:val="2"/>
        </w:numPr>
        <w:spacing w:after="0" w:line="276" w:lineRule="auto"/>
        <w:ind w:left="576" w:hanging="576"/>
        <w:rPr>
          <w:rFonts w:ascii="Arial" w:hAnsi="Arial" w:cs="Arial"/>
          <w:sz w:val="22"/>
          <w:szCs w:val="22"/>
          <w:lang w:val="en-US"/>
        </w:rPr>
      </w:pPr>
      <w:r w:rsidRPr="00DE3121">
        <w:rPr>
          <w:rFonts w:ascii="Arial" w:hAnsi="Arial" w:cs="Arial"/>
          <w:sz w:val="22"/>
          <w:szCs w:val="22"/>
          <w:lang w:val="en-US"/>
        </w:rPr>
        <w:t>Johnson, A. B., Schaumburg, H. H. &amp; Powers, J. M. Histochemical characteristics of the striated inclusions of adrenoleukodystrophy. J. </w:t>
      </w:r>
      <w:proofErr w:type="spellStart"/>
      <w:r w:rsidRPr="00DE3121">
        <w:rPr>
          <w:rFonts w:ascii="Arial" w:hAnsi="Arial" w:cs="Arial"/>
          <w:sz w:val="22"/>
          <w:szCs w:val="22"/>
          <w:lang w:val="en-US"/>
        </w:rPr>
        <w:t>Histochem</w:t>
      </w:r>
      <w:proofErr w:type="spellEnd"/>
      <w:r w:rsidRPr="00DE3121">
        <w:rPr>
          <w:rFonts w:ascii="Arial" w:hAnsi="Arial" w:cs="Arial"/>
          <w:sz w:val="22"/>
          <w:szCs w:val="22"/>
          <w:lang w:val="en-US"/>
        </w:rPr>
        <w:t xml:space="preserve"> </w:t>
      </w:r>
      <w:proofErr w:type="spellStart"/>
      <w:r w:rsidRPr="00DE3121">
        <w:rPr>
          <w:rFonts w:ascii="Arial" w:hAnsi="Arial" w:cs="Arial"/>
          <w:sz w:val="22"/>
          <w:szCs w:val="22"/>
          <w:lang w:val="en-US"/>
        </w:rPr>
        <w:t>Cytochem</w:t>
      </w:r>
      <w:proofErr w:type="spellEnd"/>
      <w:r w:rsidRPr="00DE3121">
        <w:rPr>
          <w:rFonts w:ascii="Arial" w:hAnsi="Arial" w:cs="Arial"/>
          <w:sz w:val="22"/>
          <w:szCs w:val="22"/>
          <w:lang w:val="en-US"/>
        </w:rPr>
        <w:t xml:space="preserve"> 1976;24: 725–730.</w:t>
      </w:r>
    </w:p>
    <w:p w14:paraId="1DB85424" w14:textId="77777777" w:rsidR="00E811E9" w:rsidRPr="00DE3121" w:rsidRDefault="00E811E9" w:rsidP="00DE3121">
      <w:pPr>
        <w:pStyle w:val="ListParagraph"/>
        <w:numPr>
          <w:ilvl w:val="0"/>
          <w:numId w:val="2"/>
        </w:numPr>
        <w:spacing w:after="0" w:line="276" w:lineRule="auto"/>
        <w:ind w:left="576" w:hanging="576"/>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xml:space="preserve">Pereira </w:t>
      </w:r>
      <w:proofErr w:type="spellStart"/>
      <w:r w:rsidRPr="00DE3121">
        <w:rPr>
          <w:rFonts w:ascii="Arial" w:eastAsia="Times New Roman" w:hAnsi="Arial" w:cs="Arial"/>
          <w:color w:val="000000"/>
          <w:kern w:val="0"/>
          <w:sz w:val="22"/>
          <w:szCs w:val="22"/>
          <w:lang w:val="en-US" w:eastAsia="el-GR"/>
        </w:rPr>
        <w:t>Fdos</w:t>
      </w:r>
      <w:proofErr w:type="spellEnd"/>
      <w:r w:rsidRPr="00DE3121">
        <w:rPr>
          <w:rFonts w:ascii="Arial" w:eastAsia="Times New Roman" w:hAnsi="Arial" w:cs="Arial"/>
          <w:color w:val="000000"/>
          <w:kern w:val="0"/>
          <w:sz w:val="22"/>
          <w:szCs w:val="22"/>
          <w:lang w:val="en-US" w:eastAsia="el-GR"/>
        </w:rPr>
        <w:t xml:space="preserve"> S, Matte U, Habekost CT, de Castilhos RM, El </w:t>
      </w:r>
      <w:proofErr w:type="spellStart"/>
      <w:r w:rsidRPr="00DE3121">
        <w:rPr>
          <w:rFonts w:ascii="Arial" w:eastAsia="Times New Roman" w:hAnsi="Arial" w:cs="Arial"/>
          <w:color w:val="000000"/>
          <w:kern w:val="0"/>
          <w:sz w:val="22"/>
          <w:szCs w:val="22"/>
          <w:lang w:val="en-US" w:eastAsia="el-GR"/>
        </w:rPr>
        <w:t>Husny</w:t>
      </w:r>
      <w:proofErr w:type="spellEnd"/>
      <w:r w:rsidRPr="00DE3121">
        <w:rPr>
          <w:rFonts w:ascii="Arial" w:eastAsia="Times New Roman" w:hAnsi="Arial" w:cs="Arial"/>
          <w:color w:val="000000"/>
          <w:kern w:val="0"/>
          <w:sz w:val="22"/>
          <w:szCs w:val="22"/>
          <w:lang w:val="en-US" w:eastAsia="el-GR"/>
        </w:rPr>
        <w:t xml:space="preserve"> AS, Lourenco CM, et al. Mutations, clinical findings and survival estimates in South American patients with X-linked adrenoleukodystrophy. </w:t>
      </w:r>
      <w:proofErr w:type="spellStart"/>
      <w:r w:rsidRPr="00DE3121">
        <w:rPr>
          <w:rFonts w:ascii="Arial" w:eastAsia="Times New Roman" w:hAnsi="Arial" w:cs="Arial"/>
          <w:color w:val="000000"/>
          <w:kern w:val="0"/>
          <w:sz w:val="22"/>
          <w:szCs w:val="22"/>
          <w:lang w:val="en-US" w:eastAsia="el-GR"/>
        </w:rPr>
        <w:t>PLoS</w:t>
      </w:r>
      <w:proofErr w:type="spellEnd"/>
      <w:r w:rsidRPr="00DE3121">
        <w:rPr>
          <w:rFonts w:ascii="Arial" w:eastAsia="Times New Roman" w:hAnsi="Arial" w:cs="Arial"/>
          <w:color w:val="000000"/>
          <w:kern w:val="0"/>
          <w:sz w:val="22"/>
          <w:szCs w:val="22"/>
          <w:lang w:val="en-US" w:eastAsia="el-GR"/>
        </w:rPr>
        <w:t xml:space="preserve"> One. 2012;7(3</w:t>
      </w:r>
      <w:proofErr w:type="gramStart"/>
      <w:r w:rsidRPr="00DE3121">
        <w:rPr>
          <w:rFonts w:ascii="Arial" w:eastAsia="Times New Roman" w:hAnsi="Arial" w:cs="Arial"/>
          <w:color w:val="000000"/>
          <w:kern w:val="0"/>
          <w:sz w:val="22"/>
          <w:szCs w:val="22"/>
          <w:lang w:val="en-US" w:eastAsia="el-GR"/>
        </w:rPr>
        <w:t>):e</w:t>
      </w:r>
      <w:proofErr w:type="gramEnd"/>
      <w:r w:rsidRPr="00DE3121">
        <w:rPr>
          <w:rFonts w:ascii="Arial" w:eastAsia="Times New Roman" w:hAnsi="Arial" w:cs="Arial"/>
          <w:color w:val="000000"/>
          <w:kern w:val="0"/>
          <w:sz w:val="22"/>
          <w:szCs w:val="22"/>
          <w:lang w:val="en-US" w:eastAsia="el-GR"/>
        </w:rPr>
        <w:t>34195.</w:t>
      </w:r>
    </w:p>
    <w:p w14:paraId="229CBC71" w14:textId="77777777" w:rsidR="00E811E9" w:rsidRPr="00DE3121" w:rsidRDefault="00E811E9" w:rsidP="00DE3121">
      <w:pPr>
        <w:pStyle w:val="ListParagraph"/>
        <w:numPr>
          <w:ilvl w:val="0"/>
          <w:numId w:val="2"/>
        </w:numPr>
        <w:spacing w:after="0" w:line="276" w:lineRule="auto"/>
        <w:ind w:left="576" w:hanging="576"/>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nl-NL" w:eastAsia="el-GR"/>
        </w:rPr>
        <w:lastRenderedPageBreak/>
        <w:t xml:space="preserve">Kemp S, Pujol A, Waterham HR, van Geel BM, Boehm CD, Raymond G V, et al. </w:t>
      </w:r>
      <w:r w:rsidRPr="00DE3121">
        <w:rPr>
          <w:rFonts w:ascii="Arial" w:eastAsia="Times New Roman" w:hAnsi="Arial" w:cs="Arial"/>
          <w:color w:val="000000"/>
          <w:kern w:val="0"/>
          <w:sz w:val="22"/>
          <w:szCs w:val="22"/>
          <w:lang w:val="en-US" w:eastAsia="el-GR"/>
        </w:rPr>
        <w:t xml:space="preserve">ABCD1 mutations and the X-linked adrenoleukodystrophy mutation database: role in diagnosis and clinical correlations. Hum </w:t>
      </w:r>
      <w:proofErr w:type="spellStart"/>
      <w:r w:rsidRPr="00DE3121">
        <w:rPr>
          <w:rFonts w:ascii="Arial" w:eastAsia="Times New Roman" w:hAnsi="Arial" w:cs="Arial"/>
          <w:color w:val="000000"/>
          <w:kern w:val="0"/>
          <w:sz w:val="22"/>
          <w:szCs w:val="22"/>
          <w:lang w:val="en-US" w:eastAsia="el-GR"/>
        </w:rPr>
        <w:t>Mutat</w:t>
      </w:r>
      <w:proofErr w:type="spellEnd"/>
      <w:r w:rsidRPr="00DE3121">
        <w:rPr>
          <w:rFonts w:ascii="Arial" w:eastAsia="Times New Roman" w:hAnsi="Arial" w:cs="Arial"/>
          <w:color w:val="000000"/>
          <w:kern w:val="0"/>
          <w:sz w:val="22"/>
          <w:szCs w:val="22"/>
          <w:lang w:val="en-US" w:eastAsia="el-GR"/>
        </w:rPr>
        <w:t>. 2001;18(6):499–515.</w:t>
      </w:r>
    </w:p>
    <w:p w14:paraId="47CD45CF" w14:textId="77777777" w:rsidR="00E811E9" w:rsidRPr="00DE3121" w:rsidRDefault="00E811E9" w:rsidP="00DE3121">
      <w:pPr>
        <w:pStyle w:val="ListParagraph"/>
        <w:numPr>
          <w:ilvl w:val="0"/>
          <w:numId w:val="2"/>
        </w:numPr>
        <w:spacing w:after="0" w:line="276" w:lineRule="auto"/>
        <w:ind w:left="576" w:hanging="576"/>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Raymond G V, Seidman R, Monteith TS, Kolodny E, Sathe S, Mahmood A, et al. Head trauma can initiate the onset of adreno-leukodystrophy. J Neurol Sci. 2010;290(1–2):70–4.</w:t>
      </w:r>
    </w:p>
    <w:p w14:paraId="1D1E5921" w14:textId="77777777" w:rsidR="00E811E9" w:rsidRPr="00DE3121" w:rsidRDefault="00E811E9" w:rsidP="00DE3121">
      <w:pPr>
        <w:pStyle w:val="ListParagraph"/>
        <w:numPr>
          <w:ilvl w:val="0"/>
          <w:numId w:val="2"/>
        </w:numPr>
        <w:spacing w:after="0" w:line="276" w:lineRule="auto"/>
        <w:ind w:left="576" w:hanging="576"/>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xml:space="preserve">Netik A, Forss-Petter S, Holzinger A, Molzer B, </w:t>
      </w:r>
      <w:proofErr w:type="spellStart"/>
      <w:r w:rsidRPr="00DE3121">
        <w:rPr>
          <w:rFonts w:ascii="Arial" w:eastAsia="Times New Roman" w:hAnsi="Arial" w:cs="Arial"/>
          <w:color w:val="000000"/>
          <w:kern w:val="0"/>
          <w:sz w:val="22"/>
          <w:szCs w:val="22"/>
          <w:lang w:val="en-US" w:eastAsia="el-GR"/>
        </w:rPr>
        <w:t>Unterrainer</w:t>
      </w:r>
      <w:proofErr w:type="spellEnd"/>
      <w:r w:rsidRPr="00DE3121">
        <w:rPr>
          <w:rFonts w:ascii="Arial" w:eastAsia="Times New Roman" w:hAnsi="Arial" w:cs="Arial"/>
          <w:color w:val="000000"/>
          <w:kern w:val="0"/>
          <w:sz w:val="22"/>
          <w:szCs w:val="22"/>
          <w:lang w:val="en-US" w:eastAsia="el-GR"/>
        </w:rPr>
        <w:t xml:space="preserve"> G, Berger J. Adrenoleukodystrophy-related protein can compensate functionally for adrenoleukodystrophy protein deficiency (X-ALD): implications for therapy. Hum Mol Genet. 1999;8(5):907–13.</w:t>
      </w:r>
    </w:p>
    <w:p w14:paraId="3A197D6A" w14:textId="77777777" w:rsidR="00E811E9" w:rsidRPr="00DE3121" w:rsidRDefault="00E811E9" w:rsidP="00DE3121">
      <w:pPr>
        <w:pStyle w:val="ListParagraph"/>
        <w:numPr>
          <w:ilvl w:val="0"/>
          <w:numId w:val="2"/>
        </w:numPr>
        <w:spacing w:after="0" w:line="276" w:lineRule="auto"/>
        <w:ind w:left="576" w:hanging="576"/>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xml:space="preserve">Hudspeth MP, Raymond G V. Immunopathogenesis of adrenoleukodystrophy: current understanding. J </w:t>
      </w:r>
      <w:proofErr w:type="spellStart"/>
      <w:r w:rsidRPr="00DE3121">
        <w:rPr>
          <w:rFonts w:ascii="Arial" w:eastAsia="Times New Roman" w:hAnsi="Arial" w:cs="Arial"/>
          <w:color w:val="000000"/>
          <w:kern w:val="0"/>
          <w:sz w:val="22"/>
          <w:szCs w:val="22"/>
          <w:lang w:val="en-US" w:eastAsia="el-GR"/>
        </w:rPr>
        <w:t>Neuroimmunol</w:t>
      </w:r>
      <w:proofErr w:type="spellEnd"/>
      <w:r w:rsidRPr="00DE3121">
        <w:rPr>
          <w:rFonts w:ascii="Arial" w:eastAsia="Times New Roman" w:hAnsi="Arial" w:cs="Arial"/>
          <w:color w:val="000000"/>
          <w:kern w:val="0"/>
          <w:sz w:val="22"/>
          <w:szCs w:val="22"/>
          <w:lang w:val="en-US" w:eastAsia="el-GR"/>
        </w:rPr>
        <w:t>. 2007;182(1–2):5–12.</w:t>
      </w:r>
    </w:p>
    <w:p w14:paraId="261FA301" w14:textId="07198F8C" w:rsidR="00E811E9" w:rsidRPr="00DE3121" w:rsidRDefault="00E811E9" w:rsidP="00DE3121">
      <w:pPr>
        <w:pStyle w:val="ListParagraph"/>
        <w:numPr>
          <w:ilvl w:val="0"/>
          <w:numId w:val="2"/>
        </w:numPr>
        <w:spacing w:after="0" w:line="276" w:lineRule="auto"/>
        <w:ind w:left="576" w:hanging="576"/>
        <w:rPr>
          <w:rFonts w:ascii="Arial" w:hAnsi="Arial" w:cs="Arial"/>
          <w:sz w:val="22"/>
          <w:szCs w:val="22"/>
          <w:lang w:val="en-US"/>
        </w:rPr>
      </w:pPr>
      <w:r w:rsidRPr="00DE3121">
        <w:rPr>
          <w:rFonts w:ascii="Arial" w:hAnsi="Arial" w:cs="Arial"/>
          <w:sz w:val="22"/>
          <w:szCs w:val="22"/>
          <w:lang w:val="en-US"/>
        </w:rPr>
        <w:t xml:space="preserve">Liberato AP, </w:t>
      </w:r>
      <w:proofErr w:type="spellStart"/>
      <w:proofErr w:type="gramStart"/>
      <w:r w:rsidRPr="00DE3121">
        <w:rPr>
          <w:rFonts w:ascii="Arial" w:hAnsi="Arial" w:cs="Arial"/>
          <w:sz w:val="22"/>
          <w:szCs w:val="22"/>
          <w:lang w:val="en-US"/>
        </w:rPr>
        <w:t>Mallack</w:t>
      </w:r>
      <w:proofErr w:type="spellEnd"/>
      <w:r w:rsidRPr="00DE3121">
        <w:rPr>
          <w:rFonts w:ascii="Arial" w:hAnsi="Arial" w:cs="Arial"/>
          <w:sz w:val="22"/>
          <w:szCs w:val="22"/>
          <w:lang w:val="en-US"/>
        </w:rPr>
        <w:t>  EJ</w:t>
      </w:r>
      <w:proofErr w:type="gramEnd"/>
      <w:r w:rsidRPr="00DE3121">
        <w:rPr>
          <w:rFonts w:ascii="Arial" w:hAnsi="Arial" w:cs="Arial"/>
          <w:sz w:val="22"/>
          <w:szCs w:val="22"/>
          <w:lang w:val="en-US"/>
        </w:rPr>
        <w:t>, Aziz-Bose R, et al. X-linked adrenoleukodystrophy. Neurology. 2019;92(15):1698–1708.</w:t>
      </w:r>
    </w:p>
    <w:p w14:paraId="73F6F7C0" w14:textId="77777777" w:rsidR="00E811E9" w:rsidRPr="00DE3121" w:rsidRDefault="00E811E9" w:rsidP="00DE3121">
      <w:pPr>
        <w:pStyle w:val="ListParagraph"/>
        <w:numPr>
          <w:ilvl w:val="0"/>
          <w:numId w:val="2"/>
        </w:numPr>
        <w:spacing w:after="0" w:line="276" w:lineRule="auto"/>
        <w:ind w:left="576" w:hanging="576"/>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nl-NL" w:eastAsia="el-GR"/>
        </w:rPr>
        <w:t xml:space="preserve">Moser HW, Loes DJ, Melhem ER, Raymond G V, Bezman L, Cox CS, et al. </w:t>
      </w:r>
      <w:r w:rsidRPr="00DE3121">
        <w:rPr>
          <w:rFonts w:ascii="Arial" w:eastAsia="Times New Roman" w:hAnsi="Arial" w:cs="Arial"/>
          <w:color w:val="000000"/>
          <w:kern w:val="0"/>
          <w:sz w:val="22"/>
          <w:szCs w:val="22"/>
          <w:lang w:val="en-US" w:eastAsia="el-GR"/>
        </w:rPr>
        <w:t xml:space="preserve">X-Linked adrenoleukodystrophy: overview and prognosis as a function of age and brain magnetic resonance imaging abnormality. A study involving 372 patients. </w:t>
      </w:r>
      <w:proofErr w:type="spellStart"/>
      <w:r w:rsidRPr="00DE3121">
        <w:rPr>
          <w:rFonts w:ascii="Arial" w:eastAsia="Times New Roman" w:hAnsi="Arial" w:cs="Arial"/>
          <w:color w:val="000000"/>
          <w:kern w:val="0"/>
          <w:sz w:val="22"/>
          <w:szCs w:val="22"/>
          <w:lang w:val="en-US" w:eastAsia="el-GR"/>
        </w:rPr>
        <w:t>Neuropediatrics</w:t>
      </w:r>
      <w:proofErr w:type="spellEnd"/>
      <w:r w:rsidRPr="00DE3121">
        <w:rPr>
          <w:rFonts w:ascii="Arial" w:eastAsia="Times New Roman" w:hAnsi="Arial" w:cs="Arial"/>
          <w:color w:val="000000"/>
          <w:kern w:val="0"/>
          <w:sz w:val="22"/>
          <w:szCs w:val="22"/>
          <w:lang w:val="en-US" w:eastAsia="el-GR"/>
        </w:rPr>
        <w:t xml:space="preserve"> 2000;31(5):227–39.</w:t>
      </w:r>
    </w:p>
    <w:p w14:paraId="32A894D5" w14:textId="77777777" w:rsidR="00E811E9" w:rsidRPr="00DE3121" w:rsidRDefault="00E811E9" w:rsidP="00DE3121">
      <w:pPr>
        <w:pStyle w:val="NormalWeb"/>
        <w:numPr>
          <w:ilvl w:val="0"/>
          <w:numId w:val="2"/>
        </w:numPr>
        <w:spacing w:before="0" w:beforeAutospacing="0" w:after="0" w:afterAutospacing="0" w:line="276" w:lineRule="auto"/>
        <w:ind w:left="576" w:hanging="576"/>
        <w:rPr>
          <w:rFonts w:ascii="Arial" w:hAnsi="Arial" w:cs="Arial"/>
          <w:sz w:val="22"/>
          <w:szCs w:val="22"/>
          <w:lang w:val="en-US"/>
        </w:rPr>
      </w:pPr>
      <w:r w:rsidRPr="00DE3121">
        <w:rPr>
          <w:rFonts w:ascii="Arial" w:hAnsi="Arial" w:cs="Arial"/>
          <w:sz w:val="22"/>
          <w:szCs w:val="22"/>
          <w:lang w:val="en-US"/>
        </w:rPr>
        <w:t>Zhu J, Eichler F, Biffi A, Christine </w:t>
      </w:r>
      <w:proofErr w:type="spellStart"/>
      <w:proofErr w:type="gramStart"/>
      <w:r w:rsidRPr="00DE3121">
        <w:rPr>
          <w:rFonts w:ascii="Arial" w:hAnsi="Arial" w:cs="Arial"/>
          <w:sz w:val="22"/>
          <w:szCs w:val="22"/>
          <w:lang w:val="en-US"/>
        </w:rPr>
        <w:t>N,Williams</w:t>
      </w:r>
      <w:proofErr w:type="spellEnd"/>
      <w:proofErr w:type="gramEnd"/>
      <w:r w:rsidRPr="00DE3121">
        <w:rPr>
          <w:rFonts w:ascii="Arial" w:hAnsi="Arial" w:cs="Arial"/>
          <w:sz w:val="22"/>
          <w:szCs w:val="22"/>
          <w:lang w:val="en-US"/>
        </w:rPr>
        <w:t xml:space="preserve"> D, Majzoub J. The Changing Face of Adrenoleukodystrophy. Endocrine Reviews, 2020; 41(4):577–593.</w:t>
      </w:r>
    </w:p>
    <w:p w14:paraId="62A8118B" w14:textId="77777777" w:rsidR="00E811E9" w:rsidRPr="00DE3121" w:rsidRDefault="00E811E9" w:rsidP="00DE3121">
      <w:pPr>
        <w:pStyle w:val="ListParagraph"/>
        <w:numPr>
          <w:ilvl w:val="0"/>
          <w:numId w:val="2"/>
        </w:numPr>
        <w:spacing w:after="0" w:line="276" w:lineRule="auto"/>
        <w:ind w:left="576" w:hanging="576"/>
        <w:rPr>
          <w:rFonts w:ascii="Arial" w:hAnsi="Arial" w:cs="Arial"/>
          <w:sz w:val="22"/>
          <w:szCs w:val="22"/>
          <w:lang w:val="en-US"/>
        </w:rPr>
      </w:pPr>
      <w:r w:rsidRPr="00DE3121">
        <w:rPr>
          <w:rFonts w:ascii="Arial" w:hAnsi="Arial" w:cs="Arial"/>
          <w:sz w:val="22"/>
          <w:szCs w:val="22"/>
          <w:lang w:val="nl-NL"/>
        </w:rPr>
        <w:t xml:space="preserve">Van Geel  BM, Bezman  L, Loes  DJ, et  al. </w:t>
      </w:r>
      <w:r w:rsidRPr="00DE3121">
        <w:rPr>
          <w:rFonts w:ascii="Arial" w:hAnsi="Arial" w:cs="Arial"/>
          <w:sz w:val="22"/>
          <w:szCs w:val="22"/>
          <w:lang w:val="en-US"/>
        </w:rPr>
        <w:t>Evolution of phenotypes in adult male patients with X-linked adrenoleukodystrophy. Ann Neurol. 2001;49(2):186–94.</w:t>
      </w:r>
    </w:p>
    <w:p w14:paraId="6FAFEE71" w14:textId="1AB4FE64" w:rsidR="00E811E9" w:rsidRPr="00DE3121" w:rsidRDefault="00E811E9" w:rsidP="00DE3121">
      <w:pPr>
        <w:pStyle w:val="ListParagraph"/>
        <w:numPr>
          <w:ilvl w:val="0"/>
          <w:numId w:val="2"/>
        </w:numPr>
        <w:spacing w:after="0" w:line="276" w:lineRule="auto"/>
        <w:ind w:left="576" w:hanging="576"/>
        <w:rPr>
          <w:rFonts w:ascii="Arial" w:hAnsi="Arial" w:cs="Arial"/>
          <w:sz w:val="22"/>
          <w:szCs w:val="22"/>
          <w:lang w:val="en-US"/>
        </w:rPr>
      </w:pPr>
      <w:r w:rsidRPr="00DE3121">
        <w:rPr>
          <w:rFonts w:ascii="Arial" w:hAnsi="Arial" w:cs="Arial"/>
          <w:sz w:val="22"/>
          <w:szCs w:val="22"/>
          <w:lang w:val="nl-NL"/>
        </w:rPr>
        <w:t xml:space="preserve">De Beer M, Engelen M, van Geel BM. </w:t>
      </w:r>
      <w:r w:rsidRPr="00DE3121">
        <w:rPr>
          <w:rFonts w:ascii="Arial" w:hAnsi="Arial" w:cs="Arial"/>
          <w:sz w:val="22"/>
          <w:szCs w:val="22"/>
          <w:lang w:val="en-US"/>
        </w:rPr>
        <w:t xml:space="preserve">Frequent occurrence of cerebral </w:t>
      </w:r>
      <w:proofErr w:type="spellStart"/>
      <w:r w:rsidRPr="00DE3121">
        <w:rPr>
          <w:rFonts w:ascii="Arial" w:hAnsi="Arial" w:cs="Arial"/>
          <w:sz w:val="22"/>
          <w:szCs w:val="22"/>
          <w:lang w:val="en-US"/>
        </w:rPr>
        <w:t>demyelinaion</w:t>
      </w:r>
      <w:proofErr w:type="spellEnd"/>
      <w:r w:rsidRPr="00DE3121">
        <w:rPr>
          <w:rFonts w:ascii="Arial" w:hAnsi="Arial" w:cs="Arial"/>
          <w:sz w:val="22"/>
          <w:szCs w:val="22"/>
          <w:lang w:val="en-US"/>
        </w:rPr>
        <w:t xml:space="preserve"> in adrenomyeloneuropathy. Neurology. 2014;83(24):2227–2231. </w:t>
      </w:r>
    </w:p>
    <w:p w14:paraId="70B26A54" w14:textId="77777777" w:rsidR="00E811E9" w:rsidRPr="00DE3121" w:rsidRDefault="00E811E9" w:rsidP="00DE3121">
      <w:pPr>
        <w:pStyle w:val="ListParagraph"/>
        <w:numPr>
          <w:ilvl w:val="0"/>
          <w:numId w:val="2"/>
        </w:numPr>
        <w:spacing w:after="0" w:line="276" w:lineRule="auto"/>
        <w:ind w:left="576" w:hanging="576"/>
        <w:rPr>
          <w:rFonts w:ascii="Arial" w:hAnsi="Arial" w:cs="Arial"/>
          <w:sz w:val="22"/>
          <w:szCs w:val="22"/>
          <w:lang w:val="en-US"/>
        </w:rPr>
      </w:pPr>
      <w:r w:rsidRPr="00DE3121">
        <w:rPr>
          <w:rFonts w:ascii="Arial" w:hAnsi="Arial" w:cs="Arial"/>
          <w:sz w:val="22"/>
          <w:szCs w:val="22"/>
          <w:lang w:val="en-US"/>
        </w:rPr>
        <w:t xml:space="preserve">Dubey P, Raymond GV, Moser AB, </w:t>
      </w:r>
      <w:proofErr w:type="spellStart"/>
      <w:r w:rsidRPr="00DE3121">
        <w:rPr>
          <w:rFonts w:ascii="Arial" w:hAnsi="Arial" w:cs="Arial"/>
          <w:sz w:val="22"/>
          <w:szCs w:val="22"/>
          <w:lang w:val="en-US"/>
        </w:rPr>
        <w:t>Kharkar</w:t>
      </w:r>
      <w:proofErr w:type="spellEnd"/>
      <w:r w:rsidRPr="00DE3121">
        <w:rPr>
          <w:rFonts w:ascii="Arial" w:hAnsi="Arial" w:cs="Arial"/>
          <w:sz w:val="22"/>
          <w:szCs w:val="22"/>
          <w:lang w:val="en-US"/>
        </w:rPr>
        <w:t xml:space="preserve"> S, Bezman L, Moser HW. Adrenal insufficiency in asymptomatic adrenoleukodystrophy patients identified by very long-chain fatty acid screening. J </w:t>
      </w:r>
      <w:proofErr w:type="spellStart"/>
      <w:r w:rsidRPr="00DE3121">
        <w:rPr>
          <w:rFonts w:ascii="Arial" w:hAnsi="Arial" w:cs="Arial"/>
          <w:sz w:val="22"/>
          <w:szCs w:val="22"/>
          <w:lang w:val="en-US"/>
        </w:rPr>
        <w:t>Pediatr</w:t>
      </w:r>
      <w:proofErr w:type="spellEnd"/>
      <w:r w:rsidRPr="00DE3121">
        <w:rPr>
          <w:rFonts w:ascii="Arial" w:hAnsi="Arial" w:cs="Arial"/>
          <w:sz w:val="22"/>
          <w:szCs w:val="22"/>
          <w:lang w:val="en-US"/>
        </w:rPr>
        <w:t>. 2005;146(4):528–532.</w:t>
      </w:r>
    </w:p>
    <w:p w14:paraId="5CEA37F2" w14:textId="77777777" w:rsidR="005E49CE" w:rsidRPr="00DE3121" w:rsidRDefault="00E811E9" w:rsidP="00DE3121">
      <w:pPr>
        <w:pStyle w:val="ListParagraph"/>
        <w:numPr>
          <w:ilvl w:val="0"/>
          <w:numId w:val="2"/>
        </w:numPr>
        <w:spacing w:after="0" w:line="276" w:lineRule="auto"/>
        <w:ind w:left="576" w:hanging="576"/>
        <w:rPr>
          <w:rFonts w:ascii="Arial" w:hAnsi="Arial" w:cs="Arial"/>
          <w:sz w:val="22"/>
          <w:szCs w:val="22"/>
          <w:lang w:val="en-US"/>
        </w:rPr>
      </w:pPr>
      <w:r w:rsidRPr="00DE3121">
        <w:rPr>
          <w:rFonts w:ascii="Arial" w:hAnsi="Arial" w:cs="Arial"/>
          <w:sz w:val="22"/>
          <w:szCs w:val="22"/>
          <w:lang w:val="en-US"/>
        </w:rPr>
        <w:t xml:space="preserve">Blevins LS Jr, </w:t>
      </w:r>
      <w:proofErr w:type="spellStart"/>
      <w:r w:rsidRPr="00DE3121">
        <w:rPr>
          <w:rFonts w:ascii="Arial" w:hAnsi="Arial" w:cs="Arial"/>
          <w:sz w:val="22"/>
          <w:szCs w:val="22"/>
          <w:lang w:val="en-US"/>
        </w:rPr>
        <w:t>Shankroff</w:t>
      </w:r>
      <w:proofErr w:type="spellEnd"/>
      <w:r w:rsidRPr="00DE3121">
        <w:rPr>
          <w:rFonts w:ascii="Arial" w:hAnsi="Arial" w:cs="Arial"/>
          <w:sz w:val="22"/>
          <w:szCs w:val="22"/>
          <w:lang w:val="en-US"/>
        </w:rPr>
        <w:t xml:space="preserve"> J, Moser HW, Ladenson PW. Elevated plasma adrenocorticotropin concentration as evidence of limited adrenocortical reserve in patients with adrenomyeloneuropathy. J Clin Endocrinol </w:t>
      </w:r>
      <w:proofErr w:type="spellStart"/>
      <w:r w:rsidRPr="00DE3121">
        <w:rPr>
          <w:rFonts w:ascii="Arial" w:hAnsi="Arial" w:cs="Arial"/>
          <w:sz w:val="22"/>
          <w:szCs w:val="22"/>
          <w:lang w:val="en-US"/>
        </w:rPr>
        <w:t>Metab</w:t>
      </w:r>
      <w:proofErr w:type="spellEnd"/>
      <w:r w:rsidRPr="00DE3121">
        <w:rPr>
          <w:rFonts w:ascii="Arial" w:hAnsi="Arial" w:cs="Arial"/>
          <w:sz w:val="22"/>
          <w:szCs w:val="22"/>
          <w:lang w:val="en-US"/>
        </w:rPr>
        <w:t>. 1994;78(2):261–265.</w:t>
      </w:r>
    </w:p>
    <w:p w14:paraId="3D98D7C0" w14:textId="77777777" w:rsidR="005E49CE" w:rsidRPr="00DE3121" w:rsidRDefault="00E811E9" w:rsidP="00DE3121">
      <w:pPr>
        <w:pStyle w:val="ListParagraph"/>
        <w:numPr>
          <w:ilvl w:val="0"/>
          <w:numId w:val="2"/>
        </w:numPr>
        <w:spacing w:after="0" w:line="276" w:lineRule="auto"/>
        <w:ind w:left="576" w:hanging="576"/>
        <w:rPr>
          <w:rFonts w:ascii="Arial" w:hAnsi="Arial" w:cs="Arial"/>
          <w:sz w:val="22"/>
          <w:szCs w:val="22"/>
          <w:lang w:val="en-US"/>
        </w:rPr>
      </w:pPr>
      <w:proofErr w:type="spellStart"/>
      <w:r w:rsidRPr="00DE3121">
        <w:rPr>
          <w:rFonts w:ascii="Arial" w:hAnsi="Arial" w:cs="Arial"/>
          <w:color w:val="212121"/>
          <w:sz w:val="22"/>
          <w:szCs w:val="22"/>
          <w:shd w:val="clear" w:color="auto" w:fill="FFFFFF"/>
          <w:lang w:val="en-US"/>
        </w:rPr>
        <w:t>Huffnagel</w:t>
      </w:r>
      <w:proofErr w:type="spellEnd"/>
      <w:r w:rsidRPr="00DE3121">
        <w:rPr>
          <w:rFonts w:ascii="Arial" w:hAnsi="Arial" w:cs="Arial"/>
          <w:color w:val="212121"/>
          <w:sz w:val="22"/>
          <w:szCs w:val="22"/>
          <w:shd w:val="clear" w:color="auto" w:fill="FFFFFF"/>
          <w:lang w:val="en-US"/>
        </w:rPr>
        <w:t xml:space="preserve"> IC, </w:t>
      </w:r>
      <w:proofErr w:type="spellStart"/>
      <w:r w:rsidRPr="00DE3121">
        <w:rPr>
          <w:rFonts w:ascii="Arial" w:hAnsi="Arial" w:cs="Arial"/>
          <w:color w:val="212121"/>
          <w:sz w:val="22"/>
          <w:szCs w:val="22"/>
          <w:shd w:val="clear" w:color="auto" w:fill="FFFFFF"/>
          <w:lang w:val="en-US"/>
        </w:rPr>
        <w:t>Laheji</w:t>
      </w:r>
      <w:proofErr w:type="spellEnd"/>
      <w:r w:rsidRPr="00DE3121">
        <w:rPr>
          <w:rFonts w:ascii="Arial" w:hAnsi="Arial" w:cs="Arial"/>
          <w:color w:val="212121"/>
          <w:sz w:val="22"/>
          <w:szCs w:val="22"/>
          <w:shd w:val="clear" w:color="auto" w:fill="FFFFFF"/>
          <w:lang w:val="en-US"/>
        </w:rPr>
        <w:t xml:space="preserve"> FK, Aziz-Bose R, et al. The Natural History of Adrenal Insufficiency in X-Linked Adrenoleukodystrophy: An International Collaboration. </w:t>
      </w:r>
      <w:r w:rsidRPr="00DE3121">
        <w:rPr>
          <w:rFonts w:ascii="Arial" w:hAnsi="Arial" w:cs="Arial"/>
          <w:iCs/>
          <w:color w:val="212121"/>
          <w:sz w:val="22"/>
          <w:szCs w:val="22"/>
          <w:shd w:val="clear" w:color="auto" w:fill="FFFFFF"/>
        </w:rPr>
        <w:t>J Clin Endocrinol Metab</w:t>
      </w:r>
      <w:r w:rsidRPr="00DE3121">
        <w:rPr>
          <w:rFonts w:ascii="Arial" w:hAnsi="Arial" w:cs="Arial"/>
          <w:color w:val="212121"/>
          <w:sz w:val="22"/>
          <w:szCs w:val="22"/>
          <w:shd w:val="clear" w:color="auto" w:fill="FFFFFF"/>
        </w:rPr>
        <w:t>. 2019;104(1):118-126.</w:t>
      </w:r>
    </w:p>
    <w:p w14:paraId="190A53AD" w14:textId="77777777" w:rsidR="005E49CE" w:rsidRPr="00DE3121" w:rsidRDefault="005E49CE" w:rsidP="00DE3121">
      <w:pPr>
        <w:pStyle w:val="ListParagraph"/>
        <w:numPr>
          <w:ilvl w:val="0"/>
          <w:numId w:val="2"/>
        </w:numPr>
        <w:spacing w:after="0" w:line="276" w:lineRule="auto"/>
        <w:ind w:left="576" w:hanging="576"/>
        <w:rPr>
          <w:rFonts w:ascii="Arial" w:hAnsi="Arial" w:cs="Arial"/>
          <w:sz w:val="22"/>
          <w:szCs w:val="22"/>
          <w:lang w:val="en-US"/>
        </w:rPr>
      </w:pPr>
      <w:r w:rsidRPr="00DE3121">
        <w:rPr>
          <w:rFonts w:ascii="Arial" w:hAnsi="Arial" w:cs="Arial"/>
          <w:color w:val="212121"/>
          <w:sz w:val="22"/>
          <w:szCs w:val="22"/>
          <w:shd w:val="clear" w:color="auto" w:fill="FFFFFF"/>
          <w:lang w:val="en-US"/>
        </w:rPr>
        <w:t>Alcantara J</w:t>
      </w:r>
      <w:r w:rsidR="00AF2EFB" w:rsidRPr="00DE3121">
        <w:rPr>
          <w:rFonts w:ascii="Arial" w:hAnsi="Arial" w:cs="Arial"/>
          <w:color w:val="212121"/>
          <w:sz w:val="22"/>
          <w:szCs w:val="22"/>
          <w:shd w:val="clear" w:color="auto" w:fill="FFFFFF"/>
          <w:lang w:val="en-US"/>
        </w:rPr>
        <w:t>R</w:t>
      </w:r>
      <w:r w:rsidRPr="00DE3121">
        <w:rPr>
          <w:rFonts w:ascii="Arial" w:hAnsi="Arial" w:cs="Arial"/>
          <w:color w:val="212121"/>
          <w:sz w:val="22"/>
          <w:szCs w:val="22"/>
          <w:shd w:val="clear" w:color="auto" w:fill="FFFFFF"/>
          <w:lang w:val="en-US"/>
        </w:rPr>
        <w:t xml:space="preserve">, Grant NR, </w:t>
      </w:r>
      <w:proofErr w:type="spellStart"/>
      <w:r w:rsidRPr="00DE3121">
        <w:rPr>
          <w:rFonts w:ascii="Arial" w:hAnsi="Arial" w:cs="Arial"/>
          <w:color w:val="212121"/>
          <w:sz w:val="22"/>
          <w:szCs w:val="22"/>
          <w:shd w:val="clear" w:color="auto" w:fill="FFFFFF"/>
          <w:lang w:val="en-US"/>
        </w:rPr>
        <w:t>Sethuram</w:t>
      </w:r>
      <w:proofErr w:type="spellEnd"/>
      <w:r w:rsidRPr="00DE3121">
        <w:rPr>
          <w:rFonts w:ascii="Arial" w:hAnsi="Arial" w:cs="Arial"/>
          <w:color w:val="212121"/>
          <w:sz w:val="22"/>
          <w:szCs w:val="22"/>
          <w:shd w:val="clear" w:color="auto" w:fill="FFFFFF"/>
          <w:lang w:val="en-US"/>
        </w:rPr>
        <w:t xml:space="preserve"> S, et al. Early Detection of Adrenal Insufficiency: The Impact of Newborn Screening for Adrenoleukodystrophy. </w:t>
      </w:r>
      <w:r w:rsidRPr="00DE3121">
        <w:rPr>
          <w:rFonts w:ascii="Arial" w:hAnsi="Arial" w:cs="Arial"/>
          <w:iCs/>
          <w:color w:val="212121"/>
          <w:sz w:val="22"/>
          <w:szCs w:val="22"/>
          <w:shd w:val="clear" w:color="auto" w:fill="FFFFFF"/>
        </w:rPr>
        <w:t>J Clin Endocrinol Metab</w:t>
      </w:r>
      <w:r w:rsidRPr="00DE3121">
        <w:rPr>
          <w:rFonts w:ascii="Arial" w:hAnsi="Arial" w:cs="Arial"/>
          <w:color w:val="212121"/>
          <w:sz w:val="22"/>
          <w:szCs w:val="22"/>
          <w:shd w:val="clear" w:color="auto" w:fill="FFFFFF"/>
        </w:rPr>
        <w:t>. 2023;108(11):1306-1315.</w:t>
      </w:r>
    </w:p>
    <w:p w14:paraId="17A0601C" w14:textId="77777777" w:rsidR="00B3294A" w:rsidRPr="00DE3121" w:rsidRDefault="00B3294A" w:rsidP="00DE3121">
      <w:pPr>
        <w:pStyle w:val="ListParagraph"/>
        <w:numPr>
          <w:ilvl w:val="0"/>
          <w:numId w:val="2"/>
        </w:numPr>
        <w:spacing w:after="0" w:line="276" w:lineRule="auto"/>
        <w:ind w:left="576" w:hanging="576"/>
        <w:rPr>
          <w:rFonts w:ascii="Arial" w:hAnsi="Arial" w:cs="Arial"/>
          <w:sz w:val="22"/>
          <w:szCs w:val="22"/>
          <w:lang w:val="en-US"/>
        </w:rPr>
      </w:pPr>
      <w:proofErr w:type="spellStart"/>
      <w:r w:rsidRPr="00DE3121">
        <w:rPr>
          <w:rFonts w:ascii="Arial" w:hAnsi="Arial" w:cs="Arial"/>
          <w:sz w:val="22"/>
          <w:szCs w:val="22"/>
          <w:lang w:val="en-US"/>
        </w:rPr>
        <w:t>Laureti</w:t>
      </w:r>
      <w:proofErr w:type="spellEnd"/>
      <w:r w:rsidRPr="00DE3121">
        <w:rPr>
          <w:rFonts w:ascii="Arial" w:hAnsi="Arial" w:cs="Arial"/>
          <w:sz w:val="22"/>
          <w:szCs w:val="22"/>
          <w:lang w:val="en-US"/>
        </w:rPr>
        <w:t xml:space="preserve"> S, Casucci G, </w:t>
      </w:r>
      <w:proofErr w:type="spellStart"/>
      <w:r w:rsidRPr="00DE3121">
        <w:rPr>
          <w:rFonts w:ascii="Arial" w:hAnsi="Arial" w:cs="Arial"/>
          <w:sz w:val="22"/>
          <w:szCs w:val="22"/>
          <w:lang w:val="en-US"/>
        </w:rPr>
        <w:t>Santeusanio</w:t>
      </w:r>
      <w:proofErr w:type="spellEnd"/>
      <w:r w:rsidRPr="00DE3121">
        <w:rPr>
          <w:rFonts w:ascii="Arial" w:hAnsi="Arial" w:cs="Arial"/>
          <w:sz w:val="22"/>
          <w:szCs w:val="22"/>
          <w:lang w:val="en-US"/>
        </w:rPr>
        <w:t xml:space="preserve"> F, et al. X-linked adrenoleukodystrophy is a frequent cause of idiopathic Addison’s disease in young adult male patients. J Clin Endocrinol </w:t>
      </w:r>
      <w:proofErr w:type="spellStart"/>
      <w:r w:rsidRPr="00DE3121">
        <w:rPr>
          <w:rFonts w:ascii="Arial" w:hAnsi="Arial" w:cs="Arial"/>
          <w:sz w:val="22"/>
          <w:szCs w:val="22"/>
          <w:lang w:val="en-US"/>
        </w:rPr>
        <w:t>Metab</w:t>
      </w:r>
      <w:proofErr w:type="spellEnd"/>
      <w:r w:rsidRPr="00DE3121">
        <w:rPr>
          <w:rFonts w:ascii="Arial" w:hAnsi="Arial" w:cs="Arial"/>
          <w:sz w:val="22"/>
          <w:szCs w:val="22"/>
          <w:lang w:val="en-US"/>
        </w:rPr>
        <w:t xml:space="preserve">. 1996;81(2):470–4. </w:t>
      </w:r>
    </w:p>
    <w:p w14:paraId="15064A26" w14:textId="65AE54FC" w:rsidR="00B3294A" w:rsidRPr="00DE3121" w:rsidRDefault="00B3294A" w:rsidP="00DE3121">
      <w:pPr>
        <w:pStyle w:val="ListParagraph"/>
        <w:numPr>
          <w:ilvl w:val="0"/>
          <w:numId w:val="2"/>
        </w:numPr>
        <w:spacing w:after="0" w:line="276" w:lineRule="auto"/>
        <w:ind w:left="576" w:hanging="576"/>
        <w:rPr>
          <w:rFonts w:ascii="Arial" w:hAnsi="Arial" w:cs="Arial"/>
          <w:sz w:val="22"/>
          <w:szCs w:val="22"/>
          <w:lang w:val="en-US"/>
        </w:rPr>
      </w:pPr>
      <w:proofErr w:type="spellStart"/>
      <w:r w:rsidRPr="00DE3121">
        <w:rPr>
          <w:rFonts w:ascii="Arial" w:hAnsi="Arial" w:cs="Arial"/>
          <w:sz w:val="22"/>
          <w:szCs w:val="22"/>
          <w:lang w:val="en-US"/>
        </w:rPr>
        <w:t>Laureti</w:t>
      </w:r>
      <w:proofErr w:type="spellEnd"/>
      <w:r w:rsidRPr="00DE3121">
        <w:rPr>
          <w:rFonts w:ascii="Arial" w:hAnsi="Arial" w:cs="Arial"/>
          <w:sz w:val="22"/>
          <w:szCs w:val="22"/>
          <w:lang w:val="en-US"/>
        </w:rPr>
        <w:t xml:space="preserve"> S, Aubourg P, </w:t>
      </w:r>
      <w:proofErr w:type="spellStart"/>
      <w:proofErr w:type="gramStart"/>
      <w:r w:rsidRPr="00DE3121">
        <w:rPr>
          <w:rFonts w:ascii="Arial" w:hAnsi="Arial" w:cs="Arial"/>
          <w:sz w:val="22"/>
          <w:szCs w:val="22"/>
          <w:lang w:val="en-US"/>
        </w:rPr>
        <w:t>Calcinaro</w:t>
      </w:r>
      <w:proofErr w:type="spellEnd"/>
      <w:r w:rsidRPr="00DE3121">
        <w:rPr>
          <w:rFonts w:ascii="Arial" w:hAnsi="Arial" w:cs="Arial"/>
          <w:sz w:val="22"/>
          <w:szCs w:val="22"/>
          <w:lang w:val="en-US"/>
        </w:rPr>
        <w:t>  F</w:t>
      </w:r>
      <w:proofErr w:type="gramEnd"/>
      <w:r w:rsidRPr="00DE3121">
        <w:rPr>
          <w:rFonts w:ascii="Arial" w:hAnsi="Arial" w:cs="Arial"/>
          <w:sz w:val="22"/>
          <w:szCs w:val="22"/>
          <w:lang w:val="en-US"/>
        </w:rPr>
        <w:t xml:space="preserve">, et al. Etiological diagnosis of primary adrenal insufficiency using an original flowchart of immune and biochemical markers. J Clin Endocrinol </w:t>
      </w:r>
      <w:proofErr w:type="spellStart"/>
      <w:r w:rsidRPr="00DE3121">
        <w:rPr>
          <w:rFonts w:ascii="Arial" w:hAnsi="Arial" w:cs="Arial"/>
          <w:sz w:val="22"/>
          <w:szCs w:val="22"/>
          <w:lang w:val="en-US"/>
        </w:rPr>
        <w:t>Metab</w:t>
      </w:r>
      <w:proofErr w:type="spellEnd"/>
      <w:r w:rsidRPr="00DE3121">
        <w:rPr>
          <w:rFonts w:ascii="Arial" w:hAnsi="Arial" w:cs="Arial"/>
          <w:sz w:val="22"/>
          <w:szCs w:val="22"/>
          <w:lang w:val="en-US"/>
        </w:rPr>
        <w:t xml:space="preserve">. 1998;83(9):3163–3168. </w:t>
      </w:r>
    </w:p>
    <w:p w14:paraId="35E49E05" w14:textId="2343B29D" w:rsidR="00B3294A" w:rsidRPr="00DE3121" w:rsidRDefault="00B3294A" w:rsidP="00DE3121">
      <w:pPr>
        <w:pStyle w:val="ListParagraph"/>
        <w:numPr>
          <w:ilvl w:val="0"/>
          <w:numId w:val="2"/>
        </w:numPr>
        <w:spacing w:after="0" w:line="276" w:lineRule="auto"/>
        <w:ind w:left="576" w:hanging="576"/>
        <w:rPr>
          <w:rFonts w:ascii="Arial" w:hAnsi="Arial" w:cs="Arial"/>
          <w:sz w:val="22"/>
          <w:szCs w:val="22"/>
          <w:lang w:val="en-US"/>
        </w:rPr>
      </w:pPr>
      <w:r w:rsidRPr="00DE3121">
        <w:rPr>
          <w:rFonts w:ascii="Arial" w:hAnsi="Arial" w:cs="Arial"/>
          <w:sz w:val="22"/>
          <w:szCs w:val="22"/>
          <w:lang w:val="en-US"/>
        </w:rPr>
        <w:t>Guran T, Buonocore F, Saka N, et </w:t>
      </w:r>
      <w:proofErr w:type="spellStart"/>
      <w:proofErr w:type="gramStart"/>
      <w:r w:rsidRPr="00DE3121">
        <w:rPr>
          <w:rFonts w:ascii="Arial" w:hAnsi="Arial" w:cs="Arial"/>
          <w:sz w:val="22"/>
          <w:szCs w:val="22"/>
          <w:lang w:val="en-US"/>
        </w:rPr>
        <w:t>al.</w:t>
      </w:r>
      <w:r w:rsidR="5C7772E7" w:rsidRPr="00DE3121">
        <w:rPr>
          <w:rFonts w:ascii="Arial" w:hAnsi="Arial" w:cs="Arial"/>
          <w:sz w:val="22"/>
          <w:szCs w:val="22"/>
          <w:lang w:val="en-US"/>
        </w:rPr>
        <w:t>Rare</w:t>
      </w:r>
      <w:proofErr w:type="spellEnd"/>
      <w:proofErr w:type="gramEnd"/>
      <w:r w:rsidRPr="00DE3121">
        <w:rPr>
          <w:rFonts w:ascii="Arial" w:hAnsi="Arial" w:cs="Arial"/>
          <w:sz w:val="22"/>
          <w:szCs w:val="22"/>
          <w:lang w:val="en-US"/>
        </w:rPr>
        <w:t xml:space="preserve"> causes of primary adrenal insufficiency: genetic and clinical characterization of a large nationwide cohort. J Clin Endocrinol </w:t>
      </w:r>
      <w:proofErr w:type="spellStart"/>
      <w:r w:rsidRPr="00DE3121">
        <w:rPr>
          <w:rFonts w:ascii="Arial" w:hAnsi="Arial" w:cs="Arial"/>
          <w:sz w:val="22"/>
          <w:szCs w:val="22"/>
          <w:lang w:val="en-US"/>
        </w:rPr>
        <w:t>Metab</w:t>
      </w:r>
      <w:proofErr w:type="spellEnd"/>
      <w:r w:rsidRPr="00DE3121">
        <w:rPr>
          <w:rFonts w:ascii="Arial" w:hAnsi="Arial" w:cs="Arial"/>
          <w:sz w:val="22"/>
          <w:szCs w:val="22"/>
          <w:lang w:val="en-US"/>
        </w:rPr>
        <w:t>. 2016;101(1):284–292.</w:t>
      </w:r>
    </w:p>
    <w:p w14:paraId="16E61007" w14:textId="77777777" w:rsidR="001C2D51" w:rsidRPr="00DE3121" w:rsidRDefault="001C2D51" w:rsidP="00DE3121">
      <w:pPr>
        <w:pStyle w:val="ListParagraph"/>
        <w:numPr>
          <w:ilvl w:val="0"/>
          <w:numId w:val="2"/>
        </w:numPr>
        <w:spacing w:after="0" w:line="276" w:lineRule="auto"/>
        <w:ind w:left="576" w:hanging="576"/>
        <w:rPr>
          <w:rFonts w:ascii="Arial" w:hAnsi="Arial" w:cs="Arial"/>
          <w:sz w:val="22"/>
          <w:szCs w:val="22"/>
          <w:lang w:val="en-US"/>
        </w:rPr>
      </w:pPr>
      <w:r w:rsidRPr="00DE3121">
        <w:rPr>
          <w:rFonts w:ascii="Arial" w:hAnsi="Arial" w:cs="Arial"/>
          <w:color w:val="212121"/>
          <w:sz w:val="22"/>
          <w:szCs w:val="22"/>
          <w:shd w:val="clear" w:color="auto" w:fill="FFFFFF"/>
          <w:lang w:val="nl-NL"/>
        </w:rPr>
        <w:t xml:space="preserve">Regelmann MO, Kamboj MK, Miller BS, et al. </w:t>
      </w:r>
      <w:r w:rsidRPr="00DE3121">
        <w:rPr>
          <w:rFonts w:ascii="Arial" w:hAnsi="Arial" w:cs="Arial"/>
          <w:color w:val="212121"/>
          <w:sz w:val="22"/>
          <w:szCs w:val="22"/>
          <w:shd w:val="clear" w:color="auto" w:fill="FFFFFF"/>
          <w:lang w:val="en-US"/>
        </w:rPr>
        <w:t xml:space="preserve">Adrenoleukodystrophy: Guidance for Adrenal Surveillance in Males Identified by Newborn Screen. J Clin Endocrinol </w:t>
      </w:r>
      <w:proofErr w:type="spellStart"/>
      <w:r w:rsidRPr="00DE3121">
        <w:rPr>
          <w:rFonts w:ascii="Arial" w:hAnsi="Arial" w:cs="Arial"/>
          <w:color w:val="212121"/>
          <w:sz w:val="22"/>
          <w:szCs w:val="22"/>
          <w:shd w:val="clear" w:color="auto" w:fill="FFFFFF"/>
          <w:lang w:val="en-US"/>
        </w:rPr>
        <w:t>Metab</w:t>
      </w:r>
      <w:proofErr w:type="spellEnd"/>
      <w:r w:rsidRPr="00DE3121">
        <w:rPr>
          <w:rFonts w:ascii="Arial" w:hAnsi="Arial" w:cs="Arial"/>
          <w:color w:val="212121"/>
          <w:sz w:val="22"/>
          <w:szCs w:val="22"/>
          <w:shd w:val="clear" w:color="auto" w:fill="FFFFFF"/>
          <w:lang w:val="en-US"/>
        </w:rPr>
        <w:t>. 2018;103(11):4324-4331.</w:t>
      </w:r>
    </w:p>
    <w:p w14:paraId="584AE797" w14:textId="0326E3C2" w:rsidR="00B3294A" w:rsidRPr="00DE3121" w:rsidRDefault="001C2D51" w:rsidP="00DE3121">
      <w:pPr>
        <w:pStyle w:val="ListParagraph"/>
        <w:numPr>
          <w:ilvl w:val="0"/>
          <w:numId w:val="2"/>
        </w:numPr>
        <w:spacing w:after="0" w:line="276" w:lineRule="auto"/>
        <w:ind w:left="576" w:hanging="576"/>
        <w:rPr>
          <w:rFonts w:ascii="Arial" w:hAnsi="Arial" w:cs="Arial"/>
          <w:sz w:val="22"/>
          <w:szCs w:val="22"/>
          <w:lang w:val="en-US"/>
        </w:rPr>
      </w:pPr>
      <w:r w:rsidRPr="00DE3121">
        <w:rPr>
          <w:rFonts w:ascii="Arial" w:hAnsi="Arial" w:cs="Arial"/>
          <w:color w:val="212121"/>
          <w:sz w:val="22"/>
          <w:szCs w:val="22"/>
          <w:shd w:val="clear" w:color="auto" w:fill="FFFFFF"/>
          <w:lang w:val="nl-NL"/>
        </w:rPr>
        <w:lastRenderedPageBreak/>
        <w:t xml:space="preserve">Engelen M, van Ballegoij WJC, Mallack EJ, et al. </w:t>
      </w:r>
      <w:r w:rsidRPr="00DE3121">
        <w:rPr>
          <w:rFonts w:ascii="Arial" w:hAnsi="Arial" w:cs="Arial"/>
          <w:color w:val="212121"/>
          <w:sz w:val="22"/>
          <w:szCs w:val="22"/>
          <w:shd w:val="clear" w:color="auto" w:fill="FFFFFF"/>
          <w:lang w:val="en-US"/>
        </w:rPr>
        <w:t xml:space="preserve">International Recommendations for the Diagnosis and Management of Patients </w:t>
      </w:r>
      <w:r w:rsidR="6D62E51C" w:rsidRPr="00DE3121">
        <w:rPr>
          <w:rFonts w:ascii="Arial" w:hAnsi="Arial" w:cs="Arial"/>
          <w:color w:val="212121"/>
          <w:sz w:val="22"/>
          <w:szCs w:val="22"/>
          <w:shd w:val="clear" w:color="auto" w:fill="FFFFFF"/>
          <w:lang w:val="en-US"/>
        </w:rPr>
        <w:t>w</w:t>
      </w:r>
      <w:r w:rsidRPr="00DE3121">
        <w:rPr>
          <w:rFonts w:ascii="Arial" w:hAnsi="Arial" w:cs="Arial"/>
          <w:color w:val="212121"/>
          <w:sz w:val="22"/>
          <w:szCs w:val="22"/>
          <w:shd w:val="clear" w:color="auto" w:fill="FFFFFF"/>
          <w:lang w:val="en-US"/>
        </w:rPr>
        <w:t>ith Adrenoleukodystrophy: A Consensus-Based Approach. Neurology. 2022;99(21):940-951.</w:t>
      </w:r>
    </w:p>
    <w:p w14:paraId="09D1A09C" w14:textId="77777777" w:rsidR="001C2D51" w:rsidRPr="00DE3121" w:rsidRDefault="001C2D51" w:rsidP="00DE3121">
      <w:pPr>
        <w:pStyle w:val="ListParagraph"/>
        <w:numPr>
          <w:ilvl w:val="0"/>
          <w:numId w:val="2"/>
        </w:numPr>
        <w:spacing w:after="0" w:line="276" w:lineRule="auto"/>
        <w:ind w:left="576" w:hanging="576"/>
        <w:rPr>
          <w:rFonts w:ascii="Arial" w:hAnsi="Arial" w:cs="Arial"/>
          <w:sz w:val="22"/>
          <w:szCs w:val="22"/>
          <w:lang w:val="en-US"/>
        </w:rPr>
      </w:pPr>
      <w:r w:rsidRPr="00DE3121">
        <w:rPr>
          <w:rFonts w:ascii="Arial" w:hAnsi="Arial" w:cs="Arial"/>
          <w:sz w:val="22"/>
          <w:szCs w:val="22"/>
          <w:lang w:val="en-US"/>
        </w:rPr>
        <w:t xml:space="preserve">Bornstein SR, </w:t>
      </w:r>
      <w:proofErr w:type="spellStart"/>
      <w:r w:rsidRPr="00DE3121">
        <w:rPr>
          <w:rFonts w:ascii="Arial" w:hAnsi="Arial" w:cs="Arial"/>
          <w:sz w:val="22"/>
          <w:szCs w:val="22"/>
          <w:lang w:val="en-US"/>
        </w:rPr>
        <w:t>Allolio</w:t>
      </w:r>
      <w:proofErr w:type="spellEnd"/>
      <w:r w:rsidRPr="00DE3121">
        <w:rPr>
          <w:rFonts w:ascii="Arial" w:hAnsi="Arial" w:cs="Arial"/>
          <w:sz w:val="22"/>
          <w:szCs w:val="22"/>
          <w:lang w:val="en-US"/>
        </w:rPr>
        <w:t xml:space="preserve"> B, Arlt W, Barthel A, Don-Wauchope A, Hammer GD, </w:t>
      </w:r>
      <w:proofErr w:type="spellStart"/>
      <w:r w:rsidRPr="00DE3121">
        <w:rPr>
          <w:rFonts w:ascii="Arial" w:hAnsi="Arial" w:cs="Arial"/>
          <w:sz w:val="22"/>
          <w:szCs w:val="22"/>
          <w:lang w:val="en-US"/>
        </w:rPr>
        <w:t>Husebye</w:t>
      </w:r>
      <w:proofErr w:type="spellEnd"/>
      <w:r w:rsidRPr="00DE3121">
        <w:rPr>
          <w:rFonts w:ascii="Arial" w:hAnsi="Arial" w:cs="Arial"/>
          <w:sz w:val="22"/>
          <w:szCs w:val="22"/>
          <w:lang w:val="en-US"/>
        </w:rPr>
        <w:t xml:space="preserve"> ES, Merke DP, Murad MH, Stratakis CA, Torpy DJ. Diagnosis and treatment of primary adrenal insufficiency: an Endocrine Society Clinical Practice Guideline. J Clin Endocrinol </w:t>
      </w:r>
      <w:proofErr w:type="spellStart"/>
      <w:r w:rsidRPr="00DE3121">
        <w:rPr>
          <w:rFonts w:ascii="Arial" w:hAnsi="Arial" w:cs="Arial"/>
          <w:sz w:val="22"/>
          <w:szCs w:val="22"/>
          <w:lang w:val="en-US"/>
        </w:rPr>
        <w:t>Metab</w:t>
      </w:r>
      <w:proofErr w:type="spellEnd"/>
      <w:r w:rsidRPr="00DE3121">
        <w:rPr>
          <w:rFonts w:ascii="Arial" w:hAnsi="Arial" w:cs="Arial"/>
          <w:sz w:val="22"/>
          <w:szCs w:val="22"/>
          <w:lang w:val="en-US"/>
        </w:rPr>
        <w:t>. 2016;101(2):364–389.</w:t>
      </w:r>
    </w:p>
    <w:p w14:paraId="52C2E02E" w14:textId="77777777" w:rsidR="001C2D51" w:rsidRPr="00DE3121" w:rsidRDefault="001C2D51" w:rsidP="00DE3121">
      <w:pPr>
        <w:pStyle w:val="ListParagraph"/>
        <w:numPr>
          <w:ilvl w:val="0"/>
          <w:numId w:val="2"/>
        </w:numPr>
        <w:spacing w:after="0" w:line="276" w:lineRule="auto"/>
        <w:ind w:left="576" w:hanging="576"/>
        <w:rPr>
          <w:rFonts w:ascii="Arial" w:eastAsia="Arial" w:hAnsi="Arial" w:cs="Arial"/>
          <w:sz w:val="22"/>
          <w:szCs w:val="22"/>
          <w:lang w:val="en-US"/>
        </w:rPr>
      </w:pPr>
      <w:r w:rsidRPr="00DE3121">
        <w:rPr>
          <w:rFonts w:ascii="Arial" w:eastAsia="Arial" w:hAnsi="Arial" w:cs="Arial"/>
          <w:sz w:val="22"/>
          <w:szCs w:val="22"/>
          <w:lang w:val="en-US"/>
        </w:rPr>
        <w:t xml:space="preserve">Powers JM, Schaumburg HH. Adreno-leukodystrophy (sex-linked Schilder’s disease). A pathogenetic hypothesis based on ultrastructural lesions in adrenal cortex, peripheral nerve and testis. Am J </w:t>
      </w:r>
      <w:proofErr w:type="spellStart"/>
      <w:r w:rsidRPr="00DE3121">
        <w:rPr>
          <w:rFonts w:ascii="Arial" w:eastAsia="Arial" w:hAnsi="Arial" w:cs="Arial"/>
          <w:sz w:val="22"/>
          <w:szCs w:val="22"/>
          <w:lang w:val="en-US"/>
        </w:rPr>
        <w:t>Pathol</w:t>
      </w:r>
      <w:proofErr w:type="spellEnd"/>
      <w:r w:rsidRPr="00DE3121">
        <w:rPr>
          <w:rFonts w:ascii="Arial" w:eastAsia="Arial" w:hAnsi="Arial" w:cs="Arial"/>
          <w:sz w:val="22"/>
          <w:szCs w:val="22"/>
          <w:lang w:val="en-US"/>
        </w:rPr>
        <w:t xml:space="preserve"> 1974;76(3):481–491. </w:t>
      </w:r>
    </w:p>
    <w:p w14:paraId="757E2E53" w14:textId="77777777" w:rsidR="001C2D51" w:rsidRPr="00DE3121" w:rsidRDefault="001C2D51" w:rsidP="00DE3121">
      <w:pPr>
        <w:pStyle w:val="ListParagraph"/>
        <w:numPr>
          <w:ilvl w:val="0"/>
          <w:numId w:val="2"/>
        </w:numPr>
        <w:spacing w:after="0" w:line="276" w:lineRule="auto"/>
        <w:ind w:left="576" w:hanging="576"/>
        <w:rPr>
          <w:rFonts w:ascii="Arial" w:eastAsia="Arial" w:hAnsi="Arial" w:cs="Arial"/>
          <w:sz w:val="22"/>
          <w:szCs w:val="22"/>
          <w:lang w:val="en-US"/>
        </w:rPr>
      </w:pPr>
      <w:r w:rsidRPr="00DE3121">
        <w:rPr>
          <w:rFonts w:ascii="Arial" w:eastAsia="Arial" w:hAnsi="Arial" w:cs="Arial"/>
          <w:sz w:val="22"/>
          <w:szCs w:val="22"/>
          <w:lang w:val="en-US"/>
        </w:rPr>
        <w:t>Schaumburg HH, Powers JM, Raine CS, Suzuki K, Richardson EP Jr. Adrenoleukodystrophy. A clinical and pathological study of 17 cases. Arch Neurol. 1975;32(9):577–591.</w:t>
      </w:r>
    </w:p>
    <w:p w14:paraId="67A34E76" w14:textId="4B90F77D" w:rsidR="00AF2EFB" w:rsidRPr="00DE3121" w:rsidRDefault="00AF2EFB" w:rsidP="00DE3121">
      <w:pPr>
        <w:pStyle w:val="ListParagraph"/>
        <w:numPr>
          <w:ilvl w:val="0"/>
          <w:numId w:val="2"/>
        </w:numPr>
        <w:spacing w:after="0" w:line="276" w:lineRule="auto"/>
        <w:ind w:left="576" w:hanging="576"/>
        <w:rPr>
          <w:rFonts w:ascii="Arial" w:eastAsia="Arial" w:hAnsi="Arial" w:cs="Arial"/>
          <w:sz w:val="22"/>
          <w:szCs w:val="22"/>
          <w:lang w:val="en-US"/>
        </w:rPr>
      </w:pPr>
      <w:r w:rsidRPr="00DE3121">
        <w:rPr>
          <w:rFonts w:ascii="Arial" w:eastAsia="Arial" w:hAnsi="Arial" w:cs="Arial"/>
          <w:sz w:val="22"/>
          <w:szCs w:val="22"/>
          <w:lang w:val="en-US"/>
        </w:rPr>
        <w:t xml:space="preserve">Engelen M, Barbier M, Dijkstra IM, Schur R, de </w:t>
      </w:r>
      <w:proofErr w:type="spellStart"/>
      <w:r w:rsidRPr="00DE3121">
        <w:rPr>
          <w:rFonts w:ascii="Arial" w:eastAsia="Arial" w:hAnsi="Arial" w:cs="Arial"/>
          <w:sz w:val="22"/>
          <w:szCs w:val="22"/>
          <w:lang w:val="en-US"/>
        </w:rPr>
        <w:t>Bie</w:t>
      </w:r>
      <w:proofErr w:type="spellEnd"/>
      <w:r w:rsidRPr="00DE3121">
        <w:rPr>
          <w:rFonts w:ascii="Arial" w:eastAsia="Arial" w:hAnsi="Arial" w:cs="Arial"/>
          <w:sz w:val="22"/>
          <w:szCs w:val="22"/>
          <w:lang w:val="en-US"/>
        </w:rPr>
        <w:t xml:space="preserve"> RM, </w:t>
      </w:r>
      <w:proofErr w:type="spellStart"/>
      <w:r w:rsidRPr="00DE3121">
        <w:rPr>
          <w:rFonts w:ascii="Arial" w:eastAsia="Arial" w:hAnsi="Arial" w:cs="Arial"/>
          <w:sz w:val="22"/>
          <w:szCs w:val="22"/>
          <w:lang w:val="en-US"/>
        </w:rPr>
        <w:t>Verhamme</w:t>
      </w:r>
      <w:proofErr w:type="spellEnd"/>
      <w:r w:rsidRPr="00DE3121">
        <w:rPr>
          <w:rFonts w:ascii="Arial" w:eastAsia="Arial" w:hAnsi="Arial" w:cs="Arial"/>
          <w:sz w:val="22"/>
          <w:szCs w:val="22"/>
          <w:lang w:val="en-US"/>
        </w:rPr>
        <w:t xml:space="preserve"> C, Dijkgraaf MG, Aubourg PA, Wanders RJ, van Geel BM, de Visser M, Poll-The BT, Kemp S. X-linked adrenoleukodystrophy in women: a cross-sectional cohort study. Brain. 2014;</w:t>
      </w:r>
      <w:r w:rsidR="149C6BB6" w:rsidRPr="00DE3121">
        <w:rPr>
          <w:rFonts w:ascii="Arial" w:eastAsia="Arial" w:hAnsi="Arial" w:cs="Arial"/>
          <w:sz w:val="22"/>
          <w:szCs w:val="22"/>
          <w:lang w:val="en-US"/>
        </w:rPr>
        <w:t xml:space="preserve"> </w:t>
      </w:r>
      <w:r w:rsidRPr="00DE3121">
        <w:rPr>
          <w:rFonts w:ascii="Arial" w:eastAsia="Arial" w:hAnsi="Arial" w:cs="Arial"/>
          <w:sz w:val="22"/>
          <w:szCs w:val="22"/>
          <w:lang w:val="en-US"/>
        </w:rPr>
        <w:t>137:693–706.</w:t>
      </w:r>
    </w:p>
    <w:p w14:paraId="53F37CA8" w14:textId="4FCE5711" w:rsidR="00AF2EFB" w:rsidRPr="00DE3121" w:rsidRDefault="00AF2EFB" w:rsidP="00DE3121">
      <w:pPr>
        <w:pStyle w:val="ListParagraph"/>
        <w:numPr>
          <w:ilvl w:val="0"/>
          <w:numId w:val="2"/>
        </w:numPr>
        <w:spacing w:after="0" w:line="276" w:lineRule="auto"/>
        <w:ind w:left="576" w:hanging="576"/>
        <w:rPr>
          <w:rFonts w:ascii="Arial" w:eastAsia="Arial" w:hAnsi="Arial" w:cs="Arial"/>
          <w:sz w:val="22"/>
          <w:szCs w:val="22"/>
          <w:lang w:val="en-US"/>
        </w:rPr>
      </w:pPr>
      <w:r w:rsidRPr="00DE3121">
        <w:rPr>
          <w:rFonts w:ascii="Arial" w:eastAsia="Arial" w:hAnsi="Arial" w:cs="Arial"/>
          <w:sz w:val="22"/>
          <w:szCs w:val="22"/>
          <w:lang w:val="en-US"/>
        </w:rPr>
        <w:t xml:space="preserve">Habekost CT, </w:t>
      </w:r>
      <w:proofErr w:type="spellStart"/>
      <w:r w:rsidRPr="00DE3121">
        <w:rPr>
          <w:rFonts w:ascii="Arial" w:eastAsia="Arial" w:hAnsi="Arial" w:cs="Arial"/>
          <w:sz w:val="22"/>
          <w:szCs w:val="22"/>
          <w:lang w:val="en-US"/>
        </w:rPr>
        <w:t>Schestatsky</w:t>
      </w:r>
      <w:proofErr w:type="spellEnd"/>
      <w:r w:rsidRPr="00DE3121">
        <w:rPr>
          <w:rFonts w:ascii="Arial" w:eastAsia="Arial" w:hAnsi="Arial" w:cs="Arial"/>
          <w:sz w:val="22"/>
          <w:szCs w:val="22"/>
          <w:lang w:val="en-US"/>
        </w:rPr>
        <w:t xml:space="preserve"> P, Torres VF, de Coelho DM, Vargas CR, Torrez V, </w:t>
      </w:r>
      <w:proofErr w:type="spellStart"/>
      <w:r w:rsidRPr="00DE3121">
        <w:rPr>
          <w:rFonts w:ascii="Arial" w:eastAsia="Arial" w:hAnsi="Arial" w:cs="Arial"/>
          <w:sz w:val="22"/>
          <w:szCs w:val="22"/>
          <w:lang w:val="en-US"/>
        </w:rPr>
        <w:t>Oses</w:t>
      </w:r>
      <w:proofErr w:type="spellEnd"/>
      <w:r w:rsidRPr="00DE3121">
        <w:rPr>
          <w:rFonts w:ascii="Arial" w:eastAsia="Arial" w:hAnsi="Arial" w:cs="Arial"/>
          <w:sz w:val="22"/>
          <w:szCs w:val="22"/>
          <w:lang w:val="en-US"/>
        </w:rPr>
        <w:t xml:space="preserve"> JP, Portela LV, Pereira </w:t>
      </w:r>
      <w:proofErr w:type="spellStart"/>
      <w:r w:rsidRPr="00DE3121">
        <w:rPr>
          <w:rFonts w:ascii="Arial" w:eastAsia="Arial" w:hAnsi="Arial" w:cs="Arial"/>
          <w:sz w:val="22"/>
          <w:szCs w:val="22"/>
          <w:lang w:val="en-US"/>
        </w:rPr>
        <w:t>Fdos</w:t>
      </w:r>
      <w:proofErr w:type="spellEnd"/>
      <w:r w:rsidRPr="00DE3121">
        <w:rPr>
          <w:rFonts w:ascii="Arial" w:eastAsia="Arial" w:hAnsi="Arial" w:cs="Arial"/>
          <w:sz w:val="22"/>
          <w:szCs w:val="22"/>
          <w:lang w:val="en-US"/>
        </w:rPr>
        <w:t xml:space="preserve"> S, Matte U, Jardim LB. Neurological impairment among heterozygote women for X-linked Adrenoleukodystrophy: a case control study on a clinical, neurophysiological and biochemical characteristics. </w:t>
      </w:r>
      <w:proofErr w:type="spellStart"/>
      <w:r w:rsidRPr="00DE3121">
        <w:rPr>
          <w:rFonts w:ascii="Arial" w:eastAsia="Arial" w:hAnsi="Arial" w:cs="Arial"/>
          <w:sz w:val="22"/>
          <w:szCs w:val="22"/>
          <w:lang w:val="en-US"/>
        </w:rPr>
        <w:t>Orphanet</w:t>
      </w:r>
      <w:proofErr w:type="spellEnd"/>
      <w:r w:rsidRPr="00DE3121">
        <w:rPr>
          <w:rFonts w:ascii="Arial" w:eastAsia="Arial" w:hAnsi="Arial" w:cs="Arial"/>
          <w:sz w:val="22"/>
          <w:szCs w:val="22"/>
          <w:lang w:val="en-US"/>
        </w:rPr>
        <w:t xml:space="preserve"> J Rare Dis. 2014;</w:t>
      </w:r>
      <w:r w:rsidR="2906CB19" w:rsidRPr="00DE3121">
        <w:rPr>
          <w:rFonts w:ascii="Arial" w:eastAsia="Arial" w:hAnsi="Arial" w:cs="Arial"/>
          <w:sz w:val="22"/>
          <w:szCs w:val="22"/>
          <w:lang w:val="en-US"/>
        </w:rPr>
        <w:t xml:space="preserve"> </w:t>
      </w:r>
      <w:r w:rsidRPr="00DE3121">
        <w:rPr>
          <w:rFonts w:ascii="Arial" w:eastAsia="Arial" w:hAnsi="Arial" w:cs="Arial"/>
          <w:sz w:val="22"/>
          <w:szCs w:val="22"/>
          <w:lang w:val="en-US"/>
        </w:rPr>
        <w:t>9:6.</w:t>
      </w:r>
    </w:p>
    <w:p w14:paraId="05D6A28A" w14:textId="77777777" w:rsidR="007F17EC" w:rsidRPr="00DE3121" w:rsidRDefault="007F17EC" w:rsidP="00DE3121">
      <w:pPr>
        <w:pStyle w:val="ListParagraph"/>
        <w:numPr>
          <w:ilvl w:val="0"/>
          <w:numId w:val="2"/>
        </w:numPr>
        <w:spacing w:after="0" w:line="276" w:lineRule="auto"/>
        <w:ind w:left="576" w:hanging="576"/>
        <w:rPr>
          <w:rFonts w:ascii="Arial" w:eastAsia="Arial" w:hAnsi="Arial" w:cs="Arial"/>
          <w:sz w:val="22"/>
          <w:szCs w:val="22"/>
          <w:lang w:val="en-US"/>
        </w:rPr>
      </w:pPr>
      <w:r w:rsidRPr="00DE3121">
        <w:rPr>
          <w:rFonts w:ascii="Arial" w:eastAsia="Arial" w:hAnsi="Arial" w:cs="Arial"/>
          <w:sz w:val="22"/>
          <w:szCs w:val="22"/>
          <w:lang w:val="en-US"/>
        </w:rPr>
        <w:t>Schmidt S, Traber F, Block W, et al. Phenotype assignment in symptomatic female carriers of X-linked adrenoleukodystrophy. J Neurol. 2001;248(1):36-44</w:t>
      </w:r>
    </w:p>
    <w:p w14:paraId="156022D1" w14:textId="77777777" w:rsidR="005C197B" w:rsidRPr="00DE3121" w:rsidRDefault="005C197B"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 xml:space="preserve">Maier EM, Kammerer S, </w:t>
      </w:r>
      <w:proofErr w:type="spellStart"/>
      <w:r w:rsidRPr="00DE3121">
        <w:rPr>
          <w:rFonts w:ascii="Arial" w:eastAsia="Arial" w:hAnsi="Arial" w:cs="Arial"/>
          <w:color w:val="000000"/>
          <w:kern w:val="0"/>
          <w:sz w:val="22"/>
          <w:szCs w:val="22"/>
          <w:lang w:val="en-US" w:eastAsia="el-GR"/>
        </w:rPr>
        <w:t>Muntau</w:t>
      </w:r>
      <w:proofErr w:type="spellEnd"/>
      <w:r w:rsidRPr="00DE3121">
        <w:rPr>
          <w:rFonts w:ascii="Arial" w:eastAsia="Arial" w:hAnsi="Arial" w:cs="Arial"/>
          <w:color w:val="000000"/>
          <w:kern w:val="0"/>
          <w:sz w:val="22"/>
          <w:szCs w:val="22"/>
          <w:lang w:val="en-US" w:eastAsia="el-GR"/>
        </w:rPr>
        <w:t xml:space="preserve"> AC, Wichers M, Braun A, Roscher AA. Symptoms in carriers of adrenoleukodystrophy relate to skewed X inactivation. Ann Neurol. 2002;52(5):683–8.</w:t>
      </w:r>
    </w:p>
    <w:p w14:paraId="61A0024E" w14:textId="77777777" w:rsidR="005C197B" w:rsidRPr="00DE3121" w:rsidRDefault="005C197B" w:rsidP="00DE3121">
      <w:pPr>
        <w:pStyle w:val="ListParagraph"/>
        <w:numPr>
          <w:ilvl w:val="0"/>
          <w:numId w:val="2"/>
        </w:numPr>
        <w:spacing w:after="0" w:line="276" w:lineRule="auto"/>
        <w:ind w:left="576" w:hanging="576"/>
        <w:rPr>
          <w:rFonts w:ascii="Arial" w:eastAsia="Arial" w:hAnsi="Arial" w:cs="Arial"/>
          <w:sz w:val="22"/>
          <w:szCs w:val="22"/>
          <w:lang w:val="en-US"/>
        </w:rPr>
      </w:pPr>
      <w:r w:rsidRPr="00DE3121">
        <w:rPr>
          <w:rFonts w:ascii="Arial" w:eastAsia="Arial" w:hAnsi="Arial" w:cs="Arial"/>
          <w:sz w:val="22"/>
          <w:szCs w:val="22"/>
          <w:lang w:val="nl-NL"/>
        </w:rPr>
        <w:t xml:space="preserve">Kuhl JS, Suarez F, Gillett GT, et al. </w:t>
      </w:r>
      <w:r w:rsidRPr="00DE3121">
        <w:rPr>
          <w:rFonts w:ascii="Arial" w:eastAsia="Arial" w:hAnsi="Arial" w:cs="Arial"/>
          <w:sz w:val="22"/>
          <w:szCs w:val="22"/>
          <w:lang w:val="en-US"/>
        </w:rPr>
        <w:t xml:space="preserve">Long-term outcomes of allogeneic </w:t>
      </w:r>
      <w:proofErr w:type="spellStart"/>
      <w:r w:rsidRPr="00DE3121">
        <w:rPr>
          <w:rFonts w:ascii="Arial" w:eastAsia="Arial" w:hAnsi="Arial" w:cs="Arial"/>
          <w:sz w:val="22"/>
          <w:szCs w:val="22"/>
          <w:lang w:val="en-US"/>
        </w:rPr>
        <w:t>haematopoietic</w:t>
      </w:r>
      <w:proofErr w:type="spellEnd"/>
      <w:r w:rsidRPr="00DE3121">
        <w:rPr>
          <w:rFonts w:ascii="Arial" w:eastAsia="Arial" w:hAnsi="Arial" w:cs="Arial"/>
          <w:sz w:val="22"/>
          <w:szCs w:val="22"/>
          <w:lang w:val="en-US"/>
        </w:rPr>
        <w:t xml:space="preserve"> stem cell transplantation for adult cerebral X-linked adrenoleukodystrophy. Brain. 2017;140(4):953-966. </w:t>
      </w:r>
    </w:p>
    <w:p w14:paraId="226B6697" w14:textId="77777777" w:rsidR="005C197B" w:rsidRPr="00DE3121" w:rsidRDefault="005C197B" w:rsidP="00DE3121">
      <w:pPr>
        <w:pStyle w:val="ListParagraph"/>
        <w:numPr>
          <w:ilvl w:val="0"/>
          <w:numId w:val="2"/>
        </w:numPr>
        <w:spacing w:after="0" w:line="276" w:lineRule="auto"/>
        <w:ind w:left="576" w:hanging="576"/>
        <w:rPr>
          <w:rFonts w:ascii="Arial" w:eastAsia="Arial" w:hAnsi="Arial" w:cs="Arial"/>
          <w:sz w:val="22"/>
          <w:szCs w:val="22"/>
          <w:lang w:val="en-US"/>
        </w:rPr>
      </w:pPr>
      <w:r w:rsidRPr="00DE3121">
        <w:rPr>
          <w:rFonts w:ascii="Arial" w:eastAsia="Arial" w:hAnsi="Arial" w:cs="Arial"/>
          <w:sz w:val="22"/>
          <w:szCs w:val="22"/>
          <w:lang w:val="en-US"/>
        </w:rPr>
        <w:t xml:space="preserve">Mahmood A, Raymond GV, Dubey P, Peters C, Moser HW. Survival analysis of </w:t>
      </w:r>
      <w:proofErr w:type="spellStart"/>
      <w:r w:rsidRPr="00DE3121">
        <w:rPr>
          <w:rFonts w:ascii="Arial" w:eastAsia="Arial" w:hAnsi="Arial" w:cs="Arial"/>
          <w:sz w:val="22"/>
          <w:szCs w:val="22"/>
          <w:lang w:val="en-US"/>
        </w:rPr>
        <w:t>haematopoietic</w:t>
      </w:r>
      <w:proofErr w:type="spellEnd"/>
      <w:r w:rsidRPr="00DE3121">
        <w:rPr>
          <w:rFonts w:ascii="Arial" w:eastAsia="Arial" w:hAnsi="Arial" w:cs="Arial"/>
          <w:sz w:val="22"/>
          <w:szCs w:val="22"/>
          <w:lang w:val="en-US"/>
        </w:rPr>
        <w:t xml:space="preserve"> cell transplantation for childhood cerebral X-linked adrenoleukodystrophy: a comparison study. Lancet Neurol. 2007;6(8):687-692.</w:t>
      </w:r>
    </w:p>
    <w:p w14:paraId="6B7B9422" w14:textId="77777777" w:rsidR="005C197B" w:rsidRPr="00DE3121" w:rsidRDefault="005C197B" w:rsidP="00DE3121">
      <w:pPr>
        <w:pStyle w:val="ListParagraph"/>
        <w:numPr>
          <w:ilvl w:val="0"/>
          <w:numId w:val="2"/>
        </w:numPr>
        <w:spacing w:after="0" w:line="276" w:lineRule="auto"/>
        <w:ind w:left="576" w:hanging="576"/>
        <w:rPr>
          <w:rFonts w:ascii="Arial" w:eastAsia="Arial" w:hAnsi="Arial" w:cs="Arial"/>
          <w:sz w:val="22"/>
          <w:szCs w:val="22"/>
          <w:lang w:val="en-US"/>
        </w:rPr>
      </w:pPr>
      <w:r w:rsidRPr="00DE3121">
        <w:rPr>
          <w:rFonts w:ascii="Arial" w:eastAsia="Arial" w:hAnsi="Arial" w:cs="Arial"/>
          <w:sz w:val="22"/>
          <w:szCs w:val="22"/>
          <w:lang w:val="nl-NL"/>
        </w:rPr>
        <w:t xml:space="preserve">Brennemann, W., Kohler, W., Zierz, S. &amp; Klingmuller, D. Testicular dysfunction in adrenomyeloneuropathy. </w:t>
      </w:r>
      <w:r w:rsidRPr="00DE3121">
        <w:rPr>
          <w:rFonts w:ascii="Arial" w:eastAsia="Arial" w:hAnsi="Arial" w:cs="Arial"/>
          <w:sz w:val="22"/>
          <w:szCs w:val="22"/>
          <w:lang w:val="en-US"/>
        </w:rPr>
        <w:t>Eur. J. Endocrinol. 1997;137: 34–39.</w:t>
      </w:r>
    </w:p>
    <w:p w14:paraId="7FB281B2" w14:textId="77777777" w:rsidR="005C197B" w:rsidRPr="00DE3121" w:rsidRDefault="005C197B" w:rsidP="00DE3121">
      <w:pPr>
        <w:pStyle w:val="ListParagraph"/>
        <w:numPr>
          <w:ilvl w:val="0"/>
          <w:numId w:val="2"/>
        </w:numPr>
        <w:spacing w:after="0" w:line="276" w:lineRule="auto"/>
        <w:ind w:left="576" w:hanging="576"/>
        <w:rPr>
          <w:rFonts w:ascii="Arial" w:eastAsia="Arial" w:hAnsi="Arial" w:cs="Arial"/>
          <w:sz w:val="22"/>
          <w:szCs w:val="22"/>
          <w:lang w:val="en-US"/>
        </w:rPr>
      </w:pPr>
      <w:proofErr w:type="spellStart"/>
      <w:r w:rsidRPr="00DE3121">
        <w:rPr>
          <w:rFonts w:ascii="Arial" w:eastAsia="Arial" w:hAnsi="Arial" w:cs="Arial"/>
          <w:sz w:val="22"/>
          <w:szCs w:val="22"/>
          <w:lang w:val="en-US"/>
        </w:rPr>
        <w:t>Karapanou</w:t>
      </w:r>
      <w:proofErr w:type="spellEnd"/>
      <w:r w:rsidRPr="00DE3121">
        <w:rPr>
          <w:rFonts w:ascii="Arial" w:eastAsia="Arial" w:hAnsi="Arial" w:cs="Arial"/>
          <w:sz w:val="22"/>
          <w:szCs w:val="22"/>
          <w:lang w:val="en-US"/>
        </w:rPr>
        <w:t xml:space="preserve">, O. et al. </w:t>
      </w:r>
      <w:proofErr w:type="spellStart"/>
      <w:r w:rsidRPr="00DE3121">
        <w:rPr>
          <w:rFonts w:ascii="Arial" w:eastAsia="Arial" w:hAnsi="Arial" w:cs="Arial"/>
          <w:sz w:val="22"/>
          <w:szCs w:val="22"/>
          <w:lang w:val="en-US"/>
        </w:rPr>
        <w:t>Xlinked</w:t>
      </w:r>
      <w:proofErr w:type="spellEnd"/>
      <w:r w:rsidRPr="00DE3121">
        <w:rPr>
          <w:rFonts w:ascii="Arial" w:eastAsia="Arial" w:hAnsi="Arial" w:cs="Arial"/>
          <w:sz w:val="22"/>
          <w:szCs w:val="22"/>
          <w:lang w:val="en-US"/>
        </w:rPr>
        <w:t xml:space="preserve"> adrenoleukodystrophy: are signs of hypogonadism always due to testicular failure? Hormones (Athens) 13, 146–152 (2014)</w:t>
      </w:r>
      <w:r w:rsidR="006C4BCA" w:rsidRPr="00DE3121">
        <w:rPr>
          <w:rFonts w:ascii="Arial" w:eastAsia="Arial" w:hAnsi="Arial" w:cs="Arial"/>
          <w:sz w:val="22"/>
          <w:szCs w:val="22"/>
          <w:lang w:val="en-US"/>
        </w:rPr>
        <w:t>.</w:t>
      </w:r>
    </w:p>
    <w:p w14:paraId="491DFC3A" w14:textId="77777777" w:rsidR="005C197B" w:rsidRPr="00DE3121" w:rsidRDefault="005C197B" w:rsidP="00DE3121">
      <w:pPr>
        <w:pStyle w:val="ListParagraph"/>
        <w:numPr>
          <w:ilvl w:val="0"/>
          <w:numId w:val="2"/>
        </w:numPr>
        <w:spacing w:after="0" w:line="276" w:lineRule="auto"/>
        <w:ind w:left="576" w:hanging="576"/>
        <w:rPr>
          <w:rFonts w:ascii="Arial" w:eastAsia="Arial" w:hAnsi="Arial" w:cs="Arial"/>
          <w:sz w:val="22"/>
          <w:szCs w:val="22"/>
          <w:lang w:val="en-US"/>
        </w:rPr>
      </w:pPr>
      <w:proofErr w:type="spellStart"/>
      <w:r w:rsidRPr="00DE3121">
        <w:rPr>
          <w:rFonts w:ascii="Arial" w:eastAsia="Arial" w:hAnsi="Arial" w:cs="Arial"/>
          <w:sz w:val="22"/>
          <w:szCs w:val="22"/>
          <w:lang w:val="en-US"/>
        </w:rPr>
        <w:t>Stradomska</w:t>
      </w:r>
      <w:proofErr w:type="spellEnd"/>
      <w:r w:rsidRPr="00DE3121">
        <w:rPr>
          <w:rFonts w:ascii="Arial" w:eastAsia="Arial" w:hAnsi="Arial" w:cs="Arial"/>
          <w:sz w:val="22"/>
          <w:szCs w:val="22"/>
          <w:lang w:val="en-US"/>
        </w:rPr>
        <w:t xml:space="preserve">, T. J., </w:t>
      </w:r>
      <w:proofErr w:type="spellStart"/>
      <w:r w:rsidRPr="00DE3121">
        <w:rPr>
          <w:rFonts w:ascii="Arial" w:eastAsia="Arial" w:hAnsi="Arial" w:cs="Arial"/>
          <w:sz w:val="22"/>
          <w:szCs w:val="22"/>
          <w:lang w:val="en-US"/>
        </w:rPr>
        <w:t>Kubalska</w:t>
      </w:r>
      <w:proofErr w:type="spellEnd"/>
      <w:r w:rsidRPr="00DE3121">
        <w:rPr>
          <w:rFonts w:ascii="Arial" w:eastAsia="Arial" w:hAnsi="Arial" w:cs="Arial"/>
          <w:sz w:val="22"/>
          <w:szCs w:val="22"/>
          <w:lang w:val="en-US"/>
        </w:rPr>
        <w:t xml:space="preserve">, J., Janas, R. &amp; TylkiSzymanska, A. Reproductive function in men affected by </w:t>
      </w:r>
      <w:proofErr w:type="spellStart"/>
      <w:r w:rsidRPr="00DE3121">
        <w:rPr>
          <w:rFonts w:ascii="Arial" w:eastAsia="Arial" w:hAnsi="Arial" w:cs="Arial"/>
          <w:sz w:val="22"/>
          <w:szCs w:val="22"/>
          <w:lang w:val="en-US"/>
        </w:rPr>
        <w:t>Xlinked</w:t>
      </w:r>
      <w:proofErr w:type="spellEnd"/>
      <w:r w:rsidRPr="00DE3121">
        <w:rPr>
          <w:rFonts w:ascii="Arial" w:eastAsia="Arial" w:hAnsi="Arial" w:cs="Arial"/>
          <w:sz w:val="22"/>
          <w:szCs w:val="22"/>
          <w:lang w:val="en-US"/>
        </w:rPr>
        <w:t xml:space="preserve"> adrenoleukodystrophy/ adrenomyeloneuropathy. Eur. J. Endocrinol. 2012;166: 291–294.</w:t>
      </w:r>
    </w:p>
    <w:p w14:paraId="7963A42E" w14:textId="77777777" w:rsidR="005C197B" w:rsidRPr="00DE3121" w:rsidRDefault="005C197B" w:rsidP="00DE3121">
      <w:pPr>
        <w:pStyle w:val="ListParagraph"/>
        <w:numPr>
          <w:ilvl w:val="0"/>
          <w:numId w:val="2"/>
        </w:numPr>
        <w:spacing w:after="0" w:line="276" w:lineRule="auto"/>
        <w:ind w:left="576" w:hanging="576"/>
        <w:rPr>
          <w:rFonts w:ascii="Arial" w:eastAsia="Arial" w:hAnsi="Arial" w:cs="Arial"/>
          <w:sz w:val="22"/>
          <w:szCs w:val="22"/>
          <w:lang w:val="en-US"/>
        </w:rPr>
      </w:pPr>
      <w:r w:rsidRPr="00DE3121">
        <w:rPr>
          <w:rFonts w:ascii="Arial" w:eastAsia="Arial" w:hAnsi="Arial" w:cs="Arial"/>
          <w:sz w:val="22"/>
          <w:szCs w:val="22"/>
          <w:lang w:val="nl-NL"/>
        </w:rPr>
        <w:t xml:space="preserve">Moser AB, Kreiter N, Bezman L, et al. </w:t>
      </w:r>
      <w:r w:rsidRPr="00DE3121">
        <w:rPr>
          <w:rFonts w:ascii="Arial" w:eastAsia="Arial" w:hAnsi="Arial" w:cs="Arial"/>
          <w:sz w:val="22"/>
          <w:szCs w:val="22"/>
          <w:lang w:val="en-US"/>
        </w:rPr>
        <w:t>Plasma very long chain fatty acids in 3,000 peroxisome disease patients and 29,000 controls. Ann Neurol. 1999;45(1):100–110.</w:t>
      </w:r>
    </w:p>
    <w:p w14:paraId="73913BBF" w14:textId="77777777" w:rsidR="005C197B" w:rsidRPr="00DE3121" w:rsidRDefault="005C197B" w:rsidP="00DE3121">
      <w:pPr>
        <w:pStyle w:val="ListParagraph"/>
        <w:numPr>
          <w:ilvl w:val="0"/>
          <w:numId w:val="2"/>
        </w:numPr>
        <w:spacing w:after="0" w:line="276" w:lineRule="auto"/>
        <w:ind w:left="576" w:hanging="576"/>
        <w:rPr>
          <w:rFonts w:ascii="Arial" w:eastAsia="Arial" w:hAnsi="Arial" w:cs="Arial"/>
          <w:sz w:val="22"/>
          <w:szCs w:val="22"/>
          <w:lang w:val="en-US"/>
        </w:rPr>
      </w:pPr>
      <w:r w:rsidRPr="00DE3121">
        <w:rPr>
          <w:rFonts w:ascii="Arial" w:eastAsia="Arial" w:hAnsi="Arial" w:cs="Arial"/>
          <w:sz w:val="22"/>
          <w:szCs w:val="22"/>
          <w:lang w:val="nl-NL"/>
        </w:rPr>
        <w:t xml:space="preserve">Stradomska TJ, Bachański M, Pawłowska J, et al. </w:t>
      </w:r>
      <w:r w:rsidRPr="00DE3121">
        <w:rPr>
          <w:rFonts w:ascii="Arial" w:eastAsia="Arial" w:hAnsi="Arial" w:cs="Arial"/>
          <w:sz w:val="22"/>
          <w:szCs w:val="22"/>
          <w:lang w:val="en-US"/>
        </w:rPr>
        <w:t xml:space="preserve">The impact of a ketogenic diet and liver dysfunction on serum very long-chain fatty acids levels. Lipids. 2013;48(4):405–409. </w:t>
      </w:r>
    </w:p>
    <w:p w14:paraId="663016F8" w14:textId="77777777" w:rsidR="005C197B" w:rsidRPr="00DE3121" w:rsidRDefault="005C197B" w:rsidP="00DE3121">
      <w:pPr>
        <w:pStyle w:val="ListParagraph"/>
        <w:numPr>
          <w:ilvl w:val="0"/>
          <w:numId w:val="2"/>
        </w:numPr>
        <w:spacing w:after="0" w:line="276" w:lineRule="auto"/>
        <w:ind w:left="576" w:hanging="576"/>
        <w:rPr>
          <w:rFonts w:ascii="Arial" w:hAnsi="Arial" w:cs="Arial"/>
          <w:sz w:val="22"/>
          <w:szCs w:val="22"/>
          <w:lang w:val="en-US"/>
        </w:rPr>
      </w:pPr>
      <w:proofErr w:type="spellStart"/>
      <w:r w:rsidRPr="00DE3121">
        <w:rPr>
          <w:rFonts w:ascii="Arial" w:hAnsi="Arial" w:cs="Arial"/>
          <w:sz w:val="22"/>
          <w:szCs w:val="22"/>
          <w:lang w:val="en-US"/>
        </w:rPr>
        <w:t>Korenke</w:t>
      </w:r>
      <w:proofErr w:type="spellEnd"/>
      <w:r w:rsidRPr="00DE3121">
        <w:rPr>
          <w:rFonts w:ascii="Arial" w:hAnsi="Arial" w:cs="Arial"/>
          <w:sz w:val="22"/>
          <w:szCs w:val="22"/>
          <w:lang w:val="en-US"/>
        </w:rPr>
        <w:t xml:space="preserve"> GC, Roth C, </w:t>
      </w:r>
      <w:proofErr w:type="spellStart"/>
      <w:r w:rsidRPr="00DE3121">
        <w:rPr>
          <w:rFonts w:ascii="Arial" w:hAnsi="Arial" w:cs="Arial"/>
          <w:sz w:val="22"/>
          <w:szCs w:val="22"/>
          <w:lang w:val="en-US"/>
        </w:rPr>
        <w:t>Krasemann</w:t>
      </w:r>
      <w:proofErr w:type="spellEnd"/>
      <w:r w:rsidRPr="00DE3121">
        <w:rPr>
          <w:rFonts w:ascii="Arial" w:hAnsi="Arial" w:cs="Arial"/>
          <w:sz w:val="22"/>
          <w:szCs w:val="22"/>
          <w:lang w:val="en-US"/>
        </w:rPr>
        <w:t xml:space="preserve"> E, </w:t>
      </w:r>
      <w:proofErr w:type="spellStart"/>
      <w:r w:rsidRPr="00DE3121">
        <w:rPr>
          <w:rFonts w:ascii="Arial" w:hAnsi="Arial" w:cs="Arial"/>
          <w:sz w:val="22"/>
          <w:szCs w:val="22"/>
          <w:lang w:val="en-US"/>
        </w:rPr>
        <w:t>H¨ufner</w:t>
      </w:r>
      <w:proofErr w:type="spellEnd"/>
      <w:r w:rsidRPr="00DE3121">
        <w:rPr>
          <w:rFonts w:ascii="Arial" w:hAnsi="Arial" w:cs="Arial"/>
          <w:sz w:val="22"/>
          <w:szCs w:val="22"/>
          <w:lang w:val="en-US"/>
        </w:rPr>
        <w:t xml:space="preserve"> M, </w:t>
      </w:r>
      <w:proofErr w:type="spellStart"/>
      <w:r w:rsidRPr="00DE3121">
        <w:rPr>
          <w:rFonts w:ascii="Arial" w:hAnsi="Arial" w:cs="Arial"/>
          <w:sz w:val="22"/>
          <w:szCs w:val="22"/>
          <w:lang w:val="en-US"/>
        </w:rPr>
        <w:t>Hunneman</w:t>
      </w:r>
      <w:proofErr w:type="spellEnd"/>
      <w:r w:rsidRPr="00DE3121">
        <w:rPr>
          <w:rFonts w:ascii="Arial" w:hAnsi="Arial" w:cs="Arial"/>
          <w:sz w:val="22"/>
          <w:szCs w:val="22"/>
          <w:lang w:val="en-US"/>
        </w:rPr>
        <w:t xml:space="preserve"> DH, Hanefeld F. Variability of endocrinological dysfunction in 55 patients with X-linked </w:t>
      </w:r>
      <w:proofErr w:type="spellStart"/>
      <w:r w:rsidRPr="00DE3121">
        <w:rPr>
          <w:rFonts w:ascii="Arial" w:hAnsi="Arial" w:cs="Arial"/>
          <w:sz w:val="22"/>
          <w:szCs w:val="22"/>
          <w:lang w:val="en-US"/>
        </w:rPr>
        <w:t>adrenoleucodystrophy</w:t>
      </w:r>
      <w:proofErr w:type="spellEnd"/>
      <w:r w:rsidRPr="00DE3121">
        <w:rPr>
          <w:rFonts w:ascii="Arial" w:hAnsi="Arial" w:cs="Arial"/>
          <w:sz w:val="22"/>
          <w:szCs w:val="22"/>
          <w:lang w:val="en-US"/>
        </w:rPr>
        <w:t>: clinical, laboratory and genetic findings. Eur J Endocrinol. 1997;137(1):40–47.</w:t>
      </w:r>
    </w:p>
    <w:p w14:paraId="0131A7E7" w14:textId="77777777" w:rsidR="005C197B" w:rsidRPr="00DE3121" w:rsidRDefault="005C197B" w:rsidP="00DE3121">
      <w:pPr>
        <w:pStyle w:val="ListParagraph"/>
        <w:numPr>
          <w:ilvl w:val="0"/>
          <w:numId w:val="2"/>
        </w:numPr>
        <w:spacing w:after="0" w:line="276" w:lineRule="auto"/>
        <w:ind w:left="576" w:hanging="576"/>
        <w:rPr>
          <w:rFonts w:ascii="Arial" w:hAnsi="Arial" w:cs="Arial"/>
          <w:sz w:val="22"/>
          <w:szCs w:val="22"/>
          <w:lang w:val="en-US"/>
        </w:rPr>
      </w:pPr>
      <w:r w:rsidRPr="00DE3121">
        <w:rPr>
          <w:rFonts w:ascii="Arial" w:hAnsi="Arial" w:cs="Arial"/>
          <w:sz w:val="22"/>
          <w:szCs w:val="22"/>
          <w:lang w:val="en-US"/>
        </w:rPr>
        <w:lastRenderedPageBreak/>
        <w:t xml:space="preserve">Tran C, Patel J, Stacy H, Mamak EG, </w:t>
      </w:r>
      <w:proofErr w:type="spellStart"/>
      <w:r w:rsidRPr="00DE3121">
        <w:rPr>
          <w:rFonts w:ascii="Arial" w:hAnsi="Arial" w:cs="Arial"/>
          <w:sz w:val="22"/>
          <w:szCs w:val="22"/>
          <w:lang w:val="en-US"/>
        </w:rPr>
        <w:t>Faghfoury</w:t>
      </w:r>
      <w:proofErr w:type="spellEnd"/>
      <w:r w:rsidRPr="00DE3121">
        <w:rPr>
          <w:rFonts w:ascii="Arial" w:hAnsi="Arial" w:cs="Arial"/>
          <w:sz w:val="22"/>
          <w:szCs w:val="22"/>
          <w:lang w:val="en-US"/>
        </w:rPr>
        <w:t xml:space="preserve"> H, Raiman J, et al. Long-term outcome of patients with X-linked adrenoleukodystrophy: A retrospective cohort study. </w:t>
      </w:r>
      <w:proofErr w:type="spellStart"/>
      <w:r w:rsidRPr="00DE3121">
        <w:rPr>
          <w:rFonts w:ascii="Arial" w:hAnsi="Arial" w:cs="Arial"/>
          <w:sz w:val="22"/>
          <w:szCs w:val="22"/>
          <w:lang w:val="en-US"/>
        </w:rPr>
        <w:t>Eur</w:t>
      </w:r>
      <w:proofErr w:type="spellEnd"/>
      <w:r w:rsidRPr="00DE3121">
        <w:rPr>
          <w:rFonts w:ascii="Arial" w:hAnsi="Arial" w:cs="Arial"/>
          <w:sz w:val="22"/>
          <w:szCs w:val="22"/>
          <w:lang w:val="en-US"/>
        </w:rPr>
        <w:t xml:space="preserve"> J </w:t>
      </w:r>
      <w:proofErr w:type="spellStart"/>
      <w:r w:rsidRPr="00DE3121">
        <w:rPr>
          <w:rFonts w:ascii="Arial" w:hAnsi="Arial" w:cs="Arial"/>
          <w:sz w:val="22"/>
          <w:szCs w:val="22"/>
          <w:lang w:val="en-US"/>
        </w:rPr>
        <w:t>Paediatr</w:t>
      </w:r>
      <w:proofErr w:type="spellEnd"/>
      <w:r w:rsidRPr="00DE3121">
        <w:rPr>
          <w:rFonts w:ascii="Arial" w:hAnsi="Arial" w:cs="Arial"/>
          <w:sz w:val="22"/>
          <w:szCs w:val="22"/>
          <w:lang w:val="en-US"/>
        </w:rPr>
        <w:t xml:space="preserve"> Neurol (2017) 21(4):600–9. </w:t>
      </w:r>
      <w:bookmarkEnd w:id="2"/>
    </w:p>
    <w:p w14:paraId="534FF50A" w14:textId="77777777" w:rsidR="005C197B" w:rsidRPr="00DE3121" w:rsidRDefault="005C197B" w:rsidP="00DE3121">
      <w:pPr>
        <w:pStyle w:val="ListParagraph"/>
        <w:numPr>
          <w:ilvl w:val="0"/>
          <w:numId w:val="2"/>
        </w:numPr>
        <w:spacing w:after="0" w:line="276" w:lineRule="auto"/>
        <w:ind w:left="576" w:hanging="576"/>
        <w:rPr>
          <w:rFonts w:ascii="Arial" w:hAnsi="Arial" w:cs="Arial"/>
          <w:sz w:val="22"/>
          <w:szCs w:val="22"/>
          <w:lang w:val="en-US"/>
        </w:rPr>
      </w:pPr>
      <w:r w:rsidRPr="00DE3121">
        <w:rPr>
          <w:rFonts w:ascii="Arial" w:hAnsi="Arial" w:cs="Arial"/>
          <w:sz w:val="22"/>
          <w:szCs w:val="22"/>
          <w:lang w:val="en-US"/>
        </w:rPr>
        <w:t xml:space="preserve">ALD info website. </w:t>
      </w:r>
      <w:proofErr w:type="spellStart"/>
      <w:r w:rsidRPr="00DE3121">
        <w:rPr>
          <w:rFonts w:ascii="Arial" w:hAnsi="Arial" w:cs="Arial"/>
          <w:sz w:val="22"/>
          <w:szCs w:val="22"/>
          <w:lang w:val="en-US"/>
        </w:rPr>
        <w:t>ProMED</w:t>
      </w:r>
      <w:proofErr w:type="spellEnd"/>
      <w:r w:rsidRPr="00DE3121">
        <w:rPr>
          <w:rFonts w:ascii="Arial" w:hAnsi="Arial" w:cs="Arial"/>
          <w:sz w:val="22"/>
          <w:szCs w:val="22"/>
          <w:lang w:val="en-US"/>
        </w:rPr>
        <w:t>-mail website. https:// adrenoleukodystrophy.info/.</w:t>
      </w:r>
    </w:p>
    <w:p w14:paraId="5C04A2DE" w14:textId="0CD1C827" w:rsidR="005C197B" w:rsidRPr="00DE3121" w:rsidRDefault="005C197B" w:rsidP="00DE3121">
      <w:pPr>
        <w:pStyle w:val="ListParagraph"/>
        <w:numPr>
          <w:ilvl w:val="0"/>
          <w:numId w:val="2"/>
        </w:numPr>
        <w:spacing w:after="0" w:line="276" w:lineRule="auto"/>
        <w:ind w:left="576" w:hanging="576"/>
        <w:rPr>
          <w:rFonts w:ascii="Arial" w:hAnsi="Arial" w:cs="Arial"/>
          <w:sz w:val="22"/>
          <w:szCs w:val="22"/>
          <w:lang w:val="en-US"/>
        </w:rPr>
      </w:pPr>
      <w:r w:rsidRPr="00DE3121">
        <w:rPr>
          <w:rFonts w:ascii="Arial" w:hAnsi="Arial" w:cs="Arial"/>
          <w:sz w:val="22"/>
          <w:szCs w:val="22"/>
          <w:lang w:val="nl-NL"/>
        </w:rPr>
        <w:t xml:space="preserve">Horn MA, Retterstøl  L, Abdelnoor  M, et al. </w:t>
      </w:r>
      <w:r w:rsidRPr="00DE3121">
        <w:rPr>
          <w:rFonts w:ascii="Arial" w:hAnsi="Arial" w:cs="Arial"/>
          <w:sz w:val="22"/>
          <w:szCs w:val="22"/>
          <w:lang w:val="en-US"/>
        </w:rPr>
        <w:t xml:space="preserve">Adrenoleukodystrophy in Norway: high rate of de novo mutations and age-dependent penetrance. </w:t>
      </w:r>
      <w:proofErr w:type="spellStart"/>
      <w:r w:rsidRPr="00DE3121">
        <w:rPr>
          <w:rFonts w:ascii="Arial" w:hAnsi="Arial" w:cs="Arial"/>
          <w:sz w:val="22"/>
          <w:szCs w:val="22"/>
          <w:lang w:val="en-US"/>
        </w:rPr>
        <w:t>Pediatr</w:t>
      </w:r>
      <w:proofErr w:type="spellEnd"/>
      <w:r w:rsidRPr="00DE3121">
        <w:rPr>
          <w:rFonts w:ascii="Arial" w:hAnsi="Arial" w:cs="Arial"/>
          <w:sz w:val="22"/>
          <w:szCs w:val="22"/>
          <w:lang w:val="en-US"/>
        </w:rPr>
        <w:t xml:space="preserve"> Neurol. 2013;48(3):212–219.</w:t>
      </w:r>
    </w:p>
    <w:p w14:paraId="05261206" w14:textId="77777777" w:rsidR="005C197B" w:rsidRPr="00DE3121" w:rsidRDefault="005C197B" w:rsidP="00DE3121">
      <w:pPr>
        <w:pStyle w:val="ListParagraph"/>
        <w:numPr>
          <w:ilvl w:val="0"/>
          <w:numId w:val="2"/>
        </w:numPr>
        <w:spacing w:after="0" w:line="276" w:lineRule="auto"/>
        <w:ind w:left="576" w:hanging="576"/>
        <w:rPr>
          <w:rFonts w:ascii="Arial" w:hAnsi="Arial" w:cs="Arial"/>
          <w:sz w:val="22"/>
          <w:szCs w:val="22"/>
          <w:lang w:val="en-US"/>
        </w:rPr>
      </w:pPr>
      <w:r w:rsidRPr="00DE3121">
        <w:rPr>
          <w:rFonts w:ascii="Arial" w:hAnsi="Arial" w:cs="Arial"/>
          <w:color w:val="212121"/>
          <w:sz w:val="22"/>
          <w:szCs w:val="22"/>
          <w:shd w:val="clear" w:color="auto" w:fill="FFFFFF"/>
          <w:lang w:val="en-US"/>
        </w:rPr>
        <w:t>Zhu J, Eichler F, Biffi A, Duncan CN, Williams DA, Majzoub JA. The Changing Face of Adrenoleukodystrophy. </w:t>
      </w:r>
      <w:r w:rsidRPr="00DE3121">
        <w:rPr>
          <w:rFonts w:ascii="Arial" w:hAnsi="Arial" w:cs="Arial"/>
          <w:color w:val="212121"/>
          <w:sz w:val="22"/>
          <w:szCs w:val="22"/>
          <w:shd w:val="clear" w:color="auto" w:fill="FFFFFF"/>
        </w:rPr>
        <w:t>Endocr Rev. 2020;41(4):577-593. </w:t>
      </w:r>
    </w:p>
    <w:p w14:paraId="7347C332" w14:textId="3C591C28" w:rsidR="005C197B" w:rsidRPr="00DE3121" w:rsidRDefault="005C197B" w:rsidP="00DE3121">
      <w:pPr>
        <w:pStyle w:val="ListParagraph"/>
        <w:numPr>
          <w:ilvl w:val="0"/>
          <w:numId w:val="2"/>
        </w:numPr>
        <w:spacing w:after="0" w:line="276" w:lineRule="auto"/>
        <w:ind w:left="576" w:hanging="576"/>
        <w:rPr>
          <w:rFonts w:ascii="Arial" w:hAnsi="Arial" w:cs="Arial"/>
          <w:sz w:val="22"/>
          <w:szCs w:val="22"/>
          <w:lang w:val="en-US"/>
        </w:rPr>
      </w:pPr>
      <w:r w:rsidRPr="00DE3121">
        <w:rPr>
          <w:rFonts w:ascii="Arial" w:hAnsi="Arial" w:cs="Arial"/>
          <w:sz w:val="22"/>
          <w:szCs w:val="22"/>
          <w:lang w:val="en-US"/>
        </w:rPr>
        <w:t>O’Neill GN, Aoki M, Brown RH Jr. ABCD1 translation-initiator mutation demonstrates genotype-phenotype correlation for AMN. Neurology. 2001;57(11):1956–1962.</w:t>
      </w:r>
    </w:p>
    <w:p w14:paraId="5A52E854" w14:textId="77777777" w:rsidR="000A481D" w:rsidRPr="00DE3121" w:rsidRDefault="000A481D" w:rsidP="00DE3121">
      <w:pPr>
        <w:pStyle w:val="ListParagraph"/>
        <w:numPr>
          <w:ilvl w:val="0"/>
          <w:numId w:val="2"/>
        </w:numPr>
        <w:spacing w:after="0" w:line="276" w:lineRule="auto"/>
        <w:ind w:left="576" w:hanging="576"/>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en-US" w:eastAsia="el-GR"/>
        </w:rPr>
        <w:t xml:space="preserve">Hubbard WC, Moser AB, Tortorelli S, Liu A, Jones D, Moser H. Combined liquid chromatography-tandem mass spectrometry as an analytical method for high throughput screening for X-linked adrenoleukodystrophy and other peroxisomal disorders: preliminary findings. Mol Genet </w:t>
      </w:r>
      <w:proofErr w:type="spellStart"/>
      <w:r w:rsidRPr="00DE3121">
        <w:rPr>
          <w:rFonts w:ascii="Arial" w:eastAsia="Times New Roman" w:hAnsi="Arial" w:cs="Arial"/>
          <w:color w:val="000000"/>
          <w:kern w:val="0"/>
          <w:sz w:val="22"/>
          <w:szCs w:val="22"/>
          <w:lang w:val="en-US" w:eastAsia="el-GR"/>
        </w:rPr>
        <w:t>Metab</w:t>
      </w:r>
      <w:proofErr w:type="spellEnd"/>
      <w:r w:rsidRPr="00DE3121">
        <w:rPr>
          <w:rFonts w:ascii="Arial" w:eastAsia="Times New Roman" w:hAnsi="Arial" w:cs="Arial"/>
          <w:color w:val="000000"/>
          <w:kern w:val="0"/>
          <w:sz w:val="22"/>
          <w:szCs w:val="22"/>
          <w:lang w:val="en-US" w:eastAsia="el-GR"/>
        </w:rPr>
        <w:t>. 2006;89(1–2):185–7.</w:t>
      </w:r>
    </w:p>
    <w:p w14:paraId="13B55408" w14:textId="6944D964" w:rsidR="000A481D" w:rsidRPr="00DE3121" w:rsidRDefault="000A481D" w:rsidP="00DE3121">
      <w:pPr>
        <w:pStyle w:val="ListParagraph"/>
        <w:numPr>
          <w:ilvl w:val="0"/>
          <w:numId w:val="2"/>
        </w:numPr>
        <w:spacing w:after="0" w:line="276" w:lineRule="auto"/>
        <w:ind w:left="576" w:hanging="576"/>
        <w:textAlignment w:val="baseline"/>
        <w:rPr>
          <w:rFonts w:ascii="Arial" w:eastAsia="Times New Roman" w:hAnsi="Arial" w:cs="Arial"/>
          <w:color w:val="000000"/>
          <w:kern w:val="0"/>
          <w:sz w:val="22"/>
          <w:szCs w:val="22"/>
          <w:lang w:val="en-US" w:eastAsia="el-GR"/>
        </w:rPr>
      </w:pPr>
      <w:r w:rsidRPr="00DE3121">
        <w:rPr>
          <w:rFonts w:ascii="Arial" w:eastAsia="Times New Roman" w:hAnsi="Arial" w:cs="Arial"/>
          <w:color w:val="000000"/>
          <w:kern w:val="0"/>
          <w:sz w:val="22"/>
          <w:szCs w:val="22"/>
          <w:lang w:val="nl-NL" w:eastAsia="el-GR"/>
        </w:rPr>
        <w:t xml:space="preserve">Vogel BH, Bradley SE, Adams DJ, Aco KD, Erbe RW, Fong C, et al. </w:t>
      </w:r>
      <w:r w:rsidRPr="00DE3121">
        <w:rPr>
          <w:rFonts w:ascii="Arial" w:eastAsia="Times New Roman" w:hAnsi="Arial" w:cs="Arial"/>
          <w:color w:val="000000"/>
          <w:kern w:val="0"/>
          <w:sz w:val="22"/>
          <w:szCs w:val="22"/>
          <w:lang w:val="en-US" w:eastAsia="el-GR"/>
        </w:rPr>
        <w:t xml:space="preserve">Newborn screening for X-linked adrenoleukodystrophy in New York State: Diagnostic protocol, surveillance protocol and treatment guidelines. Mol Genet </w:t>
      </w:r>
      <w:proofErr w:type="spellStart"/>
      <w:r w:rsidRPr="00DE3121">
        <w:rPr>
          <w:rFonts w:ascii="Arial" w:eastAsia="Times New Roman" w:hAnsi="Arial" w:cs="Arial"/>
          <w:color w:val="000000"/>
          <w:kern w:val="0"/>
          <w:sz w:val="22"/>
          <w:szCs w:val="22"/>
          <w:lang w:val="en-US" w:eastAsia="el-GR"/>
        </w:rPr>
        <w:t>Metab</w:t>
      </w:r>
      <w:proofErr w:type="spellEnd"/>
      <w:r w:rsidRPr="00DE3121">
        <w:rPr>
          <w:rFonts w:ascii="Arial" w:eastAsia="Times New Roman" w:hAnsi="Arial" w:cs="Arial"/>
          <w:color w:val="000000"/>
          <w:kern w:val="0"/>
          <w:sz w:val="22"/>
          <w:szCs w:val="22"/>
          <w:lang w:val="en-US" w:eastAsia="el-GR"/>
        </w:rPr>
        <w:t>. 2015;114(4):599–603.</w:t>
      </w:r>
    </w:p>
    <w:p w14:paraId="17CC1BEA" w14:textId="77777777" w:rsidR="00515201" w:rsidRPr="00DE3121" w:rsidRDefault="00515201" w:rsidP="00DE3121">
      <w:pPr>
        <w:pStyle w:val="ListParagraph"/>
        <w:numPr>
          <w:ilvl w:val="0"/>
          <w:numId w:val="2"/>
        </w:numPr>
        <w:spacing w:after="0" w:line="276" w:lineRule="auto"/>
        <w:ind w:left="576" w:hanging="576"/>
        <w:textAlignment w:val="baseline"/>
        <w:rPr>
          <w:rFonts w:ascii="Arial" w:eastAsia="Times New Roman" w:hAnsi="Arial" w:cs="Arial"/>
          <w:color w:val="000000"/>
          <w:kern w:val="0"/>
          <w:sz w:val="22"/>
          <w:szCs w:val="22"/>
          <w:lang w:val="en-US" w:eastAsia="el-GR"/>
        </w:rPr>
      </w:pPr>
      <w:r w:rsidRPr="00DE3121">
        <w:rPr>
          <w:rFonts w:ascii="Arial" w:hAnsi="Arial" w:cs="Arial"/>
          <w:sz w:val="22"/>
          <w:szCs w:val="22"/>
          <w:lang w:val="en-US"/>
        </w:rPr>
        <w:t>Kemper AR, Brosco J, Comeau AM, et al. Newborn screening for X-linked adrenoleukodystrophy: evidence summary and advisory committee recommendation. Genet Med. 2017;19: 121–126</w:t>
      </w:r>
      <w:r w:rsidR="00703588" w:rsidRPr="00DE3121">
        <w:rPr>
          <w:rFonts w:ascii="Arial" w:hAnsi="Arial" w:cs="Arial"/>
          <w:sz w:val="22"/>
          <w:szCs w:val="22"/>
        </w:rPr>
        <w:t>.</w:t>
      </w:r>
    </w:p>
    <w:p w14:paraId="73FCE0DE" w14:textId="77777777" w:rsidR="005C197B" w:rsidRPr="00DE3121" w:rsidRDefault="0047445D" w:rsidP="00DE3121">
      <w:pPr>
        <w:pStyle w:val="ListParagraph"/>
        <w:numPr>
          <w:ilvl w:val="0"/>
          <w:numId w:val="2"/>
        </w:numPr>
        <w:spacing w:after="0" w:line="276" w:lineRule="auto"/>
        <w:ind w:left="576" w:hanging="576"/>
        <w:rPr>
          <w:rFonts w:ascii="Arial" w:hAnsi="Arial" w:cs="Arial"/>
          <w:sz w:val="22"/>
          <w:szCs w:val="22"/>
          <w:lang w:val="en-US"/>
        </w:rPr>
      </w:pPr>
      <w:r w:rsidRPr="00DE3121">
        <w:rPr>
          <w:rFonts w:ascii="Arial" w:hAnsi="Arial" w:cs="Arial"/>
          <w:color w:val="212121"/>
          <w:sz w:val="22"/>
          <w:szCs w:val="22"/>
          <w:shd w:val="clear" w:color="auto" w:fill="FFFFFF"/>
          <w:lang w:val="nl-NL"/>
        </w:rPr>
        <w:t xml:space="preserve">Prinzi J, Pasquali M, Hobert JA, et al. </w:t>
      </w:r>
      <w:r w:rsidRPr="00DE3121">
        <w:rPr>
          <w:rFonts w:ascii="Arial" w:hAnsi="Arial" w:cs="Arial"/>
          <w:color w:val="212121"/>
          <w:sz w:val="22"/>
          <w:szCs w:val="22"/>
          <w:shd w:val="clear" w:color="auto" w:fill="FFFFFF"/>
          <w:lang w:val="en-US"/>
        </w:rPr>
        <w:t xml:space="preserve">Diagnosing X-Linked Adrenoleukodystrophy after Implementation of Newborn Screening: A Reference Laboratory Perspective. Int J Neonatal Screen. 2023;9(4):64. </w:t>
      </w:r>
    </w:p>
    <w:p w14:paraId="2DD70562" w14:textId="77777777" w:rsidR="0047445D" w:rsidRPr="00DE3121" w:rsidRDefault="0047445D" w:rsidP="00DE3121">
      <w:pPr>
        <w:pStyle w:val="ListParagraph"/>
        <w:numPr>
          <w:ilvl w:val="0"/>
          <w:numId w:val="2"/>
        </w:numPr>
        <w:spacing w:after="0" w:line="276" w:lineRule="auto"/>
        <w:ind w:left="576" w:hanging="576"/>
        <w:textAlignment w:val="baseline"/>
        <w:rPr>
          <w:rFonts w:ascii="Arial" w:hAnsi="Arial" w:cs="Arial"/>
          <w:sz w:val="22"/>
          <w:szCs w:val="22"/>
          <w:lang w:val="en-US"/>
        </w:rPr>
      </w:pPr>
      <w:r w:rsidRPr="00DE3121">
        <w:rPr>
          <w:rFonts w:ascii="Arial" w:hAnsi="Arial" w:cs="Arial"/>
          <w:sz w:val="22"/>
          <w:szCs w:val="22"/>
          <w:lang w:val="en-US"/>
        </w:rPr>
        <w:t xml:space="preserve">Wiens K, Berry SA, Choi H, </w:t>
      </w:r>
      <w:proofErr w:type="spellStart"/>
      <w:r w:rsidRPr="00DE3121">
        <w:rPr>
          <w:rFonts w:ascii="Arial" w:hAnsi="Arial" w:cs="Arial"/>
          <w:sz w:val="22"/>
          <w:szCs w:val="22"/>
          <w:lang w:val="en-US"/>
        </w:rPr>
        <w:t>Gaviglio</w:t>
      </w:r>
      <w:proofErr w:type="spellEnd"/>
      <w:r w:rsidRPr="00DE3121">
        <w:rPr>
          <w:rFonts w:ascii="Arial" w:hAnsi="Arial" w:cs="Arial"/>
          <w:sz w:val="22"/>
          <w:szCs w:val="22"/>
          <w:lang w:val="en-US"/>
        </w:rPr>
        <w:t xml:space="preserve"> A, Gupta A, Hietala A, et al. A report on state-wide implementation of newborn screening for </w:t>
      </w:r>
      <w:proofErr w:type="spellStart"/>
      <w:r w:rsidRPr="00DE3121">
        <w:rPr>
          <w:rFonts w:ascii="Arial" w:hAnsi="Arial" w:cs="Arial"/>
          <w:sz w:val="22"/>
          <w:szCs w:val="22"/>
          <w:lang w:val="en-US"/>
        </w:rPr>
        <w:t>Xlinked</w:t>
      </w:r>
      <w:proofErr w:type="spellEnd"/>
      <w:r w:rsidRPr="00DE3121">
        <w:rPr>
          <w:rFonts w:ascii="Arial" w:hAnsi="Arial" w:cs="Arial"/>
          <w:sz w:val="22"/>
          <w:szCs w:val="22"/>
          <w:lang w:val="en-US"/>
        </w:rPr>
        <w:t xml:space="preserve"> Adrenoleukodystrophy. Am J Med Genet. 2019; 179:1205–13. </w:t>
      </w:r>
    </w:p>
    <w:p w14:paraId="345BCD92" w14:textId="77777777" w:rsidR="0047445D" w:rsidRPr="00DE3121" w:rsidRDefault="0047445D" w:rsidP="00DE3121">
      <w:pPr>
        <w:pStyle w:val="ListParagraph"/>
        <w:numPr>
          <w:ilvl w:val="0"/>
          <w:numId w:val="2"/>
        </w:numPr>
        <w:spacing w:after="0" w:line="276" w:lineRule="auto"/>
        <w:ind w:left="576" w:hanging="576"/>
        <w:textAlignment w:val="baseline"/>
        <w:rPr>
          <w:rFonts w:ascii="Arial" w:hAnsi="Arial" w:cs="Arial"/>
          <w:sz w:val="22"/>
          <w:szCs w:val="22"/>
          <w:lang w:val="en-US"/>
        </w:rPr>
      </w:pPr>
      <w:r w:rsidRPr="00DE3121">
        <w:rPr>
          <w:rFonts w:ascii="Arial" w:hAnsi="Arial" w:cs="Arial"/>
          <w:sz w:val="22"/>
          <w:szCs w:val="22"/>
          <w:lang w:val="en-US"/>
        </w:rPr>
        <w:t xml:space="preserve">Tang H, Matteson J, Rinaldo P, Tortorelli S, Currier R SS. The clinical impact of CLIR tools toward rapid resolution of post-newborn screening confirmatory testing for X-linked adrenoleukodystrophy in California. Int J Neonatal Screen. 2020; 6:62. </w:t>
      </w:r>
    </w:p>
    <w:p w14:paraId="6412BFDA" w14:textId="1B30E410" w:rsidR="0047445D" w:rsidRPr="00DE3121" w:rsidRDefault="0047445D" w:rsidP="00DE3121">
      <w:pPr>
        <w:pStyle w:val="ListParagraph"/>
        <w:numPr>
          <w:ilvl w:val="0"/>
          <w:numId w:val="2"/>
        </w:numPr>
        <w:spacing w:after="0" w:line="276" w:lineRule="auto"/>
        <w:ind w:left="576" w:hanging="576"/>
        <w:textAlignment w:val="baseline"/>
        <w:rPr>
          <w:rFonts w:ascii="Arial" w:hAnsi="Arial" w:cs="Arial"/>
          <w:sz w:val="22"/>
          <w:szCs w:val="22"/>
          <w:lang w:val="en-US"/>
        </w:rPr>
      </w:pPr>
      <w:r w:rsidRPr="00DE3121">
        <w:rPr>
          <w:rFonts w:ascii="Arial" w:hAnsi="Arial" w:cs="Arial"/>
          <w:sz w:val="22"/>
          <w:szCs w:val="22"/>
          <w:lang w:val="en-US"/>
        </w:rPr>
        <w:t xml:space="preserve">Lee S, Clinard K, Young SP, Rehder CW, Fan Z, </w:t>
      </w:r>
      <w:proofErr w:type="spellStart"/>
      <w:r w:rsidRPr="00DE3121">
        <w:rPr>
          <w:rFonts w:ascii="Arial" w:hAnsi="Arial" w:cs="Arial"/>
          <w:sz w:val="22"/>
          <w:szCs w:val="22"/>
          <w:lang w:val="en-US"/>
        </w:rPr>
        <w:t>Calikoglu</w:t>
      </w:r>
      <w:proofErr w:type="spellEnd"/>
      <w:r w:rsidRPr="00DE3121">
        <w:rPr>
          <w:rFonts w:ascii="Arial" w:hAnsi="Arial" w:cs="Arial"/>
          <w:sz w:val="22"/>
          <w:szCs w:val="22"/>
          <w:lang w:val="en-US"/>
        </w:rPr>
        <w:t xml:space="preserve"> AS, et al. Evaluation of X-linked adrenoleukodystrophy newborn screening in North Carolina. JAMA </w:t>
      </w:r>
      <w:proofErr w:type="spellStart"/>
      <w:r w:rsidRPr="00DE3121">
        <w:rPr>
          <w:rFonts w:ascii="Arial" w:hAnsi="Arial" w:cs="Arial"/>
          <w:sz w:val="22"/>
          <w:szCs w:val="22"/>
          <w:lang w:val="en-US"/>
        </w:rPr>
        <w:t>Netw</w:t>
      </w:r>
      <w:proofErr w:type="spellEnd"/>
      <w:r w:rsidRPr="00DE3121">
        <w:rPr>
          <w:rFonts w:ascii="Arial" w:hAnsi="Arial" w:cs="Arial"/>
          <w:sz w:val="22"/>
          <w:szCs w:val="22"/>
          <w:lang w:val="en-US"/>
        </w:rPr>
        <w:t xml:space="preserve"> Open. 2020;3:</w:t>
      </w:r>
      <w:r w:rsidR="14A86284" w:rsidRPr="00DE3121">
        <w:rPr>
          <w:rFonts w:ascii="Arial" w:hAnsi="Arial" w:cs="Arial"/>
          <w:sz w:val="22"/>
          <w:szCs w:val="22"/>
          <w:lang w:val="en-US"/>
        </w:rPr>
        <w:t xml:space="preserve"> </w:t>
      </w:r>
      <w:r w:rsidRPr="00DE3121">
        <w:rPr>
          <w:rFonts w:ascii="Arial" w:hAnsi="Arial" w:cs="Arial"/>
          <w:sz w:val="22"/>
          <w:szCs w:val="22"/>
          <w:lang w:val="en-US"/>
        </w:rPr>
        <w:t>1–12.</w:t>
      </w:r>
    </w:p>
    <w:p w14:paraId="71D34388" w14:textId="77777777" w:rsidR="0047445D" w:rsidRPr="00DE3121" w:rsidRDefault="0047445D" w:rsidP="00DE3121">
      <w:pPr>
        <w:pStyle w:val="ListParagraph"/>
        <w:numPr>
          <w:ilvl w:val="0"/>
          <w:numId w:val="2"/>
        </w:numPr>
        <w:spacing w:after="0" w:line="276" w:lineRule="auto"/>
        <w:ind w:left="576" w:hanging="576"/>
        <w:textAlignment w:val="baseline"/>
        <w:rPr>
          <w:rFonts w:ascii="Arial" w:hAnsi="Arial" w:cs="Arial"/>
          <w:sz w:val="22"/>
          <w:szCs w:val="22"/>
          <w:lang w:val="en-US"/>
        </w:rPr>
      </w:pPr>
      <w:r w:rsidRPr="00DE3121">
        <w:rPr>
          <w:rFonts w:ascii="Arial" w:hAnsi="Arial" w:cs="Arial"/>
          <w:sz w:val="22"/>
          <w:szCs w:val="22"/>
          <w:lang w:val="en-US"/>
        </w:rPr>
        <w:t xml:space="preserve">Hall PL Li H, Hagar AF, Caleb Jerris S, Wittenauer A, Wilcox W. Newborn screening for X-linked Adrenoleukodystrophy in Georgia: experiences from a pilot study screening of 51,081 newborns. Int J Neonatal Screen. 2020;6: 81. </w:t>
      </w:r>
    </w:p>
    <w:p w14:paraId="7491BBB8" w14:textId="77777777" w:rsidR="0047445D" w:rsidRPr="00DE3121" w:rsidRDefault="0047445D" w:rsidP="00DE3121">
      <w:pPr>
        <w:pStyle w:val="ListParagraph"/>
        <w:numPr>
          <w:ilvl w:val="0"/>
          <w:numId w:val="2"/>
        </w:numPr>
        <w:spacing w:after="0" w:line="276" w:lineRule="auto"/>
        <w:ind w:left="576" w:hanging="576"/>
        <w:textAlignment w:val="baseline"/>
        <w:rPr>
          <w:rFonts w:ascii="Arial" w:hAnsi="Arial" w:cs="Arial"/>
          <w:sz w:val="22"/>
          <w:szCs w:val="22"/>
          <w:lang w:val="en-US"/>
        </w:rPr>
      </w:pPr>
      <w:r w:rsidRPr="00DE3121">
        <w:rPr>
          <w:rFonts w:ascii="Arial" w:hAnsi="Arial" w:cs="Arial"/>
          <w:sz w:val="22"/>
          <w:szCs w:val="22"/>
          <w:lang w:val="en-US"/>
        </w:rPr>
        <w:t xml:space="preserve">Matteson J, Sciortino S, </w:t>
      </w:r>
      <w:proofErr w:type="spellStart"/>
      <w:r w:rsidRPr="00DE3121">
        <w:rPr>
          <w:rFonts w:ascii="Arial" w:hAnsi="Arial" w:cs="Arial"/>
          <w:sz w:val="22"/>
          <w:szCs w:val="22"/>
          <w:lang w:val="en-US"/>
        </w:rPr>
        <w:t>Feuchtbaum</w:t>
      </w:r>
      <w:proofErr w:type="spellEnd"/>
      <w:r w:rsidRPr="00DE3121">
        <w:rPr>
          <w:rFonts w:ascii="Arial" w:hAnsi="Arial" w:cs="Arial"/>
          <w:sz w:val="22"/>
          <w:szCs w:val="22"/>
          <w:lang w:val="en-US"/>
        </w:rPr>
        <w:t xml:space="preserve"> L, Bishop T, Olney RS, Tang H. Neonatal screening adrenoleukodystrophy newborn screening in California since 2016: programmatic outcomes and follow-Up. Int J Neonatal Screen. 2021; 7:22. </w:t>
      </w:r>
    </w:p>
    <w:p w14:paraId="72A574EF" w14:textId="77777777" w:rsidR="0047445D" w:rsidRPr="00DE3121" w:rsidRDefault="0047445D" w:rsidP="00DE3121">
      <w:pPr>
        <w:pStyle w:val="ListParagraph"/>
        <w:numPr>
          <w:ilvl w:val="0"/>
          <w:numId w:val="2"/>
        </w:numPr>
        <w:spacing w:after="0" w:line="276" w:lineRule="auto"/>
        <w:ind w:left="576" w:hanging="576"/>
        <w:textAlignment w:val="baseline"/>
        <w:rPr>
          <w:rFonts w:ascii="Arial" w:eastAsia="Arial" w:hAnsi="Arial" w:cs="Arial"/>
          <w:sz w:val="22"/>
          <w:szCs w:val="22"/>
          <w:lang w:val="en-US"/>
        </w:rPr>
      </w:pPr>
      <w:r w:rsidRPr="00DE3121">
        <w:rPr>
          <w:rFonts w:ascii="Arial" w:hAnsi="Arial" w:cs="Arial"/>
          <w:sz w:val="22"/>
          <w:szCs w:val="22"/>
          <w:lang w:val="en-US"/>
        </w:rPr>
        <w:t xml:space="preserve">Moser AB, Raymond G V, Burton BK, Hickey R, Hitchins L, Shively V, et al. </w:t>
      </w:r>
      <w:r w:rsidRPr="00DE3121">
        <w:rPr>
          <w:rFonts w:ascii="Arial" w:eastAsia="Arial" w:hAnsi="Arial" w:cs="Arial"/>
          <w:sz w:val="22"/>
          <w:szCs w:val="22"/>
          <w:lang w:val="en-US"/>
        </w:rPr>
        <w:t xml:space="preserve">Neonatal screening newborn screening for X-linked adrenoleukodystrophy: the initial Illinois experience. Int J Neonatal Screen. 2022; 8:6. </w:t>
      </w:r>
    </w:p>
    <w:p w14:paraId="26590D92" w14:textId="77777777" w:rsidR="0047445D" w:rsidRPr="00DE3121" w:rsidRDefault="0047445D" w:rsidP="00DE3121">
      <w:pPr>
        <w:pStyle w:val="ListParagraph"/>
        <w:numPr>
          <w:ilvl w:val="0"/>
          <w:numId w:val="2"/>
        </w:numPr>
        <w:spacing w:after="0" w:line="276" w:lineRule="auto"/>
        <w:ind w:left="576" w:hanging="576"/>
        <w:textAlignment w:val="baseline"/>
        <w:rPr>
          <w:rFonts w:ascii="Arial" w:eastAsia="Arial" w:hAnsi="Arial" w:cs="Arial"/>
          <w:sz w:val="22"/>
          <w:szCs w:val="22"/>
          <w:lang w:val="en-US"/>
        </w:rPr>
      </w:pPr>
      <w:r w:rsidRPr="00DE3121">
        <w:rPr>
          <w:rFonts w:ascii="Arial" w:eastAsia="Arial" w:hAnsi="Arial" w:cs="Arial"/>
          <w:sz w:val="22"/>
          <w:szCs w:val="22"/>
          <w:lang w:val="nl-NL"/>
        </w:rPr>
        <w:t xml:space="preserve">Priestley JRC, Adang LA, Drewes Williams S, Lichter-Konecki U, Menello C, Engelhardt NM, et al. </w:t>
      </w:r>
      <w:r w:rsidRPr="00DE3121">
        <w:rPr>
          <w:rFonts w:ascii="Arial" w:eastAsia="Arial" w:hAnsi="Arial" w:cs="Arial"/>
          <w:sz w:val="22"/>
          <w:szCs w:val="22"/>
          <w:lang w:val="en-US"/>
        </w:rPr>
        <w:t xml:space="preserve">Newborn screening for X-linked </w:t>
      </w:r>
      <w:proofErr w:type="gramStart"/>
      <w:r w:rsidRPr="00DE3121">
        <w:rPr>
          <w:rFonts w:ascii="Arial" w:eastAsia="Arial" w:hAnsi="Arial" w:cs="Arial"/>
          <w:sz w:val="22"/>
          <w:szCs w:val="22"/>
          <w:lang w:val="en-US"/>
        </w:rPr>
        <w:t>adrenoleukodystrophy :</w:t>
      </w:r>
      <w:proofErr w:type="gramEnd"/>
      <w:r w:rsidRPr="00DE3121">
        <w:rPr>
          <w:rFonts w:ascii="Arial" w:eastAsia="Arial" w:hAnsi="Arial" w:cs="Arial"/>
          <w:sz w:val="22"/>
          <w:szCs w:val="22"/>
          <w:lang w:val="en-US"/>
        </w:rPr>
        <w:t xml:space="preserve"> review of data and outcomes in Pennsylvania. Int J Neonatal Screen. 2022; 8:24. </w:t>
      </w:r>
    </w:p>
    <w:p w14:paraId="0F45E241" w14:textId="77777777" w:rsidR="0047445D" w:rsidRPr="00DE3121" w:rsidRDefault="0047445D" w:rsidP="00DE3121">
      <w:pPr>
        <w:pStyle w:val="ListParagraph"/>
        <w:numPr>
          <w:ilvl w:val="0"/>
          <w:numId w:val="2"/>
        </w:numPr>
        <w:spacing w:after="0" w:line="276" w:lineRule="auto"/>
        <w:ind w:left="576" w:hanging="576"/>
        <w:textAlignment w:val="baseline"/>
        <w:rPr>
          <w:rFonts w:ascii="Arial" w:eastAsia="Arial" w:hAnsi="Arial" w:cs="Arial"/>
          <w:sz w:val="22"/>
          <w:szCs w:val="22"/>
          <w:lang w:val="en-US"/>
        </w:rPr>
      </w:pPr>
      <w:r w:rsidRPr="00DE3121">
        <w:rPr>
          <w:rFonts w:ascii="Arial" w:eastAsia="Arial" w:hAnsi="Arial" w:cs="Arial"/>
          <w:sz w:val="22"/>
          <w:szCs w:val="22"/>
          <w:lang w:val="nl-NL"/>
        </w:rPr>
        <w:lastRenderedPageBreak/>
        <w:t xml:space="preserve">Barendsen RW, Dijkstra IME, Visser WF, Alders M, Bliek J, Boelen A, et al. </w:t>
      </w:r>
      <w:r w:rsidRPr="00DE3121">
        <w:rPr>
          <w:rFonts w:ascii="Arial" w:eastAsia="Arial" w:hAnsi="Arial" w:cs="Arial"/>
          <w:sz w:val="22"/>
          <w:szCs w:val="22"/>
          <w:lang w:val="en-US"/>
        </w:rPr>
        <w:t>Adrenoleukodystrophy newborn screening in the Netherlands (SCAN Study): the X-factor. Front. Cell Develop. Biol. 2020</w:t>
      </w:r>
      <w:r w:rsidR="009B470B" w:rsidRPr="00DE3121">
        <w:rPr>
          <w:rFonts w:ascii="Arial" w:eastAsia="Arial" w:hAnsi="Arial" w:cs="Arial"/>
          <w:sz w:val="22"/>
          <w:szCs w:val="22"/>
          <w:lang w:val="en-US"/>
        </w:rPr>
        <w:t xml:space="preserve">; </w:t>
      </w:r>
      <w:r w:rsidRPr="00DE3121">
        <w:rPr>
          <w:rFonts w:ascii="Arial" w:eastAsia="Arial" w:hAnsi="Arial" w:cs="Arial"/>
          <w:sz w:val="22"/>
          <w:szCs w:val="22"/>
          <w:lang w:val="en-US"/>
        </w:rPr>
        <w:t xml:space="preserve">8:499. </w:t>
      </w:r>
    </w:p>
    <w:p w14:paraId="3E7DCD69" w14:textId="77777777" w:rsidR="00051FED" w:rsidRPr="00DE3121" w:rsidRDefault="00051FED"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 xml:space="preserve">Melhem ER, Loes DJ, Georgiades CS, Raymond G V, Moser HW. X-linked adrenoleukodystrophy: the role of contrast-enhanced MR imaging in predicting disease progression. Am J </w:t>
      </w:r>
      <w:proofErr w:type="spellStart"/>
      <w:r w:rsidRPr="00DE3121">
        <w:rPr>
          <w:rFonts w:ascii="Arial" w:eastAsia="Arial" w:hAnsi="Arial" w:cs="Arial"/>
          <w:color w:val="000000"/>
          <w:kern w:val="0"/>
          <w:sz w:val="22"/>
          <w:szCs w:val="22"/>
          <w:lang w:val="en-US" w:eastAsia="el-GR"/>
        </w:rPr>
        <w:t>Neuroradiol</w:t>
      </w:r>
      <w:proofErr w:type="spellEnd"/>
      <w:r w:rsidRPr="00DE3121">
        <w:rPr>
          <w:rFonts w:ascii="Arial" w:eastAsia="Arial" w:hAnsi="Arial" w:cs="Arial"/>
          <w:color w:val="000000"/>
          <w:kern w:val="0"/>
          <w:sz w:val="22"/>
          <w:szCs w:val="22"/>
          <w:lang w:val="en-US" w:eastAsia="el-GR"/>
        </w:rPr>
        <w:t>. 2000;21(5):839–44.</w:t>
      </w:r>
    </w:p>
    <w:p w14:paraId="26DE504F" w14:textId="77777777" w:rsidR="00051FED" w:rsidRPr="00DE3121" w:rsidRDefault="00051FED"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 xml:space="preserve">Loes DJ, Hite S, Moser H, Stillman AE, Shapiro E, Lockman L, et al. Adrenoleukodystrophy: a scoring method for brain MR observations. Am J </w:t>
      </w:r>
      <w:proofErr w:type="spellStart"/>
      <w:r w:rsidRPr="00DE3121">
        <w:rPr>
          <w:rFonts w:ascii="Arial" w:eastAsia="Arial" w:hAnsi="Arial" w:cs="Arial"/>
          <w:color w:val="000000"/>
          <w:kern w:val="0"/>
          <w:sz w:val="22"/>
          <w:szCs w:val="22"/>
          <w:lang w:val="en-US" w:eastAsia="el-GR"/>
        </w:rPr>
        <w:t>Neuroradiol</w:t>
      </w:r>
      <w:proofErr w:type="spellEnd"/>
      <w:r w:rsidRPr="00DE3121">
        <w:rPr>
          <w:rFonts w:ascii="Arial" w:eastAsia="Arial" w:hAnsi="Arial" w:cs="Arial"/>
          <w:color w:val="000000"/>
          <w:kern w:val="0"/>
          <w:sz w:val="22"/>
          <w:szCs w:val="22"/>
          <w:lang w:val="en-US" w:eastAsia="el-GR"/>
        </w:rPr>
        <w:t>. 1994;15(9):1761–6.</w:t>
      </w:r>
    </w:p>
    <w:p w14:paraId="0246A6F3" w14:textId="77777777" w:rsidR="00051FED" w:rsidRPr="00DE3121" w:rsidRDefault="00051FED"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 xml:space="preserve">McKinney AM, </w:t>
      </w:r>
      <w:proofErr w:type="spellStart"/>
      <w:r w:rsidRPr="00DE3121">
        <w:rPr>
          <w:rFonts w:ascii="Arial" w:eastAsia="Arial" w:hAnsi="Arial" w:cs="Arial"/>
          <w:color w:val="000000"/>
          <w:kern w:val="0"/>
          <w:sz w:val="22"/>
          <w:szCs w:val="22"/>
          <w:lang w:val="en-US" w:eastAsia="el-GR"/>
        </w:rPr>
        <w:t>Nascene</w:t>
      </w:r>
      <w:proofErr w:type="spellEnd"/>
      <w:r w:rsidRPr="00DE3121">
        <w:rPr>
          <w:rFonts w:ascii="Arial" w:eastAsia="Arial" w:hAnsi="Arial" w:cs="Arial"/>
          <w:color w:val="000000"/>
          <w:kern w:val="0"/>
          <w:sz w:val="22"/>
          <w:szCs w:val="22"/>
          <w:lang w:val="en-US" w:eastAsia="el-GR"/>
        </w:rPr>
        <w:t xml:space="preserve"> D, Miller WP, </w:t>
      </w:r>
      <w:proofErr w:type="spellStart"/>
      <w:r w:rsidRPr="00DE3121">
        <w:rPr>
          <w:rFonts w:ascii="Arial" w:eastAsia="Arial" w:hAnsi="Arial" w:cs="Arial"/>
          <w:color w:val="000000"/>
          <w:kern w:val="0"/>
          <w:sz w:val="22"/>
          <w:szCs w:val="22"/>
          <w:lang w:val="en-US" w:eastAsia="el-GR"/>
        </w:rPr>
        <w:t>Eisengart</w:t>
      </w:r>
      <w:proofErr w:type="spellEnd"/>
      <w:r w:rsidRPr="00DE3121">
        <w:rPr>
          <w:rFonts w:ascii="Arial" w:eastAsia="Arial" w:hAnsi="Arial" w:cs="Arial"/>
          <w:color w:val="000000"/>
          <w:kern w:val="0"/>
          <w:sz w:val="22"/>
          <w:szCs w:val="22"/>
          <w:lang w:val="en-US" w:eastAsia="el-GR"/>
        </w:rPr>
        <w:t xml:space="preserve"> J, Loes D, Benson M, et al. Childhood cerebral X-linked adrenoleukodystrophy: diffusion tensor imaging measurements for prediction of clinical outcome after hematopoietic stem cell transplantation. Am J </w:t>
      </w:r>
      <w:proofErr w:type="spellStart"/>
      <w:r w:rsidRPr="00DE3121">
        <w:rPr>
          <w:rFonts w:ascii="Arial" w:eastAsia="Arial" w:hAnsi="Arial" w:cs="Arial"/>
          <w:color w:val="000000"/>
          <w:kern w:val="0"/>
          <w:sz w:val="22"/>
          <w:szCs w:val="22"/>
          <w:lang w:val="en-US" w:eastAsia="el-GR"/>
        </w:rPr>
        <w:t>Neuroradiol</w:t>
      </w:r>
      <w:proofErr w:type="spellEnd"/>
      <w:r w:rsidRPr="00DE3121">
        <w:rPr>
          <w:rFonts w:ascii="Arial" w:eastAsia="Arial" w:hAnsi="Arial" w:cs="Arial"/>
          <w:color w:val="000000"/>
          <w:kern w:val="0"/>
          <w:sz w:val="22"/>
          <w:szCs w:val="22"/>
          <w:lang w:val="en-US" w:eastAsia="el-GR"/>
        </w:rPr>
        <w:t>. 2013;34(3):641–9.</w:t>
      </w:r>
    </w:p>
    <w:p w14:paraId="00D640DF" w14:textId="77777777" w:rsidR="00051FED" w:rsidRPr="00DE3121" w:rsidRDefault="00051FED"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212121"/>
          <w:sz w:val="22"/>
          <w:szCs w:val="22"/>
          <w:shd w:val="clear" w:color="auto" w:fill="FFFFFF"/>
          <w:lang w:val="en-US"/>
        </w:rPr>
        <w:t>Dubey P, Fatemi A, Huang H, Nagae-</w:t>
      </w:r>
      <w:proofErr w:type="spellStart"/>
      <w:r w:rsidRPr="00DE3121">
        <w:rPr>
          <w:rFonts w:ascii="Arial" w:eastAsia="Arial" w:hAnsi="Arial" w:cs="Arial"/>
          <w:color w:val="212121"/>
          <w:sz w:val="22"/>
          <w:szCs w:val="22"/>
          <w:shd w:val="clear" w:color="auto" w:fill="FFFFFF"/>
          <w:lang w:val="en-US"/>
        </w:rPr>
        <w:t>Poetscher</w:t>
      </w:r>
      <w:proofErr w:type="spellEnd"/>
      <w:r w:rsidRPr="00DE3121">
        <w:rPr>
          <w:rFonts w:ascii="Arial" w:eastAsia="Arial" w:hAnsi="Arial" w:cs="Arial"/>
          <w:color w:val="212121"/>
          <w:sz w:val="22"/>
          <w:szCs w:val="22"/>
          <w:shd w:val="clear" w:color="auto" w:fill="FFFFFF"/>
          <w:lang w:val="en-US"/>
        </w:rPr>
        <w:t xml:space="preserve"> L, Wakana S, Barker PB, van Zijl P, Moser HW, Mori S, Raymond GV. Diffusion tensor-based imaging reveals occult abnormalities in adrenomyeloneuropathy. Ann Neurol. </w:t>
      </w:r>
      <w:r w:rsidRPr="00DE3121">
        <w:rPr>
          <w:rFonts w:ascii="Arial" w:eastAsia="Arial" w:hAnsi="Arial" w:cs="Arial"/>
          <w:color w:val="212121"/>
          <w:sz w:val="22"/>
          <w:szCs w:val="22"/>
          <w:shd w:val="clear" w:color="auto" w:fill="FFFFFF"/>
        </w:rPr>
        <w:t>2005;</w:t>
      </w:r>
      <w:r w:rsidRPr="00DE3121">
        <w:rPr>
          <w:rFonts w:ascii="Arial" w:eastAsia="Arial" w:hAnsi="Arial" w:cs="Arial"/>
          <w:color w:val="212121"/>
          <w:sz w:val="22"/>
          <w:szCs w:val="22"/>
          <w:shd w:val="clear" w:color="auto" w:fill="FFFFFF"/>
          <w:lang w:val="en-US"/>
        </w:rPr>
        <w:t xml:space="preserve"> </w:t>
      </w:r>
      <w:r w:rsidRPr="00DE3121">
        <w:rPr>
          <w:rFonts w:ascii="Arial" w:eastAsia="Arial" w:hAnsi="Arial" w:cs="Arial"/>
          <w:color w:val="212121"/>
          <w:sz w:val="22"/>
          <w:szCs w:val="22"/>
          <w:shd w:val="clear" w:color="auto" w:fill="FFFFFF"/>
        </w:rPr>
        <w:t>58:758-66. </w:t>
      </w:r>
    </w:p>
    <w:p w14:paraId="59E92368" w14:textId="77777777" w:rsidR="00051FED" w:rsidRPr="00DE3121" w:rsidRDefault="00051FED"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 xml:space="preserve">Renard D, </w:t>
      </w:r>
      <w:proofErr w:type="spellStart"/>
      <w:r w:rsidRPr="00DE3121">
        <w:rPr>
          <w:rFonts w:ascii="Arial" w:eastAsia="Arial" w:hAnsi="Arial" w:cs="Arial"/>
          <w:color w:val="000000"/>
          <w:kern w:val="0"/>
          <w:sz w:val="22"/>
          <w:szCs w:val="22"/>
          <w:lang w:val="en-US" w:eastAsia="el-GR"/>
        </w:rPr>
        <w:t>Castelnovo</w:t>
      </w:r>
      <w:proofErr w:type="spellEnd"/>
      <w:r w:rsidRPr="00DE3121">
        <w:rPr>
          <w:rFonts w:ascii="Arial" w:eastAsia="Arial" w:hAnsi="Arial" w:cs="Arial"/>
          <w:color w:val="000000"/>
          <w:kern w:val="0"/>
          <w:sz w:val="22"/>
          <w:szCs w:val="22"/>
          <w:lang w:val="en-US" w:eastAsia="el-GR"/>
        </w:rPr>
        <w:t xml:space="preserve"> G, </w:t>
      </w:r>
      <w:proofErr w:type="spellStart"/>
      <w:r w:rsidRPr="00DE3121">
        <w:rPr>
          <w:rFonts w:ascii="Arial" w:eastAsia="Arial" w:hAnsi="Arial" w:cs="Arial"/>
          <w:color w:val="000000"/>
          <w:kern w:val="0"/>
          <w:sz w:val="22"/>
          <w:szCs w:val="22"/>
          <w:lang w:val="en-US" w:eastAsia="el-GR"/>
        </w:rPr>
        <w:t>Collombier</w:t>
      </w:r>
      <w:proofErr w:type="spellEnd"/>
      <w:r w:rsidRPr="00DE3121">
        <w:rPr>
          <w:rFonts w:ascii="Arial" w:eastAsia="Arial" w:hAnsi="Arial" w:cs="Arial"/>
          <w:color w:val="000000"/>
          <w:kern w:val="0"/>
          <w:sz w:val="22"/>
          <w:szCs w:val="22"/>
          <w:lang w:val="en-US" w:eastAsia="el-GR"/>
        </w:rPr>
        <w:t xml:space="preserve"> L, </w:t>
      </w:r>
      <w:proofErr w:type="spellStart"/>
      <w:r w:rsidRPr="00DE3121">
        <w:rPr>
          <w:rFonts w:ascii="Arial" w:eastAsia="Arial" w:hAnsi="Arial" w:cs="Arial"/>
          <w:color w:val="000000"/>
          <w:kern w:val="0"/>
          <w:sz w:val="22"/>
          <w:szCs w:val="22"/>
          <w:lang w:val="en-US" w:eastAsia="el-GR"/>
        </w:rPr>
        <w:t>Kotzki</w:t>
      </w:r>
      <w:proofErr w:type="spellEnd"/>
      <w:r w:rsidRPr="00DE3121">
        <w:rPr>
          <w:rFonts w:ascii="Arial" w:eastAsia="Arial" w:hAnsi="Arial" w:cs="Arial"/>
          <w:color w:val="000000"/>
          <w:kern w:val="0"/>
          <w:sz w:val="22"/>
          <w:szCs w:val="22"/>
          <w:lang w:val="en-US" w:eastAsia="el-GR"/>
        </w:rPr>
        <w:t xml:space="preserve"> PO, </w:t>
      </w:r>
      <w:proofErr w:type="spellStart"/>
      <w:r w:rsidRPr="00DE3121">
        <w:rPr>
          <w:rFonts w:ascii="Arial" w:eastAsia="Arial" w:hAnsi="Arial" w:cs="Arial"/>
          <w:color w:val="000000"/>
          <w:kern w:val="0"/>
          <w:sz w:val="22"/>
          <w:szCs w:val="22"/>
          <w:lang w:val="en-US" w:eastAsia="el-GR"/>
        </w:rPr>
        <w:t>Labauge</w:t>
      </w:r>
      <w:proofErr w:type="spellEnd"/>
      <w:r w:rsidRPr="00DE3121">
        <w:rPr>
          <w:rFonts w:ascii="Arial" w:eastAsia="Arial" w:hAnsi="Arial" w:cs="Arial"/>
          <w:color w:val="000000"/>
          <w:kern w:val="0"/>
          <w:sz w:val="22"/>
          <w:szCs w:val="22"/>
          <w:lang w:val="en-US" w:eastAsia="el-GR"/>
        </w:rPr>
        <w:t xml:space="preserve"> P. Brain </w:t>
      </w:r>
      <w:proofErr w:type="spellStart"/>
      <w:r w:rsidRPr="00DE3121">
        <w:rPr>
          <w:rFonts w:ascii="Arial" w:eastAsia="Arial" w:hAnsi="Arial" w:cs="Arial"/>
          <w:color w:val="000000"/>
          <w:kern w:val="0"/>
          <w:sz w:val="22"/>
          <w:szCs w:val="22"/>
          <w:lang w:val="en-US" w:eastAsia="el-GR"/>
        </w:rPr>
        <w:t>fludeoxyglucose</w:t>
      </w:r>
      <w:proofErr w:type="spellEnd"/>
      <w:r w:rsidRPr="00DE3121">
        <w:rPr>
          <w:rFonts w:ascii="Arial" w:eastAsia="Arial" w:hAnsi="Arial" w:cs="Arial"/>
          <w:color w:val="000000"/>
          <w:kern w:val="0"/>
          <w:sz w:val="22"/>
          <w:szCs w:val="22"/>
          <w:lang w:val="en-US" w:eastAsia="el-GR"/>
        </w:rPr>
        <w:t xml:space="preserve"> F 18 positron emission tomography hypometabolism in magnetic resonance imaging-negative x-linked adrenoleukodystrophy. Arch Neurol. 2011;68(10):1338–9.</w:t>
      </w:r>
    </w:p>
    <w:p w14:paraId="56BA79C4" w14:textId="77777777" w:rsidR="00051FED" w:rsidRPr="00DE3121" w:rsidRDefault="00051FED"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 xml:space="preserve">Salsano E, Marotta G, Manfredi V, Giovagnoli AR, Farina L, </w:t>
      </w:r>
      <w:proofErr w:type="spellStart"/>
      <w:r w:rsidRPr="00DE3121">
        <w:rPr>
          <w:rFonts w:ascii="Arial" w:eastAsia="Arial" w:hAnsi="Arial" w:cs="Arial"/>
          <w:color w:val="000000"/>
          <w:kern w:val="0"/>
          <w:sz w:val="22"/>
          <w:szCs w:val="22"/>
          <w:lang w:val="en-US" w:eastAsia="el-GR"/>
        </w:rPr>
        <w:t>Savoiardo</w:t>
      </w:r>
      <w:proofErr w:type="spellEnd"/>
      <w:r w:rsidRPr="00DE3121">
        <w:rPr>
          <w:rFonts w:ascii="Arial" w:eastAsia="Arial" w:hAnsi="Arial" w:cs="Arial"/>
          <w:color w:val="000000"/>
          <w:kern w:val="0"/>
          <w:sz w:val="22"/>
          <w:szCs w:val="22"/>
          <w:lang w:val="en-US" w:eastAsia="el-GR"/>
        </w:rPr>
        <w:t xml:space="preserve"> M, et al. Brain fluorodeoxyglucose PET in adrenoleukodystrophy. Neurology. 2014;83(11):981–9.</w:t>
      </w:r>
    </w:p>
    <w:p w14:paraId="1C08D61B" w14:textId="77777777" w:rsidR="00E009E5" w:rsidRPr="00DE3121" w:rsidRDefault="00E009E5"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 xml:space="preserve">Tsuji S, Sano T, Ariga T, Miyatake T. Increased synthesis of hexacosanoic acid (C23:0) by cultured skin fibroblasts from patients with adrenoleukodystrophy (ALD) and adrenomyeloneuropathy (AMN). J </w:t>
      </w:r>
      <w:proofErr w:type="spellStart"/>
      <w:r w:rsidRPr="00DE3121">
        <w:rPr>
          <w:rFonts w:ascii="Arial" w:eastAsia="Arial" w:hAnsi="Arial" w:cs="Arial"/>
          <w:color w:val="000000"/>
          <w:kern w:val="0"/>
          <w:sz w:val="22"/>
          <w:szCs w:val="22"/>
          <w:lang w:val="en-US" w:eastAsia="el-GR"/>
        </w:rPr>
        <w:t>Biochem</w:t>
      </w:r>
      <w:proofErr w:type="spellEnd"/>
      <w:r w:rsidRPr="00DE3121">
        <w:rPr>
          <w:rFonts w:ascii="Arial" w:eastAsia="Arial" w:hAnsi="Arial" w:cs="Arial"/>
          <w:color w:val="000000"/>
          <w:kern w:val="0"/>
          <w:sz w:val="22"/>
          <w:szCs w:val="22"/>
          <w:lang w:val="en-US" w:eastAsia="el-GR"/>
        </w:rPr>
        <w:t>. 1981;90(4):1233–6.</w:t>
      </w:r>
    </w:p>
    <w:p w14:paraId="7865EE11" w14:textId="77777777" w:rsidR="0047445D" w:rsidRPr="00DE3121" w:rsidRDefault="00E009E5" w:rsidP="00DE3121">
      <w:pPr>
        <w:pStyle w:val="ListParagraph"/>
        <w:numPr>
          <w:ilvl w:val="0"/>
          <w:numId w:val="2"/>
        </w:numPr>
        <w:spacing w:after="0" w:line="276" w:lineRule="auto"/>
        <w:ind w:left="576" w:hanging="576"/>
        <w:rPr>
          <w:rFonts w:ascii="Arial" w:eastAsia="Arial" w:hAnsi="Arial" w:cs="Arial"/>
          <w:sz w:val="22"/>
          <w:szCs w:val="22"/>
          <w:lang w:val="en-US"/>
        </w:rPr>
      </w:pPr>
      <w:r w:rsidRPr="00DE3121">
        <w:rPr>
          <w:rFonts w:ascii="Arial" w:eastAsia="Arial" w:hAnsi="Arial" w:cs="Arial"/>
          <w:color w:val="000000"/>
          <w:kern w:val="0"/>
          <w:sz w:val="22"/>
          <w:szCs w:val="22"/>
          <w:lang w:val="nl-NL" w:eastAsia="el-GR"/>
        </w:rPr>
        <w:t xml:space="preserve">Rizzo WB, Leshner RT, Odone A, Dammann AL, Craft DA, Jensen ME, et al. </w:t>
      </w:r>
      <w:r w:rsidRPr="00DE3121">
        <w:rPr>
          <w:rFonts w:ascii="Arial" w:eastAsia="Arial" w:hAnsi="Arial" w:cs="Arial"/>
          <w:color w:val="000000"/>
          <w:kern w:val="0"/>
          <w:sz w:val="22"/>
          <w:szCs w:val="22"/>
          <w:lang w:val="en-US" w:eastAsia="el-GR"/>
        </w:rPr>
        <w:t>Dietary erucic acid therapy for X-linked adrenoleukodystrophy. Neurology. 1989;39(11):1415–22.</w:t>
      </w:r>
    </w:p>
    <w:p w14:paraId="12CDCEC1" w14:textId="77777777" w:rsidR="00E009E5" w:rsidRPr="00DE3121" w:rsidRDefault="00E009E5"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Moser HW, Raymond G V, Lu SE, Muenz LR, Moser AB, Xu J, et al. Follow-up of 89 asymptomatic patients with adrenoleukodystrophy treated with Lorenzo’s oil. Arch Neurol. 2005;62(7):1073–80.</w:t>
      </w:r>
    </w:p>
    <w:p w14:paraId="2270A2EA" w14:textId="77777777" w:rsidR="00E009E5" w:rsidRPr="00DE3121" w:rsidRDefault="00E009E5"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 xml:space="preserve">Aubourg P, Blanche S, </w:t>
      </w:r>
      <w:proofErr w:type="spellStart"/>
      <w:r w:rsidRPr="00DE3121">
        <w:rPr>
          <w:rFonts w:ascii="Arial" w:eastAsia="Arial" w:hAnsi="Arial" w:cs="Arial"/>
          <w:color w:val="000000"/>
          <w:kern w:val="0"/>
          <w:sz w:val="22"/>
          <w:szCs w:val="22"/>
          <w:lang w:val="en-US" w:eastAsia="el-GR"/>
        </w:rPr>
        <w:t>Jambaque</w:t>
      </w:r>
      <w:proofErr w:type="spellEnd"/>
      <w:r w:rsidRPr="00DE3121">
        <w:rPr>
          <w:rFonts w:ascii="Arial" w:eastAsia="Arial" w:hAnsi="Arial" w:cs="Arial"/>
          <w:color w:val="000000"/>
          <w:kern w:val="0"/>
          <w:sz w:val="22"/>
          <w:szCs w:val="22"/>
          <w:lang w:val="en-US" w:eastAsia="el-GR"/>
        </w:rPr>
        <w:t xml:space="preserve"> I, </w:t>
      </w:r>
      <w:proofErr w:type="spellStart"/>
      <w:r w:rsidRPr="00DE3121">
        <w:rPr>
          <w:rFonts w:ascii="Arial" w:eastAsia="Arial" w:hAnsi="Arial" w:cs="Arial"/>
          <w:color w:val="000000"/>
          <w:kern w:val="0"/>
          <w:sz w:val="22"/>
          <w:szCs w:val="22"/>
          <w:lang w:val="en-US" w:eastAsia="el-GR"/>
        </w:rPr>
        <w:t>Rocchiccioli</w:t>
      </w:r>
      <w:proofErr w:type="spellEnd"/>
      <w:r w:rsidRPr="00DE3121">
        <w:rPr>
          <w:rFonts w:ascii="Arial" w:eastAsia="Arial" w:hAnsi="Arial" w:cs="Arial"/>
          <w:color w:val="000000"/>
          <w:kern w:val="0"/>
          <w:sz w:val="22"/>
          <w:szCs w:val="22"/>
          <w:lang w:val="en-US" w:eastAsia="el-GR"/>
        </w:rPr>
        <w:t xml:space="preserve"> F, Kalifa G, Naud-</w:t>
      </w:r>
      <w:proofErr w:type="spellStart"/>
      <w:r w:rsidRPr="00DE3121">
        <w:rPr>
          <w:rFonts w:ascii="Arial" w:eastAsia="Arial" w:hAnsi="Arial" w:cs="Arial"/>
          <w:color w:val="000000"/>
          <w:kern w:val="0"/>
          <w:sz w:val="22"/>
          <w:szCs w:val="22"/>
          <w:lang w:val="en-US" w:eastAsia="el-GR"/>
        </w:rPr>
        <w:t>Saudreau</w:t>
      </w:r>
      <w:proofErr w:type="spellEnd"/>
      <w:r w:rsidRPr="00DE3121">
        <w:rPr>
          <w:rFonts w:ascii="Arial" w:eastAsia="Arial" w:hAnsi="Arial" w:cs="Arial"/>
          <w:color w:val="000000"/>
          <w:kern w:val="0"/>
          <w:sz w:val="22"/>
          <w:szCs w:val="22"/>
          <w:lang w:val="en-US" w:eastAsia="el-GR"/>
        </w:rPr>
        <w:t xml:space="preserve"> C, et al. Reversal of early neurologic and neuroradiologic manifestations of X-linked adrenoleukodystrophy by bone marrow transplantation. N Engl J Med. 1990;322(26):1860–6.</w:t>
      </w:r>
    </w:p>
    <w:p w14:paraId="2F092699" w14:textId="458C3811" w:rsidR="004E0A15" w:rsidRPr="00DE3121" w:rsidRDefault="5D3E8BEE"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nl-NL" w:eastAsia="el-GR"/>
        </w:rPr>
        <w:t>V</w:t>
      </w:r>
      <w:r w:rsidR="004E0A15" w:rsidRPr="00DE3121">
        <w:rPr>
          <w:rFonts w:ascii="Arial" w:eastAsia="Arial" w:hAnsi="Arial" w:cs="Arial"/>
          <w:color w:val="000000"/>
          <w:kern w:val="0"/>
          <w:sz w:val="22"/>
          <w:szCs w:val="22"/>
          <w:lang w:val="nl-NL" w:eastAsia="el-GR"/>
        </w:rPr>
        <w:t xml:space="preserve">an Geel BM, Assies J, Haverkort EB, Koelman JH, Verbeeten B. J, Wanders RJ, et al. </w:t>
      </w:r>
      <w:r w:rsidR="004E0A15" w:rsidRPr="00DE3121">
        <w:rPr>
          <w:rFonts w:ascii="Arial" w:eastAsia="Arial" w:hAnsi="Arial" w:cs="Arial"/>
          <w:color w:val="000000"/>
          <w:kern w:val="0"/>
          <w:sz w:val="22"/>
          <w:szCs w:val="22"/>
          <w:lang w:val="en-US" w:eastAsia="el-GR"/>
        </w:rPr>
        <w:t xml:space="preserve">Progression of abnormalities in adrenomyeloneuropathy and neurologically asymptomatic X-linked adrenoleukodystrophy despite treatment with “Lorenzo’s oil.” J Neurol </w:t>
      </w:r>
      <w:proofErr w:type="spellStart"/>
      <w:r w:rsidR="004E0A15" w:rsidRPr="00DE3121">
        <w:rPr>
          <w:rFonts w:ascii="Arial" w:eastAsia="Arial" w:hAnsi="Arial" w:cs="Arial"/>
          <w:color w:val="000000"/>
          <w:kern w:val="0"/>
          <w:sz w:val="22"/>
          <w:szCs w:val="22"/>
          <w:lang w:val="en-US" w:eastAsia="el-GR"/>
        </w:rPr>
        <w:t>Neurosurg</w:t>
      </w:r>
      <w:proofErr w:type="spellEnd"/>
      <w:r w:rsidR="004E0A15" w:rsidRPr="00DE3121">
        <w:rPr>
          <w:rFonts w:ascii="Arial" w:eastAsia="Arial" w:hAnsi="Arial" w:cs="Arial"/>
          <w:color w:val="000000"/>
          <w:kern w:val="0"/>
          <w:sz w:val="22"/>
          <w:szCs w:val="22"/>
          <w:lang w:val="en-US" w:eastAsia="el-GR"/>
        </w:rPr>
        <w:t xml:space="preserve"> Psychiatry. 1999;67(3):290–9.</w:t>
      </w:r>
    </w:p>
    <w:p w14:paraId="239381D1" w14:textId="744298BD" w:rsidR="00831150" w:rsidRPr="00DE3121" w:rsidRDefault="00831150"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 xml:space="preserve">Shapiro E, </w:t>
      </w:r>
      <w:proofErr w:type="spellStart"/>
      <w:r w:rsidRPr="00DE3121">
        <w:rPr>
          <w:rFonts w:ascii="Arial" w:eastAsia="Arial" w:hAnsi="Arial" w:cs="Arial"/>
          <w:color w:val="000000"/>
          <w:kern w:val="0"/>
          <w:sz w:val="22"/>
          <w:szCs w:val="22"/>
          <w:lang w:val="en-US" w:eastAsia="el-GR"/>
        </w:rPr>
        <w:t>Krivit</w:t>
      </w:r>
      <w:proofErr w:type="spellEnd"/>
      <w:r w:rsidRPr="00DE3121">
        <w:rPr>
          <w:rFonts w:ascii="Arial" w:eastAsia="Arial" w:hAnsi="Arial" w:cs="Arial"/>
          <w:color w:val="000000"/>
          <w:kern w:val="0"/>
          <w:sz w:val="22"/>
          <w:szCs w:val="22"/>
          <w:lang w:val="en-US" w:eastAsia="el-GR"/>
        </w:rPr>
        <w:t xml:space="preserve"> W, Lockman L, </w:t>
      </w:r>
      <w:proofErr w:type="spellStart"/>
      <w:r w:rsidRPr="00DE3121">
        <w:rPr>
          <w:rFonts w:ascii="Arial" w:eastAsia="Arial" w:hAnsi="Arial" w:cs="Arial"/>
          <w:color w:val="000000"/>
          <w:kern w:val="0"/>
          <w:sz w:val="22"/>
          <w:szCs w:val="22"/>
          <w:lang w:val="en-US" w:eastAsia="el-GR"/>
        </w:rPr>
        <w:t>Jambaque</w:t>
      </w:r>
      <w:proofErr w:type="spellEnd"/>
      <w:r w:rsidRPr="00DE3121">
        <w:rPr>
          <w:rFonts w:ascii="Arial" w:eastAsia="Arial" w:hAnsi="Arial" w:cs="Arial"/>
          <w:color w:val="000000"/>
          <w:kern w:val="0"/>
          <w:sz w:val="22"/>
          <w:szCs w:val="22"/>
          <w:lang w:val="en-US" w:eastAsia="el-GR"/>
        </w:rPr>
        <w:t xml:space="preserve"> I, Peters C, Cowan M, et al. Long-term effect of bone-marrow transplantation for childhood-onset cerebral X-linked adrenoleukodystrophy. Lancet. 2000;</w:t>
      </w:r>
      <w:r w:rsidR="45BD6B7E" w:rsidRPr="00DE3121">
        <w:rPr>
          <w:rFonts w:ascii="Arial" w:eastAsia="Arial" w:hAnsi="Arial" w:cs="Arial"/>
          <w:color w:val="000000"/>
          <w:kern w:val="0"/>
          <w:sz w:val="22"/>
          <w:szCs w:val="22"/>
          <w:lang w:val="en-US" w:eastAsia="el-GR"/>
        </w:rPr>
        <w:t xml:space="preserve"> </w:t>
      </w:r>
      <w:r w:rsidRPr="00DE3121">
        <w:rPr>
          <w:rFonts w:ascii="Arial" w:eastAsia="Arial" w:hAnsi="Arial" w:cs="Arial"/>
          <w:color w:val="000000"/>
          <w:kern w:val="0"/>
          <w:sz w:val="22"/>
          <w:szCs w:val="22"/>
          <w:lang w:val="en-US" w:eastAsia="el-GR"/>
        </w:rPr>
        <w:t>356:713–8.</w:t>
      </w:r>
    </w:p>
    <w:p w14:paraId="65CF3FE9" w14:textId="77777777" w:rsidR="00831150" w:rsidRPr="00DE3121" w:rsidRDefault="00831150"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nl-NL" w:eastAsia="el-GR"/>
        </w:rPr>
        <w:t xml:space="preserve">Miller WP, Rothman SM, Nascene D, Kivisto T, DeFor TE, Ziegler RS, et al. </w:t>
      </w:r>
      <w:r w:rsidRPr="00DE3121">
        <w:rPr>
          <w:rFonts w:ascii="Arial" w:eastAsia="Arial" w:hAnsi="Arial" w:cs="Arial"/>
          <w:color w:val="000000"/>
          <w:kern w:val="0"/>
          <w:sz w:val="22"/>
          <w:szCs w:val="22"/>
          <w:lang w:val="en-US" w:eastAsia="el-GR"/>
        </w:rPr>
        <w:t>Outcomes after allogeneic hematopoietic cell transplantation for childhood cerebral adrenoleukodystrophy: the largest single-institution cohort report. Blood. 2011;118(7):1971–8.</w:t>
      </w:r>
    </w:p>
    <w:p w14:paraId="24740255" w14:textId="2407FC1C" w:rsidR="00831150" w:rsidRPr="00DE3121" w:rsidRDefault="00831150"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proofErr w:type="spellStart"/>
      <w:r w:rsidRPr="00DE3121">
        <w:rPr>
          <w:rFonts w:ascii="Arial" w:eastAsia="Arial" w:hAnsi="Arial" w:cs="Arial"/>
          <w:color w:val="000000"/>
          <w:kern w:val="0"/>
          <w:sz w:val="22"/>
          <w:szCs w:val="22"/>
          <w:lang w:val="en-US" w:eastAsia="el-GR"/>
        </w:rPr>
        <w:t>Stradomska</w:t>
      </w:r>
      <w:proofErr w:type="spellEnd"/>
      <w:r w:rsidRPr="00DE3121">
        <w:rPr>
          <w:rFonts w:ascii="Arial" w:eastAsia="Arial" w:hAnsi="Arial" w:cs="Arial"/>
          <w:color w:val="000000"/>
          <w:kern w:val="0"/>
          <w:sz w:val="22"/>
          <w:szCs w:val="22"/>
          <w:lang w:val="en-US" w:eastAsia="el-GR"/>
        </w:rPr>
        <w:t xml:space="preserve"> TJ, </w:t>
      </w:r>
      <w:proofErr w:type="spellStart"/>
      <w:r w:rsidRPr="00DE3121">
        <w:rPr>
          <w:rFonts w:ascii="Arial" w:eastAsia="Arial" w:hAnsi="Arial" w:cs="Arial"/>
          <w:color w:val="000000"/>
          <w:kern w:val="0"/>
          <w:sz w:val="22"/>
          <w:szCs w:val="22"/>
          <w:lang w:val="en-US" w:eastAsia="el-GR"/>
        </w:rPr>
        <w:t>Drabko</w:t>
      </w:r>
      <w:proofErr w:type="spellEnd"/>
      <w:r w:rsidRPr="00DE3121">
        <w:rPr>
          <w:rFonts w:ascii="Arial" w:eastAsia="Arial" w:hAnsi="Arial" w:cs="Arial"/>
          <w:color w:val="000000"/>
          <w:kern w:val="0"/>
          <w:sz w:val="22"/>
          <w:szCs w:val="22"/>
          <w:lang w:val="en-US" w:eastAsia="el-GR"/>
        </w:rPr>
        <w:t xml:space="preserve"> K, </w:t>
      </w:r>
      <w:proofErr w:type="spellStart"/>
      <w:r w:rsidRPr="00DE3121">
        <w:rPr>
          <w:rFonts w:ascii="Arial" w:eastAsia="Arial" w:hAnsi="Arial" w:cs="Arial"/>
          <w:color w:val="000000"/>
          <w:kern w:val="0"/>
          <w:sz w:val="22"/>
          <w:szCs w:val="22"/>
          <w:lang w:val="en-US" w:eastAsia="el-GR"/>
        </w:rPr>
        <w:t>Moszczynska</w:t>
      </w:r>
      <w:proofErr w:type="spellEnd"/>
      <w:r w:rsidRPr="00DE3121">
        <w:rPr>
          <w:rFonts w:ascii="Arial" w:eastAsia="Arial" w:hAnsi="Arial" w:cs="Arial"/>
          <w:color w:val="000000"/>
          <w:kern w:val="0"/>
          <w:sz w:val="22"/>
          <w:szCs w:val="22"/>
          <w:lang w:val="en-US" w:eastAsia="el-GR"/>
        </w:rPr>
        <w:t xml:space="preserve"> E, </w:t>
      </w:r>
      <w:proofErr w:type="spellStart"/>
      <w:r w:rsidRPr="00DE3121">
        <w:rPr>
          <w:rFonts w:ascii="Arial" w:eastAsia="Arial" w:hAnsi="Arial" w:cs="Arial"/>
          <w:color w:val="000000"/>
          <w:kern w:val="0"/>
          <w:sz w:val="22"/>
          <w:szCs w:val="22"/>
          <w:lang w:val="en-US" w:eastAsia="el-GR"/>
        </w:rPr>
        <w:t>Tylki</w:t>
      </w:r>
      <w:proofErr w:type="spellEnd"/>
      <w:r w:rsidRPr="00DE3121">
        <w:rPr>
          <w:rFonts w:ascii="Arial" w:eastAsia="Arial" w:hAnsi="Arial" w:cs="Arial"/>
          <w:color w:val="000000"/>
          <w:kern w:val="0"/>
          <w:sz w:val="22"/>
          <w:szCs w:val="22"/>
          <w:lang w:val="en-US" w:eastAsia="el-GR"/>
        </w:rPr>
        <w:t xml:space="preserve">-Szymanska A. Monitoring of very long-chain fatty acids levels in X-linked adrenoleukodystrophy, treated with </w:t>
      </w:r>
      <w:proofErr w:type="spellStart"/>
      <w:r w:rsidRPr="00DE3121">
        <w:rPr>
          <w:rFonts w:ascii="Arial" w:eastAsia="Arial" w:hAnsi="Arial" w:cs="Arial"/>
          <w:color w:val="000000"/>
          <w:kern w:val="0"/>
          <w:sz w:val="22"/>
          <w:szCs w:val="22"/>
          <w:lang w:val="en-US" w:eastAsia="el-GR"/>
        </w:rPr>
        <w:lastRenderedPageBreak/>
        <w:t>haematopoietic</w:t>
      </w:r>
      <w:proofErr w:type="spellEnd"/>
      <w:r w:rsidRPr="00DE3121">
        <w:rPr>
          <w:rFonts w:ascii="Arial" w:eastAsia="Arial" w:hAnsi="Arial" w:cs="Arial"/>
          <w:color w:val="000000"/>
          <w:kern w:val="0"/>
          <w:sz w:val="22"/>
          <w:szCs w:val="22"/>
          <w:lang w:val="en-US" w:eastAsia="el-GR"/>
        </w:rPr>
        <w:t xml:space="preserve"> stem cell transplantation and Lorenzo’s Oil. Folia </w:t>
      </w:r>
      <w:proofErr w:type="spellStart"/>
      <w:r w:rsidRPr="00DE3121">
        <w:rPr>
          <w:rFonts w:ascii="Arial" w:eastAsia="Arial" w:hAnsi="Arial" w:cs="Arial"/>
          <w:color w:val="000000"/>
          <w:kern w:val="0"/>
          <w:sz w:val="22"/>
          <w:szCs w:val="22"/>
          <w:lang w:val="en-US" w:eastAsia="el-GR"/>
        </w:rPr>
        <w:t>Neuropathol</w:t>
      </w:r>
      <w:proofErr w:type="spellEnd"/>
      <w:r w:rsidRPr="00DE3121">
        <w:rPr>
          <w:rFonts w:ascii="Arial" w:eastAsia="Arial" w:hAnsi="Arial" w:cs="Arial"/>
          <w:color w:val="000000"/>
          <w:kern w:val="0"/>
          <w:sz w:val="22"/>
          <w:szCs w:val="22"/>
          <w:lang w:val="en-US" w:eastAsia="el-GR"/>
        </w:rPr>
        <w:t>. 2014;</w:t>
      </w:r>
      <w:r w:rsidR="52B40CF3" w:rsidRPr="00DE3121">
        <w:rPr>
          <w:rFonts w:ascii="Arial" w:eastAsia="Arial" w:hAnsi="Arial" w:cs="Arial"/>
          <w:color w:val="000000"/>
          <w:kern w:val="0"/>
          <w:sz w:val="22"/>
          <w:szCs w:val="22"/>
          <w:lang w:val="en-US" w:eastAsia="el-GR"/>
        </w:rPr>
        <w:t xml:space="preserve"> </w:t>
      </w:r>
      <w:r w:rsidRPr="00DE3121">
        <w:rPr>
          <w:rFonts w:ascii="Arial" w:eastAsia="Arial" w:hAnsi="Arial" w:cs="Arial"/>
          <w:color w:val="000000"/>
          <w:kern w:val="0"/>
          <w:sz w:val="22"/>
          <w:szCs w:val="22"/>
          <w:lang w:val="en-US" w:eastAsia="el-GR"/>
        </w:rPr>
        <w:t>52:159–63.</w:t>
      </w:r>
    </w:p>
    <w:p w14:paraId="52544E0C" w14:textId="77777777" w:rsidR="00831150" w:rsidRPr="00DE3121" w:rsidRDefault="00831150"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Hickey WF, Kimura H. Perivascular microglial cells of the CNS are bone marrow-derived and present antigen in vivo. Science. 1988;</w:t>
      </w:r>
      <w:r w:rsidR="008D5602" w:rsidRPr="00DE3121">
        <w:rPr>
          <w:rFonts w:ascii="Arial" w:eastAsia="Arial" w:hAnsi="Arial" w:cs="Arial"/>
          <w:color w:val="000000"/>
          <w:kern w:val="0"/>
          <w:sz w:val="22"/>
          <w:szCs w:val="22"/>
          <w:lang w:val="en-US" w:eastAsia="el-GR"/>
        </w:rPr>
        <w:t xml:space="preserve"> </w:t>
      </w:r>
      <w:r w:rsidRPr="00DE3121">
        <w:rPr>
          <w:rFonts w:ascii="Arial" w:eastAsia="Arial" w:hAnsi="Arial" w:cs="Arial"/>
          <w:color w:val="000000"/>
          <w:kern w:val="0"/>
          <w:sz w:val="22"/>
          <w:szCs w:val="22"/>
          <w:lang w:val="en-US" w:eastAsia="el-GR"/>
        </w:rPr>
        <w:t>239:290–2.</w:t>
      </w:r>
    </w:p>
    <w:p w14:paraId="412015FF" w14:textId="77777777" w:rsidR="008D5602" w:rsidRPr="00DE3121" w:rsidRDefault="008D5602" w:rsidP="00DE3121">
      <w:pPr>
        <w:pStyle w:val="ListParagraph"/>
        <w:widowControl w:val="0"/>
        <w:numPr>
          <w:ilvl w:val="0"/>
          <w:numId w:val="2"/>
        </w:numPr>
        <w:autoSpaceDE w:val="0"/>
        <w:autoSpaceDN w:val="0"/>
        <w:adjustRightInd w:val="0"/>
        <w:spacing w:after="0" w:line="276" w:lineRule="auto"/>
        <w:ind w:left="576" w:hanging="576"/>
        <w:rPr>
          <w:rFonts w:ascii="Arial" w:eastAsia="Arial" w:hAnsi="Arial" w:cs="Arial"/>
          <w:noProof/>
          <w:kern w:val="0"/>
          <w:sz w:val="22"/>
          <w:szCs w:val="22"/>
          <w:u w:val="single"/>
          <w:lang w:val="en-US"/>
        </w:rPr>
      </w:pPr>
      <w:r w:rsidRPr="00DE3121">
        <w:rPr>
          <w:rFonts w:ascii="Arial" w:eastAsia="Arial" w:hAnsi="Arial" w:cs="Arial"/>
          <w:sz w:val="22"/>
          <w:szCs w:val="22"/>
          <w:lang w:val="en-US"/>
        </w:rPr>
        <w:t xml:space="preserve">Raymond G, Aubourg P, </w:t>
      </w:r>
      <w:proofErr w:type="gramStart"/>
      <w:r w:rsidRPr="00DE3121">
        <w:rPr>
          <w:rFonts w:ascii="Arial" w:eastAsia="Arial" w:hAnsi="Arial" w:cs="Arial"/>
          <w:sz w:val="22"/>
          <w:szCs w:val="22"/>
          <w:lang w:val="en-US"/>
        </w:rPr>
        <w:t>Paker  A</w:t>
      </w:r>
      <w:proofErr w:type="gramEnd"/>
      <w:r w:rsidRPr="00DE3121">
        <w:rPr>
          <w:rFonts w:ascii="Arial" w:eastAsia="Arial" w:hAnsi="Arial" w:cs="Arial"/>
          <w:sz w:val="22"/>
          <w:szCs w:val="22"/>
          <w:lang w:val="en-US"/>
        </w:rPr>
        <w:t>, et  al. Survival and functional outcomes in boys with cerebral adrenoleukodystrophy with and without hematopoietic stem cell transplantation. Biol Blood Marrow Transplant. 2019;25(3):538–548</w:t>
      </w:r>
    </w:p>
    <w:p w14:paraId="069D2EAC" w14:textId="77777777" w:rsidR="008D5602" w:rsidRPr="00DE3121" w:rsidRDefault="008D5602" w:rsidP="00DE3121">
      <w:pPr>
        <w:pStyle w:val="ListParagraph"/>
        <w:widowControl w:val="0"/>
        <w:numPr>
          <w:ilvl w:val="0"/>
          <w:numId w:val="2"/>
        </w:numPr>
        <w:autoSpaceDE w:val="0"/>
        <w:autoSpaceDN w:val="0"/>
        <w:adjustRightInd w:val="0"/>
        <w:spacing w:after="0" w:line="276" w:lineRule="auto"/>
        <w:ind w:left="576" w:hanging="576"/>
        <w:rPr>
          <w:rFonts w:ascii="Arial" w:eastAsia="Arial" w:hAnsi="Arial" w:cs="Arial"/>
          <w:noProof/>
          <w:kern w:val="0"/>
          <w:sz w:val="22"/>
          <w:szCs w:val="22"/>
          <w:lang w:val="en-US"/>
        </w:rPr>
      </w:pPr>
      <w:r w:rsidRPr="00DE3121">
        <w:rPr>
          <w:rFonts w:ascii="Arial" w:eastAsia="Arial" w:hAnsi="Arial" w:cs="Arial"/>
          <w:noProof/>
          <w:kern w:val="0"/>
          <w:sz w:val="22"/>
          <w:szCs w:val="22"/>
          <w:lang w:val="en-US"/>
        </w:rPr>
        <w:t>Orchard, P. J. et al</w:t>
      </w:r>
      <w:r w:rsidRPr="00DE3121">
        <w:rPr>
          <w:rFonts w:ascii="Arial" w:eastAsia="Arial" w:hAnsi="Arial" w:cs="Arial"/>
          <w:i/>
          <w:iCs/>
          <w:noProof/>
          <w:kern w:val="0"/>
          <w:sz w:val="22"/>
          <w:szCs w:val="22"/>
          <w:lang w:val="en-US"/>
        </w:rPr>
        <w:t>.</w:t>
      </w:r>
      <w:r w:rsidRPr="00DE3121">
        <w:rPr>
          <w:rFonts w:ascii="Arial" w:eastAsia="Arial" w:hAnsi="Arial" w:cs="Arial"/>
          <w:noProof/>
          <w:kern w:val="0"/>
          <w:sz w:val="22"/>
          <w:szCs w:val="22"/>
          <w:lang w:val="en-US"/>
        </w:rPr>
        <w:t xml:space="preserve"> Hematopoietic cell therapy for metabolic disease. J. Pediatr. 151, 340–346 (2007).</w:t>
      </w:r>
    </w:p>
    <w:p w14:paraId="671885E9" w14:textId="74DDBFFA" w:rsidR="008D5602" w:rsidRPr="00D4334E" w:rsidRDefault="008D5602" w:rsidP="00183F07">
      <w:pPr>
        <w:pStyle w:val="ListParagraph"/>
        <w:widowControl w:val="0"/>
        <w:numPr>
          <w:ilvl w:val="0"/>
          <w:numId w:val="2"/>
        </w:numPr>
        <w:autoSpaceDE w:val="0"/>
        <w:autoSpaceDN w:val="0"/>
        <w:adjustRightInd w:val="0"/>
        <w:spacing w:after="0" w:line="276" w:lineRule="auto"/>
        <w:ind w:left="576" w:hanging="576"/>
        <w:rPr>
          <w:rFonts w:ascii="Arial" w:eastAsia="Arial" w:hAnsi="Arial" w:cs="Arial"/>
          <w:noProof/>
          <w:kern w:val="0"/>
          <w:sz w:val="22"/>
          <w:szCs w:val="22"/>
          <w:lang w:val="en-US"/>
        </w:rPr>
      </w:pPr>
      <w:r w:rsidRPr="00D4334E">
        <w:rPr>
          <w:rFonts w:ascii="Arial" w:eastAsia="Arial" w:hAnsi="Arial" w:cs="Arial"/>
          <w:noProof/>
          <w:kern w:val="0"/>
          <w:sz w:val="22"/>
          <w:szCs w:val="22"/>
          <w:lang w:val="en-US"/>
        </w:rPr>
        <w:t>Peters, C. et al</w:t>
      </w:r>
      <w:r w:rsidRPr="00D4334E">
        <w:rPr>
          <w:rFonts w:ascii="Arial" w:eastAsia="Arial" w:hAnsi="Arial" w:cs="Arial"/>
          <w:i/>
          <w:iCs/>
          <w:noProof/>
          <w:kern w:val="0"/>
          <w:sz w:val="22"/>
          <w:szCs w:val="22"/>
          <w:lang w:val="en-US"/>
        </w:rPr>
        <w:t>.</w:t>
      </w:r>
      <w:r w:rsidRPr="00D4334E">
        <w:rPr>
          <w:rFonts w:ascii="Arial" w:eastAsia="Arial" w:hAnsi="Arial" w:cs="Arial"/>
          <w:noProof/>
          <w:kern w:val="0"/>
          <w:sz w:val="22"/>
          <w:szCs w:val="22"/>
          <w:lang w:val="en-US"/>
        </w:rPr>
        <w:t xml:space="preserve"> Cerebral X-linked adrenoleukodystrophy: the international hematopoietic cell transplantation experience from 1982 to 1999. Blood 104, 881–888 (2004).</w:t>
      </w:r>
    </w:p>
    <w:p w14:paraId="7710C8B9" w14:textId="77777777" w:rsidR="008D5602" w:rsidRPr="00DE3121" w:rsidRDefault="008D5602"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Powers JM, DeCiero DP, Ito M, Moser AB, Moser HW. Adrenomyeloneuropathy: a neuropathologic review featuring its noninflammatory myelopathy. J Neuropathol Exp Neurol. 2000;59(2):89–102.</w:t>
      </w:r>
    </w:p>
    <w:p w14:paraId="577DEFE6" w14:textId="77777777" w:rsidR="00C12591" w:rsidRPr="00DE3121" w:rsidRDefault="00C12591"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 xml:space="preserve">van Geel BM, Poll-The BT, </w:t>
      </w:r>
      <w:proofErr w:type="spellStart"/>
      <w:r w:rsidRPr="00DE3121">
        <w:rPr>
          <w:rFonts w:ascii="Arial" w:eastAsia="Arial" w:hAnsi="Arial" w:cs="Arial"/>
          <w:color w:val="000000"/>
          <w:kern w:val="0"/>
          <w:sz w:val="22"/>
          <w:szCs w:val="22"/>
          <w:lang w:val="en-US" w:eastAsia="el-GR"/>
        </w:rPr>
        <w:t>Verrips</w:t>
      </w:r>
      <w:proofErr w:type="spellEnd"/>
      <w:r w:rsidRPr="00DE3121">
        <w:rPr>
          <w:rFonts w:ascii="Arial" w:eastAsia="Arial" w:hAnsi="Arial" w:cs="Arial"/>
          <w:color w:val="000000"/>
          <w:kern w:val="0"/>
          <w:sz w:val="22"/>
          <w:szCs w:val="22"/>
          <w:lang w:val="en-US" w:eastAsia="el-GR"/>
        </w:rPr>
        <w:t xml:space="preserve"> A, Boelens JJ, Kemp S, Engelen M. Hematopoietic cell transplantation does not prevent myelopathy in X-linked adrenoleukodystrophy: a retrospective study. J Inherit </w:t>
      </w:r>
      <w:proofErr w:type="spellStart"/>
      <w:r w:rsidRPr="00DE3121">
        <w:rPr>
          <w:rFonts w:ascii="Arial" w:eastAsia="Arial" w:hAnsi="Arial" w:cs="Arial"/>
          <w:color w:val="000000"/>
          <w:kern w:val="0"/>
          <w:sz w:val="22"/>
          <w:szCs w:val="22"/>
          <w:lang w:val="en-US" w:eastAsia="el-GR"/>
        </w:rPr>
        <w:t>Metab</w:t>
      </w:r>
      <w:proofErr w:type="spellEnd"/>
      <w:r w:rsidRPr="00DE3121">
        <w:rPr>
          <w:rFonts w:ascii="Arial" w:eastAsia="Arial" w:hAnsi="Arial" w:cs="Arial"/>
          <w:color w:val="000000"/>
          <w:kern w:val="0"/>
          <w:sz w:val="22"/>
          <w:szCs w:val="22"/>
          <w:lang w:val="en-US" w:eastAsia="el-GR"/>
        </w:rPr>
        <w:t xml:space="preserve"> </w:t>
      </w:r>
      <w:r w:rsidRPr="00DE3121">
        <w:rPr>
          <w:rFonts w:ascii="Arial" w:eastAsia="Arial" w:hAnsi="Arial" w:cs="Arial"/>
          <w:kern w:val="0"/>
          <w:sz w:val="22"/>
          <w:szCs w:val="22"/>
          <w:lang w:val="en-US" w:eastAsia="el-GR"/>
        </w:rPr>
        <w:t>Dis. 2015;</w:t>
      </w:r>
      <w:r w:rsidRPr="00DE3121">
        <w:rPr>
          <w:rFonts w:ascii="Arial" w:eastAsia="Arial" w:hAnsi="Arial" w:cs="Arial"/>
          <w:sz w:val="22"/>
          <w:szCs w:val="22"/>
          <w:shd w:val="clear" w:color="auto" w:fill="FFFFFF"/>
          <w:lang w:val="en-US"/>
        </w:rPr>
        <w:t xml:space="preserve"> 38(2):359-61</w:t>
      </w:r>
    </w:p>
    <w:p w14:paraId="762D9C3E" w14:textId="77777777" w:rsidR="00C12591" w:rsidRPr="00DE3121" w:rsidRDefault="00C12591" w:rsidP="00DE3121">
      <w:pPr>
        <w:pStyle w:val="ListParagraph"/>
        <w:numPr>
          <w:ilvl w:val="0"/>
          <w:numId w:val="2"/>
        </w:numPr>
        <w:spacing w:after="0" w:line="276" w:lineRule="auto"/>
        <w:ind w:left="576" w:hanging="576"/>
        <w:rPr>
          <w:rFonts w:ascii="Arial" w:eastAsia="Arial" w:hAnsi="Arial" w:cs="Arial"/>
          <w:sz w:val="22"/>
          <w:szCs w:val="22"/>
          <w:lang w:val="en-US"/>
        </w:rPr>
      </w:pPr>
      <w:r w:rsidRPr="00DE3121">
        <w:rPr>
          <w:rFonts w:ascii="Arial" w:eastAsia="Arial" w:hAnsi="Arial" w:cs="Arial"/>
          <w:sz w:val="22"/>
          <w:szCs w:val="22"/>
          <w:lang w:val="en-US"/>
        </w:rPr>
        <w:t xml:space="preserve">Petryk A, </w:t>
      </w:r>
      <w:proofErr w:type="spellStart"/>
      <w:r w:rsidRPr="00DE3121">
        <w:rPr>
          <w:rFonts w:ascii="Arial" w:eastAsia="Arial" w:hAnsi="Arial" w:cs="Arial"/>
          <w:sz w:val="22"/>
          <w:szCs w:val="22"/>
          <w:lang w:val="en-US"/>
        </w:rPr>
        <w:t>Polgreen</w:t>
      </w:r>
      <w:proofErr w:type="spellEnd"/>
      <w:r w:rsidRPr="00DE3121">
        <w:rPr>
          <w:rFonts w:ascii="Arial" w:eastAsia="Arial" w:hAnsi="Arial" w:cs="Arial"/>
          <w:sz w:val="22"/>
          <w:szCs w:val="22"/>
          <w:lang w:val="en-US"/>
        </w:rPr>
        <w:t xml:space="preserve"> LE, </w:t>
      </w:r>
      <w:proofErr w:type="spellStart"/>
      <w:r w:rsidRPr="00DE3121">
        <w:rPr>
          <w:rFonts w:ascii="Arial" w:eastAsia="Arial" w:hAnsi="Arial" w:cs="Arial"/>
          <w:sz w:val="22"/>
          <w:szCs w:val="22"/>
          <w:lang w:val="en-US"/>
        </w:rPr>
        <w:t>Chahla</w:t>
      </w:r>
      <w:proofErr w:type="spellEnd"/>
      <w:r w:rsidRPr="00DE3121">
        <w:rPr>
          <w:rFonts w:ascii="Arial" w:eastAsia="Arial" w:hAnsi="Arial" w:cs="Arial"/>
          <w:sz w:val="22"/>
          <w:szCs w:val="22"/>
          <w:lang w:val="en-US"/>
        </w:rPr>
        <w:t xml:space="preserve"> S, Miller W, Orchard PJ. No evidence for the reversal of adrenal failure after hematopoietic cell transplantation in X-linked adrenoleukodystrophy. Bone Marrow Transplant. 2012;47(10):1377–1378.</w:t>
      </w:r>
    </w:p>
    <w:p w14:paraId="73147FFA" w14:textId="77777777" w:rsidR="00C12591" w:rsidRPr="00DE3121" w:rsidRDefault="00C12591"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 xml:space="preserve">Cartier N, </w:t>
      </w:r>
      <w:proofErr w:type="spellStart"/>
      <w:r w:rsidRPr="00DE3121">
        <w:rPr>
          <w:rFonts w:ascii="Arial" w:eastAsia="Arial" w:hAnsi="Arial" w:cs="Arial"/>
          <w:color w:val="000000"/>
          <w:kern w:val="0"/>
          <w:sz w:val="22"/>
          <w:szCs w:val="22"/>
          <w:lang w:val="en-US" w:eastAsia="el-GR"/>
        </w:rPr>
        <w:t>Hacein</w:t>
      </w:r>
      <w:proofErr w:type="spellEnd"/>
      <w:r w:rsidRPr="00DE3121">
        <w:rPr>
          <w:rFonts w:ascii="Arial" w:eastAsia="Arial" w:hAnsi="Arial" w:cs="Arial"/>
          <w:color w:val="000000"/>
          <w:kern w:val="0"/>
          <w:sz w:val="22"/>
          <w:szCs w:val="22"/>
          <w:lang w:val="en-US" w:eastAsia="el-GR"/>
        </w:rPr>
        <w:t xml:space="preserve">-Bey-Abina S, Bartholomae CC, </w:t>
      </w:r>
      <w:proofErr w:type="spellStart"/>
      <w:r w:rsidRPr="00DE3121">
        <w:rPr>
          <w:rFonts w:ascii="Arial" w:eastAsia="Arial" w:hAnsi="Arial" w:cs="Arial"/>
          <w:color w:val="000000"/>
          <w:kern w:val="0"/>
          <w:sz w:val="22"/>
          <w:szCs w:val="22"/>
          <w:lang w:val="en-US" w:eastAsia="el-GR"/>
        </w:rPr>
        <w:t>Bougneres</w:t>
      </w:r>
      <w:proofErr w:type="spellEnd"/>
      <w:r w:rsidRPr="00DE3121">
        <w:rPr>
          <w:rFonts w:ascii="Arial" w:eastAsia="Arial" w:hAnsi="Arial" w:cs="Arial"/>
          <w:color w:val="000000"/>
          <w:kern w:val="0"/>
          <w:sz w:val="22"/>
          <w:szCs w:val="22"/>
          <w:lang w:val="en-US" w:eastAsia="el-GR"/>
        </w:rPr>
        <w:t xml:space="preserve"> P, Schmidt M, Kalle C V, et al. Lentiviral hematopoietic cell gene therapy for X-linked adrenoleukodystrophy. Methods </w:t>
      </w:r>
      <w:proofErr w:type="spellStart"/>
      <w:r w:rsidRPr="00DE3121">
        <w:rPr>
          <w:rFonts w:ascii="Arial" w:eastAsia="Arial" w:hAnsi="Arial" w:cs="Arial"/>
          <w:color w:val="000000"/>
          <w:kern w:val="0"/>
          <w:sz w:val="22"/>
          <w:szCs w:val="22"/>
          <w:lang w:val="en-US" w:eastAsia="el-GR"/>
        </w:rPr>
        <w:t>Enzym</w:t>
      </w:r>
      <w:proofErr w:type="spellEnd"/>
      <w:r w:rsidRPr="00DE3121">
        <w:rPr>
          <w:rFonts w:ascii="Arial" w:eastAsia="Arial" w:hAnsi="Arial" w:cs="Arial"/>
          <w:color w:val="000000"/>
          <w:kern w:val="0"/>
          <w:sz w:val="22"/>
          <w:szCs w:val="22"/>
          <w:lang w:val="en-US" w:eastAsia="el-GR"/>
        </w:rPr>
        <w:t>. 2012; 507:187–98.</w:t>
      </w:r>
    </w:p>
    <w:p w14:paraId="2D678443" w14:textId="77777777" w:rsidR="00A50678" w:rsidRPr="00DE3121" w:rsidRDefault="00A50678"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Eichler F, Duncan C, Musolino PL, Orchard PJ, De Oliveira S, Thrasher AJ, et al. Hematopoietic Stem-Cell Gene Therapy for Cerebral Adrenoleukodystrophy. N Engl J Med. 2017;377(17):1630–8.</w:t>
      </w:r>
    </w:p>
    <w:p w14:paraId="146DE85B" w14:textId="77777777" w:rsidR="00A50678" w:rsidRPr="00DE3121" w:rsidRDefault="00A50678"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 xml:space="preserve">Rothe M, </w:t>
      </w:r>
      <w:proofErr w:type="spellStart"/>
      <w:r w:rsidRPr="00DE3121">
        <w:rPr>
          <w:rFonts w:ascii="Arial" w:eastAsia="Arial" w:hAnsi="Arial" w:cs="Arial"/>
          <w:color w:val="000000"/>
          <w:kern w:val="0"/>
          <w:sz w:val="22"/>
          <w:szCs w:val="22"/>
          <w:lang w:val="en-US" w:eastAsia="el-GR"/>
        </w:rPr>
        <w:t>Modlich</w:t>
      </w:r>
      <w:proofErr w:type="spellEnd"/>
      <w:r w:rsidRPr="00DE3121">
        <w:rPr>
          <w:rFonts w:ascii="Arial" w:eastAsia="Arial" w:hAnsi="Arial" w:cs="Arial"/>
          <w:color w:val="000000"/>
          <w:kern w:val="0"/>
          <w:sz w:val="22"/>
          <w:szCs w:val="22"/>
          <w:lang w:val="en-US" w:eastAsia="el-GR"/>
        </w:rPr>
        <w:t xml:space="preserve"> U, Schambach A. Biosafety challenges for use of lentiviral vectors in gene therapy. Curr Gene Ther. 2013;13(6):453–68.</w:t>
      </w:r>
    </w:p>
    <w:p w14:paraId="21FB0D37" w14:textId="77777777" w:rsidR="00A50678" w:rsidRPr="00DE3121" w:rsidRDefault="00A50678"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Engelen M. Optimizing Treatment for Cerebral Adrenoleukodystrophy in the Era of Gene Therapy. N Engl J Med. 2017;</w:t>
      </w:r>
      <w:r w:rsidRPr="00DE3121">
        <w:rPr>
          <w:rFonts w:ascii="Arial" w:eastAsia="Arial" w:hAnsi="Arial" w:cs="Arial"/>
          <w:noProof/>
          <w:kern w:val="0"/>
          <w:sz w:val="22"/>
          <w:szCs w:val="22"/>
          <w:lang w:val="en-US"/>
        </w:rPr>
        <w:t>377, 1682–1684.</w:t>
      </w:r>
    </w:p>
    <w:p w14:paraId="215BB1E9" w14:textId="77777777" w:rsidR="00A50678" w:rsidRPr="00DE3121" w:rsidRDefault="00A50678" w:rsidP="00DE3121">
      <w:pPr>
        <w:pStyle w:val="ListParagraph"/>
        <w:widowControl w:val="0"/>
        <w:numPr>
          <w:ilvl w:val="0"/>
          <w:numId w:val="2"/>
        </w:numPr>
        <w:autoSpaceDE w:val="0"/>
        <w:autoSpaceDN w:val="0"/>
        <w:adjustRightInd w:val="0"/>
        <w:spacing w:after="0" w:line="276" w:lineRule="auto"/>
        <w:ind w:left="576" w:hanging="576"/>
        <w:rPr>
          <w:rFonts w:ascii="Arial" w:eastAsia="Arial" w:hAnsi="Arial" w:cs="Arial"/>
          <w:noProof/>
          <w:kern w:val="0"/>
          <w:sz w:val="22"/>
          <w:szCs w:val="22"/>
          <w:lang w:val="en-US"/>
        </w:rPr>
      </w:pPr>
      <w:r w:rsidRPr="00DE3121">
        <w:rPr>
          <w:rFonts w:ascii="Arial" w:eastAsia="Arial" w:hAnsi="Arial" w:cs="Arial"/>
          <w:noProof/>
          <w:kern w:val="0"/>
          <w:sz w:val="22"/>
          <w:szCs w:val="22"/>
          <w:lang w:val="en-US"/>
        </w:rPr>
        <w:t>Kahraman, S. et al. Successful haematopoietic stem cell transplantation in 44 children from healthy siblings conceived after preimplantation HLA matching. Reprod. Biomed. Online 29, 340–351 (2014).</w:t>
      </w:r>
    </w:p>
    <w:p w14:paraId="12A91880" w14:textId="77777777" w:rsidR="00A50678" w:rsidRPr="00DE3121" w:rsidRDefault="00A50678"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 xml:space="preserve">Kemp S, Berger J, Aubourg P. X-linked adrenoleukodystrophy: Clinical, metabolic, genetic and pathophysiological aspects. </w:t>
      </w:r>
      <w:proofErr w:type="spellStart"/>
      <w:r w:rsidRPr="00DE3121">
        <w:rPr>
          <w:rFonts w:ascii="Arial" w:eastAsia="Arial" w:hAnsi="Arial" w:cs="Arial"/>
          <w:color w:val="000000"/>
          <w:kern w:val="0"/>
          <w:sz w:val="22"/>
          <w:szCs w:val="22"/>
          <w:lang w:val="en-US" w:eastAsia="el-GR"/>
        </w:rPr>
        <w:t>Biochim</w:t>
      </w:r>
      <w:proofErr w:type="spellEnd"/>
      <w:r w:rsidRPr="00DE3121">
        <w:rPr>
          <w:rFonts w:ascii="Arial" w:eastAsia="Arial" w:hAnsi="Arial" w:cs="Arial"/>
          <w:color w:val="000000"/>
          <w:kern w:val="0"/>
          <w:sz w:val="22"/>
          <w:szCs w:val="22"/>
          <w:lang w:val="en-US" w:eastAsia="el-GR"/>
        </w:rPr>
        <w:t xml:space="preserve"> </w:t>
      </w:r>
      <w:proofErr w:type="spellStart"/>
      <w:r w:rsidRPr="00DE3121">
        <w:rPr>
          <w:rFonts w:ascii="Arial" w:eastAsia="Arial" w:hAnsi="Arial" w:cs="Arial"/>
          <w:color w:val="000000"/>
          <w:kern w:val="0"/>
          <w:sz w:val="22"/>
          <w:szCs w:val="22"/>
          <w:lang w:val="en-US" w:eastAsia="el-GR"/>
        </w:rPr>
        <w:t>Biophys</w:t>
      </w:r>
      <w:proofErr w:type="spellEnd"/>
      <w:r w:rsidRPr="00DE3121">
        <w:rPr>
          <w:rFonts w:ascii="Arial" w:eastAsia="Arial" w:hAnsi="Arial" w:cs="Arial"/>
          <w:color w:val="000000"/>
          <w:kern w:val="0"/>
          <w:sz w:val="22"/>
          <w:szCs w:val="22"/>
          <w:lang w:val="en-US" w:eastAsia="el-GR"/>
        </w:rPr>
        <w:t xml:space="preserve"> Acta. 2012;1822(9):1465–74.</w:t>
      </w:r>
    </w:p>
    <w:p w14:paraId="1665802B" w14:textId="77777777" w:rsidR="00A50678" w:rsidRPr="00DE3121" w:rsidRDefault="00A50678"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 xml:space="preserve">Netik A, Forss-Petter S, Holzinger A, Molzer B, </w:t>
      </w:r>
      <w:proofErr w:type="spellStart"/>
      <w:r w:rsidRPr="00DE3121">
        <w:rPr>
          <w:rFonts w:ascii="Arial" w:eastAsia="Arial" w:hAnsi="Arial" w:cs="Arial"/>
          <w:color w:val="000000"/>
          <w:kern w:val="0"/>
          <w:sz w:val="22"/>
          <w:szCs w:val="22"/>
          <w:lang w:val="en-US" w:eastAsia="el-GR"/>
        </w:rPr>
        <w:t>Unterrainer</w:t>
      </w:r>
      <w:proofErr w:type="spellEnd"/>
      <w:r w:rsidRPr="00DE3121">
        <w:rPr>
          <w:rFonts w:ascii="Arial" w:eastAsia="Arial" w:hAnsi="Arial" w:cs="Arial"/>
          <w:color w:val="000000"/>
          <w:kern w:val="0"/>
          <w:sz w:val="22"/>
          <w:szCs w:val="22"/>
          <w:lang w:val="en-US" w:eastAsia="el-GR"/>
        </w:rPr>
        <w:t xml:space="preserve"> G, Berger J. Adrenoleukodystrophy-related protein can compensate functionally for</w:t>
      </w:r>
      <w:r w:rsidRPr="00DE3121">
        <w:rPr>
          <w:rFonts w:ascii="Arial" w:eastAsia="Times New Roman" w:hAnsi="Arial" w:cs="Arial"/>
          <w:color w:val="000000"/>
          <w:kern w:val="0"/>
          <w:sz w:val="22"/>
          <w:szCs w:val="22"/>
          <w:lang w:val="en-US" w:eastAsia="el-GR"/>
        </w:rPr>
        <w:t xml:space="preserve"> adrenoleukodystrophy protein deficiency (X-ALD): implications for therapy. Hum Mol Genet. 1999;8(5):907–13.</w:t>
      </w:r>
    </w:p>
    <w:p w14:paraId="0BC6D5A2" w14:textId="77777777" w:rsidR="00A50678" w:rsidRPr="00DE3121" w:rsidRDefault="00A50678"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 xml:space="preserve">Fourcade S, Ruiz M, </w:t>
      </w:r>
      <w:proofErr w:type="spellStart"/>
      <w:r w:rsidRPr="00DE3121">
        <w:rPr>
          <w:rFonts w:ascii="Arial" w:eastAsia="Arial" w:hAnsi="Arial" w:cs="Arial"/>
          <w:color w:val="000000"/>
          <w:kern w:val="0"/>
          <w:sz w:val="22"/>
          <w:szCs w:val="22"/>
          <w:lang w:val="en-US" w:eastAsia="el-GR"/>
        </w:rPr>
        <w:t>Guilera</w:t>
      </w:r>
      <w:proofErr w:type="spellEnd"/>
      <w:r w:rsidRPr="00DE3121">
        <w:rPr>
          <w:rFonts w:ascii="Arial" w:eastAsia="Arial" w:hAnsi="Arial" w:cs="Arial"/>
          <w:color w:val="000000"/>
          <w:kern w:val="0"/>
          <w:sz w:val="22"/>
          <w:szCs w:val="22"/>
          <w:lang w:val="en-US" w:eastAsia="el-GR"/>
        </w:rPr>
        <w:t xml:space="preserve"> C, </w:t>
      </w:r>
      <w:proofErr w:type="spellStart"/>
      <w:r w:rsidRPr="00DE3121">
        <w:rPr>
          <w:rFonts w:ascii="Arial" w:eastAsia="Arial" w:hAnsi="Arial" w:cs="Arial"/>
          <w:color w:val="000000"/>
          <w:kern w:val="0"/>
          <w:sz w:val="22"/>
          <w:szCs w:val="22"/>
          <w:lang w:val="en-US" w:eastAsia="el-GR"/>
        </w:rPr>
        <w:t>Hahnen</w:t>
      </w:r>
      <w:proofErr w:type="spellEnd"/>
      <w:r w:rsidRPr="00DE3121">
        <w:rPr>
          <w:rFonts w:ascii="Arial" w:eastAsia="Arial" w:hAnsi="Arial" w:cs="Arial"/>
          <w:color w:val="000000"/>
          <w:kern w:val="0"/>
          <w:sz w:val="22"/>
          <w:szCs w:val="22"/>
          <w:lang w:val="en-US" w:eastAsia="el-GR"/>
        </w:rPr>
        <w:t xml:space="preserve"> E, Brichta L, Naudi A, et al. Valproic acid induces antioxidant effects in X-linked adrenoleukodystrophy. Hum Mol Genet. 2010;19(10):2005–14.</w:t>
      </w:r>
    </w:p>
    <w:p w14:paraId="42FB92AC" w14:textId="77777777" w:rsidR="003B7700" w:rsidRPr="00DE3121" w:rsidRDefault="00A50678"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nl-NL" w:eastAsia="el-GR"/>
        </w:rPr>
        <w:t xml:space="preserve">Jang J, Kim HS, Kang JW, Kang HC. </w:t>
      </w:r>
      <w:r w:rsidRPr="00DE3121">
        <w:rPr>
          <w:rFonts w:ascii="Arial" w:eastAsia="Arial" w:hAnsi="Arial" w:cs="Arial"/>
          <w:color w:val="000000"/>
          <w:kern w:val="0"/>
          <w:sz w:val="22"/>
          <w:szCs w:val="22"/>
          <w:lang w:val="en-US" w:eastAsia="el-GR"/>
        </w:rPr>
        <w:t xml:space="preserve">The genetically modified </w:t>
      </w:r>
      <w:proofErr w:type="spellStart"/>
      <w:r w:rsidRPr="00DE3121">
        <w:rPr>
          <w:rFonts w:ascii="Arial" w:eastAsia="Arial" w:hAnsi="Arial" w:cs="Arial"/>
          <w:color w:val="000000"/>
          <w:kern w:val="0"/>
          <w:sz w:val="22"/>
          <w:szCs w:val="22"/>
          <w:lang w:val="en-US" w:eastAsia="el-GR"/>
        </w:rPr>
        <w:t>polysialylated</w:t>
      </w:r>
      <w:proofErr w:type="spellEnd"/>
      <w:r w:rsidRPr="00DE3121">
        <w:rPr>
          <w:rFonts w:ascii="Arial" w:eastAsia="Arial" w:hAnsi="Arial" w:cs="Arial"/>
          <w:color w:val="000000"/>
          <w:kern w:val="0"/>
          <w:sz w:val="22"/>
          <w:szCs w:val="22"/>
          <w:lang w:val="en-US" w:eastAsia="el-GR"/>
        </w:rPr>
        <w:t xml:space="preserve"> form of neural cell adhesion molecule-positive cells for potential treatment of X-linked adrenoleukodystrophy. Yonsei Med J. 2013;54(1):246–52.</w:t>
      </w:r>
    </w:p>
    <w:p w14:paraId="19E8F361" w14:textId="77777777" w:rsidR="00A50678" w:rsidRPr="00DE3121" w:rsidRDefault="00A50678"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proofErr w:type="spellStart"/>
      <w:r w:rsidRPr="00DE3121">
        <w:rPr>
          <w:rFonts w:ascii="Arial" w:eastAsia="Arial" w:hAnsi="Arial" w:cs="Arial"/>
          <w:color w:val="000000"/>
          <w:kern w:val="0"/>
          <w:sz w:val="22"/>
          <w:szCs w:val="22"/>
          <w:lang w:val="en-US" w:eastAsia="el-GR"/>
        </w:rPr>
        <w:lastRenderedPageBreak/>
        <w:t>Gondcaille</w:t>
      </w:r>
      <w:proofErr w:type="spellEnd"/>
      <w:r w:rsidRPr="00DE3121">
        <w:rPr>
          <w:rFonts w:ascii="Arial" w:eastAsia="Arial" w:hAnsi="Arial" w:cs="Arial"/>
          <w:color w:val="000000"/>
          <w:kern w:val="0"/>
          <w:sz w:val="22"/>
          <w:szCs w:val="22"/>
          <w:lang w:val="en-US" w:eastAsia="el-GR"/>
        </w:rPr>
        <w:t xml:space="preserve"> C, Genin EC, Lopez TE, Dias AM, </w:t>
      </w:r>
      <w:proofErr w:type="spellStart"/>
      <w:r w:rsidRPr="00DE3121">
        <w:rPr>
          <w:rFonts w:ascii="Arial" w:eastAsia="Arial" w:hAnsi="Arial" w:cs="Arial"/>
          <w:color w:val="000000"/>
          <w:kern w:val="0"/>
          <w:sz w:val="22"/>
          <w:szCs w:val="22"/>
          <w:lang w:val="en-US" w:eastAsia="el-GR"/>
        </w:rPr>
        <w:t>Geillon</w:t>
      </w:r>
      <w:proofErr w:type="spellEnd"/>
      <w:r w:rsidRPr="00DE3121">
        <w:rPr>
          <w:rFonts w:ascii="Arial" w:eastAsia="Arial" w:hAnsi="Arial" w:cs="Arial"/>
          <w:color w:val="000000"/>
          <w:kern w:val="0"/>
          <w:sz w:val="22"/>
          <w:szCs w:val="22"/>
          <w:lang w:val="en-US" w:eastAsia="el-GR"/>
        </w:rPr>
        <w:t xml:space="preserve"> F, </w:t>
      </w:r>
      <w:proofErr w:type="spellStart"/>
      <w:r w:rsidRPr="00DE3121">
        <w:rPr>
          <w:rFonts w:ascii="Arial" w:eastAsia="Arial" w:hAnsi="Arial" w:cs="Arial"/>
          <w:color w:val="000000"/>
          <w:kern w:val="0"/>
          <w:sz w:val="22"/>
          <w:szCs w:val="22"/>
          <w:lang w:val="en-US" w:eastAsia="el-GR"/>
        </w:rPr>
        <w:t>Andreoletti</w:t>
      </w:r>
      <w:proofErr w:type="spellEnd"/>
      <w:r w:rsidRPr="00DE3121">
        <w:rPr>
          <w:rFonts w:ascii="Arial" w:eastAsia="Arial" w:hAnsi="Arial" w:cs="Arial"/>
          <w:color w:val="000000"/>
          <w:kern w:val="0"/>
          <w:sz w:val="22"/>
          <w:szCs w:val="22"/>
          <w:lang w:val="en-US" w:eastAsia="el-GR"/>
        </w:rPr>
        <w:t xml:space="preserve"> P, et al. LXR antagonists induce ABCD2 expression. </w:t>
      </w:r>
      <w:proofErr w:type="spellStart"/>
      <w:r w:rsidRPr="00DE3121">
        <w:rPr>
          <w:rFonts w:ascii="Arial" w:eastAsia="Arial" w:hAnsi="Arial" w:cs="Arial"/>
          <w:color w:val="000000"/>
          <w:kern w:val="0"/>
          <w:sz w:val="22"/>
          <w:szCs w:val="22"/>
          <w:lang w:val="en-US" w:eastAsia="el-GR"/>
        </w:rPr>
        <w:t>Biochim</w:t>
      </w:r>
      <w:proofErr w:type="spellEnd"/>
      <w:r w:rsidRPr="00DE3121">
        <w:rPr>
          <w:rFonts w:ascii="Arial" w:eastAsia="Arial" w:hAnsi="Arial" w:cs="Arial"/>
          <w:color w:val="000000"/>
          <w:kern w:val="0"/>
          <w:sz w:val="22"/>
          <w:szCs w:val="22"/>
          <w:lang w:val="en-US" w:eastAsia="el-GR"/>
        </w:rPr>
        <w:t xml:space="preserve"> </w:t>
      </w:r>
      <w:proofErr w:type="spellStart"/>
      <w:r w:rsidRPr="00DE3121">
        <w:rPr>
          <w:rFonts w:ascii="Arial" w:eastAsia="Arial" w:hAnsi="Arial" w:cs="Arial"/>
          <w:color w:val="000000"/>
          <w:kern w:val="0"/>
          <w:sz w:val="22"/>
          <w:szCs w:val="22"/>
          <w:lang w:val="en-US" w:eastAsia="el-GR"/>
        </w:rPr>
        <w:t>Biophys</w:t>
      </w:r>
      <w:proofErr w:type="spellEnd"/>
      <w:r w:rsidRPr="00DE3121">
        <w:rPr>
          <w:rFonts w:ascii="Arial" w:eastAsia="Arial" w:hAnsi="Arial" w:cs="Arial"/>
          <w:color w:val="000000"/>
          <w:kern w:val="0"/>
          <w:sz w:val="22"/>
          <w:szCs w:val="22"/>
          <w:lang w:val="en-US" w:eastAsia="el-GR"/>
        </w:rPr>
        <w:t xml:space="preserve"> Acta. 2014;1841(2):259–66.</w:t>
      </w:r>
    </w:p>
    <w:p w14:paraId="24319BBE" w14:textId="2902A954" w:rsidR="003B7700" w:rsidRPr="00DE3121" w:rsidRDefault="00D4334E" w:rsidP="00DE3121">
      <w:pPr>
        <w:pStyle w:val="ListParagraph"/>
        <w:numPr>
          <w:ilvl w:val="0"/>
          <w:numId w:val="2"/>
        </w:numPr>
        <w:tabs>
          <w:tab w:val="clear" w:pos="720"/>
          <w:tab w:val="num" w:pos="426"/>
        </w:tabs>
        <w:spacing w:after="0" w:line="276" w:lineRule="auto"/>
        <w:ind w:left="576" w:hanging="576"/>
        <w:textAlignment w:val="baseline"/>
        <w:rPr>
          <w:rFonts w:ascii="Arial" w:eastAsia="Arial" w:hAnsi="Arial" w:cs="Arial"/>
          <w:color w:val="000000"/>
          <w:kern w:val="0"/>
          <w:sz w:val="22"/>
          <w:szCs w:val="22"/>
          <w:lang w:val="en-US" w:eastAsia="el-GR"/>
        </w:rPr>
      </w:pPr>
      <w:r>
        <w:rPr>
          <w:rFonts w:ascii="Arial" w:eastAsia="Arial" w:hAnsi="Arial" w:cs="Arial"/>
          <w:color w:val="000000"/>
          <w:kern w:val="0"/>
          <w:sz w:val="22"/>
          <w:szCs w:val="22"/>
          <w:lang w:val="nl-NL" w:eastAsia="el-GR"/>
        </w:rPr>
        <w:t xml:space="preserve">  </w:t>
      </w:r>
      <w:r w:rsidR="003B7700" w:rsidRPr="00DE3121">
        <w:rPr>
          <w:rFonts w:ascii="Arial" w:eastAsia="Arial" w:hAnsi="Arial" w:cs="Arial"/>
          <w:color w:val="000000"/>
          <w:kern w:val="0"/>
          <w:sz w:val="22"/>
          <w:szCs w:val="22"/>
          <w:lang w:val="nl-NL" w:eastAsia="el-GR"/>
        </w:rPr>
        <w:t xml:space="preserve">Park CY, Kim HS, Jang J, Lee H, Lee JS, Yoo JE, et al. </w:t>
      </w:r>
      <w:r w:rsidR="003B7700" w:rsidRPr="00DE3121">
        <w:rPr>
          <w:rFonts w:ascii="Arial" w:eastAsia="Arial" w:hAnsi="Arial" w:cs="Arial"/>
          <w:color w:val="000000"/>
          <w:kern w:val="0"/>
          <w:sz w:val="22"/>
          <w:szCs w:val="22"/>
          <w:lang w:val="en-US" w:eastAsia="el-GR"/>
        </w:rPr>
        <w:t xml:space="preserve">ABCD2 is a direct target of beta-catenin and TCF-4: implications for X-linked adrenoleukodystrophy therapy. </w:t>
      </w:r>
      <w:proofErr w:type="spellStart"/>
      <w:r w:rsidR="003B7700" w:rsidRPr="00DE3121">
        <w:rPr>
          <w:rFonts w:ascii="Arial" w:eastAsia="Arial" w:hAnsi="Arial" w:cs="Arial"/>
          <w:color w:val="000000"/>
          <w:kern w:val="0"/>
          <w:sz w:val="22"/>
          <w:szCs w:val="22"/>
          <w:lang w:val="en-US" w:eastAsia="el-GR"/>
        </w:rPr>
        <w:t>PLoS</w:t>
      </w:r>
      <w:proofErr w:type="spellEnd"/>
      <w:r w:rsidR="003B7700" w:rsidRPr="00DE3121">
        <w:rPr>
          <w:rFonts w:ascii="Arial" w:eastAsia="Arial" w:hAnsi="Arial" w:cs="Arial"/>
          <w:color w:val="000000"/>
          <w:kern w:val="0"/>
          <w:sz w:val="22"/>
          <w:szCs w:val="22"/>
          <w:lang w:val="en-US" w:eastAsia="el-GR"/>
        </w:rPr>
        <w:t xml:space="preserve"> One. 2013;8(2):</w:t>
      </w:r>
      <w:r w:rsidR="0034A589" w:rsidRPr="00DE3121">
        <w:rPr>
          <w:rFonts w:ascii="Arial" w:eastAsia="Arial" w:hAnsi="Arial" w:cs="Arial"/>
          <w:color w:val="000000"/>
          <w:kern w:val="0"/>
          <w:sz w:val="22"/>
          <w:szCs w:val="22"/>
          <w:lang w:val="en-US" w:eastAsia="el-GR"/>
        </w:rPr>
        <w:t xml:space="preserve"> </w:t>
      </w:r>
      <w:r w:rsidR="003B7700" w:rsidRPr="00DE3121">
        <w:rPr>
          <w:rFonts w:ascii="Arial" w:eastAsia="Arial" w:hAnsi="Arial" w:cs="Arial"/>
          <w:color w:val="000000"/>
          <w:kern w:val="0"/>
          <w:sz w:val="22"/>
          <w:szCs w:val="22"/>
          <w:lang w:val="en-US" w:eastAsia="el-GR"/>
        </w:rPr>
        <w:t>e</w:t>
      </w:r>
      <w:r w:rsidR="23C3742A" w:rsidRPr="00DE3121">
        <w:rPr>
          <w:rFonts w:ascii="Arial" w:eastAsia="Arial" w:hAnsi="Arial" w:cs="Arial"/>
          <w:color w:val="000000"/>
          <w:kern w:val="0"/>
          <w:sz w:val="22"/>
          <w:szCs w:val="22"/>
          <w:lang w:val="en-US" w:eastAsia="el-GR"/>
        </w:rPr>
        <w:t xml:space="preserve"> </w:t>
      </w:r>
      <w:r w:rsidR="003B7700" w:rsidRPr="00DE3121">
        <w:rPr>
          <w:rFonts w:ascii="Arial" w:eastAsia="Arial" w:hAnsi="Arial" w:cs="Arial"/>
          <w:color w:val="000000"/>
          <w:kern w:val="0"/>
          <w:sz w:val="22"/>
          <w:szCs w:val="22"/>
          <w:lang w:val="en-US" w:eastAsia="el-GR"/>
        </w:rPr>
        <w:t>56242.</w:t>
      </w:r>
    </w:p>
    <w:p w14:paraId="7BAC5FE8" w14:textId="77777777" w:rsidR="003B7700" w:rsidRPr="00DE3121" w:rsidRDefault="003B7700" w:rsidP="00DE3121">
      <w:pPr>
        <w:pStyle w:val="ListParagraph"/>
        <w:keepNext/>
        <w:widowControl w:val="0"/>
        <w:numPr>
          <w:ilvl w:val="0"/>
          <w:numId w:val="2"/>
        </w:numPr>
        <w:tabs>
          <w:tab w:val="clear" w:pos="720"/>
          <w:tab w:val="num" w:pos="426"/>
        </w:tabs>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 xml:space="preserve">Singh J, Olle B, Suhail H, </w:t>
      </w:r>
      <w:proofErr w:type="spellStart"/>
      <w:r w:rsidRPr="00DE3121">
        <w:rPr>
          <w:rFonts w:ascii="Arial" w:eastAsia="Arial" w:hAnsi="Arial" w:cs="Arial"/>
          <w:color w:val="000000"/>
          <w:kern w:val="0"/>
          <w:sz w:val="22"/>
          <w:szCs w:val="22"/>
          <w:lang w:val="en-US" w:eastAsia="el-GR"/>
        </w:rPr>
        <w:t>Felicella</w:t>
      </w:r>
      <w:proofErr w:type="spellEnd"/>
      <w:r w:rsidRPr="00DE3121">
        <w:rPr>
          <w:rFonts w:ascii="Arial" w:eastAsia="Arial" w:hAnsi="Arial" w:cs="Arial"/>
          <w:color w:val="000000"/>
          <w:kern w:val="0"/>
          <w:sz w:val="22"/>
          <w:szCs w:val="22"/>
          <w:lang w:val="en-US" w:eastAsia="el-GR"/>
        </w:rPr>
        <w:t xml:space="preserve"> MM, Giri S. Metformin-induced mitochondrial function and ABCD2 up-regulation in X-linked adrenoleukodystrophy involves AMP-activated protein kinase. J </w:t>
      </w:r>
      <w:proofErr w:type="spellStart"/>
      <w:r w:rsidRPr="00DE3121">
        <w:rPr>
          <w:rFonts w:ascii="Arial" w:eastAsia="Arial" w:hAnsi="Arial" w:cs="Arial"/>
          <w:color w:val="000000"/>
          <w:kern w:val="0"/>
          <w:sz w:val="22"/>
          <w:szCs w:val="22"/>
          <w:lang w:val="en-US" w:eastAsia="el-GR"/>
        </w:rPr>
        <w:t>Neurochem</w:t>
      </w:r>
      <w:proofErr w:type="spellEnd"/>
      <w:r w:rsidRPr="00DE3121">
        <w:rPr>
          <w:rFonts w:ascii="Arial" w:eastAsia="Arial" w:hAnsi="Arial" w:cs="Arial"/>
          <w:color w:val="000000"/>
          <w:kern w:val="0"/>
          <w:sz w:val="22"/>
          <w:szCs w:val="22"/>
          <w:lang w:val="en-US" w:eastAsia="el-GR"/>
        </w:rPr>
        <w:t>. 2016;138(1):86–100.</w:t>
      </w:r>
    </w:p>
    <w:p w14:paraId="52C98471" w14:textId="77777777" w:rsidR="003B7700" w:rsidRPr="00DE3121" w:rsidRDefault="003B7700"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Galea E, Launay N, Portero-</w:t>
      </w:r>
      <w:proofErr w:type="spellStart"/>
      <w:r w:rsidRPr="00DE3121">
        <w:rPr>
          <w:rFonts w:ascii="Arial" w:eastAsia="Arial" w:hAnsi="Arial" w:cs="Arial"/>
          <w:color w:val="000000"/>
          <w:kern w:val="0"/>
          <w:sz w:val="22"/>
          <w:szCs w:val="22"/>
          <w:lang w:val="en-US" w:eastAsia="el-GR"/>
        </w:rPr>
        <w:t>Otin</w:t>
      </w:r>
      <w:proofErr w:type="spellEnd"/>
      <w:r w:rsidRPr="00DE3121">
        <w:rPr>
          <w:rFonts w:ascii="Arial" w:eastAsia="Arial" w:hAnsi="Arial" w:cs="Arial"/>
          <w:color w:val="000000"/>
          <w:kern w:val="0"/>
          <w:sz w:val="22"/>
          <w:szCs w:val="22"/>
          <w:lang w:val="en-US" w:eastAsia="el-GR"/>
        </w:rPr>
        <w:t xml:space="preserve"> M, Ruiz M, Pamplona R, Aubourg P, et al. Oxidative stress underlying axonal degeneration in adrenoleukodystrophy: A paradigm for multifactorial neurodegenerative diseases? </w:t>
      </w:r>
      <w:proofErr w:type="spellStart"/>
      <w:r w:rsidRPr="00DE3121">
        <w:rPr>
          <w:rFonts w:ascii="Arial" w:eastAsia="Arial" w:hAnsi="Arial" w:cs="Arial"/>
          <w:color w:val="000000"/>
          <w:kern w:val="0"/>
          <w:sz w:val="22"/>
          <w:szCs w:val="22"/>
          <w:lang w:val="en-US" w:eastAsia="el-GR"/>
        </w:rPr>
        <w:t>Biochim</w:t>
      </w:r>
      <w:proofErr w:type="spellEnd"/>
      <w:r w:rsidRPr="00DE3121">
        <w:rPr>
          <w:rFonts w:ascii="Arial" w:eastAsia="Arial" w:hAnsi="Arial" w:cs="Arial"/>
          <w:color w:val="000000"/>
          <w:kern w:val="0"/>
          <w:sz w:val="22"/>
          <w:szCs w:val="22"/>
          <w:lang w:val="en-US" w:eastAsia="el-GR"/>
        </w:rPr>
        <w:t xml:space="preserve"> </w:t>
      </w:r>
      <w:proofErr w:type="spellStart"/>
      <w:r w:rsidRPr="00DE3121">
        <w:rPr>
          <w:rFonts w:ascii="Arial" w:eastAsia="Arial" w:hAnsi="Arial" w:cs="Arial"/>
          <w:color w:val="000000"/>
          <w:kern w:val="0"/>
          <w:sz w:val="22"/>
          <w:szCs w:val="22"/>
          <w:lang w:val="en-US" w:eastAsia="el-GR"/>
        </w:rPr>
        <w:t>Biophys</w:t>
      </w:r>
      <w:proofErr w:type="spellEnd"/>
      <w:r w:rsidRPr="00DE3121">
        <w:rPr>
          <w:rFonts w:ascii="Arial" w:eastAsia="Arial" w:hAnsi="Arial" w:cs="Arial"/>
          <w:color w:val="000000"/>
          <w:kern w:val="0"/>
          <w:sz w:val="22"/>
          <w:szCs w:val="22"/>
          <w:lang w:val="en-US" w:eastAsia="el-GR"/>
        </w:rPr>
        <w:t xml:space="preserve"> Acta. 2012;1822(9):1475–88.</w:t>
      </w:r>
    </w:p>
    <w:p w14:paraId="10459FA7" w14:textId="77777777" w:rsidR="003B7700" w:rsidRPr="00DE3121" w:rsidRDefault="003B7700"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 xml:space="preserve">Morato L, Galino J, Ruiz M, </w:t>
      </w:r>
      <w:proofErr w:type="spellStart"/>
      <w:r w:rsidRPr="00DE3121">
        <w:rPr>
          <w:rFonts w:ascii="Arial" w:eastAsia="Arial" w:hAnsi="Arial" w:cs="Arial"/>
          <w:color w:val="000000"/>
          <w:kern w:val="0"/>
          <w:sz w:val="22"/>
          <w:szCs w:val="22"/>
          <w:lang w:val="en-US" w:eastAsia="el-GR"/>
        </w:rPr>
        <w:t>Calingasan</w:t>
      </w:r>
      <w:proofErr w:type="spellEnd"/>
      <w:r w:rsidRPr="00DE3121">
        <w:rPr>
          <w:rFonts w:ascii="Arial" w:eastAsia="Arial" w:hAnsi="Arial" w:cs="Arial"/>
          <w:color w:val="000000"/>
          <w:kern w:val="0"/>
          <w:sz w:val="22"/>
          <w:szCs w:val="22"/>
          <w:lang w:val="en-US" w:eastAsia="el-GR"/>
        </w:rPr>
        <w:t xml:space="preserve"> NY, Starkov AA, Dumont M, et al. Pioglitazone halts axonal degeneration in a mouse model of X-linked adrenoleukodystrophy. Brain. 2013;136(Pt 8):2432–43.</w:t>
      </w:r>
    </w:p>
    <w:p w14:paraId="0F89B7ED" w14:textId="2F340C2E" w:rsidR="003B7700" w:rsidRPr="00DE3121" w:rsidRDefault="003B7700" w:rsidP="00DE3121">
      <w:pPr>
        <w:pStyle w:val="ListParagraph"/>
        <w:widowControl w:val="0"/>
        <w:numPr>
          <w:ilvl w:val="0"/>
          <w:numId w:val="2"/>
        </w:numPr>
        <w:autoSpaceDE w:val="0"/>
        <w:autoSpaceDN w:val="0"/>
        <w:adjustRightInd w:val="0"/>
        <w:spacing w:after="0" w:line="276" w:lineRule="auto"/>
        <w:ind w:left="576" w:hanging="576"/>
        <w:rPr>
          <w:rFonts w:ascii="Arial" w:eastAsia="Arial" w:hAnsi="Arial" w:cs="Arial"/>
          <w:noProof/>
          <w:kern w:val="0"/>
          <w:sz w:val="22"/>
          <w:szCs w:val="22"/>
          <w:u w:val="single"/>
          <w:lang w:val="en-US"/>
        </w:rPr>
      </w:pPr>
      <w:r w:rsidRPr="00DE3121">
        <w:rPr>
          <w:rFonts w:ascii="Arial" w:eastAsia="Arial" w:hAnsi="Arial" w:cs="Arial"/>
          <w:color w:val="000000"/>
          <w:kern w:val="0"/>
          <w:sz w:val="22"/>
          <w:szCs w:val="22"/>
          <w:lang w:val="nl-NL" w:eastAsia="el-GR"/>
        </w:rPr>
        <w:t xml:space="preserve">Engelen M, Tran L, Ofman R, Brennecke J, Moser AB, Dijkstra IME, et al. </w:t>
      </w:r>
      <w:r w:rsidRPr="00DE3121">
        <w:rPr>
          <w:rFonts w:ascii="Arial" w:eastAsia="Arial" w:hAnsi="Arial" w:cs="Arial"/>
          <w:color w:val="000000"/>
          <w:kern w:val="0"/>
          <w:sz w:val="22"/>
          <w:szCs w:val="22"/>
          <w:lang w:val="en-US" w:eastAsia="el-GR"/>
        </w:rPr>
        <w:t xml:space="preserve">Bezafibrate for X-Linked Adrenoleukodystrophy. Baud O, editor. </w:t>
      </w:r>
      <w:proofErr w:type="spellStart"/>
      <w:r w:rsidRPr="00DE3121">
        <w:rPr>
          <w:rFonts w:ascii="Arial" w:eastAsia="Arial" w:hAnsi="Arial" w:cs="Arial"/>
          <w:color w:val="000000"/>
          <w:kern w:val="0"/>
          <w:sz w:val="22"/>
          <w:szCs w:val="22"/>
          <w:lang w:val="en-US" w:eastAsia="el-GR"/>
        </w:rPr>
        <w:t>PLoS</w:t>
      </w:r>
      <w:proofErr w:type="spellEnd"/>
      <w:r w:rsidRPr="00DE3121">
        <w:rPr>
          <w:rFonts w:ascii="Arial" w:eastAsia="Arial" w:hAnsi="Arial" w:cs="Arial"/>
          <w:color w:val="000000"/>
          <w:kern w:val="0"/>
          <w:sz w:val="22"/>
          <w:szCs w:val="22"/>
          <w:lang w:val="en-US" w:eastAsia="el-GR"/>
        </w:rPr>
        <w:t xml:space="preserve"> One. 2012 Jul 20;7(7):</w:t>
      </w:r>
      <w:r w:rsidR="6DF55646" w:rsidRPr="00DE3121">
        <w:rPr>
          <w:rFonts w:ascii="Arial" w:eastAsia="Arial" w:hAnsi="Arial" w:cs="Arial"/>
          <w:color w:val="000000"/>
          <w:kern w:val="0"/>
          <w:sz w:val="22"/>
          <w:szCs w:val="22"/>
          <w:lang w:val="en-US" w:eastAsia="el-GR"/>
        </w:rPr>
        <w:t xml:space="preserve"> </w:t>
      </w:r>
      <w:r w:rsidRPr="00DE3121">
        <w:rPr>
          <w:rFonts w:ascii="Arial" w:eastAsia="Arial" w:hAnsi="Arial" w:cs="Arial"/>
          <w:color w:val="000000"/>
          <w:kern w:val="0"/>
          <w:sz w:val="22"/>
          <w:szCs w:val="22"/>
          <w:lang w:val="en-US" w:eastAsia="el-GR"/>
        </w:rPr>
        <w:t>e41013</w:t>
      </w:r>
    </w:p>
    <w:p w14:paraId="396A9BF5" w14:textId="77777777" w:rsidR="00ED7CCB" w:rsidRPr="00DE3121" w:rsidRDefault="00ED7CCB"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 xml:space="preserve">Berger J, Pujol A, Aubourg P, Forss-Petter S. Current and future pharmacological treatment strategies in X-linked adrenoleukodystrophy. Brain </w:t>
      </w:r>
      <w:proofErr w:type="spellStart"/>
      <w:r w:rsidRPr="00DE3121">
        <w:rPr>
          <w:rFonts w:ascii="Arial" w:eastAsia="Arial" w:hAnsi="Arial" w:cs="Arial"/>
          <w:color w:val="000000"/>
          <w:kern w:val="0"/>
          <w:sz w:val="22"/>
          <w:szCs w:val="22"/>
          <w:lang w:val="en-US" w:eastAsia="el-GR"/>
        </w:rPr>
        <w:t>Pathol</w:t>
      </w:r>
      <w:proofErr w:type="spellEnd"/>
      <w:r w:rsidRPr="00DE3121">
        <w:rPr>
          <w:rFonts w:ascii="Arial" w:eastAsia="Arial" w:hAnsi="Arial" w:cs="Arial"/>
          <w:color w:val="000000"/>
          <w:kern w:val="0"/>
          <w:sz w:val="22"/>
          <w:szCs w:val="22"/>
          <w:lang w:val="en-US" w:eastAsia="el-GR"/>
        </w:rPr>
        <w:t>. 2010;20(4):845–56.</w:t>
      </w:r>
    </w:p>
    <w:p w14:paraId="4EC40D6C" w14:textId="77777777" w:rsidR="00ED7CCB" w:rsidRPr="00DE3121" w:rsidRDefault="00ED7CCB" w:rsidP="00DE3121">
      <w:pPr>
        <w:pStyle w:val="ListParagraph"/>
        <w:numPr>
          <w:ilvl w:val="0"/>
          <w:numId w:val="2"/>
        </w:numPr>
        <w:spacing w:after="0" w:line="276" w:lineRule="auto"/>
        <w:ind w:left="576" w:hanging="576"/>
        <w:textAlignment w:val="baseline"/>
        <w:rPr>
          <w:rFonts w:ascii="Arial" w:eastAsia="Arial" w:hAnsi="Arial" w:cs="Arial"/>
          <w:color w:val="000000"/>
          <w:kern w:val="0"/>
          <w:sz w:val="22"/>
          <w:szCs w:val="22"/>
          <w:lang w:val="en-US" w:eastAsia="el-GR"/>
        </w:rPr>
      </w:pPr>
      <w:r w:rsidRPr="00DE3121">
        <w:rPr>
          <w:rFonts w:ascii="Arial" w:eastAsia="Arial" w:hAnsi="Arial" w:cs="Arial"/>
          <w:color w:val="000000"/>
          <w:kern w:val="0"/>
          <w:sz w:val="22"/>
          <w:szCs w:val="22"/>
          <w:lang w:val="en-US" w:eastAsia="el-GR"/>
        </w:rPr>
        <w:t>Horvath GA, Eichler F, Poskitt K, Stockler-</w:t>
      </w:r>
      <w:proofErr w:type="spellStart"/>
      <w:r w:rsidRPr="00DE3121">
        <w:rPr>
          <w:rFonts w:ascii="Arial" w:eastAsia="Arial" w:hAnsi="Arial" w:cs="Arial"/>
          <w:color w:val="000000"/>
          <w:kern w:val="0"/>
          <w:sz w:val="22"/>
          <w:szCs w:val="22"/>
          <w:lang w:val="en-US" w:eastAsia="el-GR"/>
        </w:rPr>
        <w:t>Ipsiroglu</w:t>
      </w:r>
      <w:proofErr w:type="spellEnd"/>
      <w:r w:rsidRPr="00DE3121">
        <w:rPr>
          <w:rFonts w:ascii="Arial" w:eastAsia="Arial" w:hAnsi="Arial" w:cs="Arial"/>
          <w:color w:val="000000"/>
          <w:kern w:val="0"/>
          <w:sz w:val="22"/>
          <w:szCs w:val="22"/>
          <w:lang w:val="en-US" w:eastAsia="el-GR"/>
        </w:rPr>
        <w:t xml:space="preserve"> S. Failure of repeated cyclophosphamide pulse therapy in childhood cerebral X-linked adrenoleukodystrophy. </w:t>
      </w:r>
      <w:proofErr w:type="spellStart"/>
      <w:r w:rsidRPr="00DE3121">
        <w:rPr>
          <w:rFonts w:ascii="Arial" w:eastAsia="Arial" w:hAnsi="Arial" w:cs="Arial"/>
          <w:color w:val="000000"/>
          <w:kern w:val="0"/>
          <w:sz w:val="22"/>
          <w:szCs w:val="22"/>
          <w:lang w:val="en-US" w:eastAsia="el-GR"/>
        </w:rPr>
        <w:t>Neuropediatrics</w:t>
      </w:r>
      <w:proofErr w:type="spellEnd"/>
      <w:r w:rsidRPr="00DE3121">
        <w:rPr>
          <w:rFonts w:ascii="Arial" w:eastAsia="Arial" w:hAnsi="Arial" w:cs="Arial"/>
          <w:color w:val="000000"/>
          <w:kern w:val="0"/>
          <w:sz w:val="22"/>
          <w:szCs w:val="22"/>
          <w:lang w:val="en-US" w:eastAsia="el-GR"/>
        </w:rPr>
        <w:t>. 2012;43(1):48–52.</w:t>
      </w:r>
    </w:p>
    <w:p w14:paraId="4DDD5DE0" w14:textId="016F7FE0" w:rsidR="00ED7CCB" w:rsidRPr="00DE3121" w:rsidRDefault="00ED7CCB" w:rsidP="00DE3121">
      <w:pPr>
        <w:pStyle w:val="ListParagraph"/>
        <w:numPr>
          <w:ilvl w:val="0"/>
          <w:numId w:val="2"/>
        </w:numPr>
        <w:spacing w:after="0" w:line="276" w:lineRule="auto"/>
        <w:ind w:left="576" w:hanging="576"/>
        <w:textAlignment w:val="baseline"/>
        <w:rPr>
          <w:rFonts w:ascii="Arial" w:eastAsia="Arial" w:hAnsi="Arial" w:cs="Arial"/>
          <w:sz w:val="22"/>
          <w:szCs w:val="22"/>
          <w:lang w:val="en-US"/>
        </w:rPr>
      </w:pPr>
      <w:r w:rsidRPr="00DE3121">
        <w:rPr>
          <w:rFonts w:ascii="Arial" w:eastAsia="Arial" w:hAnsi="Arial" w:cs="Arial"/>
          <w:sz w:val="22"/>
          <w:szCs w:val="22"/>
          <w:lang w:val="en-US"/>
        </w:rPr>
        <w:t xml:space="preserve">Casasnovas C, Montserrat R, Schlüter A, </w:t>
      </w:r>
      <w:proofErr w:type="spellStart"/>
      <w:r w:rsidRPr="00DE3121">
        <w:rPr>
          <w:rFonts w:ascii="Arial" w:eastAsia="Arial" w:hAnsi="Arial" w:cs="Arial"/>
          <w:sz w:val="22"/>
          <w:szCs w:val="22"/>
          <w:lang w:val="en-US"/>
        </w:rPr>
        <w:t>Naudí</w:t>
      </w:r>
      <w:proofErr w:type="spellEnd"/>
      <w:r w:rsidRPr="00DE3121">
        <w:rPr>
          <w:rFonts w:ascii="Arial" w:eastAsia="Arial" w:hAnsi="Arial" w:cs="Arial"/>
          <w:sz w:val="22"/>
          <w:szCs w:val="22"/>
          <w:lang w:val="en-US"/>
        </w:rPr>
        <w:t xml:space="preserve"> A, Fourcade S, </w:t>
      </w:r>
      <w:proofErr w:type="spellStart"/>
      <w:r w:rsidRPr="00DE3121">
        <w:rPr>
          <w:rFonts w:ascii="Arial" w:eastAsia="Arial" w:hAnsi="Arial" w:cs="Arial"/>
          <w:sz w:val="22"/>
          <w:szCs w:val="22"/>
          <w:lang w:val="en-US"/>
        </w:rPr>
        <w:t>Veciana</w:t>
      </w:r>
      <w:proofErr w:type="spellEnd"/>
      <w:r w:rsidRPr="00DE3121">
        <w:rPr>
          <w:rFonts w:ascii="Arial" w:eastAsia="Arial" w:hAnsi="Arial" w:cs="Arial"/>
          <w:sz w:val="22"/>
          <w:szCs w:val="22"/>
          <w:lang w:val="en-US"/>
        </w:rPr>
        <w:t xml:space="preserve"> M, </w:t>
      </w:r>
      <w:proofErr w:type="spellStart"/>
      <w:r w:rsidRPr="00DE3121">
        <w:rPr>
          <w:rFonts w:ascii="Arial" w:eastAsia="Arial" w:hAnsi="Arial" w:cs="Arial"/>
          <w:sz w:val="22"/>
          <w:szCs w:val="22"/>
          <w:lang w:val="en-US"/>
        </w:rPr>
        <w:t>Castañer</w:t>
      </w:r>
      <w:proofErr w:type="spellEnd"/>
      <w:r w:rsidRPr="00DE3121">
        <w:rPr>
          <w:rFonts w:ascii="Arial" w:eastAsia="Arial" w:hAnsi="Arial" w:cs="Arial"/>
          <w:sz w:val="22"/>
          <w:szCs w:val="22"/>
          <w:lang w:val="en-US"/>
        </w:rPr>
        <w:t xml:space="preserve"> S, </w:t>
      </w:r>
      <w:proofErr w:type="spellStart"/>
      <w:r w:rsidRPr="00DE3121">
        <w:rPr>
          <w:rFonts w:ascii="Arial" w:eastAsia="Arial" w:hAnsi="Arial" w:cs="Arial"/>
          <w:sz w:val="22"/>
          <w:szCs w:val="22"/>
          <w:lang w:val="en-US"/>
        </w:rPr>
        <w:t>Albertí</w:t>
      </w:r>
      <w:proofErr w:type="spellEnd"/>
      <w:r w:rsidRPr="00DE3121">
        <w:rPr>
          <w:rFonts w:ascii="Arial" w:eastAsia="Arial" w:hAnsi="Arial" w:cs="Arial"/>
          <w:sz w:val="22"/>
          <w:szCs w:val="22"/>
          <w:lang w:val="en-US"/>
        </w:rPr>
        <w:t xml:space="preserve"> A, </w:t>
      </w:r>
      <w:proofErr w:type="spellStart"/>
      <w:r w:rsidRPr="00DE3121">
        <w:rPr>
          <w:rFonts w:ascii="Arial" w:eastAsia="Arial" w:hAnsi="Arial" w:cs="Arial"/>
          <w:sz w:val="22"/>
          <w:szCs w:val="22"/>
          <w:lang w:val="en-US"/>
        </w:rPr>
        <w:t>Bargalló</w:t>
      </w:r>
      <w:proofErr w:type="spellEnd"/>
      <w:r w:rsidRPr="00DE3121">
        <w:rPr>
          <w:rFonts w:ascii="Arial" w:eastAsia="Arial" w:hAnsi="Arial" w:cs="Arial"/>
          <w:sz w:val="22"/>
          <w:szCs w:val="22"/>
          <w:lang w:val="en-US"/>
        </w:rPr>
        <w:t xml:space="preserve"> N, Johnson M, Gerald V, Raymond G, Fatemi A, Moser A, </w:t>
      </w:r>
      <w:proofErr w:type="spellStart"/>
      <w:r w:rsidRPr="00DE3121">
        <w:rPr>
          <w:rFonts w:ascii="Arial" w:eastAsia="Arial" w:hAnsi="Arial" w:cs="Arial"/>
          <w:sz w:val="22"/>
          <w:szCs w:val="22"/>
          <w:lang w:val="en-US"/>
        </w:rPr>
        <w:t>Villarroya</w:t>
      </w:r>
      <w:proofErr w:type="spellEnd"/>
      <w:r w:rsidRPr="00DE3121">
        <w:rPr>
          <w:rFonts w:ascii="Arial" w:eastAsia="Arial" w:hAnsi="Arial" w:cs="Arial"/>
          <w:sz w:val="22"/>
          <w:szCs w:val="22"/>
          <w:lang w:val="en-US"/>
        </w:rPr>
        <w:t xml:space="preserve"> F, Portero-</w:t>
      </w:r>
      <w:proofErr w:type="spellStart"/>
      <w:r w:rsidRPr="00DE3121">
        <w:rPr>
          <w:rFonts w:ascii="Arial" w:eastAsia="Arial" w:hAnsi="Arial" w:cs="Arial"/>
          <w:sz w:val="22"/>
          <w:szCs w:val="22"/>
          <w:lang w:val="en-US"/>
        </w:rPr>
        <w:t>Otín</w:t>
      </w:r>
      <w:proofErr w:type="spellEnd"/>
      <w:r w:rsidRPr="00DE3121">
        <w:rPr>
          <w:rFonts w:ascii="Arial" w:eastAsia="Arial" w:hAnsi="Arial" w:cs="Arial"/>
          <w:sz w:val="22"/>
          <w:szCs w:val="22"/>
          <w:lang w:val="en-US"/>
        </w:rPr>
        <w:t xml:space="preserve"> M, </w:t>
      </w:r>
      <w:proofErr w:type="spellStart"/>
      <w:r w:rsidRPr="00DE3121">
        <w:rPr>
          <w:rFonts w:ascii="Arial" w:eastAsia="Arial" w:hAnsi="Arial" w:cs="Arial"/>
          <w:sz w:val="22"/>
          <w:szCs w:val="22"/>
          <w:lang w:val="en-US"/>
        </w:rPr>
        <w:t>Artuch</w:t>
      </w:r>
      <w:proofErr w:type="spellEnd"/>
      <w:r w:rsidRPr="00DE3121">
        <w:rPr>
          <w:rFonts w:ascii="Arial" w:eastAsia="Arial" w:hAnsi="Arial" w:cs="Arial"/>
          <w:sz w:val="22"/>
          <w:szCs w:val="22"/>
          <w:lang w:val="en-US"/>
        </w:rPr>
        <w:t xml:space="preserve"> R, Pamplona R, Aurora Pujol A. Biomarker Identification, Safety, and Efficacy of High-Dose Antioxidants for Adrenomyeloneuropathy: a Phase II Pilot Study. Neurotherapeutics (2019) 16:1167–1182.</w:t>
      </w:r>
      <w:r w:rsidR="2AE779C6" w:rsidRPr="00DE3121">
        <w:rPr>
          <w:rFonts w:ascii="Arial" w:eastAsia="Arial" w:hAnsi="Arial" w:cs="Arial"/>
          <w:sz w:val="22"/>
          <w:szCs w:val="22"/>
          <w:lang w:val="en-US"/>
        </w:rPr>
        <w:t xml:space="preserve"> </w:t>
      </w:r>
    </w:p>
    <w:p w14:paraId="448BE9FA" w14:textId="77777777" w:rsidR="00ED7CCB" w:rsidRPr="00DE3121" w:rsidRDefault="00000000" w:rsidP="00DE3121">
      <w:pPr>
        <w:pStyle w:val="ListParagraph"/>
        <w:numPr>
          <w:ilvl w:val="0"/>
          <w:numId w:val="2"/>
        </w:numPr>
        <w:spacing w:after="0" w:line="276" w:lineRule="auto"/>
        <w:ind w:left="576" w:hanging="576"/>
        <w:rPr>
          <w:rFonts w:ascii="Arial" w:eastAsia="Arial" w:hAnsi="Arial" w:cs="Arial"/>
          <w:spacing w:val="-2"/>
          <w:kern w:val="36"/>
          <w:sz w:val="22"/>
          <w:szCs w:val="22"/>
          <w:lang w:val="en-US" w:eastAsia="el-GR"/>
        </w:rPr>
      </w:pPr>
      <w:hyperlink r:id="rId16" w:history="1">
        <w:r w:rsidR="00ED7CCB" w:rsidRPr="00DE3121">
          <w:rPr>
            <w:rFonts w:ascii="Arial" w:hAnsi="Arial" w:cs="Arial"/>
            <w:sz w:val="22"/>
            <w:szCs w:val="22"/>
            <w:shd w:val="clear" w:color="auto" w:fill="FFFFFF"/>
            <w:lang w:val="en-US"/>
          </w:rPr>
          <w:t>Zhou</w:t>
        </w:r>
      </w:hyperlink>
      <w:r w:rsidR="00ED7CCB" w:rsidRPr="00DE3121">
        <w:rPr>
          <w:rFonts w:ascii="Arial" w:eastAsia="Arial" w:hAnsi="Arial" w:cs="Arial"/>
          <w:sz w:val="22"/>
          <w:szCs w:val="22"/>
          <w:lang w:val="en-US"/>
        </w:rPr>
        <w:t xml:space="preserve"> J</w:t>
      </w:r>
      <w:r w:rsidR="00ED7CCB" w:rsidRPr="00DE3121">
        <w:rPr>
          <w:rFonts w:ascii="Arial" w:eastAsia="Arial" w:hAnsi="Arial" w:cs="Arial"/>
          <w:sz w:val="22"/>
          <w:szCs w:val="22"/>
          <w:shd w:val="clear" w:color="auto" w:fill="FFFFFF"/>
          <w:lang w:val="en-US"/>
        </w:rPr>
        <w:t>,</w:t>
      </w:r>
      <w:r w:rsidR="00ED7CCB" w:rsidRPr="00DE3121">
        <w:rPr>
          <w:rFonts w:ascii="Arial" w:eastAsia="Arial" w:hAnsi="Arial" w:cs="Arial"/>
          <w:sz w:val="22"/>
          <w:szCs w:val="22"/>
          <w:shd w:val="clear" w:color="auto" w:fill="FFFFFF"/>
          <w:vertAlign w:val="superscript"/>
          <w:lang w:val="en-US"/>
        </w:rPr>
        <w:t xml:space="preserve"> </w:t>
      </w:r>
      <w:hyperlink r:id="rId17" w:history="1">
        <w:proofErr w:type="spellStart"/>
        <w:r w:rsidR="00ED7CCB" w:rsidRPr="00DE3121">
          <w:rPr>
            <w:rFonts w:ascii="Arial" w:hAnsi="Arial" w:cs="Arial"/>
            <w:sz w:val="22"/>
            <w:szCs w:val="22"/>
            <w:shd w:val="clear" w:color="auto" w:fill="FFFFFF"/>
            <w:lang w:val="en-US"/>
          </w:rPr>
          <w:t>Terluk</w:t>
        </w:r>
        <w:proofErr w:type="spellEnd"/>
      </w:hyperlink>
      <w:r w:rsidR="00ED7CCB" w:rsidRPr="00DE3121">
        <w:rPr>
          <w:rFonts w:ascii="Arial" w:eastAsia="Arial" w:hAnsi="Arial" w:cs="Arial"/>
          <w:sz w:val="22"/>
          <w:szCs w:val="22"/>
          <w:lang w:val="en-US"/>
        </w:rPr>
        <w:t xml:space="preserve"> M</w:t>
      </w:r>
      <w:r w:rsidR="00ED7CCB" w:rsidRPr="00DE3121">
        <w:rPr>
          <w:rFonts w:ascii="Arial" w:eastAsia="Arial" w:hAnsi="Arial" w:cs="Arial"/>
          <w:sz w:val="22"/>
          <w:szCs w:val="22"/>
          <w:shd w:val="clear" w:color="auto" w:fill="FFFFFF"/>
          <w:lang w:val="en-US"/>
        </w:rPr>
        <w:t>,</w:t>
      </w:r>
      <w:r w:rsidR="00ED7CCB" w:rsidRPr="00DE3121">
        <w:rPr>
          <w:rFonts w:ascii="Arial" w:eastAsia="Arial" w:hAnsi="Arial" w:cs="Arial"/>
          <w:sz w:val="22"/>
          <w:szCs w:val="22"/>
          <w:shd w:val="clear" w:color="auto" w:fill="FFFFFF"/>
          <w:vertAlign w:val="superscript"/>
          <w:lang w:val="en-US"/>
        </w:rPr>
        <w:t xml:space="preserve"> </w:t>
      </w:r>
      <w:hyperlink r:id="rId18" w:history="1">
        <w:r w:rsidR="00ED7CCB" w:rsidRPr="00DE3121">
          <w:rPr>
            <w:rFonts w:ascii="Arial" w:hAnsi="Arial" w:cs="Arial"/>
            <w:sz w:val="22"/>
            <w:szCs w:val="22"/>
            <w:shd w:val="clear" w:color="auto" w:fill="FFFFFF"/>
            <w:lang w:val="en-US"/>
          </w:rPr>
          <w:t>Orchard</w:t>
        </w:r>
      </w:hyperlink>
      <w:r w:rsidR="00ED7CCB" w:rsidRPr="00DE3121">
        <w:rPr>
          <w:rFonts w:ascii="Arial" w:eastAsia="Arial" w:hAnsi="Arial" w:cs="Arial"/>
          <w:sz w:val="22"/>
          <w:szCs w:val="22"/>
          <w:lang w:val="en-US"/>
        </w:rPr>
        <w:t xml:space="preserve"> P</w:t>
      </w:r>
      <w:r w:rsidR="00ED7CCB" w:rsidRPr="00DE3121">
        <w:rPr>
          <w:rFonts w:ascii="Arial" w:eastAsia="Arial" w:hAnsi="Arial" w:cs="Arial"/>
          <w:sz w:val="22"/>
          <w:szCs w:val="22"/>
          <w:shd w:val="clear" w:color="auto" w:fill="FFFFFF"/>
          <w:lang w:val="en-US"/>
        </w:rPr>
        <w:t>, </w:t>
      </w:r>
      <w:hyperlink r:id="rId19" w:history="1">
        <w:r w:rsidR="00ED7CCB" w:rsidRPr="00DE3121">
          <w:rPr>
            <w:rFonts w:ascii="Arial" w:hAnsi="Arial" w:cs="Arial"/>
            <w:sz w:val="22"/>
            <w:szCs w:val="22"/>
            <w:shd w:val="clear" w:color="auto" w:fill="FFFFFF"/>
            <w:lang w:val="en-US"/>
          </w:rPr>
          <w:t>Cloyd</w:t>
        </w:r>
      </w:hyperlink>
      <w:r w:rsidR="00ED7CCB" w:rsidRPr="00DE3121">
        <w:rPr>
          <w:rFonts w:ascii="Arial" w:eastAsia="Arial" w:hAnsi="Arial" w:cs="Arial"/>
          <w:sz w:val="22"/>
          <w:szCs w:val="22"/>
          <w:lang w:val="en-US"/>
        </w:rPr>
        <w:t xml:space="preserve"> J</w:t>
      </w:r>
      <w:r w:rsidR="00ED7CCB" w:rsidRPr="00DE3121">
        <w:rPr>
          <w:rFonts w:ascii="Arial" w:eastAsia="Arial" w:hAnsi="Arial" w:cs="Arial"/>
          <w:sz w:val="22"/>
          <w:szCs w:val="22"/>
          <w:shd w:val="clear" w:color="auto" w:fill="FFFFFF"/>
          <w:lang w:val="en-US"/>
        </w:rPr>
        <w:t>, </w:t>
      </w:r>
      <w:hyperlink r:id="rId20" w:history="1">
        <w:r w:rsidR="00ED7CCB" w:rsidRPr="00DE3121">
          <w:rPr>
            <w:rFonts w:ascii="Arial" w:hAnsi="Arial" w:cs="Arial"/>
            <w:sz w:val="22"/>
            <w:szCs w:val="22"/>
            <w:shd w:val="clear" w:color="auto" w:fill="FFFFFF"/>
            <w:lang w:val="en-US"/>
          </w:rPr>
          <w:t xml:space="preserve"> Kartha</w:t>
        </w:r>
      </w:hyperlink>
      <w:r w:rsidR="00ED7CCB" w:rsidRPr="00DE3121">
        <w:rPr>
          <w:rFonts w:ascii="Arial" w:eastAsia="Arial" w:hAnsi="Arial" w:cs="Arial"/>
          <w:sz w:val="22"/>
          <w:szCs w:val="22"/>
          <w:lang w:val="en-US"/>
        </w:rPr>
        <w:t xml:space="preserve"> R</w:t>
      </w:r>
      <w:r w:rsidR="00ED7CCB" w:rsidRPr="00DE3121">
        <w:rPr>
          <w:rFonts w:ascii="Arial" w:eastAsia="Arial" w:hAnsi="Arial" w:cs="Arial"/>
          <w:kern w:val="0"/>
          <w:sz w:val="22"/>
          <w:szCs w:val="22"/>
          <w:lang w:val="en-US" w:eastAsia="el-GR"/>
        </w:rPr>
        <w:t xml:space="preserve">. </w:t>
      </w:r>
      <w:r w:rsidR="00ED7CCB" w:rsidRPr="00DE3121">
        <w:rPr>
          <w:rFonts w:ascii="Arial" w:eastAsia="Arial" w:hAnsi="Arial" w:cs="Arial"/>
          <w:i/>
          <w:iCs/>
          <w:spacing w:val="-2"/>
          <w:kern w:val="36"/>
          <w:sz w:val="22"/>
          <w:szCs w:val="22"/>
          <w:lang w:val="en-US" w:eastAsia="el-GR"/>
        </w:rPr>
        <w:t>N</w:t>
      </w:r>
      <w:r w:rsidR="00ED7CCB" w:rsidRPr="00DE3121">
        <w:rPr>
          <w:rFonts w:ascii="Arial" w:eastAsia="Arial" w:hAnsi="Arial" w:cs="Arial"/>
          <w:spacing w:val="-2"/>
          <w:kern w:val="36"/>
          <w:sz w:val="22"/>
          <w:szCs w:val="22"/>
          <w:lang w:val="en-US" w:eastAsia="el-GR"/>
        </w:rPr>
        <w:t xml:space="preserve">-Acetylcysteine Reverses the Mitochondrial Dysfunction Induced by Very Long-Chain Fatty Acids in Murine Oligodendrocyte Model of Adrenoleukodystrophy. </w:t>
      </w:r>
      <w:hyperlink r:id="rId21" w:history="1">
        <w:r w:rsidR="00ED7CCB" w:rsidRPr="00DE3121">
          <w:rPr>
            <w:rFonts w:ascii="Arial" w:eastAsiaTheme="minorEastAsia" w:hAnsi="Arial" w:cs="Arial"/>
            <w:sz w:val="22"/>
            <w:szCs w:val="22"/>
          </w:rPr>
          <w:t>Biomedicines.</w:t>
        </w:r>
      </w:hyperlink>
      <w:r w:rsidR="00ED7CCB" w:rsidRPr="00DE3121">
        <w:rPr>
          <w:rFonts w:ascii="Arial" w:eastAsia="Arial" w:hAnsi="Arial" w:cs="Arial"/>
          <w:sz w:val="22"/>
          <w:szCs w:val="22"/>
          <w:shd w:val="clear" w:color="auto" w:fill="FFFFFF"/>
        </w:rPr>
        <w:t> 2021 Dec; 9(12): 1826</w:t>
      </w:r>
    </w:p>
    <w:p w14:paraId="54CD245A" w14:textId="77777777" w:rsidR="003B7700" w:rsidRPr="00DE3121" w:rsidRDefault="003B7700" w:rsidP="00DE3121">
      <w:pPr>
        <w:pStyle w:val="NormalWeb"/>
        <w:spacing w:before="0" w:beforeAutospacing="0" w:after="0" w:afterAutospacing="0" w:line="276" w:lineRule="auto"/>
        <w:ind w:left="576" w:hanging="576"/>
        <w:rPr>
          <w:rFonts w:ascii="Arial" w:eastAsia="Arial" w:hAnsi="Arial" w:cs="Arial"/>
          <w:sz w:val="22"/>
          <w:szCs w:val="22"/>
          <w:lang w:val="en-US"/>
        </w:rPr>
      </w:pPr>
    </w:p>
    <w:p w14:paraId="1231BE67" w14:textId="77777777" w:rsidR="003B7700" w:rsidRPr="00DE3121" w:rsidRDefault="003B7700" w:rsidP="00DE3121">
      <w:pPr>
        <w:pStyle w:val="ListParagraph"/>
        <w:spacing w:after="0" w:line="276" w:lineRule="auto"/>
        <w:ind w:left="576" w:hanging="576"/>
        <w:textAlignment w:val="baseline"/>
        <w:rPr>
          <w:rFonts w:ascii="Arial" w:eastAsia="Arial" w:hAnsi="Arial" w:cs="Arial"/>
          <w:color w:val="000000"/>
          <w:kern w:val="0"/>
          <w:sz w:val="22"/>
          <w:szCs w:val="22"/>
          <w:u w:val="single"/>
          <w:lang w:val="en-US" w:eastAsia="el-GR"/>
        </w:rPr>
      </w:pPr>
    </w:p>
    <w:p w14:paraId="36FEB5B0" w14:textId="77777777" w:rsidR="008D5602" w:rsidRDefault="008D5602" w:rsidP="00B34FDF">
      <w:pPr>
        <w:widowControl w:val="0"/>
        <w:autoSpaceDE w:val="0"/>
        <w:autoSpaceDN w:val="0"/>
        <w:adjustRightInd w:val="0"/>
        <w:spacing w:after="0" w:line="240" w:lineRule="auto"/>
        <w:jc w:val="both"/>
        <w:rPr>
          <w:rFonts w:ascii="Arial" w:hAnsi="Arial" w:cs="Arial"/>
          <w:noProof/>
          <w:kern w:val="0"/>
          <w:sz w:val="22"/>
          <w:szCs w:val="22"/>
          <w:u w:val="single"/>
          <w:lang w:val="en-US"/>
        </w:rPr>
      </w:pPr>
    </w:p>
    <w:p w14:paraId="30D7AA69" w14:textId="77777777" w:rsidR="0086052A" w:rsidRPr="000127A1" w:rsidRDefault="0086052A" w:rsidP="00B34FDF">
      <w:pPr>
        <w:spacing w:before="100" w:beforeAutospacing="1" w:after="100" w:afterAutospacing="1" w:line="240" w:lineRule="auto"/>
        <w:jc w:val="both"/>
        <w:textAlignment w:val="baseline"/>
        <w:rPr>
          <w:rFonts w:ascii="Arial" w:eastAsia="Arial" w:hAnsi="Arial" w:cs="Arial"/>
          <w:color w:val="000000"/>
          <w:kern w:val="0"/>
          <w:sz w:val="22"/>
          <w:szCs w:val="22"/>
          <w:lang w:val="en-US" w:eastAsia="el-GR"/>
        </w:rPr>
      </w:pPr>
    </w:p>
    <w:p w14:paraId="7196D064" w14:textId="77777777" w:rsidR="0086052A" w:rsidRPr="000127A1" w:rsidRDefault="0086052A" w:rsidP="00B34FDF">
      <w:pPr>
        <w:spacing w:before="100" w:beforeAutospacing="1" w:after="100" w:afterAutospacing="1" w:line="240" w:lineRule="auto"/>
        <w:jc w:val="both"/>
        <w:textAlignment w:val="baseline"/>
        <w:rPr>
          <w:rFonts w:ascii="Arial" w:eastAsia="Arial" w:hAnsi="Arial" w:cs="Arial"/>
          <w:color w:val="000000"/>
          <w:kern w:val="0"/>
          <w:sz w:val="22"/>
          <w:szCs w:val="22"/>
          <w:lang w:val="en-US" w:eastAsia="el-GR"/>
        </w:rPr>
      </w:pPr>
    </w:p>
    <w:p w14:paraId="34FF1C98" w14:textId="77777777" w:rsidR="0086052A" w:rsidRPr="000127A1" w:rsidRDefault="0086052A" w:rsidP="00B34FDF">
      <w:pPr>
        <w:spacing w:before="100" w:beforeAutospacing="1" w:after="100" w:afterAutospacing="1" w:line="240" w:lineRule="auto"/>
        <w:jc w:val="both"/>
        <w:textAlignment w:val="baseline"/>
        <w:rPr>
          <w:rFonts w:ascii="Arial" w:eastAsia="Arial" w:hAnsi="Arial" w:cs="Arial"/>
          <w:color w:val="000000"/>
          <w:kern w:val="0"/>
          <w:sz w:val="22"/>
          <w:szCs w:val="22"/>
          <w:lang w:val="en-US" w:eastAsia="el-GR"/>
        </w:rPr>
      </w:pPr>
    </w:p>
    <w:p w14:paraId="6D072C0D" w14:textId="77777777" w:rsidR="0086052A" w:rsidRPr="003F26A5" w:rsidRDefault="0086052A" w:rsidP="00B34FDF">
      <w:pPr>
        <w:jc w:val="both"/>
        <w:rPr>
          <w:rFonts w:ascii="Arial" w:eastAsia="Arial" w:hAnsi="Arial" w:cs="Arial"/>
          <w:sz w:val="22"/>
          <w:szCs w:val="22"/>
          <w:lang w:val="en-US"/>
        </w:rPr>
      </w:pPr>
    </w:p>
    <w:p w14:paraId="48A21919" w14:textId="77777777" w:rsidR="00FF64C7" w:rsidRPr="003F26A5" w:rsidRDefault="00FF64C7" w:rsidP="00B34FDF">
      <w:pPr>
        <w:jc w:val="both"/>
        <w:rPr>
          <w:rFonts w:ascii="Arial" w:hAnsi="Arial" w:cs="Arial"/>
          <w:sz w:val="22"/>
          <w:szCs w:val="22"/>
          <w:lang w:val="en-US"/>
        </w:rPr>
      </w:pPr>
    </w:p>
    <w:p w14:paraId="6BD18F9B" w14:textId="77777777" w:rsidR="00A33456" w:rsidRPr="003F26A5" w:rsidRDefault="00A33456" w:rsidP="00B34FDF">
      <w:pPr>
        <w:jc w:val="both"/>
        <w:rPr>
          <w:rFonts w:ascii="Arial" w:hAnsi="Arial" w:cs="Arial"/>
          <w:sz w:val="22"/>
          <w:szCs w:val="22"/>
          <w:lang w:val="en-US"/>
        </w:rPr>
      </w:pPr>
    </w:p>
    <w:sectPr w:rsidR="00A33456" w:rsidRPr="003F26A5" w:rsidSect="00DE31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26A8E8" w14:textId="77777777" w:rsidR="00A35F77" w:rsidRDefault="00A35F77" w:rsidP="00320023">
      <w:pPr>
        <w:spacing w:after="0" w:line="240" w:lineRule="auto"/>
      </w:pPr>
      <w:r>
        <w:separator/>
      </w:r>
    </w:p>
  </w:endnote>
  <w:endnote w:type="continuationSeparator" w:id="0">
    <w:p w14:paraId="4CCED271" w14:textId="77777777" w:rsidR="00A35F77" w:rsidRDefault="00A35F77" w:rsidP="00320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132929" w14:textId="77777777" w:rsidR="00A35F77" w:rsidRDefault="00A35F77" w:rsidP="00320023">
      <w:pPr>
        <w:spacing w:after="0" w:line="240" w:lineRule="auto"/>
      </w:pPr>
      <w:r>
        <w:separator/>
      </w:r>
    </w:p>
  </w:footnote>
  <w:footnote w:type="continuationSeparator" w:id="0">
    <w:p w14:paraId="05594B6B" w14:textId="77777777" w:rsidR="00A35F77" w:rsidRDefault="00A35F77" w:rsidP="00320023">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T5IimRuA" int2:invalidationBookmarkName="" int2:hashCode="Iyfhnc3my3j+nW" int2:id="zWatZj1q">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2257D"/>
    <w:multiLevelType w:val="multilevel"/>
    <w:tmpl w:val="B356A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8B0799"/>
    <w:multiLevelType w:val="hybridMultilevel"/>
    <w:tmpl w:val="913E77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772256E"/>
    <w:multiLevelType w:val="multilevel"/>
    <w:tmpl w:val="B356A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980CD9"/>
    <w:multiLevelType w:val="hybridMultilevel"/>
    <w:tmpl w:val="84A4E9C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00276DA"/>
    <w:multiLevelType w:val="multilevel"/>
    <w:tmpl w:val="B356A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8D4653"/>
    <w:multiLevelType w:val="multilevel"/>
    <w:tmpl w:val="B356A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E152FF"/>
    <w:multiLevelType w:val="multilevel"/>
    <w:tmpl w:val="B356A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E3B469A"/>
    <w:multiLevelType w:val="multilevel"/>
    <w:tmpl w:val="B356A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0A07AA4"/>
    <w:multiLevelType w:val="hybridMultilevel"/>
    <w:tmpl w:val="CE008D6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7EA136F2"/>
    <w:multiLevelType w:val="multilevel"/>
    <w:tmpl w:val="B356A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45588591">
    <w:abstractNumId w:val="3"/>
  </w:num>
  <w:num w:numId="2" w16cid:durableId="178587235">
    <w:abstractNumId w:val="0"/>
  </w:num>
  <w:num w:numId="3" w16cid:durableId="1513569015">
    <w:abstractNumId w:val="4"/>
  </w:num>
  <w:num w:numId="4" w16cid:durableId="1264648257">
    <w:abstractNumId w:val="7"/>
  </w:num>
  <w:num w:numId="5" w16cid:durableId="478427854">
    <w:abstractNumId w:val="9"/>
  </w:num>
  <w:num w:numId="6" w16cid:durableId="357858099">
    <w:abstractNumId w:val="1"/>
  </w:num>
  <w:num w:numId="7" w16cid:durableId="1335299586">
    <w:abstractNumId w:val="5"/>
  </w:num>
  <w:num w:numId="8" w16cid:durableId="178543442">
    <w:abstractNumId w:val="8"/>
  </w:num>
  <w:num w:numId="9" w16cid:durableId="105656307">
    <w:abstractNumId w:val="6"/>
  </w:num>
  <w:num w:numId="10" w16cid:durableId="19746792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bc0NDYwMbOwNLMwM7RU0lEKTi0uzszPAykwqgUA9LKYcywAAAA="/>
  </w:docVars>
  <w:rsids>
    <w:rsidRoot w:val="000C49E7"/>
    <w:rsid w:val="000127A1"/>
    <w:rsid w:val="00014762"/>
    <w:rsid w:val="0001619B"/>
    <w:rsid w:val="00017F5D"/>
    <w:rsid w:val="000202E9"/>
    <w:rsid w:val="000242FD"/>
    <w:rsid w:val="00031C7D"/>
    <w:rsid w:val="00032864"/>
    <w:rsid w:val="00045CFD"/>
    <w:rsid w:val="00047AC3"/>
    <w:rsid w:val="00050091"/>
    <w:rsid w:val="00051FED"/>
    <w:rsid w:val="00067273"/>
    <w:rsid w:val="00072F1D"/>
    <w:rsid w:val="000744DF"/>
    <w:rsid w:val="00082734"/>
    <w:rsid w:val="000846F9"/>
    <w:rsid w:val="00085E6F"/>
    <w:rsid w:val="000871E3"/>
    <w:rsid w:val="00095187"/>
    <w:rsid w:val="000A0AE6"/>
    <w:rsid w:val="000A1932"/>
    <w:rsid w:val="000A257B"/>
    <w:rsid w:val="000A481D"/>
    <w:rsid w:val="000C49E7"/>
    <w:rsid w:val="000D0887"/>
    <w:rsid w:val="000D2E43"/>
    <w:rsid w:val="000E1C6D"/>
    <w:rsid w:val="000E1F03"/>
    <w:rsid w:val="00100E1B"/>
    <w:rsid w:val="001010A0"/>
    <w:rsid w:val="001214FB"/>
    <w:rsid w:val="0012368B"/>
    <w:rsid w:val="00154ED7"/>
    <w:rsid w:val="001748F0"/>
    <w:rsid w:val="00190B43"/>
    <w:rsid w:val="00192CAB"/>
    <w:rsid w:val="00192E7B"/>
    <w:rsid w:val="001A5508"/>
    <w:rsid w:val="001A6078"/>
    <w:rsid w:val="001B3EF2"/>
    <w:rsid w:val="001B4CF7"/>
    <w:rsid w:val="001C2D51"/>
    <w:rsid w:val="001C724E"/>
    <w:rsid w:val="001D4CEC"/>
    <w:rsid w:val="001F7E1C"/>
    <w:rsid w:val="0020634A"/>
    <w:rsid w:val="00206B79"/>
    <w:rsid w:val="00213F0D"/>
    <w:rsid w:val="00232B98"/>
    <w:rsid w:val="0024096A"/>
    <w:rsid w:val="00241237"/>
    <w:rsid w:val="002505E5"/>
    <w:rsid w:val="00254F7B"/>
    <w:rsid w:val="002604E9"/>
    <w:rsid w:val="0026135C"/>
    <w:rsid w:val="002739CB"/>
    <w:rsid w:val="00286A9E"/>
    <w:rsid w:val="002B50C3"/>
    <w:rsid w:val="002D3156"/>
    <w:rsid w:val="002D3485"/>
    <w:rsid w:val="002D7341"/>
    <w:rsid w:val="002F0E0D"/>
    <w:rsid w:val="002F13D1"/>
    <w:rsid w:val="002F4655"/>
    <w:rsid w:val="002F4D9B"/>
    <w:rsid w:val="002F5A6F"/>
    <w:rsid w:val="00304EA9"/>
    <w:rsid w:val="003117C9"/>
    <w:rsid w:val="00313247"/>
    <w:rsid w:val="00314A29"/>
    <w:rsid w:val="00315E76"/>
    <w:rsid w:val="00320023"/>
    <w:rsid w:val="00326011"/>
    <w:rsid w:val="00333FB9"/>
    <w:rsid w:val="00345664"/>
    <w:rsid w:val="00346BC7"/>
    <w:rsid w:val="0034A589"/>
    <w:rsid w:val="00350CF2"/>
    <w:rsid w:val="003523C1"/>
    <w:rsid w:val="003532B7"/>
    <w:rsid w:val="00354EC0"/>
    <w:rsid w:val="00365C27"/>
    <w:rsid w:val="003731F3"/>
    <w:rsid w:val="003732BA"/>
    <w:rsid w:val="00376E4A"/>
    <w:rsid w:val="00381E7B"/>
    <w:rsid w:val="0038237D"/>
    <w:rsid w:val="003A1FAB"/>
    <w:rsid w:val="003B1416"/>
    <w:rsid w:val="003B7700"/>
    <w:rsid w:val="003D5A3F"/>
    <w:rsid w:val="003D7433"/>
    <w:rsid w:val="003E0A3F"/>
    <w:rsid w:val="003E5E84"/>
    <w:rsid w:val="003E7631"/>
    <w:rsid w:val="003F26A5"/>
    <w:rsid w:val="004033A3"/>
    <w:rsid w:val="00404338"/>
    <w:rsid w:val="00406BDC"/>
    <w:rsid w:val="00407F18"/>
    <w:rsid w:val="004103B9"/>
    <w:rsid w:val="0042013D"/>
    <w:rsid w:val="004203F1"/>
    <w:rsid w:val="00422053"/>
    <w:rsid w:val="004277E6"/>
    <w:rsid w:val="004375D9"/>
    <w:rsid w:val="004579A6"/>
    <w:rsid w:val="004631CA"/>
    <w:rsid w:val="004635E0"/>
    <w:rsid w:val="00470071"/>
    <w:rsid w:val="00471E65"/>
    <w:rsid w:val="00472D87"/>
    <w:rsid w:val="00473675"/>
    <w:rsid w:val="0047445D"/>
    <w:rsid w:val="0047676A"/>
    <w:rsid w:val="004814E6"/>
    <w:rsid w:val="00491E92"/>
    <w:rsid w:val="0049331E"/>
    <w:rsid w:val="004A2B85"/>
    <w:rsid w:val="004B695F"/>
    <w:rsid w:val="004D1B6C"/>
    <w:rsid w:val="004D419C"/>
    <w:rsid w:val="004E0A15"/>
    <w:rsid w:val="004F20BA"/>
    <w:rsid w:val="004F5779"/>
    <w:rsid w:val="004F5CDE"/>
    <w:rsid w:val="00515201"/>
    <w:rsid w:val="00522F58"/>
    <w:rsid w:val="00525DFB"/>
    <w:rsid w:val="00557CF7"/>
    <w:rsid w:val="00571815"/>
    <w:rsid w:val="00575545"/>
    <w:rsid w:val="00581A29"/>
    <w:rsid w:val="00594A95"/>
    <w:rsid w:val="00594E4A"/>
    <w:rsid w:val="005A7F82"/>
    <w:rsid w:val="005B1682"/>
    <w:rsid w:val="005B242B"/>
    <w:rsid w:val="005C1654"/>
    <w:rsid w:val="005C197B"/>
    <w:rsid w:val="005E49CE"/>
    <w:rsid w:val="00612565"/>
    <w:rsid w:val="00625717"/>
    <w:rsid w:val="0062580D"/>
    <w:rsid w:val="0062664C"/>
    <w:rsid w:val="00633A4D"/>
    <w:rsid w:val="00634AF5"/>
    <w:rsid w:val="00637A52"/>
    <w:rsid w:val="00646214"/>
    <w:rsid w:val="00655FF5"/>
    <w:rsid w:val="00660457"/>
    <w:rsid w:val="006623E0"/>
    <w:rsid w:val="00664828"/>
    <w:rsid w:val="00665B69"/>
    <w:rsid w:val="00667D79"/>
    <w:rsid w:val="00674655"/>
    <w:rsid w:val="006822F9"/>
    <w:rsid w:val="00694E30"/>
    <w:rsid w:val="006B2D0A"/>
    <w:rsid w:val="006C39A4"/>
    <w:rsid w:val="006C4B82"/>
    <w:rsid w:val="006C4BCA"/>
    <w:rsid w:val="006D2811"/>
    <w:rsid w:val="006D6794"/>
    <w:rsid w:val="006E3973"/>
    <w:rsid w:val="00703588"/>
    <w:rsid w:val="007353BF"/>
    <w:rsid w:val="0075555B"/>
    <w:rsid w:val="007633AC"/>
    <w:rsid w:val="00765352"/>
    <w:rsid w:val="00771575"/>
    <w:rsid w:val="0077325F"/>
    <w:rsid w:val="00777358"/>
    <w:rsid w:val="00783C4F"/>
    <w:rsid w:val="00784562"/>
    <w:rsid w:val="00784A04"/>
    <w:rsid w:val="007942EB"/>
    <w:rsid w:val="00797DCC"/>
    <w:rsid w:val="007A5777"/>
    <w:rsid w:val="007C7713"/>
    <w:rsid w:val="007D02CB"/>
    <w:rsid w:val="007D52EE"/>
    <w:rsid w:val="007D6F32"/>
    <w:rsid w:val="007E0469"/>
    <w:rsid w:val="007E5249"/>
    <w:rsid w:val="007F0004"/>
    <w:rsid w:val="007F0D4F"/>
    <w:rsid w:val="007F17EC"/>
    <w:rsid w:val="0080703B"/>
    <w:rsid w:val="00814865"/>
    <w:rsid w:val="00826BF6"/>
    <w:rsid w:val="00831150"/>
    <w:rsid w:val="00834F7E"/>
    <w:rsid w:val="0084005D"/>
    <w:rsid w:val="00842423"/>
    <w:rsid w:val="00847D9F"/>
    <w:rsid w:val="0085728C"/>
    <w:rsid w:val="0086052A"/>
    <w:rsid w:val="008666C0"/>
    <w:rsid w:val="008712C1"/>
    <w:rsid w:val="00873CE5"/>
    <w:rsid w:val="00884379"/>
    <w:rsid w:val="00887BD3"/>
    <w:rsid w:val="00895B3A"/>
    <w:rsid w:val="008A62BE"/>
    <w:rsid w:val="008A653A"/>
    <w:rsid w:val="008B2038"/>
    <w:rsid w:val="008D3235"/>
    <w:rsid w:val="008D5602"/>
    <w:rsid w:val="009003EA"/>
    <w:rsid w:val="009261C3"/>
    <w:rsid w:val="00932EBC"/>
    <w:rsid w:val="00943C44"/>
    <w:rsid w:val="00943E36"/>
    <w:rsid w:val="00955D5F"/>
    <w:rsid w:val="00963909"/>
    <w:rsid w:val="00981909"/>
    <w:rsid w:val="00984B2D"/>
    <w:rsid w:val="00995490"/>
    <w:rsid w:val="009956EC"/>
    <w:rsid w:val="009A41D9"/>
    <w:rsid w:val="009B470B"/>
    <w:rsid w:val="009D1C1E"/>
    <w:rsid w:val="009F6781"/>
    <w:rsid w:val="009F7E4B"/>
    <w:rsid w:val="00A01B1A"/>
    <w:rsid w:val="00A01E9A"/>
    <w:rsid w:val="00A070EB"/>
    <w:rsid w:val="00A22DFB"/>
    <w:rsid w:val="00A324CA"/>
    <w:rsid w:val="00A33456"/>
    <w:rsid w:val="00A35F77"/>
    <w:rsid w:val="00A36307"/>
    <w:rsid w:val="00A44925"/>
    <w:rsid w:val="00A50678"/>
    <w:rsid w:val="00A72B3C"/>
    <w:rsid w:val="00A9012A"/>
    <w:rsid w:val="00A92338"/>
    <w:rsid w:val="00A9423B"/>
    <w:rsid w:val="00AB08EF"/>
    <w:rsid w:val="00AC0498"/>
    <w:rsid w:val="00AC4FA7"/>
    <w:rsid w:val="00AC5816"/>
    <w:rsid w:val="00AC79E0"/>
    <w:rsid w:val="00AD2CD0"/>
    <w:rsid w:val="00AD4C3A"/>
    <w:rsid w:val="00AE7082"/>
    <w:rsid w:val="00AE7310"/>
    <w:rsid w:val="00AF2EFB"/>
    <w:rsid w:val="00AF4520"/>
    <w:rsid w:val="00AF5099"/>
    <w:rsid w:val="00AF6532"/>
    <w:rsid w:val="00B058B9"/>
    <w:rsid w:val="00B06267"/>
    <w:rsid w:val="00B10F8C"/>
    <w:rsid w:val="00B3140C"/>
    <w:rsid w:val="00B32071"/>
    <w:rsid w:val="00B3294A"/>
    <w:rsid w:val="00B34FDF"/>
    <w:rsid w:val="00B36E18"/>
    <w:rsid w:val="00B673B0"/>
    <w:rsid w:val="00B67948"/>
    <w:rsid w:val="00B70DF5"/>
    <w:rsid w:val="00B71498"/>
    <w:rsid w:val="00B82365"/>
    <w:rsid w:val="00B84D62"/>
    <w:rsid w:val="00BA0600"/>
    <w:rsid w:val="00BC39D3"/>
    <w:rsid w:val="00BC5D66"/>
    <w:rsid w:val="00BD6142"/>
    <w:rsid w:val="00BF55D8"/>
    <w:rsid w:val="00C03489"/>
    <w:rsid w:val="00C073F3"/>
    <w:rsid w:val="00C12591"/>
    <w:rsid w:val="00C14F5E"/>
    <w:rsid w:val="00C238E3"/>
    <w:rsid w:val="00C36E31"/>
    <w:rsid w:val="00C54337"/>
    <w:rsid w:val="00C55D37"/>
    <w:rsid w:val="00C568F1"/>
    <w:rsid w:val="00C66C7A"/>
    <w:rsid w:val="00C74167"/>
    <w:rsid w:val="00C7493A"/>
    <w:rsid w:val="00C86BA3"/>
    <w:rsid w:val="00C90FBB"/>
    <w:rsid w:val="00C93894"/>
    <w:rsid w:val="00CD07BC"/>
    <w:rsid w:val="00CD3941"/>
    <w:rsid w:val="00CD5ED9"/>
    <w:rsid w:val="00CDACC2"/>
    <w:rsid w:val="00CE47D8"/>
    <w:rsid w:val="00CF276B"/>
    <w:rsid w:val="00CF7DB0"/>
    <w:rsid w:val="00D03967"/>
    <w:rsid w:val="00D23996"/>
    <w:rsid w:val="00D25620"/>
    <w:rsid w:val="00D25D62"/>
    <w:rsid w:val="00D3003A"/>
    <w:rsid w:val="00D34C0E"/>
    <w:rsid w:val="00D3727D"/>
    <w:rsid w:val="00D42176"/>
    <w:rsid w:val="00D4334E"/>
    <w:rsid w:val="00D44799"/>
    <w:rsid w:val="00D7076D"/>
    <w:rsid w:val="00D72A8B"/>
    <w:rsid w:val="00D76BFB"/>
    <w:rsid w:val="00D76E9D"/>
    <w:rsid w:val="00D7706F"/>
    <w:rsid w:val="00D773DD"/>
    <w:rsid w:val="00D95168"/>
    <w:rsid w:val="00D95585"/>
    <w:rsid w:val="00DA235D"/>
    <w:rsid w:val="00DA409E"/>
    <w:rsid w:val="00DB264A"/>
    <w:rsid w:val="00DB5E22"/>
    <w:rsid w:val="00DB7EF2"/>
    <w:rsid w:val="00DC4AE3"/>
    <w:rsid w:val="00DD5BB3"/>
    <w:rsid w:val="00DE3121"/>
    <w:rsid w:val="00E009E5"/>
    <w:rsid w:val="00E12580"/>
    <w:rsid w:val="00E21B22"/>
    <w:rsid w:val="00E21BE2"/>
    <w:rsid w:val="00E2546A"/>
    <w:rsid w:val="00E478AA"/>
    <w:rsid w:val="00E47C5E"/>
    <w:rsid w:val="00E53F65"/>
    <w:rsid w:val="00E56422"/>
    <w:rsid w:val="00E57BEF"/>
    <w:rsid w:val="00E80807"/>
    <w:rsid w:val="00E811E9"/>
    <w:rsid w:val="00EC1372"/>
    <w:rsid w:val="00EC1A49"/>
    <w:rsid w:val="00EC3EEC"/>
    <w:rsid w:val="00ED33F8"/>
    <w:rsid w:val="00ED51A8"/>
    <w:rsid w:val="00ED6F64"/>
    <w:rsid w:val="00ED7CCB"/>
    <w:rsid w:val="00EF16F9"/>
    <w:rsid w:val="00F021E3"/>
    <w:rsid w:val="00F11B7E"/>
    <w:rsid w:val="00F11D4E"/>
    <w:rsid w:val="00F13699"/>
    <w:rsid w:val="00F16DB1"/>
    <w:rsid w:val="00F3242C"/>
    <w:rsid w:val="00F32D3E"/>
    <w:rsid w:val="00F333DC"/>
    <w:rsid w:val="00F35ABD"/>
    <w:rsid w:val="00F43C31"/>
    <w:rsid w:val="00F517A7"/>
    <w:rsid w:val="00F954EA"/>
    <w:rsid w:val="00FA3037"/>
    <w:rsid w:val="00FA457B"/>
    <w:rsid w:val="00FA66BB"/>
    <w:rsid w:val="00FB2F5C"/>
    <w:rsid w:val="00FB35D8"/>
    <w:rsid w:val="00FB6725"/>
    <w:rsid w:val="00FC460A"/>
    <w:rsid w:val="00FD289B"/>
    <w:rsid w:val="00FE1196"/>
    <w:rsid w:val="00FE34E0"/>
    <w:rsid w:val="00FF315A"/>
    <w:rsid w:val="00FF64C7"/>
    <w:rsid w:val="0141293B"/>
    <w:rsid w:val="014D9A0B"/>
    <w:rsid w:val="0192CCF2"/>
    <w:rsid w:val="01CBD3AB"/>
    <w:rsid w:val="032EFA2A"/>
    <w:rsid w:val="034E7F09"/>
    <w:rsid w:val="036039E2"/>
    <w:rsid w:val="053CC220"/>
    <w:rsid w:val="05762576"/>
    <w:rsid w:val="05F9E537"/>
    <w:rsid w:val="071DA5B9"/>
    <w:rsid w:val="07390274"/>
    <w:rsid w:val="073E52B7"/>
    <w:rsid w:val="07493D74"/>
    <w:rsid w:val="07B3A4FA"/>
    <w:rsid w:val="08C6B72D"/>
    <w:rsid w:val="08F61551"/>
    <w:rsid w:val="09592555"/>
    <w:rsid w:val="09932CBC"/>
    <w:rsid w:val="0A28D810"/>
    <w:rsid w:val="0B082260"/>
    <w:rsid w:val="0B29D6B0"/>
    <w:rsid w:val="0B690CD6"/>
    <w:rsid w:val="0B77D182"/>
    <w:rsid w:val="0B999FC2"/>
    <w:rsid w:val="0B9E40CF"/>
    <w:rsid w:val="0CBE281E"/>
    <w:rsid w:val="0E16D409"/>
    <w:rsid w:val="0E217B39"/>
    <w:rsid w:val="0E52A01F"/>
    <w:rsid w:val="0E910CF7"/>
    <w:rsid w:val="0ED3E4EA"/>
    <w:rsid w:val="0EE2BF11"/>
    <w:rsid w:val="0F8DEE37"/>
    <w:rsid w:val="0F9233D7"/>
    <w:rsid w:val="106F368A"/>
    <w:rsid w:val="10745E6A"/>
    <w:rsid w:val="1089AC1E"/>
    <w:rsid w:val="1115EB16"/>
    <w:rsid w:val="128D55B9"/>
    <w:rsid w:val="13D8362D"/>
    <w:rsid w:val="1422CE93"/>
    <w:rsid w:val="1426C4C0"/>
    <w:rsid w:val="14315852"/>
    <w:rsid w:val="147AAAE8"/>
    <w:rsid w:val="149C6BB6"/>
    <w:rsid w:val="14A86284"/>
    <w:rsid w:val="15080449"/>
    <w:rsid w:val="152DC30E"/>
    <w:rsid w:val="15967794"/>
    <w:rsid w:val="16C8ED6B"/>
    <w:rsid w:val="172EB614"/>
    <w:rsid w:val="17700A52"/>
    <w:rsid w:val="17ABAE35"/>
    <w:rsid w:val="17C22317"/>
    <w:rsid w:val="17CFFE0D"/>
    <w:rsid w:val="1871FEFC"/>
    <w:rsid w:val="18FAE90C"/>
    <w:rsid w:val="19AA8995"/>
    <w:rsid w:val="19BF8536"/>
    <w:rsid w:val="19DB7C6C"/>
    <w:rsid w:val="1A049F85"/>
    <w:rsid w:val="1A3B82E6"/>
    <w:rsid w:val="1A71B2EB"/>
    <w:rsid w:val="1A89C209"/>
    <w:rsid w:val="1B016C65"/>
    <w:rsid w:val="1B0D12FF"/>
    <w:rsid w:val="1BAF2517"/>
    <w:rsid w:val="1BEA53FB"/>
    <w:rsid w:val="1BFC9B9C"/>
    <w:rsid w:val="1C3C43B5"/>
    <w:rsid w:val="1C951006"/>
    <w:rsid w:val="1D268508"/>
    <w:rsid w:val="1D2C951B"/>
    <w:rsid w:val="1DDC8EE2"/>
    <w:rsid w:val="1DF6941F"/>
    <w:rsid w:val="1E1094E1"/>
    <w:rsid w:val="1E6D78C9"/>
    <w:rsid w:val="1EA39924"/>
    <w:rsid w:val="1F45B656"/>
    <w:rsid w:val="1F59776C"/>
    <w:rsid w:val="1F730924"/>
    <w:rsid w:val="20222553"/>
    <w:rsid w:val="20755BD2"/>
    <w:rsid w:val="210CEBC5"/>
    <w:rsid w:val="21716436"/>
    <w:rsid w:val="21750D31"/>
    <w:rsid w:val="2216891D"/>
    <w:rsid w:val="222E35E2"/>
    <w:rsid w:val="2280ACD7"/>
    <w:rsid w:val="23278028"/>
    <w:rsid w:val="23790C89"/>
    <w:rsid w:val="23C3742A"/>
    <w:rsid w:val="23F9C6D8"/>
    <w:rsid w:val="23FA2A6A"/>
    <w:rsid w:val="24257440"/>
    <w:rsid w:val="246C3964"/>
    <w:rsid w:val="2510F4E1"/>
    <w:rsid w:val="251A879E"/>
    <w:rsid w:val="258B15D6"/>
    <w:rsid w:val="25AB13D1"/>
    <w:rsid w:val="25F88F6E"/>
    <w:rsid w:val="273B4A7A"/>
    <w:rsid w:val="27522CD1"/>
    <w:rsid w:val="279219FA"/>
    <w:rsid w:val="27A6188C"/>
    <w:rsid w:val="280A23DD"/>
    <w:rsid w:val="28266AE3"/>
    <w:rsid w:val="287D5416"/>
    <w:rsid w:val="2888DA2B"/>
    <w:rsid w:val="2906CB19"/>
    <w:rsid w:val="29928E63"/>
    <w:rsid w:val="29977BFE"/>
    <w:rsid w:val="29C9F65D"/>
    <w:rsid w:val="2AE779C6"/>
    <w:rsid w:val="2B18DDDF"/>
    <w:rsid w:val="2BF4BFDA"/>
    <w:rsid w:val="2C05B9B1"/>
    <w:rsid w:val="2C275631"/>
    <w:rsid w:val="2C4CE8E0"/>
    <w:rsid w:val="2CE91AC9"/>
    <w:rsid w:val="2DFB0589"/>
    <w:rsid w:val="2EEB0F8F"/>
    <w:rsid w:val="2F38039C"/>
    <w:rsid w:val="2F4E4677"/>
    <w:rsid w:val="2F4F9BDC"/>
    <w:rsid w:val="2F6072E6"/>
    <w:rsid w:val="2F85C09E"/>
    <w:rsid w:val="2FA910C8"/>
    <w:rsid w:val="2FBC5E3E"/>
    <w:rsid w:val="305FD42D"/>
    <w:rsid w:val="31231EB7"/>
    <w:rsid w:val="313921EC"/>
    <w:rsid w:val="31D07285"/>
    <w:rsid w:val="31DF6438"/>
    <w:rsid w:val="32408005"/>
    <w:rsid w:val="3258664F"/>
    <w:rsid w:val="33066116"/>
    <w:rsid w:val="3315216B"/>
    <w:rsid w:val="33574F85"/>
    <w:rsid w:val="343E0B5E"/>
    <w:rsid w:val="351CE0AB"/>
    <w:rsid w:val="35796865"/>
    <w:rsid w:val="357F7AF0"/>
    <w:rsid w:val="359FFDD4"/>
    <w:rsid w:val="35B73029"/>
    <w:rsid w:val="36349E11"/>
    <w:rsid w:val="369C6983"/>
    <w:rsid w:val="36BCF45C"/>
    <w:rsid w:val="36F61326"/>
    <w:rsid w:val="376B8D6E"/>
    <w:rsid w:val="37DDBE49"/>
    <w:rsid w:val="38858A92"/>
    <w:rsid w:val="38B43A7C"/>
    <w:rsid w:val="38B8B071"/>
    <w:rsid w:val="38EFB878"/>
    <w:rsid w:val="38EFC078"/>
    <w:rsid w:val="39C5FD7B"/>
    <w:rsid w:val="3A849CD9"/>
    <w:rsid w:val="3AADF68B"/>
    <w:rsid w:val="3B427E5C"/>
    <w:rsid w:val="3BAA72DC"/>
    <w:rsid w:val="3C0BECF6"/>
    <w:rsid w:val="3C1020C8"/>
    <w:rsid w:val="3CB30DEC"/>
    <w:rsid w:val="3D30ED80"/>
    <w:rsid w:val="3D3D8B82"/>
    <w:rsid w:val="3D44054A"/>
    <w:rsid w:val="3DC0E1E1"/>
    <w:rsid w:val="3DC4356E"/>
    <w:rsid w:val="3E152EEA"/>
    <w:rsid w:val="3E15DB10"/>
    <w:rsid w:val="3E47B23D"/>
    <w:rsid w:val="3EB5928E"/>
    <w:rsid w:val="3FB4B2ED"/>
    <w:rsid w:val="40073BB9"/>
    <w:rsid w:val="4044D5AC"/>
    <w:rsid w:val="40528AC3"/>
    <w:rsid w:val="4158F0DB"/>
    <w:rsid w:val="415C47F0"/>
    <w:rsid w:val="4217292C"/>
    <w:rsid w:val="422E3EF7"/>
    <w:rsid w:val="424B9E54"/>
    <w:rsid w:val="43B7CA83"/>
    <w:rsid w:val="442A7586"/>
    <w:rsid w:val="44914594"/>
    <w:rsid w:val="44C6D147"/>
    <w:rsid w:val="44D1A4F2"/>
    <w:rsid w:val="450EF4B4"/>
    <w:rsid w:val="452C981E"/>
    <w:rsid w:val="45BD6B7E"/>
    <w:rsid w:val="45FF284B"/>
    <w:rsid w:val="46D92A0F"/>
    <w:rsid w:val="47FC3DC9"/>
    <w:rsid w:val="4813CE37"/>
    <w:rsid w:val="4867E70D"/>
    <w:rsid w:val="48889E8E"/>
    <w:rsid w:val="49302841"/>
    <w:rsid w:val="4A0EE152"/>
    <w:rsid w:val="4A1F1AE4"/>
    <w:rsid w:val="4A731428"/>
    <w:rsid w:val="4AB43025"/>
    <w:rsid w:val="4AEA7FA4"/>
    <w:rsid w:val="4B9B6DF4"/>
    <w:rsid w:val="4CDBE0E5"/>
    <w:rsid w:val="4CF2F24E"/>
    <w:rsid w:val="4E1C33E4"/>
    <w:rsid w:val="4E6F2AB6"/>
    <w:rsid w:val="4EF6C702"/>
    <w:rsid w:val="4F10A5A2"/>
    <w:rsid w:val="4F29D3BA"/>
    <w:rsid w:val="4F4F472F"/>
    <w:rsid w:val="4F9356FB"/>
    <w:rsid w:val="4F9FE901"/>
    <w:rsid w:val="4FB4B74C"/>
    <w:rsid w:val="4FCE004D"/>
    <w:rsid w:val="5003A675"/>
    <w:rsid w:val="5018F3C7"/>
    <w:rsid w:val="5042A732"/>
    <w:rsid w:val="50A28F34"/>
    <w:rsid w:val="514063F7"/>
    <w:rsid w:val="5269198F"/>
    <w:rsid w:val="52B40CF3"/>
    <w:rsid w:val="5301D79C"/>
    <w:rsid w:val="532989F2"/>
    <w:rsid w:val="5349DEFB"/>
    <w:rsid w:val="541D4F3F"/>
    <w:rsid w:val="567C6254"/>
    <w:rsid w:val="56E414C9"/>
    <w:rsid w:val="57B3E04A"/>
    <w:rsid w:val="58807D19"/>
    <w:rsid w:val="596B3EB1"/>
    <w:rsid w:val="5A289451"/>
    <w:rsid w:val="5A52F873"/>
    <w:rsid w:val="5A77E249"/>
    <w:rsid w:val="5AE57EDB"/>
    <w:rsid w:val="5B0BF720"/>
    <w:rsid w:val="5B1AE4F8"/>
    <w:rsid w:val="5BC56E23"/>
    <w:rsid w:val="5C7772E7"/>
    <w:rsid w:val="5CB2750A"/>
    <w:rsid w:val="5D3E8BEE"/>
    <w:rsid w:val="5D537249"/>
    <w:rsid w:val="5D84F5F1"/>
    <w:rsid w:val="5D97D998"/>
    <w:rsid w:val="5EFE5F1F"/>
    <w:rsid w:val="5F145C3F"/>
    <w:rsid w:val="5F3A0F0A"/>
    <w:rsid w:val="60711B86"/>
    <w:rsid w:val="60E9E842"/>
    <w:rsid w:val="60EEBBBF"/>
    <w:rsid w:val="6194AB02"/>
    <w:rsid w:val="61DF85E3"/>
    <w:rsid w:val="6203BE6F"/>
    <w:rsid w:val="62210B78"/>
    <w:rsid w:val="62309D49"/>
    <w:rsid w:val="6233C83F"/>
    <w:rsid w:val="62390673"/>
    <w:rsid w:val="623CA57C"/>
    <w:rsid w:val="62450939"/>
    <w:rsid w:val="6252E7E3"/>
    <w:rsid w:val="62D027BA"/>
    <w:rsid w:val="630FEBA5"/>
    <w:rsid w:val="632399E3"/>
    <w:rsid w:val="6356735E"/>
    <w:rsid w:val="63CE71F4"/>
    <w:rsid w:val="65676E94"/>
    <w:rsid w:val="65A17308"/>
    <w:rsid w:val="65B2FBB9"/>
    <w:rsid w:val="661F1075"/>
    <w:rsid w:val="667B8696"/>
    <w:rsid w:val="677AD17F"/>
    <w:rsid w:val="679577A4"/>
    <w:rsid w:val="67FF915D"/>
    <w:rsid w:val="6937D6C5"/>
    <w:rsid w:val="6938445D"/>
    <w:rsid w:val="69A461E6"/>
    <w:rsid w:val="6A430F06"/>
    <w:rsid w:val="6A502F41"/>
    <w:rsid w:val="6AFA2BBA"/>
    <w:rsid w:val="6B18D91E"/>
    <w:rsid w:val="6B8AFA88"/>
    <w:rsid w:val="6B977CF8"/>
    <w:rsid w:val="6C21C533"/>
    <w:rsid w:val="6C3D20CF"/>
    <w:rsid w:val="6C4A75FA"/>
    <w:rsid w:val="6C969067"/>
    <w:rsid w:val="6CC0F0B2"/>
    <w:rsid w:val="6CDC24E0"/>
    <w:rsid w:val="6CE9F6C0"/>
    <w:rsid w:val="6D62E51C"/>
    <w:rsid w:val="6DCF21B2"/>
    <w:rsid w:val="6DF55646"/>
    <w:rsid w:val="6E117372"/>
    <w:rsid w:val="6E18E67C"/>
    <w:rsid w:val="6EB41CA6"/>
    <w:rsid w:val="6EE1E700"/>
    <w:rsid w:val="6F3C5D75"/>
    <w:rsid w:val="6F6CA68A"/>
    <w:rsid w:val="6FD62CE4"/>
    <w:rsid w:val="70460329"/>
    <w:rsid w:val="70E143EC"/>
    <w:rsid w:val="7109EF7F"/>
    <w:rsid w:val="71196300"/>
    <w:rsid w:val="7135A95C"/>
    <w:rsid w:val="7245D206"/>
    <w:rsid w:val="72B0D70D"/>
    <w:rsid w:val="7354F6E4"/>
    <w:rsid w:val="73D028B7"/>
    <w:rsid w:val="73D40E38"/>
    <w:rsid w:val="745E7846"/>
    <w:rsid w:val="75182948"/>
    <w:rsid w:val="751A2669"/>
    <w:rsid w:val="75A0F0BA"/>
    <w:rsid w:val="75CA68D5"/>
    <w:rsid w:val="75DC72FA"/>
    <w:rsid w:val="7681D9FC"/>
    <w:rsid w:val="78323725"/>
    <w:rsid w:val="79CE66FA"/>
    <w:rsid w:val="79E0F20C"/>
    <w:rsid w:val="7A137234"/>
    <w:rsid w:val="7A2F9AC5"/>
    <w:rsid w:val="7B609AB9"/>
    <w:rsid w:val="7B8213F0"/>
    <w:rsid w:val="7BBBB867"/>
    <w:rsid w:val="7DC540EB"/>
    <w:rsid w:val="7E90D2B1"/>
    <w:rsid w:val="7EE5F211"/>
    <w:rsid w:val="7F8BD1B8"/>
    <w:rsid w:val="7FBDC101"/>
    <w:rsid w:val="7FF51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812358"/>
  <w15:docId w15:val="{C8569FA6-3D19-4DCC-9FA2-F0D01BFB0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l-GR"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CEC"/>
  </w:style>
  <w:style w:type="paragraph" w:styleId="Heading1">
    <w:name w:val="heading 1"/>
    <w:basedOn w:val="Normal"/>
    <w:next w:val="Normal"/>
    <w:link w:val="Heading1Char"/>
    <w:uiPriority w:val="9"/>
    <w:qFormat/>
    <w:rsid w:val="000C49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C49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C49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C49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C49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C49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49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49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49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49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C49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C49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49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49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49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49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49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49E7"/>
    <w:rPr>
      <w:rFonts w:eastAsiaTheme="majorEastAsia" w:cstheme="majorBidi"/>
      <w:color w:val="272727" w:themeColor="text1" w:themeTint="D8"/>
    </w:rPr>
  </w:style>
  <w:style w:type="paragraph" w:styleId="Title">
    <w:name w:val="Title"/>
    <w:basedOn w:val="Normal"/>
    <w:next w:val="Normal"/>
    <w:link w:val="TitleChar"/>
    <w:uiPriority w:val="10"/>
    <w:qFormat/>
    <w:rsid w:val="000C49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9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49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49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49E7"/>
    <w:pPr>
      <w:spacing w:before="160"/>
      <w:jc w:val="center"/>
    </w:pPr>
    <w:rPr>
      <w:i/>
      <w:iCs/>
      <w:color w:val="404040" w:themeColor="text1" w:themeTint="BF"/>
    </w:rPr>
  </w:style>
  <w:style w:type="character" w:customStyle="1" w:styleId="QuoteChar">
    <w:name w:val="Quote Char"/>
    <w:basedOn w:val="DefaultParagraphFont"/>
    <w:link w:val="Quote"/>
    <w:uiPriority w:val="29"/>
    <w:rsid w:val="000C49E7"/>
    <w:rPr>
      <w:i/>
      <w:iCs/>
      <w:color w:val="404040" w:themeColor="text1" w:themeTint="BF"/>
    </w:rPr>
  </w:style>
  <w:style w:type="paragraph" w:styleId="ListParagraph">
    <w:name w:val="List Paragraph"/>
    <w:basedOn w:val="Normal"/>
    <w:uiPriority w:val="34"/>
    <w:qFormat/>
    <w:rsid w:val="000C49E7"/>
    <w:pPr>
      <w:ind w:left="720"/>
      <w:contextualSpacing/>
    </w:pPr>
  </w:style>
  <w:style w:type="character" w:styleId="IntenseEmphasis">
    <w:name w:val="Intense Emphasis"/>
    <w:basedOn w:val="DefaultParagraphFont"/>
    <w:uiPriority w:val="21"/>
    <w:qFormat/>
    <w:rsid w:val="000C49E7"/>
    <w:rPr>
      <w:i/>
      <w:iCs/>
      <w:color w:val="0F4761" w:themeColor="accent1" w:themeShade="BF"/>
    </w:rPr>
  </w:style>
  <w:style w:type="paragraph" w:styleId="IntenseQuote">
    <w:name w:val="Intense Quote"/>
    <w:basedOn w:val="Normal"/>
    <w:next w:val="Normal"/>
    <w:link w:val="IntenseQuoteChar"/>
    <w:uiPriority w:val="30"/>
    <w:qFormat/>
    <w:rsid w:val="000C49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49E7"/>
    <w:rPr>
      <w:i/>
      <w:iCs/>
      <w:color w:val="0F4761" w:themeColor="accent1" w:themeShade="BF"/>
    </w:rPr>
  </w:style>
  <w:style w:type="character" w:styleId="IntenseReference">
    <w:name w:val="Intense Reference"/>
    <w:basedOn w:val="DefaultParagraphFont"/>
    <w:uiPriority w:val="32"/>
    <w:qFormat/>
    <w:rsid w:val="000C49E7"/>
    <w:rPr>
      <w:b/>
      <w:bCs/>
      <w:smallCaps/>
      <w:color w:val="0F4761" w:themeColor="accent1" w:themeShade="BF"/>
      <w:spacing w:val="5"/>
    </w:rPr>
  </w:style>
  <w:style w:type="paragraph" w:styleId="NormalWeb">
    <w:name w:val="Normal (Web)"/>
    <w:basedOn w:val="Normal"/>
    <w:uiPriority w:val="99"/>
    <w:semiHidden/>
    <w:unhideWhenUsed/>
    <w:rsid w:val="00320023"/>
    <w:pPr>
      <w:spacing w:before="100" w:beforeAutospacing="1" w:after="100" w:afterAutospacing="1" w:line="240" w:lineRule="auto"/>
    </w:pPr>
    <w:rPr>
      <w:rFonts w:ascii="Times New Roman" w:eastAsia="Times New Roman" w:hAnsi="Times New Roman" w:cs="Times New Roman"/>
      <w:kern w:val="0"/>
      <w:lang w:eastAsia="el-GR"/>
    </w:rPr>
  </w:style>
  <w:style w:type="paragraph" w:styleId="Header">
    <w:name w:val="header"/>
    <w:basedOn w:val="Normal"/>
    <w:link w:val="HeaderChar"/>
    <w:uiPriority w:val="99"/>
    <w:unhideWhenUsed/>
    <w:rsid w:val="00320023"/>
    <w:pPr>
      <w:tabs>
        <w:tab w:val="center" w:pos="4153"/>
        <w:tab w:val="right" w:pos="8306"/>
      </w:tabs>
      <w:spacing w:after="0" w:line="240" w:lineRule="auto"/>
    </w:pPr>
  </w:style>
  <w:style w:type="character" w:customStyle="1" w:styleId="HeaderChar">
    <w:name w:val="Header Char"/>
    <w:basedOn w:val="DefaultParagraphFont"/>
    <w:link w:val="Header"/>
    <w:uiPriority w:val="99"/>
    <w:rsid w:val="00320023"/>
  </w:style>
  <w:style w:type="paragraph" w:styleId="Footer">
    <w:name w:val="footer"/>
    <w:basedOn w:val="Normal"/>
    <w:link w:val="FooterChar"/>
    <w:uiPriority w:val="99"/>
    <w:unhideWhenUsed/>
    <w:rsid w:val="00320023"/>
    <w:pPr>
      <w:tabs>
        <w:tab w:val="center" w:pos="4153"/>
        <w:tab w:val="right" w:pos="8306"/>
      </w:tabs>
      <w:spacing w:after="0" w:line="240" w:lineRule="auto"/>
    </w:pPr>
  </w:style>
  <w:style w:type="character" w:customStyle="1" w:styleId="FooterChar">
    <w:name w:val="Footer Char"/>
    <w:basedOn w:val="DefaultParagraphFont"/>
    <w:link w:val="Footer"/>
    <w:uiPriority w:val="99"/>
    <w:rsid w:val="00320023"/>
  </w:style>
  <w:style w:type="character" w:styleId="Emphasis">
    <w:name w:val="Emphasis"/>
    <w:basedOn w:val="DefaultParagraphFont"/>
    <w:uiPriority w:val="20"/>
    <w:qFormat/>
    <w:rsid w:val="00326011"/>
    <w:rPr>
      <w:i/>
      <w:iCs/>
    </w:rPr>
  </w:style>
  <w:style w:type="character" w:styleId="Hyperlink">
    <w:name w:val="Hyperlink"/>
    <w:basedOn w:val="DefaultParagraphFont"/>
    <w:uiPriority w:val="99"/>
    <w:unhideWhenUsed/>
    <w:rsid w:val="00326011"/>
    <w:rPr>
      <w:color w:val="467886" w:themeColor="hyperlink"/>
      <w:u w:val="single"/>
    </w:rPr>
  </w:style>
  <w:style w:type="character" w:customStyle="1" w:styleId="UnresolvedMention1">
    <w:name w:val="Unresolved Mention1"/>
    <w:basedOn w:val="DefaultParagraphFont"/>
    <w:uiPriority w:val="99"/>
    <w:semiHidden/>
    <w:unhideWhenUsed/>
    <w:rsid w:val="00326011"/>
    <w:rPr>
      <w:color w:val="605E5C"/>
      <w:shd w:val="clear" w:color="auto" w:fill="E1DFDD"/>
    </w:rPr>
  </w:style>
  <w:style w:type="character" w:styleId="Strong">
    <w:name w:val="Strong"/>
    <w:basedOn w:val="DefaultParagraphFont"/>
    <w:uiPriority w:val="22"/>
    <w:qFormat/>
    <w:rsid w:val="00AF4520"/>
    <w:rPr>
      <w:b/>
      <w:bCs/>
    </w:rPr>
  </w:style>
  <w:style w:type="character" w:styleId="CommentReference">
    <w:name w:val="annotation reference"/>
    <w:basedOn w:val="DefaultParagraphFont"/>
    <w:uiPriority w:val="99"/>
    <w:semiHidden/>
    <w:unhideWhenUsed/>
    <w:rsid w:val="00DA409E"/>
    <w:rPr>
      <w:sz w:val="16"/>
      <w:szCs w:val="16"/>
    </w:rPr>
  </w:style>
  <w:style w:type="paragraph" w:styleId="CommentText">
    <w:name w:val="annotation text"/>
    <w:basedOn w:val="Normal"/>
    <w:link w:val="CommentTextChar"/>
    <w:uiPriority w:val="99"/>
    <w:unhideWhenUsed/>
    <w:rsid w:val="00DA409E"/>
    <w:pPr>
      <w:spacing w:line="240" w:lineRule="auto"/>
    </w:pPr>
    <w:rPr>
      <w:sz w:val="20"/>
      <w:szCs w:val="20"/>
    </w:rPr>
  </w:style>
  <w:style w:type="character" w:customStyle="1" w:styleId="CommentTextChar">
    <w:name w:val="Comment Text Char"/>
    <w:basedOn w:val="DefaultParagraphFont"/>
    <w:link w:val="CommentText"/>
    <w:uiPriority w:val="99"/>
    <w:rsid w:val="00DA409E"/>
    <w:rPr>
      <w:sz w:val="20"/>
      <w:szCs w:val="20"/>
    </w:rPr>
  </w:style>
  <w:style w:type="paragraph" w:styleId="CommentSubject">
    <w:name w:val="annotation subject"/>
    <w:basedOn w:val="CommentText"/>
    <w:next w:val="CommentText"/>
    <w:link w:val="CommentSubjectChar"/>
    <w:uiPriority w:val="99"/>
    <w:semiHidden/>
    <w:unhideWhenUsed/>
    <w:rsid w:val="00DA409E"/>
    <w:rPr>
      <w:b/>
      <w:bCs/>
    </w:rPr>
  </w:style>
  <w:style w:type="character" w:customStyle="1" w:styleId="CommentSubjectChar">
    <w:name w:val="Comment Subject Char"/>
    <w:basedOn w:val="CommentTextChar"/>
    <w:link w:val="CommentSubject"/>
    <w:uiPriority w:val="99"/>
    <w:semiHidden/>
    <w:rsid w:val="00DA409E"/>
    <w:rPr>
      <w:b/>
      <w:bCs/>
      <w:sz w:val="20"/>
      <w:szCs w:val="20"/>
    </w:rPr>
  </w:style>
  <w:style w:type="paragraph" w:styleId="BalloonText">
    <w:name w:val="Balloon Text"/>
    <w:basedOn w:val="Normal"/>
    <w:link w:val="BalloonTextChar"/>
    <w:uiPriority w:val="99"/>
    <w:semiHidden/>
    <w:unhideWhenUsed/>
    <w:rsid w:val="00D256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620"/>
    <w:rPr>
      <w:rFonts w:ascii="Segoe UI" w:hAnsi="Segoe UI" w:cs="Segoe UI"/>
      <w:sz w:val="18"/>
      <w:szCs w:val="18"/>
    </w:rPr>
  </w:style>
  <w:style w:type="paragraph" w:styleId="Revision">
    <w:name w:val="Revision"/>
    <w:hidden/>
    <w:uiPriority w:val="99"/>
    <w:semiHidden/>
    <w:rsid w:val="007942EB"/>
    <w:pPr>
      <w:spacing w:after="0" w:line="240" w:lineRule="auto"/>
    </w:pPr>
  </w:style>
  <w:style w:type="character" w:styleId="UnresolvedMention">
    <w:name w:val="Unresolved Mention"/>
    <w:basedOn w:val="DefaultParagraphFont"/>
    <w:uiPriority w:val="99"/>
    <w:semiHidden/>
    <w:unhideWhenUsed/>
    <w:rsid w:val="00AB08EF"/>
    <w:rPr>
      <w:color w:val="605E5C"/>
      <w:shd w:val="clear" w:color="auto" w:fill="E1DFDD"/>
    </w:rPr>
  </w:style>
  <w:style w:type="table" w:styleId="TableGrid">
    <w:name w:val="Table Grid"/>
    <w:basedOn w:val="TableNormal"/>
    <w:uiPriority w:val="39"/>
    <w:rsid w:val="00273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9937269">
      <w:bodyDiv w:val="1"/>
      <w:marLeft w:val="0"/>
      <w:marRight w:val="0"/>
      <w:marTop w:val="0"/>
      <w:marBottom w:val="0"/>
      <w:divBdr>
        <w:top w:val="none" w:sz="0" w:space="0" w:color="auto"/>
        <w:left w:val="none" w:sz="0" w:space="0" w:color="auto"/>
        <w:bottom w:val="none" w:sz="0" w:space="0" w:color="auto"/>
        <w:right w:val="none" w:sz="0" w:space="0" w:color="auto"/>
      </w:divBdr>
    </w:div>
    <w:div w:id="627275161">
      <w:bodyDiv w:val="1"/>
      <w:marLeft w:val="0"/>
      <w:marRight w:val="0"/>
      <w:marTop w:val="0"/>
      <w:marBottom w:val="0"/>
      <w:divBdr>
        <w:top w:val="none" w:sz="0" w:space="0" w:color="auto"/>
        <w:left w:val="none" w:sz="0" w:space="0" w:color="auto"/>
        <w:bottom w:val="none" w:sz="0" w:space="0" w:color="auto"/>
        <w:right w:val="none" w:sz="0" w:space="0" w:color="auto"/>
      </w:divBdr>
      <w:divsChild>
        <w:div w:id="1315598221">
          <w:marLeft w:val="0"/>
          <w:marRight w:val="0"/>
          <w:marTop w:val="0"/>
          <w:marBottom w:val="120"/>
          <w:divBdr>
            <w:top w:val="none" w:sz="0" w:space="0" w:color="auto"/>
            <w:left w:val="none" w:sz="0" w:space="0" w:color="auto"/>
            <w:bottom w:val="none" w:sz="0" w:space="0" w:color="auto"/>
            <w:right w:val="none" w:sz="0" w:space="0" w:color="auto"/>
          </w:divBdr>
          <w:divsChild>
            <w:div w:id="1895506281">
              <w:marLeft w:val="0"/>
              <w:marRight w:val="0"/>
              <w:marTop w:val="0"/>
              <w:marBottom w:val="0"/>
              <w:divBdr>
                <w:top w:val="none" w:sz="0" w:space="0" w:color="auto"/>
                <w:left w:val="none" w:sz="0" w:space="0" w:color="auto"/>
                <w:bottom w:val="none" w:sz="0" w:space="0" w:color="auto"/>
                <w:right w:val="none" w:sz="0" w:space="0" w:color="auto"/>
              </w:divBdr>
              <w:divsChild>
                <w:div w:id="422338406">
                  <w:marLeft w:val="0"/>
                  <w:marRight w:val="0"/>
                  <w:marTop w:val="0"/>
                  <w:marBottom w:val="0"/>
                  <w:divBdr>
                    <w:top w:val="none" w:sz="0" w:space="0" w:color="auto"/>
                    <w:left w:val="none" w:sz="0" w:space="0" w:color="auto"/>
                    <w:bottom w:val="none" w:sz="0" w:space="0" w:color="auto"/>
                    <w:right w:val="none" w:sz="0" w:space="0" w:color="auto"/>
                  </w:divBdr>
                  <w:divsChild>
                    <w:div w:id="12782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768865">
      <w:bodyDiv w:val="1"/>
      <w:marLeft w:val="0"/>
      <w:marRight w:val="0"/>
      <w:marTop w:val="0"/>
      <w:marBottom w:val="0"/>
      <w:divBdr>
        <w:top w:val="none" w:sz="0" w:space="0" w:color="auto"/>
        <w:left w:val="none" w:sz="0" w:space="0" w:color="auto"/>
        <w:bottom w:val="none" w:sz="0" w:space="0" w:color="auto"/>
        <w:right w:val="none" w:sz="0" w:space="0" w:color="auto"/>
      </w:divBdr>
      <w:divsChild>
        <w:div w:id="1419642268">
          <w:marLeft w:val="0"/>
          <w:marRight w:val="0"/>
          <w:marTop w:val="0"/>
          <w:marBottom w:val="0"/>
          <w:divBdr>
            <w:top w:val="none" w:sz="0" w:space="0" w:color="auto"/>
            <w:left w:val="none" w:sz="0" w:space="0" w:color="auto"/>
            <w:bottom w:val="none" w:sz="0" w:space="0" w:color="auto"/>
            <w:right w:val="none" w:sz="0" w:space="0" w:color="auto"/>
          </w:divBdr>
        </w:div>
      </w:divsChild>
    </w:div>
    <w:div w:id="1211650188">
      <w:bodyDiv w:val="1"/>
      <w:marLeft w:val="0"/>
      <w:marRight w:val="0"/>
      <w:marTop w:val="0"/>
      <w:marBottom w:val="0"/>
      <w:divBdr>
        <w:top w:val="none" w:sz="0" w:space="0" w:color="auto"/>
        <w:left w:val="none" w:sz="0" w:space="0" w:color="auto"/>
        <w:bottom w:val="none" w:sz="0" w:space="0" w:color="auto"/>
        <w:right w:val="none" w:sz="0" w:space="0" w:color="auto"/>
      </w:divBdr>
    </w:div>
    <w:div w:id="1485773936">
      <w:bodyDiv w:val="1"/>
      <w:marLeft w:val="0"/>
      <w:marRight w:val="0"/>
      <w:marTop w:val="0"/>
      <w:marBottom w:val="0"/>
      <w:divBdr>
        <w:top w:val="none" w:sz="0" w:space="0" w:color="auto"/>
        <w:left w:val="none" w:sz="0" w:space="0" w:color="auto"/>
        <w:bottom w:val="none" w:sz="0" w:space="0" w:color="auto"/>
        <w:right w:val="none" w:sz="0" w:space="0" w:color="auto"/>
      </w:divBdr>
    </w:div>
    <w:div w:id="1612935117">
      <w:bodyDiv w:val="1"/>
      <w:marLeft w:val="0"/>
      <w:marRight w:val="0"/>
      <w:marTop w:val="0"/>
      <w:marBottom w:val="0"/>
      <w:divBdr>
        <w:top w:val="none" w:sz="0" w:space="0" w:color="auto"/>
        <w:left w:val="none" w:sz="0" w:space="0" w:color="auto"/>
        <w:bottom w:val="none" w:sz="0" w:space="0" w:color="auto"/>
        <w:right w:val="none" w:sz="0" w:space="0" w:color="auto"/>
      </w:divBdr>
    </w:div>
    <w:div w:id="1691639967">
      <w:bodyDiv w:val="1"/>
      <w:marLeft w:val="0"/>
      <w:marRight w:val="0"/>
      <w:marTop w:val="0"/>
      <w:marBottom w:val="0"/>
      <w:divBdr>
        <w:top w:val="none" w:sz="0" w:space="0" w:color="auto"/>
        <w:left w:val="none" w:sz="0" w:space="0" w:color="auto"/>
        <w:bottom w:val="none" w:sz="0" w:space="0" w:color="auto"/>
        <w:right w:val="none" w:sz="0" w:space="0" w:color="auto"/>
      </w:divBdr>
    </w:div>
    <w:div w:id="2121682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pubmed.ncbi.nlm.nih.gov/?term=Orchard%20PJ%5BAuthor%5D" TargetMode="External"/><Relationship Id="rId3" Type="http://schemas.openxmlformats.org/officeDocument/2006/relationships/settings" Target="settings.xml"/><Relationship Id="rId21" Type="http://schemas.openxmlformats.org/officeDocument/2006/relationships/hyperlink" Target="https://www.ncbi.nlm.nih.gov/pmc/articles/PMC8698433/" TargetMode="External"/><Relationship Id="rId7" Type="http://schemas.openxmlformats.org/officeDocument/2006/relationships/hyperlink" Target="mailto:gregory.kaltsas@gmail.com" TargetMode="External"/><Relationship Id="rId12" Type="http://schemas.openxmlformats.org/officeDocument/2006/relationships/image" Target="media/image4.png"/><Relationship Id="rId17" Type="http://schemas.openxmlformats.org/officeDocument/2006/relationships/hyperlink" Target="https://pubmed.ncbi.nlm.nih.gov/?term=Terluk%20MR%5BAuthor%5D" TargetMode="External"/><Relationship Id="rId2" Type="http://schemas.openxmlformats.org/officeDocument/2006/relationships/styles" Target="styles.xml"/><Relationship Id="rId16" Type="http://schemas.openxmlformats.org/officeDocument/2006/relationships/hyperlink" Target="https://pubmed.ncbi.nlm.nih.gov/?term=Zhou%20J%5BAuthor%5D" TargetMode="External"/><Relationship Id="rId20" Type="http://schemas.openxmlformats.org/officeDocument/2006/relationships/hyperlink" Target="https://pubmed.ncbi.nlm.nih.gov/?term=Kartha%20RV%5BAuthor%5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20/10/relationships/intelligence" Target="intelligence2.xml"/><Relationship Id="rId5" Type="http://schemas.openxmlformats.org/officeDocument/2006/relationships/footnotes" Target="footnotes.xml"/><Relationship Id="rId15" Type="http://schemas.openxmlformats.org/officeDocument/2006/relationships/hyperlink" Target="https://adrenoleukodystrophy.info/mutations-and-variants-in-abcd1" TargetMode="External"/><Relationship Id="rId23" Type="http://schemas.openxmlformats.org/officeDocument/2006/relationships/theme" Target="theme/theme1.xml"/><Relationship Id="rId10" Type="http://schemas.openxmlformats.org/officeDocument/2006/relationships/hyperlink" Target="http://www.adrenoleukodystrophy.info" TargetMode="External"/><Relationship Id="rId19" Type="http://schemas.openxmlformats.org/officeDocument/2006/relationships/hyperlink" Target="https://pubmed.ncbi.nlm.nih.gov/?term=Cloyd%20JC%5BAuthor%5D"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en.wikipedia.org/w/index.php?title=Adrenoleukodystrophy&amp;oldid=506277486" TargetMode="External"/><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131</TotalTime>
  <Pages>22</Pages>
  <Words>8784</Words>
  <Characters>50070</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vlachou</dc:creator>
  <cp:lastModifiedBy>Kenneth Feingold</cp:lastModifiedBy>
  <cp:revision>7</cp:revision>
  <dcterms:created xsi:type="dcterms:W3CDTF">2024-06-20T15:17:00Z</dcterms:created>
  <dcterms:modified xsi:type="dcterms:W3CDTF">2024-06-20T18:00:00Z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4573d5448297182f8834d8e04e0aa49483eed1928e1227429ef56313f7cf937b</vt:lpwstr>
  </property>
</Properties>
</file>