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EDEE9" w14:textId="228D885E" w:rsidR="00C53CB0" w:rsidRPr="007A0FB2" w:rsidRDefault="001F7412" w:rsidP="009C6C3C">
      <w:pPr>
        <w:pStyle w:val="Heading"/>
        <w:keepLines/>
        <w:spacing w:line="276" w:lineRule="auto"/>
        <w:rPr>
          <w:rFonts w:ascii="Arial" w:eastAsia="Calibri" w:hAnsi="Arial" w:cs="Arial"/>
          <w:color w:val="365F91"/>
          <w:sz w:val="28"/>
          <w:szCs w:val="28"/>
          <w:u w:color="365F91"/>
        </w:rPr>
      </w:pPr>
      <w:r>
        <w:rPr>
          <w:rFonts w:ascii="Arial" w:hAnsi="Arial" w:cs="Arial"/>
          <w:color w:val="365F91"/>
          <w:sz w:val="28"/>
          <w:szCs w:val="28"/>
          <w:u w:color="365F91"/>
        </w:rPr>
        <w:t xml:space="preserve">APPENDIX- </w:t>
      </w:r>
      <w:r w:rsidR="00000000" w:rsidRPr="007A0FB2">
        <w:rPr>
          <w:rFonts w:ascii="Arial" w:hAnsi="Arial" w:cs="Arial"/>
          <w:color w:val="365F91"/>
          <w:sz w:val="28"/>
          <w:szCs w:val="28"/>
          <w:u w:color="365F91"/>
        </w:rPr>
        <w:t>R</w:t>
      </w:r>
      <w:r>
        <w:rPr>
          <w:rFonts w:ascii="Arial" w:hAnsi="Arial" w:cs="Arial"/>
          <w:color w:val="365F91"/>
          <w:sz w:val="28"/>
          <w:szCs w:val="28"/>
          <w:u w:color="365F91"/>
        </w:rPr>
        <w:t xml:space="preserve">ECENT UPDATES ON ENDOCRINE DISRUPTING </w:t>
      </w:r>
      <w:r w:rsidR="0057626E">
        <w:rPr>
          <w:rFonts w:ascii="Arial" w:hAnsi="Arial" w:cs="Arial"/>
          <w:color w:val="365F91"/>
          <w:sz w:val="28"/>
          <w:szCs w:val="28"/>
          <w:u w:color="365F91"/>
        </w:rPr>
        <w:t xml:space="preserve">CHEMICALS </w:t>
      </w:r>
      <w:r w:rsidR="00000000" w:rsidRPr="007A0FB2">
        <w:rPr>
          <w:rFonts w:ascii="Arial" w:hAnsi="Arial" w:cs="Arial"/>
          <w:color w:val="365F91"/>
          <w:sz w:val="28"/>
          <w:szCs w:val="28"/>
          <w:u w:color="365F91"/>
        </w:rPr>
        <w:t>(EDCs)</w:t>
      </w:r>
    </w:p>
    <w:p w14:paraId="174B65D4" w14:textId="77777777" w:rsidR="007A0FB2" w:rsidRDefault="007A0FB2" w:rsidP="009C6C3C">
      <w:pPr>
        <w:pStyle w:val="Heading2"/>
        <w:keepLines/>
        <w:spacing w:line="276" w:lineRule="auto"/>
        <w:rPr>
          <w:rFonts w:ascii="Arial" w:hAnsi="Arial" w:cs="Arial"/>
          <w:color w:val="004D80"/>
          <w:sz w:val="22"/>
          <w:szCs w:val="22"/>
          <w:u w:color="4F81BD"/>
        </w:rPr>
      </w:pPr>
    </w:p>
    <w:p w14:paraId="12FB88EA" w14:textId="6C3E48BC" w:rsidR="007A0FB2" w:rsidRPr="001C5700" w:rsidRDefault="007A0FB2" w:rsidP="009C6C3C">
      <w:pPr>
        <w:pStyle w:val="Heading2"/>
        <w:keepLines/>
        <w:spacing w:line="276" w:lineRule="auto"/>
        <w:rPr>
          <w:rFonts w:ascii="Arial" w:hAnsi="Arial" w:cs="Arial"/>
          <w:color w:val="auto"/>
          <w:sz w:val="22"/>
          <w:szCs w:val="22"/>
          <w:u w:color="4F81BD"/>
        </w:rPr>
      </w:pPr>
      <w:r w:rsidRPr="001C5700">
        <w:rPr>
          <w:rFonts w:ascii="Arial" w:hAnsi="Arial" w:cs="Arial"/>
          <w:color w:val="auto"/>
          <w:sz w:val="22"/>
          <w:szCs w:val="22"/>
          <w:u w:color="4F81BD"/>
        </w:rPr>
        <w:t xml:space="preserve">Updated May </w:t>
      </w:r>
      <w:r w:rsidR="001C5700" w:rsidRPr="001C5700">
        <w:rPr>
          <w:rFonts w:ascii="Arial" w:hAnsi="Arial" w:cs="Arial"/>
          <w:color w:val="auto"/>
          <w:sz w:val="22"/>
          <w:szCs w:val="22"/>
          <w:u w:color="4F81BD"/>
        </w:rPr>
        <w:t>2, 2025</w:t>
      </w:r>
    </w:p>
    <w:p w14:paraId="26B3947F" w14:textId="77777777" w:rsidR="007A0FB2" w:rsidRDefault="007A0FB2" w:rsidP="009C6C3C">
      <w:pPr>
        <w:pStyle w:val="Heading2"/>
        <w:keepLines/>
        <w:spacing w:line="276" w:lineRule="auto"/>
        <w:rPr>
          <w:rFonts w:ascii="Arial" w:hAnsi="Arial" w:cs="Arial"/>
          <w:color w:val="004D80"/>
          <w:sz w:val="22"/>
          <w:szCs w:val="22"/>
          <w:u w:color="4F81BD"/>
        </w:rPr>
      </w:pPr>
    </w:p>
    <w:p w14:paraId="65DA592C" w14:textId="23A98A2A" w:rsidR="00C53CB0" w:rsidRPr="009C6C3C" w:rsidRDefault="00000000" w:rsidP="009C6C3C">
      <w:pPr>
        <w:pStyle w:val="Heading2"/>
        <w:keepLines/>
        <w:spacing w:line="276" w:lineRule="auto"/>
        <w:rPr>
          <w:rFonts w:ascii="Arial" w:eastAsia="Calibri" w:hAnsi="Arial" w:cs="Arial"/>
          <w:color w:val="004D80"/>
          <w:sz w:val="22"/>
          <w:szCs w:val="22"/>
          <w:u w:color="4F81BD"/>
        </w:rPr>
      </w:pPr>
      <w:r w:rsidRPr="009C6C3C">
        <w:rPr>
          <w:rFonts w:ascii="Arial" w:hAnsi="Arial" w:cs="Arial"/>
          <w:color w:val="004D80"/>
          <w:sz w:val="22"/>
          <w:szCs w:val="22"/>
          <w:u w:color="4F81BD"/>
        </w:rPr>
        <w:t>P</w:t>
      </w:r>
      <w:r w:rsidR="001C5700">
        <w:rPr>
          <w:rFonts w:ascii="Arial" w:hAnsi="Arial" w:cs="Arial"/>
          <w:color w:val="004D80"/>
          <w:sz w:val="22"/>
          <w:szCs w:val="22"/>
          <w:u w:color="4F81BD"/>
        </w:rPr>
        <w:t xml:space="preserve">RENATAL EXPOSURE AND FETAL DEVELOPMENT </w:t>
      </w:r>
    </w:p>
    <w:p w14:paraId="65055F7C" w14:textId="77777777" w:rsidR="007A0FB2" w:rsidRDefault="007A0FB2" w:rsidP="009C6C3C">
      <w:pPr>
        <w:pStyle w:val="Body"/>
        <w:spacing w:line="276" w:lineRule="auto"/>
        <w:rPr>
          <w:rFonts w:ascii="Arial" w:hAnsi="Arial" w:cs="Arial"/>
          <w:u w:color="000000"/>
        </w:rPr>
      </w:pPr>
    </w:p>
    <w:p w14:paraId="049BE699" w14:textId="428E37F4" w:rsidR="00C53CB0" w:rsidRDefault="00000000" w:rsidP="009C6C3C">
      <w:pPr>
        <w:pStyle w:val="Body"/>
        <w:spacing w:line="276" w:lineRule="auto"/>
        <w:rPr>
          <w:rFonts w:ascii="Arial" w:hAnsi="Arial" w:cs="Arial"/>
          <w:u w:color="000000"/>
        </w:rPr>
      </w:pPr>
      <w:r w:rsidRPr="009C6C3C">
        <w:rPr>
          <w:rFonts w:ascii="Arial" w:hAnsi="Arial" w:cs="Arial"/>
          <w:u w:color="000000"/>
        </w:rPr>
        <w:t>Recent studies have shown that prenatal exposure to endocrine disrupting chemicals (EDCs) can significantly impact fetal development. The HPP-3D (</w:t>
      </w:r>
      <w:r w:rsidRPr="009C6C3C">
        <w:rPr>
          <w:rFonts w:ascii="Arial" w:hAnsi="Arial" w:cs="Arial"/>
          <w:u w:color="000000"/>
          <w:lang w:val="fr-FR"/>
        </w:rPr>
        <w:t>Human Placental Plasticity</w:t>
      </w:r>
      <w:r w:rsidRPr="009C6C3C">
        <w:rPr>
          <w:rFonts w:ascii="Arial" w:hAnsi="Arial" w:cs="Arial"/>
          <w:u w:color="000000"/>
        </w:rPr>
        <w:t>–3D) study found a negative association between maternal phthalate levels and fetal liver volume, with changes comparable to a 5 kg/m² difference in parental Body Mass Index suggesting early structural alterations with potential lifelong metabolic consequences (1). In the Ko-CHENS (Korean Children</w:t>
      </w:r>
      <w:r w:rsidRPr="009C6C3C">
        <w:rPr>
          <w:rFonts w:ascii="Arial" w:hAnsi="Arial" w:cs="Arial"/>
          <w:u w:color="000000"/>
          <w:rtl/>
        </w:rPr>
        <w:t>’</w:t>
      </w:r>
      <w:r w:rsidRPr="009C6C3C">
        <w:rPr>
          <w:rFonts w:ascii="Arial" w:hAnsi="Arial" w:cs="Arial"/>
          <w:u w:color="000000"/>
        </w:rPr>
        <w:t>s Environmental Health Study ) study, personal care product use was linked to higher levels of monoethyl phthalate (MEP), and cooking with plastic was associated with increased mono-n-butyl phthalate (MNBP) levels (2). The Let's R.O.A.R (Let</w:t>
      </w:r>
      <w:r w:rsidRPr="009C6C3C">
        <w:rPr>
          <w:rFonts w:ascii="Arial" w:hAnsi="Arial" w:cs="Arial"/>
          <w:u w:color="000000"/>
          <w:rtl/>
        </w:rPr>
        <w:t>’</w:t>
      </w:r>
      <w:r w:rsidRPr="009C6C3C">
        <w:rPr>
          <w:rFonts w:ascii="Arial" w:hAnsi="Arial" w:cs="Arial"/>
          <w:u w:color="000000"/>
          <w:lang w:val="nl-NL"/>
        </w:rPr>
        <w:t>s Reclaim Our Ancestral Roots</w:t>
      </w:r>
      <w:r w:rsidRPr="009C6C3C">
        <w:rPr>
          <w:rFonts w:ascii="Arial" w:hAnsi="Arial" w:cs="Arial"/>
          <w:u w:color="000000"/>
        </w:rPr>
        <w:t>) pilot intervention demonstrated that culturally tailored strategies could reduce low-molecular weight phthalate metabolites by over 5% in Black women, particularly dibutyl phthalate (3).</w:t>
      </w:r>
    </w:p>
    <w:p w14:paraId="427AB8C5" w14:textId="77777777" w:rsidR="00DF2D51" w:rsidRPr="009C6C3C" w:rsidRDefault="00DF2D51" w:rsidP="009C6C3C">
      <w:pPr>
        <w:pStyle w:val="Body"/>
        <w:spacing w:line="276" w:lineRule="auto"/>
        <w:rPr>
          <w:rFonts w:ascii="Arial" w:eastAsia="Times New Roman" w:hAnsi="Arial" w:cs="Arial"/>
          <w:u w:color="000000"/>
        </w:rPr>
      </w:pPr>
    </w:p>
    <w:p w14:paraId="6BEA277D" w14:textId="77777777" w:rsidR="00C53CB0" w:rsidRPr="00DF2D51" w:rsidRDefault="00000000" w:rsidP="009C6C3C">
      <w:pPr>
        <w:pStyle w:val="Heading2"/>
        <w:keepLines/>
        <w:spacing w:line="276" w:lineRule="auto"/>
        <w:rPr>
          <w:rFonts w:ascii="Arial" w:eastAsia="Calibri" w:hAnsi="Arial" w:cs="Arial"/>
          <w:color w:val="00B050"/>
          <w:sz w:val="22"/>
          <w:szCs w:val="22"/>
          <w:u w:color="4F81BD"/>
        </w:rPr>
      </w:pPr>
      <w:r w:rsidRPr="00DF2D51">
        <w:rPr>
          <w:rFonts w:ascii="Arial" w:hAnsi="Arial" w:cs="Arial"/>
          <w:color w:val="00B050"/>
          <w:sz w:val="22"/>
          <w:szCs w:val="22"/>
          <w:u w:color="4F81BD"/>
        </w:rPr>
        <w:t>Neurodevelopment and Behavioral Outcomes</w:t>
      </w:r>
    </w:p>
    <w:p w14:paraId="55328075" w14:textId="77777777" w:rsidR="00DF2D51" w:rsidRDefault="00DF2D51" w:rsidP="009C6C3C">
      <w:pPr>
        <w:pStyle w:val="Body"/>
        <w:spacing w:line="276" w:lineRule="auto"/>
        <w:rPr>
          <w:rFonts w:ascii="Arial" w:hAnsi="Arial" w:cs="Arial"/>
          <w:u w:color="000000"/>
        </w:rPr>
      </w:pPr>
    </w:p>
    <w:p w14:paraId="10F9D130" w14:textId="65F02B54" w:rsidR="00C53CB0" w:rsidRPr="009C6C3C" w:rsidRDefault="00000000" w:rsidP="009C6C3C">
      <w:pPr>
        <w:pStyle w:val="Body"/>
        <w:spacing w:line="276" w:lineRule="auto"/>
        <w:rPr>
          <w:rFonts w:ascii="Arial" w:eastAsia="Times New Roman" w:hAnsi="Arial" w:cs="Arial"/>
          <w:b/>
          <w:bCs/>
          <w:u w:color="000000"/>
        </w:rPr>
      </w:pPr>
      <w:r w:rsidRPr="009C6C3C">
        <w:rPr>
          <w:rFonts w:ascii="Arial" w:hAnsi="Arial" w:cs="Arial"/>
          <w:u w:color="000000"/>
        </w:rPr>
        <w:t>EDCs have also been implicated in neurodevelopmental and behavioral disorders. The PELAGIE (</w:t>
      </w:r>
      <w:r w:rsidRPr="009C6C3C">
        <w:rPr>
          <w:rFonts w:ascii="Arial" w:hAnsi="Arial" w:cs="Arial"/>
          <w:u w:color="000000"/>
          <w:lang w:val="fr-FR"/>
        </w:rPr>
        <w:t>Perturbateurs Endocriniens: Étude Longitudinale sur les Anomalies de Grossesse, l</w:t>
      </w:r>
      <w:r w:rsidRPr="009C6C3C">
        <w:rPr>
          <w:rFonts w:ascii="Arial" w:hAnsi="Arial" w:cs="Arial"/>
          <w:u w:color="000000"/>
          <w:rtl/>
        </w:rPr>
        <w:t>’</w:t>
      </w:r>
      <w:r w:rsidRPr="009C6C3C">
        <w:rPr>
          <w:rFonts w:ascii="Arial" w:hAnsi="Arial" w:cs="Arial"/>
          <w:u w:color="000000"/>
        </w:rPr>
        <w:t>Infertilit</w:t>
      </w:r>
      <w:r w:rsidRPr="009C6C3C">
        <w:rPr>
          <w:rFonts w:ascii="Arial" w:hAnsi="Arial" w:cs="Arial"/>
          <w:u w:color="000000"/>
          <w:lang w:val="fr-FR"/>
        </w:rPr>
        <w:t>é et l</w:t>
      </w:r>
      <w:r w:rsidRPr="009C6C3C">
        <w:rPr>
          <w:rFonts w:ascii="Arial" w:hAnsi="Arial" w:cs="Arial"/>
          <w:u w:color="000000"/>
          <w:rtl/>
        </w:rPr>
        <w:t>’</w:t>
      </w:r>
      <w:r w:rsidRPr="009C6C3C">
        <w:rPr>
          <w:rFonts w:ascii="Arial" w:hAnsi="Arial" w:cs="Arial"/>
          <w:u w:color="000000"/>
        </w:rPr>
        <w:t>Enfance) cohort from France found that exposure to perfluorinated compounds such as perfluorooctanoic acid (PFOA), (</w:t>
      </w:r>
      <w:r w:rsidRPr="009C6C3C">
        <w:rPr>
          <w:rFonts w:ascii="Arial" w:hAnsi="Arial" w:cs="Arial"/>
          <w:u w:color="000000"/>
          <w:lang w:val="it-IT"/>
        </w:rPr>
        <w:t>perfluorononanoic acid</w:t>
      </w:r>
      <w:r w:rsidRPr="009C6C3C">
        <w:rPr>
          <w:rFonts w:ascii="Arial" w:hAnsi="Arial" w:cs="Arial"/>
          <w:u w:color="000000"/>
        </w:rPr>
        <w:t>) PFNA, and perfluorodecanoic acid (PFDA) was associated with externalizing and internalizing behaviors in children (4). Bisphenol A (BPA) was found to be associated with aromatase gene methylation and autism spectrum disorder (ASD) traits in boys, with reversibility shown in mouse models using !</w:t>
      </w:r>
      <w:r w:rsidRPr="009C6C3C">
        <w:rPr>
          <w:rFonts w:ascii="Arial" w:hAnsi="Arial" w:cs="Arial"/>
          <w:u w:color="000000"/>
          <w:lang w:val="pt-PT"/>
        </w:rPr>
        <w:t>0-hydroxy-2-decenoic acid</w:t>
      </w:r>
      <w:r w:rsidRPr="009C6C3C">
        <w:rPr>
          <w:rFonts w:ascii="Arial" w:hAnsi="Arial" w:cs="Arial"/>
          <w:u w:color="000000"/>
        </w:rPr>
        <w:t xml:space="preserve">(10HDA), suggesting a potential therapeutic pathway (5). Another study identified BPA interaction with 35 of 77 ASD-related genes in transcriptomic analysis (6). A systematic review concluded that EDC exposure, especially to metals, phthalates, and PFAS is linked to poorer cognitive, language, and motor development in children, with girls being more susceptible (7). </w:t>
      </w:r>
    </w:p>
    <w:p w14:paraId="22A47775" w14:textId="77777777" w:rsidR="00DF2D51" w:rsidRDefault="00DF2D51" w:rsidP="009C6C3C">
      <w:pPr>
        <w:pStyle w:val="Body"/>
        <w:spacing w:line="276" w:lineRule="auto"/>
        <w:rPr>
          <w:rFonts w:ascii="Arial" w:hAnsi="Arial" w:cs="Arial"/>
          <w:b/>
          <w:bCs/>
          <w:color w:val="004D80"/>
          <w:u w:color="000000"/>
        </w:rPr>
      </w:pPr>
    </w:p>
    <w:p w14:paraId="5ADACBC5" w14:textId="790C8BDE" w:rsidR="00C53CB0" w:rsidRPr="009C6C3C" w:rsidRDefault="00000000" w:rsidP="009C6C3C">
      <w:pPr>
        <w:pStyle w:val="Body"/>
        <w:spacing w:line="276" w:lineRule="auto"/>
        <w:rPr>
          <w:rFonts w:ascii="Arial" w:eastAsia="Times New Roman" w:hAnsi="Arial" w:cs="Arial"/>
          <w:b/>
          <w:bCs/>
          <w:color w:val="004D80"/>
          <w:u w:color="000000"/>
        </w:rPr>
      </w:pPr>
      <w:r w:rsidRPr="009C6C3C">
        <w:rPr>
          <w:rFonts w:ascii="Arial" w:hAnsi="Arial" w:cs="Arial"/>
          <w:b/>
          <w:bCs/>
          <w:color w:val="004D80"/>
          <w:u w:color="000000"/>
        </w:rPr>
        <w:t>F</w:t>
      </w:r>
      <w:r w:rsidR="00DF2D51">
        <w:rPr>
          <w:rFonts w:ascii="Arial" w:hAnsi="Arial" w:cs="Arial"/>
          <w:b/>
          <w:bCs/>
          <w:color w:val="004D80"/>
          <w:u w:color="000000"/>
        </w:rPr>
        <w:t xml:space="preserve">EMALE REPRODUCTIVE HEALTH AND OVARIAN </w:t>
      </w:r>
      <w:r w:rsidR="008E0112">
        <w:rPr>
          <w:rFonts w:ascii="Arial" w:hAnsi="Arial" w:cs="Arial"/>
          <w:b/>
          <w:bCs/>
          <w:color w:val="004D80"/>
          <w:u w:color="000000"/>
        </w:rPr>
        <w:t xml:space="preserve">FUNCTION </w:t>
      </w:r>
    </w:p>
    <w:p w14:paraId="5B733B44" w14:textId="77777777" w:rsidR="00DF2D51" w:rsidRDefault="00DF2D51" w:rsidP="009C6C3C">
      <w:pPr>
        <w:pStyle w:val="Body"/>
        <w:spacing w:line="276" w:lineRule="auto"/>
        <w:rPr>
          <w:rFonts w:ascii="Arial" w:hAnsi="Arial" w:cs="Arial"/>
          <w:u w:color="000000"/>
        </w:rPr>
      </w:pPr>
    </w:p>
    <w:p w14:paraId="16C81A4A" w14:textId="1A87812C" w:rsidR="00C53CB0" w:rsidRPr="009C6C3C" w:rsidRDefault="00000000" w:rsidP="009C6C3C">
      <w:pPr>
        <w:pStyle w:val="Body"/>
        <w:spacing w:line="276" w:lineRule="auto"/>
        <w:rPr>
          <w:rFonts w:ascii="Arial" w:eastAsia="Times New Roman" w:hAnsi="Arial" w:cs="Arial"/>
          <w:u w:color="000000"/>
        </w:rPr>
      </w:pPr>
      <w:r w:rsidRPr="009C6C3C">
        <w:rPr>
          <w:rFonts w:ascii="Arial" w:hAnsi="Arial" w:cs="Arial"/>
          <w:u w:color="000000"/>
        </w:rPr>
        <w:t>The Study of Women</w:t>
      </w:r>
      <w:r w:rsidRPr="009C6C3C">
        <w:rPr>
          <w:rFonts w:ascii="Arial" w:hAnsi="Arial" w:cs="Arial"/>
          <w:u w:color="000000"/>
          <w:rtl/>
        </w:rPr>
        <w:t>’</w:t>
      </w:r>
      <w:r w:rsidRPr="009C6C3C">
        <w:rPr>
          <w:rFonts w:ascii="Arial" w:hAnsi="Arial" w:cs="Arial"/>
          <w:u w:color="000000"/>
        </w:rPr>
        <w:t xml:space="preserve">s Health Across the Nation (SWAN) found that exposure to heavy metals like arsenic, cadmium, and mercury was associated with lower anti-Müllerian hormone (AMH) levels and a faster premenopausal decline (8). A human ovarian model exposed to diethylstilbestrol (DES) and ketoconazole (KTZ) showed altered follicle survival and steroidogenesis, with upregulation of stearoyl-CoA desaturase (SCD) and </w:t>
      </w:r>
      <w:r w:rsidRPr="009C6C3C">
        <w:rPr>
          <w:rFonts w:ascii="Arial" w:hAnsi="Arial" w:cs="Arial"/>
          <w:u w:color="000000"/>
          <w:lang w:val="es-ES_tradnl"/>
        </w:rPr>
        <w:t>7-dehydrocholesterol reductase</w:t>
      </w:r>
      <w:r w:rsidRPr="009C6C3C">
        <w:rPr>
          <w:rFonts w:ascii="Arial" w:hAnsi="Arial" w:cs="Arial"/>
          <w:u w:color="000000"/>
        </w:rPr>
        <w:t xml:space="preserve">, indicating potential biomarkers for ovarian toxicity (9). Microplastics (MPs) have been detected for the first time in human ovarian follicular fluid, in 14 out of 18 women undergoing IVF, with an average of 2,191 particles/mL. A significant correlation has been observed between MP levels and FSH, suggesting potential effects on ovarian function. While no link has been found with fertilization or pregnancy outcomes, the findings highlight a concerning new avenue for understanding the reproductive impact of </w:t>
      </w:r>
      <w:r w:rsidRPr="009C6C3C">
        <w:rPr>
          <w:rFonts w:ascii="Arial" w:hAnsi="Arial" w:cs="Arial"/>
          <w:u w:color="000000"/>
        </w:rPr>
        <w:lastRenderedPageBreak/>
        <w:t>microplastic exposure (10). In a rat model, di(2-ethylhexyl) phthalate (DEHP) exposure induced polycystic ovary syndrome (PCOS)-like changes, insulin resistance, and oxidative stress via the PPARγ pathway (11).</w:t>
      </w:r>
    </w:p>
    <w:p w14:paraId="5C21CD37" w14:textId="77777777" w:rsidR="008E0112" w:rsidRDefault="008E0112" w:rsidP="009C6C3C">
      <w:pPr>
        <w:pStyle w:val="Heading2"/>
        <w:keepLines/>
        <w:spacing w:line="276" w:lineRule="auto"/>
        <w:rPr>
          <w:rFonts w:ascii="Arial" w:hAnsi="Arial" w:cs="Arial"/>
          <w:color w:val="004D80"/>
          <w:sz w:val="22"/>
          <w:szCs w:val="22"/>
          <w:u w:color="4F81BD"/>
          <w:lang w:val="it-IT"/>
        </w:rPr>
      </w:pPr>
    </w:p>
    <w:p w14:paraId="15A53492" w14:textId="1A726F0E" w:rsidR="00C53CB0" w:rsidRPr="009C6C3C" w:rsidRDefault="00000000" w:rsidP="009C6C3C">
      <w:pPr>
        <w:pStyle w:val="Heading2"/>
        <w:keepLines/>
        <w:spacing w:line="276" w:lineRule="auto"/>
        <w:rPr>
          <w:rFonts w:ascii="Arial" w:eastAsia="Calibri" w:hAnsi="Arial" w:cs="Arial"/>
          <w:color w:val="004D80"/>
          <w:sz w:val="22"/>
          <w:szCs w:val="22"/>
          <w:u w:color="4F81BD"/>
        </w:rPr>
      </w:pPr>
      <w:r w:rsidRPr="009C6C3C">
        <w:rPr>
          <w:rFonts w:ascii="Arial" w:hAnsi="Arial" w:cs="Arial"/>
          <w:color w:val="004D80"/>
          <w:sz w:val="22"/>
          <w:szCs w:val="22"/>
          <w:u w:color="4F81BD"/>
          <w:lang w:val="it-IT"/>
        </w:rPr>
        <w:t>C</w:t>
      </w:r>
      <w:r w:rsidR="008E0112">
        <w:rPr>
          <w:rFonts w:ascii="Arial" w:hAnsi="Arial" w:cs="Arial"/>
          <w:color w:val="004D80"/>
          <w:sz w:val="22"/>
          <w:szCs w:val="22"/>
          <w:u w:color="4F81BD"/>
          <w:lang w:val="it-IT"/>
        </w:rPr>
        <w:t xml:space="preserve">OGNITIVE AGING </w:t>
      </w:r>
    </w:p>
    <w:p w14:paraId="5480F32A" w14:textId="77777777" w:rsidR="008E0112" w:rsidRDefault="008E0112" w:rsidP="009C6C3C">
      <w:pPr>
        <w:pStyle w:val="Body"/>
        <w:spacing w:line="276" w:lineRule="auto"/>
        <w:rPr>
          <w:rFonts w:ascii="Arial" w:hAnsi="Arial" w:cs="Arial"/>
          <w:u w:color="000000"/>
        </w:rPr>
      </w:pPr>
    </w:p>
    <w:p w14:paraId="7DDE748A" w14:textId="17CAA74D" w:rsidR="00C53CB0" w:rsidRPr="009C6C3C" w:rsidRDefault="00000000" w:rsidP="009C6C3C">
      <w:pPr>
        <w:pStyle w:val="Body"/>
        <w:spacing w:line="276" w:lineRule="auto"/>
        <w:rPr>
          <w:rFonts w:ascii="Arial" w:eastAsia="Times New Roman" w:hAnsi="Arial" w:cs="Arial"/>
          <w:u w:color="000000"/>
        </w:rPr>
      </w:pPr>
      <w:r w:rsidRPr="009C6C3C">
        <w:rPr>
          <w:rFonts w:ascii="Arial" w:hAnsi="Arial" w:cs="Arial"/>
          <w:u w:color="000000"/>
        </w:rPr>
        <w:t>EDC exposure may also affect cognitive aging. Analysis of NHANES data (2011–2014) linked exposure to 47 EDCs, including PFNA, PCB-199, and PCB-206, with worse verbal fluency and global cognition, though delayed recall effects were mixed (12).</w:t>
      </w:r>
    </w:p>
    <w:p w14:paraId="3320A2C7" w14:textId="77777777" w:rsidR="008E0112" w:rsidRDefault="008E0112" w:rsidP="009C6C3C">
      <w:pPr>
        <w:pStyle w:val="Heading2"/>
        <w:keepLines/>
        <w:spacing w:line="276" w:lineRule="auto"/>
        <w:rPr>
          <w:rFonts w:ascii="Arial" w:hAnsi="Arial" w:cs="Arial"/>
          <w:color w:val="004D80"/>
          <w:sz w:val="22"/>
          <w:szCs w:val="22"/>
          <w:u w:color="4F81BD"/>
        </w:rPr>
      </w:pPr>
    </w:p>
    <w:p w14:paraId="5A29D87A" w14:textId="5036323B" w:rsidR="00C53CB0" w:rsidRPr="009C6C3C" w:rsidRDefault="00000000" w:rsidP="009C6C3C">
      <w:pPr>
        <w:pStyle w:val="Heading2"/>
        <w:keepLines/>
        <w:spacing w:line="276" w:lineRule="auto"/>
        <w:rPr>
          <w:rFonts w:ascii="Arial" w:eastAsia="Calibri" w:hAnsi="Arial" w:cs="Arial"/>
          <w:color w:val="004D80"/>
          <w:sz w:val="22"/>
          <w:szCs w:val="22"/>
          <w:u w:color="4F81BD"/>
        </w:rPr>
      </w:pPr>
      <w:r w:rsidRPr="009C6C3C">
        <w:rPr>
          <w:rFonts w:ascii="Arial" w:hAnsi="Arial" w:cs="Arial"/>
          <w:color w:val="004D80"/>
          <w:sz w:val="22"/>
          <w:szCs w:val="22"/>
          <w:u w:color="4F81BD"/>
        </w:rPr>
        <w:t>P</w:t>
      </w:r>
      <w:r w:rsidR="008E0112">
        <w:rPr>
          <w:rFonts w:ascii="Arial" w:hAnsi="Arial" w:cs="Arial"/>
          <w:color w:val="004D80"/>
          <w:sz w:val="22"/>
          <w:szCs w:val="22"/>
          <w:u w:color="4F81BD"/>
        </w:rPr>
        <w:t xml:space="preserve">UBERTY AND HORMONAL PATHWAYS </w:t>
      </w:r>
    </w:p>
    <w:p w14:paraId="685C6325" w14:textId="77777777" w:rsidR="008E0112" w:rsidRDefault="008E0112" w:rsidP="009C6C3C">
      <w:pPr>
        <w:pStyle w:val="Body"/>
        <w:spacing w:line="276" w:lineRule="auto"/>
        <w:rPr>
          <w:rFonts w:ascii="Arial" w:hAnsi="Arial" w:cs="Arial"/>
          <w:u w:color="000000"/>
        </w:rPr>
      </w:pPr>
    </w:p>
    <w:p w14:paraId="1262B463" w14:textId="06117FB1" w:rsidR="00C53CB0" w:rsidRPr="009C6C3C" w:rsidRDefault="00000000" w:rsidP="009C6C3C">
      <w:pPr>
        <w:pStyle w:val="Body"/>
        <w:spacing w:line="276" w:lineRule="auto"/>
        <w:rPr>
          <w:rFonts w:ascii="Arial" w:eastAsia="Times New Roman" w:hAnsi="Arial" w:cs="Arial"/>
          <w:u w:color="000000"/>
        </w:rPr>
      </w:pPr>
      <w:r w:rsidRPr="009C6C3C">
        <w:rPr>
          <w:rFonts w:ascii="Arial" w:hAnsi="Arial" w:cs="Arial"/>
          <w:u w:color="000000"/>
        </w:rPr>
        <w:t>In vitro analysis using the Tox21 10K library identified musk ambrette and methacholine analogs as agonists of KISS1R and GnRHR, suggesting that they may promote early puberty through hormonal activation (13).</w:t>
      </w:r>
    </w:p>
    <w:p w14:paraId="2FB278D4" w14:textId="77777777" w:rsidR="008E0112" w:rsidRDefault="008E0112" w:rsidP="009C6C3C">
      <w:pPr>
        <w:pStyle w:val="Heading2"/>
        <w:keepLines/>
        <w:spacing w:line="276" w:lineRule="auto"/>
        <w:rPr>
          <w:rFonts w:ascii="Arial" w:hAnsi="Arial" w:cs="Arial"/>
          <w:color w:val="004D80"/>
          <w:sz w:val="22"/>
          <w:szCs w:val="22"/>
          <w:u w:color="4F81BD"/>
        </w:rPr>
      </w:pPr>
    </w:p>
    <w:p w14:paraId="6FAEFB4D" w14:textId="0450F89B" w:rsidR="00C53CB0" w:rsidRPr="009C6C3C" w:rsidRDefault="00000000" w:rsidP="009C6C3C">
      <w:pPr>
        <w:pStyle w:val="Heading2"/>
        <w:keepLines/>
        <w:spacing w:line="276" w:lineRule="auto"/>
        <w:rPr>
          <w:rFonts w:ascii="Arial" w:eastAsia="Calibri" w:hAnsi="Arial" w:cs="Arial"/>
          <w:color w:val="004D80"/>
          <w:sz w:val="22"/>
          <w:szCs w:val="22"/>
          <w:u w:color="4F81BD"/>
        </w:rPr>
      </w:pPr>
      <w:r w:rsidRPr="009C6C3C">
        <w:rPr>
          <w:rFonts w:ascii="Arial" w:hAnsi="Arial" w:cs="Arial"/>
          <w:color w:val="004D80"/>
          <w:sz w:val="22"/>
          <w:szCs w:val="22"/>
          <w:u w:color="4F81BD"/>
        </w:rPr>
        <w:t>T</w:t>
      </w:r>
      <w:r w:rsidR="0057626E">
        <w:rPr>
          <w:rFonts w:ascii="Arial" w:hAnsi="Arial" w:cs="Arial"/>
          <w:color w:val="004D80"/>
          <w:sz w:val="22"/>
          <w:szCs w:val="22"/>
          <w:u w:color="4F81BD"/>
        </w:rPr>
        <w:t>OXI</w:t>
      </w:r>
      <w:r w:rsidR="00B96738">
        <w:rPr>
          <w:rFonts w:ascii="Arial" w:hAnsi="Arial" w:cs="Arial"/>
          <w:color w:val="004D80"/>
          <w:sz w:val="22"/>
          <w:szCs w:val="22"/>
          <w:u w:color="4F81BD"/>
        </w:rPr>
        <w:t xml:space="preserve">COLOGY AND RISK ASSESSMENT </w:t>
      </w:r>
    </w:p>
    <w:p w14:paraId="54D7A087" w14:textId="77777777" w:rsidR="008E0112" w:rsidRDefault="008E0112" w:rsidP="009C6C3C">
      <w:pPr>
        <w:pStyle w:val="Body"/>
        <w:spacing w:line="276" w:lineRule="auto"/>
        <w:rPr>
          <w:rFonts w:ascii="Arial" w:hAnsi="Arial" w:cs="Arial"/>
          <w:u w:color="000000"/>
        </w:rPr>
      </w:pPr>
    </w:p>
    <w:p w14:paraId="26EBA1CD" w14:textId="6CD224B8" w:rsidR="00C53CB0" w:rsidRPr="009C6C3C" w:rsidRDefault="00000000" w:rsidP="009C6C3C">
      <w:pPr>
        <w:pStyle w:val="Body"/>
        <w:spacing w:line="276" w:lineRule="auto"/>
        <w:rPr>
          <w:rFonts w:ascii="Arial" w:eastAsia="Times New Roman" w:hAnsi="Arial" w:cs="Arial"/>
          <w:u w:color="000000"/>
        </w:rPr>
      </w:pPr>
      <w:r w:rsidRPr="009C6C3C">
        <w:rPr>
          <w:rFonts w:ascii="Arial" w:hAnsi="Arial" w:cs="Arial"/>
          <w:u w:color="000000"/>
        </w:rPr>
        <w:t>Regulatory and technological advancements in EDC detection and safety evaluation are ongoing. The European Food Safety Authority (EFSA) revised the tolerable daily intake for BPA from 4 µg/kg/day to 0.2 ng/kg/day, indicating increased concern over low-dose effects (14). New Approach Methods (NAMs), including in vitro and in silico tools, were used to prioritize over 200 low-data chemicals for further study (15). An electrochemical sensor using a 2D-Al quasicrystal structure detected PFOA with high sensitivity (16). Concerns have been raised regarding the toxicity and potential endocrine disrupting effects of UV filters used in sunscreens. Six commonly used organic UV filters were assessed using the ToxCast/Tox21 database and found that they exhibited low biological activity, with most effects occurring at concentrations above cytotoxic levels. Except for oxybenzone, human plasma levels were significantly lower than those causing activity in assays. Overall, these UV filters showed weak or negligible endocrine-disrupting potential, supporting their low risk to human health(17).</w:t>
      </w:r>
    </w:p>
    <w:p w14:paraId="7F16816E" w14:textId="77777777" w:rsidR="00B96738" w:rsidRDefault="00B96738" w:rsidP="009C6C3C">
      <w:pPr>
        <w:pStyle w:val="Body"/>
        <w:spacing w:line="276" w:lineRule="auto"/>
        <w:rPr>
          <w:rFonts w:ascii="Arial" w:hAnsi="Arial" w:cs="Arial"/>
          <w:b/>
          <w:bCs/>
          <w:color w:val="004D80"/>
          <w:u w:color="000000"/>
          <w:lang w:val="it-IT"/>
        </w:rPr>
      </w:pPr>
    </w:p>
    <w:p w14:paraId="38AAED72" w14:textId="7B5B7C38" w:rsidR="00C53CB0" w:rsidRPr="009C6C3C" w:rsidRDefault="00000000" w:rsidP="009C6C3C">
      <w:pPr>
        <w:pStyle w:val="Body"/>
        <w:spacing w:line="276" w:lineRule="auto"/>
        <w:rPr>
          <w:rFonts w:ascii="Arial" w:eastAsia="Times New Roman" w:hAnsi="Arial" w:cs="Arial"/>
          <w:b/>
          <w:bCs/>
          <w:color w:val="004D80"/>
          <w:u w:color="000000"/>
        </w:rPr>
      </w:pPr>
      <w:r w:rsidRPr="009C6C3C">
        <w:rPr>
          <w:rFonts w:ascii="Arial" w:hAnsi="Arial" w:cs="Arial"/>
          <w:b/>
          <w:bCs/>
          <w:color w:val="004D80"/>
          <w:u w:color="000000"/>
          <w:lang w:val="it-IT"/>
        </w:rPr>
        <w:t>C</w:t>
      </w:r>
      <w:r w:rsidR="00B96738">
        <w:rPr>
          <w:rFonts w:ascii="Arial" w:hAnsi="Arial" w:cs="Arial"/>
          <w:b/>
          <w:bCs/>
          <w:color w:val="004D80"/>
          <w:u w:color="000000"/>
          <w:lang w:val="it-IT"/>
        </w:rPr>
        <w:t xml:space="preserve">ONCLUSION </w:t>
      </w:r>
    </w:p>
    <w:p w14:paraId="78CC0101" w14:textId="77777777" w:rsidR="00B96738" w:rsidRDefault="00B96738" w:rsidP="009C6C3C">
      <w:pPr>
        <w:pStyle w:val="Body"/>
        <w:spacing w:line="276" w:lineRule="auto"/>
        <w:rPr>
          <w:rFonts w:ascii="Arial" w:hAnsi="Arial" w:cs="Arial"/>
          <w:u w:color="000000"/>
        </w:rPr>
      </w:pPr>
    </w:p>
    <w:p w14:paraId="1063FC31" w14:textId="1D705079" w:rsidR="00C53CB0" w:rsidRPr="009C6C3C" w:rsidRDefault="00000000" w:rsidP="009C6C3C">
      <w:pPr>
        <w:pStyle w:val="Body"/>
        <w:spacing w:line="276" w:lineRule="auto"/>
        <w:rPr>
          <w:rFonts w:ascii="Arial" w:eastAsia="Times New Roman" w:hAnsi="Arial" w:cs="Arial"/>
          <w:u w:color="000000"/>
        </w:rPr>
      </w:pPr>
      <w:r w:rsidRPr="009C6C3C">
        <w:rPr>
          <w:rFonts w:ascii="Arial" w:hAnsi="Arial" w:cs="Arial"/>
          <w:u w:color="000000"/>
        </w:rPr>
        <w:t>The growing body of evidence highlights the pervasive impact of EDCs on female reproductive and metabolic health across the life course. From fetal development to menopause, EDCs such as phthalates, bisphenol A, perfluoroalkyl substances, and heavy metals disrupt hormonal pathways, with long-term health implications. Advances in biomonitoring, mechanistic studies, and NAMs are enhancing our understanding and risk assessment of these exposures. Continued interdisciplinary research and policy actions are critical to mitigate risks and safeguard public health.</w:t>
      </w:r>
    </w:p>
    <w:p w14:paraId="66CEAC1B" w14:textId="77777777" w:rsidR="00C53CB0" w:rsidRPr="009C6C3C" w:rsidRDefault="00C53CB0" w:rsidP="009C6C3C">
      <w:pPr>
        <w:pStyle w:val="Body"/>
        <w:spacing w:line="276" w:lineRule="auto"/>
        <w:rPr>
          <w:rFonts w:ascii="Arial" w:eastAsia="Times New Roman" w:hAnsi="Arial" w:cs="Arial"/>
          <w:u w:color="000000"/>
        </w:rPr>
      </w:pPr>
    </w:p>
    <w:p w14:paraId="21AD6C84" w14:textId="10CDDF2F" w:rsidR="00C53CB0" w:rsidRDefault="00000000" w:rsidP="009C6C3C">
      <w:pPr>
        <w:pStyle w:val="Heading2"/>
        <w:keepLines/>
        <w:spacing w:line="276" w:lineRule="auto"/>
        <w:rPr>
          <w:rFonts w:ascii="Arial" w:hAnsi="Arial" w:cs="Arial"/>
          <w:color w:val="4F81BD"/>
          <w:sz w:val="22"/>
          <w:szCs w:val="22"/>
          <w:u w:color="4F81BD"/>
          <w:lang w:val="fr-FR"/>
        </w:rPr>
      </w:pPr>
      <w:r w:rsidRPr="009C6C3C">
        <w:rPr>
          <w:rFonts w:ascii="Arial" w:hAnsi="Arial" w:cs="Arial"/>
          <w:color w:val="4F81BD"/>
          <w:sz w:val="22"/>
          <w:szCs w:val="22"/>
          <w:u w:color="4F81BD"/>
          <w:lang w:val="fr-FR"/>
        </w:rPr>
        <w:t>R</w:t>
      </w:r>
      <w:r w:rsidR="007A0FB2">
        <w:rPr>
          <w:rFonts w:ascii="Arial" w:hAnsi="Arial" w:cs="Arial"/>
          <w:color w:val="4F81BD"/>
          <w:sz w:val="22"/>
          <w:szCs w:val="22"/>
          <w:u w:color="4F81BD"/>
          <w:lang w:val="fr-FR"/>
        </w:rPr>
        <w:t>EFERENCES</w:t>
      </w:r>
    </w:p>
    <w:p w14:paraId="7304EAA5" w14:textId="77777777" w:rsidR="007A0FB2" w:rsidRPr="007A0FB2" w:rsidRDefault="007A0FB2" w:rsidP="007A0FB2">
      <w:pPr>
        <w:pStyle w:val="Body"/>
        <w:rPr>
          <w:lang w:val="fr-FR"/>
        </w:rPr>
      </w:pPr>
    </w:p>
    <w:p w14:paraId="0DB7306A" w14:textId="77777777" w:rsidR="007A0FB2" w:rsidRPr="007A0FB2" w:rsidRDefault="007A0FB2" w:rsidP="007A0FB2">
      <w:pPr>
        <w:pStyle w:val="Body"/>
        <w:rPr>
          <w:lang w:val="fr-FR"/>
        </w:rPr>
      </w:pPr>
    </w:p>
    <w:p w14:paraId="1528BC3A" w14:textId="77777777" w:rsidR="00C53CB0" w:rsidRPr="009C6C3C" w:rsidRDefault="00000000" w:rsidP="009C6C3C">
      <w:pPr>
        <w:pStyle w:val="Default"/>
        <w:numPr>
          <w:ilvl w:val="0"/>
          <w:numId w:val="2"/>
        </w:numPr>
        <w:spacing w:before="0" w:line="276" w:lineRule="auto"/>
        <w:ind w:left="720" w:hanging="576"/>
        <w:rPr>
          <w:rFonts w:ascii="Arial" w:hAnsi="Arial" w:cs="Arial"/>
          <w:sz w:val="22"/>
          <w:szCs w:val="22"/>
          <w:u w:color="000000"/>
        </w:rPr>
      </w:pPr>
      <w:r w:rsidRPr="009C6C3C">
        <w:rPr>
          <w:rFonts w:ascii="Arial" w:hAnsi="Arial" w:cs="Arial"/>
          <w:sz w:val="22"/>
          <w:szCs w:val="22"/>
          <w:u w:color="000000"/>
        </w:rPr>
        <w:t xml:space="preserve">Stevens DR, Sinkovskaya E, Przybylska A, Nehme L, Diab Y, Onishi K, Saade G, Abuhamad A, Ferguson KK. Gestational exposure to endocrine disrupting chemicals </w:t>
      </w:r>
      <w:r w:rsidRPr="009C6C3C">
        <w:rPr>
          <w:rFonts w:ascii="Arial" w:hAnsi="Arial" w:cs="Arial"/>
          <w:sz w:val="22"/>
          <w:szCs w:val="22"/>
          <w:u w:color="000000"/>
        </w:rPr>
        <w:lastRenderedPageBreak/>
        <w:t>and fetal liver development: Findings from the HPP-3D study. ISEE Conference Abstracts. 2024;2024(1)]. doi: 10.1289/isee.2024.0691.</w:t>
      </w:r>
    </w:p>
    <w:p w14:paraId="56C9C05B" w14:textId="77777777" w:rsidR="00C53CB0" w:rsidRPr="009C6C3C" w:rsidRDefault="00000000" w:rsidP="009C6C3C">
      <w:pPr>
        <w:pStyle w:val="Default"/>
        <w:numPr>
          <w:ilvl w:val="0"/>
          <w:numId w:val="2"/>
        </w:numPr>
        <w:spacing w:before="0" w:line="276" w:lineRule="auto"/>
        <w:ind w:left="720" w:hanging="576"/>
        <w:rPr>
          <w:rFonts w:ascii="Arial" w:hAnsi="Arial" w:cs="Arial"/>
          <w:sz w:val="22"/>
          <w:szCs w:val="22"/>
          <w:u w:color="000000"/>
        </w:rPr>
      </w:pPr>
      <w:r w:rsidRPr="009C6C3C">
        <w:rPr>
          <w:rFonts w:ascii="Arial" w:hAnsi="Arial" w:cs="Arial"/>
          <w:sz w:val="22"/>
          <w:szCs w:val="22"/>
          <w:u w:color="000000"/>
        </w:rPr>
        <w:t>Surabhi S, Bang Y, Oh J, Shin J, Park E, Ha E. Pregnant women lifestyle and exposure to endocrine disrupting chemicals. *ISEE Conference Abstracts*. 2023 Sep 17;2023(1). doi:10.1289/isee.2023.SA-087. Available from: https://ehp.niehs.nih.gov/doi/full/10.1289/isee.2023.SA-087.</w:t>
      </w:r>
    </w:p>
    <w:p w14:paraId="3A04CDBA" w14:textId="1292974F" w:rsidR="00C53CB0" w:rsidRPr="007A0FB2" w:rsidRDefault="00000000" w:rsidP="009C6C3C">
      <w:pPr>
        <w:pStyle w:val="Default"/>
        <w:numPr>
          <w:ilvl w:val="0"/>
          <w:numId w:val="2"/>
        </w:numPr>
        <w:spacing w:before="0" w:line="276" w:lineRule="auto"/>
        <w:ind w:left="720" w:hanging="576"/>
        <w:rPr>
          <w:rFonts w:ascii="Arial" w:eastAsia="Times New Roman" w:hAnsi="Arial" w:cs="Arial"/>
          <w:sz w:val="22"/>
          <w:szCs w:val="22"/>
          <w:u w:color="000000"/>
        </w:rPr>
      </w:pPr>
      <w:r w:rsidRPr="007A0FB2">
        <w:rPr>
          <w:rFonts w:ascii="Arial" w:hAnsi="Arial" w:cs="Arial"/>
          <w:sz w:val="22"/>
          <w:szCs w:val="22"/>
          <w:u w:color="000000"/>
        </w:rPr>
        <w:t>McDonald JA, Vilfranc CL, Wang X, Tsui F, Franklin J, Walker DAH, Martinez M, Shepard P, Terry MB, Llanos AAM, Barrett ES, Houghton LC, Pennell K. Hair care product exposure among pregnant women of color in New York City: Feasibility of a mixed-methods educational intervention study. ISEE Conference Abstracts. 2024;2024(1).</w:t>
      </w:r>
    </w:p>
    <w:p w14:paraId="6555291E" w14:textId="77777777" w:rsidR="00C53CB0" w:rsidRPr="009C6C3C" w:rsidRDefault="00000000" w:rsidP="009C6C3C">
      <w:pPr>
        <w:pStyle w:val="Default"/>
        <w:numPr>
          <w:ilvl w:val="0"/>
          <w:numId w:val="2"/>
        </w:numPr>
        <w:spacing w:before="0" w:line="276" w:lineRule="auto"/>
        <w:ind w:left="720" w:hanging="576"/>
        <w:rPr>
          <w:rFonts w:ascii="Arial" w:hAnsi="Arial" w:cs="Arial"/>
          <w:sz w:val="22"/>
          <w:szCs w:val="22"/>
          <w:u w:color="000000"/>
        </w:rPr>
      </w:pPr>
      <w:r w:rsidRPr="009C6C3C">
        <w:rPr>
          <w:rFonts w:ascii="Arial" w:hAnsi="Arial" w:cs="Arial"/>
          <w:sz w:val="22"/>
          <w:szCs w:val="22"/>
          <w:u w:color="000000"/>
        </w:rPr>
        <w:t>Hélène Tillaut, Christine Monfort, Florence Rouget, Fabienne Pelé, Fabrice Lainé, Eric Gaudreau et al.Prenatal Exposure to Perfluoroalkyl Substances and Child Behavior at Age 12: A PELAGIE Mother–Child Cohort Study.Environmental Health Perspectives 131:11.CID: 117009. https://doi.org/10.1289/EHP12540.3. Let’s R.O.A.R. Pilot – Reduction in phthalate metabolites through culturally tailored interventions.</w:t>
      </w:r>
    </w:p>
    <w:p w14:paraId="0F1747DB" w14:textId="77777777" w:rsidR="00C53CB0" w:rsidRPr="009C6C3C" w:rsidRDefault="00000000" w:rsidP="009C6C3C">
      <w:pPr>
        <w:pStyle w:val="Default"/>
        <w:numPr>
          <w:ilvl w:val="0"/>
          <w:numId w:val="2"/>
        </w:numPr>
        <w:spacing w:before="0" w:line="276" w:lineRule="auto"/>
        <w:ind w:left="720" w:hanging="576"/>
        <w:rPr>
          <w:rFonts w:ascii="Arial" w:hAnsi="Arial" w:cs="Arial"/>
          <w:sz w:val="22"/>
          <w:szCs w:val="22"/>
          <w:u w:color="000000"/>
        </w:rPr>
      </w:pPr>
      <w:r w:rsidRPr="009C6C3C">
        <w:rPr>
          <w:rFonts w:ascii="Arial" w:hAnsi="Arial" w:cs="Arial"/>
          <w:sz w:val="22"/>
          <w:szCs w:val="22"/>
          <w:u w:color="000000"/>
        </w:rPr>
        <w:t>Symeonides, C., Vacy, K., Thomson, S. et al. Male autism spectrum disorder is linked to brain aromatase disruption by prenatal BPA in multimodal investigations and 10HDA ameliorates the related mouse phenotype. Nat Commun 15, 6367 (2024). https://doi.org/10.1038/s41467-024-48897-8.</w:t>
      </w:r>
    </w:p>
    <w:p w14:paraId="0B2C5BE0" w14:textId="77777777" w:rsidR="00C53CB0" w:rsidRPr="009C6C3C" w:rsidRDefault="00000000" w:rsidP="009C6C3C">
      <w:pPr>
        <w:pStyle w:val="Default"/>
        <w:numPr>
          <w:ilvl w:val="0"/>
          <w:numId w:val="2"/>
        </w:numPr>
        <w:spacing w:before="0" w:line="276" w:lineRule="auto"/>
        <w:ind w:left="720" w:hanging="576"/>
        <w:rPr>
          <w:rFonts w:ascii="Arial" w:hAnsi="Arial" w:cs="Arial"/>
          <w:sz w:val="22"/>
          <w:szCs w:val="22"/>
          <w:u w:color="000000"/>
        </w:rPr>
      </w:pPr>
      <w:r w:rsidRPr="009C6C3C">
        <w:rPr>
          <w:rFonts w:ascii="Arial" w:hAnsi="Arial" w:cs="Arial"/>
          <w:sz w:val="22"/>
          <w:szCs w:val="22"/>
          <w:u w:color="000000"/>
        </w:rPr>
        <w:t>Santos JX, Rasga C, Marques AR, et al. A role for gene-environment interactions in autism spectrum disorder is supported by variants in genes regulating the effects of exposure to xenobiotics. Front Neurosci. 2022;16:862315. doi: 10.3389/fnins.2022.862315.</w:t>
      </w:r>
    </w:p>
    <w:p w14:paraId="3FCD6682" w14:textId="77777777" w:rsidR="00C53CB0" w:rsidRPr="009C6C3C" w:rsidRDefault="00000000" w:rsidP="009C6C3C">
      <w:pPr>
        <w:pStyle w:val="Default"/>
        <w:numPr>
          <w:ilvl w:val="0"/>
          <w:numId w:val="2"/>
        </w:numPr>
        <w:spacing w:before="0" w:line="276" w:lineRule="auto"/>
        <w:ind w:left="720" w:hanging="576"/>
        <w:rPr>
          <w:rFonts w:ascii="Arial" w:hAnsi="Arial" w:cs="Arial"/>
          <w:sz w:val="22"/>
          <w:szCs w:val="22"/>
          <w:u w:color="000000"/>
        </w:rPr>
      </w:pPr>
      <w:r w:rsidRPr="009C6C3C">
        <w:rPr>
          <w:rFonts w:ascii="Arial" w:hAnsi="Arial" w:cs="Arial"/>
          <w:sz w:val="22"/>
          <w:szCs w:val="22"/>
          <w:u w:color="000000"/>
        </w:rPr>
        <w:t>Yang Z, Zhang J, Wang M, Wang X, Liu H, Zhang F, Fan H. Prenatal endocrine-disrupting chemicals exposure and impact on offspring neurodevelopment: A systematic review and meta-analysis. Neurotoxicology. 2024 Jul;103:335-357. doi: 10.1016/j.neuro.2024.07.006. Epub 2024 Jul 14. PMID: 39013523.</w:t>
      </w:r>
    </w:p>
    <w:p w14:paraId="45E263AA" w14:textId="77777777" w:rsidR="00C53CB0" w:rsidRPr="009C6C3C" w:rsidRDefault="00000000" w:rsidP="009C6C3C">
      <w:pPr>
        <w:pStyle w:val="Default"/>
        <w:numPr>
          <w:ilvl w:val="0"/>
          <w:numId w:val="2"/>
        </w:numPr>
        <w:spacing w:before="0" w:line="276" w:lineRule="auto"/>
        <w:ind w:left="720" w:hanging="576"/>
        <w:rPr>
          <w:rFonts w:ascii="Arial" w:hAnsi="Arial" w:cs="Arial"/>
          <w:sz w:val="22"/>
          <w:szCs w:val="22"/>
          <w:u w:color="000000"/>
        </w:rPr>
      </w:pPr>
      <w:r w:rsidRPr="009C6C3C">
        <w:rPr>
          <w:rFonts w:ascii="Arial" w:hAnsi="Arial" w:cs="Arial"/>
          <w:sz w:val="22"/>
          <w:szCs w:val="22"/>
          <w:u w:color="000000"/>
        </w:rPr>
        <w:t>Ding N, Wang X, Harlow SD, Randolph JF Jr, Gold EB, Park SK. Heavy Metals and Trajectories of Anti-Müllerian Hormone During the Menopausal Transition. J Clin Endocrinol Metab. 2024 Oct 15;109(11):e2057-e2064. doi: 10.1210/clinem/dgad756. PMID: 38271266.</w:t>
      </w:r>
    </w:p>
    <w:p w14:paraId="191653D1" w14:textId="77777777" w:rsidR="00C53CB0" w:rsidRPr="009C6C3C" w:rsidRDefault="00000000" w:rsidP="009C6C3C">
      <w:pPr>
        <w:pStyle w:val="Default"/>
        <w:numPr>
          <w:ilvl w:val="0"/>
          <w:numId w:val="2"/>
        </w:numPr>
        <w:spacing w:before="0" w:line="276" w:lineRule="auto"/>
        <w:ind w:left="720" w:hanging="576"/>
        <w:rPr>
          <w:rFonts w:ascii="Arial" w:hAnsi="Arial" w:cs="Arial"/>
          <w:sz w:val="22"/>
          <w:szCs w:val="22"/>
          <w:u w:color="000000"/>
        </w:rPr>
      </w:pPr>
      <w:r w:rsidRPr="009C6C3C">
        <w:rPr>
          <w:rFonts w:ascii="Arial" w:hAnsi="Arial" w:cs="Arial"/>
          <w:sz w:val="22"/>
          <w:szCs w:val="22"/>
          <w:u w:color="000000"/>
        </w:rPr>
        <w:t>Li T, Vazakidou P, Leonards PEG, Damdimopoulos A, Panagiotou EM, Arnelo C, Jansson K, Pettersson K, Papaikonomou K, van Duursen M, Damdimopoulou P. Identification of biomarkers and outcomes of endocrine disruption in human ovarian cortex using in vitro models. *Toxicol. 2023*;485:153425.</w:t>
      </w:r>
    </w:p>
    <w:p w14:paraId="089A315A" w14:textId="77777777" w:rsidR="00C53CB0" w:rsidRPr="009C6C3C" w:rsidRDefault="00000000" w:rsidP="009C6C3C">
      <w:pPr>
        <w:pStyle w:val="Default"/>
        <w:numPr>
          <w:ilvl w:val="0"/>
          <w:numId w:val="2"/>
        </w:numPr>
        <w:spacing w:before="0" w:line="276" w:lineRule="auto"/>
        <w:ind w:left="720" w:hanging="576"/>
        <w:rPr>
          <w:rFonts w:ascii="Arial" w:hAnsi="Arial" w:cs="Arial"/>
          <w:sz w:val="22"/>
          <w:szCs w:val="22"/>
          <w:u w:color="000000"/>
        </w:rPr>
      </w:pPr>
      <w:r w:rsidRPr="009C6C3C">
        <w:rPr>
          <w:rFonts w:ascii="Arial" w:hAnsi="Arial" w:cs="Arial"/>
          <w:sz w:val="22"/>
          <w:szCs w:val="22"/>
          <w:u w:color="000000"/>
        </w:rPr>
        <w:t>Montano L, Raimondo S, Piscopo M, Ricciardi M, Guglielmino A, Chamayou S, et al. First evidence of microplastics in human ovarian follicular fluid: An emerging threat to female fertility. Ecotoxicol Environ Saf. 2025;291:117868. doi:10.1016/j.ecoenv.2025.117868.</w:t>
      </w:r>
    </w:p>
    <w:p w14:paraId="1E63F48F" w14:textId="77777777" w:rsidR="00C53CB0" w:rsidRPr="009C6C3C" w:rsidRDefault="00000000" w:rsidP="009C6C3C">
      <w:pPr>
        <w:pStyle w:val="Default"/>
        <w:numPr>
          <w:ilvl w:val="0"/>
          <w:numId w:val="2"/>
        </w:numPr>
        <w:spacing w:before="0" w:line="276" w:lineRule="auto"/>
        <w:ind w:left="720" w:hanging="576"/>
        <w:rPr>
          <w:rFonts w:ascii="Arial" w:hAnsi="Arial" w:cs="Arial"/>
          <w:sz w:val="22"/>
          <w:szCs w:val="22"/>
          <w:u w:color="000000"/>
        </w:rPr>
      </w:pPr>
      <w:r w:rsidRPr="009C6C3C">
        <w:rPr>
          <w:rFonts w:ascii="Arial" w:hAnsi="Arial" w:cs="Arial"/>
          <w:sz w:val="22"/>
          <w:szCs w:val="22"/>
          <w:u w:color="000000"/>
        </w:rPr>
        <w:t>Wang S, Xu K, Du W, Gao X, Ma P, Yang X, Chen M. Exposure to environmental doses of DEHP causes phenotypes of polycystic ovary syndrome. *Toxicol.* 2024 Dec;509:153952. doi: 10.1016/j.tox.2024.153952.</w:t>
      </w:r>
    </w:p>
    <w:p w14:paraId="7BA9C186" w14:textId="77777777" w:rsidR="00C53CB0" w:rsidRPr="009C6C3C" w:rsidRDefault="00000000" w:rsidP="009C6C3C">
      <w:pPr>
        <w:pStyle w:val="Default"/>
        <w:numPr>
          <w:ilvl w:val="0"/>
          <w:numId w:val="2"/>
        </w:numPr>
        <w:spacing w:before="0" w:line="276" w:lineRule="auto"/>
        <w:ind w:left="720" w:hanging="576"/>
        <w:rPr>
          <w:rFonts w:ascii="Arial" w:hAnsi="Arial" w:cs="Arial"/>
          <w:sz w:val="22"/>
          <w:szCs w:val="22"/>
          <w:u w:color="000000"/>
        </w:rPr>
      </w:pPr>
      <w:r w:rsidRPr="009C6C3C">
        <w:rPr>
          <w:rFonts w:ascii="Arial" w:hAnsi="Arial" w:cs="Arial"/>
          <w:sz w:val="22"/>
          <w:szCs w:val="22"/>
          <w:u w:color="000000"/>
        </w:rPr>
        <w:t>Zuo Q, Gao X, Fu X, Song L, Cen M, Qin S, Wu J. Association between mixed exposure to endocrine-disrupting chemicals and cognitive function in elderly Americans. Public Health. 2024 Mar;228:36-42. doi: 10.1016/j.puhe.2023.12.021. Epub 2024 Jan 22. PMID: 38262207.</w:t>
      </w:r>
    </w:p>
    <w:p w14:paraId="3A723EFF" w14:textId="77777777" w:rsidR="00C53CB0" w:rsidRPr="009C6C3C" w:rsidRDefault="00000000" w:rsidP="009C6C3C">
      <w:pPr>
        <w:pStyle w:val="Default"/>
        <w:numPr>
          <w:ilvl w:val="0"/>
          <w:numId w:val="2"/>
        </w:numPr>
        <w:spacing w:before="0" w:line="276" w:lineRule="auto"/>
        <w:ind w:left="720" w:hanging="576"/>
        <w:rPr>
          <w:rFonts w:ascii="Arial" w:hAnsi="Arial" w:cs="Arial"/>
          <w:sz w:val="22"/>
          <w:szCs w:val="22"/>
          <w:u w:color="000000"/>
        </w:rPr>
      </w:pPr>
      <w:r w:rsidRPr="009C6C3C">
        <w:rPr>
          <w:rFonts w:ascii="Arial" w:hAnsi="Arial" w:cs="Arial"/>
          <w:sz w:val="22"/>
          <w:szCs w:val="22"/>
          <w:u w:color="000000"/>
        </w:rPr>
        <w:lastRenderedPageBreak/>
        <w:t>Shu Yang, Li Zhang, Kamal Khan, Jameson Travers, Ruili Huang, Vukasin M Jovanovic, Rithvik Veeramachaneni, Srilatha Sakamuru, Carlos A Tristan, Erica E Davis, Carleen Klumpp-Thomas, Kristine L Witt, Anton Simeonov, Natalie D Shaw, Menghang Xia, Identification of Environmental Compounds That May Trigger Early Female Puberty by Activating Human GnRHR and KISS1R, Endocrinology, Volume 165, Issue 10, October 2024, bqae103, https://doi.org/10.1210/endocr/bqae103.</w:t>
      </w:r>
    </w:p>
    <w:p w14:paraId="4BE7864A" w14:textId="77777777" w:rsidR="00C53CB0" w:rsidRPr="009C6C3C" w:rsidRDefault="00000000" w:rsidP="009C6C3C">
      <w:pPr>
        <w:pStyle w:val="Default"/>
        <w:numPr>
          <w:ilvl w:val="0"/>
          <w:numId w:val="2"/>
        </w:numPr>
        <w:spacing w:before="0" w:line="276" w:lineRule="auto"/>
        <w:ind w:left="720" w:hanging="576"/>
        <w:rPr>
          <w:rFonts w:ascii="Arial" w:hAnsi="Arial" w:cs="Arial"/>
          <w:sz w:val="22"/>
          <w:szCs w:val="22"/>
          <w:u w:color="000000"/>
        </w:rPr>
      </w:pPr>
      <w:r w:rsidRPr="009C6C3C">
        <w:rPr>
          <w:rFonts w:ascii="Arial" w:hAnsi="Arial" w:cs="Arial"/>
          <w:sz w:val="22"/>
          <w:szCs w:val="22"/>
          <w:u w:color="000000"/>
        </w:rPr>
        <w:t>EFSA CEP Panel (EFSA Panel on Food Contact Materials, Enzymes and Processing Aids), Lambré C, Barat Baviera JM, Bolognesi C, Chesson A, Cocconcelli PS, Crebelli R, et al. Scientific Opinion on the re-evaluation of the risks to public health related to the presence of bisphenol A (BPA) in foodstuffs. EFSA J. 2023;21(4):6857. doi: 10.2903/j.efsa.2023.6857</w:t>
      </w:r>
    </w:p>
    <w:p w14:paraId="0C17B3EE" w14:textId="77777777" w:rsidR="00C53CB0" w:rsidRPr="009C6C3C" w:rsidRDefault="00000000" w:rsidP="009C6C3C">
      <w:pPr>
        <w:pStyle w:val="Default"/>
        <w:numPr>
          <w:ilvl w:val="0"/>
          <w:numId w:val="2"/>
        </w:numPr>
        <w:spacing w:before="0" w:line="276" w:lineRule="auto"/>
        <w:ind w:left="720" w:hanging="576"/>
        <w:rPr>
          <w:rFonts w:ascii="Arial" w:hAnsi="Arial" w:cs="Arial"/>
          <w:sz w:val="22"/>
          <w:szCs w:val="22"/>
          <w:u w:color="000000"/>
        </w:rPr>
      </w:pPr>
      <w:r w:rsidRPr="009C6C3C">
        <w:rPr>
          <w:rFonts w:ascii="Arial" w:hAnsi="Arial" w:cs="Arial"/>
          <w:sz w:val="22"/>
          <w:szCs w:val="22"/>
          <w:u w:color="000000"/>
        </w:rPr>
        <w:t>Katie Paul Friedman, Russell S Thomas, John F Wambaugh, Joshua A Harrill, Richard S Judson, Timothy J Shafer, Antony J Williams, Jia-Ying Joey Lee, Lit-Hsin Loo, Matthew Gagné, Alexandra S Long, Tara S Barton-Maclaren, Maurice Whelan, Mounir Bouhifd, Mike Rasenberg, Ulla Simanainen, Tomasz Sobanski, Integration of new approach methods for the assessment of data-poor chemicals, Toxicological Sciences, 2025;, kfaf019, https://doi.org/10.1093/toxsci/kfaf019.</w:t>
      </w:r>
    </w:p>
    <w:p w14:paraId="045E6C49" w14:textId="77777777" w:rsidR="00C53CB0" w:rsidRPr="009C6C3C" w:rsidRDefault="00000000" w:rsidP="009C6C3C">
      <w:pPr>
        <w:pStyle w:val="Default"/>
        <w:numPr>
          <w:ilvl w:val="0"/>
          <w:numId w:val="2"/>
        </w:numPr>
        <w:spacing w:before="0" w:line="276" w:lineRule="auto"/>
        <w:ind w:left="720" w:hanging="576"/>
        <w:rPr>
          <w:rFonts w:ascii="Arial" w:hAnsi="Arial" w:cs="Arial"/>
          <w:sz w:val="22"/>
          <w:szCs w:val="22"/>
          <w:u w:color="000000"/>
        </w:rPr>
      </w:pPr>
      <w:r w:rsidRPr="009C6C3C">
        <w:rPr>
          <w:rFonts w:ascii="Arial" w:hAnsi="Arial" w:cs="Arial"/>
          <w:sz w:val="22"/>
          <w:szCs w:val="22"/>
          <w:u w:color="000000"/>
        </w:rPr>
        <w:t>Chakraborty A, Tromer R, Yadav TP, Mukhopadhyay NK, Lahiri B, Rao R, Roy A, Aich N, Woellner CF, Galvao DS, Tiwary CS. Ultrasensitive Electrochemical Sensor for Perfluorooctanoic Acid Detection Using Two-dimensional Aluminium Quasicrystal. arXiv preprint arXiv:2501.07587. 2025 Jan 6.</w:t>
      </w:r>
    </w:p>
    <w:p w14:paraId="356CD030" w14:textId="77777777" w:rsidR="00C53CB0" w:rsidRPr="009C6C3C" w:rsidRDefault="00000000" w:rsidP="009C6C3C">
      <w:pPr>
        <w:pStyle w:val="Default"/>
        <w:numPr>
          <w:ilvl w:val="0"/>
          <w:numId w:val="2"/>
        </w:numPr>
        <w:spacing w:before="0" w:line="276" w:lineRule="auto"/>
        <w:ind w:left="720" w:hanging="576"/>
        <w:rPr>
          <w:rFonts w:ascii="Arial" w:hAnsi="Arial" w:cs="Arial"/>
          <w:sz w:val="22"/>
          <w:szCs w:val="22"/>
          <w:u w:color="000000"/>
        </w:rPr>
      </w:pPr>
      <w:r w:rsidRPr="009C6C3C">
        <w:rPr>
          <w:rFonts w:ascii="Arial" w:hAnsi="Arial" w:cs="Arial"/>
          <w:sz w:val="22"/>
          <w:szCs w:val="22"/>
          <w:u w:color="000000"/>
        </w:rPr>
        <w:t>David O Onyango, Bastian G Selman, Jane L Rose, Corie A Ellison, J F Nash, Comparison between endocrine activity assessed using ToxCast/Tox21 database and human plasma concentration of sunscreen active ingredients/UV filters, Toxicological Sciences, Volume 196, Issue 1, November 2023, Pages 25–37, https://doi.org/10.1093/toxsci/kfad082.</w:t>
      </w:r>
    </w:p>
    <w:sectPr w:rsidR="00C53CB0" w:rsidRPr="009C6C3C" w:rsidSect="009C6C3C">
      <w:headerReference w:type="default" r:id="rId7"/>
      <w:footerReference w:type="default" r:id="rId8"/>
      <w:pgSz w:w="11906" w:h="16838"/>
      <w:pgMar w:top="1440" w:right="1440" w:bottom="1440" w:left="1440"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2B26E" w14:textId="77777777" w:rsidR="000451F9" w:rsidRDefault="000451F9">
      <w:r>
        <w:separator/>
      </w:r>
    </w:p>
  </w:endnote>
  <w:endnote w:type="continuationSeparator" w:id="0">
    <w:p w14:paraId="558EC346" w14:textId="77777777" w:rsidR="000451F9" w:rsidRDefault="00045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AB0DF" w14:textId="77777777" w:rsidR="00C53CB0" w:rsidRDefault="00C53C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CA405" w14:textId="77777777" w:rsidR="000451F9" w:rsidRDefault="000451F9">
      <w:r>
        <w:separator/>
      </w:r>
    </w:p>
  </w:footnote>
  <w:footnote w:type="continuationSeparator" w:id="0">
    <w:p w14:paraId="5133491B" w14:textId="77777777" w:rsidR="000451F9" w:rsidRDefault="00045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D866D" w14:textId="77777777" w:rsidR="00C53CB0" w:rsidRDefault="00C53C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152ED"/>
    <w:multiLevelType w:val="hybridMultilevel"/>
    <w:tmpl w:val="390272C8"/>
    <w:numStyleLink w:val="ImportedStyle1"/>
  </w:abstractNum>
  <w:abstractNum w:abstractNumId="1" w15:restartNumberingAfterBreak="0">
    <w:nsid w:val="471B22F7"/>
    <w:multiLevelType w:val="hybridMultilevel"/>
    <w:tmpl w:val="390272C8"/>
    <w:styleLink w:val="ImportedStyle1"/>
    <w:lvl w:ilvl="0" w:tplc="E070DC9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EA2DFEA">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8C28D48">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ABE0E24">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968595E">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618A4F4">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8CE68FE">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1E279D6">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5E0982C">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941796201">
    <w:abstractNumId w:val="1"/>
  </w:num>
  <w:num w:numId="2" w16cid:durableId="1646663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CB0"/>
    <w:rsid w:val="000266CC"/>
    <w:rsid w:val="000451F9"/>
    <w:rsid w:val="001C5700"/>
    <w:rsid w:val="001F7412"/>
    <w:rsid w:val="0029007A"/>
    <w:rsid w:val="0057626E"/>
    <w:rsid w:val="007A0FB2"/>
    <w:rsid w:val="008E0112"/>
    <w:rsid w:val="0096365C"/>
    <w:rsid w:val="009C6C3C"/>
    <w:rsid w:val="00B96738"/>
    <w:rsid w:val="00C53CB0"/>
    <w:rsid w:val="00DF2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EC583"/>
  <w15:docId w15:val="{CCBBDDAE-FBC9-4FC4-A54B-1C1EE133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keepNext/>
      <w:outlineLvl w:val="1"/>
    </w:pPr>
    <w:rPr>
      <w:rFonts w:ascii="Helvetica Neue" w:hAnsi="Helvetica Neue" w:cs="Arial Unicode MS"/>
      <w:b/>
      <w:bCs/>
      <w:color w:val="000000"/>
      <w:sz w:val="32"/>
      <w:szCs w:val="32"/>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ing">
    <w:name w:val="Heading"/>
    <w:next w:val="Body"/>
    <w:pPr>
      <w:keepNext/>
      <w:outlineLvl w:val="0"/>
    </w:pPr>
    <w:rPr>
      <w:rFonts w:ascii="Helvetica Neue" w:hAnsi="Helvetica Neue" w:cs="Arial Unicode MS"/>
      <w:b/>
      <w:bCs/>
      <w:color w:val="000000"/>
      <w:sz w:val="36"/>
      <w:szCs w:val="36"/>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1623</Words>
  <Characters>9254</Characters>
  <Application>Microsoft Office Word</Application>
  <DocSecurity>0</DocSecurity>
  <Lines>77</Lines>
  <Paragraphs>21</Paragraphs>
  <ScaleCrop>false</ScaleCrop>
  <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Feingold</dc:creator>
  <cp:lastModifiedBy>Kenneth Feingold</cp:lastModifiedBy>
  <cp:revision>11</cp:revision>
  <dcterms:created xsi:type="dcterms:W3CDTF">2025-05-02T18:18:00Z</dcterms:created>
  <dcterms:modified xsi:type="dcterms:W3CDTF">2025-05-02T18:29:00Z</dcterms:modified>
</cp:coreProperties>
</file>