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F7F64" w14:textId="75DC1892" w:rsidR="005C4829" w:rsidRPr="005A4672" w:rsidRDefault="005C4829" w:rsidP="005A4672">
      <w:pPr>
        <w:autoSpaceDE w:val="0"/>
        <w:autoSpaceDN w:val="0"/>
        <w:adjustRightInd w:val="0"/>
        <w:spacing w:after="0" w:line="276" w:lineRule="auto"/>
        <w:rPr>
          <w:rFonts w:ascii="Arial" w:hAnsi="Arial" w:cs="Arial"/>
          <w:b/>
          <w:bCs/>
          <w:kern w:val="0"/>
          <w:sz w:val="28"/>
          <w:szCs w:val="28"/>
        </w:rPr>
      </w:pPr>
      <w:r w:rsidRPr="005A4672">
        <w:rPr>
          <w:rFonts w:ascii="Arial" w:hAnsi="Arial" w:cs="Arial"/>
          <w:b/>
          <w:bCs/>
          <w:kern w:val="0"/>
          <w:sz w:val="28"/>
          <w:szCs w:val="28"/>
        </w:rPr>
        <w:t>A</w:t>
      </w:r>
      <w:r w:rsidR="004301C0" w:rsidRPr="005A4672">
        <w:rPr>
          <w:rFonts w:ascii="Arial" w:hAnsi="Arial" w:cs="Arial"/>
          <w:b/>
          <w:bCs/>
          <w:kern w:val="0"/>
          <w:sz w:val="28"/>
          <w:szCs w:val="28"/>
        </w:rPr>
        <w:t>SSAY OF THY</w:t>
      </w:r>
      <w:r w:rsidR="001A1C32" w:rsidRPr="005A4672">
        <w:rPr>
          <w:rFonts w:ascii="Arial" w:hAnsi="Arial" w:cs="Arial"/>
          <w:b/>
          <w:bCs/>
          <w:kern w:val="0"/>
          <w:sz w:val="28"/>
          <w:szCs w:val="28"/>
        </w:rPr>
        <w:t xml:space="preserve">ROID HORMONE AND RELATED SUBSTANCES </w:t>
      </w:r>
    </w:p>
    <w:p w14:paraId="006EBD78" w14:textId="77777777" w:rsidR="005C4829" w:rsidRDefault="005C4829" w:rsidP="005A4672">
      <w:pPr>
        <w:autoSpaceDE w:val="0"/>
        <w:autoSpaceDN w:val="0"/>
        <w:adjustRightInd w:val="0"/>
        <w:spacing w:after="0" w:line="276" w:lineRule="auto"/>
        <w:rPr>
          <w:rFonts w:ascii="Times New Roman" w:hAnsi="Times New Roman" w:cs="Times New Roman"/>
          <w:kern w:val="0"/>
        </w:rPr>
      </w:pPr>
    </w:p>
    <w:p w14:paraId="70D34FA1" w14:textId="6CE48F1B" w:rsidR="005A4672" w:rsidRPr="00055D25" w:rsidRDefault="00EA012B" w:rsidP="00EA012B">
      <w:pPr>
        <w:autoSpaceDE w:val="0"/>
        <w:autoSpaceDN w:val="0"/>
        <w:adjustRightInd w:val="0"/>
        <w:spacing w:after="0" w:line="276" w:lineRule="auto"/>
        <w:rPr>
          <w:rFonts w:ascii="Times New Roman" w:hAnsi="Times New Roman" w:cs="Times New Roman"/>
          <w:b/>
          <w:bCs/>
          <w:kern w:val="0"/>
          <w:sz w:val="28"/>
          <w:szCs w:val="28"/>
        </w:rPr>
      </w:pPr>
      <w:r w:rsidRPr="00055D25">
        <w:rPr>
          <w:rFonts w:ascii="Arial" w:hAnsi="Arial" w:cs="Arial"/>
          <w:b/>
          <w:bCs/>
          <w:kern w:val="0"/>
        </w:rPr>
        <w:t>Carole A. Spencer, PhD</w:t>
      </w:r>
      <w:r w:rsidR="00733B20" w:rsidRPr="00055D25">
        <w:rPr>
          <w:rFonts w:ascii="Arial" w:hAnsi="Arial" w:cs="Arial"/>
          <w:b/>
          <w:bCs/>
          <w:kern w:val="0"/>
          <w:sz w:val="20"/>
          <w:szCs w:val="20"/>
        </w:rPr>
        <w:t xml:space="preserve">, </w:t>
      </w:r>
      <w:r w:rsidRPr="00055D25">
        <w:rPr>
          <w:rFonts w:ascii="Arial" w:hAnsi="Arial" w:cs="Arial"/>
          <w:kern w:val="0"/>
          <w:sz w:val="20"/>
          <w:szCs w:val="20"/>
        </w:rPr>
        <w:t>Professor of Medicine University of Southern California</w:t>
      </w:r>
      <w:r w:rsidR="00733B20" w:rsidRPr="00055D25">
        <w:rPr>
          <w:rFonts w:ascii="Arial" w:hAnsi="Arial" w:cs="Arial"/>
          <w:kern w:val="0"/>
          <w:sz w:val="20"/>
          <w:szCs w:val="20"/>
        </w:rPr>
        <w:t>,</w:t>
      </w:r>
      <w:r w:rsidRPr="00055D25">
        <w:rPr>
          <w:rFonts w:ascii="Arial" w:hAnsi="Arial" w:cs="Arial"/>
          <w:kern w:val="0"/>
          <w:sz w:val="20"/>
          <w:szCs w:val="20"/>
        </w:rPr>
        <w:t xml:space="preserve"> Technical Director USC Endocrine Laboratories</w:t>
      </w:r>
      <w:r w:rsidR="00A80237" w:rsidRPr="00055D25">
        <w:rPr>
          <w:rFonts w:ascii="Arial" w:hAnsi="Arial" w:cs="Arial"/>
          <w:kern w:val="0"/>
          <w:sz w:val="20"/>
          <w:szCs w:val="20"/>
        </w:rPr>
        <w:t>,</w:t>
      </w:r>
      <w:r w:rsidRPr="00055D25">
        <w:rPr>
          <w:rFonts w:ascii="Arial" w:hAnsi="Arial" w:cs="Arial"/>
          <w:kern w:val="0"/>
          <w:sz w:val="20"/>
          <w:szCs w:val="20"/>
        </w:rPr>
        <w:t xml:space="preserve"> </w:t>
      </w:r>
      <w:r w:rsidR="00450A24" w:rsidRPr="00055D25">
        <w:rPr>
          <w:rFonts w:ascii="Arial" w:hAnsi="Arial" w:cs="Arial"/>
          <w:kern w:val="0"/>
          <w:sz w:val="20"/>
          <w:szCs w:val="20"/>
        </w:rPr>
        <w:t>University</w:t>
      </w:r>
      <w:r w:rsidRPr="00055D25">
        <w:rPr>
          <w:rFonts w:ascii="Arial" w:hAnsi="Arial" w:cs="Arial"/>
          <w:kern w:val="0"/>
          <w:sz w:val="20"/>
          <w:szCs w:val="20"/>
        </w:rPr>
        <w:t xml:space="preserve"> of Southern Calif</w:t>
      </w:r>
      <w:r w:rsidR="00450A24" w:rsidRPr="00055D25">
        <w:rPr>
          <w:rFonts w:ascii="Arial" w:hAnsi="Arial" w:cs="Arial"/>
          <w:kern w:val="0"/>
          <w:sz w:val="20"/>
          <w:szCs w:val="20"/>
        </w:rPr>
        <w:t>ornia</w:t>
      </w:r>
      <w:r w:rsidRPr="00055D25">
        <w:rPr>
          <w:rFonts w:ascii="Arial" w:hAnsi="Arial" w:cs="Arial"/>
          <w:kern w:val="0"/>
          <w:sz w:val="20"/>
          <w:szCs w:val="20"/>
        </w:rPr>
        <w:t>, Los Angeles, CA</w:t>
      </w:r>
      <w:r w:rsidR="00450A24" w:rsidRPr="00055D25">
        <w:rPr>
          <w:rFonts w:ascii="Arial" w:hAnsi="Arial" w:cs="Arial"/>
          <w:kern w:val="0"/>
          <w:sz w:val="20"/>
          <w:szCs w:val="20"/>
        </w:rPr>
        <w:t>.</w:t>
      </w:r>
      <w:r w:rsidR="00055D25">
        <w:rPr>
          <w:rFonts w:ascii="Times New Roman" w:hAnsi="Times New Roman" w:cs="Times New Roman"/>
          <w:b/>
          <w:bCs/>
          <w:kern w:val="0"/>
          <w:sz w:val="28"/>
          <w:szCs w:val="28"/>
        </w:rPr>
        <w:t xml:space="preserve"> </w:t>
      </w:r>
      <w:r w:rsidR="00A67598" w:rsidRPr="00252DFF">
        <w:rPr>
          <w:rFonts w:ascii="Arial" w:hAnsi="Arial" w:cs="Arial"/>
          <w:kern w:val="0"/>
          <w:sz w:val="20"/>
          <w:szCs w:val="20"/>
        </w:rPr>
        <w:t>c</w:t>
      </w:r>
      <w:r w:rsidR="00252DFF" w:rsidRPr="00252DFF">
        <w:rPr>
          <w:rFonts w:ascii="Arial" w:hAnsi="Arial" w:cs="Arial"/>
          <w:kern w:val="0"/>
          <w:sz w:val="20"/>
          <w:szCs w:val="20"/>
        </w:rPr>
        <w:t>spencer@usc.edu</w:t>
      </w:r>
      <w:r w:rsidRPr="00055D25">
        <w:rPr>
          <w:rFonts w:ascii="Times New Roman" w:hAnsi="Times New Roman" w:cs="Times New Roman"/>
          <w:b/>
          <w:bCs/>
          <w:kern w:val="0"/>
          <w:sz w:val="28"/>
          <w:szCs w:val="28"/>
        </w:rPr>
        <w:t xml:space="preserve"> </w:t>
      </w:r>
    </w:p>
    <w:p w14:paraId="7F58A4CF" w14:textId="77777777" w:rsidR="005A4672" w:rsidRDefault="005A4672" w:rsidP="005A4672">
      <w:pPr>
        <w:autoSpaceDE w:val="0"/>
        <w:autoSpaceDN w:val="0"/>
        <w:adjustRightInd w:val="0"/>
        <w:spacing w:after="0" w:line="276" w:lineRule="auto"/>
        <w:rPr>
          <w:rFonts w:ascii="Times New Roman" w:hAnsi="Times New Roman" w:cs="Times New Roman"/>
          <w:b/>
          <w:bCs/>
          <w:kern w:val="0"/>
          <w:sz w:val="28"/>
          <w:szCs w:val="28"/>
        </w:rPr>
      </w:pPr>
    </w:p>
    <w:p w14:paraId="49DE74AF" w14:textId="4238C2F7" w:rsidR="005A4672" w:rsidRPr="00F82953" w:rsidRDefault="00F82953" w:rsidP="00F82953">
      <w:pPr>
        <w:autoSpaceDE w:val="0"/>
        <w:autoSpaceDN w:val="0"/>
        <w:adjustRightInd w:val="0"/>
        <w:spacing w:after="0" w:line="276" w:lineRule="auto"/>
        <w:rPr>
          <w:rFonts w:ascii="Arial" w:hAnsi="Arial" w:cs="Arial"/>
          <w:b/>
          <w:bCs/>
          <w:kern w:val="0"/>
          <w:sz w:val="22"/>
          <w:szCs w:val="22"/>
        </w:rPr>
      </w:pPr>
      <w:r w:rsidRPr="00F82953">
        <w:rPr>
          <w:rFonts w:ascii="Arial" w:hAnsi="Arial" w:cs="Arial"/>
          <w:b/>
          <w:bCs/>
          <w:kern w:val="0"/>
          <w:sz w:val="22"/>
          <w:szCs w:val="22"/>
        </w:rPr>
        <w:t xml:space="preserve">Updated </w:t>
      </w:r>
      <w:r w:rsidR="007526EE">
        <w:rPr>
          <w:rFonts w:ascii="Arial" w:hAnsi="Arial" w:cs="Arial"/>
          <w:b/>
          <w:bCs/>
          <w:kern w:val="0"/>
          <w:sz w:val="22"/>
          <w:szCs w:val="22"/>
        </w:rPr>
        <w:t>May 1</w:t>
      </w:r>
      <w:r w:rsidR="00590D72">
        <w:rPr>
          <w:rFonts w:ascii="Arial" w:hAnsi="Arial" w:cs="Arial"/>
          <w:b/>
          <w:bCs/>
          <w:kern w:val="0"/>
          <w:sz w:val="22"/>
          <w:szCs w:val="22"/>
        </w:rPr>
        <w:t>5</w:t>
      </w:r>
      <w:r w:rsidR="007526EE">
        <w:rPr>
          <w:rFonts w:ascii="Arial" w:hAnsi="Arial" w:cs="Arial"/>
          <w:b/>
          <w:bCs/>
          <w:kern w:val="0"/>
          <w:sz w:val="22"/>
          <w:szCs w:val="22"/>
        </w:rPr>
        <w:t>, 2025</w:t>
      </w:r>
    </w:p>
    <w:p w14:paraId="0F6D2CA7" w14:textId="77777777" w:rsidR="005A4672" w:rsidRPr="00F82953" w:rsidRDefault="005A4672" w:rsidP="00F82953">
      <w:pPr>
        <w:autoSpaceDE w:val="0"/>
        <w:autoSpaceDN w:val="0"/>
        <w:adjustRightInd w:val="0"/>
        <w:spacing w:after="0" w:line="276" w:lineRule="auto"/>
        <w:rPr>
          <w:rFonts w:ascii="Arial" w:hAnsi="Arial" w:cs="Arial"/>
          <w:b/>
          <w:bCs/>
          <w:kern w:val="0"/>
          <w:sz w:val="22"/>
          <w:szCs w:val="22"/>
        </w:rPr>
      </w:pPr>
    </w:p>
    <w:p w14:paraId="1D5CA6AF" w14:textId="6F2E1F3A" w:rsidR="005A4672" w:rsidRPr="00F82953" w:rsidRDefault="00F82953" w:rsidP="00F82953">
      <w:pPr>
        <w:autoSpaceDE w:val="0"/>
        <w:autoSpaceDN w:val="0"/>
        <w:adjustRightInd w:val="0"/>
        <w:spacing w:after="0" w:line="276" w:lineRule="auto"/>
        <w:rPr>
          <w:rFonts w:ascii="Arial" w:hAnsi="Arial" w:cs="Arial"/>
          <w:b/>
          <w:bCs/>
          <w:color w:val="0070C0"/>
          <w:kern w:val="0"/>
          <w:sz w:val="22"/>
          <w:szCs w:val="22"/>
        </w:rPr>
      </w:pPr>
      <w:r w:rsidRPr="00F82953">
        <w:rPr>
          <w:rFonts w:ascii="Arial" w:hAnsi="Arial" w:cs="Arial"/>
          <w:b/>
          <w:bCs/>
          <w:color w:val="0070C0"/>
          <w:kern w:val="0"/>
          <w:sz w:val="22"/>
          <w:szCs w:val="22"/>
        </w:rPr>
        <w:t>ABSTRACT</w:t>
      </w:r>
    </w:p>
    <w:p w14:paraId="0DC4325D" w14:textId="77777777" w:rsidR="005A4672" w:rsidRPr="00F82953" w:rsidRDefault="005A4672" w:rsidP="00F82953">
      <w:pPr>
        <w:autoSpaceDE w:val="0"/>
        <w:autoSpaceDN w:val="0"/>
        <w:adjustRightInd w:val="0"/>
        <w:spacing w:after="0" w:line="276" w:lineRule="auto"/>
        <w:rPr>
          <w:rFonts w:ascii="Arial" w:hAnsi="Arial" w:cs="Arial"/>
          <w:b/>
          <w:bCs/>
          <w:kern w:val="0"/>
          <w:sz w:val="22"/>
          <w:szCs w:val="22"/>
        </w:rPr>
      </w:pPr>
    </w:p>
    <w:p w14:paraId="71946C8B" w14:textId="1193622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0"/>
          <w:sz w:val="22"/>
          <w:szCs w:val="22"/>
        </w:rPr>
        <w:t xml:space="preserve">This chapter reviews how improvements in the sensitivity and specificity of thyroid tests [total and free thyroid hormones (T4 and T3), TSH, thyroid autoantibodies (TRAb, </w:t>
      </w:r>
      <w:proofErr w:type="spellStart"/>
      <w:r w:rsidRPr="00F82953">
        <w:rPr>
          <w:rFonts w:ascii="Arial" w:hAnsi="Arial" w:cs="Arial"/>
          <w:kern w:val="0"/>
          <w:sz w:val="22"/>
          <w:szCs w:val="22"/>
        </w:rPr>
        <w:t>TPOAb</w:t>
      </w:r>
      <w:proofErr w:type="spellEnd"/>
      <w:r w:rsidR="00F6140B">
        <w:rPr>
          <w:rFonts w:ascii="Arial" w:hAnsi="Arial" w:cs="Arial"/>
          <w:kern w:val="0"/>
          <w:sz w:val="22"/>
          <w:szCs w:val="22"/>
        </w:rPr>
        <w:t>,</w:t>
      </w:r>
      <w:r w:rsidRPr="00F82953">
        <w:rPr>
          <w:rFonts w:ascii="Arial" w:hAnsi="Arial" w:cs="Arial"/>
          <w:kern w:val="0"/>
          <w:sz w:val="22"/>
          <w:szCs w:val="22"/>
        </w:rPr>
        <w:t xml:space="preserve"> and </w:t>
      </w:r>
      <w:proofErr w:type="spellStart"/>
      <w:r w:rsidRPr="00F82953">
        <w:rPr>
          <w:rFonts w:ascii="Arial" w:hAnsi="Arial" w:cs="Arial"/>
          <w:kern w:val="0"/>
          <w:sz w:val="22"/>
          <w:szCs w:val="22"/>
        </w:rPr>
        <w:t>TgAb</w:t>
      </w:r>
      <w:proofErr w:type="spellEnd"/>
      <w:r w:rsidRPr="00F82953">
        <w:rPr>
          <w:rFonts w:ascii="Arial" w:hAnsi="Arial" w:cs="Arial"/>
          <w:kern w:val="0"/>
          <w:sz w:val="22"/>
          <w:szCs w:val="22"/>
        </w:rPr>
        <w:t>) and thyroglobulin (</w:t>
      </w:r>
      <w:proofErr w:type="spellStart"/>
      <w:r w:rsidRPr="00F82953">
        <w:rPr>
          <w:rFonts w:ascii="Arial" w:hAnsi="Arial" w:cs="Arial"/>
          <w:kern w:val="0"/>
          <w:sz w:val="22"/>
          <w:szCs w:val="22"/>
        </w:rPr>
        <w:t>Tg</w:t>
      </w:r>
      <w:proofErr w:type="spellEnd"/>
      <w:r w:rsidRPr="00F82953">
        <w:rPr>
          <w:rFonts w:ascii="Arial" w:hAnsi="Arial" w:cs="Arial"/>
          <w:kern w:val="0"/>
          <w:sz w:val="22"/>
          <w:szCs w:val="22"/>
        </w:rPr>
        <w:t xml:space="preserve">)] have advanced the detection and treatment of thyroid disorders. The strengths and limitations of current methodologies [Radioimmunoassay (RIA), Immunometric assay (IMA) and Liquid Chromatography/Tandem Mass Spectrometry (LC-MS/MS)] are discussed, together with their propensity for analyte-specific and non-specific interferences relating to analyte heterogeneity (TSH, </w:t>
      </w:r>
      <w:proofErr w:type="spellStart"/>
      <w:r w:rsidRPr="00F82953">
        <w:rPr>
          <w:rFonts w:ascii="Arial" w:hAnsi="Arial" w:cs="Arial"/>
          <w:kern w:val="0"/>
          <w:sz w:val="22"/>
          <w:szCs w:val="22"/>
        </w:rPr>
        <w:t>TgAb</w:t>
      </w:r>
      <w:proofErr w:type="spellEnd"/>
      <w:r w:rsidRPr="00F82953">
        <w:rPr>
          <w:rFonts w:ascii="Arial" w:hAnsi="Arial" w:cs="Arial"/>
          <w:kern w:val="0"/>
          <w:sz w:val="22"/>
          <w:szCs w:val="22"/>
        </w:rPr>
        <w:t xml:space="preserve"> and </w:t>
      </w:r>
      <w:proofErr w:type="spellStart"/>
      <w:r w:rsidRPr="00F82953">
        <w:rPr>
          <w:rFonts w:ascii="Arial" w:hAnsi="Arial" w:cs="Arial"/>
          <w:kern w:val="0"/>
          <w:sz w:val="22"/>
          <w:szCs w:val="22"/>
        </w:rPr>
        <w:t>Tg</w:t>
      </w:r>
      <w:proofErr w:type="spellEnd"/>
      <w:r w:rsidRPr="00F82953">
        <w:rPr>
          <w:rFonts w:ascii="Arial" w:hAnsi="Arial" w:cs="Arial"/>
          <w:kern w:val="0"/>
          <w:sz w:val="22"/>
          <w:szCs w:val="22"/>
        </w:rPr>
        <w:t xml:space="preserve">), analyte-specific autoantibodies (T4Ab, T3Ab, </w:t>
      </w:r>
      <w:proofErr w:type="spellStart"/>
      <w:r w:rsidRPr="00F82953">
        <w:rPr>
          <w:rFonts w:ascii="Arial" w:hAnsi="Arial" w:cs="Arial"/>
          <w:kern w:val="0"/>
          <w:sz w:val="22"/>
          <w:szCs w:val="22"/>
        </w:rPr>
        <w:t>TSHAb</w:t>
      </w:r>
      <w:proofErr w:type="spellEnd"/>
      <w:r w:rsidRPr="00F82953">
        <w:rPr>
          <w:rFonts w:ascii="Arial" w:hAnsi="Arial" w:cs="Arial"/>
          <w:kern w:val="0"/>
          <w:sz w:val="22"/>
          <w:szCs w:val="22"/>
        </w:rPr>
        <w:t xml:space="preserve"> and </w:t>
      </w:r>
      <w:proofErr w:type="spellStart"/>
      <w:r w:rsidRPr="00F82953">
        <w:rPr>
          <w:rFonts w:ascii="Arial" w:hAnsi="Arial" w:cs="Arial"/>
          <w:kern w:val="0"/>
          <w:sz w:val="22"/>
          <w:szCs w:val="22"/>
        </w:rPr>
        <w:t>TgAb</w:t>
      </w:r>
      <w:proofErr w:type="spellEnd"/>
      <w:r w:rsidRPr="00F82953">
        <w:rPr>
          <w:rFonts w:ascii="Arial" w:hAnsi="Arial" w:cs="Arial"/>
          <w:kern w:val="0"/>
          <w:sz w:val="22"/>
          <w:szCs w:val="22"/>
        </w:rPr>
        <w:t>) and interferences from heterophile antibodies (</w:t>
      </w:r>
      <w:proofErr w:type="spellStart"/>
      <w:r w:rsidRPr="00F82953">
        <w:rPr>
          <w:rFonts w:ascii="Arial" w:hAnsi="Arial" w:cs="Arial"/>
          <w:kern w:val="0"/>
          <w:sz w:val="22"/>
          <w:szCs w:val="22"/>
        </w:rPr>
        <w:t>HAb</w:t>
      </w:r>
      <w:proofErr w:type="spellEnd"/>
      <w:r w:rsidRPr="00F82953">
        <w:rPr>
          <w:rFonts w:ascii="Arial" w:hAnsi="Arial" w:cs="Arial"/>
          <w:kern w:val="0"/>
          <w:sz w:val="22"/>
          <w:szCs w:val="22"/>
        </w:rPr>
        <w:t xml:space="preserve">) or assay reagents such as Biotin and </w:t>
      </w:r>
      <w:proofErr w:type="spellStart"/>
      <w:r w:rsidRPr="00F82953">
        <w:rPr>
          <w:rFonts w:ascii="Arial" w:hAnsi="Arial" w:cs="Arial"/>
          <w:kern w:val="0"/>
          <w:sz w:val="22"/>
          <w:szCs w:val="22"/>
        </w:rPr>
        <w:t>Rhuthenium</w:t>
      </w:r>
      <w:proofErr w:type="spellEnd"/>
      <w:r w:rsidRPr="00F82953">
        <w:rPr>
          <w:rFonts w:ascii="Arial" w:hAnsi="Arial" w:cs="Arial"/>
          <w:kern w:val="0"/>
          <w:sz w:val="22"/>
          <w:szCs w:val="22"/>
        </w:rPr>
        <w:t>. Currently, between-method differences preclude establishing universal thyroid test reference ranges</w:t>
      </w:r>
      <w:r w:rsidRPr="00F82953">
        <w:rPr>
          <w:rFonts w:ascii="Arial" w:hAnsi="Arial" w:cs="Arial"/>
          <w:kern w:val="1"/>
          <w:sz w:val="22"/>
          <w:szCs w:val="22"/>
        </w:rPr>
        <w:t>. However, collaborations between the International Federation of Clinical Chemistry (IFCC)</w:t>
      </w:r>
      <w:r w:rsidR="00F6140B">
        <w:rPr>
          <w:rFonts w:ascii="Arial" w:hAnsi="Arial" w:cs="Arial"/>
          <w:kern w:val="1"/>
          <w:sz w:val="22"/>
          <w:szCs w:val="22"/>
        </w:rPr>
        <w:t>,</w:t>
      </w:r>
      <w:r w:rsidRPr="00F82953">
        <w:rPr>
          <w:rFonts w:ascii="Arial" w:hAnsi="Arial" w:cs="Arial"/>
          <w:kern w:val="1"/>
          <w:sz w:val="22"/>
          <w:szCs w:val="22"/>
        </w:rPr>
        <w:t xml:space="preserve"> the committee for the standardization of thyroid function tests (C-STFT)</w:t>
      </w:r>
      <w:r w:rsidR="00F6140B">
        <w:rPr>
          <w:rFonts w:ascii="Arial" w:hAnsi="Arial" w:cs="Arial"/>
          <w:kern w:val="1"/>
          <w:sz w:val="22"/>
          <w:szCs w:val="22"/>
        </w:rPr>
        <w:t>,</w:t>
      </w:r>
      <w:r w:rsidRPr="00F82953">
        <w:rPr>
          <w:rFonts w:ascii="Arial" w:hAnsi="Arial" w:cs="Arial"/>
          <w:kern w:val="1"/>
          <w:sz w:val="22"/>
          <w:szCs w:val="22"/>
        </w:rPr>
        <w:t xml:space="preserve"> and the in-vitro diagnostic (IVD) industry are now focused on eliminating these between-method </w:t>
      </w:r>
      <w:r w:rsidRPr="00F82953">
        <w:rPr>
          <w:rFonts w:ascii="Arial" w:hAnsi="Arial" w:cs="Arial"/>
          <w:kern w:val="0"/>
          <w:sz w:val="22"/>
          <w:szCs w:val="22"/>
        </w:rPr>
        <w:t>differences.</w:t>
      </w:r>
      <w:r w:rsidRPr="00F82953">
        <w:rPr>
          <w:rFonts w:ascii="Arial" w:hAnsi="Arial" w:cs="Arial"/>
          <w:kern w:val="1"/>
          <w:sz w:val="22"/>
          <w:szCs w:val="22"/>
        </w:rPr>
        <w:t xml:space="preserve"> </w:t>
      </w:r>
    </w:p>
    <w:p w14:paraId="6614FDB4"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43D30A4" w14:textId="335489E2" w:rsidR="005C4829" w:rsidRPr="00F82953" w:rsidRDefault="005C4829" w:rsidP="00F82953">
      <w:pPr>
        <w:autoSpaceDE w:val="0"/>
        <w:autoSpaceDN w:val="0"/>
        <w:adjustRightInd w:val="0"/>
        <w:spacing w:after="0" w:line="276" w:lineRule="auto"/>
        <w:rPr>
          <w:rFonts w:ascii="Arial" w:hAnsi="Arial" w:cs="Arial"/>
          <w:b/>
          <w:bCs/>
          <w:kern w:val="1"/>
          <w:sz w:val="22"/>
          <w:szCs w:val="22"/>
        </w:rPr>
      </w:pPr>
      <w:r w:rsidRPr="00D16115">
        <w:rPr>
          <w:rFonts w:ascii="Arial" w:hAnsi="Arial" w:cs="Arial"/>
          <w:b/>
          <w:bCs/>
          <w:color w:val="0070C0"/>
          <w:kern w:val="1"/>
          <w:sz w:val="22"/>
          <w:szCs w:val="22"/>
        </w:rPr>
        <w:t>I</w:t>
      </w:r>
      <w:r w:rsidR="00D16115" w:rsidRPr="00D16115">
        <w:rPr>
          <w:rFonts w:ascii="Arial" w:hAnsi="Arial" w:cs="Arial"/>
          <w:b/>
          <w:bCs/>
          <w:color w:val="0070C0"/>
          <w:kern w:val="1"/>
          <w:sz w:val="22"/>
          <w:szCs w:val="22"/>
        </w:rPr>
        <w:t xml:space="preserve">NTRODUCTION </w:t>
      </w:r>
      <w:r w:rsidRPr="00F82953">
        <w:rPr>
          <w:rFonts w:ascii="Arial" w:hAnsi="Arial" w:cs="Arial"/>
          <w:b/>
          <w:bCs/>
          <w:kern w:val="1"/>
          <w:sz w:val="22"/>
          <w:szCs w:val="22"/>
        </w:rPr>
        <w:t xml:space="preserve"> </w:t>
      </w:r>
    </w:p>
    <w:p w14:paraId="5A7FD9E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75D7099E" w14:textId="4A673D60"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color w:val="000000" w:themeColor="text1"/>
          <w:kern w:val="1"/>
          <w:sz w:val="22"/>
          <w:szCs w:val="22"/>
        </w:rPr>
        <w:t xml:space="preserve">Figure 1 shows the </w:t>
      </w:r>
      <w:r w:rsidRPr="00F82953">
        <w:rPr>
          <w:rFonts w:ascii="Arial" w:hAnsi="Arial" w:cs="Arial"/>
          <w:kern w:val="1"/>
          <w:sz w:val="22"/>
          <w:szCs w:val="22"/>
        </w:rPr>
        <w:t>timeline for improvements in the sensitivity and specificity of thyroid test methodologies made over the last 60 years (1). In the 1950s the only thyroid test available was an indirect estimate of the serum total (free + protein-bound) thyroxine (T4) concentration, using the protein bound iodine (PBI) technique (2). Early technological advances in radioimmunoassay (RIA) (3-6), immunometric assay (IMA) (7-11)</w:t>
      </w:r>
      <w:r w:rsidR="00A237A6">
        <w:rPr>
          <w:rFonts w:ascii="Arial" w:hAnsi="Arial" w:cs="Arial"/>
          <w:kern w:val="1"/>
          <w:sz w:val="22"/>
          <w:szCs w:val="22"/>
        </w:rPr>
        <w:t>,</w:t>
      </w:r>
      <w:r w:rsidRPr="00F82953">
        <w:rPr>
          <w:rFonts w:ascii="Arial" w:hAnsi="Arial" w:cs="Arial"/>
          <w:kern w:val="1"/>
          <w:sz w:val="22"/>
          <w:szCs w:val="22"/>
        </w:rPr>
        <w:t xml:space="preserve"> and most recently, liquid chromatography-tandem mass spectrometry (LC-MS/MS) methodologies (12-14) have progressively improved the sensitivity and specificity of thyroid tests. Currently, most thyroid testing is made on serum specimens using automated IMA methodology to measure total thyroid hormones (TT4 and TT3), estimate free thyroid hormones (FT4 and FT3) (13,15,16)</w:t>
      </w:r>
      <w:r w:rsidR="00A237A6">
        <w:rPr>
          <w:rFonts w:ascii="Arial" w:hAnsi="Arial" w:cs="Arial"/>
          <w:kern w:val="1"/>
          <w:sz w:val="22"/>
          <w:szCs w:val="22"/>
        </w:rPr>
        <w:t>,</w:t>
      </w:r>
      <w:r w:rsidRPr="00F82953">
        <w:rPr>
          <w:rFonts w:ascii="Arial" w:hAnsi="Arial" w:cs="Arial"/>
          <w:kern w:val="1"/>
          <w:sz w:val="22"/>
          <w:szCs w:val="22"/>
        </w:rPr>
        <w:t xml:space="preserve"> and measure TSH (13) and thyroglobulin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(14,17). Automated IMA methodology is also used to detect autoantibodies that target the TSH receptor (TRAb) (18-20), the thyroid peroxidase enzyme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(21)</w:t>
      </w:r>
      <w:r w:rsidR="00A237A6">
        <w:rPr>
          <w:rFonts w:ascii="Arial" w:hAnsi="Arial" w:cs="Arial"/>
          <w:kern w:val="1"/>
          <w:sz w:val="22"/>
          <w:szCs w:val="22"/>
        </w:rPr>
        <w:t>,</w:t>
      </w:r>
      <w:r w:rsidRPr="00F82953">
        <w:rPr>
          <w:rFonts w:ascii="Arial" w:hAnsi="Arial" w:cs="Arial"/>
          <w:kern w:val="1"/>
          <w:sz w:val="22"/>
          <w:szCs w:val="22"/>
        </w:rPr>
        <w:t xml:space="preserve"> and the thyroglobulin protein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(22-24). When indicated, the thyroid hormone binding proteins thyroxine binding globulin (TBG), transthyretin (TTR)/prealbumin (TBPA)</w:t>
      </w:r>
      <w:r w:rsidR="00A237A6">
        <w:rPr>
          <w:rFonts w:ascii="Arial" w:hAnsi="Arial" w:cs="Arial"/>
          <w:kern w:val="1"/>
          <w:sz w:val="22"/>
          <w:szCs w:val="22"/>
        </w:rPr>
        <w:t>,</w:t>
      </w:r>
      <w:r w:rsidRPr="00F82953">
        <w:rPr>
          <w:rFonts w:ascii="Arial" w:hAnsi="Arial" w:cs="Arial"/>
          <w:kern w:val="1"/>
          <w:sz w:val="22"/>
          <w:szCs w:val="22"/>
        </w:rPr>
        <w:t xml:space="preserve"> and albumin can also be measured (25-27). The IFCC and CDC continue their efforts to encourage test manufacturers to identify the causes of, and reduce the magnitude of, between-method variability in thyroid hormone and TSH measurements (12,28-33). Isotope-dilution liquid chromatography/tandem mass spectrometry (ID-LC-MS/MS) has become the reference measurement procedure (RMP) for total thyroid hormone measurements (28) and free hormone </w:t>
      </w:r>
      <w:r w:rsidRPr="00F82953">
        <w:rPr>
          <w:rFonts w:ascii="Arial" w:hAnsi="Arial" w:cs="Arial"/>
          <w:kern w:val="1"/>
          <w:sz w:val="22"/>
          <w:szCs w:val="22"/>
        </w:rPr>
        <w:lastRenderedPageBreak/>
        <w:t xml:space="preserve">(FT4 and FT3) measurement in equilibrium dialysates (15,28,34,35). TSH methods are now being re-standardized to the new International Reference Preparation (81/615) and harmonized to the all-method mean (13,33,36). Although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can now be detected by LC-MS/MS as tryptic peptides (37-42), </w:t>
      </w:r>
      <w:r w:rsidRPr="00F82953">
        <w:rPr>
          <w:rFonts w:ascii="Arial" w:hAnsi="Arial" w:cs="Arial"/>
          <w:kern w:val="0"/>
          <w:sz w:val="22"/>
          <w:szCs w:val="22"/>
        </w:rPr>
        <w:t xml:space="preserve">the clinical value relative to the expense of this technique is still debated </w:t>
      </w:r>
      <w:r w:rsidRPr="00F82953">
        <w:rPr>
          <w:rFonts w:ascii="Arial" w:hAnsi="Arial" w:cs="Arial"/>
          <w:kern w:val="1"/>
          <w:sz w:val="22"/>
          <w:szCs w:val="22"/>
        </w:rPr>
        <w:t xml:space="preserve">(14,41,43). Thus, despite technical improvements in sensitivity, specificity and standardization, the problem of substantial between-method variabilities remains for all tests (13,14,28,30,32,33,35,44-46). </w:t>
      </w:r>
      <w:r w:rsidRPr="00F82953">
        <w:rPr>
          <w:rFonts w:ascii="Arial" w:hAnsi="Arial" w:cs="Arial"/>
          <w:kern w:val="0"/>
          <w:sz w:val="22"/>
          <w:szCs w:val="22"/>
        </w:rPr>
        <w:t>Establishing universal thyroid test reference ranges that would apply to all methods, by removing current between-method biases, would greatly benefit healthcare systems worldwide.</w:t>
      </w:r>
      <w:r w:rsidRPr="00F82953">
        <w:rPr>
          <w:rFonts w:ascii="Arial" w:hAnsi="Arial" w:cs="Arial"/>
          <w:kern w:val="1"/>
          <w:sz w:val="22"/>
          <w:szCs w:val="22"/>
        </w:rPr>
        <w:t xml:space="preserve"> Current guidelines for managing pregnant (47,48) and non-pregnant patients with hypothyroidism (49-52), hyperthyroidism (53,54), thyroid nodules (55)</w:t>
      </w:r>
      <w:r w:rsidR="000A5219">
        <w:rPr>
          <w:rFonts w:ascii="Arial" w:hAnsi="Arial" w:cs="Arial"/>
          <w:kern w:val="1"/>
          <w:sz w:val="22"/>
          <w:szCs w:val="22"/>
        </w:rPr>
        <w:t>,</w:t>
      </w:r>
      <w:r w:rsidRPr="00F82953">
        <w:rPr>
          <w:rFonts w:ascii="Arial" w:hAnsi="Arial" w:cs="Arial"/>
          <w:kern w:val="1"/>
          <w:sz w:val="22"/>
          <w:szCs w:val="22"/>
        </w:rPr>
        <w:t xml:space="preserve"> or differentiated thyroid cancers (DTC) (17,23,56-60) are also referenced.</w:t>
      </w:r>
    </w:p>
    <w:p w14:paraId="339DA0A2" w14:textId="77777777" w:rsidR="00477A90" w:rsidRPr="00F82953" w:rsidRDefault="00477A90" w:rsidP="00F82953">
      <w:pPr>
        <w:autoSpaceDE w:val="0"/>
        <w:autoSpaceDN w:val="0"/>
        <w:adjustRightInd w:val="0"/>
        <w:spacing w:after="0" w:line="276" w:lineRule="auto"/>
        <w:rPr>
          <w:rFonts w:ascii="Arial" w:hAnsi="Arial" w:cs="Arial"/>
          <w:b/>
          <w:bCs/>
          <w:kern w:val="1"/>
          <w:sz w:val="22"/>
          <w:szCs w:val="22"/>
        </w:rPr>
      </w:pPr>
    </w:p>
    <w:p w14:paraId="416E1817" w14:textId="19C0E36A" w:rsidR="00477A90" w:rsidRPr="00F82953" w:rsidRDefault="00477A90" w:rsidP="00F82953">
      <w:pPr>
        <w:autoSpaceDE w:val="0"/>
        <w:autoSpaceDN w:val="0"/>
        <w:adjustRightInd w:val="0"/>
        <w:spacing w:after="0" w:line="276" w:lineRule="auto"/>
        <w:rPr>
          <w:rFonts w:ascii="Arial" w:hAnsi="Arial" w:cs="Arial"/>
          <w:b/>
          <w:bCs/>
          <w:kern w:val="1"/>
          <w:sz w:val="22"/>
          <w:szCs w:val="22"/>
        </w:rPr>
      </w:pPr>
      <w:r w:rsidRPr="00F82953">
        <w:rPr>
          <w:rFonts w:ascii="Arial" w:hAnsi="Arial" w:cs="Arial"/>
          <w:b/>
          <w:bCs/>
          <w:noProof/>
          <w:color w:val="000000" w:themeColor="text1"/>
          <w:kern w:val="1"/>
          <w:sz w:val="22"/>
          <w:szCs w:val="22"/>
        </w:rPr>
        <w:drawing>
          <wp:inline distT="0" distB="0" distL="0" distR="0" wp14:anchorId="17E121E4" wp14:editId="4EA04AFD">
            <wp:extent cx="5943600" cy="2903220"/>
            <wp:effectExtent l="0" t="0" r="0" b="5080"/>
            <wp:docPr id="1933688200" name="Picture 1102" descr="A diagram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88200" name="Picture 1102" descr="A diagram of a number of data&#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03220"/>
                    </a:xfrm>
                    <a:prstGeom prst="rect">
                      <a:avLst/>
                    </a:prstGeom>
                  </pic:spPr>
                </pic:pic>
              </a:graphicData>
            </a:graphic>
          </wp:inline>
        </w:drawing>
      </w:r>
    </w:p>
    <w:p w14:paraId="282695B6" w14:textId="27FAB12B" w:rsidR="005C4829" w:rsidRPr="008F5875" w:rsidRDefault="00AC1676" w:rsidP="00F82953">
      <w:pPr>
        <w:autoSpaceDE w:val="0"/>
        <w:autoSpaceDN w:val="0"/>
        <w:adjustRightInd w:val="0"/>
        <w:spacing w:after="0" w:line="276" w:lineRule="auto"/>
        <w:rPr>
          <w:rFonts w:ascii="Arial" w:hAnsi="Arial" w:cs="Arial"/>
          <w:b/>
          <w:bCs/>
          <w:kern w:val="1"/>
          <w:sz w:val="22"/>
          <w:szCs w:val="22"/>
        </w:rPr>
      </w:pPr>
      <w:r w:rsidRPr="008F5875">
        <w:rPr>
          <w:rFonts w:ascii="Arial" w:hAnsi="Arial" w:cs="Arial"/>
          <w:b/>
          <w:bCs/>
          <w:color w:val="000000" w:themeColor="text1"/>
          <w:kern w:val="1"/>
          <w:sz w:val="22"/>
          <w:szCs w:val="22"/>
        </w:rPr>
        <w:t>Figure 1. Timeline for the Major Technical Advances in Thyroid Testing. The figure s</w:t>
      </w:r>
      <w:r w:rsidR="005C4829" w:rsidRPr="008F5875">
        <w:rPr>
          <w:rFonts w:ascii="Arial" w:hAnsi="Arial" w:cs="Arial"/>
          <w:b/>
          <w:bCs/>
          <w:kern w:val="1"/>
          <w:sz w:val="22"/>
          <w:szCs w:val="22"/>
        </w:rPr>
        <w:t>hows the development of increasingly more sensitive TSH tests: first generation, (1</w:t>
      </w:r>
      <w:r w:rsidR="005C4829" w:rsidRPr="008F5875">
        <w:rPr>
          <w:rFonts w:ascii="Arial" w:hAnsi="Arial" w:cs="Arial"/>
          <w:b/>
          <w:bCs/>
          <w:kern w:val="1"/>
          <w:sz w:val="22"/>
          <w:szCs w:val="22"/>
          <w:vertAlign w:val="superscript"/>
        </w:rPr>
        <w:t>G</w:t>
      </w:r>
      <w:r w:rsidR="005C4829" w:rsidRPr="008F5875">
        <w:rPr>
          <w:rFonts w:ascii="Arial" w:hAnsi="Arial" w:cs="Arial"/>
          <w:b/>
          <w:bCs/>
          <w:kern w:val="1"/>
          <w:sz w:val="22"/>
          <w:szCs w:val="22"/>
        </w:rPr>
        <w:t>), second generation (2</w:t>
      </w:r>
      <w:r w:rsidR="005C4829" w:rsidRPr="008F5875">
        <w:rPr>
          <w:rFonts w:ascii="Arial" w:hAnsi="Arial" w:cs="Arial"/>
          <w:b/>
          <w:bCs/>
          <w:kern w:val="1"/>
          <w:sz w:val="22"/>
          <w:szCs w:val="22"/>
          <w:vertAlign w:val="superscript"/>
        </w:rPr>
        <w:t>G</w:t>
      </w:r>
      <w:r w:rsidR="005C4829" w:rsidRPr="008F5875">
        <w:rPr>
          <w:rFonts w:ascii="Arial" w:hAnsi="Arial" w:cs="Arial"/>
          <w:b/>
          <w:bCs/>
          <w:kern w:val="1"/>
          <w:sz w:val="22"/>
          <w:szCs w:val="22"/>
        </w:rPr>
        <w:t>)</w:t>
      </w:r>
      <w:r w:rsidR="000A5219">
        <w:rPr>
          <w:rFonts w:ascii="Arial" w:hAnsi="Arial" w:cs="Arial"/>
          <w:b/>
          <w:bCs/>
          <w:kern w:val="1"/>
          <w:sz w:val="22"/>
          <w:szCs w:val="22"/>
        </w:rPr>
        <w:t>,</w:t>
      </w:r>
      <w:r w:rsidR="005C4829" w:rsidRPr="008F5875">
        <w:rPr>
          <w:rFonts w:ascii="Arial" w:hAnsi="Arial" w:cs="Arial"/>
          <w:b/>
          <w:bCs/>
          <w:kern w:val="1"/>
          <w:sz w:val="22"/>
          <w:szCs w:val="22"/>
        </w:rPr>
        <w:t xml:space="preserve"> and third generation (3</w:t>
      </w:r>
      <w:r w:rsidR="005C4829" w:rsidRPr="008F5875">
        <w:rPr>
          <w:rFonts w:ascii="Arial" w:hAnsi="Arial" w:cs="Arial"/>
          <w:b/>
          <w:bCs/>
          <w:kern w:val="1"/>
          <w:sz w:val="22"/>
          <w:szCs w:val="22"/>
          <w:vertAlign w:val="superscript"/>
        </w:rPr>
        <w:t>G</w:t>
      </w:r>
      <w:r w:rsidR="005C4829" w:rsidRPr="008F5875">
        <w:rPr>
          <w:rFonts w:ascii="Arial" w:hAnsi="Arial" w:cs="Arial"/>
          <w:b/>
          <w:bCs/>
          <w:kern w:val="1"/>
          <w:sz w:val="22"/>
          <w:szCs w:val="22"/>
        </w:rPr>
        <w:t>), and advances in the methodologies used to measure total thyroid hormones (TT4 and TT3), indirectly estimate free thyroid hormones (FT4 and FT3), directly measure FT4</w:t>
      </w:r>
      <w:r w:rsidR="000A5219">
        <w:rPr>
          <w:rFonts w:ascii="Arial" w:hAnsi="Arial" w:cs="Arial"/>
          <w:b/>
          <w:bCs/>
          <w:kern w:val="1"/>
          <w:sz w:val="22"/>
          <w:szCs w:val="22"/>
        </w:rPr>
        <w:t>,</w:t>
      </w:r>
      <w:r w:rsidR="005C4829" w:rsidRPr="008F5875">
        <w:rPr>
          <w:rFonts w:ascii="Arial" w:hAnsi="Arial" w:cs="Arial"/>
          <w:b/>
          <w:bCs/>
          <w:kern w:val="1"/>
          <w:sz w:val="22"/>
          <w:szCs w:val="22"/>
        </w:rPr>
        <w:t xml:space="preserve"> and measure the thyroid autoantibodies </w:t>
      </w:r>
      <w:proofErr w:type="spellStart"/>
      <w:r w:rsidR="005C4829" w:rsidRPr="008F5875">
        <w:rPr>
          <w:rFonts w:ascii="Arial" w:hAnsi="Arial" w:cs="Arial"/>
          <w:b/>
          <w:bCs/>
          <w:kern w:val="1"/>
          <w:sz w:val="22"/>
          <w:szCs w:val="22"/>
        </w:rPr>
        <w:t>TPOAb</w:t>
      </w:r>
      <w:proofErr w:type="spellEnd"/>
      <w:r w:rsidR="005C4829" w:rsidRPr="008F5875">
        <w:rPr>
          <w:rFonts w:ascii="Arial" w:hAnsi="Arial" w:cs="Arial"/>
          <w:b/>
          <w:bCs/>
          <w:kern w:val="1"/>
          <w:sz w:val="22"/>
          <w:szCs w:val="22"/>
        </w:rPr>
        <w:t xml:space="preserve">, </w:t>
      </w:r>
      <w:proofErr w:type="spellStart"/>
      <w:r w:rsidR="005C4829" w:rsidRPr="008F5875">
        <w:rPr>
          <w:rFonts w:ascii="Arial" w:hAnsi="Arial" w:cs="Arial"/>
          <w:b/>
          <w:bCs/>
          <w:kern w:val="1"/>
          <w:sz w:val="22"/>
          <w:szCs w:val="22"/>
        </w:rPr>
        <w:t>TgAb</w:t>
      </w:r>
      <w:proofErr w:type="spellEnd"/>
      <w:r w:rsidR="000A5219">
        <w:rPr>
          <w:rFonts w:ascii="Arial" w:hAnsi="Arial" w:cs="Arial"/>
          <w:b/>
          <w:bCs/>
          <w:kern w:val="1"/>
          <w:sz w:val="22"/>
          <w:szCs w:val="22"/>
        </w:rPr>
        <w:t>,</w:t>
      </w:r>
      <w:r w:rsidR="005C4829" w:rsidRPr="008F5875">
        <w:rPr>
          <w:rFonts w:ascii="Arial" w:hAnsi="Arial" w:cs="Arial"/>
          <w:b/>
          <w:bCs/>
          <w:kern w:val="1"/>
          <w:sz w:val="22"/>
          <w:szCs w:val="22"/>
        </w:rPr>
        <w:t xml:space="preserve"> and TRAb and Thyroglobulin (</w:t>
      </w:r>
      <w:proofErr w:type="spellStart"/>
      <w:r w:rsidR="005C4829" w:rsidRPr="008F5875">
        <w:rPr>
          <w:rFonts w:ascii="Arial" w:hAnsi="Arial" w:cs="Arial"/>
          <w:b/>
          <w:bCs/>
          <w:kern w:val="1"/>
          <w:sz w:val="22"/>
          <w:szCs w:val="22"/>
        </w:rPr>
        <w:t>Tg</w:t>
      </w:r>
      <w:proofErr w:type="spellEnd"/>
      <w:r w:rsidR="005C4829" w:rsidRPr="008F5875">
        <w:rPr>
          <w:rFonts w:ascii="Arial" w:hAnsi="Arial" w:cs="Arial"/>
          <w:b/>
          <w:bCs/>
          <w:kern w:val="1"/>
          <w:sz w:val="22"/>
          <w:szCs w:val="22"/>
        </w:rPr>
        <w:t>). From reference 1</w:t>
      </w:r>
      <w:r w:rsidR="00F377A6" w:rsidRPr="008F5875">
        <w:rPr>
          <w:rFonts w:ascii="Arial" w:hAnsi="Arial" w:cs="Arial"/>
          <w:b/>
          <w:bCs/>
          <w:kern w:val="1"/>
          <w:sz w:val="22"/>
          <w:szCs w:val="22"/>
        </w:rPr>
        <w:t>.</w:t>
      </w:r>
    </w:p>
    <w:p w14:paraId="6B4A3C75"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4C609CCC" w14:textId="734DFEE8" w:rsidR="005C4829" w:rsidRPr="006665DD" w:rsidRDefault="005C4829" w:rsidP="00F82953">
      <w:pPr>
        <w:autoSpaceDE w:val="0"/>
        <w:autoSpaceDN w:val="0"/>
        <w:adjustRightInd w:val="0"/>
        <w:spacing w:after="0" w:line="276" w:lineRule="auto"/>
        <w:rPr>
          <w:rFonts w:ascii="Arial" w:hAnsi="Arial" w:cs="Arial"/>
          <w:color w:val="0070C0"/>
          <w:kern w:val="1"/>
          <w:sz w:val="22"/>
          <w:szCs w:val="22"/>
        </w:rPr>
      </w:pPr>
      <w:r w:rsidRPr="006665DD">
        <w:rPr>
          <w:rFonts w:ascii="Arial" w:hAnsi="Arial" w:cs="Arial"/>
          <w:b/>
          <w:bCs/>
          <w:color w:val="0070C0"/>
          <w:kern w:val="1"/>
          <w:sz w:val="22"/>
          <w:szCs w:val="22"/>
        </w:rPr>
        <w:t>T</w:t>
      </w:r>
      <w:r w:rsidR="006665DD" w:rsidRPr="006665DD">
        <w:rPr>
          <w:rFonts w:ascii="Arial" w:hAnsi="Arial" w:cs="Arial"/>
          <w:b/>
          <w:bCs/>
          <w:color w:val="0070C0"/>
          <w:kern w:val="1"/>
          <w:sz w:val="22"/>
          <w:szCs w:val="22"/>
        </w:rPr>
        <w:t xml:space="preserve">OTAL THYROID HORMONE MEASUREMENTS </w:t>
      </w:r>
      <w:r w:rsidRPr="006665DD">
        <w:rPr>
          <w:rFonts w:ascii="Arial" w:hAnsi="Arial" w:cs="Arial"/>
          <w:b/>
          <w:bCs/>
          <w:color w:val="0070C0"/>
          <w:kern w:val="1"/>
          <w:sz w:val="22"/>
          <w:szCs w:val="22"/>
        </w:rPr>
        <w:t>(TT4 and TT3)</w:t>
      </w:r>
    </w:p>
    <w:p w14:paraId="316C1C38"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1B836F95" w14:textId="28337E1D"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Thyroxine (T4) circulates 99.97 percent bound to the plasma proteins, primarily TBG (60-75 %) but also transthyretin TTR/TBPA (15-30 %) and albumin (~10 %) (25,26,61).  In contrast 99.7 % of Triiodothyronine (T3) is bound to TBG (26,61). The total (free + protein-bound) thyroid hormones (TT4 and TT3) circulate at nanomolar concentrations that are considerably easier to measure than the free hormone moieties (FT4 and FT3) that circulate in the picomolar range (62). Serum TT4 methods have evolved over the past five decades from protein-bound iodine and competitive protein binding tests (2,63) to non-isotopic immunometric assays and most </w:t>
      </w:r>
      <w:r w:rsidRPr="00F82953">
        <w:rPr>
          <w:rFonts w:ascii="Arial" w:hAnsi="Arial" w:cs="Arial"/>
          <w:kern w:val="1"/>
          <w:sz w:val="22"/>
          <w:szCs w:val="22"/>
        </w:rPr>
        <w:lastRenderedPageBreak/>
        <w:t>recently, isotope dilution tandem mass spectrometry (ID-LC-MS/MS) methods (13,64,65) (66). Since total thyroid hormone concentrations are influenced by conditions that change the binding protein concentrations (</w:t>
      </w:r>
      <w:r w:rsidR="00ED2422">
        <w:rPr>
          <w:rFonts w:ascii="Arial" w:hAnsi="Arial" w:cs="Arial"/>
          <w:kern w:val="1"/>
          <w:sz w:val="22"/>
          <w:szCs w:val="22"/>
        </w:rPr>
        <w:t xml:space="preserve">Figure </w:t>
      </w:r>
      <w:r w:rsidR="00BC3DA2">
        <w:rPr>
          <w:rFonts w:ascii="Arial" w:hAnsi="Arial" w:cs="Arial"/>
          <w:kern w:val="1"/>
          <w:sz w:val="22"/>
          <w:szCs w:val="22"/>
        </w:rPr>
        <w:t>2</w:t>
      </w:r>
      <w:r w:rsidRPr="00F82953">
        <w:rPr>
          <w:rFonts w:ascii="Arial" w:hAnsi="Arial" w:cs="Arial"/>
          <w:kern w:val="1"/>
          <w:sz w:val="22"/>
          <w:szCs w:val="22"/>
        </w:rPr>
        <w:t xml:space="preserve">), the measurement of the free thyroid hormone is considered more clinically reliable (13). </w:t>
      </w:r>
    </w:p>
    <w:p w14:paraId="1C5C5570"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56F54A2" w14:textId="62D1C3DE" w:rsidR="00BC3DA2" w:rsidRDefault="00494290" w:rsidP="00494290">
      <w:pPr>
        <w:autoSpaceDE w:val="0"/>
        <w:autoSpaceDN w:val="0"/>
        <w:adjustRightInd w:val="0"/>
        <w:spacing w:after="0" w:line="276" w:lineRule="auto"/>
        <w:rPr>
          <w:rFonts w:ascii="Arial" w:hAnsi="Arial" w:cs="Arial"/>
          <w:kern w:val="1"/>
          <w:sz w:val="22"/>
          <w:szCs w:val="22"/>
        </w:rPr>
      </w:pPr>
      <w:r>
        <w:rPr>
          <w:rFonts w:ascii="Arial" w:hAnsi="Arial" w:cs="Arial"/>
          <w:noProof/>
          <w:kern w:val="1"/>
          <w:sz w:val="22"/>
          <w:szCs w:val="22"/>
        </w:rPr>
        <w:drawing>
          <wp:inline distT="0" distB="0" distL="0" distR="0" wp14:anchorId="24540201" wp14:editId="7C6A00E6">
            <wp:extent cx="5515745" cy="3924848"/>
            <wp:effectExtent l="0" t="0" r="8890" b="0"/>
            <wp:docPr id="1316812563"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12563" name="Picture 1316812563"/>
                    <pic:cNvPicPr/>
                  </pic:nvPicPr>
                  <pic:blipFill>
                    <a:blip r:embed="rId6">
                      <a:extLst>
                        <a:ext uri="{28A0092B-C50C-407E-A947-70E740481C1C}">
                          <a14:useLocalDpi xmlns:a14="http://schemas.microsoft.com/office/drawing/2010/main" val="0"/>
                        </a:ext>
                      </a:extLst>
                    </a:blip>
                    <a:stretch>
                      <a:fillRect/>
                    </a:stretch>
                  </pic:blipFill>
                  <pic:spPr>
                    <a:xfrm>
                      <a:off x="0" y="0"/>
                      <a:ext cx="5515745" cy="3924848"/>
                    </a:xfrm>
                    <a:prstGeom prst="rect">
                      <a:avLst/>
                    </a:prstGeom>
                  </pic:spPr>
                </pic:pic>
              </a:graphicData>
            </a:graphic>
          </wp:inline>
        </w:drawing>
      </w:r>
    </w:p>
    <w:p w14:paraId="4FB497C8" w14:textId="6B86565C" w:rsidR="005C4829" w:rsidRPr="0067162E" w:rsidRDefault="00537E99" w:rsidP="00537E99">
      <w:pPr>
        <w:autoSpaceDE w:val="0"/>
        <w:autoSpaceDN w:val="0"/>
        <w:adjustRightInd w:val="0"/>
        <w:spacing w:after="0" w:line="276" w:lineRule="auto"/>
        <w:rPr>
          <w:rFonts w:ascii="Arial" w:hAnsi="Arial" w:cs="Arial"/>
          <w:b/>
          <w:bCs/>
          <w:kern w:val="1"/>
          <w:sz w:val="22"/>
          <w:szCs w:val="22"/>
        </w:rPr>
      </w:pPr>
      <w:r>
        <w:rPr>
          <w:rFonts w:ascii="Arial" w:hAnsi="Arial" w:cs="Arial"/>
          <w:b/>
          <w:bCs/>
          <w:kern w:val="1"/>
          <w:sz w:val="22"/>
          <w:szCs w:val="22"/>
        </w:rPr>
        <w:t>Figure 2.</w:t>
      </w:r>
      <w:r w:rsidRPr="00F82953">
        <w:rPr>
          <w:rFonts w:ascii="Arial" w:hAnsi="Arial" w:cs="Arial"/>
          <w:b/>
          <w:bCs/>
          <w:kern w:val="1"/>
          <w:sz w:val="22"/>
          <w:szCs w:val="22"/>
        </w:rPr>
        <w:t xml:space="preserve"> Conditions that Influence Thyroid Hormone Binding Proteins</w:t>
      </w:r>
      <w:r>
        <w:rPr>
          <w:rFonts w:ascii="Arial" w:hAnsi="Arial" w:cs="Arial"/>
          <w:b/>
          <w:bCs/>
          <w:kern w:val="1"/>
          <w:sz w:val="22"/>
          <w:szCs w:val="22"/>
        </w:rPr>
        <w:t xml:space="preserve">. </w:t>
      </w:r>
      <w:r w:rsidR="005C4829" w:rsidRPr="0067162E">
        <w:rPr>
          <w:rFonts w:ascii="Arial" w:hAnsi="Arial" w:cs="Arial"/>
          <w:b/>
          <w:bCs/>
          <w:kern w:val="1"/>
          <w:sz w:val="22"/>
          <w:szCs w:val="22"/>
        </w:rPr>
        <w:t xml:space="preserve">From references </w:t>
      </w:r>
      <w:r w:rsidR="002860A0" w:rsidRPr="0067162E">
        <w:rPr>
          <w:rFonts w:ascii="Arial" w:hAnsi="Arial" w:cs="Arial"/>
          <w:b/>
          <w:bCs/>
          <w:kern w:val="1"/>
          <w:sz w:val="22"/>
          <w:szCs w:val="22"/>
        </w:rPr>
        <w:t xml:space="preserve">25, 27 and </w:t>
      </w:r>
      <w:r w:rsidR="005C4829" w:rsidRPr="0067162E">
        <w:rPr>
          <w:rFonts w:ascii="Arial" w:hAnsi="Arial" w:cs="Arial"/>
          <w:b/>
          <w:bCs/>
          <w:kern w:val="1"/>
          <w:sz w:val="22"/>
          <w:szCs w:val="22"/>
        </w:rPr>
        <w:t>61</w:t>
      </w:r>
      <w:r w:rsidR="006A0A19">
        <w:rPr>
          <w:rFonts w:ascii="Arial" w:hAnsi="Arial" w:cs="Arial"/>
          <w:b/>
          <w:bCs/>
          <w:kern w:val="1"/>
          <w:sz w:val="22"/>
          <w:szCs w:val="22"/>
        </w:rPr>
        <w:t>.</w:t>
      </w:r>
    </w:p>
    <w:p w14:paraId="5E2FA1F4" w14:textId="14AAD648"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46506B9" w14:textId="76CD795B"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Total thyroid hormone methods typically require the inclusion of inhibitors, such as 8-anilino-1-napthalene-sulphonic acid to block hormone binding to serum proteins and facilitate the binding of thyroid hormone to the antibody reagent(s) (67). T3 concentrations are ten-fold lower than T4, so measuring T3 has always presented a greater sensitivity and precision challenge than measuring T4. Currently both TT4 and TT3 are measured by immunometric assays performed on automated platforms using enzymes, fluorescence</w:t>
      </w:r>
      <w:r w:rsidR="00EC3246">
        <w:rPr>
          <w:rFonts w:ascii="Arial" w:hAnsi="Arial" w:cs="Arial"/>
          <w:kern w:val="1"/>
          <w:sz w:val="22"/>
          <w:szCs w:val="22"/>
        </w:rPr>
        <w:t>,</w:t>
      </w:r>
      <w:r w:rsidRPr="00F82953">
        <w:rPr>
          <w:rFonts w:ascii="Arial" w:hAnsi="Arial" w:cs="Arial"/>
          <w:kern w:val="1"/>
          <w:sz w:val="22"/>
          <w:szCs w:val="22"/>
        </w:rPr>
        <w:t xml:space="preserve"> or chemiluminescent molecules as signals (11,13,62). </w:t>
      </w:r>
    </w:p>
    <w:p w14:paraId="0070E4F4" w14:textId="77777777" w:rsidR="007D0492" w:rsidRPr="00F82953" w:rsidRDefault="007D0492" w:rsidP="00F82953">
      <w:pPr>
        <w:autoSpaceDE w:val="0"/>
        <w:autoSpaceDN w:val="0"/>
        <w:adjustRightInd w:val="0"/>
        <w:spacing w:after="0" w:line="276" w:lineRule="auto"/>
        <w:rPr>
          <w:rFonts w:ascii="Arial" w:hAnsi="Arial" w:cs="Arial"/>
          <w:kern w:val="1"/>
          <w:sz w:val="22"/>
          <w:szCs w:val="22"/>
        </w:rPr>
      </w:pPr>
    </w:p>
    <w:p w14:paraId="397593AB" w14:textId="5C134908"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Between-method variability among eleven TT4 and twelve TT3 immunoassays </w:t>
      </w:r>
      <w:r w:rsidR="00767032">
        <w:rPr>
          <w:rFonts w:ascii="Arial" w:hAnsi="Arial" w:cs="Arial"/>
          <w:kern w:val="1"/>
          <w:sz w:val="22"/>
          <w:szCs w:val="22"/>
        </w:rPr>
        <w:t xml:space="preserve">are </w:t>
      </w:r>
      <w:r w:rsidRPr="00F82953">
        <w:rPr>
          <w:rFonts w:ascii="Arial" w:hAnsi="Arial" w:cs="Arial"/>
          <w:color w:val="000000" w:themeColor="text1"/>
          <w:kern w:val="1"/>
          <w:sz w:val="22"/>
          <w:szCs w:val="22"/>
        </w:rPr>
        <w:t xml:space="preserve">shown in Figure </w:t>
      </w:r>
      <w:r w:rsidR="00947D80">
        <w:rPr>
          <w:rFonts w:ascii="Arial" w:hAnsi="Arial" w:cs="Arial"/>
          <w:color w:val="000000" w:themeColor="text1"/>
          <w:kern w:val="1"/>
          <w:sz w:val="22"/>
          <w:szCs w:val="22"/>
        </w:rPr>
        <w:t>3</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(28) </w:t>
      </w:r>
      <w:r w:rsidR="00767032">
        <w:rPr>
          <w:rFonts w:ascii="Arial" w:hAnsi="Arial" w:cs="Arial"/>
          <w:kern w:val="1"/>
          <w:sz w:val="22"/>
          <w:szCs w:val="22"/>
        </w:rPr>
        <w:t xml:space="preserve">from </w:t>
      </w:r>
      <w:r w:rsidRPr="00F82953">
        <w:rPr>
          <w:rFonts w:ascii="Arial" w:hAnsi="Arial" w:cs="Arial"/>
          <w:kern w:val="1"/>
          <w:sz w:val="22"/>
          <w:szCs w:val="22"/>
        </w:rPr>
        <w:t xml:space="preserve">sera from healthy individuals and compared with values reported by isotope dilution tandem mass spectrometry (ID-LC-MS/MS) - the reference measurement procedure (RMP) that uses primary T4 and T3 standards for calibration (13,28). Although most methods fell short of the optimal 5 percent goal established by the C-STFT, 4/11 TT4 assays agreed within 10 percent of the reference, whereas most TT3 assays exhibited a positive bias that would necessitate re-standardization (28,68,69). Thus, as would be expected, TT4 assays are </w:t>
      </w:r>
      <w:r w:rsidRPr="00F82953">
        <w:rPr>
          <w:rFonts w:ascii="Arial" w:hAnsi="Arial" w:cs="Arial"/>
          <w:kern w:val="1"/>
          <w:sz w:val="22"/>
          <w:szCs w:val="22"/>
        </w:rPr>
        <w:lastRenderedPageBreak/>
        <w:t>more reliable than TT3 assays. However, variability persists likely resulting from matrix differences between calibrators and patient sera, the efficiency of the blocking agent employed, and reagent lot-to-lot variability (13,69-72).</w:t>
      </w:r>
    </w:p>
    <w:p w14:paraId="6EAECC6D"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C8EE26B" w14:textId="2B51A09D" w:rsidR="0030016F" w:rsidRPr="00F82953" w:rsidRDefault="00AC4AC8" w:rsidP="00F82953">
      <w:pPr>
        <w:autoSpaceDE w:val="0"/>
        <w:autoSpaceDN w:val="0"/>
        <w:adjustRightInd w:val="0"/>
        <w:spacing w:after="0" w:line="276" w:lineRule="auto"/>
        <w:ind w:firstLine="720"/>
        <w:rPr>
          <w:rFonts w:ascii="Arial" w:hAnsi="Arial" w:cs="Arial"/>
          <w:b/>
          <w:bCs/>
          <w:kern w:val="1"/>
          <w:sz w:val="22"/>
          <w:szCs w:val="22"/>
        </w:rPr>
      </w:pPr>
      <w:r>
        <w:rPr>
          <w:rFonts w:ascii="Arial" w:hAnsi="Arial" w:cs="Arial"/>
          <w:b/>
          <w:bCs/>
          <w:noProof/>
          <w:kern w:val="1"/>
          <w:sz w:val="22"/>
          <w:szCs w:val="22"/>
        </w:rPr>
        <w:drawing>
          <wp:inline distT="0" distB="0" distL="0" distR="0" wp14:anchorId="758B7868" wp14:editId="628938EF">
            <wp:extent cx="5515745" cy="5325218"/>
            <wp:effectExtent l="0" t="0" r="8890" b="8890"/>
            <wp:docPr id="1198386584"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86584" name="Picture 1198386584"/>
                    <pic:cNvPicPr/>
                  </pic:nvPicPr>
                  <pic:blipFill>
                    <a:blip r:embed="rId7">
                      <a:extLst>
                        <a:ext uri="{28A0092B-C50C-407E-A947-70E740481C1C}">
                          <a14:useLocalDpi xmlns:a14="http://schemas.microsoft.com/office/drawing/2010/main" val="0"/>
                        </a:ext>
                      </a:extLst>
                    </a:blip>
                    <a:stretch>
                      <a:fillRect/>
                    </a:stretch>
                  </pic:blipFill>
                  <pic:spPr>
                    <a:xfrm>
                      <a:off x="0" y="0"/>
                      <a:ext cx="5515745" cy="5325218"/>
                    </a:xfrm>
                    <a:prstGeom prst="rect">
                      <a:avLst/>
                    </a:prstGeom>
                  </pic:spPr>
                </pic:pic>
              </a:graphicData>
            </a:graphic>
          </wp:inline>
        </w:drawing>
      </w:r>
    </w:p>
    <w:p w14:paraId="0976B886" w14:textId="3EFF29B5" w:rsidR="0030016F" w:rsidRPr="00A2289D" w:rsidRDefault="00947D80" w:rsidP="00F82953">
      <w:pPr>
        <w:autoSpaceDE w:val="0"/>
        <w:autoSpaceDN w:val="0"/>
        <w:adjustRightInd w:val="0"/>
        <w:spacing w:after="0" w:line="276" w:lineRule="auto"/>
        <w:rPr>
          <w:rFonts w:ascii="Arial" w:hAnsi="Arial" w:cs="Arial"/>
          <w:b/>
          <w:bCs/>
          <w:color w:val="000000" w:themeColor="text1"/>
          <w:kern w:val="1"/>
          <w:sz w:val="22"/>
          <w:szCs w:val="22"/>
        </w:rPr>
      </w:pPr>
      <w:r w:rsidRPr="00A2289D">
        <w:rPr>
          <w:rFonts w:ascii="Arial" w:hAnsi="Arial" w:cs="Arial"/>
          <w:b/>
          <w:bCs/>
          <w:kern w:val="1"/>
          <w:sz w:val="22"/>
          <w:szCs w:val="22"/>
        </w:rPr>
        <w:t xml:space="preserve">Figure </w:t>
      </w:r>
      <w:r w:rsidR="005C4CE7" w:rsidRPr="00A2289D">
        <w:rPr>
          <w:rFonts w:ascii="Arial" w:hAnsi="Arial" w:cs="Arial"/>
          <w:b/>
          <w:bCs/>
          <w:kern w:val="1"/>
          <w:sz w:val="22"/>
          <w:szCs w:val="22"/>
        </w:rPr>
        <w:t>3</w:t>
      </w:r>
      <w:r w:rsidRPr="00A2289D">
        <w:rPr>
          <w:rFonts w:ascii="Arial" w:hAnsi="Arial" w:cs="Arial"/>
          <w:b/>
          <w:bCs/>
          <w:kern w:val="1"/>
          <w:sz w:val="22"/>
          <w:szCs w:val="22"/>
        </w:rPr>
        <w:t>. (a) TT4 and (b) TT3 Between-Method Variability</w:t>
      </w:r>
      <w:r w:rsidR="00AF2FAF" w:rsidRPr="00A2289D">
        <w:rPr>
          <w:rFonts w:ascii="Arial" w:hAnsi="Arial" w:cs="Arial"/>
          <w:b/>
          <w:bCs/>
          <w:kern w:val="1"/>
          <w:sz w:val="22"/>
          <w:szCs w:val="22"/>
        </w:rPr>
        <w:t xml:space="preserve">. </w:t>
      </w:r>
      <w:r w:rsidR="00A2289D" w:rsidRPr="00A2289D">
        <w:rPr>
          <w:rFonts w:ascii="Arial" w:hAnsi="Arial" w:cs="Arial"/>
          <w:b/>
          <w:bCs/>
          <w:kern w:val="1"/>
          <w:sz w:val="22"/>
          <w:szCs w:val="22"/>
        </w:rPr>
        <w:t>The figure s</w:t>
      </w:r>
      <w:r w:rsidR="0030016F" w:rsidRPr="00A2289D">
        <w:rPr>
          <w:rFonts w:ascii="Arial" w:hAnsi="Arial" w:cs="Arial"/>
          <w:b/>
          <w:bCs/>
          <w:color w:val="000000" w:themeColor="text1"/>
          <w:kern w:val="1"/>
          <w:sz w:val="22"/>
          <w:szCs w:val="22"/>
        </w:rPr>
        <w:t xml:space="preserve">hows the variability among 11 TT4 (A-P) and 12 TT3 (A-M) methods (shown as assay means </w:t>
      </w:r>
      <w:r w:rsidR="0030016F" w:rsidRPr="00A2289D">
        <w:rPr>
          <w:rFonts w:ascii="Arial" w:hAnsi="Arial" w:cs="Arial"/>
          <w:b/>
          <w:bCs/>
          <w:color w:val="000000" w:themeColor="text1"/>
          <w:kern w:val="1"/>
          <w:sz w:val="22"/>
          <w:szCs w:val="22"/>
        </w:rPr>
        <w:sym w:font="Symbol" w:char="F0B1"/>
      </w:r>
      <w:r w:rsidR="0030016F" w:rsidRPr="00A2289D">
        <w:rPr>
          <w:rFonts w:ascii="Arial" w:hAnsi="Arial" w:cs="Arial"/>
          <w:b/>
          <w:bCs/>
          <w:color w:val="000000" w:themeColor="text1"/>
          <w:kern w:val="1"/>
          <w:sz w:val="22"/>
          <w:szCs w:val="22"/>
        </w:rPr>
        <w:t xml:space="preserve">2 </w:t>
      </w:r>
      <w:proofErr w:type="spellStart"/>
      <w:r w:rsidR="0030016F" w:rsidRPr="00A2289D">
        <w:rPr>
          <w:rFonts w:ascii="Arial" w:hAnsi="Arial" w:cs="Arial"/>
          <w:b/>
          <w:bCs/>
          <w:color w:val="000000" w:themeColor="text1"/>
          <w:kern w:val="1"/>
          <w:sz w:val="22"/>
          <w:szCs w:val="22"/>
        </w:rPr>
        <w:t>sd</w:t>
      </w:r>
      <w:proofErr w:type="spellEnd"/>
      <w:r w:rsidR="0030016F" w:rsidRPr="00A2289D">
        <w:rPr>
          <w:rFonts w:ascii="Arial" w:hAnsi="Arial" w:cs="Arial"/>
          <w:b/>
          <w:bCs/>
          <w:color w:val="000000" w:themeColor="text1"/>
          <w:kern w:val="1"/>
          <w:sz w:val="22"/>
          <w:szCs w:val="22"/>
        </w:rPr>
        <w:t>) relative to the RMP for the method. For the assays differing &gt;10% from the RMP mean, the numerical value of the mean is listed (28).</w:t>
      </w:r>
    </w:p>
    <w:p w14:paraId="6B366E6D" w14:textId="77777777" w:rsidR="005C4829" w:rsidRPr="00A2289D" w:rsidRDefault="005C4829" w:rsidP="00F82953">
      <w:pPr>
        <w:autoSpaceDE w:val="0"/>
        <w:autoSpaceDN w:val="0"/>
        <w:adjustRightInd w:val="0"/>
        <w:spacing w:after="0" w:line="276" w:lineRule="auto"/>
        <w:rPr>
          <w:rFonts w:ascii="Arial" w:hAnsi="Arial" w:cs="Arial"/>
          <w:b/>
          <w:bCs/>
          <w:kern w:val="1"/>
          <w:sz w:val="22"/>
          <w:szCs w:val="22"/>
        </w:rPr>
      </w:pPr>
    </w:p>
    <w:p w14:paraId="22374462" w14:textId="618742F1" w:rsidR="005C4829" w:rsidRPr="00F82953" w:rsidRDefault="005C4829" w:rsidP="00F82953">
      <w:pPr>
        <w:autoSpaceDE w:val="0"/>
        <w:autoSpaceDN w:val="0"/>
        <w:adjustRightInd w:val="0"/>
        <w:spacing w:after="0" w:line="276" w:lineRule="auto"/>
        <w:rPr>
          <w:rFonts w:ascii="Arial" w:hAnsi="Arial" w:cs="Arial"/>
          <w:b/>
          <w:bCs/>
          <w:kern w:val="1"/>
          <w:sz w:val="22"/>
          <w:szCs w:val="22"/>
        </w:rPr>
      </w:pPr>
      <w:r w:rsidRPr="00A2289D">
        <w:rPr>
          <w:rFonts w:ascii="Arial" w:hAnsi="Arial" w:cs="Arial"/>
          <w:b/>
          <w:bCs/>
          <w:color w:val="00B050"/>
          <w:kern w:val="1"/>
          <w:sz w:val="22"/>
          <w:szCs w:val="22"/>
        </w:rPr>
        <w:t>TT4 and TT3 Reference Ranges</w:t>
      </w:r>
    </w:p>
    <w:p w14:paraId="3D4735F3"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6FED76A7" w14:textId="38761843"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problem of between-method differences in TT4 and TT3 </w:t>
      </w:r>
      <w:r w:rsidRPr="00F82953">
        <w:rPr>
          <w:rFonts w:ascii="Arial" w:hAnsi="Arial" w:cs="Arial"/>
          <w:color w:val="000000" w:themeColor="text1"/>
          <w:kern w:val="1"/>
          <w:sz w:val="22"/>
          <w:szCs w:val="22"/>
        </w:rPr>
        <w:t xml:space="preserve">measurements (Figure </w:t>
      </w:r>
      <w:r w:rsidR="00A2289D">
        <w:rPr>
          <w:rFonts w:ascii="Arial" w:hAnsi="Arial" w:cs="Arial"/>
          <w:color w:val="000000" w:themeColor="text1"/>
          <w:kern w:val="1"/>
          <w:sz w:val="22"/>
          <w:szCs w:val="22"/>
        </w:rPr>
        <w:t>3</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is compounded by the continued use of non-SI units by some countries. TT4 reference ranges have approximated 58 to 160 nmol/L (4.5-12.5 µg/dL) for more than four decades. However, in euthyroid pregnant women there is an approximate 2-fold rise in TBG concentrations by mid-</w:t>
      </w:r>
      <w:r w:rsidRPr="00F82953">
        <w:rPr>
          <w:rFonts w:ascii="Arial" w:hAnsi="Arial" w:cs="Arial"/>
          <w:kern w:val="1"/>
          <w:sz w:val="22"/>
          <w:szCs w:val="22"/>
        </w:rPr>
        <w:lastRenderedPageBreak/>
        <w:t xml:space="preserve">gestation that produce a steady TT4 increase beginning in the first trimester and plateauing at approximately 1.5-fold pre-pregnancy levels by mid-gestation (73-75). As a result, some have suggested that the non-pregnant TT4 reference range be adjusted by a factor of 1.5 when assessing thyroid status in the latter half of gestation (47,73,74,76). TT3 reference ranges generally approximate 1.2 - 2.7 nmol/L (80 –180 ng/dL) (77), but as </w:t>
      </w:r>
      <w:r w:rsidRPr="00F82953">
        <w:rPr>
          <w:rFonts w:ascii="Arial" w:hAnsi="Arial" w:cs="Arial"/>
          <w:color w:val="000000" w:themeColor="text1"/>
          <w:kern w:val="1"/>
          <w:sz w:val="22"/>
          <w:szCs w:val="22"/>
        </w:rPr>
        <w:t xml:space="preserve">shown in Figure </w:t>
      </w:r>
      <w:r w:rsidR="001A51F5">
        <w:rPr>
          <w:rFonts w:ascii="Arial" w:hAnsi="Arial" w:cs="Arial"/>
          <w:color w:val="000000" w:themeColor="text1"/>
          <w:kern w:val="1"/>
          <w:sz w:val="22"/>
          <w:szCs w:val="22"/>
        </w:rPr>
        <w:t>3</w:t>
      </w:r>
      <w:r w:rsidR="00C64561" w:rsidRPr="00F82953">
        <w:rPr>
          <w:rFonts w:ascii="Arial" w:hAnsi="Arial" w:cs="Arial"/>
          <w:color w:val="000000" w:themeColor="text1"/>
          <w:kern w:val="1"/>
          <w:sz w:val="22"/>
          <w:szCs w:val="22"/>
        </w:rPr>
        <w:t>,</w:t>
      </w:r>
      <w:r w:rsidRPr="00F82953">
        <w:rPr>
          <w:rFonts w:ascii="Arial" w:hAnsi="Arial" w:cs="Arial"/>
          <w:color w:val="000000" w:themeColor="text1"/>
          <w:kern w:val="1"/>
          <w:sz w:val="22"/>
          <w:szCs w:val="22"/>
        </w:rPr>
        <w:t xml:space="preserve"> TT3 displays </w:t>
      </w:r>
      <w:r w:rsidRPr="00F82953">
        <w:rPr>
          <w:rFonts w:ascii="Arial" w:hAnsi="Arial" w:cs="Arial"/>
          <w:kern w:val="1"/>
          <w:sz w:val="22"/>
          <w:szCs w:val="22"/>
        </w:rPr>
        <w:t xml:space="preserve">more between-method variability than TT4 (69,78). </w:t>
      </w:r>
    </w:p>
    <w:p w14:paraId="03EDDA89"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56E5629B" w14:textId="0E0D4D7A" w:rsidR="005C4829" w:rsidRPr="00152366" w:rsidRDefault="005C4829" w:rsidP="00F82953">
      <w:pPr>
        <w:autoSpaceDE w:val="0"/>
        <w:autoSpaceDN w:val="0"/>
        <w:adjustRightInd w:val="0"/>
        <w:spacing w:after="0" w:line="276" w:lineRule="auto"/>
        <w:rPr>
          <w:rFonts w:ascii="Arial" w:hAnsi="Arial" w:cs="Arial"/>
          <w:color w:val="0070C0"/>
          <w:kern w:val="1"/>
          <w:sz w:val="22"/>
          <w:szCs w:val="22"/>
        </w:rPr>
      </w:pPr>
      <w:r w:rsidRPr="00152366">
        <w:rPr>
          <w:rFonts w:ascii="Arial" w:hAnsi="Arial" w:cs="Arial"/>
          <w:b/>
          <w:bCs/>
          <w:color w:val="0070C0"/>
          <w:kern w:val="1"/>
          <w:sz w:val="22"/>
          <w:szCs w:val="22"/>
        </w:rPr>
        <w:t>F</w:t>
      </w:r>
      <w:r w:rsidR="00A2289D" w:rsidRPr="00152366">
        <w:rPr>
          <w:rFonts w:ascii="Arial" w:hAnsi="Arial" w:cs="Arial"/>
          <w:b/>
          <w:bCs/>
          <w:color w:val="0070C0"/>
          <w:kern w:val="1"/>
          <w:sz w:val="22"/>
          <w:szCs w:val="22"/>
        </w:rPr>
        <w:t xml:space="preserve">REE </w:t>
      </w:r>
      <w:r w:rsidR="00152366" w:rsidRPr="00152366">
        <w:rPr>
          <w:rFonts w:ascii="Arial" w:hAnsi="Arial" w:cs="Arial"/>
          <w:b/>
          <w:bCs/>
          <w:color w:val="0070C0"/>
          <w:kern w:val="1"/>
          <w:sz w:val="22"/>
          <w:szCs w:val="22"/>
        </w:rPr>
        <w:t xml:space="preserve">THYROID HORMONE TESTS </w:t>
      </w:r>
      <w:r w:rsidRPr="00152366">
        <w:rPr>
          <w:rFonts w:ascii="Arial" w:hAnsi="Arial" w:cs="Arial"/>
          <w:b/>
          <w:bCs/>
          <w:color w:val="0070C0"/>
          <w:kern w:val="1"/>
          <w:sz w:val="22"/>
          <w:szCs w:val="22"/>
        </w:rPr>
        <w:t>(FT4 and FT3)</w:t>
      </w:r>
    </w:p>
    <w:p w14:paraId="3904ADE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39119DE" w14:textId="15EE383A"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In accordance with the free hormone hypothesis, it is the free thyroid hormone fractions (0.02 </w:t>
      </w:r>
      <w:r w:rsidRPr="00F82953">
        <w:rPr>
          <w:rFonts w:ascii="Arial" w:hAnsi="Arial" w:cs="Arial"/>
          <w:i/>
          <w:iCs/>
          <w:kern w:val="1"/>
          <w:sz w:val="22"/>
          <w:szCs w:val="22"/>
        </w:rPr>
        <w:t>%</w:t>
      </w:r>
      <w:r w:rsidRPr="00F82953">
        <w:rPr>
          <w:rFonts w:ascii="Arial" w:hAnsi="Arial" w:cs="Arial"/>
          <w:kern w:val="1"/>
          <w:sz w:val="22"/>
          <w:szCs w:val="22"/>
        </w:rPr>
        <w:t xml:space="preserve"> of TT4 and 0.2 % of TT3) that exert biologic activity at the cellular level (79) and protein-bound hormone is considered biologically inert. Since binding-protein abnormalities are highly prevalent (</w:t>
      </w:r>
      <w:r w:rsidR="002D075A">
        <w:rPr>
          <w:rFonts w:ascii="Arial" w:hAnsi="Arial" w:cs="Arial"/>
          <w:kern w:val="1"/>
          <w:sz w:val="22"/>
          <w:szCs w:val="22"/>
        </w:rPr>
        <w:t>Figure 2</w:t>
      </w:r>
      <w:r w:rsidRPr="00F82953">
        <w:rPr>
          <w:rFonts w:ascii="Arial" w:hAnsi="Arial" w:cs="Arial"/>
          <w:kern w:val="1"/>
          <w:sz w:val="22"/>
          <w:szCs w:val="22"/>
        </w:rPr>
        <w:t xml:space="preserve">) (25,27,61), free hormone measurements (FT4 and FT3) are preferable to total hormone (TT4 and TT3) (13,15). However, the measurement of free hormone concentrations independent of protein-bound hormone remains technically challenging (13,15,80). This is especially the case for FT3, because FT3 immunoassays are more susceptible to interference by free fatty acids and drugs present in the circulation, prompting many laboratories to prefer a TT3 over a FT3 assay (13). FT4 and FT3 fall into two categories – </w:t>
      </w:r>
      <w:r w:rsidRPr="00F82953">
        <w:rPr>
          <w:rFonts w:ascii="Arial" w:hAnsi="Arial" w:cs="Arial"/>
          <w:b/>
          <w:bCs/>
          <w:kern w:val="1"/>
          <w:sz w:val="22"/>
          <w:szCs w:val="22"/>
          <w:u w:val="single"/>
        </w:rPr>
        <w:t xml:space="preserve">direct </w:t>
      </w:r>
      <w:r w:rsidRPr="00F82953">
        <w:rPr>
          <w:rFonts w:ascii="Arial" w:hAnsi="Arial" w:cs="Arial"/>
          <w:kern w:val="1"/>
          <w:sz w:val="22"/>
          <w:szCs w:val="22"/>
        </w:rPr>
        <w:t xml:space="preserve">methods that employ a physical separation of free from protein-bound hormone and indirect free hormone </w:t>
      </w:r>
      <w:r w:rsidRPr="00F82953">
        <w:rPr>
          <w:rFonts w:ascii="Arial" w:hAnsi="Arial" w:cs="Arial"/>
          <w:b/>
          <w:bCs/>
          <w:kern w:val="1"/>
          <w:sz w:val="22"/>
          <w:szCs w:val="22"/>
          <w:u w:val="single"/>
        </w:rPr>
        <w:t>estimate</w:t>
      </w:r>
      <w:r w:rsidRPr="00F82953">
        <w:rPr>
          <w:rFonts w:ascii="Arial" w:hAnsi="Arial" w:cs="Arial"/>
          <w:kern w:val="1"/>
          <w:sz w:val="22"/>
          <w:szCs w:val="22"/>
        </w:rPr>
        <w:t xml:space="preserve"> tests (16). </w:t>
      </w:r>
    </w:p>
    <w:p w14:paraId="709A1909"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2BF61BB" w14:textId="738DE697" w:rsidR="005C4829" w:rsidRPr="00F82953" w:rsidRDefault="005C4829" w:rsidP="00F82953">
      <w:pPr>
        <w:autoSpaceDE w:val="0"/>
        <w:autoSpaceDN w:val="0"/>
        <w:adjustRightInd w:val="0"/>
        <w:spacing w:after="0" w:line="276" w:lineRule="auto"/>
        <w:rPr>
          <w:rFonts w:ascii="Arial" w:hAnsi="Arial" w:cs="Arial"/>
          <w:b/>
          <w:bCs/>
          <w:kern w:val="1"/>
          <w:sz w:val="22"/>
          <w:szCs w:val="22"/>
        </w:rPr>
      </w:pPr>
      <w:r w:rsidRPr="006F261A">
        <w:rPr>
          <w:rFonts w:ascii="Arial" w:hAnsi="Arial" w:cs="Arial"/>
          <w:b/>
          <w:bCs/>
          <w:color w:val="00B050"/>
          <w:kern w:val="1"/>
          <w:sz w:val="22"/>
          <w:szCs w:val="22"/>
        </w:rPr>
        <w:t>Direct FT4 and FT3 Methods</w:t>
      </w:r>
    </w:p>
    <w:p w14:paraId="63153FB0"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1392D56" w14:textId="3D939ED3"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Direct free hormone methods have employed equilibrium dialysis (ED) (13,81,82), ultrafiltration (83-85)</w:t>
      </w:r>
      <w:r w:rsidR="002D075A">
        <w:rPr>
          <w:rFonts w:ascii="Arial" w:hAnsi="Arial" w:cs="Arial"/>
          <w:kern w:val="1"/>
          <w:sz w:val="22"/>
          <w:szCs w:val="22"/>
        </w:rPr>
        <w:t>,</w:t>
      </w:r>
      <w:r w:rsidRPr="00F82953">
        <w:rPr>
          <w:rFonts w:ascii="Arial" w:hAnsi="Arial" w:cs="Arial"/>
          <w:kern w:val="1"/>
          <w:sz w:val="22"/>
          <w:szCs w:val="22"/>
        </w:rPr>
        <w:t xml:space="preserve"> or gel filtration (86) to separate free hormone from the dominant protein-bound moiety. The IFCC has now established equilibrium dialysis, isotope dilution, liquid chromatography, tandem mass spectrometry (ED ID-LC-MS/MS) using primary calibrators as the RMP for FT4 measurements (13,32,87-89). Specifically, equilibrium dialysis of serum is performed under defined conditions before measuring FT4 in the dialysate by ID-LC-MS/MS (12,34,35). Manufacturers are recommended to use this RMP to recalibrate their FT4 immunoassay tests (13). However, even direct methods that employ equilibrium dialysis or ultrafiltration to separate free from protein-bound hormone are not immune from technical problems relating to dilution, adsorption, membrane defects, temperature, the influence of endogenous binding protein inhibitors, fatty acid formation</w:t>
      </w:r>
      <w:r w:rsidR="00AF47E4">
        <w:rPr>
          <w:rFonts w:ascii="Arial" w:hAnsi="Arial" w:cs="Arial"/>
          <w:kern w:val="1"/>
          <w:sz w:val="22"/>
          <w:szCs w:val="22"/>
        </w:rPr>
        <w:t>,</w:t>
      </w:r>
      <w:r w:rsidRPr="00F82953">
        <w:rPr>
          <w:rFonts w:ascii="Arial" w:hAnsi="Arial" w:cs="Arial"/>
          <w:kern w:val="1"/>
          <w:sz w:val="22"/>
          <w:szCs w:val="22"/>
        </w:rPr>
        <w:t xml:space="preserve"> and sample-related effects (13,80,82,90). Because direct free hormone methods are technically demanding, inconvenient</w:t>
      </w:r>
      <w:r w:rsidR="00466EBC">
        <w:rPr>
          <w:rFonts w:ascii="Arial" w:hAnsi="Arial" w:cs="Arial"/>
          <w:kern w:val="1"/>
          <w:sz w:val="22"/>
          <w:szCs w:val="22"/>
        </w:rPr>
        <w:t>,</w:t>
      </w:r>
      <w:r w:rsidRPr="00F82953">
        <w:rPr>
          <w:rFonts w:ascii="Arial" w:hAnsi="Arial" w:cs="Arial"/>
          <w:kern w:val="1"/>
          <w:sz w:val="22"/>
          <w:szCs w:val="22"/>
        </w:rPr>
        <w:t xml:space="preserve"> and expensive, they are typically only readily available in reference laboratories and most clinical laboratories use FT4 and FT3 estimate tests - immunoassay “sequestration” methods (</w:t>
      </w:r>
      <w:r w:rsidR="00E71413">
        <w:rPr>
          <w:rFonts w:ascii="Arial" w:hAnsi="Arial" w:cs="Arial"/>
          <w:kern w:val="1"/>
          <w:sz w:val="22"/>
          <w:szCs w:val="22"/>
        </w:rPr>
        <w:t>see below</w:t>
      </w:r>
      <w:r w:rsidRPr="00F82953">
        <w:rPr>
          <w:rFonts w:ascii="Arial" w:hAnsi="Arial" w:cs="Arial"/>
          <w:kern w:val="1"/>
          <w:sz w:val="22"/>
          <w:szCs w:val="22"/>
        </w:rPr>
        <w:t xml:space="preserve">). However, a direct free hormone test can be especially useful for evaluating thyroid status when immunoassay values appear discordant with the clinical presentation and/or the TSH measurement (15,91). All current FT4 and FT3 estimate tests remain binding-protein dependent to some extent </w:t>
      </w:r>
      <w:r w:rsidR="00420640" w:rsidRPr="00F82953">
        <w:rPr>
          <w:rFonts w:ascii="Arial" w:hAnsi="Arial" w:cs="Arial"/>
          <w:kern w:val="1"/>
          <w:sz w:val="22"/>
          <w:szCs w:val="22"/>
        </w:rPr>
        <w:t>(69).</w:t>
      </w:r>
      <w:r w:rsidRPr="00F82953">
        <w:rPr>
          <w:rFonts w:ascii="Arial" w:hAnsi="Arial" w:cs="Arial"/>
          <w:kern w:val="1"/>
          <w:sz w:val="22"/>
          <w:szCs w:val="22"/>
        </w:rPr>
        <w:t xml:space="preserve"> </w:t>
      </w:r>
    </w:p>
    <w:p w14:paraId="498D1362"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42D79F5" w14:textId="65F7A412" w:rsidR="005C4829" w:rsidRPr="00840D4E" w:rsidRDefault="005C4829" w:rsidP="00F82953">
      <w:pPr>
        <w:autoSpaceDE w:val="0"/>
        <w:autoSpaceDN w:val="0"/>
        <w:adjustRightInd w:val="0"/>
        <w:spacing w:after="0" w:line="276" w:lineRule="auto"/>
        <w:rPr>
          <w:rFonts w:ascii="Arial" w:hAnsi="Arial" w:cs="Arial"/>
          <w:color w:val="FF0000"/>
          <w:kern w:val="1"/>
          <w:sz w:val="22"/>
          <w:szCs w:val="22"/>
        </w:rPr>
      </w:pPr>
      <w:r w:rsidRPr="00840D4E">
        <w:rPr>
          <w:rFonts w:ascii="Arial" w:hAnsi="Arial" w:cs="Arial"/>
          <w:color w:val="FF0000"/>
          <w:kern w:val="1"/>
          <w:sz w:val="22"/>
          <w:szCs w:val="22"/>
        </w:rPr>
        <w:t>E</w:t>
      </w:r>
      <w:r w:rsidR="00840D4E" w:rsidRPr="00840D4E">
        <w:rPr>
          <w:rFonts w:ascii="Arial" w:hAnsi="Arial" w:cs="Arial"/>
          <w:color w:val="FF0000"/>
          <w:kern w:val="1"/>
          <w:sz w:val="22"/>
          <w:szCs w:val="22"/>
        </w:rPr>
        <w:t xml:space="preserve">QUILIBRIUM DIALYSIS </w:t>
      </w:r>
      <w:r w:rsidRPr="00840D4E">
        <w:rPr>
          <w:rFonts w:ascii="Arial" w:hAnsi="Arial" w:cs="Arial"/>
          <w:color w:val="FF0000"/>
          <w:kern w:val="1"/>
          <w:sz w:val="22"/>
          <w:szCs w:val="22"/>
        </w:rPr>
        <w:t xml:space="preserve">(ED) </w:t>
      </w:r>
    </w:p>
    <w:p w14:paraId="5F40EAEC" w14:textId="77777777" w:rsidR="00840D4E" w:rsidRDefault="00840D4E" w:rsidP="00840D4E">
      <w:pPr>
        <w:autoSpaceDE w:val="0"/>
        <w:autoSpaceDN w:val="0"/>
        <w:adjustRightInd w:val="0"/>
        <w:spacing w:after="0" w:line="276" w:lineRule="auto"/>
        <w:rPr>
          <w:rFonts w:ascii="Arial" w:hAnsi="Arial" w:cs="Arial"/>
          <w:kern w:val="1"/>
          <w:sz w:val="22"/>
          <w:szCs w:val="22"/>
        </w:rPr>
      </w:pPr>
    </w:p>
    <w:p w14:paraId="1FAC804D" w14:textId="348FD0EA" w:rsidR="005C4829" w:rsidRPr="00F82953" w:rsidRDefault="005C4829" w:rsidP="00840D4E">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lastRenderedPageBreak/>
        <w:t>Early equilibrium dialysis methods used I</w:t>
      </w:r>
      <w:r w:rsidRPr="00F82953">
        <w:rPr>
          <w:rFonts w:ascii="Arial" w:hAnsi="Arial" w:cs="Arial"/>
          <w:kern w:val="1"/>
          <w:sz w:val="22"/>
          <w:szCs w:val="22"/>
          <w:vertAlign w:val="superscript"/>
        </w:rPr>
        <w:t>131</w:t>
      </w:r>
      <w:r w:rsidRPr="00F82953">
        <w:rPr>
          <w:rFonts w:ascii="Arial" w:hAnsi="Arial" w:cs="Arial"/>
          <w:kern w:val="1"/>
          <w:sz w:val="22"/>
          <w:szCs w:val="22"/>
        </w:rPr>
        <w:t xml:space="preserve"> and later I</w:t>
      </w:r>
      <w:r w:rsidRPr="00F82953">
        <w:rPr>
          <w:rFonts w:ascii="Arial" w:hAnsi="Arial" w:cs="Arial"/>
          <w:kern w:val="1"/>
          <w:sz w:val="22"/>
          <w:szCs w:val="22"/>
          <w:vertAlign w:val="superscript"/>
        </w:rPr>
        <w:t>125</w:t>
      </w:r>
      <w:r w:rsidRPr="00F82953">
        <w:rPr>
          <w:rFonts w:ascii="Arial" w:hAnsi="Arial" w:cs="Arial"/>
          <w:kern w:val="1"/>
          <w:sz w:val="22"/>
          <w:szCs w:val="22"/>
        </w:rPr>
        <w:t xml:space="preserve"> labeled T4 tracers to measure the free T4 fraction, that when multiplied by a total hormone measurement gave an estimate of the free hormone concentration (81). Subsequently, symmetric dialysis in which serum was dialyzed without dilution (or employing a near-</w:t>
      </w:r>
      <w:r w:rsidR="001538EB" w:rsidRPr="00F82953">
        <w:rPr>
          <w:rFonts w:ascii="Arial" w:hAnsi="Arial" w:cs="Arial"/>
          <w:kern w:val="1"/>
          <w:sz w:val="22"/>
          <w:szCs w:val="22"/>
        </w:rPr>
        <w:t>physiological</w:t>
      </w:r>
      <w:r w:rsidRPr="00F82953">
        <w:rPr>
          <w:rFonts w:ascii="Arial" w:hAnsi="Arial" w:cs="Arial"/>
          <w:kern w:val="1"/>
          <w:sz w:val="22"/>
          <w:szCs w:val="22"/>
        </w:rPr>
        <w:t xml:space="preserve"> medium) was used to overcome dilution effects (82). By the early 1970s higher affinity T4 antibodies (&gt;1x10</w:t>
      </w:r>
      <w:r w:rsidRPr="00F82953">
        <w:rPr>
          <w:rFonts w:ascii="Arial" w:hAnsi="Arial" w:cs="Arial"/>
          <w:kern w:val="1"/>
          <w:sz w:val="22"/>
          <w:szCs w:val="22"/>
          <w:vertAlign w:val="superscript"/>
        </w:rPr>
        <w:t>11</w:t>
      </w:r>
      <w:r w:rsidRPr="00F82953">
        <w:rPr>
          <w:rFonts w:ascii="Arial" w:hAnsi="Arial" w:cs="Arial"/>
          <w:kern w:val="1"/>
          <w:sz w:val="22"/>
          <w:szCs w:val="22"/>
        </w:rPr>
        <w:t xml:space="preserve"> L/mol) and high specific activity T4-I</w:t>
      </w:r>
      <w:r w:rsidRPr="00F82953">
        <w:rPr>
          <w:rFonts w:ascii="Arial" w:hAnsi="Arial" w:cs="Arial"/>
          <w:kern w:val="1"/>
          <w:sz w:val="22"/>
          <w:szCs w:val="22"/>
          <w:vertAlign w:val="superscript"/>
        </w:rPr>
        <w:t>125</w:t>
      </w:r>
      <w:r w:rsidRPr="00F82953">
        <w:rPr>
          <w:rFonts w:ascii="Arial" w:hAnsi="Arial" w:cs="Arial"/>
          <w:kern w:val="1"/>
          <w:sz w:val="22"/>
          <w:szCs w:val="22"/>
        </w:rPr>
        <w:t xml:space="preserve"> tracers were used to develop sensitive RIA methods that could directly measure FT4 and FT3 in dialysates and ultrafiltrates (83,92). Subsequent improvements have involved employing more </w:t>
      </w:r>
      <w:r w:rsidR="001538EB" w:rsidRPr="00F82953">
        <w:rPr>
          <w:rFonts w:ascii="Arial" w:hAnsi="Arial" w:cs="Arial"/>
          <w:kern w:val="1"/>
          <w:sz w:val="22"/>
          <w:szCs w:val="22"/>
        </w:rPr>
        <w:t>physiological</w:t>
      </w:r>
      <w:r w:rsidRPr="00F82953">
        <w:rPr>
          <w:rFonts w:ascii="Arial" w:hAnsi="Arial" w:cs="Arial"/>
          <w:kern w:val="1"/>
          <w:sz w:val="22"/>
          <w:szCs w:val="22"/>
        </w:rPr>
        <w:t xml:space="preserve"> buffer diluents and improving the dialysis cell design (82,92). More recently, isotope-dilution liquid chromatography/tandem mass spectrometry (ID-LC-MS/MS) (93) has been used to measure FT4 in ultrafiltrates (94) and dialysates (13,32,35,36,87,95,96). </w:t>
      </w:r>
    </w:p>
    <w:p w14:paraId="63279C82" w14:textId="77777777" w:rsidR="009E1D94" w:rsidRPr="00F82953" w:rsidRDefault="009E1D94" w:rsidP="00F82953">
      <w:pPr>
        <w:autoSpaceDE w:val="0"/>
        <w:autoSpaceDN w:val="0"/>
        <w:adjustRightInd w:val="0"/>
        <w:spacing w:after="0" w:line="276" w:lineRule="auto"/>
        <w:rPr>
          <w:rFonts w:ascii="Arial" w:hAnsi="Arial" w:cs="Arial"/>
          <w:kern w:val="1"/>
          <w:sz w:val="22"/>
          <w:szCs w:val="22"/>
        </w:rPr>
      </w:pPr>
    </w:p>
    <w:p w14:paraId="46E77F8F" w14:textId="7AEC097B" w:rsidR="005C4829" w:rsidRPr="00030803" w:rsidRDefault="005C4829" w:rsidP="00F82953">
      <w:pPr>
        <w:autoSpaceDE w:val="0"/>
        <w:autoSpaceDN w:val="0"/>
        <w:adjustRightInd w:val="0"/>
        <w:spacing w:after="0" w:line="276" w:lineRule="auto"/>
        <w:rPr>
          <w:rFonts w:ascii="Arial" w:hAnsi="Arial" w:cs="Arial"/>
          <w:kern w:val="1"/>
          <w:sz w:val="22"/>
          <w:szCs w:val="22"/>
        </w:rPr>
      </w:pPr>
      <w:r w:rsidRPr="00030803">
        <w:rPr>
          <w:rFonts w:ascii="Arial" w:hAnsi="Arial" w:cs="Arial"/>
          <w:color w:val="FF0000"/>
          <w:kern w:val="1"/>
          <w:sz w:val="22"/>
          <w:szCs w:val="22"/>
        </w:rPr>
        <w:t>U</w:t>
      </w:r>
      <w:r w:rsidR="00030803" w:rsidRPr="00030803">
        <w:rPr>
          <w:rFonts w:ascii="Arial" w:hAnsi="Arial" w:cs="Arial"/>
          <w:color w:val="FF0000"/>
          <w:kern w:val="1"/>
          <w:sz w:val="22"/>
          <w:szCs w:val="22"/>
        </w:rPr>
        <w:t>LTRAFILTRATION METHODS</w:t>
      </w:r>
      <w:r w:rsidR="00030803" w:rsidRPr="00030803">
        <w:rPr>
          <w:rFonts w:ascii="Arial" w:hAnsi="Arial" w:cs="Arial"/>
          <w:kern w:val="1"/>
          <w:sz w:val="22"/>
          <w:szCs w:val="22"/>
        </w:rPr>
        <w:t xml:space="preserve"> </w:t>
      </w:r>
    </w:p>
    <w:p w14:paraId="0D32DDFE" w14:textId="77777777" w:rsidR="0056314B" w:rsidRDefault="0056314B" w:rsidP="0056314B">
      <w:pPr>
        <w:autoSpaceDE w:val="0"/>
        <w:autoSpaceDN w:val="0"/>
        <w:adjustRightInd w:val="0"/>
        <w:spacing w:after="0" w:line="276" w:lineRule="auto"/>
        <w:rPr>
          <w:rFonts w:ascii="Arial" w:hAnsi="Arial" w:cs="Arial"/>
          <w:kern w:val="1"/>
          <w:sz w:val="22"/>
          <w:szCs w:val="22"/>
        </w:rPr>
      </w:pPr>
    </w:p>
    <w:p w14:paraId="3A1569D1" w14:textId="28DFE9F5" w:rsidR="005C4829" w:rsidRPr="00F82953" w:rsidRDefault="005C4829" w:rsidP="0056314B">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Ultrafiltration has also been used to remove protein-bound T4 prior to LC-MS/MS measurement of FT4 in the ultrafiltrate (97). Direct FT4 measurements employing ultrafiltration are sometimes higher than those made by equilibrium dialysis, because ultrafiltration avoids dilution effects (98). Moreover, ultrafiltration is not influenced by dialyzable inhibitors of T4-protein binding that can be present in conditions such as non-thyroidal illness (NTI) (90). However, ultrafiltration can be prone to errors when there is a failure to completely exclude protein-bound hormone and/or adsorption of hormone onto the filters, glassware</w:t>
      </w:r>
      <w:r w:rsidR="00FA7757">
        <w:rPr>
          <w:rFonts w:ascii="Arial" w:hAnsi="Arial" w:cs="Arial"/>
          <w:kern w:val="1"/>
          <w:sz w:val="22"/>
          <w:szCs w:val="22"/>
        </w:rPr>
        <w:t>,</w:t>
      </w:r>
      <w:r w:rsidRPr="00F82953">
        <w:rPr>
          <w:rFonts w:ascii="Arial" w:hAnsi="Arial" w:cs="Arial"/>
          <w:kern w:val="1"/>
          <w:sz w:val="22"/>
          <w:szCs w:val="22"/>
        </w:rPr>
        <w:t xml:space="preserve"> and tubing (99). In addition, ultrafiltration is temperature dependent such that ultrafiltration performed at ambient temperature (25°C) will report FT4 results that are 67 percent lower than ultrafiltration performed at 37°C (97). However, FT4 concentrations measured by ID-LC-MS/MS following either ultrafiltration at 37°C or equilibrium dialysis usually correlate (100). </w:t>
      </w:r>
    </w:p>
    <w:p w14:paraId="62893AB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59F26E6" w14:textId="776B76B5" w:rsidR="005C4829" w:rsidRPr="00030803" w:rsidRDefault="005C4829" w:rsidP="00F82953">
      <w:pPr>
        <w:autoSpaceDE w:val="0"/>
        <w:autoSpaceDN w:val="0"/>
        <w:adjustRightInd w:val="0"/>
        <w:spacing w:after="0" w:line="276" w:lineRule="auto"/>
        <w:rPr>
          <w:rFonts w:ascii="Arial" w:hAnsi="Arial" w:cs="Arial"/>
          <w:color w:val="FF0000"/>
          <w:kern w:val="1"/>
          <w:sz w:val="22"/>
          <w:szCs w:val="22"/>
        </w:rPr>
      </w:pPr>
      <w:r w:rsidRPr="00030803">
        <w:rPr>
          <w:rFonts w:ascii="Arial" w:hAnsi="Arial" w:cs="Arial"/>
          <w:color w:val="FF0000"/>
          <w:kern w:val="1"/>
          <w:sz w:val="22"/>
          <w:szCs w:val="22"/>
        </w:rPr>
        <w:t>G</w:t>
      </w:r>
      <w:r w:rsidR="00030803" w:rsidRPr="00030803">
        <w:rPr>
          <w:rFonts w:ascii="Arial" w:hAnsi="Arial" w:cs="Arial"/>
          <w:color w:val="FF0000"/>
          <w:kern w:val="1"/>
          <w:sz w:val="22"/>
          <w:szCs w:val="22"/>
        </w:rPr>
        <w:t xml:space="preserve">EL ABSORPTION METHODS </w:t>
      </w:r>
      <w:r w:rsidRPr="00030803">
        <w:rPr>
          <w:rFonts w:ascii="Arial" w:hAnsi="Arial" w:cs="Arial"/>
          <w:color w:val="FF0000"/>
          <w:kern w:val="1"/>
          <w:sz w:val="22"/>
          <w:szCs w:val="22"/>
        </w:rPr>
        <w:t xml:space="preserve"> </w:t>
      </w:r>
    </w:p>
    <w:p w14:paraId="1E9800B0" w14:textId="77777777" w:rsidR="00030803" w:rsidRDefault="00030803" w:rsidP="00030803">
      <w:pPr>
        <w:autoSpaceDE w:val="0"/>
        <w:autoSpaceDN w:val="0"/>
        <w:adjustRightInd w:val="0"/>
        <w:spacing w:after="0" w:line="276" w:lineRule="auto"/>
        <w:rPr>
          <w:rFonts w:ascii="Arial" w:hAnsi="Arial" w:cs="Arial"/>
          <w:kern w:val="1"/>
          <w:sz w:val="22"/>
          <w:szCs w:val="22"/>
        </w:rPr>
      </w:pPr>
    </w:p>
    <w:p w14:paraId="05A40EEA" w14:textId="4C34BF34" w:rsidR="005C4829" w:rsidRPr="00F82953" w:rsidRDefault="005C4829" w:rsidP="0003080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Some early direct FT4 methods used Sephadex LH-20 columns to separate free from bound hormone before eluting the free T4 from the column for measurement by a sensitive RIA. However, because of a variety of technical issues, assays based on this methodologic approach are not currently used (62). </w:t>
      </w:r>
    </w:p>
    <w:p w14:paraId="731C952F" w14:textId="77777777" w:rsidR="00802213" w:rsidRPr="00F82953" w:rsidRDefault="00802213" w:rsidP="00F82953">
      <w:pPr>
        <w:autoSpaceDE w:val="0"/>
        <w:autoSpaceDN w:val="0"/>
        <w:adjustRightInd w:val="0"/>
        <w:spacing w:after="0" w:line="276" w:lineRule="auto"/>
        <w:ind w:firstLine="720"/>
        <w:rPr>
          <w:rFonts w:ascii="Arial" w:hAnsi="Arial" w:cs="Arial"/>
          <w:kern w:val="1"/>
          <w:sz w:val="22"/>
          <w:szCs w:val="22"/>
        </w:rPr>
      </w:pPr>
    </w:p>
    <w:p w14:paraId="4ABC2C97" w14:textId="78B77E74" w:rsidR="00802213" w:rsidRPr="00030803" w:rsidRDefault="00802213" w:rsidP="00F82953">
      <w:pPr>
        <w:autoSpaceDE w:val="0"/>
        <w:autoSpaceDN w:val="0"/>
        <w:adjustRightInd w:val="0"/>
        <w:spacing w:after="0" w:line="276" w:lineRule="auto"/>
        <w:rPr>
          <w:rFonts w:ascii="Arial" w:hAnsi="Arial" w:cs="Arial"/>
          <w:color w:val="00B050"/>
          <w:kern w:val="1"/>
          <w:sz w:val="22"/>
          <w:szCs w:val="22"/>
        </w:rPr>
      </w:pPr>
      <w:r w:rsidRPr="00030803">
        <w:rPr>
          <w:rFonts w:ascii="Arial" w:hAnsi="Arial" w:cs="Arial"/>
          <w:b/>
          <w:bCs/>
          <w:color w:val="00B050"/>
          <w:kern w:val="1"/>
          <w:sz w:val="22"/>
          <w:szCs w:val="22"/>
        </w:rPr>
        <w:t>Indirect Free T4 and Free T3 Estimate Tests</w:t>
      </w:r>
    </w:p>
    <w:p w14:paraId="3007714D" w14:textId="77777777" w:rsidR="00802213" w:rsidRPr="00F82953" w:rsidRDefault="00802213" w:rsidP="00F82953">
      <w:pPr>
        <w:autoSpaceDE w:val="0"/>
        <w:autoSpaceDN w:val="0"/>
        <w:adjustRightInd w:val="0"/>
        <w:spacing w:after="0" w:line="276" w:lineRule="auto"/>
        <w:rPr>
          <w:rFonts w:ascii="Arial" w:hAnsi="Arial" w:cs="Arial"/>
          <w:b/>
          <w:bCs/>
          <w:kern w:val="1"/>
          <w:sz w:val="22"/>
          <w:szCs w:val="22"/>
        </w:rPr>
      </w:pPr>
    </w:p>
    <w:p w14:paraId="0D09C44B" w14:textId="44F2BB60" w:rsidR="00802213" w:rsidRPr="00F82953" w:rsidRDefault="00802213"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first free hormone estimate tests were free hormone “indexes” (FT4I and FT3I) – a correction of the total hormone concentration for the influence of binding proteins assessed either using a direct TBG measurement or a binding-protein estimate (uptake) test (101,102). Current free hormone estimate tests are typically automated immunoassays that employ an antibody to sequester a small amount of the total hormone that is purportedly proportional to the free hormone concentration (13,15). Both index tests (FT4I and FT3I) and FT4 and FT3 immunoassays are typically protein-dependent to some extent and may under- or overestimate free hormone when binding proteins are grossly abnormal (80,103-105). As with TT4 methods, current FT4 immunoassays have significant between-method variability and biases (relative to </w:t>
      </w:r>
      <w:r w:rsidRPr="00F82953">
        <w:rPr>
          <w:rFonts w:ascii="Arial" w:hAnsi="Arial" w:cs="Arial"/>
          <w:kern w:val="1"/>
          <w:sz w:val="22"/>
          <w:szCs w:val="22"/>
        </w:rPr>
        <w:lastRenderedPageBreak/>
        <w:t xml:space="preserve">the RMP) that far exceed the biological FT4 variation </w:t>
      </w:r>
      <w:r w:rsidRPr="00F82953">
        <w:rPr>
          <w:rFonts w:ascii="Arial" w:hAnsi="Arial" w:cs="Arial"/>
          <w:color w:val="000000" w:themeColor="text1"/>
          <w:kern w:val="1"/>
          <w:sz w:val="22"/>
          <w:szCs w:val="22"/>
        </w:rPr>
        <w:t xml:space="preserve">(Figure </w:t>
      </w:r>
      <w:r w:rsidR="00255C4B">
        <w:rPr>
          <w:rFonts w:ascii="Arial" w:hAnsi="Arial" w:cs="Arial"/>
          <w:color w:val="000000" w:themeColor="text1"/>
          <w:kern w:val="1"/>
          <w:sz w:val="22"/>
          <w:szCs w:val="22"/>
        </w:rPr>
        <w:t>4</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(13,28,69). Recalibrating methods against the RMP has been shown to significantly reduce biases (32). It is hoped that manufacturers will continue to work to eliminate between-method biases and establish reference intervals that would apply to all methods (106).</w:t>
      </w:r>
    </w:p>
    <w:p w14:paraId="01DCD3D2"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29862BC" w14:textId="43F857BD" w:rsidR="00EA4BFC" w:rsidRPr="00F82953" w:rsidRDefault="00946268" w:rsidP="00946268">
      <w:pPr>
        <w:autoSpaceDE w:val="0"/>
        <w:autoSpaceDN w:val="0"/>
        <w:adjustRightInd w:val="0"/>
        <w:spacing w:after="0" w:line="276" w:lineRule="auto"/>
        <w:rPr>
          <w:rFonts w:ascii="Arial" w:hAnsi="Arial" w:cs="Arial"/>
          <w:kern w:val="1"/>
          <w:sz w:val="22"/>
          <w:szCs w:val="22"/>
        </w:rPr>
      </w:pPr>
      <w:r>
        <w:rPr>
          <w:rFonts w:ascii="Arial" w:hAnsi="Arial" w:cs="Arial"/>
          <w:noProof/>
          <w:kern w:val="1"/>
          <w:sz w:val="22"/>
          <w:szCs w:val="22"/>
        </w:rPr>
        <w:drawing>
          <wp:inline distT="0" distB="0" distL="0" distR="0" wp14:anchorId="294AC39B" wp14:editId="11EFD2FE">
            <wp:extent cx="5458587" cy="3000794"/>
            <wp:effectExtent l="0" t="0" r="8890" b="9525"/>
            <wp:docPr id="194781044"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1044" name="Picture 194781044"/>
                    <pic:cNvPicPr/>
                  </pic:nvPicPr>
                  <pic:blipFill>
                    <a:blip r:embed="rId8">
                      <a:extLst>
                        <a:ext uri="{28A0092B-C50C-407E-A947-70E740481C1C}">
                          <a14:useLocalDpi xmlns:a14="http://schemas.microsoft.com/office/drawing/2010/main" val="0"/>
                        </a:ext>
                      </a:extLst>
                    </a:blip>
                    <a:stretch>
                      <a:fillRect/>
                    </a:stretch>
                  </pic:blipFill>
                  <pic:spPr>
                    <a:xfrm>
                      <a:off x="0" y="0"/>
                      <a:ext cx="5458587" cy="3000794"/>
                    </a:xfrm>
                    <a:prstGeom prst="rect">
                      <a:avLst/>
                    </a:prstGeom>
                  </pic:spPr>
                </pic:pic>
              </a:graphicData>
            </a:graphic>
          </wp:inline>
        </w:drawing>
      </w:r>
    </w:p>
    <w:p w14:paraId="4E7590DF" w14:textId="5BB85038" w:rsidR="005A782F" w:rsidRPr="0090446B" w:rsidRDefault="00030803" w:rsidP="0090446B">
      <w:pPr>
        <w:autoSpaceDE w:val="0"/>
        <w:autoSpaceDN w:val="0"/>
        <w:adjustRightInd w:val="0"/>
        <w:spacing w:after="0" w:line="276" w:lineRule="auto"/>
        <w:rPr>
          <w:rFonts w:ascii="Arial" w:hAnsi="Arial" w:cs="Arial"/>
          <w:b/>
          <w:bCs/>
          <w:kern w:val="1"/>
          <w:sz w:val="22"/>
          <w:szCs w:val="22"/>
        </w:rPr>
      </w:pPr>
      <w:r w:rsidRPr="0090446B">
        <w:rPr>
          <w:rFonts w:ascii="Arial" w:hAnsi="Arial" w:cs="Arial"/>
          <w:b/>
          <w:bCs/>
          <w:color w:val="000000" w:themeColor="text1"/>
          <w:kern w:val="1"/>
          <w:sz w:val="22"/>
          <w:szCs w:val="22"/>
        </w:rPr>
        <w:t xml:space="preserve">Figure </w:t>
      </w:r>
      <w:r w:rsidR="006B06D6" w:rsidRPr="0090446B">
        <w:rPr>
          <w:rFonts w:ascii="Arial" w:hAnsi="Arial" w:cs="Arial"/>
          <w:b/>
          <w:bCs/>
          <w:color w:val="000000" w:themeColor="text1"/>
          <w:kern w:val="1"/>
          <w:sz w:val="22"/>
          <w:szCs w:val="22"/>
        </w:rPr>
        <w:t>4</w:t>
      </w:r>
      <w:r w:rsidRPr="0090446B">
        <w:rPr>
          <w:rFonts w:ascii="Arial" w:hAnsi="Arial" w:cs="Arial"/>
          <w:b/>
          <w:bCs/>
          <w:color w:val="000000" w:themeColor="text1"/>
          <w:kern w:val="1"/>
          <w:sz w:val="22"/>
          <w:szCs w:val="22"/>
        </w:rPr>
        <w:t>. FT4 Between-Method Variability in FT4 Immunoassays</w:t>
      </w:r>
      <w:r w:rsidR="006B06D6" w:rsidRPr="0090446B">
        <w:rPr>
          <w:rFonts w:ascii="Arial" w:hAnsi="Arial" w:cs="Arial"/>
          <w:b/>
          <w:bCs/>
          <w:color w:val="000000" w:themeColor="text1"/>
          <w:kern w:val="1"/>
          <w:sz w:val="22"/>
          <w:szCs w:val="22"/>
        </w:rPr>
        <w:t xml:space="preserve">. </w:t>
      </w:r>
      <w:r w:rsidR="0090446B" w:rsidRPr="0090446B">
        <w:rPr>
          <w:rFonts w:ascii="Arial" w:hAnsi="Arial" w:cs="Arial"/>
          <w:b/>
          <w:bCs/>
          <w:color w:val="000000" w:themeColor="text1"/>
          <w:kern w:val="1"/>
          <w:sz w:val="22"/>
          <w:szCs w:val="22"/>
        </w:rPr>
        <w:t>This figure</w:t>
      </w:r>
      <w:r w:rsidR="00EA4BFC" w:rsidRPr="0090446B">
        <w:rPr>
          <w:rFonts w:ascii="Arial" w:hAnsi="Arial" w:cs="Arial"/>
          <w:b/>
          <w:bCs/>
          <w:kern w:val="1"/>
          <w:sz w:val="22"/>
          <w:szCs w:val="22"/>
        </w:rPr>
        <w:t xml:space="preserve"> </w:t>
      </w:r>
      <w:r w:rsidR="00255C4B">
        <w:rPr>
          <w:rFonts w:ascii="Arial" w:hAnsi="Arial" w:cs="Arial"/>
          <w:b/>
          <w:bCs/>
          <w:kern w:val="1"/>
          <w:sz w:val="22"/>
          <w:szCs w:val="22"/>
        </w:rPr>
        <w:t>s</w:t>
      </w:r>
      <w:r w:rsidR="00EA4BFC" w:rsidRPr="0090446B">
        <w:rPr>
          <w:rFonts w:ascii="Arial" w:hAnsi="Arial" w:cs="Arial"/>
          <w:b/>
          <w:bCs/>
          <w:kern w:val="1"/>
          <w:sz w:val="22"/>
          <w:szCs w:val="22"/>
        </w:rPr>
        <w:t>hows deviations</w:t>
      </w:r>
      <w:r w:rsidR="00EA4BFC" w:rsidRPr="0090446B">
        <w:rPr>
          <w:rFonts w:ascii="Arial" w:hAnsi="Arial" w:cs="Arial"/>
          <w:b/>
          <w:bCs/>
          <w:spacing w:val="-4"/>
          <w:kern w:val="1"/>
          <w:sz w:val="22"/>
          <w:szCs w:val="22"/>
        </w:rPr>
        <w:t xml:space="preserve"> </w:t>
      </w:r>
      <w:r w:rsidR="00EA4BFC" w:rsidRPr="0090446B">
        <w:rPr>
          <w:rFonts w:ascii="Arial" w:hAnsi="Arial" w:cs="Arial"/>
          <w:b/>
          <w:bCs/>
          <w:kern w:val="1"/>
          <w:sz w:val="22"/>
          <w:szCs w:val="22"/>
        </w:rPr>
        <w:t>in</w:t>
      </w:r>
      <w:r w:rsidR="00EA4BFC" w:rsidRPr="0090446B">
        <w:rPr>
          <w:rFonts w:ascii="Arial" w:hAnsi="Arial" w:cs="Arial"/>
          <w:b/>
          <w:bCs/>
          <w:spacing w:val="-2"/>
          <w:kern w:val="1"/>
          <w:sz w:val="22"/>
          <w:szCs w:val="22"/>
        </w:rPr>
        <w:t xml:space="preserve"> FT4 measurements made by 13 </w:t>
      </w:r>
      <w:r w:rsidR="00EA4BFC" w:rsidRPr="0090446B">
        <w:rPr>
          <w:rFonts w:ascii="Arial" w:hAnsi="Arial" w:cs="Arial"/>
          <w:b/>
          <w:bCs/>
          <w:kern w:val="1"/>
          <w:sz w:val="22"/>
          <w:szCs w:val="22"/>
        </w:rPr>
        <w:t>different</w:t>
      </w:r>
      <w:r w:rsidR="00EA4BFC" w:rsidRPr="0090446B">
        <w:rPr>
          <w:rFonts w:ascii="Arial" w:hAnsi="Arial" w:cs="Arial"/>
          <w:b/>
          <w:bCs/>
          <w:spacing w:val="-3"/>
          <w:kern w:val="1"/>
          <w:sz w:val="22"/>
          <w:szCs w:val="22"/>
        </w:rPr>
        <w:t xml:space="preserve"> </w:t>
      </w:r>
      <w:r w:rsidR="00EA4BFC" w:rsidRPr="0090446B">
        <w:rPr>
          <w:rFonts w:ascii="Arial" w:hAnsi="Arial" w:cs="Arial"/>
          <w:b/>
          <w:bCs/>
          <w:spacing w:val="-4"/>
          <w:kern w:val="1"/>
          <w:sz w:val="22"/>
          <w:szCs w:val="22"/>
        </w:rPr>
        <w:t>immunoassays relative to the reference measurement procedure (RMP = ED-ID-LC-MS/MS) (89).</w:t>
      </w:r>
    </w:p>
    <w:p w14:paraId="56710390"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AF18D9F" w14:textId="3A3B3C24" w:rsidR="001917CC" w:rsidRPr="00905136" w:rsidRDefault="005C4829" w:rsidP="001917CC">
      <w:pPr>
        <w:pStyle w:val="ListParagraph"/>
        <w:autoSpaceDE w:val="0"/>
        <w:autoSpaceDN w:val="0"/>
        <w:adjustRightInd w:val="0"/>
        <w:spacing w:after="0" w:line="276" w:lineRule="auto"/>
        <w:ind w:left="0"/>
        <w:rPr>
          <w:rFonts w:ascii="Arial" w:hAnsi="Arial" w:cs="Arial"/>
          <w:color w:val="FF0000"/>
          <w:kern w:val="1"/>
          <w:sz w:val="22"/>
          <w:szCs w:val="22"/>
        </w:rPr>
      </w:pPr>
      <w:r w:rsidRPr="00905136">
        <w:rPr>
          <w:rFonts w:ascii="Arial" w:hAnsi="Arial" w:cs="Arial"/>
          <w:color w:val="FF0000"/>
          <w:kern w:val="1"/>
          <w:sz w:val="22"/>
          <w:szCs w:val="22"/>
        </w:rPr>
        <w:t>T</w:t>
      </w:r>
      <w:r w:rsidR="001917CC" w:rsidRPr="00905136">
        <w:rPr>
          <w:rFonts w:ascii="Arial" w:hAnsi="Arial" w:cs="Arial"/>
          <w:color w:val="FF0000"/>
          <w:kern w:val="1"/>
          <w:sz w:val="22"/>
          <w:szCs w:val="22"/>
        </w:rPr>
        <w:t xml:space="preserve">WO </w:t>
      </w:r>
      <w:r w:rsidR="004674F1" w:rsidRPr="00905136">
        <w:rPr>
          <w:rFonts w:ascii="Arial" w:hAnsi="Arial" w:cs="Arial"/>
          <w:color w:val="FF0000"/>
          <w:kern w:val="1"/>
          <w:sz w:val="22"/>
          <w:szCs w:val="22"/>
        </w:rPr>
        <w:t xml:space="preserve">TEST INDEX METHODS </w:t>
      </w:r>
      <w:r w:rsidRPr="00905136">
        <w:rPr>
          <w:rFonts w:ascii="Arial" w:hAnsi="Arial" w:cs="Arial"/>
          <w:color w:val="FF0000"/>
          <w:kern w:val="1"/>
          <w:sz w:val="22"/>
          <w:szCs w:val="22"/>
        </w:rPr>
        <w:t xml:space="preserve">(FT4I </w:t>
      </w:r>
      <w:r w:rsidR="004674F1" w:rsidRPr="00905136">
        <w:rPr>
          <w:rFonts w:ascii="Arial" w:hAnsi="Arial" w:cs="Arial"/>
          <w:color w:val="FF0000"/>
          <w:kern w:val="1"/>
          <w:sz w:val="22"/>
          <w:szCs w:val="22"/>
        </w:rPr>
        <w:t>AND</w:t>
      </w:r>
      <w:r w:rsidRPr="00905136">
        <w:rPr>
          <w:rFonts w:ascii="Arial" w:hAnsi="Arial" w:cs="Arial"/>
          <w:color w:val="FF0000"/>
          <w:kern w:val="1"/>
          <w:sz w:val="22"/>
          <w:szCs w:val="22"/>
        </w:rPr>
        <w:t xml:space="preserve"> FT3I)</w:t>
      </w:r>
    </w:p>
    <w:p w14:paraId="0DEA482D" w14:textId="77777777" w:rsidR="001917CC" w:rsidRDefault="001917CC" w:rsidP="001917CC">
      <w:pPr>
        <w:pStyle w:val="ListParagraph"/>
        <w:autoSpaceDE w:val="0"/>
        <w:autoSpaceDN w:val="0"/>
        <w:adjustRightInd w:val="0"/>
        <w:spacing w:after="0" w:line="276" w:lineRule="auto"/>
        <w:ind w:left="0"/>
        <w:rPr>
          <w:rFonts w:ascii="Arial" w:hAnsi="Arial" w:cs="Arial"/>
          <w:b/>
          <w:bCs/>
          <w:kern w:val="1"/>
          <w:sz w:val="22"/>
          <w:szCs w:val="22"/>
        </w:rPr>
      </w:pPr>
    </w:p>
    <w:p w14:paraId="45BB24AE" w14:textId="031D1639" w:rsidR="005C4829" w:rsidRPr="0090446B" w:rsidRDefault="005C4829" w:rsidP="001917CC">
      <w:pPr>
        <w:pStyle w:val="ListParagraph"/>
        <w:autoSpaceDE w:val="0"/>
        <w:autoSpaceDN w:val="0"/>
        <w:adjustRightInd w:val="0"/>
        <w:spacing w:after="0" w:line="276" w:lineRule="auto"/>
        <w:ind w:left="0"/>
        <w:rPr>
          <w:rFonts w:ascii="Arial" w:hAnsi="Arial" w:cs="Arial"/>
          <w:b/>
          <w:bCs/>
          <w:kern w:val="1"/>
          <w:sz w:val="22"/>
          <w:szCs w:val="22"/>
        </w:rPr>
      </w:pPr>
      <w:r w:rsidRPr="0090446B">
        <w:rPr>
          <w:rFonts w:ascii="Arial" w:hAnsi="Arial" w:cs="Arial"/>
          <w:kern w:val="1"/>
          <w:sz w:val="22"/>
          <w:szCs w:val="22"/>
        </w:rPr>
        <w:t xml:space="preserve">Free hormone indices (FT4I and FT3I) are unitless mathematical calculations made by correcting the total hormone test result for the influence of binding proteins, primarily TBG (107). These indexes that have been used for more than 50 years require two separate tests to estimate free hormone (80). The first test involves the measurement of total hormone (TT4 or TT3) whereas the second test assesses the binding protein concentration by either a direct TBG immunoassay (103), a Thyroid Hormone Binding Ratio (THBR) or “Uptake” test (102), or an isotopic determination of the free hormone fraction (80,108). </w:t>
      </w:r>
    </w:p>
    <w:p w14:paraId="377AFC5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42F098C" w14:textId="3C3A696C" w:rsidR="005C4829" w:rsidRPr="009141F0" w:rsidRDefault="005C4829" w:rsidP="00F75BA9">
      <w:pPr>
        <w:autoSpaceDE w:val="0"/>
        <w:autoSpaceDN w:val="0"/>
        <w:adjustRightInd w:val="0"/>
        <w:spacing w:after="0" w:line="276" w:lineRule="auto"/>
        <w:rPr>
          <w:rFonts w:ascii="Arial" w:hAnsi="Arial" w:cs="Arial"/>
          <w:i/>
          <w:iCs/>
          <w:color w:val="FFC000"/>
          <w:kern w:val="1"/>
          <w:sz w:val="22"/>
          <w:szCs w:val="22"/>
        </w:rPr>
      </w:pPr>
      <w:r w:rsidRPr="009141F0">
        <w:rPr>
          <w:rFonts w:ascii="Arial" w:hAnsi="Arial" w:cs="Arial"/>
          <w:i/>
          <w:iCs/>
          <w:color w:val="FFC000"/>
          <w:kern w:val="1"/>
          <w:sz w:val="22"/>
          <w:szCs w:val="22"/>
        </w:rPr>
        <w:t>TBG Immunoassays</w:t>
      </w:r>
    </w:p>
    <w:p w14:paraId="14E05F82" w14:textId="77777777" w:rsidR="009141F0" w:rsidRDefault="009141F0" w:rsidP="00F82953">
      <w:pPr>
        <w:autoSpaceDE w:val="0"/>
        <w:autoSpaceDN w:val="0"/>
        <w:adjustRightInd w:val="0"/>
        <w:spacing w:after="0" w:line="276" w:lineRule="auto"/>
        <w:rPr>
          <w:rFonts w:ascii="Arial" w:hAnsi="Arial" w:cs="Arial"/>
          <w:kern w:val="1"/>
          <w:sz w:val="22"/>
          <w:szCs w:val="22"/>
        </w:rPr>
      </w:pPr>
    </w:p>
    <w:p w14:paraId="1B8DE9F9" w14:textId="45A25EBB"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Data has been conflicting concerning whether indexes that employ THBR in preference to a direct TBG are diagnostically superior (109). Free hormone indexes calculated using TBG measurement (TT4/TBG) may offer improved diagnostic accuracy over THBR when the total hormone concentration is abnormally high (i.e. hyperthyroidism), or when drug therapies interfere with THBR tests (110). Regardless, the TT4/TBG index is not totally independent of the TBG concentration, nor does it correct for </w:t>
      </w:r>
      <w:r w:rsidRPr="00F82953">
        <w:rPr>
          <w:rFonts w:ascii="Arial" w:hAnsi="Arial" w:cs="Arial"/>
          <w:b/>
          <w:bCs/>
          <w:kern w:val="1"/>
          <w:sz w:val="22"/>
          <w:szCs w:val="22"/>
        </w:rPr>
        <w:t>a</w:t>
      </w:r>
      <w:r w:rsidRPr="00F82953">
        <w:rPr>
          <w:rFonts w:ascii="Arial" w:hAnsi="Arial" w:cs="Arial"/>
          <w:kern w:val="1"/>
          <w:sz w:val="22"/>
          <w:szCs w:val="22"/>
        </w:rPr>
        <w:t xml:space="preserve">lbumin or </w:t>
      </w:r>
      <w:r w:rsidRPr="00F82953">
        <w:rPr>
          <w:rFonts w:ascii="Arial" w:hAnsi="Arial" w:cs="Arial"/>
          <w:b/>
          <w:bCs/>
          <w:kern w:val="1"/>
          <w:sz w:val="22"/>
          <w:szCs w:val="22"/>
        </w:rPr>
        <w:t>t</w:t>
      </w:r>
      <w:r w:rsidRPr="00F82953">
        <w:rPr>
          <w:rFonts w:ascii="Arial" w:hAnsi="Arial" w:cs="Arial"/>
          <w:kern w:val="1"/>
          <w:sz w:val="22"/>
          <w:szCs w:val="22"/>
        </w:rPr>
        <w:t>ransthyretin binding protein abnormalities (</w:t>
      </w:r>
      <w:r w:rsidR="00B506D9">
        <w:rPr>
          <w:rFonts w:ascii="Arial" w:hAnsi="Arial" w:cs="Arial"/>
          <w:kern w:val="1"/>
          <w:sz w:val="22"/>
          <w:szCs w:val="22"/>
        </w:rPr>
        <w:t>figure 2</w:t>
      </w:r>
      <w:r w:rsidRPr="00F82953">
        <w:rPr>
          <w:rFonts w:ascii="Arial" w:hAnsi="Arial" w:cs="Arial"/>
          <w:kern w:val="1"/>
          <w:sz w:val="22"/>
          <w:szCs w:val="22"/>
        </w:rPr>
        <w:t xml:space="preserve">) (104). </w:t>
      </w:r>
    </w:p>
    <w:p w14:paraId="2E55AC1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7B76511" w14:textId="3D4BF823" w:rsidR="005C4829" w:rsidRPr="009141F0" w:rsidRDefault="005C4829" w:rsidP="009141F0">
      <w:pPr>
        <w:autoSpaceDE w:val="0"/>
        <w:autoSpaceDN w:val="0"/>
        <w:adjustRightInd w:val="0"/>
        <w:spacing w:after="0" w:line="276" w:lineRule="auto"/>
        <w:rPr>
          <w:rFonts w:ascii="Arial" w:hAnsi="Arial" w:cs="Arial"/>
          <w:i/>
          <w:iCs/>
          <w:color w:val="FFC000"/>
          <w:kern w:val="1"/>
          <w:sz w:val="22"/>
          <w:szCs w:val="22"/>
        </w:rPr>
      </w:pPr>
      <w:r w:rsidRPr="009141F0">
        <w:rPr>
          <w:rFonts w:ascii="Arial" w:hAnsi="Arial" w:cs="Arial"/>
          <w:i/>
          <w:iCs/>
          <w:color w:val="FFC000"/>
          <w:kern w:val="1"/>
          <w:sz w:val="22"/>
          <w:szCs w:val="22"/>
        </w:rPr>
        <w:t>Thyroid Hormone Binding Ratio (THBR) / "Uptake" Tests</w:t>
      </w:r>
    </w:p>
    <w:p w14:paraId="0DF3D6E3" w14:textId="77777777" w:rsidR="001A3ED9" w:rsidRDefault="001A3ED9" w:rsidP="00F82953">
      <w:pPr>
        <w:autoSpaceDE w:val="0"/>
        <w:autoSpaceDN w:val="0"/>
        <w:adjustRightInd w:val="0"/>
        <w:spacing w:after="0" w:line="276" w:lineRule="auto"/>
        <w:rPr>
          <w:rFonts w:ascii="Arial" w:hAnsi="Arial" w:cs="Arial"/>
          <w:kern w:val="1"/>
          <w:sz w:val="22"/>
          <w:szCs w:val="22"/>
        </w:rPr>
      </w:pPr>
    </w:p>
    <w:p w14:paraId="41AD02EF" w14:textId="0B84858E"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The first "T3 uptake" tests developed in the 1950s employed the partitioning of T3-I</w:t>
      </w:r>
      <w:r w:rsidRPr="00F82953">
        <w:rPr>
          <w:rFonts w:ascii="Arial" w:hAnsi="Arial" w:cs="Arial"/>
          <w:kern w:val="1"/>
          <w:sz w:val="22"/>
          <w:szCs w:val="22"/>
          <w:vertAlign w:val="superscript"/>
        </w:rPr>
        <w:t>131</w:t>
      </w:r>
      <w:r w:rsidRPr="00F82953">
        <w:rPr>
          <w:rFonts w:ascii="Arial" w:hAnsi="Arial" w:cs="Arial"/>
          <w:kern w:val="1"/>
          <w:sz w:val="22"/>
          <w:szCs w:val="22"/>
        </w:rPr>
        <w:t xml:space="preserve"> tracer between the plasma proteins in the specimen and an inert scavenger (red cell membranes, talc, charcoal, ion-exchange resin</w:t>
      </w:r>
      <w:r w:rsidR="00CB0561">
        <w:rPr>
          <w:rFonts w:ascii="Arial" w:hAnsi="Arial" w:cs="Arial"/>
          <w:kern w:val="1"/>
          <w:sz w:val="22"/>
          <w:szCs w:val="22"/>
        </w:rPr>
        <w:t>,</w:t>
      </w:r>
      <w:r w:rsidRPr="00F82953">
        <w:rPr>
          <w:rFonts w:ascii="Arial" w:hAnsi="Arial" w:cs="Arial"/>
          <w:kern w:val="1"/>
          <w:sz w:val="22"/>
          <w:szCs w:val="22"/>
        </w:rPr>
        <w:t xml:space="preserve"> or antibody) (111-113). The "uptake" of T3 tracer onto the scavenger provided an indirect, reciprocal estimate of the TBG concentration in the specimen. Initially, T3 uptake tests were reported as percent uptakes (free/total tracer). Sera with normal TBG concentrations typically had approximately 30 percent of the T3 tracer taken up by the scavenger. During the 1970s methods were refined by replacing I</w:t>
      </w:r>
      <w:r w:rsidRPr="00F82953">
        <w:rPr>
          <w:rFonts w:ascii="Arial" w:hAnsi="Arial" w:cs="Arial"/>
          <w:kern w:val="1"/>
          <w:sz w:val="22"/>
          <w:szCs w:val="22"/>
          <w:vertAlign w:val="superscript"/>
        </w:rPr>
        <w:t>131</w:t>
      </w:r>
      <w:r w:rsidRPr="00F82953">
        <w:rPr>
          <w:rFonts w:ascii="Arial" w:hAnsi="Arial" w:cs="Arial"/>
          <w:kern w:val="1"/>
          <w:sz w:val="22"/>
          <w:szCs w:val="22"/>
        </w:rPr>
        <w:t>-T3 tracers by I</w:t>
      </w:r>
      <w:r w:rsidRPr="00F82953">
        <w:rPr>
          <w:rFonts w:ascii="Arial" w:hAnsi="Arial" w:cs="Arial"/>
          <w:kern w:val="1"/>
          <w:sz w:val="22"/>
          <w:szCs w:val="22"/>
          <w:vertAlign w:val="superscript"/>
        </w:rPr>
        <w:t>125</w:t>
      </w:r>
      <w:r w:rsidRPr="00F82953">
        <w:rPr>
          <w:rFonts w:ascii="Arial" w:hAnsi="Arial" w:cs="Arial"/>
          <w:kern w:val="1"/>
          <w:sz w:val="22"/>
          <w:szCs w:val="22"/>
        </w:rPr>
        <w:t xml:space="preserve">-T3 with a calculation of the hormone uptake based on the ratio of isotopic counts between the absorbent, and total minus absorbent counts. Results were expressed as a ratio with normal sera having an assigned value of 1.00 (108). Historically, the use of T3 as opposed to T4 tracer was made for practical reasons relating to the ten-fold lower affinity of TBG for T3 versus T4, facilitating a higher percentage of T3 tracer binding to the scavenger, thereby allowing shorter isotopic counting times.  Because current methods use non-isotopic proprietary T4 or T3 "analogs", counting time is no longer an issue and current tests may use a "T4 uptake" approach - which may be more appropriate for correcting for T4-binding protein effects. Differences between T3 and T4 "uptakes" have not been extensively studied (114). Although all THBR tests are to some degree TBG dependent, the calculated FT4I and FT3I usually provides an adequate correction for mild TBG abnormalities (i.e. pregnancy and estrogen therapy) (73,102,103,115) but may fail to correct for grossly abnormal binding proteins (26) seen in euthyroid patients with congenital TBG extremes (103,104,116), familial </w:t>
      </w:r>
      <w:proofErr w:type="spellStart"/>
      <w:r w:rsidRPr="00F82953">
        <w:rPr>
          <w:rFonts w:ascii="Arial" w:hAnsi="Arial" w:cs="Arial"/>
          <w:kern w:val="1"/>
          <w:sz w:val="22"/>
          <w:szCs w:val="22"/>
        </w:rPr>
        <w:t>dysalbuminemias</w:t>
      </w:r>
      <w:proofErr w:type="spellEnd"/>
      <w:r w:rsidRPr="00F82953">
        <w:rPr>
          <w:rFonts w:ascii="Arial" w:hAnsi="Arial" w:cs="Arial"/>
          <w:kern w:val="1"/>
          <w:sz w:val="22"/>
          <w:szCs w:val="22"/>
        </w:rPr>
        <w:t xml:space="preserve"> (62,105,117-119), thyroid hormone autoantibodies (120-122)</w:t>
      </w:r>
      <w:r w:rsidR="007C5FE4">
        <w:rPr>
          <w:rFonts w:ascii="Arial" w:hAnsi="Arial" w:cs="Arial"/>
          <w:kern w:val="1"/>
          <w:sz w:val="22"/>
          <w:szCs w:val="22"/>
        </w:rPr>
        <w:t>,</w:t>
      </w:r>
      <w:r w:rsidRPr="00F82953">
        <w:rPr>
          <w:rFonts w:ascii="Arial" w:hAnsi="Arial" w:cs="Arial"/>
          <w:kern w:val="1"/>
          <w:sz w:val="22"/>
          <w:szCs w:val="22"/>
        </w:rPr>
        <w:t xml:space="preserve"> or medications that directly or indirectly influence thyroid hormone binding to plasma proteins (13,62,104,123).</w:t>
      </w:r>
    </w:p>
    <w:p w14:paraId="255668C9"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7EFEB850" w14:textId="42F77E33" w:rsidR="005C4829" w:rsidRPr="001A3ED9" w:rsidRDefault="005C4829" w:rsidP="001A3ED9">
      <w:pPr>
        <w:autoSpaceDE w:val="0"/>
        <w:autoSpaceDN w:val="0"/>
        <w:adjustRightInd w:val="0"/>
        <w:spacing w:after="0" w:line="276" w:lineRule="auto"/>
        <w:rPr>
          <w:rFonts w:ascii="Arial" w:hAnsi="Arial" w:cs="Arial"/>
          <w:i/>
          <w:iCs/>
          <w:kern w:val="1"/>
          <w:sz w:val="22"/>
          <w:szCs w:val="22"/>
        </w:rPr>
      </w:pPr>
      <w:r w:rsidRPr="001A3ED9">
        <w:rPr>
          <w:rFonts w:ascii="Arial" w:hAnsi="Arial" w:cs="Arial"/>
          <w:i/>
          <w:iCs/>
          <w:color w:val="FFC000"/>
          <w:kern w:val="1"/>
          <w:sz w:val="22"/>
          <w:szCs w:val="22"/>
        </w:rPr>
        <w:t xml:space="preserve">Isotopic Index Methods </w:t>
      </w:r>
    </w:p>
    <w:p w14:paraId="4A31207A" w14:textId="77777777" w:rsidR="001A3ED9" w:rsidRDefault="001A3ED9" w:rsidP="00F82953">
      <w:pPr>
        <w:autoSpaceDE w:val="0"/>
        <w:autoSpaceDN w:val="0"/>
        <w:adjustRightInd w:val="0"/>
        <w:spacing w:after="0" w:line="276" w:lineRule="auto"/>
        <w:rPr>
          <w:rFonts w:ascii="Arial" w:hAnsi="Arial" w:cs="Arial"/>
          <w:kern w:val="1"/>
          <w:sz w:val="22"/>
          <w:szCs w:val="22"/>
        </w:rPr>
      </w:pPr>
    </w:p>
    <w:p w14:paraId="0CF1D857" w14:textId="34202071"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The first free hormone tests developed in the 1960s were indexes calculated from the product of the free hormone fraction, measured isotopically by dialysis, and TT4 measured by PBI and later RIA (81). These early isotopic detection systems were technically demanding and included paper chromatography, electrophoresis, magnesium chloride precipitation</w:t>
      </w:r>
      <w:r w:rsidR="00A61372">
        <w:rPr>
          <w:rFonts w:ascii="Arial" w:hAnsi="Arial" w:cs="Arial"/>
          <w:kern w:val="1"/>
          <w:sz w:val="22"/>
          <w:szCs w:val="22"/>
        </w:rPr>
        <w:t>,</w:t>
      </w:r>
      <w:r w:rsidRPr="00F82953">
        <w:rPr>
          <w:rFonts w:ascii="Arial" w:hAnsi="Arial" w:cs="Arial"/>
          <w:kern w:val="1"/>
          <w:sz w:val="22"/>
          <w:szCs w:val="22"/>
        </w:rPr>
        <w:t xml:space="preserve"> and column chromatography (81,124-126). The free fraction index approach was later extended to ultrafiltration (83,85) and symmetric dialysis (127), the latter measuring the rate of transfer of isotopically labeled hormone across a membrane separating two chambers containing the same undiluted specimen. Ultrafiltration and symmetric dialysis had the advantage of eliminating dilution effects that influenced tracer dialysis values (82,128). However, free hormone indexes calculated using an isotopic free fraction were not completely independent of the TBG concentration and were influenced by tracer purity and the buffer matrix employed (92,129). </w:t>
      </w:r>
    </w:p>
    <w:p w14:paraId="35053E13"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52B28C9" w14:textId="672A4985" w:rsidR="005C4829" w:rsidRPr="0083337F" w:rsidRDefault="005C4829" w:rsidP="0083337F">
      <w:pPr>
        <w:autoSpaceDE w:val="0"/>
        <w:autoSpaceDN w:val="0"/>
        <w:adjustRightInd w:val="0"/>
        <w:spacing w:after="0" w:line="276" w:lineRule="auto"/>
        <w:rPr>
          <w:rFonts w:ascii="Arial" w:hAnsi="Arial" w:cs="Arial"/>
          <w:i/>
          <w:iCs/>
          <w:color w:val="FFC000"/>
          <w:kern w:val="1"/>
          <w:sz w:val="22"/>
          <w:szCs w:val="22"/>
        </w:rPr>
      </w:pPr>
      <w:r w:rsidRPr="0083337F">
        <w:rPr>
          <w:rFonts w:ascii="Arial" w:hAnsi="Arial" w:cs="Arial"/>
          <w:i/>
          <w:iCs/>
          <w:color w:val="FFC000"/>
          <w:kern w:val="1"/>
          <w:sz w:val="22"/>
          <w:szCs w:val="22"/>
        </w:rPr>
        <w:t>Clinical Utility of Two-Test Index Methods (FT4I and FT3I)</w:t>
      </w:r>
    </w:p>
    <w:p w14:paraId="061C62AB" w14:textId="77777777" w:rsidR="0083337F" w:rsidRDefault="0083337F" w:rsidP="00F82953">
      <w:pPr>
        <w:autoSpaceDE w:val="0"/>
        <w:autoSpaceDN w:val="0"/>
        <w:adjustRightInd w:val="0"/>
        <w:spacing w:after="0" w:line="276" w:lineRule="auto"/>
        <w:rPr>
          <w:rFonts w:ascii="Arial" w:hAnsi="Arial" w:cs="Arial"/>
          <w:kern w:val="1"/>
          <w:sz w:val="22"/>
          <w:szCs w:val="22"/>
        </w:rPr>
      </w:pPr>
    </w:p>
    <w:p w14:paraId="03C85E3F" w14:textId="5C53637C"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In the past some have favored the two-test FT4I approach for evaluating the thyroid status of patients with abnormal binding protein states like pregnancy or NTI (73,82). However, the </w:t>
      </w:r>
      <w:r w:rsidRPr="00F82953">
        <w:rPr>
          <w:rFonts w:ascii="Arial" w:hAnsi="Arial" w:cs="Arial"/>
          <w:kern w:val="1"/>
          <w:sz w:val="22"/>
          <w:szCs w:val="22"/>
        </w:rPr>
        <w:lastRenderedPageBreak/>
        <w:t>continued use of these FT4I tests remains controversial (130). Until FT4 immunoassays are re-standardized to remove biases (13,69), FT4I remains a useful confirmatory test when binding proteins are abnormal or for diagnosing central hypothyroidism (69).</w:t>
      </w:r>
    </w:p>
    <w:p w14:paraId="558437B1" w14:textId="77777777" w:rsidR="005A4AA7" w:rsidRPr="00F82953" w:rsidRDefault="005A4AA7" w:rsidP="00F82953">
      <w:pPr>
        <w:autoSpaceDE w:val="0"/>
        <w:autoSpaceDN w:val="0"/>
        <w:adjustRightInd w:val="0"/>
        <w:spacing w:after="0" w:line="276" w:lineRule="auto"/>
        <w:rPr>
          <w:rFonts w:ascii="Arial" w:hAnsi="Arial" w:cs="Arial"/>
          <w:kern w:val="1"/>
          <w:sz w:val="22"/>
          <w:szCs w:val="22"/>
        </w:rPr>
      </w:pPr>
    </w:p>
    <w:p w14:paraId="70AD2C65" w14:textId="7DD424C5" w:rsidR="005A4AA7" w:rsidRPr="0083337F" w:rsidRDefault="005C4829" w:rsidP="00F82953">
      <w:pPr>
        <w:autoSpaceDE w:val="0"/>
        <w:autoSpaceDN w:val="0"/>
        <w:adjustRightInd w:val="0"/>
        <w:spacing w:after="0" w:line="276" w:lineRule="auto"/>
        <w:rPr>
          <w:rFonts w:ascii="Arial" w:hAnsi="Arial" w:cs="Arial"/>
          <w:b/>
          <w:bCs/>
          <w:color w:val="00B050"/>
          <w:kern w:val="1"/>
          <w:sz w:val="22"/>
          <w:szCs w:val="22"/>
        </w:rPr>
      </w:pPr>
      <w:r w:rsidRPr="0083337F">
        <w:rPr>
          <w:rFonts w:ascii="Arial" w:hAnsi="Arial" w:cs="Arial"/>
          <w:b/>
          <w:bCs/>
          <w:color w:val="00B050"/>
          <w:kern w:val="1"/>
          <w:sz w:val="22"/>
          <w:szCs w:val="22"/>
        </w:rPr>
        <w:t>Free Thyroid Hormone Immunoassay Methods (FT4 and FT3)</w:t>
      </w:r>
    </w:p>
    <w:p w14:paraId="06E259CF" w14:textId="77777777" w:rsidR="0083337F" w:rsidRDefault="0083337F" w:rsidP="0083337F">
      <w:pPr>
        <w:autoSpaceDE w:val="0"/>
        <w:autoSpaceDN w:val="0"/>
        <w:adjustRightInd w:val="0"/>
        <w:spacing w:after="0" w:line="276" w:lineRule="auto"/>
        <w:rPr>
          <w:rFonts w:ascii="Arial" w:hAnsi="Arial" w:cs="Arial"/>
          <w:kern w:val="1"/>
          <w:sz w:val="22"/>
          <w:szCs w:val="22"/>
        </w:rPr>
      </w:pPr>
    </w:p>
    <w:p w14:paraId="1F5EE239" w14:textId="76BB3C0F" w:rsidR="005C4829" w:rsidRPr="00F82953" w:rsidRDefault="005C4829" w:rsidP="0083337F">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Currently, most free hormone testing is made using automated FT4 and FT3 immunoassays (62,131). These immunoassays are based on "one-step", "labeled antibody" or "two-step" principles (80). For more than twenty years controversy has surrounded the standardization and diagnostic accuracy of these methods, especially in pathophysiologic conditions associated with the binding protein abnormalities such as pregnancy (15,73,131). These assays are subject to variability due to polymorphisms, drug interactions, high free fatty acid (FFA) levels</w:t>
      </w:r>
      <w:r w:rsidR="00E31044">
        <w:rPr>
          <w:rFonts w:ascii="Arial" w:hAnsi="Arial" w:cs="Arial"/>
          <w:kern w:val="1"/>
          <w:sz w:val="22"/>
          <w:szCs w:val="22"/>
        </w:rPr>
        <w:t>,</w:t>
      </w:r>
      <w:r w:rsidRPr="00F82953">
        <w:rPr>
          <w:rFonts w:ascii="Arial" w:hAnsi="Arial" w:cs="Arial"/>
          <w:kern w:val="1"/>
          <w:sz w:val="22"/>
          <w:szCs w:val="22"/>
        </w:rPr>
        <w:t xml:space="preserve"> or thyroid binding inhibitors such as those present in</w:t>
      </w:r>
      <w:r w:rsidR="00E51335">
        <w:rPr>
          <w:rFonts w:ascii="Arial" w:hAnsi="Arial" w:cs="Arial"/>
          <w:kern w:val="1"/>
          <w:sz w:val="22"/>
          <w:szCs w:val="22"/>
        </w:rPr>
        <w:t xml:space="preserve"> non-thyroidal illness</w:t>
      </w:r>
      <w:r w:rsidRPr="00F82953">
        <w:rPr>
          <w:rFonts w:ascii="Arial" w:hAnsi="Arial" w:cs="Arial"/>
          <w:kern w:val="1"/>
          <w:sz w:val="22"/>
          <w:szCs w:val="22"/>
        </w:rPr>
        <w:t xml:space="preserve"> </w:t>
      </w:r>
      <w:r w:rsidR="00E51335">
        <w:rPr>
          <w:rFonts w:ascii="Arial" w:hAnsi="Arial" w:cs="Arial"/>
          <w:kern w:val="1"/>
          <w:sz w:val="22"/>
          <w:szCs w:val="22"/>
        </w:rPr>
        <w:t>(</w:t>
      </w:r>
      <w:r w:rsidRPr="00F82953">
        <w:rPr>
          <w:rFonts w:ascii="Arial" w:hAnsi="Arial" w:cs="Arial"/>
          <w:kern w:val="1"/>
          <w:sz w:val="22"/>
          <w:szCs w:val="22"/>
        </w:rPr>
        <w:t>NTI</w:t>
      </w:r>
      <w:r w:rsidR="00E51335">
        <w:rPr>
          <w:rFonts w:ascii="Arial" w:hAnsi="Arial" w:cs="Arial"/>
          <w:kern w:val="1"/>
          <w:sz w:val="22"/>
          <w:szCs w:val="22"/>
        </w:rPr>
        <w:t>)</w:t>
      </w:r>
      <w:r w:rsidRPr="00F82953">
        <w:rPr>
          <w:rFonts w:ascii="Arial" w:hAnsi="Arial" w:cs="Arial"/>
          <w:kern w:val="1"/>
          <w:sz w:val="22"/>
          <w:szCs w:val="22"/>
        </w:rPr>
        <w:t xml:space="preserve"> (11,30,</w:t>
      </w:r>
      <w:r w:rsidR="00ED2CE4">
        <w:rPr>
          <w:rFonts w:ascii="Arial" w:hAnsi="Arial" w:cs="Arial"/>
          <w:kern w:val="1"/>
          <w:sz w:val="22"/>
          <w:szCs w:val="22"/>
        </w:rPr>
        <w:t xml:space="preserve"> </w:t>
      </w:r>
      <w:r w:rsidRPr="00F82953">
        <w:rPr>
          <w:rFonts w:ascii="Arial" w:hAnsi="Arial" w:cs="Arial"/>
          <w:kern w:val="1"/>
          <w:sz w:val="22"/>
          <w:szCs w:val="22"/>
        </w:rPr>
        <w:t>62,</w:t>
      </w:r>
      <w:r w:rsidR="00ED2CE4">
        <w:rPr>
          <w:rFonts w:ascii="Arial" w:hAnsi="Arial" w:cs="Arial"/>
          <w:kern w:val="1"/>
          <w:sz w:val="22"/>
          <w:szCs w:val="22"/>
        </w:rPr>
        <w:t xml:space="preserve"> </w:t>
      </w:r>
      <w:r w:rsidRPr="00F82953">
        <w:rPr>
          <w:rFonts w:ascii="Arial" w:hAnsi="Arial" w:cs="Arial"/>
          <w:kern w:val="1"/>
          <w:sz w:val="22"/>
          <w:szCs w:val="22"/>
        </w:rPr>
        <w:t>69,</w:t>
      </w:r>
      <w:r w:rsidR="00ED2CE4">
        <w:rPr>
          <w:rFonts w:ascii="Arial" w:hAnsi="Arial" w:cs="Arial"/>
          <w:kern w:val="1"/>
          <w:sz w:val="22"/>
          <w:szCs w:val="22"/>
        </w:rPr>
        <w:t xml:space="preserve"> </w:t>
      </w:r>
      <w:r w:rsidRPr="00F82953">
        <w:rPr>
          <w:rFonts w:ascii="Arial" w:hAnsi="Arial" w:cs="Arial"/>
          <w:kern w:val="1"/>
          <w:sz w:val="22"/>
          <w:szCs w:val="22"/>
        </w:rPr>
        <w:t>90,</w:t>
      </w:r>
      <w:r w:rsidR="00ED2CE4">
        <w:rPr>
          <w:rFonts w:ascii="Arial" w:hAnsi="Arial" w:cs="Arial"/>
          <w:kern w:val="1"/>
          <w:sz w:val="22"/>
          <w:szCs w:val="22"/>
        </w:rPr>
        <w:t xml:space="preserve"> </w:t>
      </w:r>
      <w:r w:rsidRPr="00F82953">
        <w:rPr>
          <w:rFonts w:ascii="Arial" w:hAnsi="Arial" w:cs="Arial"/>
          <w:kern w:val="1"/>
          <w:sz w:val="22"/>
          <w:szCs w:val="22"/>
        </w:rPr>
        <w:t xml:space="preserve">99,104,105,121,132). Studies of the inverse FT4/TSH log/linear relationship have emphasized the need to evaluate each method with clinical specimens containing abnormal binding proteins (94,133,134). Currently, most FT4 and FT3 immunoassays display significant negative or positive biases that exceed the intra-individual biological variability (12,13). As shown in </w:t>
      </w:r>
      <w:r w:rsidRPr="00F82953">
        <w:rPr>
          <w:rFonts w:ascii="Arial" w:hAnsi="Arial" w:cs="Arial"/>
          <w:color w:val="000000" w:themeColor="text1"/>
          <w:kern w:val="1"/>
          <w:sz w:val="22"/>
          <w:szCs w:val="22"/>
        </w:rPr>
        <w:t xml:space="preserve">Figure </w:t>
      </w:r>
      <w:r w:rsidR="00641C21">
        <w:rPr>
          <w:rFonts w:ascii="Arial" w:hAnsi="Arial" w:cs="Arial"/>
          <w:color w:val="000000" w:themeColor="text1"/>
          <w:kern w:val="1"/>
          <w:sz w:val="22"/>
          <w:szCs w:val="22"/>
        </w:rPr>
        <w:t>4</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all but one of the FT4 immunoassays tested had a negative bias relative to the FT4 RMP. Although the IVD industry is being encouraged to recalibrate their free hormone immunoassays against the RMP to reduce between-method biases (13,</w:t>
      </w:r>
      <w:r w:rsidR="00ED2CE4">
        <w:rPr>
          <w:rFonts w:ascii="Arial" w:hAnsi="Arial" w:cs="Arial"/>
          <w:kern w:val="1"/>
          <w:sz w:val="22"/>
          <w:szCs w:val="22"/>
        </w:rPr>
        <w:t xml:space="preserve"> </w:t>
      </w:r>
      <w:r w:rsidRPr="00F82953">
        <w:rPr>
          <w:rFonts w:ascii="Arial" w:hAnsi="Arial" w:cs="Arial"/>
          <w:kern w:val="1"/>
          <w:sz w:val="22"/>
          <w:szCs w:val="22"/>
        </w:rPr>
        <w:t>28,</w:t>
      </w:r>
      <w:r w:rsidR="00ED2CE4">
        <w:rPr>
          <w:rFonts w:ascii="Arial" w:hAnsi="Arial" w:cs="Arial"/>
          <w:kern w:val="1"/>
          <w:sz w:val="22"/>
          <w:szCs w:val="22"/>
        </w:rPr>
        <w:t xml:space="preserve"> </w:t>
      </w:r>
      <w:r w:rsidRPr="00F82953">
        <w:rPr>
          <w:rFonts w:ascii="Arial" w:hAnsi="Arial" w:cs="Arial"/>
          <w:kern w:val="1"/>
          <w:sz w:val="22"/>
          <w:szCs w:val="22"/>
        </w:rPr>
        <w:t>69,</w:t>
      </w:r>
      <w:r w:rsidR="00ED2CE4">
        <w:rPr>
          <w:rFonts w:ascii="Arial" w:hAnsi="Arial" w:cs="Arial"/>
          <w:kern w:val="1"/>
          <w:sz w:val="22"/>
          <w:szCs w:val="22"/>
        </w:rPr>
        <w:t xml:space="preserve"> </w:t>
      </w:r>
      <w:r w:rsidRPr="00F82953">
        <w:rPr>
          <w:rFonts w:ascii="Arial" w:hAnsi="Arial" w:cs="Arial"/>
          <w:kern w:val="1"/>
          <w:sz w:val="22"/>
          <w:szCs w:val="22"/>
        </w:rPr>
        <w:t xml:space="preserve">87,135), implementation of a global re-calibration effort has been delayed by cost </w:t>
      </w:r>
      <w:r w:rsidR="007A1B70" w:rsidRPr="00F82953">
        <w:rPr>
          <w:rFonts w:ascii="Arial" w:hAnsi="Arial" w:cs="Arial"/>
          <w:kern w:val="1"/>
          <w:sz w:val="22"/>
          <w:szCs w:val="22"/>
        </w:rPr>
        <w:t>as</w:t>
      </w:r>
      <w:r w:rsidRPr="00F82953">
        <w:rPr>
          <w:rFonts w:ascii="Arial" w:hAnsi="Arial" w:cs="Arial"/>
          <w:kern w:val="1"/>
          <w:sz w:val="22"/>
          <w:szCs w:val="22"/>
        </w:rPr>
        <w:t xml:space="preserve"> well as practical, educational</w:t>
      </w:r>
      <w:r w:rsidR="007D4D9E">
        <w:rPr>
          <w:rFonts w:ascii="Arial" w:hAnsi="Arial" w:cs="Arial"/>
          <w:kern w:val="1"/>
          <w:sz w:val="22"/>
          <w:szCs w:val="22"/>
        </w:rPr>
        <w:t>,</w:t>
      </w:r>
      <w:r w:rsidRPr="00F82953">
        <w:rPr>
          <w:rFonts w:ascii="Arial" w:hAnsi="Arial" w:cs="Arial"/>
          <w:kern w:val="1"/>
          <w:sz w:val="22"/>
          <w:szCs w:val="22"/>
        </w:rPr>
        <w:t xml:space="preserve"> and regulatory complexity. </w:t>
      </w:r>
    </w:p>
    <w:p w14:paraId="1F3F816C" w14:textId="77777777" w:rsidR="003A7D79" w:rsidRPr="00F82953" w:rsidRDefault="003A7D79" w:rsidP="00F82953">
      <w:pPr>
        <w:autoSpaceDE w:val="0"/>
        <w:autoSpaceDN w:val="0"/>
        <w:adjustRightInd w:val="0"/>
        <w:spacing w:after="0" w:line="276" w:lineRule="auto"/>
        <w:rPr>
          <w:rFonts w:ascii="Arial" w:hAnsi="Arial" w:cs="Arial"/>
          <w:kern w:val="1"/>
          <w:sz w:val="22"/>
          <w:szCs w:val="22"/>
        </w:rPr>
      </w:pPr>
    </w:p>
    <w:p w14:paraId="4672080D" w14:textId="21D11CA6" w:rsidR="003A7D79" w:rsidRPr="00C16CB8" w:rsidRDefault="003A7D79" w:rsidP="0083337F">
      <w:pPr>
        <w:autoSpaceDE w:val="0"/>
        <w:autoSpaceDN w:val="0"/>
        <w:adjustRightInd w:val="0"/>
        <w:spacing w:after="0" w:line="276" w:lineRule="auto"/>
        <w:rPr>
          <w:rFonts w:ascii="Arial" w:hAnsi="Arial" w:cs="Arial"/>
          <w:kern w:val="1"/>
          <w:sz w:val="22"/>
          <w:szCs w:val="22"/>
        </w:rPr>
      </w:pPr>
      <w:r w:rsidRPr="00C16CB8">
        <w:rPr>
          <w:rFonts w:ascii="Arial" w:hAnsi="Arial" w:cs="Arial"/>
          <w:color w:val="FF0000"/>
          <w:kern w:val="1"/>
          <w:sz w:val="22"/>
          <w:szCs w:val="22"/>
        </w:rPr>
        <w:t>O</w:t>
      </w:r>
      <w:r w:rsidR="0083337F" w:rsidRPr="00C16CB8">
        <w:rPr>
          <w:rFonts w:ascii="Arial" w:hAnsi="Arial" w:cs="Arial"/>
          <w:color w:val="FF0000"/>
          <w:kern w:val="1"/>
          <w:sz w:val="22"/>
          <w:szCs w:val="22"/>
        </w:rPr>
        <w:t>NE-STEP</w:t>
      </w:r>
      <w:r w:rsidR="00C16CB8" w:rsidRPr="00C16CB8">
        <w:rPr>
          <w:rFonts w:ascii="Arial" w:hAnsi="Arial" w:cs="Arial"/>
          <w:color w:val="FF0000"/>
          <w:kern w:val="1"/>
          <w:sz w:val="22"/>
          <w:szCs w:val="22"/>
        </w:rPr>
        <w:t xml:space="preserve"> </w:t>
      </w:r>
      <w:r w:rsidRPr="00C16CB8">
        <w:rPr>
          <w:rFonts w:ascii="Arial" w:hAnsi="Arial" w:cs="Arial"/>
          <w:color w:val="FF0000"/>
          <w:kern w:val="1"/>
          <w:sz w:val="22"/>
          <w:szCs w:val="22"/>
        </w:rPr>
        <w:t xml:space="preserve">FT4 </w:t>
      </w:r>
      <w:r w:rsidR="00C16CB8" w:rsidRPr="00C16CB8">
        <w:rPr>
          <w:rFonts w:ascii="Arial" w:hAnsi="Arial" w:cs="Arial"/>
          <w:color w:val="FF0000"/>
          <w:kern w:val="1"/>
          <w:sz w:val="22"/>
          <w:szCs w:val="22"/>
        </w:rPr>
        <w:t xml:space="preserve">AND </w:t>
      </w:r>
      <w:r w:rsidRPr="00C16CB8">
        <w:rPr>
          <w:rFonts w:ascii="Arial" w:hAnsi="Arial" w:cs="Arial"/>
          <w:color w:val="FF0000"/>
          <w:kern w:val="1"/>
          <w:sz w:val="22"/>
          <w:szCs w:val="22"/>
        </w:rPr>
        <w:t>FT3 M</w:t>
      </w:r>
      <w:r w:rsidR="00C16CB8" w:rsidRPr="00C16CB8">
        <w:rPr>
          <w:rFonts w:ascii="Arial" w:hAnsi="Arial" w:cs="Arial"/>
          <w:color w:val="FF0000"/>
          <w:kern w:val="1"/>
          <w:sz w:val="22"/>
          <w:szCs w:val="22"/>
        </w:rPr>
        <w:t>ETHODS</w:t>
      </w:r>
    </w:p>
    <w:p w14:paraId="0BE3B87A" w14:textId="77777777" w:rsidR="0083337F" w:rsidRDefault="0083337F" w:rsidP="00F82953">
      <w:pPr>
        <w:autoSpaceDE w:val="0"/>
        <w:autoSpaceDN w:val="0"/>
        <w:adjustRightInd w:val="0"/>
        <w:spacing w:after="0" w:line="276" w:lineRule="auto"/>
        <w:rPr>
          <w:rFonts w:ascii="Arial" w:hAnsi="Arial" w:cs="Arial"/>
          <w:kern w:val="1"/>
          <w:sz w:val="22"/>
          <w:szCs w:val="22"/>
        </w:rPr>
      </w:pPr>
    </w:p>
    <w:p w14:paraId="1FABC413" w14:textId="041745F7" w:rsidR="003A7D79" w:rsidRPr="00F82953" w:rsidRDefault="003A7D7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“one-step” approach uses a proprietary labeled hormone analog, designed for minimal interaction with thyroid hormone binding proteins, that competes with hormone in the specimen for a solid-phase anti-hormone antibody in a classic competitive immunoassay format (15,62,80). After washing away unbound constituents, the free hormone concentration should be inversely proportional to the labeled analog bound to the solid support. Although conceptually attractive, the diagnostic utility of the one-step approach has been shown to be dependent on the degree that the analog is "inert" with respect to binding proteins (80,94,133,134).  </w:t>
      </w:r>
    </w:p>
    <w:p w14:paraId="3FCF840B" w14:textId="77777777" w:rsidR="00AC30BD" w:rsidRDefault="00AC30BD" w:rsidP="00AC30BD">
      <w:pPr>
        <w:autoSpaceDE w:val="0"/>
        <w:autoSpaceDN w:val="0"/>
        <w:adjustRightInd w:val="0"/>
        <w:spacing w:after="0" w:line="276" w:lineRule="auto"/>
        <w:rPr>
          <w:rFonts w:ascii="Arial" w:hAnsi="Arial" w:cs="Arial"/>
          <w:kern w:val="1"/>
          <w:sz w:val="22"/>
          <w:szCs w:val="22"/>
        </w:rPr>
      </w:pPr>
    </w:p>
    <w:p w14:paraId="2A53414E" w14:textId="603B9CB9" w:rsidR="003A7D79" w:rsidRPr="00AC30BD" w:rsidRDefault="003A7D79" w:rsidP="00AC30BD">
      <w:pPr>
        <w:autoSpaceDE w:val="0"/>
        <w:autoSpaceDN w:val="0"/>
        <w:adjustRightInd w:val="0"/>
        <w:spacing w:after="0" w:line="276" w:lineRule="auto"/>
        <w:rPr>
          <w:rFonts w:ascii="Arial" w:hAnsi="Arial" w:cs="Arial"/>
          <w:color w:val="FF0000"/>
          <w:kern w:val="1"/>
          <w:sz w:val="22"/>
          <w:szCs w:val="22"/>
        </w:rPr>
      </w:pPr>
      <w:r w:rsidRPr="00AC30BD">
        <w:rPr>
          <w:rFonts w:ascii="Arial" w:hAnsi="Arial" w:cs="Arial"/>
          <w:color w:val="FF0000"/>
          <w:kern w:val="1"/>
          <w:sz w:val="22"/>
          <w:szCs w:val="22"/>
        </w:rPr>
        <w:t>L</w:t>
      </w:r>
      <w:r w:rsidR="00AC30BD" w:rsidRPr="00AC30BD">
        <w:rPr>
          <w:rFonts w:ascii="Arial" w:hAnsi="Arial" w:cs="Arial"/>
          <w:color w:val="FF0000"/>
          <w:kern w:val="1"/>
          <w:sz w:val="22"/>
          <w:szCs w:val="22"/>
        </w:rPr>
        <w:t xml:space="preserve">ABELED ANTIBODY </w:t>
      </w:r>
      <w:r w:rsidRPr="00AC30BD">
        <w:rPr>
          <w:rFonts w:ascii="Arial" w:hAnsi="Arial" w:cs="Arial"/>
          <w:color w:val="FF0000"/>
          <w:kern w:val="1"/>
          <w:sz w:val="22"/>
          <w:szCs w:val="22"/>
        </w:rPr>
        <w:t xml:space="preserve">FT4 </w:t>
      </w:r>
      <w:r w:rsidR="00AC30BD" w:rsidRPr="00AC30BD">
        <w:rPr>
          <w:rFonts w:ascii="Arial" w:hAnsi="Arial" w:cs="Arial"/>
          <w:color w:val="FF0000"/>
          <w:kern w:val="1"/>
          <w:sz w:val="22"/>
          <w:szCs w:val="22"/>
        </w:rPr>
        <w:t>AND</w:t>
      </w:r>
      <w:r w:rsidRPr="00AC30BD">
        <w:rPr>
          <w:rFonts w:ascii="Arial" w:hAnsi="Arial" w:cs="Arial"/>
          <w:color w:val="FF0000"/>
          <w:kern w:val="1"/>
          <w:sz w:val="22"/>
          <w:szCs w:val="22"/>
        </w:rPr>
        <w:t xml:space="preserve"> FT3 M</w:t>
      </w:r>
      <w:r w:rsidR="00AC30BD" w:rsidRPr="00AC30BD">
        <w:rPr>
          <w:rFonts w:ascii="Arial" w:hAnsi="Arial" w:cs="Arial"/>
          <w:color w:val="FF0000"/>
          <w:kern w:val="1"/>
          <w:sz w:val="22"/>
          <w:szCs w:val="22"/>
        </w:rPr>
        <w:t>ETHODS</w:t>
      </w:r>
    </w:p>
    <w:p w14:paraId="60FE352D" w14:textId="77777777" w:rsidR="00AC30BD" w:rsidRDefault="00AC30BD" w:rsidP="00F82953">
      <w:pPr>
        <w:autoSpaceDE w:val="0"/>
        <w:autoSpaceDN w:val="0"/>
        <w:adjustRightInd w:val="0"/>
        <w:spacing w:after="0" w:line="276" w:lineRule="auto"/>
        <w:rPr>
          <w:rFonts w:ascii="Arial" w:hAnsi="Arial" w:cs="Arial"/>
          <w:kern w:val="1"/>
          <w:sz w:val="22"/>
          <w:szCs w:val="22"/>
        </w:rPr>
      </w:pPr>
    </w:p>
    <w:p w14:paraId="56FD1C62" w14:textId="2D6CAA67" w:rsidR="003A7D79" w:rsidRPr="00F82953" w:rsidRDefault="003A7D7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Labeled antibody methods are "one-step" methods that use a labeled antibody in preference to a labeled hormone analog. The free hormone in the specimen competes with solid-phase hormone for the labeled antibody and is quantified as a function </w:t>
      </w:r>
      <w:r w:rsidR="00EB29B8">
        <w:rPr>
          <w:rFonts w:ascii="Arial" w:hAnsi="Arial" w:cs="Arial"/>
          <w:kern w:val="1"/>
          <w:sz w:val="22"/>
          <w:szCs w:val="22"/>
        </w:rPr>
        <w:t xml:space="preserve">of </w:t>
      </w:r>
      <w:r w:rsidRPr="00F82953">
        <w:rPr>
          <w:rFonts w:ascii="Arial" w:hAnsi="Arial" w:cs="Arial"/>
          <w:kern w:val="1"/>
          <w:sz w:val="22"/>
          <w:szCs w:val="22"/>
        </w:rPr>
        <w:t>the fractional occupancy of hormone-antibody binding sites in the reaction mixture (15,62,80,136). The labeled antibody approach is used as the basis for several automated immunoassay platforms because it is easy to automate and considered less binding-protein dependent than the labeled analog approach, since the solid phase hormone does not compete with endogenous free hormone for hormone binding proteins (15,80,137-139).</w:t>
      </w:r>
    </w:p>
    <w:p w14:paraId="7A4711A6" w14:textId="77777777" w:rsidR="00CD7DFB" w:rsidRDefault="00CD7DFB" w:rsidP="00CD7DFB">
      <w:pPr>
        <w:autoSpaceDE w:val="0"/>
        <w:autoSpaceDN w:val="0"/>
        <w:adjustRightInd w:val="0"/>
        <w:spacing w:after="0" w:line="276" w:lineRule="auto"/>
        <w:rPr>
          <w:rFonts w:ascii="Arial" w:hAnsi="Arial" w:cs="Arial"/>
          <w:kern w:val="1"/>
          <w:sz w:val="22"/>
          <w:szCs w:val="22"/>
        </w:rPr>
      </w:pPr>
    </w:p>
    <w:p w14:paraId="6FB52C3F" w14:textId="267E2AFB" w:rsidR="00272C06" w:rsidRPr="00FF44F0" w:rsidRDefault="00272C06" w:rsidP="00CD7DFB">
      <w:pPr>
        <w:autoSpaceDE w:val="0"/>
        <w:autoSpaceDN w:val="0"/>
        <w:adjustRightInd w:val="0"/>
        <w:spacing w:after="0" w:line="276" w:lineRule="auto"/>
        <w:rPr>
          <w:rFonts w:ascii="Arial" w:hAnsi="Arial" w:cs="Arial"/>
          <w:color w:val="FF0000"/>
          <w:kern w:val="1"/>
          <w:sz w:val="22"/>
          <w:szCs w:val="22"/>
        </w:rPr>
      </w:pPr>
      <w:r w:rsidRPr="00FF44F0">
        <w:rPr>
          <w:rFonts w:ascii="Arial" w:hAnsi="Arial" w:cs="Arial"/>
          <w:color w:val="FF0000"/>
          <w:kern w:val="1"/>
          <w:sz w:val="22"/>
          <w:szCs w:val="22"/>
        </w:rPr>
        <w:lastRenderedPageBreak/>
        <w:t>T</w:t>
      </w:r>
      <w:r w:rsidR="00CD7DFB" w:rsidRPr="00FF44F0">
        <w:rPr>
          <w:rFonts w:ascii="Arial" w:hAnsi="Arial" w:cs="Arial"/>
          <w:color w:val="FF0000"/>
          <w:kern w:val="1"/>
          <w:sz w:val="22"/>
          <w:szCs w:val="22"/>
        </w:rPr>
        <w:t xml:space="preserve">WO-STEP, BACK TITRATION </w:t>
      </w:r>
      <w:r w:rsidRPr="00FF44F0">
        <w:rPr>
          <w:rFonts w:ascii="Arial" w:hAnsi="Arial" w:cs="Arial"/>
          <w:color w:val="FF0000"/>
          <w:kern w:val="1"/>
          <w:sz w:val="22"/>
          <w:szCs w:val="22"/>
        </w:rPr>
        <w:t xml:space="preserve">FT4 </w:t>
      </w:r>
      <w:r w:rsidR="00CD7DFB" w:rsidRPr="00FF44F0">
        <w:rPr>
          <w:rFonts w:ascii="Arial" w:hAnsi="Arial" w:cs="Arial"/>
          <w:color w:val="FF0000"/>
          <w:kern w:val="1"/>
          <w:sz w:val="22"/>
          <w:szCs w:val="22"/>
        </w:rPr>
        <w:t xml:space="preserve">AND </w:t>
      </w:r>
      <w:r w:rsidRPr="00FF44F0">
        <w:rPr>
          <w:rFonts w:ascii="Arial" w:hAnsi="Arial" w:cs="Arial"/>
          <w:color w:val="FF0000"/>
          <w:kern w:val="1"/>
          <w:sz w:val="22"/>
          <w:szCs w:val="22"/>
        </w:rPr>
        <w:t>FT3 M</w:t>
      </w:r>
      <w:r w:rsidR="00CD7DFB" w:rsidRPr="00FF44F0">
        <w:rPr>
          <w:rFonts w:ascii="Arial" w:hAnsi="Arial" w:cs="Arial"/>
          <w:color w:val="FF0000"/>
          <w:kern w:val="1"/>
          <w:sz w:val="22"/>
          <w:szCs w:val="22"/>
        </w:rPr>
        <w:t>ETHODS</w:t>
      </w:r>
    </w:p>
    <w:p w14:paraId="3C2C0C0D" w14:textId="77777777" w:rsidR="00CD7DFB" w:rsidRDefault="00CD7DFB" w:rsidP="00F82953">
      <w:pPr>
        <w:autoSpaceDE w:val="0"/>
        <w:autoSpaceDN w:val="0"/>
        <w:adjustRightInd w:val="0"/>
        <w:spacing w:after="0" w:line="276" w:lineRule="auto"/>
        <w:rPr>
          <w:rFonts w:ascii="Arial" w:hAnsi="Arial" w:cs="Arial"/>
          <w:kern w:val="1"/>
          <w:sz w:val="22"/>
          <w:szCs w:val="22"/>
        </w:rPr>
      </w:pPr>
    </w:p>
    <w:p w14:paraId="146F5544" w14:textId="137CF768" w:rsidR="00272C06" w:rsidRPr="00F82953" w:rsidRDefault="00272C06"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The two-step approach was first developed by Ekins and colleagues in the late 1970s (79,113). Two-step methods typically employ immobilized T4 or T3 antibody (for FT4 and FT3 immunoassays, respectively) to sequester a small proportion of total hormone from a diluted serum specimen without disturbing the original free to protein-bound equilibrium (62,80). After removing unbound serum constituents by washing, a labeled probe (originally</w:t>
      </w:r>
      <w:r w:rsidRPr="00F82953">
        <w:rPr>
          <w:rFonts w:ascii="Arial" w:hAnsi="Arial" w:cs="Arial"/>
          <w:kern w:val="1"/>
          <w:sz w:val="22"/>
          <w:szCs w:val="22"/>
          <w:vertAlign w:val="superscript"/>
        </w:rPr>
        <w:t xml:space="preserve"> 125-</w:t>
      </w:r>
      <w:r w:rsidRPr="00F82953">
        <w:rPr>
          <w:rFonts w:ascii="Arial" w:hAnsi="Arial" w:cs="Arial"/>
          <w:kern w:val="1"/>
          <w:sz w:val="22"/>
          <w:szCs w:val="22"/>
        </w:rPr>
        <w:t xml:space="preserve">I T4, or more recently a macromolecular T4 conjugate) is added to quantify unoccupied antibody-binding sites that are inversely related to the free hormone concentration - a procedure that has been referred to as "back-titration (80). </w:t>
      </w:r>
    </w:p>
    <w:p w14:paraId="796B404C" w14:textId="77777777" w:rsidR="003A7D79" w:rsidRPr="00F82953" w:rsidRDefault="003A7D79" w:rsidP="00F82953">
      <w:pPr>
        <w:autoSpaceDE w:val="0"/>
        <w:autoSpaceDN w:val="0"/>
        <w:adjustRightInd w:val="0"/>
        <w:spacing w:after="0" w:line="276" w:lineRule="auto"/>
        <w:rPr>
          <w:rFonts w:ascii="Arial" w:hAnsi="Arial" w:cs="Arial"/>
          <w:kern w:val="1"/>
          <w:sz w:val="22"/>
          <w:szCs w:val="22"/>
        </w:rPr>
      </w:pPr>
    </w:p>
    <w:p w14:paraId="0C2E766F" w14:textId="486AB828" w:rsidR="005C4829" w:rsidRPr="00620284" w:rsidRDefault="005C4829" w:rsidP="00F82953">
      <w:pPr>
        <w:autoSpaceDE w:val="0"/>
        <w:autoSpaceDN w:val="0"/>
        <w:adjustRightInd w:val="0"/>
        <w:spacing w:after="0" w:line="276" w:lineRule="auto"/>
        <w:rPr>
          <w:rFonts w:ascii="Arial" w:hAnsi="Arial" w:cs="Arial"/>
          <w:color w:val="FF0000"/>
          <w:kern w:val="1"/>
          <w:sz w:val="22"/>
          <w:szCs w:val="22"/>
        </w:rPr>
      </w:pPr>
      <w:r w:rsidRPr="00620284">
        <w:rPr>
          <w:rFonts w:ascii="Arial" w:hAnsi="Arial" w:cs="Arial"/>
          <w:color w:val="FF0000"/>
          <w:kern w:val="1"/>
          <w:sz w:val="22"/>
          <w:szCs w:val="22"/>
        </w:rPr>
        <w:t>C</w:t>
      </w:r>
      <w:r w:rsidR="00995EFD" w:rsidRPr="00620284">
        <w:rPr>
          <w:rFonts w:ascii="Arial" w:hAnsi="Arial" w:cs="Arial"/>
          <w:color w:val="FF0000"/>
          <w:kern w:val="1"/>
          <w:sz w:val="22"/>
          <w:szCs w:val="22"/>
        </w:rPr>
        <w:t xml:space="preserve">LINICAL UTILITY OF </w:t>
      </w:r>
      <w:r w:rsidRPr="00620284">
        <w:rPr>
          <w:rFonts w:ascii="Arial" w:hAnsi="Arial" w:cs="Arial"/>
          <w:color w:val="FF0000"/>
          <w:kern w:val="1"/>
          <w:sz w:val="22"/>
          <w:szCs w:val="22"/>
        </w:rPr>
        <w:t xml:space="preserve">FT4 </w:t>
      </w:r>
      <w:r w:rsidR="00995EFD" w:rsidRPr="00620284">
        <w:rPr>
          <w:rFonts w:ascii="Arial" w:hAnsi="Arial" w:cs="Arial"/>
          <w:color w:val="FF0000"/>
          <w:kern w:val="1"/>
          <w:sz w:val="22"/>
          <w:szCs w:val="22"/>
        </w:rPr>
        <w:t xml:space="preserve">AND </w:t>
      </w:r>
      <w:r w:rsidRPr="00620284">
        <w:rPr>
          <w:rFonts w:ascii="Arial" w:hAnsi="Arial" w:cs="Arial"/>
          <w:color w:val="FF0000"/>
          <w:kern w:val="1"/>
          <w:sz w:val="22"/>
          <w:szCs w:val="22"/>
        </w:rPr>
        <w:t>T3 I</w:t>
      </w:r>
      <w:r w:rsidR="00995EFD" w:rsidRPr="00620284">
        <w:rPr>
          <w:rFonts w:ascii="Arial" w:hAnsi="Arial" w:cs="Arial"/>
          <w:color w:val="FF0000"/>
          <w:kern w:val="1"/>
          <w:sz w:val="22"/>
          <w:szCs w:val="22"/>
        </w:rPr>
        <w:t xml:space="preserve">MMUNOASSAY MEASURMENTS </w:t>
      </w:r>
    </w:p>
    <w:p w14:paraId="6D823140"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6A8558B" w14:textId="51708345"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Current reference ranges for FT4 and FT3 immunoassays are method-dependent because of calibration biases that preclude establishing a universal reference range that would apply across methods (13,68,86). These biases are evident for FT4 immunoassay methods </w:t>
      </w:r>
      <w:r w:rsidRPr="00F82953">
        <w:rPr>
          <w:rFonts w:ascii="Arial" w:hAnsi="Arial" w:cs="Arial"/>
          <w:color w:val="000000" w:themeColor="text1"/>
          <w:kern w:val="1"/>
          <w:sz w:val="22"/>
          <w:szCs w:val="22"/>
        </w:rPr>
        <w:t xml:space="preserve">shown in Figure </w:t>
      </w:r>
      <w:r w:rsidR="00641C21">
        <w:rPr>
          <w:rFonts w:ascii="Arial" w:hAnsi="Arial" w:cs="Arial"/>
          <w:color w:val="000000" w:themeColor="text1"/>
          <w:kern w:val="1"/>
          <w:sz w:val="22"/>
          <w:szCs w:val="22"/>
        </w:rPr>
        <w:t>4</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Most FT4 methods give diagnostically reliable results when binding proteins are near-normal, provided that a method-specific reference range is employed (68). However, both TT3 and FT3 immunoassays tend to be inaccurate in the low range (77,139) and have no value for diagnosing or monitoring treatment for hypothyroidism (52,140). However, FT3 measurements can be useful for diagnosing or confirming unusual cases of hyperthyroidism. Most FT4 methods give diagnostically reliable results when binding proteins are near-normal, provided that a method-specific reference range is employed (69). However, both TT3 and FT3 immunoassays tend to be inaccurate in the low range (78,140) and have no value for diagnosing or monitoring treatment for hypothyroidism (52,141), although FT3 measurements can be useful for diagnosing or confirming unusual cases of hyperthyroidism. </w:t>
      </w:r>
    </w:p>
    <w:p w14:paraId="1C7A3533" w14:textId="77777777" w:rsidR="005A4AA7" w:rsidRPr="00F82953" w:rsidRDefault="005A4AA7" w:rsidP="00F82953">
      <w:pPr>
        <w:autoSpaceDE w:val="0"/>
        <w:autoSpaceDN w:val="0"/>
        <w:adjustRightInd w:val="0"/>
        <w:spacing w:after="0" w:line="276" w:lineRule="auto"/>
        <w:rPr>
          <w:rFonts w:ascii="Arial" w:hAnsi="Arial" w:cs="Arial"/>
          <w:kern w:val="1"/>
          <w:sz w:val="22"/>
          <w:szCs w:val="22"/>
        </w:rPr>
      </w:pPr>
    </w:p>
    <w:p w14:paraId="17F43D43" w14:textId="2CE8F5AB" w:rsidR="005A4AA7" w:rsidRPr="00620284" w:rsidRDefault="005C4829" w:rsidP="00620284">
      <w:pPr>
        <w:pStyle w:val="ListParagraph"/>
        <w:autoSpaceDE w:val="0"/>
        <w:autoSpaceDN w:val="0"/>
        <w:adjustRightInd w:val="0"/>
        <w:spacing w:after="0" w:line="276" w:lineRule="auto"/>
        <w:ind w:left="0"/>
        <w:rPr>
          <w:rFonts w:ascii="Arial" w:hAnsi="Arial" w:cs="Arial"/>
          <w:i/>
          <w:iCs/>
          <w:color w:val="FFC000"/>
          <w:kern w:val="1"/>
          <w:sz w:val="22"/>
          <w:szCs w:val="22"/>
        </w:rPr>
      </w:pPr>
      <w:r w:rsidRPr="00620284">
        <w:rPr>
          <w:rFonts w:ascii="Arial" w:hAnsi="Arial" w:cs="Arial"/>
          <w:i/>
          <w:iCs/>
          <w:color w:val="FFC000"/>
          <w:kern w:val="1"/>
          <w:sz w:val="22"/>
          <w:szCs w:val="22"/>
        </w:rPr>
        <w:t>Ambulatory Patients</w:t>
      </w:r>
    </w:p>
    <w:p w14:paraId="2BC57141" w14:textId="77777777" w:rsidR="00620284" w:rsidRDefault="00620284" w:rsidP="00620284">
      <w:pPr>
        <w:autoSpaceDE w:val="0"/>
        <w:autoSpaceDN w:val="0"/>
        <w:adjustRightInd w:val="0"/>
        <w:spacing w:after="0" w:line="276" w:lineRule="auto"/>
        <w:rPr>
          <w:rFonts w:ascii="Arial" w:hAnsi="Arial" w:cs="Arial"/>
          <w:kern w:val="1"/>
          <w:sz w:val="22"/>
          <w:szCs w:val="22"/>
        </w:rPr>
      </w:pPr>
    </w:p>
    <w:p w14:paraId="2E7A022C" w14:textId="250042CA" w:rsidR="003A7D79" w:rsidRPr="00F82953" w:rsidRDefault="005C4829" w:rsidP="00620284">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FT4 and FT3 tests are used in preference to TT4 or TT3 measurements because they have better diagnostic accuracy for detecting hypo- and hyperthyroidism in patients with abnormal thyroid hormone binding proteins (</w:t>
      </w:r>
      <w:r w:rsidR="00C05A1A">
        <w:rPr>
          <w:rFonts w:ascii="Arial" w:hAnsi="Arial" w:cs="Arial"/>
          <w:kern w:val="1"/>
          <w:sz w:val="22"/>
          <w:szCs w:val="22"/>
        </w:rPr>
        <w:t>figure 2</w:t>
      </w:r>
      <w:r w:rsidRPr="00F82953">
        <w:rPr>
          <w:rFonts w:ascii="Arial" w:hAnsi="Arial" w:cs="Arial"/>
          <w:kern w:val="1"/>
          <w:sz w:val="22"/>
          <w:szCs w:val="22"/>
        </w:rPr>
        <w:t xml:space="preserve">). FT4 typically serves as a second-line test for confirming primary thyroid dysfunction detected by an abnormal TSH, but is the first-line test when thyroid status is unstable (early phase of treating hypo- or hyperthyroidism); in the presence of pituitary/hypothalamic disease (when TSH is unreliable); or when patients are taking drugs such as dopamine or glucocorticoids that are known to affect TSH secretion (10,104,110,142). Mild "subclinical" thyroid dysfunction is characterized by a TSH/FT4 discordance (abnormal TSH/normal FT4) reflecting the intrinsic complex nature of the inverse log/linear TSH/FT4 relationship (8,10,143) - a relationship that is modified by age and sex (144,145). Thus, small changes in FT4, even within normal limits, are expected to produce a mild degree of TSH abnormality - between 0.05 and 0.3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(with subclinical hyperthyroidism) and 5 and 10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(with subclinical hypothyroidism). An unexpected TSH/FT4 discordance if confirmed, should prompt an investigation for interference with FT4, TSH or both tests (91,146,147). FT4 interference can result from severe binding protein abnormalities such as </w:t>
      </w:r>
      <w:r w:rsidRPr="00F82953">
        <w:rPr>
          <w:rFonts w:ascii="Arial" w:hAnsi="Arial" w:cs="Arial"/>
          <w:kern w:val="1"/>
          <w:sz w:val="22"/>
          <w:szCs w:val="22"/>
        </w:rPr>
        <w:lastRenderedPageBreak/>
        <w:t>congenital TBG excess or deficiency (26,62,103,148,149),</w:t>
      </w:r>
      <w:r w:rsidR="00C71492" w:rsidRPr="00F82953">
        <w:rPr>
          <w:rFonts w:ascii="Arial" w:hAnsi="Arial" w:cs="Arial"/>
          <w:kern w:val="1"/>
          <w:sz w:val="22"/>
          <w:szCs w:val="22"/>
        </w:rPr>
        <w:t xml:space="preserve"> </w:t>
      </w:r>
      <w:proofErr w:type="spellStart"/>
      <w:r w:rsidRPr="00F82953">
        <w:rPr>
          <w:rFonts w:ascii="Arial" w:hAnsi="Arial" w:cs="Arial"/>
          <w:kern w:val="1"/>
          <w:sz w:val="22"/>
          <w:szCs w:val="22"/>
        </w:rPr>
        <w:t>dysalbuminemias</w:t>
      </w:r>
      <w:proofErr w:type="spellEnd"/>
      <w:r w:rsidR="00C71492" w:rsidRPr="00F82953">
        <w:rPr>
          <w:rFonts w:ascii="Arial" w:hAnsi="Arial" w:cs="Arial"/>
          <w:kern w:val="1"/>
          <w:sz w:val="22"/>
          <w:szCs w:val="22"/>
        </w:rPr>
        <w:t xml:space="preserve"> </w:t>
      </w:r>
      <w:r w:rsidRPr="00F82953">
        <w:rPr>
          <w:rFonts w:ascii="Arial" w:hAnsi="Arial" w:cs="Arial"/>
          <w:kern w:val="1"/>
          <w:sz w:val="22"/>
          <w:szCs w:val="22"/>
        </w:rPr>
        <w:t>(105,150-152), thyroid hormone autoantibodies (147,153-155)</w:t>
      </w:r>
      <w:r w:rsidR="00CB4203">
        <w:rPr>
          <w:rFonts w:ascii="Arial" w:hAnsi="Arial" w:cs="Arial"/>
          <w:kern w:val="1"/>
          <w:sz w:val="22"/>
          <w:szCs w:val="22"/>
        </w:rPr>
        <w:t>,</w:t>
      </w:r>
      <w:r w:rsidRPr="00F82953">
        <w:rPr>
          <w:rFonts w:ascii="Arial" w:hAnsi="Arial" w:cs="Arial"/>
          <w:kern w:val="1"/>
          <w:sz w:val="22"/>
          <w:szCs w:val="22"/>
        </w:rPr>
        <w:t xml:space="preserve"> or drug interferences</w:t>
      </w:r>
      <w:r w:rsidRPr="00F82953">
        <w:rPr>
          <w:rFonts w:ascii="Arial" w:hAnsi="Arial" w:cs="Arial"/>
          <w:color w:val="FF0000"/>
          <w:kern w:val="1"/>
          <w:sz w:val="22"/>
          <w:szCs w:val="22"/>
        </w:rPr>
        <w:t xml:space="preserve"> </w:t>
      </w:r>
      <w:r w:rsidRPr="00F82953">
        <w:rPr>
          <w:rFonts w:ascii="Arial" w:hAnsi="Arial" w:cs="Arial"/>
          <w:kern w:val="1"/>
          <w:sz w:val="22"/>
          <w:szCs w:val="22"/>
        </w:rPr>
        <w:t xml:space="preserve">(62,104,123). </w:t>
      </w:r>
    </w:p>
    <w:p w14:paraId="61092930" w14:textId="77777777" w:rsidR="003A7D79" w:rsidRPr="00F82953" w:rsidRDefault="003A7D79" w:rsidP="00F82953">
      <w:pPr>
        <w:autoSpaceDE w:val="0"/>
        <w:autoSpaceDN w:val="0"/>
        <w:adjustRightInd w:val="0"/>
        <w:spacing w:after="0" w:line="276" w:lineRule="auto"/>
        <w:rPr>
          <w:rFonts w:ascii="Arial" w:hAnsi="Arial" w:cs="Arial"/>
          <w:kern w:val="1"/>
          <w:sz w:val="22"/>
          <w:szCs w:val="22"/>
        </w:rPr>
      </w:pPr>
    </w:p>
    <w:p w14:paraId="2B889871" w14:textId="06129FE1" w:rsidR="005C4829" w:rsidRPr="00855098" w:rsidRDefault="005C4829" w:rsidP="00620284">
      <w:pPr>
        <w:pStyle w:val="ListParagraph"/>
        <w:autoSpaceDE w:val="0"/>
        <w:autoSpaceDN w:val="0"/>
        <w:adjustRightInd w:val="0"/>
        <w:spacing w:after="0" w:line="276" w:lineRule="auto"/>
        <w:ind w:left="0"/>
        <w:rPr>
          <w:rFonts w:ascii="Arial" w:hAnsi="Arial" w:cs="Arial"/>
          <w:i/>
          <w:iCs/>
          <w:color w:val="FFC000"/>
          <w:kern w:val="1"/>
          <w:sz w:val="22"/>
          <w:szCs w:val="22"/>
        </w:rPr>
      </w:pPr>
      <w:r w:rsidRPr="00855098">
        <w:rPr>
          <w:rFonts w:ascii="Arial" w:hAnsi="Arial" w:cs="Arial"/>
          <w:i/>
          <w:iCs/>
          <w:color w:val="FFC000"/>
          <w:kern w:val="1"/>
          <w:sz w:val="22"/>
          <w:szCs w:val="22"/>
        </w:rPr>
        <w:t>Pregnant Patients</w:t>
      </w:r>
    </w:p>
    <w:p w14:paraId="51C03EE1" w14:textId="77777777" w:rsidR="00855098" w:rsidRDefault="00855098" w:rsidP="00855098">
      <w:pPr>
        <w:autoSpaceDE w:val="0"/>
        <w:autoSpaceDN w:val="0"/>
        <w:adjustRightInd w:val="0"/>
        <w:spacing w:after="0" w:line="276" w:lineRule="auto"/>
        <w:rPr>
          <w:rFonts w:ascii="Arial" w:hAnsi="Arial" w:cs="Arial"/>
          <w:kern w:val="1"/>
          <w:sz w:val="22"/>
          <w:szCs w:val="22"/>
        </w:rPr>
      </w:pPr>
    </w:p>
    <w:p w14:paraId="52A15449" w14:textId="3F69F7D7" w:rsidR="00C71492" w:rsidRDefault="005C4829" w:rsidP="00855098">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Current reference ranges for FT4 immunoassays are method-dependent because of calibration biases that precludes establishing a universal reference range that would apply across methods (Figure </w:t>
      </w:r>
      <w:r w:rsidR="00B52E46">
        <w:rPr>
          <w:rFonts w:ascii="Arial" w:hAnsi="Arial" w:cs="Arial"/>
          <w:kern w:val="1"/>
          <w:sz w:val="22"/>
          <w:szCs w:val="22"/>
        </w:rPr>
        <w:t>4</w:t>
      </w:r>
      <w:r w:rsidRPr="00F82953">
        <w:rPr>
          <w:rFonts w:ascii="Arial" w:hAnsi="Arial" w:cs="Arial"/>
          <w:kern w:val="1"/>
          <w:sz w:val="22"/>
          <w:szCs w:val="22"/>
        </w:rPr>
        <w:t xml:space="preserve">) (156,157). This between-method variability has profound effects on the setting of the FT4 reference range for pregnancy (Figure </w:t>
      </w:r>
      <w:r w:rsidR="00B52E46">
        <w:rPr>
          <w:rFonts w:ascii="Arial" w:hAnsi="Arial" w:cs="Arial"/>
          <w:kern w:val="1"/>
          <w:sz w:val="22"/>
          <w:szCs w:val="22"/>
        </w:rPr>
        <w:t>5</w:t>
      </w:r>
      <w:r w:rsidRPr="00F82953">
        <w:rPr>
          <w:rFonts w:ascii="Arial" w:hAnsi="Arial" w:cs="Arial"/>
          <w:kern w:val="1"/>
          <w:sz w:val="22"/>
          <w:szCs w:val="22"/>
        </w:rPr>
        <w:t>).  As with non-pregnant patients, TSH is the first-line test to use for assessing thyroid status during pregnancy (48,158). However, FT4 measurement is needed for monitoring anti-thyroid drug treatment of hyperthyroid pregnant patients who have an undetectable TSH. The question whether an isolated low FT4 during pregnancy is a maternal or fetal risk factor, remains controversial (159,160), although some studies suggest that low FT4 may be a risk factor for gestational diabetes and fetal complications (161-163). Non-pregnant FT4 reference ranges do not apply to pregnancy since FT4 progressively declines as gestation progresses, necessitating the use of a trimester-specific reference ranges (73,158,164,165). Setting universal trimester-specific FT4 reference ranges is currently hampered by the between-method differences shown in Figure 4</w:t>
      </w:r>
      <w:r w:rsidR="00604553">
        <w:rPr>
          <w:rFonts w:ascii="Arial" w:hAnsi="Arial" w:cs="Arial"/>
          <w:kern w:val="1"/>
          <w:sz w:val="22"/>
          <w:szCs w:val="22"/>
        </w:rPr>
        <w:t xml:space="preserve"> and 5</w:t>
      </w:r>
      <w:r w:rsidRPr="00F82953">
        <w:rPr>
          <w:rFonts w:ascii="Arial" w:hAnsi="Arial" w:cs="Arial"/>
          <w:kern w:val="1"/>
          <w:sz w:val="22"/>
          <w:szCs w:val="22"/>
        </w:rPr>
        <w:t xml:space="preserve"> (69,156,165), compounded by the differences related to ethnicity (166-170), iodine intake (171-173), smoking (174)</w:t>
      </w:r>
      <w:r w:rsidR="005D0DBD">
        <w:rPr>
          <w:rFonts w:ascii="Arial" w:hAnsi="Arial" w:cs="Arial"/>
          <w:kern w:val="1"/>
          <w:sz w:val="22"/>
          <w:szCs w:val="22"/>
        </w:rPr>
        <w:t>,</w:t>
      </w:r>
      <w:r w:rsidRPr="00F82953">
        <w:rPr>
          <w:rFonts w:ascii="Arial" w:hAnsi="Arial" w:cs="Arial"/>
          <w:kern w:val="1"/>
          <w:sz w:val="22"/>
          <w:szCs w:val="22"/>
        </w:rPr>
        <w:t xml:space="preserve"> and BMI (145,166). Establishing institution-specific trimester-specific reference ranges from the 2.5 to 97.5 percentiles by recruiting at least 400 pregnant patients (170) is not practical for most institutions. After the proposed re-standardization of FT4 methods against the RMP the feasibility of establishing universal trimester-specific reference ranges will improve (13,69,135). However, binding protein effects will remain, and population-specific factors will still have to be considered.</w:t>
      </w:r>
    </w:p>
    <w:p w14:paraId="1E00EBA6" w14:textId="77777777" w:rsidR="00DA1BD0" w:rsidRDefault="00DA1BD0" w:rsidP="00855098">
      <w:pPr>
        <w:autoSpaceDE w:val="0"/>
        <w:autoSpaceDN w:val="0"/>
        <w:adjustRightInd w:val="0"/>
        <w:spacing w:after="0" w:line="276" w:lineRule="auto"/>
        <w:rPr>
          <w:rFonts w:ascii="Arial" w:hAnsi="Arial" w:cs="Arial"/>
          <w:kern w:val="1"/>
          <w:sz w:val="22"/>
          <w:szCs w:val="22"/>
        </w:rPr>
      </w:pPr>
    </w:p>
    <w:p w14:paraId="59FEF5A4" w14:textId="77777777" w:rsidR="00DA1BD0" w:rsidRPr="00F82953" w:rsidRDefault="00DA1BD0" w:rsidP="00DA1BD0">
      <w:pPr>
        <w:autoSpaceDE w:val="0"/>
        <w:autoSpaceDN w:val="0"/>
        <w:adjustRightInd w:val="0"/>
        <w:spacing w:after="0" w:line="276" w:lineRule="auto"/>
        <w:rPr>
          <w:rFonts w:ascii="Arial" w:hAnsi="Arial" w:cs="Arial"/>
          <w:kern w:val="1"/>
          <w:sz w:val="22"/>
          <w:szCs w:val="22"/>
        </w:rPr>
      </w:pPr>
    </w:p>
    <w:p w14:paraId="2522716B" w14:textId="77777777" w:rsidR="00DA1BD0" w:rsidRPr="00F82953" w:rsidRDefault="00DA1BD0" w:rsidP="00DA1BD0">
      <w:pPr>
        <w:autoSpaceDE w:val="0"/>
        <w:autoSpaceDN w:val="0"/>
        <w:adjustRightInd w:val="0"/>
        <w:spacing w:after="0" w:line="276" w:lineRule="auto"/>
        <w:rPr>
          <w:rFonts w:ascii="Arial" w:hAnsi="Arial" w:cs="Arial"/>
          <w:kern w:val="1"/>
          <w:sz w:val="22"/>
          <w:szCs w:val="22"/>
        </w:rPr>
      </w:pPr>
      <w:r>
        <w:rPr>
          <w:rFonts w:ascii="Arial" w:hAnsi="Arial" w:cs="Arial"/>
          <w:noProof/>
          <w:kern w:val="1"/>
          <w:sz w:val="22"/>
          <w:szCs w:val="22"/>
        </w:rPr>
        <w:lastRenderedPageBreak/>
        <w:drawing>
          <wp:inline distT="0" distB="0" distL="0" distR="0" wp14:anchorId="1D37C984" wp14:editId="36EAE0DF">
            <wp:extent cx="5639587" cy="5287113"/>
            <wp:effectExtent l="0" t="0" r="0" b="8890"/>
            <wp:docPr id="2100036036" name="Picture 1102" descr="A diagram of a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36036" name="Picture 1102" descr="A diagram of a method"/>
                    <pic:cNvPicPr/>
                  </pic:nvPicPr>
                  <pic:blipFill>
                    <a:blip r:embed="rId9">
                      <a:extLst>
                        <a:ext uri="{28A0092B-C50C-407E-A947-70E740481C1C}">
                          <a14:useLocalDpi xmlns:a14="http://schemas.microsoft.com/office/drawing/2010/main" val="0"/>
                        </a:ext>
                      </a:extLst>
                    </a:blip>
                    <a:stretch>
                      <a:fillRect/>
                    </a:stretch>
                  </pic:blipFill>
                  <pic:spPr>
                    <a:xfrm>
                      <a:off x="0" y="0"/>
                      <a:ext cx="5639587" cy="5287113"/>
                    </a:xfrm>
                    <a:prstGeom prst="rect">
                      <a:avLst/>
                    </a:prstGeom>
                  </pic:spPr>
                </pic:pic>
              </a:graphicData>
            </a:graphic>
          </wp:inline>
        </w:drawing>
      </w:r>
    </w:p>
    <w:p w14:paraId="3565CB5F" w14:textId="77777777" w:rsidR="00DA1BD0" w:rsidRDefault="00DA1BD0" w:rsidP="00DA1BD0">
      <w:pPr>
        <w:autoSpaceDE w:val="0"/>
        <w:autoSpaceDN w:val="0"/>
        <w:adjustRightInd w:val="0"/>
        <w:spacing w:after="0" w:line="276" w:lineRule="auto"/>
        <w:rPr>
          <w:rFonts w:ascii="Arial" w:hAnsi="Arial" w:cs="Arial"/>
          <w:b/>
          <w:bCs/>
          <w:color w:val="000000" w:themeColor="text1"/>
          <w:kern w:val="1"/>
          <w:sz w:val="22"/>
          <w:szCs w:val="22"/>
        </w:rPr>
      </w:pPr>
      <w:r w:rsidRPr="00177A37">
        <w:rPr>
          <w:rFonts w:ascii="Arial" w:hAnsi="Arial" w:cs="Arial"/>
          <w:b/>
          <w:bCs/>
          <w:color w:val="000000" w:themeColor="text1"/>
          <w:kern w:val="1"/>
          <w:sz w:val="22"/>
          <w:szCs w:val="22"/>
        </w:rPr>
        <w:t>Figure 5. Between-Method FT4 Variability Impacts Thyroid Testing in Pregnancy. The figure shows the</w:t>
      </w:r>
      <w:r w:rsidRPr="00177A37">
        <w:rPr>
          <w:rFonts w:ascii="Arial" w:hAnsi="Arial" w:cs="Arial"/>
          <w:b/>
          <w:bCs/>
          <w:color w:val="000000" w:themeColor="text1"/>
          <w:spacing w:val="-13"/>
          <w:kern w:val="1"/>
          <w:sz w:val="22"/>
          <w:szCs w:val="22"/>
        </w:rPr>
        <w:t xml:space="preserve"> </w:t>
      </w:r>
      <w:r w:rsidRPr="00177A37">
        <w:rPr>
          <w:rFonts w:ascii="Arial" w:hAnsi="Arial" w:cs="Arial"/>
          <w:b/>
          <w:bCs/>
          <w:color w:val="000000" w:themeColor="text1"/>
          <w:kern w:val="1"/>
          <w:sz w:val="22"/>
          <w:szCs w:val="22"/>
        </w:rPr>
        <w:t>upper</w:t>
      </w:r>
      <w:r w:rsidRPr="00177A37">
        <w:rPr>
          <w:rFonts w:ascii="Arial" w:hAnsi="Arial" w:cs="Arial"/>
          <w:b/>
          <w:bCs/>
          <w:color w:val="000000" w:themeColor="text1"/>
          <w:spacing w:val="-12"/>
          <w:kern w:val="1"/>
          <w:sz w:val="22"/>
          <w:szCs w:val="22"/>
        </w:rPr>
        <w:t xml:space="preserve"> </w:t>
      </w:r>
      <w:r w:rsidRPr="00177A37">
        <w:rPr>
          <w:rFonts w:ascii="Arial" w:hAnsi="Arial" w:cs="Arial"/>
          <w:b/>
          <w:bCs/>
          <w:color w:val="000000" w:themeColor="text1"/>
          <w:kern w:val="1"/>
          <w:sz w:val="22"/>
          <w:szCs w:val="22"/>
        </w:rPr>
        <w:t>and</w:t>
      </w:r>
      <w:r w:rsidRPr="00177A37">
        <w:rPr>
          <w:rFonts w:ascii="Arial" w:hAnsi="Arial" w:cs="Arial"/>
          <w:b/>
          <w:bCs/>
          <w:color w:val="000000" w:themeColor="text1"/>
          <w:spacing w:val="-13"/>
          <w:kern w:val="1"/>
          <w:sz w:val="22"/>
          <w:szCs w:val="22"/>
        </w:rPr>
        <w:t xml:space="preserve"> </w:t>
      </w:r>
      <w:r w:rsidRPr="00177A37">
        <w:rPr>
          <w:rFonts w:ascii="Arial" w:hAnsi="Arial" w:cs="Arial"/>
          <w:b/>
          <w:bCs/>
          <w:color w:val="000000" w:themeColor="text1"/>
          <w:kern w:val="1"/>
          <w:sz w:val="22"/>
          <w:szCs w:val="22"/>
        </w:rPr>
        <w:t>lower</w:t>
      </w:r>
      <w:r w:rsidRPr="00177A37">
        <w:rPr>
          <w:rFonts w:ascii="Arial" w:hAnsi="Arial" w:cs="Arial"/>
          <w:b/>
          <w:bCs/>
          <w:color w:val="000000" w:themeColor="text1"/>
          <w:spacing w:val="-12"/>
          <w:kern w:val="1"/>
          <w:sz w:val="22"/>
          <w:szCs w:val="22"/>
        </w:rPr>
        <w:t xml:space="preserve"> FT4 </w:t>
      </w:r>
      <w:r w:rsidRPr="00177A37">
        <w:rPr>
          <w:rFonts w:ascii="Arial" w:hAnsi="Arial" w:cs="Arial"/>
          <w:b/>
          <w:bCs/>
          <w:color w:val="000000" w:themeColor="text1"/>
          <w:kern w:val="1"/>
          <w:sz w:val="22"/>
          <w:szCs w:val="22"/>
        </w:rPr>
        <w:t>reference limits (2.5–97.5%) from 43 published studies of FT4 measurements made</w:t>
      </w:r>
      <w:r w:rsidRPr="00177A37">
        <w:rPr>
          <w:rFonts w:ascii="Arial" w:hAnsi="Arial" w:cs="Arial"/>
          <w:b/>
          <w:bCs/>
          <w:color w:val="000000" w:themeColor="text1"/>
          <w:spacing w:val="-13"/>
          <w:kern w:val="1"/>
          <w:sz w:val="22"/>
          <w:szCs w:val="22"/>
        </w:rPr>
        <w:t xml:space="preserve"> </w:t>
      </w:r>
      <w:r w:rsidRPr="00177A37">
        <w:rPr>
          <w:rFonts w:ascii="Arial" w:hAnsi="Arial" w:cs="Arial"/>
          <w:b/>
          <w:bCs/>
          <w:color w:val="000000" w:themeColor="text1"/>
          <w:kern w:val="1"/>
          <w:sz w:val="22"/>
          <w:szCs w:val="22"/>
        </w:rPr>
        <w:t>in</w:t>
      </w:r>
      <w:r w:rsidRPr="00177A37">
        <w:rPr>
          <w:rFonts w:ascii="Arial" w:hAnsi="Arial" w:cs="Arial"/>
          <w:b/>
          <w:bCs/>
          <w:color w:val="000000" w:themeColor="text1"/>
          <w:spacing w:val="-12"/>
          <w:kern w:val="1"/>
          <w:sz w:val="22"/>
          <w:szCs w:val="22"/>
        </w:rPr>
        <w:t xml:space="preserve"> </w:t>
      </w:r>
      <w:r w:rsidRPr="00177A37">
        <w:rPr>
          <w:rFonts w:ascii="Arial" w:hAnsi="Arial" w:cs="Arial"/>
          <w:b/>
          <w:bCs/>
          <w:color w:val="000000" w:themeColor="text1"/>
          <w:kern w:val="1"/>
          <w:sz w:val="22"/>
          <w:szCs w:val="22"/>
        </w:rPr>
        <w:t>each</w:t>
      </w:r>
      <w:r w:rsidRPr="00177A37">
        <w:rPr>
          <w:rFonts w:ascii="Arial" w:hAnsi="Arial" w:cs="Arial"/>
          <w:b/>
          <w:bCs/>
          <w:color w:val="000000" w:themeColor="text1"/>
          <w:spacing w:val="-12"/>
          <w:kern w:val="1"/>
          <w:sz w:val="22"/>
          <w:szCs w:val="22"/>
        </w:rPr>
        <w:t xml:space="preserve"> </w:t>
      </w:r>
      <w:r w:rsidRPr="00177A37">
        <w:rPr>
          <w:rFonts w:ascii="Arial" w:hAnsi="Arial" w:cs="Arial"/>
          <w:b/>
          <w:bCs/>
          <w:color w:val="000000" w:themeColor="text1"/>
          <w:kern w:val="1"/>
          <w:sz w:val="22"/>
          <w:szCs w:val="22"/>
        </w:rPr>
        <w:t>trimester</w:t>
      </w:r>
      <w:r w:rsidRPr="00177A37">
        <w:rPr>
          <w:rFonts w:ascii="Arial" w:hAnsi="Arial" w:cs="Arial"/>
          <w:b/>
          <w:bCs/>
          <w:color w:val="000000" w:themeColor="text1"/>
          <w:spacing w:val="-12"/>
          <w:kern w:val="1"/>
          <w:sz w:val="22"/>
          <w:szCs w:val="22"/>
        </w:rPr>
        <w:t xml:space="preserve"> </w:t>
      </w:r>
      <w:r w:rsidRPr="00177A37">
        <w:rPr>
          <w:rFonts w:ascii="Arial" w:hAnsi="Arial" w:cs="Arial"/>
          <w:b/>
          <w:bCs/>
          <w:color w:val="000000" w:themeColor="text1"/>
          <w:kern w:val="1"/>
          <w:sz w:val="22"/>
          <w:szCs w:val="22"/>
        </w:rPr>
        <w:t>of pregnancy by four different methods: Abbott (1),</w:t>
      </w:r>
      <w:r w:rsidRPr="00177A37">
        <w:rPr>
          <w:rFonts w:ascii="Arial" w:hAnsi="Arial" w:cs="Arial"/>
          <w:b/>
          <w:bCs/>
          <w:color w:val="000000" w:themeColor="text1"/>
          <w:spacing w:val="-7"/>
          <w:kern w:val="1"/>
          <w:sz w:val="22"/>
          <w:szCs w:val="22"/>
        </w:rPr>
        <w:t xml:space="preserve"> </w:t>
      </w:r>
      <w:r w:rsidRPr="00177A37">
        <w:rPr>
          <w:rFonts w:ascii="Arial" w:hAnsi="Arial" w:cs="Arial"/>
          <w:b/>
          <w:bCs/>
          <w:color w:val="000000" w:themeColor="text1"/>
          <w:kern w:val="1"/>
          <w:sz w:val="22"/>
          <w:szCs w:val="22"/>
        </w:rPr>
        <w:t xml:space="preserve">Beckman (2), Roche (3) and Siemens (4). The data shows the expected trend for higher FT4 in the first trimester, resulting from thyroidal human chorionic gonadotropin </w:t>
      </w:r>
      <w:r>
        <w:rPr>
          <w:rFonts w:ascii="Arial" w:hAnsi="Arial" w:cs="Arial"/>
          <w:b/>
          <w:bCs/>
          <w:color w:val="000000" w:themeColor="text1"/>
          <w:kern w:val="1"/>
          <w:sz w:val="22"/>
          <w:szCs w:val="22"/>
        </w:rPr>
        <w:t xml:space="preserve">(HCG) </w:t>
      </w:r>
      <w:r w:rsidRPr="00177A37">
        <w:rPr>
          <w:rFonts w:ascii="Arial" w:hAnsi="Arial" w:cs="Arial"/>
          <w:b/>
          <w:bCs/>
          <w:color w:val="000000" w:themeColor="text1"/>
          <w:kern w:val="1"/>
          <w:sz w:val="22"/>
          <w:szCs w:val="22"/>
        </w:rPr>
        <w:t>stimulation which is maximal in early pregnancy. The data is re-drawn with permission from reference 156.</w:t>
      </w:r>
    </w:p>
    <w:p w14:paraId="1D4ACF49" w14:textId="77777777" w:rsidR="00DA1BD0" w:rsidRPr="00F82953" w:rsidRDefault="00DA1BD0" w:rsidP="00855098">
      <w:pPr>
        <w:autoSpaceDE w:val="0"/>
        <w:autoSpaceDN w:val="0"/>
        <w:adjustRightInd w:val="0"/>
        <w:spacing w:after="0" w:line="276" w:lineRule="auto"/>
        <w:rPr>
          <w:rFonts w:ascii="Arial" w:hAnsi="Arial" w:cs="Arial"/>
          <w:kern w:val="1"/>
          <w:sz w:val="22"/>
          <w:szCs w:val="22"/>
        </w:rPr>
      </w:pPr>
    </w:p>
    <w:p w14:paraId="4675DA1F" w14:textId="77777777" w:rsidR="000F0C0E" w:rsidRPr="005E403A" w:rsidRDefault="000F0C0E" w:rsidP="00855098">
      <w:pPr>
        <w:pStyle w:val="ListParagraph"/>
        <w:autoSpaceDE w:val="0"/>
        <w:autoSpaceDN w:val="0"/>
        <w:adjustRightInd w:val="0"/>
        <w:spacing w:after="0" w:line="276" w:lineRule="auto"/>
        <w:ind w:left="0"/>
        <w:rPr>
          <w:rFonts w:ascii="Arial" w:hAnsi="Arial" w:cs="Arial"/>
          <w:i/>
          <w:iCs/>
          <w:color w:val="FFC000"/>
          <w:kern w:val="1"/>
          <w:sz w:val="22"/>
          <w:szCs w:val="22"/>
        </w:rPr>
      </w:pPr>
      <w:r w:rsidRPr="005E403A">
        <w:rPr>
          <w:rFonts w:ascii="Arial" w:hAnsi="Arial" w:cs="Arial"/>
          <w:i/>
          <w:iCs/>
          <w:color w:val="FFC000"/>
          <w:kern w:val="1"/>
          <w:sz w:val="22"/>
          <w:szCs w:val="22"/>
        </w:rPr>
        <w:t>Hospitalized Patients with Nonthyroidal Illnesses (NTI)</w:t>
      </w:r>
    </w:p>
    <w:p w14:paraId="4E8B3891" w14:textId="77777777" w:rsidR="005E403A" w:rsidRDefault="005E403A" w:rsidP="005E403A">
      <w:pPr>
        <w:autoSpaceDE w:val="0"/>
        <w:autoSpaceDN w:val="0"/>
        <w:adjustRightInd w:val="0"/>
        <w:spacing w:after="0" w:line="276" w:lineRule="auto"/>
        <w:rPr>
          <w:rFonts w:ascii="Arial" w:hAnsi="Arial" w:cs="Arial"/>
          <w:kern w:val="1"/>
          <w:sz w:val="22"/>
          <w:szCs w:val="22"/>
        </w:rPr>
      </w:pPr>
    </w:p>
    <w:p w14:paraId="21BD78DB" w14:textId="6C6C99FC" w:rsidR="00C71492" w:rsidRPr="00F82953" w:rsidRDefault="000F0C0E" w:rsidP="005E403A">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The diagnostic performance of current FT4 methods has not been evaluated in hospitalized patients with NTI where the severity of illness, binding protein inhibitors</w:t>
      </w:r>
      <w:r w:rsidR="009165F3">
        <w:rPr>
          <w:rFonts w:ascii="Arial" w:hAnsi="Arial" w:cs="Arial"/>
          <w:kern w:val="1"/>
          <w:sz w:val="22"/>
          <w:szCs w:val="22"/>
        </w:rPr>
        <w:t>,</w:t>
      </w:r>
      <w:r w:rsidRPr="00F82953">
        <w:rPr>
          <w:rFonts w:ascii="Arial" w:hAnsi="Arial" w:cs="Arial"/>
          <w:kern w:val="1"/>
          <w:sz w:val="22"/>
          <w:szCs w:val="22"/>
        </w:rPr>
        <w:t xml:space="preserve"> and drug therapies can negatively impact the reliability of both thyroid hormone and TSH testing (10,30,62,90,122,132,181-183). Three categories of hospitalized patients deserve special attention: a) patients with NTI without known thyroid dysfunction who have a high or low T4 </w:t>
      </w:r>
      <w:r w:rsidRPr="00F82953">
        <w:rPr>
          <w:rFonts w:ascii="Arial" w:hAnsi="Arial" w:cs="Arial"/>
          <w:kern w:val="1"/>
          <w:sz w:val="22"/>
          <w:szCs w:val="22"/>
        </w:rPr>
        <w:lastRenderedPageBreak/>
        <w:t>status; b) patients with primary hypothyroidism and concurrent NTI and, c) patients with hyperthyroidism and concurrent NTI (13). Because the diagnostic reliability of FT4 testing is still questionable in sick hospitalized patients, a combination of both T4 (FT4 or TT4) and TSH may be needed to assess thyroid status in this setting (10,13).</w:t>
      </w:r>
    </w:p>
    <w:p w14:paraId="53B6FC7A" w14:textId="77777777" w:rsidR="005E403A" w:rsidRDefault="005E403A" w:rsidP="005E403A">
      <w:pPr>
        <w:autoSpaceDE w:val="0"/>
        <w:autoSpaceDN w:val="0"/>
        <w:adjustRightInd w:val="0"/>
        <w:spacing w:after="0" w:line="276" w:lineRule="auto"/>
        <w:rPr>
          <w:rFonts w:ascii="Arial" w:hAnsi="Arial" w:cs="Arial"/>
          <w:kern w:val="1"/>
          <w:sz w:val="22"/>
          <w:szCs w:val="22"/>
        </w:rPr>
      </w:pPr>
    </w:p>
    <w:p w14:paraId="402BC508" w14:textId="3D3CB0E0" w:rsidR="000F0C0E" w:rsidRDefault="000F0C0E" w:rsidP="005E403A">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In most clinical situations where FT4 and TSH results are discordant, the TSH test is the most diagnostically reliable, provided that the patient does not have pituitary failure or receiving medications such as glucocorticoids or dopamine that directly inhibit TSH secretion (110,142,181). Repetitive TSH testing may be helpful in resolving the cause of an abnormal FT4, because the TSH abnormalities of NTI are typically transient </w:t>
      </w:r>
      <w:r w:rsidRPr="00F82953">
        <w:rPr>
          <w:rFonts w:ascii="Arial" w:hAnsi="Arial" w:cs="Arial"/>
          <w:color w:val="000000" w:themeColor="text1"/>
          <w:kern w:val="1"/>
          <w:sz w:val="22"/>
          <w:szCs w:val="22"/>
        </w:rPr>
        <w:t xml:space="preserve">(Figure </w:t>
      </w:r>
      <w:r w:rsidR="007511CB">
        <w:rPr>
          <w:rFonts w:ascii="Arial" w:hAnsi="Arial" w:cs="Arial"/>
          <w:color w:val="000000" w:themeColor="text1"/>
          <w:kern w:val="1"/>
          <w:sz w:val="22"/>
          <w:szCs w:val="22"/>
        </w:rPr>
        <w:t>6</w:t>
      </w:r>
      <w:r w:rsidRPr="00F82953">
        <w:rPr>
          <w:rFonts w:ascii="Arial" w:hAnsi="Arial" w:cs="Arial"/>
          <w:color w:val="000000" w:themeColor="text1"/>
          <w:kern w:val="1"/>
          <w:sz w:val="22"/>
          <w:szCs w:val="22"/>
        </w:rPr>
        <w:t xml:space="preserve">b) </w:t>
      </w:r>
      <w:r w:rsidRPr="00F82953">
        <w:rPr>
          <w:rFonts w:ascii="Arial" w:hAnsi="Arial" w:cs="Arial"/>
          <w:kern w:val="1"/>
          <w:sz w:val="22"/>
          <w:szCs w:val="22"/>
        </w:rPr>
        <w:t xml:space="preserve">whereas the TSH abnormality will persist if due to underlying thyroid dysfunction (184-187). In some cases, it may be useful to test for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as a marker for underlying thyroid autoimmunity. </w:t>
      </w:r>
    </w:p>
    <w:p w14:paraId="003652A9" w14:textId="77777777" w:rsidR="00DE25E4" w:rsidRDefault="00DE25E4" w:rsidP="005E403A">
      <w:pPr>
        <w:autoSpaceDE w:val="0"/>
        <w:autoSpaceDN w:val="0"/>
        <w:adjustRightInd w:val="0"/>
        <w:spacing w:after="0" w:line="276" w:lineRule="auto"/>
        <w:rPr>
          <w:rFonts w:ascii="Arial" w:hAnsi="Arial" w:cs="Arial"/>
          <w:kern w:val="1"/>
          <w:sz w:val="22"/>
          <w:szCs w:val="22"/>
        </w:rPr>
      </w:pPr>
    </w:p>
    <w:p w14:paraId="58591387" w14:textId="77777777" w:rsidR="00DE25E4" w:rsidRPr="00F82953" w:rsidRDefault="00DE25E4" w:rsidP="00DE25E4">
      <w:pPr>
        <w:autoSpaceDE w:val="0"/>
        <w:autoSpaceDN w:val="0"/>
        <w:adjustRightInd w:val="0"/>
        <w:spacing w:after="0" w:line="276" w:lineRule="auto"/>
        <w:rPr>
          <w:rFonts w:ascii="Arial" w:hAnsi="Arial" w:cs="Arial"/>
          <w:b/>
          <w:bCs/>
          <w:kern w:val="1"/>
          <w:sz w:val="22"/>
          <w:szCs w:val="22"/>
        </w:rPr>
      </w:pPr>
      <w:r>
        <w:rPr>
          <w:rFonts w:ascii="Arial" w:hAnsi="Arial" w:cs="Arial"/>
          <w:b/>
          <w:bCs/>
          <w:noProof/>
          <w:kern w:val="1"/>
          <w:sz w:val="22"/>
          <w:szCs w:val="22"/>
        </w:rPr>
        <w:drawing>
          <wp:inline distT="0" distB="0" distL="0" distR="0" wp14:anchorId="2C6CC6EC" wp14:editId="0C01DA1D">
            <wp:extent cx="4334480" cy="4791744"/>
            <wp:effectExtent l="0" t="0" r="9525" b="8890"/>
            <wp:docPr id="2009725622" name="Picture 1103" descr="A diagram of recovery and recov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5622" name="Picture 1103" descr="A diagram of recovery and recovery&#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334480" cy="4791744"/>
                    </a:xfrm>
                    <a:prstGeom prst="rect">
                      <a:avLst/>
                    </a:prstGeom>
                  </pic:spPr>
                </pic:pic>
              </a:graphicData>
            </a:graphic>
          </wp:inline>
        </w:drawing>
      </w:r>
    </w:p>
    <w:p w14:paraId="6C4EF729" w14:textId="77777777" w:rsidR="00DE25E4" w:rsidRPr="005E3C31" w:rsidRDefault="00DE25E4" w:rsidP="00DE25E4">
      <w:pPr>
        <w:autoSpaceDE w:val="0"/>
        <w:autoSpaceDN w:val="0"/>
        <w:adjustRightInd w:val="0"/>
        <w:spacing w:after="0" w:line="276" w:lineRule="auto"/>
        <w:rPr>
          <w:rFonts w:ascii="Arial" w:hAnsi="Arial" w:cs="Arial"/>
          <w:b/>
          <w:bCs/>
          <w:color w:val="000000" w:themeColor="text1"/>
          <w:kern w:val="1"/>
          <w:sz w:val="22"/>
          <w:szCs w:val="22"/>
        </w:rPr>
      </w:pPr>
      <w:r w:rsidRPr="005E3C31">
        <w:rPr>
          <w:rFonts w:ascii="Arial" w:hAnsi="Arial" w:cs="Arial"/>
          <w:b/>
          <w:bCs/>
          <w:kern w:val="1"/>
          <w:sz w:val="22"/>
          <w:szCs w:val="22"/>
        </w:rPr>
        <w:t xml:space="preserve">Figure 6. Effects of Nonthyroidal Illness (NTI) on Thyroid Tests. Figure </w:t>
      </w:r>
      <w:r>
        <w:rPr>
          <w:rFonts w:ascii="Arial" w:hAnsi="Arial" w:cs="Arial"/>
          <w:b/>
          <w:bCs/>
          <w:kern w:val="1"/>
          <w:sz w:val="22"/>
          <w:szCs w:val="22"/>
        </w:rPr>
        <w:t>6</w:t>
      </w:r>
      <w:r w:rsidRPr="005E3C31">
        <w:rPr>
          <w:rFonts w:ascii="Arial" w:hAnsi="Arial" w:cs="Arial"/>
          <w:b/>
          <w:bCs/>
          <w:kern w:val="1"/>
          <w:sz w:val="22"/>
          <w:szCs w:val="22"/>
        </w:rPr>
        <w:t>a</w:t>
      </w:r>
      <w:r w:rsidRPr="005E3C31">
        <w:rPr>
          <w:rFonts w:ascii="Arial" w:hAnsi="Arial" w:cs="Arial"/>
          <w:b/>
          <w:bCs/>
          <w:color w:val="000000" w:themeColor="text1"/>
          <w:kern w:val="1"/>
          <w:sz w:val="22"/>
          <w:szCs w:val="22"/>
        </w:rPr>
        <w:t xml:space="preserve"> </w:t>
      </w:r>
      <w:r>
        <w:rPr>
          <w:rFonts w:ascii="Arial" w:hAnsi="Arial" w:cs="Arial"/>
          <w:b/>
          <w:bCs/>
          <w:color w:val="000000" w:themeColor="text1"/>
          <w:kern w:val="1"/>
          <w:sz w:val="22"/>
          <w:szCs w:val="22"/>
        </w:rPr>
        <w:t>s</w:t>
      </w:r>
      <w:r w:rsidRPr="005E3C31">
        <w:rPr>
          <w:rFonts w:ascii="Arial" w:hAnsi="Arial" w:cs="Arial"/>
          <w:b/>
          <w:bCs/>
          <w:color w:val="000000" w:themeColor="text1"/>
          <w:kern w:val="1"/>
          <w:sz w:val="22"/>
          <w:szCs w:val="22"/>
        </w:rPr>
        <w:t xml:space="preserve">hows the magnitude and direction of changes in total (TT4 and TT3) and free (FT4 and FT3) thyroid hormone IMA tests versus FT4 measured by the RMP (ED-ID-LC-MS/MS), as the severity of illness increases, followed by recovery. Figure </w:t>
      </w:r>
      <w:r>
        <w:rPr>
          <w:rFonts w:ascii="Arial" w:hAnsi="Arial" w:cs="Arial"/>
          <w:b/>
          <w:bCs/>
          <w:color w:val="000000" w:themeColor="text1"/>
          <w:kern w:val="1"/>
          <w:sz w:val="22"/>
          <w:szCs w:val="22"/>
        </w:rPr>
        <w:t>6b s</w:t>
      </w:r>
      <w:r w:rsidRPr="005E3C31">
        <w:rPr>
          <w:rFonts w:ascii="Arial" w:hAnsi="Arial" w:cs="Arial"/>
          <w:b/>
          <w:bCs/>
          <w:color w:val="000000" w:themeColor="text1"/>
          <w:kern w:val="1"/>
          <w:sz w:val="22"/>
          <w:szCs w:val="22"/>
        </w:rPr>
        <w:t xml:space="preserve">hows the magnitude and direction </w:t>
      </w:r>
      <w:r w:rsidRPr="005E3C31">
        <w:rPr>
          <w:rFonts w:ascii="Arial" w:hAnsi="Arial" w:cs="Arial"/>
          <w:b/>
          <w:bCs/>
          <w:color w:val="000000" w:themeColor="text1"/>
          <w:kern w:val="1"/>
          <w:sz w:val="22"/>
          <w:szCs w:val="22"/>
        </w:rPr>
        <w:lastRenderedPageBreak/>
        <w:t>of TSH changes as the severity of illness increases, followed by recovery. Data redrawn from reference 188 with permission.</w:t>
      </w:r>
    </w:p>
    <w:p w14:paraId="0CF97062" w14:textId="77777777" w:rsidR="00DE25E4" w:rsidRPr="00F82953" w:rsidRDefault="00DE25E4" w:rsidP="005E403A">
      <w:pPr>
        <w:autoSpaceDE w:val="0"/>
        <w:autoSpaceDN w:val="0"/>
        <w:adjustRightInd w:val="0"/>
        <w:spacing w:after="0" w:line="276" w:lineRule="auto"/>
        <w:rPr>
          <w:rFonts w:ascii="Arial" w:hAnsi="Arial" w:cs="Arial"/>
          <w:kern w:val="1"/>
          <w:sz w:val="22"/>
          <w:szCs w:val="22"/>
        </w:rPr>
      </w:pPr>
    </w:p>
    <w:p w14:paraId="41B515EA" w14:textId="77777777" w:rsidR="000F0C0E" w:rsidRPr="00D34BB9" w:rsidRDefault="000F0C0E" w:rsidP="005E403A">
      <w:pPr>
        <w:pStyle w:val="ListParagraph"/>
        <w:autoSpaceDE w:val="0"/>
        <w:autoSpaceDN w:val="0"/>
        <w:adjustRightInd w:val="0"/>
        <w:spacing w:after="0" w:line="276" w:lineRule="auto"/>
        <w:ind w:left="0"/>
        <w:rPr>
          <w:rFonts w:ascii="Arial" w:hAnsi="Arial" w:cs="Arial"/>
          <w:i/>
          <w:iCs/>
          <w:kern w:val="1"/>
          <w:sz w:val="22"/>
          <w:szCs w:val="22"/>
        </w:rPr>
      </w:pPr>
      <w:r w:rsidRPr="00D34BB9">
        <w:rPr>
          <w:rFonts w:ascii="Arial" w:hAnsi="Arial" w:cs="Arial"/>
          <w:i/>
          <w:iCs/>
          <w:color w:val="FFC000"/>
          <w:kern w:val="1"/>
          <w:sz w:val="22"/>
          <w:szCs w:val="22"/>
        </w:rPr>
        <w:t>Pediatric Patients</w:t>
      </w:r>
    </w:p>
    <w:p w14:paraId="181742E0" w14:textId="77777777" w:rsidR="00D34BB9" w:rsidRDefault="00D34BB9" w:rsidP="00D34BB9">
      <w:pPr>
        <w:autoSpaceDE w:val="0"/>
        <w:autoSpaceDN w:val="0"/>
        <w:adjustRightInd w:val="0"/>
        <w:spacing w:after="0" w:line="276" w:lineRule="auto"/>
        <w:rPr>
          <w:rFonts w:ascii="Arial" w:hAnsi="Arial" w:cs="Arial"/>
          <w:kern w:val="1"/>
          <w:sz w:val="22"/>
          <w:szCs w:val="22"/>
        </w:rPr>
      </w:pPr>
    </w:p>
    <w:p w14:paraId="5B168780" w14:textId="195CD414" w:rsidR="000F0C0E" w:rsidRPr="00F82953" w:rsidRDefault="00D34BB9" w:rsidP="00D34BB9">
      <w:pPr>
        <w:autoSpaceDE w:val="0"/>
        <w:autoSpaceDN w:val="0"/>
        <w:adjustRightInd w:val="0"/>
        <w:spacing w:after="0" w:line="276" w:lineRule="auto"/>
        <w:rPr>
          <w:rFonts w:ascii="Arial" w:hAnsi="Arial" w:cs="Arial"/>
          <w:b/>
          <w:bCs/>
          <w:kern w:val="1"/>
          <w:sz w:val="22"/>
          <w:szCs w:val="22"/>
        </w:rPr>
      </w:pPr>
      <w:r>
        <w:rPr>
          <w:rFonts w:ascii="Arial" w:hAnsi="Arial" w:cs="Arial"/>
          <w:kern w:val="1"/>
          <w:sz w:val="22"/>
          <w:szCs w:val="22"/>
        </w:rPr>
        <w:t>T</w:t>
      </w:r>
      <w:r w:rsidR="000F0C0E" w:rsidRPr="00F82953">
        <w:rPr>
          <w:rFonts w:ascii="Arial" w:hAnsi="Arial" w:cs="Arial"/>
          <w:kern w:val="1"/>
          <w:sz w:val="22"/>
          <w:szCs w:val="22"/>
        </w:rPr>
        <w:t xml:space="preserve">he determination of normal reference limits for pediatric </w:t>
      </w:r>
      <w:r w:rsidR="00DE2EA7" w:rsidRPr="00F82953">
        <w:rPr>
          <w:rFonts w:ascii="Arial" w:hAnsi="Arial" w:cs="Arial"/>
          <w:kern w:val="1"/>
          <w:sz w:val="22"/>
          <w:szCs w:val="22"/>
        </w:rPr>
        <w:t>age groups</w:t>
      </w:r>
      <w:r w:rsidR="000F0C0E" w:rsidRPr="00F82953">
        <w:rPr>
          <w:rFonts w:ascii="Arial" w:hAnsi="Arial" w:cs="Arial"/>
          <w:kern w:val="1"/>
          <w:sz w:val="22"/>
          <w:szCs w:val="22"/>
        </w:rPr>
        <w:t xml:space="preserve"> is especially challenging, given the limited number of studies involving large numbers of healthy children (175-177). Most studies report that serum TSH peaks after birth and steadily declines throughout childhood to reach adult levels at puberty. Likewise, FT3 declines across the pediatric age groups during childhood and approaches the adult range at puberty, whereas FT4 levels for infants less than a year old are higher than for children 1 to 18 years old who have FT4 comparable to adults (175-180). </w:t>
      </w:r>
    </w:p>
    <w:p w14:paraId="24343768" w14:textId="77777777" w:rsidR="000F0C0E" w:rsidRPr="00F82953" w:rsidRDefault="000F0C0E" w:rsidP="00F82953">
      <w:pPr>
        <w:autoSpaceDE w:val="0"/>
        <w:autoSpaceDN w:val="0"/>
        <w:adjustRightInd w:val="0"/>
        <w:spacing w:after="0" w:line="276" w:lineRule="auto"/>
        <w:rPr>
          <w:rFonts w:ascii="Arial" w:hAnsi="Arial" w:cs="Arial"/>
          <w:b/>
          <w:bCs/>
          <w:kern w:val="1"/>
          <w:sz w:val="22"/>
          <w:szCs w:val="22"/>
        </w:rPr>
      </w:pPr>
    </w:p>
    <w:p w14:paraId="3E5AC4A4" w14:textId="104306DB" w:rsidR="005C4829" w:rsidRPr="00470E2D" w:rsidRDefault="005C4829" w:rsidP="00F82953">
      <w:pPr>
        <w:autoSpaceDE w:val="0"/>
        <w:autoSpaceDN w:val="0"/>
        <w:adjustRightInd w:val="0"/>
        <w:spacing w:after="0" w:line="276" w:lineRule="auto"/>
        <w:rPr>
          <w:rFonts w:ascii="Arial" w:hAnsi="Arial" w:cs="Arial"/>
          <w:b/>
          <w:bCs/>
          <w:color w:val="00B050"/>
          <w:kern w:val="1"/>
          <w:sz w:val="22"/>
          <w:szCs w:val="22"/>
        </w:rPr>
      </w:pPr>
      <w:r w:rsidRPr="00470E2D">
        <w:rPr>
          <w:rFonts w:ascii="Arial" w:hAnsi="Arial" w:cs="Arial"/>
          <w:b/>
          <w:bCs/>
          <w:color w:val="00B050"/>
          <w:kern w:val="1"/>
          <w:sz w:val="22"/>
          <w:szCs w:val="22"/>
        </w:rPr>
        <w:t>Interferences with Thyroid Hormone Tests</w:t>
      </w:r>
    </w:p>
    <w:p w14:paraId="3B369A73"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8D00392"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Only the ordering physician can suspect interference with a test result and request that the laboratory perform interference checks. This is because the hallmark of interference is discordance between the test result and the clinical presentation of the patient, and most specimens are sent to the laboratory with no clinical information. Failure to recognize interferences can have adverse clinical consequences (91,146,189-197). </w:t>
      </w:r>
    </w:p>
    <w:p w14:paraId="1F25D10E"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08D1D7D6"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Laboratory checks for interferences include, a) showing a discordance between different manufacturers methods (196,198-200), b) re-measurement of the analyte after adding a blocker of Heterophile antibodies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(196,200,201), c) performing linearity studies or d) precipitating interfering immunoglobulins with polyethylene glycol (PEG) (196,198). A change in the analyte concentration in response to any one of these maneuvers suggests interference, but a lack of an effect does not rule out interference. </w:t>
      </w:r>
    </w:p>
    <w:p w14:paraId="7551E6B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20DAAC3"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Interferences can be classified as either (a) non-analyte-specific, or (b) analyte-specific (191,195,199). </w:t>
      </w:r>
    </w:p>
    <w:p w14:paraId="415CED68"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 </w:t>
      </w:r>
    </w:p>
    <w:p w14:paraId="6B527F68" w14:textId="37B7EF9D" w:rsidR="005C4829" w:rsidRPr="0038344D" w:rsidRDefault="005C4829" w:rsidP="00F82953">
      <w:pPr>
        <w:autoSpaceDE w:val="0"/>
        <w:autoSpaceDN w:val="0"/>
        <w:adjustRightInd w:val="0"/>
        <w:spacing w:after="0" w:line="276" w:lineRule="auto"/>
        <w:rPr>
          <w:rFonts w:ascii="Arial" w:hAnsi="Arial" w:cs="Arial"/>
          <w:color w:val="FF0000"/>
          <w:kern w:val="1"/>
          <w:sz w:val="22"/>
          <w:szCs w:val="22"/>
        </w:rPr>
      </w:pPr>
      <w:r w:rsidRPr="0038344D">
        <w:rPr>
          <w:rFonts w:ascii="Arial" w:hAnsi="Arial" w:cs="Arial"/>
          <w:color w:val="FF0000"/>
          <w:kern w:val="1"/>
          <w:sz w:val="22"/>
          <w:szCs w:val="22"/>
        </w:rPr>
        <w:t>N</w:t>
      </w:r>
      <w:r w:rsidR="0038344D" w:rsidRPr="0038344D">
        <w:rPr>
          <w:rFonts w:ascii="Arial" w:hAnsi="Arial" w:cs="Arial"/>
          <w:color w:val="FF0000"/>
          <w:kern w:val="1"/>
          <w:sz w:val="22"/>
          <w:szCs w:val="22"/>
        </w:rPr>
        <w:t xml:space="preserve">ON-ANALYTE SPECIFIC INTERFERENCES </w:t>
      </w:r>
    </w:p>
    <w:p w14:paraId="0AB9FB20" w14:textId="77777777" w:rsidR="0038344D" w:rsidRDefault="0038344D" w:rsidP="0038344D">
      <w:pPr>
        <w:autoSpaceDE w:val="0"/>
        <w:autoSpaceDN w:val="0"/>
        <w:adjustRightInd w:val="0"/>
        <w:spacing w:after="0" w:line="276" w:lineRule="auto"/>
        <w:rPr>
          <w:rFonts w:ascii="Arial" w:hAnsi="Arial" w:cs="Arial"/>
          <w:b/>
          <w:bCs/>
          <w:i/>
          <w:iCs/>
          <w:kern w:val="1"/>
          <w:sz w:val="22"/>
          <w:szCs w:val="22"/>
        </w:rPr>
      </w:pPr>
    </w:p>
    <w:p w14:paraId="56EEB5E9" w14:textId="11853C50" w:rsidR="005C4829" w:rsidRPr="0038344D" w:rsidRDefault="005C4829" w:rsidP="0038344D">
      <w:pPr>
        <w:autoSpaceDE w:val="0"/>
        <w:autoSpaceDN w:val="0"/>
        <w:adjustRightInd w:val="0"/>
        <w:spacing w:after="0" w:line="276" w:lineRule="auto"/>
        <w:rPr>
          <w:rFonts w:ascii="Arial" w:hAnsi="Arial" w:cs="Arial"/>
          <w:i/>
          <w:iCs/>
          <w:color w:val="FFC000"/>
          <w:kern w:val="1"/>
          <w:sz w:val="22"/>
          <w:szCs w:val="22"/>
        </w:rPr>
      </w:pPr>
      <w:r w:rsidRPr="0038344D">
        <w:rPr>
          <w:rFonts w:ascii="Arial" w:hAnsi="Arial" w:cs="Arial"/>
          <w:i/>
          <w:iCs/>
          <w:color w:val="FFC000"/>
          <w:kern w:val="1"/>
          <w:sz w:val="22"/>
          <w:szCs w:val="22"/>
        </w:rPr>
        <w:t xml:space="preserve">Protein Interferences </w:t>
      </w:r>
    </w:p>
    <w:p w14:paraId="0747BC62" w14:textId="77777777" w:rsidR="0038344D" w:rsidRDefault="0038344D" w:rsidP="00F82953">
      <w:pPr>
        <w:autoSpaceDE w:val="0"/>
        <w:autoSpaceDN w:val="0"/>
        <w:adjustRightInd w:val="0"/>
        <w:spacing w:after="0" w:line="276" w:lineRule="auto"/>
        <w:rPr>
          <w:rFonts w:ascii="Arial" w:hAnsi="Arial" w:cs="Arial"/>
          <w:kern w:val="1"/>
          <w:sz w:val="22"/>
          <w:szCs w:val="22"/>
        </w:rPr>
      </w:pPr>
    </w:p>
    <w:p w14:paraId="1EC59286" w14:textId="1BE3A543"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Either paraproteins or abnormal immunoglobulins can interfere with immunoassays (90,202-205).</w:t>
      </w:r>
    </w:p>
    <w:p w14:paraId="1C92E138"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9D6E035" w14:textId="5D0EC4D8" w:rsidR="005C4829" w:rsidRPr="00F82953" w:rsidRDefault="005C4829" w:rsidP="00F82953">
      <w:pPr>
        <w:autoSpaceDE w:val="0"/>
        <w:autoSpaceDN w:val="0"/>
        <w:adjustRightInd w:val="0"/>
        <w:spacing w:after="0" w:line="276" w:lineRule="auto"/>
        <w:rPr>
          <w:rFonts w:ascii="Arial" w:hAnsi="Arial" w:cs="Arial"/>
          <w:i/>
          <w:iCs/>
          <w:kern w:val="1"/>
          <w:sz w:val="22"/>
          <w:szCs w:val="22"/>
        </w:rPr>
      </w:pPr>
      <w:r w:rsidRPr="00DF2E68">
        <w:rPr>
          <w:rFonts w:ascii="Arial" w:hAnsi="Arial" w:cs="Arial"/>
          <w:kern w:val="1"/>
          <w:sz w:val="22"/>
          <w:szCs w:val="22"/>
        </w:rPr>
        <w:t>Congenital TBG excess or deficiency:</w:t>
      </w:r>
      <w:r w:rsidRPr="00F82953">
        <w:rPr>
          <w:rFonts w:ascii="Arial" w:hAnsi="Arial" w:cs="Arial"/>
          <w:i/>
          <w:iCs/>
          <w:kern w:val="1"/>
          <w:sz w:val="22"/>
          <w:szCs w:val="22"/>
        </w:rPr>
        <w:t xml:space="preserve"> </w:t>
      </w:r>
      <w:r w:rsidRPr="00F82953">
        <w:rPr>
          <w:rFonts w:ascii="Arial" w:hAnsi="Arial" w:cs="Arial"/>
          <w:kern w:val="1"/>
          <w:sz w:val="22"/>
          <w:szCs w:val="22"/>
        </w:rPr>
        <w:t>Free hormone immunoassays and free T4 index tests may be susceptible to interference from grossly abnormal TBG concentrations, such as seen in congenital TBG excess or deficiency states (26,62,103,148,149).</w:t>
      </w:r>
    </w:p>
    <w:p w14:paraId="53643A4D"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71D8F23" w14:textId="7DB91CA2" w:rsidR="005C4829" w:rsidRPr="00F82953" w:rsidRDefault="005C4829" w:rsidP="00F82953">
      <w:pPr>
        <w:autoSpaceDE w:val="0"/>
        <w:autoSpaceDN w:val="0"/>
        <w:adjustRightInd w:val="0"/>
        <w:spacing w:after="0" w:line="276" w:lineRule="auto"/>
        <w:rPr>
          <w:rFonts w:ascii="Arial" w:hAnsi="Arial" w:cs="Arial"/>
          <w:i/>
          <w:iCs/>
          <w:kern w:val="1"/>
          <w:sz w:val="22"/>
          <w:szCs w:val="22"/>
        </w:rPr>
      </w:pPr>
      <w:r w:rsidRPr="00DF2E68">
        <w:rPr>
          <w:rFonts w:ascii="Arial" w:hAnsi="Arial" w:cs="Arial"/>
          <w:kern w:val="1"/>
          <w:sz w:val="22"/>
          <w:szCs w:val="22"/>
        </w:rPr>
        <w:t>Pregnancy:</w:t>
      </w:r>
      <w:r w:rsidRPr="00F82953">
        <w:rPr>
          <w:rFonts w:ascii="Arial" w:hAnsi="Arial" w:cs="Arial"/>
          <w:i/>
          <w:iCs/>
          <w:kern w:val="1"/>
          <w:sz w:val="22"/>
          <w:szCs w:val="22"/>
        </w:rPr>
        <w:t xml:space="preserve"> </w:t>
      </w:r>
      <w:r w:rsidRPr="00F82953">
        <w:rPr>
          <w:rFonts w:ascii="Arial" w:hAnsi="Arial" w:cs="Arial"/>
          <w:kern w:val="1"/>
          <w:sz w:val="22"/>
          <w:szCs w:val="22"/>
        </w:rPr>
        <w:t xml:space="preserve">Estrogen stimulation </w:t>
      </w:r>
      <w:r w:rsidR="00DF2E68">
        <w:rPr>
          <w:rFonts w:ascii="Arial" w:hAnsi="Arial" w:cs="Arial"/>
          <w:kern w:val="1"/>
          <w:sz w:val="22"/>
          <w:szCs w:val="22"/>
        </w:rPr>
        <w:t>increases</w:t>
      </w:r>
      <w:r w:rsidRPr="00F82953">
        <w:rPr>
          <w:rFonts w:ascii="Arial" w:hAnsi="Arial" w:cs="Arial"/>
          <w:kern w:val="1"/>
          <w:sz w:val="22"/>
          <w:szCs w:val="22"/>
        </w:rPr>
        <w:t xml:space="preserve"> TBG, and consequently both TT4 and TT3, concentratio</w:t>
      </w:r>
      <w:r w:rsidR="00C333E7">
        <w:rPr>
          <w:rFonts w:ascii="Arial" w:hAnsi="Arial" w:cs="Arial"/>
          <w:kern w:val="1"/>
          <w:sz w:val="22"/>
          <w:szCs w:val="22"/>
        </w:rPr>
        <w:t xml:space="preserve">ns </w:t>
      </w:r>
      <w:r w:rsidRPr="00F82953">
        <w:rPr>
          <w:rFonts w:ascii="Arial" w:hAnsi="Arial" w:cs="Arial"/>
          <w:kern w:val="1"/>
          <w:sz w:val="22"/>
          <w:szCs w:val="22"/>
        </w:rPr>
        <w:t xml:space="preserve">progressively rise to plateau at 2.5-fold pre-pregnancy values by mid-gestation </w:t>
      </w:r>
      <w:r w:rsidRPr="00F82953">
        <w:rPr>
          <w:rFonts w:ascii="Arial" w:hAnsi="Arial" w:cs="Arial"/>
          <w:kern w:val="1"/>
          <w:sz w:val="22"/>
          <w:szCs w:val="22"/>
        </w:rPr>
        <w:lastRenderedPageBreak/>
        <w:t xml:space="preserve">(73). Despite the rise in total hormone, both FT4 and FT3 decline during gestation, in accordance with the law of mass action (73,157,158,206,207). However, the degree of FT4 decline during pregnancy is variable and method-dependent </w:t>
      </w:r>
      <w:r w:rsidRPr="00F82953">
        <w:rPr>
          <w:rFonts w:ascii="Arial" w:hAnsi="Arial" w:cs="Arial"/>
          <w:color w:val="000000" w:themeColor="text1"/>
          <w:kern w:val="1"/>
          <w:sz w:val="22"/>
          <w:szCs w:val="22"/>
        </w:rPr>
        <w:t xml:space="preserve">(Figure </w:t>
      </w:r>
      <w:r w:rsidR="00D742BC">
        <w:rPr>
          <w:rFonts w:ascii="Arial" w:hAnsi="Arial" w:cs="Arial"/>
          <w:color w:val="000000" w:themeColor="text1"/>
          <w:kern w:val="1"/>
          <w:sz w:val="22"/>
          <w:szCs w:val="22"/>
        </w:rPr>
        <w:t>5</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The declining albumin concentrations typical of late gestation also affect some methods (208). </w:t>
      </w:r>
    </w:p>
    <w:p w14:paraId="5409128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7B186C3A" w14:textId="7DA76B15" w:rsidR="005C4829" w:rsidRPr="00F82953" w:rsidRDefault="005C4829" w:rsidP="00F82953">
      <w:pPr>
        <w:autoSpaceDE w:val="0"/>
        <w:autoSpaceDN w:val="0"/>
        <w:adjustRightInd w:val="0"/>
        <w:spacing w:after="0" w:line="276" w:lineRule="auto"/>
        <w:rPr>
          <w:rFonts w:ascii="Arial" w:hAnsi="Arial" w:cs="Arial"/>
          <w:i/>
          <w:iCs/>
          <w:kern w:val="1"/>
          <w:sz w:val="22"/>
          <w:szCs w:val="22"/>
        </w:rPr>
      </w:pPr>
      <w:r w:rsidRPr="00D742BC">
        <w:rPr>
          <w:rFonts w:ascii="Arial" w:hAnsi="Arial" w:cs="Arial"/>
          <w:kern w:val="1"/>
          <w:sz w:val="22"/>
          <w:szCs w:val="22"/>
        </w:rPr>
        <w:t xml:space="preserve">Familial </w:t>
      </w:r>
      <w:proofErr w:type="spellStart"/>
      <w:r w:rsidRPr="00D742BC">
        <w:rPr>
          <w:rFonts w:ascii="Arial" w:hAnsi="Arial" w:cs="Arial"/>
          <w:kern w:val="1"/>
          <w:sz w:val="22"/>
          <w:szCs w:val="22"/>
        </w:rPr>
        <w:t>Dysalbuminemias</w:t>
      </w:r>
      <w:proofErr w:type="spellEnd"/>
      <w:r w:rsidRPr="00D742BC">
        <w:rPr>
          <w:rFonts w:ascii="Arial" w:hAnsi="Arial" w:cs="Arial"/>
          <w:kern w:val="1"/>
          <w:sz w:val="22"/>
          <w:szCs w:val="22"/>
        </w:rPr>
        <w:t xml:space="preserve"> and Transthyretin </w:t>
      </w:r>
      <w:proofErr w:type="spellStart"/>
      <w:r w:rsidRPr="00D742BC">
        <w:rPr>
          <w:rFonts w:ascii="Arial" w:hAnsi="Arial" w:cs="Arial"/>
          <w:kern w:val="1"/>
          <w:sz w:val="22"/>
          <w:szCs w:val="22"/>
        </w:rPr>
        <w:t>Hyperthyroxinemias</w:t>
      </w:r>
      <w:proofErr w:type="spellEnd"/>
      <w:r w:rsidRPr="00F82953">
        <w:rPr>
          <w:rFonts w:ascii="Arial" w:hAnsi="Arial" w:cs="Arial"/>
          <w:b/>
          <w:bCs/>
          <w:i/>
          <w:iCs/>
          <w:kern w:val="1"/>
          <w:sz w:val="22"/>
          <w:szCs w:val="22"/>
        </w:rPr>
        <w:t>:</w:t>
      </w:r>
      <w:r w:rsidRPr="00F82953">
        <w:rPr>
          <w:rFonts w:ascii="Arial" w:hAnsi="Arial" w:cs="Arial"/>
          <w:i/>
          <w:iCs/>
          <w:kern w:val="1"/>
          <w:sz w:val="22"/>
          <w:szCs w:val="22"/>
        </w:rPr>
        <w:t xml:space="preserve">  </w:t>
      </w:r>
      <w:r w:rsidRPr="00F82953">
        <w:rPr>
          <w:rFonts w:ascii="Arial" w:hAnsi="Arial" w:cs="Arial"/>
          <w:kern w:val="1"/>
          <w:sz w:val="22"/>
          <w:szCs w:val="22"/>
        </w:rPr>
        <w:t xml:space="preserve">Autosomal dominant mutations in the albumin or transthyretin (prealbumin) gene (209) can result in altered protein structures with enhanced affinity for thyroxine and/or triiodothyronine. These abnormal proteins can interfere with FT4 and/or FT3 measurements and result in inappropriately high FT4 and/or FT3 immunoassay values (105,151,210-212). Familial </w:t>
      </w:r>
      <w:proofErr w:type="spellStart"/>
      <w:r w:rsidRPr="00F82953">
        <w:rPr>
          <w:rFonts w:ascii="Arial" w:hAnsi="Arial" w:cs="Arial"/>
          <w:kern w:val="1"/>
          <w:sz w:val="22"/>
          <w:szCs w:val="22"/>
        </w:rPr>
        <w:t>Dysalbuminemic</w:t>
      </w:r>
      <w:proofErr w:type="spellEnd"/>
      <w:r w:rsidRPr="00F82953">
        <w:rPr>
          <w:rFonts w:ascii="Arial" w:hAnsi="Arial" w:cs="Arial"/>
          <w:kern w:val="1"/>
          <w:sz w:val="22"/>
          <w:szCs w:val="22"/>
        </w:rPr>
        <w:t xml:space="preserve"> </w:t>
      </w:r>
      <w:proofErr w:type="spellStart"/>
      <w:r w:rsidRPr="00F82953">
        <w:rPr>
          <w:rFonts w:ascii="Arial" w:hAnsi="Arial" w:cs="Arial"/>
          <w:kern w:val="1"/>
          <w:sz w:val="22"/>
          <w:szCs w:val="22"/>
        </w:rPr>
        <w:t>Hyperthyroxinemia</w:t>
      </w:r>
      <w:proofErr w:type="spellEnd"/>
      <w:r w:rsidRPr="00F82953">
        <w:rPr>
          <w:rFonts w:ascii="Arial" w:hAnsi="Arial" w:cs="Arial"/>
          <w:kern w:val="1"/>
          <w:sz w:val="22"/>
          <w:szCs w:val="22"/>
        </w:rPr>
        <w:t xml:space="preserve"> (FDH) is a rare condition with a prevalence of ~1.8 percent in the Hispanic population (119,213). It arises from a few genetic variants in the albumin gene, with the R218H being the most common. Some variants result in extremely high TT4, whereas other mutations (i.e. L66P) affect mainly </w:t>
      </w:r>
      <w:r w:rsidR="003E4D84">
        <w:rPr>
          <w:rFonts w:ascii="Arial" w:hAnsi="Arial" w:cs="Arial"/>
          <w:kern w:val="1"/>
          <w:sz w:val="22"/>
          <w:szCs w:val="22"/>
        </w:rPr>
        <w:t>T</w:t>
      </w:r>
      <w:r w:rsidRPr="00F82953">
        <w:rPr>
          <w:rFonts w:ascii="Arial" w:hAnsi="Arial" w:cs="Arial"/>
          <w:kern w:val="1"/>
          <w:sz w:val="22"/>
          <w:szCs w:val="22"/>
        </w:rPr>
        <w:t>T3 (150). Affected individuals are euthyroid and have normal TSH and FT4 when measured by direct techniques such as equilibrium dialysis (105). Unfortunately, most FT4 estimate tests (immunoassays and indexes) report falsely high values for FDH patients that may prompt inappropriate treatment for presumed hyperthyroidism if the condition is not recognized (105,119).</w:t>
      </w:r>
    </w:p>
    <w:p w14:paraId="72FCED32"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C24883A" w14:textId="1701EF37" w:rsidR="005C4829" w:rsidRPr="0038344D" w:rsidRDefault="005C4829" w:rsidP="0038344D">
      <w:pPr>
        <w:autoSpaceDE w:val="0"/>
        <w:autoSpaceDN w:val="0"/>
        <w:adjustRightInd w:val="0"/>
        <w:spacing w:after="0" w:line="276" w:lineRule="auto"/>
        <w:rPr>
          <w:rFonts w:ascii="Arial" w:hAnsi="Arial" w:cs="Arial"/>
          <w:i/>
          <w:iCs/>
          <w:color w:val="FFC000"/>
          <w:kern w:val="1"/>
          <w:sz w:val="22"/>
          <w:szCs w:val="22"/>
        </w:rPr>
      </w:pPr>
      <w:r w:rsidRPr="0038344D">
        <w:rPr>
          <w:rFonts w:ascii="Arial" w:hAnsi="Arial" w:cs="Arial"/>
          <w:i/>
          <w:iCs/>
          <w:color w:val="FFC000"/>
          <w:kern w:val="1"/>
          <w:sz w:val="22"/>
          <w:szCs w:val="22"/>
        </w:rPr>
        <w:t>Heterophile Antibodies (</w:t>
      </w:r>
      <w:proofErr w:type="spellStart"/>
      <w:r w:rsidRPr="0038344D">
        <w:rPr>
          <w:rFonts w:ascii="Arial" w:hAnsi="Arial" w:cs="Arial"/>
          <w:i/>
          <w:iCs/>
          <w:color w:val="FFC000"/>
          <w:kern w:val="1"/>
          <w:sz w:val="22"/>
          <w:szCs w:val="22"/>
        </w:rPr>
        <w:t>HAb</w:t>
      </w:r>
      <w:proofErr w:type="spellEnd"/>
      <w:r w:rsidRPr="0038344D">
        <w:rPr>
          <w:rFonts w:ascii="Arial" w:hAnsi="Arial" w:cs="Arial"/>
          <w:i/>
          <w:iCs/>
          <w:color w:val="FFC000"/>
          <w:kern w:val="1"/>
          <w:sz w:val="22"/>
          <w:szCs w:val="22"/>
        </w:rPr>
        <w:t>)</w:t>
      </w:r>
    </w:p>
    <w:p w14:paraId="5D2CA607" w14:textId="77777777" w:rsidR="0038344D" w:rsidRDefault="0038344D" w:rsidP="00F82953">
      <w:pPr>
        <w:autoSpaceDE w:val="0"/>
        <w:autoSpaceDN w:val="0"/>
        <w:adjustRightInd w:val="0"/>
        <w:spacing w:after="0" w:line="276" w:lineRule="auto"/>
        <w:rPr>
          <w:rFonts w:ascii="Arial" w:hAnsi="Arial" w:cs="Arial"/>
          <w:kern w:val="1"/>
          <w:sz w:val="22"/>
          <w:szCs w:val="22"/>
        </w:rPr>
      </w:pPr>
    </w:p>
    <w:p w14:paraId="508B1D05" w14:textId="70BC7866"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It is well recognized that heterophile antibodies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 human poly-specific antibodies targeting animal antigens, can interfere with immunometric assays causing falsely high/positive or falsely low/negative test results (214,215). The most common interferant is human anti-mouse antibodies (HAMA) (199,215-220). Rheumatoid factor (RF), an immunoglobulin commonly associated with autoimmune conditions, is also considered a heterophile antibody that can interfere by targeting human antigens (199,217,221,222). Although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usually causes false positive tests, false-negative tests have also been reported (214).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has been shown to interfere with multiple endocrine tests that use IMA principles, including free and total thyroid hormones, TSH, </w:t>
      </w:r>
      <w:proofErr w:type="spellStart"/>
      <w:r w:rsidRPr="00F82953">
        <w:rPr>
          <w:rFonts w:ascii="Arial" w:hAnsi="Arial" w:cs="Arial"/>
          <w:kern w:val="1"/>
          <w:sz w:val="22"/>
          <w:szCs w:val="22"/>
        </w:rPr>
        <w:t>Tg</w:t>
      </w:r>
      <w:proofErr w:type="spellEnd"/>
      <w:r w:rsidR="004A5FD6">
        <w:rPr>
          <w:rFonts w:ascii="Arial" w:hAnsi="Arial" w:cs="Arial"/>
          <w:kern w:val="1"/>
          <w:sz w:val="22"/>
          <w:szCs w:val="22"/>
        </w:rPr>
        <w:t>,</w:t>
      </w:r>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(138,193,200,214,221,223-225). The prevalence of </w:t>
      </w:r>
      <w:proofErr w:type="spellStart"/>
      <w:r w:rsidRPr="00F82953">
        <w:rPr>
          <w:rFonts w:ascii="Arial" w:hAnsi="Arial" w:cs="Arial"/>
          <w:kern w:val="1"/>
          <w:sz w:val="22"/>
          <w:szCs w:val="22"/>
        </w:rPr>
        <w:t>HAbs</w:t>
      </w:r>
      <w:proofErr w:type="spellEnd"/>
      <w:r w:rsidRPr="00F82953">
        <w:rPr>
          <w:rFonts w:ascii="Arial" w:hAnsi="Arial" w:cs="Arial"/>
          <w:kern w:val="1"/>
          <w:sz w:val="22"/>
          <w:szCs w:val="22"/>
        </w:rPr>
        <w:t xml:space="preserve"> is variable but has been reported as high as eleven percent (223,226,227). In recent years assay manufacturers have increased the immunoglobulin blocker reagents added to their tests and this has reduced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 somewhat (223,225-227). However, interference is still seen in some patients with a high enough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to overcome the assay blocker (198,223,228).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 mostly affects non-competitive immunometric assays (IMA) that employ monoclonal antibodies of murine origin (216). Assays based on the competitive format that employ high affinity polyclonal antibody reagents, are rarely affected (216). The test marketed by one manufacturer can be severely affected, whereas the test from a different manufacturer may appear unaffected (200). This is why the first step for investigating interference is re-measurement of the analyte by a different method. It should be noted that patients receiving recent vaccines, blood transfusions</w:t>
      </w:r>
      <w:r w:rsidR="005F6FAF">
        <w:rPr>
          <w:rFonts w:ascii="Arial" w:hAnsi="Arial" w:cs="Arial"/>
          <w:kern w:val="1"/>
          <w:sz w:val="22"/>
          <w:szCs w:val="22"/>
        </w:rPr>
        <w:t>,</w:t>
      </w:r>
      <w:r w:rsidRPr="00F82953">
        <w:rPr>
          <w:rFonts w:ascii="Arial" w:hAnsi="Arial" w:cs="Arial"/>
          <w:kern w:val="1"/>
          <w:sz w:val="22"/>
          <w:szCs w:val="22"/>
        </w:rPr>
        <w:t xml:space="preserve"> or monoclonal antibodies (given for treatment or scintigraphy), as well as veterinarians and those in contact with animals, are especially prone to test interferences caused by induced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and </w:t>
      </w:r>
      <w:r w:rsidR="000605E6" w:rsidRPr="000605E6">
        <w:rPr>
          <w:rFonts w:ascii="Arial" w:hAnsi="Arial" w:cs="Arial"/>
          <w:kern w:val="1"/>
          <w:sz w:val="22"/>
          <w:szCs w:val="22"/>
        </w:rPr>
        <w:t>human anti-mouse antibodies</w:t>
      </w:r>
      <w:r w:rsidR="000605E6">
        <w:rPr>
          <w:rFonts w:ascii="Arial" w:hAnsi="Arial" w:cs="Arial"/>
          <w:kern w:val="1"/>
          <w:sz w:val="22"/>
          <w:szCs w:val="22"/>
        </w:rPr>
        <w:t xml:space="preserve"> (</w:t>
      </w:r>
      <w:r w:rsidRPr="00F82953">
        <w:rPr>
          <w:rFonts w:ascii="Arial" w:hAnsi="Arial" w:cs="Arial"/>
          <w:kern w:val="1"/>
          <w:sz w:val="22"/>
          <w:szCs w:val="22"/>
        </w:rPr>
        <w:t>HAMA</w:t>
      </w:r>
      <w:r w:rsidR="000605E6">
        <w:rPr>
          <w:rFonts w:ascii="Arial" w:hAnsi="Arial" w:cs="Arial"/>
          <w:kern w:val="1"/>
          <w:sz w:val="22"/>
          <w:szCs w:val="22"/>
        </w:rPr>
        <w:t>)</w:t>
      </w:r>
      <w:r w:rsidRPr="00F82953">
        <w:rPr>
          <w:rFonts w:ascii="Arial" w:hAnsi="Arial" w:cs="Arial"/>
          <w:b/>
          <w:bCs/>
          <w:kern w:val="1"/>
          <w:sz w:val="22"/>
          <w:szCs w:val="22"/>
        </w:rPr>
        <w:t xml:space="preserve"> </w:t>
      </w:r>
      <w:r w:rsidRPr="00F82953">
        <w:rPr>
          <w:rFonts w:ascii="Arial" w:hAnsi="Arial" w:cs="Arial"/>
          <w:kern w:val="1"/>
          <w:sz w:val="22"/>
          <w:szCs w:val="22"/>
        </w:rPr>
        <w:t>(198,229).</w:t>
      </w:r>
    </w:p>
    <w:p w14:paraId="03E51DB7"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7B1A13E" w14:textId="068B4B7B" w:rsidR="005C4829" w:rsidRPr="0038344D" w:rsidRDefault="005C4829" w:rsidP="0038344D">
      <w:pPr>
        <w:autoSpaceDE w:val="0"/>
        <w:autoSpaceDN w:val="0"/>
        <w:adjustRightInd w:val="0"/>
        <w:spacing w:after="0" w:line="276" w:lineRule="auto"/>
        <w:rPr>
          <w:rFonts w:ascii="Arial" w:hAnsi="Arial" w:cs="Arial"/>
          <w:i/>
          <w:iCs/>
          <w:color w:val="FFC000"/>
          <w:kern w:val="1"/>
          <w:sz w:val="22"/>
          <w:szCs w:val="22"/>
        </w:rPr>
      </w:pPr>
      <w:r w:rsidRPr="0038344D">
        <w:rPr>
          <w:rFonts w:ascii="Arial" w:hAnsi="Arial" w:cs="Arial"/>
          <w:i/>
          <w:iCs/>
          <w:color w:val="FFC000"/>
          <w:kern w:val="1"/>
          <w:sz w:val="22"/>
          <w:szCs w:val="22"/>
        </w:rPr>
        <w:lastRenderedPageBreak/>
        <w:t>Anti-Reagent Antibodies</w:t>
      </w:r>
    </w:p>
    <w:p w14:paraId="059537C4" w14:textId="77777777" w:rsidR="0038344D" w:rsidRDefault="0038344D" w:rsidP="00F82953">
      <w:pPr>
        <w:autoSpaceDE w:val="0"/>
        <w:autoSpaceDN w:val="0"/>
        <w:adjustRightInd w:val="0"/>
        <w:spacing w:after="0" w:line="276" w:lineRule="auto"/>
        <w:rPr>
          <w:rFonts w:ascii="Arial" w:hAnsi="Arial" w:cs="Arial"/>
          <w:kern w:val="1"/>
          <w:sz w:val="22"/>
          <w:szCs w:val="22"/>
        </w:rPr>
      </w:pPr>
    </w:p>
    <w:p w14:paraId="03857B81" w14:textId="0963D220"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Interference can be caused by antibodies targeting assay reagents. For example, a number of reports have found that anti-</w:t>
      </w:r>
      <w:proofErr w:type="spellStart"/>
      <w:r w:rsidRPr="00F82953">
        <w:rPr>
          <w:rFonts w:ascii="Arial" w:hAnsi="Arial" w:cs="Arial"/>
          <w:kern w:val="1"/>
          <w:sz w:val="22"/>
          <w:szCs w:val="22"/>
        </w:rPr>
        <w:t>rhuthenium</w:t>
      </w:r>
      <w:proofErr w:type="spellEnd"/>
      <w:r w:rsidRPr="00F82953">
        <w:rPr>
          <w:rFonts w:ascii="Arial" w:hAnsi="Arial" w:cs="Arial"/>
          <w:kern w:val="1"/>
          <w:sz w:val="22"/>
          <w:szCs w:val="22"/>
        </w:rPr>
        <w:t xml:space="preserve"> antibodies can interfere with TSH, FT4</w:t>
      </w:r>
      <w:r w:rsidR="000605E6">
        <w:rPr>
          <w:rFonts w:ascii="Arial" w:hAnsi="Arial" w:cs="Arial"/>
          <w:kern w:val="1"/>
          <w:sz w:val="22"/>
          <w:szCs w:val="22"/>
        </w:rPr>
        <w:t>,</w:t>
      </w:r>
      <w:r w:rsidRPr="00F82953">
        <w:rPr>
          <w:rFonts w:ascii="Arial" w:hAnsi="Arial" w:cs="Arial"/>
          <w:kern w:val="1"/>
          <w:sz w:val="22"/>
          <w:szCs w:val="22"/>
        </w:rPr>
        <w:t xml:space="preserve"> and FT3 tests (200,230).  In addition, antibodies targeting either streptavidin (231,232) or Biotin (233,234) can interfere with assays employing streptavidin or biotin reagents. </w:t>
      </w:r>
    </w:p>
    <w:p w14:paraId="02C7EFAA" w14:textId="77777777" w:rsidR="00D51311" w:rsidRPr="00F82953" w:rsidRDefault="00D51311" w:rsidP="00F82953">
      <w:pPr>
        <w:autoSpaceDE w:val="0"/>
        <w:autoSpaceDN w:val="0"/>
        <w:adjustRightInd w:val="0"/>
        <w:spacing w:after="0" w:line="276" w:lineRule="auto"/>
        <w:rPr>
          <w:rFonts w:ascii="Arial" w:hAnsi="Arial" w:cs="Arial"/>
          <w:kern w:val="1"/>
          <w:sz w:val="22"/>
          <w:szCs w:val="22"/>
        </w:rPr>
      </w:pPr>
    </w:p>
    <w:p w14:paraId="32DFAB80" w14:textId="1695073D" w:rsidR="005C4829" w:rsidRPr="0038344D" w:rsidRDefault="005C4829" w:rsidP="0038344D">
      <w:pPr>
        <w:autoSpaceDE w:val="0"/>
        <w:autoSpaceDN w:val="0"/>
        <w:adjustRightInd w:val="0"/>
        <w:spacing w:after="0" w:line="276" w:lineRule="auto"/>
        <w:rPr>
          <w:rFonts w:ascii="Arial" w:hAnsi="Arial" w:cs="Arial"/>
          <w:i/>
          <w:iCs/>
          <w:color w:val="FFC000"/>
          <w:kern w:val="1"/>
          <w:sz w:val="22"/>
          <w:szCs w:val="22"/>
        </w:rPr>
      </w:pPr>
      <w:r w:rsidRPr="0038344D">
        <w:rPr>
          <w:rFonts w:ascii="Arial" w:hAnsi="Arial" w:cs="Arial"/>
          <w:i/>
          <w:iCs/>
          <w:color w:val="FFC000"/>
          <w:kern w:val="1"/>
          <w:sz w:val="22"/>
          <w:szCs w:val="22"/>
        </w:rPr>
        <w:t xml:space="preserve">High Dose Dietary Biotin </w:t>
      </w:r>
    </w:p>
    <w:p w14:paraId="2D0BB7C8" w14:textId="77777777" w:rsidR="0038344D" w:rsidRDefault="0038344D" w:rsidP="00F82953">
      <w:pPr>
        <w:autoSpaceDE w:val="0"/>
        <w:autoSpaceDN w:val="0"/>
        <w:adjustRightInd w:val="0"/>
        <w:spacing w:after="0" w:line="276" w:lineRule="auto"/>
        <w:rPr>
          <w:rFonts w:ascii="Arial" w:hAnsi="Arial" w:cs="Arial"/>
          <w:kern w:val="1"/>
          <w:sz w:val="22"/>
          <w:szCs w:val="22"/>
        </w:rPr>
      </w:pPr>
    </w:p>
    <w:p w14:paraId="49C32AB6" w14:textId="6E4375D1"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Some IMA tests have employed a biotin-streptavidin separation system (232). Patients who take a high dose of dietary biotin risk having test interferences with such methods (232). Depending on the specific test formulation, biotin interference can cause falsely high- or low- test results (234-236). Manufacturers are now prioritizing replacing their biotin-streptavidin separation systems to eliminate this problem (237).</w:t>
      </w:r>
    </w:p>
    <w:p w14:paraId="5F4A6075"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43634843" w14:textId="2C34FFF3" w:rsidR="005C4829" w:rsidRPr="00EE2B64" w:rsidRDefault="005C4829" w:rsidP="00F82953">
      <w:pPr>
        <w:autoSpaceDE w:val="0"/>
        <w:autoSpaceDN w:val="0"/>
        <w:adjustRightInd w:val="0"/>
        <w:spacing w:after="0" w:line="276" w:lineRule="auto"/>
        <w:rPr>
          <w:rFonts w:ascii="Arial" w:hAnsi="Arial" w:cs="Arial"/>
          <w:color w:val="FF0000"/>
          <w:kern w:val="1"/>
          <w:sz w:val="22"/>
          <w:szCs w:val="22"/>
        </w:rPr>
      </w:pPr>
      <w:r w:rsidRPr="00EE2B64">
        <w:rPr>
          <w:rFonts w:ascii="Arial" w:hAnsi="Arial" w:cs="Arial"/>
          <w:color w:val="FF0000"/>
          <w:kern w:val="1"/>
          <w:sz w:val="22"/>
          <w:szCs w:val="22"/>
        </w:rPr>
        <w:t>A</w:t>
      </w:r>
      <w:r w:rsidR="00D871EE" w:rsidRPr="00EE2B64">
        <w:rPr>
          <w:rFonts w:ascii="Arial" w:hAnsi="Arial" w:cs="Arial"/>
          <w:color w:val="FF0000"/>
          <w:kern w:val="1"/>
          <w:sz w:val="22"/>
          <w:szCs w:val="22"/>
        </w:rPr>
        <w:t>NA</w:t>
      </w:r>
      <w:r w:rsidR="00EE2B64" w:rsidRPr="00EE2B64">
        <w:rPr>
          <w:rFonts w:ascii="Arial" w:hAnsi="Arial" w:cs="Arial"/>
          <w:color w:val="FF0000"/>
          <w:kern w:val="1"/>
          <w:sz w:val="22"/>
          <w:szCs w:val="22"/>
        </w:rPr>
        <w:t xml:space="preserve">LYTE-SPECIFIC INTERENCES </w:t>
      </w:r>
    </w:p>
    <w:p w14:paraId="66815A24" w14:textId="77777777" w:rsidR="00D871EE" w:rsidRDefault="00D871EE" w:rsidP="00D871EE">
      <w:pPr>
        <w:autoSpaceDE w:val="0"/>
        <w:autoSpaceDN w:val="0"/>
        <w:adjustRightInd w:val="0"/>
        <w:spacing w:after="0" w:line="276" w:lineRule="auto"/>
        <w:rPr>
          <w:rFonts w:ascii="Arial" w:hAnsi="Arial" w:cs="Arial"/>
          <w:kern w:val="1"/>
          <w:sz w:val="22"/>
          <w:szCs w:val="22"/>
        </w:rPr>
      </w:pPr>
    </w:p>
    <w:p w14:paraId="52D8116C" w14:textId="7F9732B6" w:rsidR="005C4829" w:rsidRPr="00F82953" w:rsidRDefault="005C4829" w:rsidP="00D871EE">
      <w:pPr>
        <w:autoSpaceDE w:val="0"/>
        <w:autoSpaceDN w:val="0"/>
        <w:adjustRightInd w:val="0"/>
        <w:spacing w:after="0" w:line="276" w:lineRule="auto"/>
        <w:rPr>
          <w:rFonts w:ascii="Arial" w:hAnsi="Arial" w:cs="Arial"/>
          <w:b/>
          <w:bCs/>
          <w:kern w:val="1"/>
          <w:sz w:val="22"/>
          <w:szCs w:val="22"/>
        </w:rPr>
      </w:pPr>
      <w:r w:rsidRPr="00F82953">
        <w:rPr>
          <w:rFonts w:ascii="Arial" w:hAnsi="Arial" w:cs="Arial"/>
          <w:kern w:val="1"/>
          <w:sz w:val="22"/>
          <w:szCs w:val="22"/>
        </w:rPr>
        <w:t>Analyte-specific interferences typically result from autoantibodies targeting the analyte (238). Autoantibodies targeting both TSH (macro-TSH) (238-241) and both thyroid hormones (T4 and/or T3) (154,155) have been reported. Autoantibody interferences may be more prevalent in patients with non-thyroid autoimmune conditions (242,243). Depending on the analyte and test formulation, thyroid hormone and TSH autoantibodies typically cause falsely high tests (239,244).</w:t>
      </w:r>
      <w:r w:rsidRPr="00F82953">
        <w:rPr>
          <w:rFonts w:ascii="Arial" w:hAnsi="Arial" w:cs="Arial"/>
          <w:color w:val="FF0000"/>
          <w:kern w:val="1"/>
          <w:sz w:val="22"/>
          <w:szCs w:val="22"/>
        </w:rPr>
        <w:t xml:space="preserve">  </w:t>
      </w:r>
      <w:r w:rsidRPr="00F82953">
        <w:rPr>
          <w:rFonts w:ascii="Arial" w:hAnsi="Arial" w:cs="Arial"/>
          <w:kern w:val="1"/>
          <w:sz w:val="22"/>
          <w:szCs w:val="22"/>
        </w:rPr>
        <w:t xml:space="preserve">It should be noted that transplacental passage of either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or anti-analyte autoantibodies (i.e. </w:t>
      </w:r>
      <w:proofErr w:type="spellStart"/>
      <w:r w:rsidRPr="00F82953">
        <w:rPr>
          <w:rFonts w:ascii="Arial" w:hAnsi="Arial" w:cs="Arial"/>
          <w:kern w:val="1"/>
          <w:sz w:val="22"/>
          <w:szCs w:val="22"/>
        </w:rPr>
        <w:t>TSHAb</w:t>
      </w:r>
      <w:proofErr w:type="spellEnd"/>
      <w:r w:rsidRPr="00F82953">
        <w:rPr>
          <w:rFonts w:ascii="Arial" w:hAnsi="Arial" w:cs="Arial"/>
          <w:kern w:val="1"/>
          <w:sz w:val="22"/>
          <w:szCs w:val="22"/>
        </w:rPr>
        <w:t xml:space="preserve"> or T4Ab) have the potential to interfere with neonatal screening tests (245-247). Specifically, maternal TSH autoantibodies can cross the placenta and cause a falsely high TSH screening test in the newborn mimicking congenital hypothyroidism (247), whereas maternal T4 autoantibodies could cause a falsely high neonatal T4 test and mask the presence of congenital hypothyroidism (246). </w:t>
      </w:r>
    </w:p>
    <w:p w14:paraId="46214954"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06070757" w14:textId="5E0C02E3" w:rsidR="005C4829" w:rsidRPr="00FA0ED3" w:rsidRDefault="005C4829" w:rsidP="00E0435C">
      <w:pPr>
        <w:autoSpaceDE w:val="0"/>
        <w:autoSpaceDN w:val="0"/>
        <w:adjustRightInd w:val="0"/>
        <w:spacing w:after="0" w:line="276" w:lineRule="auto"/>
        <w:rPr>
          <w:rFonts w:ascii="Arial" w:hAnsi="Arial" w:cs="Arial"/>
          <w:i/>
          <w:iCs/>
          <w:color w:val="FFC000"/>
          <w:kern w:val="1"/>
          <w:sz w:val="22"/>
          <w:szCs w:val="22"/>
        </w:rPr>
      </w:pPr>
      <w:r w:rsidRPr="00FA0ED3">
        <w:rPr>
          <w:rFonts w:ascii="Arial" w:hAnsi="Arial" w:cs="Arial"/>
          <w:i/>
          <w:iCs/>
          <w:color w:val="FFC000"/>
          <w:kern w:val="1"/>
          <w:sz w:val="22"/>
          <w:szCs w:val="22"/>
        </w:rPr>
        <w:t xml:space="preserve">Thyroid Hormone Autoantibodies (T4Ab/T3Ab) </w:t>
      </w:r>
    </w:p>
    <w:p w14:paraId="6456EEA3" w14:textId="77777777" w:rsidR="00FA0ED3" w:rsidRDefault="00FA0ED3" w:rsidP="00F82953">
      <w:pPr>
        <w:autoSpaceDE w:val="0"/>
        <w:autoSpaceDN w:val="0"/>
        <w:adjustRightInd w:val="0"/>
        <w:spacing w:after="0" w:line="276" w:lineRule="auto"/>
        <w:rPr>
          <w:rFonts w:ascii="Arial" w:hAnsi="Arial" w:cs="Arial"/>
          <w:kern w:val="1"/>
          <w:sz w:val="22"/>
          <w:szCs w:val="22"/>
        </w:rPr>
      </w:pPr>
    </w:p>
    <w:p w14:paraId="56B156B1" w14:textId="6F23ABDC"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T4 and T3 autoantibodies can falsely elevate total hormone, free hormone</w:t>
      </w:r>
      <w:r w:rsidR="00146989">
        <w:rPr>
          <w:rFonts w:ascii="Arial" w:hAnsi="Arial" w:cs="Arial"/>
          <w:kern w:val="1"/>
          <w:sz w:val="22"/>
          <w:szCs w:val="22"/>
        </w:rPr>
        <w:t>,</w:t>
      </w:r>
      <w:r w:rsidRPr="00F82953">
        <w:rPr>
          <w:rFonts w:ascii="Arial" w:hAnsi="Arial" w:cs="Arial"/>
          <w:kern w:val="1"/>
          <w:sz w:val="22"/>
          <w:szCs w:val="22"/>
        </w:rPr>
        <w:t xml:space="preserve"> or THBR measurements depending on the method employed (153,155,210). The prevalence of thyroid hormone autoantibodies </w:t>
      </w:r>
      <w:r w:rsidR="00357E97">
        <w:rPr>
          <w:rFonts w:ascii="Arial" w:hAnsi="Arial" w:cs="Arial"/>
          <w:kern w:val="1"/>
          <w:sz w:val="22"/>
          <w:szCs w:val="22"/>
        </w:rPr>
        <w:t xml:space="preserve">occurs in </w:t>
      </w:r>
      <w:r w:rsidRPr="00F82953">
        <w:rPr>
          <w:rFonts w:ascii="Arial" w:hAnsi="Arial" w:cs="Arial"/>
          <w:kern w:val="1"/>
          <w:sz w:val="22"/>
          <w:szCs w:val="22"/>
        </w:rPr>
        <w:t>approximate</w:t>
      </w:r>
      <w:r w:rsidR="00357E97">
        <w:rPr>
          <w:rFonts w:ascii="Arial" w:hAnsi="Arial" w:cs="Arial"/>
          <w:kern w:val="1"/>
          <w:sz w:val="22"/>
          <w:szCs w:val="22"/>
        </w:rPr>
        <w:t>ly</w:t>
      </w:r>
      <w:r w:rsidRPr="00F82953">
        <w:rPr>
          <w:rFonts w:ascii="Arial" w:hAnsi="Arial" w:cs="Arial"/>
          <w:kern w:val="1"/>
          <w:sz w:val="22"/>
          <w:szCs w:val="22"/>
        </w:rPr>
        <w:t xml:space="preserve"> 2 percent </w:t>
      </w:r>
      <w:r w:rsidR="000C2CA3">
        <w:rPr>
          <w:rFonts w:ascii="Arial" w:hAnsi="Arial" w:cs="Arial"/>
          <w:kern w:val="1"/>
          <w:sz w:val="22"/>
          <w:szCs w:val="22"/>
        </w:rPr>
        <w:t>of</w:t>
      </w:r>
      <w:r w:rsidRPr="00F82953">
        <w:rPr>
          <w:rFonts w:ascii="Arial" w:hAnsi="Arial" w:cs="Arial"/>
          <w:kern w:val="1"/>
          <w:sz w:val="22"/>
          <w:szCs w:val="22"/>
        </w:rPr>
        <w:t xml:space="preserve"> the general population but may be</w:t>
      </w:r>
      <w:r w:rsidR="000C2CA3">
        <w:rPr>
          <w:rFonts w:ascii="Arial" w:hAnsi="Arial" w:cs="Arial"/>
          <w:kern w:val="1"/>
          <w:sz w:val="22"/>
          <w:szCs w:val="22"/>
        </w:rPr>
        <w:t xml:space="preserve"> present in</w:t>
      </w:r>
      <w:r w:rsidRPr="00F82953">
        <w:rPr>
          <w:rFonts w:ascii="Arial" w:hAnsi="Arial" w:cs="Arial"/>
          <w:kern w:val="1"/>
          <w:sz w:val="22"/>
          <w:szCs w:val="22"/>
        </w:rPr>
        <w:t xml:space="preserve"> over 30 percent </w:t>
      </w:r>
      <w:r w:rsidR="000C2CA3">
        <w:rPr>
          <w:rFonts w:ascii="Arial" w:hAnsi="Arial" w:cs="Arial"/>
          <w:kern w:val="1"/>
          <w:sz w:val="22"/>
          <w:szCs w:val="22"/>
        </w:rPr>
        <w:t>of</w:t>
      </w:r>
      <w:r w:rsidRPr="00F82953">
        <w:rPr>
          <w:rFonts w:ascii="Arial" w:hAnsi="Arial" w:cs="Arial"/>
          <w:kern w:val="1"/>
          <w:sz w:val="22"/>
          <w:szCs w:val="22"/>
        </w:rPr>
        <w:t xml:space="preserve"> patients with autoimmune thyroid disease or other autoimmune conditions (242,243,248). However, despite their high prevalence, significant interference caused by thyroid autoantibodies is not common and depends on the qualitative characteristics of the autoantibody present (i.e. its affinity for the test reagents). Furthermore, different methods exhibit such interferences to a greater or lesser extent (120,154). Because autoantibody interference is difficult for the laboratory to detect proactively, it is the physician who should first suspect interference from an unexpected discordance between the clinical presentation of the patient and the test result(s) (249,250).</w:t>
      </w:r>
    </w:p>
    <w:p w14:paraId="6C57A614"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7064238C" w14:textId="41764FE8" w:rsidR="005C4829" w:rsidRPr="00700C48" w:rsidRDefault="005C4829" w:rsidP="00F82953">
      <w:pPr>
        <w:autoSpaceDE w:val="0"/>
        <w:autoSpaceDN w:val="0"/>
        <w:adjustRightInd w:val="0"/>
        <w:spacing w:after="0" w:line="276" w:lineRule="auto"/>
        <w:rPr>
          <w:rFonts w:ascii="Arial" w:hAnsi="Arial" w:cs="Arial"/>
          <w:color w:val="0070C0"/>
          <w:kern w:val="1"/>
          <w:sz w:val="22"/>
          <w:szCs w:val="22"/>
        </w:rPr>
      </w:pPr>
      <w:r w:rsidRPr="00700C48">
        <w:rPr>
          <w:rFonts w:ascii="Arial" w:hAnsi="Arial" w:cs="Arial"/>
          <w:b/>
          <w:bCs/>
          <w:color w:val="0070C0"/>
          <w:kern w:val="1"/>
          <w:sz w:val="22"/>
          <w:szCs w:val="22"/>
        </w:rPr>
        <w:t>TSH (T</w:t>
      </w:r>
      <w:r w:rsidR="00700C48" w:rsidRPr="00700C48">
        <w:rPr>
          <w:rFonts w:ascii="Arial" w:hAnsi="Arial" w:cs="Arial"/>
          <w:b/>
          <w:bCs/>
          <w:color w:val="0070C0"/>
          <w:kern w:val="1"/>
          <w:sz w:val="22"/>
          <w:szCs w:val="22"/>
        </w:rPr>
        <w:t>HYROID STIMULATING HORMONE)</w:t>
      </w:r>
      <w:r w:rsidRPr="00700C48">
        <w:rPr>
          <w:rFonts w:ascii="Arial" w:hAnsi="Arial" w:cs="Arial"/>
          <w:b/>
          <w:bCs/>
          <w:color w:val="0070C0"/>
          <w:kern w:val="1"/>
          <w:sz w:val="22"/>
          <w:szCs w:val="22"/>
        </w:rPr>
        <w:t xml:space="preserve"> M</w:t>
      </w:r>
      <w:r w:rsidR="00700C48" w:rsidRPr="00700C48">
        <w:rPr>
          <w:rFonts w:ascii="Arial" w:hAnsi="Arial" w:cs="Arial"/>
          <w:b/>
          <w:bCs/>
          <w:color w:val="0070C0"/>
          <w:kern w:val="1"/>
          <w:sz w:val="22"/>
          <w:szCs w:val="22"/>
        </w:rPr>
        <w:t xml:space="preserve">EASUREMENT </w:t>
      </w:r>
    </w:p>
    <w:p w14:paraId="4CB4A7DF" w14:textId="77777777" w:rsidR="005C4829" w:rsidRPr="00700C48" w:rsidRDefault="005C4829" w:rsidP="00F82953">
      <w:pPr>
        <w:autoSpaceDE w:val="0"/>
        <w:autoSpaceDN w:val="0"/>
        <w:adjustRightInd w:val="0"/>
        <w:spacing w:after="0" w:line="276" w:lineRule="auto"/>
        <w:rPr>
          <w:rFonts w:ascii="Arial" w:hAnsi="Arial" w:cs="Arial"/>
          <w:color w:val="0070C0"/>
          <w:kern w:val="1"/>
          <w:sz w:val="22"/>
          <w:szCs w:val="22"/>
        </w:rPr>
      </w:pPr>
    </w:p>
    <w:p w14:paraId="4998F326" w14:textId="11DF1639"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Over the last five decades the dramatic improvements in TSH assay sensitivity and specificity have revolutionized thyroid testing and firmly established TSH as the first-line test for ambulatory patients who are not receiving drugs known to alter TSH secretion (10,13,251). Serum TSH has become the therapeutic target for levothyroxine (L-T4) replacement therapy for hypothyroidism (52) and suppression therapy for differentiated thyroid cancer (DTC) (57,252,253). The diagnostic superiority of TSH versus FT4 measurement arises from the inverse, predominantly log/linear, TSH/FT4 relationship, that is modified to some extent by factors such as age, sex, active smoking</w:t>
      </w:r>
      <w:r w:rsidR="00325CA6">
        <w:rPr>
          <w:rFonts w:ascii="Arial" w:hAnsi="Arial" w:cs="Arial"/>
          <w:kern w:val="1"/>
          <w:sz w:val="22"/>
          <w:szCs w:val="22"/>
        </w:rPr>
        <w:t>,</w:t>
      </w:r>
      <w:r w:rsidRPr="00F82953">
        <w:rPr>
          <w:rFonts w:ascii="Arial" w:hAnsi="Arial" w:cs="Arial"/>
          <w:kern w:val="1"/>
          <w:sz w:val="22"/>
          <w:szCs w:val="22"/>
        </w:rPr>
        <w:t xml:space="preserve"> and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status (8,10,13,143,144,254,255).</w:t>
      </w:r>
    </w:p>
    <w:p w14:paraId="0BB4CA2E"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1BD043A" w14:textId="32022F88" w:rsidR="005C4829" w:rsidRPr="00700C48" w:rsidRDefault="005C4829" w:rsidP="00F82953">
      <w:pPr>
        <w:autoSpaceDE w:val="0"/>
        <w:autoSpaceDN w:val="0"/>
        <w:adjustRightInd w:val="0"/>
        <w:spacing w:after="0" w:line="276" w:lineRule="auto"/>
        <w:rPr>
          <w:rFonts w:ascii="Arial" w:hAnsi="Arial" w:cs="Arial"/>
          <w:b/>
          <w:bCs/>
          <w:color w:val="00B050"/>
          <w:kern w:val="1"/>
          <w:sz w:val="22"/>
          <w:szCs w:val="22"/>
        </w:rPr>
      </w:pPr>
      <w:r w:rsidRPr="00700C48">
        <w:rPr>
          <w:rFonts w:ascii="Arial" w:hAnsi="Arial" w:cs="Arial"/>
          <w:b/>
          <w:bCs/>
          <w:color w:val="00B050"/>
          <w:kern w:val="1"/>
          <w:sz w:val="22"/>
          <w:szCs w:val="22"/>
        </w:rPr>
        <w:t>TSH Assays</w:t>
      </w:r>
    </w:p>
    <w:p w14:paraId="3B5803C8"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A95D9E9" w14:textId="19FC9FA4"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TSH assay "quality" has historically been defined by clinical sensitivity – the ability to discriminate between hyperthyroid and euthyroid TSH values (8,10,13,256). The first generation of RIA methods had a detection limit approximating 1.0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/L (1,3,257) that limited their clinical utility to diagnosing primary hyp</w:t>
      </w:r>
      <w:r w:rsidR="00E055EB">
        <w:rPr>
          <w:rFonts w:ascii="Arial" w:hAnsi="Arial" w:cs="Arial"/>
          <w:kern w:val="1"/>
          <w:sz w:val="22"/>
          <w:szCs w:val="22"/>
        </w:rPr>
        <w:t>er</w:t>
      </w:r>
      <w:r w:rsidRPr="00F82953">
        <w:rPr>
          <w:rFonts w:ascii="Arial" w:hAnsi="Arial" w:cs="Arial"/>
          <w:kern w:val="1"/>
          <w:sz w:val="22"/>
          <w:szCs w:val="22"/>
        </w:rPr>
        <w:t xml:space="preserve">thyroidism (258) and necessitated the use of TRH stimulation to diagnose hyperthyroidism, characterized by an absent TRH-stimulated TSH response (259-261). With the advent of immunometric assay (IMA) methodology that uses a combination of poly- and/or monoclonal antibodies targeting different TSH epitopes in a "sandwich" format (262-264), a ten-fold improvement in TSH assay sensitivity (~ 0.1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/L) was achieved when using isotopic (I</w:t>
      </w:r>
      <w:r w:rsidRPr="00F82953">
        <w:rPr>
          <w:rFonts w:ascii="Arial" w:hAnsi="Arial" w:cs="Arial"/>
          <w:kern w:val="1"/>
          <w:sz w:val="22"/>
          <w:szCs w:val="22"/>
          <w:vertAlign w:val="superscript"/>
        </w:rPr>
        <w:t>125</w:t>
      </w:r>
      <w:r w:rsidRPr="00F82953">
        <w:rPr>
          <w:rFonts w:ascii="Arial" w:hAnsi="Arial" w:cs="Arial"/>
          <w:kern w:val="1"/>
          <w:sz w:val="22"/>
          <w:szCs w:val="22"/>
        </w:rPr>
        <w:t xml:space="preserve">) signals (265). This level of sensitivity facilitated the determination of the lower TSH reference limit (0.3-0.4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and the detection of overt hyperthyroidism without the need for TRH stimulation (266,267) but was still insufficient for distinguishing between differing degrees of hyperthyroidism (i.e. subclinical versus overt) (268). Assay sensitization continued until a third generation of TSH IMAs was developed by employing non-isotopic signals that could achieve a sensitivity of 0.01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(8,251,267). Initially different non-isotopic signals were used that gave rise to a lexicon of terminology to distinguish between assays: </w:t>
      </w:r>
      <w:proofErr w:type="spellStart"/>
      <w:r w:rsidRPr="00F82953">
        <w:rPr>
          <w:rFonts w:ascii="Arial" w:hAnsi="Arial" w:cs="Arial"/>
          <w:kern w:val="1"/>
          <w:sz w:val="22"/>
          <w:szCs w:val="22"/>
        </w:rPr>
        <w:t>immunoenzymometric</w:t>
      </w:r>
      <w:proofErr w:type="spellEnd"/>
      <w:r w:rsidRPr="00F82953">
        <w:rPr>
          <w:rFonts w:ascii="Arial" w:hAnsi="Arial" w:cs="Arial"/>
          <w:kern w:val="1"/>
          <w:sz w:val="22"/>
          <w:szCs w:val="22"/>
        </w:rPr>
        <w:t xml:space="preserve"> assays (IEMA) used enzyme signals; immunofluorometric assays (IFMA) used </w:t>
      </w:r>
      <w:proofErr w:type="spellStart"/>
      <w:r w:rsidRPr="00F82953">
        <w:rPr>
          <w:rFonts w:ascii="Arial" w:hAnsi="Arial" w:cs="Arial"/>
          <w:kern w:val="1"/>
          <w:sz w:val="22"/>
          <w:szCs w:val="22"/>
        </w:rPr>
        <w:t>fluorophors</w:t>
      </w:r>
      <w:proofErr w:type="spellEnd"/>
      <w:r w:rsidRPr="00F82953">
        <w:rPr>
          <w:rFonts w:ascii="Arial" w:hAnsi="Arial" w:cs="Arial"/>
          <w:kern w:val="1"/>
          <w:sz w:val="22"/>
          <w:szCs w:val="22"/>
        </w:rPr>
        <w:t xml:space="preserve"> as signals, immunochemiluminometric assays (ICMA) used chemiluminescent molecules as signals</w:t>
      </w:r>
      <w:r w:rsidR="00085E8D">
        <w:rPr>
          <w:rFonts w:ascii="Arial" w:hAnsi="Arial" w:cs="Arial"/>
          <w:kern w:val="1"/>
          <w:sz w:val="22"/>
          <w:szCs w:val="22"/>
        </w:rPr>
        <w:t>,</w:t>
      </w:r>
      <w:r w:rsidRPr="00F82953">
        <w:rPr>
          <w:rFonts w:ascii="Arial" w:hAnsi="Arial" w:cs="Arial"/>
          <w:kern w:val="1"/>
          <w:sz w:val="22"/>
          <w:szCs w:val="22"/>
        </w:rPr>
        <w:t xml:space="preserve"> and </w:t>
      </w:r>
      <w:proofErr w:type="spellStart"/>
      <w:r w:rsidRPr="00F82953">
        <w:rPr>
          <w:rFonts w:ascii="Arial" w:hAnsi="Arial" w:cs="Arial"/>
          <w:kern w:val="1"/>
          <w:sz w:val="22"/>
          <w:szCs w:val="22"/>
        </w:rPr>
        <w:t>immunobioluminometric</w:t>
      </w:r>
      <w:proofErr w:type="spellEnd"/>
      <w:r w:rsidRPr="00F82953">
        <w:rPr>
          <w:rFonts w:ascii="Arial" w:hAnsi="Arial" w:cs="Arial"/>
          <w:kern w:val="1"/>
          <w:sz w:val="22"/>
          <w:szCs w:val="22"/>
        </w:rPr>
        <w:t xml:space="preserve"> assays (IBMA) used bioluminescent signal molecules (112,267). Current TSH methods are mostly automated ICMAs that achieve third generation functional sensitivity (FS = ≤0.01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/L) - a FS level that has now become the standard of care (10,13,269).</w:t>
      </w:r>
    </w:p>
    <w:p w14:paraId="21D599B6"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2C6D658" w14:textId="28A4CBDD" w:rsidR="00E251F4" w:rsidRPr="0082336D" w:rsidRDefault="005C4829" w:rsidP="00700C48">
      <w:pPr>
        <w:pStyle w:val="ListParagraph"/>
        <w:autoSpaceDE w:val="0"/>
        <w:autoSpaceDN w:val="0"/>
        <w:adjustRightInd w:val="0"/>
        <w:spacing w:after="0" w:line="276" w:lineRule="auto"/>
        <w:ind w:left="0"/>
        <w:rPr>
          <w:rFonts w:ascii="Arial" w:hAnsi="Arial" w:cs="Arial"/>
          <w:color w:val="FF0000"/>
          <w:kern w:val="1"/>
          <w:sz w:val="22"/>
          <w:szCs w:val="22"/>
        </w:rPr>
      </w:pPr>
      <w:r w:rsidRPr="0082336D">
        <w:rPr>
          <w:rFonts w:ascii="Arial" w:hAnsi="Arial" w:cs="Arial"/>
          <w:color w:val="FF0000"/>
          <w:kern w:val="1"/>
          <w:sz w:val="22"/>
          <w:szCs w:val="22"/>
        </w:rPr>
        <w:t>F</w:t>
      </w:r>
      <w:r w:rsidR="00E24A3E" w:rsidRPr="0082336D">
        <w:rPr>
          <w:rFonts w:ascii="Arial" w:hAnsi="Arial" w:cs="Arial"/>
          <w:color w:val="FF0000"/>
          <w:kern w:val="1"/>
          <w:sz w:val="22"/>
          <w:szCs w:val="22"/>
        </w:rPr>
        <w:t>UNCTIONAL SENSITIVITY</w:t>
      </w:r>
      <w:r w:rsidR="00A94040" w:rsidRPr="0082336D">
        <w:rPr>
          <w:rFonts w:ascii="Arial" w:hAnsi="Arial" w:cs="Arial"/>
          <w:color w:val="FF0000"/>
          <w:kern w:val="1"/>
          <w:sz w:val="22"/>
          <w:szCs w:val="22"/>
        </w:rPr>
        <w:t xml:space="preserve"> </w:t>
      </w:r>
      <w:r w:rsidRPr="0082336D">
        <w:rPr>
          <w:rFonts w:ascii="Arial" w:hAnsi="Arial" w:cs="Arial"/>
          <w:color w:val="FF0000"/>
          <w:kern w:val="1"/>
          <w:sz w:val="22"/>
          <w:szCs w:val="22"/>
        </w:rPr>
        <w:t xml:space="preserve">(FS) = </w:t>
      </w:r>
      <w:r w:rsidR="00A94040" w:rsidRPr="0082336D">
        <w:rPr>
          <w:rFonts w:ascii="Arial" w:hAnsi="Arial" w:cs="Arial"/>
          <w:color w:val="FF0000"/>
          <w:kern w:val="1"/>
          <w:sz w:val="22"/>
          <w:szCs w:val="22"/>
        </w:rPr>
        <w:t xml:space="preserve">THE LOWEST REPORTABLE ASSAY LIMIT </w:t>
      </w:r>
    </w:p>
    <w:p w14:paraId="316B29E4" w14:textId="77777777" w:rsidR="00BE3DF9" w:rsidRDefault="00BE3DF9" w:rsidP="00BE3DF9">
      <w:pPr>
        <w:autoSpaceDE w:val="0"/>
        <w:autoSpaceDN w:val="0"/>
        <w:adjustRightInd w:val="0"/>
        <w:spacing w:after="0" w:line="276" w:lineRule="auto"/>
        <w:rPr>
          <w:rFonts w:ascii="Arial" w:hAnsi="Arial" w:cs="Arial"/>
          <w:kern w:val="1"/>
          <w:sz w:val="22"/>
          <w:szCs w:val="22"/>
        </w:rPr>
      </w:pPr>
    </w:p>
    <w:p w14:paraId="5331D8E8" w14:textId="6F0CDAF2" w:rsidR="005C4829" w:rsidRDefault="005C4829" w:rsidP="00BE3DF9">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During the period of active TSH assay sensitization, different non-isotopic IMAs made competing claims for sensitivity. Methods were described as: "sensitive", "highly sensitive", "ultrasensitive"</w:t>
      </w:r>
      <w:r w:rsidR="00726095">
        <w:rPr>
          <w:rFonts w:ascii="Arial" w:hAnsi="Arial" w:cs="Arial"/>
          <w:kern w:val="1"/>
          <w:sz w:val="22"/>
          <w:szCs w:val="22"/>
        </w:rPr>
        <w:t>,</w:t>
      </w:r>
      <w:r w:rsidRPr="00F82953">
        <w:rPr>
          <w:rFonts w:ascii="Arial" w:hAnsi="Arial" w:cs="Arial"/>
          <w:kern w:val="1"/>
          <w:sz w:val="22"/>
          <w:szCs w:val="22"/>
        </w:rPr>
        <w:t xml:space="preserve"> or "supersensitive" - marketing terms that had no scientific definition. This confusion led to a debate concerning what was the most clinically relevant parameter to use to determine the lowest reliable reportable TSH value for clinical practice (10,251,267). Functional sensitivity (FS) became defined as the lowest analyte concentration measured with 20 percent coefficient of variation (10) established over a clinically relevant timespan (6-8 weeks for TSH). FS is now recognized as the parameter that best represents the between-run precision for </w:t>
      </w:r>
      <w:r w:rsidRPr="00F82953">
        <w:rPr>
          <w:rFonts w:ascii="Arial" w:hAnsi="Arial" w:cs="Arial"/>
          <w:kern w:val="1"/>
          <w:sz w:val="22"/>
          <w:szCs w:val="22"/>
        </w:rPr>
        <w:lastRenderedPageBreak/>
        <w:t xml:space="preserve">measuring low analyte concentrations in clinical practice (10,270,271). FS is used to define the lower reportable limit for not only TSH but also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as well as other non-thyroid assays for which analytic sensitivity is critical (10). FS protocols recognize that immunoassays tend to be matrix-sensitive and specify that precision be determined in human sera rather than a quality control material that uses an artificial protein matrix (71,72,272). The timespan used for determining precision is also analyte-specific and should reflect the frequency of testing employed in clinical practice - 6 to 8 weeks for TSH, but 6 to 12 months for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 assays that are used as tumor markers for monitoring DTC. An optimal timescale is important, because low-end precision erodes over time due to a myriad of variables including reagent lot-to-lot variability (71). Note that the FS parameter is more stringent than other biochemical sensitivity parameters such as limit of detection (LOD - a within-run parameter) and limit of quantitation (LOQ - a between-run parameter without stipulations regarding the matrix and the timespan used for determining precision (72,271,273). A ten-fold difference in FS has been used to define each generation of increasingly more sensitive methods (17,251,271,274). Thus, TSH RIA methods with FS approximating 1.0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were designated "first generation", the TSH immunoradiometric (IRMA) methods that had a functional sensitivity approximating 0.1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were designated " second generation", and current TSH ICMAs with FS approximating 0.01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are now designated "third generation" assays (267,270,275). </w:t>
      </w:r>
    </w:p>
    <w:p w14:paraId="78F722F5" w14:textId="77777777" w:rsidR="004B461A" w:rsidRDefault="004B461A" w:rsidP="00BE3DF9">
      <w:pPr>
        <w:autoSpaceDE w:val="0"/>
        <w:autoSpaceDN w:val="0"/>
        <w:adjustRightInd w:val="0"/>
        <w:spacing w:after="0" w:line="276" w:lineRule="auto"/>
        <w:rPr>
          <w:rFonts w:ascii="Arial" w:hAnsi="Arial" w:cs="Arial"/>
          <w:kern w:val="1"/>
          <w:sz w:val="22"/>
          <w:szCs w:val="22"/>
        </w:rPr>
      </w:pPr>
    </w:p>
    <w:p w14:paraId="43734BA6" w14:textId="1667F407" w:rsidR="005C4829" w:rsidRPr="00255946" w:rsidRDefault="005C4829" w:rsidP="00277F6D">
      <w:pPr>
        <w:pStyle w:val="ListParagraph"/>
        <w:autoSpaceDE w:val="0"/>
        <w:autoSpaceDN w:val="0"/>
        <w:adjustRightInd w:val="0"/>
        <w:spacing w:after="0" w:line="276" w:lineRule="auto"/>
        <w:ind w:left="0"/>
        <w:rPr>
          <w:rFonts w:ascii="Arial" w:hAnsi="Arial" w:cs="Arial"/>
          <w:color w:val="FF0000"/>
          <w:kern w:val="1"/>
          <w:sz w:val="22"/>
          <w:szCs w:val="22"/>
        </w:rPr>
      </w:pPr>
      <w:r w:rsidRPr="00255946">
        <w:rPr>
          <w:rFonts w:ascii="Arial" w:hAnsi="Arial" w:cs="Arial"/>
          <w:color w:val="FF0000"/>
          <w:kern w:val="1"/>
          <w:sz w:val="22"/>
          <w:szCs w:val="22"/>
        </w:rPr>
        <w:t>TSH B</w:t>
      </w:r>
      <w:r w:rsidR="00255946" w:rsidRPr="00255946">
        <w:rPr>
          <w:rFonts w:ascii="Arial" w:hAnsi="Arial" w:cs="Arial"/>
          <w:color w:val="FF0000"/>
          <w:kern w:val="1"/>
          <w:sz w:val="22"/>
          <w:szCs w:val="22"/>
        </w:rPr>
        <w:t xml:space="preserve">IOLOGIC VARIABILITY </w:t>
      </w:r>
    </w:p>
    <w:p w14:paraId="39E00474" w14:textId="77777777" w:rsidR="00E251F4" w:rsidRPr="00F82953" w:rsidRDefault="00E251F4" w:rsidP="00F82953">
      <w:pPr>
        <w:autoSpaceDE w:val="0"/>
        <w:autoSpaceDN w:val="0"/>
        <w:adjustRightInd w:val="0"/>
        <w:spacing w:after="0" w:line="276" w:lineRule="auto"/>
        <w:rPr>
          <w:rFonts w:ascii="Arial" w:hAnsi="Arial" w:cs="Arial"/>
          <w:b/>
          <w:bCs/>
          <w:kern w:val="1"/>
          <w:sz w:val="22"/>
          <w:szCs w:val="22"/>
        </w:rPr>
      </w:pPr>
    </w:p>
    <w:p w14:paraId="3929FDB7" w14:textId="0451735D"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TSH is a heterogeneous glycoprotein (276-278), and TRH-mediated changes in TSH glycosylation and thus detection by IMA methodology (279,280) have the potential to influence immunoactivity (277,281). Alterations in TSH glycosylation can occur in a number of pathophysiologic circumstances (278,282). Seasonal variability in TSH has been shown with 10% higher TSH </w:t>
      </w:r>
      <w:r w:rsidR="00D17A5F">
        <w:rPr>
          <w:rFonts w:ascii="Arial" w:hAnsi="Arial" w:cs="Arial"/>
          <w:kern w:val="1"/>
          <w:sz w:val="22"/>
          <w:szCs w:val="22"/>
        </w:rPr>
        <w:t xml:space="preserve">levels </w:t>
      </w:r>
      <w:r w:rsidRPr="00F82953">
        <w:rPr>
          <w:rFonts w:ascii="Arial" w:hAnsi="Arial" w:cs="Arial"/>
          <w:kern w:val="1"/>
          <w:sz w:val="22"/>
          <w:szCs w:val="22"/>
        </w:rPr>
        <w:t xml:space="preserve">in the winter than in the summer months (283). However, FT4 and FT3 levels show no such seasonal variability (283). The demonstration that harmonization of TSH methods successfully minimizes between-method differences (69), suggesting that under normal conditions current TSH IMAs appear to be "glycosylation blind" and detect different TSH </w:t>
      </w:r>
      <w:proofErr w:type="spellStart"/>
      <w:r w:rsidRPr="00F82953">
        <w:rPr>
          <w:rFonts w:ascii="Arial" w:hAnsi="Arial" w:cs="Arial"/>
          <w:kern w:val="1"/>
          <w:sz w:val="22"/>
          <w:szCs w:val="22"/>
        </w:rPr>
        <w:t>glycoforms</w:t>
      </w:r>
      <w:proofErr w:type="spellEnd"/>
      <w:r w:rsidRPr="00F82953">
        <w:rPr>
          <w:rFonts w:ascii="Arial" w:hAnsi="Arial" w:cs="Arial"/>
          <w:kern w:val="1"/>
          <w:sz w:val="22"/>
          <w:szCs w:val="22"/>
        </w:rPr>
        <w:t xml:space="preserve"> in an equimolar fashion (277,278). However, future studies need to include sera from conditions where TRH dysregulation may lead to abnormal TSH glycosylation and bioactivity, such as pituitary dysfunction, NTI</w:t>
      </w:r>
      <w:r w:rsidR="00D17A5F">
        <w:rPr>
          <w:rFonts w:ascii="Arial" w:hAnsi="Arial" w:cs="Arial"/>
          <w:kern w:val="1"/>
          <w:sz w:val="22"/>
          <w:szCs w:val="22"/>
        </w:rPr>
        <w:t>,</w:t>
      </w:r>
      <w:r w:rsidRPr="00F82953">
        <w:rPr>
          <w:rFonts w:ascii="Arial" w:hAnsi="Arial" w:cs="Arial"/>
          <w:kern w:val="1"/>
          <w:sz w:val="22"/>
          <w:szCs w:val="22"/>
        </w:rPr>
        <w:t xml:space="preserve"> and aging (278,280,281,284-286). </w:t>
      </w:r>
    </w:p>
    <w:p w14:paraId="1AF72A3A"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171BB742" w14:textId="54D8397B"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TSH intra-individual variability is relatively narrow (20-25 percent) in both non-pregnant and pregnant subjects, as compared with between-person variability (13,287,288). In fact, the serum TSH of euthyroid volunteers was found to vary only ~0.5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/L when tested every month over a span of one year (287). Twin studies suggest that there are genetic factors that determine hypothalamic-pituitary-thyroid setpoints (289-291). These studies report that the inheritable contribution to the serum TSH level approximates 65 percent (290,291). This genetic influence appears in part to involve single nucleotide polymorphisms in thyroid hormone pathway genes such as the phosphodiesterase gene (PDE8B) (292), polymorphisms causing gain (293) or loss of function TSH receptors (294)</w:t>
      </w:r>
      <w:r w:rsidR="00FB44BD">
        <w:rPr>
          <w:rFonts w:ascii="Arial" w:hAnsi="Arial" w:cs="Arial"/>
          <w:kern w:val="1"/>
          <w:sz w:val="22"/>
          <w:szCs w:val="22"/>
        </w:rPr>
        <w:t>,</w:t>
      </w:r>
      <w:r w:rsidRPr="00F82953">
        <w:rPr>
          <w:rFonts w:ascii="Arial" w:hAnsi="Arial" w:cs="Arial"/>
          <w:kern w:val="1"/>
          <w:sz w:val="22"/>
          <w:szCs w:val="22"/>
        </w:rPr>
        <w:t xml:space="preserve"> and the type II deiodinase enzyme polymorphisms (293). Undoubtedly, such polymorphisms account for some of the euthyroid outliers that skew TSH reference range calculations (295). The narrow TSH within-person variability and low (&lt; 0.6) </w:t>
      </w:r>
      <w:r w:rsidRPr="00F82953">
        <w:rPr>
          <w:rFonts w:ascii="Arial" w:hAnsi="Arial" w:cs="Arial"/>
          <w:kern w:val="1"/>
          <w:sz w:val="22"/>
          <w:szCs w:val="22"/>
        </w:rPr>
        <w:lastRenderedPageBreak/>
        <w:t>index of individuality (</w:t>
      </w:r>
      <w:proofErr w:type="spellStart"/>
      <w:r w:rsidRPr="00F82953">
        <w:rPr>
          <w:rFonts w:ascii="Arial" w:hAnsi="Arial" w:cs="Arial"/>
          <w:kern w:val="1"/>
          <w:sz w:val="22"/>
          <w:szCs w:val="22"/>
        </w:rPr>
        <w:t>IoI</w:t>
      </w:r>
      <w:proofErr w:type="spellEnd"/>
      <w:r w:rsidRPr="00F82953">
        <w:rPr>
          <w:rFonts w:ascii="Arial" w:hAnsi="Arial" w:cs="Arial"/>
          <w:kern w:val="1"/>
          <w:sz w:val="22"/>
          <w:szCs w:val="22"/>
        </w:rPr>
        <w:t xml:space="preserve">) (287,288) limits the clinical utility of using the TSH population-based reference range to detect thyroid dysfunction in an individual patient (288,296-298). When evaluating patients with marginally (confirmed) low (0.1–0.4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or high (4–10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/L) TSH abnormalities, it is more important to consider the degree of TSH abnormality relative to patient-specific risk factors for cardiovascular disease rather than the degree of the abnormality relative to the TSH reference range (13,52,299).</w:t>
      </w:r>
    </w:p>
    <w:p w14:paraId="5EC101AC" w14:textId="77777777" w:rsidR="0027665C" w:rsidRPr="00F82953" w:rsidRDefault="0027665C" w:rsidP="00F82953">
      <w:pPr>
        <w:autoSpaceDE w:val="0"/>
        <w:autoSpaceDN w:val="0"/>
        <w:adjustRightInd w:val="0"/>
        <w:spacing w:after="0" w:line="276" w:lineRule="auto"/>
        <w:rPr>
          <w:rFonts w:ascii="Arial" w:hAnsi="Arial" w:cs="Arial"/>
          <w:kern w:val="1"/>
          <w:sz w:val="22"/>
          <w:szCs w:val="22"/>
        </w:rPr>
      </w:pPr>
    </w:p>
    <w:p w14:paraId="7D890989" w14:textId="093563E7" w:rsidR="0027665C" w:rsidRPr="00B12BBD" w:rsidRDefault="0027665C" w:rsidP="00255946">
      <w:pPr>
        <w:pStyle w:val="ListParagraph"/>
        <w:autoSpaceDE w:val="0"/>
        <w:autoSpaceDN w:val="0"/>
        <w:adjustRightInd w:val="0"/>
        <w:spacing w:after="0" w:line="276" w:lineRule="auto"/>
        <w:ind w:left="0"/>
        <w:rPr>
          <w:rFonts w:ascii="Arial" w:hAnsi="Arial" w:cs="Arial"/>
          <w:color w:val="FF0000"/>
          <w:kern w:val="1"/>
          <w:sz w:val="22"/>
          <w:szCs w:val="22"/>
        </w:rPr>
      </w:pPr>
      <w:r w:rsidRPr="00B12BBD">
        <w:rPr>
          <w:rFonts w:ascii="Arial" w:hAnsi="Arial" w:cs="Arial"/>
          <w:color w:val="FF0000"/>
          <w:kern w:val="1"/>
          <w:sz w:val="22"/>
          <w:szCs w:val="22"/>
        </w:rPr>
        <w:t>TSH R</w:t>
      </w:r>
      <w:r w:rsidR="00B12BBD" w:rsidRPr="00B12BBD">
        <w:rPr>
          <w:rFonts w:ascii="Arial" w:hAnsi="Arial" w:cs="Arial"/>
          <w:color w:val="FF0000"/>
          <w:kern w:val="1"/>
          <w:sz w:val="22"/>
          <w:szCs w:val="22"/>
        </w:rPr>
        <w:t>EFERENCE R</w:t>
      </w:r>
      <w:r w:rsidR="00827D84">
        <w:rPr>
          <w:rFonts w:ascii="Arial" w:hAnsi="Arial" w:cs="Arial"/>
          <w:color w:val="FF0000"/>
          <w:kern w:val="1"/>
          <w:sz w:val="22"/>
          <w:szCs w:val="22"/>
        </w:rPr>
        <w:t xml:space="preserve">ANGES </w:t>
      </w:r>
      <w:r w:rsidR="00B12BBD" w:rsidRPr="00B12BBD">
        <w:rPr>
          <w:rFonts w:ascii="Arial" w:hAnsi="Arial" w:cs="Arial"/>
          <w:color w:val="FF0000"/>
          <w:kern w:val="1"/>
          <w:sz w:val="22"/>
          <w:szCs w:val="22"/>
        </w:rPr>
        <w:t xml:space="preserve"> </w:t>
      </w:r>
      <w:r w:rsidRPr="00B12BBD">
        <w:rPr>
          <w:rFonts w:ascii="Arial" w:hAnsi="Arial" w:cs="Arial"/>
          <w:color w:val="FF0000"/>
          <w:kern w:val="1"/>
          <w:sz w:val="22"/>
          <w:szCs w:val="22"/>
        </w:rPr>
        <w:t xml:space="preserve"> </w:t>
      </w:r>
    </w:p>
    <w:p w14:paraId="650BD815" w14:textId="77777777" w:rsidR="00B12BBD" w:rsidRDefault="00B12BBD" w:rsidP="00B12BBD">
      <w:pPr>
        <w:autoSpaceDE w:val="0"/>
        <w:autoSpaceDN w:val="0"/>
        <w:adjustRightInd w:val="0"/>
        <w:spacing w:after="0" w:line="276" w:lineRule="auto"/>
        <w:rPr>
          <w:rFonts w:ascii="Arial" w:hAnsi="Arial" w:cs="Arial"/>
          <w:kern w:val="1"/>
          <w:sz w:val="22"/>
          <w:szCs w:val="22"/>
        </w:rPr>
      </w:pPr>
    </w:p>
    <w:p w14:paraId="0D3FD2F8" w14:textId="470C4288" w:rsidR="0027665C" w:rsidRDefault="00B12BBD" w:rsidP="00B12BBD">
      <w:pPr>
        <w:autoSpaceDE w:val="0"/>
        <w:autoSpaceDN w:val="0"/>
        <w:adjustRightInd w:val="0"/>
        <w:spacing w:after="0" w:line="276" w:lineRule="auto"/>
        <w:rPr>
          <w:rFonts w:ascii="Arial" w:hAnsi="Arial" w:cs="Arial"/>
          <w:kern w:val="1"/>
          <w:sz w:val="22"/>
          <w:szCs w:val="22"/>
        </w:rPr>
      </w:pPr>
      <w:r>
        <w:rPr>
          <w:rFonts w:ascii="Arial" w:hAnsi="Arial" w:cs="Arial"/>
          <w:kern w:val="1"/>
          <w:sz w:val="22"/>
          <w:szCs w:val="22"/>
        </w:rPr>
        <w:t>A</w:t>
      </w:r>
      <w:r w:rsidR="0027665C" w:rsidRPr="00F82953">
        <w:rPr>
          <w:rFonts w:ascii="Arial" w:hAnsi="Arial" w:cs="Arial"/>
          <w:kern w:val="1"/>
          <w:sz w:val="22"/>
          <w:szCs w:val="22"/>
        </w:rPr>
        <w:t xml:space="preserve">s with the thyroid hormone tests, the significant biases between different TSH </w:t>
      </w:r>
      <w:r w:rsidR="0027665C" w:rsidRPr="00F82953">
        <w:rPr>
          <w:rFonts w:ascii="Arial" w:hAnsi="Arial" w:cs="Arial"/>
          <w:color w:val="000000" w:themeColor="text1"/>
          <w:kern w:val="1"/>
          <w:sz w:val="22"/>
          <w:szCs w:val="22"/>
        </w:rPr>
        <w:t xml:space="preserve">methods (Figure </w:t>
      </w:r>
      <w:r w:rsidR="008A7D3A">
        <w:rPr>
          <w:rFonts w:ascii="Arial" w:hAnsi="Arial" w:cs="Arial"/>
          <w:color w:val="000000" w:themeColor="text1"/>
          <w:kern w:val="1"/>
          <w:sz w:val="22"/>
          <w:szCs w:val="22"/>
        </w:rPr>
        <w:t>7</w:t>
      </w:r>
      <w:r w:rsidR="0027665C" w:rsidRPr="00F82953">
        <w:rPr>
          <w:rFonts w:ascii="Arial" w:hAnsi="Arial" w:cs="Arial"/>
          <w:color w:val="000000" w:themeColor="text1"/>
          <w:kern w:val="1"/>
          <w:sz w:val="22"/>
          <w:szCs w:val="22"/>
        </w:rPr>
        <w:t xml:space="preserve">) </w:t>
      </w:r>
      <w:r w:rsidR="0027665C" w:rsidRPr="00F82953">
        <w:rPr>
          <w:rFonts w:ascii="Arial" w:hAnsi="Arial" w:cs="Arial"/>
          <w:kern w:val="1"/>
          <w:sz w:val="22"/>
          <w:szCs w:val="22"/>
        </w:rPr>
        <w:t>prevent establishing universal population or trimester-specific reference ranges that would apply across methods (13,170). These method biases also impact the detection of subclinical hypothyroidism (299,300). Since TSH is a complex glycoprotein, no reference measurement procedure (RMP) is available, or will likely be feasible in the future (13), given the current lack of commutability between the pituitary TSH reference preparations and patient specimens (33). A harmonization approach (31,301), whereby methods are recalibrated to the "all method mean", has been shown to have the potential to effectively eliminate current between-method TSH differences that are most pronounced at pathophysiologic levels (29,302). Better harmonization may also be possible using a reference panel of serum specimens (33). The IFCC is actively working with the IVD industry to encourage manufacturers to harmonize their methods. A reduction of between-method variability could eliminate the need to establish method-specific TSH reference ranges - a practice that is costly and inconvenient given the large numbers of rigorously screened participants that are necessary to establish reliable 2.5th to 97.5th percentiles for a population (87,303). However, even after harmonization minimizes inter-method differences, it remains to be determined to what extent universal ranges would be impacted by other factors such as age (254,304), ethnicity (254)</w:t>
      </w:r>
      <w:r w:rsidR="009472A0">
        <w:rPr>
          <w:rFonts w:ascii="Arial" w:hAnsi="Arial" w:cs="Arial"/>
          <w:kern w:val="1"/>
          <w:sz w:val="22"/>
          <w:szCs w:val="22"/>
        </w:rPr>
        <w:t>,</w:t>
      </w:r>
      <w:r w:rsidR="0027665C" w:rsidRPr="00F82953">
        <w:rPr>
          <w:rFonts w:ascii="Arial" w:hAnsi="Arial" w:cs="Arial"/>
          <w:kern w:val="1"/>
          <w:sz w:val="22"/>
          <w:szCs w:val="22"/>
        </w:rPr>
        <w:t xml:space="preserve"> and iodine intake (305). It may be that a reference range established in one geographic location may not be representative of a different locale or population. The harmonization of TSH methods would be advantageous for consolidating data from different studies and establishing universal reference limits (13).</w:t>
      </w:r>
    </w:p>
    <w:p w14:paraId="7E5FFDA4" w14:textId="77777777" w:rsidR="00AD51ED" w:rsidRDefault="00AD51ED" w:rsidP="00B12BBD">
      <w:pPr>
        <w:autoSpaceDE w:val="0"/>
        <w:autoSpaceDN w:val="0"/>
        <w:adjustRightInd w:val="0"/>
        <w:spacing w:after="0" w:line="276" w:lineRule="auto"/>
        <w:rPr>
          <w:rFonts w:ascii="Arial" w:hAnsi="Arial" w:cs="Arial"/>
          <w:kern w:val="1"/>
          <w:sz w:val="22"/>
          <w:szCs w:val="22"/>
        </w:rPr>
      </w:pPr>
    </w:p>
    <w:p w14:paraId="3BEE724A" w14:textId="121E925C" w:rsidR="00AD51ED" w:rsidRPr="00F82953" w:rsidRDefault="00AD51ED" w:rsidP="00B12BBD">
      <w:pPr>
        <w:autoSpaceDE w:val="0"/>
        <w:autoSpaceDN w:val="0"/>
        <w:adjustRightInd w:val="0"/>
        <w:spacing w:after="0" w:line="276" w:lineRule="auto"/>
        <w:rPr>
          <w:rFonts w:ascii="Arial" w:hAnsi="Arial" w:cs="Arial"/>
          <w:kern w:val="1"/>
          <w:sz w:val="22"/>
          <w:szCs w:val="22"/>
        </w:rPr>
      </w:pPr>
      <w:r>
        <w:rPr>
          <w:rFonts w:ascii="Arial" w:hAnsi="Arial" w:cs="Arial"/>
          <w:b/>
          <w:bCs/>
          <w:noProof/>
          <w:color w:val="000000" w:themeColor="text1"/>
          <w:kern w:val="1"/>
          <w:sz w:val="22"/>
          <w:szCs w:val="22"/>
        </w:rPr>
        <w:lastRenderedPageBreak/>
        <w:drawing>
          <wp:inline distT="0" distB="0" distL="0" distR="0" wp14:anchorId="39E17DE8" wp14:editId="1AA806C0">
            <wp:extent cx="5229955" cy="2857899"/>
            <wp:effectExtent l="0" t="0" r="8890" b="0"/>
            <wp:docPr id="456828813" name="Picture 1095" descr="A graph showing a number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28813" name="Picture 1095" descr="A graph showing a number of dots"/>
                    <pic:cNvPicPr/>
                  </pic:nvPicPr>
                  <pic:blipFill>
                    <a:blip r:embed="rId11">
                      <a:extLst>
                        <a:ext uri="{28A0092B-C50C-407E-A947-70E740481C1C}">
                          <a14:useLocalDpi xmlns:a14="http://schemas.microsoft.com/office/drawing/2010/main" val="0"/>
                        </a:ext>
                      </a:extLst>
                    </a:blip>
                    <a:stretch>
                      <a:fillRect/>
                    </a:stretch>
                  </pic:blipFill>
                  <pic:spPr>
                    <a:xfrm>
                      <a:off x="0" y="0"/>
                      <a:ext cx="5229955" cy="2857899"/>
                    </a:xfrm>
                    <a:prstGeom prst="rect">
                      <a:avLst/>
                    </a:prstGeom>
                  </pic:spPr>
                </pic:pic>
              </a:graphicData>
            </a:graphic>
          </wp:inline>
        </w:drawing>
      </w:r>
    </w:p>
    <w:p w14:paraId="394C9654" w14:textId="77777777" w:rsidR="007C4858" w:rsidRPr="00411622" w:rsidRDefault="007C4858" w:rsidP="007C4858">
      <w:pPr>
        <w:autoSpaceDE w:val="0"/>
        <w:autoSpaceDN w:val="0"/>
        <w:adjustRightInd w:val="0"/>
        <w:spacing w:after="0" w:line="276" w:lineRule="auto"/>
        <w:rPr>
          <w:rFonts w:ascii="Arial" w:hAnsi="Arial" w:cs="Arial"/>
          <w:b/>
          <w:bCs/>
          <w:kern w:val="1"/>
          <w:sz w:val="22"/>
          <w:szCs w:val="22"/>
        </w:rPr>
      </w:pPr>
      <w:r w:rsidRPr="00411622">
        <w:rPr>
          <w:rFonts w:ascii="Arial" w:hAnsi="Arial" w:cs="Arial"/>
          <w:b/>
          <w:bCs/>
          <w:kern w:val="1"/>
          <w:sz w:val="22"/>
          <w:szCs w:val="22"/>
        </w:rPr>
        <w:t>Figure</w:t>
      </w:r>
      <w:r>
        <w:rPr>
          <w:rFonts w:ascii="Arial" w:hAnsi="Arial" w:cs="Arial"/>
          <w:b/>
          <w:bCs/>
          <w:kern w:val="1"/>
          <w:sz w:val="22"/>
          <w:szCs w:val="22"/>
        </w:rPr>
        <w:t xml:space="preserve"> 7</w:t>
      </w:r>
      <w:r w:rsidRPr="00411622">
        <w:rPr>
          <w:rFonts w:ascii="Arial" w:hAnsi="Arial" w:cs="Arial"/>
          <w:b/>
          <w:bCs/>
          <w:kern w:val="1"/>
          <w:sz w:val="22"/>
          <w:szCs w:val="22"/>
        </w:rPr>
        <w:t>. TSH Between-Method Variability. Figure shows deviations</w:t>
      </w:r>
      <w:r w:rsidRPr="00411622">
        <w:rPr>
          <w:rFonts w:ascii="Arial" w:hAnsi="Arial" w:cs="Arial"/>
          <w:b/>
          <w:bCs/>
          <w:spacing w:val="-4"/>
          <w:kern w:val="1"/>
          <w:sz w:val="22"/>
          <w:szCs w:val="22"/>
        </w:rPr>
        <w:t xml:space="preserve"> </w:t>
      </w:r>
      <w:r w:rsidRPr="00411622">
        <w:rPr>
          <w:rFonts w:ascii="Arial" w:hAnsi="Arial" w:cs="Arial"/>
          <w:b/>
          <w:bCs/>
          <w:kern w:val="1"/>
          <w:sz w:val="22"/>
          <w:szCs w:val="22"/>
        </w:rPr>
        <w:t>in</w:t>
      </w:r>
      <w:r w:rsidRPr="00411622">
        <w:rPr>
          <w:rFonts w:ascii="Arial" w:hAnsi="Arial" w:cs="Arial"/>
          <w:b/>
          <w:bCs/>
          <w:spacing w:val="-2"/>
          <w:kern w:val="1"/>
          <w:sz w:val="22"/>
          <w:szCs w:val="22"/>
        </w:rPr>
        <w:t xml:space="preserve"> TSH measurements made in the low (&lt;0.5), medium (0.5-5.0)</w:t>
      </w:r>
      <w:r>
        <w:rPr>
          <w:rFonts w:ascii="Arial" w:hAnsi="Arial" w:cs="Arial"/>
          <w:b/>
          <w:bCs/>
          <w:spacing w:val="-2"/>
          <w:kern w:val="1"/>
          <w:sz w:val="22"/>
          <w:szCs w:val="22"/>
        </w:rPr>
        <w:t>,</w:t>
      </w:r>
      <w:r w:rsidRPr="00411622">
        <w:rPr>
          <w:rFonts w:ascii="Arial" w:hAnsi="Arial" w:cs="Arial"/>
          <w:b/>
          <w:bCs/>
          <w:spacing w:val="-2"/>
          <w:kern w:val="1"/>
          <w:sz w:val="22"/>
          <w:szCs w:val="22"/>
        </w:rPr>
        <w:t xml:space="preserve"> and high (&gt;5) </w:t>
      </w:r>
      <w:proofErr w:type="spellStart"/>
      <w:r w:rsidRPr="00411622">
        <w:rPr>
          <w:rFonts w:ascii="Arial" w:hAnsi="Arial" w:cs="Arial"/>
          <w:b/>
          <w:bCs/>
          <w:spacing w:val="-2"/>
          <w:kern w:val="1"/>
          <w:sz w:val="22"/>
          <w:szCs w:val="22"/>
        </w:rPr>
        <w:t>mIU</w:t>
      </w:r>
      <w:proofErr w:type="spellEnd"/>
      <w:r w:rsidRPr="00411622">
        <w:rPr>
          <w:rFonts w:ascii="Arial" w:hAnsi="Arial" w:cs="Arial"/>
          <w:b/>
          <w:bCs/>
          <w:spacing w:val="-2"/>
          <w:kern w:val="1"/>
          <w:sz w:val="22"/>
          <w:szCs w:val="22"/>
        </w:rPr>
        <w:t xml:space="preserve">/L range using 14 </w:t>
      </w:r>
      <w:r w:rsidRPr="00411622">
        <w:rPr>
          <w:rFonts w:ascii="Arial" w:hAnsi="Arial" w:cs="Arial"/>
          <w:b/>
          <w:bCs/>
          <w:kern w:val="1"/>
          <w:sz w:val="22"/>
          <w:szCs w:val="22"/>
        </w:rPr>
        <w:t>different</w:t>
      </w:r>
      <w:r w:rsidRPr="00411622">
        <w:rPr>
          <w:rFonts w:ascii="Arial" w:hAnsi="Arial" w:cs="Arial"/>
          <w:b/>
          <w:bCs/>
          <w:spacing w:val="-3"/>
          <w:kern w:val="1"/>
          <w:sz w:val="22"/>
          <w:szCs w:val="22"/>
        </w:rPr>
        <w:t xml:space="preserve"> </w:t>
      </w:r>
      <w:r w:rsidRPr="00411622">
        <w:rPr>
          <w:rFonts w:ascii="Arial" w:hAnsi="Arial" w:cs="Arial"/>
          <w:b/>
          <w:bCs/>
          <w:spacing w:val="-4"/>
          <w:kern w:val="1"/>
          <w:sz w:val="22"/>
          <w:szCs w:val="22"/>
        </w:rPr>
        <w:t>immunoassays. Data is expressed as deviations from the trimmed all method mean (88).</w:t>
      </w:r>
    </w:p>
    <w:p w14:paraId="7A809AD3" w14:textId="77777777" w:rsidR="00405634" w:rsidRDefault="00405634" w:rsidP="00F82953">
      <w:pPr>
        <w:autoSpaceDE w:val="0"/>
        <w:autoSpaceDN w:val="0"/>
        <w:adjustRightInd w:val="0"/>
        <w:spacing w:after="0" w:line="276" w:lineRule="auto"/>
        <w:rPr>
          <w:rFonts w:ascii="Arial" w:hAnsi="Arial" w:cs="Arial"/>
          <w:kern w:val="1"/>
          <w:sz w:val="22"/>
          <w:szCs w:val="22"/>
        </w:rPr>
      </w:pPr>
    </w:p>
    <w:p w14:paraId="7BA0A794" w14:textId="03A78BA4" w:rsidR="00405634" w:rsidRPr="009A6A46" w:rsidRDefault="00405634" w:rsidP="00B12BBD">
      <w:pPr>
        <w:pStyle w:val="ListParagraph"/>
        <w:autoSpaceDE w:val="0"/>
        <w:autoSpaceDN w:val="0"/>
        <w:adjustRightInd w:val="0"/>
        <w:spacing w:after="0" w:line="276" w:lineRule="auto"/>
        <w:ind w:left="0"/>
        <w:rPr>
          <w:rFonts w:ascii="Arial" w:hAnsi="Arial" w:cs="Arial"/>
          <w:color w:val="FF0000"/>
          <w:kern w:val="1"/>
          <w:sz w:val="22"/>
          <w:szCs w:val="22"/>
        </w:rPr>
      </w:pPr>
      <w:r w:rsidRPr="009A6A46">
        <w:rPr>
          <w:rFonts w:ascii="Arial" w:hAnsi="Arial" w:cs="Arial"/>
          <w:color w:val="FF0000"/>
          <w:kern w:val="1"/>
          <w:sz w:val="22"/>
          <w:szCs w:val="22"/>
        </w:rPr>
        <w:t>TSH P</w:t>
      </w:r>
      <w:r w:rsidR="009A6A46" w:rsidRPr="009A6A46">
        <w:rPr>
          <w:rFonts w:ascii="Arial" w:hAnsi="Arial" w:cs="Arial"/>
          <w:color w:val="FF0000"/>
          <w:kern w:val="1"/>
          <w:sz w:val="22"/>
          <w:szCs w:val="22"/>
        </w:rPr>
        <w:t xml:space="preserve">OPULATION REFERENCE RANGE </w:t>
      </w:r>
    </w:p>
    <w:p w14:paraId="0590DE4F" w14:textId="77777777" w:rsidR="00AE235B" w:rsidRDefault="00AE235B" w:rsidP="00F82953">
      <w:pPr>
        <w:autoSpaceDE w:val="0"/>
        <w:autoSpaceDN w:val="0"/>
        <w:adjustRightInd w:val="0"/>
        <w:spacing w:after="0" w:line="276" w:lineRule="auto"/>
        <w:rPr>
          <w:rFonts w:ascii="Arial" w:hAnsi="Arial" w:cs="Arial"/>
          <w:kern w:val="1"/>
          <w:sz w:val="22"/>
          <w:szCs w:val="22"/>
        </w:rPr>
      </w:pPr>
    </w:p>
    <w:p w14:paraId="1E45ECF8" w14:textId="0E6ECEA1" w:rsidR="00405634" w:rsidRPr="004E1AE7" w:rsidRDefault="00405634"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log/linear TSH/FT4 relationship (8,10,143,144,255) dictates that TSH will be the first abnormality to appear as mild (subclinical) </w:t>
      </w:r>
      <w:r w:rsidR="00943F82">
        <w:rPr>
          <w:rFonts w:ascii="Arial" w:hAnsi="Arial" w:cs="Arial"/>
          <w:kern w:val="1"/>
          <w:sz w:val="22"/>
          <w:szCs w:val="22"/>
        </w:rPr>
        <w:t xml:space="preserve">as </w:t>
      </w:r>
      <w:r w:rsidRPr="00F82953">
        <w:rPr>
          <w:rFonts w:ascii="Arial" w:hAnsi="Arial" w:cs="Arial"/>
          <w:kern w:val="1"/>
          <w:sz w:val="22"/>
          <w:szCs w:val="22"/>
        </w:rPr>
        <w:t xml:space="preserve">hypo- or hyperthyroidism develops. It follows that the setting of the TSH reference limits critically influences the frequency of diagnosing subclinical thyroid disease (50,53). It is recommended </w:t>
      </w:r>
      <w:r w:rsidRPr="004E1AE7">
        <w:rPr>
          <w:rFonts w:ascii="Arial" w:hAnsi="Arial" w:cs="Arial"/>
          <w:kern w:val="1"/>
          <w:sz w:val="22"/>
          <w:szCs w:val="22"/>
        </w:rPr>
        <w:t xml:space="preserve">that “TSH reference intervals should be established from the 95 percent confidence limits of the log-transformed values of at least 120 rigorously screened normal euthyroid volunteers who have: (a) no detectable thyroid autoantibodies, </w:t>
      </w:r>
      <w:proofErr w:type="spellStart"/>
      <w:r w:rsidRPr="004E1AE7">
        <w:rPr>
          <w:rFonts w:ascii="Arial" w:hAnsi="Arial" w:cs="Arial"/>
          <w:kern w:val="1"/>
          <w:sz w:val="22"/>
          <w:szCs w:val="22"/>
        </w:rPr>
        <w:t>TPOAb</w:t>
      </w:r>
      <w:proofErr w:type="spellEnd"/>
      <w:r w:rsidRPr="004E1AE7">
        <w:rPr>
          <w:rFonts w:ascii="Arial" w:hAnsi="Arial" w:cs="Arial"/>
          <w:kern w:val="1"/>
          <w:sz w:val="22"/>
          <w:szCs w:val="22"/>
        </w:rPr>
        <w:t xml:space="preserve"> or </w:t>
      </w:r>
      <w:proofErr w:type="spellStart"/>
      <w:r w:rsidRPr="004E1AE7">
        <w:rPr>
          <w:rFonts w:ascii="Arial" w:hAnsi="Arial" w:cs="Arial"/>
          <w:kern w:val="1"/>
          <w:sz w:val="22"/>
          <w:szCs w:val="22"/>
        </w:rPr>
        <w:t>TgAb</w:t>
      </w:r>
      <w:proofErr w:type="spellEnd"/>
      <w:r w:rsidRPr="004E1AE7">
        <w:rPr>
          <w:rFonts w:ascii="Arial" w:hAnsi="Arial" w:cs="Arial"/>
          <w:kern w:val="1"/>
          <w:sz w:val="22"/>
          <w:szCs w:val="22"/>
        </w:rPr>
        <w:t>; (b) no personal or family history of thyroid dysfunction; (c) no visible or palpable goiter and, (</w:t>
      </w:r>
      <w:r w:rsidR="008A27A1" w:rsidRPr="004E1AE7">
        <w:rPr>
          <w:rFonts w:ascii="Arial" w:hAnsi="Arial" w:cs="Arial"/>
          <w:kern w:val="1"/>
          <w:sz w:val="22"/>
          <w:szCs w:val="22"/>
        </w:rPr>
        <w:t>d</w:t>
      </w:r>
      <w:r w:rsidRPr="004E1AE7">
        <w:rPr>
          <w:rFonts w:ascii="Arial" w:hAnsi="Arial" w:cs="Arial"/>
          <w:kern w:val="1"/>
          <w:sz w:val="22"/>
          <w:szCs w:val="22"/>
        </w:rPr>
        <w:t>) who are taking no medications (except estrogen)”  (10,303).</w:t>
      </w:r>
    </w:p>
    <w:p w14:paraId="1D521DB2"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ED6CC42" w14:textId="7B99A7CB" w:rsidR="005C4829" w:rsidRPr="00F82953" w:rsidRDefault="005C4829" w:rsidP="00F82953">
      <w:pPr>
        <w:autoSpaceDE w:val="0"/>
        <w:autoSpaceDN w:val="0"/>
        <w:adjustRightInd w:val="0"/>
        <w:spacing w:after="0" w:line="276" w:lineRule="auto"/>
        <w:rPr>
          <w:rFonts w:ascii="Arial" w:hAnsi="Arial" w:cs="Arial"/>
          <w:b/>
          <w:bCs/>
          <w:i/>
          <w:iCs/>
          <w:kern w:val="1"/>
          <w:sz w:val="22"/>
          <w:szCs w:val="22"/>
        </w:rPr>
      </w:pPr>
      <w:r w:rsidRPr="00F82953">
        <w:rPr>
          <w:rFonts w:ascii="Arial" w:hAnsi="Arial" w:cs="Arial"/>
          <w:kern w:val="1"/>
          <w:sz w:val="22"/>
          <w:szCs w:val="22"/>
        </w:rPr>
        <w:t xml:space="preserve">Multiple factors influence population TSH reference limits, especially the upper (97.5th percentile) limit. Different methods report different ranges for the same population resulting from between-methods </w:t>
      </w:r>
      <w:r w:rsidRPr="00F82953">
        <w:rPr>
          <w:rFonts w:ascii="Arial" w:hAnsi="Arial" w:cs="Arial"/>
          <w:color w:val="000000" w:themeColor="text1"/>
          <w:kern w:val="1"/>
          <w:sz w:val="22"/>
          <w:szCs w:val="22"/>
        </w:rPr>
        <w:t xml:space="preserve">biases (Figure </w:t>
      </w:r>
      <w:r w:rsidR="005567F3">
        <w:rPr>
          <w:rFonts w:ascii="Arial" w:hAnsi="Arial" w:cs="Arial"/>
          <w:color w:val="000000" w:themeColor="text1"/>
          <w:kern w:val="1"/>
          <w:sz w:val="22"/>
          <w:szCs w:val="22"/>
        </w:rPr>
        <w:t>7</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(13). A key factor affecting the upper limit is the stringency used for eliminating individuals with thyroid autoimmunity from the population (306-308). Other factors relate to population demographics such as sex (254), ethnicity (254,309,310), iodine intake (311,312), BMI (313,314)</w:t>
      </w:r>
      <w:r w:rsidR="00E57E92">
        <w:rPr>
          <w:rFonts w:ascii="Arial" w:hAnsi="Arial" w:cs="Arial"/>
          <w:kern w:val="1"/>
          <w:sz w:val="22"/>
          <w:szCs w:val="22"/>
        </w:rPr>
        <w:t>,</w:t>
      </w:r>
      <w:r w:rsidRPr="00F82953">
        <w:rPr>
          <w:rFonts w:ascii="Arial" w:hAnsi="Arial" w:cs="Arial"/>
          <w:kern w:val="1"/>
          <w:sz w:val="22"/>
          <w:szCs w:val="22"/>
        </w:rPr>
        <w:t xml:space="preserve"> and smoking status (311,315). The relationship between TSH and age is complex with most studies in iodine sufficient populations reporting an increase in the TSH upper limit with age (143,254,308,309,316). This has led to the suggestion that age-and sex-specific TSH reference limits be used (50,316). Conflicting data on this issue could merely represent population differences with an increasing prevalence of thyroid autoimmunity in iodine-sufficient populations (254,317). Whereas in iodine deficient populations, increasing autonomy of nodular goiter can result in decreased TSH with aging (318). Some studies have reported that a mild TSH elevation in elderly individuals may convey a survival benefit (319), whereas other studies dispute this (320). However, TSH is a labile hormone, and studies cannot </w:t>
      </w:r>
      <w:r w:rsidRPr="00F82953">
        <w:rPr>
          <w:rFonts w:ascii="Arial" w:hAnsi="Arial" w:cs="Arial"/>
          <w:kern w:val="1"/>
          <w:sz w:val="22"/>
          <w:szCs w:val="22"/>
        </w:rPr>
        <w:lastRenderedPageBreak/>
        <w:t>assume that a TSH abnormality found in a single determination is representative of thyroid status in the long-term (321).</w:t>
      </w:r>
    </w:p>
    <w:p w14:paraId="4166E581"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37F6480" w14:textId="65D0E348" w:rsidR="005C4829" w:rsidRPr="00113865" w:rsidRDefault="005C4829" w:rsidP="00827D84">
      <w:pPr>
        <w:autoSpaceDE w:val="0"/>
        <w:autoSpaceDN w:val="0"/>
        <w:adjustRightInd w:val="0"/>
        <w:spacing w:after="0" w:line="276" w:lineRule="auto"/>
        <w:rPr>
          <w:rFonts w:ascii="Arial" w:hAnsi="Arial" w:cs="Arial"/>
          <w:color w:val="FF0000"/>
          <w:kern w:val="1"/>
          <w:sz w:val="22"/>
          <w:szCs w:val="22"/>
        </w:rPr>
      </w:pPr>
      <w:r w:rsidRPr="00113865">
        <w:rPr>
          <w:rFonts w:ascii="Arial" w:hAnsi="Arial" w:cs="Arial"/>
          <w:color w:val="FF0000"/>
          <w:kern w:val="1"/>
          <w:sz w:val="22"/>
          <w:szCs w:val="22"/>
        </w:rPr>
        <w:t>P</w:t>
      </w:r>
      <w:r w:rsidR="00701246" w:rsidRPr="00113865">
        <w:rPr>
          <w:rFonts w:ascii="Arial" w:hAnsi="Arial" w:cs="Arial"/>
          <w:color w:val="FF0000"/>
          <w:kern w:val="1"/>
          <w:sz w:val="22"/>
          <w:szCs w:val="22"/>
        </w:rPr>
        <w:t>E</w:t>
      </w:r>
      <w:r w:rsidR="00113865" w:rsidRPr="00113865">
        <w:rPr>
          <w:rFonts w:ascii="Arial" w:hAnsi="Arial" w:cs="Arial"/>
          <w:color w:val="FF0000"/>
          <w:kern w:val="1"/>
          <w:sz w:val="22"/>
          <w:szCs w:val="22"/>
        </w:rPr>
        <w:t xml:space="preserve">DIATRIC TSH REFERENCE RANGES </w:t>
      </w:r>
    </w:p>
    <w:p w14:paraId="7F39F90A" w14:textId="77777777" w:rsidR="00AB3367" w:rsidRDefault="00AB3367" w:rsidP="00F82953">
      <w:pPr>
        <w:autoSpaceDE w:val="0"/>
        <w:autoSpaceDN w:val="0"/>
        <w:adjustRightInd w:val="0"/>
        <w:spacing w:after="0" w:line="276" w:lineRule="auto"/>
        <w:rPr>
          <w:rFonts w:ascii="Arial" w:hAnsi="Arial" w:cs="Arial"/>
          <w:kern w:val="1"/>
          <w:sz w:val="22"/>
          <w:szCs w:val="22"/>
        </w:rPr>
      </w:pPr>
    </w:p>
    <w:p w14:paraId="693F45C9" w14:textId="0F59B323" w:rsidR="005C4829" w:rsidRPr="00F82953" w:rsidRDefault="005C4829" w:rsidP="00F82953">
      <w:pPr>
        <w:autoSpaceDE w:val="0"/>
        <w:autoSpaceDN w:val="0"/>
        <w:adjustRightInd w:val="0"/>
        <w:spacing w:after="0" w:line="276" w:lineRule="auto"/>
        <w:rPr>
          <w:rFonts w:ascii="Arial" w:hAnsi="Arial" w:cs="Arial"/>
          <w:b/>
          <w:bCs/>
          <w:i/>
          <w:iCs/>
          <w:kern w:val="1"/>
          <w:sz w:val="22"/>
          <w:szCs w:val="22"/>
        </w:rPr>
      </w:pPr>
      <w:r w:rsidRPr="00F82953">
        <w:rPr>
          <w:rFonts w:ascii="Arial" w:hAnsi="Arial" w:cs="Arial"/>
          <w:kern w:val="1"/>
          <w:sz w:val="22"/>
          <w:szCs w:val="22"/>
        </w:rPr>
        <w:t xml:space="preserve">The adult TSH population reference range does not apply to neonates or children. Serum TSH values are generally higher in neonates and then gradually decline until the adult range is reached after puberty (178,179,322,323). This necessitates using age-specific TSH reference ranges for diagnosing thyroid dysfunction in different pediatric age groups. </w:t>
      </w:r>
    </w:p>
    <w:p w14:paraId="3B650E34"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EDEC718" w14:textId="5EFC1CC9" w:rsidR="005C4829" w:rsidRPr="00B363BD" w:rsidRDefault="005C4829" w:rsidP="00AB3367">
      <w:pPr>
        <w:autoSpaceDE w:val="0"/>
        <w:autoSpaceDN w:val="0"/>
        <w:adjustRightInd w:val="0"/>
        <w:spacing w:after="0" w:line="276" w:lineRule="auto"/>
        <w:rPr>
          <w:rFonts w:ascii="Arial" w:hAnsi="Arial" w:cs="Arial"/>
          <w:color w:val="FF0000"/>
          <w:kern w:val="1"/>
          <w:sz w:val="22"/>
          <w:szCs w:val="22"/>
        </w:rPr>
      </w:pPr>
      <w:r w:rsidRPr="00B363BD">
        <w:rPr>
          <w:rFonts w:ascii="Arial" w:hAnsi="Arial" w:cs="Arial"/>
          <w:color w:val="FF0000"/>
          <w:kern w:val="1"/>
          <w:sz w:val="22"/>
          <w:szCs w:val="22"/>
        </w:rPr>
        <w:t>S</w:t>
      </w:r>
      <w:r w:rsidR="00B363BD" w:rsidRPr="00B363BD">
        <w:rPr>
          <w:rFonts w:ascii="Arial" w:hAnsi="Arial" w:cs="Arial"/>
          <w:color w:val="FF0000"/>
          <w:kern w:val="1"/>
          <w:sz w:val="22"/>
          <w:szCs w:val="22"/>
        </w:rPr>
        <w:t xml:space="preserve">UBCLINICAL THYROID DYSFUNCTION </w:t>
      </w:r>
      <w:r w:rsidRPr="00B363BD">
        <w:rPr>
          <w:rFonts w:ascii="Arial" w:hAnsi="Arial" w:cs="Arial"/>
          <w:color w:val="FF0000"/>
          <w:kern w:val="1"/>
          <w:sz w:val="22"/>
          <w:szCs w:val="22"/>
        </w:rPr>
        <w:t xml:space="preserve"> </w:t>
      </w:r>
    </w:p>
    <w:p w14:paraId="1694C26F" w14:textId="77777777" w:rsidR="003A61D1" w:rsidRDefault="003A61D1" w:rsidP="00F82953">
      <w:pPr>
        <w:autoSpaceDE w:val="0"/>
        <w:autoSpaceDN w:val="0"/>
        <w:adjustRightInd w:val="0"/>
        <w:spacing w:after="0" w:line="276" w:lineRule="auto"/>
        <w:rPr>
          <w:rFonts w:ascii="Arial" w:hAnsi="Arial" w:cs="Arial"/>
          <w:kern w:val="1"/>
          <w:sz w:val="22"/>
          <w:szCs w:val="22"/>
          <w:u w:val="single"/>
        </w:rPr>
      </w:pPr>
    </w:p>
    <w:p w14:paraId="3388B445" w14:textId="002F89A4"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4D621E">
        <w:rPr>
          <w:rFonts w:ascii="Arial" w:hAnsi="Arial" w:cs="Arial"/>
          <w:kern w:val="1"/>
          <w:sz w:val="22"/>
          <w:szCs w:val="22"/>
        </w:rPr>
        <w:t>Subclinical Hyperthyroidism</w:t>
      </w:r>
      <w:r w:rsidRPr="00F82953">
        <w:rPr>
          <w:rFonts w:ascii="Arial" w:hAnsi="Arial" w:cs="Arial"/>
          <w:kern w:val="1"/>
          <w:sz w:val="22"/>
          <w:szCs w:val="22"/>
          <w:u w:val="single"/>
        </w:rPr>
        <w:t xml:space="preserve"> </w:t>
      </w:r>
      <w:r w:rsidRPr="004D621E">
        <w:rPr>
          <w:rFonts w:ascii="Arial" w:hAnsi="Arial" w:cs="Arial"/>
          <w:kern w:val="1"/>
          <w:sz w:val="22"/>
          <w:szCs w:val="22"/>
        </w:rPr>
        <w:t>(SCHY) is</w:t>
      </w:r>
      <w:r w:rsidRPr="00F82953">
        <w:rPr>
          <w:rFonts w:ascii="Arial" w:hAnsi="Arial" w:cs="Arial"/>
          <w:kern w:val="1"/>
          <w:sz w:val="22"/>
          <w:szCs w:val="22"/>
        </w:rPr>
        <w:t xml:space="preserve"> defined as a low (&lt;2.5th percentile) but detectable TSH (0.01 - 0.3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range) without a FT4 abnormality. SCHY seems relatively independent of the method used (324-326). Endogenous SCHY prevalence is low (0.7 %) in iodine-sufficient populations (254) but may </w:t>
      </w:r>
      <w:r w:rsidR="004D2588">
        <w:rPr>
          <w:rFonts w:ascii="Arial" w:hAnsi="Arial" w:cs="Arial"/>
          <w:kern w:val="1"/>
          <w:sz w:val="22"/>
          <w:szCs w:val="22"/>
        </w:rPr>
        <w:t>increase</w:t>
      </w:r>
      <w:r w:rsidRPr="00F82953">
        <w:rPr>
          <w:rFonts w:ascii="Arial" w:hAnsi="Arial" w:cs="Arial"/>
          <w:kern w:val="1"/>
          <w:sz w:val="22"/>
          <w:szCs w:val="22"/>
        </w:rPr>
        <w:t xml:space="preserve"> as an iatrogenic consequence of L-T4 replacement therapy (327-330). SCHY is a risk factor for osteoporosis and increased fracture risk (331) as well as atrial fibrillation and cardiovascular disease (325,332-334), especially in older patients.</w:t>
      </w:r>
    </w:p>
    <w:p w14:paraId="2E8D8212" w14:textId="77777777" w:rsidR="003A61D1" w:rsidRDefault="003A61D1" w:rsidP="00F82953">
      <w:pPr>
        <w:autoSpaceDE w:val="0"/>
        <w:autoSpaceDN w:val="0"/>
        <w:adjustRightInd w:val="0"/>
        <w:spacing w:after="0" w:line="276" w:lineRule="auto"/>
        <w:rPr>
          <w:rFonts w:ascii="Arial" w:hAnsi="Arial" w:cs="Arial"/>
          <w:i/>
          <w:iCs/>
          <w:kern w:val="1"/>
          <w:sz w:val="22"/>
          <w:szCs w:val="22"/>
          <w:u w:val="single"/>
        </w:rPr>
      </w:pPr>
    </w:p>
    <w:p w14:paraId="1E7878A9" w14:textId="17198573" w:rsidR="005C4829" w:rsidRPr="00F82953" w:rsidRDefault="005C4829" w:rsidP="00F82953">
      <w:pPr>
        <w:autoSpaceDE w:val="0"/>
        <w:autoSpaceDN w:val="0"/>
        <w:adjustRightInd w:val="0"/>
        <w:spacing w:after="0" w:line="276" w:lineRule="auto"/>
        <w:rPr>
          <w:rFonts w:ascii="Arial" w:hAnsi="Arial" w:cs="Arial"/>
          <w:i/>
          <w:iCs/>
          <w:kern w:val="1"/>
          <w:sz w:val="22"/>
          <w:szCs w:val="22"/>
        </w:rPr>
      </w:pPr>
      <w:r w:rsidRPr="004D621E">
        <w:rPr>
          <w:rFonts w:ascii="Arial" w:hAnsi="Arial" w:cs="Arial"/>
          <w:kern w:val="1"/>
          <w:sz w:val="22"/>
          <w:szCs w:val="22"/>
        </w:rPr>
        <w:t>Subclinical Hypothyroidism (SCHO)</w:t>
      </w:r>
      <w:r w:rsidRPr="00F82953">
        <w:rPr>
          <w:rFonts w:ascii="Arial" w:hAnsi="Arial" w:cs="Arial"/>
          <w:i/>
          <w:iCs/>
          <w:kern w:val="1"/>
          <w:sz w:val="22"/>
          <w:szCs w:val="22"/>
        </w:rPr>
        <w:t xml:space="preserve"> </w:t>
      </w:r>
      <w:r w:rsidRPr="00F82953">
        <w:rPr>
          <w:rFonts w:ascii="Arial" w:hAnsi="Arial" w:cs="Arial"/>
          <w:kern w:val="1"/>
          <w:sz w:val="22"/>
          <w:szCs w:val="22"/>
        </w:rPr>
        <w:t xml:space="preserve">is defined as a TSH above the upper (&gt;97.5th percentile) TSH reference limit without a FT4 abnormality (50,300,308,335). However, the setting of the TSH upper limit remains controversial, </w:t>
      </w:r>
      <w:r w:rsidR="004D2588">
        <w:rPr>
          <w:rFonts w:ascii="Arial" w:hAnsi="Arial" w:cs="Arial"/>
          <w:kern w:val="1"/>
          <w:sz w:val="22"/>
          <w:szCs w:val="22"/>
        </w:rPr>
        <w:t xml:space="preserve">thus </w:t>
      </w:r>
      <w:r w:rsidRPr="00F82953">
        <w:rPr>
          <w:rFonts w:ascii="Arial" w:hAnsi="Arial" w:cs="Arial"/>
          <w:kern w:val="1"/>
          <w:sz w:val="22"/>
          <w:szCs w:val="22"/>
        </w:rPr>
        <w:t xml:space="preserve">the prevalence of SCHO is highly variable - 4 to 8.5 percent rising to 15 percent in older populations (254,299,307,335). In most cases, SCHO is associated with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positivity, indicative of an autoimmune etiology (307). The clinical consequences of SCHO relate to the degree of TSH elevation (336,337). Most guidelines recommend L-T4 treatment of SCHO when TSH is above 10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(49,50), but below 10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/L L-T4 treatment is usually based on patient-specific risk factors (50). There is active debate concerning the efficacy of treating SCHO to prevent progression (338-340), or improve renal (341), cardiovascular (333,336,342-346)</w:t>
      </w:r>
      <w:r w:rsidR="00DA3400">
        <w:rPr>
          <w:rFonts w:ascii="Arial" w:hAnsi="Arial" w:cs="Arial"/>
          <w:kern w:val="1"/>
          <w:sz w:val="22"/>
          <w:szCs w:val="22"/>
        </w:rPr>
        <w:t>,</w:t>
      </w:r>
      <w:r w:rsidRPr="00F82953">
        <w:rPr>
          <w:rFonts w:ascii="Arial" w:hAnsi="Arial" w:cs="Arial"/>
          <w:kern w:val="1"/>
          <w:sz w:val="22"/>
          <w:szCs w:val="22"/>
        </w:rPr>
        <w:t xml:space="preserve"> or lipid (347,348) abnormalities that can be associated with SCHO.</w:t>
      </w:r>
    </w:p>
    <w:p w14:paraId="0EB9AAB6"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3D6CE41" w14:textId="75A932A9" w:rsidR="005C4829" w:rsidRPr="00883B69" w:rsidRDefault="005C4829" w:rsidP="00F82953">
      <w:pPr>
        <w:autoSpaceDE w:val="0"/>
        <w:autoSpaceDN w:val="0"/>
        <w:adjustRightInd w:val="0"/>
        <w:spacing w:after="0" w:line="276" w:lineRule="auto"/>
        <w:rPr>
          <w:rFonts w:ascii="Arial" w:hAnsi="Arial" w:cs="Arial"/>
          <w:color w:val="FFC000"/>
          <w:kern w:val="1"/>
          <w:sz w:val="22"/>
          <w:szCs w:val="22"/>
        </w:rPr>
      </w:pPr>
      <w:r w:rsidRPr="00883B69">
        <w:rPr>
          <w:rFonts w:ascii="Arial" w:hAnsi="Arial" w:cs="Arial"/>
          <w:color w:val="FF0000"/>
          <w:kern w:val="1"/>
          <w:sz w:val="22"/>
          <w:szCs w:val="22"/>
        </w:rPr>
        <w:t>T</w:t>
      </w:r>
      <w:r w:rsidR="00883B69" w:rsidRPr="00883B69">
        <w:rPr>
          <w:rFonts w:ascii="Arial" w:hAnsi="Arial" w:cs="Arial"/>
          <w:color w:val="FF0000"/>
          <w:kern w:val="1"/>
          <w:sz w:val="22"/>
          <w:szCs w:val="22"/>
        </w:rPr>
        <w:t xml:space="preserve">HYROID DYSFUNCTION IN PREGNANCY </w:t>
      </w:r>
      <w:r w:rsidR="00DA3400" w:rsidRPr="00883B69">
        <w:rPr>
          <w:rFonts w:ascii="Arial" w:hAnsi="Arial" w:cs="Arial"/>
          <w:color w:val="FF0000"/>
          <w:kern w:val="1"/>
          <w:sz w:val="22"/>
          <w:szCs w:val="22"/>
        </w:rPr>
        <w:t xml:space="preserve"> </w:t>
      </w:r>
    </w:p>
    <w:p w14:paraId="5BDF558E" w14:textId="77777777" w:rsidR="004D621E" w:rsidRDefault="004D621E" w:rsidP="00F82953">
      <w:pPr>
        <w:autoSpaceDE w:val="0"/>
        <w:autoSpaceDN w:val="0"/>
        <w:adjustRightInd w:val="0"/>
        <w:spacing w:after="0" w:line="276" w:lineRule="auto"/>
        <w:rPr>
          <w:rFonts w:ascii="Arial" w:hAnsi="Arial" w:cs="Arial"/>
          <w:kern w:val="1"/>
          <w:sz w:val="22"/>
          <w:szCs w:val="22"/>
        </w:rPr>
      </w:pPr>
    </w:p>
    <w:p w14:paraId="62B347B0" w14:textId="32334AD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Overt hypo- or hyperthyroidism is associated with both maternal and fetal complications (349-352). However, the impact of maternal subclinical thyroid dysfunction remains controversial (51), although no maternal or fetal complications appear associated with subclinical hyperthyroidism during pregnancy (349,353). First trimester "gestational hyperthyroidism" is typically transient and </w:t>
      </w:r>
      <w:proofErr w:type="spellStart"/>
      <w:r w:rsidRPr="00F82953">
        <w:rPr>
          <w:rFonts w:ascii="Arial" w:hAnsi="Arial" w:cs="Arial"/>
          <w:kern w:val="1"/>
          <w:sz w:val="22"/>
          <w:szCs w:val="22"/>
        </w:rPr>
        <w:t>hCG</w:t>
      </w:r>
      <w:proofErr w:type="spellEnd"/>
      <w:r w:rsidRPr="00F82953">
        <w:rPr>
          <w:rFonts w:ascii="Arial" w:hAnsi="Arial" w:cs="Arial"/>
          <w:kern w:val="1"/>
          <w:sz w:val="22"/>
          <w:szCs w:val="22"/>
        </w:rPr>
        <w:t xml:space="preserve">-related (354). In contrast, short-term and long-term outcome studies of maternal subclinical hypothyroidism (51,355) are complicated by heterogeneity among studies arising from a myriad of factors influencing TSH cutoffs, such as gestational stage, TSH method used, maternal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status, and current and pre-pregnancy iodine intake (160,172). Using gestational age-specific reference intervals the frequency of SCHO in first trimester pregnancy approximates 2-5 percent (355,356). Studies have found that subclinical hypothyroidism is associated with increased frequency of maternal and fetal complications, especially when </w:t>
      </w:r>
      <w:proofErr w:type="spellStart"/>
      <w:r w:rsidRPr="00F82953">
        <w:rPr>
          <w:rFonts w:ascii="Arial" w:hAnsi="Arial" w:cs="Arial"/>
          <w:kern w:val="1"/>
          <w:sz w:val="22"/>
          <w:szCs w:val="22"/>
        </w:rPr>
        <w:lastRenderedPageBreak/>
        <w:t>TPOAb</w:t>
      </w:r>
      <w:proofErr w:type="spellEnd"/>
      <w:r w:rsidRPr="00F82953">
        <w:rPr>
          <w:rFonts w:ascii="Arial" w:hAnsi="Arial" w:cs="Arial"/>
          <w:kern w:val="1"/>
          <w:sz w:val="22"/>
          <w:szCs w:val="22"/>
        </w:rPr>
        <w:t xml:space="preserve"> is positive (51,160,349,357-362).  Maternal complications have included miscarriage (358), preeclampsia (363,364), placental abruption (350), preterm delivery (349,358,365,366)</w:t>
      </w:r>
      <w:r w:rsidR="00190C51">
        <w:rPr>
          <w:rFonts w:ascii="Arial" w:hAnsi="Arial" w:cs="Arial"/>
          <w:kern w:val="1"/>
          <w:sz w:val="22"/>
          <w:szCs w:val="22"/>
        </w:rPr>
        <w:t>,</w:t>
      </w:r>
      <w:r w:rsidRPr="00F82953">
        <w:rPr>
          <w:rFonts w:ascii="Arial" w:hAnsi="Arial" w:cs="Arial"/>
          <w:kern w:val="1"/>
          <w:sz w:val="22"/>
          <w:szCs w:val="22"/>
        </w:rPr>
        <w:t xml:space="preserve"> and post-partum thyroiditis (359). Fetal complications have included intrauterine growth retardation and low birth weight (350,353) and possible impaired neuropsychological development (367,368). It remains controversial whether L-T4 treatment of SCHO in early gestation decreases the risk of complications (358,362,369). </w:t>
      </w:r>
    </w:p>
    <w:p w14:paraId="12D20DFF" w14:textId="77777777" w:rsidR="005C4829" w:rsidRPr="00F82953" w:rsidRDefault="005C4829" w:rsidP="00F82953">
      <w:pPr>
        <w:autoSpaceDE w:val="0"/>
        <w:autoSpaceDN w:val="0"/>
        <w:adjustRightInd w:val="0"/>
        <w:spacing w:after="0" w:line="276" w:lineRule="auto"/>
        <w:rPr>
          <w:rFonts w:ascii="Arial" w:hAnsi="Arial" w:cs="Arial"/>
          <w:i/>
          <w:iCs/>
          <w:kern w:val="1"/>
          <w:sz w:val="22"/>
          <w:szCs w:val="22"/>
        </w:rPr>
      </w:pPr>
    </w:p>
    <w:p w14:paraId="21B2546E" w14:textId="276553C6" w:rsidR="005C4829" w:rsidRDefault="005C4829" w:rsidP="00F82953">
      <w:pPr>
        <w:autoSpaceDE w:val="0"/>
        <w:autoSpaceDN w:val="0"/>
        <w:adjustRightInd w:val="0"/>
        <w:spacing w:after="0" w:line="276" w:lineRule="auto"/>
        <w:rPr>
          <w:rFonts w:ascii="Arial" w:hAnsi="Arial" w:cs="Arial"/>
          <w:kern w:val="1"/>
          <w:sz w:val="22"/>
          <w:szCs w:val="22"/>
        </w:rPr>
      </w:pPr>
      <w:r w:rsidRPr="00DB74F6">
        <w:rPr>
          <w:rFonts w:ascii="Arial" w:hAnsi="Arial" w:cs="Arial"/>
          <w:kern w:val="1"/>
          <w:sz w:val="22"/>
          <w:szCs w:val="22"/>
        </w:rPr>
        <w:t>Trimester-Specific TSH Reference Ranges</w:t>
      </w:r>
      <w:r w:rsidR="00DB74F6">
        <w:rPr>
          <w:rFonts w:ascii="Arial" w:hAnsi="Arial" w:cs="Arial"/>
          <w:kern w:val="1"/>
          <w:sz w:val="22"/>
          <w:szCs w:val="22"/>
        </w:rPr>
        <w:t xml:space="preserve">. </w:t>
      </w:r>
      <w:r w:rsidRPr="00F82953">
        <w:rPr>
          <w:rFonts w:ascii="Arial" w:hAnsi="Arial" w:cs="Arial"/>
          <w:kern w:val="1"/>
          <w:sz w:val="22"/>
          <w:szCs w:val="22"/>
        </w:rPr>
        <w:t xml:space="preserve">As with non-pregnant patients, TSH is the first-line test used for assessing thyroid status during pregnancy when gestation-related TSH changes occur (47,51,76,158,355). Currently, method specific TSH reference ranges are needed for each trimester because of between-method </w:t>
      </w:r>
      <w:r w:rsidRPr="00F82953">
        <w:rPr>
          <w:rFonts w:ascii="Arial" w:hAnsi="Arial" w:cs="Arial"/>
          <w:color w:val="000000" w:themeColor="text1"/>
          <w:kern w:val="1"/>
          <w:sz w:val="22"/>
          <w:szCs w:val="22"/>
        </w:rPr>
        <w:t xml:space="preserve">variability (Figure </w:t>
      </w:r>
      <w:r w:rsidR="00190C51">
        <w:rPr>
          <w:rFonts w:ascii="Arial" w:hAnsi="Arial" w:cs="Arial"/>
          <w:color w:val="000000" w:themeColor="text1"/>
          <w:kern w:val="1"/>
          <w:sz w:val="22"/>
          <w:szCs w:val="22"/>
        </w:rPr>
        <w:t>8</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In the first trimester, there is a transient rise in FT4 caused by high </w:t>
      </w:r>
      <w:proofErr w:type="spellStart"/>
      <w:r w:rsidRPr="00F82953">
        <w:rPr>
          <w:rFonts w:ascii="Arial" w:hAnsi="Arial" w:cs="Arial"/>
          <w:kern w:val="1"/>
          <w:sz w:val="22"/>
          <w:szCs w:val="22"/>
        </w:rPr>
        <w:t>hCG</w:t>
      </w:r>
      <w:proofErr w:type="spellEnd"/>
      <w:r w:rsidRPr="00F82953">
        <w:rPr>
          <w:rFonts w:ascii="Arial" w:hAnsi="Arial" w:cs="Arial"/>
          <w:kern w:val="1"/>
          <w:sz w:val="22"/>
          <w:szCs w:val="22"/>
        </w:rPr>
        <w:t xml:space="preserve"> concentrations stimulating the TSH receptor - because </w:t>
      </w:r>
      <w:proofErr w:type="spellStart"/>
      <w:r w:rsidRPr="00F82953">
        <w:rPr>
          <w:rFonts w:ascii="Arial" w:hAnsi="Arial" w:cs="Arial"/>
          <w:kern w:val="1"/>
          <w:sz w:val="22"/>
          <w:szCs w:val="22"/>
        </w:rPr>
        <w:t>hCG</w:t>
      </w:r>
      <w:proofErr w:type="spellEnd"/>
      <w:r w:rsidRPr="00F82953">
        <w:rPr>
          <w:rFonts w:ascii="Arial" w:hAnsi="Arial" w:cs="Arial"/>
          <w:kern w:val="1"/>
          <w:sz w:val="22"/>
          <w:szCs w:val="22"/>
        </w:rPr>
        <w:t xml:space="preserve"> shares some homology with TSH (370-372). The degree of TSH suppression is inversely related to the </w:t>
      </w:r>
      <w:proofErr w:type="spellStart"/>
      <w:r w:rsidRPr="00F82953">
        <w:rPr>
          <w:rFonts w:ascii="Arial" w:hAnsi="Arial" w:cs="Arial"/>
          <w:kern w:val="1"/>
          <w:sz w:val="22"/>
          <w:szCs w:val="22"/>
        </w:rPr>
        <w:t>hCG</w:t>
      </w:r>
      <w:proofErr w:type="spellEnd"/>
      <w:r w:rsidRPr="00F82953">
        <w:rPr>
          <w:rFonts w:ascii="Arial" w:hAnsi="Arial" w:cs="Arial"/>
          <w:kern w:val="1"/>
          <w:sz w:val="22"/>
          <w:szCs w:val="22"/>
        </w:rPr>
        <w:t xml:space="preserve"> concentration and can be quite profound in patients with hyperemesis who have an especially high </w:t>
      </w:r>
      <w:proofErr w:type="spellStart"/>
      <w:r w:rsidRPr="00F82953">
        <w:rPr>
          <w:rFonts w:ascii="Arial" w:hAnsi="Arial" w:cs="Arial"/>
          <w:kern w:val="1"/>
          <w:sz w:val="22"/>
          <w:szCs w:val="22"/>
        </w:rPr>
        <w:t>hCG</w:t>
      </w:r>
      <w:proofErr w:type="spellEnd"/>
      <w:r w:rsidRPr="00F82953">
        <w:rPr>
          <w:rFonts w:ascii="Arial" w:hAnsi="Arial" w:cs="Arial"/>
          <w:kern w:val="1"/>
          <w:sz w:val="22"/>
          <w:szCs w:val="22"/>
        </w:rPr>
        <w:t xml:space="preserve"> (165,370,372-374). As gestation progresses, TSH tends to return towards pre-pregnancy levels (165). Recent studies from different geographic areas with diverse iodine intakes using different TSH methods have reported higher trimester-specific TSH upper limits than recommended by previous guidelines (51,159,164,165,</w:t>
      </w:r>
      <w:r w:rsidR="00101E43">
        <w:rPr>
          <w:rFonts w:ascii="Arial" w:hAnsi="Arial" w:cs="Arial"/>
          <w:kern w:val="1"/>
          <w:sz w:val="22"/>
          <w:szCs w:val="22"/>
        </w:rPr>
        <w:t xml:space="preserve"> </w:t>
      </w:r>
      <w:r w:rsidRPr="00F82953">
        <w:rPr>
          <w:rFonts w:ascii="Arial" w:hAnsi="Arial" w:cs="Arial"/>
          <w:kern w:val="1"/>
          <w:sz w:val="22"/>
          <w:szCs w:val="22"/>
        </w:rPr>
        <w:t>355,</w:t>
      </w:r>
      <w:r w:rsidR="00101E43">
        <w:rPr>
          <w:rFonts w:ascii="Arial" w:hAnsi="Arial" w:cs="Arial"/>
          <w:kern w:val="1"/>
          <w:sz w:val="22"/>
          <w:szCs w:val="22"/>
        </w:rPr>
        <w:t xml:space="preserve"> </w:t>
      </w:r>
      <w:r w:rsidRPr="00F82953">
        <w:rPr>
          <w:rFonts w:ascii="Arial" w:hAnsi="Arial" w:cs="Arial"/>
          <w:kern w:val="1"/>
          <w:sz w:val="22"/>
          <w:szCs w:val="22"/>
        </w:rPr>
        <w:t xml:space="preserve">375). In response, the American Thyroid Association have revised their pregnancy guidelines (47,48) to replace trimester-specific reference limits by a universal upper TSH limit of 4.0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when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is negative and no local reference range data is available (376). However, at this time between-method bias</w:t>
      </w:r>
      <w:r w:rsidRPr="00F82953">
        <w:rPr>
          <w:rFonts w:ascii="Arial" w:hAnsi="Arial" w:cs="Arial"/>
          <w:color w:val="000000" w:themeColor="text1"/>
          <w:kern w:val="1"/>
          <w:sz w:val="22"/>
          <w:szCs w:val="22"/>
        </w:rPr>
        <w:t xml:space="preserve">es (Figure </w:t>
      </w:r>
      <w:r w:rsidR="00101E43">
        <w:rPr>
          <w:rFonts w:ascii="Arial" w:hAnsi="Arial" w:cs="Arial"/>
          <w:color w:val="000000" w:themeColor="text1"/>
          <w:kern w:val="1"/>
          <w:sz w:val="22"/>
          <w:szCs w:val="22"/>
        </w:rPr>
        <w:t>7</w:t>
      </w:r>
      <w:r w:rsidRPr="00F82953">
        <w:rPr>
          <w:rFonts w:ascii="Arial" w:hAnsi="Arial" w:cs="Arial"/>
          <w:color w:val="000000" w:themeColor="text1"/>
          <w:kern w:val="1"/>
          <w:sz w:val="22"/>
          <w:szCs w:val="22"/>
        </w:rPr>
        <w:t xml:space="preserve">) clearly </w:t>
      </w:r>
      <w:r w:rsidRPr="00F82953">
        <w:rPr>
          <w:rFonts w:ascii="Arial" w:hAnsi="Arial" w:cs="Arial"/>
          <w:kern w:val="1"/>
          <w:sz w:val="22"/>
          <w:szCs w:val="22"/>
        </w:rPr>
        <w:t xml:space="preserve">preclude proposing universal TSH cut offs that would apply to all methods and all populations including pregnant patients (69,87,164,165). IVD manufacturers are being encouraged to harmonize their TSH methods so that universal reference limits can be established for pregnancy (69,87). Requiring each institution to establish their own trimester-specific reference ranges is impractical, given the costs, logistics and ethical considerations involved in recruiting the more than 400 disease-free pregnant women that would be needed to represent each trimester (158). Even after methods are re-standardized (FT4) or harmonized (TSH), trimester-specific reference ranges would still be influenced by differences in ethnicity and iodine intake, especially the pre-pregnancy iodine intake that influences thyroidal iodine stores (172). In addition, since the TSH upper limit is skewed by the inclusion of individuals with thyroid autoimmunity, reliable method-specific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cutoffs need to be established (165,372,377). </w:t>
      </w:r>
    </w:p>
    <w:p w14:paraId="1ECDBDD7" w14:textId="77777777" w:rsidR="00220F4C" w:rsidRDefault="00220F4C" w:rsidP="00F82953">
      <w:pPr>
        <w:autoSpaceDE w:val="0"/>
        <w:autoSpaceDN w:val="0"/>
        <w:adjustRightInd w:val="0"/>
        <w:spacing w:after="0" w:line="276" w:lineRule="auto"/>
        <w:rPr>
          <w:rFonts w:ascii="Arial" w:hAnsi="Arial" w:cs="Arial"/>
          <w:kern w:val="1"/>
          <w:sz w:val="22"/>
          <w:szCs w:val="22"/>
        </w:rPr>
      </w:pPr>
    </w:p>
    <w:p w14:paraId="1930A1D1" w14:textId="77777777" w:rsidR="00220F4C" w:rsidRPr="00F82953" w:rsidRDefault="00220F4C" w:rsidP="00220F4C">
      <w:pPr>
        <w:autoSpaceDE w:val="0"/>
        <w:autoSpaceDN w:val="0"/>
        <w:adjustRightInd w:val="0"/>
        <w:spacing w:after="0" w:line="276" w:lineRule="auto"/>
        <w:rPr>
          <w:rFonts w:ascii="Arial" w:hAnsi="Arial" w:cs="Arial"/>
          <w:i/>
          <w:iCs/>
          <w:spacing w:val="-4"/>
          <w:kern w:val="1"/>
          <w:sz w:val="22"/>
          <w:szCs w:val="22"/>
        </w:rPr>
      </w:pPr>
      <w:r>
        <w:rPr>
          <w:rFonts w:ascii="Arial" w:hAnsi="Arial" w:cs="Arial"/>
          <w:i/>
          <w:iCs/>
          <w:noProof/>
          <w:spacing w:val="-4"/>
          <w:kern w:val="1"/>
          <w:sz w:val="22"/>
          <w:szCs w:val="22"/>
        </w:rPr>
        <w:lastRenderedPageBreak/>
        <w:drawing>
          <wp:inline distT="0" distB="0" distL="0" distR="0" wp14:anchorId="54082B5E" wp14:editId="0CA3BA4F">
            <wp:extent cx="5906324" cy="5668166"/>
            <wp:effectExtent l="0" t="0" r="0" b="8890"/>
            <wp:docPr id="140747384" name="Picture 1104" descr="A diagram of a meth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7384" name="Picture 1104" descr="A diagram of a metho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06324" cy="5668166"/>
                    </a:xfrm>
                    <a:prstGeom prst="rect">
                      <a:avLst/>
                    </a:prstGeom>
                  </pic:spPr>
                </pic:pic>
              </a:graphicData>
            </a:graphic>
          </wp:inline>
        </w:drawing>
      </w:r>
    </w:p>
    <w:p w14:paraId="79BC9E0C" w14:textId="77777777" w:rsidR="00220F4C" w:rsidRPr="00827D84" w:rsidRDefault="00220F4C" w:rsidP="00220F4C">
      <w:pPr>
        <w:autoSpaceDE w:val="0"/>
        <w:autoSpaceDN w:val="0"/>
        <w:adjustRightInd w:val="0"/>
        <w:spacing w:after="0" w:line="276" w:lineRule="auto"/>
        <w:rPr>
          <w:rFonts w:ascii="Arial" w:hAnsi="Arial" w:cs="Arial"/>
          <w:b/>
          <w:bCs/>
          <w:spacing w:val="-4"/>
          <w:kern w:val="1"/>
          <w:sz w:val="22"/>
          <w:szCs w:val="22"/>
        </w:rPr>
      </w:pPr>
      <w:r w:rsidRPr="00827D84">
        <w:rPr>
          <w:rFonts w:ascii="Arial" w:hAnsi="Arial" w:cs="Arial"/>
          <w:b/>
          <w:bCs/>
          <w:color w:val="000000" w:themeColor="text1"/>
          <w:kern w:val="24"/>
          <w:sz w:val="22"/>
          <w:szCs w:val="22"/>
        </w:rPr>
        <w:t xml:space="preserve">Figure 8. </w:t>
      </w:r>
      <w:r w:rsidRPr="00827D84">
        <w:rPr>
          <w:rFonts w:ascii="Arial" w:hAnsi="Arial" w:cs="Arial"/>
          <w:b/>
          <w:bCs/>
          <w:color w:val="000000" w:themeColor="text1"/>
          <w:kern w:val="1"/>
          <w:sz w:val="22"/>
          <w:szCs w:val="22"/>
        </w:rPr>
        <w:t xml:space="preserve">Between-Method TSH Variability Impacts Thyroid Testing in Pregnancy. </w:t>
      </w:r>
      <w:r>
        <w:rPr>
          <w:rFonts w:ascii="Arial" w:hAnsi="Arial" w:cs="Arial"/>
          <w:b/>
          <w:bCs/>
          <w:color w:val="000000" w:themeColor="text1"/>
          <w:kern w:val="1"/>
          <w:sz w:val="22"/>
          <w:szCs w:val="22"/>
        </w:rPr>
        <w:t>The f</w:t>
      </w:r>
      <w:r w:rsidRPr="00827D84">
        <w:rPr>
          <w:rFonts w:ascii="Arial" w:hAnsi="Arial" w:cs="Arial"/>
          <w:b/>
          <w:bCs/>
          <w:kern w:val="1"/>
          <w:sz w:val="22"/>
          <w:szCs w:val="22"/>
        </w:rPr>
        <w:t>igure is a s</w:t>
      </w:r>
      <w:r w:rsidRPr="00827D84">
        <w:rPr>
          <w:rFonts w:ascii="Arial" w:hAnsi="Arial" w:cs="Arial"/>
          <w:b/>
          <w:bCs/>
          <w:color w:val="000000" w:themeColor="text1"/>
          <w:kern w:val="1"/>
          <w:sz w:val="22"/>
          <w:szCs w:val="22"/>
        </w:rPr>
        <w:t>ummary of 43 published studies showing the</w:t>
      </w:r>
      <w:r w:rsidRPr="00827D84">
        <w:rPr>
          <w:rFonts w:ascii="Arial" w:hAnsi="Arial" w:cs="Arial"/>
          <w:b/>
          <w:bCs/>
          <w:color w:val="000000" w:themeColor="text1"/>
          <w:spacing w:val="-13"/>
          <w:kern w:val="1"/>
          <w:sz w:val="22"/>
          <w:szCs w:val="22"/>
        </w:rPr>
        <w:t xml:space="preserve"> </w:t>
      </w:r>
      <w:r w:rsidRPr="00827D84">
        <w:rPr>
          <w:rFonts w:ascii="Arial" w:hAnsi="Arial" w:cs="Arial"/>
          <w:b/>
          <w:bCs/>
          <w:color w:val="000000" w:themeColor="text1"/>
          <w:kern w:val="1"/>
          <w:sz w:val="22"/>
          <w:szCs w:val="22"/>
        </w:rPr>
        <w:t>upper</w:t>
      </w:r>
      <w:r w:rsidRPr="00827D84">
        <w:rPr>
          <w:rFonts w:ascii="Arial" w:hAnsi="Arial" w:cs="Arial"/>
          <w:b/>
          <w:bCs/>
          <w:color w:val="000000" w:themeColor="text1"/>
          <w:spacing w:val="-12"/>
          <w:kern w:val="1"/>
          <w:sz w:val="22"/>
          <w:szCs w:val="22"/>
        </w:rPr>
        <w:t xml:space="preserve"> </w:t>
      </w:r>
      <w:r w:rsidRPr="00827D84">
        <w:rPr>
          <w:rFonts w:ascii="Arial" w:hAnsi="Arial" w:cs="Arial"/>
          <w:b/>
          <w:bCs/>
          <w:color w:val="000000" w:themeColor="text1"/>
          <w:kern w:val="1"/>
          <w:sz w:val="22"/>
          <w:szCs w:val="22"/>
        </w:rPr>
        <w:t>and</w:t>
      </w:r>
      <w:r w:rsidRPr="00827D84">
        <w:rPr>
          <w:rFonts w:ascii="Arial" w:hAnsi="Arial" w:cs="Arial"/>
          <w:b/>
          <w:bCs/>
          <w:color w:val="000000" w:themeColor="text1"/>
          <w:spacing w:val="-13"/>
          <w:kern w:val="1"/>
          <w:sz w:val="22"/>
          <w:szCs w:val="22"/>
        </w:rPr>
        <w:t xml:space="preserve"> </w:t>
      </w:r>
      <w:r w:rsidRPr="00827D84">
        <w:rPr>
          <w:rFonts w:ascii="Arial" w:hAnsi="Arial" w:cs="Arial"/>
          <w:b/>
          <w:bCs/>
          <w:color w:val="000000" w:themeColor="text1"/>
          <w:kern w:val="1"/>
          <w:sz w:val="22"/>
          <w:szCs w:val="22"/>
        </w:rPr>
        <w:t>lower</w:t>
      </w:r>
      <w:r w:rsidRPr="00827D84">
        <w:rPr>
          <w:rFonts w:ascii="Arial" w:hAnsi="Arial" w:cs="Arial"/>
          <w:b/>
          <w:bCs/>
          <w:color w:val="000000" w:themeColor="text1"/>
          <w:spacing w:val="-12"/>
          <w:kern w:val="1"/>
          <w:sz w:val="22"/>
          <w:szCs w:val="22"/>
        </w:rPr>
        <w:t xml:space="preserve"> TSH </w:t>
      </w:r>
      <w:r w:rsidRPr="00827D84">
        <w:rPr>
          <w:rFonts w:ascii="Arial" w:hAnsi="Arial" w:cs="Arial"/>
          <w:b/>
          <w:bCs/>
          <w:color w:val="000000" w:themeColor="text1"/>
          <w:kern w:val="1"/>
          <w:sz w:val="22"/>
          <w:szCs w:val="22"/>
        </w:rPr>
        <w:t>reference limits (2.5–97.5 %) measured</w:t>
      </w:r>
      <w:r w:rsidRPr="00827D84">
        <w:rPr>
          <w:rFonts w:ascii="Arial" w:hAnsi="Arial" w:cs="Arial"/>
          <w:b/>
          <w:bCs/>
          <w:color w:val="000000" w:themeColor="text1"/>
          <w:spacing w:val="-13"/>
          <w:kern w:val="1"/>
          <w:sz w:val="22"/>
          <w:szCs w:val="22"/>
        </w:rPr>
        <w:t xml:space="preserve"> </w:t>
      </w:r>
      <w:r w:rsidRPr="00827D84">
        <w:rPr>
          <w:rFonts w:ascii="Arial" w:hAnsi="Arial" w:cs="Arial"/>
          <w:b/>
          <w:bCs/>
          <w:color w:val="000000" w:themeColor="text1"/>
          <w:kern w:val="1"/>
          <w:sz w:val="22"/>
          <w:szCs w:val="22"/>
        </w:rPr>
        <w:t>in</w:t>
      </w:r>
      <w:r w:rsidRPr="00827D84">
        <w:rPr>
          <w:rFonts w:ascii="Arial" w:hAnsi="Arial" w:cs="Arial"/>
          <w:b/>
          <w:bCs/>
          <w:color w:val="000000" w:themeColor="text1"/>
          <w:spacing w:val="-12"/>
          <w:kern w:val="1"/>
          <w:sz w:val="22"/>
          <w:szCs w:val="22"/>
        </w:rPr>
        <w:t xml:space="preserve"> </w:t>
      </w:r>
      <w:r w:rsidRPr="00827D84">
        <w:rPr>
          <w:rFonts w:ascii="Arial" w:hAnsi="Arial" w:cs="Arial"/>
          <w:b/>
          <w:bCs/>
          <w:color w:val="000000" w:themeColor="text1"/>
          <w:kern w:val="1"/>
          <w:sz w:val="22"/>
          <w:szCs w:val="22"/>
        </w:rPr>
        <w:t>each</w:t>
      </w:r>
      <w:r w:rsidRPr="00827D84">
        <w:rPr>
          <w:rFonts w:ascii="Arial" w:hAnsi="Arial" w:cs="Arial"/>
          <w:b/>
          <w:bCs/>
          <w:color w:val="000000" w:themeColor="text1"/>
          <w:spacing w:val="-12"/>
          <w:kern w:val="1"/>
          <w:sz w:val="22"/>
          <w:szCs w:val="22"/>
        </w:rPr>
        <w:t xml:space="preserve"> </w:t>
      </w:r>
      <w:r w:rsidRPr="00827D84">
        <w:rPr>
          <w:rFonts w:ascii="Arial" w:hAnsi="Arial" w:cs="Arial"/>
          <w:b/>
          <w:bCs/>
          <w:color w:val="000000" w:themeColor="text1"/>
          <w:kern w:val="1"/>
          <w:sz w:val="22"/>
          <w:szCs w:val="22"/>
        </w:rPr>
        <w:t>trimester</w:t>
      </w:r>
      <w:r w:rsidRPr="00827D84">
        <w:rPr>
          <w:rFonts w:ascii="Arial" w:hAnsi="Arial" w:cs="Arial"/>
          <w:b/>
          <w:bCs/>
          <w:color w:val="000000" w:themeColor="text1"/>
          <w:spacing w:val="-12"/>
          <w:kern w:val="1"/>
          <w:sz w:val="22"/>
          <w:szCs w:val="22"/>
        </w:rPr>
        <w:t xml:space="preserve"> </w:t>
      </w:r>
      <w:r w:rsidRPr="00827D84">
        <w:rPr>
          <w:rFonts w:ascii="Arial" w:hAnsi="Arial" w:cs="Arial"/>
          <w:b/>
          <w:bCs/>
          <w:color w:val="000000" w:themeColor="text1"/>
          <w:kern w:val="1"/>
          <w:sz w:val="22"/>
          <w:szCs w:val="22"/>
        </w:rPr>
        <w:t>of pregnancy by four different methods – Abbott (1),</w:t>
      </w:r>
      <w:r w:rsidRPr="00827D84">
        <w:rPr>
          <w:rFonts w:ascii="Arial" w:hAnsi="Arial" w:cs="Arial"/>
          <w:b/>
          <w:bCs/>
          <w:color w:val="000000" w:themeColor="text1"/>
          <w:spacing w:val="-7"/>
          <w:kern w:val="1"/>
          <w:sz w:val="22"/>
          <w:szCs w:val="22"/>
        </w:rPr>
        <w:t xml:space="preserve"> </w:t>
      </w:r>
      <w:r w:rsidRPr="00827D84">
        <w:rPr>
          <w:rFonts w:ascii="Arial" w:hAnsi="Arial" w:cs="Arial"/>
          <w:b/>
          <w:bCs/>
          <w:color w:val="000000" w:themeColor="text1"/>
          <w:kern w:val="1"/>
          <w:sz w:val="22"/>
          <w:szCs w:val="22"/>
        </w:rPr>
        <w:t xml:space="preserve">Beckman (2), Roche (3), and Siemens (4). The data shows the expected trend for a lower TSH in the first trimester, resulting from thyroidal human chorionic gonadotropin </w:t>
      </w:r>
      <w:r>
        <w:rPr>
          <w:rFonts w:ascii="Arial" w:hAnsi="Arial" w:cs="Arial"/>
          <w:b/>
          <w:bCs/>
          <w:color w:val="000000" w:themeColor="text1"/>
          <w:kern w:val="1"/>
          <w:sz w:val="22"/>
          <w:szCs w:val="22"/>
        </w:rPr>
        <w:t xml:space="preserve">(HCG) </w:t>
      </w:r>
      <w:r w:rsidRPr="00827D84">
        <w:rPr>
          <w:rFonts w:ascii="Arial" w:hAnsi="Arial" w:cs="Arial"/>
          <w:b/>
          <w:bCs/>
          <w:color w:val="000000" w:themeColor="text1"/>
          <w:kern w:val="1"/>
          <w:sz w:val="22"/>
          <w:szCs w:val="22"/>
        </w:rPr>
        <w:t>stimulation of thyroxine, which is maximal in the first trimester. The data is re- drawn with permission from reference 156.</w:t>
      </w:r>
    </w:p>
    <w:p w14:paraId="41093485" w14:textId="77777777" w:rsidR="00220F4C" w:rsidRPr="00F82953" w:rsidRDefault="00220F4C" w:rsidP="00F82953">
      <w:pPr>
        <w:autoSpaceDE w:val="0"/>
        <w:autoSpaceDN w:val="0"/>
        <w:adjustRightInd w:val="0"/>
        <w:spacing w:after="0" w:line="276" w:lineRule="auto"/>
        <w:rPr>
          <w:rFonts w:ascii="Arial" w:hAnsi="Arial" w:cs="Arial"/>
          <w:i/>
          <w:iCs/>
          <w:kern w:val="1"/>
          <w:sz w:val="22"/>
          <w:szCs w:val="22"/>
          <w:u w:val="single"/>
        </w:rPr>
      </w:pPr>
    </w:p>
    <w:p w14:paraId="589282AD" w14:textId="4D8D9287" w:rsidR="005C4829" w:rsidRPr="009B1950" w:rsidRDefault="005C4829" w:rsidP="00F82953">
      <w:pPr>
        <w:autoSpaceDE w:val="0"/>
        <w:autoSpaceDN w:val="0"/>
        <w:adjustRightInd w:val="0"/>
        <w:spacing w:after="0" w:line="276" w:lineRule="auto"/>
        <w:rPr>
          <w:rFonts w:ascii="Arial" w:hAnsi="Arial" w:cs="Arial"/>
          <w:b/>
          <w:bCs/>
          <w:color w:val="00B050"/>
          <w:kern w:val="1"/>
          <w:sz w:val="22"/>
          <w:szCs w:val="22"/>
        </w:rPr>
      </w:pPr>
      <w:r w:rsidRPr="009B1950">
        <w:rPr>
          <w:rFonts w:ascii="Arial" w:hAnsi="Arial" w:cs="Arial"/>
          <w:b/>
          <w:bCs/>
          <w:color w:val="00B050"/>
          <w:kern w:val="1"/>
          <w:sz w:val="22"/>
          <w:szCs w:val="22"/>
        </w:rPr>
        <w:t>Clinical Utility of TSH Measurement</w:t>
      </w:r>
    </w:p>
    <w:p w14:paraId="07AC1047"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EF916B5" w14:textId="6A835F03" w:rsidR="005C4829" w:rsidRPr="009B1950" w:rsidRDefault="005C4829" w:rsidP="00F82953">
      <w:pPr>
        <w:autoSpaceDE w:val="0"/>
        <w:autoSpaceDN w:val="0"/>
        <w:adjustRightInd w:val="0"/>
        <w:spacing w:after="0" w:line="276" w:lineRule="auto"/>
        <w:rPr>
          <w:rFonts w:ascii="Arial" w:hAnsi="Arial" w:cs="Arial"/>
          <w:color w:val="FF0000"/>
          <w:kern w:val="1"/>
          <w:sz w:val="22"/>
          <w:szCs w:val="22"/>
        </w:rPr>
      </w:pPr>
      <w:r w:rsidRPr="009B1950">
        <w:rPr>
          <w:rFonts w:ascii="Arial" w:hAnsi="Arial" w:cs="Arial"/>
          <w:color w:val="FF0000"/>
          <w:kern w:val="1"/>
          <w:sz w:val="22"/>
          <w:szCs w:val="22"/>
        </w:rPr>
        <w:t>A</w:t>
      </w:r>
      <w:r w:rsidR="009B1950" w:rsidRPr="009B1950">
        <w:rPr>
          <w:rFonts w:ascii="Arial" w:hAnsi="Arial" w:cs="Arial"/>
          <w:color w:val="FF0000"/>
          <w:kern w:val="1"/>
          <w:sz w:val="22"/>
          <w:szCs w:val="22"/>
        </w:rPr>
        <w:t xml:space="preserve">MBULATORY PATIENTS </w:t>
      </w:r>
    </w:p>
    <w:p w14:paraId="64E91051"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5C23E949" w14:textId="29086E1A"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lastRenderedPageBreak/>
        <w:t xml:space="preserve">In the outpatient setting the reliability of TSH testing is not usually influenced by the time of day of the blood draw, because the diurnal TSH peak occurs between midnight and 0400 (378-381). However, seasonal changes in TSH have been shown, with TSH approximately 10 % higher in winter than in summer (283). Third generation TSH assays (FS ~0.01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have now become the standard of care because they can reliably detect the full spectrum of thyroid dysfunction from overt hyperthyroidism to overt hypothyroidism, provided that hypothalamic-pituitary function is intact, and thyroid status stable (10,49,382,383). TSH is also used for optimizing L-T4 therapy - a drug with a narrow therapeutic range (49,384). Because TSH secretion is slow to respond to changes in thyroxine status there is no need to withhold the L-T4 dose on the day of the blood test (10,384). In addition, in </w:t>
      </w:r>
      <w:r w:rsidR="00BB6DEA">
        <w:rPr>
          <w:rFonts w:ascii="Arial" w:hAnsi="Arial" w:cs="Arial"/>
          <w:kern w:val="1"/>
          <w:sz w:val="22"/>
          <w:szCs w:val="22"/>
        </w:rPr>
        <w:t>differentiated thyroid cancer (</w:t>
      </w:r>
      <w:r w:rsidRPr="00F82953">
        <w:rPr>
          <w:rFonts w:ascii="Arial" w:hAnsi="Arial" w:cs="Arial"/>
          <w:kern w:val="1"/>
          <w:sz w:val="22"/>
          <w:szCs w:val="22"/>
        </w:rPr>
        <w:t>DTC</w:t>
      </w:r>
      <w:r w:rsidR="00BB6DEA">
        <w:rPr>
          <w:rFonts w:ascii="Arial" w:hAnsi="Arial" w:cs="Arial"/>
          <w:kern w:val="1"/>
          <w:sz w:val="22"/>
          <w:szCs w:val="22"/>
        </w:rPr>
        <w:t>)</w:t>
      </w:r>
      <w:r w:rsidRPr="00F82953">
        <w:rPr>
          <w:rFonts w:ascii="Arial" w:hAnsi="Arial" w:cs="Arial"/>
          <w:kern w:val="1"/>
          <w:sz w:val="22"/>
          <w:szCs w:val="22"/>
        </w:rPr>
        <w:t xml:space="preserve"> patients, targeting the degree of TSH suppression relative to recurrence risk plays a critical role in management (57,385,386). </w:t>
      </w:r>
    </w:p>
    <w:p w14:paraId="68B98B01"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1169E60" w14:textId="325F5305" w:rsidR="005C4829" w:rsidRPr="00D33135" w:rsidRDefault="005C4829" w:rsidP="00F82953">
      <w:pPr>
        <w:autoSpaceDE w:val="0"/>
        <w:autoSpaceDN w:val="0"/>
        <w:adjustRightInd w:val="0"/>
        <w:spacing w:after="0" w:line="276" w:lineRule="auto"/>
        <w:rPr>
          <w:rFonts w:ascii="Arial" w:hAnsi="Arial" w:cs="Arial"/>
          <w:color w:val="FF0000"/>
          <w:kern w:val="1"/>
          <w:sz w:val="22"/>
          <w:szCs w:val="22"/>
        </w:rPr>
      </w:pPr>
      <w:r w:rsidRPr="00D33135">
        <w:rPr>
          <w:rFonts w:ascii="Arial" w:hAnsi="Arial" w:cs="Arial"/>
          <w:color w:val="FF0000"/>
          <w:kern w:val="1"/>
          <w:sz w:val="22"/>
          <w:szCs w:val="22"/>
        </w:rPr>
        <w:t>H</w:t>
      </w:r>
      <w:r w:rsidR="009B1950" w:rsidRPr="00D33135">
        <w:rPr>
          <w:rFonts w:ascii="Arial" w:hAnsi="Arial" w:cs="Arial"/>
          <w:color w:val="FF0000"/>
          <w:kern w:val="1"/>
          <w:sz w:val="22"/>
          <w:szCs w:val="22"/>
        </w:rPr>
        <w:t>OSPITALIZED PATIENTS WITH NONTHYROID</w:t>
      </w:r>
      <w:r w:rsidR="00D33135" w:rsidRPr="00D33135">
        <w:rPr>
          <w:rFonts w:ascii="Arial" w:hAnsi="Arial" w:cs="Arial"/>
          <w:color w:val="FF0000"/>
          <w:kern w:val="1"/>
          <w:sz w:val="22"/>
          <w:szCs w:val="22"/>
        </w:rPr>
        <w:t xml:space="preserve">AL ILLNESSES </w:t>
      </w:r>
      <w:r w:rsidRPr="00D33135">
        <w:rPr>
          <w:rFonts w:ascii="Arial" w:hAnsi="Arial" w:cs="Arial"/>
          <w:color w:val="FF0000"/>
          <w:kern w:val="1"/>
          <w:sz w:val="22"/>
          <w:szCs w:val="22"/>
        </w:rPr>
        <w:t>(NTI)</w:t>
      </w:r>
    </w:p>
    <w:p w14:paraId="1857156B" w14:textId="77777777" w:rsidR="009B1950" w:rsidRDefault="009B1950" w:rsidP="00F82953">
      <w:pPr>
        <w:autoSpaceDE w:val="0"/>
        <w:autoSpaceDN w:val="0"/>
        <w:adjustRightInd w:val="0"/>
        <w:spacing w:after="0" w:line="276" w:lineRule="auto"/>
        <w:rPr>
          <w:rFonts w:ascii="Arial" w:hAnsi="Arial" w:cs="Arial"/>
          <w:kern w:val="1"/>
          <w:sz w:val="22"/>
          <w:szCs w:val="22"/>
        </w:rPr>
      </w:pPr>
    </w:p>
    <w:p w14:paraId="4BC689C3" w14:textId="6A39DE4B"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Non-thyroidal illness, sometimes called the "sick euthyroid syndrome" is associated with alterations in hypothalamic/pituitary function and thyroid hormone peripheral metabolism, often exacerbated by drug influences (104,181,186,387-389). Routine thyroid testing in the hospital setting is not recommended because thyroid test abnormalities are frequently seen in sick euthyroid patients </w:t>
      </w:r>
      <w:r w:rsidRPr="00F82953">
        <w:rPr>
          <w:rFonts w:ascii="Arial" w:hAnsi="Arial" w:cs="Arial"/>
          <w:color w:val="000000" w:themeColor="text1"/>
          <w:kern w:val="1"/>
          <w:sz w:val="22"/>
          <w:szCs w:val="22"/>
        </w:rPr>
        <w:t xml:space="preserve">(Figure </w:t>
      </w:r>
      <w:r w:rsidR="00BB6DEA">
        <w:rPr>
          <w:rFonts w:ascii="Arial" w:hAnsi="Arial" w:cs="Arial"/>
          <w:color w:val="000000" w:themeColor="text1"/>
          <w:kern w:val="1"/>
          <w:sz w:val="22"/>
          <w:szCs w:val="22"/>
        </w:rPr>
        <w:t>6</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(38</w:t>
      </w:r>
      <w:r w:rsidR="007D7FDD" w:rsidRPr="00F82953">
        <w:rPr>
          <w:rFonts w:ascii="Arial" w:hAnsi="Arial" w:cs="Arial"/>
          <w:kern w:val="1"/>
          <w:sz w:val="22"/>
          <w:szCs w:val="22"/>
        </w:rPr>
        <w:t>8</w:t>
      </w:r>
      <w:r w:rsidRPr="00F82953">
        <w:rPr>
          <w:rFonts w:ascii="Arial" w:hAnsi="Arial" w:cs="Arial"/>
          <w:kern w:val="1"/>
          <w:sz w:val="22"/>
          <w:szCs w:val="22"/>
        </w:rPr>
        <w:t>-391). TSH also usually remains within normal limits or may become somewhat depressed in the early phase, especially in response to drug therapies such as dopamine or glucocorticoid (104,110,181). During the recovery phase, TSH frequently rebounds above the reference range (184).  High TSH may also be seen associated with psychiatric illness (392). It is important to distinguish the generally mild, transient TSH alterations typical of NTI from the more profound and persistent TSH changes associated with hyper- or hypothyroidism (10,183,185,390).</w:t>
      </w:r>
    </w:p>
    <w:p w14:paraId="1746EEFC" w14:textId="77777777" w:rsidR="003549BC" w:rsidRPr="00F82953" w:rsidRDefault="003549BC" w:rsidP="00F82953">
      <w:pPr>
        <w:autoSpaceDE w:val="0"/>
        <w:autoSpaceDN w:val="0"/>
        <w:adjustRightInd w:val="0"/>
        <w:spacing w:after="0" w:line="276" w:lineRule="auto"/>
        <w:rPr>
          <w:rFonts w:ascii="Arial" w:hAnsi="Arial" w:cs="Arial"/>
          <w:kern w:val="1"/>
          <w:sz w:val="22"/>
          <w:szCs w:val="22"/>
        </w:rPr>
      </w:pPr>
    </w:p>
    <w:p w14:paraId="02DCABF8" w14:textId="62201AC4" w:rsidR="005C4829" w:rsidRPr="009249EB" w:rsidRDefault="005C4829" w:rsidP="00F82953">
      <w:pPr>
        <w:autoSpaceDE w:val="0"/>
        <w:autoSpaceDN w:val="0"/>
        <w:adjustRightInd w:val="0"/>
        <w:spacing w:after="0" w:line="276" w:lineRule="auto"/>
        <w:rPr>
          <w:rFonts w:ascii="Arial" w:hAnsi="Arial" w:cs="Arial"/>
          <w:b/>
          <w:bCs/>
          <w:color w:val="00B050"/>
          <w:kern w:val="1"/>
          <w:sz w:val="22"/>
          <w:szCs w:val="22"/>
        </w:rPr>
      </w:pPr>
      <w:r w:rsidRPr="009249EB">
        <w:rPr>
          <w:rFonts w:ascii="Arial" w:hAnsi="Arial" w:cs="Arial"/>
          <w:b/>
          <w:bCs/>
          <w:color w:val="00B050"/>
          <w:kern w:val="1"/>
          <w:sz w:val="22"/>
          <w:szCs w:val="22"/>
        </w:rPr>
        <w:t xml:space="preserve">Causes of Misleading TSH Measurements  </w:t>
      </w:r>
    </w:p>
    <w:p w14:paraId="66BE0DA7"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241EA13B"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A diagnostically misleading TSH can result from biological factors or interferants in the serum such as drugs, heterophile antibodies (i.e. HAMA), or endogenous TSH autoantibodies (91,195,197,378,393). In most cases such interferences cause a falsely high TSH.</w:t>
      </w:r>
    </w:p>
    <w:p w14:paraId="461C0B9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CF520FB" w14:textId="0162AD56" w:rsidR="005C4829" w:rsidRPr="009249EB" w:rsidRDefault="005C4829" w:rsidP="00F82953">
      <w:pPr>
        <w:autoSpaceDE w:val="0"/>
        <w:autoSpaceDN w:val="0"/>
        <w:adjustRightInd w:val="0"/>
        <w:spacing w:after="0" w:line="276" w:lineRule="auto"/>
        <w:rPr>
          <w:rFonts w:ascii="Arial" w:hAnsi="Arial" w:cs="Arial"/>
          <w:color w:val="FF0000"/>
          <w:kern w:val="1"/>
          <w:sz w:val="22"/>
          <w:szCs w:val="22"/>
        </w:rPr>
      </w:pPr>
      <w:r w:rsidRPr="009249EB">
        <w:rPr>
          <w:rFonts w:ascii="Arial" w:hAnsi="Arial" w:cs="Arial"/>
          <w:color w:val="FF0000"/>
          <w:kern w:val="1"/>
          <w:sz w:val="22"/>
          <w:szCs w:val="22"/>
        </w:rPr>
        <w:t>B</w:t>
      </w:r>
      <w:r w:rsidR="009249EB" w:rsidRPr="009249EB">
        <w:rPr>
          <w:rFonts w:ascii="Arial" w:hAnsi="Arial" w:cs="Arial"/>
          <w:color w:val="FF0000"/>
          <w:kern w:val="1"/>
          <w:sz w:val="22"/>
          <w:szCs w:val="22"/>
        </w:rPr>
        <w:t xml:space="preserve">IOLOGIC FACTORS CAUSING MISLEADING TSH </w:t>
      </w:r>
    </w:p>
    <w:p w14:paraId="22FF0C76"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2D8DC517" w14:textId="69DE3BE2" w:rsidR="005C4829" w:rsidRPr="009249EB" w:rsidRDefault="005C4829" w:rsidP="009249EB">
      <w:pPr>
        <w:autoSpaceDE w:val="0"/>
        <w:autoSpaceDN w:val="0"/>
        <w:adjustRightInd w:val="0"/>
        <w:spacing w:after="0" w:line="276" w:lineRule="auto"/>
        <w:rPr>
          <w:rFonts w:ascii="Arial" w:hAnsi="Arial" w:cs="Arial"/>
          <w:i/>
          <w:iCs/>
          <w:color w:val="FFC000"/>
          <w:kern w:val="1"/>
          <w:sz w:val="22"/>
          <w:szCs w:val="22"/>
        </w:rPr>
      </w:pPr>
      <w:r w:rsidRPr="009249EB">
        <w:rPr>
          <w:rFonts w:ascii="Arial" w:hAnsi="Arial" w:cs="Arial"/>
          <w:i/>
          <w:iCs/>
          <w:color w:val="FFC000"/>
          <w:kern w:val="1"/>
          <w:sz w:val="22"/>
          <w:szCs w:val="22"/>
        </w:rPr>
        <w:t xml:space="preserve">Unstable </w:t>
      </w:r>
      <w:r w:rsidR="009249EB" w:rsidRPr="009249EB">
        <w:rPr>
          <w:rFonts w:ascii="Arial" w:hAnsi="Arial" w:cs="Arial"/>
          <w:i/>
          <w:iCs/>
          <w:color w:val="FFC000"/>
          <w:kern w:val="1"/>
          <w:sz w:val="22"/>
          <w:szCs w:val="22"/>
        </w:rPr>
        <w:t>T</w:t>
      </w:r>
      <w:r w:rsidRPr="009249EB">
        <w:rPr>
          <w:rFonts w:ascii="Arial" w:hAnsi="Arial" w:cs="Arial"/>
          <w:i/>
          <w:iCs/>
          <w:color w:val="FFC000"/>
          <w:kern w:val="1"/>
          <w:sz w:val="22"/>
          <w:szCs w:val="22"/>
        </w:rPr>
        <w:t xml:space="preserve">hyroid </w:t>
      </w:r>
      <w:r w:rsidR="009249EB" w:rsidRPr="009249EB">
        <w:rPr>
          <w:rFonts w:ascii="Arial" w:hAnsi="Arial" w:cs="Arial"/>
          <w:i/>
          <w:iCs/>
          <w:color w:val="FFC000"/>
          <w:kern w:val="1"/>
          <w:sz w:val="22"/>
          <w:szCs w:val="22"/>
        </w:rPr>
        <w:t>F</w:t>
      </w:r>
      <w:r w:rsidRPr="009249EB">
        <w:rPr>
          <w:rFonts w:ascii="Arial" w:hAnsi="Arial" w:cs="Arial"/>
          <w:i/>
          <w:iCs/>
          <w:color w:val="FFC000"/>
          <w:kern w:val="1"/>
          <w:sz w:val="22"/>
          <w:szCs w:val="22"/>
        </w:rPr>
        <w:t>unction</w:t>
      </w:r>
    </w:p>
    <w:p w14:paraId="6022DC1C" w14:textId="77777777" w:rsidR="009249EB" w:rsidRDefault="009249EB" w:rsidP="00F82953">
      <w:pPr>
        <w:autoSpaceDE w:val="0"/>
        <w:autoSpaceDN w:val="0"/>
        <w:adjustRightInd w:val="0"/>
        <w:spacing w:after="0" w:line="276" w:lineRule="auto"/>
        <w:rPr>
          <w:rFonts w:ascii="Arial" w:hAnsi="Arial" w:cs="Arial"/>
          <w:kern w:val="1"/>
          <w:sz w:val="22"/>
          <w:szCs w:val="22"/>
        </w:rPr>
      </w:pPr>
    </w:p>
    <w:p w14:paraId="32CEBC01" w14:textId="3E303383"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TSH can be misleading when there is unstable thyroid status - such as in the early phase of treating hyp</w:t>
      </w:r>
      <w:r w:rsidR="009F03B8">
        <w:rPr>
          <w:rFonts w:ascii="Arial" w:hAnsi="Arial" w:cs="Arial"/>
          <w:kern w:val="1"/>
          <w:sz w:val="22"/>
          <w:szCs w:val="22"/>
        </w:rPr>
        <w:t>o</w:t>
      </w:r>
      <w:r w:rsidRPr="00F82953">
        <w:rPr>
          <w:rFonts w:ascii="Arial" w:hAnsi="Arial" w:cs="Arial"/>
          <w:kern w:val="1"/>
          <w:sz w:val="22"/>
          <w:szCs w:val="22"/>
        </w:rPr>
        <w:t xml:space="preserve">- or hyperthyroidism or non-compliance with L-T4 therapy - when there is a lag in the resetting of pituitary TSH to reflect a new thyroid status (394). During such periods of instability TSH will be misleading and FT4 will be the more diagnostically reliable test.  </w:t>
      </w:r>
    </w:p>
    <w:p w14:paraId="400F3221" w14:textId="77777777" w:rsidR="005C4829" w:rsidRPr="00F82953" w:rsidRDefault="005C4829" w:rsidP="00F82953">
      <w:pPr>
        <w:autoSpaceDE w:val="0"/>
        <w:autoSpaceDN w:val="0"/>
        <w:adjustRightInd w:val="0"/>
        <w:spacing w:after="0" w:line="276" w:lineRule="auto"/>
        <w:rPr>
          <w:rFonts w:ascii="Arial" w:hAnsi="Arial" w:cs="Arial"/>
          <w:i/>
          <w:iCs/>
          <w:kern w:val="1"/>
          <w:sz w:val="22"/>
          <w:szCs w:val="22"/>
        </w:rPr>
      </w:pPr>
    </w:p>
    <w:p w14:paraId="2202E592" w14:textId="3AA375B0" w:rsidR="005C4829" w:rsidRPr="009249EB" w:rsidRDefault="005C4829" w:rsidP="009249EB">
      <w:pPr>
        <w:autoSpaceDE w:val="0"/>
        <w:autoSpaceDN w:val="0"/>
        <w:adjustRightInd w:val="0"/>
        <w:spacing w:after="0" w:line="276" w:lineRule="auto"/>
        <w:rPr>
          <w:rFonts w:ascii="Arial" w:hAnsi="Arial" w:cs="Arial"/>
          <w:i/>
          <w:iCs/>
          <w:kern w:val="1"/>
          <w:sz w:val="22"/>
          <w:szCs w:val="22"/>
        </w:rPr>
      </w:pPr>
      <w:r w:rsidRPr="00F82953">
        <w:rPr>
          <w:rFonts w:ascii="Arial" w:hAnsi="Arial" w:cs="Arial"/>
          <w:b/>
          <w:bCs/>
          <w:i/>
          <w:iCs/>
          <w:kern w:val="1"/>
          <w:sz w:val="22"/>
          <w:szCs w:val="22"/>
        </w:rPr>
        <w:t xml:space="preserve"> </w:t>
      </w:r>
      <w:r w:rsidRPr="009249EB">
        <w:rPr>
          <w:rFonts w:ascii="Arial" w:hAnsi="Arial" w:cs="Arial"/>
          <w:i/>
          <w:iCs/>
          <w:color w:val="FFC000"/>
          <w:kern w:val="1"/>
          <w:sz w:val="22"/>
          <w:szCs w:val="22"/>
        </w:rPr>
        <w:t>Pituitary/Hypothalamic Dysfunction</w:t>
      </w:r>
    </w:p>
    <w:p w14:paraId="4F0B0548" w14:textId="77777777" w:rsidR="009249EB" w:rsidRDefault="009249EB" w:rsidP="00F82953">
      <w:pPr>
        <w:autoSpaceDE w:val="0"/>
        <w:autoSpaceDN w:val="0"/>
        <w:adjustRightInd w:val="0"/>
        <w:spacing w:after="0" w:line="276" w:lineRule="auto"/>
        <w:rPr>
          <w:rFonts w:ascii="Arial" w:hAnsi="Arial" w:cs="Arial"/>
          <w:kern w:val="1"/>
          <w:sz w:val="22"/>
          <w:szCs w:val="22"/>
        </w:rPr>
      </w:pPr>
    </w:p>
    <w:p w14:paraId="642DD3C0" w14:textId="2BE6C472"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lastRenderedPageBreak/>
        <w:t xml:space="preserve">Pituitary dysfunction is rare in ambulatory patients (395). TSH measurement is unreliable in cases of both central hypothyroidism and central hyperthyroidism (285,395-397).   </w:t>
      </w:r>
    </w:p>
    <w:p w14:paraId="4D21520D" w14:textId="77777777" w:rsidR="005C4829" w:rsidRPr="00F82953" w:rsidRDefault="005C4829" w:rsidP="00F82953">
      <w:pPr>
        <w:autoSpaceDE w:val="0"/>
        <w:autoSpaceDN w:val="0"/>
        <w:adjustRightInd w:val="0"/>
        <w:spacing w:after="0" w:line="276" w:lineRule="auto"/>
        <w:rPr>
          <w:rFonts w:ascii="Arial" w:hAnsi="Arial" w:cs="Arial"/>
          <w:b/>
          <w:bCs/>
          <w:i/>
          <w:iCs/>
          <w:kern w:val="1"/>
          <w:sz w:val="22"/>
          <w:szCs w:val="22"/>
        </w:rPr>
      </w:pPr>
    </w:p>
    <w:p w14:paraId="7BD0BDB3" w14:textId="5A350D71"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Central hypothyroidism (CH) is rare, 1/1000 less prevalent than primary hypothyroidism, 1/160,000 detected by neonatal screening) (395). CH can arise from disease at either the pituitary or hypothalamic level, or both (395). A major limitation of using a TSH-centered screening strategy is that current TSH tests will miss a diagnosis of CH because TSH IMAs are “glycosylation blind” and detect the abnormally glycosylated biologically inactive TSH as “normal” TSH, despite clinical hypothyroidism (276,285,396). This limitation necessitates that the clinical diagnosis of CH be confirmed biochemically as a low FT4/normal-low TSH discordance. and that L-T4 replacement therapy for CH be optimized using the serum FT4 not TSH. It should be noted that in the absence of clinical suspicion, investigations for pituitary dysfunction should only be initiated after ruling-out technical interference</w:t>
      </w:r>
      <w:r w:rsidR="007C4BE5">
        <w:rPr>
          <w:rFonts w:ascii="Arial" w:hAnsi="Arial" w:cs="Arial"/>
          <w:kern w:val="1"/>
          <w:sz w:val="22"/>
          <w:szCs w:val="22"/>
        </w:rPr>
        <w:t>.</w:t>
      </w:r>
      <w:r w:rsidRPr="00F82953">
        <w:rPr>
          <w:rFonts w:ascii="Arial" w:hAnsi="Arial" w:cs="Arial"/>
          <w:kern w:val="1"/>
          <w:sz w:val="22"/>
          <w:szCs w:val="22"/>
        </w:rPr>
        <w:t xml:space="preserve"> </w:t>
      </w:r>
    </w:p>
    <w:p w14:paraId="120A8393" w14:textId="77777777" w:rsidR="005C4829" w:rsidRPr="00F82953" w:rsidRDefault="005C4829" w:rsidP="00F82953">
      <w:pPr>
        <w:autoSpaceDE w:val="0"/>
        <w:autoSpaceDN w:val="0"/>
        <w:adjustRightInd w:val="0"/>
        <w:spacing w:after="0" w:line="276" w:lineRule="auto"/>
        <w:rPr>
          <w:rFonts w:ascii="Arial" w:hAnsi="Arial" w:cs="Arial"/>
          <w:color w:val="FF0000"/>
          <w:kern w:val="1"/>
          <w:sz w:val="22"/>
          <w:szCs w:val="22"/>
        </w:rPr>
      </w:pPr>
    </w:p>
    <w:p w14:paraId="4BC40F5A" w14:textId="7A821A6D"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TSH secreting pituitary adenomas are characterized by a non-suppressed TSH associated with high thyroid hormone levels and clinical hyperthyroidism (397,398). Since this is a rare type of pituitary adenoma (0.7 %), technical interferences such as </w:t>
      </w:r>
      <w:r w:rsidR="00A232C1" w:rsidRPr="00F82953">
        <w:rPr>
          <w:rFonts w:ascii="Arial" w:hAnsi="Arial" w:cs="Arial"/>
          <w:kern w:val="1"/>
          <w:sz w:val="22"/>
          <w:szCs w:val="22"/>
        </w:rPr>
        <w:t>h</w:t>
      </w:r>
      <w:r w:rsidRPr="00F82953">
        <w:rPr>
          <w:rFonts w:ascii="Arial" w:hAnsi="Arial" w:cs="Arial"/>
          <w:kern w:val="1"/>
          <w:sz w:val="22"/>
          <w:szCs w:val="22"/>
        </w:rPr>
        <w:t>eterophile antibody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or TSH autoantibodies (macro TSH) should be excluded before initiating inconvenient and unnecessary pituitary imaging or dynamic diagnostic testing such as T3 suppression or TRH stimulation. This clinical/biochemical discordance reflects the TSH isoforms with enhanced biologic activity secreted by the adenoma. As with CH, current TSH IMA methods cannot distinguish these abnormal isoforms from normal TSH. Failure to diagnose the pituitary as the cause of the hyperthyroidism can lead to inappropriate thyroid ablation. The treatment of choice is surgery but in cases of surgical failure somatostatin analog treatment has been found effective (398). Note that the biochemical profile (high thyroid hormones and non-suppressed TSH) resembles that seen with thyroid hormone resistance syndromes (399,400) or interference from thyroid autoantibodies (120). </w:t>
      </w:r>
    </w:p>
    <w:p w14:paraId="3B8DDE84"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C9E3A3B" w14:textId="7673BBC9" w:rsidR="005C4829" w:rsidRPr="008857DF" w:rsidRDefault="005C4829" w:rsidP="008857DF">
      <w:pPr>
        <w:autoSpaceDE w:val="0"/>
        <w:autoSpaceDN w:val="0"/>
        <w:adjustRightInd w:val="0"/>
        <w:spacing w:after="0" w:line="276" w:lineRule="auto"/>
        <w:rPr>
          <w:rFonts w:ascii="Arial" w:hAnsi="Arial" w:cs="Arial"/>
          <w:i/>
          <w:iCs/>
          <w:color w:val="FFC000"/>
          <w:kern w:val="1"/>
          <w:sz w:val="22"/>
          <w:szCs w:val="22"/>
        </w:rPr>
      </w:pPr>
      <w:r w:rsidRPr="008857DF">
        <w:rPr>
          <w:rFonts w:ascii="Arial" w:hAnsi="Arial" w:cs="Arial"/>
          <w:i/>
          <w:iCs/>
          <w:color w:val="FFC000"/>
          <w:kern w:val="1"/>
          <w:sz w:val="22"/>
          <w:szCs w:val="22"/>
        </w:rPr>
        <w:t>Resistance to Thyroid Hormone (RTH)</w:t>
      </w:r>
    </w:p>
    <w:p w14:paraId="536F5EAF" w14:textId="77777777" w:rsidR="008857DF" w:rsidRDefault="008857DF" w:rsidP="00F82953">
      <w:pPr>
        <w:autoSpaceDE w:val="0"/>
        <w:autoSpaceDN w:val="0"/>
        <w:adjustRightInd w:val="0"/>
        <w:spacing w:after="0" w:line="276" w:lineRule="auto"/>
        <w:rPr>
          <w:rFonts w:ascii="Arial" w:hAnsi="Arial" w:cs="Arial"/>
          <w:sz w:val="22"/>
          <w:szCs w:val="22"/>
        </w:rPr>
      </w:pPr>
    </w:p>
    <w:p w14:paraId="6D2CBFD3" w14:textId="6BE875F0" w:rsidR="005C4829" w:rsidRPr="00F82953" w:rsidRDefault="007E47FE"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sz w:val="22"/>
          <w:szCs w:val="22"/>
        </w:rPr>
        <w:t>Resistance</w:t>
      </w:r>
      <w:r w:rsidRPr="00F82953">
        <w:rPr>
          <w:rFonts w:ascii="Arial" w:hAnsi="Arial" w:cs="Arial"/>
          <w:spacing w:val="70"/>
          <w:sz w:val="22"/>
          <w:szCs w:val="22"/>
        </w:rPr>
        <w:t xml:space="preserve"> </w:t>
      </w:r>
      <w:r w:rsidRPr="00F82953">
        <w:rPr>
          <w:rFonts w:ascii="Arial" w:hAnsi="Arial" w:cs="Arial"/>
          <w:sz w:val="22"/>
          <w:szCs w:val="22"/>
        </w:rPr>
        <w:t>to</w:t>
      </w:r>
      <w:r w:rsidRPr="00F82953">
        <w:rPr>
          <w:rFonts w:ascii="Arial" w:hAnsi="Arial" w:cs="Arial"/>
          <w:spacing w:val="70"/>
          <w:sz w:val="22"/>
          <w:szCs w:val="22"/>
        </w:rPr>
        <w:t xml:space="preserve"> </w:t>
      </w:r>
      <w:r w:rsidRPr="00F82953">
        <w:rPr>
          <w:rFonts w:ascii="Arial" w:hAnsi="Arial" w:cs="Arial"/>
          <w:sz w:val="22"/>
          <w:szCs w:val="22"/>
        </w:rPr>
        <w:t>thyroid</w:t>
      </w:r>
      <w:r w:rsidRPr="00F82953">
        <w:rPr>
          <w:rFonts w:ascii="Arial" w:hAnsi="Arial" w:cs="Arial"/>
          <w:spacing w:val="70"/>
          <w:sz w:val="22"/>
          <w:szCs w:val="22"/>
        </w:rPr>
        <w:t xml:space="preserve"> </w:t>
      </w:r>
      <w:r w:rsidRPr="00F82953">
        <w:rPr>
          <w:rFonts w:ascii="Arial" w:hAnsi="Arial" w:cs="Arial"/>
          <w:sz w:val="22"/>
          <w:szCs w:val="22"/>
        </w:rPr>
        <w:t>hormone</w:t>
      </w:r>
      <w:r w:rsidRPr="00F82953">
        <w:rPr>
          <w:rFonts w:ascii="Arial" w:hAnsi="Arial" w:cs="Arial"/>
          <w:spacing w:val="70"/>
          <w:sz w:val="22"/>
          <w:szCs w:val="22"/>
        </w:rPr>
        <w:t xml:space="preserve"> </w:t>
      </w:r>
      <w:r w:rsidRPr="00F82953">
        <w:rPr>
          <w:rFonts w:ascii="Arial" w:hAnsi="Arial" w:cs="Arial"/>
          <w:sz w:val="22"/>
          <w:szCs w:val="22"/>
        </w:rPr>
        <w:t xml:space="preserve">is caused by mutations in the </w:t>
      </w:r>
      <w:r w:rsidRPr="00F82953">
        <w:rPr>
          <w:rFonts w:ascii="Arial" w:hAnsi="Arial" w:cs="Arial"/>
          <w:i/>
          <w:iCs/>
          <w:sz w:val="22"/>
          <w:szCs w:val="22"/>
        </w:rPr>
        <w:t>THRB</w:t>
      </w:r>
      <w:r w:rsidRPr="00F82953">
        <w:rPr>
          <w:rFonts w:ascii="Arial" w:hAnsi="Arial" w:cs="Arial"/>
          <w:sz w:val="22"/>
          <w:szCs w:val="22"/>
        </w:rPr>
        <w:t xml:space="preserve"> gene encoding the thyroid hormone receptor </w:t>
      </w:r>
      <w:r w:rsidR="005F5134">
        <w:rPr>
          <w:rFonts w:ascii="Arial" w:hAnsi="Arial" w:cs="Arial"/>
          <w:spacing w:val="-2"/>
          <w:sz w:val="22"/>
          <w:szCs w:val="22"/>
        </w:rPr>
        <w:t>B</w:t>
      </w:r>
      <w:r w:rsidRPr="00F82953">
        <w:rPr>
          <w:rFonts w:ascii="Arial" w:hAnsi="Arial" w:cs="Arial"/>
          <w:spacing w:val="70"/>
          <w:sz w:val="22"/>
          <w:szCs w:val="22"/>
        </w:rPr>
        <w:t xml:space="preserve"> </w:t>
      </w:r>
      <w:r w:rsidRPr="00F82953">
        <w:rPr>
          <w:rFonts w:ascii="Arial" w:hAnsi="Arial" w:cs="Arial"/>
          <w:sz w:val="22"/>
          <w:szCs w:val="22"/>
        </w:rPr>
        <w:t>and is biochemically</w:t>
      </w:r>
      <w:r w:rsidRPr="00F82953">
        <w:rPr>
          <w:rFonts w:ascii="Arial" w:hAnsi="Arial" w:cs="Arial"/>
          <w:spacing w:val="10"/>
          <w:sz w:val="22"/>
          <w:szCs w:val="22"/>
        </w:rPr>
        <w:t xml:space="preserve"> </w:t>
      </w:r>
      <w:r w:rsidRPr="00F82953">
        <w:rPr>
          <w:rFonts w:ascii="Arial" w:hAnsi="Arial" w:cs="Arial"/>
          <w:sz w:val="22"/>
          <w:szCs w:val="22"/>
        </w:rPr>
        <w:t>characterized</w:t>
      </w:r>
      <w:r w:rsidRPr="00F82953">
        <w:rPr>
          <w:rFonts w:ascii="Arial" w:hAnsi="Arial" w:cs="Arial"/>
          <w:spacing w:val="11"/>
          <w:sz w:val="22"/>
          <w:szCs w:val="22"/>
        </w:rPr>
        <w:t xml:space="preserve"> </w:t>
      </w:r>
      <w:r w:rsidRPr="00F82953">
        <w:rPr>
          <w:rFonts w:ascii="Arial" w:hAnsi="Arial" w:cs="Arial"/>
          <w:sz w:val="22"/>
          <w:szCs w:val="22"/>
        </w:rPr>
        <w:t>by</w:t>
      </w:r>
      <w:r w:rsidRPr="00F82953">
        <w:rPr>
          <w:rFonts w:ascii="Arial" w:hAnsi="Arial" w:cs="Arial"/>
          <w:spacing w:val="10"/>
          <w:sz w:val="22"/>
          <w:szCs w:val="22"/>
        </w:rPr>
        <w:t xml:space="preserve"> </w:t>
      </w:r>
      <w:r w:rsidRPr="00F82953">
        <w:rPr>
          <w:rFonts w:ascii="Arial" w:hAnsi="Arial" w:cs="Arial"/>
          <w:sz w:val="22"/>
          <w:szCs w:val="22"/>
        </w:rPr>
        <w:t>high</w:t>
      </w:r>
      <w:r w:rsidRPr="00F82953">
        <w:rPr>
          <w:rFonts w:ascii="Arial" w:hAnsi="Arial" w:cs="Arial"/>
          <w:spacing w:val="11"/>
          <w:sz w:val="22"/>
          <w:szCs w:val="22"/>
        </w:rPr>
        <w:t xml:space="preserve"> </w:t>
      </w:r>
      <w:r w:rsidRPr="00F82953">
        <w:rPr>
          <w:rFonts w:ascii="Arial" w:hAnsi="Arial" w:cs="Arial"/>
          <w:sz w:val="22"/>
          <w:szCs w:val="22"/>
        </w:rPr>
        <w:t>thyroid</w:t>
      </w:r>
      <w:r w:rsidRPr="00F82953">
        <w:rPr>
          <w:rFonts w:ascii="Arial" w:hAnsi="Arial" w:cs="Arial"/>
          <w:spacing w:val="11"/>
          <w:sz w:val="22"/>
          <w:szCs w:val="22"/>
        </w:rPr>
        <w:t xml:space="preserve"> </w:t>
      </w:r>
      <w:r w:rsidRPr="00F82953">
        <w:rPr>
          <w:rFonts w:ascii="Arial" w:hAnsi="Arial" w:cs="Arial"/>
          <w:sz w:val="22"/>
          <w:szCs w:val="22"/>
        </w:rPr>
        <w:t>hormone</w:t>
      </w:r>
      <w:r w:rsidRPr="00F82953">
        <w:rPr>
          <w:rFonts w:ascii="Arial" w:hAnsi="Arial" w:cs="Arial"/>
          <w:spacing w:val="10"/>
          <w:sz w:val="22"/>
          <w:szCs w:val="22"/>
        </w:rPr>
        <w:t xml:space="preserve"> </w:t>
      </w:r>
      <w:r w:rsidRPr="00F82953">
        <w:rPr>
          <w:rFonts w:ascii="Arial" w:hAnsi="Arial" w:cs="Arial"/>
          <w:sz w:val="22"/>
          <w:szCs w:val="22"/>
        </w:rPr>
        <w:t>(FT4</w:t>
      </w:r>
      <w:r w:rsidRPr="00F82953">
        <w:rPr>
          <w:rFonts w:ascii="Arial" w:hAnsi="Arial" w:cs="Arial"/>
          <w:spacing w:val="11"/>
          <w:sz w:val="22"/>
          <w:szCs w:val="22"/>
        </w:rPr>
        <w:t xml:space="preserve"> </w:t>
      </w:r>
      <w:r w:rsidRPr="00F82953">
        <w:rPr>
          <w:rFonts w:ascii="Arial" w:hAnsi="Arial" w:cs="Arial"/>
          <w:sz w:val="22"/>
          <w:szCs w:val="22"/>
        </w:rPr>
        <w:t>+/-</w:t>
      </w:r>
      <w:r w:rsidRPr="00F82953">
        <w:rPr>
          <w:rFonts w:ascii="Arial" w:hAnsi="Arial" w:cs="Arial"/>
          <w:spacing w:val="6"/>
          <w:sz w:val="22"/>
          <w:szCs w:val="22"/>
        </w:rPr>
        <w:t xml:space="preserve"> </w:t>
      </w:r>
      <w:r w:rsidRPr="00F82953">
        <w:rPr>
          <w:rFonts w:ascii="Arial" w:hAnsi="Arial" w:cs="Arial"/>
          <w:sz w:val="22"/>
          <w:szCs w:val="22"/>
        </w:rPr>
        <w:t>T3)</w:t>
      </w:r>
      <w:r w:rsidRPr="00F82953">
        <w:rPr>
          <w:rFonts w:ascii="Arial" w:hAnsi="Arial" w:cs="Arial"/>
          <w:spacing w:val="11"/>
          <w:sz w:val="22"/>
          <w:szCs w:val="22"/>
        </w:rPr>
        <w:t xml:space="preserve"> </w:t>
      </w:r>
      <w:r w:rsidRPr="00F82953">
        <w:rPr>
          <w:rFonts w:ascii="Arial" w:hAnsi="Arial" w:cs="Arial"/>
          <w:sz w:val="22"/>
          <w:szCs w:val="22"/>
        </w:rPr>
        <w:t>levels</w:t>
      </w:r>
      <w:r w:rsidRPr="00F82953">
        <w:rPr>
          <w:rFonts w:ascii="Arial" w:hAnsi="Arial" w:cs="Arial"/>
          <w:spacing w:val="10"/>
          <w:sz w:val="22"/>
          <w:szCs w:val="22"/>
        </w:rPr>
        <w:t xml:space="preserve"> </w:t>
      </w:r>
      <w:r w:rsidRPr="00F82953">
        <w:rPr>
          <w:rFonts w:ascii="Arial" w:hAnsi="Arial" w:cs="Arial"/>
          <w:sz w:val="22"/>
          <w:szCs w:val="22"/>
        </w:rPr>
        <w:t>and</w:t>
      </w:r>
      <w:r w:rsidRPr="00F82953">
        <w:rPr>
          <w:rFonts w:ascii="Arial" w:hAnsi="Arial" w:cs="Arial"/>
          <w:spacing w:val="11"/>
          <w:sz w:val="22"/>
          <w:szCs w:val="22"/>
        </w:rPr>
        <w:t xml:space="preserve"> </w:t>
      </w:r>
      <w:r w:rsidRPr="00F82953">
        <w:rPr>
          <w:rFonts w:ascii="Arial" w:hAnsi="Arial" w:cs="Arial"/>
          <w:sz w:val="22"/>
          <w:szCs w:val="22"/>
        </w:rPr>
        <w:t>a</w:t>
      </w:r>
      <w:r w:rsidRPr="00F82953">
        <w:rPr>
          <w:rFonts w:ascii="Arial" w:hAnsi="Arial" w:cs="Arial"/>
          <w:spacing w:val="11"/>
          <w:sz w:val="22"/>
          <w:szCs w:val="22"/>
        </w:rPr>
        <w:t xml:space="preserve"> </w:t>
      </w:r>
      <w:r w:rsidRPr="00F82953">
        <w:rPr>
          <w:rFonts w:ascii="Arial" w:hAnsi="Arial" w:cs="Arial"/>
          <w:spacing w:val="-4"/>
          <w:sz w:val="22"/>
          <w:szCs w:val="22"/>
        </w:rPr>
        <w:t>non-</w:t>
      </w:r>
      <w:r w:rsidRPr="00F82953">
        <w:rPr>
          <w:rFonts w:ascii="Arial" w:hAnsi="Arial" w:cs="Arial"/>
          <w:sz w:val="22"/>
          <w:szCs w:val="22"/>
        </w:rPr>
        <w:t>suppressed, sometimes slightly elevated</w:t>
      </w:r>
      <w:r w:rsidRPr="00F82953">
        <w:rPr>
          <w:rFonts w:ascii="Arial" w:hAnsi="Arial" w:cs="Arial"/>
          <w:spacing w:val="-2"/>
          <w:sz w:val="22"/>
          <w:szCs w:val="22"/>
        </w:rPr>
        <w:t xml:space="preserve"> </w:t>
      </w:r>
      <w:r w:rsidRPr="00F82953">
        <w:rPr>
          <w:rFonts w:ascii="Arial" w:hAnsi="Arial" w:cs="Arial"/>
          <w:sz w:val="22"/>
          <w:szCs w:val="22"/>
        </w:rPr>
        <w:t xml:space="preserve">TSH </w:t>
      </w:r>
      <w:r w:rsidR="005C4829" w:rsidRPr="00F82953">
        <w:rPr>
          <w:rFonts w:ascii="Arial" w:hAnsi="Arial" w:cs="Arial"/>
          <w:kern w:val="1"/>
          <w:sz w:val="22"/>
          <w:szCs w:val="22"/>
        </w:rPr>
        <w:t xml:space="preserve">(402,403). Tissues expressing primarily the thyroid hormone receptor </w:t>
      </w:r>
      <w:r w:rsidR="005F5134">
        <w:rPr>
          <w:rFonts w:ascii="Arial" w:hAnsi="Arial" w:cs="Arial"/>
          <w:spacing w:val="-2"/>
          <w:sz w:val="22"/>
          <w:szCs w:val="22"/>
        </w:rPr>
        <w:t>B</w:t>
      </w:r>
      <w:r w:rsidRPr="00F82953">
        <w:rPr>
          <w:rFonts w:ascii="Arial" w:hAnsi="Arial" w:cs="Arial"/>
          <w:spacing w:val="-2"/>
          <w:kern w:val="1"/>
          <w:sz w:val="22"/>
          <w:szCs w:val="22"/>
        </w:rPr>
        <w:t xml:space="preserve"> </w:t>
      </w:r>
      <w:r w:rsidR="005C4829" w:rsidRPr="00F82953">
        <w:rPr>
          <w:rFonts w:ascii="Arial" w:hAnsi="Arial" w:cs="Arial"/>
          <w:spacing w:val="-2"/>
          <w:kern w:val="1"/>
          <w:sz w:val="22"/>
          <w:szCs w:val="22"/>
        </w:rPr>
        <w:t xml:space="preserve"> </w:t>
      </w:r>
      <w:r w:rsidR="005C4829" w:rsidRPr="00F82953">
        <w:rPr>
          <w:rFonts w:ascii="Arial" w:hAnsi="Arial" w:cs="Arial"/>
          <w:kern w:val="1"/>
          <w:sz w:val="22"/>
          <w:szCs w:val="22"/>
        </w:rPr>
        <w:t xml:space="preserve">are hypothyroid (e.g. the liver), whereas organs with a predominant expression of </w:t>
      </w:r>
      <w:r w:rsidR="00E66141">
        <w:rPr>
          <w:rFonts w:ascii="Arial" w:hAnsi="Arial" w:cs="Arial"/>
          <w:kern w:val="1"/>
          <w:sz w:val="22"/>
          <w:szCs w:val="22"/>
        </w:rPr>
        <w:t>thyroid</w:t>
      </w:r>
      <w:r w:rsidRPr="00F82953">
        <w:rPr>
          <w:rFonts w:ascii="Arial" w:hAnsi="Arial" w:cs="Arial"/>
          <w:kern w:val="1"/>
          <w:sz w:val="22"/>
          <w:szCs w:val="22"/>
        </w:rPr>
        <w:t xml:space="preserve"> </w:t>
      </w:r>
      <w:r w:rsidR="005C4829" w:rsidRPr="00F82953">
        <w:rPr>
          <w:rFonts w:ascii="Arial" w:hAnsi="Arial" w:cs="Arial"/>
          <w:kern w:val="1"/>
          <w:sz w:val="22"/>
          <w:szCs w:val="22"/>
        </w:rPr>
        <w:t>receptor</w:t>
      </w:r>
      <w:r w:rsidR="00E66141">
        <w:rPr>
          <w:rFonts w:ascii="Arial" w:hAnsi="Arial" w:cs="Arial"/>
          <w:kern w:val="1"/>
          <w:sz w:val="22"/>
          <w:szCs w:val="22"/>
        </w:rPr>
        <w:t xml:space="preserve"> </w:t>
      </w:r>
      <w:r w:rsidR="005F5134">
        <w:rPr>
          <w:rFonts w:ascii="Arial" w:hAnsi="Arial" w:cs="Arial"/>
          <w:kern w:val="1"/>
          <w:sz w:val="22"/>
          <w:szCs w:val="22"/>
        </w:rPr>
        <w:t>A</w:t>
      </w:r>
      <w:r w:rsidR="005C4829" w:rsidRPr="00F82953">
        <w:rPr>
          <w:rFonts w:ascii="Arial" w:hAnsi="Arial" w:cs="Arial"/>
          <w:kern w:val="1"/>
          <w:sz w:val="22"/>
          <w:szCs w:val="22"/>
        </w:rPr>
        <w:t xml:space="preserve"> (e.g. the heart) display alterations consistent with thyroid hormone excess (400,401). Early cases of thyroid hormone resistance were shown to result from mutations in the thyroid hormone receptor </w:t>
      </w:r>
      <w:r w:rsidR="005C4829" w:rsidRPr="00F82953">
        <w:rPr>
          <w:rFonts w:ascii="Arial" w:hAnsi="Arial" w:cs="Arial"/>
          <w:i/>
          <w:iCs/>
          <w:kern w:val="1"/>
          <w:sz w:val="22"/>
          <w:szCs w:val="22"/>
        </w:rPr>
        <w:t xml:space="preserve">B </w:t>
      </w:r>
      <w:r w:rsidR="005C4829" w:rsidRPr="00F82953">
        <w:rPr>
          <w:rFonts w:ascii="Arial" w:hAnsi="Arial" w:cs="Arial"/>
          <w:kern w:val="1"/>
          <w:sz w:val="22"/>
          <w:szCs w:val="22"/>
        </w:rPr>
        <w:t>(400). More recently the syndromes with decreased sensitivity to thyroid hormones have been broadened to include mutations</w:t>
      </w:r>
      <w:r w:rsidR="005C4829" w:rsidRPr="00F82953">
        <w:rPr>
          <w:rFonts w:ascii="Arial" w:hAnsi="Arial" w:cs="Arial"/>
          <w:spacing w:val="-3"/>
          <w:kern w:val="1"/>
          <w:sz w:val="22"/>
          <w:szCs w:val="22"/>
        </w:rPr>
        <w:t xml:space="preserve"> </w:t>
      </w:r>
      <w:r w:rsidR="005C4829" w:rsidRPr="00F82953">
        <w:rPr>
          <w:rFonts w:ascii="Arial" w:hAnsi="Arial" w:cs="Arial"/>
          <w:kern w:val="1"/>
          <w:sz w:val="22"/>
          <w:szCs w:val="22"/>
        </w:rPr>
        <w:t>in</w:t>
      </w:r>
      <w:r w:rsidR="005C4829" w:rsidRPr="00F82953">
        <w:rPr>
          <w:rFonts w:ascii="Arial" w:hAnsi="Arial" w:cs="Arial"/>
          <w:spacing w:val="-3"/>
          <w:kern w:val="1"/>
          <w:sz w:val="22"/>
          <w:szCs w:val="22"/>
        </w:rPr>
        <w:t xml:space="preserve"> thyroid hormone transporters (e.g. MCT8), the metabolism of thyroid hormone (e.g. SBP2), and resistance mediated by mutations in t</w:t>
      </w:r>
      <w:r w:rsidR="00B7486B">
        <w:rPr>
          <w:rFonts w:ascii="Arial" w:hAnsi="Arial" w:cs="Arial"/>
          <w:spacing w:val="-3"/>
          <w:kern w:val="1"/>
          <w:sz w:val="22"/>
          <w:szCs w:val="22"/>
        </w:rPr>
        <w:t>hyroid</w:t>
      </w:r>
      <w:r w:rsidRPr="00F82953">
        <w:rPr>
          <w:rFonts w:ascii="Arial" w:hAnsi="Arial" w:cs="Arial"/>
          <w:spacing w:val="-2"/>
          <w:kern w:val="1"/>
          <w:sz w:val="22"/>
          <w:szCs w:val="22"/>
        </w:rPr>
        <w:t xml:space="preserve"> </w:t>
      </w:r>
      <w:r w:rsidR="005C4829" w:rsidRPr="00F82953">
        <w:rPr>
          <w:rFonts w:ascii="Arial" w:hAnsi="Arial" w:cs="Arial"/>
          <w:spacing w:val="-3"/>
          <w:kern w:val="1"/>
          <w:sz w:val="22"/>
          <w:szCs w:val="22"/>
        </w:rPr>
        <w:t>receptor</w:t>
      </w:r>
      <w:r w:rsidR="00B7486B">
        <w:rPr>
          <w:rFonts w:ascii="Arial" w:hAnsi="Arial" w:cs="Arial"/>
          <w:spacing w:val="-3"/>
          <w:kern w:val="1"/>
          <w:sz w:val="22"/>
          <w:szCs w:val="22"/>
        </w:rPr>
        <w:t xml:space="preserve"> A</w:t>
      </w:r>
      <w:r w:rsidR="005C4829" w:rsidRPr="00F82953">
        <w:rPr>
          <w:rFonts w:ascii="Arial" w:hAnsi="Arial" w:cs="Arial"/>
          <w:kern w:val="1"/>
          <w:sz w:val="22"/>
          <w:szCs w:val="22"/>
        </w:rPr>
        <w:t xml:space="preserve"> (401) (for detailed discussion see </w:t>
      </w:r>
      <w:r w:rsidR="00D378A0">
        <w:rPr>
          <w:rFonts w:ascii="Arial" w:hAnsi="Arial" w:cs="Arial"/>
          <w:kern w:val="1"/>
          <w:sz w:val="22"/>
          <w:szCs w:val="22"/>
        </w:rPr>
        <w:t>the Endotext c</w:t>
      </w:r>
      <w:r w:rsidR="00F31380">
        <w:rPr>
          <w:rFonts w:ascii="Arial" w:hAnsi="Arial" w:cs="Arial"/>
          <w:kern w:val="1"/>
          <w:sz w:val="22"/>
          <w:szCs w:val="22"/>
        </w:rPr>
        <w:t>hapter entitled “</w:t>
      </w:r>
      <w:r w:rsidR="00F31380" w:rsidRPr="00F31380">
        <w:rPr>
          <w:rFonts w:ascii="Arial" w:hAnsi="Arial" w:cs="Arial"/>
          <w:kern w:val="1"/>
          <w:sz w:val="22"/>
          <w:szCs w:val="22"/>
        </w:rPr>
        <w:t>Impaired Sensitivity to Thyroid Hormone: Defects of Transport, Metabolism and Action</w:t>
      </w:r>
      <w:r w:rsidR="00F31380">
        <w:rPr>
          <w:rFonts w:ascii="Arial" w:hAnsi="Arial" w:cs="Arial"/>
          <w:kern w:val="1"/>
          <w:sz w:val="22"/>
          <w:szCs w:val="22"/>
        </w:rPr>
        <w:t>”</w:t>
      </w:r>
      <w:r w:rsidR="005C4829" w:rsidRPr="00F82953">
        <w:rPr>
          <w:rFonts w:ascii="Arial" w:hAnsi="Arial" w:cs="Arial"/>
          <w:kern w:val="1"/>
          <w:sz w:val="22"/>
          <w:szCs w:val="22"/>
        </w:rPr>
        <w:t>). These insensitivity and resistance syndromes display a spectrum of clinical and biochemical profiles and can now be identified by genetic testing.</w:t>
      </w:r>
    </w:p>
    <w:p w14:paraId="68C7EC0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58B785DD" w14:textId="2DC3AAA1" w:rsidR="005C4829" w:rsidRPr="00533CC5" w:rsidRDefault="005C4829" w:rsidP="00533CC5">
      <w:pPr>
        <w:autoSpaceDE w:val="0"/>
        <w:autoSpaceDN w:val="0"/>
        <w:adjustRightInd w:val="0"/>
        <w:spacing w:after="0" w:line="276" w:lineRule="auto"/>
        <w:rPr>
          <w:rFonts w:ascii="Arial" w:hAnsi="Arial" w:cs="Arial"/>
          <w:i/>
          <w:iCs/>
          <w:kern w:val="1"/>
          <w:sz w:val="22"/>
          <w:szCs w:val="22"/>
        </w:rPr>
      </w:pPr>
      <w:r w:rsidRPr="00533CC5">
        <w:rPr>
          <w:rFonts w:ascii="Arial" w:hAnsi="Arial" w:cs="Arial"/>
          <w:i/>
          <w:iCs/>
          <w:color w:val="FFC000"/>
          <w:kern w:val="1"/>
          <w:sz w:val="22"/>
          <w:szCs w:val="22"/>
        </w:rPr>
        <w:lastRenderedPageBreak/>
        <w:t>Activating or Inactivating TSH Receptor Mutations</w:t>
      </w:r>
    </w:p>
    <w:p w14:paraId="29C7623B" w14:textId="77777777" w:rsidR="00533CC5" w:rsidRDefault="00533CC5" w:rsidP="00F82953">
      <w:pPr>
        <w:autoSpaceDE w:val="0"/>
        <w:autoSpaceDN w:val="0"/>
        <w:adjustRightInd w:val="0"/>
        <w:spacing w:after="0" w:line="276" w:lineRule="auto"/>
        <w:rPr>
          <w:rFonts w:ascii="Arial" w:hAnsi="Arial" w:cs="Arial"/>
          <w:kern w:val="1"/>
          <w:sz w:val="22"/>
          <w:szCs w:val="22"/>
        </w:rPr>
      </w:pPr>
    </w:p>
    <w:p w14:paraId="139752A5" w14:textId="4675A1A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Non-autoimmune hyperthyroidism resulting from an activating mutation of the TSH receptor (TSHR) is rare (293,402). A spectrum of loss-of-function TSHR mutations (TSH resistance) causing clinical and subclinical hypothyroidism despite high thyroid hormone levels, have also been described (295,400,403,404). Because TSHR mutations are a rare cause of TSH/FT4 discordances, technical interferences should first be excluded before considering a TSHR mutation as the cause of these discordant biochemical profiles.</w:t>
      </w:r>
    </w:p>
    <w:p w14:paraId="2F4A31E0"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C681F1D" w14:textId="41DC09DD" w:rsidR="005C4829" w:rsidRPr="00B51910" w:rsidRDefault="005C4829" w:rsidP="00F82953">
      <w:pPr>
        <w:autoSpaceDE w:val="0"/>
        <w:autoSpaceDN w:val="0"/>
        <w:adjustRightInd w:val="0"/>
        <w:spacing w:after="0" w:line="276" w:lineRule="auto"/>
        <w:rPr>
          <w:rFonts w:ascii="Arial" w:hAnsi="Arial" w:cs="Arial"/>
          <w:kern w:val="1"/>
          <w:sz w:val="22"/>
          <w:szCs w:val="22"/>
        </w:rPr>
      </w:pPr>
      <w:r w:rsidRPr="00B51910">
        <w:rPr>
          <w:rFonts w:ascii="Arial" w:hAnsi="Arial" w:cs="Arial"/>
          <w:color w:val="FF0000"/>
          <w:kern w:val="1"/>
          <w:sz w:val="22"/>
          <w:szCs w:val="22"/>
        </w:rPr>
        <w:t>T</w:t>
      </w:r>
      <w:r w:rsidR="00B51910" w:rsidRPr="00B51910">
        <w:rPr>
          <w:rFonts w:ascii="Arial" w:hAnsi="Arial" w:cs="Arial"/>
          <w:color w:val="FF0000"/>
          <w:kern w:val="1"/>
          <w:sz w:val="22"/>
          <w:szCs w:val="22"/>
        </w:rPr>
        <w:t xml:space="preserve">ECHNICAL FACTORS CAUSING MISLEADING TSH </w:t>
      </w:r>
    </w:p>
    <w:p w14:paraId="517E72FA"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7B0DB9AF" w14:textId="35FDD05F" w:rsidR="005C4829" w:rsidRPr="00B51910" w:rsidRDefault="005C4829" w:rsidP="00F82953">
      <w:pPr>
        <w:autoSpaceDE w:val="0"/>
        <w:autoSpaceDN w:val="0"/>
        <w:adjustRightInd w:val="0"/>
        <w:spacing w:after="0" w:line="276" w:lineRule="auto"/>
        <w:rPr>
          <w:rFonts w:ascii="Arial" w:hAnsi="Arial" w:cs="Arial"/>
          <w:i/>
          <w:iCs/>
          <w:kern w:val="1"/>
          <w:sz w:val="22"/>
          <w:szCs w:val="22"/>
        </w:rPr>
      </w:pPr>
      <w:r w:rsidRPr="00B51910">
        <w:rPr>
          <w:rFonts w:ascii="Arial" w:hAnsi="Arial" w:cs="Arial"/>
          <w:i/>
          <w:iCs/>
          <w:color w:val="FFC000"/>
          <w:kern w:val="1"/>
          <w:sz w:val="22"/>
          <w:szCs w:val="22"/>
        </w:rPr>
        <w:t>Non</w:t>
      </w:r>
      <w:r w:rsidR="000451A7" w:rsidRPr="00B51910">
        <w:rPr>
          <w:rFonts w:ascii="Arial" w:hAnsi="Arial" w:cs="Arial"/>
          <w:i/>
          <w:iCs/>
          <w:color w:val="FFC000"/>
          <w:kern w:val="1"/>
          <w:sz w:val="22"/>
          <w:szCs w:val="22"/>
        </w:rPr>
        <w:t>-</w:t>
      </w:r>
      <w:r w:rsidRPr="00B51910">
        <w:rPr>
          <w:rFonts w:ascii="Arial" w:hAnsi="Arial" w:cs="Arial"/>
          <w:i/>
          <w:iCs/>
          <w:color w:val="FFC000"/>
          <w:kern w:val="1"/>
          <w:sz w:val="22"/>
          <w:szCs w:val="22"/>
        </w:rPr>
        <w:t>Analyte</w:t>
      </w:r>
      <w:r w:rsidR="000451A7" w:rsidRPr="00B51910">
        <w:rPr>
          <w:rFonts w:ascii="Arial" w:hAnsi="Arial" w:cs="Arial"/>
          <w:i/>
          <w:iCs/>
          <w:color w:val="FFC000"/>
          <w:kern w:val="1"/>
          <w:sz w:val="22"/>
          <w:szCs w:val="22"/>
        </w:rPr>
        <w:t xml:space="preserve"> </w:t>
      </w:r>
      <w:r w:rsidRPr="00B51910">
        <w:rPr>
          <w:rFonts w:ascii="Arial" w:hAnsi="Arial" w:cs="Arial"/>
          <w:i/>
          <w:iCs/>
          <w:color w:val="FFC000"/>
          <w:kern w:val="1"/>
          <w:sz w:val="22"/>
          <w:szCs w:val="22"/>
        </w:rPr>
        <w:t>Specific Interferences</w:t>
      </w:r>
    </w:p>
    <w:p w14:paraId="589958BF" w14:textId="77777777" w:rsidR="005C4829" w:rsidRPr="00F82953" w:rsidRDefault="005C4829" w:rsidP="00F82953">
      <w:pPr>
        <w:autoSpaceDE w:val="0"/>
        <w:autoSpaceDN w:val="0"/>
        <w:adjustRightInd w:val="0"/>
        <w:spacing w:after="0" w:line="276" w:lineRule="auto"/>
        <w:rPr>
          <w:rFonts w:ascii="Arial" w:hAnsi="Arial" w:cs="Arial"/>
          <w:b/>
          <w:bCs/>
          <w:i/>
          <w:iCs/>
          <w:kern w:val="1"/>
          <w:sz w:val="22"/>
          <w:szCs w:val="22"/>
        </w:rPr>
      </w:pPr>
    </w:p>
    <w:p w14:paraId="0DEE8011" w14:textId="22B82E55"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B51910">
        <w:rPr>
          <w:rFonts w:ascii="Arial" w:hAnsi="Arial" w:cs="Arial"/>
          <w:kern w:val="1"/>
          <w:sz w:val="22"/>
          <w:szCs w:val="22"/>
        </w:rPr>
        <w:t>Heterophile Antibodies (</w:t>
      </w:r>
      <w:proofErr w:type="spellStart"/>
      <w:r w:rsidRPr="00B51910">
        <w:rPr>
          <w:rFonts w:ascii="Arial" w:hAnsi="Arial" w:cs="Arial"/>
          <w:kern w:val="1"/>
          <w:sz w:val="22"/>
          <w:szCs w:val="22"/>
        </w:rPr>
        <w:t>HAbs</w:t>
      </w:r>
      <w:proofErr w:type="spellEnd"/>
      <w:r w:rsidRPr="00B51910">
        <w:rPr>
          <w:rFonts w:ascii="Arial" w:hAnsi="Arial" w:cs="Arial"/>
          <w:kern w:val="1"/>
          <w:sz w:val="22"/>
          <w:szCs w:val="22"/>
        </w:rPr>
        <w:t>)</w:t>
      </w:r>
      <w:r w:rsidRPr="00F82953">
        <w:rPr>
          <w:rFonts w:ascii="Arial" w:hAnsi="Arial" w:cs="Arial"/>
          <w:kern w:val="1"/>
          <w:sz w:val="22"/>
          <w:szCs w:val="22"/>
        </w:rPr>
        <w:t xml:space="preserve"> such as Human Anti Mouse Antibody (HAMA) can cause falsely high TSH IMA tests (200,220,241,405,406) and interfere with neonatal TSH screening (407). Since the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 some patient's sera interfere strongly with some manufacturers tests but appear inert in others (200), re-measurement using a different manufacturers assay should be the first test to identify interference. A fall in TSH in response to a blocker-tube treatment (43) is typically used to confirm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w:t>
      </w:r>
    </w:p>
    <w:p w14:paraId="11B3B624" w14:textId="77777777" w:rsidR="005C4829" w:rsidRPr="00F82953" w:rsidRDefault="005C4829" w:rsidP="00F82953">
      <w:pPr>
        <w:autoSpaceDE w:val="0"/>
        <w:autoSpaceDN w:val="0"/>
        <w:adjustRightInd w:val="0"/>
        <w:spacing w:after="0" w:line="276" w:lineRule="auto"/>
        <w:rPr>
          <w:rFonts w:ascii="Arial" w:hAnsi="Arial" w:cs="Arial"/>
          <w:b/>
          <w:bCs/>
          <w:i/>
          <w:iCs/>
          <w:kern w:val="1"/>
          <w:sz w:val="22"/>
          <w:szCs w:val="22"/>
        </w:rPr>
      </w:pPr>
    </w:p>
    <w:p w14:paraId="365F2BC4" w14:textId="5D28280B"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B51910">
        <w:rPr>
          <w:rFonts w:ascii="Arial" w:hAnsi="Arial" w:cs="Arial"/>
          <w:kern w:val="1"/>
          <w:sz w:val="22"/>
          <w:szCs w:val="22"/>
        </w:rPr>
        <w:t>Anti-Reagent Antibody Interferences</w:t>
      </w:r>
      <w:r w:rsidR="00B51910">
        <w:rPr>
          <w:rFonts w:ascii="Arial" w:hAnsi="Arial" w:cs="Arial"/>
          <w:kern w:val="1"/>
          <w:sz w:val="22"/>
          <w:szCs w:val="22"/>
        </w:rPr>
        <w:t>.</w:t>
      </w:r>
      <w:r w:rsidRPr="00F82953">
        <w:rPr>
          <w:rFonts w:ascii="Arial" w:hAnsi="Arial" w:cs="Arial"/>
          <w:kern w:val="1"/>
          <w:sz w:val="22"/>
          <w:szCs w:val="22"/>
        </w:rPr>
        <w:t xml:space="preserve"> As discussed for free </w:t>
      </w:r>
      <w:r w:rsidRPr="00F82953">
        <w:rPr>
          <w:rFonts w:ascii="Arial" w:hAnsi="Arial" w:cs="Arial"/>
          <w:color w:val="000000" w:themeColor="text1"/>
          <w:kern w:val="1"/>
          <w:sz w:val="22"/>
          <w:szCs w:val="22"/>
        </w:rPr>
        <w:t xml:space="preserve">hormone tests, some </w:t>
      </w:r>
      <w:r w:rsidRPr="00F82953">
        <w:rPr>
          <w:rFonts w:ascii="Arial" w:hAnsi="Arial" w:cs="Arial"/>
          <w:kern w:val="1"/>
          <w:sz w:val="22"/>
          <w:szCs w:val="22"/>
        </w:rPr>
        <w:t xml:space="preserve">patients have antibodies that target test reagents such as </w:t>
      </w:r>
      <w:proofErr w:type="spellStart"/>
      <w:r w:rsidRPr="00F82953">
        <w:rPr>
          <w:rFonts w:ascii="Arial" w:hAnsi="Arial" w:cs="Arial"/>
          <w:kern w:val="1"/>
          <w:sz w:val="22"/>
          <w:szCs w:val="22"/>
        </w:rPr>
        <w:t>rhuthenium</w:t>
      </w:r>
      <w:proofErr w:type="spellEnd"/>
      <w:r w:rsidRPr="00F82953">
        <w:rPr>
          <w:rFonts w:ascii="Arial" w:hAnsi="Arial" w:cs="Arial"/>
          <w:kern w:val="1"/>
          <w:sz w:val="22"/>
          <w:szCs w:val="22"/>
        </w:rPr>
        <w:t xml:space="preserve"> and cause interference with TSH tests. (408). It should be noted that the anti-</w:t>
      </w:r>
      <w:proofErr w:type="spellStart"/>
      <w:r w:rsidRPr="00F82953">
        <w:rPr>
          <w:rFonts w:ascii="Arial" w:hAnsi="Arial" w:cs="Arial"/>
          <w:kern w:val="1"/>
          <w:sz w:val="22"/>
          <w:szCs w:val="22"/>
        </w:rPr>
        <w:t>rhuthenium</w:t>
      </w:r>
      <w:proofErr w:type="spellEnd"/>
      <w:r w:rsidRPr="00F82953">
        <w:rPr>
          <w:rFonts w:ascii="Arial" w:hAnsi="Arial" w:cs="Arial"/>
          <w:kern w:val="1"/>
          <w:sz w:val="22"/>
          <w:szCs w:val="22"/>
        </w:rPr>
        <w:t xml:space="preserve"> antibodies of different patients may affect different analytes to differing degrees (230,409,410). </w:t>
      </w:r>
    </w:p>
    <w:p w14:paraId="7C1EC9E1"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433A81C" w14:textId="0DB72D7B"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B51910">
        <w:rPr>
          <w:rFonts w:ascii="Arial" w:hAnsi="Arial" w:cs="Arial"/>
          <w:kern w:val="1"/>
          <w:sz w:val="22"/>
          <w:szCs w:val="22"/>
        </w:rPr>
        <w:t>Biotin Interferences</w:t>
      </w:r>
      <w:r w:rsidR="00B51910" w:rsidRPr="00B51910">
        <w:rPr>
          <w:rFonts w:ascii="Arial" w:hAnsi="Arial" w:cs="Arial"/>
          <w:kern w:val="1"/>
          <w:sz w:val="22"/>
          <w:szCs w:val="22"/>
        </w:rPr>
        <w:t>.</w:t>
      </w:r>
      <w:r w:rsidR="00D25C4E">
        <w:rPr>
          <w:rFonts w:ascii="Arial" w:hAnsi="Arial" w:cs="Arial"/>
          <w:kern w:val="1"/>
          <w:sz w:val="22"/>
          <w:szCs w:val="22"/>
        </w:rPr>
        <w:t xml:space="preserve"> </w:t>
      </w:r>
      <w:r w:rsidRPr="00F82953">
        <w:rPr>
          <w:rFonts w:ascii="Arial" w:hAnsi="Arial" w:cs="Arial"/>
          <w:kern w:val="1"/>
          <w:sz w:val="22"/>
          <w:szCs w:val="22"/>
        </w:rPr>
        <w:t>Tests employing streptavidin or biotin reagents are prone to interferences from antibodies targeting either streptavidin (231) or biotin (233). Alternatively, high dose biotin ingestion has been known to produce interference in an analyte-specific, platform-specific manner (241,411). The popularity of biotin therapy is now prompting assay manufacturers to reformulate their tests to remove biotin interference (237,412).</w:t>
      </w:r>
    </w:p>
    <w:p w14:paraId="0CC51F41"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014CB55E" w14:textId="676BDC18" w:rsidR="005C4829" w:rsidRPr="00B51910" w:rsidRDefault="005C4829" w:rsidP="00B51910">
      <w:pPr>
        <w:pStyle w:val="ListParagraph"/>
        <w:autoSpaceDE w:val="0"/>
        <w:autoSpaceDN w:val="0"/>
        <w:adjustRightInd w:val="0"/>
        <w:spacing w:after="0" w:line="276" w:lineRule="auto"/>
        <w:ind w:left="0"/>
        <w:rPr>
          <w:rFonts w:ascii="Arial" w:hAnsi="Arial" w:cs="Arial"/>
          <w:i/>
          <w:iCs/>
          <w:kern w:val="1"/>
          <w:sz w:val="22"/>
          <w:szCs w:val="22"/>
        </w:rPr>
      </w:pPr>
      <w:r w:rsidRPr="00B51910">
        <w:rPr>
          <w:rFonts w:ascii="Arial" w:hAnsi="Arial" w:cs="Arial"/>
          <w:i/>
          <w:iCs/>
          <w:color w:val="FFC000"/>
          <w:kern w:val="1"/>
          <w:sz w:val="22"/>
          <w:szCs w:val="22"/>
        </w:rPr>
        <w:t>Analyte-Specific Interferences</w:t>
      </w:r>
    </w:p>
    <w:p w14:paraId="42A89391" w14:textId="77777777" w:rsidR="00B51910" w:rsidRDefault="00B51910" w:rsidP="00B51910">
      <w:pPr>
        <w:autoSpaceDE w:val="0"/>
        <w:autoSpaceDN w:val="0"/>
        <w:adjustRightInd w:val="0"/>
        <w:spacing w:after="0" w:line="276" w:lineRule="auto"/>
        <w:rPr>
          <w:rFonts w:ascii="Arial" w:hAnsi="Arial" w:cs="Arial"/>
          <w:kern w:val="1"/>
          <w:sz w:val="22"/>
          <w:szCs w:val="22"/>
        </w:rPr>
      </w:pPr>
    </w:p>
    <w:p w14:paraId="76D685D3" w14:textId="3BE105CE" w:rsidR="005C4829" w:rsidRPr="00F82953" w:rsidRDefault="005C4829" w:rsidP="00B51910">
      <w:pPr>
        <w:autoSpaceDE w:val="0"/>
        <w:autoSpaceDN w:val="0"/>
        <w:adjustRightInd w:val="0"/>
        <w:spacing w:after="0" w:line="276" w:lineRule="auto"/>
        <w:rPr>
          <w:rFonts w:ascii="Arial" w:hAnsi="Arial" w:cs="Arial"/>
          <w:b/>
          <w:bCs/>
          <w:kern w:val="1"/>
          <w:sz w:val="22"/>
          <w:szCs w:val="22"/>
        </w:rPr>
      </w:pPr>
      <w:r w:rsidRPr="00F82953">
        <w:rPr>
          <w:rFonts w:ascii="Arial" w:hAnsi="Arial" w:cs="Arial"/>
          <w:kern w:val="1"/>
          <w:sz w:val="22"/>
          <w:szCs w:val="22"/>
        </w:rPr>
        <w:t>Analyte-specific interferences typically result from autoantibodies targeting the analyte. Depending on the analyte and test formulation, autoantibody interferences most commonly cause false</w:t>
      </w:r>
      <w:r w:rsidR="00786F8B" w:rsidRPr="00F82953">
        <w:rPr>
          <w:rFonts w:ascii="Arial" w:hAnsi="Arial" w:cs="Arial"/>
          <w:kern w:val="1"/>
          <w:sz w:val="22"/>
          <w:szCs w:val="22"/>
        </w:rPr>
        <w:t>ly</w:t>
      </w:r>
      <w:r w:rsidR="00111A70" w:rsidRPr="00F82953">
        <w:rPr>
          <w:rFonts w:ascii="Arial" w:hAnsi="Arial" w:cs="Arial"/>
          <w:kern w:val="1"/>
          <w:sz w:val="22"/>
          <w:szCs w:val="22"/>
        </w:rPr>
        <w:t xml:space="preserve"> </w:t>
      </w:r>
      <w:r w:rsidRPr="00F82953">
        <w:rPr>
          <w:rFonts w:ascii="Arial" w:hAnsi="Arial" w:cs="Arial"/>
          <w:kern w:val="1"/>
          <w:sz w:val="22"/>
          <w:szCs w:val="22"/>
        </w:rPr>
        <w:t xml:space="preserve">high test results. It should be noted that transplacental passage of both heterophile antibodies or anti-analyte autoantibodies (i.e. </w:t>
      </w:r>
      <w:proofErr w:type="spellStart"/>
      <w:r w:rsidRPr="00F82953">
        <w:rPr>
          <w:rFonts w:ascii="Arial" w:hAnsi="Arial" w:cs="Arial"/>
          <w:kern w:val="1"/>
          <w:sz w:val="22"/>
          <w:szCs w:val="22"/>
        </w:rPr>
        <w:t>TSHAb</w:t>
      </w:r>
      <w:proofErr w:type="spellEnd"/>
      <w:r w:rsidRPr="00F82953">
        <w:rPr>
          <w:rFonts w:ascii="Arial" w:hAnsi="Arial" w:cs="Arial"/>
          <w:kern w:val="1"/>
          <w:sz w:val="22"/>
          <w:szCs w:val="22"/>
        </w:rPr>
        <w:t xml:space="preserve"> or T4Ab) have the potential to interfere with neonatal screening tests (245-247,413). Patients with autoantibodies targeting both TSH and prolactin (PRL) have been described (414).</w:t>
      </w:r>
    </w:p>
    <w:p w14:paraId="1ED8F614"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0465170A" w14:textId="35482CB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B51910">
        <w:rPr>
          <w:rFonts w:ascii="Arial" w:hAnsi="Arial" w:cs="Arial"/>
          <w:kern w:val="1"/>
          <w:sz w:val="22"/>
          <w:szCs w:val="22"/>
        </w:rPr>
        <w:t xml:space="preserve">TSH Autoantibodies (Macro </w:t>
      </w:r>
      <w:r w:rsidRPr="00D25C4E">
        <w:rPr>
          <w:rFonts w:ascii="Arial" w:hAnsi="Arial" w:cs="Arial"/>
          <w:kern w:val="1"/>
          <w:sz w:val="22"/>
          <w:szCs w:val="22"/>
        </w:rPr>
        <w:t>TSH</w:t>
      </w:r>
      <w:r w:rsidRPr="00D25C4E">
        <w:rPr>
          <w:rFonts w:ascii="Arial" w:hAnsi="Arial" w:cs="Arial"/>
          <w:i/>
          <w:iCs/>
          <w:kern w:val="1"/>
          <w:sz w:val="22"/>
          <w:szCs w:val="22"/>
        </w:rPr>
        <w:t>)</w:t>
      </w:r>
      <w:r w:rsidR="00B51910" w:rsidRPr="00D25C4E">
        <w:rPr>
          <w:rFonts w:ascii="Arial" w:hAnsi="Arial" w:cs="Arial"/>
          <w:i/>
          <w:iCs/>
          <w:kern w:val="1"/>
          <w:sz w:val="22"/>
          <w:szCs w:val="22"/>
        </w:rPr>
        <w:t>.</w:t>
      </w:r>
      <w:r w:rsidRPr="00D25C4E">
        <w:rPr>
          <w:rFonts w:ascii="Arial" w:hAnsi="Arial" w:cs="Arial"/>
          <w:i/>
          <w:iCs/>
          <w:kern w:val="1"/>
          <w:sz w:val="22"/>
          <w:szCs w:val="22"/>
        </w:rPr>
        <w:t xml:space="preserve"> </w:t>
      </w:r>
      <w:r w:rsidRPr="00D25C4E">
        <w:rPr>
          <w:rFonts w:ascii="Arial" w:hAnsi="Arial" w:cs="Arial"/>
          <w:kern w:val="1"/>
          <w:sz w:val="22"/>
          <w:szCs w:val="22"/>
        </w:rPr>
        <w:t>Analytically</w:t>
      </w:r>
      <w:r w:rsidRPr="00F82953">
        <w:rPr>
          <w:rFonts w:ascii="Arial" w:hAnsi="Arial" w:cs="Arial"/>
          <w:kern w:val="1"/>
          <w:sz w:val="22"/>
          <w:szCs w:val="22"/>
        </w:rPr>
        <w:t xml:space="preserve"> suspicious TSH measurements are not uncommon (205,238,239,244,415) and have been reported in up to five percent of specimens subjected to rigorous screening (405). There have been many reports of </w:t>
      </w:r>
      <w:proofErr w:type="spellStart"/>
      <w:r w:rsidRPr="00F82953">
        <w:rPr>
          <w:rFonts w:ascii="Arial" w:hAnsi="Arial" w:cs="Arial"/>
          <w:kern w:val="1"/>
          <w:sz w:val="22"/>
          <w:szCs w:val="22"/>
        </w:rPr>
        <w:t>TSHAb</w:t>
      </w:r>
      <w:proofErr w:type="spellEnd"/>
      <w:r w:rsidRPr="00F82953">
        <w:rPr>
          <w:rFonts w:ascii="Arial" w:hAnsi="Arial" w:cs="Arial"/>
          <w:kern w:val="1"/>
          <w:sz w:val="22"/>
          <w:szCs w:val="22"/>
        </w:rPr>
        <w:t xml:space="preserve">, often referred to as "macro TSH” causing spuriously high TSH results in a range of different methods used for </w:t>
      </w:r>
      <w:r w:rsidRPr="00F82953">
        <w:rPr>
          <w:rFonts w:ascii="Arial" w:hAnsi="Arial" w:cs="Arial"/>
          <w:kern w:val="1"/>
          <w:sz w:val="22"/>
          <w:szCs w:val="22"/>
        </w:rPr>
        <w:lastRenderedPageBreak/>
        <w:t xml:space="preserve">both adult (238,416) and neonatal screening (244,415). The prevalence of </w:t>
      </w:r>
      <w:proofErr w:type="spellStart"/>
      <w:r w:rsidRPr="00F82953">
        <w:rPr>
          <w:rFonts w:ascii="Arial" w:hAnsi="Arial" w:cs="Arial"/>
          <w:kern w:val="1"/>
          <w:sz w:val="22"/>
          <w:szCs w:val="22"/>
        </w:rPr>
        <w:t>TSHAb</w:t>
      </w:r>
      <w:proofErr w:type="spellEnd"/>
      <w:r w:rsidRPr="00F82953">
        <w:rPr>
          <w:rFonts w:ascii="Arial" w:hAnsi="Arial" w:cs="Arial"/>
          <w:kern w:val="1"/>
          <w:sz w:val="22"/>
          <w:szCs w:val="22"/>
        </w:rPr>
        <w:t xml:space="preserve"> approximates 0.8 percent but can be as high as 1.6 percent in patients with subclinical hypothyroidism (238). The most convenient test for </w:t>
      </w:r>
      <w:proofErr w:type="spellStart"/>
      <w:r w:rsidRPr="00F82953">
        <w:rPr>
          <w:rFonts w:ascii="Arial" w:hAnsi="Arial" w:cs="Arial"/>
          <w:kern w:val="1"/>
          <w:sz w:val="22"/>
          <w:szCs w:val="22"/>
        </w:rPr>
        <w:t>TSHAb</w:t>
      </w:r>
      <w:proofErr w:type="spellEnd"/>
      <w:r w:rsidRPr="00F82953">
        <w:rPr>
          <w:rFonts w:ascii="Arial" w:hAnsi="Arial" w:cs="Arial"/>
          <w:kern w:val="1"/>
          <w:sz w:val="22"/>
          <w:szCs w:val="22"/>
        </w:rPr>
        <w:t xml:space="preserve"> is to show a lowering of TSH in response to a polyethylene glycol (PEG) precipitation of immunoglobulins (415-417). Alternatively, column chromatography can show TSH immunoactivity in a high molecular weight peak representing a </w:t>
      </w:r>
      <w:proofErr w:type="spellStart"/>
      <w:r w:rsidRPr="00F82953">
        <w:rPr>
          <w:rFonts w:ascii="Arial" w:hAnsi="Arial" w:cs="Arial"/>
          <w:kern w:val="1"/>
          <w:sz w:val="22"/>
          <w:szCs w:val="22"/>
        </w:rPr>
        <w:t>bioinactive</w:t>
      </w:r>
      <w:proofErr w:type="spellEnd"/>
      <w:r w:rsidRPr="00F82953">
        <w:rPr>
          <w:rFonts w:ascii="Arial" w:hAnsi="Arial" w:cs="Arial"/>
          <w:kern w:val="1"/>
          <w:sz w:val="22"/>
          <w:szCs w:val="22"/>
        </w:rPr>
        <w:t xml:space="preserve"> TSH-</w:t>
      </w:r>
      <w:proofErr w:type="spellStart"/>
      <w:r w:rsidRPr="00F82953">
        <w:rPr>
          <w:rFonts w:ascii="Arial" w:hAnsi="Arial" w:cs="Arial"/>
          <w:kern w:val="1"/>
          <w:sz w:val="22"/>
          <w:szCs w:val="22"/>
        </w:rPr>
        <w:t>immunglobulin</w:t>
      </w:r>
      <w:proofErr w:type="spellEnd"/>
      <w:r w:rsidRPr="00F82953">
        <w:rPr>
          <w:rFonts w:ascii="Arial" w:hAnsi="Arial" w:cs="Arial"/>
          <w:kern w:val="1"/>
          <w:sz w:val="22"/>
          <w:szCs w:val="22"/>
        </w:rPr>
        <w:t xml:space="preserve"> complex (415,416).</w:t>
      </w:r>
    </w:p>
    <w:p w14:paraId="35318FD5" w14:textId="77777777" w:rsidR="005C4829" w:rsidRPr="00F82953" w:rsidRDefault="005C4829" w:rsidP="00F82953">
      <w:pPr>
        <w:autoSpaceDE w:val="0"/>
        <w:autoSpaceDN w:val="0"/>
        <w:adjustRightInd w:val="0"/>
        <w:spacing w:after="0" w:line="276" w:lineRule="auto"/>
        <w:rPr>
          <w:rFonts w:ascii="Arial" w:hAnsi="Arial" w:cs="Arial"/>
          <w:i/>
          <w:iCs/>
          <w:kern w:val="1"/>
          <w:sz w:val="22"/>
          <w:szCs w:val="22"/>
        </w:rPr>
      </w:pPr>
    </w:p>
    <w:p w14:paraId="4967B6DE" w14:textId="3995BD34"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B51910">
        <w:rPr>
          <w:rFonts w:ascii="Arial" w:hAnsi="Arial" w:cs="Arial"/>
          <w:kern w:val="1"/>
          <w:sz w:val="22"/>
          <w:szCs w:val="22"/>
        </w:rPr>
        <w:t>TSH Variants.</w:t>
      </w:r>
      <w:r w:rsidRPr="00F82953">
        <w:rPr>
          <w:rFonts w:ascii="Arial" w:hAnsi="Arial" w:cs="Arial"/>
          <w:i/>
          <w:iCs/>
          <w:kern w:val="1"/>
          <w:sz w:val="22"/>
          <w:szCs w:val="22"/>
        </w:rPr>
        <w:t xml:space="preserve"> </w:t>
      </w:r>
      <w:r w:rsidRPr="00F82953">
        <w:rPr>
          <w:rFonts w:ascii="Arial" w:hAnsi="Arial" w:cs="Arial"/>
          <w:kern w:val="1"/>
          <w:sz w:val="22"/>
          <w:szCs w:val="22"/>
        </w:rPr>
        <w:t xml:space="preserve">TSH variants are a rare cause of interference (403). Nine different TSH beta variants have been identified to date (286). These mutant TSH molecules may have altered immunoactivity and be detected by some TSH IMA methods but not others (403). The bioactivity of these TSH mutants is variable and can range from normal to bio-inert (286,403), resulting in discordances between the TSH concentration and clinical status (403) and/or a discordant TSH/FT4 relationship (286). These TSH genetic variants are one of the causes of central congenital hypothyroidism (418,419). </w:t>
      </w:r>
    </w:p>
    <w:p w14:paraId="2ADF5058"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7E9F10C" w14:textId="7B894A01" w:rsidR="005C4829" w:rsidRPr="00DB68B6" w:rsidRDefault="005C4829" w:rsidP="00F82953">
      <w:pPr>
        <w:autoSpaceDE w:val="0"/>
        <w:autoSpaceDN w:val="0"/>
        <w:adjustRightInd w:val="0"/>
        <w:spacing w:after="0" w:line="276" w:lineRule="auto"/>
        <w:rPr>
          <w:rFonts w:ascii="Arial" w:hAnsi="Arial" w:cs="Arial"/>
          <w:b/>
          <w:bCs/>
          <w:color w:val="0070C0"/>
          <w:kern w:val="1"/>
          <w:sz w:val="22"/>
          <w:szCs w:val="22"/>
        </w:rPr>
      </w:pPr>
      <w:r w:rsidRPr="00DB68B6">
        <w:rPr>
          <w:rFonts w:ascii="Arial" w:hAnsi="Arial" w:cs="Arial"/>
          <w:b/>
          <w:bCs/>
          <w:color w:val="0070C0"/>
          <w:kern w:val="1"/>
          <w:sz w:val="22"/>
          <w:szCs w:val="22"/>
        </w:rPr>
        <w:t>T</w:t>
      </w:r>
      <w:r w:rsidR="00DB68B6" w:rsidRPr="00DB68B6">
        <w:rPr>
          <w:rFonts w:ascii="Arial" w:hAnsi="Arial" w:cs="Arial"/>
          <w:b/>
          <w:bCs/>
          <w:color w:val="0070C0"/>
          <w:kern w:val="1"/>
          <w:sz w:val="22"/>
          <w:szCs w:val="22"/>
        </w:rPr>
        <w:t xml:space="preserve">HYROID SPECIFIC AUTOANTIBODIES </w:t>
      </w:r>
      <w:r w:rsidRPr="00DB68B6">
        <w:rPr>
          <w:rFonts w:ascii="Arial" w:hAnsi="Arial" w:cs="Arial"/>
          <w:b/>
          <w:bCs/>
          <w:color w:val="0070C0"/>
          <w:kern w:val="1"/>
          <w:sz w:val="22"/>
          <w:szCs w:val="22"/>
        </w:rPr>
        <w:t xml:space="preserve">(TRAb, </w:t>
      </w:r>
      <w:proofErr w:type="spellStart"/>
      <w:r w:rsidRPr="00DB68B6">
        <w:rPr>
          <w:rFonts w:ascii="Arial" w:hAnsi="Arial" w:cs="Arial"/>
          <w:b/>
          <w:bCs/>
          <w:color w:val="0070C0"/>
          <w:kern w:val="1"/>
          <w:sz w:val="22"/>
          <w:szCs w:val="22"/>
        </w:rPr>
        <w:t>TPOAb</w:t>
      </w:r>
      <w:proofErr w:type="spellEnd"/>
      <w:r w:rsidRPr="00DB68B6">
        <w:rPr>
          <w:rFonts w:ascii="Arial" w:hAnsi="Arial" w:cs="Arial"/>
          <w:b/>
          <w:bCs/>
          <w:color w:val="0070C0"/>
          <w:kern w:val="1"/>
          <w:sz w:val="22"/>
          <w:szCs w:val="22"/>
        </w:rPr>
        <w:t xml:space="preserve"> and </w:t>
      </w:r>
      <w:proofErr w:type="spellStart"/>
      <w:r w:rsidRPr="00DB68B6">
        <w:rPr>
          <w:rFonts w:ascii="Arial" w:hAnsi="Arial" w:cs="Arial"/>
          <w:b/>
          <w:bCs/>
          <w:color w:val="0070C0"/>
          <w:kern w:val="1"/>
          <w:sz w:val="22"/>
          <w:szCs w:val="22"/>
        </w:rPr>
        <w:t>TgAb</w:t>
      </w:r>
      <w:proofErr w:type="spellEnd"/>
      <w:r w:rsidRPr="00DB68B6">
        <w:rPr>
          <w:rFonts w:ascii="Arial" w:hAnsi="Arial" w:cs="Arial"/>
          <w:b/>
          <w:bCs/>
          <w:color w:val="0070C0"/>
          <w:kern w:val="1"/>
          <w:sz w:val="22"/>
          <w:szCs w:val="22"/>
        </w:rPr>
        <w:t>)</w:t>
      </w:r>
    </w:p>
    <w:p w14:paraId="5489EC88"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A4402EF" w14:textId="06416B9F"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Tests for antibodies targeting thyroid-specific antigens such as thyroid peroxidase (TPO), thyroglobulin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and TSH receptors (TSHR) are used as markers for autoimmune thyroid conditions (420-422). Over the last four decades, thyroid antibody test methodologies have evolved from semi-quantitative agglutination, complement fixation techniques and whole animal bioassays to specific ligand assays using recombinant antigens or cell culture systems transfected with the human TSH receptor (20,420). Unfortunately, the diagnostic and prognostic value of these tests has been hampered by methodologic differences as well as difficulties with assay standardization (423,424). Although most thyroid autoantibody testing is currently made on automated immunoassay platforms, methods vary in sensitivity, specificity</w:t>
      </w:r>
      <w:r w:rsidR="00D14BB8">
        <w:rPr>
          <w:rFonts w:ascii="Arial" w:hAnsi="Arial" w:cs="Arial"/>
          <w:kern w:val="1"/>
          <w:sz w:val="22"/>
          <w:szCs w:val="22"/>
        </w:rPr>
        <w:t>,</w:t>
      </w:r>
      <w:r w:rsidRPr="00F82953">
        <w:rPr>
          <w:rFonts w:ascii="Arial" w:hAnsi="Arial" w:cs="Arial"/>
          <w:kern w:val="1"/>
          <w:sz w:val="22"/>
          <w:szCs w:val="22"/>
        </w:rPr>
        <w:t xml:space="preserve"> and the numeric values they report because of standardization issues (45,377,425).  Thyroid autoantibody testing can be useful for diagnosing or monitoring treatment for several clinical conditions, although these tests should be selectively employed as adjunctive tests to other diagnostic testing procedures.</w:t>
      </w:r>
    </w:p>
    <w:p w14:paraId="2E316963"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2182777" w14:textId="47782DC0" w:rsidR="005C4829" w:rsidRPr="00DB68B6" w:rsidRDefault="005C4829" w:rsidP="00F82953">
      <w:pPr>
        <w:autoSpaceDE w:val="0"/>
        <w:autoSpaceDN w:val="0"/>
        <w:adjustRightInd w:val="0"/>
        <w:spacing w:after="0" w:line="276" w:lineRule="auto"/>
        <w:rPr>
          <w:rFonts w:ascii="Arial" w:hAnsi="Arial" w:cs="Arial"/>
          <w:color w:val="00B050"/>
          <w:kern w:val="1"/>
          <w:sz w:val="22"/>
          <w:szCs w:val="22"/>
        </w:rPr>
      </w:pPr>
      <w:r w:rsidRPr="00DB68B6">
        <w:rPr>
          <w:rFonts w:ascii="Arial" w:hAnsi="Arial" w:cs="Arial"/>
          <w:b/>
          <w:bCs/>
          <w:color w:val="00B050"/>
          <w:kern w:val="1"/>
          <w:sz w:val="22"/>
          <w:szCs w:val="22"/>
        </w:rPr>
        <w:t>TSH Receptor Autoantibodies (TRAb)</w:t>
      </w:r>
    </w:p>
    <w:p w14:paraId="13AEBFB3"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1FCE3B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TSH receptor (TSHR) serves as a major autoantigen (19,422,426-428). Thyroid gland stimulation occurs when TSH binds to the TSHR on thyrocyte plasma membranes and activates the cAMP and phospholipase C signaling pathways (427). The TSH receptor belongs to the G protein-coupled class of transmembrane receptors. It undergoes complex posttranslational processing in which the ectodomain of the receptor is cleaved to release a subunit into the circulation (426). The TSH-like thyroid stimulator found uniquely in the serum of Graves’ disease patients was first described using a guinea pig bioassay system in 1956 (429). Later, a mouse thyroid bioassay system was used to show this serum factor displayed a prolonged stimulatory effect as compared to TSH and hence was termed to be a “long-acting thyroid stimulator” or LATS (430,431). Much later, the LATS factor was recognized not to be a TSH-like protein but an antibody capable of stimulating the TSH receptor that was the cause of Graves’ hyperthyroidism </w:t>
      </w:r>
      <w:r w:rsidRPr="00F82953">
        <w:rPr>
          <w:rFonts w:ascii="Arial" w:hAnsi="Arial" w:cs="Arial"/>
          <w:kern w:val="1"/>
          <w:sz w:val="22"/>
          <w:szCs w:val="22"/>
        </w:rPr>
        <w:lastRenderedPageBreak/>
        <w:t xml:space="preserve">(432). TSH receptor antibodies (TRAb) have also become implicated in the pathogenesis of Graves’ ophthalmopathy (432-436). </w:t>
      </w:r>
      <w:proofErr w:type="spellStart"/>
      <w:r w:rsidRPr="00F82953">
        <w:rPr>
          <w:rFonts w:ascii="Arial" w:hAnsi="Arial" w:cs="Arial"/>
          <w:kern w:val="1"/>
          <w:sz w:val="22"/>
          <w:szCs w:val="22"/>
        </w:rPr>
        <w:t>TRAbs</w:t>
      </w:r>
      <w:proofErr w:type="spellEnd"/>
      <w:r w:rsidRPr="00F82953">
        <w:rPr>
          <w:rFonts w:ascii="Arial" w:hAnsi="Arial" w:cs="Arial"/>
          <w:kern w:val="1"/>
          <w:sz w:val="22"/>
          <w:szCs w:val="22"/>
        </w:rPr>
        <w:t xml:space="preserve"> are heterogeneous (polyclonal) and fall into two general classes both of which can be associated with autoimmune thyroid disorders – (a) thyroid stimulating autoantibodies (</w:t>
      </w:r>
      <w:proofErr w:type="spellStart"/>
      <w:r w:rsidRPr="00F82953">
        <w:rPr>
          <w:rFonts w:ascii="Arial" w:hAnsi="Arial" w:cs="Arial"/>
          <w:kern w:val="1"/>
          <w:sz w:val="22"/>
          <w:szCs w:val="22"/>
        </w:rPr>
        <w:t>TSAb</w:t>
      </w:r>
      <w:proofErr w:type="spellEnd"/>
      <w:r w:rsidRPr="00F82953">
        <w:rPr>
          <w:rFonts w:ascii="Arial" w:hAnsi="Arial" w:cs="Arial"/>
          <w:kern w:val="1"/>
          <w:sz w:val="22"/>
          <w:szCs w:val="22"/>
        </w:rPr>
        <w:t>) that mimic the actions of TSH and cause Graves’ hyperthyroidism and (b), blocking antibodies (</w:t>
      </w:r>
      <w:proofErr w:type="spellStart"/>
      <w:r w:rsidRPr="00F82953">
        <w:rPr>
          <w:rFonts w:ascii="Arial" w:hAnsi="Arial" w:cs="Arial"/>
          <w:kern w:val="1"/>
          <w:sz w:val="22"/>
          <w:szCs w:val="22"/>
        </w:rPr>
        <w:t>TBAb</w:t>
      </w:r>
      <w:proofErr w:type="spellEnd"/>
      <w:r w:rsidRPr="00F82953">
        <w:rPr>
          <w:rFonts w:ascii="Arial" w:hAnsi="Arial" w:cs="Arial"/>
          <w:kern w:val="1"/>
          <w:sz w:val="22"/>
          <w:szCs w:val="22"/>
        </w:rPr>
        <w:t xml:space="preserve">) that block TSH binding to its receptor and can cause hypothyroidism (19,20,420,427,432,437-440). TSH, </w:t>
      </w:r>
      <w:proofErr w:type="spellStart"/>
      <w:r w:rsidRPr="00F82953">
        <w:rPr>
          <w:rFonts w:ascii="Arial" w:hAnsi="Arial" w:cs="Arial"/>
          <w:kern w:val="1"/>
          <w:sz w:val="22"/>
          <w:szCs w:val="22"/>
        </w:rPr>
        <w:t>TSAb</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TBAb</w:t>
      </w:r>
      <w:proofErr w:type="spellEnd"/>
      <w:r w:rsidRPr="00F82953">
        <w:rPr>
          <w:rFonts w:ascii="Arial" w:hAnsi="Arial" w:cs="Arial"/>
          <w:kern w:val="1"/>
          <w:sz w:val="22"/>
          <w:szCs w:val="22"/>
        </w:rPr>
        <w:t xml:space="preserve"> appear to bind to different sites on the TSH receptor ectoderm with similar affinities and often overlapping epitope specificities (441). In some cases of Graves’ hyperthyroidism, </w:t>
      </w:r>
      <w:proofErr w:type="spellStart"/>
      <w:r w:rsidRPr="00F82953">
        <w:rPr>
          <w:rFonts w:ascii="Arial" w:hAnsi="Arial" w:cs="Arial"/>
          <w:kern w:val="1"/>
          <w:sz w:val="22"/>
          <w:szCs w:val="22"/>
        </w:rPr>
        <w:t>TBAb</w:t>
      </w:r>
      <w:proofErr w:type="spellEnd"/>
      <w:r w:rsidRPr="00F82953">
        <w:rPr>
          <w:rFonts w:ascii="Arial" w:hAnsi="Arial" w:cs="Arial"/>
          <w:kern w:val="1"/>
          <w:sz w:val="22"/>
          <w:szCs w:val="22"/>
        </w:rPr>
        <w:t xml:space="preserve"> have been detected in association with </w:t>
      </w:r>
      <w:proofErr w:type="spellStart"/>
      <w:r w:rsidRPr="00F82953">
        <w:rPr>
          <w:rFonts w:ascii="Arial" w:hAnsi="Arial" w:cs="Arial"/>
          <w:kern w:val="1"/>
          <w:sz w:val="22"/>
          <w:szCs w:val="22"/>
        </w:rPr>
        <w:t>TSAb</w:t>
      </w:r>
      <w:proofErr w:type="spellEnd"/>
      <w:r w:rsidRPr="00F82953">
        <w:rPr>
          <w:rFonts w:ascii="Arial" w:hAnsi="Arial" w:cs="Arial"/>
          <w:kern w:val="1"/>
          <w:sz w:val="22"/>
          <w:szCs w:val="22"/>
        </w:rPr>
        <w:t xml:space="preserve"> (442,443) and the dominance of one over the other can change over time in response to treatment (444,445). Because both </w:t>
      </w:r>
      <w:proofErr w:type="spellStart"/>
      <w:r w:rsidRPr="00F82953">
        <w:rPr>
          <w:rFonts w:ascii="Arial" w:hAnsi="Arial" w:cs="Arial"/>
          <w:kern w:val="1"/>
          <w:sz w:val="22"/>
          <w:szCs w:val="22"/>
        </w:rPr>
        <w:t>TSAb</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TBAb</w:t>
      </w:r>
      <w:proofErr w:type="spellEnd"/>
      <w:r w:rsidRPr="00F82953">
        <w:rPr>
          <w:rFonts w:ascii="Arial" w:hAnsi="Arial" w:cs="Arial"/>
          <w:kern w:val="1"/>
          <w:sz w:val="22"/>
          <w:szCs w:val="22"/>
        </w:rPr>
        <w:t xml:space="preserve"> can be present in the same patient, the relative concentrations and receptor binding characteristics of these two classes of TRAb can influence the severity of Graves’ hyperthyroidism and the response to antithyroid drug therapy or pregnancy (426,442,446-448). For completeness, it should also be mentioned that a third class of “neutral” TRAb has also been described, of which the functional significance has yet to be determined (432,438,448,449). </w:t>
      </w:r>
    </w:p>
    <w:p w14:paraId="4DB9757E"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5EDD4694"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Two different methodologic approaches have been used to quantify TSH receptor antibodies (425,437,450,451): (a) TSH receptor antibody tests (TRAb assays) also called TSH Binding Inhibition Immunoglobulin (TBII) assays, and (b) Bioassays that use whole cells transfected with human or chimeric TSH receptors that produce a biologic response (cAMP or bioreporter gene) when </w:t>
      </w:r>
      <w:proofErr w:type="spellStart"/>
      <w:r w:rsidRPr="00F82953">
        <w:rPr>
          <w:rFonts w:ascii="Arial" w:hAnsi="Arial" w:cs="Arial"/>
          <w:kern w:val="1"/>
          <w:sz w:val="22"/>
          <w:szCs w:val="22"/>
        </w:rPr>
        <w:t>TSAb</w:t>
      </w:r>
      <w:proofErr w:type="spellEnd"/>
      <w:r w:rsidRPr="00F82953">
        <w:rPr>
          <w:rFonts w:ascii="Arial" w:hAnsi="Arial" w:cs="Arial"/>
          <w:kern w:val="1"/>
          <w:sz w:val="22"/>
          <w:szCs w:val="22"/>
        </w:rPr>
        <w:t xml:space="preserve"> or </w:t>
      </w:r>
      <w:proofErr w:type="spellStart"/>
      <w:r w:rsidRPr="00F82953">
        <w:rPr>
          <w:rFonts w:ascii="Arial" w:hAnsi="Arial" w:cs="Arial"/>
          <w:kern w:val="1"/>
          <w:sz w:val="22"/>
          <w:szCs w:val="22"/>
        </w:rPr>
        <w:t>TBAb</w:t>
      </w:r>
      <w:proofErr w:type="spellEnd"/>
      <w:r w:rsidRPr="00F82953">
        <w:rPr>
          <w:rFonts w:ascii="Arial" w:hAnsi="Arial" w:cs="Arial"/>
          <w:kern w:val="1"/>
          <w:sz w:val="22"/>
          <w:szCs w:val="22"/>
        </w:rPr>
        <w:t xml:space="preserve"> are present in a serum specimen. In recent years automated immunometric assays using recombinant human TSHR constructs have been shown to have high sensitivity for reporting positive results in Graves' disease sera (18,425). However, assay sensitivity varies among current receptor versus bioassay methods (452).</w:t>
      </w:r>
    </w:p>
    <w:p w14:paraId="69E97381"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DE64160" w14:textId="216691B6" w:rsidR="004B2426" w:rsidRPr="00E51784" w:rsidRDefault="005C4829" w:rsidP="00E51784">
      <w:pPr>
        <w:pStyle w:val="ListParagraph"/>
        <w:autoSpaceDE w:val="0"/>
        <w:autoSpaceDN w:val="0"/>
        <w:adjustRightInd w:val="0"/>
        <w:spacing w:after="0" w:line="276" w:lineRule="auto"/>
        <w:ind w:left="0"/>
        <w:rPr>
          <w:rFonts w:ascii="Arial" w:hAnsi="Arial" w:cs="Arial"/>
          <w:color w:val="FF0000"/>
          <w:kern w:val="1"/>
          <w:sz w:val="22"/>
          <w:szCs w:val="22"/>
        </w:rPr>
      </w:pPr>
      <w:r w:rsidRPr="00E51784">
        <w:rPr>
          <w:rFonts w:ascii="Arial" w:hAnsi="Arial" w:cs="Arial"/>
          <w:color w:val="FF0000"/>
          <w:kern w:val="1"/>
          <w:sz w:val="22"/>
          <w:szCs w:val="22"/>
        </w:rPr>
        <w:t>TSH R</w:t>
      </w:r>
      <w:r w:rsidR="00E51784" w:rsidRPr="00E51784">
        <w:rPr>
          <w:rFonts w:ascii="Arial" w:hAnsi="Arial" w:cs="Arial"/>
          <w:color w:val="FF0000"/>
          <w:kern w:val="1"/>
          <w:sz w:val="22"/>
          <w:szCs w:val="22"/>
        </w:rPr>
        <w:t xml:space="preserve">ECEPTOR </w:t>
      </w:r>
      <w:r w:rsidRPr="00E51784">
        <w:rPr>
          <w:rFonts w:ascii="Arial" w:hAnsi="Arial" w:cs="Arial"/>
          <w:color w:val="FF0000"/>
          <w:kern w:val="1"/>
          <w:sz w:val="22"/>
          <w:szCs w:val="22"/>
        </w:rPr>
        <w:t>(TRAb)/TSH B</w:t>
      </w:r>
      <w:r w:rsidR="00E51784" w:rsidRPr="00E51784">
        <w:rPr>
          <w:rFonts w:ascii="Arial" w:hAnsi="Arial" w:cs="Arial"/>
          <w:color w:val="FF0000"/>
          <w:kern w:val="1"/>
          <w:sz w:val="22"/>
          <w:szCs w:val="22"/>
        </w:rPr>
        <w:t xml:space="preserve">INDING INHIBITORY IMMUNOGLOBULIN </w:t>
      </w:r>
      <w:r w:rsidRPr="00E51784">
        <w:rPr>
          <w:rFonts w:ascii="Arial" w:hAnsi="Arial" w:cs="Arial"/>
          <w:color w:val="FF0000"/>
          <w:kern w:val="1"/>
          <w:sz w:val="22"/>
          <w:szCs w:val="22"/>
        </w:rPr>
        <w:t xml:space="preserve">(TBII) </w:t>
      </w:r>
    </w:p>
    <w:p w14:paraId="0ABDB52D" w14:textId="77777777" w:rsidR="00E51784" w:rsidRDefault="00E51784" w:rsidP="00E51784">
      <w:pPr>
        <w:autoSpaceDE w:val="0"/>
        <w:autoSpaceDN w:val="0"/>
        <w:adjustRightInd w:val="0"/>
        <w:spacing w:after="0" w:line="276" w:lineRule="auto"/>
        <w:rPr>
          <w:rFonts w:ascii="Arial" w:hAnsi="Arial" w:cs="Arial"/>
          <w:kern w:val="1"/>
          <w:sz w:val="22"/>
          <w:szCs w:val="22"/>
        </w:rPr>
      </w:pPr>
    </w:p>
    <w:p w14:paraId="2205D9F4" w14:textId="5C8EC264" w:rsidR="005C4829" w:rsidRDefault="005C4829" w:rsidP="00E51784">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TRAb methods detect serum immunoglobulins that bind TSHR but do not functionally discriminate stimulating from blocking antibodies (453). TRAb methods are based on standard competitive or noncompetitive principles. The first generation of methods were liquid-based whereby immunoglobulins in the serum inhibited the binding of </w:t>
      </w:r>
      <w:r w:rsidRPr="00F82953">
        <w:rPr>
          <w:rFonts w:ascii="Arial" w:hAnsi="Arial" w:cs="Arial"/>
          <w:kern w:val="1"/>
          <w:sz w:val="22"/>
          <w:szCs w:val="22"/>
          <w:vertAlign w:val="superscript"/>
        </w:rPr>
        <w:t>125</w:t>
      </w:r>
      <w:r w:rsidRPr="00F82953">
        <w:rPr>
          <w:rFonts w:ascii="Arial" w:hAnsi="Arial" w:cs="Arial"/>
          <w:kern w:val="1"/>
          <w:sz w:val="22"/>
          <w:szCs w:val="22"/>
        </w:rPr>
        <w:t>I-labeled TSH or enzyme-labeled TSH to a TSH receptor preparation (451). These methods used TSH receptors of human, guinea pig</w:t>
      </w:r>
      <w:r w:rsidR="0095625D">
        <w:rPr>
          <w:rFonts w:ascii="Arial" w:hAnsi="Arial" w:cs="Arial"/>
          <w:kern w:val="1"/>
          <w:sz w:val="22"/>
          <w:szCs w:val="22"/>
        </w:rPr>
        <w:t>,</w:t>
      </w:r>
      <w:r w:rsidRPr="00F82953">
        <w:rPr>
          <w:rFonts w:ascii="Arial" w:hAnsi="Arial" w:cs="Arial"/>
          <w:kern w:val="1"/>
          <w:sz w:val="22"/>
          <w:szCs w:val="22"/>
        </w:rPr>
        <w:t xml:space="preserve"> or porcine origin (454). After 1990, a second generation of both isotopic and non-isotopic methods were developed that used and immobilized porcine or recombinant human TSH receptors (451,455). These second</w:t>
      </w:r>
      <w:r w:rsidR="004B2426" w:rsidRPr="00F82953">
        <w:rPr>
          <w:rFonts w:ascii="Arial" w:hAnsi="Arial" w:cs="Arial"/>
          <w:kern w:val="1"/>
          <w:sz w:val="22"/>
          <w:szCs w:val="22"/>
        </w:rPr>
        <w:t>-</w:t>
      </w:r>
      <w:r w:rsidRPr="00F82953">
        <w:rPr>
          <w:rFonts w:ascii="Arial" w:hAnsi="Arial" w:cs="Arial"/>
          <w:kern w:val="1"/>
          <w:sz w:val="22"/>
          <w:szCs w:val="22"/>
        </w:rPr>
        <w:t xml:space="preserve">generation methods were shown to have significantly more sensitivity for detecting Graves' thyroid stimulating immunoglobulins than first generation tests (425). In 2003 a third generation of non-isotopic methods were developed that were based on serum immunoglobulins competing for immobilized TSHR preparation (recombinant human or porcine TSHR) with a monoclonal antibody (M22) (420,425,451,455-457). Third generation assays have also shown a good correlation and comparable overall diagnostic sensitivity with bioassay methods (425,442,458). Current third generation TRAb tests have now been automated on several immunoassay platforms (425). However, between-method variability remains high and between assay precision is often suboptimal (CVs &gt; 10 %) despite calibration using the same International Reference Preparation (08/204) (423,459). This </w:t>
      </w:r>
      <w:r w:rsidRPr="00F82953">
        <w:rPr>
          <w:rFonts w:ascii="Arial" w:hAnsi="Arial" w:cs="Arial"/>
          <w:kern w:val="1"/>
          <w:sz w:val="22"/>
          <w:szCs w:val="22"/>
        </w:rPr>
        <w:lastRenderedPageBreak/>
        <w:t xml:space="preserve">fact makes it difficult to compare values using different methods and indicates that further efforts focused on additional assay improvements are needed (420,423,455). </w:t>
      </w:r>
    </w:p>
    <w:p w14:paraId="1D349607" w14:textId="77777777" w:rsidR="0063443C" w:rsidRPr="00F82953" w:rsidRDefault="0063443C" w:rsidP="00E51784">
      <w:pPr>
        <w:autoSpaceDE w:val="0"/>
        <w:autoSpaceDN w:val="0"/>
        <w:adjustRightInd w:val="0"/>
        <w:spacing w:after="0" w:line="276" w:lineRule="auto"/>
        <w:rPr>
          <w:rFonts w:ascii="Arial" w:hAnsi="Arial" w:cs="Arial"/>
          <w:kern w:val="1"/>
          <w:sz w:val="22"/>
          <w:szCs w:val="22"/>
        </w:rPr>
      </w:pPr>
    </w:p>
    <w:p w14:paraId="558720E8" w14:textId="056C4045"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Over the last ten years automated IMA methods have dramatically lowered the cost and increased the availability of TRAb testing (18,428,452). Automated TRAb IMAs are not functional tests and do not distinguish between stimulating and blocking </w:t>
      </w:r>
      <w:proofErr w:type="spellStart"/>
      <w:r w:rsidRPr="00F82953">
        <w:rPr>
          <w:rFonts w:ascii="Arial" w:hAnsi="Arial" w:cs="Arial"/>
          <w:kern w:val="1"/>
          <w:sz w:val="22"/>
          <w:szCs w:val="22"/>
        </w:rPr>
        <w:t>TRAbs</w:t>
      </w:r>
      <w:proofErr w:type="spellEnd"/>
      <w:r w:rsidRPr="00F82953">
        <w:rPr>
          <w:rFonts w:ascii="Arial" w:hAnsi="Arial" w:cs="Arial"/>
          <w:kern w:val="1"/>
          <w:sz w:val="22"/>
          <w:szCs w:val="22"/>
        </w:rPr>
        <w:t xml:space="preserve"> (455), however, this distinction is usually unnecessary, since it is evident from clinical evidence of hyper- or hypothyroid features. Also, both TSHR stimulating and blocking antibodies may be detected simultaneously in the same patient and cause diagnostic confusion (460). Because the sensitivity and specificity of current third generation TRAb tests is over 98 percent, TRAb testing can be useful for determining the etiology of hyperthyroidism (425,428), as an independent risk factor for Graves’ ophthalmopathy (435,436,440)</w:t>
      </w:r>
      <w:r w:rsidR="0063443C">
        <w:rPr>
          <w:rFonts w:ascii="Arial" w:hAnsi="Arial" w:cs="Arial"/>
          <w:kern w:val="1"/>
          <w:sz w:val="22"/>
          <w:szCs w:val="22"/>
        </w:rPr>
        <w:t>,</w:t>
      </w:r>
      <w:r w:rsidRPr="00F82953">
        <w:rPr>
          <w:rFonts w:ascii="Arial" w:hAnsi="Arial" w:cs="Arial"/>
          <w:kern w:val="1"/>
          <w:sz w:val="22"/>
          <w:szCs w:val="22"/>
        </w:rPr>
        <w:t xml:space="preserve"> and may be useful for monitoring responses to therapy (76,425). TRAb measured prior to radioiodine therapy for Graves' hyperthyroidism can also help predict the risk for exacerbating ophthalmopathy (433,436,461). There is conflicting data concerning the value of using TRAb to predict the response to antithyroid drug treatment or the risk of relapse (443,458,462,463). An important application of TRAb testing is to detect high TRAb concentrations in pregnant patients with a history of autoimmune thyroid disease or active or previously treated Graves’ hyperthyroidism, in whom transplacental passage of stimulating or blocking TRAb can cause neonatal hyper- or hypothyroidism, respectively (76,352,425,437,451,464-466). Because the expression of thyroid dysfunction may be different in the mother and infant, automated IMA methods have the advantage of being able to detect both stimulating and blocking antibodies (467). It is currently recommended that TRAb be measured in the first trimester in all pregnant patients with active Graves’ hyperthyroidism or who have received prior ablative (radioiodine or surgery) therapy for Graves’ disease in whom TRAb can remain high even after patients have been rendered hypothyroid and are being maintained on L-T4 replacement therapy (47,48). When TRAb is high in the first trimester additional TRAb testing is recommended at 18-22 and 30-34 weeks (47,48,76,420,442,468).</w:t>
      </w:r>
    </w:p>
    <w:p w14:paraId="3C06581F"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AC23764" w14:textId="5DEAC44D" w:rsidR="004B2426" w:rsidRPr="00C25A2E" w:rsidRDefault="005C4829" w:rsidP="00E51784">
      <w:pPr>
        <w:pStyle w:val="ListParagraph"/>
        <w:autoSpaceDE w:val="0"/>
        <w:autoSpaceDN w:val="0"/>
        <w:adjustRightInd w:val="0"/>
        <w:spacing w:after="0" w:line="276" w:lineRule="auto"/>
        <w:ind w:left="0"/>
        <w:rPr>
          <w:rFonts w:ascii="Arial" w:hAnsi="Arial" w:cs="Arial"/>
          <w:color w:val="FF0000"/>
          <w:kern w:val="1"/>
          <w:sz w:val="22"/>
          <w:szCs w:val="22"/>
        </w:rPr>
      </w:pPr>
      <w:r w:rsidRPr="00C25A2E">
        <w:rPr>
          <w:rFonts w:ascii="Arial" w:hAnsi="Arial" w:cs="Arial"/>
          <w:color w:val="FF0000"/>
          <w:kern w:val="1"/>
          <w:sz w:val="22"/>
          <w:szCs w:val="22"/>
        </w:rPr>
        <w:t>B</w:t>
      </w:r>
      <w:r w:rsidR="00E51784" w:rsidRPr="00C25A2E">
        <w:rPr>
          <w:rFonts w:ascii="Arial" w:hAnsi="Arial" w:cs="Arial"/>
          <w:color w:val="FF0000"/>
          <w:kern w:val="1"/>
          <w:sz w:val="22"/>
          <w:szCs w:val="22"/>
        </w:rPr>
        <w:t xml:space="preserve">IOASSAY METHODS </w:t>
      </w:r>
      <w:r w:rsidRPr="00C25A2E">
        <w:rPr>
          <w:rFonts w:ascii="Arial" w:hAnsi="Arial" w:cs="Arial"/>
          <w:color w:val="FF0000"/>
          <w:kern w:val="1"/>
          <w:sz w:val="22"/>
          <w:szCs w:val="22"/>
        </w:rPr>
        <w:t>(</w:t>
      </w:r>
      <w:proofErr w:type="spellStart"/>
      <w:r w:rsidRPr="00C25A2E">
        <w:rPr>
          <w:rFonts w:ascii="Arial" w:hAnsi="Arial" w:cs="Arial"/>
          <w:color w:val="FF0000"/>
          <w:kern w:val="1"/>
          <w:sz w:val="22"/>
          <w:szCs w:val="22"/>
        </w:rPr>
        <w:t>TSAb</w:t>
      </w:r>
      <w:proofErr w:type="spellEnd"/>
      <w:r w:rsidRPr="00C25A2E">
        <w:rPr>
          <w:rFonts w:ascii="Arial" w:hAnsi="Arial" w:cs="Arial"/>
          <w:color w:val="FF0000"/>
          <w:kern w:val="1"/>
          <w:sz w:val="22"/>
          <w:szCs w:val="22"/>
        </w:rPr>
        <w:t>/</w:t>
      </w:r>
      <w:proofErr w:type="spellStart"/>
      <w:r w:rsidRPr="00C25A2E">
        <w:rPr>
          <w:rFonts w:ascii="Arial" w:hAnsi="Arial" w:cs="Arial"/>
          <w:color w:val="FF0000"/>
          <w:kern w:val="1"/>
          <w:sz w:val="22"/>
          <w:szCs w:val="22"/>
        </w:rPr>
        <w:t>TBAb</w:t>
      </w:r>
      <w:proofErr w:type="spellEnd"/>
      <w:r w:rsidRPr="00C25A2E">
        <w:rPr>
          <w:rFonts w:ascii="Arial" w:hAnsi="Arial" w:cs="Arial"/>
          <w:color w:val="FF0000"/>
          <w:kern w:val="1"/>
          <w:sz w:val="22"/>
          <w:szCs w:val="22"/>
        </w:rPr>
        <w:t>)</w:t>
      </w:r>
    </w:p>
    <w:p w14:paraId="17E1E433" w14:textId="77777777" w:rsidR="00E51784" w:rsidRDefault="00E51784" w:rsidP="00E51784">
      <w:pPr>
        <w:autoSpaceDE w:val="0"/>
        <w:autoSpaceDN w:val="0"/>
        <w:adjustRightInd w:val="0"/>
        <w:spacing w:after="0" w:line="276" w:lineRule="auto"/>
        <w:rPr>
          <w:rFonts w:ascii="Arial" w:hAnsi="Arial" w:cs="Arial"/>
          <w:kern w:val="1"/>
          <w:sz w:val="22"/>
          <w:szCs w:val="22"/>
        </w:rPr>
      </w:pPr>
    </w:p>
    <w:p w14:paraId="002ABE47" w14:textId="49658639" w:rsidR="005C4829" w:rsidRPr="00F82953" w:rsidRDefault="005C4829" w:rsidP="00E51784">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The first TSH receptor assays used surgical human thyroid specimens, mouse</w:t>
      </w:r>
      <w:r w:rsidR="00E71794">
        <w:rPr>
          <w:rFonts w:ascii="Arial" w:hAnsi="Arial" w:cs="Arial"/>
          <w:kern w:val="1"/>
          <w:sz w:val="22"/>
          <w:szCs w:val="22"/>
        </w:rPr>
        <w:t>,</w:t>
      </w:r>
      <w:r w:rsidRPr="00F82953">
        <w:rPr>
          <w:rFonts w:ascii="Arial" w:hAnsi="Arial" w:cs="Arial"/>
          <w:kern w:val="1"/>
          <w:sz w:val="22"/>
          <w:szCs w:val="22"/>
        </w:rPr>
        <w:t xml:space="preserve"> or guinea pig thyroid cells, or rat FRTL-5 cell lines to detect TSH receptor antibodies. These methods typically required pre-extraction of immunoglobulins from the serum specimen (429,437,439,469,470). Later, TRAb bioassays used cells with endogenously expressed or stably transfected human TSH receptors and unextracted serum specimens (471-473). Current TRAb bioassays are functional assays that use intact (typically CHO) cells transfected with human or chimeric TSH receptors, which when exposed to serum containing TSH receptor antibodies use cAMP or a reporter gene (luciferase) as a biological marker for any stimulating or blocking activity in a serum (425,451,463). Bioassays are more technically demanding than the more commonly used receptor assays because they use viable cells. However, these functional assays can be modified to detect </w:t>
      </w:r>
      <w:proofErr w:type="spellStart"/>
      <w:r w:rsidRPr="00F82953">
        <w:rPr>
          <w:rFonts w:ascii="Arial" w:hAnsi="Arial" w:cs="Arial"/>
          <w:kern w:val="1"/>
          <w:sz w:val="22"/>
          <w:szCs w:val="22"/>
        </w:rPr>
        <w:t>TBAb</w:t>
      </w:r>
      <w:proofErr w:type="spellEnd"/>
      <w:r w:rsidRPr="00F82953">
        <w:rPr>
          <w:rFonts w:ascii="Arial" w:hAnsi="Arial" w:cs="Arial"/>
          <w:kern w:val="1"/>
          <w:sz w:val="22"/>
          <w:szCs w:val="22"/>
        </w:rPr>
        <w:t xml:space="preserve"> that may coexist with </w:t>
      </w:r>
      <w:proofErr w:type="spellStart"/>
      <w:r w:rsidRPr="00F82953">
        <w:rPr>
          <w:rFonts w:ascii="Arial" w:hAnsi="Arial" w:cs="Arial"/>
          <w:kern w:val="1"/>
          <w:sz w:val="22"/>
          <w:szCs w:val="22"/>
        </w:rPr>
        <w:t>TSAb</w:t>
      </w:r>
      <w:proofErr w:type="spellEnd"/>
      <w:r w:rsidRPr="00F82953">
        <w:rPr>
          <w:rFonts w:ascii="Arial" w:hAnsi="Arial" w:cs="Arial"/>
          <w:kern w:val="1"/>
          <w:sz w:val="22"/>
          <w:szCs w:val="22"/>
        </w:rPr>
        <w:t xml:space="preserve"> in the same sera and make interpretation difficult (451). The most recent development is for second generation assays to use a chimeric human/rat LH TSHR to effectively eliminate the influence of blocking antibodies. This new </w:t>
      </w:r>
      <w:r w:rsidRPr="00F82953">
        <w:rPr>
          <w:rFonts w:ascii="Arial" w:hAnsi="Arial" w:cs="Arial"/>
          <w:kern w:val="1"/>
          <w:sz w:val="22"/>
          <w:szCs w:val="22"/>
        </w:rPr>
        <w:lastRenderedPageBreak/>
        <w:t xml:space="preserve">approach has shown excellent sensitivity and specificity for diagnosing Graves' hyperthyroidism and clinical utility for monitoring the effects of anti-thyroid drug therapy (463). </w:t>
      </w:r>
    </w:p>
    <w:p w14:paraId="5599B386" w14:textId="77777777" w:rsidR="004B2426" w:rsidRPr="00F82953" w:rsidRDefault="004B2426" w:rsidP="00F82953">
      <w:pPr>
        <w:autoSpaceDE w:val="0"/>
        <w:autoSpaceDN w:val="0"/>
        <w:adjustRightInd w:val="0"/>
        <w:spacing w:after="0" w:line="276" w:lineRule="auto"/>
        <w:rPr>
          <w:rFonts w:ascii="Arial" w:hAnsi="Arial" w:cs="Arial"/>
          <w:b/>
          <w:bCs/>
          <w:kern w:val="1"/>
          <w:sz w:val="22"/>
          <w:szCs w:val="22"/>
        </w:rPr>
      </w:pPr>
    </w:p>
    <w:p w14:paraId="3F70FA9D" w14:textId="13160D0F" w:rsidR="005C4829" w:rsidRPr="00C25A2E" w:rsidRDefault="005C4829" w:rsidP="00F82953">
      <w:pPr>
        <w:autoSpaceDE w:val="0"/>
        <w:autoSpaceDN w:val="0"/>
        <w:adjustRightInd w:val="0"/>
        <w:spacing w:after="0" w:line="276" w:lineRule="auto"/>
        <w:rPr>
          <w:rFonts w:ascii="Arial" w:hAnsi="Arial" w:cs="Arial"/>
          <w:b/>
          <w:bCs/>
          <w:color w:val="00B050"/>
          <w:kern w:val="1"/>
          <w:sz w:val="22"/>
          <w:szCs w:val="22"/>
        </w:rPr>
      </w:pPr>
      <w:r w:rsidRPr="00C25A2E">
        <w:rPr>
          <w:rFonts w:ascii="Arial" w:hAnsi="Arial" w:cs="Arial"/>
          <w:b/>
          <w:bCs/>
          <w:color w:val="00B050"/>
          <w:kern w:val="1"/>
          <w:sz w:val="22"/>
          <w:szCs w:val="22"/>
        </w:rPr>
        <w:t>Thyroid Peroxidase Autoantibodies (</w:t>
      </w:r>
      <w:proofErr w:type="spellStart"/>
      <w:r w:rsidRPr="00C25A2E">
        <w:rPr>
          <w:rFonts w:ascii="Arial" w:hAnsi="Arial" w:cs="Arial"/>
          <w:b/>
          <w:bCs/>
          <w:color w:val="00B050"/>
          <w:kern w:val="1"/>
          <w:sz w:val="22"/>
          <w:szCs w:val="22"/>
        </w:rPr>
        <w:t>TPOAb</w:t>
      </w:r>
      <w:proofErr w:type="spellEnd"/>
      <w:r w:rsidRPr="00C25A2E">
        <w:rPr>
          <w:rFonts w:ascii="Arial" w:hAnsi="Arial" w:cs="Arial"/>
          <w:b/>
          <w:bCs/>
          <w:color w:val="00B050"/>
          <w:kern w:val="1"/>
          <w:sz w:val="22"/>
          <w:szCs w:val="22"/>
        </w:rPr>
        <w:t>)</w:t>
      </w:r>
    </w:p>
    <w:p w14:paraId="45B1A2E6" w14:textId="77777777" w:rsidR="004B2426" w:rsidRPr="00F82953" w:rsidRDefault="004B2426" w:rsidP="00F82953">
      <w:pPr>
        <w:autoSpaceDE w:val="0"/>
        <w:autoSpaceDN w:val="0"/>
        <w:adjustRightInd w:val="0"/>
        <w:spacing w:after="0" w:line="276" w:lineRule="auto"/>
        <w:rPr>
          <w:rFonts w:ascii="Arial" w:hAnsi="Arial" w:cs="Arial"/>
          <w:b/>
          <w:bCs/>
          <w:kern w:val="1"/>
          <w:sz w:val="22"/>
          <w:szCs w:val="22"/>
        </w:rPr>
      </w:pPr>
    </w:p>
    <w:p w14:paraId="56EDD3A0" w14:textId="02667E59"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TPO is a large, dimeric, membrane-associated, globular glycoprotein that is expressed on the apical surface of thyrocytes. TPO autoantibodies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found in sera typically have high affinities for an immunodominant region of the intact TPO molecule. When present, these autoantibodies vary in titer and IgG subclass and display complement-fixing properties (474). Studies have shown that epitope fingerprints are genetically conserved suggesting a possible functional importance (475). However, it is still unclear whether the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epitope profile correlates with the presence of, or potential for, the development of thyroid dysfunction (474-477).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antibodies were initially detected as antibodies against thyroid microsomes (</w:t>
      </w:r>
      <w:proofErr w:type="spellStart"/>
      <w:r w:rsidRPr="00F82953">
        <w:rPr>
          <w:rFonts w:ascii="Arial" w:hAnsi="Arial" w:cs="Arial"/>
          <w:kern w:val="1"/>
          <w:sz w:val="22"/>
          <w:szCs w:val="22"/>
        </w:rPr>
        <w:t>antimicrosomal</w:t>
      </w:r>
      <w:proofErr w:type="spellEnd"/>
      <w:r w:rsidRPr="00F82953">
        <w:rPr>
          <w:rFonts w:ascii="Arial" w:hAnsi="Arial" w:cs="Arial"/>
          <w:kern w:val="1"/>
          <w:sz w:val="22"/>
          <w:szCs w:val="22"/>
        </w:rPr>
        <w:t xml:space="preserve"> antibodies, AMA) using semi-quantitative complement fixation and tanned erythrocyte </w:t>
      </w:r>
      <w:proofErr w:type="spellStart"/>
      <w:r w:rsidRPr="00F82953">
        <w:rPr>
          <w:rFonts w:ascii="Arial" w:hAnsi="Arial" w:cs="Arial"/>
          <w:kern w:val="1"/>
          <w:sz w:val="22"/>
          <w:szCs w:val="22"/>
        </w:rPr>
        <w:t>hemaagglutination</w:t>
      </w:r>
      <w:proofErr w:type="spellEnd"/>
      <w:r w:rsidRPr="00F82953">
        <w:rPr>
          <w:rFonts w:ascii="Arial" w:hAnsi="Arial" w:cs="Arial"/>
          <w:kern w:val="1"/>
          <w:sz w:val="22"/>
          <w:szCs w:val="22"/>
        </w:rPr>
        <w:t xml:space="preserve"> techniques (478). Studies have identified the principal antigen in AMA tests as the thyroid peroxidase (TPO) enzyme, a 100 </w:t>
      </w:r>
      <w:proofErr w:type="spellStart"/>
      <w:r w:rsidRPr="00F82953">
        <w:rPr>
          <w:rFonts w:ascii="Arial" w:hAnsi="Arial" w:cs="Arial"/>
          <w:kern w:val="1"/>
          <w:sz w:val="22"/>
          <w:szCs w:val="22"/>
        </w:rPr>
        <w:t>kD</w:t>
      </w:r>
      <w:proofErr w:type="spellEnd"/>
      <w:r w:rsidRPr="00F82953">
        <w:rPr>
          <w:rFonts w:ascii="Arial" w:hAnsi="Arial" w:cs="Arial"/>
          <w:kern w:val="1"/>
          <w:sz w:val="22"/>
          <w:szCs w:val="22"/>
        </w:rPr>
        <w:t xml:space="preserve"> glycosylated protein present in thyroid microsomes. Manual agglutination tests have now been replaced by more specific, automated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immunoassay or immunometric assay methods that use purified or recombinant TPO (10,420,479-482). There is considerable inter-method variability of current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assays (correlation coefficients 0.65 and 0.87), despite calibration against the same International Reference Preparation (MRC 66/387) (420,479,480,482). It appears that both the methodologic principles of the test and the purity of the TPO reagent used may influence the sensitivity, specificity</w:t>
      </w:r>
      <w:r w:rsidR="00996514">
        <w:rPr>
          <w:rFonts w:ascii="Arial" w:hAnsi="Arial" w:cs="Arial"/>
          <w:kern w:val="1"/>
          <w:sz w:val="22"/>
          <w:szCs w:val="22"/>
        </w:rPr>
        <w:t>,</w:t>
      </w:r>
      <w:r w:rsidRPr="00F82953">
        <w:rPr>
          <w:rFonts w:ascii="Arial" w:hAnsi="Arial" w:cs="Arial"/>
          <w:kern w:val="1"/>
          <w:sz w:val="22"/>
          <w:szCs w:val="22"/>
        </w:rPr>
        <w:t xml:space="preserve"> and reference range of the method (420,479). The variability in sensitivity limits and the reference ranges of different methods has led to different interpretations regarding the normalcy of having a detectable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(377,420,424,482).</w:t>
      </w:r>
    </w:p>
    <w:p w14:paraId="4C69E95A" w14:textId="77777777" w:rsidR="000451A7" w:rsidRPr="00F82953" w:rsidRDefault="000451A7" w:rsidP="00F82953">
      <w:pPr>
        <w:autoSpaceDE w:val="0"/>
        <w:autoSpaceDN w:val="0"/>
        <w:adjustRightInd w:val="0"/>
        <w:spacing w:after="0" w:line="276" w:lineRule="auto"/>
        <w:rPr>
          <w:rFonts w:ascii="Arial" w:hAnsi="Arial" w:cs="Arial"/>
          <w:kern w:val="1"/>
          <w:sz w:val="22"/>
          <w:szCs w:val="22"/>
        </w:rPr>
      </w:pPr>
    </w:p>
    <w:p w14:paraId="128EC22C" w14:textId="2E86A6F5" w:rsidR="00D12629" w:rsidRPr="00AB0DFB" w:rsidRDefault="00D12629" w:rsidP="00C25A2E">
      <w:pPr>
        <w:pStyle w:val="ListParagraph"/>
        <w:autoSpaceDE w:val="0"/>
        <w:autoSpaceDN w:val="0"/>
        <w:adjustRightInd w:val="0"/>
        <w:spacing w:after="0" w:line="276" w:lineRule="auto"/>
        <w:ind w:left="0"/>
        <w:rPr>
          <w:rFonts w:ascii="Arial" w:hAnsi="Arial" w:cs="Arial"/>
          <w:color w:val="FF0000"/>
          <w:kern w:val="1"/>
          <w:sz w:val="22"/>
          <w:szCs w:val="22"/>
        </w:rPr>
      </w:pPr>
      <w:proofErr w:type="spellStart"/>
      <w:r w:rsidRPr="00AB0DFB">
        <w:rPr>
          <w:rFonts w:ascii="Arial" w:hAnsi="Arial" w:cs="Arial"/>
          <w:color w:val="FF0000"/>
          <w:kern w:val="1"/>
          <w:sz w:val="22"/>
          <w:szCs w:val="22"/>
        </w:rPr>
        <w:t>TPOAb</w:t>
      </w:r>
      <w:proofErr w:type="spellEnd"/>
      <w:r w:rsidRPr="00AB0DFB">
        <w:rPr>
          <w:rFonts w:ascii="Arial" w:hAnsi="Arial" w:cs="Arial"/>
          <w:color w:val="FF0000"/>
          <w:kern w:val="1"/>
          <w:sz w:val="22"/>
          <w:szCs w:val="22"/>
        </w:rPr>
        <w:t xml:space="preserve"> C</w:t>
      </w:r>
      <w:r w:rsidR="00C25A2E" w:rsidRPr="00AB0DFB">
        <w:rPr>
          <w:rFonts w:ascii="Arial" w:hAnsi="Arial" w:cs="Arial"/>
          <w:color w:val="FF0000"/>
          <w:kern w:val="1"/>
          <w:sz w:val="22"/>
          <w:szCs w:val="22"/>
        </w:rPr>
        <w:t xml:space="preserve">LINICAL SIGNIFICANCE </w:t>
      </w:r>
      <w:r w:rsidRPr="00AB0DFB">
        <w:rPr>
          <w:rFonts w:ascii="Arial" w:hAnsi="Arial" w:cs="Arial"/>
          <w:color w:val="FF0000"/>
          <w:kern w:val="1"/>
          <w:sz w:val="22"/>
          <w:szCs w:val="22"/>
        </w:rPr>
        <w:t xml:space="preserve"> </w:t>
      </w:r>
    </w:p>
    <w:p w14:paraId="3B177796" w14:textId="77777777" w:rsidR="00C25A2E" w:rsidRDefault="00C25A2E" w:rsidP="00C25A2E">
      <w:pPr>
        <w:autoSpaceDE w:val="0"/>
        <w:autoSpaceDN w:val="0"/>
        <w:adjustRightInd w:val="0"/>
        <w:spacing w:after="0" w:line="276" w:lineRule="auto"/>
        <w:rPr>
          <w:rFonts w:ascii="Arial" w:hAnsi="Arial" w:cs="Arial"/>
          <w:kern w:val="1"/>
          <w:sz w:val="22"/>
          <w:szCs w:val="22"/>
        </w:rPr>
      </w:pPr>
    </w:p>
    <w:p w14:paraId="20DE6E07" w14:textId="3817CFEA" w:rsidR="00D12629" w:rsidRPr="00F82953" w:rsidRDefault="00D12629" w:rsidP="00C25A2E">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Estimates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prevalence depend on the sensitivity and specificity of the method employed (377,424,482). In addition, ethnic and/or geographic factors (such as iodine intake) influence the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prevalence in population studies (317). For example,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prevalence is significantly higher (~11 percent) in countries like the United States and Japan where dietary iodine is sufficient, as compared with iodine deficient areas in Europe (~ 6 percent) (254,483). The prevalence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is higher in women of all age groups and ethnicities, presumably reflecting the higher propensity for autoimmunity as compared with men (254,483). Approximately 70-80 percent of patients with Graves' disease and virtually all patients with Hashimoto’s or post-partum thyroiditis have </w:t>
      </w:r>
      <w:r w:rsidR="002D322A" w:rsidRPr="00F82953">
        <w:rPr>
          <w:rFonts w:ascii="Arial" w:hAnsi="Arial" w:cs="Arial"/>
          <w:kern w:val="1"/>
          <w:sz w:val="22"/>
          <w:szCs w:val="22"/>
        </w:rPr>
        <w:t xml:space="preserve">detected </w:t>
      </w:r>
      <w:proofErr w:type="spellStart"/>
      <w:r w:rsidR="002D322A" w:rsidRPr="00F82953">
        <w:rPr>
          <w:rFonts w:ascii="Arial" w:hAnsi="Arial" w:cs="Arial"/>
          <w:kern w:val="1"/>
          <w:sz w:val="22"/>
          <w:szCs w:val="22"/>
        </w:rPr>
        <w:t>TPOAb</w:t>
      </w:r>
      <w:proofErr w:type="spellEnd"/>
      <w:r w:rsidRPr="00F82953">
        <w:rPr>
          <w:rFonts w:ascii="Arial" w:hAnsi="Arial" w:cs="Arial"/>
          <w:kern w:val="1"/>
          <w:sz w:val="22"/>
          <w:szCs w:val="22"/>
        </w:rPr>
        <w:t xml:space="preserve"> (479,484).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has, in fact, been implicated as a cytotoxic agent in the destructive </w:t>
      </w:r>
      <w:proofErr w:type="spellStart"/>
      <w:r w:rsidRPr="00F82953">
        <w:rPr>
          <w:rFonts w:ascii="Arial" w:hAnsi="Arial" w:cs="Arial"/>
          <w:kern w:val="1"/>
          <w:sz w:val="22"/>
          <w:szCs w:val="22"/>
        </w:rPr>
        <w:t>thyroiditic</w:t>
      </w:r>
      <w:proofErr w:type="spellEnd"/>
      <w:r w:rsidRPr="00F82953">
        <w:rPr>
          <w:rFonts w:ascii="Arial" w:hAnsi="Arial" w:cs="Arial"/>
          <w:kern w:val="1"/>
          <w:sz w:val="22"/>
          <w:szCs w:val="22"/>
        </w:rPr>
        <w:t xml:space="preserve"> process (477,485,486).</w:t>
      </w:r>
    </w:p>
    <w:p w14:paraId="64727F21" w14:textId="77777777" w:rsidR="000451A7" w:rsidRPr="002D322A" w:rsidRDefault="000451A7" w:rsidP="00F82953">
      <w:pPr>
        <w:autoSpaceDE w:val="0"/>
        <w:autoSpaceDN w:val="0"/>
        <w:adjustRightInd w:val="0"/>
        <w:spacing w:after="0" w:line="276" w:lineRule="auto"/>
        <w:rPr>
          <w:rFonts w:ascii="Arial" w:hAnsi="Arial" w:cs="Arial"/>
          <w:kern w:val="1"/>
          <w:sz w:val="22"/>
          <w:szCs w:val="22"/>
        </w:rPr>
      </w:pPr>
    </w:p>
    <w:p w14:paraId="4C2C7AB9" w14:textId="3030FCD8" w:rsidR="005C4829" w:rsidRPr="00F82953" w:rsidRDefault="005C4829" w:rsidP="00AB0DFB">
      <w:pPr>
        <w:autoSpaceDE w:val="0"/>
        <w:autoSpaceDN w:val="0"/>
        <w:adjustRightInd w:val="0"/>
        <w:spacing w:after="0" w:line="276" w:lineRule="auto"/>
        <w:rPr>
          <w:rFonts w:ascii="Arial" w:hAnsi="Arial" w:cs="Arial"/>
          <w:kern w:val="1"/>
          <w:sz w:val="22"/>
          <w:szCs w:val="22"/>
        </w:rPr>
      </w:pP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prevalence is also significantly higher in various non-thyroidal autoimmune disorders in which no apparent thyroid dysfunction is evident (487). Aging is associated with an increasing prevalence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that parallels the increasing prevalence of both subclinical and clinical hypothyroidism (254). In fact, the NHANES III survey reported that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prevalence increases with age and approaches 15-20 percent in elderly females even in the iodine-</w:t>
      </w:r>
      <w:r w:rsidRPr="00F82953">
        <w:rPr>
          <w:rFonts w:ascii="Arial" w:hAnsi="Arial" w:cs="Arial"/>
          <w:kern w:val="1"/>
          <w:sz w:val="22"/>
          <w:szCs w:val="22"/>
        </w:rPr>
        <w:lastRenderedPageBreak/>
        <w:t xml:space="preserve">sufficient United States (254). This same study found that the odds ratio for hypothyroidism was strongly associated with the presence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but not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suggesting that primarily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contribute to the autoimmune etiology of hypothyroidism (254). Although the presence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alone did not appear to be associated with hypothyroidism or TSH elevations, the combination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versus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alone may be more pathologically </w:t>
      </w:r>
      <w:r w:rsidRPr="00F82953">
        <w:rPr>
          <w:rFonts w:ascii="Arial" w:hAnsi="Arial" w:cs="Arial"/>
          <w:color w:val="000000" w:themeColor="text1"/>
          <w:kern w:val="1"/>
          <w:sz w:val="22"/>
          <w:szCs w:val="22"/>
        </w:rPr>
        <w:t xml:space="preserve">significant (Figure </w:t>
      </w:r>
      <w:r w:rsidR="0066064A">
        <w:rPr>
          <w:rFonts w:ascii="Arial" w:hAnsi="Arial" w:cs="Arial"/>
          <w:color w:val="000000" w:themeColor="text1"/>
          <w:kern w:val="1"/>
          <w:sz w:val="22"/>
          <w:szCs w:val="22"/>
        </w:rPr>
        <w:t>9</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however further studies would be needed to confirm this (254,307,477). It is now apparent that the presence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in apparently euthyroid individuals (TSH within reference range) appears to be a risk factor for future development of overt hypothyroidism that subsequently becomes evident at the rate of approximately two percent per year in such populations (474,488,489). Furthermore, TPO-positivity in pregnant women is a risk factor for preterm birth (490). </w:t>
      </w:r>
    </w:p>
    <w:p w14:paraId="7B9E2B2C" w14:textId="77777777" w:rsidR="00AB0DFB" w:rsidRDefault="00AB0DFB" w:rsidP="00AB0DFB">
      <w:pPr>
        <w:autoSpaceDE w:val="0"/>
        <w:autoSpaceDN w:val="0"/>
        <w:adjustRightInd w:val="0"/>
        <w:spacing w:after="0" w:line="276" w:lineRule="auto"/>
        <w:rPr>
          <w:rFonts w:ascii="Arial" w:hAnsi="Arial" w:cs="Arial"/>
          <w:kern w:val="1"/>
          <w:sz w:val="22"/>
          <w:szCs w:val="22"/>
        </w:rPr>
      </w:pPr>
    </w:p>
    <w:p w14:paraId="6042EC7F" w14:textId="77777777" w:rsidR="003C4DB7" w:rsidRPr="00F82953" w:rsidRDefault="003C4DB7" w:rsidP="003C4DB7">
      <w:pPr>
        <w:autoSpaceDE w:val="0"/>
        <w:autoSpaceDN w:val="0"/>
        <w:adjustRightInd w:val="0"/>
        <w:spacing w:after="0" w:line="276" w:lineRule="auto"/>
        <w:rPr>
          <w:rFonts w:ascii="Arial" w:hAnsi="Arial" w:cs="Arial"/>
          <w:b/>
          <w:bCs/>
          <w:kern w:val="1"/>
          <w:sz w:val="22"/>
          <w:szCs w:val="22"/>
        </w:rPr>
      </w:pPr>
      <w:r w:rsidRPr="00F82953">
        <w:rPr>
          <w:rFonts w:ascii="Arial" w:hAnsi="Arial" w:cs="Arial"/>
          <w:b/>
          <w:bCs/>
          <w:noProof/>
          <w:color w:val="000000" w:themeColor="text1"/>
          <w:kern w:val="1"/>
          <w:sz w:val="22"/>
          <w:szCs w:val="22"/>
        </w:rPr>
        <w:drawing>
          <wp:inline distT="0" distB="0" distL="0" distR="0" wp14:anchorId="443BD73D" wp14:editId="46BD1FF8">
            <wp:extent cx="5507583" cy="4457700"/>
            <wp:effectExtent l="0" t="0" r="4445" b="0"/>
            <wp:docPr id="5125" name="New picture" descr="A graph of a number of women and men&#10;&#10;AI-generated content may be incorrect."/>
            <wp:cNvGraphicFramePr/>
            <a:graphic xmlns:a="http://schemas.openxmlformats.org/drawingml/2006/main">
              <a:graphicData uri="http://schemas.openxmlformats.org/drawingml/2006/picture">
                <pic:pic xmlns:pic="http://schemas.openxmlformats.org/drawingml/2006/picture">
                  <pic:nvPicPr>
                    <pic:cNvPr id="5125" name="New picture" descr="A graph of a number of women and men&#10;&#10;AI-generated content may be incorrect."/>
                    <pic:cNvPicPr/>
                  </pic:nvPicPr>
                  <pic:blipFill>
                    <a:blip r:embed="rId13"/>
                    <a:stretch>
                      <a:fillRect/>
                    </a:stretch>
                  </pic:blipFill>
                  <pic:spPr>
                    <a:xfrm>
                      <a:off x="0" y="0"/>
                      <a:ext cx="5507583" cy="4457700"/>
                    </a:xfrm>
                    <a:prstGeom prst="rect">
                      <a:avLst/>
                    </a:prstGeom>
                  </pic:spPr>
                </pic:pic>
              </a:graphicData>
            </a:graphic>
          </wp:inline>
        </w:drawing>
      </w:r>
    </w:p>
    <w:p w14:paraId="0277AD31" w14:textId="77777777" w:rsidR="003C4DB7" w:rsidRPr="002D322A" w:rsidRDefault="003C4DB7" w:rsidP="003C4DB7">
      <w:pPr>
        <w:autoSpaceDE w:val="0"/>
        <w:autoSpaceDN w:val="0"/>
        <w:adjustRightInd w:val="0"/>
        <w:spacing w:after="0" w:line="276" w:lineRule="auto"/>
        <w:rPr>
          <w:rFonts w:ascii="Arial" w:hAnsi="Arial" w:cs="Arial"/>
          <w:b/>
          <w:bCs/>
          <w:kern w:val="1"/>
          <w:sz w:val="22"/>
          <w:szCs w:val="22"/>
        </w:rPr>
      </w:pPr>
      <w:r w:rsidRPr="002D322A">
        <w:rPr>
          <w:rFonts w:ascii="Arial" w:hAnsi="Arial" w:cs="Arial"/>
          <w:b/>
          <w:bCs/>
          <w:kern w:val="1"/>
          <w:sz w:val="22"/>
          <w:szCs w:val="22"/>
        </w:rPr>
        <w:t xml:space="preserve">Figure 9. Prevalence of thyroid antibodies in women (A) and men (B). Abscissa TSH values correspond to the upper and lower limits of the intervals spanning each set of bars. Asterisks denote a significant difference in prevalence from the TSH range with lowest antibody prevalence, 0.1 and 1.5 </w:t>
      </w:r>
      <w:proofErr w:type="spellStart"/>
      <w:r w:rsidRPr="002D322A">
        <w:rPr>
          <w:rFonts w:ascii="Arial" w:hAnsi="Arial" w:cs="Arial"/>
          <w:b/>
          <w:bCs/>
          <w:kern w:val="1"/>
          <w:sz w:val="22"/>
          <w:szCs w:val="22"/>
        </w:rPr>
        <w:t>mIU</w:t>
      </w:r>
      <w:proofErr w:type="spellEnd"/>
      <w:r w:rsidRPr="002D322A">
        <w:rPr>
          <w:rFonts w:ascii="Arial" w:hAnsi="Arial" w:cs="Arial"/>
          <w:b/>
          <w:bCs/>
          <w:kern w:val="1"/>
          <w:sz w:val="22"/>
          <w:szCs w:val="22"/>
        </w:rPr>
        <w:t xml:space="preserve">/liter for women and 0.1 and 2.0 </w:t>
      </w:r>
      <w:proofErr w:type="spellStart"/>
      <w:r w:rsidRPr="002D322A">
        <w:rPr>
          <w:rFonts w:ascii="Arial" w:hAnsi="Arial" w:cs="Arial"/>
          <w:b/>
          <w:bCs/>
          <w:kern w:val="1"/>
          <w:sz w:val="22"/>
          <w:szCs w:val="22"/>
        </w:rPr>
        <w:t>mIU</w:t>
      </w:r>
      <w:proofErr w:type="spellEnd"/>
      <w:r w:rsidRPr="002D322A">
        <w:rPr>
          <w:rFonts w:ascii="Arial" w:hAnsi="Arial" w:cs="Arial"/>
          <w:b/>
          <w:bCs/>
          <w:kern w:val="1"/>
          <w:sz w:val="22"/>
          <w:szCs w:val="22"/>
        </w:rPr>
        <w:t>/liter for men from reference 307.</w:t>
      </w:r>
    </w:p>
    <w:p w14:paraId="31D943B0" w14:textId="77777777" w:rsidR="003C4DB7" w:rsidRDefault="003C4DB7" w:rsidP="00AB0DFB">
      <w:pPr>
        <w:autoSpaceDE w:val="0"/>
        <w:autoSpaceDN w:val="0"/>
        <w:adjustRightInd w:val="0"/>
        <w:spacing w:after="0" w:line="276" w:lineRule="auto"/>
        <w:rPr>
          <w:rFonts w:ascii="Arial" w:hAnsi="Arial" w:cs="Arial"/>
          <w:kern w:val="1"/>
          <w:sz w:val="22"/>
          <w:szCs w:val="22"/>
        </w:rPr>
      </w:pPr>
    </w:p>
    <w:p w14:paraId="616CF05C" w14:textId="1E534581" w:rsidR="005C4829" w:rsidRPr="00F82953" w:rsidRDefault="005C4829" w:rsidP="00AB0DFB">
      <w:pPr>
        <w:autoSpaceDE w:val="0"/>
        <w:autoSpaceDN w:val="0"/>
        <w:adjustRightInd w:val="0"/>
        <w:spacing w:after="0" w:line="276" w:lineRule="auto"/>
        <w:rPr>
          <w:rFonts w:ascii="Arial" w:hAnsi="Arial" w:cs="Arial"/>
          <w:kern w:val="1"/>
          <w:sz w:val="22"/>
          <w:szCs w:val="22"/>
        </w:rPr>
      </w:pP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measurement can serve as a useful prognostic indicator for future thyroid dysfunction (489,491). However, a hypoechoic ultrasound pattern can often be seen before the biochemical </w:t>
      </w:r>
      <w:proofErr w:type="spellStart"/>
      <w:r w:rsidRPr="00F82953">
        <w:rPr>
          <w:rFonts w:ascii="Arial" w:hAnsi="Arial" w:cs="Arial"/>
          <w:kern w:val="1"/>
          <w:sz w:val="22"/>
          <w:szCs w:val="22"/>
        </w:rPr>
        <w:lastRenderedPageBreak/>
        <w:t>TPOAb</w:t>
      </w:r>
      <w:proofErr w:type="spellEnd"/>
      <w:r w:rsidRPr="00F82953">
        <w:rPr>
          <w:rFonts w:ascii="Arial" w:hAnsi="Arial" w:cs="Arial"/>
          <w:kern w:val="1"/>
          <w:sz w:val="22"/>
          <w:szCs w:val="22"/>
        </w:rPr>
        <w:t xml:space="preserve"> abnormality appears (492). Further, some individuals with unequivocal TSH elevations, presumably resulting from autoimmune destructive disease of the thyroid, do not have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detected (307). Presumably, this paradoxical absence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in some patients with elevated TSH likely reflects the suboptimal sensitivity and/or specificity of current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tests or a non-autoimmune cause of thyroid failure (i.e. atrophic thyroiditis) (254,307,482,493). </w:t>
      </w:r>
    </w:p>
    <w:p w14:paraId="417D9788" w14:textId="77777777" w:rsidR="00AB0DFB" w:rsidRDefault="00AB0DFB" w:rsidP="00AB0DFB">
      <w:pPr>
        <w:autoSpaceDE w:val="0"/>
        <w:autoSpaceDN w:val="0"/>
        <w:adjustRightInd w:val="0"/>
        <w:spacing w:after="0" w:line="276" w:lineRule="auto"/>
        <w:rPr>
          <w:rFonts w:ascii="Arial" w:hAnsi="Arial" w:cs="Arial"/>
          <w:kern w:val="1"/>
          <w:sz w:val="22"/>
          <w:szCs w:val="22"/>
        </w:rPr>
      </w:pPr>
    </w:p>
    <w:p w14:paraId="2B4DDB81" w14:textId="3669BBE9" w:rsidR="005C4829" w:rsidRPr="00F82953" w:rsidRDefault="005C4829" w:rsidP="00AB0DFB">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Although changes in autoantibody concentrations often occur with treatment, or reflect a change in disease activity, serial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measurements are not recommended for monitoring treatment for autoimmune thyroid diseases (49,479,494). This is not surprising since treatment of these disorders addresses the consequence (thyroid dysfunction) and not the cause (autoimmunity) of the disease. However, where it may have an important clinical application is to use the presence of serum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as a risk factor for developing thyroid dysfunction in patients receiving amiodarone, interferon-alpha, interleukin-2</w:t>
      </w:r>
      <w:r w:rsidR="00E54AD9">
        <w:rPr>
          <w:rFonts w:ascii="Arial" w:hAnsi="Arial" w:cs="Arial"/>
          <w:kern w:val="1"/>
          <w:sz w:val="22"/>
          <w:szCs w:val="22"/>
        </w:rPr>
        <w:t>,</w:t>
      </w:r>
      <w:r w:rsidRPr="00F82953">
        <w:rPr>
          <w:rFonts w:ascii="Arial" w:hAnsi="Arial" w:cs="Arial"/>
          <w:kern w:val="1"/>
          <w:sz w:val="22"/>
          <w:szCs w:val="22"/>
        </w:rPr>
        <w:t xml:space="preserve"> or lithium therapies which all appear to act as triggers for initiating autoimmune thyroid dysfunction in susceptible (especially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-positive) individuals (10,110,495-500).</w:t>
      </w:r>
    </w:p>
    <w:p w14:paraId="334EB18F" w14:textId="77777777" w:rsidR="00AB0DFB" w:rsidRDefault="00AB0DFB" w:rsidP="00AB0DFB">
      <w:pPr>
        <w:autoSpaceDE w:val="0"/>
        <w:autoSpaceDN w:val="0"/>
        <w:adjustRightInd w:val="0"/>
        <w:spacing w:after="0" w:line="276" w:lineRule="auto"/>
        <w:rPr>
          <w:rFonts w:ascii="Arial" w:hAnsi="Arial" w:cs="Arial"/>
          <w:kern w:val="1"/>
          <w:sz w:val="22"/>
          <w:szCs w:val="22"/>
        </w:rPr>
      </w:pPr>
    </w:p>
    <w:p w14:paraId="64EAB4C9" w14:textId="13EDC02A" w:rsidR="005C4829" w:rsidRPr="00F82953" w:rsidRDefault="005C4829" w:rsidP="00AB0DFB">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During pregnancy the presence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has been linked to reproductive complications such as miscarriage, infertility, IVF failure, fetal death, pre-eclampsia, pre-term delivery, post-partum thyroiditis</w:t>
      </w:r>
      <w:r w:rsidR="001936F8">
        <w:rPr>
          <w:rFonts w:ascii="Arial" w:hAnsi="Arial" w:cs="Arial"/>
          <w:kern w:val="1"/>
          <w:sz w:val="22"/>
          <w:szCs w:val="22"/>
        </w:rPr>
        <w:t>,</w:t>
      </w:r>
      <w:r w:rsidRPr="00F82953">
        <w:rPr>
          <w:rFonts w:ascii="Arial" w:hAnsi="Arial" w:cs="Arial"/>
          <w:kern w:val="1"/>
          <w:sz w:val="22"/>
          <w:szCs w:val="22"/>
        </w:rPr>
        <w:t xml:space="preserve"> and depression (47,76,484,501-508). However, whether this association represents cause or effect remains unresolved.</w:t>
      </w:r>
    </w:p>
    <w:p w14:paraId="4CB89438" w14:textId="77777777" w:rsidR="00557008" w:rsidRPr="00F82953" w:rsidRDefault="00557008" w:rsidP="00F82953">
      <w:pPr>
        <w:autoSpaceDE w:val="0"/>
        <w:autoSpaceDN w:val="0"/>
        <w:adjustRightInd w:val="0"/>
        <w:spacing w:after="0" w:line="276" w:lineRule="auto"/>
        <w:rPr>
          <w:rFonts w:ascii="Arial" w:hAnsi="Arial" w:cs="Arial"/>
          <w:kern w:val="1"/>
          <w:sz w:val="22"/>
          <w:szCs w:val="22"/>
        </w:rPr>
      </w:pPr>
    </w:p>
    <w:p w14:paraId="2AC22A37" w14:textId="2337368C" w:rsidR="005C4829" w:rsidRPr="00AB0DFB" w:rsidRDefault="005C4829" w:rsidP="00F82953">
      <w:pPr>
        <w:autoSpaceDE w:val="0"/>
        <w:autoSpaceDN w:val="0"/>
        <w:adjustRightInd w:val="0"/>
        <w:spacing w:after="0" w:line="276" w:lineRule="auto"/>
        <w:rPr>
          <w:rFonts w:ascii="Arial" w:hAnsi="Arial" w:cs="Arial"/>
          <w:color w:val="00B050"/>
          <w:kern w:val="1"/>
          <w:sz w:val="22"/>
          <w:szCs w:val="22"/>
        </w:rPr>
      </w:pPr>
      <w:r w:rsidRPr="00AB0DFB">
        <w:rPr>
          <w:rFonts w:ascii="Arial" w:hAnsi="Arial" w:cs="Arial"/>
          <w:b/>
          <w:bCs/>
          <w:color w:val="00B050"/>
          <w:kern w:val="1"/>
          <w:sz w:val="22"/>
          <w:szCs w:val="22"/>
        </w:rPr>
        <w:t>Thyroglobulin Autoantibodies (</w:t>
      </w:r>
      <w:proofErr w:type="spellStart"/>
      <w:r w:rsidRPr="00AB0DFB">
        <w:rPr>
          <w:rFonts w:ascii="Arial" w:hAnsi="Arial" w:cs="Arial"/>
          <w:b/>
          <w:bCs/>
          <w:color w:val="00B050"/>
          <w:kern w:val="1"/>
          <w:sz w:val="22"/>
          <w:szCs w:val="22"/>
        </w:rPr>
        <w:t>TgAb</w:t>
      </w:r>
      <w:proofErr w:type="spellEnd"/>
      <w:r w:rsidRPr="00AB0DFB">
        <w:rPr>
          <w:rFonts w:ascii="Arial" w:hAnsi="Arial" w:cs="Arial"/>
          <w:b/>
          <w:bCs/>
          <w:color w:val="00B050"/>
          <w:kern w:val="1"/>
          <w:sz w:val="22"/>
          <w:szCs w:val="22"/>
        </w:rPr>
        <w:t>)</w:t>
      </w:r>
      <w:r w:rsidRPr="00AB0DFB">
        <w:rPr>
          <w:rFonts w:ascii="Arial" w:hAnsi="Arial" w:cs="Arial"/>
          <w:color w:val="00B050"/>
          <w:kern w:val="1"/>
          <w:sz w:val="22"/>
          <w:szCs w:val="22"/>
        </w:rPr>
        <w:t xml:space="preserve"> </w:t>
      </w:r>
    </w:p>
    <w:p w14:paraId="75DA47F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52087DBD" w14:textId="3B2085A2" w:rsidR="005C4829"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Thyroglobulin autoantibodies belong predominantly to the immunoglobulin G (IgG) class, are not complement fixing and are generally conformational (509).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autoantibodies were the first thyroid antibody to be detected in the serum of patients with autoimmune thyroid disorders using tanned red cell hemagglutination techniques (478). Subsequently, methodologies for detecting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have evolved in parallel with those for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measurement, from semi-quantitative techniques to more sensitive ELISA and RIA methods and now to non-isotopic competitive or non-competitive immunoassays (45,420,482,510,511). Unfortunately, the between-method variability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assays is even greater than that of the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w:t>
      </w:r>
      <w:r w:rsidRPr="00F82953">
        <w:rPr>
          <w:rFonts w:ascii="Arial" w:hAnsi="Arial" w:cs="Arial"/>
          <w:color w:val="000000" w:themeColor="text1"/>
          <w:kern w:val="1"/>
          <w:sz w:val="22"/>
          <w:szCs w:val="22"/>
        </w:rPr>
        <w:t xml:space="preserve">tests (Figure </w:t>
      </w:r>
      <w:r w:rsidR="00B13ADB">
        <w:rPr>
          <w:rFonts w:ascii="Arial" w:hAnsi="Arial" w:cs="Arial"/>
          <w:color w:val="000000" w:themeColor="text1"/>
          <w:kern w:val="1"/>
          <w:sz w:val="22"/>
          <w:szCs w:val="22"/>
        </w:rPr>
        <w:t>10</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(45,420,510-512). Additionally, high levels of thyroglobulin in the serum have the potential to influence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measurements (511). Between-method variability is influenced by the purity and the epitope specificity of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reagent, as well as the patient-specific epitope specificity of the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secreted (513). As with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methods,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tests have highly variable sensitivity limits and manufacturer-recommended cut-off values for "positivity", despite the use of the same International Reference Preparation (MRC </w:t>
      </w:r>
      <w:r w:rsidRPr="00F82953">
        <w:rPr>
          <w:rFonts w:ascii="Arial" w:hAnsi="Arial" w:cs="Arial"/>
          <w:color w:val="000000" w:themeColor="text1"/>
          <w:kern w:val="1"/>
          <w:sz w:val="22"/>
          <w:szCs w:val="22"/>
        </w:rPr>
        <w:t xml:space="preserve">65/93) (Figure </w:t>
      </w:r>
      <w:r w:rsidR="003869EF">
        <w:rPr>
          <w:rFonts w:ascii="Arial" w:hAnsi="Arial" w:cs="Arial"/>
          <w:color w:val="000000" w:themeColor="text1"/>
          <w:kern w:val="1"/>
          <w:sz w:val="22"/>
          <w:szCs w:val="22"/>
        </w:rPr>
        <w:t>10</w:t>
      </w:r>
      <w:r w:rsidRPr="00F82953">
        <w:rPr>
          <w:rFonts w:ascii="Arial" w:hAnsi="Arial" w:cs="Arial"/>
          <w:color w:val="000000" w:themeColor="text1"/>
          <w:kern w:val="1"/>
          <w:sz w:val="22"/>
          <w:szCs w:val="22"/>
        </w:rPr>
        <w:t xml:space="preserve">) (45,510-512,514). Whereas the FS limit is the recommended cutoff to define </w:t>
      </w:r>
      <w:proofErr w:type="spellStart"/>
      <w:r w:rsidRPr="00F82953">
        <w:rPr>
          <w:rFonts w:ascii="Arial" w:hAnsi="Arial" w:cs="Arial"/>
          <w:color w:val="000000" w:themeColor="text1"/>
          <w:kern w:val="1"/>
          <w:sz w:val="22"/>
          <w:szCs w:val="22"/>
        </w:rPr>
        <w:t>TgAb</w:t>
      </w:r>
      <w:proofErr w:type="spellEnd"/>
      <w:r w:rsidRPr="00F82953">
        <w:rPr>
          <w:rFonts w:ascii="Arial" w:hAnsi="Arial" w:cs="Arial"/>
          <w:color w:val="000000" w:themeColor="text1"/>
          <w:kern w:val="1"/>
          <w:sz w:val="22"/>
          <w:szCs w:val="22"/>
        </w:rPr>
        <w:t xml:space="preserve">-positivity for DTC monitoring, the FS is typically much lower than the manufacturer-recommended cut-off for “positivity” (Figure </w:t>
      </w:r>
      <w:r w:rsidR="00B2026B">
        <w:rPr>
          <w:rFonts w:ascii="Arial" w:hAnsi="Arial" w:cs="Arial"/>
          <w:color w:val="000000" w:themeColor="text1"/>
          <w:kern w:val="1"/>
          <w:sz w:val="22"/>
          <w:szCs w:val="22"/>
        </w:rPr>
        <w:t>10</w:t>
      </w:r>
      <w:r w:rsidRPr="00F82953">
        <w:rPr>
          <w:rFonts w:ascii="Arial" w:hAnsi="Arial" w:cs="Arial"/>
          <w:color w:val="000000" w:themeColor="text1"/>
          <w:kern w:val="1"/>
          <w:sz w:val="22"/>
          <w:szCs w:val="22"/>
        </w:rPr>
        <w:t>) (</w:t>
      </w:r>
      <w:r w:rsidRPr="00F82953">
        <w:rPr>
          <w:rFonts w:ascii="Arial" w:hAnsi="Arial" w:cs="Arial"/>
          <w:kern w:val="1"/>
          <w:sz w:val="22"/>
          <w:szCs w:val="22"/>
        </w:rPr>
        <w:t xml:space="preserve">10,45). This is because manufacturer-recommended cutoffs (MCO) are set for diagnosing thyroid autoimmunity and are too high to detect the low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levels that can interfere with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measurements (515,516). Although there are reports that low levels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may be present in normal euthyroid individuals, it is unclear whether this represents assay noise due to matrix effects or "natural" antibodies (21). Further complicating this question are studies suggesting </w:t>
      </w:r>
      <w:r w:rsidRPr="00F82953">
        <w:rPr>
          <w:rFonts w:ascii="Arial" w:hAnsi="Arial" w:cs="Arial"/>
          <w:kern w:val="1"/>
          <w:sz w:val="22"/>
          <w:szCs w:val="22"/>
        </w:rPr>
        <w:lastRenderedPageBreak/>
        <w:t xml:space="preserve">that there may be qualitative differences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epitope specificities expressed by normal individuals versus patients with either differentiated thyroid cancers (DTC) or autoimmune thyroid disorders (517). These differences in test sensitivity and specificity negatively impact the reliability of determining the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status (positive versus negative) of specimens prior to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testing of DTC patients.</w:t>
      </w:r>
    </w:p>
    <w:p w14:paraId="1AF3C2AC" w14:textId="77777777" w:rsidR="00C948C9" w:rsidRDefault="00C948C9" w:rsidP="00F82953">
      <w:pPr>
        <w:autoSpaceDE w:val="0"/>
        <w:autoSpaceDN w:val="0"/>
        <w:adjustRightInd w:val="0"/>
        <w:spacing w:after="0" w:line="276" w:lineRule="auto"/>
        <w:rPr>
          <w:rFonts w:ascii="Arial" w:hAnsi="Arial" w:cs="Arial"/>
          <w:kern w:val="1"/>
          <w:sz w:val="22"/>
          <w:szCs w:val="22"/>
        </w:rPr>
      </w:pPr>
    </w:p>
    <w:p w14:paraId="6221227C" w14:textId="77777777" w:rsidR="00C948C9" w:rsidRPr="00F82953" w:rsidRDefault="00C948C9" w:rsidP="00C948C9">
      <w:pPr>
        <w:autoSpaceDE w:val="0"/>
        <w:autoSpaceDN w:val="0"/>
        <w:adjustRightInd w:val="0"/>
        <w:spacing w:after="0" w:line="276" w:lineRule="auto"/>
        <w:rPr>
          <w:rFonts w:ascii="Arial" w:hAnsi="Arial" w:cs="Arial"/>
          <w:b/>
          <w:bCs/>
          <w:kern w:val="1"/>
          <w:sz w:val="22"/>
          <w:szCs w:val="22"/>
        </w:rPr>
      </w:pPr>
      <w:r w:rsidRPr="00F82953">
        <w:rPr>
          <w:rFonts w:ascii="Arial" w:hAnsi="Arial" w:cs="Arial"/>
          <w:b/>
          <w:bCs/>
          <w:noProof/>
          <w:color w:val="000000" w:themeColor="text1"/>
          <w:kern w:val="1"/>
          <w:sz w:val="22"/>
          <w:szCs w:val="22"/>
        </w:rPr>
        <w:drawing>
          <wp:inline distT="0" distB="0" distL="0" distR="0" wp14:anchorId="0241C4AA" wp14:editId="30225A91">
            <wp:extent cx="5503333" cy="3476037"/>
            <wp:effectExtent l="0" t="0" r="0" b="3810"/>
            <wp:docPr id="1069615819" name="New picture" descr="A graph with lin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1969696401" name="New picture" descr="A graph with lines and dots&#10;&#10;AI-generated content may be incorrect."/>
                    <pic:cNvPicPr/>
                  </pic:nvPicPr>
                  <pic:blipFill>
                    <a:blip r:embed="rId14"/>
                    <a:stretch>
                      <a:fillRect/>
                    </a:stretch>
                  </pic:blipFill>
                  <pic:spPr>
                    <a:xfrm>
                      <a:off x="0" y="0"/>
                      <a:ext cx="5516907" cy="3484611"/>
                    </a:xfrm>
                    <a:prstGeom prst="rect">
                      <a:avLst/>
                    </a:prstGeom>
                  </pic:spPr>
                </pic:pic>
              </a:graphicData>
            </a:graphic>
          </wp:inline>
        </w:drawing>
      </w:r>
    </w:p>
    <w:p w14:paraId="2C34D7A6" w14:textId="77777777" w:rsidR="00C948C9" w:rsidRPr="000F30DD" w:rsidRDefault="00C948C9" w:rsidP="00C948C9">
      <w:pPr>
        <w:autoSpaceDE w:val="0"/>
        <w:autoSpaceDN w:val="0"/>
        <w:adjustRightInd w:val="0"/>
        <w:spacing w:after="0" w:line="276" w:lineRule="auto"/>
        <w:rPr>
          <w:rFonts w:ascii="Arial" w:hAnsi="Arial" w:cs="Arial"/>
          <w:b/>
          <w:bCs/>
          <w:color w:val="000000" w:themeColor="text1"/>
          <w:kern w:val="1"/>
          <w:sz w:val="22"/>
          <w:szCs w:val="22"/>
        </w:rPr>
      </w:pPr>
      <w:r w:rsidRPr="000F30DD">
        <w:rPr>
          <w:rFonts w:ascii="Arial" w:hAnsi="Arial" w:cs="Arial"/>
          <w:b/>
          <w:bCs/>
          <w:color w:val="000000" w:themeColor="text1"/>
          <w:kern w:val="1"/>
          <w:sz w:val="22"/>
          <w:szCs w:val="22"/>
        </w:rPr>
        <w:t xml:space="preserve">Figure 10. </w:t>
      </w:r>
      <w:proofErr w:type="spellStart"/>
      <w:r w:rsidRPr="000F30DD">
        <w:rPr>
          <w:rFonts w:ascii="Arial" w:hAnsi="Arial" w:cs="Arial"/>
          <w:b/>
          <w:bCs/>
          <w:color w:val="000000" w:themeColor="text1"/>
          <w:kern w:val="1"/>
          <w:sz w:val="22"/>
          <w:szCs w:val="22"/>
        </w:rPr>
        <w:t>TgAb</w:t>
      </w:r>
      <w:proofErr w:type="spellEnd"/>
      <w:r w:rsidRPr="000F30DD">
        <w:rPr>
          <w:rFonts w:ascii="Arial" w:hAnsi="Arial" w:cs="Arial"/>
          <w:b/>
          <w:bCs/>
          <w:color w:val="000000" w:themeColor="text1"/>
          <w:kern w:val="1"/>
          <w:sz w:val="22"/>
          <w:szCs w:val="22"/>
        </w:rPr>
        <w:t xml:space="preserve"> Measurements Made by Different Methods. Figure shows the relative </w:t>
      </w:r>
      <w:proofErr w:type="spellStart"/>
      <w:r w:rsidRPr="000F30DD">
        <w:rPr>
          <w:rFonts w:ascii="Arial" w:hAnsi="Arial" w:cs="Arial"/>
          <w:b/>
          <w:bCs/>
          <w:color w:val="000000" w:themeColor="text1"/>
          <w:kern w:val="1"/>
          <w:sz w:val="22"/>
          <w:szCs w:val="22"/>
        </w:rPr>
        <w:t>TgAb</w:t>
      </w:r>
      <w:proofErr w:type="spellEnd"/>
      <w:r w:rsidRPr="000F30DD">
        <w:rPr>
          <w:rFonts w:ascii="Arial" w:hAnsi="Arial" w:cs="Arial"/>
          <w:b/>
          <w:bCs/>
          <w:color w:val="000000" w:themeColor="text1"/>
          <w:kern w:val="1"/>
          <w:sz w:val="22"/>
          <w:szCs w:val="22"/>
        </w:rPr>
        <w:t xml:space="preserve"> concentrations reported for 143 DTC patient sera with evidence of </w:t>
      </w:r>
      <w:proofErr w:type="spellStart"/>
      <w:r w:rsidRPr="000F30DD">
        <w:rPr>
          <w:rFonts w:ascii="Arial" w:hAnsi="Arial" w:cs="Arial"/>
          <w:b/>
          <w:bCs/>
          <w:color w:val="000000" w:themeColor="text1"/>
          <w:kern w:val="1"/>
          <w:sz w:val="22"/>
          <w:szCs w:val="22"/>
        </w:rPr>
        <w:t>TgAb</w:t>
      </w:r>
      <w:proofErr w:type="spellEnd"/>
      <w:r w:rsidRPr="000F30DD">
        <w:rPr>
          <w:rFonts w:ascii="Arial" w:hAnsi="Arial" w:cs="Arial"/>
          <w:b/>
          <w:bCs/>
          <w:color w:val="000000" w:themeColor="text1"/>
          <w:kern w:val="1"/>
          <w:sz w:val="22"/>
          <w:szCs w:val="22"/>
        </w:rPr>
        <w:t xml:space="preserve"> interference with serum </w:t>
      </w:r>
      <w:proofErr w:type="spellStart"/>
      <w:r w:rsidRPr="000F30DD">
        <w:rPr>
          <w:rFonts w:ascii="Arial" w:hAnsi="Arial" w:cs="Arial"/>
          <w:b/>
          <w:bCs/>
          <w:color w:val="000000" w:themeColor="text1"/>
          <w:kern w:val="1"/>
          <w:sz w:val="22"/>
          <w:szCs w:val="22"/>
        </w:rPr>
        <w:t>Tg</w:t>
      </w:r>
      <w:proofErr w:type="spellEnd"/>
      <w:r w:rsidRPr="000F30DD">
        <w:rPr>
          <w:rFonts w:ascii="Arial" w:hAnsi="Arial" w:cs="Arial"/>
          <w:b/>
          <w:bCs/>
          <w:color w:val="000000" w:themeColor="text1"/>
          <w:kern w:val="1"/>
          <w:sz w:val="22"/>
          <w:szCs w:val="22"/>
        </w:rPr>
        <w:t xml:space="preserve"> measurements. Each serum was measured by four different methods each with a different manufacturer-recommended cutoff value for “</w:t>
      </w:r>
      <w:proofErr w:type="spellStart"/>
      <w:r w:rsidRPr="000F30DD">
        <w:rPr>
          <w:rFonts w:ascii="Arial" w:hAnsi="Arial" w:cs="Arial"/>
          <w:b/>
          <w:bCs/>
          <w:color w:val="000000" w:themeColor="text1"/>
          <w:kern w:val="1"/>
          <w:sz w:val="22"/>
          <w:szCs w:val="22"/>
        </w:rPr>
        <w:t>TgAb</w:t>
      </w:r>
      <w:proofErr w:type="spellEnd"/>
      <w:r w:rsidRPr="000F30DD">
        <w:rPr>
          <w:rFonts w:ascii="Arial" w:hAnsi="Arial" w:cs="Arial"/>
          <w:b/>
          <w:bCs/>
          <w:color w:val="000000" w:themeColor="text1"/>
          <w:kern w:val="1"/>
          <w:sz w:val="22"/>
          <w:szCs w:val="22"/>
        </w:rPr>
        <w:t xml:space="preserve"> positivity” (open bars) and with different experimentally determined (10) functional sensitivity limits (closed bars). From reference 45.</w:t>
      </w:r>
    </w:p>
    <w:p w14:paraId="0C31F0DF" w14:textId="77777777" w:rsidR="00C948C9" w:rsidRPr="00F82953" w:rsidRDefault="00C948C9" w:rsidP="00F82953">
      <w:pPr>
        <w:autoSpaceDE w:val="0"/>
        <w:autoSpaceDN w:val="0"/>
        <w:adjustRightInd w:val="0"/>
        <w:spacing w:after="0" w:line="276" w:lineRule="auto"/>
        <w:rPr>
          <w:rFonts w:ascii="Arial" w:hAnsi="Arial" w:cs="Arial"/>
          <w:kern w:val="1"/>
          <w:sz w:val="22"/>
          <w:szCs w:val="22"/>
        </w:rPr>
      </w:pPr>
    </w:p>
    <w:p w14:paraId="08C07C72" w14:textId="4759765D" w:rsidR="005C4829" w:rsidRPr="009B6DAB" w:rsidRDefault="005C4829" w:rsidP="00F82953">
      <w:pPr>
        <w:autoSpaceDE w:val="0"/>
        <w:autoSpaceDN w:val="0"/>
        <w:adjustRightInd w:val="0"/>
        <w:spacing w:after="0" w:line="276" w:lineRule="auto"/>
        <w:rPr>
          <w:rFonts w:ascii="Arial" w:hAnsi="Arial" w:cs="Arial"/>
          <w:color w:val="FF0000"/>
          <w:kern w:val="1"/>
          <w:sz w:val="22"/>
          <w:szCs w:val="22"/>
        </w:rPr>
      </w:pPr>
      <w:r w:rsidRPr="009B6DAB">
        <w:rPr>
          <w:rFonts w:ascii="Arial" w:hAnsi="Arial" w:cs="Arial"/>
          <w:color w:val="FF0000"/>
          <w:kern w:val="1"/>
          <w:sz w:val="22"/>
          <w:szCs w:val="22"/>
        </w:rPr>
        <w:t>C</w:t>
      </w:r>
      <w:r w:rsidR="009B6DAB" w:rsidRPr="009B6DAB">
        <w:rPr>
          <w:rFonts w:ascii="Arial" w:hAnsi="Arial" w:cs="Arial"/>
          <w:color w:val="FF0000"/>
          <w:kern w:val="1"/>
          <w:sz w:val="22"/>
          <w:szCs w:val="22"/>
        </w:rPr>
        <w:t xml:space="preserve">LINICAL UTILITY OF </w:t>
      </w:r>
      <w:proofErr w:type="spellStart"/>
      <w:r w:rsidRPr="009B6DAB">
        <w:rPr>
          <w:rFonts w:ascii="Arial" w:hAnsi="Arial" w:cs="Arial"/>
          <w:color w:val="FF0000"/>
          <w:kern w:val="1"/>
          <w:sz w:val="22"/>
          <w:szCs w:val="22"/>
        </w:rPr>
        <w:t>TgAb</w:t>
      </w:r>
      <w:proofErr w:type="spellEnd"/>
      <w:r w:rsidRPr="009B6DAB">
        <w:rPr>
          <w:rFonts w:ascii="Arial" w:hAnsi="Arial" w:cs="Arial"/>
          <w:color w:val="FF0000"/>
          <w:kern w:val="1"/>
          <w:sz w:val="22"/>
          <w:szCs w:val="22"/>
        </w:rPr>
        <w:t xml:space="preserve"> T</w:t>
      </w:r>
      <w:r w:rsidR="009B6DAB" w:rsidRPr="009B6DAB">
        <w:rPr>
          <w:rFonts w:ascii="Arial" w:hAnsi="Arial" w:cs="Arial"/>
          <w:color w:val="FF0000"/>
          <w:kern w:val="1"/>
          <w:sz w:val="22"/>
          <w:szCs w:val="22"/>
        </w:rPr>
        <w:t xml:space="preserve">ESTING </w:t>
      </w:r>
    </w:p>
    <w:p w14:paraId="3754D531" w14:textId="77777777" w:rsidR="00AB0DFB" w:rsidRDefault="00AB0DFB" w:rsidP="00AB0DFB">
      <w:pPr>
        <w:autoSpaceDE w:val="0"/>
        <w:autoSpaceDN w:val="0"/>
        <w:adjustRightInd w:val="0"/>
        <w:spacing w:after="0" w:line="276" w:lineRule="auto"/>
        <w:rPr>
          <w:rFonts w:ascii="Arial" w:hAnsi="Arial" w:cs="Arial"/>
          <w:kern w:val="1"/>
          <w:sz w:val="22"/>
          <w:szCs w:val="22"/>
        </w:rPr>
      </w:pPr>
    </w:p>
    <w:p w14:paraId="5B72E752" w14:textId="1E3455D6" w:rsidR="005C4829" w:rsidRPr="00F82953" w:rsidRDefault="005C4829" w:rsidP="00AB0DFB">
      <w:pPr>
        <w:autoSpaceDE w:val="0"/>
        <w:autoSpaceDN w:val="0"/>
        <w:adjustRightInd w:val="0"/>
        <w:spacing w:after="0" w:line="276" w:lineRule="auto"/>
        <w:rPr>
          <w:rFonts w:ascii="Arial" w:hAnsi="Arial" w:cs="Arial"/>
          <w:kern w:val="1"/>
          <w:sz w:val="22"/>
          <w:szCs w:val="22"/>
        </w:rPr>
      </w:pP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autoantibodies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are encountered in autoimmune thyroid conditions, usually in association with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(254,489,490). However, the NHANES III survey found that only three percent of subjects with no risk factors for thyroid disease had serum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present without detectable </w:t>
      </w:r>
      <w:proofErr w:type="spellStart"/>
      <w:r w:rsidRPr="00F82953">
        <w:rPr>
          <w:rFonts w:ascii="Arial" w:hAnsi="Arial" w:cs="Arial"/>
          <w:color w:val="000000" w:themeColor="text1"/>
          <w:kern w:val="1"/>
          <w:sz w:val="22"/>
          <w:szCs w:val="22"/>
        </w:rPr>
        <w:t>TPOAb</w:t>
      </w:r>
      <w:proofErr w:type="spellEnd"/>
      <w:r w:rsidRPr="00F82953">
        <w:rPr>
          <w:rFonts w:ascii="Arial" w:hAnsi="Arial" w:cs="Arial"/>
          <w:color w:val="000000" w:themeColor="text1"/>
          <w:kern w:val="1"/>
          <w:sz w:val="22"/>
          <w:szCs w:val="22"/>
        </w:rPr>
        <w:t xml:space="preserve"> (Figure </w:t>
      </w:r>
      <w:r w:rsidR="00DE2003">
        <w:rPr>
          <w:rFonts w:ascii="Arial" w:hAnsi="Arial" w:cs="Arial"/>
          <w:color w:val="000000" w:themeColor="text1"/>
          <w:kern w:val="1"/>
          <w:sz w:val="22"/>
          <w:szCs w:val="22"/>
        </w:rPr>
        <w:t>9</w:t>
      </w:r>
      <w:r w:rsidRPr="00F82953">
        <w:rPr>
          <w:rFonts w:ascii="Arial" w:hAnsi="Arial" w:cs="Arial"/>
          <w:color w:val="000000" w:themeColor="text1"/>
          <w:kern w:val="1"/>
          <w:sz w:val="22"/>
          <w:szCs w:val="22"/>
        </w:rPr>
        <w:t>) (254</w:t>
      </w:r>
      <w:r w:rsidRPr="00F82953">
        <w:rPr>
          <w:rFonts w:ascii="Arial" w:hAnsi="Arial" w:cs="Arial"/>
          <w:kern w:val="1"/>
          <w:sz w:val="22"/>
          <w:szCs w:val="22"/>
        </w:rPr>
        <w:t xml:space="preserve">,307). Furthermore, there was no association between the isolated presence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and TSH abnormalities in these subjects (254,307). This suggests that it is unnecessary to measure both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for a routine evaluation for thyroid autoimmunity (307,420,489)</w:t>
      </w:r>
      <w:r w:rsidR="00DE2003">
        <w:rPr>
          <w:rFonts w:ascii="Arial" w:hAnsi="Arial" w:cs="Arial"/>
          <w:kern w:val="1"/>
          <w:sz w:val="22"/>
          <w:szCs w:val="22"/>
        </w:rPr>
        <w:t>.</w:t>
      </w:r>
      <w:r w:rsidRPr="00F82953">
        <w:rPr>
          <w:rFonts w:ascii="Arial" w:hAnsi="Arial" w:cs="Arial"/>
          <w:kern w:val="1"/>
          <w:sz w:val="22"/>
          <w:szCs w:val="22"/>
        </w:rPr>
        <w:t xml:space="preserve"> However, when autoimmune thyroid disease is present, there is some evidence that assessing the combination of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has greater diagnostic utility than the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w:t>
      </w:r>
      <w:r w:rsidRPr="00F82953">
        <w:rPr>
          <w:rFonts w:ascii="Arial" w:hAnsi="Arial" w:cs="Arial"/>
          <w:color w:val="000000" w:themeColor="text1"/>
          <w:kern w:val="1"/>
          <w:sz w:val="22"/>
          <w:szCs w:val="22"/>
        </w:rPr>
        <w:t xml:space="preserve">measurement alone (Figure </w:t>
      </w:r>
      <w:r w:rsidR="00DE2003">
        <w:rPr>
          <w:rFonts w:ascii="Arial" w:hAnsi="Arial" w:cs="Arial"/>
          <w:color w:val="000000" w:themeColor="text1"/>
          <w:kern w:val="1"/>
          <w:sz w:val="22"/>
          <w:szCs w:val="22"/>
        </w:rPr>
        <w:t>9</w:t>
      </w:r>
      <w:r w:rsidRPr="00F82953">
        <w:rPr>
          <w:rFonts w:ascii="Arial" w:hAnsi="Arial" w:cs="Arial"/>
          <w:color w:val="000000" w:themeColor="text1"/>
          <w:kern w:val="1"/>
          <w:sz w:val="22"/>
          <w:szCs w:val="22"/>
        </w:rPr>
        <w:t>) (307</w:t>
      </w:r>
      <w:r w:rsidRPr="00F82953">
        <w:rPr>
          <w:rFonts w:ascii="Arial" w:hAnsi="Arial" w:cs="Arial"/>
          <w:kern w:val="1"/>
          <w:sz w:val="22"/>
          <w:szCs w:val="22"/>
        </w:rPr>
        <w:t xml:space="preserve">,489,490,518). In pregnant women, both </w:t>
      </w:r>
      <w:proofErr w:type="spellStart"/>
      <w:r w:rsidRPr="00F82953">
        <w:rPr>
          <w:rFonts w:ascii="Arial" w:hAnsi="Arial" w:cs="Arial"/>
          <w:kern w:val="1"/>
          <w:sz w:val="22"/>
          <w:szCs w:val="22"/>
        </w:rPr>
        <w:t>TPOAb</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-positivity have been shown to be risk factors for preterm birth (490).</w:t>
      </w:r>
    </w:p>
    <w:p w14:paraId="3ECE5A54" w14:textId="77777777" w:rsidR="009B6DAB" w:rsidRDefault="009B6DAB" w:rsidP="009B6DAB">
      <w:pPr>
        <w:autoSpaceDE w:val="0"/>
        <w:autoSpaceDN w:val="0"/>
        <w:adjustRightInd w:val="0"/>
        <w:spacing w:after="0" w:line="276" w:lineRule="auto"/>
        <w:rPr>
          <w:rFonts w:ascii="Arial" w:hAnsi="Arial" w:cs="Arial"/>
          <w:kern w:val="1"/>
          <w:sz w:val="22"/>
          <w:szCs w:val="22"/>
        </w:rPr>
      </w:pPr>
    </w:p>
    <w:p w14:paraId="622120AF" w14:textId="41D48B18" w:rsidR="005C4829" w:rsidRPr="00F82953" w:rsidRDefault="005C4829" w:rsidP="009B6DAB">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role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for monitoring patients with DTC is two-fold: 1) to authenticate that a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 is not compromised by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and 2) as an independent surrogate tumor-marker</w:t>
      </w:r>
      <w:r w:rsidRPr="00F82953">
        <w:rPr>
          <w:rFonts w:ascii="Arial" w:hAnsi="Arial" w:cs="Arial"/>
          <w:color w:val="FF0000"/>
          <w:kern w:val="1"/>
          <w:sz w:val="22"/>
          <w:szCs w:val="22"/>
        </w:rPr>
        <w:t xml:space="preserve"> </w:t>
      </w:r>
      <w:r w:rsidRPr="00F82953">
        <w:rPr>
          <w:rFonts w:ascii="Arial" w:hAnsi="Arial" w:cs="Arial"/>
          <w:kern w:val="1"/>
          <w:sz w:val="22"/>
          <w:szCs w:val="22"/>
        </w:rPr>
        <w:t>(519,520).</w:t>
      </w:r>
      <w:r w:rsidRPr="00F82953">
        <w:rPr>
          <w:rFonts w:ascii="Arial" w:hAnsi="Arial" w:cs="Arial"/>
          <w:color w:val="FF0000"/>
          <w:kern w:val="1"/>
          <w:sz w:val="22"/>
          <w:szCs w:val="22"/>
        </w:rPr>
        <w:t xml:space="preserve"> </w:t>
      </w:r>
      <w:r w:rsidRPr="00F82953">
        <w:rPr>
          <w:rFonts w:ascii="Arial" w:hAnsi="Arial" w:cs="Arial"/>
          <w:kern w:val="1"/>
          <w:sz w:val="22"/>
          <w:szCs w:val="22"/>
        </w:rPr>
        <w:t xml:space="preserve">Immunoassay methods detect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 approximately 25 percent of patients presenting with DTC, double the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prevalence of the general population (45,254,521,522). In patients with thyroid nodules the presence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is a risk factor for lymph node metastases (520,523,524) and may be a useful marker for papillary thyroid cancer in cases of indeterminate cytology (523,525,526). The prevalence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is typically higher in patients with papillary versus follicular tumors (22,510,519,527-529). After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patients are rendered disease-free by surgery,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concentrations typically progressively decline during the first few post-operative years and typically become undetectable after a median of three years of follow-up (22,530,531). In contrast, a rise in, or de novo appearance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is often the first indication of tumor recurrence (14,22,531,532). In patients with persistent disease, serially determined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concentrations may serve as an independent surrogate tumor marker for changes in tumor </w:t>
      </w:r>
      <w:r w:rsidRPr="00F82953">
        <w:rPr>
          <w:rFonts w:ascii="Arial" w:hAnsi="Arial" w:cs="Arial"/>
          <w:color w:val="000000" w:themeColor="text1"/>
          <w:kern w:val="1"/>
          <w:sz w:val="22"/>
          <w:szCs w:val="22"/>
        </w:rPr>
        <w:t xml:space="preserve">mass </w:t>
      </w:r>
      <w:r w:rsidR="00C904EE" w:rsidRPr="00F82953">
        <w:rPr>
          <w:rFonts w:ascii="Arial" w:hAnsi="Arial" w:cs="Arial"/>
          <w:color w:val="000000" w:themeColor="text1"/>
          <w:kern w:val="1"/>
          <w:sz w:val="22"/>
          <w:szCs w:val="22"/>
        </w:rPr>
        <w:t>(</w:t>
      </w:r>
      <w:r w:rsidRPr="00F82953">
        <w:rPr>
          <w:rFonts w:ascii="Arial" w:hAnsi="Arial" w:cs="Arial"/>
          <w:color w:val="000000" w:themeColor="text1"/>
          <w:kern w:val="1"/>
          <w:sz w:val="22"/>
          <w:szCs w:val="22"/>
        </w:rPr>
        <w:t>Figure 11</w:t>
      </w:r>
      <w:r w:rsidR="00C904EE" w:rsidRPr="00F82953">
        <w:rPr>
          <w:rFonts w:ascii="Arial" w:hAnsi="Arial" w:cs="Arial"/>
          <w:color w:val="000000" w:themeColor="text1"/>
          <w:kern w:val="1"/>
          <w:sz w:val="22"/>
          <w:szCs w:val="22"/>
        </w:rPr>
        <w:t>)</w:t>
      </w:r>
      <w:r w:rsidRPr="00F82953">
        <w:rPr>
          <w:rFonts w:ascii="Arial" w:hAnsi="Arial" w:cs="Arial"/>
          <w:color w:val="000000" w:themeColor="text1"/>
          <w:kern w:val="1"/>
          <w:sz w:val="22"/>
          <w:szCs w:val="22"/>
        </w:rPr>
        <w:t xml:space="preserve"> (14,17,22,520,530,531,533-536). However, the use of the </w:t>
      </w:r>
      <w:proofErr w:type="spellStart"/>
      <w:r w:rsidRPr="00F82953">
        <w:rPr>
          <w:rFonts w:ascii="Arial" w:hAnsi="Arial" w:cs="Arial"/>
          <w:color w:val="000000" w:themeColor="text1"/>
          <w:kern w:val="1"/>
          <w:sz w:val="22"/>
          <w:szCs w:val="22"/>
        </w:rPr>
        <w:t>TgAb</w:t>
      </w:r>
      <w:proofErr w:type="spellEnd"/>
      <w:r w:rsidRPr="00F82953">
        <w:rPr>
          <w:rFonts w:ascii="Arial" w:hAnsi="Arial" w:cs="Arial"/>
          <w:color w:val="000000" w:themeColor="text1"/>
          <w:kern w:val="1"/>
          <w:sz w:val="22"/>
          <w:szCs w:val="22"/>
        </w:rPr>
        <w:t xml:space="preserve"> trend as a surrogate tumor marker necessitates that </w:t>
      </w:r>
      <w:proofErr w:type="spellStart"/>
      <w:r w:rsidRPr="00F82953">
        <w:rPr>
          <w:rFonts w:ascii="Arial" w:hAnsi="Arial" w:cs="Arial"/>
          <w:color w:val="000000" w:themeColor="text1"/>
          <w:kern w:val="1"/>
          <w:sz w:val="22"/>
          <w:szCs w:val="22"/>
        </w:rPr>
        <w:t>TgAb</w:t>
      </w:r>
      <w:proofErr w:type="spellEnd"/>
      <w:r w:rsidRPr="00F82953">
        <w:rPr>
          <w:rFonts w:ascii="Arial" w:hAnsi="Arial" w:cs="Arial"/>
          <w:color w:val="000000" w:themeColor="text1"/>
          <w:kern w:val="1"/>
          <w:sz w:val="22"/>
          <w:szCs w:val="22"/>
        </w:rPr>
        <w:t xml:space="preserve"> be measured by the same method in preferably the same laboratory, because of the large differences in the sensitivities and cut off values for “positivity” between different methods (Figure </w:t>
      </w:r>
      <w:r w:rsidR="00420B34">
        <w:rPr>
          <w:rFonts w:ascii="Arial" w:hAnsi="Arial" w:cs="Arial"/>
          <w:color w:val="000000" w:themeColor="text1"/>
          <w:kern w:val="1"/>
          <w:sz w:val="22"/>
          <w:szCs w:val="22"/>
        </w:rPr>
        <w:t>10</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(9,45,511,512,514,519,521). </w:t>
      </w:r>
      <w:bookmarkStart w:id="0" w:name="_Hlk196978841"/>
    </w:p>
    <w:p w14:paraId="2BEFC8FE"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bookmarkEnd w:id="0"/>
    <w:p w14:paraId="611E2B31" w14:textId="08366234" w:rsidR="005C4829" w:rsidRPr="00392D1C" w:rsidRDefault="005C4829" w:rsidP="00F82953">
      <w:pPr>
        <w:autoSpaceDE w:val="0"/>
        <w:autoSpaceDN w:val="0"/>
        <w:adjustRightInd w:val="0"/>
        <w:spacing w:after="0" w:line="276" w:lineRule="auto"/>
        <w:rPr>
          <w:rFonts w:ascii="Arial" w:hAnsi="Arial" w:cs="Arial"/>
          <w:b/>
          <w:bCs/>
          <w:color w:val="0070C0"/>
          <w:kern w:val="1"/>
          <w:sz w:val="22"/>
          <w:szCs w:val="22"/>
        </w:rPr>
      </w:pPr>
      <w:r w:rsidRPr="00392D1C">
        <w:rPr>
          <w:rFonts w:ascii="Arial" w:hAnsi="Arial" w:cs="Arial"/>
          <w:b/>
          <w:bCs/>
          <w:color w:val="0070C0"/>
          <w:kern w:val="1"/>
          <w:sz w:val="22"/>
          <w:szCs w:val="22"/>
        </w:rPr>
        <w:t>T</w:t>
      </w:r>
      <w:r w:rsidR="00392D1C" w:rsidRPr="00392D1C">
        <w:rPr>
          <w:rFonts w:ascii="Arial" w:hAnsi="Arial" w:cs="Arial"/>
          <w:b/>
          <w:bCs/>
          <w:color w:val="0070C0"/>
          <w:kern w:val="1"/>
          <w:sz w:val="22"/>
          <w:szCs w:val="22"/>
        </w:rPr>
        <w:t xml:space="preserve">HYROGLOBULIN </w:t>
      </w:r>
      <w:r w:rsidRPr="00392D1C">
        <w:rPr>
          <w:rFonts w:ascii="Arial" w:hAnsi="Arial" w:cs="Arial"/>
          <w:b/>
          <w:bCs/>
          <w:color w:val="0070C0"/>
          <w:kern w:val="1"/>
          <w:sz w:val="22"/>
          <w:szCs w:val="22"/>
        </w:rPr>
        <w:t>(</w:t>
      </w:r>
      <w:proofErr w:type="spellStart"/>
      <w:r w:rsidRPr="00392D1C">
        <w:rPr>
          <w:rFonts w:ascii="Arial" w:hAnsi="Arial" w:cs="Arial"/>
          <w:b/>
          <w:bCs/>
          <w:color w:val="0070C0"/>
          <w:kern w:val="1"/>
          <w:sz w:val="22"/>
          <w:szCs w:val="22"/>
        </w:rPr>
        <w:t>Tg</w:t>
      </w:r>
      <w:proofErr w:type="spellEnd"/>
      <w:r w:rsidRPr="00392D1C">
        <w:rPr>
          <w:rFonts w:ascii="Arial" w:hAnsi="Arial" w:cs="Arial"/>
          <w:b/>
          <w:bCs/>
          <w:color w:val="0070C0"/>
          <w:kern w:val="1"/>
          <w:sz w:val="22"/>
          <w:szCs w:val="22"/>
        </w:rPr>
        <w:t xml:space="preserve">) </w:t>
      </w:r>
    </w:p>
    <w:p w14:paraId="5D6BDA14"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D9A24F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Thyroglobulin plays a central role in a variety of pathophysiologic thyroid conditions, including acting as an autoantigen for thyroid autoimmunity (421,509,537).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levels can serve as a marker for iodine status of a population (538-540) and genetic defects in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biosynthesis causing </w:t>
      </w:r>
      <w:proofErr w:type="spellStart"/>
      <w:r w:rsidRPr="00F82953">
        <w:rPr>
          <w:rFonts w:ascii="Arial" w:hAnsi="Arial" w:cs="Arial"/>
          <w:kern w:val="1"/>
          <w:sz w:val="22"/>
          <w:szCs w:val="22"/>
        </w:rPr>
        <w:t>dyshormonogenesis</w:t>
      </w:r>
      <w:proofErr w:type="spellEnd"/>
      <w:r w:rsidRPr="00F82953">
        <w:rPr>
          <w:rFonts w:ascii="Arial" w:hAnsi="Arial" w:cs="Arial"/>
          <w:kern w:val="1"/>
          <w:sz w:val="22"/>
          <w:szCs w:val="22"/>
        </w:rPr>
        <w:t xml:space="preserve"> can result in congenital hypothyroidism (10,541,542). Because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has a thyroid-tissue specific origin, a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 can be used to investigate the etiology of congenital hypothyroidism (athyreosis versus </w:t>
      </w:r>
      <w:proofErr w:type="spellStart"/>
      <w:r w:rsidRPr="00F82953">
        <w:rPr>
          <w:rFonts w:ascii="Arial" w:hAnsi="Arial" w:cs="Arial"/>
          <w:kern w:val="1"/>
          <w:sz w:val="22"/>
          <w:szCs w:val="22"/>
        </w:rPr>
        <w:t>dyshormonogenesis</w:t>
      </w:r>
      <w:proofErr w:type="spellEnd"/>
      <w:r w:rsidRPr="00F82953">
        <w:rPr>
          <w:rFonts w:ascii="Arial" w:hAnsi="Arial" w:cs="Arial"/>
          <w:kern w:val="1"/>
          <w:sz w:val="22"/>
          <w:szCs w:val="22"/>
        </w:rPr>
        <w:t xml:space="preserve">) (543,544). Likewise, a paradoxically low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can be used to distinguish factitious hyperthyroidism from the high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expected with endogenous hyperthyroidism (14,545-547). However, the primary clinical use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 is as a post-operative tumor-marker test used to monitor patients with follicular-derived (differentiated) thyroid cancer (DTC) (14,17,57,271,274,548-550). </w:t>
      </w:r>
    </w:p>
    <w:p w14:paraId="6D888FD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B03E85A" w14:textId="24496568"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Most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testing is currently by rapid, automated immunometric assays (IMA), most of which now have second generation functional sensitivity (FS≤ 0.1 µg/L) - a sensitivity level that obviates the need for recombinant human TSH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stimulation (57,274,551-554).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causes falsely low/undetectable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IMA tests and this is the major limitation of using IMA methodology since this direction of interference can mask disease (14,17,23,512,521,555,556). Currently, most laboratories first establish the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status of the specimen (negative or positive) and restrict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testing to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-negative sera, while reflexing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specimens to other methodologies believed less prone to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from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 RIA (14,274,512,521) or LC-MS/MS (14,24,43,555,557,558).</w:t>
      </w:r>
    </w:p>
    <w:p w14:paraId="4FF5A11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1D317B0C" w14:textId="5744A446" w:rsidR="005C4829" w:rsidRPr="00F50BF2" w:rsidRDefault="005C4829" w:rsidP="00F50BF2">
      <w:pPr>
        <w:pStyle w:val="ListParagraph"/>
        <w:autoSpaceDE w:val="0"/>
        <w:autoSpaceDN w:val="0"/>
        <w:adjustRightInd w:val="0"/>
        <w:spacing w:after="0" w:line="276" w:lineRule="auto"/>
        <w:ind w:left="0"/>
        <w:rPr>
          <w:rFonts w:ascii="Arial" w:hAnsi="Arial" w:cs="Arial"/>
          <w:b/>
          <w:bCs/>
          <w:color w:val="00B050"/>
          <w:kern w:val="1"/>
          <w:sz w:val="22"/>
          <w:szCs w:val="22"/>
        </w:rPr>
      </w:pPr>
      <w:r w:rsidRPr="00F50BF2">
        <w:rPr>
          <w:rFonts w:ascii="Arial" w:hAnsi="Arial" w:cs="Arial"/>
          <w:b/>
          <w:bCs/>
          <w:color w:val="00B050"/>
          <w:kern w:val="1"/>
          <w:sz w:val="22"/>
          <w:szCs w:val="22"/>
        </w:rPr>
        <w:lastRenderedPageBreak/>
        <w:t xml:space="preserve">Technical Limitations of </w:t>
      </w:r>
      <w:proofErr w:type="spellStart"/>
      <w:r w:rsidRPr="00F50BF2">
        <w:rPr>
          <w:rFonts w:ascii="Arial" w:hAnsi="Arial" w:cs="Arial"/>
          <w:b/>
          <w:bCs/>
          <w:color w:val="00B050"/>
          <w:kern w:val="1"/>
          <w:sz w:val="22"/>
          <w:szCs w:val="22"/>
        </w:rPr>
        <w:t>Tg</w:t>
      </w:r>
      <w:proofErr w:type="spellEnd"/>
      <w:r w:rsidRPr="00F50BF2">
        <w:rPr>
          <w:rFonts w:ascii="Arial" w:hAnsi="Arial" w:cs="Arial"/>
          <w:b/>
          <w:bCs/>
          <w:color w:val="00B050"/>
          <w:kern w:val="1"/>
          <w:sz w:val="22"/>
          <w:szCs w:val="22"/>
        </w:rPr>
        <w:t xml:space="preserve"> Methods</w:t>
      </w:r>
    </w:p>
    <w:p w14:paraId="15E041AF" w14:textId="77777777" w:rsidR="00872B84" w:rsidRPr="00F82953" w:rsidRDefault="00872B84" w:rsidP="00F82953">
      <w:pPr>
        <w:pStyle w:val="ListParagraph"/>
        <w:autoSpaceDE w:val="0"/>
        <w:autoSpaceDN w:val="0"/>
        <w:adjustRightInd w:val="0"/>
        <w:spacing w:after="0" w:line="276" w:lineRule="auto"/>
        <w:ind w:left="0"/>
        <w:rPr>
          <w:rFonts w:ascii="Arial" w:hAnsi="Arial" w:cs="Arial"/>
          <w:b/>
          <w:bCs/>
          <w:kern w:val="1"/>
          <w:sz w:val="22"/>
          <w:szCs w:val="22"/>
        </w:rPr>
      </w:pPr>
    </w:p>
    <w:p w14:paraId="0E4A3BBA" w14:textId="712E409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Thyroglobulin measurement remains technically challenging. Five methodologic problems impair the clinical utility of this test: (a) suboptimal functional sensitivity; (b) between-method biases; (c) "hook" problems (some IMA methods) and interferences caused by (e) Heterophile antibodies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w:t>
      </w:r>
      <w:r w:rsidRPr="00F82953">
        <w:rPr>
          <w:rFonts w:ascii="Arial" w:hAnsi="Arial" w:cs="Arial"/>
          <w:color w:val="FF0000"/>
          <w:kern w:val="1"/>
          <w:sz w:val="22"/>
          <w:szCs w:val="22"/>
        </w:rPr>
        <w:t xml:space="preserve"> </w:t>
      </w:r>
      <w:r w:rsidRPr="00F82953">
        <w:rPr>
          <w:rFonts w:ascii="Arial" w:hAnsi="Arial" w:cs="Arial"/>
          <w:kern w:val="1"/>
          <w:sz w:val="22"/>
          <w:szCs w:val="22"/>
        </w:rPr>
        <w:t xml:space="preserve">and/or (f)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w:t>
      </w:r>
      <w:r w:rsidRPr="00F82953">
        <w:rPr>
          <w:rFonts w:ascii="Arial" w:hAnsi="Arial" w:cs="Arial"/>
          <w:color w:val="000000" w:themeColor="text1"/>
          <w:kern w:val="1"/>
          <w:sz w:val="22"/>
          <w:szCs w:val="22"/>
        </w:rPr>
        <w:t>autoantibodies (</w:t>
      </w:r>
      <w:proofErr w:type="spellStart"/>
      <w:r w:rsidRPr="00F82953">
        <w:rPr>
          <w:rFonts w:ascii="Arial" w:hAnsi="Arial" w:cs="Arial"/>
          <w:color w:val="000000" w:themeColor="text1"/>
          <w:kern w:val="1"/>
          <w:sz w:val="22"/>
          <w:szCs w:val="22"/>
        </w:rPr>
        <w:t>TgAb</w:t>
      </w:r>
      <w:proofErr w:type="spellEnd"/>
      <w:r w:rsidRPr="00F82953">
        <w:rPr>
          <w:rFonts w:ascii="Arial" w:hAnsi="Arial" w:cs="Arial"/>
          <w:color w:val="000000" w:themeColor="text1"/>
          <w:kern w:val="1"/>
          <w:sz w:val="22"/>
          <w:szCs w:val="22"/>
        </w:rPr>
        <w:t>).</w:t>
      </w:r>
    </w:p>
    <w:p w14:paraId="50E2032B"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09A07618" w14:textId="6ADCE32D" w:rsidR="005C4829" w:rsidRPr="00F50BF2" w:rsidRDefault="005C4829" w:rsidP="00F50BF2">
      <w:pPr>
        <w:pStyle w:val="ListParagraph"/>
        <w:autoSpaceDE w:val="0"/>
        <w:autoSpaceDN w:val="0"/>
        <w:adjustRightInd w:val="0"/>
        <w:spacing w:after="0" w:line="276" w:lineRule="auto"/>
        <w:ind w:left="0"/>
        <w:rPr>
          <w:rFonts w:ascii="Arial" w:hAnsi="Arial" w:cs="Arial"/>
          <w:color w:val="FF0000"/>
          <w:kern w:val="1"/>
          <w:sz w:val="22"/>
          <w:szCs w:val="22"/>
        </w:rPr>
      </w:pPr>
      <w:proofErr w:type="spellStart"/>
      <w:r w:rsidRPr="00F50BF2">
        <w:rPr>
          <w:rFonts w:ascii="Arial" w:hAnsi="Arial" w:cs="Arial"/>
          <w:color w:val="FF0000"/>
          <w:kern w:val="1"/>
          <w:sz w:val="22"/>
          <w:szCs w:val="22"/>
        </w:rPr>
        <w:t>Tg</w:t>
      </w:r>
      <w:proofErr w:type="spellEnd"/>
      <w:r w:rsidRPr="00F50BF2">
        <w:rPr>
          <w:rFonts w:ascii="Arial" w:hAnsi="Arial" w:cs="Arial"/>
          <w:color w:val="FF0000"/>
          <w:kern w:val="1"/>
          <w:sz w:val="22"/>
          <w:szCs w:val="22"/>
        </w:rPr>
        <w:t xml:space="preserve"> A</w:t>
      </w:r>
      <w:r w:rsidR="00F50BF2" w:rsidRPr="00F50BF2">
        <w:rPr>
          <w:rFonts w:ascii="Arial" w:hAnsi="Arial" w:cs="Arial"/>
          <w:color w:val="FF0000"/>
          <w:kern w:val="1"/>
          <w:sz w:val="22"/>
          <w:szCs w:val="22"/>
        </w:rPr>
        <w:t xml:space="preserve">SSAY SENSITIVITY </w:t>
      </w:r>
      <w:r w:rsidRPr="00F50BF2">
        <w:rPr>
          <w:rFonts w:ascii="Arial" w:hAnsi="Arial" w:cs="Arial"/>
          <w:color w:val="FF0000"/>
          <w:kern w:val="1"/>
          <w:sz w:val="22"/>
          <w:szCs w:val="22"/>
        </w:rPr>
        <w:t xml:space="preserve"> </w:t>
      </w:r>
    </w:p>
    <w:p w14:paraId="64F1E95D" w14:textId="77777777" w:rsidR="00A446DD" w:rsidRPr="00F82953" w:rsidRDefault="00A446DD" w:rsidP="00F82953">
      <w:pPr>
        <w:pStyle w:val="ListParagraph"/>
        <w:autoSpaceDE w:val="0"/>
        <w:autoSpaceDN w:val="0"/>
        <w:adjustRightInd w:val="0"/>
        <w:spacing w:after="0" w:line="276" w:lineRule="auto"/>
        <w:ind w:left="0"/>
        <w:rPr>
          <w:rFonts w:ascii="Arial" w:hAnsi="Arial" w:cs="Arial"/>
          <w:b/>
          <w:bCs/>
          <w:kern w:val="1"/>
          <w:sz w:val="22"/>
          <w:szCs w:val="22"/>
        </w:rPr>
      </w:pPr>
    </w:p>
    <w:p w14:paraId="6BDF38A7" w14:textId="0643B9EF"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As with TSH, assay functional sensitivity (FS) represents the lowest analyte concentration that can be measured in human serum with 20 percent CV, calculated from runs made over a clinically relevant timespan (6 -12 months for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using at least two different lots of reagents (10). These stipulations are necessary because assay precision erodes over time, especially during the long clinical interval </w:t>
      </w:r>
      <w:r w:rsidR="004D3E47" w:rsidRPr="004D3E47">
        <w:rPr>
          <w:rFonts w:ascii="Arial" w:hAnsi="Arial" w:cs="Arial"/>
          <w:kern w:val="1"/>
          <w:sz w:val="22"/>
          <w:szCs w:val="22"/>
        </w:rPr>
        <w:t>(6-12 month)</w:t>
      </w:r>
      <w:r w:rsidR="004D3E47">
        <w:rPr>
          <w:rFonts w:ascii="Arial" w:hAnsi="Arial" w:cs="Arial"/>
          <w:kern w:val="1"/>
          <w:sz w:val="22"/>
          <w:szCs w:val="22"/>
        </w:rPr>
        <w:t xml:space="preserve"> </w:t>
      </w:r>
      <w:r w:rsidRPr="00F82953">
        <w:rPr>
          <w:rFonts w:ascii="Arial" w:hAnsi="Arial" w:cs="Arial"/>
          <w:kern w:val="1"/>
          <w:sz w:val="22"/>
          <w:szCs w:val="22"/>
        </w:rPr>
        <w:t xml:space="preserve">typically used when monitoring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as a tumor marker for DTC, during which time assay reagents and conditions can change (9,71,559). The use of FS as the assay sensitivity limit is more relevant than either a limit of detection (LOD) or limit of quantitation (LOQ) calculation - parameters that do not stipulate using a clinically relevant time span for assessing precision (10,560). The FS protocol (10) also stipulates that precision be determined in human sera rather than a commercial QC preparation, because instruments and methods are matrix-sensitive (72,560).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IMA methods should have precision determined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-negative human sera (560)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human serum pools should be used to determine the precision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methodologies used to measure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-positive specimens - most commonly RIA or LC-MS/MS.</w:t>
      </w:r>
    </w:p>
    <w:p w14:paraId="6F0025D0" w14:textId="77777777" w:rsidR="00A446DD" w:rsidRPr="00F82953" w:rsidRDefault="00A446DD" w:rsidP="00F82953">
      <w:pPr>
        <w:autoSpaceDE w:val="0"/>
        <w:autoSpaceDN w:val="0"/>
        <w:adjustRightInd w:val="0"/>
        <w:spacing w:after="0" w:line="276" w:lineRule="auto"/>
        <w:ind w:firstLine="720"/>
        <w:rPr>
          <w:rFonts w:ascii="Arial" w:hAnsi="Arial" w:cs="Arial"/>
          <w:kern w:val="1"/>
          <w:sz w:val="22"/>
          <w:szCs w:val="22"/>
        </w:rPr>
      </w:pPr>
    </w:p>
    <w:p w14:paraId="6D8D58E0" w14:textId="2A9D84B6" w:rsidR="005C4829" w:rsidRPr="00F82953" w:rsidRDefault="00A446DD"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In accord</w:t>
      </w:r>
      <w:r w:rsidR="005C4829" w:rsidRPr="00F82953">
        <w:rPr>
          <w:rFonts w:ascii="Arial" w:hAnsi="Arial" w:cs="Arial"/>
          <w:kern w:val="1"/>
          <w:sz w:val="22"/>
          <w:szCs w:val="22"/>
        </w:rPr>
        <w:t xml:space="preserve"> with TSH a generational approach to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assay nomenclature has been adopted (1,17). Early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RIAs (5) had FS approximating 1 μg/L and were designated "first generation" assays. Currently, some RIAs, IMAs and LC-MS/MS methods still only have first generation functional sensitivity (FS = 0.5-1.0 µg/L) (17,271,274,512,561,562). However, in recent years 2</w:t>
      </w:r>
      <w:r w:rsidR="005C4829" w:rsidRPr="00F82953">
        <w:rPr>
          <w:rFonts w:ascii="Arial" w:hAnsi="Arial" w:cs="Arial"/>
          <w:kern w:val="1"/>
          <w:sz w:val="22"/>
          <w:szCs w:val="22"/>
          <w:vertAlign w:val="superscript"/>
        </w:rPr>
        <w:t>nd</w:t>
      </w:r>
      <w:r w:rsidR="005C4829" w:rsidRPr="00F82953">
        <w:rPr>
          <w:rFonts w:ascii="Arial" w:hAnsi="Arial" w:cs="Arial"/>
          <w:kern w:val="1"/>
          <w:sz w:val="22"/>
          <w:szCs w:val="22"/>
        </w:rPr>
        <w:t xml:space="preserve"> generation assays (FS 0.05-0.10 µg/L) have become the standard of care (57,271,274,549,550,561,563). These second-generation tests obviate the need for recombinant human TSH (</w:t>
      </w:r>
      <w:proofErr w:type="spellStart"/>
      <w:r w:rsidR="005C4829" w:rsidRPr="00F82953">
        <w:rPr>
          <w:rFonts w:ascii="Arial" w:hAnsi="Arial" w:cs="Arial"/>
          <w:kern w:val="1"/>
          <w:sz w:val="22"/>
          <w:szCs w:val="22"/>
        </w:rPr>
        <w:t>rhTSH</w:t>
      </w:r>
      <w:proofErr w:type="spellEnd"/>
      <w:r w:rsidR="005C4829" w:rsidRPr="00F82953">
        <w:rPr>
          <w:rFonts w:ascii="Arial" w:hAnsi="Arial" w:cs="Arial"/>
          <w:kern w:val="1"/>
          <w:sz w:val="22"/>
          <w:szCs w:val="22"/>
        </w:rPr>
        <w:t xml:space="preserve">) stimulation, because basal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correlates with </w:t>
      </w:r>
      <w:proofErr w:type="spellStart"/>
      <w:r w:rsidR="005C4829" w:rsidRPr="00F82953">
        <w:rPr>
          <w:rFonts w:ascii="Arial" w:hAnsi="Arial" w:cs="Arial"/>
          <w:kern w:val="1"/>
          <w:sz w:val="22"/>
          <w:szCs w:val="22"/>
        </w:rPr>
        <w:t>rhTSH</w:t>
      </w:r>
      <w:proofErr w:type="spellEnd"/>
      <w:r w:rsidR="005C4829" w:rsidRPr="00F82953">
        <w:rPr>
          <w:rFonts w:ascii="Arial" w:hAnsi="Arial" w:cs="Arial"/>
          <w:kern w:val="1"/>
          <w:sz w:val="22"/>
          <w:szCs w:val="22"/>
        </w:rPr>
        <w:t xml:space="preserve">-stimulated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(17,57,561). However, the use of a second-generation assay does not eliminate the need for periodic ultrasound examinations, because many histologically confirmed lymph nodes metastases may not secrete enough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to be detected (14,563,564). </w:t>
      </w:r>
    </w:p>
    <w:p w14:paraId="62976D1A" w14:textId="77777777" w:rsidR="005C4829" w:rsidRPr="00F82953" w:rsidRDefault="005C4829" w:rsidP="00F82953">
      <w:pPr>
        <w:autoSpaceDE w:val="0"/>
        <w:autoSpaceDN w:val="0"/>
        <w:adjustRightInd w:val="0"/>
        <w:spacing w:after="0" w:line="276" w:lineRule="auto"/>
        <w:rPr>
          <w:rFonts w:ascii="Arial" w:hAnsi="Arial" w:cs="Arial"/>
          <w:i/>
          <w:iCs/>
          <w:kern w:val="1"/>
          <w:sz w:val="22"/>
          <w:szCs w:val="22"/>
        </w:rPr>
      </w:pPr>
    </w:p>
    <w:p w14:paraId="0226D691" w14:textId="38527D3D" w:rsidR="004B2215" w:rsidRPr="000E1730" w:rsidRDefault="005C4829" w:rsidP="006D6D7D">
      <w:pPr>
        <w:pStyle w:val="ListParagraph"/>
        <w:autoSpaceDE w:val="0"/>
        <w:autoSpaceDN w:val="0"/>
        <w:adjustRightInd w:val="0"/>
        <w:spacing w:after="0" w:line="276" w:lineRule="auto"/>
        <w:ind w:left="0"/>
        <w:rPr>
          <w:rFonts w:ascii="Arial" w:hAnsi="Arial" w:cs="Arial"/>
          <w:color w:val="FF0000"/>
          <w:kern w:val="1"/>
          <w:sz w:val="22"/>
          <w:szCs w:val="22"/>
        </w:rPr>
      </w:pPr>
      <w:r w:rsidRPr="000E1730">
        <w:rPr>
          <w:rFonts w:ascii="Arial" w:hAnsi="Arial" w:cs="Arial"/>
          <w:color w:val="FF0000"/>
          <w:kern w:val="1"/>
          <w:sz w:val="22"/>
          <w:szCs w:val="22"/>
        </w:rPr>
        <w:t>S</w:t>
      </w:r>
      <w:r w:rsidR="00B356BA" w:rsidRPr="000E1730">
        <w:rPr>
          <w:rFonts w:ascii="Arial" w:hAnsi="Arial" w:cs="Arial"/>
          <w:color w:val="FF0000"/>
          <w:kern w:val="1"/>
          <w:sz w:val="22"/>
          <w:szCs w:val="22"/>
        </w:rPr>
        <w:t xml:space="preserve">ERUM </w:t>
      </w:r>
      <w:proofErr w:type="spellStart"/>
      <w:r w:rsidR="00B356BA" w:rsidRPr="000E1730">
        <w:rPr>
          <w:rFonts w:ascii="Arial" w:hAnsi="Arial" w:cs="Arial"/>
          <w:color w:val="FF0000"/>
          <w:kern w:val="1"/>
          <w:sz w:val="22"/>
          <w:szCs w:val="22"/>
        </w:rPr>
        <w:t>T</w:t>
      </w:r>
      <w:r w:rsidRPr="000E1730">
        <w:rPr>
          <w:rFonts w:ascii="Arial" w:hAnsi="Arial" w:cs="Arial"/>
          <w:color w:val="FF0000"/>
          <w:kern w:val="1"/>
          <w:sz w:val="22"/>
          <w:szCs w:val="22"/>
        </w:rPr>
        <w:t>g</w:t>
      </w:r>
      <w:proofErr w:type="spellEnd"/>
      <w:r w:rsidRPr="000E1730">
        <w:rPr>
          <w:rFonts w:ascii="Arial" w:hAnsi="Arial" w:cs="Arial"/>
          <w:color w:val="FF0000"/>
          <w:kern w:val="1"/>
          <w:sz w:val="22"/>
          <w:szCs w:val="22"/>
        </w:rPr>
        <w:t xml:space="preserve"> R</w:t>
      </w:r>
      <w:r w:rsidR="00B356BA" w:rsidRPr="000E1730">
        <w:rPr>
          <w:rFonts w:ascii="Arial" w:hAnsi="Arial" w:cs="Arial"/>
          <w:color w:val="FF0000"/>
          <w:kern w:val="1"/>
          <w:sz w:val="22"/>
          <w:szCs w:val="22"/>
        </w:rPr>
        <w:t xml:space="preserve">EFERENCE RANGES </w:t>
      </w:r>
    </w:p>
    <w:p w14:paraId="4496B354" w14:textId="77777777" w:rsidR="006D6D7D" w:rsidRDefault="006D6D7D" w:rsidP="006D6D7D">
      <w:pPr>
        <w:autoSpaceDE w:val="0"/>
        <w:autoSpaceDN w:val="0"/>
        <w:adjustRightInd w:val="0"/>
        <w:spacing w:after="0" w:line="276" w:lineRule="auto"/>
        <w:rPr>
          <w:rFonts w:ascii="Arial" w:hAnsi="Arial" w:cs="Arial"/>
          <w:kern w:val="1"/>
          <w:sz w:val="22"/>
          <w:szCs w:val="22"/>
        </w:rPr>
      </w:pPr>
    </w:p>
    <w:p w14:paraId="1DD208AA" w14:textId="2FE6CEC2" w:rsidR="004B2215" w:rsidRPr="00F82953" w:rsidRDefault="005C4829" w:rsidP="006D6D7D">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adult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reference range approximates 2-40 µg/L (10,565). Newborn infants have a higher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that falls to the adult range after two years of age (566). However, most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testing is made following surgery (thyroidectomy or lobectomy) for DTC,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reference range is only relevant in the preoperative period (567-570). Different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methods may report two-fold differences in numeric values for the same serum specimen (14,274,571). This between-method variability reflects differences in assay standardization as well as the assay specificity for detecting different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isoforms in the serum (512,572-576). When evaluating a thyroidectomized </w:t>
      </w:r>
      <w:r w:rsidRPr="00F82953">
        <w:rPr>
          <w:rFonts w:ascii="Arial" w:hAnsi="Arial" w:cs="Arial"/>
          <w:kern w:val="1"/>
          <w:sz w:val="22"/>
          <w:szCs w:val="22"/>
        </w:rPr>
        <w:lastRenderedPageBreak/>
        <w:t>patient, the assay reference range should be adjusted for thyroid mass (thyroidectomy versus lobectomy) as well as the TSH status of the patient (10,570).</w:t>
      </w:r>
    </w:p>
    <w:p w14:paraId="1829E5AA" w14:textId="77777777" w:rsidR="004B2215" w:rsidRPr="00F82953" w:rsidRDefault="004B2215" w:rsidP="00F82953">
      <w:pPr>
        <w:pStyle w:val="ListParagraph"/>
        <w:autoSpaceDE w:val="0"/>
        <w:autoSpaceDN w:val="0"/>
        <w:adjustRightInd w:val="0"/>
        <w:spacing w:after="0" w:line="276" w:lineRule="auto"/>
        <w:ind w:left="0"/>
        <w:rPr>
          <w:rFonts w:ascii="Arial" w:hAnsi="Arial" w:cs="Arial"/>
          <w:b/>
          <w:bCs/>
          <w:kern w:val="1"/>
          <w:sz w:val="22"/>
          <w:szCs w:val="22"/>
        </w:rPr>
      </w:pPr>
    </w:p>
    <w:p w14:paraId="757DF78C" w14:textId="328920E1" w:rsidR="004B2215" w:rsidRPr="00237A59" w:rsidRDefault="005C4829" w:rsidP="000E1730">
      <w:pPr>
        <w:pStyle w:val="ListParagraph"/>
        <w:autoSpaceDE w:val="0"/>
        <w:autoSpaceDN w:val="0"/>
        <w:adjustRightInd w:val="0"/>
        <w:spacing w:after="0" w:line="276" w:lineRule="auto"/>
        <w:ind w:left="0"/>
        <w:rPr>
          <w:rFonts w:ascii="Arial" w:hAnsi="Arial" w:cs="Arial"/>
          <w:kern w:val="1"/>
          <w:sz w:val="22"/>
          <w:szCs w:val="22"/>
        </w:rPr>
      </w:pPr>
      <w:r w:rsidRPr="00237A59">
        <w:rPr>
          <w:rFonts w:ascii="Arial" w:hAnsi="Arial" w:cs="Arial"/>
          <w:color w:val="FF0000"/>
          <w:kern w:val="1"/>
          <w:sz w:val="22"/>
          <w:szCs w:val="22"/>
        </w:rPr>
        <w:t>B</w:t>
      </w:r>
      <w:r w:rsidR="00CA140D" w:rsidRPr="00237A59">
        <w:rPr>
          <w:rFonts w:ascii="Arial" w:hAnsi="Arial" w:cs="Arial"/>
          <w:color w:val="FF0000"/>
          <w:kern w:val="1"/>
          <w:sz w:val="22"/>
          <w:szCs w:val="22"/>
        </w:rPr>
        <w:t xml:space="preserve">ETWEEN METHOD </w:t>
      </w:r>
      <w:proofErr w:type="spellStart"/>
      <w:r w:rsidR="00237A59" w:rsidRPr="00237A59">
        <w:rPr>
          <w:rFonts w:ascii="Arial" w:hAnsi="Arial" w:cs="Arial"/>
          <w:color w:val="FF0000"/>
          <w:kern w:val="1"/>
          <w:sz w:val="22"/>
          <w:szCs w:val="22"/>
        </w:rPr>
        <w:t>Tg</w:t>
      </w:r>
      <w:proofErr w:type="spellEnd"/>
      <w:r w:rsidR="00237A59" w:rsidRPr="00237A59">
        <w:rPr>
          <w:rFonts w:ascii="Arial" w:hAnsi="Arial" w:cs="Arial"/>
          <w:color w:val="FF0000"/>
          <w:kern w:val="1"/>
          <w:sz w:val="22"/>
          <w:szCs w:val="22"/>
        </w:rPr>
        <w:t xml:space="preserve"> BIASES</w:t>
      </w:r>
      <w:r w:rsidR="00237A59" w:rsidRPr="00237A59">
        <w:rPr>
          <w:rFonts w:ascii="Arial" w:hAnsi="Arial" w:cs="Arial"/>
          <w:kern w:val="1"/>
          <w:sz w:val="22"/>
          <w:szCs w:val="22"/>
        </w:rPr>
        <w:t xml:space="preserve"> </w:t>
      </w:r>
    </w:p>
    <w:p w14:paraId="5F7B8274" w14:textId="77777777" w:rsidR="00CA140D" w:rsidRDefault="00CA140D" w:rsidP="00CA140D">
      <w:pPr>
        <w:autoSpaceDE w:val="0"/>
        <w:autoSpaceDN w:val="0"/>
        <w:adjustRightInd w:val="0"/>
        <w:spacing w:after="0" w:line="276" w:lineRule="auto"/>
        <w:rPr>
          <w:rFonts w:ascii="Arial" w:hAnsi="Arial" w:cs="Arial"/>
          <w:kern w:val="1"/>
          <w:sz w:val="22"/>
          <w:szCs w:val="22"/>
        </w:rPr>
      </w:pPr>
    </w:p>
    <w:p w14:paraId="5A2B29CD" w14:textId="2F58E0A1" w:rsidR="005C4829" w:rsidRPr="00F82953" w:rsidRDefault="005C4829" w:rsidP="00CA140D">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Thyroglobulin in frozen sera is remarkably stable. The between-run precision for repetitive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measurements made over 6-12 months (the typical DTC monitoring interval), approximates 10 percent. In contrast, between-method variability can exceed 30 percent (14,274,516,571) despite CRM-457 standardization (584,585). In fact, in some cases different methods can report more </w:t>
      </w:r>
      <w:r w:rsidR="009556F4">
        <w:rPr>
          <w:rFonts w:ascii="Arial" w:hAnsi="Arial" w:cs="Arial"/>
          <w:kern w:val="1"/>
          <w:sz w:val="22"/>
          <w:szCs w:val="22"/>
        </w:rPr>
        <w:t xml:space="preserve">than </w:t>
      </w:r>
      <w:r w:rsidRPr="00F82953">
        <w:rPr>
          <w:rFonts w:ascii="Arial" w:hAnsi="Arial" w:cs="Arial"/>
          <w:kern w:val="1"/>
          <w:sz w:val="22"/>
          <w:szCs w:val="22"/>
        </w:rPr>
        <w:t xml:space="preserve">a two-fold difference in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for the same serum specimen (14,274,571). This between-method variability significantly exceeds the biologic variability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normal euthyroid subjects (~16 %) (559,577). </w:t>
      </w:r>
      <w:r w:rsidRPr="00F82953">
        <w:rPr>
          <w:rFonts w:ascii="Arial" w:hAnsi="Arial" w:cs="Arial"/>
          <w:color w:val="FF0000"/>
          <w:kern w:val="1"/>
          <w:sz w:val="22"/>
          <w:szCs w:val="22"/>
        </w:rPr>
        <w:t xml:space="preserve"> </w:t>
      </w:r>
      <w:r w:rsidRPr="00F82953">
        <w:rPr>
          <w:rFonts w:ascii="Arial" w:hAnsi="Arial" w:cs="Arial"/>
          <w:kern w:val="1"/>
          <w:sz w:val="22"/>
          <w:szCs w:val="22"/>
        </w:rPr>
        <w:t xml:space="preserve">This between-method variability reflects matrix differences between methods as well as specificity differences for detecting different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isoforms in the serum (45,512,572-574,576). </w:t>
      </w:r>
    </w:p>
    <w:p w14:paraId="44EF8420"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479E1CCD" w14:textId="77777777" w:rsidR="00D12629" w:rsidRPr="00F82953" w:rsidRDefault="00D126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Some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should be detected in all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-negative normal euthyroid subjects when using a second-generation IMA method standardized against the International Reference Preparation CRM-457. Although the intra-individual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variability is relatively narrow (CV ~15 %) (577),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population reference range is quite broad (2-40 µg/L) (512,565,575,578)</w:t>
      </w:r>
      <w:r w:rsidRPr="00F82953">
        <w:rPr>
          <w:rFonts w:ascii="Arial" w:hAnsi="Arial" w:cs="Arial"/>
          <w:i/>
          <w:iCs/>
          <w:kern w:val="1"/>
          <w:sz w:val="22"/>
          <w:szCs w:val="22"/>
        </w:rPr>
        <w:t>.</w:t>
      </w:r>
      <w:r w:rsidRPr="00F82953">
        <w:rPr>
          <w:rFonts w:ascii="Arial" w:hAnsi="Arial" w:cs="Arial"/>
          <w:kern w:val="1"/>
          <w:sz w:val="22"/>
          <w:szCs w:val="22"/>
        </w:rPr>
        <w:t xml:space="preserve"> It follows that 1 gram of normal thyroid tissue gives rise to ~1.0 µg/L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the circulation, unless TSH is elevated (10,579). Following a lobectomy, euthyroid patients should be evaluated using a mass-adjusted reference range (1.5 - 20 µg/L). The range should be lowered a further 50 percent (0.75 - 10 µg/L) during TSH-suppression (10,570). After thyroidectomy, the typical 1-to-2-gram thyroid remnant (580) would be expected to produce a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below 2 µg/L (at low-normal TSH) (581,582). By this same reasoning, truly athyreotic patients would be expected to have no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detected irrespective of their TSH status (10). However, a rising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trend after lobectomy in the absence of recurrent disease is not unexpected due to a compensatory increase in normal remnant tissue (583).</w:t>
      </w:r>
    </w:p>
    <w:p w14:paraId="17C3CFEC" w14:textId="77777777" w:rsidR="00D12629" w:rsidRPr="00F82953" w:rsidRDefault="00D12629" w:rsidP="00F82953">
      <w:pPr>
        <w:autoSpaceDE w:val="0"/>
        <w:autoSpaceDN w:val="0"/>
        <w:adjustRightInd w:val="0"/>
        <w:spacing w:after="0" w:line="276" w:lineRule="auto"/>
        <w:rPr>
          <w:rFonts w:ascii="Arial" w:hAnsi="Arial" w:cs="Arial"/>
          <w:i/>
          <w:iCs/>
          <w:color w:val="000000" w:themeColor="text1"/>
          <w:kern w:val="1"/>
          <w:sz w:val="22"/>
          <w:szCs w:val="22"/>
        </w:rPr>
      </w:pPr>
    </w:p>
    <w:p w14:paraId="4E0C5658" w14:textId="77777777" w:rsidR="00D12629" w:rsidRPr="00F82953" w:rsidRDefault="00D126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Since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interferes with different methods to differing extents (14,45,586), a false negative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test could also lead to significant between-method differences with the potential to disrupt serial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monitoring and negatively impact clinical management (516). Between method variability is the reason current guidelines stress the necessity of using the same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method (and preferably the same laboratory) for monitoring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trends and the need to re-baseline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level if a change in method becomes necessary (57,587).</w:t>
      </w:r>
    </w:p>
    <w:p w14:paraId="11B029C6" w14:textId="77777777" w:rsidR="00171D22" w:rsidRPr="00F82953" w:rsidRDefault="00171D22" w:rsidP="00F82953">
      <w:pPr>
        <w:autoSpaceDE w:val="0"/>
        <w:autoSpaceDN w:val="0"/>
        <w:adjustRightInd w:val="0"/>
        <w:spacing w:after="0" w:line="276" w:lineRule="auto"/>
        <w:rPr>
          <w:rFonts w:ascii="Arial" w:hAnsi="Arial" w:cs="Arial"/>
          <w:kern w:val="1"/>
          <w:sz w:val="22"/>
          <w:szCs w:val="22"/>
        </w:rPr>
      </w:pPr>
    </w:p>
    <w:p w14:paraId="59E55359" w14:textId="7B0288BF" w:rsidR="00872B84" w:rsidRPr="00F82953" w:rsidRDefault="005932A4" w:rsidP="00F82953">
      <w:pPr>
        <w:autoSpaceDE w:val="0"/>
        <w:autoSpaceDN w:val="0"/>
        <w:adjustRightInd w:val="0"/>
        <w:spacing w:after="0" w:line="276" w:lineRule="auto"/>
        <w:rPr>
          <w:rFonts w:ascii="Arial" w:hAnsi="Arial" w:cs="Arial"/>
          <w:b/>
          <w:bCs/>
          <w:kern w:val="1"/>
          <w:sz w:val="22"/>
          <w:szCs w:val="22"/>
        </w:rPr>
      </w:pPr>
      <w:r>
        <w:rPr>
          <w:rFonts w:ascii="Arial" w:hAnsi="Arial" w:cs="Arial"/>
          <w:b/>
          <w:bCs/>
          <w:noProof/>
          <w:kern w:val="1"/>
          <w:sz w:val="22"/>
          <w:szCs w:val="22"/>
        </w:rPr>
        <w:lastRenderedPageBreak/>
        <w:drawing>
          <wp:inline distT="0" distB="0" distL="0" distR="0" wp14:anchorId="2B44F4C9" wp14:editId="3616B6A8">
            <wp:extent cx="5943600" cy="4250055"/>
            <wp:effectExtent l="0" t="0" r="0" b="0"/>
            <wp:docPr id="1487658483"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58483" name="Picture 1487658483"/>
                    <pic:cNvPicPr/>
                  </pic:nvPicPr>
                  <pic:blipFill>
                    <a:blip r:embed="rId15">
                      <a:extLst>
                        <a:ext uri="{28A0092B-C50C-407E-A947-70E740481C1C}">
                          <a14:useLocalDpi xmlns:a14="http://schemas.microsoft.com/office/drawing/2010/main" val="0"/>
                        </a:ext>
                      </a:extLst>
                    </a:blip>
                    <a:stretch>
                      <a:fillRect/>
                    </a:stretch>
                  </pic:blipFill>
                  <pic:spPr>
                    <a:xfrm>
                      <a:off x="0" y="0"/>
                      <a:ext cx="5943600" cy="4250055"/>
                    </a:xfrm>
                    <a:prstGeom prst="rect">
                      <a:avLst/>
                    </a:prstGeom>
                  </pic:spPr>
                </pic:pic>
              </a:graphicData>
            </a:graphic>
          </wp:inline>
        </w:drawing>
      </w:r>
    </w:p>
    <w:p w14:paraId="2CD10475" w14:textId="77D4A559" w:rsidR="00872B84" w:rsidRPr="003C4DB7" w:rsidRDefault="00237A59" w:rsidP="00F82953">
      <w:pPr>
        <w:autoSpaceDE w:val="0"/>
        <w:autoSpaceDN w:val="0"/>
        <w:adjustRightInd w:val="0"/>
        <w:spacing w:after="0" w:line="276" w:lineRule="auto"/>
        <w:rPr>
          <w:rFonts w:ascii="Arial" w:hAnsi="Arial" w:cs="Arial"/>
          <w:b/>
          <w:bCs/>
          <w:color w:val="000000" w:themeColor="text1"/>
          <w:kern w:val="1"/>
          <w:sz w:val="22"/>
          <w:szCs w:val="22"/>
        </w:rPr>
      </w:pPr>
      <w:r w:rsidRPr="003C4DB7">
        <w:rPr>
          <w:rFonts w:ascii="Arial" w:hAnsi="Arial" w:cs="Arial"/>
          <w:b/>
          <w:bCs/>
          <w:color w:val="000000" w:themeColor="text1"/>
          <w:kern w:val="1"/>
          <w:sz w:val="22"/>
          <w:szCs w:val="22"/>
        </w:rPr>
        <w:t xml:space="preserve">Figure 11. Between-Method Serum </w:t>
      </w:r>
      <w:proofErr w:type="spellStart"/>
      <w:r w:rsidRPr="003C4DB7">
        <w:rPr>
          <w:rFonts w:ascii="Arial" w:hAnsi="Arial" w:cs="Arial"/>
          <w:b/>
          <w:bCs/>
          <w:color w:val="000000" w:themeColor="text1"/>
          <w:kern w:val="1"/>
          <w:sz w:val="22"/>
          <w:szCs w:val="22"/>
        </w:rPr>
        <w:t>Tg</w:t>
      </w:r>
      <w:proofErr w:type="spellEnd"/>
      <w:r w:rsidRPr="003C4DB7">
        <w:rPr>
          <w:rFonts w:ascii="Arial" w:hAnsi="Arial" w:cs="Arial"/>
          <w:b/>
          <w:bCs/>
          <w:color w:val="000000" w:themeColor="text1"/>
          <w:kern w:val="1"/>
          <w:sz w:val="22"/>
          <w:szCs w:val="22"/>
        </w:rPr>
        <w:t xml:space="preserve"> Variability in DTC Patients +/- </w:t>
      </w:r>
      <w:proofErr w:type="spellStart"/>
      <w:r w:rsidRPr="003C4DB7">
        <w:rPr>
          <w:rFonts w:ascii="Arial" w:hAnsi="Arial" w:cs="Arial"/>
          <w:b/>
          <w:bCs/>
          <w:color w:val="000000" w:themeColor="text1"/>
          <w:kern w:val="1"/>
          <w:sz w:val="22"/>
          <w:szCs w:val="22"/>
        </w:rPr>
        <w:t>TgAb</w:t>
      </w:r>
      <w:proofErr w:type="spellEnd"/>
      <w:r w:rsidRPr="003C4DB7">
        <w:rPr>
          <w:rFonts w:ascii="Arial" w:hAnsi="Arial" w:cs="Arial"/>
          <w:b/>
          <w:bCs/>
          <w:color w:val="000000" w:themeColor="text1"/>
          <w:kern w:val="1"/>
          <w:sz w:val="22"/>
          <w:szCs w:val="22"/>
        </w:rPr>
        <w:t xml:space="preserve">. </w:t>
      </w:r>
      <w:r w:rsidR="00821B71" w:rsidRPr="003C4DB7">
        <w:rPr>
          <w:rFonts w:ascii="Arial" w:hAnsi="Arial" w:cs="Arial"/>
          <w:b/>
          <w:bCs/>
          <w:color w:val="000000" w:themeColor="text1"/>
          <w:kern w:val="1"/>
          <w:sz w:val="22"/>
          <w:szCs w:val="22"/>
        </w:rPr>
        <w:t>S</w:t>
      </w:r>
      <w:r w:rsidR="00872B84" w:rsidRPr="003C4DB7">
        <w:rPr>
          <w:rFonts w:ascii="Arial" w:hAnsi="Arial" w:cs="Arial"/>
          <w:b/>
          <w:bCs/>
          <w:color w:val="000000" w:themeColor="text1"/>
          <w:kern w:val="1"/>
          <w:sz w:val="22"/>
          <w:szCs w:val="22"/>
        </w:rPr>
        <w:t xml:space="preserve">erum </w:t>
      </w:r>
      <w:proofErr w:type="spellStart"/>
      <w:r w:rsidR="00872B84" w:rsidRPr="003C4DB7">
        <w:rPr>
          <w:rFonts w:ascii="Arial" w:hAnsi="Arial" w:cs="Arial"/>
          <w:b/>
          <w:bCs/>
          <w:color w:val="000000" w:themeColor="text1"/>
          <w:kern w:val="1"/>
          <w:sz w:val="22"/>
          <w:szCs w:val="22"/>
        </w:rPr>
        <w:t>Tg</w:t>
      </w:r>
      <w:proofErr w:type="spellEnd"/>
      <w:r w:rsidR="00872B84" w:rsidRPr="003C4DB7">
        <w:rPr>
          <w:rFonts w:ascii="Arial" w:hAnsi="Arial" w:cs="Arial"/>
          <w:b/>
          <w:bCs/>
          <w:color w:val="000000" w:themeColor="text1"/>
          <w:kern w:val="1"/>
          <w:sz w:val="22"/>
          <w:szCs w:val="22"/>
        </w:rPr>
        <w:t xml:space="preserve"> measured by different methodologies in patients with distant metastatic DTC who were either </w:t>
      </w:r>
      <w:proofErr w:type="spellStart"/>
      <w:r w:rsidR="00872B84" w:rsidRPr="003C4DB7">
        <w:rPr>
          <w:rFonts w:ascii="Arial" w:hAnsi="Arial" w:cs="Arial"/>
          <w:b/>
          <w:bCs/>
          <w:color w:val="000000" w:themeColor="text1"/>
          <w:kern w:val="1"/>
          <w:sz w:val="22"/>
          <w:szCs w:val="22"/>
        </w:rPr>
        <w:t>TgAb</w:t>
      </w:r>
      <w:proofErr w:type="spellEnd"/>
      <w:r w:rsidR="00872B84" w:rsidRPr="003C4DB7">
        <w:rPr>
          <w:rFonts w:ascii="Arial" w:hAnsi="Arial" w:cs="Arial"/>
          <w:b/>
          <w:bCs/>
          <w:color w:val="000000" w:themeColor="text1"/>
          <w:kern w:val="1"/>
          <w:sz w:val="22"/>
          <w:szCs w:val="22"/>
        </w:rPr>
        <w:t xml:space="preserve">-negative (panel A) or </w:t>
      </w:r>
      <w:proofErr w:type="spellStart"/>
      <w:r w:rsidR="00872B84" w:rsidRPr="003C4DB7">
        <w:rPr>
          <w:rFonts w:ascii="Arial" w:hAnsi="Arial" w:cs="Arial"/>
          <w:b/>
          <w:bCs/>
          <w:color w:val="000000" w:themeColor="text1"/>
          <w:kern w:val="1"/>
          <w:sz w:val="22"/>
          <w:szCs w:val="22"/>
        </w:rPr>
        <w:t>TgAb</w:t>
      </w:r>
      <w:proofErr w:type="spellEnd"/>
      <w:r w:rsidR="00872B84" w:rsidRPr="003C4DB7">
        <w:rPr>
          <w:rFonts w:ascii="Arial" w:hAnsi="Arial" w:cs="Arial"/>
          <w:b/>
          <w:bCs/>
          <w:color w:val="000000" w:themeColor="text1"/>
          <w:kern w:val="1"/>
          <w:sz w:val="22"/>
          <w:szCs w:val="22"/>
        </w:rPr>
        <w:t xml:space="preserve">-positive (panel B). Three </w:t>
      </w:r>
      <w:proofErr w:type="spellStart"/>
      <w:r w:rsidR="00872B84" w:rsidRPr="003C4DB7">
        <w:rPr>
          <w:rFonts w:ascii="Arial" w:hAnsi="Arial" w:cs="Arial"/>
          <w:b/>
          <w:bCs/>
          <w:color w:val="000000" w:themeColor="text1"/>
          <w:kern w:val="1"/>
          <w:sz w:val="22"/>
          <w:szCs w:val="22"/>
        </w:rPr>
        <w:t>Tg</w:t>
      </w:r>
      <w:proofErr w:type="spellEnd"/>
      <w:r w:rsidR="00872B84" w:rsidRPr="003C4DB7">
        <w:rPr>
          <w:rFonts w:ascii="Arial" w:hAnsi="Arial" w:cs="Arial"/>
          <w:b/>
          <w:bCs/>
          <w:color w:val="000000" w:themeColor="text1"/>
          <w:kern w:val="1"/>
          <w:sz w:val="22"/>
          <w:szCs w:val="22"/>
        </w:rPr>
        <w:t xml:space="preserve"> methodologies were compared: IMA, LC-MS/MS (MS-M = Mayo; MS-Q = Quest), and RIA. </w:t>
      </w:r>
      <w:proofErr w:type="spellStart"/>
      <w:r w:rsidR="00872B84" w:rsidRPr="003C4DB7">
        <w:rPr>
          <w:rFonts w:ascii="Arial" w:hAnsi="Arial" w:cs="Arial"/>
          <w:b/>
          <w:bCs/>
          <w:color w:val="000000" w:themeColor="text1"/>
          <w:kern w:val="1"/>
          <w:sz w:val="22"/>
          <w:szCs w:val="22"/>
        </w:rPr>
        <w:t>Tg</w:t>
      </w:r>
      <w:proofErr w:type="spellEnd"/>
      <w:r w:rsidR="00872B84" w:rsidRPr="003C4DB7">
        <w:rPr>
          <w:rFonts w:ascii="Arial" w:hAnsi="Arial" w:cs="Arial"/>
          <w:b/>
          <w:bCs/>
          <w:color w:val="000000" w:themeColor="text1"/>
          <w:kern w:val="1"/>
          <w:sz w:val="22"/>
          <w:szCs w:val="22"/>
        </w:rPr>
        <w:t xml:space="preserve"> measurements below the assay FS limit are indicated in the shaded areas and expressed as a percentage relative to the total number of tests performed with that method. Patients who died of DTC-related complications are shown by solid symbols. From reference 14.</w:t>
      </w:r>
    </w:p>
    <w:p w14:paraId="70DFE0BF" w14:textId="77777777" w:rsidR="00872B84" w:rsidRPr="00F82953" w:rsidRDefault="00872B84" w:rsidP="00F82953">
      <w:pPr>
        <w:autoSpaceDE w:val="0"/>
        <w:autoSpaceDN w:val="0"/>
        <w:adjustRightInd w:val="0"/>
        <w:spacing w:after="0" w:line="276" w:lineRule="auto"/>
        <w:rPr>
          <w:rFonts w:ascii="Arial" w:hAnsi="Arial" w:cs="Arial"/>
          <w:b/>
          <w:bCs/>
          <w:kern w:val="1"/>
          <w:sz w:val="22"/>
          <w:szCs w:val="22"/>
        </w:rPr>
      </w:pPr>
    </w:p>
    <w:p w14:paraId="33AC939F" w14:textId="48DBFF5D" w:rsidR="005C4829" w:rsidRPr="000718B0" w:rsidRDefault="005C4829" w:rsidP="000718B0">
      <w:pPr>
        <w:pStyle w:val="ListParagraph"/>
        <w:autoSpaceDE w:val="0"/>
        <w:autoSpaceDN w:val="0"/>
        <w:adjustRightInd w:val="0"/>
        <w:spacing w:after="0" w:line="276" w:lineRule="auto"/>
        <w:ind w:left="0"/>
        <w:rPr>
          <w:rFonts w:ascii="Arial" w:hAnsi="Arial" w:cs="Arial"/>
          <w:color w:val="FF0000"/>
          <w:kern w:val="1"/>
          <w:sz w:val="22"/>
          <w:szCs w:val="22"/>
        </w:rPr>
      </w:pPr>
      <w:r w:rsidRPr="000718B0">
        <w:rPr>
          <w:rFonts w:ascii="Arial" w:hAnsi="Arial" w:cs="Arial"/>
          <w:color w:val="FF0000"/>
          <w:kern w:val="1"/>
          <w:sz w:val="22"/>
          <w:szCs w:val="22"/>
        </w:rPr>
        <w:t>H</w:t>
      </w:r>
      <w:r w:rsidR="000718B0" w:rsidRPr="000718B0">
        <w:rPr>
          <w:rFonts w:ascii="Arial" w:hAnsi="Arial" w:cs="Arial"/>
          <w:color w:val="FF0000"/>
          <w:kern w:val="1"/>
          <w:sz w:val="22"/>
          <w:szCs w:val="22"/>
        </w:rPr>
        <w:t xml:space="preserve">IGH-DOSE HOOK EFFECT </w:t>
      </w:r>
    </w:p>
    <w:p w14:paraId="671338E3" w14:textId="77777777" w:rsidR="004B2215" w:rsidRPr="00F82953" w:rsidRDefault="004B2215" w:rsidP="00F82953">
      <w:pPr>
        <w:pStyle w:val="ListParagraph"/>
        <w:autoSpaceDE w:val="0"/>
        <w:autoSpaceDN w:val="0"/>
        <w:adjustRightInd w:val="0"/>
        <w:spacing w:after="0" w:line="276" w:lineRule="auto"/>
        <w:ind w:left="0"/>
        <w:rPr>
          <w:rFonts w:ascii="Arial" w:hAnsi="Arial" w:cs="Arial"/>
          <w:b/>
          <w:bCs/>
          <w:kern w:val="1"/>
          <w:sz w:val="22"/>
          <w:szCs w:val="22"/>
        </w:rPr>
      </w:pPr>
    </w:p>
    <w:p w14:paraId="7EA805FC"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Tumor marker tests employing IMA methodology can be prone to so-called "high-dose hook effects", whereby very high antigen concentrations can overwhelm the binding capacity of the monoclonal antibody reagents leading to a falsely normal/low value (9,588-591). Manufacturers have largely overcome hook problems by adopting a two-step procedure, whereby a wash step is used to remove unbound antigen after the first incubation of specimen with the capture monoclonal antibody before introducing the labeled monoclonal during which the signal binds the captured antigen during a second incubation (580). When using IMA methodology, it is the laboratory’s responsibility to determine whether a hook effect is likely to generate falsely normal or low values. </w:t>
      </w:r>
    </w:p>
    <w:p w14:paraId="0EFAA2D7"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59D9735C" w14:textId="4D8731F3" w:rsidR="005C4829" w:rsidRPr="00F82953" w:rsidRDefault="00BA7058" w:rsidP="00F82953">
      <w:pPr>
        <w:autoSpaceDE w:val="0"/>
        <w:autoSpaceDN w:val="0"/>
        <w:adjustRightInd w:val="0"/>
        <w:spacing w:after="0" w:line="276" w:lineRule="auto"/>
        <w:rPr>
          <w:rFonts w:ascii="Arial" w:hAnsi="Arial" w:cs="Arial"/>
          <w:kern w:val="1"/>
          <w:sz w:val="22"/>
          <w:szCs w:val="22"/>
        </w:rPr>
      </w:pPr>
      <w:r>
        <w:rPr>
          <w:rFonts w:ascii="Arial" w:hAnsi="Arial" w:cs="Arial"/>
          <w:kern w:val="1"/>
          <w:sz w:val="22"/>
          <w:szCs w:val="22"/>
        </w:rPr>
        <w:lastRenderedPageBreak/>
        <w:t>There are two a</w:t>
      </w:r>
      <w:r w:rsidR="005C4829" w:rsidRPr="00F82953">
        <w:rPr>
          <w:rFonts w:ascii="Arial" w:hAnsi="Arial" w:cs="Arial"/>
          <w:kern w:val="1"/>
          <w:sz w:val="22"/>
          <w:szCs w:val="22"/>
        </w:rPr>
        <w:t xml:space="preserve">pproaches for detecting and overcoming hook effects with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IMA methods when an unexpectedly low serum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value is encountered for a patient with known metastatic disease:</w:t>
      </w:r>
      <w:r>
        <w:rPr>
          <w:rFonts w:ascii="Arial" w:hAnsi="Arial" w:cs="Arial"/>
          <w:kern w:val="1"/>
          <w:sz w:val="22"/>
          <w:szCs w:val="22"/>
        </w:rPr>
        <w:t xml:space="preserve"> </w:t>
      </w:r>
      <w:r w:rsidR="00527996">
        <w:rPr>
          <w:rFonts w:ascii="Arial" w:hAnsi="Arial" w:cs="Arial"/>
          <w:kern w:val="1"/>
          <w:sz w:val="22"/>
          <w:szCs w:val="22"/>
        </w:rPr>
        <w:t xml:space="preserve">1) </w:t>
      </w:r>
      <w:r w:rsidR="005C4829" w:rsidRPr="00F82953">
        <w:rPr>
          <w:rFonts w:ascii="Arial" w:hAnsi="Arial" w:cs="Arial"/>
          <w:kern w:val="1"/>
          <w:sz w:val="22"/>
          <w:szCs w:val="22"/>
        </w:rPr>
        <w:t xml:space="preserve">Measure the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in the specimen at two dilutions. For example, a hook effect is likely present when the value of the test serum measured at a 1/5 or 1/10 dilution is higher than that obtained with the undiluted specimen. </w:t>
      </w:r>
      <w:r w:rsidR="00527996">
        <w:rPr>
          <w:rFonts w:ascii="Arial" w:hAnsi="Arial" w:cs="Arial"/>
          <w:kern w:val="1"/>
          <w:sz w:val="22"/>
          <w:szCs w:val="22"/>
        </w:rPr>
        <w:t xml:space="preserve">2) </w:t>
      </w:r>
      <w:r w:rsidR="005C4829" w:rsidRPr="00F82953">
        <w:rPr>
          <w:rFonts w:ascii="Arial" w:hAnsi="Arial" w:cs="Arial"/>
          <w:kern w:val="1"/>
          <w:sz w:val="22"/>
          <w:szCs w:val="22"/>
        </w:rPr>
        <w:t xml:space="preserve">Assess the recovery of added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antigen. If a hook effect is present, the </w:t>
      </w:r>
      <w:proofErr w:type="spellStart"/>
      <w:r w:rsidR="005C4829" w:rsidRPr="00F82953">
        <w:rPr>
          <w:rFonts w:ascii="Arial" w:hAnsi="Arial" w:cs="Arial"/>
          <w:kern w:val="1"/>
          <w:sz w:val="22"/>
          <w:szCs w:val="22"/>
        </w:rPr>
        <w:t>Tg</w:t>
      </w:r>
      <w:proofErr w:type="spellEnd"/>
      <w:r w:rsidR="005C4829" w:rsidRPr="00F82953">
        <w:rPr>
          <w:rFonts w:ascii="Arial" w:hAnsi="Arial" w:cs="Arial"/>
          <w:kern w:val="1"/>
          <w:sz w:val="22"/>
          <w:szCs w:val="22"/>
        </w:rPr>
        <w:t xml:space="preserve"> result will be inappropriately low.</w:t>
      </w:r>
    </w:p>
    <w:p w14:paraId="68D20599"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D0F60A0" w14:textId="56B4A6C0" w:rsidR="005C4829" w:rsidRPr="00D82BEA" w:rsidRDefault="005C4829" w:rsidP="00FE7CAB">
      <w:pPr>
        <w:pStyle w:val="ListParagraph"/>
        <w:autoSpaceDE w:val="0"/>
        <w:autoSpaceDN w:val="0"/>
        <w:adjustRightInd w:val="0"/>
        <w:spacing w:after="0" w:line="276" w:lineRule="auto"/>
        <w:ind w:left="0"/>
        <w:rPr>
          <w:rFonts w:ascii="Arial" w:hAnsi="Arial" w:cs="Arial"/>
          <w:color w:val="FF0000"/>
          <w:kern w:val="1"/>
          <w:sz w:val="22"/>
          <w:szCs w:val="22"/>
        </w:rPr>
      </w:pPr>
      <w:r w:rsidRPr="00D82BEA">
        <w:rPr>
          <w:rFonts w:ascii="Arial" w:hAnsi="Arial" w:cs="Arial"/>
          <w:color w:val="FF0000"/>
          <w:kern w:val="1"/>
          <w:sz w:val="22"/>
          <w:szCs w:val="22"/>
        </w:rPr>
        <w:t>I</w:t>
      </w:r>
      <w:r w:rsidR="00FE7CAB" w:rsidRPr="00D82BEA">
        <w:rPr>
          <w:rFonts w:ascii="Arial" w:hAnsi="Arial" w:cs="Arial"/>
          <w:color w:val="FF0000"/>
          <w:kern w:val="1"/>
          <w:sz w:val="22"/>
          <w:szCs w:val="22"/>
        </w:rPr>
        <w:t xml:space="preserve">NTERFERENCES WITH </w:t>
      </w:r>
      <w:proofErr w:type="spellStart"/>
      <w:r w:rsidRPr="00D82BEA">
        <w:rPr>
          <w:rFonts w:ascii="Arial" w:hAnsi="Arial" w:cs="Arial"/>
          <w:color w:val="FF0000"/>
          <w:kern w:val="1"/>
          <w:sz w:val="22"/>
          <w:szCs w:val="22"/>
        </w:rPr>
        <w:t>Tg</w:t>
      </w:r>
      <w:proofErr w:type="spellEnd"/>
      <w:r w:rsidRPr="00D82BEA">
        <w:rPr>
          <w:rFonts w:ascii="Arial" w:hAnsi="Arial" w:cs="Arial"/>
          <w:color w:val="FF0000"/>
          <w:kern w:val="1"/>
          <w:sz w:val="22"/>
          <w:szCs w:val="22"/>
        </w:rPr>
        <w:t xml:space="preserve"> M</w:t>
      </w:r>
      <w:r w:rsidR="00D82BEA" w:rsidRPr="00D82BEA">
        <w:rPr>
          <w:rFonts w:ascii="Arial" w:hAnsi="Arial" w:cs="Arial"/>
          <w:color w:val="FF0000"/>
          <w:kern w:val="1"/>
          <w:sz w:val="22"/>
          <w:szCs w:val="22"/>
        </w:rPr>
        <w:t xml:space="preserve">EASUREMENT </w:t>
      </w:r>
      <w:r w:rsidRPr="00D82BEA">
        <w:rPr>
          <w:rFonts w:ascii="Arial" w:hAnsi="Arial" w:cs="Arial"/>
          <w:color w:val="FF0000"/>
          <w:kern w:val="1"/>
          <w:sz w:val="22"/>
          <w:szCs w:val="22"/>
        </w:rPr>
        <w:t xml:space="preserve">   </w:t>
      </w:r>
    </w:p>
    <w:p w14:paraId="0F79541A" w14:textId="77777777" w:rsidR="00DF0D93" w:rsidRPr="00F82953" w:rsidRDefault="00DF0D93" w:rsidP="00F82953">
      <w:pPr>
        <w:pStyle w:val="ListParagraph"/>
        <w:autoSpaceDE w:val="0"/>
        <w:autoSpaceDN w:val="0"/>
        <w:adjustRightInd w:val="0"/>
        <w:spacing w:after="0" w:line="276" w:lineRule="auto"/>
        <w:ind w:left="0"/>
        <w:rPr>
          <w:rFonts w:ascii="Arial" w:hAnsi="Arial" w:cs="Arial"/>
          <w:b/>
          <w:bCs/>
          <w:kern w:val="1"/>
          <w:sz w:val="22"/>
          <w:szCs w:val="22"/>
        </w:rPr>
      </w:pPr>
    </w:p>
    <w:p w14:paraId="41FAA940" w14:textId="00F4BC17" w:rsidR="005C4829" w:rsidRPr="00D82BEA" w:rsidRDefault="005C4829" w:rsidP="00D82BEA">
      <w:pPr>
        <w:autoSpaceDE w:val="0"/>
        <w:autoSpaceDN w:val="0"/>
        <w:adjustRightInd w:val="0"/>
        <w:spacing w:after="0" w:line="276" w:lineRule="auto"/>
        <w:rPr>
          <w:rFonts w:ascii="Arial" w:hAnsi="Arial" w:cs="Arial"/>
          <w:i/>
          <w:iCs/>
          <w:color w:val="FFC000"/>
          <w:kern w:val="1"/>
          <w:sz w:val="22"/>
          <w:szCs w:val="22"/>
        </w:rPr>
      </w:pPr>
      <w:r w:rsidRPr="00D82BEA">
        <w:rPr>
          <w:rFonts w:ascii="Arial" w:hAnsi="Arial" w:cs="Arial"/>
          <w:i/>
          <w:iCs/>
          <w:color w:val="FFC000"/>
          <w:kern w:val="1"/>
          <w:sz w:val="22"/>
          <w:szCs w:val="22"/>
        </w:rPr>
        <w:t>Heterophile Antibody (</w:t>
      </w:r>
      <w:proofErr w:type="spellStart"/>
      <w:r w:rsidRPr="00D82BEA">
        <w:rPr>
          <w:rFonts w:ascii="Arial" w:hAnsi="Arial" w:cs="Arial"/>
          <w:i/>
          <w:iCs/>
          <w:color w:val="FFC000"/>
          <w:kern w:val="1"/>
          <w:sz w:val="22"/>
          <w:szCs w:val="22"/>
        </w:rPr>
        <w:t>HAb</w:t>
      </w:r>
      <w:proofErr w:type="spellEnd"/>
      <w:r w:rsidRPr="00D82BEA">
        <w:rPr>
          <w:rFonts w:ascii="Arial" w:hAnsi="Arial" w:cs="Arial"/>
          <w:i/>
          <w:iCs/>
          <w:color w:val="FFC000"/>
          <w:kern w:val="1"/>
          <w:sz w:val="22"/>
          <w:szCs w:val="22"/>
        </w:rPr>
        <w:t xml:space="preserve">) Interferences </w:t>
      </w:r>
    </w:p>
    <w:p w14:paraId="074DF7A3" w14:textId="77777777" w:rsidR="00D82BEA" w:rsidRDefault="00D82BEA" w:rsidP="00F82953">
      <w:pPr>
        <w:autoSpaceDE w:val="0"/>
        <w:autoSpaceDN w:val="0"/>
        <w:adjustRightInd w:val="0"/>
        <w:spacing w:after="0" w:line="276" w:lineRule="auto"/>
        <w:rPr>
          <w:rFonts w:ascii="Arial" w:hAnsi="Arial" w:cs="Arial"/>
          <w:kern w:val="1"/>
          <w:sz w:val="22"/>
          <w:szCs w:val="22"/>
        </w:rPr>
      </w:pPr>
    </w:p>
    <w:p w14:paraId="483BCEE5" w14:textId="61006B17" w:rsidR="005C4829" w:rsidRPr="00F82953" w:rsidRDefault="005C4829" w:rsidP="00F82953">
      <w:pPr>
        <w:autoSpaceDE w:val="0"/>
        <w:autoSpaceDN w:val="0"/>
        <w:adjustRightInd w:val="0"/>
        <w:spacing w:after="0" w:line="276" w:lineRule="auto"/>
        <w:rPr>
          <w:rFonts w:ascii="Arial" w:hAnsi="Arial" w:cs="Arial"/>
          <w:kern w:val="1"/>
          <w:sz w:val="22"/>
          <w:szCs w:val="22"/>
        </w:rPr>
      </w:pP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interferes with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IMAs, but not RIA 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-LC-MS/MS methodologies (43,</w:t>
      </w:r>
      <w:r w:rsidR="00527996">
        <w:rPr>
          <w:rFonts w:ascii="Arial" w:hAnsi="Arial" w:cs="Arial"/>
          <w:kern w:val="1"/>
          <w:sz w:val="22"/>
          <w:szCs w:val="22"/>
        </w:rPr>
        <w:t xml:space="preserve"> </w:t>
      </w:r>
      <w:r w:rsidRPr="00F82953">
        <w:rPr>
          <w:rFonts w:ascii="Arial" w:hAnsi="Arial" w:cs="Arial"/>
          <w:kern w:val="1"/>
          <w:sz w:val="22"/>
          <w:szCs w:val="22"/>
        </w:rPr>
        <w:t>214,</w:t>
      </w:r>
      <w:r w:rsidR="00527996">
        <w:rPr>
          <w:rFonts w:ascii="Arial" w:hAnsi="Arial" w:cs="Arial"/>
          <w:kern w:val="1"/>
          <w:sz w:val="22"/>
          <w:szCs w:val="22"/>
        </w:rPr>
        <w:t xml:space="preserve"> </w:t>
      </w:r>
      <w:r w:rsidRPr="00F82953">
        <w:rPr>
          <w:rFonts w:ascii="Arial" w:hAnsi="Arial" w:cs="Arial"/>
          <w:kern w:val="1"/>
          <w:sz w:val="22"/>
          <w:szCs w:val="22"/>
        </w:rPr>
        <w:t>221,</w:t>
      </w:r>
      <w:r w:rsidR="00527996">
        <w:rPr>
          <w:rFonts w:ascii="Arial" w:hAnsi="Arial" w:cs="Arial"/>
          <w:kern w:val="1"/>
          <w:sz w:val="22"/>
          <w:szCs w:val="22"/>
        </w:rPr>
        <w:t xml:space="preserve"> </w:t>
      </w:r>
      <w:r w:rsidRPr="00F82953">
        <w:rPr>
          <w:rFonts w:ascii="Arial" w:hAnsi="Arial" w:cs="Arial"/>
          <w:kern w:val="1"/>
          <w:sz w:val="22"/>
          <w:szCs w:val="22"/>
        </w:rPr>
        <w:t>223,</w:t>
      </w:r>
      <w:r w:rsidR="00527996">
        <w:rPr>
          <w:rFonts w:ascii="Arial" w:hAnsi="Arial" w:cs="Arial"/>
          <w:kern w:val="1"/>
          <w:sz w:val="22"/>
          <w:szCs w:val="22"/>
        </w:rPr>
        <w:t xml:space="preserve"> </w:t>
      </w:r>
      <w:r w:rsidRPr="00F82953">
        <w:rPr>
          <w:rFonts w:ascii="Arial" w:hAnsi="Arial" w:cs="Arial"/>
          <w:kern w:val="1"/>
          <w:sz w:val="22"/>
          <w:szCs w:val="22"/>
        </w:rPr>
        <w:t>228,</w:t>
      </w:r>
      <w:r w:rsidR="00527996">
        <w:rPr>
          <w:rFonts w:ascii="Arial" w:hAnsi="Arial" w:cs="Arial"/>
          <w:kern w:val="1"/>
          <w:sz w:val="22"/>
          <w:szCs w:val="22"/>
        </w:rPr>
        <w:t xml:space="preserve"> </w:t>
      </w:r>
      <w:r w:rsidRPr="00F82953">
        <w:rPr>
          <w:rFonts w:ascii="Arial" w:hAnsi="Arial" w:cs="Arial"/>
          <w:kern w:val="1"/>
          <w:sz w:val="22"/>
          <w:szCs w:val="22"/>
        </w:rPr>
        <w:t xml:space="preserve">592-595).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interferences are thought to reflect the binding of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to the monoclonal antibody IMA reagents (murine origin).  RIA methods are not prone to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 because their polyclonal antibody reagents (rabbit origin) do not bind human IgG. In most cases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interferences are characterized by a false-positive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result (223,228,592), although falsely low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IMA results have also been reported (214,596). Recent reports find that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LC-MS/MS methodology appears free from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interferences (43,595). A presumptive test for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 is a lowering of the analyte value in the presence of a blocking agent (43,201,597). The laboratory cannot proactively test for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because specimens are typically sent to the laboratory without clinical information. Physicians should request the laboratory test for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 when an apparently disease-free patient has an unexpectedly high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result. </w:t>
      </w:r>
    </w:p>
    <w:p w14:paraId="397D0E71" w14:textId="77777777" w:rsidR="005C4829" w:rsidRPr="00F82953" w:rsidRDefault="005C4829" w:rsidP="00F82953">
      <w:pPr>
        <w:autoSpaceDE w:val="0"/>
        <w:autoSpaceDN w:val="0"/>
        <w:adjustRightInd w:val="0"/>
        <w:spacing w:after="0" w:line="276" w:lineRule="auto"/>
        <w:ind w:firstLine="720"/>
        <w:rPr>
          <w:rFonts w:ascii="Arial" w:hAnsi="Arial" w:cs="Arial"/>
          <w:kern w:val="1"/>
          <w:sz w:val="22"/>
          <w:szCs w:val="22"/>
        </w:rPr>
      </w:pPr>
    </w:p>
    <w:p w14:paraId="0D9FEA6F" w14:textId="7F919809" w:rsidR="005C4829" w:rsidRPr="00D82BEA" w:rsidRDefault="005C4829" w:rsidP="00D82BEA">
      <w:pPr>
        <w:autoSpaceDE w:val="0"/>
        <w:autoSpaceDN w:val="0"/>
        <w:adjustRightInd w:val="0"/>
        <w:spacing w:after="0" w:line="276" w:lineRule="auto"/>
        <w:rPr>
          <w:rFonts w:ascii="Arial" w:hAnsi="Arial" w:cs="Arial"/>
          <w:i/>
          <w:iCs/>
          <w:kern w:val="1"/>
          <w:sz w:val="22"/>
          <w:szCs w:val="22"/>
        </w:rPr>
      </w:pPr>
      <w:proofErr w:type="spellStart"/>
      <w:r w:rsidRPr="00D82BEA">
        <w:rPr>
          <w:rFonts w:ascii="Arial" w:hAnsi="Arial" w:cs="Arial"/>
          <w:i/>
          <w:iCs/>
          <w:color w:val="FFC000"/>
          <w:kern w:val="1"/>
          <w:sz w:val="22"/>
          <w:szCs w:val="22"/>
        </w:rPr>
        <w:t>Tg</w:t>
      </w:r>
      <w:proofErr w:type="spellEnd"/>
      <w:r w:rsidRPr="00D82BEA">
        <w:rPr>
          <w:rFonts w:ascii="Arial" w:hAnsi="Arial" w:cs="Arial"/>
          <w:i/>
          <w:iCs/>
          <w:color w:val="FFC000"/>
          <w:kern w:val="1"/>
          <w:sz w:val="22"/>
          <w:szCs w:val="22"/>
        </w:rPr>
        <w:t xml:space="preserve"> Autoantibody (</w:t>
      </w:r>
      <w:proofErr w:type="spellStart"/>
      <w:r w:rsidRPr="00D82BEA">
        <w:rPr>
          <w:rFonts w:ascii="Arial" w:hAnsi="Arial" w:cs="Arial"/>
          <w:i/>
          <w:iCs/>
          <w:color w:val="FFC000"/>
          <w:kern w:val="1"/>
          <w:sz w:val="22"/>
          <w:szCs w:val="22"/>
        </w:rPr>
        <w:t>TgAb</w:t>
      </w:r>
      <w:proofErr w:type="spellEnd"/>
      <w:r w:rsidRPr="00D82BEA">
        <w:rPr>
          <w:rFonts w:ascii="Arial" w:hAnsi="Arial" w:cs="Arial"/>
          <w:i/>
          <w:iCs/>
          <w:color w:val="FFC000"/>
          <w:kern w:val="1"/>
          <w:sz w:val="22"/>
          <w:szCs w:val="22"/>
        </w:rPr>
        <w:t xml:space="preserve">) Interference </w:t>
      </w:r>
    </w:p>
    <w:p w14:paraId="1F869B88" w14:textId="77777777" w:rsidR="00D82BEA" w:rsidRDefault="00D82BEA" w:rsidP="00F82953">
      <w:pPr>
        <w:autoSpaceDE w:val="0"/>
        <w:autoSpaceDN w:val="0"/>
        <w:adjustRightInd w:val="0"/>
        <w:spacing w:after="0" w:line="276" w:lineRule="auto"/>
        <w:rPr>
          <w:rFonts w:ascii="Arial" w:hAnsi="Arial" w:cs="Arial"/>
          <w:kern w:val="1"/>
          <w:sz w:val="22"/>
          <w:szCs w:val="22"/>
        </w:rPr>
      </w:pPr>
    </w:p>
    <w:p w14:paraId="4AF14E95" w14:textId="0F829479" w:rsidR="005C4829" w:rsidRPr="00F82953" w:rsidRDefault="005C4829" w:rsidP="00F82953">
      <w:pPr>
        <w:autoSpaceDE w:val="0"/>
        <w:autoSpaceDN w:val="0"/>
        <w:adjustRightInd w:val="0"/>
        <w:spacing w:after="0" w:line="276" w:lineRule="auto"/>
        <w:rPr>
          <w:rFonts w:ascii="Arial" w:hAnsi="Arial" w:cs="Arial"/>
          <w:kern w:val="1"/>
          <w:sz w:val="22"/>
          <w:szCs w:val="22"/>
        </w:rPr>
      </w:pP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with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 remains the major limitation for using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as a DTC tumor marker.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has the potential to interfere with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measured by each of the current methodologies: IMA, RIA and LC-MS/MS. The prevalence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 DTC patients approximates 25 percent - twice that of the general population (9,254,522). There appears to be no threshold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concentration that precludes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(45,57,386,510,512,521).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is thought to interfere by both in vitro (epitope masking) (45,512,521,598) and/or in vivo mechanisms such as enhanced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-mediated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clearance (599-603). High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concentrations do not necessarily interfere, whereas low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may profoundly interfere (9,22,45,521,555,598,604,605). Unfortunately, the recovery approach appears to be unreliable for detecting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(512,521,598).</w:t>
      </w:r>
    </w:p>
    <w:p w14:paraId="2660950E"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3DC891AA" w14:textId="3A0E4902" w:rsidR="005C4829" w:rsidRPr="00F82953" w:rsidRDefault="005C4829" w:rsidP="00F82953">
      <w:pPr>
        <w:autoSpaceDE w:val="0"/>
        <w:autoSpaceDN w:val="0"/>
        <w:adjustRightInd w:val="0"/>
        <w:spacing w:after="0" w:line="276" w:lineRule="auto"/>
        <w:rPr>
          <w:rFonts w:ascii="Arial" w:hAnsi="Arial" w:cs="Arial"/>
          <w:kern w:val="1"/>
          <w:sz w:val="22"/>
          <w:szCs w:val="22"/>
        </w:rPr>
      </w:pPr>
      <w:proofErr w:type="spellStart"/>
      <w:r w:rsidRPr="00074116">
        <w:rPr>
          <w:rFonts w:ascii="Arial" w:hAnsi="Arial" w:cs="Arial"/>
          <w:kern w:val="1"/>
          <w:sz w:val="22"/>
          <w:szCs w:val="22"/>
        </w:rPr>
        <w:t>TgAb</w:t>
      </w:r>
      <w:proofErr w:type="spellEnd"/>
      <w:r w:rsidRPr="00074116">
        <w:rPr>
          <w:rFonts w:ascii="Arial" w:hAnsi="Arial" w:cs="Arial"/>
          <w:kern w:val="1"/>
          <w:sz w:val="22"/>
          <w:szCs w:val="22"/>
        </w:rPr>
        <w:t xml:space="preserve"> Interference - In-Vivo Mechanisms.</w:t>
      </w:r>
      <w:r w:rsidR="00074116">
        <w:rPr>
          <w:rFonts w:ascii="Arial" w:hAnsi="Arial" w:cs="Arial"/>
          <w:kern w:val="1"/>
          <w:sz w:val="22"/>
          <w:szCs w:val="22"/>
          <w:u w:val="single"/>
        </w:rPr>
        <w:t xml:space="preserve"> </w:t>
      </w:r>
      <w:r w:rsidRPr="00F82953">
        <w:rPr>
          <w:rFonts w:ascii="Arial" w:hAnsi="Arial" w:cs="Arial"/>
          <w:kern w:val="1"/>
          <w:sz w:val="22"/>
          <w:szCs w:val="22"/>
        </w:rPr>
        <w:t xml:space="preserve">Studies over past decades have suggested that the presence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enhances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metabolic clearance. In </w:t>
      </w:r>
      <w:r w:rsidR="004301E6" w:rsidRPr="00F82953">
        <w:rPr>
          <w:rFonts w:ascii="Arial" w:hAnsi="Arial" w:cs="Arial"/>
          <w:kern w:val="1"/>
          <w:sz w:val="22"/>
          <w:szCs w:val="22"/>
        </w:rPr>
        <w:t>1967</w:t>
      </w:r>
      <w:r w:rsidRPr="00F82953">
        <w:rPr>
          <w:rFonts w:ascii="Arial" w:hAnsi="Arial" w:cs="Arial"/>
          <w:kern w:val="1"/>
          <w:sz w:val="22"/>
          <w:szCs w:val="22"/>
        </w:rPr>
        <w:t xml:space="preserve"> Weigle showed enhanced clearance of endogenously </w:t>
      </w:r>
      <w:r w:rsidRPr="00F82953">
        <w:rPr>
          <w:rFonts w:ascii="Arial" w:hAnsi="Arial" w:cs="Arial"/>
          <w:kern w:val="1"/>
          <w:sz w:val="22"/>
          <w:szCs w:val="22"/>
          <w:vertAlign w:val="superscript"/>
        </w:rPr>
        <w:t>I25-</w:t>
      </w:r>
      <w:r w:rsidRPr="00F82953">
        <w:rPr>
          <w:rFonts w:ascii="Arial" w:hAnsi="Arial" w:cs="Arial"/>
          <w:kern w:val="1"/>
          <w:sz w:val="22"/>
          <w:szCs w:val="22"/>
        </w:rPr>
        <w:t xml:space="preserve">labeled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rabbits, after inducing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by immunizing the animals with an immunogenic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preparation (599,603). In humans,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acute responses to sub-total thyroidectomy have also suggested that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may increase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metabolic clearance (603,606). Changes (a rise or fall)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versus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concentrations have typically been concordant and appropriate for clinical status, whereas the direction of change in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is typically discordant with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and clinical status (45,274,521,556). In </w:t>
      </w:r>
      <w:r w:rsidRPr="00F82953">
        <w:rPr>
          <w:rFonts w:ascii="Arial" w:hAnsi="Arial" w:cs="Arial"/>
          <w:kern w:val="1"/>
          <w:sz w:val="22"/>
          <w:szCs w:val="22"/>
        </w:rPr>
        <w:lastRenderedPageBreak/>
        <w:t xml:space="preserve">general, the change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concentrations tends to be steeper than for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(521), as would be consistent with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-mediated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clearance, perhaps because some </w:t>
      </w:r>
      <w:proofErr w:type="spellStart"/>
      <w:r w:rsidRPr="00F82953">
        <w:rPr>
          <w:rFonts w:ascii="Arial" w:hAnsi="Arial" w:cs="Arial"/>
          <w:kern w:val="1"/>
          <w:sz w:val="22"/>
          <w:szCs w:val="22"/>
        </w:rPr>
        <w:t>TgAbs</w:t>
      </w:r>
      <w:proofErr w:type="spellEnd"/>
      <w:r w:rsidRPr="00F82953">
        <w:rPr>
          <w:rFonts w:ascii="Arial" w:hAnsi="Arial" w:cs="Arial"/>
          <w:kern w:val="1"/>
          <w:sz w:val="22"/>
          <w:szCs w:val="22"/>
        </w:rPr>
        <w:t xml:space="preserve"> act as "sweeper" antibodies that facilitate clearance of antigen (602,603,607). </w:t>
      </w:r>
    </w:p>
    <w:p w14:paraId="101D8EFE" w14:textId="77777777" w:rsidR="00DF0D93" w:rsidRPr="00F82953" w:rsidRDefault="00DF0D93" w:rsidP="00F82953">
      <w:pPr>
        <w:autoSpaceDE w:val="0"/>
        <w:autoSpaceDN w:val="0"/>
        <w:adjustRightInd w:val="0"/>
        <w:spacing w:after="0" w:line="276" w:lineRule="auto"/>
        <w:ind w:firstLine="720"/>
        <w:rPr>
          <w:rFonts w:ascii="Arial" w:hAnsi="Arial" w:cs="Arial"/>
          <w:kern w:val="1"/>
          <w:sz w:val="22"/>
          <w:szCs w:val="22"/>
        </w:rPr>
      </w:pPr>
    </w:p>
    <w:p w14:paraId="76D08763" w14:textId="0C0C5052" w:rsidR="00456527" w:rsidRPr="00F82953" w:rsidRDefault="005C4829" w:rsidP="00F82953">
      <w:pPr>
        <w:autoSpaceDE w:val="0"/>
        <w:autoSpaceDN w:val="0"/>
        <w:adjustRightInd w:val="0"/>
        <w:spacing w:after="0" w:line="276" w:lineRule="auto"/>
        <w:rPr>
          <w:rFonts w:ascii="Arial" w:hAnsi="Arial" w:cs="Arial"/>
          <w:kern w:val="1"/>
          <w:sz w:val="22"/>
          <w:szCs w:val="22"/>
        </w:rPr>
      </w:pPr>
      <w:proofErr w:type="spellStart"/>
      <w:r w:rsidRPr="00074116">
        <w:rPr>
          <w:rFonts w:ascii="Arial" w:hAnsi="Arial" w:cs="Arial"/>
          <w:kern w:val="1"/>
          <w:sz w:val="22"/>
          <w:szCs w:val="22"/>
        </w:rPr>
        <w:t>TgAb</w:t>
      </w:r>
      <w:proofErr w:type="spellEnd"/>
      <w:r w:rsidRPr="00074116">
        <w:rPr>
          <w:rFonts w:ascii="Arial" w:hAnsi="Arial" w:cs="Arial"/>
          <w:kern w:val="1"/>
          <w:sz w:val="22"/>
          <w:szCs w:val="22"/>
        </w:rPr>
        <w:t xml:space="preserve"> Interference - In-Vitro Mechanisms.</w:t>
      </w:r>
      <w:r w:rsidR="00074116">
        <w:rPr>
          <w:rFonts w:ascii="Arial" w:hAnsi="Arial" w:cs="Arial"/>
          <w:kern w:val="1"/>
          <w:sz w:val="22"/>
          <w:szCs w:val="22"/>
          <w:u w:val="single"/>
        </w:rPr>
        <w:t xml:space="preserv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interferes with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 in a qualitative, quantitative</w:t>
      </w:r>
      <w:r w:rsidR="00565E6F">
        <w:rPr>
          <w:rFonts w:ascii="Arial" w:hAnsi="Arial" w:cs="Arial"/>
          <w:kern w:val="1"/>
          <w:sz w:val="22"/>
          <w:szCs w:val="22"/>
        </w:rPr>
        <w:t>,</w:t>
      </w:r>
      <w:r w:rsidRPr="00F82953">
        <w:rPr>
          <w:rFonts w:ascii="Arial" w:hAnsi="Arial" w:cs="Arial"/>
          <w:kern w:val="1"/>
          <w:sz w:val="22"/>
          <w:szCs w:val="22"/>
        </w:rPr>
        <w:t xml:space="preserve"> and method-dependent manner (22,45,521,608,609). The potential for in vitro interference is multifactorial and depends not only on the assay methodology (IMA, RIA or LC-MS/MS) (39), but also the concentration and epitope specificity of the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secreted by the patient (22,512,610). RIA methodology appears to quantify total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(free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-bound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whereas IMA primarily detects only the free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moiety, i.e.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molecules with epitopes not masked by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complexing. Steric masking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epitopes is the reason why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with IMA methodology is always unidirectional (underestimation) and why a low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-IMA/</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ratio has been used to indicate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(45,521,555,611,612). The recently developed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-LC-MS/MS methodology uses trypsin digestion of </w:t>
      </w:r>
      <w:proofErr w:type="spellStart"/>
      <w:r w:rsidRPr="00F82953">
        <w:rPr>
          <w:rFonts w:ascii="Arial" w:hAnsi="Arial" w:cs="Arial"/>
          <w:kern w:val="1"/>
          <w:sz w:val="22"/>
          <w:szCs w:val="22"/>
        </w:rPr>
        <w:t>Tg-TgAb</w:t>
      </w:r>
      <w:proofErr w:type="spellEnd"/>
      <w:r w:rsidRPr="00F82953">
        <w:rPr>
          <w:rFonts w:ascii="Arial" w:hAnsi="Arial" w:cs="Arial"/>
          <w:kern w:val="1"/>
          <w:sz w:val="22"/>
          <w:szCs w:val="22"/>
        </w:rPr>
        <w:t xml:space="preserve"> complexes to liberate a </w:t>
      </w:r>
      <w:proofErr w:type="spellStart"/>
      <w:r w:rsidRPr="00F82953">
        <w:rPr>
          <w:rFonts w:ascii="Arial" w:hAnsi="Arial" w:cs="Arial"/>
          <w:kern w:val="1"/>
          <w:sz w:val="22"/>
          <w:szCs w:val="22"/>
        </w:rPr>
        <w:t>proteotypic</w:t>
      </w:r>
      <w:proofErr w:type="spellEnd"/>
      <w:r w:rsidRPr="00F82953">
        <w:rPr>
          <w:rFonts w:ascii="Arial" w:hAnsi="Arial" w:cs="Arial"/>
          <w:kern w:val="1"/>
          <w:sz w:val="22"/>
          <w:szCs w:val="22"/>
        </w:rPr>
        <w:t xml:space="preser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peptide. This conceptually attractive approach was primarily developed to overcome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with IMA methods thereby eliminating falsely low/undetectable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results that can mask disease. However, recent studies report that a high percentage (&gt;40 %)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DTC patients with structural disease have paradoxically undetectable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-LC-MS/MS tests (14,24,43,555,557,558). More studies are needed to determine why LC-MS/MS fails to detect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DTC patients with disease. Possibilities to investigate include tumor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polymorphisms that prevent the production of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-specific tryptic peptide (38), suboptimal trypsinization of </w:t>
      </w:r>
      <w:proofErr w:type="spellStart"/>
      <w:r w:rsidRPr="00F82953">
        <w:rPr>
          <w:rFonts w:ascii="Arial" w:hAnsi="Arial" w:cs="Arial"/>
          <w:kern w:val="1"/>
          <w:sz w:val="22"/>
          <w:szCs w:val="22"/>
        </w:rPr>
        <w:t>Tg-TgAb</w:t>
      </w:r>
      <w:proofErr w:type="spellEnd"/>
      <w:r w:rsidRPr="00F82953">
        <w:rPr>
          <w:rFonts w:ascii="Arial" w:hAnsi="Arial" w:cs="Arial"/>
          <w:kern w:val="1"/>
          <w:sz w:val="22"/>
          <w:szCs w:val="22"/>
        </w:rPr>
        <w:t xml:space="preserve"> complexes, 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levels that are truly below detection because of increased clearance of </w:t>
      </w:r>
      <w:proofErr w:type="spellStart"/>
      <w:r w:rsidRPr="00F82953">
        <w:rPr>
          <w:rFonts w:ascii="Arial" w:hAnsi="Arial" w:cs="Arial"/>
          <w:kern w:val="1"/>
          <w:sz w:val="22"/>
          <w:szCs w:val="22"/>
        </w:rPr>
        <w:t>Tg-TgAb</w:t>
      </w:r>
      <w:proofErr w:type="spellEnd"/>
      <w:r w:rsidRPr="00F82953">
        <w:rPr>
          <w:rFonts w:ascii="Arial" w:hAnsi="Arial" w:cs="Arial"/>
          <w:kern w:val="1"/>
          <w:sz w:val="22"/>
          <w:szCs w:val="22"/>
        </w:rPr>
        <w:t xml:space="preserve"> complexes by the hepatic </w:t>
      </w:r>
      <w:proofErr w:type="spellStart"/>
      <w:r w:rsidRPr="00F82953">
        <w:rPr>
          <w:rFonts w:ascii="Arial" w:hAnsi="Arial" w:cs="Arial"/>
          <w:kern w:val="1"/>
          <w:sz w:val="22"/>
          <w:szCs w:val="22"/>
        </w:rPr>
        <w:t>asialoglycoprotein</w:t>
      </w:r>
      <w:proofErr w:type="spellEnd"/>
      <w:r w:rsidRPr="00F82953">
        <w:rPr>
          <w:rFonts w:ascii="Arial" w:hAnsi="Arial" w:cs="Arial"/>
          <w:kern w:val="1"/>
          <w:sz w:val="22"/>
          <w:szCs w:val="22"/>
        </w:rPr>
        <w:t xml:space="preserve"> receptor (599-602). </w:t>
      </w:r>
    </w:p>
    <w:p w14:paraId="2A504121" w14:textId="77777777" w:rsidR="007C105A" w:rsidRPr="00F82953" w:rsidRDefault="007C105A" w:rsidP="00F82953">
      <w:pPr>
        <w:autoSpaceDE w:val="0"/>
        <w:autoSpaceDN w:val="0"/>
        <w:adjustRightInd w:val="0"/>
        <w:spacing w:after="0" w:line="276" w:lineRule="auto"/>
        <w:ind w:firstLine="720"/>
        <w:rPr>
          <w:rFonts w:ascii="Arial" w:hAnsi="Arial" w:cs="Arial"/>
          <w:kern w:val="1"/>
          <w:sz w:val="22"/>
          <w:szCs w:val="22"/>
        </w:rPr>
      </w:pPr>
    </w:p>
    <w:p w14:paraId="6B43D844" w14:textId="2E35F697" w:rsidR="005C4829" w:rsidRPr="00F82953" w:rsidRDefault="005C4829" w:rsidP="00F82953">
      <w:pPr>
        <w:autoSpaceDE w:val="0"/>
        <w:autoSpaceDN w:val="0"/>
        <w:adjustRightInd w:val="0"/>
        <w:spacing w:after="0" w:line="276" w:lineRule="auto"/>
        <w:rPr>
          <w:rFonts w:ascii="Arial" w:hAnsi="Arial" w:cs="Arial"/>
          <w:kern w:val="1"/>
          <w:sz w:val="22"/>
          <w:szCs w:val="22"/>
        </w:rPr>
      </w:pPr>
      <w:proofErr w:type="spellStart"/>
      <w:r w:rsidRPr="00622B65">
        <w:rPr>
          <w:rFonts w:ascii="Arial" w:hAnsi="Arial" w:cs="Arial"/>
          <w:kern w:val="1"/>
          <w:sz w:val="22"/>
          <w:szCs w:val="22"/>
        </w:rPr>
        <w:t>TgAb</w:t>
      </w:r>
      <w:proofErr w:type="spellEnd"/>
      <w:r w:rsidRPr="00622B65">
        <w:rPr>
          <w:rFonts w:ascii="Arial" w:hAnsi="Arial" w:cs="Arial"/>
          <w:kern w:val="1"/>
          <w:sz w:val="22"/>
          <w:szCs w:val="22"/>
        </w:rPr>
        <w:t xml:space="preserve"> interference with </w:t>
      </w:r>
      <w:proofErr w:type="spellStart"/>
      <w:r w:rsidRPr="00622B65">
        <w:rPr>
          <w:rFonts w:ascii="Arial" w:hAnsi="Arial" w:cs="Arial"/>
          <w:kern w:val="1"/>
          <w:sz w:val="22"/>
          <w:szCs w:val="22"/>
        </w:rPr>
        <w:t>Tg</w:t>
      </w:r>
      <w:proofErr w:type="spellEnd"/>
      <w:r w:rsidRPr="00622B65">
        <w:rPr>
          <w:rFonts w:ascii="Arial" w:hAnsi="Arial" w:cs="Arial"/>
          <w:kern w:val="1"/>
          <w:sz w:val="22"/>
          <w:szCs w:val="22"/>
        </w:rPr>
        <w:t>-RIA Methodology</w:t>
      </w:r>
      <w:r w:rsidR="00622B65" w:rsidRPr="00622B65">
        <w:rPr>
          <w:rFonts w:ascii="Arial" w:hAnsi="Arial" w:cs="Arial"/>
          <w:kern w:val="1"/>
          <w:sz w:val="22"/>
          <w:szCs w:val="22"/>
        </w:rPr>
        <w:t>.</w:t>
      </w:r>
      <w:r w:rsidRPr="00F82953">
        <w:rPr>
          <w:rFonts w:ascii="Arial" w:hAnsi="Arial" w:cs="Arial"/>
          <w:kern w:val="1"/>
          <w:sz w:val="22"/>
          <w:szCs w:val="22"/>
        </w:rPr>
        <w:t xml:space="preserve"> </w:t>
      </w:r>
      <w:r w:rsidRPr="001C661A">
        <w:rPr>
          <w:rFonts w:ascii="Arial" w:hAnsi="Arial" w:cs="Arial"/>
          <w:kern w:val="1"/>
          <w:sz w:val="22"/>
          <w:szCs w:val="22"/>
        </w:rPr>
        <w:t>Radioimmunoassay (RIA</w:t>
      </w:r>
      <w:r w:rsidRPr="00F82953">
        <w:rPr>
          <w:rFonts w:ascii="Arial" w:hAnsi="Arial" w:cs="Arial"/>
          <w:kern w:val="1"/>
          <w:sz w:val="22"/>
          <w:szCs w:val="22"/>
        </w:rPr>
        <w:t xml:space="preserve">) was the earliest methodology used to measure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(5). Thyroglobulin antigen (from serum or added </w:t>
      </w:r>
      <w:r w:rsidRPr="00F82953">
        <w:rPr>
          <w:rFonts w:ascii="Arial" w:hAnsi="Arial" w:cs="Arial"/>
          <w:kern w:val="1"/>
          <w:sz w:val="22"/>
          <w:szCs w:val="22"/>
          <w:vertAlign w:val="superscript"/>
        </w:rPr>
        <w:t>125</w:t>
      </w:r>
      <w:r w:rsidRPr="00F82953">
        <w:rPr>
          <w:rFonts w:ascii="Arial" w:hAnsi="Arial" w:cs="Arial"/>
          <w:kern w:val="1"/>
          <w:sz w:val="22"/>
          <w:szCs w:val="22"/>
        </w:rPr>
        <w:t>I-Tg tracer) competes for a low concentration of polyclonal (</w:t>
      </w:r>
      <w:proofErr w:type="spellStart"/>
      <w:r w:rsidRPr="00F82953">
        <w:rPr>
          <w:rFonts w:ascii="Arial" w:hAnsi="Arial" w:cs="Arial"/>
          <w:kern w:val="1"/>
          <w:sz w:val="22"/>
          <w:szCs w:val="22"/>
        </w:rPr>
        <w:t>PAb</w:t>
      </w:r>
      <w:proofErr w:type="spellEnd"/>
      <w:r w:rsidRPr="00F82953">
        <w:rPr>
          <w:rFonts w:ascii="Arial" w:hAnsi="Arial" w:cs="Arial"/>
          <w:kern w:val="1"/>
          <w:sz w:val="22"/>
          <w:szCs w:val="22"/>
        </w:rPr>
        <w:t xml:space="preserve">) (usually rabbit)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antibody. After incubation, the </w:t>
      </w:r>
      <w:proofErr w:type="spellStart"/>
      <w:r w:rsidRPr="00F82953">
        <w:rPr>
          <w:rFonts w:ascii="Arial" w:hAnsi="Arial" w:cs="Arial"/>
          <w:kern w:val="1"/>
          <w:sz w:val="22"/>
          <w:szCs w:val="22"/>
        </w:rPr>
        <w:t>Tg-PAb</w:t>
      </w:r>
      <w:proofErr w:type="spellEnd"/>
      <w:r w:rsidRPr="00F82953">
        <w:rPr>
          <w:rFonts w:ascii="Arial" w:hAnsi="Arial" w:cs="Arial"/>
          <w:kern w:val="1"/>
          <w:sz w:val="22"/>
          <w:szCs w:val="22"/>
        </w:rPr>
        <w:t xml:space="preserve"> complex is precipitated by an anti-rabbit second antibody and the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concentration is quantified from the </w:t>
      </w:r>
      <w:r w:rsidRPr="00F82953">
        <w:rPr>
          <w:rFonts w:ascii="Arial" w:hAnsi="Arial" w:cs="Arial"/>
          <w:kern w:val="1"/>
          <w:sz w:val="22"/>
          <w:szCs w:val="22"/>
          <w:vertAlign w:val="superscript"/>
        </w:rPr>
        <w:t>125</w:t>
      </w:r>
      <w:r w:rsidRPr="00F82953">
        <w:rPr>
          <w:rFonts w:ascii="Arial" w:hAnsi="Arial" w:cs="Arial"/>
          <w:kern w:val="1"/>
          <w:sz w:val="22"/>
          <w:szCs w:val="22"/>
        </w:rPr>
        <w:t xml:space="preserve">I-Tg in the precipitate. The first Tg-RIAs developed in the 1970s were insensitive (~2 µg/L) (5,613). Over subsequent decades some Tg-RIAs have achieved first generation functional sensitivity (FS = 0.5 µg/L) by using a long (48-hour) pre-incubation before adding a high specific activity </w:t>
      </w:r>
      <w:r w:rsidRPr="00F82953">
        <w:rPr>
          <w:rFonts w:ascii="Arial" w:hAnsi="Arial" w:cs="Arial"/>
          <w:kern w:val="1"/>
          <w:sz w:val="22"/>
          <w:szCs w:val="22"/>
          <w:vertAlign w:val="superscript"/>
        </w:rPr>
        <w:t>125</w:t>
      </w:r>
      <w:r w:rsidRPr="00F82953">
        <w:rPr>
          <w:rFonts w:ascii="Arial" w:hAnsi="Arial" w:cs="Arial"/>
          <w:kern w:val="1"/>
          <w:sz w:val="22"/>
          <w:szCs w:val="22"/>
        </w:rPr>
        <w:t xml:space="preserve">I-Tg tracer (614,615). The use of a high affinity polyclonal antibody (616) coupled with a species-specific second antibody appears to minimize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Resistance to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is evidenced by appropriately normal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values for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euthyroid controls (512) and detectable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DTC patients with structural disease (14,555). The clinical performance of this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contrasts with IMA methods that fail to detect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some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normal euthyroid subjects (512), some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-positive Graves' hyperthyroid patients (14,617)</w:t>
      </w:r>
      <w:r w:rsidR="009601F4">
        <w:rPr>
          <w:rFonts w:ascii="Arial" w:hAnsi="Arial" w:cs="Arial"/>
          <w:kern w:val="1"/>
          <w:sz w:val="22"/>
          <w:szCs w:val="22"/>
        </w:rPr>
        <w:t>,</w:t>
      </w:r>
      <w:r w:rsidRPr="00F82953">
        <w:rPr>
          <w:rFonts w:ascii="Arial" w:hAnsi="Arial" w:cs="Arial"/>
          <w:kern w:val="1"/>
          <w:sz w:val="22"/>
          <w:szCs w:val="22"/>
        </w:rPr>
        <w:t xml:space="preserve"> or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patients with structural disease (14,512,618). It should be noted that the propensity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to interfere with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determinations and cause under- or overestimation (546,608) depends on the patient-specific interactions between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 the specimen and the RIA reagents (609). </w:t>
      </w:r>
    </w:p>
    <w:p w14:paraId="452EDA5E" w14:textId="77777777" w:rsidR="00917AE9" w:rsidRPr="00F82953" w:rsidRDefault="00917AE9" w:rsidP="00F82953">
      <w:pPr>
        <w:autoSpaceDE w:val="0"/>
        <w:autoSpaceDN w:val="0"/>
        <w:adjustRightInd w:val="0"/>
        <w:spacing w:after="0" w:line="276" w:lineRule="auto"/>
        <w:rPr>
          <w:rFonts w:ascii="Arial" w:hAnsi="Arial" w:cs="Arial"/>
          <w:kern w:val="1"/>
          <w:sz w:val="22"/>
          <w:szCs w:val="22"/>
        </w:rPr>
      </w:pPr>
    </w:p>
    <w:p w14:paraId="24CC8EAF" w14:textId="23935DEC" w:rsidR="005C4829" w:rsidRPr="00F82953" w:rsidRDefault="005C4829" w:rsidP="00F82953">
      <w:pPr>
        <w:autoSpaceDE w:val="0"/>
        <w:autoSpaceDN w:val="0"/>
        <w:adjustRightInd w:val="0"/>
        <w:spacing w:after="0" w:line="276" w:lineRule="auto"/>
        <w:rPr>
          <w:rFonts w:ascii="Arial" w:hAnsi="Arial" w:cs="Arial"/>
          <w:kern w:val="1"/>
          <w:sz w:val="22"/>
          <w:szCs w:val="22"/>
        </w:rPr>
      </w:pPr>
      <w:proofErr w:type="spellStart"/>
      <w:r w:rsidRPr="00622B65">
        <w:rPr>
          <w:rFonts w:ascii="Arial" w:hAnsi="Arial" w:cs="Arial"/>
          <w:kern w:val="1"/>
          <w:sz w:val="22"/>
          <w:szCs w:val="22"/>
        </w:rPr>
        <w:lastRenderedPageBreak/>
        <w:t>TgAb</w:t>
      </w:r>
      <w:proofErr w:type="spellEnd"/>
      <w:r w:rsidRPr="00622B65">
        <w:rPr>
          <w:rFonts w:ascii="Arial" w:hAnsi="Arial" w:cs="Arial"/>
          <w:kern w:val="1"/>
          <w:sz w:val="22"/>
          <w:szCs w:val="22"/>
        </w:rPr>
        <w:t xml:space="preserve"> interference with </w:t>
      </w:r>
      <w:proofErr w:type="spellStart"/>
      <w:r w:rsidRPr="00622B65">
        <w:rPr>
          <w:rFonts w:ascii="Arial" w:hAnsi="Arial" w:cs="Arial"/>
          <w:kern w:val="1"/>
          <w:sz w:val="22"/>
          <w:szCs w:val="22"/>
        </w:rPr>
        <w:t>Tg</w:t>
      </w:r>
      <w:proofErr w:type="spellEnd"/>
      <w:r w:rsidRPr="00622B65">
        <w:rPr>
          <w:rFonts w:ascii="Arial" w:hAnsi="Arial" w:cs="Arial"/>
          <w:kern w:val="1"/>
          <w:sz w:val="22"/>
          <w:szCs w:val="22"/>
        </w:rPr>
        <w:t>-IMA Methodology</w:t>
      </w:r>
      <w:r w:rsidR="00622B65">
        <w:rPr>
          <w:rFonts w:ascii="Arial" w:hAnsi="Arial" w:cs="Arial"/>
          <w:kern w:val="1"/>
          <w:sz w:val="22"/>
          <w:szCs w:val="22"/>
        </w:rPr>
        <w:t>.</w:t>
      </w:r>
      <w:r w:rsidRPr="00F82953">
        <w:rPr>
          <w:rFonts w:ascii="Arial" w:hAnsi="Arial" w:cs="Arial"/>
          <w:kern w:val="1"/>
          <w:sz w:val="22"/>
          <w:szCs w:val="22"/>
        </w:rPr>
        <w:t xml:space="preserve"> Most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testing is currently made by automated IMAs, whereby antigen is captured by two monoclonal antibodies (</w:t>
      </w:r>
      <w:proofErr w:type="spellStart"/>
      <w:r w:rsidRPr="00F82953">
        <w:rPr>
          <w:rFonts w:ascii="Arial" w:hAnsi="Arial" w:cs="Arial"/>
          <w:kern w:val="1"/>
          <w:sz w:val="22"/>
          <w:szCs w:val="22"/>
        </w:rPr>
        <w:t>MAb</w:t>
      </w:r>
      <w:proofErr w:type="spellEnd"/>
      <w:r w:rsidRPr="00F82953">
        <w:rPr>
          <w:rFonts w:ascii="Arial" w:hAnsi="Arial" w:cs="Arial"/>
          <w:kern w:val="1"/>
          <w:sz w:val="22"/>
          <w:szCs w:val="22"/>
        </w:rPr>
        <w:t xml:space="preserve">) that target different epitopes on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protein (619).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interferes with IMA methodology by steric inhibition – i.e. by blocking the epitope(s) necessary for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to bind the </w:t>
      </w:r>
      <w:proofErr w:type="spellStart"/>
      <w:r w:rsidRPr="00F82953">
        <w:rPr>
          <w:rFonts w:ascii="Arial" w:hAnsi="Arial" w:cs="Arial"/>
          <w:kern w:val="1"/>
          <w:sz w:val="22"/>
          <w:szCs w:val="22"/>
        </w:rPr>
        <w:t>MAb</w:t>
      </w:r>
      <w:proofErr w:type="spellEnd"/>
      <w:r w:rsidRPr="00F82953">
        <w:rPr>
          <w:rFonts w:ascii="Arial" w:hAnsi="Arial" w:cs="Arial"/>
          <w:kern w:val="1"/>
          <w:sz w:val="22"/>
          <w:szCs w:val="22"/>
        </w:rPr>
        <w:t xml:space="preserve">(s), so that the </w:t>
      </w:r>
      <w:proofErr w:type="spellStart"/>
      <w:r w:rsidRPr="00F82953">
        <w:rPr>
          <w:rFonts w:ascii="Arial" w:hAnsi="Arial" w:cs="Arial"/>
          <w:kern w:val="1"/>
          <w:sz w:val="22"/>
          <w:szCs w:val="22"/>
        </w:rPr>
        <w:t>MAb-Tg-MAb</w:t>
      </w:r>
      <w:proofErr w:type="spellEnd"/>
      <w:r w:rsidRPr="00F82953">
        <w:rPr>
          <w:rFonts w:ascii="Arial" w:hAnsi="Arial" w:cs="Arial"/>
          <w:kern w:val="1"/>
          <w:sz w:val="22"/>
          <w:szCs w:val="22"/>
        </w:rPr>
        <w:t xml:space="preserve"> reaction cannot take place and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is reported as falsely low or undetectable. This mechanism of epitope masking is supported by timed recovery studies. Clinically,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is evident from the paradoxically low/undetectable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seen for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-positive normal controls (512), patients with Graves' hyperthyroidism (14,617)</w:t>
      </w:r>
      <w:r w:rsidR="009601F4">
        <w:rPr>
          <w:rFonts w:ascii="Arial" w:hAnsi="Arial" w:cs="Arial"/>
          <w:kern w:val="1"/>
          <w:sz w:val="22"/>
          <w:szCs w:val="22"/>
        </w:rPr>
        <w:t>,</w:t>
      </w:r>
      <w:r w:rsidRPr="00F82953">
        <w:rPr>
          <w:rFonts w:ascii="Arial" w:hAnsi="Arial" w:cs="Arial"/>
          <w:kern w:val="1"/>
          <w:sz w:val="22"/>
          <w:szCs w:val="22"/>
        </w:rPr>
        <w:t xml:space="preserve"> </w:t>
      </w:r>
      <w:r w:rsidRPr="00C24C65">
        <w:rPr>
          <w:rFonts w:ascii="Arial" w:hAnsi="Arial" w:cs="Arial"/>
          <w:kern w:val="1"/>
          <w:sz w:val="22"/>
          <w:szCs w:val="22"/>
        </w:rPr>
        <w:t xml:space="preserve">and DTC patients with active disease (Figures </w:t>
      </w:r>
      <w:r w:rsidR="00C24C65" w:rsidRPr="00C24C65">
        <w:rPr>
          <w:rFonts w:ascii="Arial" w:hAnsi="Arial" w:cs="Arial"/>
          <w:kern w:val="1"/>
          <w:sz w:val="22"/>
          <w:szCs w:val="22"/>
        </w:rPr>
        <w:t>10</w:t>
      </w:r>
      <w:r w:rsidRPr="00C24C65">
        <w:rPr>
          <w:rFonts w:ascii="Arial" w:hAnsi="Arial" w:cs="Arial"/>
          <w:kern w:val="1"/>
          <w:sz w:val="22"/>
          <w:szCs w:val="22"/>
        </w:rPr>
        <w:t xml:space="preserve"> and 1</w:t>
      </w:r>
      <w:r w:rsidR="00C24C65" w:rsidRPr="00C24C65">
        <w:rPr>
          <w:rFonts w:ascii="Arial" w:hAnsi="Arial" w:cs="Arial"/>
          <w:kern w:val="1"/>
          <w:sz w:val="22"/>
          <w:szCs w:val="22"/>
        </w:rPr>
        <w:t>1</w:t>
      </w:r>
      <w:r w:rsidRPr="00C24C65">
        <w:rPr>
          <w:rFonts w:ascii="Arial" w:hAnsi="Arial" w:cs="Arial"/>
          <w:kern w:val="1"/>
          <w:sz w:val="22"/>
          <w:szCs w:val="22"/>
        </w:rPr>
        <w:t xml:space="preserve">) (14,43,555). High </w:t>
      </w:r>
      <w:proofErr w:type="spellStart"/>
      <w:r w:rsidRPr="00C24C65">
        <w:rPr>
          <w:rFonts w:ascii="Arial" w:hAnsi="Arial" w:cs="Arial"/>
          <w:kern w:val="1"/>
          <w:sz w:val="22"/>
          <w:szCs w:val="22"/>
        </w:rPr>
        <w:t>Tg</w:t>
      </w:r>
      <w:proofErr w:type="spellEnd"/>
      <w:r w:rsidRPr="00C24C65">
        <w:rPr>
          <w:rFonts w:ascii="Arial" w:hAnsi="Arial" w:cs="Arial"/>
          <w:kern w:val="1"/>
          <w:sz w:val="22"/>
          <w:szCs w:val="22"/>
        </w:rPr>
        <w:t xml:space="preserve"> concentrations can overwhelm the </w:t>
      </w:r>
      <w:proofErr w:type="spellStart"/>
      <w:r w:rsidRPr="00C24C65">
        <w:rPr>
          <w:rFonts w:ascii="Arial" w:hAnsi="Arial" w:cs="Arial"/>
          <w:kern w:val="1"/>
          <w:sz w:val="22"/>
          <w:szCs w:val="22"/>
        </w:rPr>
        <w:t>TgAb</w:t>
      </w:r>
      <w:proofErr w:type="spellEnd"/>
      <w:r w:rsidRPr="00C24C65">
        <w:rPr>
          <w:rFonts w:ascii="Arial" w:hAnsi="Arial" w:cs="Arial"/>
          <w:kern w:val="1"/>
          <w:sz w:val="22"/>
          <w:szCs w:val="22"/>
        </w:rPr>
        <w:t xml:space="preserve"> binding capacity rendering </w:t>
      </w:r>
      <w:proofErr w:type="spellStart"/>
      <w:r w:rsidRPr="00C24C65">
        <w:rPr>
          <w:rFonts w:ascii="Arial" w:hAnsi="Arial" w:cs="Arial"/>
          <w:kern w:val="1"/>
          <w:sz w:val="22"/>
          <w:szCs w:val="22"/>
        </w:rPr>
        <w:t>Tg</w:t>
      </w:r>
      <w:proofErr w:type="spellEnd"/>
      <w:r w:rsidRPr="00C24C65">
        <w:rPr>
          <w:rFonts w:ascii="Arial" w:hAnsi="Arial" w:cs="Arial"/>
          <w:kern w:val="1"/>
          <w:sz w:val="22"/>
          <w:szCs w:val="22"/>
        </w:rPr>
        <w:t xml:space="preserve">-IMA concentrations detectable and lessening the degree of </w:t>
      </w:r>
      <w:r w:rsidRPr="00F82953">
        <w:rPr>
          <w:rFonts w:ascii="Arial" w:hAnsi="Arial" w:cs="Arial"/>
          <w:kern w:val="1"/>
          <w:sz w:val="22"/>
          <w:szCs w:val="22"/>
        </w:rPr>
        <w:t xml:space="preserve">interference (45,555). It follows that as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concentrations rise, more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is free, the influence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lessens and the discordance between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and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-RIA </w:t>
      </w:r>
      <w:r w:rsidR="00C41ED5" w:rsidRPr="00F82953">
        <w:rPr>
          <w:rFonts w:ascii="Arial" w:hAnsi="Arial" w:cs="Arial"/>
          <w:color w:val="000000" w:themeColor="text1"/>
          <w:kern w:val="1"/>
          <w:sz w:val="22"/>
          <w:szCs w:val="22"/>
        </w:rPr>
        <w:t>lessens</w:t>
      </w:r>
      <w:r w:rsidRPr="00F82953">
        <w:rPr>
          <w:rFonts w:ascii="Arial" w:hAnsi="Arial" w:cs="Arial"/>
          <w:color w:val="000000" w:themeColor="text1"/>
          <w:kern w:val="1"/>
          <w:sz w:val="22"/>
          <w:szCs w:val="22"/>
        </w:rPr>
        <w:t xml:space="preserve"> (Figure 11B) </w:t>
      </w:r>
      <w:r w:rsidRPr="00F82953">
        <w:rPr>
          <w:rFonts w:ascii="Arial" w:hAnsi="Arial" w:cs="Arial"/>
          <w:kern w:val="1"/>
          <w:sz w:val="22"/>
          <w:szCs w:val="22"/>
        </w:rPr>
        <w:t xml:space="preserve">(45,555). Although some IMA methods have claimed to overcome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by using monoclonal antibodies directed against specific epitopes not involved in thyroid autoimmunity (580), this approach has not overcome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interferences in clinical practice, possibly because less restricted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epitopes are associated with thyroid carcinomas than with autoimmune thyroid conditions (510,517,620).</w:t>
      </w:r>
    </w:p>
    <w:p w14:paraId="003F6EF6" w14:textId="77777777" w:rsidR="00917AE9" w:rsidRPr="00F82953" w:rsidRDefault="00917AE9" w:rsidP="00F82953">
      <w:pPr>
        <w:autoSpaceDE w:val="0"/>
        <w:autoSpaceDN w:val="0"/>
        <w:adjustRightInd w:val="0"/>
        <w:spacing w:after="0" w:line="276" w:lineRule="auto"/>
        <w:rPr>
          <w:rFonts w:ascii="Arial" w:hAnsi="Arial" w:cs="Arial"/>
          <w:b/>
          <w:bCs/>
          <w:i/>
          <w:iCs/>
          <w:kern w:val="1"/>
          <w:sz w:val="22"/>
          <w:szCs w:val="22"/>
          <w:u w:val="single"/>
        </w:rPr>
      </w:pPr>
    </w:p>
    <w:p w14:paraId="6DACCE52" w14:textId="3FE0CED6" w:rsidR="00730EFC" w:rsidRPr="00F82953" w:rsidRDefault="005C4829" w:rsidP="00F82953">
      <w:pPr>
        <w:autoSpaceDE w:val="0"/>
        <w:autoSpaceDN w:val="0"/>
        <w:adjustRightInd w:val="0"/>
        <w:spacing w:after="0" w:line="276" w:lineRule="auto"/>
        <w:rPr>
          <w:rFonts w:ascii="Arial" w:hAnsi="Arial" w:cs="Arial"/>
          <w:kern w:val="1"/>
          <w:sz w:val="22"/>
          <w:szCs w:val="22"/>
        </w:rPr>
      </w:pPr>
      <w:proofErr w:type="spellStart"/>
      <w:r w:rsidRPr="00622B65">
        <w:rPr>
          <w:rFonts w:ascii="Arial" w:hAnsi="Arial" w:cs="Arial"/>
          <w:kern w:val="1"/>
          <w:sz w:val="22"/>
          <w:szCs w:val="22"/>
        </w:rPr>
        <w:t>TgAb</w:t>
      </w:r>
      <w:proofErr w:type="spellEnd"/>
      <w:r w:rsidRPr="00622B65">
        <w:rPr>
          <w:rFonts w:ascii="Arial" w:hAnsi="Arial" w:cs="Arial"/>
          <w:kern w:val="1"/>
          <w:sz w:val="22"/>
          <w:szCs w:val="22"/>
        </w:rPr>
        <w:t xml:space="preserve"> Interference with </w:t>
      </w:r>
      <w:proofErr w:type="spellStart"/>
      <w:r w:rsidRPr="00622B65">
        <w:rPr>
          <w:rFonts w:ascii="Arial" w:hAnsi="Arial" w:cs="Arial"/>
          <w:kern w:val="1"/>
          <w:sz w:val="22"/>
          <w:szCs w:val="22"/>
        </w:rPr>
        <w:t>Tg</w:t>
      </w:r>
      <w:proofErr w:type="spellEnd"/>
      <w:r w:rsidRPr="00622B65">
        <w:rPr>
          <w:rFonts w:ascii="Arial" w:hAnsi="Arial" w:cs="Arial"/>
          <w:kern w:val="1"/>
          <w:sz w:val="22"/>
          <w:szCs w:val="22"/>
        </w:rPr>
        <w:t xml:space="preserve"> LC-MS/MS</w:t>
      </w:r>
      <w:r w:rsidR="00622B65" w:rsidRPr="00622B65">
        <w:rPr>
          <w:rFonts w:ascii="Arial" w:hAnsi="Arial" w:cs="Arial"/>
          <w:kern w:val="1"/>
          <w:sz w:val="22"/>
          <w:szCs w:val="22"/>
        </w:rPr>
        <w:t>.</w:t>
      </w:r>
      <w:r w:rsidRPr="00F82953">
        <w:rPr>
          <w:rFonts w:ascii="Arial" w:hAnsi="Arial" w:cs="Arial"/>
          <w:i/>
          <w:iCs/>
          <w:kern w:val="1"/>
          <w:sz w:val="22"/>
          <w:szCs w:val="22"/>
        </w:rPr>
        <w:t xml:space="preserve"> </w:t>
      </w:r>
      <w:r w:rsidRPr="00F82953">
        <w:rPr>
          <w:rFonts w:ascii="Arial" w:hAnsi="Arial" w:cs="Arial"/>
          <w:kern w:val="1"/>
          <w:sz w:val="22"/>
          <w:szCs w:val="22"/>
        </w:rPr>
        <w:t xml:space="preserve">Liquid Chromatography, Tandem Mass Spectrometry (LC-MS/MS) is the newest methodology used to measure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This methodology measures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by </w:t>
      </w:r>
      <w:proofErr w:type="spellStart"/>
      <w:r w:rsidRPr="00F82953">
        <w:rPr>
          <w:rFonts w:ascii="Arial" w:hAnsi="Arial" w:cs="Arial"/>
          <w:kern w:val="1"/>
          <w:sz w:val="22"/>
          <w:szCs w:val="22"/>
        </w:rPr>
        <w:t>trypsinizing</w:t>
      </w:r>
      <w:proofErr w:type="spellEnd"/>
      <w:r w:rsidRPr="00F82953">
        <w:rPr>
          <w:rFonts w:ascii="Arial" w:hAnsi="Arial" w:cs="Arial"/>
          <w:kern w:val="1"/>
          <w:sz w:val="22"/>
          <w:szCs w:val="22"/>
        </w:rPr>
        <w:t xml:space="preserve"> the </w:t>
      </w:r>
      <w:proofErr w:type="spellStart"/>
      <w:r w:rsidRPr="00F82953">
        <w:rPr>
          <w:rFonts w:ascii="Arial" w:hAnsi="Arial" w:cs="Arial"/>
          <w:kern w:val="1"/>
          <w:sz w:val="22"/>
          <w:szCs w:val="22"/>
        </w:rPr>
        <w:t>Tg-TgAb</w:t>
      </w:r>
      <w:proofErr w:type="spellEnd"/>
      <w:r w:rsidRPr="00F82953">
        <w:rPr>
          <w:rFonts w:ascii="Arial" w:hAnsi="Arial" w:cs="Arial"/>
          <w:kern w:val="1"/>
          <w:sz w:val="22"/>
          <w:szCs w:val="22"/>
        </w:rPr>
        <w:t xml:space="preserve"> complexes in the serum to generate a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-specific peptide(s) that can be measured by LC-MS/MS (37-39,41,580,621). Most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LC-MS/MS methods only have first generation functional sensitivity (FS ~ 0.5 µg/L) (24,39,40) although more sensitive methods are being developed (621).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-LC-MS/MS methodology has been shown free from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interferences (43,595) and has been promoted as being free from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(24,39,40). </w:t>
      </w:r>
      <w:r w:rsidR="00730EFC" w:rsidRPr="00F82953">
        <w:rPr>
          <w:rFonts w:ascii="Arial" w:hAnsi="Arial" w:cs="Arial"/>
          <w:kern w:val="1"/>
          <w:sz w:val="22"/>
          <w:szCs w:val="22"/>
        </w:rPr>
        <w:t xml:space="preserve">However, these claims are not supported by clinical studies in which paradoxically undetectable LC-MS/MS </w:t>
      </w:r>
      <w:proofErr w:type="spellStart"/>
      <w:r w:rsidR="00730EFC" w:rsidRPr="00F82953">
        <w:rPr>
          <w:rFonts w:ascii="Arial" w:hAnsi="Arial" w:cs="Arial"/>
          <w:kern w:val="1"/>
          <w:sz w:val="22"/>
          <w:szCs w:val="22"/>
        </w:rPr>
        <w:t>Tg</w:t>
      </w:r>
      <w:proofErr w:type="spellEnd"/>
      <w:r w:rsidR="00730EFC" w:rsidRPr="00F82953">
        <w:rPr>
          <w:rFonts w:ascii="Arial" w:hAnsi="Arial" w:cs="Arial"/>
          <w:kern w:val="1"/>
          <w:sz w:val="22"/>
          <w:szCs w:val="22"/>
        </w:rPr>
        <w:t xml:space="preserve"> tests are seen for many </w:t>
      </w:r>
      <w:proofErr w:type="spellStart"/>
      <w:r w:rsidR="00730EFC" w:rsidRPr="00F82953">
        <w:rPr>
          <w:rFonts w:ascii="Arial" w:hAnsi="Arial" w:cs="Arial"/>
          <w:kern w:val="1"/>
          <w:sz w:val="22"/>
          <w:szCs w:val="22"/>
        </w:rPr>
        <w:t>TgAb</w:t>
      </w:r>
      <w:proofErr w:type="spellEnd"/>
      <w:r w:rsidR="00730EFC" w:rsidRPr="00F82953">
        <w:rPr>
          <w:rFonts w:ascii="Arial" w:hAnsi="Arial" w:cs="Arial"/>
          <w:kern w:val="1"/>
          <w:sz w:val="22"/>
          <w:szCs w:val="22"/>
        </w:rPr>
        <w:t xml:space="preserve">-positive DTC patients with structural disease (14,24,43,555,557,558). The higher the </w:t>
      </w:r>
      <w:proofErr w:type="spellStart"/>
      <w:r w:rsidR="00730EFC" w:rsidRPr="00F82953">
        <w:rPr>
          <w:rFonts w:ascii="Arial" w:hAnsi="Arial" w:cs="Arial"/>
          <w:kern w:val="1"/>
          <w:sz w:val="22"/>
          <w:szCs w:val="22"/>
        </w:rPr>
        <w:t>TgAb</w:t>
      </w:r>
      <w:proofErr w:type="spellEnd"/>
      <w:r w:rsidR="00730EFC" w:rsidRPr="00F82953">
        <w:rPr>
          <w:rFonts w:ascii="Arial" w:hAnsi="Arial" w:cs="Arial"/>
          <w:kern w:val="1"/>
          <w:sz w:val="22"/>
          <w:szCs w:val="22"/>
        </w:rPr>
        <w:t xml:space="preserve">, the more likely that no </w:t>
      </w:r>
      <w:proofErr w:type="spellStart"/>
      <w:r w:rsidR="00730EFC" w:rsidRPr="00F82953">
        <w:rPr>
          <w:rFonts w:ascii="Arial" w:hAnsi="Arial" w:cs="Arial"/>
          <w:kern w:val="1"/>
          <w:sz w:val="22"/>
          <w:szCs w:val="22"/>
        </w:rPr>
        <w:t>Tg</w:t>
      </w:r>
      <w:proofErr w:type="spellEnd"/>
      <w:r w:rsidR="00730EFC" w:rsidRPr="00F82953">
        <w:rPr>
          <w:rFonts w:ascii="Arial" w:hAnsi="Arial" w:cs="Arial"/>
          <w:kern w:val="1"/>
          <w:sz w:val="22"/>
          <w:szCs w:val="22"/>
        </w:rPr>
        <w:t xml:space="preserve"> would be detected by LC-MS/MS in patients with disease (558).  It currently appears that when </w:t>
      </w:r>
      <w:proofErr w:type="spellStart"/>
      <w:r w:rsidR="00730EFC" w:rsidRPr="00F82953">
        <w:rPr>
          <w:rFonts w:ascii="Arial" w:hAnsi="Arial" w:cs="Arial"/>
          <w:kern w:val="1"/>
          <w:sz w:val="22"/>
          <w:szCs w:val="22"/>
        </w:rPr>
        <w:t>TgAb</w:t>
      </w:r>
      <w:proofErr w:type="spellEnd"/>
      <w:r w:rsidR="00730EFC" w:rsidRPr="00F82953">
        <w:rPr>
          <w:rFonts w:ascii="Arial" w:hAnsi="Arial" w:cs="Arial"/>
          <w:kern w:val="1"/>
          <w:sz w:val="22"/>
          <w:szCs w:val="22"/>
        </w:rPr>
        <w:t xml:space="preserve"> is present LC-MS/MS methodology offers no diagnostic advantage over IMA.</w:t>
      </w:r>
    </w:p>
    <w:p w14:paraId="568A8B4B" w14:textId="19741B6C"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1364EB7" w14:textId="5EA25D23" w:rsidR="00730EFC" w:rsidRPr="00CA4353" w:rsidRDefault="00730EFC" w:rsidP="00F82953">
      <w:pPr>
        <w:autoSpaceDE w:val="0"/>
        <w:autoSpaceDN w:val="0"/>
        <w:adjustRightInd w:val="0"/>
        <w:spacing w:after="0" w:line="276" w:lineRule="auto"/>
        <w:rPr>
          <w:rFonts w:ascii="Arial" w:hAnsi="Arial" w:cs="Arial"/>
          <w:b/>
          <w:bCs/>
          <w:color w:val="00B050"/>
          <w:kern w:val="1"/>
          <w:sz w:val="22"/>
          <w:szCs w:val="22"/>
        </w:rPr>
      </w:pPr>
      <w:r w:rsidRPr="00CA4353">
        <w:rPr>
          <w:rFonts w:ascii="Arial" w:hAnsi="Arial" w:cs="Arial"/>
          <w:b/>
          <w:bCs/>
          <w:color w:val="00B050"/>
          <w:kern w:val="1"/>
          <w:sz w:val="22"/>
          <w:szCs w:val="22"/>
        </w:rPr>
        <w:t>C</w:t>
      </w:r>
      <w:r w:rsidR="00E54DB7" w:rsidRPr="00CA4353">
        <w:rPr>
          <w:rFonts w:ascii="Arial" w:hAnsi="Arial" w:cs="Arial"/>
          <w:b/>
          <w:bCs/>
          <w:color w:val="00B050"/>
          <w:kern w:val="1"/>
          <w:sz w:val="22"/>
          <w:szCs w:val="22"/>
        </w:rPr>
        <w:t xml:space="preserve">linical Utility of </w:t>
      </w:r>
      <w:proofErr w:type="spellStart"/>
      <w:r w:rsidR="000A6FA7" w:rsidRPr="00CA4353">
        <w:rPr>
          <w:rFonts w:ascii="Arial" w:hAnsi="Arial" w:cs="Arial"/>
          <w:b/>
          <w:bCs/>
          <w:color w:val="00B050"/>
          <w:kern w:val="1"/>
          <w:sz w:val="22"/>
          <w:szCs w:val="22"/>
        </w:rPr>
        <w:t>T</w:t>
      </w:r>
      <w:r w:rsidR="00581907" w:rsidRPr="00CA4353">
        <w:rPr>
          <w:rFonts w:ascii="Arial" w:hAnsi="Arial" w:cs="Arial"/>
          <w:b/>
          <w:bCs/>
          <w:color w:val="00B050"/>
          <w:kern w:val="1"/>
          <w:sz w:val="22"/>
          <w:szCs w:val="22"/>
        </w:rPr>
        <w:t>GA</w:t>
      </w:r>
      <w:r w:rsidR="00C74562" w:rsidRPr="00CA4353">
        <w:rPr>
          <w:rFonts w:ascii="Arial" w:hAnsi="Arial" w:cs="Arial"/>
          <w:b/>
          <w:bCs/>
          <w:color w:val="00B050"/>
          <w:kern w:val="1"/>
          <w:sz w:val="22"/>
          <w:szCs w:val="22"/>
        </w:rPr>
        <w:t>b</w:t>
      </w:r>
      <w:proofErr w:type="spellEnd"/>
      <w:r w:rsidR="00581907" w:rsidRPr="00CA4353">
        <w:rPr>
          <w:rFonts w:ascii="Arial" w:hAnsi="Arial" w:cs="Arial"/>
          <w:b/>
          <w:bCs/>
          <w:color w:val="00B050"/>
          <w:kern w:val="1"/>
          <w:sz w:val="22"/>
          <w:szCs w:val="22"/>
        </w:rPr>
        <w:t xml:space="preserve"> </w:t>
      </w:r>
      <w:r w:rsidR="00CA4353" w:rsidRPr="00CA4353">
        <w:rPr>
          <w:rFonts w:ascii="Arial" w:hAnsi="Arial" w:cs="Arial"/>
          <w:b/>
          <w:bCs/>
          <w:color w:val="00B050"/>
          <w:kern w:val="1"/>
          <w:sz w:val="22"/>
          <w:szCs w:val="22"/>
        </w:rPr>
        <w:t xml:space="preserve">Used as a Surrogate DTC Tumor Marker </w:t>
      </w:r>
      <w:r w:rsidR="00581907" w:rsidRPr="00CA4353">
        <w:rPr>
          <w:rFonts w:ascii="Arial" w:hAnsi="Arial" w:cs="Arial"/>
          <w:b/>
          <w:bCs/>
          <w:color w:val="00B050"/>
          <w:kern w:val="1"/>
          <w:sz w:val="22"/>
          <w:szCs w:val="22"/>
        </w:rPr>
        <w:t xml:space="preserve"> </w:t>
      </w:r>
      <w:r w:rsidRPr="00CA4353">
        <w:rPr>
          <w:rFonts w:ascii="Arial" w:hAnsi="Arial" w:cs="Arial"/>
          <w:b/>
          <w:bCs/>
          <w:color w:val="00B050"/>
          <w:kern w:val="1"/>
          <w:sz w:val="22"/>
          <w:szCs w:val="22"/>
        </w:rPr>
        <w:t xml:space="preserve"> </w:t>
      </w:r>
    </w:p>
    <w:p w14:paraId="4E38D8CE" w14:textId="77777777" w:rsidR="000A6FA7" w:rsidRDefault="000A6FA7" w:rsidP="00F82953">
      <w:pPr>
        <w:autoSpaceDE w:val="0"/>
        <w:autoSpaceDN w:val="0"/>
        <w:adjustRightInd w:val="0"/>
        <w:spacing w:after="0" w:line="276" w:lineRule="auto"/>
        <w:rPr>
          <w:rFonts w:ascii="Arial" w:hAnsi="Arial" w:cs="Arial"/>
          <w:kern w:val="1"/>
          <w:sz w:val="22"/>
          <w:szCs w:val="22"/>
          <w:u w:val="single"/>
        </w:rPr>
      </w:pPr>
    </w:p>
    <w:p w14:paraId="5B76ACA7" w14:textId="053382B7" w:rsidR="00730EFC" w:rsidRPr="00F82953" w:rsidRDefault="00730EFC"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u w:val="single"/>
        </w:rPr>
        <w:t>T</w:t>
      </w:r>
      <w:r w:rsidRPr="00F82953">
        <w:rPr>
          <w:rFonts w:ascii="Arial" w:hAnsi="Arial" w:cs="Arial"/>
          <w:kern w:val="1"/>
          <w:sz w:val="22"/>
          <w:szCs w:val="22"/>
        </w:rPr>
        <w:t xml:space="preserve">he serum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trend has become recognized as a postoperative surrogate DTC tumor-marker. A declining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trend is a good prognostic sign, whereas a stable or rising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may indicate persistent/recurrent disease (23,57,509,519,521,530,531,533,536,612,622-624). The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half-life in blood approximates 10 weeks (522). Following successful surgery (± radioiodine treatment),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typically falls more than 50 percent in first post-operative year and often decreases to &lt;10 percent after 3-4 years eventually becoming undetectable with reduced stimulation of the immune system by lower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antigen levels (45,57,274,522,524,530,531,625). The time needed for a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patient to become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-negative in response to successful treatment is inversely related the initial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concentration, perhaps representing the long-lived memory of plasma cells (274,626). Patients exhibiting a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decline of more than 50 percent by the end of the first post-operative year have been shown to have a low </w:t>
      </w:r>
      <w:r w:rsidRPr="00F82953">
        <w:rPr>
          <w:rFonts w:ascii="Arial" w:hAnsi="Arial" w:cs="Arial"/>
          <w:kern w:val="1"/>
          <w:sz w:val="22"/>
          <w:szCs w:val="22"/>
        </w:rPr>
        <w:lastRenderedPageBreak/>
        <w:t xml:space="preserve">recurrence risk (515,531,534,612,627). However, a significant percentage (~5 %)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-negative patients may develop transient de novo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-positivity in the early post-operative period, presumably in response to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antigen released by surgical trauma (532,628,629). A rise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can also be seen soon after fine needle aspiration (FNA) biopsy (630-632) or more chronically (months) in response to radiolytic damage following radioiodine treatment (22,633,634). However, the 5 percent of DTC patients that display a sustained de novo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appearance are likely to have recurrent disease (Figure 11B) (532,</w:t>
      </w:r>
      <w:r w:rsidRPr="00F82953">
        <w:rPr>
          <w:rFonts w:ascii="Arial" w:hAnsi="Arial" w:cs="Arial"/>
          <w:color w:val="000000" w:themeColor="text1"/>
          <w:kern w:val="1"/>
          <w:sz w:val="22"/>
          <w:szCs w:val="22"/>
        </w:rPr>
        <w:t xml:space="preserve">635). </w:t>
      </w:r>
      <w:r w:rsidRPr="00F82953">
        <w:rPr>
          <w:rFonts w:ascii="Arial" w:hAnsi="Arial" w:cs="Arial"/>
          <w:kern w:val="1"/>
          <w:sz w:val="22"/>
          <w:szCs w:val="22"/>
        </w:rPr>
        <w:t xml:space="preserve">These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-negative to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conversions are the reason why guidelines mandate that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be measured with every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test (23,57,635). Patients with persistent disease may exhibit only a marginal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decline or have stable, rising or a de novo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appearance (511,521,531-533,612,622). If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remains detectable after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becomes negative (~3 % of cases), the risk for disease </w:t>
      </w:r>
      <w:r w:rsidRPr="00F82953">
        <w:rPr>
          <w:rFonts w:ascii="Arial" w:hAnsi="Arial" w:cs="Arial"/>
          <w:color w:val="000000" w:themeColor="text1"/>
          <w:kern w:val="1"/>
          <w:sz w:val="22"/>
          <w:szCs w:val="22"/>
        </w:rPr>
        <w:t xml:space="preserve">remains (Figure 11A). </w:t>
      </w:r>
      <w:r w:rsidRPr="00F82953">
        <w:rPr>
          <w:rFonts w:ascii="Arial" w:hAnsi="Arial" w:cs="Arial"/>
          <w:kern w:val="1"/>
          <w:sz w:val="22"/>
          <w:szCs w:val="22"/>
        </w:rPr>
        <w:t xml:space="preserve">Since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tests differ in sensitivity and specificity </w:t>
      </w:r>
      <w:r w:rsidRPr="00F82953">
        <w:rPr>
          <w:rFonts w:ascii="Arial" w:hAnsi="Arial" w:cs="Arial"/>
          <w:color w:val="000000" w:themeColor="text1"/>
          <w:kern w:val="1"/>
          <w:sz w:val="22"/>
          <w:szCs w:val="22"/>
        </w:rPr>
        <w:t xml:space="preserve">(Figure </w:t>
      </w:r>
      <w:r w:rsidR="00CA4353">
        <w:rPr>
          <w:rFonts w:ascii="Arial" w:hAnsi="Arial" w:cs="Arial"/>
          <w:color w:val="000000" w:themeColor="text1"/>
          <w:kern w:val="1"/>
          <w:sz w:val="22"/>
          <w:szCs w:val="22"/>
        </w:rPr>
        <w:t>10</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 xml:space="preserve">(23,45,513,514,636) it is essential to measure the serum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trend by the same method, preferably in the same laboratory (23,45,57,482,511,512,514,535,636). </w:t>
      </w:r>
    </w:p>
    <w:p w14:paraId="1C29E029" w14:textId="77777777" w:rsidR="00730EFC" w:rsidRPr="00F82953" w:rsidRDefault="00730EFC" w:rsidP="00F82953">
      <w:pPr>
        <w:autoSpaceDE w:val="0"/>
        <w:autoSpaceDN w:val="0"/>
        <w:adjustRightInd w:val="0"/>
        <w:spacing w:after="0" w:line="276" w:lineRule="auto"/>
        <w:rPr>
          <w:rFonts w:ascii="Arial" w:hAnsi="Arial" w:cs="Arial"/>
          <w:kern w:val="1"/>
          <w:sz w:val="22"/>
          <w:szCs w:val="22"/>
        </w:rPr>
      </w:pPr>
    </w:p>
    <w:p w14:paraId="6AA0FB22" w14:textId="172394F1" w:rsidR="00775480" w:rsidRPr="00BC222A" w:rsidRDefault="00775480" w:rsidP="00F82953">
      <w:pPr>
        <w:autoSpaceDE w:val="0"/>
        <w:autoSpaceDN w:val="0"/>
        <w:adjustRightInd w:val="0"/>
        <w:spacing w:after="0" w:line="276" w:lineRule="auto"/>
        <w:rPr>
          <w:rFonts w:ascii="Arial" w:hAnsi="Arial" w:cs="Arial"/>
          <w:b/>
          <w:bCs/>
          <w:color w:val="00B050"/>
          <w:kern w:val="1"/>
          <w:sz w:val="22"/>
          <w:szCs w:val="22"/>
        </w:rPr>
      </w:pPr>
      <w:r w:rsidRPr="00BC222A">
        <w:rPr>
          <w:rFonts w:ascii="Arial" w:hAnsi="Arial" w:cs="Arial"/>
          <w:b/>
          <w:bCs/>
          <w:color w:val="00B050"/>
          <w:kern w:val="1"/>
          <w:sz w:val="22"/>
          <w:szCs w:val="22"/>
        </w:rPr>
        <w:t xml:space="preserve">Serum </w:t>
      </w:r>
      <w:proofErr w:type="spellStart"/>
      <w:r w:rsidRPr="00BC222A">
        <w:rPr>
          <w:rFonts w:ascii="Arial" w:hAnsi="Arial" w:cs="Arial"/>
          <w:b/>
          <w:bCs/>
          <w:color w:val="00B050"/>
          <w:kern w:val="1"/>
          <w:sz w:val="22"/>
          <w:szCs w:val="22"/>
        </w:rPr>
        <w:t>Tg</w:t>
      </w:r>
      <w:proofErr w:type="spellEnd"/>
      <w:r w:rsidRPr="00BC222A">
        <w:rPr>
          <w:rFonts w:ascii="Arial" w:hAnsi="Arial" w:cs="Arial"/>
          <w:b/>
          <w:bCs/>
          <w:color w:val="00B050"/>
          <w:kern w:val="1"/>
          <w:sz w:val="22"/>
          <w:szCs w:val="22"/>
        </w:rPr>
        <w:t xml:space="preserve"> Monitoring of Patients with DTC</w:t>
      </w:r>
    </w:p>
    <w:p w14:paraId="3CCF4575" w14:textId="77777777" w:rsidR="00775480" w:rsidRPr="00F82953" w:rsidRDefault="00775480" w:rsidP="00F82953">
      <w:pPr>
        <w:autoSpaceDE w:val="0"/>
        <w:autoSpaceDN w:val="0"/>
        <w:adjustRightInd w:val="0"/>
        <w:spacing w:after="0" w:line="276" w:lineRule="auto"/>
        <w:rPr>
          <w:rFonts w:ascii="Arial" w:hAnsi="Arial" w:cs="Arial"/>
          <w:kern w:val="1"/>
          <w:sz w:val="22"/>
          <w:szCs w:val="22"/>
        </w:rPr>
      </w:pPr>
    </w:p>
    <w:p w14:paraId="66948B8A" w14:textId="76A867E0" w:rsidR="00730EFC" w:rsidRPr="00F82953" w:rsidRDefault="00775480"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Over the past decade, the incidence of DTC has substantially risen with the detection of small thyroid nodules and micropapillary cancers by ultrasound and other anatomic imaging modalities (57,637-640). Although most DTC patients are rendered disease-free by their initial surgery, approximately 15 percent of patients experience recurrences and approximately 5 percent die from disease-related complications (580,641-644). A risk-stratified approach to diagnosis and treatment is now recommended by current guidelines (57).</w:t>
      </w:r>
    </w:p>
    <w:p w14:paraId="57513960" w14:textId="77777777" w:rsidR="00775480" w:rsidRPr="00F82953" w:rsidRDefault="00775480" w:rsidP="00F82953">
      <w:pPr>
        <w:autoSpaceDE w:val="0"/>
        <w:autoSpaceDN w:val="0"/>
        <w:adjustRightInd w:val="0"/>
        <w:spacing w:after="0" w:line="276" w:lineRule="auto"/>
        <w:rPr>
          <w:rFonts w:ascii="Arial" w:hAnsi="Arial" w:cs="Arial"/>
          <w:kern w:val="1"/>
          <w:sz w:val="22"/>
          <w:szCs w:val="22"/>
        </w:rPr>
      </w:pPr>
    </w:p>
    <w:p w14:paraId="25CA6063" w14:textId="77777777" w:rsidR="007C105A" w:rsidRPr="00F82953" w:rsidRDefault="007C105A"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In most cases, persistent/recurrent disease is detected within the first five post-operative years, although recurrences can occur decades after initial surgery necessitating life-long monitoring for recurrence (642,643). Since most patients have a low pre-test probability for disease, protocols for follow-up need a high negative predictive value (NPV) to eliminate unnecessary testing, as well as a high positive predictive value (PPV) for identifying patients with persistent/recurrent disease. Because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testing is generally recognized as being more sensitive for detecting disease than diagnostic </w:t>
      </w:r>
      <w:r w:rsidRPr="00F82953">
        <w:rPr>
          <w:rFonts w:ascii="Arial" w:hAnsi="Arial" w:cs="Arial"/>
          <w:kern w:val="1"/>
          <w:sz w:val="22"/>
          <w:szCs w:val="22"/>
          <w:vertAlign w:val="superscript"/>
        </w:rPr>
        <w:t>131</w:t>
      </w:r>
      <w:r w:rsidRPr="00F82953">
        <w:rPr>
          <w:rFonts w:ascii="Arial" w:hAnsi="Arial" w:cs="Arial"/>
          <w:kern w:val="1"/>
          <w:sz w:val="22"/>
          <w:szCs w:val="22"/>
        </w:rPr>
        <w:t xml:space="preserve">I whole body scanning (645), biochemical testing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is used in conjunction with periodic ultrasound (57,645). The persistent technical limitations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measurements necessitate close physician-laboratory cooperation.   </w:t>
      </w:r>
    </w:p>
    <w:p w14:paraId="71B7732C" w14:textId="77777777" w:rsidR="007C105A" w:rsidRPr="00F82953" w:rsidRDefault="007C105A" w:rsidP="00F82953">
      <w:pPr>
        <w:autoSpaceDE w:val="0"/>
        <w:autoSpaceDN w:val="0"/>
        <w:adjustRightInd w:val="0"/>
        <w:spacing w:after="0" w:line="276" w:lineRule="auto"/>
        <w:rPr>
          <w:rFonts w:ascii="Arial" w:hAnsi="Arial" w:cs="Arial"/>
          <w:kern w:val="1"/>
          <w:sz w:val="22"/>
          <w:szCs w:val="22"/>
        </w:rPr>
      </w:pPr>
    </w:p>
    <w:p w14:paraId="4178754F" w14:textId="638008E9" w:rsidR="007C105A" w:rsidRPr="00F82953" w:rsidRDefault="007C105A"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majority (~75 %) of DTC patients have no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antibodies detected (521). In the absence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four factors influence the interpretation of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concentrations: (1) the mass of thyroid tissue present (normal tissue + tumor); (2) The intrinsic ability </w:t>
      </w:r>
      <w:r w:rsidR="002B671B">
        <w:rPr>
          <w:rFonts w:ascii="Arial" w:hAnsi="Arial" w:cs="Arial"/>
          <w:kern w:val="1"/>
          <w:sz w:val="22"/>
          <w:szCs w:val="22"/>
        </w:rPr>
        <w:t xml:space="preserve">of </w:t>
      </w:r>
      <w:r w:rsidRPr="00F82953">
        <w:rPr>
          <w:rFonts w:ascii="Arial" w:hAnsi="Arial" w:cs="Arial"/>
          <w:kern w:val="1"/>
          <w:sz w:val="22"/>
          <w:szCs w:val="22"/>
        </w:rPr>
        <w:t xml:space="preserve">the tumor to secrete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(3) the presence of any inflammation of, or injury to, thyroid tissue following fine needle aspiration biopsy, surgery, RAI therapy</w:t>
      </w:r>
      <w:r w:rsidR="00FB56EA">
        <w:rPr>
          <w:rFonts w:ascii="Arial" w:hAnsi="Arial" w:cs="Arial"/>
          <w:kern w:val="1"/>
          <w:sz w:val="22"/>
          <w:szCs w:val="22"/>
        </w:rPr>
        <w:t>,</w:t>
      </w:r>
      <w:r w:rsidRPr="00F82953">
        <w:rPr>
          <w:rFonts w:ascii="Arial" w:hAnsi="Arial" w:cs="Arial"/>
          <w:kern w:val="1"/>
          <w:sz w:val="22"/>
          <w:szCs w:val="22"/>
        </w:rPr>
        <w:t xml:space="preserve"> or thyroiditis; and (4) the degree of TSH receptor stimulation by TSH, </w:t>
      </w:r>
      <w:proofErr w:type="spellStart"/>
      <w:r w:rsidRPr="00F82953">
        <w:rPr>
          <w:rFonts w:ascii="Arial" w:hAnsi="Arial" w:cs="Arial"/>
          <w:kern w:val="1"/>
          <w:sz w:val="22"/>
          <w:szCs w:val="22"/>
        </w:rPr>
        <w:t>hCG</w:t>
      </w:r>
      <w:proofErr w:type="spellEnd"/>
      <w:r w:rsidR="00FB56EA">
        <w:rPr>
          <w:rFonts w:ascii="Arial" w:hAnsi="Arial" w:cs="Arial"/>
          <w:kern w:val="1"/>
          <w:sz w:val="22"/>
          <w:szCs w:val="22"/>
        </w:rPr>
        <w:t>,</w:t>
      </w:r>
      <w:r w:rsidRPr="00F82953">
        <w:rPr>
          <w:rFonts w:ascii="Arial" w:hAnsi="Arial" w:cs="Arial"/>
          <w:kern w:val="1"/>
          <w:sz w:val="22"/>
          <w:szCs w:val="22"/>
        </w:rPr>
        <w:t xml:space="preserve"> or </w:t>
      </w:r>
      <w:proofErr w:type="spellStart"/>
      <w:r w:rsidRPr="00F82953">
        <w:rPr>
          <w:rFonts w:ascii="Arial" w:hAnsi="Arial" w:cs="Arial"/>
          <w:kern w:val="1"/>
          <w:sz w:val="22"/>
          <w:szCs w:val="22"/>
        </w:rPr>
        <w:t>TSAb</w:t>
      </w:r>
      <w:proofErr w:type="spellEnd"/>
      <w:r w:rsidRPr="00F82953">
        <w:rPr>
          <w:rFonts w:ascii="Arial" w:hAnsi="Arial" w:cs="Arial"/>
          <w:kern w:val="1"/>
          <w:sz w:val="22"/>
          <w:szCs w:val="22"/>
        </w:rPr>
        <w:t xml:space="preserve"> (10). The presence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necessitates a shift in focus from monitoring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as the primary tumor-marker, to monitoring the serum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trend as a surrogate tumor-marker (519).</w:t>
      </w:r>
    </w:p>
    <w:p w14:paraId="433937AF" w14:textId="77777777" w:rsidR="007C105A" w:rsidRPr="00F82953" w:rsidRDefault="007C105A" w:rsidP="00F82953">
      <w:pPr>
        <w:autoSpaceDE w:val="0"/>
        <w:autoSpaceDN w:val="0"/>
        <w:adjustRightInd w:val="0"/>
        <w:spacing w:after="0" w:line="276" w:lineRule="auto"/>
        <w:rPr>
          <w:rFonts w:ascii="Arial" w:hAnsi="Arial" w:cs="Arial"/>
          <w:kern w:val="1"/>
          <w:sz w:val="22"/>
          <w:szCs w:val="22"/>
        </w:rPr>
      </w:pPr>
    </w:p>
    <w:p w14:paraId="40D8B5BF" w14:textId="0670A0FE" w:rsidR="00FF5FD6" w:rsidRPr="00F82953" w:rsidRDefault="00596704" w:rsidP="00F82953">
      <w:pPr>
        <w:autoSpaceDE w:val="0"/>
        <w:autoSpaceDN w:val="0"/>
        <w:adjustRightInd w:val="0"/>
        <w:spacing w:after="0" w:line="276" w:lineRule="auto"/>
        <w:rPr>
          <w:rFonts w:ascii="Arial" w:hAnsi="Arial" w:cs="Arial"/>
          <w:i/>
          <w:iCs/>
          <w:kern w:val="1"/>
          <w:sz w:val="22"/>
          <w:szCs w:val="22"/>
        </w:rPr>
      </w:pPr>
      <w:r>
        <w:rPr>
          <w:rFonts w:ascii="Arial" w:hAnsi="Arial" w:cs="Arial"/>
          <w:i/>
          <w:iCs/>
          <w:noProof/>
          <w:kern w:val="1"/>
          <w:sz w:val="22"/>
          <w:szCs w:val="22"/>
        </w:rPr>
        <w:lastRenderedPageBreak/>
        <w:drawing>
          <wp:inline distT="0" distB="0" distL="0" distR="0" wp14:anchorId="29DCE9BF" wp14:editId="7884BE91">
            <wp:extent cx="5344271" cy="5715798"/>
            <wp:effectExtent l="0" t="0" r="8890" b="0"/>
            <wp:docPr id="841032579"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32579" name="Picture 841032579"/>
                    <pic:cNvPicPr/>
                  </pic:nvPicPr>
                  <pic:blipFill>
                    <a:blip r:embed="rId16">
                      <a:extLst>
                        <a:ext uri="{28A0092B-C50C-407E-A947-70E740481C1C}">
                          <a14:useLocalDpi xmlns:a14="http://schemas.microsoft.com/office/drawing/2010/main" val="0"/>
                        </a:ext>
                      </a:extLst>
                    </a:blip>
                    <a:stretch>
                      <a:fillRect/>
                    </a:stretch>
                  </pic:blipFill>
                  <pic:spPr>
                    <a:xfrm>
                      <a:off x="0" y="0"/>
                      <a:ext cx="5344271" cy="5715798"/>
                    </a:xfrm>
                    <a:prstGeom prst="rect">
                      <a:avLst/>
                    </a:prstGeom>
                  </pic:spPr>
                </pic:pic>
              </a:graphicData>
            </a:graphic>
          </wp:inline>
        </w:drawing>
      </w:r>
    </w:p>
    <w:p w14:paraId="7287EECF" w14:textId="42274A15" w:rsidR="00FF5FD6" w:rsidRPr="00684A8A" w:rsidRDefault="0071075D" w:rsidP="0071075D">
      <w:pPr>
        <w:autoSpaceDE w:val="0"/>
        <w:autoSpaceDN w:val="0"/>
        <w:adjustRightInd w:val="0"/>
        <w:spacing w:after="0" w:line="276" w:lineRule="auto"/>
        <w:rPr>
          <w:rFonts w:ascii="Arial" w:hAnsi="Arial" w:cs="Arial"/>
          <w:b/>
          <w:bCs/>
          <w:sz w:val="22"/>
          <w:szCs w:val="22"/>
        </w:rPr>
      </w:pPr>
      <w:r w:rsidRPr="00684A8A">
        <w:rPr>
          <w:rFonts w:ascii="Arial" w:hAnsi="Arial" w:cs="Arial"/>
          <w:b/>
          <w:bCs/>
          <w:color w:val="000000" w:themeColor="text1"/>
          <w:kern w:val="1"/>
          <w:sz w:val="22"/>
          <w:szCs w:val="22"/>
        </w:rPr>
        <w:t xml:space="preserve">Figure 12. </w:t>
      </w:r>
      <w:proofErr w:type="spellStart"/>
      <w:r w:rsidRPr="00684A8A">
        <w:rPr>
          <w:rFonts w:ascii="Arial" w:hAnsi="Arial" w:cs="Arial"/>
          <w:b/>
          <w:bCs/>
          <w:color w:val="000000" w:themeColor="text1"/>
          <w:kern w:val="1"/>
          <w:sz w:val="22"/>
          <w:szCs w:val="22"/>
        </w:rPr>
        <w:t>TgAb</w:t>
      </w:r>
      <w:proofErr w:type="spellEnd"/>
      <w:r w:rsidRPr="00684A8A">
        <w:rPr>
          <w:rFonts w:ascii="Arial" w:hAnsi="Arial" w:cs="Arial"/>
          <w:b/>
          <w:bCs/>
          <w:color w:val="000000" w:themeColor="text1"/>
          <w:kern w:val="1"/>
          <w:sz w:val="22"/>
          <w:szCs w:val="22"/>
        </w:rPr>
        <w:t xml:space="preserve"> Effects on Serial </w:t>
      </w:r>
      <w:proofErr w:type="spellStart"/>
      <w:r w:rsidRPr="00684A8A">
        <w:rPr>
          <w:rFonts w:ascii="Arial" w:hAnsi="Arial" w:cs="Arial"/>
          <w:b/>
          <w:bCs/>
          <w:color w:val="000000" w:themeColor="text1"/>
          <w:kern w:val="1"/>
          <w:sz w:val="22"/>
          <w:szCs w:val="22"/>
        </w:rPr>
        <w:t>Tg</w:t>
      </w:r>
      <w:proofErr w:type="spellEnd"/>
      <w:r w:rsidRPr="00684A8A">
        <w:rPr>
          <w:rFonts w:ascii="Arial" w:hAnsi="Arial" w:cs="Arial"/>
          <w:b/>
          <w:bCs/>
          <w:color w:val="000000" w:themeColor="text1"/>
          <w:kern w:val="1"/>
          <w:sz w:val="22"/>
          <w:szCs w:val="22"/>
        </w:rPr>
        <w:t xml:space="preserve"> IMA and </w:t>
      </w:r>
      <w:proofErr w:type="spellStart"/>
      <w:r w:rsidRPr="00684A8A">
        <w:rPr>
          <w:rFonts w:ascii="Arial" w:hAnsi="Arial" w:cs="Arial"/>
          <w:b/>
          <w:bCs/>
          <w:color w:val="000000" w:themeColor="text1"/>
          <w:kern w:val="1"/>
          <w:sz w:val="22"/>
          <w:szCs w:val="22"/>
        </w:rPr>
        <w:t>Tg</w:t>
      </w:r>
      <w:proofErr w:type="spellEnd"/>
      <w:r w:rsidRPr="00684A8A">
        <w:rPr>
          <w:rFonts w:ascii="Arial" w:hAnsi="Arial" w:cs="Arial"/>
          <w:b/>
          <w:bCs/>
          <w:color w:val="000000" w:themeColor="text1"/>
          <w:kern w:val="1"/>
          <w:sz w:val="22"/>
          <w:szCs w:val="22"/>
        </w:rPr>
        <w:t xml:space="preserve"> RIA Measurements.</w:t>
      </w:r>
      <w:r w:rsidRPr="00684A8A">
        <w:rPr>
          <w:rFonts w:ascii="Arial" w:hAnsi="Arial" w:cs="Arial"/>
          <w:b/>
          <w:bCs/>
          <w:noProof/>
          <w:color w:val="000000" w:themeColor="text1"/>
          <w:kern w:val="1"/>
          <w:sz w:val="22"/>
          <w:szCs w:val="22"/>
        </w:rPr>
        <w:t xml:space="preserve"> </w:t>
      </w:r>
      <w:r w:rsidR="00730EFC" w:rsidRPr="00684A8A">
        <w:rPr>
          <w:rFonts w:ascii="Arial" w:hAnsi="Arial" w:cs="Arial"/>
          <w:b/>
          <w:bCs/>
          <w:kern w:val="1"/>
          <w:sz w:val="22"/>
          <w:szCs w:val="22"/>
        </w:rPr>
        <w:t>S</w:t>
      </w:r>
      <w:r w:rsidR="009D3A70" w:rsidRPr="00684A8A">
        <w:rPr>
          <w:rFonts w:ascii="Arial" w:hAnsi="Arial" w:cs="Arial"/>
          <w:b/>
          <w:bCs/>
          <w:kern w:val="1"/>
          <w:sz w:val="22"/>
          <w:szCs w:val="22"/>
        </w:rPr>
        <w:t>erial</w:t>
      </w:r>
      <w:r w:rsidR="00730EFC" w:rsidRPr="00684A8A">
        <w:rPr>
          <w:rFonts w:ascii="Arial" w:hAnsi="Arial" w:cs="Arial"/>
          <w:b/>
          <w:bCs/>
          <w:kern w:val="1"/>
          <w:sz w:val="22"/>
          <w:szCs w:val="22"/>
        </w:rPr>
        <w:t xml:space="preserve"> </w:t>
      </w:r>
      <w:proofErr w:type="spellStart"/>
      <w:r w:rsidR="005C4829" w:rsidRPr="00684A8A">
        <w:rPr>
          <w:rFonts w:ascii="Arial" w:hAnsi="Arial" w:cs="Arial"/>
          <w:b/>
          <w:bCs/>
          <w:kern w:val="1"/>
          <w:sz w:val="22"/>
          <w:szCs w:val="22"/>
        </w:rPr>
        <w:t>TgAb</w:t>
      </w:r>
      <w:proofErr w:type="spellEnd"/>
      <w:r w:rsidR="005C4829" w:rsidRPr="00684A8A">
        <w:rPr>
          <w:rFonts w:ascii="Arial" w:hAnsi="Arial" w:cs="Arial"/>
          <w:b/>
          <w:bCs/>
          <w:kern w:val="1"/>
          <w:sz w:val="22"/>
          <w:szCs w:val="22"/>
        </w:rPr>
        <w:t xml:space="preserve">, </w:t>
      </w:r>
      <w:proofErr w:type="spellStart"/>
      <w:r w:rsidR="005C4829" w:rsidRPr="00684A8A">
        <w:rPr>
          <w:rFonts w:ascii="Arial" w:hAnsi="Arial" w:cs="Arial"/>
          <w:b/>
          <w:bCs/>
          <w:kern w:val="1"/>
          <w:sz w:val="22"/>
          <w:szCs w:val="22"/>
        </w:rPr>
        <w:t>Tg</w:t>
      </w:r>
      <w:proofErr w:type="spellEnd"/>
      <w:r w:rsidR="005C4829" w:rsidRPr="00684A8A">
        <w:rPr>
          <w:rFonts w:ascii="Arial" w:hAnsi="Arial" w:cs="Arial"/>
          <w:b/>
          <w:bCs/>
          <w:kern w:val="1"/>
          <w:sz w:val="22"/>
          <w:szCs w:val="22"/>
        </w:rPr>
        <w:t xml:space="preserve">-RIA and </w:t>
      </w:r>
      <w:proofErr w:type="spellStart"/>
      <w:r w:rsidR="005C4829" w:rsidRPr="00684A8A">
        <w:rPr>
          <w:rFonts w:ascii="Arial" w:hAnsi="Arial" w:cs="Arial"/>
          <w:b/>
          <w:bCs/>
          <w:kern w:val="1"/>
          <w:sz w:val="22"/>
          <w:szCs w:val="22"/>
        </w:rPr>
        <w:t>Tg</w:t>
      </w:r>
      <w:proofErr w:type="spellEnd"/>
      <w:r w:rsidR="005C4829" w:rsidRPr="00684A8A">
        <w:rPr>
          <w:rFonts w:ascii="Arial" w:hAnsi="Arial" w:cs="Arial"/>
          <w:b/>
          <w:bCs/>
          <w:kern w:val="1"/>
          <w:sz w:val="22"/>
          <w:szCs w:val="22"/>
        </w:rPr>
        <w:t xml:space="preserve">-IMA measurements made in two DTC patients who underwent a change in </w:t>
      </w:r>
      <w:proofErr w:type="spellStart"/>
      <w:r w:rsidR="005C4829" w:rsidRPr="00684A8A">
        <w:rPr>
          <w:rFonts w:ascii="Arial" w:hAnsi="Arial" w:cs="Arial"/>
          <w:b/>
          <w:bCs/>
          <w:kern w:val="1"/>
          <w:sz w:val="22"/>
          <w:szCs w:val="22"/>
        </w:rPr>
        <w:t>TgAb</w:t>
      </w:r>
      <w:proofErr w:type="spellEnd"/>
      <w:r w:rsidR="005C4829" w:rsidRPr="00684A8A">
        <w:rPr>
          <w:rFonts w:ascii="Arial" w:hAnsi="Arial" w:cs="Arial"/>
          <w:b/>
          <w:bCs/>
          <w:kern w:val="1"/>
          <w:sz w:val="22"/>
          <w:szCs w:val="22"/>
        </w:rPr>
        <w:t xml:space="preserve"> status (panel A, </w:t>
      </w:r>
      <w:r w:rsidR="00FF5FD6" w:rsidRPr="00684A8A">
        <w:rPr>
          <w:rFonts w:ascii="Arial" w:hAnsi="Arial" w:cs="Arial"/>
          <w:b/>
          <w:bCs/>
          <w:kern w:val="1"/>
          <w:sz w:val="22"/>
          <w:szCs w:val="22"/>
        </w:rPr>
        <w:t>positive to negative)</w:t>
      </w:r>
      <w:r w:rsidR="005C4829" w:rsidRPr="00684A8A">
        <w:rPr>
          <w:rFonts w:ascii="Arial" w:hAnsi="Arial" w:cs="Arial"/>
          <w:b/>
          <w:bCs/>
          <w:kern w:val="1"/>
          <w:sz w:val="22"/>
          <w:szCs w:val="22"/>
        </w:rPr>
        <w:t xml:space="preserve"> or (panel B</w:t>
      </w:r>
      <w:r w:rsidR="00FF5FD6" w:rsidRPr="00684A8A">
        <w:rPr>
          <w:rFonts w:ascii="Arial" w:hAnsi="Arial" w:cs="Arial"/>
          <w:b/>
          <w:bCs/>
          <w:kern w:val="1"/>
          <w:sz w:val="22"/>
          <w:szCs w:val="22"/>
        </w:rPr>
        <w:t xml:space="preserve"> negative to positive</w:t>
      </w:r>
      <w:r w:rsidR="005C4829" w:rsidRPr="00684A8A">
        <w:rPr>
          <w:rFonts w:ascii="Arial" w:hAnsi="Arial" w:cs="Arial"/>
          <w:b/>
          <w:bCs/>
          <w:kern w:val="1"/>
          <w:sz w:val="22"/>
          <w:szCs w:val="22"/>
        </w:rPr>
        <w:t>) before death from structural DTC</w:t>
      </w:r>
      <w:r w:rsidR="001B4520" w:rsidRPr="00684A8A">
        <w:rPr>
          <w:rFonts w:ascii="Arial" w:hAnsi="Arial" w:cs="Arial"/>
          <w:b/>
          <w:bCs/>
          <w:kern w:val="1"/>
          <w:sz w:val="22"/>
          <w:szCs w:val="22"/>
        </w:rPr>
        <w:t>.</w:t>
      </w:r>
      <w:r w:rsidR="005C4829" w:rsidRPr="00684A8A">
        <w:rPr>
          <w:rFonts w:ascii="Arial" w:hAnsi="Arial" w:cs="Arial"/>
          <w:b/>
          <w:bCs/>
          <w:kern w:val="1"/>
          <w:sz w:val="22"/>
          <w:szCs w:val="22"/>
        </w:rPr>
        <w:t xml:space="preserve"> </w:t>
      </w:r>
      <w:r w:rsidR="0015590E" w:rsidRPr="00684A8A">
        <w:rPr>
          <w:rFonts w:ascii="Arial" w:hAnsi="Arial" w:cs="Arial"/>
          <w:b/>
          <w:bCs/>
          <w:sz w:val="22"/>
          <w:szCs w:val="22"/>
        </w:rPr>
        <w:t>These cases</w:t>
      </w:r>
      <w:r w:rsidR="00FF5FD6" w:rsidRPr="00684A8A">
        <w:rPr>
          <w:rFonts w:ascii="Arial" w:hAnsi="Arial" w:cs="Arial"/>
          <w:b/>
          <w:bCs/>
          <w:sz w:val="22"/>
          <w:szCs w:val="22"/>
        </w:rPr>
        <w:t xml:space="preserve"> illustrate why a </w:t>
      </w:r>
      <w:proofErr w:type="spellStart"/>
      <w:r w:rsidR="00FF5FD6" w:rsidRPr="00684A8A">
        <w:rPr>
          <w:rFonts w:ascii="Arial" w:hAnsi="Arial" w:cs="Arial"/>
          <w:b/>
          <w:bCs/>
          <w:sz w:val="22"/>
          <w:szCs w:val="22"/>
        </w:rPr>
        <w:t>Tg</w:t>
      </w:r>
      <w:proofErr w:type="spellEnd"/>
      <w:r w:rsidR="00FF5FD6" w:rsidRPr="00684A8A">
        <w:rPr>
          <w:rFonts w:ascii="Arial" w:hAnsi="Arial" w:cs="Arial"/>
          <w:b/>
          <w:bCs/>
          <w:sz w:val="22"/>
          <w:szCs w:val="22"/>
        </w:rPr>
        <w:t xml:space="preserve"> measurement cannot be interpreted without knowing the </w:t>
      </w:r>
      <w:proofErr w:type="spellStart"/>
      <w:r w:rsidR="00FF5FD6" w:rsidRPr="00684A8A">
        <w:rPr>
          <w:rFonts w:ascii="Arial" w:hAnsi="Arial" w:cs="Arial"/>
          <w:b/>
          <w:bCs/>
          <w:sz w:val="22"/>
          <w:szCs w:val="22"/>
        </w:rPr>
        <w:t>TgAb</w:t>
      </w:r>
      <w:proofErr w:type="spellEnd"/>
      <w:r w:rsidR="00FF5FD6" w:rsidRPr="00684A8A">
        <w:rPr>
          <w:rFonts w:ascii="Arial" w:hAnsi="Arial" w:cs="Arial"/>
          <w:b/>
          <w:bCs/>
          <w:sz w:val="22"/>
          <w:szCs w:val="22"/>
        </w:rPr>
        <w:t xml:space="preserve"> status of the patient (57). The de novo appearance of </w:t>
      </w:r>
      <w:proofErr w:type="spellStart"/>
      <w:r w:rsidR="00FF5FD6" w:rsidRPr="00684A8A">
        <w:rPr>
          <w:rFonts w:ascii="Arial" w:hAnsi="Arial" w:cs="Arial"/>
          <w:b/>
          <w:bCs/>
          <w:sz w:val="22"/>
          <w:szCs w:val="22"/>
        </w:rPr>
        <w:t>TgAb</w:t>
      </w:r>
      <w:proofErr w:type="spellEnd"/>
      <w:r w:rsidR="00FF5FD6" w:rsidRPr="00684A8A">
        <w:rPr>
          <w:rFonts w:ascii="Arial" w:hAnsi="Arial" w:cs="Arial"/>
          <w:b/>
          <w:bCs/>
          <w:sz w:val="22"/>
          <w:szCs w:val="22"/>
        </w:rPr>
        <w:t xml:space="preserve"> (Patient </w:t>
      </w:r>
      <w:r w:rsidR="0015590E" w:rsidRPr="00684A8A">
        <w:rPr>
          <w:rFonts w:ascii="Arial" w:hAnsi="Arial" w:cs="Arial"/>
          <w:b/>
          <w:bCs/>
          <w:sz w:val="22"/>
          <w:szCs w:val="22"/>
        </w:rPr>
        <w:t>B</w:t>
      </w:r>
      <w:r w:rsidR="00FF5FD6" w:rsidRPr="00684A8A">
        <w:rPr>
          <w:rFonts w:ascii="Arial" w:hAnsi="Arial" w:cs="Arial"/>
          <w:b/>
          <w:bCs/>
          <w:sz w:val="22"/>
          <w:szCs w:val="22"/>
        </w:rPr>
        <w:t>) either reflects a change in tumor-derived</w:t>
      </w:r>
      <w:r w:rsidR="00FF5FD6" w:rsidRPr="00684A8A">
        <w:rPr>
          <w:rFonts w:ascii="Arial" w:hAnsi="Arial" w:cs="Arial"/>
          <w:b/>
          <w:bCs/>
          <w:spacing w:val="-10"/>
          <w:sz w:val="22"/>
          <w:szCs w:val="22"/>
        </w:rPr>
        <w:t xml:space="preserve"> </w:t>
      </w:r>
      <w:proofErr w:type="spellStart"/>
      <w:r w:rsidR="00FF5FD6" w:rsidRPr="00684A8A">
        <w:rPr>
          <w:rFonts w:ascii="Arial" w:hAnsi="Arial" w:cs="Arial"/>
          <w:b/>
          <w:bCs/>
          <w:sz w:val="22"/>
          <w:szCs w:val="22"/>
        </w:rPr>
        <w:t>Tg</w:t>
      </w:r>
      <w:proofErr w:type="spellEnd"/>
      <w:r w:rsidR="00FF5FD6" w:rsidRPr="00684A8A">
        <w:rPr>
          <w:rFonts w:ascii="Arial" w:hAnsi="Arial" w:cs="Arial"/>
          <w:b/>
          <w:bCs/>
          <w:spacing w:val="-4"/>
          <w:sz w:val="22"/>
          <w:szCs w:val="22"/>
        </w:rPr>
        <w:t xml:space="preserve"> </w:t>
      </w:r>
      <w:r w:rsidR="00FF5FD6" w:rsidRPr="00684A8A">
        <w:rPr>
          <w:rFonts w:ascii="Arial" w:hAnsi="Arial" w:cs="Arial"/>
          <w:b/>
          <w:bCs/>
          <w:sz w:val="22"/>
          <w:szCs w:val="22"/>
        </w:rPr>
        <w:t>heterogeneity</w:t>
      </w:r>
      <w:r w:rsidR="00FF5FD6" w:rsidRPr="00684A8A">
        <w:rPr>
          <w:rFonts w:ascii="Arial" w:hAnsi="Arial" w:cs="Arial"/>
          <w:b/>
          <w:bCs/>
          <w:spacing w:val="-1"/>
          <w:sz w:val="22"/>
          <w:szCs w:val="22"/>
        </w:rPr>
        <w:t xml:space="preserve"> </w:t>
      </w:r>
      <w:r w:rsidR="00FF5FD6" w:rsidRPr="00684A8A">
        <w:rPr>
          <w:rFonts w:ascii="Arial" w:hAnsi="Arial" w:cs="Arial"/>
          <w:b/>
          <w:bCs/>
          <w:sz w:val="22"/>
          <w:szCs w:val="22"/>
        </w:rPr>
        <w:t>(secretion</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of</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a</w:t>
      </w:r>
      <w:r w:rsidR="00FF5FD6" w:rsidRPr="00684A8A">
        <w:rPr>
          <w:rFonts w:ascii="Arial" w:hAnsi="Arial" w:cs="Arial"/>
          <w:b/>
          <w:bCs/>
          <w:spacing w:val="-6"/>
          <w:sz w:val="22"/>
          <w:szCs w:val="22"/>
        </w:rPr>
        <w:t xml:space="preserve"> </w:t>
      </w:r>
      <w:r w:rsidR="00FF5FD6" w:rsidRPr="00684A8A">
        <w:rPr>
          <w:rFonts w:ascii="Arial" w:hAnsi="Arial" w:cs="Arial"/>
          <w:b/>
          <w:bCs/>
          <w:sz w:val="22"/>
          <w:szCs w:val="22"/>
        </w:rPr>
        <w:t>more</w:t>
      </w:r>
      <w:r w:rsidR="00FF5FD6" w:rsidRPr="00684A8A">
        <w:rPr>
          <w:rFonts w:ascii="Arial" w:hAnsi="Arial" w:cs="Arial"/>
          <w:b/>
          <w:bCs/>
          <w:spacing w:val="-5"/>
          <w:sz w:val="22"/>
          <w:szCs w:val="22"/>
        </w:rPr>
        <w:t xml:space="preserve"> </w:t>
      </w:r>
      <w:r w:rsidR="00FF5FD6" w:rsidRPr="00684A8A">
        <w:rPr>
          <w:rFonts w:ascii="Arial" w:hAnsi="Arial" w:cs="Arial"/>
          <w:b/>
          <w:bCs/>
          <w:sz w:val="22"/>
          <w:szCs w:val="22"/>
        </w:rPr>
        <w:t>immunogenic</w:t>
      </w:r>
      <w:r w:rsidR="00FF5FD6" w:rsidRPr="00684A8A">
        <w:rPr>
          <w:rFonts w:ascii="Arial" w:hAnsi="Arial" w:cs="Arial"/>
          <w:b/>
          <w:bCs/>
          <w:spacing w:val="-9"/>
          <w:sz w:val="22"/>
          <w:szCs w:val="22"/>
        </w:rPr>
        <w:t xml:space="preserve"> </w:t>
      </w:r>
      <w:proofErr w:type="spellStart"/>
      <w:r w:rsidR="00FF5FD6" w:rsidRPr="00684A8A">
        <w:rPr>
          <w:rFonts w:ascii="Arial" w:hAnsi="Arial" w:cs="Arial"/>
          <w:b/>
          <w:bCs/>
          <w:sz w:val="22"/>
          <w:szCs w:val="22"/>
        </w:rPr>
        <w:t>Tg</w:t>
      </w:r>
      <w:proofErr w:type="spellEnd"/>
      <w:r w:rsidR="00FF5FD6" w:rsidRPr="00684A8A">
        <w:rPr>
          <w:rFonts w:ascii="Arial" w:hAnsi="Arial" w:cs="Arial"/>
          <w:b/>
          <w:bCs/>
          <w:spacing w:val="-5"/>
          <w:sz w:val="22"/>
          <w:szCs w:val="22"/>
        </w:rPr>
        <w:t xml:space="preserve"> </w:t>
      </w:r>
      <w:r w:rsidR="00FF5FD6" w:rsidRPr="00684A8A">
        <w:rPr>
          <w:rFonts w:ascii="Arial" w:hAnsi="Arial" w:cs="Arial"/>
          <w:b/>
          <w:bCs/>
          <w:sz w:val="22"/>
          <w:szCs w:val="22"/>
        </w:rPr>
        <w:t>molecule),</w:t>
      </w:r>
      <w:r w:rsidR="00FF5FD6" w:rsidRPr="00684A8A">
        <w:rPr>
          <w:rFonts w:ascii="Arial" w:hAnsi="Arial" w:cs="Arial"/>
          <w:b/>
          <w:bCs/>
          <w:spacing w:val="-8"/>
          <w:sz w:val="22"/>
          <w:szCs w:val="22"/>
        </w:rPr>
        <w:t xml:space="preserve"> </w:t>
      </w:r>
      <w:r w:rsidR="00FF5FD6" w:rsidRPr="00684A8A">
        <w:rPr>
          <w:rFonts w:ascii="Arial" w:hAnsi="Arial" w:cs="Arial"/>
          <w:b/>
          <w:bCs/>
          <w:sz w:val="22"/>
          <w:szCs w:val="22"/>
        </w:rPr>
        <w:t>or</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recognition</w:t>
      </w:r>
      <w:r w:rsidR="00FF5FD6" w:rsidRPr="00684A8A">
        <w:rPr>
          <w:rFonts w:ascii="Arial" w:hAnsi="Arial" w:cs="Arial"/>
          <w:b/>
          <w:bCs/>
          <w:spacing w:val="-1"/>
          <w:sz w:val="22"/>
          <w:szCs w:val="22"/>
        </w:rPr>
        <w:t xml:space="preserve"> </w:t>
      </w:r>
      <w:r w:rsidR="00FF5FD6" w:rsidRPr="00684A8A">
        <w:rPr>
          <w:rFonts w:ascii="Arial" w:hAnsi="Arial" w:cs="Arial"/>
          <w:b/>
          <w:bCs/>
          <w:sz w:val="22"/>
          <w:szCs w:val="22"/>
        </w:rPr>
        <w:t>of</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tumor-derived</w:t>
      </w:r>
      <w:r w:rsidR="00FF5FD6" w:rsidRPr="00684A8A">
        <w:rPr>
          <w:rFonts w:ascii="Arial" w:hAnsi="Arial" w:cs="Arial"/>
          <w:b/>
          <w:bCs/>
          <w:spacing w:val="-6"/>
          <w:sz w:val="22"/>
          <w:szCs w:val="22"/>
        </w:rPr>
        <w:t xml:space="preserve"> </w:t>
      </w:r>
      <w:proofErr w:type="spellStart"/>
      <w:r w:rsidR="00FF5FD6" w:rsidRPr="00684A8A">
        <w:rPr>
          <w:rFonts w:ascii="Arial" w:hAnsi="Arial" w:cs="Arial"/>
          <w:b/>
          <w:bCs/>
          <w:sz w:val="22"/>
          <w:szCs w:val="22"/>
        </w:rPr>
        <w:t>Tg</w:t>
      </w:r>
      <w:proofErr w:type="spellEnd"/>
      <w:r w:rsidR="00FF5FD6" w:rsidRPr="00684A8A">
        <w:rPr>
          <w:rFonts w:ascii="Arial" w:hAnsi="Arial" w:cs="Arial"/>
          <w:b/>
          <w:bCs/>
          <w:sz w:val="22"/>
          <w:szCs w:val="22"/>
        </w:rPr>
        <w:t xml:space="preserve"> by the immune</w:t>
      </w:r>
      <w:r w:rsidR="00FF5FD6" w:rsidRPr="00684A8A">
        <w:rPr>
          <w:rFonts w:ascii="Arial" w:hAnsi="Arial" w:cs="Arial"/>
          <w:b/>
          <w:bCs/>
          <w:spacing w:val="-2"/>
          <w:sz w:val="22"/>
          <w:szCs w:val="22"/>
        </w:rPr>
        <w:t xml:space="preserve"> </w:t>
      </w:r>
      <w:r w:rsidR="00FF5FD6" w:rsidRPr="00684A8A">
        <w:rPr>
          <w:rFonts w:ascii="Arial" w:hAnsi="Arial" w:cs="Arial"/>
          <w:b/>
          <w:bCs/>
          <w:sz w:val="22"/>
          <w:szCs w:val="22"/>
        </w:rPr>
        <w:t>system.</w:t>
      </w:r>
      <w:r w:rsidR="00FF5FD6" w:rsidRPr="00684A8A">
        <w:rPr>
          <w:rFonts w:ascii="Arial" w:hAnsi="Arial" w:cs="Arial"/>
          <w:b/>
          <w:bCs/>
          <w:spacing w:val="-1"/>
          <w:sz w:val="22"/>
          <w:szCs w:val="22"/>
        </w:rPr>
        <w:t xml:space="preserve"> </w:t>
      </w:r>
      <w:r w:rsidR="00FF5FD6" w:rsidRPr="00684A8A">
        <w:rPr>
          <w:rFonts w:ascii="Arial" w:hAnsi="Arial" w:cs="Arial"/>
          <w:b/>
          <w:bCs/>
          <w:sz w:val="22"/>
          <w:szCs w:val="22"/>
        </w:rPr>
        <w:t>In</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contrast,</w:t>
      </w:r>
      <w:r w:rsidR="00FF5FD6" w:rsidRPr="00684A8A">
        <w:rPr>
          <w:rFonts w:ascii="Arial" w:hAnsi="Arial" w:cs="Arial"/>
          <w:b/>
          <w:bCs/>
          <w:spacing w:val="-2"/>
          <w:sz w:val="22"/>
          <w:szCs w:val="22"/>
        </w:rPr>
        <w:t xml:space="preserve"> </w:t>
      </w:r>
      <w:proofErr w:type="spellStart"/>
      <w:r w:rsidR="00FF5FD6" w:rsidRPr="00684A8A">
        <w:rPr>
          <w:rFonts w:ascii="Arial" w:hAnsi="Arial" w:cs="Arial"/>
          <w:b/>
          <w:bCs/>
          <w:sz w:val="22"/>
          <w:szCs w:val="22"/>
        </w:rPr>
        <w:t>TgAb</w:t>
      </w:r>
      <w:proofErr w:type="spellEnd"/>
      <w:r w:rsidR="00FF5FD6" w:rsidRPr="00684A8A">
        <w:rPr>
          <w:rFonts w:ascii="Arial" w:hAnsi="Arial" w:cs="Arial"/>
          <w:b/>
          <w:bCs/>
          <w:spacing w:val="-6"/>
          <w:sz w:val="22"/>
          <w:szCs w:val="22"/>
        </w:rPr>
        <w:t xml:space="preserve"> </w:t>
      </w:r>
      <w:r w:rsidR="00FF5FD6" w:rsidRPr="00684A8A">
        <w:rPr>
          <w:rFonts w:ascii="Arial" w:hAnsi="Arial" w:cs="Arial"/>
          <w:b/>
          <w:bCs/>
          <w:sz w:val="22"/>
          <w:szCs w:val="22"/>
        </w:rPr>
        <w:t>can</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become undetectable despite</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the exacerbation</w:t>
      </w:r>
      <w:r w:rsidR="00FF5FD6" w:rsidRPr="00684A8A">
        <w:rPr>
          <w:rFonts w:ascii="Arial" w:hAnsi="Arial" w:cs="Arial"/>
          <w:b/>
          <w:bCs/>
          <w:spacing w:val="-3"/>
          <w:sz w:val="22"/>
          <w:szCs w:val="22"/>
        </w:rPr>
        <w:t xml:space="preserve"> </w:t>
      </w:r>
      <w:r w:rsidR="00FF5FD6" w:rsidRPr="00684A8A">
        <w:rPr>
          <w:rFonts w:ascii="Arial" w:hAnsi="Arial" w:cs="Arial"/>
          <w:b/>
          <w:bCs/>
          <w:sz w:val="22"/>
          <w:szCs w:val="22"/>
        </w:rPr>
        <w:t>of disease (Patient A).</w:t>
      </w:r>
    </w:p>
    <w:p w14:paraId="22D6FF75" w14:textId="77777777" w:rsidR="00690A96" w:rsidRPr="00684A8A" w:rsidRDefault="00690A96" w:rsidP="0071075D">
      <w:pPr>
        <w:autoSpaceDE w:val="0"/>
        <w:autoSpaceDN w:val="0"/>
        <w:adjustRightInd w:val="0"/>
        <w:spacing w:after="0" w:line="276" w:lineRule="auto"/>
        <w:rPr>
          <w:rFonts w:ascii="Arial" w:hAnsi="Arial" w:cs="Arial"/>
          <w:b/>
          <w:bCs/>
          <w:sz w:val="22"/>
          <w:szCs w:val="22"/>
        </w:rPr>
      </w:pPr>
    </w:p>
    <w:p w14:paraId="5F0F8553" w14:textId="1C6453B6" w:rsidR="00690A96" w:rsidRDefault="00291563" w:rsidP="0071075D">
      <w:pPr>
        <w:autoSpaceDE w:val="0"/>
        <w:autoSpaceDN w:val="0"/>
        <w:adjustRightInd w:val="0"/>
        <w:spacing w:after="0" w:line="276" w:lineRule="auto"/>
        <w:rPr>
          <w:rFonts w:ascii="Arial" w:hAnsi="Arial" w:cs="Arial"/>
          <w:b/>
          <w:bCs/>
          <w:i/>
          <w:iCs/>
          <w:sz w:val="22"/>
          <w:szCs w:val="22"/>
        </w:rPr>
      </w:pPr>
      <w:r>
        <w:rPr>
          <w:rFonts w:ascii="Arial" w:hAnsi="Arial" w:cs="Arial"/>
          <w:b/>
          <w:bCs/>
          <w:i/>
          <w:iCs/>
          <w:noProof/>
          <w:sz w:val="22"/>
          <w:szCs w:val="22"/>
        </w:rPr>
        <w:lastRenderedPageBreak/>
        <w:drawing>
          <wp:inline distT="0" distB="0" distL="0" distR="0" wp14:anchorId="4FEC2E14" wp14:editId="413A089E">
            <wp:extent cx="5296639" cy="2495898"/>
            <wp:effectExtent l="0" t="0" r="0" b="0"/>
            <wp:docPr id="416612566" name="Picture 1098" descr="A diagram of a lymph nod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12566" name="Picture 1098" descr="A diagram of a lymph node surgery"/>
                    <pic:cNvPicPr/>
                  </pic:nvPicPr>
                  <pic:blipFill>
                    <a:blip r:embed="rId17">
                      <a:extLst>
                        <a:ext uri="{28A0092B-C50C-407E-A947-70E740481C1C}">
                          <a14:useLocalDpi xmlns:a14="http://schemas.microsoft.com/office/drawing/2010/main" val="0"/>
                        </a:ext>
                      </a:extLst>
                    </a:blip>
                    <a:stretch>
                      <a:fillRect/>
                    </a:stretch>
                  </pic:blipFill>
                  <pic:spPr>
                    <a:xfrm>
                      <a:off x="0" y="0"/>
                      <a:ext cx="5296639" cy="2495898"/>
                    </a:xfrm>
                    <a:prstGeom prst="rect">
                      <a:avLst/>
                    </a:prstGeom>
                  </pic:spPr>
                </pic:pic>
              </a:graphicData>
            </a:graphic>
          </wp:inline>
        </w:drawing>
      </w:r>
    </w:p>
    <w:p w14:paraId="36D387A6" w14:textId="02426BD0" w:rsidR="00676C3F" w:rsidRPr="00F82953" w:rsidRDefault="00676C3F" w:rsidP="00C522F7">
      <w:pPr>
        <w:autoSpaceDE w:val="0"/>
        <w:autoSpaceDN w:val="0"/>
        <w:adjustRightInd w:val="0"/>
        <w:spacing w:after="0" w:line="276" w:lineRule="auto"/>
        <w:rPr>
          <w:rFonts w:ascii="Arial" w:hAnsi="Arial" w:cs="Arial"/>
          <w:color w:val="000000" w:themeColor="text1"/>
          <w:kern w:val="1"/>
          <w:sz w:val="22"/>
          <w:szCs w:val="22"/>
        </w:rPr>
      </w:pPr>
      <w:r>
        <w:rPr>
          <w:rFonts w:ascii="Arial" w:hAnsi="Arial" w:cs="Arial"/>
          <w:b/>
          <w:bCs/>
          <w:color w:val="000000" w:themeColor="text1"/>
          <w:kern w:val="1"/>
          <w:sz w:val="22"/>
          <w:szCs w:val="22"/>
        </w:rPr>
        <w:t>F</w:t>
      </w:r>
      <w:r w:rsidRPr="00F82953">
        <w:rPr>
          <w:rFonts w:ascii="Arial" w:hAnsi="Arial" w:cs="Arial"/>
          <w:b/>
          <w:bCs/>
          <w:color w:val="000000" w:themeColor="text1"/>
          <w:kern w:val="1"/>
          <w:sz w:val="22"/>
          <w:szCs w:val="22"/>
        </w:rPr>
        <w:t>igure 1</w:t>
      </w:r>
      <w:r>
        <w:rPr>
          <w:rFonts w:ascii="Arial" w:hAnsi="Arial" w:cs="Arial"/>
          <w:b/>
          <w:bCs/>
          <w:color w:val="000000" w:themeColor="text1"/>
          <w:kern w:val="1"/>
          <w:sz w:val="22"/>
          <w:szCs w:val="22"/>
        </w:rPr>
        <w:t>3</w:t>
      </w:r>
      <w:r w:rsidRPr="00F82953">
        <w:rPr>
          <w:rFonts w:ascii="Arial" w:hAnsi="Arial" w:cs="Arial"/>
          <w:b/>
          <w:bCs/>
          <w:color w:val="000000" w:themeColor="text1"/>
          <w:kern w:val="1"/>
          <w:sz w:val="22"/>
          <w:szCs w:val="22"/>
        </w:rPr>
        <w:t xml:space="preserve">. </w:t>
      </w:r>
      <w:proofErr w:type="spellStart"/>
      <w:r w:rsidRPr="00F82953">
        <w:rPr>
          <w:rFonts w:ascii="Arial" w:hAnsi="Arial" w:cs="Arial"/>
          <w:b/>
          <w:bCs/>
          <w:color w:val="000000" w:themeColor="text1"/>
          <w:kern w:val="1"/>
          <w:sz w:val="22"/>
          <w:szCs w:val="22"/>
        </w:rPr>
        <w:t>TgAb</w:t>
      </w:r>
      <w:proofErr w:type="spellEnd"/>
      <w:r w:rsidRPr="00F82953">
        <w:rPr>
          <w:rFonts w:ascii="Arial" w:hAnsi="Arial" w:cs="Arial"/>
          <w:b/>
          <w:bCs/>
          <w:color w:val="000000" w:themeColor="text1"/>
          <w:kern w:val="1"/>
          <w:sz w:val="22"/>
          <w:szCs w:val="22"/>
        </w:rPr>
        <w:t xml:space="preserve"> Trends in Response to Treatment</w:t>
      </w:r>
      <w:r w:rsidR="00C37089">
        <w:rPr>
          <w:rFonts w:ascii="Arial" w:hAnsi="Arial" w:cs="Arial"/>
          <w:b/>
          <w:bCs/>
          <w:color w:val="000000" w:themeColor="text1"/>
          <w:kern w:val="1"/>
          <w:sz w:val="22"/>
          <w:szCs w:val="22"/>
        </w:rPr>
        <w:t xml:space="preserve">. </w:t>
      </w:r>
      <w:r w:rsidR="00C37089" w:rsidRPr="00C37089">
        <w:rPr>
          <w:rFonts w:ascii="Arial" w:hAnsi="Arial" w:cs="Arial"/>
          <w:b/>
          <w:bCs/>
          <w:color w:val="000000" w:themeColor="text1"/>
          <w:kern w:val="1"/>
          <w:sz w:val="22"/>
          <w:szCs w:val="22"/>
        </w:rPr>
        <w:t xml:space="preserve">Typical trends in </w:t>
      </w:r>
      <w:proofErr w:type="spellStart"/>
      <w:r w:rsidR="00C37089" w:rsidRPr="00C37089">
        <w:rPr>
          <w:rFonts w:ascii="Arial" w:hAnsi="Arial" w:cs="Arial"/>
          <w:b/>
          <w:bCs/>
          <w:color w:val="000000" w:themeColor="text1"/>
          <w:kern w:val="1"/>
          <w:sz w:val="22"/>
          <w:szCs w:val="22"/>
        </w:rPr>
        <w:t>TgAb</w:t>
      </w:r>
      <w:proofErr w:type="spellEnd"/>
      <w:r w:rsidR="00C37089" w:rsidRPr="00C37089">
        <w:rPr>
          <w:rFonts w:ascii="Arial" w:hAnsi="Arial" w:cs="Arial"/>
          <w:b/>
          <w:bCs/>
          <w:color w:val="000000" w:themeColor="text1"/>
          <w:kern w:val="1"/>
          <w:sz w:val="22"/>
          <w:szCs w:val="22"/>
        </w:rPr>
        <w:t xml:space="preserve"> following thyroidectomy in patients rendered disease-free by thyroidectomy (pattern A) versus patents with persistent/recurrent disease (pattern B). </w:t>
      </w:r>
      <w:proofErr w:type="spellStart"/>
      <w:r w:rsidR="00C37089" w:rsidRPr="00C37089">
        <w:rPr>
          <w:rFonts w:ascii="Arial" w:hAnsi="Arial" w:cs="Arial"/>
          <w:b/>
          <w:bCs/>
          <w:color w:val="000000" w:themeColor="text1"/>
          <w:kern w:val="1"/>
          <w:sz w:val="22"/>
          <w:szCs w:val="22"/>
        </w:rPr>
        <w:t>TgAb</w:t>
      </w:r>
      <w:proofErr w:type="spellEnd"/>
      <w:r w:rsidR="00C37089" w:rsidRPr="00C37089">
        <w:rPr>
          <w:rFonts w:ascii="Arial" w:hAnsi="Arial" w:cs="Arial"/>
          <w:b/>
          <w:bCs/>
          <w:color w:val="000000" w:themeColor="text1"/>
          <w:kern w:val="1"/>
          <w:sz w:val="22"/>
          <w:szCs w:val="22"/>
        </w:rPr>
        <w:t xml:space="preserve"> levels may rise or become detectable de novo in response to an increase in </w:t>
      </w:r>
      <w:proofErr w:type="spellStart"/>
      <w:r w:rsidR="00C37089" w:rsidRPr="00C37089">
        <w:rPr>
          <w:rFonts w:ascii="Arial" w:hAnsi="Arial" w:cs="Arial"/>
          <w:b/>
          <w:bCs/>
          <w:color w:val="000000" w:themeColor="text1"/>
          <w:kern w:val="1"/>
          <w:sz w:val="22"/>
          <w:szCs w:val="22"/>
        </w:rPr>
        <w:t>Tg</w:t>
      </w:r>
      <w:proofErr w:type="spellEnd"/>
      <w:r w:rsidR="00C37089" w:rsidRPr="00C37089">
        <w:rPr>
          <w:rFonts w:ascii="Arial" w:hAnsi="Arial" w:cs="Arial"/>
          <w:b/>
          <w:bCs/>
          <w:color w:val="000000" w:themeColor="text1"/>
          <w:kern w:val="1"/>
          <w:sz w:val="22"/>
          <w:szCs w:val="22"/>
        </w:rPr>
        <w:t xml:space="preserve"> antigen following surgical injury, lymph node recurrence(s), lymph node resection(s), FNA biopsy of metastatic lymph nodes or radioiodine therapy. </w:t>
      </w:r>
      <w:r w:rsidRPr="00F82953">
        <w:rPr>
          <w:rFonts w:ascii="Arial" w:hAnsi="Arial" w:cs="Arial"/>
          <w:b/>
          <w:bCs/>
          <w:color w:val="000000" w:themeColor="text1"/>
          <w:kern w:val="1"/>
          <w:sz w:val="22"/>
          <w:szCs w:val="22"/>
        </w:rPr>
        <w:t xml:space="preserve"> </w:t>
      </w:r>
    </w:p>
    <w:p w14:paraId="4796BD81" w14:textId="77777777" w:rsidR="00775480" w:rsidRPr="00F82953" w:rsidRDefault="00775480" w:rsidP="00F82953">
      <w:pPr>
        <w:autoSpaceDE w:val="0"/>
        <w:autoSpaceDN w:val="0"/>
        <w:adjustRightInd w:val="0"/>
        <w:spacing w:after="0" w:line="276" w:lineRule="auto"/>
        <w:rPr>
          <w:rFonts w:ascii="Arial" w:hAnsi="Arial" w:cs="Arial"/>
          <w:kern w:val="1"/>
          <w:sz w:val="22"/>
          <w:szCs w:val="22"/>
        </w:rPr>
      </w:pPr>
    </w:p>
    <w:p w14:paraId="4311233E" w14:textId="2EF3C609" w:rsidR="005C4829" w:rsidRPr="008B3E1C" w:rsidRDefault="005C4829" w:rsidP="0000545F">
      <w:pPr>
        <w:pStyle w:val="ListParagraph"/>
        <w:autoSpaceDE w:val="0"/>
        <w:autoSpaceDN w:val="0"/>
        <w:adjustRightInd w:val="0"/>
        <w:spacing w:after="0" w:line="276" w:lineRule="auto"/>
        <w:ind w:left="0"/>
        <w:rPr>
          <w:rFonts w:ascii="Arial" w:hAnsi="Arial" w:cs="Arial"/>
          <w:color w:val="FF0000"/>
          <w:kern w:val="1"/>
          <w:sz w:val="22"/>
          <w:szCs w:val="22"/>
        </w:rPr>
      </w:pPr>
      <w:r w:rsidRPr="008B3E1C">
        <w:rPr>
          <w:rFonts w:ascii="Arial" w:hAnsi="Arial" w:cs="Arial"/>
          <w:color w:val="FF0000"/>
          <w:kern w:val="1"/>
          <w:sz w:val="22"/>
          <w:szCs w:val="22"/>
        </w:rPr>
        <w:t>P</w:t>
      </w:r>
      <w:r w:rsidR="008B3E1C" w:rsidRPr="008B3E1C">
        <w:rPr>
          <w:rFonts w:ascii="Arial" w:hAnsi="Arial" w:cs="Arial"/>
          <w:color w:val="FF0000"/>
          <w:kern w:val="1"/>
          <w:sz w:val="22"/>
          <w:szCs w:val="22"/>
        </w:rPr>
        <w:t xml:space="preserve">RE-OPERATIVE </w:t>
      </w:r>
      <w:proofErr w:type="spellStart"/>
      <w:r w:rsidRPr="008B3E1C">
        <w:rPr>
          <w:rFonts w:ascii="Arial" w:hAnsi="Arial" w:cs="Arial"/>
          <w:color w:val="FF0000"/>
          <w:kern w:val="1"/>
          <w:sz w:val="22"/>
          <w:szCs w:val="22"/>
        </w:rPr>
        <w:t>Tg</w:t>
      </w:r>
      <w:proofErr w:type="spellEnd"/>
      <w:r w:rsidRPr="008B3E1C">
        <w:rPr>
          <w:rFonts w:ascii="Arial" w:hAnsi="Arial" w:cs="Arial"/>
          <w:color w:val="FF0000"/>
          <w:kern w:val="1"/>
          <w:sz w:val="22"/>
          <w:szCs w:val="22"/>
        </w:rPr>
        <w:t xml:space="preserve"> M</w:t>
      </w:r>
      <w:r w:rsidR="008B3E1C" w:rsidRPr="008B3E1C">
        <w:rPr>
          <w:rFonts w:ascii="Arial" w:hAnsi="Arial" w:cs="Arial"/>
          <w:color w:val="FF0000"/>
          <w:kern w:val="1"/>
          <w:sz w:val="22"/>
          <w:szCs w:val="22"/>
        </w:rPr>
        <w:t xml:space="preserve">EASUREMENT </w:t>
      </w:r>
    </w:p>
    <w:p w14:paraId="1794120B" w14:textId="77777777" w:rsidR="003F14D2" w:rsidRPr="00F82953" w:rsidRDefault="003F14D2" w:rsidP="00F82953">
      <w:pPr>
        <w:pStyle w:val="ListParagraph"/>
        <w:autoSpaceDE w:val="0"/>
        <w:autoSpaceDN w:val="0"/>
        <w:adjustRightInd w:val="0"/>
        <w:spacing w:after="0" w:line="276" w:lineRule="auto"/>
        <w:ind w:left="0"/>
        <w:rPr>
          <w:rFonts w:ascii="Arial" w:hAnsi="Arial" w:cs="Arial"/>
          <w:kern w:val="1"/>
          <w:sz w:val="22"/>
          <w:szCs w:val="22"/>
        </w:rPr>
      </w:pPr>
    </w:p>
    <w:p w14:paraId="0381C8A2"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An elevated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is merely a non-specific indicator of thyroid pathology and cannot be used to diagnose malignancy (568). However, studies have reported that a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elevation detected decades before a DTC diagnosis, is a risk factor for thyroid malignancy (567-569,646-648). This suggests that most thyroid cancers secrete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protein to an equal or greater degree than normal thyroid tissue, underscoring the importance of using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as a DTC tumor marker. Approximately 50 percent of DTC patients have an elevated preoperative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the highest being seen in follicular &gt; </w:t>
      </w:r>
      <w:proofErr w:type="spellStart"/>
      <w:r w:rsidRPr="00F82953">
        <w:rPr>
          <w:rFonts w:ascii="Arial" w:hAnsi="Arial" w:cs="Arial"/>
          <w:kern w:val="1"/>
          <w:sz w:val="22"/>
          <w:szCs w:val="22"/>
        </w:rPr>
        <w:t>oncocytic</w:t>
      </w:r>
      <w:proofErr w:type="spellEnd"/>
      <w:r w:rsidRPr="00F82953">
        <w:rPr>
          <w:rFonts w:ascii="Arial" w:hAnsi="Arial" w:cs="Arial"/>
          <w:kern w:val="1"/>
          <w:sz w:val="22"/>
          <w:szCs w:val="22"/>
        </w:rPr>
        <w:t xml:space="preserve"> (formerly “</w:t>
      </w:r>
      <w:proofErr w:type="spellStart"/>
      <w:r w:rsidRPr="00F82953">
        <w:rPr>
          <w:rFonts w:ascii="Arial" w:hAnsi="Arial" w:cs="Arial"/>
          <w:kern w:val="1"/>
          <w:sz w:val="22"/>
          <w:szCs w:val="22"/>
        </w:rPr>
        <w:t>Hurthle</w:t>
      </w:r>
      <w:proofErr w:type="spellEnd"/>
      <w:r w:rsidRPr="00F82953">
        <w:rPr>
          <w:rFonts w:ascii="Arial" w:hAnsi="Arial" w:cs="Arial"/>
          <w:kern w:val="1"/>
          <w:sz w:val="22"/>
          <w:szCs w:val="22"/>
        </w:rPr>
        <w:t xml:space="preserve"> cell cancer”) &gt; papillary thyroid carcinoma (567-569). Up to one-third of tumors may be poor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secretors relative to tumor mass, especially BRAF-positive tumors that are associated with reduced expression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protein (649). Although current guidelines do not recommend routine pre-operative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 (57,549,650), some believe that a preoperative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(drawn before or more than two weeks after FNA) can provide information regarding the tumor’s intrinsic ability to secrete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thus aid with the interpretation of postoperative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changes (567-569,648,650). For example, knowing that a tumor is an inefficient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secretor could prompt a physician to focus more on anatomic imaging and less on postoperative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monitoring (649,651,652). </w:t>
      </w:r>
    </w:p>
    <w:p w14:paraId="24FAB0CA"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405D093A" w14:textId="2618570D" w:rsidR="005C4829" w:rsidRPr="00280B3F" w:rsidRDefault="005C4829" w:rsidP="008B3E1C">
      <w:pPr>
        <w:pStyle w:val="ListParagraph"/>
        <w:autoSpaceDE w:val="0"/>
        <w:autoSpaceDN w:val="0"/>
        <w:adjustRightInd w:val="0"/>
        <w:spacing w:after="0" w:line="276" w:lineRule="auto"/>
        <w:ind w:left="0"/>
        <w:rPr>
          <w:rFonts w:ascii="Arial" w:hAnsi="Arial" w:cs="Arial"/>
          <w:color w:val="FF0000"/>
          <w:kern w:val="1"/>
          <w:sz w:val="22"/>
          <w:szCs w:val="22"/>
        </w:rPr>
      </w:pPr>
      <w:r w:rsidRPr="00280B3F">
        <w:rPr>
          <w:rFonts w:ascii="Arial" w:hAnsi="Arial" w:cs="Arial"/>
          <w:color w:val="FF0000"/>
          <w:kern w:val="1"/>
          <w:sz w:val="22"/>
          <w:szCs w:val="22"/>
        </w:rPr>
        <w:t>P</w:t>
      </w:r>
      <w:r w:rsidR="008B3E1C" w:rsidRPr="00280B3F">
        <w:rPr>
          <w:rFonts w:ascii="Arial" w:hAnsi="Arial" w:cs="Arial"/>
          <w:color w:val="FF0000"/>
          <w:kern w:val="1"/>
          <w:sz w:val="22"/>
          <w:szCs w:val="22"/>
        </w:rPr>
        <w:t>OST</w:t>
      </w:r>
      <w:r w:rsidR="00280B3F" w:rsidRPr="00280B3F">
        <w:rPr>
          <w:rFonts w:ascii="Arial" w:hAnsi="Arial" w:cs="Arial"/>
          <w:color w:val="FF0000"/>
          <w:kern w:val="1"/>
          <w:sz w:val="22"/>
          <w:szCs w:val="22"/>
        </w:rPr>
        <w:t xml:space="preserve">-OPERATIVE </w:t>
      </w:r>
      <w:proofErr w:type="spellStart"/>
      <w:r w:rsidRPr="00280B3F">
        <w:rPr>
          <w:rFonts w:ascii="Arial" w:hAnsi="Arial" w:cs="Arial"/>
          <w:color w:val="FF0000"/>
          <w:kern w:val="1"/>
          <w:sz w:val="22"/>
          <w:szCs w:val="22"/>
        </w:rPr>
        <w:t>Tg</w:t>
      </w:r>
      <w:proofErr w:type="spellEnd"/>
      <w:r w:rsidRPr="00280B3F">
        <w:rPr>
          <w:rFonts w:ascii="Arial" w:hAnsi="Arial" w:cs="Arial"/>
          <w:color w:val="FF0000"/>
          <w:kern w:val="1"/>
          <w:sz w:val="22"/>
          <w:szCs w:val="22"/>
        </w:rPr>
        <w:t xml:space="preserve"> M</w:t>
      </w:r>
      <w:r w:rsidR="00280B3F" w:rsidRPr="00280B3F">
        <w:rPr>
          <w:rFonts w:ascii="Arial" w:hAnsi="Arial" w:cs="Arial"/>
          <w:color w:val="FF0000"/>
          <w:kern w:val="1"/>
          <w:sz w:val="22"/>
          <w:szCs w:val="22"/>
        </w:rPr>
        <w:t>EASUREMENT</w:t>
      </w:r>
      <w:r w:rsidRPr="00280B3F">
        <w:rPr>
          <w:rFonts w:ascii="Arial" w:hAnsi="Arial" w:cs="Arial"/>
          <w:color w:val="FF0000"/>
          <w:kern w:val="1"/>
          <w:sz w:val="22"/>
          <w:szCs w:val="22"/>
        </w:rPr>
        <w:t xml:space="preserve"> </w:t>
      </w:r>
    </w:p>
    <w:p w14:paraId="21C94EB2" w14:textId="77777777" w:rsidR="003F14D2" w:rsidRPr="00F82953" w:rsidRDefault="003F14D2" w:rsidP="00F82953">
      <w:pPr>
        <w:pStyle w:val="ListParagraph"/>
        <w:autoSpaceDE w:val="0"/>
        <w:autoSpaceDN w:val="0"/>
        <w:adjustRightInd w:val="0"/>
        <w:spacing w:after="0" w:line="276" w:lineRule="auto"/>
        <w:ind w:left="0"/>
        <w:rPr>
          <w:rFonts w:ascii="Arial" w:hAnsi="Arial" w:cs="Arial"/>
          <w:b/>
          <w:bCs/>
          <w:kern w:val="1"/>
          <w:sz w:val="22"/>
          <w:szCs w:val="22"/>
        </w:rPr>
      </w:pPr>
    </w:p>
    <w:p w14:paraId="4C37D9B9" w14:textId="0A34E0C1"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Because TSH exerts such a strong influence on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concentrations it is important to promptly initiate thyroid hormone therapy after surgery to establish a stable post-operative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baseline to begin biochemical monitoring. When surgery is followed by RAI treatment it may take time (months) to establish a stable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baseline because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rises in response to TSH-</w:t>
      </w:r>
      <w:r w:rsidRPr="00F82953">
        <w:rPr>
          <w:rFonts w:ascii="Arial" w:hAnsi="Arial" w:cs="Arial"/>
          <w:kern w:val="1"/>
          <w:sz w:val="22"/>
          <w:szCs w:val="22"/>
        </w:rPr>
        <w:lastRenderedPageBreak/>
        <w:t xml:space="preserve">stimulation and may be augmented by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release from radiolytic damage of the thyroid remnant. Short-term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stimulation is expected to produce an approximate 10-fold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elevation (561), whereas chronic endogenous TSH stimulation following thyroid hormone withdrawal results in an approximate 20-fold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rise (653).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measurements performed as early as 6 to 8 weeks after thyroidectomy have been shown to have prognostic value - the higher the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the greater the risk of persistent/recurrent disease (526,</w:t>
      </w:r>
      <w:r w:rsidR="00F15A18">
        <w:rPr>
          <w:rFonts w:ascii="Arial" w:hAnsi="Arial" w:cs="Arial"/>
          <w:kern w:val="1"/>
          <w:sz w:val="22"/>
          <w:szCs w:val="22"/>
        </w:rPr>
        <w:t xml:space="preserve"> </w:t>
      </w:r>
      <w:r w:rsidRPr="00F82953">
        <w:rPr>
          <w:rFonts w:ascii="Arial" w:hAnsi="Arial" w:cs="Arial"/>
          <w:kern w:val="1"/>
          <w:sz w:val="22"/>
          <w:szCs w:val="22"/>
        </w:rPr>
        <w:t>654,</w:t>
      </w:r>
      <w:r w:rsidR="00F15A18">
        <w:rPr>
          <w:rFonts w:ascii="Arial" w:hAnsi="Arial" w:cs="Arial"/>
          <w:kern w:val="1"/>
          <w:sz w:val="22"/>
          <w:szCs w:val="22"/>
        </w:rPr>
        <w:t xml:space="preserve"> </w:t>
      </w:r>
      <w:r w:rsidRPr="00F82953">
        <w:rPr>
          <w:rFonts w:ascii="Arial" w:hAnsi="Arial" w:cs="Arial"/>
          <w:kern w:val="1"/>
          <w:sz w:val="22"/>
          <w:szCs w:val="22"/>
        </w:rPr>
        <w:t xml:space="preserve">655). Since the half-life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the circulation approximates 3 days (656), the acute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release resulting from the surgical trauma and healing of surgical margins should largely resolve within the first six months, provided that post-operative thyroid hormone therapy prevents TSH from rising. Patients who receive RAI for remnant ablation may exhibit a slow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decline over subsequent years, presumably reflecting the long-term radiolytic destruction of remnant tissue (657,658). </w:t>
      </w:r>
    </w:p>
    <w:p w14:paraId="080342F3" w14:textId="77777777" w:rsidR="00FE3E44" w:rsidRPr="00F82953" w:rsidRDefault="00FE3E44" w:rsidP="00F82953">
      <w:pPr>
        <w:autoSpaceDE w:val="0"/>
        <w:autoSpaceDN w:val="0"/>
        <w:adjustRightInd w:val="0"/>
        <w:spacing w:after="0" w:line="276" w:lineRule="auto"/>
        <w:rPr>
          <w:rFonts w:ascii="Arial" w:hAnsi="Arial" w:cs="Arial"/>
          <w:kern w:val="1"/>
          <w:sz w:val="22"/>
          <w:szCs w:val="22"/>
        </w:rPr>
      </w:pPr>
    </w:p>
    <w:p w14:paraId="15A87E61" w14:textId="3CF079B6"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secretion expected from the ~1 gram of normal remnant tissue left after thyroidectomy (580) is expected to produce a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concentration ~1.0 µg/L, provided TSH is not elevated (10). A recent study found that in the first six months following thyroidectomy (without RAI treatment) disease-free PTC patients had a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nadir &lt; 0.5 µg/L when TSH was maintained below 0.5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(274,581,582). This is consistent with earlier studies using receiver operator curve (ROC) analysis that found a 6-week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of &lt;1.0 µg/L, when measured during TSH suppression, had a 98 percent negative predictive value (NPV) for disease (although positive predictive value (PPV) was only 43 percent) (654). </w:t>
      </w:r>
    </w:p>
    <w:p w14:paraId="7C04FF7D"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66CA5DB6" w14:textId="0C5F1514" w:rsidR="005C4829" w:rsidRPr="007F5E1C" w:rsidRDefault="005C4829" w:rsidP="00280B3F">
      <w:pPr>
        <w:pStyle w:val="ListParagraph"/>
        <w:autoSpaceDE w:val="0"/>
        <w:autoSpaceDN w:val="0"/>
        <w:adjustRightInd w:val="0"/>
        <w:spacing w:after="0" w:line="276" w:lineRule="auto"/>
        <w:ind w:left="0"/>
        <w:rPr>
          <w:rFonts w:ascii="Arial" w:hAnsi="Arial" w:cs="Arial"/>
          <w:color w:val="FF0000"/>
          <w:kern w:val="1"/>
          <w:sz w:val="22"/>
          <w:szCs w:val="22"/>
        </w:rPr>
      </w:pPr>
      <w:r w:rsidRPr="007F5E1C">
        <w:rPr>
          <w:rFonts w:ascii="Arial" w:hAnsi="Arial" w:cs="Arial"/>
          <w:color w:val="FF0000"/>
          <w:kern w:val="1"/>
          <w:sz w:val="22"/>
          <w:szCs w:val="22"/>
        </w:rPr>
        <w:t>L</w:t>
      </w:r>
      <w:r w:rsidR="00280B3F" w:rsidRPr="007F5E1C">
        <w:rPr>
          <w:rFonts w:ascii="Arial" w:hAnsi="Arial" w:cs="Arial"/>
          <w:color w:val="FF0000"/>
          <w:kern w:val="1"/>
          <w:sz w:val="22"/>
          <w:szCs w:val="22"/>
        </w:rPr>
        <w:t xml:space="preserve">ONG-TERM </w:t>
      </w:r>
      <w:proofErr w:type="spellStart"/>
      <w:r w:rsidRPr="007F5E1C">
        <w:rPr>
          <w:rFonts w:ascii="Arial" w:hAnsi="Arial" w:cs="Arial"/>
          <w:color w:val="FF0000"/>
          <w:kern w:val="1"/>
          <w:sz w:val="22"/>
          <w:szCs w:val="22"/>
        </w:rPr>
        <w:t>Tg</w:t>
      </w:r>
      <w:proofErr w:type="spellEnd"/>
      <w:r w:rsidRPr="007F5E1C">
        <w:rPr>
          <w:rFonts w:ascii="Arial" w:hAnsi="Arial" w:cs="Arial"/>
          <w:color w:val="FF0000"/>
          <w:kern w:val="1"/>
          <w:sz w:val="22"/>
          <w:szCs w:val="22"/>
        </w:rPr>
        <w:t xml:space="preserve"> M</w:t>
      </w:r>
      <w:r w:rsidR="00280B3F" w:rsidRPr="007F5E1C">
        <w:rPr>
          <w:rFonts w:ascii="Arial" w:hAnsi="Arial" w:cs="Arial"/>
          <w:color w:val="FF0000"/>
          <w:kern w:val="1"/>
          <w:sz w:val="22"/>
          <w:szCs w:val="22"/>
        </w:rPr>
        <w:t xml:space="preserve">ONITORING </w:t>
      </w:r>
      <w:r w:rsidR="007F5E1C" w:rsidRPr="007F5E1C">
        <w:rPr>
          <w:rFonts w:ascii="Arial" w:hAnsi="Arial" w:cs="Arial"/>
          <w:color w:val="FF0000"/>
          <w:kern w:val="1"/>
          <w:sz w:val="22"/>
          <w:szCs w:val="22"/>
        </w:rPr>
        <w:t xml:space="preserve">(WITHOUT TSH STIMULATION) </w:t>
      </w:r>
    </w:p>
    <w:p w14:paraId="35C6423A" w14:textId="77777777" w:rsidR="00FE3E44" w:rsidRPr="00F82953" w:rsidRDefault="00FE3E44" w:rsidP="00F82953">
      <w:pPr>
        <w:pStyle w:val="ListParagraph"/>
        <w:autoSpaceDE w:val="0"/>
        <w:autoSpaceDN w:val="0"/>
        <w:adjustRightInd w:val="0"/>
        <w:spacing w:after="0" w:line="276" w:lineRule="auto"/>
        <w:ind w:left="0"/>
        <w:rPr>
          <w:rFonts w:ascii="Arial" w:hAnsi="Arial" w:cs="Arial"/>
          <w:b/>
          <w:bCs/>
          <w:kern w:val="1"/>
          <w:sz w:val="22"/>
          <w:szCs w:val="22"/>
        </w:rPr>
      </w:pPr>
    </w:p>
    <w:p w14:paraId="7C7A0055" w14:textId="408BCC81"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The higher the post-operative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measured without TSH stimulation, the greater the risk for persistent/recurrent disease (654). If a stable TSH is maintained (≤0.5 </w:t>
      </w:r>
      <w:proofErr w:type="spellStart"/>
      <w:r w:rsidRPr="00F82953">
        <w:rPr>
          <w:rFonts w:ascii="Arial" w:hAnsi="Arial" w:cs="Arial"/>
          <w:kern w:val="1"/>
          <w:sz w:val="22"/>
          <w:szCs w:val="22"/>
        </w:rPr>
        <w:t>mIU</w:t>
      </w:r>
      <w:proofErr w:type="spellEnd"/>
      <w:r w:rsidRPr="00F82953">
        <w:rPr>
          <w:rFonts w:ascii="Arial" w:hAnsi="Arial" w:cs="Arial"/>
          <w:kern w:val="1"/>
          <w:sz w:val="22"/>
          <w:szCs w:val="22"/>
        </w:rPr>
        <w:t xml:space="preserve">/L) (274,582) changes in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will reflect changes in tumor mass. Under these conditions a rising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would be suspicious for tumor recurrence whereas declining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levels suggests the absence or regression of disease. When using a sensitive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method, the trend in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(measured without TSH stimulation) is a more reliable indicator of disease status than using a fixed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cutoff value for disease (57,274,548,562,587,654,659-661). It is the degree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elevation, not merely a "detectable"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that is the risk factor for disease, since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“detectability” varies according to the method used (563,575,578,582). As with other tumor-markers, such as calcitonin,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doubling time (measured without TSH stimulation) is a useful prognostic marker that has an inverse relationship to mortality (252,581,660,662-666).  However, between-method </w:t>
      </w:r>
      <w:r w:rsidRPr="008207BC">
        <w:rPr>
          <w:rFonts w:ascii="Arial" w:hAnsi="Arial" w:cs="Arial"/>
          <w:kern w:val="1"/>
          <w:sz w:val="22"/>
          <w:szCs w:val="22"/>
        </w:rPr>
        <w:t xml:space="preserve">variability necessitates that the serum </w:t>
      </w:r>
      <w:proofErr w:type="spellStart"/>
      <w:r w:rsidRPr="008207BC">
        <w:rPr>
          <w:rFonts w:ascii="Arial" w:hAnsi="Arial" w:cs="Arial"/>
          <w:kern w:val="1"/>
          <w:sz w:val="22"/>
          <w:szCs w:val="22"/>
        </w:rPr>
        <w:t>Tg</w:t>
      </w:r>
      <w:proofErr w:type="spellEnd"/>
      <w:r w:rsidRPr="008207BC">
        <w:rPr>
          <w:rFonts w:ascii="Arial" w:hAnsi="Arial" w:cs="Arial"/>
          <w:kern w:val="1"/>
          <w:sz w:val="22"/>
          <w:szCs w:val="22"/>
        </w:rPr>
        <w:t xml:space="preserve"> trend be established using the same method, and preferably the same laboratory (Figure </w:t>
      </w:r>
      <w:r w:rsidR="00B31D00" w:rsidRPr="008207BC">
        <w:rPr>
          <w:rFonts w:ascii="Arial" w:hAnsi="Arial" w:cs="Arial"/>
          <w:kern w:val="1"/>
          <w:sz w:val="22"/>
          <w:szCs w:val="22"/>
        </w:rPr>
        <w:t>1</w:t>
      </w:r>
      <w:r w:rsidR="008207BC" w:rsidRPr="008207BC">
        <w:rPr>
          <w:rFonts w:ascii="Arial" w:hAnsi="Arial" w:cs="Arial"/>
          <w:kern w:val="1"/>
          <w:sz w:val="22"/>
          <w:szCs w:val="22"/>
        </w:rPr>
        <w:t>1</w:t>
      </w:r>
      <w:r w:rsidRPr="008207BC">
        <w:rPr>
          <w:rFonts w:ascii="Arial" w:hAnsi="Arial" w:cs="Arial"/>
          <w:kern w:val="1"/>
          <w:sz w:val="22"/>
          <w:szCs w:val="22"/>
        </w:rPr>
        <w:t xml:space="preserve">) (57,587). One approach used to mitigate between-run imprecision and improve the reliability of assessing the </w:t>
      </w:r>
      <w:proofErr w:type="spellStart"/>
      <w:r w:rsidRPr="008207BC">
        <w:rPr>
          <w:rFonts w:ascii="Arial" w:hAnsi="Arial" w:cs="Arial"/>
          <w:kern w:val="1"/>
          <w:sz w:val="22"/>
          <w:szCs w:val="22"/>
        </w:rPr>
        <w:t>Tg</w:t>
      </w:r>
      <w:proofErr w:type="spellEnd"/>
      <w:r w:rsidRPr="008207BC">
        <w:rPr>
          <w:rFonts w:ascii="Arial" w:hAnsi="Arial" w:cs="Arial"/>
          <w:kern w:val="1"/>
          <w:sz w:val="22"/>
          <w:szCs w:val="22"/>
        </w:rPr>
        <w:t xml:space="preserve"> trend has been to measure the current specimen concurrently (in the same run) with the patient’s </w:t>
      </w:r>
      <w:r w:rsidRPr="00F82953">
        <w:rPr>
          <w:rFonts w:ascii="Arial" w:hAnsi="Arial" w:cs="Arial"/>
          <w:kern w:val="1"/>
          <w:sz w:val="22"/>
          <w:szCs w:val="22"/>
        </w:rPr>
        <w:t xml:space="preserve">previous archived specimen, thereby eliminating run-to-run variability and increasing the confidence to detect small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changes (9,10,587). </w:t>
      </w:r>
    </w:p>
    <w:p w14:paraId="6F6BA853"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10256421" w14:textId="5F7B4BB4" w:rsidR="005C4829" w:rsidRPr="002D7351" w:rsidRDefault="005C4829" w:rsidP="007F5E1C">
      <w:pPr>
        <w:pStyle w:val="ListParagraph"/>
        <w:autoSpaceDE w:val="0"/>
        <w:autoSpaceDN w:val="0"/>
        <w:adjustRightInd w:val="0"/>
        <w:spacing w:after="0" w:line="276" w:lineRule="auto"/>
        <w:ind w:left="0"/>
        <w:rPr>
          <w:rFonts w:ascii="Arial" w:hAnsi="Arial" w:cs="Arial"/>
          <w:kern w:val="1"/>
          <w:sz w:val="22"/>
          <w:szCs w:val="22"/>
        </w:rPr>
      </w:pPr>
      <w:r w:rsidRPr="002D7351">
        <w:rPr>
          <w:rFonts w:ascii="Arial" w:hAnsi="Arial" w:cs="Arial"/>
          <w:color w:val="FF0000"/>
          <w:kern w:val="1"/>
          <w:sz w:val="22"/>
          <w:szCs w:val="22"/>
        </w:rPr>
        <w:t>S</w:t>
      </w:r>
      <w:r w:rsidR="007F5E1C" w:rsidRPr="002D7351">
        <w:rPr>
          <w:rFonts w:ascii="Arial" w:hAnsi="Arial" w:cs="Arial"/>
          <w:color w:val="FF0000"/>
          <w:kern w:val="1"/>
          <w:sz w:val="22"/>
          <w:szCs w:val="22"/>
        </w:rPr>
        <w:t xml:space="preserve">ERUM </w:t>
      </w:r>
      <w:proofErr w:type="spellStart"/>
      <w:r w:rsidR="002D7351" w:rsidRPr="002D7351">
        <w:rPr>
          <w:rFonts w:ascii="Arial" w:hAnsi="Arial" w:cs="Arial"/>
          <w:color w:val="FF0000"/>
          <w:kern w:val="1"/>
          <w:sz w:val="22"/>
          <w:szCs w:val="22"/>
        </w:rPr>
        <w:t>T</w:t>
      </w:r>
      <w:r w:rsidRPr="002D7351">
        <w:rPr>
          <w:rFonts w:ascii="Arial" w:hAnsi="Arial" w:cs="Arial"/>
          <w:color w:val="FF0000"/>
          <w:kern w:val="1"/>
          <w:sz w:val="22"/>
          <w:szCs w:val="22"/>
        </w:rPr>
        <w:t>g</w:t>
      </w:r>
      <w:proofErr w:type="spellEnd"/>
      <w:r w:rsidRPr="002D7351">
        <w:rPr>
          <w:rFonts w:ascii="Arial" w:hAnsi="Arial" w:cs="Arial"/>
          <w:color w:val="FF0000"/>
          <w:kern w:val="1"/>
          <w:sz w:val="22"/>
          <w:szCs w:val="22"/>
        </w:rPr>
        <w:t xml:space="preserve"> </w:t>
      </w:r>
      <w:r w:rsidR="002D7351" w:rsidRPr="002D7351">
        <w:rPr>
          <w:rFonts w:ascii="Arial" w:hAnsi="Arial" w:cs="Arial"/>
          <w:color w:val="FF0000"/>
          <w:kern w:val="1"/>
          <w:sz w:val="22"/>
          <w:szCs w:val="22"/>
        </w:rPr>
        <w:t xml:space="preserve">RESPONSES TO </w:t>
      </w:r>
      <w:r w:rsidRPr="002D7351">
        <w:rPr>
          <w:rFonts w:ascii="Arial" w:hAnsi="Arial" w:cs="Arial"/>
          <w:color w:val="FF0000"/>
          <w:kern w:val="1"/>
          <w:sz w:val="22"/>
          <w:szCs w:val="22"/>
        </w:rPr>
        <w:t>TSH S</w:t>
      </w:r>
      <w:r w:rsidR="002D7351" w:rsidRPr="002D7351">
        <w:rPr>
          <w:rFonts w:ascii="Arial" w:hAnsi="Arial" w:cs="Arial"/>
          <w:color w:val="FF0000"/>
          <w:kern w:val="1"/>
          <w:sz w:val="22"/>
          <w:szCs w:val="22"/>
        </w:rPr>
        <w:t>TIMULATION</w:t>
      </w:r>
      <w:r w:rsidR="002D7351" w:rsidRPr="002D7351">
        <w:rPr>
          <w:rFonts w:ascii="Arial" w:hAnsi="Arial" w:cs="Arial"/>
          <w:kern w:val="1"/>
          <w:sz w:val="22"/>
          <w:szCs w:val="22"/>
        </w:rPr>
        <w:t xml:space="preserve"> </w:t>
      </w:r>
    </w:p>
    <w:p w14:paraId="5A5DE741" w14:textId="77777777" w:rsidR="00460524" w:rsidRPr="00F82953" w:rsidRDefault="00460524" w:rsidP="00F82953">
      <w:pPr>
        <w:pStyle w:val="ListParagraph"/>
        <w:autoSpaceDE w:val="0"/>
        <w:autoSpaceDN w:val="0"/>
        <w:adjustRightInd w:val="0"/>
        <w:spacing w:after="0" w:line="276" w:lineRule="auto"/>
        <w:ind w:left="0"/>
        <w:rPr>
          <w:rFonts w:ascii="Arial" w:hAnsi="Arial" w:cs="Arial"/>
          <w:b/>
          <w:bCs/>
          <w:kern w:val="1"/>
          <w:sz w:val="22"/>
          <w:szCs w:val="22"/>
        </w:rPr>
      </w:pPr>
    </w:p>
    <w:p w14:paraId="057EEFBA" w14:textId="6F772CF5" w:rsidR="005C4829" w:rsidRPr="00F82953" w:rsidRDefault="005C4829" w:rsidP="00F82953">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lastRenderedPageBreak/>
        <w:t xml:space="preserve">The degree of tumor differentiation determines the presence and density of TSH receptors that in large part determines the magnitude of the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response to TSH stimulation (667,668). The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rise in response to endogenous TSH (thyroid hormone withdrawal) is twice that seen with short-term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stimulation (~20-fold versus ~10-fold, respectively) (386,653,669). Recombinant human TSH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administration was adopted as a standardized approach for stimulating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into the measurable range of the insensitive first-generation tests (386,549,561,653,669,670). A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-stimulated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cut-off of ≥2.0 µg/L, measured 72 hours after the second dose of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was found to be a risk factor for disease (653,669). A "positive"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response had a higher NPV (&gt;95 percent) than the basal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measured by an insensitive first</w:t>
      </w:r>
      <w:r w:rsidR="00E95EAD" w:rsidRPr="00F82953">
        <w:rPr>
          <w:rFonts w:ascii="Arial" w:hAnsi="Arial" w:cs="Arial"/>
          <w:kern w:val="1"/>
          <w:sz w:val="22"/>
          <w:szCs w:val="22"/>
        </w:rPr>
        <w:t>-</w:t>
      </w:r>
      <w:r w:rsidRPr="00F82953">
        <w:rPr>
          <w:rFonts w:ascii="Arial" w:hAnsi="Arial" w:cs="Arial"/>
          <w:kern w:val="1"/>
          <w:sz w:val="22"/>
          <w:szCs w:val="22"/>
        </w:rPr>
        <w:t xml:space="preserve">generation test, (553,564,654,671). However, a negative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test did not guarantee the absence of tumor (653,671). Furthermore, the reliability of adopting a fixed numeric </w:t>
      </w:r>
      <w:proofErr w:type="spellStart"/>
      <w:r w:rsidRPr="00F82953">
        <w:rPr>
          <w:rFonts w:ascii="Arial" w:hAnsi="Arial" w:cs="Arial"/>
          <w:kern w:val="1"/>
          <w:sz w:val="22"/>
          <w:szCs w:val="22"/>
        </w:rPr>
        <w:t>rhTSH-Tg</w:t>
      </w:r>
      <w:proofErr w:type="spellEnd"/>
      <w:r w:rsidRPr="00F82953">
        <w:rPr>
          <w:rFonts w:ascii="Arial" w:hAnsi="Arial" w:cs="Arial"/>
          <w:kern w:val="1"/>
          <w:sz w:val="22"/>
          <w:szCs w:val="22"/>
        </w:rPr>
        <w:t xml:space="preserve"> cut-off value for a positive response is problematic, given that different methods can report different numeric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values for the same specimen </w:t>
      </w:r>
      <w:r w:rsidRPr="00F82953">
        <w:rPr>
          <w:rFonts w:ascii="Arial" w:hAnsi="Arial" w:cs="Arial"/>
          <w:color w:val="000000" w:themeColor="text1"/>
          <w:kern w:val="1"/>
          <w:sz w:val="22"/>
          <w:szCs w:val="22"/>
        </w:rPr>
        <w:t>(Figure 1</w:t>
      </w:r>
      <w:r w:rsidR="0047010E">
        <w:rPr>
          <w:rFonts w:ascii="Arial" w:hAnsi="Arial" w:cs="Arial"/>
          <w:color w:val="000000" w:themeColor="text1"/>
          <w:kern w:val="1"/>
          <w:sz w:val="22"/>
          <w:szCs w:val="22"/>
        </w:rPr>
        <w:t>1</w:t>
      </w:r>
      <w:r w:rsidRPr="00F82953">
        <w:rPr>
          <w:rFonts w:ascii="Arial" w:hAnsi="Arial" w:cs="Arial"/>
          <w:color w:val="000000" w:themeColor="text1"/>
          <w:kern w:val="1"/>
          <w:sz w:val="22"/>
          <w:szCs w:val="22"/>
        </w:rPr>
        <w:t xml:space="preserve">) </w:t>
      </w:r>
      <w:r w:rsidRPr="00F82953">
        <w:rPr>
          <w:rFonts w:ascii="Arial" w:hAnsi="Arial" w:cs="Arial"/>
          <w:kern w:val="1"/>
          <w:sz w:val="22"/>
          <w:szCs w:val="22"/>
        </w:rPr>
        <w:t>(14,</w:t>
      </w:r>
      <w:r w:rsidR="00F213EC">
        <w:rPr>
          <w:rFonts w:ascii="Arial" w:hAnsi="Arial" w:cs="Arial"/>
          <w:kern w:val="1"/>
          <w:sz w:val="22"/>
          <w:szCs w:val="22"/>
        </w:rPr>
        <w:t xml:space="preserve"> </w:t>
      </w:r>
      <w:r w:rsidRPr="00F82953">
        <w:rPr>
          <w:rFonts w:ascii="Arial" w:hAnsi="Arial" w:cs="Arial"/>
          <w:kern w:val="1"/>
          <w:sz w:val="22"/>
          <w:szCs w:val="22"/>
        </w:rPr>
        <w:t>512,</w:t>
      </w:r>
      <w:r w:rsidR="00F213EC">
        <w:rPr>
          <w:rFonts w:ascii="Arial" w:hAnsi="Arial" w:cs="Arial"/>
          <w:kern w:val="1"/>
          <w:sz w:val="22"/>
          <w:szCs w:val="22"/>
        </w:rPr>
        <w:t xml:space="preserve"> </w:t>
      </w:r>
      <w:r w:rsidRPr="00F82953">
        <w:rPr>
          <w:rFonts w:ascii="Arial" w:hAnsi="Arial" w:cs="Arial"/>
          <w:kern w:val="1"/>
          <w:sz w:val="22"/>
          <w:szCs w:val="22"/>
        </w:rPr>
        <w:t xml:space="preserve">575). Other variables include differences in the dose of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delivered relative to absorption from the injection site as well as the surface area and age of the patient (672,673). One critical variable is the TSH sensitivity of tumor tissues, with poorly differentiated tumors having blunted TSH-mediated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responses (649,651,652,668). When using a sensitive</w:t>
      </w:r>
      <w:r w:rsidRPr="00F82953">
        <w:rPr>
          <w:rFonts w:ascii="Arial" w:hAnsi="Arial" w:cs="Arial"/>
          <w:kern w:val="1"/>
          <w:sz w:val="22"/>
          <w:szCs w:val="22"/>
          <w:vertAlign w:val="superscript"/>
        </w:rPr>
        <w:t xml:space="preserve"> </w:t>
      </w:r>
      <w:r w:rsidRPr="00F82953">
        <w:rPr>
          <w:rFonts w:ascii="Arial" w:hAnsi="Arial" w:cs="Arial"/>
          <w:kern w:val="1"/>
          <w:sz w:val="22"/>
          <w:szCs w:val="22"/>
        </w:rPr>
        <w:t xml:space="preserve">second-generation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an undetectable basal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(&lt;0.10 µg/L) had a comparable NPV to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 stimulation and was rarely associated with a "positive"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-stimulated response (&gt;2.0 µg/L) (561,</w:t>
      </w:r>
      <w:r w:rsidR="00F213EC">
        <w:rPr>
          <w:rFonts w:ascii="Arial" w:hAnsi="Arial" w:cs="Arial"/>
          <w:kern w:val="1"/>
          <w:sz w:val="22"/>
          <w:szCs w:val="22"/>
        </w:rPr>
        <w:t xml:space="preserve"> </w:t>
      </w:r>
      <w:r w:rsidRPr="00F82953">
        <w:rPr>
          <w:rFonts w:ascii="Arial" w:hAnsi="Arial" w:cs="Arial"/>
          <w:kern w:val="1"/>
          <w:sz w:val="22"/>
          <w:szCs w:val="22"/>
        </w:rPr>
        <w:t>563,</w:t>
      </w:r>
      <w:r w:rsidR="00C804C8">
        <w:rPr>
          <w:rFonts w:ascii="Arial" w:hAnsi="Arial" w:cs="Arial"/>
          <w:kern w:val="1"/>
          <w:sz w:val="22"/>
          <w:szCs w:val="22"/>
        </w:rPr>
        <w:t xml:space="preserve"> </w:t>
      </w:r>
      <w:r w:rsidRPr="00F82953">
        <w:rPr>
          <w:rFonts w:ascii="Arial" w:hAnsi="Arial" w:cs="Arial"/>
          <w:kern w:val="1"/>
          <w:sz w:val="22"/>
          <w:szCs w:val="22"/>
        </w:rPr>
        <w:t>575,</w:t>
      </w:r>
      <w:r w:rsidR="00C804C8">
        <w:rPr>
          <w:rFonts w:ascii="Arial" w:hAnsi="Arial" w:cs="Arial"/>
          <w:kern w:val="1"/>
          <w:sz w:val="22"/>
          <w:szCs w:val="22"/>
        </w:rPr>
        <w:t xml:space="preserve"> </w:t>
      </w:r>
      <w:r w:rsidRPr="00F82953">
        <w:rPr>
          <w:rFonts w:ascii="Arial" w:hAnsi="Arial" w:cs="Arial"/>
          <w:kern w:val="1"/>
          <w:sz w:val="22"/>
          <w:szCs w:val="22"/>
        </w:rPr>
        <w:t>674,</w:t>
      </w:r>
      <w:r w:rsidR="00C804C8">
        <w:rPr>
          <w:rFonts w:ascii="Arial" w:hAnsi="Arial" w:cs="Arial"/>
          <w:kern w:val="1"/>
          <w:sz w:val="22"/>
          <w:szCs w:val="22"/>
        </w:rPr>
        <w:t xml:space="preserve"> </w:t>
      </w:r>
      <w:r w:rsidRPr="00F82953">
        <w:rPr>
          <w:rFonts w:ascii="Arial" w:hAnsi="Arial" w:cs="Arial"/>
          <w:kern w:val="1"/>
          <w:sz w:val="22"/>
          <w:szCs w:val="22"/>
        </w:rPr>
        <w:t xml:space="preserve">675). This would be expected given the strong relationship between basal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and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-stimulated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values (553,561,578,676). Once sensitive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methods had become the standard of care, it became apparent that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-stimulation provided no additional information over and above a basal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measured by second generation assay (57,</w:t>
      </w:r>
      <w:r w:rsidR="00C804C8">
        <w:rPr>
          <w:rFonts w:ascii="Arial" w:hAnsi="Arial" w:cs="Arial"/>
          <w:kern w:val="1"/>
          <w:sz w:val="22"/>
          <w:szCs w:val="22"/>
        </w:rPr>
        <w:t xml:space="preserve"> </w:t>
      </w:r>
      <w:r w:rsidRPr="00F82953">
        <w:rPr>
          <w:rFonts w:ascii="Arial" w:hAnsi="Arial" w:cs="Arial"/>
          <w:kern w:val="1"/>
          <w:sz w:val="22"/>
          <w:szCs w:val="22"/>
        </w:rPr>
        <w:t>553,</w:t>
      </w:r>
      <w:r w:rsidR="00C804C8">
        <w:rPr>
          <w:rFonts w:ascii="Arial" w:hAnsi="Arial" w:cs="Arial"/>
          <w:kern w:val="1"/>
          <w:sz w:val="22"/>
          <w:szCs w:val="22"/>
        </w:rPr>
        <w:t xml:space="preserve"> </w:t>
      </w:r>
      <w:r w:rsidRPr="00F82953">
        <w:rPr>
          <w:rFonts w:ascii="Arial" w:hAnsi="Arial" w:cs="Arial"/>
          <w:kern w:val="1"/>
          <w:sz w:val="22"/>
          <w:szCs w:val="22"/>
        </w:rPr>
        <w:t>561,</w:t>
      </w:r>
      <w:r w:rsidR="00C804C8">
        <w:rPr>
          <w:rFonts w:ascii="Arial" w:hAnsi="Arial" w:cs="Arial"/>
          <w:kern w:val="1"/>
          <w:sz w:val="22"/>
          <w:szCs w:val="22"/>
        </w:rPr>
        <w:t xml:space="preserve"> </w:t>
      </w:r>
      <w:r w:rsidRPr="00F82953">
        <w:rPr>
          <w:rFonts w:ascii="Arial" w:hAnsi="Arial" w:cs="Arial"/>
          <w:kern w:val="1"/>
          <w:sz w:val="22"/>
          <w:szCs w:val="22"/>
        </w:rPr>
        <w:t>563,</w:t>
      </w:r>
      <w:r w:rsidR="00C804C8">
        <w:rPr>
          <w:rFonts w:ascii="Arial" w:hAnsi="Arial" w:cs="Arial"/>
          <w:kern w:val="1"/>
          <w:sz w:val="22"/>
          <w:szCs w:val="22"/>
        </w:rPr>
        <w:t xml:space="preserve"> </w:t>
      </w:r>
      <w:r w:rsidRPr="00F82953">
        <w:rPr>
          <w:rFonts w:ascii="Arial" w:hAnsi="Arial" w:cs="Arial"/>
          <w:kern w:val="1"/>
          <w:sz w:val="22"/>
          <w:szCs w:val="22"/>
        </w:rPr>
        <w:t>575,</w:t>
      </w:r>
      <w:r w:rsidR="00C804C8">
        <w:rPr>
          <w:rFonts w:ascii="Arial" w:hAnsi="Arial" w:cs="Arial"/>
          <w:kern w:val="1"/>
          <w:sz w:val="22"/>
          <w:szCs w:val="22"/>
        </w:rPr>
        <w:t xml:space="preserve"> </w:t>
      </w:r>
      <w:r w:rsidRPr="00F82953">
        <w:rPr>
          <w:rFonts w:ascii="Arial" w:hAnsi="Arial" w:cs="Arial"/>
          <w:kern w:val="1"/>
          <w:sz w:val="22"/>
          <w:szCs w:val="22"/>
        </w:rPr>
        <w:t>578,</w:t>
      </w:r>
      <w:r w:rsidR="00C804C8">
        <w:rPr>
          <w:rFonts w:ascii="Arial" w:hAnsi="Arial" w:cs="Arial"/>
          <w:kern w:val="1"/>
          <w:sz w:val="22"/>
          <w:szCs w:val="22"/>
        </w:rPr>
        <w:t xml:space="preserve"> </w:t>
      </w:r>
      <w:r w:rsidRPr="00F82953">
        <w:rPr>
          <w:rFonts w:ascii="Arial" w:hAnsi="Arial" w:cs="Arial"/>
          <w:kern w:val="1"/>
          <w:sz w:val="22"/>
          <w:szCs w:val="22"/>
        </w:rPr>
        <w:t xml:space="preserve">674-676). </w:t>
      </w:r>
    </w:p>
    <w:p w14:paraId="75DDCF22" w14:textId="77777777" w:rsidR="002D7351" w:rsidRDefault="002D7351" w:rsidP="002D7351">
      <w:pPr>
        <w:autoSpaceDE w:val="0"/>
        <w:autoSpaceDN w:val="0"/>
        <w:adjustRightInd w:val="0"/>
        <w:spacing w:after="0" w:line="276" w:lineRule="auto"/>
        <w:rPr>
          <w:rFonts w:ascii="Arial" w:hAnsi="Arial" w:cs="Arial"/>
          <w:kern w:val="1"/>
          <w:sz w:val="22"/>
          <w:szCs w:val="22"/>
        </w:rPr>
      </w:pPr>
    </w:p>
    <w:p w14:paraId="71BF6CB6" w14:textId="3294145C" w:rsidR="005C4829" w:rsidRPr="00F82953" w:rsidRDefault="005C4829" w:rsidP="002D7351">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One potential use of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-stimulated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would be to test for </w:t>
      </w:r>
      <w:proofErr w:type="spellStart"/>
      <w:r w:rsidRPr="00F82953">
        <w:rPr>
          <w:rFonts w:ascii="Arial" w:hAnsi="Arial" w:cs="Arial"/>
          <w:kern w:val="1"/>
          <w:sz w:val="22"/>
          <w:szCs w:val="22"/>
        </w:rPr>
        <w:t>HAb</w:t>
      </w:r>
      <w:proofErr w:type="spellEnd"/>
      <w:r w:rsidRPr="00F82953">
        <w:rPr>
          <w:rFonts w:ascii="Arial" w:hAnsi="Arial" w:cs="Arial"/>
          <w:kern w:val="1"/>
          <w:sz w:val="22"/>
          <w:szCs w:val="22"/>
        </w:rPr>
        <w:t xml:space="preserve"> </w:t>
      </w:r>
      <w:r w:rsidRPr="00F82953">
        <w:rPr>
          <w:rFonts w:ascii="Arial" w:hAnsi="Arial" w:cs="Arial"/>
          <w:color w:val="000000" w:themeColor="text1"/>
          <w:kern w:val="1"/>
          <w:sz w:val="22"/>
          <w:szCs w:val="22"/>
        </w:rPr>
        <w:t xml:space="preserve">interferences. </w:t>
      </w:r>
      <w:r w:rsidRPr="00F82953">
        <w:rPr>
          <w:rFonts w:ascii="Arial" w:hAnsi="Arial" w:cs="Arial"/>
          <w:kern w:val="1"/>
          <w:sz w:val="22"/>
          <w:szCs w:val="22"/>
        </w:rPr>
        <w:t xml:space="preserve">Specifically, when a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-IMA value appears clinically inappropriate (usually high), an absent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-stimulated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response would suggest interference that could be confirmed by a blocker tube test (561). An alternative reason for an absent/blunted </w:t>
      </w:r>
      <w:proofErr w:type="spellStart"/>
      <w:r w:rsidRPr="00F82953">
        <w:rPr>
          <w:rFonts w:ascii="Arial" w:hAnsi="Arial" w:cs="Arial"/>
          <w:kern w:val="1"/>
          <w:sz w:val="22"/>
          <w:szCs w:val="22"/>
        </w:rPr>
        <w:t>rhTSH</w:t>
      </w:r>
      <w:proofErr w:type="spellEnd"/>
      <w:r w:rsidRPr="00F82953">
        <w:rPr>
          <w:rFonts w:ascii="Arial" w:hAnsi="Arial" w:cs="Arial"/>
          <w:kern w:val="1"/>
          <w:sz w:val="22"/>
          <w:szCs w:val="22"/>
        </w:rPr>
        <w:t xml:space="preserve">-stimulated response would be the presence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(578), with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-enhanced clearance of </w:t>
      </w:r>
      <w:proofErr w:type="spellStart"/>
      <w:r w:rsidRPr="00F82953">
        <w:rPr>
          <w:rFonts w:ascii="Arial" w:hAnsi="Arial" w:cs="Arial"/>
          <w:kern w:val="1"/>
          <w:sz w:val="22"/>
          <w:szCs w:val="22"/>
        </w:rPr>
        <w:t>Tg-TgAb</w:t>
      </w:r>
      <w:proofErr w:type="spellEnd"/>
      <w:r w:rsidRPr="00F82953">
        <w:rPr>
          <w:rFonts w:ascii="Arial" w:hAnsi="Arial" w:cs="Arial"/>
          <w:kern w:val="1"/>
          <w:sz w:val="22"/>
          <w:szCs w:val="22"/>
        </w:rPr>
        <w:t xml:space="preserve"> complexes (599,602,606). </w:t>
      </w:r>
    </w:p>
    <w:p w14:paraId="57BA8085"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28E158A4" w14:textId="791C2CCE" w:rsidR="005C4829" w:rsidRPr="007F144A" w:rsidRDefault="005C4829" w:rsidP="00F82953">
      <w:pPr>
        <w:autoSpaceDE w:val="0"/>
        <w:autoSpaceDN w:val="0"/>
        <w:adjustRightInd w:val="0"/>
        <w:spacing w:after="0" w:line="276" w:lineRule="auto"/>
        <w:rPr>
          <w:rFonts w:ascii="Arial" w:hAnsi="Arial" w:cs="Arial"/>
          <w:color w:val="FF0000"/>
          <w:kern w:val="1"/>
          <w:sz w:val="22"/>
          <w:szCs w:val="22"/>
        </w:rPr>
      </w:pPr>
      <w:proofErr w:type="spellStart"/>
      <w:r w:rsidRPr="007F144A">
        <w:rPr>
          <w:rFonts w:ascii="Arial" w:hAnsi="Arial" w:cs="Arial"/>
          <w:color w:val="FF0000"/>
          <w:kern w:val="1"/>
          <w:sz w:val="22"/>
          <w:szCs w:val="22"/>
        </w:rPr>
        <w:t>Tg</w:t>
      </w:r>
      <w:proofErr w:type="spellEnd"/>
      <w:r w:rsidRPr="007F144A">
        <w:rPr>
          <w:rFonts w:ascii="Arial" w:hAnsi="Arial" w:cs="Arial"/>
          <w:color w:val="FF0000"/>
          <w:kern w:val="1"/>
          <w:sz w:val="22"/>
          <w:szCs w:val="22"/>
        </w:rPr>
        <w:t xml:space="preserve"> M</w:t>
      </w:r>
      <w:r w:rsidR="002D7351" w:rsidRPr="007F144A">
        <w:rPr>
          <w:rFonts w:ascii="Arial" w:hAnsi="Arial" w:cs="Arial"/>
          <w:color w:val="FF0000"/>
          <w:kern w:val="1"/>
          <w:sz w:val="22"/>
          <w:szCs w:val="22"/>
        </w:rPr>
        <w:t xml:space="preserve">EASUREMENT IN </w:t>
      </w:r>
      <w:r w:rsidRPr="007F144A">
        <w:rPr>
          <w:rFonts w:ascii="Arial" w:hAnsi="Arial" w:cs="Arial"/>
          <w:color w:val="FF0000"/>
          <w:kern w:val="1"/>
          <w:sz w:val="22"/>
          <w:szCs w:val="22"/>
        </w:rPr>
        <w:t>FNA N</w:t>
      </w:r>
      <w:r w:rsidR="007F144A" w:rsidRPr="007F144A">
        <w:rPr>
          <w:rFonts w:ascii="Arial" w:hAnsi="Arial" w:cs="Arial"/>
          <w:color w:val="FF0000"/>
          <w:kern w:val="1"/>
          <w:sz w:val="22"/>
          <w:szCs w:val="22"/>
        </w:rPr>
        <w:t xml:space="preserve">EEDLE WASHOUTS </w:t>
      </w:r>
      <w:r w:rsidRPr="007F144A">
        <w:rPr>
          <w:rFonts w:ascii="Arial" w:hAnsi="Arial" w:cs="Arial"/>
          <w:color w:val="FF0000"/>
          <w:kern w:val="1"/>
          <w:sz w:val="22"/>
          <w:szCs w:val="22"/>
        </w:rPr>
        <w:t>(FNA-</w:t>
      </w:r>
      <w:proofErr w:type="spellStart"/>
      <w:r w:rsidRPr="007F144A">
        <w:rPr>
          <w:rFonts w:ascii="Arial" w:hAnsi="Arial" w:cs="Arial"/>
          <w:color w:val="FF0000"/>
          <w:kern w:val="1"/>
          <w:sz w:val="22"/>
          <w:szCs w:val="22"/>
        </w:rPr>
        <w:t>Tg</w:t>
      </w:r>
      <w:proofErr w:type="spellEnd"/>
      <w:r w:rsidRPr="007F144A">
        <w:rPr>
          <w:rFonts w:ascii="Arial" w:hAnsi="Arial" w:cs="Arial"/>
          <w:color w:val="FF0000"/>
          <w:kern w:val="1"/>
          <w:sz w:val="22"/>
          <w:szCs w:val="22"/>
        </w:rPr>
        <w:t>)</w:t>
      </w:r>
    </w:p>
    <w:p w14:paraId="5A3766AF" w14:textId="77777777" w:rsidR="002D7351" w:rsidRDefault="002D7351" w:rsidP="002D7351">
      <w:pPr>
        <w:autoSpaceDE w:val="0"/>
        <w:autoSpaceDN w:val="0"/>
        <w:adjustRightInd w:val="0"/>
        <w:spacing w:after="0" w:line="276" w:lineRule="auto"/>
        <w:rPr>
          <w:rFonts w:ascii="Arial" w:hAnsi="Arial" w:cs="Arial"/>
          <w:kern w:val="1"/>
          <w:sz w:val="22"/>
          <w:szCs w:val="22"/>
        </w:rPr>
      </w:pPr>
    </w:p>
    <w:p w14:paraId="68125BC0" w14:textId="18553D22" w:rsidR="005C4829" w:rsidRPr="00F82953" w:rsidRDefault="005C4829" w:rsidP="002D7351">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 xml:space="preserve">Because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protein is tissue-specific, the detection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non-thyroidal tissues or fluids (such as pleural fluid) indicates the presence of metastatic thyroid cancer (677). Struma </w:t>
      </w:r>
      <w:proofErr w:type="spellStart"/>
      <w:r w:rsidRPr="00F82953">
        <w:rPr>
          <w:rFonts w:ascii="Arial" w:hAnsi="Arial" w:cs="Arial"/>
          <w:kern w:val="1"/>
          <w:sz w:val="22"/>
          <w:szCs w:val="22"/>
        </w:rPr>
        <w:t>ovarii</w:t>
      </w:r>
      <w:proofErr w:type="spellEnd"/>
      <w:r w:rsidRPr="00F82953">
        <w:rPr>
          <w:rFonts w:ascii="Arial" w:hAnsi="Arial" w:cs="Arial"/>
          <w:kern w:val="1"/>
          <w:sz w:val="22"/>
          <w:szCs w:val="22"/>
        </w:rPr>
        <w:t xml:space="preserve"> is the only (rare) condition in which the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the circulation does not originate from the thyroid (678,679). Cystic thyroid nodules are commonly encountered in clinical practice, the large majority arising from follicular epithelium and the minority from parathyroid epithelium. A high concentration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or parathyroid hormone (PTH) measured in the cyst fluid provides a reliable indicator of the tissue origin of the cyst (thyroid versus parathyroid, respectively), information critical for surgical decision-making (677,680). Lymph node metastases are found in up to 50 percent of patients with papillary cancers but only 20 percent of follicular cancers (681,682). High-resolution ultrasound has now become an important component of postoperative surveillance for recurrence (57,386,669). Although ultrasound characteristics are helpful for </w:t>
      </w:r>
      <w:r w:rsidRPr="00F82953">
        <w:rPr>
          <w:rFonts w:ascii="Arial" w:hAnsi="Arial" w:cs="Arial"/>
          <w:kern w:val="1"/>
          <w:sz w:val="22"/>
          <w:szCs w:val="22"/>
        </w:rPr>
        <w:lastRenderedPageBreak/>
        <w:t xml:space="preserve">distinguishing benign reactive lymph nodes from those suspicious for malignancy, the finding of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in the needle washout of a lymph node biopsy has higher diagnostic accuracy than the ultrasound appearance (632,683-691). An FNA needle washout is now widely accepted as a useful adjunctive test that improves the diagnostic sensitivity of a cytological evaluation of a suspicious lymph node or thyroid mass, even in the presence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(683-687). The current protocol for obtaining FNA-</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samples recommends rinsing the biopsy needle in 1.0 mL of saline and sending this specimen to the laboratory for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analysis. In thyroidectomized patients a common cutoff value for a "positive" FNA-</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result is 1.0 µg/L, however this cutoff can vary by method and institution (685,686,690-692). For investigations of suspicious lymph nodes in patients with an intact thyroid, a higher FNA-</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cutoff value (~35-40 µg/L) is recommended (683). There is still controversy whether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interferes with FNA-</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analyses (528,684). It should be noted that when the serum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concentration is high there can be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contamination of the FNA wash fluid. Although a ~40-fold dilution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 the wash fluid would be expected, this could still be insufficient to lower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below detection and eliminate the possibility of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with the FNA-</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IMA test producing a falsely low result. The FNA needle wash-out procedure can also be used to detect </w:t>
      </w:r>
      <w:r w:rsidR="00D51412">
        <w:rPr>
          <w:rFonts w:ascii="Arial" w:hAnsi="Arial" w:cs="Arial"/>
          <w:kern w:val="1"/>
          <w:sz w:val="22"/>
          <w:szCs w:val="22"/>
        </w:rPr>
        <w:t>c</w:t>
      </w:r>
      <w:r w:rsidRPr="00F82953">
        <w:rPr>
          <w:rFonts w:ascii="Arial" w:hAnsi="Arial" w:cs="Arial"/>
          <w:kern w:val="1"/>
          <w:sz w:val="22"/>
          <w:szCs w:val="22"/>
        </w:rPr>
        <w:t>alcitonin in neck masses of patients with primary and metastatic medullary thyroid cancer (680,693,694). In addition, FNA-PTH determinations may be useful for identifying lymph nodes arising from parathyroid tissue (680).</w:t>
      </w:r>
    </w:p>
    <w:p w14:paraId="2356BC3A" w14:textId="77777777" w:rsidR="005C4829" w:rsidRPr="00F82953" w:rsidRDefault="005C4829" w:rsidP="00F82953">
      <w:pPr>
        <w:autoSpaceDE w:val="0"/>
        <w:autoSpaceDN w:val="0"/>
        <w:adjustRightInd w:val="0"/>
        <w:spacing w:after="0" w:line="276" w:lineRule="auto"/>
        <w:rPr>
          <w:rFonts w:ascii="Arial" w:hAnsi="Arial" w:cs="Arial"/>
          <w:b/>
          <w:bCs/>
          <w:kern w:val="1"/>
          <w:sz w:val="22"/>
          <w:szCs w:val="22"/>
        </w:rPr>
      </w:pPr>
    </w:p>
    <w:p w14:paraId="517FD0FD" w14:textId="55095777" w:rsidR="005C4829" w:rsidRPr="00E031E8" w:rsidRDefault="005C4829" w:rsidP="00F82953">
      <w:pPr>
        <w:autoSpaceDE w:val="0"/>
        <w:autoSpaceDN w:val="0"/>
        <w:adjustRightInd w:val="0"/>
        <w:spacing w:after="0" w:line="276" w:lineRule="auto"/>
        <w:rPr>
          <w:rFonts w:ascii="Arial" w:hAnsi="Arial" w:cs="Arial"/>
          <w:b/>
          <w:bCs/>
          <w:color w:val="0070C0"/>
          <w:kern w:val="1"/>
          <w:sz w:val="22"/>
          <w:szCs w:val="22"/>
        </w:rPr>
      </w:pPr>
      <w:r w:rsidRPr="00E031E8">
        <w:rPr>
          <w:rFonts w:ascii="Arial" w:hAnsi="Arial" w:cs="Arial"/>
          <w:b/>
          <w:bCs/>
          <w:color w:val="0070C0"/>
          <w:kern w:val="1"/>
          <w:sz w:val="22"/>
          <w:szCs w:val="22"/>
        </w:rPr>
        <w:t>T</w:t>
      </w:r>
      <w:r w:rsidR="009D054D" w:rsidRPr="00E031E8">
        <w:rPr>
          <w:rFonts w:ascii="Arial" w:hAnsi="Arial" w:cs="Arial"/>
          <w:b/>
          <w:bCs/>
          <w:color w:val="0070C0"/>
          <w:kern w:val="1"/>
          <w:sz w:val="22"/>
          <w:szCs w:val="22"/>
        </w:rPr>
        <w:t xml:space="preserve">HYROID SPECIFIC </w:t>
      </w:r>
      <w:r w:rsidRPr="00E031E8">
        <w:rPr>
          <w:rFonts w:ascii="Arial" w:hAnsi="Arial" w:cs="Arial"/>
          <w:b/>
          <w:bCs/>
          <w:color w:val="0070C0"/>
          <w:kern w:val="1"/>
          <w:sz w:val="22"/>
          <w:szCs w:val="22"/>
        </w:rPr>
        <w:t xml:space="preserve">mRNAs </w:t>
      </w:r>
      <w:r w:rsidR="00E031E8" w:rsidRPr="00E031E8">
        <w:rPr>
          <w:rFonts w:ascii="Arial" w:hAnsi="Arial" w:cs="Arial"/>
          <w:b/>
          <w:bCs/>
          <w:color w:val="0070C0"/>
          <w:kern w:val="1"/>
          <w:sz w:val="22"/>
          <w:szCs w:val="22"/>
        </w:rPr>
        <w:t xml:space="preserve">USED AS THYROID TUMOR MARKERS </w:t>
      </w:r>
    </w:p>
    <w:p w14:paraId="2F816489" w14:textId="77777777" w:rsidR="005C4829" w:rsidRPr="00F82953" w:rsidRDefault="005C4829" w:rsidP="00F82953">
      <w:pPr>
        <w:autoSpaceDE w:val="0"/>
        <w:autoSpaceDN w:val="0"/>
        <w:adjustRightInd w:val="0"/>
        <w:spacing w:after="0" w:line="276" w:lineRule="auto"/>
        <w:rPr>
          <w:rFonts w:ascii="Arial" w:hAnsi="Arial" w:cs="Arial"/>
          <w:kern w:val="1"/>
          <w:sz w:val="22"/>
          <w:szCs w:val="22"/>
        </w:rPr>
      </w:pPr>
    </w:p>
    <w:p w14:paraId="11FAA175" w14:textId="36BBA7CB" w:rsidR="005C4829" w:rsidRPr="00F82953" w:rsidRDefault="005C4829" w:rsidP="00D76AD9">
      <w:pPr>
        <w:autoSpaceDE w:val="0"/>
        <w:autoSpaceDN w:val="0"/>
        <w:adjustRightInd w:val="0"/>
        <w:spacing w:after="0" w:line="276" w:lineRule="auto"/>
        <w:rPr>
          <w:rFonts w:ascii="Arial" w:hAnsi="Arial" w:cs="Arial"/>
          <w:kern w:val="1"/>
          <w:sz w:val="22"/>
          <w:szCs w:val="22"/>
        </w:rPr>
      </w:pPr>
      <w:r w:rsidRPr="00F82953">
        <w:rPr>
          <w:rFonts w:ascii="Arial" w:hAnsi="Arial" w:cs="Arial"/>
          <w:kern w:val="1"/>
          <w:sz w:val="22"/>
          <w:szCs w:val="22"/>
        </w:rPr>
        <w:t>Reverse transcription-polymerase chain reaction (RT-PCR) has been used to detect thyroid-specific mRNAs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TSHR, TPO and NIS) in the peripheral blood of patients with DTC (579,695-697). Initial studies suggested that circulating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mRNA might be employed as a useful tumor marker for thyroid cancer, especially in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-positive patients in whom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measurements were subject to </w:t>
      </w:r>
      <w:proofErr w:type="spellStart"/>
      <w:r w:rsidRPr="00F82953">
        <w:rPr>
          <w:rFonts w:ascii="Arial" w:hAnsi="Arial" w:cs="Arial"/>
          <w:kern w:val="1"/>
          <w:sz w:val="22"/>
          <w:szCs w:val="22"/>
        </w:rPr>
        <w:t>TgAb</w:t>
      </w:r>
      <w:proofErr w:type="spellEnd"/>
      <w:r w:rsidRPr="00F82953">
        <w:rPr>
          <w:rFonts w:ascii="Arial" w:hAnsi="Arial" w:cs="Arial"/>
          <w:kern w:val="1"/>
          <w:sz w:val="22"/>
          <w:szCs w:val="22"/>
        </w:rPr>
        <w:t xml:space="preserve"> interference (695,698,699). More recently, this approach has been applied to the detection of NIS, TPO</w:t>
      </w:r>
      <w:r w:rsidR="00691BDD">
        <w:rPr>
          <w:rFonts w:ascii="Arial" w:hAnsi="Arial" w:cs="Arial"/>
          <w:kern w:val="1"/>
          <w:sz w:val="22"/>
          <w:szCs w:val="22"/>
        </w:rPr>
        <w:t>,</w:t>
      </w:r>
      <w:r w:rsidRPr="00F82953">
        <w:rPr>
          <w:rFonts w:ascii="Arial" w:hAnsi="Arial" w:cs="Arial"/>
          <w:kern w:val="1"/>
          <w:sz w:val="22"/>
          <w:szCs w:val="22"/>
        </w:rPr>
        <w:t xml:space="preserve"> and TSH receptor (TSHR) mRNAs (699,700). Although some studies have suggested that thyroid specific mRNA measurements could be useful for cancer diagnosis and detecting recurrent disease, most studies have concluded that they offer no advantages over sensitive serum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measurements (579,699,701). Further, the recent report of false positive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mRNA results in patients with congenital athyreosis (702) suggests that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mRNA can arise as an assay artifact originating from non-thyroid tissues, or illegitimate transcription (703,704). Conversely, false negative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mRNA results have also been observed in patients with documented metastatic disease (705,706). Although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TSHR, NIS and TPO are generally considered “thyroid specific” proteins, mRNAs for these antigens have been detected in non-thyroidal tissues such as lymphocytes, leukocytes, kidney, hepatocytes, brown fat and skin (427,707,708)). Additional sources of variability in mRNA analyses relate to the use of primers that detect splice variants, sample-handling techniques that introduce variability, and difficulties in quantifying the mRNA detected (701,705). The general consensus is that thyroid specific mRNA measurements lack the optimal specificity and practicality to be useful tumor markers (579,699,701). MicroRNA (miRNA) has recently been proposed as an alternate candidate biomarker when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measurement is unreliable (709). The growing number of reports of functional TSH receptors and </w:t>
      </w:r>
      <w:proofErr w:type="spellStart"/>
      <w:r w:rsidRPr="00F82953">
        <w:rPr>
          <w:rFonts w:ascii="Arial" w:hAnsi="Arial" w:cs="Arial"/>
          <w:kern w:val="1"/>
          <w:sz w:val="22"/>
          <w:szCs w:val="22"/>
        </w:rPr>
        <w:t>Tg</w:t>
      </w:r>
      <w:proofErr w:type="spellEnd"/>
      <w:r w:rsidRPr="00F82953">
        <w:rPr>
          <w:rFonts w:ascii="Arial" w:hAnsi="Arial" w:cs="Arial"/>
          <w:kern w:val="1"/>
          <w:sz w:val="22"/>
          <w:szCs w:val="22"/>
        </w:rPr>
        <w:t xml:space="preserve"> mRNA present in non-thyroidal tissues further </w:t>
      </w:r>
      <w:r w:rsidRPr="00F82953">
        <w:rPr>
          <w:rFonts w:ascii="Arial" w:hAnsi="Arial" w:cs="Arial"/>
          <w:kern w:val="1"/>
          <w:sz w:val="22"/>
          <w:szCs w:val="22"/>
        </w:rPr>
        <w:lastRenderedPageBreak/>
        <w:t>suggests that these mRNA measurements will have limited clinical utility in the management of DTC in the future (427,707,708). Further studies in thyroid cancer genomics may yield additional DTC tumor markers with optimal sensitivity and specificity to monitor DTC (710).</w:t>
      </w:r>
    </w:p>
    <w:p w14:paraId="5710B622" w14:textId="77777777" w:rsidR="005C4829" w:rsidRPr="00F82953" w:rsidRDefault="005C4829" w:rsidP="00D76AD9">
      <w:pPr>
        <w:autoSpaceDE w:val="0"/>
        <w:autoSpaceDN w:val="0"/>
        <w:adjustRightInd w:val="0"/>
        <w:spacing w:after="0" w:line="276" w:lineRule="auto"/>
        <w:rPr>
          <w:rFonts w:ascii="Arial" w:hAnsi="Arial" w:cs="Arial"/>
          <w:kern w:val="1"/>
          <w:sz w:val="22"/>
          <w:szCs w:val="22"/>
        </w:rPr>
      </w:pPr>
    </w:p>
    <w:p w14:paraId="18685899" w14:textId="7484A3CA" w:rsidR="005C4829" w:rsidRPr="00E031E8" w:rsidRDefault="007C105A" w:rsidP="00D76AD9">
      <w:pPr>
        <w:autoSpaceDE w:val="0"/>
        <w:autoSpaceDN w:val="0"/>
        <w:adjustRightInd w:val="0"/>
        <w:spacing w:after="0" w:line="276" w:lineRule="auto"/>
        <w:rPr>
          <w:rFonts w:ascii="Arial" w:hAnsi="Arial" w:cs="Arial"/>
          <w:b/>
          <w:bCs/>
          <w:color w:val="0070C0"/>
          <w:kern w:val="1"/>
          <w:sz w:val="22"/>
          <w:szCs w:val="22"/>
        </w:rPr>
      </w:pPr>
      <w:r w:rsidRPr="00E031E8">
        <w:rPr>
          <w:rFonts w:ascii="Arial" w:hAnsi="Arial" w:cs="Arial"/>
          <w:b/>
          <w:bCs/>
          <w:color w:val="0070C0"/>
          <w:kern w:val="1"/>
          <w:sz w:val="22"/>
          <w:szCs w:val="22"/>
        </w:rPr>
        <w:t>R</w:t>
      </w:r>
      <w:r w:rsidR="00E031E8" w:rsidRPr="00E031E8">
        <w:rPr>
          <w:rFonts w:ascii="Arial" w:hAnsi="Arial" w:cs="Arial"/>
          <w:b/>
          <w:bCs/>
          <w:color w:val="0070C0"/>
          <w:kern w:val="1"/>
          <w:sz w:val="22"/>
          <w:szCs w:val="22"/>
        </w:rPr>
        <w:t xml:space="preserve">EFERENCES </w:t>
      </w:r>
    </w:p>
    <w:p w14:paraId="761B9AEE" w14:textId="77777777" w:rsidR="005C4829" w:rsidRPr="007C105A" w:rsidRDefault="005C4829" w:rsidP="00D76AD9">
      <w:pPr>
        <w:autoSpaceDE w:val="0"/>
        <w:autoSpaceDN w:val="0"/>
        <w:adjustRightInd w:val="0"/>
        <w:spacing w:after="0" w:line="276" w:lineRule="auto"/>
        <w:rPr>
          <w:rFonts w:ascii="Times New Roman" w:hAnsi="Times New Roman" w:cs="Times New Roman"/>
          <w:kern w:val="1"/>
        </w:rPr>
      </w:pPr>
    </w:p>
    <w:p w14:paraId="1C1382E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w:t>
      </w:r>
      <w:r w:rsidRPr="00DD448A">
        <w:rPr>
          <w:rFonts w:ascii="Arial" w:hAnsi="Arial" w:cs="Arial"/>
          <w:kern w:val="1"/>
          <w:sz w:val="22"/>
          <w:szCs w:val="22"/>
        </w:rPr>
        <w:tab/>
        <w:t xml:space="preserve">Spencer CA. Laboratory Thyroid Tests: A Historical Perspective.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2023;33(4):407-419.</w:t>
      </w:r>
    </w:p>
    <w:p w14:paraId="339123F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w:t>
      </w:r>
      <w:r w:rsidRPr="00DD448A">
        <w:rPr>
          <w:rFonts w:ascii="Arial" w:hAnsi="Arial" w:cs="Arial"/>
          <w:kern w:val="1"/>
          <w:sz w:val="22"/>
          <w:szCs w:val="22"/>
        </w:rPr>
        <w:tab/>
        <w:t xml:space="preserve">Chaney A. Protein-bound iodine. </w:t>
      </w:r>
      <w:r w:rsidRPr="00DD448A">
        <w:rPr>
          <w:rFonts w:ascii="Arial" w:hAnsi="Arial" w:cs="Arial"/>
          <w:iCs/>
          <w:kern w:val="1"/>
          <w:sz w:val="22"/>
          <w:szCs w:val="22"/>
        </w:rPr>
        <w:t>Advances in clinical chemistry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1958;Vol. 1(2):81-109.</w:t>
      </w:r>
    </w:p>
    <w:p w14:paraId="621EA5D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w:t>
      </w:r>
      <w:r w:rsidRPr="00DD448A">
        <w:rPr>
          <w:rFonts w:ascii="Arial" w:hAnsi="Arial" w:cs="Arial"/>
          <w:kern w:val="1"/>
          <w:sz w:val="22"/>
          <w:szCs w:val="22"/>
        </w:rPr>
        <w:tab/>
      </w:r>
      <w:proofErr w:type="spellStart"/>
      <w:r w:rsidRPr="00DD448A">
        <w:rPr>
          <w:rFonts w:ascii="Arial" w:hAnsi="Arial" w:cs="Arial"/>
          <w:kern w:val="1"/>
          <w:sz w:val="22"/>
          <w:szCs w:val="22"/>
        </w:rPr>
        <w:t>Utiger</w:t>
      </w:r>
      <w:proofErr w:type="spellEnd"/>
      <w:r w:rsidRPr="00DD448A">
        <w:rPr>
          <w:rFonts w:ascii="Arial" w:hAnsi="Arial" w:cs="Arial"/>
          <w:kern w:val="1"/>
          <w:sz w:val="22"/>
          <w:szCs w:val="22"/>
        </w:rPr>
        <w:t xml:space="preserve"> RD. RADIOIMMUNOASSAY OF HUMAN PLASMA THYROTROPIN.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1965;44(8):1277-1286.</w:t>
      </w:r>
    </w:p>
    <w:p w14:paraId="4CCCBF0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w:t>
      </w:r>
      <w:r w:rsidRPr="00DD448A">
        <w:rPr>
          <w:rFonts w:ascii="Arial" w:hAnsi="Arial" w:cs="Arial"/>
          <w:kern w:val="1"/>
          <w:sz w:val="22"/>
          <w:szCs w:val="22"/>
        </w:rPr>
        <w:tab/>
        <w:t xml:space="preserve">Chopra IJ. A radioimmunoassay for measurement of thyroxine in unextracted serum.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1972;34(6):938-947.</w:t>
      </w:r>
    </w:p>
    <w:p w14:paraId="65CA84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w:t>
      </w:r>
      <w:r w:rsidRPr="00DD448A">
        <w:rPr>
          <w:rFonts w:ascii="Arial" w:hAnsi="Arial" w:cs="Arial"/>
          <w:kern w:val="1"/>
          <w:sz w:val="22"/>
          <w:szCs w:val="22"/>
        </w:rPr>
        <w:tab/>
        <w:t xml:space="preserve">Van Herle AJ, Uller RP, Matthews NL, Brown J. Radioimmunoassay for measurement of thyroglobulin in human serum.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1973;52:1320-1327.</w:t>
      </w:r>
    </w:p>
    <w:p w14:paraId="2553C5F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w:t>
      </w:r>
      <w:r w:rsidRPr="00DD448A">
        <w:rPr>
          <w:rFonts w:ascii="Arial" w:hAnsi="Arial" w:cs="Arial"/>
          <w:kern w:val="1"/>
          <w:sz w:val="22"/>
          <w:szCs w:val="22"/>
        </w:rPr>
        <w:tab/>
        <w:t xml:space="preserve">Chopra IJ. A radioimmunoassay for measurement of 3,3',5'-triiodothyronine (reverse T3).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1974;54(3):583-592.</w:t>
      </w:r>
    </w:p>
    <w:p w14:paraId="19DD829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w:t>
      </w:r>
      <w:r w:rsidRPr="00DD448A">
        <w:rPr>
          <w:rFonts w:ascii="Arial" w:hAnsi="Arial" w:cs="Arial"/>
          <w:kern w:val="1"/>
          <w:sz w:val="22"/>
          <w:szCs w:val="22"/>
        </w:rPr>
        <w:tab/>
        <w:t xml:space="preserve">Woodhead J, Addison G, Hales C. The immunoradiometric assay and related techniques. </w:t>
      </w:r>
      <w:r w:rsidRPr="00DD448A">
        <w:rPr>
          <w:rFonts w:ascii="Arial" w:hAnsi="Arial" w:cs="Arial"/>
          <w:iCs/>
          <w:kern w:val="1"/>
          <w:sz w:val="22"/>
          <w:szCs w:val="22"/>
        </w:rPr>
        <w:t>Br Med Bull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1974;30:44-49.</w:t>
      </w:r>
    </w:p>
    <w:p w14:paraId="61E8DFF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w:t>
      </w:r>
      <w:r w:rsidRPr="00DD448A">
        <w:rPr>
          <w:rFonts w:ascii="Arial" w:hAnsi="Arial" w:cs="Arial"/>
          <w:kern w:val="1"/>
          <w:sz w:val="22"/>
          <w:szCs w:val="22"/>
        </w:rPr>
        <w:tab/>
        <w:t xml:space="preserve">Spencer CA, LoPresti JS, Patel A, </w:t>
      </w:r>
      <w:proofErr w:type="spellStart"/>
      <w:r w:rsidRPr="00DD448A">
        <w:rPr>
          <w:rFonts w:ascii="Arial" w:hAnsi="Arial" w:cs="Arial"/>
          <w:kern w:val="1"/>
          <w:sz w:val="22"/>
          <w:szCs w:val="22"/>
        </w:rPr>
        <w:t>Guttler</w:t>
      </w:r>
      <w:proofErr w:type="spellEnd"/>
      <w:r w:rsidRPr="00DD448A">
        <w:rPr>
          <w:rFonts w:ascii="Arial" w:hAnsi="Arial" w:cs="Arial"/>
          <w:kern w:val="1"/>
          <w:sz w:val="22"/>
          <w:szCs w:val="22"/>
        </w:rPr>
        <w:t xml:space="preserve"> RB, Eigen A, Shen D, Gray D, Nicoloff JT. Applications of a new chemiluminometric thyrotropin assay to subnormal measurement.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1990;70:453-460.</w:t>
      </w:r>
    </w:p>
    <w:p w14:paraId="3DE49DC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w:t>
      </w:r>
      <w:r w:rsidRPr="00DD448A">
        <w:rPr>
          <w:rFonts w:ascii="Arial" w:hAnsi="Arial" w:cs="Arial"/>
          <w:kern w:val="1"/>
          <w:sz w:val="22"/>
          <w:szCs w:val="22"/>
        </w:rPr>
        <w:tab/>
        <w:t xml:space="preserve">Spencer CA TM, </w:t>
      </w:r>
      <w:proofErr w:type="spellStart"/>
      <w:r w:rsidRPr="00DD448A">
        <w:rPr>
          <w:rFonts w:ascii="Arial" w:hAnsi="Arial" w:cs="Arial"/>
          <w:kern w:val="1"/>
          <w:sz w:val="22"/>
          <w:szCs w:val="22"/>
        </w:rPr>
        <w:t>Kazarosyan</w:t>
      </w:r>
      <w:proofErr w:type="spellEnd"/>
      <w:r w:rsidRPr="00DD448A">
        <w:rPr>
          <w:rFonts w:ascii="Arial" w:hAnsi="Arial" w:cs="Arial"/>
          <w:kern w:val="1"/>
          <w:sz w:val="22"/>
          <w:szCs w:val="22"/>
        </w:rPr>
        <w:t xml:space="preserve"> M,. Current Status and Performance Goals for Serum Thyroglobulin Assays.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1996;42(In Press 1/96).</w:t>
      </w:r>
    </w:p>
    <w:p w14:paraId="0686E5F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w:t>
      </w:r>
      <w:r w:rsidRPr="00DD448A">
        <w:rPr>
          <w:rFonts w:ascii="Arial" w:hAnsi="Arial" w:cs="Arial"/>
          <w:kern w:val="1"/>
          <w:sz w:val="22"/>
          <w:szCs w:val="22"/>
        </w:rPr>
        <w:tab/>
        <w:t xml:space="preserve">Baloch Z, </w:t>
      </w:r>
      <w:proofErr w:type="spellStart"/>
      <w:r w:rsidRPr="00DD448A">
        <w:rPr>
          <w:rFonts w:ascii="Arial" w:hAnsi="Arial" w:cs="Arial"/>
          <w:kern w:val="1"/>
          <w:sz w:val="22"/>
          <w:szCs w:val="22"/>
        </w:rPr>
        <w:t>Carayon</w:t>
      </w:r>
      <w:proofErr w:type="spellEnd"/>
      <w:r w:rsidRPr="00DD448A">
        <w:rPr>
          <w:rFonts w:ascii="Arial" w:hAnsi="Arial" w:cs="Arial"/>
          <w:kern w:val="1"/>
          <w:sz w:val="22"/>
          <w:szCs w:val="22"/>
        </w:rPr>
        <w:t xml:space="preserve"> P, Conte-</w:t>
      </w:r>
      <w:proofErr w:type="spellStart"/>
      <w:r w:rsidRPr="00DD448A">
        <w:rPr>
          <w:rFonts w:ascii="Arial" w:hAnsi="Arial" w:cs="Arial"/>
          <w:kern w:val="1"/>
          <w:sz w:val="22"/>
          <w:szCs w:val="22"/>
        </w:rPr>
        <w:t>Devolx</w:t>
      </w:r>
      <w:proofErr w:type="spellEnd"/>
      <w:r w:rsidRPr="00DD448A">
        <w:rPr>
          <w:rFonts w:ascii="Arial" w:hAnsi="Arial" w:cs="Arial"/>
          <w:kern w:val="1"/>
          <w:sz w:val="22"/>
          <w:szCs w:val="22"/>
        </w:rPr>
        <w:t xml:space="preserve"> B, Demers LM, Feldt-Rasmussen U, Henry JF, </w:t>
      </w:r>
      <w:proofErr w:type="spellStart"/>
      <w:r w:rsidRPr="00DD448A">
        <w:rPr>
          <w:rFonts w:ascii="Arial" w:hAnsi="Arial" w:cs="Arial"/>
          <w:kern w:val="1"/>
          <w:sz w:val="22"/>
          <w:szCs w:val="22"/>
        </w:rPr>
        <w:t>LiVosli</w:t>
      </w:r>
      <w:proofErr w:type="spellEnd"/>
      <w:r w:rsidRPr="00DD448A">
        <w:rPr>
          <w:rFonts w:ascii="Arial" w:hAnsi="Arial" w:cs="Arial"/>
          <w:kern w:val="1"/>
          <w:sz w:val="22"/>
          <w:szCs w:val="22"/>
        </w:rPr>
        <w:t xml:space="preserve"> VA, Niccoli-Sire P, John R, Ruf J, Smyth PP, Spencer CA, </w:t>
      </w:r>
      <w:proofErr w:type="spellStart"/>
      <w:r w:rsidRPr="00DD448A">
        <w:rPr>
          <w:rFonts w:ascii="Arial" w:hAnsi="Arial" w:cs="Arial"/>
          <w:kern w:val="1"/>
          <w:sz w:val="22"/>
          <w:szCs w:val="22"/>
        </w:rPr>
        <w:t>Stockigt</w:t>
      </w:r>
      <w:proofErr w:type="spellEnd"/>
      <w:r w:rsidRPr="00DD448A">
        <w:rPr>
          <w:rFonts w:ascii="Arial" w:hAnsi="Arial" w:cs="Arial"/>
          <w:kern w:val="1"/>
          <w:sz w:val="22"/>
          <w:szCs w:val="22"/>
        </w:rPr>
        <w:t xml:space="preserve"> JR. Laboratory medicine practice guidelines. Laboratory support for the diagnosis and monitoring of thyroid disease.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2003;13(1):3-126.</w:t>
      </w:r>
    </w:p>
    <w:p w14:paraId="00301CE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w:t>
      </w:r>
      <w:r w:rsidRPr="00DD448A">
        <w:rPr>
          <w:rFonts w:ascii="Arial" w:hAnsi="Arial" w:cs="Arial"/>
          <w:kern w:val="1"/>
          <w:sz w:val="22"/>
          <w:szCs w:val="22"/>
        </w:rPr>
        <w:tab/>
        <w:t xml:space="preserve">Dufour DR. Laboratory tests of thyroid function: uses and limitations. </w:t>
      </w:r>
      <w:r w:rsidRPr="00DD448A">
        <w:rPr>
          <w:rFonts w:ascii="Arial" w:hAnsi="Arial" w:cs="Arial"/>
          <w:iCs/>
          <w:kern w:val="1"/>
          <w:sz w:val="22"/>
          <w:szCs w:val="22"/>
        </w:rPr>
        <w:t xml:space="preserve">Endocrinol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Clin North Am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2007;36(3):579-594, v.</w:t>
      </w:r>
    </w:p>
    <w:p w14:paraId="50D289C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w:t>
      </w:r>
      <w:proofErr w:type="spellStart"/>
      <w:r w:rsidRPr="00DD448A">
        <w:rPr>
          <w:rFonts w:ascii="Arial" w:hAnsi="Arial" w:cs="Arial"/>
          <w:kern w:val="1"/>
          <w:sz w:val="22"/>
          <w:szCs w:val="22"/>
        </w:rPr>
        <w:t>Beastall</w:t>
      </w:r>
      <w:proofErr w:type="spellEnd"/>
      <w:r w:rsidRPr="00DD448A">
        <w:rPr>
          <w:rFonts w:ascii="Arial" w:hAnsi="Arial" w:cs="Arial"/>
          <w:kern w:val="1"/>
          <w:sz w:val="22"/>
          <w:szCs w:val="22"/>
        </w:rPr>
        <w:t xml:space="preserve"> G, Faix JD, Ieiri T, Miller WG, Nelson JC, Ronin C, Ross HA, </w:t>
      </w:r>
      <w:proofErr w:type="spellStart"/>
      <w:r w:rsidRPr="00DD448A">
        <w:rPr>
          <w:rFonts w:ascii="Arial" w:hAnsi="Arial" w:cs="Arial"/>
          <w:kern w:val="1"/>
          <w:sz w:val="22"/>
          <w:szCs w:val="22"/>
        </w:rPr>
        <w:t>Thijssen</w:t>
      </w:r>
      <w:proofErr w:type="spellEnd"/>
      <w:r w:rsidRPr="00DD448A">
        <w:rPr>
          <w:rFonts w:ascii="Arial" w:hAnsi="Arial" w:cs="Arial"/>
          <w:kern w:val="1"/>
          <w:sz w:val="22"/>
          <w:szCs w:val="22"/>
        </w:rPr>
        <w:t xml:space="preserve"> JH, Toussaint B. Report of the IFCC Working Group for Standardization of Thyroid Function Tests; part 2: free thyroxine and free triiodothyronine.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2010;56(6):912-920.</w:t>
      </w:r>
    </w:p>
    <w:p w14:paraId="37FCCE1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w:t>
      </w:r>
      <w:r w:rsidRPr="00DD448A">
        <w:rPr>
          <w:rFonts w:ascii="Arial" w:hAnsi="Arial" w:cs="Arial"/>
          <w:kern w:val="1"/>
          <w:sz w:val="22"/>
          <w:szCs w:val="22"/>
        </w:rPr>
        <w:tab/>
        <w:t xml:space="preserve">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Ehrenkranz J, Halsall D, Hoff K, Loh TP, Spencer CA, </w:t>
      </w:r>
      <w:proofErr w:type="spellStart"/>
      <w:r w:rsidRPr="00DD448A">
        <w:rPr>
          <w:rFonts w:ascii="Arial" w:hAnsi="Arial" w:cs="Arial"/>
          <w:kern w:val="1"/>
          <w:sz w:val="22"/>
          <w:szCs w:val="22"/>
        </w:rPr>
        <w:t>Köhrle</w:t>
      </w:r>
      <w:proofErr w:type="spellEnd"/>
      <w:r w:rsidRPr="00DD448A">
        <w:rPr>
          <w:rFonts w:ascii="Arial" w:hAnsi="Arial" w:cs="Arial"/>
          <w:kern w:val="1"/>
          <w:sz w:val="22"/>
          <w:szCs w:val="22"/>
        </w:rPr>
        <w:t xml:space="preserve"> J. Thyroid Stimulating Hormone and Thyroid Hormones (Triiodothyronine and Thyroxine): An American Thyroid Association-Commissioned Review of Current Clinical and Laboratory Status.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2023;33(9):1013-1028.</w:t>
      </w:r>
    </w:p>
    <w:p w14:paraId="787C44E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w:t>
      </w:r>
      <w:r w:rsidRPr="00DD448A">
        <w:rPr>
          <w:rFonts w:ascii="Arial" w:hAnsi="Arial" w:cs="Arial"/>
          <w:kern w:val="1"/>
          <w:sz w:val="22"/>
          <w:szCs w:val="22"/>
        </w:rPr>
        <w:tab/>
        <w:t xml:space="preserve">Petrovic I, LoPresti J, Fatemi S, </w:t>
      </w:r>
      <w:proofErr w:type="spellStart"/>
      <w:r w:rsidRPr="00DD448A">
        <w:rPr>
          <w:rFonts w:ascii="Arial" w:hAnsi="Arial" w:cs="Arial"/>
          <w:kern w:val="1"/>
          <w:sz w:val="22"/>
          <w:szCs w:val="22"/>
        </w:rPr>
        <w:t>Gianoukakis</w:t>
      </w:r>
      <w:proofErr w:type="spellEnd"/>
      <w:r w:rsidRPr="00DD448A">
        <w:rPr>
          <w:rFonts w:ascii="Arial" w:hAnsi="Arial" w:cs="Arial"/>
          <w:kern w:val="1"/>
          <w:sz w:val="22"/>
          <w:szCs w:val="22"/>
        </w:rPr>
        <w:t xml:space="preserve"> A, Burman K, Gomez-Lima CJ, Nguyen CT, Spencer CA. Influence of Thyroglobulin Autoantibodies on Thyroglobulin Levels Measured by Different Methodologies: IMA, LC-MS/MS, and RIA.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2024;109(12):3254-3263.</w:t>
      </w:r>
    </w:p>
    <w:p w14:paraId="526CB40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15.</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Poppe K, </w:t>
      </w:r>
      <w:proofErr w:type="spellStart"/>
      <w:r w:rsidRPr="00DD448A">
        <w:rPr>
          <w:rFonts w:ascii="Arial" w:hAnsi="Arial" w:cs="Arial"/>
          <w:kern w:val="1"/>
          <w:sz w:val="22"/>
          <w:szCs w:val="22"/>
        </w:rPr>
        <w:t>Velkeniers</w:t>
      </w:r>
      <w:proofErr w:type="spellEnd"/>
      <w:r w:rsidRPr="00DD448A">
        <w:rPr>
          <w:rFonts w:ascii="Arial" w:hAnsi="Arial" w:cs="Arial"/>
          <w:kern w:val="1"/>
          <w:sz w:val="22"/>
          <w:szCs w:val="22"/>
        </w:rPr>
        <w:t xml:space="preserve"> B. Determination of free thyroid hormones.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2013;27(5):689-700.</w:t>
      </w:r>
    </w:p>
    <w:p w14:paraId="2F4437E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w:t>
      </w:r>
      <w:r w:rsidRPr="00DD448A">
        <w:rPr>
          <w:rFonts w:ascii="Arial" w:hAnsi="Arial" w:cs="Arial"/>
          <w:kern w:val="1"/>
          <w:sz w:val="22"/>
          <w:szCs w:val="22"/>
        </w:rPr>
        <w:tab/>
        <w:t xml:space="preserve">Westbye AB, Aas FE, Kelp O, </w:t>
      </w:r>
      <w:proofErr w:type="spellStart"/>
      <w:r w:rsidRPr="00DD448A">
        <w:rPr>
          <w:rFonts w:ascii="Arial" w:hAnsi="Arial" w:cs="Arial"/>
          <w:kern w:val="1"/>
          <w:sz w:val="22"/>
          <w:szCs w:val="22"/>
        </w:rPr>
        <w:t>Dahll</w:t>
      </w:r>
      <w:proofErr w:type="spellEnd"/>
      <w:r w:rsidRPr="00DD448A">
        <w:rPr>
          <w:rFonts w:ascii="Arial" w:hAnsi="Arial" w:cs="Arial"/>
          <w:kern w:val="1"/>
          <w:sz w:val="22"/>
          <w:szCs w:val="22"/>
        </w:rPr>
        <w:t xml:space="preserve"> LK, Thorsby PM. Analysis of free, unbound thyroid hormones by liquid chromatography-tandem mass spectrometry: A mini-review of the medical rationale and analytical methods. </w:t>
      </w:r>
      <w:r w:rsidRPr="00DD448A">
        <w:rPr>
          <w:rFonts w:ascii="Arial" w:hAnsi="Arial" w:cs="Arial"/>
          <w:iCs/>
          <w:kern w:val="1"/>
          <w:sz w:val="22"/>
          <w:szCs w:val="22"/>
        </w:rPr>
        <w:t>Anal Sci Adv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2023;4(7-8):244-254.</w:t>
      </w:r>
    </w:p>
    <w:p w14:paraId="6721894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D'Aurizio</w:t>
      </w:r>
      <w:proofErr w:type="spellEnd"/>
      <w:r w:rsidRPr="00DD448A">
        <w:rPr>
          <w:rFonts w:ascii="Arial" w:hAnsi="Arial" w:cs="Arial"/>
          <w:kern w:val="1"/>
          <w:sz w:val="22"/>
          <w:szCs w:val="22"/>
        </w:rPr>
        <w:t xml:space="preserve"> F, Algeciras-</w:t>
      </w:r>
      <w:proofErr w:type="spellStart"/>
      <w:r w:rsidRPr="00DD448A">
        <w:rPr>
          <w:rFonts w:ascii="Arial" w:hAnsi="Arial" w:cs="Arial"/>
          <w:kern w:val="1"/>
          <w:sz w:val="22"/>
          <w:szCs w:val="22"/>
        </w:rPr>
        <w:t>Schimnich</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Görges</w:t>
      </w:r>
      <w:proofErr w:type="spellEnd"/>
      <w:r w:rsidRPr="00DD448A">
        <w:rPr>
          <w:rFonts w:ascii="Arial" w:hAnsi="Arial" w:cs="Arial"/>
          <w:kern w:val="1"/>
          <w:sz w:val="22"/>
          <w:szCs w:val="22"/>
        </w:rPr>
        <w:t xml:space="preserve"> R, Petranovic </w:t>
      </w:r>
      <w:proofErr w:type="spellStart"/>
      <w:r w:rsidRPr="00DD448A">
        <w:rPr>
          <w:rFonts w:ascii="Arial" w:hAnsi="Arial" w:cs="Arial"/>
          <w:kern w:val="1"/>
          <w:sz w:val="22"/>
          <w:szCs w:val="22"/>
        </w:rPr>
        <w:t>Ovcaricek</w:t>
      </w:r>
      <w:proofErr w:type="spellEnd"/>
      <w:r w:rsidRPr="00DD448A">
        <w:rPr>
          <w:rFonts w:ascii="Arial" w:hAnsi="Arial" w:cs="Arial"/>
          <w:kern w:val="1"/>
          <w:sz w:val="22"/>
          <w:szCs w:val="22"/>
        </w:rPr>
        <w:t xml:space="preserve"> P, Tuttle RM, Visser WE, Verburg FA. Thyroglobulin and thyroglobulin antibody: an updated clinical and laboratory expert consensus.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2023;189(2):R11-r27.</w:t>
      </w:r>
    </w:p>
    <w:p w14:paraId="0C9D873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w:t>
      </w:r>
      <w:r w:rsidRPr="00DD448A">
        <w:rPr>
          <w:rFonts w:ascii="Arial" w:hAnsi="Arial" w:cs="Arial"/>
          <w:kern w:val="1"/>
          <w:sz w:val="22"/>
          <w:szCs w:val="22"/>
        </w:rPr>
        <w:tab/>
      </w:r>
      <w:proofErr w:type="spellStart"/>
      <w:r w:rsidRPr="00DD448A">
        <w:rPr>
          <w:rFonts w:ascii="Arial" w:hAnsi="Arial" w:cs="Arial"/>
          <w:kern w:val="1"/>
          <w:sz w:val="22"/>
          <w:szCs w:val="22"/>
        </w:rPr>
        <w:t>Tozzoli</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D'Aurizio</w:t>
      </w:r>
      <w:proofErr w:type="spellEnd"/>
      <w:r w:rsidRPr="00DD448A">
        <w:rPr>
          <w:rFonts w:ascii="Arial" w:hAnsi="Arial" w:cs="Arial"/>
          <w:kern w:val="1"/>
          <w:sz w:val="22"/>
          <w:szCs w:val="22"/>
        </w:rPr>
        <w:t xml:space="preserve"> F, Villalta D,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Evaluation of the first fully automated immunoassay method for the measurement of stimulating TSH receptor autoantibodies in Graves' disease.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2017;55(1):58-64.</w:t>
      </w:r>
    </w:p>
    <w:p w14:paraId="12596249" w14:textId="3732E6AD"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w:t>
      </w:r>
      <w:r w:rsidRPr="00DD448A">
        <w:rPr>
          <w:rFonts w:ascii="Arial" w:hAnsi="Arial" w:cs="Arial"/>
          <w:kern w:val="1"/>
          <w:sz w:val="22"/>
          <w:szCs w:val="22"/>
        </w:rPr>
        <w:tab/>
      </w:r>
      <w:proofErr w:type="spellStart"/>
      <w:r w:rsidRPr="00DD448A">
        <w:rPr>
          <w:rFonts w:ascii="Arial" w:hAnsi="Arial" w:cs="Arial"/>
          <w:kern w:val="1"/>
          <w:sz w:val="22"/>
          <w:szCs w:val="22"/>
        </w:rPr>
        <w:t>Kahaly</w:t>
      </w:r>
      <w:proofErr w:type="spellEnd"/>
      <w:r w:rsidRPr="00DD448A">
        <w:rPr>
          <w:rFonts w:ascii="Arial" w:hAnsi="Arial" w:cs="Arial"/>
          <w:kern w:val="1"/>
          <w:sz w:val="22"/>
          <w:szCs w:val="22"/>
        </w:rPr>
        <w:t xml:space="preserve"> GJ, Diana T, Olivo PD. TSH R</w:t>
      </w:r>
      <w:r w:rsidR="008D0218" w:rsidRPr="00DD448A">
        <w:rPr>
          <w:rFonts w:ascii="Arial" w:hAnsi="Arial" w:cs="Arial"/>
          <w:kern w:val="1"/>
          <w:sz w:val="22"/>
          <w:szCs w:val="22"/>
        </w:rPr>
        <w:t>eceptor</w:t>
      </w:r>
      <w:r w:rsidRPr="00DD448A">
        <w:rPr>
          <w:rFonts w:ascii="Arial" w:hAnsi="Arial" w:cs="Arial"/>
          <w:kern w:val="1"/>
          <w:sz w:val="22"/>
          <w:szCs w:val="22"/>
        </w:rPr>
        <w:t xml:space="preserve"> A</w:t>
      </w:r>
      <w:r w:rsidR="008D0218" w:rsidRPr="00DD448A">
        <w:rPr>
          <w:rFonts w:ascii="Arial" w:hAnsi="Arial" w:cs="Arial"/>
          <w:kern w:val="1"/>
          <w:sz w:val="22"/>
          <w:szCs w:val="22"/>
        </w:rPr>
        <w:t>ntibodies</w:t>
      </w:r>
      <w:r w:rsidRPr="00DD448A">
        <w:rPr>
          <w:rFonts w:ascii="Arial" w:hAnsi="Arial" w:cs="Arial"/>
          <w:kern w:val="1"/>
          <w:sz w:val="22"/>
          <w:szCs w:val="22"/>
        </w:rPr>
        <w:t>: R</w:t>
      </w:r>
      <w:r w:rsidR="008D0218" w:rsidRPr="00DD448A">
        <w:rPr>
          <w:rFonts w:ascii="Arial" w:hAnsi="Arial" w:cs="Arial"/>
          <w:kern w:val="1"/>
          <w:sz w:val="22"/>
          <w:szCs w:val="22"/>
        </w:rPr>
        <w:t>elevance</w:t>
      </w:r>
      <w:r w:rsidRPr="00DD448A">
        <w:rPr>
          <w:rFonts w:ascii="Arial" w:hAnsi="Arial" w:cs="Arial"/>
          <w:kern w:val="1"/>
          <w:sz w:val="22"/>
          <w:szCs w:val="22"/>
        </w:rPr>
        <w:t xml:space="preserve"> &amp; U</w:t>
      </w:r>
      <w:r w:rsidR="008D0218" w:rsidRPr="00DD448A">
        <w:rPr>
          <w:rFonts w:ascii="Arial" w:hAnsi="Arial" w:cs="Arial"/>
          <w:kern w:val="1"/>
          <w:sz w:val="22"/>
          <w:szCs w:val="22"/>
        </w:rPr>
        <w:t>tility</w:t>
      </w:r>
      <w:r w:rsidRPr="00DD448A">
        <w:rPr>
          <w:rFonts w:ascii="Arial" w:hAnsi="Arial" w:cs="Arial"/>
          <w:kern w:val="1"/>
          <w:sz w:val="22"/>
          <w:szCs w:val="22"/>
        </w:rPr>
        <w:t xml:space="preserve">.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2020;26(1):97-106.</w:t>
      </w:r>
    </w:p>
    <w:p w14:paraId="0A1C566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w:t>
      </w:r>
      <w:r w:rsidRPr="00DD448A">
        <w:rPr>
          <w:rFonts w:ascii="Arial" w:hAnsi="Arial" w:cs="Arial"/>
          <w:kern w:val="1"/>
          <w:sz w:val="22"/>
          <w:szCs w:val="22"/>
        </w:rPr>
        <w:tab/>
        <w:t xml:space="preserve">Lupo MA, Olivo PD, Luffy M, Wolf J, </w:t>
      </w:r>
      <w:proofErr w:type="spellStart"/>
      <w:r w:rsidRPr="00DD448A">
        <w:rPr>
          <w:rFonts w:ascii="Arial" w:hAnsi="Arial" w:cs="Arial"/>
          <w:kern w:val="1"/>
          <w:sz w:val="22"/>
          <w:szCs w:val="22"/>
        </w:rPr>
        <w:t>Kahaly</w:t>
      </w:r>
      <w:proofErr w:type="spellEnd"/>
      <w:r w:rsidRPr="00DD448A">
        <w:rPr>
          <w:rFonts w:ascii="Arial" w:hAnsi="Arial" w:cs="Arial"/>
          <w:kern w:val="1"/>
          <w:sz w:val="22"/>
          <w:szCs w:val="22"/>
        </w:rPr>
        <w:t xml:space="preserve"> GJ. US-based, Prospective, Blinded Study of Thyrotropin Receptor Antibody in Autoimmune Thyroid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7C2C472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w:t>
      </w:r>
      <w:r w:rsidRPr="00DD448A">
        <w:rPr>
          <w:rFonts w:ascii="Arial" w:hAnsi="Arial" w:cs="Arial"/>
          <w:kern w:val="1"/>
          <w:sz w:val="22"/>
          <w:szCs w:val="22"/>
        </w:rPr>
        <w:tab/>
        <w:t>Jensen EA, Petersen PH, Blaabjerg O, Hansen PS, Brix TH, Hegedüs L. Establishment of reference distributions and decision values for thyroid antibodies against thyroid peroxidase (</w:t>
      </w:r>
      <w:proofErr w:type="spellStart"/>
      <w:r w:rsidRPr="00DD448A">
        <w:rPr>
          <w:rFonts w:ascii="Arial" w:hAnsi="Arial" w:cs="Arial"/>
          <w:kern w:val="1"/>
          <w:sz w:val="22"/>
          <w:szCs w:val="22"/>
        </w:rPr>
        <w:t>TPOAb</w:t>
      </w:r>
      <w:proofErr w:type="spellEnd"/>
      <w:r w:rsidRPr="00DD448A">
        <w:rPr>
          <w:rFonts w:ascii="Arial" w:hAnsi="Arial" w:cs="Arial"/>
          <w:kern w:val="1"/>
          <w:sz w:val="22"/>
          <w:szCs w:val="22"/>
        </w:rPr>
        <w:t>), thyroglobulin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and the thyrotropin receptor (TRAb).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2006;44(8):991-998.</w:t>
      </w:r>
    </w:p>
    <w:p w14:paraId="49B2557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w:t>
      </w:r>
      <w:r w:rsidRPr="00DD448A">
        <w:rPr>
          <w:rFonts w:ascii="Arial" w:hAnsi="Arial" w:cs="Arial"/>
          <w:kern w:val="1"/>
          <w:sz w:val="22"/>
          <w:szCs w:val="22"/>
        </w:rPr>
        <w:tab/>
        <w:t>Spencer CA. Clinical review: Clinical utility of thyroglobulin antibody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measurements for patients with differentiated thyroid cancers (DTC).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2011;96(12):3615-3627.</w:t>
      </w:r>
    </w:p>
    <w:p w14:paraId="5984CBC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w:t>
      </w:r>
      <w:r w:rsidRPr="00DD448A">
        <w:rPr>
          <w:rFonts w:ascii="Arial" w:hAnsi="Arial" w:cs="Arial"/>
          <w:kern w:val="1"/>
          <w:sz w:val="22"/>
          <w:szCs w:val="22"/>
        </w:rPr>
        <w:tab/>
        <w:t xml:space="preserve">Verburg FA, Luster M, </w:t>
      </w:r>
      <w:proofErr w:type="spellStart"/>
      <w:r w:rsidRPr="00DD448A">
        <w:rPr>
          <w:rFonts w:ascii="Arial" w:hAnsi="Arial" w:cs="Arial"/>
          <w:kern w:val="1"/>
          <w:sz w:val="22"/>
          <w:szCs w:val="22"/>
        </w:rPr>
        <w:t>Cupini</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Chiovato</w:t>
      </w:r>
      <w:proofErr w:type="spellEnd"/>
      <w:r w:rsidRPr="00DD448A">
        <w:rPr>
          <w:rFonts w:ascii="Arial" w:hAnsi="Arial" w:cs="Arial"/>
          <w:kern w:val="1"/>
          <w:sz w:val="22"/>
          <w:szCs w:val="22"/>
        </w:rPr>
        <w:t xml:space="preserve"> L, Duntas L, Elisei R, Feldt-Rasmussen U, Rimmele H, </w:t>
      </w:r>
      <w:proofErr w:type="spellStart"/>
      <w:r w:rsidRPr="00DD448A">
        <w:rPr>
          <w:rFonts w:ascii="Arial" w:hAnsi="Arial" w:cs="Arial"/>
          <w:kern w:val="1"/>
          <w:sz w:val="22"/>
          <w:szCs w:val="22"/>
        </w:rPr>
        <w:t>Seregni</w:t>
      </w:r>
      <w:proofErr w:type="spellEnd"/>
      <w:r w:rsidRPr="00DD448A">
        <w:rPr>
          <w:rFonts w:ascii="Arial" w:hAnsi="Arial" w:cs="Arial"/>
          <w:kern w:val="1"/>
          <w:sz w:val="22"/>
          <w:szCs w:val="22"/>
        </w:rPr>
        <w:t xml:space="preserve"> E, Smit JW, Theimer C,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Implications of thyroglobulin antibody positivity in patients with differentiated thyroid cancer: a clinical position statement.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2013;23(10):1211-1225.</w:t>
      </w:r>
    </w:p>
    <w:p w14:paraId="5689A70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w:t>
      </w:r>
      <w:r w:rsidRPr="00DD448A">
        <w:rPr>
          <w:rFonts w:ascii="Arial" w:hAnsi="Arial" w:cs="Arial"/>
          <w:kern w:val="1"/>
          <w:sz w:val="22"/>
          <w:szCs w:val="22"/>
        </w:rPr>
        <w:tab/>
        <w:t>Netzel BC, Grebe SK, Carranza Leon BG, Castro MR, Clark PM, Hoofnagle AN, Spencer CA, Turcu AF, Algeciras-</w:t>
      </w:r>
      <w:proofErr w:type="spellStart"/>
      <w:r w:rsidRPr="00DD448A">
        <w:rPr>
          <w:rFonts w:ascii="Arial" w:hAnsi="Arial" w:cs="Arial"/>
          <w:kern w:val="1"/>
          <w:sz w:val="22"/>
          <w:szCs w:val="22"/>
        </w:rPr>
        <w:t>Schimnich</w:t>
      </w:r>
      <w:proofErr w:type="spellEnd"/>
      <w:r w:rsidRPr="00DD448A">
        <w:rPr>
          <w:rFonts w:ascii="Arial" w:hAnsi="Arial" w:cs="Arial"/>
          <w:kern w:val="1"/>
          <w:sz w:val="22"/>
          <w:szCs w:val="22"/>
        </w:rPr>
        <w:t xml:space="preserve"> A. Thyroglobulin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Testing Revisited: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Assays,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Assays, and Correlation of Results With Clinical Outcomes.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2015;100(8):E1074-1083.</w:t>
      </w:r>
    </w:p>
    <w:p w14:paraId="79DA3B7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w:t>
      </w:r>
      <w:r w:rsidRPr="00DD448A">
        <w:rPr>
          <w:rFonts w:ascii="Arial" w:hAnsi="Arial" w:cs="Arial"/>
          <w:kern w:val="1"/>
          <w:sz w:val="22"/>
          <w:szCs w:val="22"/>
        </w:rPr>
        <w:tab/>
        <w:t xml:space="preserve">Schussler GC. The thyroxine-binding proteins.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2000;10(2):141-149.</w:t>
      </w:r>
    </w:p>
    <w:p w14:paraId="442848B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w:t>
      </w:r>
      <w:r w:rsidRPr="00DD448A">
        <w:rPr>
          <w:rFonts w:ascii="Arial" w:hAnsi="Arial" w:cs="Arial"/>
          <w:kern w:val="1"/>
          <w:sz w:val="22"/>
          <w:szCs w:val="22"/>
        </w:rPr>
        <w:tab/>
        <w:t xml:space="preserve">Pappa T, Ferrara AM, </w:t>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Inherited defects of thyroxine-binding proteins.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2015;29(5):735-747.</w:t>
      </w:r>
    </w:p>
    <w:p w14:paraId="587A00A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w:t>
      </w:r>
      <w:r w:rsidRPr="00DD448A">
        <w:rPr>
          <w:rFonts w:ascii="Arial" w:hAnsi="Arial" w:cs="Arial"/>
          <w:kern w:val="1"/>
          <w:sz w:val="22"/>
          <w:szCs w:val="22"/>
        </w:rPr>
        <w:tab/>
        <w:t xml:space="preserve">L </w:t>
      </w:r>
      <w:proofErr w:type="spellStart"/>
      <w:r w:rsidRPr="00DD448A">
        <w:rPr>
          <w:rFonts w:ascii="Arial" w:hAnsi="Arial" w:cs="Arial"/>
          <w:kern w:val="1"/>
          <w:sz w:val="22"/>
          <w:szCs w:val="22"/>
        </w:rPr>
        <w:t>Bartalena</w:t>
      </w:r>
      <w:proofErr w:type="spellEnd"/>
      <w:r w:rsidRPr="00DD448A">
        <w:rPr>
          <w:rFonts w:ascii="Arial" w:hAnsi="Arial" w:cs="Arial"/>
          <w:kern w:val="1"/>
          <w:sz w:val="22"/>
          <w:szCs w:val="22"/>
        </w:rPr>
        <w:t xml:space="preserve">, D Gallo, E Piantanida. Serum thyroid hormone-binding proteins. </w:t>
      </w:r>
      <w:r w:rsidRPr="00DD448A">
        <w:rPr>
          <w:rFonts w:ascii="Arial" w:hAnsi="Arial" w:cs="Arial"/>
          <w:iCs/>
          <w:kern w:val="1"/>
          <w:sz w:val="22"/>
          <w:szCs w:val="22"/>
        </w:rPr>
        <w:t>In: Encyclopedia of Endocrine Diseases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2024:442-447.</w:t>
      </w:r>
    </w:p>
    <w:p w14:paraId="5B76CEC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Van </w:t>
      </w:r>
      <w:proofErr w:type="spellStart"/>
      <w:r w:rsidRPr="00DD448A">
        <w:rPr>
          <w:rFonts w:ascii="Arial" w:hAnsi="Arial" w:cs="Arial"/>
          <w:kern w:val="1"/>
          <w:sz w:val="22"/>
          <w:szCs w:val="22"/>
        </w:rPr>
        <w:t>Houcke</w:t>
      </w:r>
      <w:proofErr w:type="spellEnd"/>
      <w:r w:rsidRPr="00DD448A">
        <w:rPr>
          <w:rFonts w:ascii="Arial" w:hAnsi="Arial" w:cs="Arial"/>
          <w:kern w:val="1"/>
          <w:sz w:val="22"/>
          <w:szCs w:val="22"/>
        </w:rPr>
        <w:t xml:space="preserve"> S. Standardization activities in the field of thyroid function tests: a status report.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2010;48(11):1577-1583.</w:t>
      </w:r>
    </w:p>
    <w:p w14:paraId="77E8255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w:t>
      </w:r>
      <w:proofErr w:type="spellStart"/>
      <w:r w:rsidRPr="00DD448A">
        <w:rPr>
          <w:rFonts w:ascii="Arial" w:hAnsi="Arial" w:cs="Arial"/>
          <w:kern w:val="1"/>
          <w:sz w:val="22"/>
          <w:szCs w:val="22"/>
        </w:rPr>
        <w:t>Beastall</w:t>
      </w:r>
      <w:proofErr w:type="spellEnd"/>
      <w:r w:rsidRPr="00DD448A">
        <w:rPr>
          <w:rFonts w:ascii="Arial" w:hAnsi="Arial" w:cs="Arial"/>
          <w:kern w:val="1"/>
          <w:sz w:val="22"/>
          <w:szCs w:val="22"/>
        </w:rPr>
        <w:t xml:space="preserve"> G, Faix JD, Ieiri T, Miller WG, Nelson JC, Ronin C, Ross HA, </w:t>
      </w:r>
      <w:proofErr w:type="spellStart"/>
      <w:r w:rsidRPr="00DD448A">
        <w:rPr>
          <w:rFonts w:ascii="Arial" w:hAnsi="Arial" w:cs="Arial"/>
          <w:kern w:val="1"/>
          <w:sz w:val="22"/>
          <w:szCs w:val="22"/>
        </w:rPr>
        <w:t>Thijssen</w:t>
      </w:r>
      <w:proofErr w:type="spellEnd"/>
      <w:r w:rsidRPr="00DD448A">
        <w:rPr>
          <w:rFonts w:ascii="Arial" w:hAnsi="Arial" w:cs="Arial"/>
          <w:kern w:val="1"/>
          <w:sz w:val="22"/>
          <w:szCs w:val="22"/>
        </w:rPr>
        <w:t xml:space="preserve"> JH, Toussaint B. Report of the IFCC Working Group for Standardization of Thyroid Function Tests; part 1: thyroid-stimulating hormone.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2010;56(6):902-911.</w:t>
      </w:r>
    </w:p>
    <w:p w14:paraId="1FECCA5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30.</w:t>
      </w:r>
      <w:r w:rsidRPr="00DD448A">
        <w:rPr>
          <w:rFonts w:ascii="Arial" w:hAnsi="Arial" w:cs="Arial"/>
          <w:kern w:val="1"/>
          <w:sz w:val="22"/>
          <w:szCs w:val="22"/>
        </w:rPr>
        <w:tab/>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Sathasivam A, Wang H, Gu J, Burman KD, Soldin SJ. Total and free thyroxine and triiodothyronine: measurement discrepancies, particularly in inpatients.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2014;47(13-14):1272-1278.</w:t>
      </w:r>
    </w:p>
    <w:p w14:paraId="5A1BB9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w:t>
      </w:r>
      <w:r w:rsidRPr="00DD448A">
        <w:rPr>
          <w:rFonts w:ascii="Arial" w:hAnsi="Arial" w:cs="Arial"/>
          <w:kern w:val="1"/>
          <w:sz w:val="22"/>
          <w:szCs w:val="22"/>
        </w:rPr>
        <w:tab/>
        <w:t xml:space="preserve">Vesper HW, Myers GL, Miller WG. Current practices and challenges in the standardization and harmonization of clinical laboratory tests. </w:t>
      </w:r>
      <w:r w:rsidRPr="00DD448A">
        <w:rPr>
          <w:rFonts w:ascii="Arial" w:hAnsi="Arial" w:cs="Arial"/>
          <w:iCs/>
          <w:kern w:val="1"/>
          <w:sz w:val="22"/>
          <w:szCs w:val="22"/>
        </w:rPr>
        <w:t xml:space="preserve">Am J Clin </w:t>
      </w:r>
      <w:proofErr w:type="spellStart"/>
      <w:r w:rsidRPr="00DD448A">
        <w:rPr>
          <w:rFonts w:ascii="Arial" w:hAnsi="Arial" w:cs="Arial"/>
          <w:iCs/>
          <w:kern w:val="1"/>
          <w:sz w:val="22"/>
          <w:szCs w:val="22"/>
        </w:rPr>
        <w:t>Nutr</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2016;104 Suppl 3(Suppl 3):907s-912s.</w:t>
      </w:r>
    </w:p>
    <w:p w14:paraId="74A5AFE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w:t>
      </w:r>
      <w:r w:rsidRPr="00DD448A">
        <w:rPr>
          <w:rFonts w:ascii="Arial" w:hAnsi="Arial" w:cs="Arial"/>
          <w:kern w:val="1"/>
          <w:sz w:val="22"/>
          <w:szCs w:val="22"/>
        </w:rPr>
        <w:tab/>
        <w:t xml:space="preserve">Ribera A, Zhang L, Ribeiro C, Vazquez N, </w:t>
      </w:r>
      <w:proofErr w:type="spellStart"/>
      <w:r w:rsidRPr="00DD448A">
        <w:rPr>
          <w:rFonts w:ascii="Arial" w:hAnsi="Arial" w:cs="Arial"/>
          <w:kern w:val="1"/>
          <w:sz w:val="22"/>
          <w:szCs w:val="22"/>
        </w:rPr>
        <w:t>Thonkulpitak</w:t>
      </w:r>
      <w:proofErr w:type="spellEnd"/>
      <w:r w:rsidRPr="00DD448A">
        <w:rPr>
          <w:rFonts w:ascii="Arial" w:hAnsi="Arial" w:cs="Arial"/>
          <w:kern w:val="1"/>
          <w:sz w:val="22"/>
          <w:szCs w:val="22"/>
        </w:rPr>
        <w:t xml:space="preserve"> J, Botelho JC, Danilenko U,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Vesper HW. Practical considerations for accurate determination of free thyroxine by equilibrium dialysis. </w:t>
      </w:r>
      <w:r w:rsidRPr="00DD448A">
        <w:rPr>
          <w:rFonts w:ascii="Arial" w:hAnsi="Arial" w:cs="Arial"/>
          <w:iCs/>
          <w:kern w:val="1"/>
          <w:sz w:val="22"/>
          <w:szCs w:val="22"/>
        </w:rPr>
        <w:t xml:space="preserve">J Mass </w:t>
      </w:r>
      <w:proofErr w:type="spellStart"/>
      <w:r w:rsidRPr="00DD448A">
        <w:rPr>
          <w:rFonts w:ascii="Arial" w:hAnsi="Arial" w:cs="Arial"/>
          <w:iCs/>
          <w:kern w:val="1"/>
          <w:sz w:val="22"/>
          <w:szCs w:val="22"/>
        </w:rPr>
        <w:t>Spectrom</w:t>
      </w:r>
      <w:proofErr w:type="spellEnd"/>
      <w:r w:rsidRPr="00DD448A">
        <w:rPr>
          <w:rFonts w:ascii="Arial" w:hAnsi="Arial" w:cs="Arial"/>
          <w:iCs/>
          <w:kern w:val="1"/>
          <w:sz w:val="22"/>
          <w:szCs w:val="22"/>
        </w:rPr>
        <w:t xml:space="preserve"> Adv Clin Lab</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2023;29:9-15.</w:t>
      </w:r>
    </w:p>
    <w:p w14:paraId="13598C2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w:t>
      </w:r>
      <w:r w:rsidRPr="00DD448A">
        <w:rPr>
          <w:rFonts w:ascii="Arial" w:hAnsi="Arial" w:cs="Arial"/>
          <w:kern w:val="1"/>
          <w:sz w:val="22"/>
          <w:szCs w:val="22"/>
        </w:rPr>
        <w:tab/>
        <w:t xml:space="preserve">Cowper B, Lyle AN, Vesper HW,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Burns C. </w:t>
      </w:r>
      <w:proofErr w:type="spellStart"/>
      <w:r w:rsidRPr="00DD448A">
        <w:rPr>
          <w:rFonts w:ascii="Arial" w:hAnsi="Arial" w:cs="Arial"/>
          <w:kern w:val="1"/>
          <w:sz w:val="22"/>
          <w:szCs w:val="22"/>
        </w:rPr>
        <w:t>Standardisation</w:t>
      </w:r>
      <w:proofErr w:type="spellEnd"/>
      <w:r w:rsidRPr="00DD448A">
        <w:rPr>
          <w:rFonts w:ascii="Arial" w:hAnsi="Arial" w:cs="Arial"/>
          <w:kern w:val="1"/>
          <w:sz w:val="22"/>
          <w:szCs w:val="22"/>
        </w:rPr>
        <w:t xml:space="preserve"> and </w:t>
      </w:r>
      <w:proofErr w:type="spellStart"/>
      <w:r w:rsidRPr="00DD448A">
        <w:rPr>
          <w:rFonts w:ascii="Arial" w:hAnsi="Arial" w:cs="Arial"/>
          <w:kern w:val="1"/>
          <w:sz w:val="22"/>
          <w:szCs w:val="22"/>
        </w:rPr>
        <w:t>harmonisation</w:t>
      </w:r>
      <w:proofErr w:type="spellEnd"/>
      <w:r w:rsidRPr="00DD448A">
        <w:rPr>
          <w:rFonts w:ascii="Arial" w:hAnsi="Arial" w:cs="Arial"/>
          <w:kern w:val="1"/>
          <w:sz w:val="22"/>
          <w:szCs w:val="22"/>
        </w:rPr>
        <w:t xml:space="preserve"> of thyroid-stimulating hormone measurements: historical, current, and future perspectives.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2024;62(5):824-829.</w:t>
      </w:r>
    </w:p>
    <w:p w14:paraId="6D61A0C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w:t>
      </w:r>
      <w:proofErr w:type="spellStart"/>
      <w:r w:rsidRPr="00DD448A">
        <w:rPr>
          <w:rFonts w:ascii="Arial" w:hAnsi="Arial" w:cs="Arial"/>
          <w:kern w:val="1"/>
          <w:sz w:val="22"/>
          <w:szCs w:val="22"/>
        </w:rPr>
        <w:t>Beastall</w:t>
      </w:r>
      <w:proofErr w:type="spellEnd"/>
      <w:r w:rsidRPr="00DD448A">
        <w:rPr>
          <w:rFonts w:ascii="Arial" w:hAnsi="Arial" w:cs="Arial"/>
          <w:kern w:val="1"/>
          <w:sz w:val="22"/>
          <w:szCs w:val="22"/>
        </w:rPr>
        <w:t xml:space="preserve"> G, </w:t>
      </w:r>
      <w:proofErr w:type="spellStart"/>
      <w:r w:rsidRPr="00DD448A">
        <w:rPr>
          <w:rFonts w:ascii="Arial" w:hAnsi="Arial" w:cs="Arial"/>
          <w:kern w:val="1"/>
          <w:sz w:val="22"/>
          <w:szCs w:val="22"/>
        </w:rPr>
        <w:t>Christofides</w:t>
      </w:r>
      <w:proofErr w:type="spellEnd"/>
      <w:r w:rsidRPr="00DD448A">
        <w:rPr>
          <w:rFonts w:ascii="Arial" w:hAnsi="Arial" w:cs="Arial"/>
          <w:kern w:val="1"/>
          <w:sz w:val="22"/>
          <w:szCs w:val="22"/>
        </w:rPr>
        <w:t xml:space="preserve"> ND, Faix JD, Ieiri T, </w:t>
      </w:r>
      <w:proofErr w:type="spellStart"/>
      <w:r w:rsidRPr="00DD448A">
        <w:rPr>
          <w:rFonts w:ascii="Arial" w:hAnsi="Arial" w:cs="Arial"/>
          <w:kern w:val="1"/>
          <w:sz w:val="22"/>
          <w:szCs w:val="22"/>
        </w:rPr>
        <w:t>Jarrige</w:t>
      </w:r>
      <w:proofErr w:type="spellEnd"/>
      <w:r w:rsidRPr="00DD448A">
        <w:rPr>
          <w:rFonts w:ascii="Arial" w:hAnsi="Arial" w:cs="Arial"/>
          <w:kern w:val="1"/>
          <w:sz w:val="22"/>
          <w:szCs w:val="22"/>
        </w:rPr>
        <w:t xml:space="preserve"> V, Miller WG, Miller R, Nelson JC, Ronin C, Ross HA, Rottmann M, </w:t>
      </w:r>
      <w:proofErr w:type="spellStart"/>
      <w:r w:rsidRPr="00DD448A">
        <w:rPr>
          <w:rFonts w:ascii="Arial" w:hAnsi="Arial" w:cs="Arial"/>
          <w:kern w:val="1"/>
          <w:sz w:val="22"/>
          <w:szCs w:val="22"/>
        </w:rPr>
        <w:t>Thijssen</w:t>
      </w:r>
      <w:proofErr w:type="spellEnd"/>
      <w:r w:rsidRPr="00DD448A">
        <w:rPr>
          <w:rFonts w:ascii="Arial" w:hAnsi="Arial" w:cs="Arial"/>
          <w:kern w:val="1"/>
          <w:sz w:val="22"/>
          <w:szCs w:val="22"/>
        </w:rPr>
        <w:t xml:space="preserve"> JH, Toussaint B. Proposal of a candidate international conventional reference measurement procedure for free thyroxine in serum.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2007;45(7):934-936.</w:t>
      </w:r>
    </w:p>
    <w:p w14:paraId="55620DD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w:t>
      </w:r>
      <w:r w:rsidRPr="00DD448A">
        <w:rPr>
          <w:rFonts w:ascii="Arial" w:hAnsi="Arial" w:cs="Arial"/>
          <w:kern w:val="1"/>
          <w:sz w:val="22"/>
          <w:szCs w:val="22"/>
        </w:rPr>
        <w:tab/>
        <w:t xml:space="preserve">Van </w:t>
      </w:r>
      <w:proofErr w:type="spellStart"/>
      <w:r w:rsidRPr="00DD448A">
        <w:rPr>
          <w:rFonts w:ascii="Arial" w:hAnsi="Arial" w:cs="Arial"/>
          <w:kern w:val="1"/>
          <w:sz w:val="22"/>
          <w:szCs w:val="22"/>
        </w:rPr>
        <w:t>Houcke</w:t>
      </w:r>
      <w:proofErr w:type="spellEnd"/>
      <w:r w:rsidRPr="00DD448A">
        <w:rPr>
          <w:rFonts w:ascii="Arial" w:hAnsi="Arial" w:cs="Arial"/>
          <w:kern w:val="1"/>
          <w:sz w:val="22"/>
          <w:szCs w:val="22"/>
        </w:rPr>
        <w:t xml:space="preserve"> SK,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Shimizu E, Tani W, Umemoto M,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IFCC international conventional reference procedure for the measurement of free thyroxine in serum: International Federation of Clinical Chemistry and Laboratory Medicine (IFCC) Working Group for Standardization of Thyroid Function Tests (WG-STFT)(1).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2011;49(8):1275-1281.</w:t>
      </w:r>
    </w:p>
    <w:p w14:paraId="2DB9F49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w:t>
      </w:r>
      <w:r w:rsidRPr="00DD448A">
        <w:rPr>
          <w:rFonts w:ascii="Arial" w:hAnsi="Arial" w:cs="Arial"/>
          <w:kern w:val="1"/>
          <w:sz w:val="22"/>
          <w:szCs w:val="22"/>
        </w:rPr>
        <w:tab/>
        <w:t xml:space="preserve">Jansen HI, van der Steen R, Brandt A, </w:t>
      </w:r>
      <w:proofErr w:type="spellStart"/>
      <w:r w:rsidRPr="00DD448A">
        <w:rPr>
          <w:rFonts w:ascii="Arial" w:hAnsi="Arial" w:cs="Arial"/>
          <w:kern w:val="1"/>
          <w:sz w:val="22"/>
          <w:szCs w:val="22"/>
        </w:rPr>
        <w:t>Olthaar</w:t>
      </w:r>
      <w:proofErr w:type="spellEnd"/>
      <w:r w:rsidRPr="00DD448A">
        <w:rPr>
          <w:rFonts w:ascii="Arial" w:hAnsi="Arial" w:cs="Arial"/>
          <w:kern w:val="1"/>
          <w:sz w:val="22"/>
          <w:szCs w:val="22"/>
        </w:rPr>
        <w:t xml:space="preserve"> AJ, Vesper HW, Shimizu E, </w:t>
      </w:r>
      <w:proofErr w:type="spellStart"/>
      <w:r w:rsidRPr="00DD448A">
        <w:rPr>
          <w:rFonts w:ascii="Arial" w:hAnsi="Arial" w:cs="Arial"/>
          <w:kern w:val="1"/>
          <w:sz w:val="22"/>
          <w:szCs w:val="22"/>
        </w:rPr>
        <w:t>Heijboer</w:t>
      </w:r>
      <w:proofErr w:type="spellEnd"/>
      <w:r w:rsidRPr="00DD448A">
        <w:rPr>
          <w:rFonts w:ascii="Arial" w:hAnsi="Arial" w:cs="Arial"/>
          <w:kern w:val="1"/>
          <w:sz w:val="22"/>
          <w:szCs w:val="22"/>
        </w:rPr>
        <w:t xml:space="preserve"> AC,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van </w:t>
      </w:r>
      <w:proofErr w:type="spellStart"/>
      <w:r w:rsidRPr="00DD448A">
        <w:rPr>
          <w:rFonts w:ascii="Arial" w:hAnsi="Arial" w:cs="Arial"/>
          <w:kern w:val="1"/>
          <w:sz w:val="22"/>
          <w:szCs w:val="22"/>
        </w:rPr>
        <w:t>Herwaarden</w:t>
      </w:r>
      <w:proofErr w:type="spellEnd"/>
      <w:r w:rsidRPr="00DD448A">
        <w:rPr>
          <w:rFonts w:ascii="Arial" w:hAnsi="Arial" w:cs="Arial"/>
          <w:kern w:val="1"/>
          <w:sz w:val="22"/>
          <w:szCs w:val="22"/>
        </w:rPr>
        <w:t xml:space="preserve"> AE. Description and validation of an equilibrium dialysis ID-LC-MS/MS candidate reference measurement procedure for free thyroxine in human serum.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2023;61(9):1605-1611.</w:t>
      </w:r>
    </w:p>
    <w:p w14:paraId="51E9AFA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w:t>
      </w:r>
      <w:r w:rsidRPr="00DD448A">
        <w:rPr>
          <w:rFonts w:ascii="Arial" w:hAnsi="Arial" w:cs="Arial"/>
          <w:kern w:val="1"/>
          <w:sz w:val="22"/>
          <w:szCs w:val="22"/>
        </w:rPr>
        <w:tab/>
        <w:t xml:space="preserve">Hoofnagle AN, Becker JO, Wener MH, Heinecke JW. Quantification of thyroglobulin, a low-abundance serum protein, by immunoaffinity peptide enrichment and tandem mass spectrometry.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2008;54(11):1796-1804.</w:t>
      </w:r>
    </w:p>
    <w:p w14:paraId="0D058A1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w:t>
      </w:r>
      <w:r w:rsidRPr="00DD448A">
        <w:rPr>
          <w:rFonts w:ascii="Arial" w:hAnsi="Arial" w:cs="Arial"/>
          <w:kern w:val="1"/>
          <w:sz w:val="22"/>
          <w:szCs w:val="22"/>
        </w:rPr>
        <w:tab/>
        <w:t xml:space="preserve">Hoofnagle AN, Roth MY. Clinical review: improving the measurement of serum thyroglobulin with mass spectrometry.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2013;98(4):1343-1352.</w:t>
      </w:r>
    </w:p>
    <w:p w14:paraId="288F7311" w14:textId="4D302579"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w:t>
      </w:r>
      <w:r w:rsidRPr="00DD448A">
        <w:rPr>
          <w:rFonts w:ascii="Arial" w:hAnsi="Arial" w:cs="Arial"/>
          <w:kern w:val="1"/>
          <w:sz w:val="22"/>
          <w:szCs w:val="22"/>
        </w:rPr>
        <w:tab/>
        <w:t xml:space="preserve">Clarke NJ, Zhang Y, Reitz RE. A novel mass spectrometry-based assay for the accurate measurement of thyroglobulin from patient samples containing antithyroglobulin autoantibodies. Journal of </w:t>
      </w:r>
      <w:r w:rsidR="008D0218" w:rsidRPr="00DD448A">
        <w:rPr>
          <w:rFonts w:ascii="Arial" w:hAnsi="Arial" w:cs="Arial"/>
          <w:kern w:val="1"/>
          <w:sz w:val="22"/>
          <w:szCs w:val="22"/>
        </w:rPr>
        <w:t>I</w:t>
      </w:r>
      <w:r w:rsidRPr="00DD448A">
        <w:rPr>
          <w:rFonts w:ascii="Arial" w:hAnsi="Arial" w:cs="Arial"/>
          <w:kern w:val="1"/>
          <w:sz w:val="22"/>
          <w:szCs w:val="22"/>
        </w:rPr>
        <w:t xml:space="preserve">nvestigative </w:t>
      </w:r>
      <w:r w:rsidR="008D0218" w:rsidRPr="00DD448A">
        <w:rPr>
          <w:rFonts w:ascii="Arial" w:hAnsi="Arial" w:cs="Arial"/>
          <w:kern w:val="1"/>
          <w:sz w:val="22"/>
          <w:szCs w:val="22"/>
        </w:rPr>
        <w:t>M</w:t>
      </w:r>
      <w:r w:rsidRPr="00DD448A">
        <w:rPr>
          <w:rFonts w:ascii="Arial" w:hAnsi="Arial" w:cs="Arial"/>
          <w:kern w:val="1"/>
          <w:sz w:val="22"/>
          <w:szCs w:val="22"/>
        </w:rPr>
        <w:t>edicine: the official publication of the American Federation for Clinical Research.</w:t>
      </w:r>
      <w:r w:rsidRPr="00DD448A">
        <w:rPr>
          <w:rFonts w:ascii="Arial" w:hAnsi="Arial" w:cs="Arial"/>
          <w:iCs/>
          <w:kern w:val="1"/>
          <w:sz w:val="22"/>
          <w:szCs w:val="22"/>
        </w:rPr>
        <w:t xml:space="preserve"> </w:t>
      </w:r>
      <w:r w:rsidRPr="00DD448A">
        <w:rPr>
          <w:rFonts w:ascii="Arial" w:hAnsi="Arial" w:cs="Arial"/>
          <w:kern w:val="1"/>
          <w:sz w:val="22"/>
          <w:szCs w:val="22"/>
        </w:rPr>
        <w:t>2012;60(8):1157-1163.</w:t>
      </w:r>
    </w:p>
    <w:p w14:paraId="223E1D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w:t>
      </w:r>
      <w:r w:rsidRPr="00DD448A">
        <w:rPr>
          <w:rFonts w:ascii="Arial" w:hAnsi="Arial" w:cs="Arial"/>
          <w:kern w:val="1"/>
          <w:sz w:val="22"/>
          <w:szCs w:val="22"/>
        </w:rPr>
        <w:tab/>
        <w:t xml:space="preserve">Kushnir MM, Rockwood AL, Roberts WL, Abraham D, Hoofnagle AN, Meikle AW. Measurement of thyroglobulin by liquid chromatography-tandem mass spectrometry in serum and plasma in the presence of antithyroglobulin autoantibodies.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2013;59(6):982-990.</w:t>
      </w:r>
    </w:p>
    <w:p w14:paraId="43FBDF0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w:t>
      </w:r>
      <w:r w:rsidRPr="00DD448A">
        <w:rPr>
          <w:rFonts w:ascii="Arial" w:hAnsi="Arial" w:cs="Arial"/>
          <w:kern w:val="1"/>
          <w:sz w:val="22"/>
          <w:szCs w:val="22"/>
        </w:rPr>
        <w:tab/>
        <w:t xml:space="preserve">Netzel BC, Grant RP, Hoofnagle AN, Rockwood AL, Shuford CM, Grebe SK. First Steps toward Harmonization of LC-MS/MS Thyroglobulin Assays.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2016;62(1):297-299.</w:t>
      </w:r>
    </w:p>
    <w:p w14:paraId="30A7CFC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w:t>
      </w:r>
      <w:r w:rsidRPr="00DD448A">
        <w:rPr>
          <w:rFonts w:ascii="Arial" w:hAnsi="Arial" w:cs="Arial"/>
          <w:kern w:val="1"/>
          <w:sz w:val="22"/>
          <w:szCs w:val="22"/>
        </w:rPr>
        <w:tab/>
        <w:t xml:space="preserve">Shuford CM, Walters JJ, Holland PM, Sreenivasan U, Askari N, Ray K, Grant RP. Absolute Protein Quantification by Mass Spectrometry: Not as Simple as Advertised. </w:t>
      </w:r>
      <w:r w:rsidRPr="00DD448A">
        <w:rPr>
          <w:rFonts w:ascii="Arial" w:hAnsi="Arial" w:cs="Arial"/>
          <w:iCs/>
          <w:kern w:val="1"/>
          <w:sz w:val="22"/>
          <w:szCs w:val="22"/>
        </w:rPr>
        <w:t>Anal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2017;89(14):7406-7415.</w:t>
      </w:r>
    </w:p>
    <w:p w14:paraId="30DA128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43.</w:t>
      </w:r>
      <w:r w:rsidRPr="00DD448A">
        <w:rPr>
          <w:rFonts w:ascii="Arial" w:hAnsi="Arial" w:cs="Arial"/>
          <w:kern w:val="1"/>
          <w:sz w:val="22"/>
          <w:szCs w:val="22"/>
        </w:rPr>
        <w:tab/>
      </w:r>
      <w:proofErr w:type="spellStart"/>
      <w:r w:rsidRPr="00DD448A">
        <w:rPr>
          <w:rFonts w:ascii="Arial" w:hAnsi="Arial" w:cs="Arial"/>
          <w:kern w:val="1"/>
          <w:sz w:val="22"/>
          <w:szCs w:val="22"/>
        </w:rPr>
        <w:t>Barbesino</w:t>
      </w:r>
      <w:proofErr w:type="spellEnd"/>
      <w:r w:rsidRPr="00DD448A">
        <w:rPr>
          <w:rFonts w:ascii="Arial" w:hAnsi="Arial" w:cs="Arial"/>
          <w:kern w:val="1"/>
          <w:sz w:val="22"/>
          <w:szCs w:val="22"/>
        </w:rPr>
        <w:t xml:space="preserve"> G, Algeciras-</w:t>
      </w:r>
      <w:proofErr w:type="spellStart"/>
      <w:r w:rsidRPr="00DD448A">
        <w:rPr>
          <w:rFonts w:ascii="Arial" w:hAnsi="Arial" w:cs="Arial"/>
          <w:kern w:val="1"/>
          <w:sz w:val="22"/>
          <w:szCs w:val="22"/>
        </w:rPr>
        <w:t>Schimnich</w:t>
      </w:r>
      <w:proofErr w:type="spellEnd"/>
      <w:r w:rsidRPr="00DD448A">
        <w:rPr>
          <w:rFonts w:ascii="Arial" w:hAnsi="Arial" w:cs="Arial"/>
          <w:kern w:val="1"/>
          <w:sz w:val="22"/>
          <w:szCs w:val="22"/>
        </w:rPr>
        <w:t xml:space="preserve"> A, Bornhorst J. Thyroglobulin Assay Interferences: Clinical Usefulness of Mass-Spectrometry Methods.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Soc</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2022;7(1):bvac169.</w:t>
      </w:r>
    </w:p>
    <w:p w14:paraId="3904AE3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De </w:t>
      </w:r>
      <w:proofErr w:type="spellStart"/>
      <w:r w:rsidRPr="00DD448A">
        <w:rPr>
          <w:rFonts w:ascii="Arial" w:hAnsi="Arial" w:cs="Arial"/>
          <w:kern w:val="1"/>
          <w:sz w:val="22"/>
          <w:szCs w:val="22"/>
        </w:rPr>
        <w:t>Brabandere</w:t>
      </w:r>
      <w:proofErr w:type="spellEnd"/>
      <w:r w:rsidRPr="00DD448A">
        <w:rPr>
          <w:rFonts w:ascii="Arial" w:hAnsi="Arial" w:cs="Arial"/>
          <w:kern w:val="1"/>
          <w:sz w:val="22"/>
          <w:szCs w:val="22"/>
        </w:rPr>
        <w:t xml:space="preserve"> VI, Stöckl D, De Leenheer AP. Development of a new method for the determination of thyroxine in serum based on isotope dilution gas chromatography mass spectrometry. </w:t>
      </w:r>
      <w:r w:rsidRPr="00DD448A">
        <w:rPr>
          <w:rFonts w:ascii="Arial" w:hAnsi="Arial" w:cs="Arial"/>
          <w:iCs/>
          <w:kern w:val="1"/>
          <w:sz w:val="22"/>
          <w:szCs w:val="22"/>
        </w:rPr>
        <w:t xml:space="preserve">Biol Mass </w:t>
      </w:r>
      <w:proofErr w:type="spellStart"/>
      <w:r w:rsidRPr="00DD448A">
        <w:rPr>
          <w:rFonts w:ascii="Arial" w:hAnsi="Arial" w:cs="Arial"/>
          <w:iCs/>
          <w:kern w:val="1"/>
          <w:sz w:val="22"/>
          <w:szCs w:val="22"/>
        </w:rPr>
        <w:t>Spectrom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1994;23(8):475-482.</w:t>
      </w:r>
    </w:p>
    <w:p w14:paraId="039C352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w:t>
      </w:r>
      <w:r w:rsidRPr="00DD448A">
        <w:rPr>
          <w:rFonts w:ascii="Arial" w:hAnsi="Arial" w:cs="Arial"/>
          <w:kern w:val="1"/>
          <w:sz w:val="22"/>
          <w:szCs w:val="22"/>
        </w:rPr>
        <w:tab/>
        <w:t>Spencer C, Petrovic I, Fatemi S. Current thyroglobulin autoantibody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assays often fail to detect interfering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that can result in the reporting of falsely low/undetectable serum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IMA values for patients with differentiated thyroid cancer.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2011;96(5):1283-1291.</w:t>
      </w:r>
    </w:p>
    <w:p w14:paraId="1AB08D8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w:t>
      </w:r>
      <w:r w:rsidRPr="00DD448A">
        <w:rPr>
          <w:rFonts w:ascii="Arial" w:hAnsi="Arial" w:cs="Arial"/>
          <w:kern w:val="1"/>
          <w:sz w:val="22"/>
          <w:szCs w:val="22"/>
        </w:rPr>
        <w:tab/>
        <w:t xml:space="preserve">Westbye AB, Aas FE, Dahl SR, Zykova SN, Kelp O, </w:t>
      </w:r>
      <w:proofErr w:type="spellStart"/>
      <w:r w:rsidRPr="00DD448A">
        <w:rPr>
          <w:rFonts w:ascii="Arial" w:hAnsi="Arial" w:cs="Arial"/>
          <w:kern w:val="1"/>
          <w:sz w:val="22"/>
          <w:szCs w:val="22"/>
        </w:rPr>
        <w:t>Dahll</w:t>
      </w:r>
      <w:proofErr w:type="spellEnd"/>
      <w:r w:rsidRPr="00DD448A">
        <w:rPr>
          <w:rFonts w:ascii="Arial" w:hAnsi="Arial" w:cs="Arial"/>
          <w:kern w:val="1"/>
          <w:sz w:val="22"/>
          <w:szCs w:val="22"/>
        </w:rPr>
        <w:t xml:space="preserve"> LK, Thorsby PM. Large method differences for free thyroid hormone assays in the hyperthyroid range can affect assessment of hyperthyroid status: Comparison of Abbott </w:t>
      </w:r>
      <w:proofErr w:type="spellStart"/>
      <w:r w:rsidRPr="00DD448A">
        <w:rPr>
          <w:rFonts w:ascii="Arial" w:hAnsi="Arial" w:cs="Arial"/>
          <w:kern w:val="1"/>
          <w:sz w:val="22"/>
          <w:szCs w:val="22"/>
        </w:rPr>
        <w:t>Alinity</w:t>
      </w:r>
      <w:proofErr w:type="spellEnd"/>
      <w:r w:rsidRPr="00DD448A">
        <w:rPr>
          <w:rFonts w:ascii="Arial" w:hAnsi="Arial" w:cs="Arial"/>
          <w:kern w:val="1"/>
          <w:sz w:val="22"/>
          <w:szCs w:val="22"/>
        </w:rPr>
        <w:t xml:space="preserve"> to Roche Cobas, Siemens Centaur and equilibrium dialysis LC-MS/MS.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2023;121-122:110676.</w:t>
      </w:r>
    </w:p>
    <w:p w14:paraId="02319AB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w:t>
      </w:r>
      <w:r w:rsidRPr="00DD448A">
        <w:rPr>
          <w:rFonts w:ascii="Arial" w:hAnsi="Arial" w:cs="Arial"/>
          <w:kern w:val="1"/>
          <w:sz w:val="22"/>
          <w:szCs w:val="22"/>
        </w:rPr>
        <w:tab/>
        <w:t xml:space="preserve">Stagnaro-Green A, </w:t>
      </w:r>
      <w:proofErr w:type="spellStart"/>
      <w:r w:rsidRPr="00DD448A">
        <w:rPr>
          <w:rFonts w:ascii="Arial" w:hAnsi="Arial" w:cs="Arial"/>
          <w:kern w:val="1"/>
          <w:sz w:val="22"/>
          <w:szCs w:val="22"/>
        </w:rPr>
        <w:t>Abalovich</w:t>
      </w:r>
      <w:proofErr w:type="spellEnd"/>
      <w:r w:rsidRPr="00DD448A">
        <w:rPr>
          <w:rFonts w:ascii="Arial" w:hAnsi="Arial" w:cs="Arial"/>
          <w:kern w:val="1"/>
          <w:sz w:val="22"/>
          <w:szCs w:val="22"/>
        </w:rPr>
        <w:t xml:space="preserve"> M, Alexander E, Azizi F, </w:t>
      </w:r>
      <w:proofErr w:type="spellStart"/>
      <w:r w:rsidRPr="00DD448A">
        <w:rPr>
          <w:rFonts w:ascii="Arial" w:hAnsi="Arial" w:cs="Arial"/>
          <w:kern w:val="1"/>
          <w:sz w:val="22"/>
          <w:szCs w:val="22"/>
        </w:rPr>
        <w:t>Mestman</w:t>
      </w:r>
      <w:proofErr w:type="spellEnd"/>
      <w:r w:rsidRPr="00DD448A">
        <w:rPr>
          <w:rFonts w:ascii="Arial" w:hAnsi="Arial" w:cs="Arial"/>
          <w:kern w:val="1"/>
          <w:sz w:val="22"/>
          <w:szCs w:val="22"/>
        </w:rPr>
        <w:t xml:space="preserve"> J, Negro R, Nixon A, Pearce EN, Soldin OP, Sullivan S, </w:t>
      </w:r>
      <w:proofErr w:type="spellStart"/>
      <w:r w:rsidRPr="00DD448A">
        <w:rPr>
          <w:rFonts w:ascii="Arial" w:hAnsi="Arial" w:cs="Arial"/>
          <w:kern w:val="1"/>
          <w:sz w:val="22"/>
          <w:szCs w:val="22"/>
        </w:rPr>
        <w:t>Wiersinga</w:t>
      </w:r>
      <w:proofErr w:type="spellEnd"/>
      <w:r w:rsidRPr="00DD448A">
        <w:rPr>
          <w:rFonts w:ascii="Arial" w:hAnsi="Arial" w:cs="Arial"/>
          <w:kern w:val="1"/>
          <w:sz w:val="22"/>
          <w:szCs w:val="22"/>
        </w:rPr>
        <w:t xml:space="preserve"> W. Guidelines of the American Thyroid Association for the diagnosis and management of thyroid disease during pregnancy and postpartum.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2011;21(10):1081-1125.</w:t>
      </w:r>
    </w:p>
    <w:p w14:paraId="4409BDF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w:t>
      </w:r>
      <w:r w:rsidRPr="00DD448A">
        <w:rPr>
          <w:rFonts w:ascii="Arial" w:hAnsi="Arial" w:cs="Arial"/>
          <w:kern w:val="1"/>
          <w:sz w:val="22"/>
          <w:szCs w:val="22"/>
        </w:rPr>
        <w:tab/>
        <w:t xml:space="preserve">Alexander EK, Pearce EN, Brent GA, Brown RS, Chen H, </w:t>
      </w:r>
      <w:proofErr w:type="spellStart"/>
      <w:r w:rsidRPr="00DD448A">
        <w:rPr>
          <w:rFonts w:ascii="Arial" w:hAnsi="Arial" w:cs="Arial"/>
          <w:kern w:val="1"/>
          <w:sz w:val="22"/>
          <w:szCs w:val="22"/>
        </w:rPr>
        <w:t>Dosiou</w:t>
      </w:r>
      <w:proofErr w:type="spellEnd"/>
      <w:r w:rsidRPr="00DD448A">
        <w:rPr>
          <w:rFonts w:ascii="Arial" w:hAnsi="Arial" w:cs="Arial"/>
          <w:kern w:val="1"/>
          <w:sz w:val="22"/>
          <w:szCs w:val="22"/>
        </w:rPr>
        <w:t xml:space="preserve"> C, Grobman WA, Laurberg P, Lazarus JH, Mandel SJ, Peeters RP, Sullivan S. 2017 Guidelines of the American Thyroid Association for the Diagnosis and Management of Thyroid Disease During Pregnancy and the Postpartum.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2017;27(3):315-389.</w:t>
      </w:r>
    </w:p>
    <w:p w14:paraId="44CA8CB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w:t>
      </w:r>
      <w:r w:rsidRPr="00DD448A">
        <w:rPr>
          <w:rFonts w:ascii="Arial" w:hAnsi="Arial" w:cs="Arial"/>
          <w:kern w:val="1"/>
          <w:sz w:val="22"/>
          <w:szCs w:val="22"/>
        </w:rPr>
        <w:tab/>
        <w:t xml:space="preserve">Garber JR, Cobin RH, Gharib H, Hennessey JV, Klein I, </w:t>
      </w:r>
      <w:proofErr w:type="spellStart"/>
      <w:r w:rsidRPr="00DD448A">
        <w:rPr>
          <w:rFonts w:ascii="Arial" w:hAnsi="Arial" w:cs="Arial"/>
          <w:kern w:val="1"/>
          <w:sz w:val="22"/>
          <w:szCs w:val="22"/>
        </w:rPr>
        <w:t>Mechanick</w:t>
      </w:r>
      <w:proofErr w:type="spellEnd"/>
      <w:r w:rsidRPr="00DD448A">
        <w:rPr>
          <w:rFonts w:ascii="Arial" w:hAnsi="Arial" w:cs="Arial"/>
          <w:kern w:val="1"/>
          <w:sz w:val="22"/>
          <w:szCs w:val="22"/>
        </w:rPr>
        <w:t xml:space="preserve"> JI, </w:t>
      </w:r>
      <w:proofErr w:type="spellStart"/>
      <w:r w:rsidRPr="00DD448A">
        <w:rPr>
          <w:rFonts w:ascii="Arial" w:hAnsi="Arial" w:cs="Arial"/>
          <w:kern w:val="1"/>
          <w:sz w:val="22"/>
          <w:szCs w:val="22"/>
        </w:rPr>
        <w:t>Pessah</w:t>
      </w:r>
      <w:proofErr w:type="spellEnd"/>
      <w:r w:rsidRPr="00DD448A">
        <w:rPr>
          <w:rFonts w:ascii="Arial" w:hAnsi="Arial" w:cs="Arial"/>
          <w:kern w:val="1"/>
          <w:sz w:val="22"/>
          <w:szCs w:val="22"/>
        </w:rPr>
        <w:t xml:space="preserve">-Pollack R, Singer PA, Woeber KA. Clinical practice guidelines for hypothyroidism in adults: cosponsored by the American Association of Clinical Endocrinologists and the American Thyroid Association.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2012;22(12):1200-1235.</w:t>
      </w:r>
    </w:p>
    <w:p w14:paraId="2986533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w:t>
      </w:r>
      <w:r w:rsidRPr="00DD448A">
        <w:rPr>
          <w:rFonts w:ascii="Arial" w:hAnsi="Arial" w:cs="Arial"/>
          <w:kern w:val="1"/>
          <w:sz w:val="22"/>
          <w:szCs w:val="22"/>
        </w:rPr>
        <w:tab/>
        <w:t xml:space="preserve">Pearce SH, Brabant G, Duntas LH, </w:t>
      </w:r>
      <w:proofErr w:type="spellStart"/>
      <w:r w:rsidRPr="00DD448A">
        <w:rPr>
          <w:rFonts w:ascii="Arial" w:hAnsi="Arial" w:cs="Arial"/>
          <w:kern w:val="1"/>
          <w:sz w:val="22"/>
          <w:szCs w:val="22"/>
        </w:rPr>
        <w:t>Monzani</w:t>
      </w:r>
      <w:proofErr w:type="spellEnd"/>
      <w:r w:rsidRPr="00DD448A">
        <w:rPr>
          <w:rFonts w:ascii="Arial" w:hAnsi="Arial" w:cs="Arial"/>
          <w:kern w:val="1"/>
          <w:sz w:val="22"/>
          <w:szCs w:val="22"/>
        </w:rPr>
        <w:t xml:space="preserve"> F, Peeters RP, Razvi S, </w:t>
      </w:r>
      <w:proofErr w:type="spellStart"/>
      <w:r w:rsidRPr="00DD448A">
        <w:rPr>
          <w:rFonts w:ascii="Arial" w:hAnsi="Arial" w:cs="Arial"/>
          <w:kern w:val="1"/>
          <w:sz w:val="22"/>
          <w:szCs w:val="22"/>
        </w:rPr>
        <w:t>Wemeau</w:t>
      </w:r>
      <w:proofErr w:type="spellEnd"/>
      <w:r w:rsidRPr="00DD448A">
        <w:rPr>
          <w:rFonts w:ascii="Arial" w:hAnsi="Arial" w:cs="Arial"/>
          <w:kern w:val="1"/>
          <w:sz w:val="22"/>
          <w:szCs w:val="22"/>
        </w:rPr>
        <w:t xml:space="preserve"> JL. 2013 ETA Guideline: Management of Subclinical Hypothyroidism.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2013;2(4):215-228.</w:t>
      </w:r>
    </w:p>
    <w:p w14:paraId="2132C73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w:t>
      </w:r>
      <w:r w:rsidRPr="00DD448A">
        <w:rPr>
          <w:rFonts w:ascii="Arial" w:hAnsi="Arial" w:cs="Arial"/>
          <w:kern w:val="1"/>
          <w:sz w:val="22"/>
          <w:szCs w:val="22"/>
        </w:rPr>
        <w:tab/>
        <w:t xml:space="preserve">Lazarus J, Brown RS, </w:t>
      </w:r>
      <w:proofErr w:type="spellStart"/>
      <w:r w:rsidRPr="00DD448A">
        <w:rPr>
          <w:rFonts w:ascii="Arial" w:hAnsi="Arial" w:cs="Arial"/>
          <w:kern w:val="1"/>
          <w:sz w:val="22"/>
          <w:szCs w:val="22"/>
        </w:rPr>
        <w:t>Daumerie</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Hubalewska-Dydejczyk</w:t>
      </w:r>
      <w:proofErr w:type="spellEnd"/>
      <w:r w:rsidRPr="00DD448A">
        <w:rPr>
          <w:rFonts w:ascii="Arial" w:hAnsi="Arial" w:cs="Arial"/>
          <w:kern w:val="1"/>
          <w:sz w:val="22"/>
          <w:szCs w:val="22"/>
        </w:rPr>
        <w:t xml:space="preserve"> A, Negro R, Vaidya B. 2014 European thyroid association guidelines for the management of subclinical hypothyroidism in pregnancy and in children.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2014;3(2):76-94.</w:t>
      </w:r>
    </w:p>
    <w:p w14:paraId="34121E5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w:t>
      </w:r>
      <w:r w:rsidRPr="00DD448A">
        <w:rPr>
          <w:rFonts w:ascii="Arial" w:hAnsi="Arial" w:cs="Arial"/>
          <w:kern w:val="1"/>
          <w:sz w:val="22"/>
          <w:szCs w:val="22"/>
        </w:rPr>
        <w:tab/>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Bianco AC, Bauer AJ, Burman KD, Cappola AR, Celi FS, Cooper DS, Kim BW, Peeters RP, Rosenthal MS, Sawka AM. Guidelines for the treatment of hypothyroidism: prepared by the </w:t>
      </w:r>
      <w:proofErr w:type="spellStart"/>
      <w:r w:rsidRPr="00DD448A">
        <w:rPr>
          <w:rFonts w:ascii="Arial" w:hAnsi="Arial" w:cs="Arial"/>
          <w:kern w:val="1"/>
          <w:sz w:val="22"/>
          <w:szCs w:val="22"/>
        </w:rPr>
        <w:t>american</w:t>
      </w:r>
      <w:proofErr w:type="spellEnd"/>
      <w:r w:rsidRPr="00DD448A">
        <w:rPr>
          <w:rFonts w:ascii="Arial" w:hAnsi="Arial" w:cs="Arial"/>
          <w:kern w:val="1"/>
          <w:sz w:val="22"/>
          <w:szCs w:val="22"/>
        </w:rPr>
        <w:t xml:space="preserve"> thyroid association task force on thyroid hormone replacement.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2014;24(12):1670-1751.</w:t>
      </w:r>
    </w:p>
    <w:p w14:paraId="3623C04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w:t>
      </w:r>
      <w:r w:rsidRPr="00DD448A">
        <w:rPr>
          <w:rFonts w:ascii="Arial" w:hAnsi="Arial" w:cs="Arial"/>
          <w:kern w:val="1"/>
          <w:sz w:val="22"/>
          <w:szCs w:val="22"/>
        </w:rPr>
        <w:tab/>
        <w:t xml:space="preserve">Biondi B, </w:t>
      </w:r>
      <w:proofErr w:type="spellStart"/>
      <w:r w:rsidRPr="00DD448A">
        <w:rPr>
          <w:rFonts w:ascii="Arial" w:hAnsi="Arial" w:cs="Arial"/>
          <w:kern w:val="1"/>
          <w:sz w:val="22"/>
          <w:szCs w:val="22"/>
        </w:rPr>
        <w:t>Bartalena</w:t>
      </w:r>
      <w:proofErr w:type="spellEnd"/>
      <w:r w:rsidRPr="00DD448A">
        <w:rPr>
          <w:rFonts w:ascii="Arial" w:hAnsi="Arial" w:cs="Arial"/>
          <w:kern w:val="1"/>
          <w:sz w:val="22"/>
          <w:szCs w:val="22"/>
        </w:rPr>
        <w:t xml:space="preserve"> L, Cooper DS, Hegedüs L, Laurberg P, </w:t>
      </w:r>
      <w:proofErr w:type="spellStart"/>
      <w:r w:rsidRPr="00DD448A">
        <w:rPr>
          <w:rFonts w:ascii="Arial" w:hAnsi="Arial" w:cs="Arial"/>
          <w:kern w:val="1"/>
          <w:sz w:val="22"/>
          <w:szCs w:val="22"/>
        </w:rPr>
        <w:t>Kahaly</w:t>
      </w:r>
      <w:proofErr w:type="spellEnd"/>
      <w:r w:rsidRPr="00DD448A">
        <w:rPr>
          <w:rFonts w:ascii="Arial" w:hAnsi="Arial" w:cs="Arial"/>
          <w:kern w:val="1"/>
          <w:sz w:val="22"/>
          <w:szCs w:val="22"/>
        </w:rPr>
        <w:t xml:space="preserve"> GJ. The 2015 European Thyroid Association Guidelines on Diagnosis and Treatment of Endogenous Subclinical Hyperthyroidism.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2015;4(3):149-163.</w:t>
      </w:r>
    </w:p>
    <w:p w14:paraId="1493821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w:t>
      </w:r>
      <w:r w:rsidRPr="00DD448A">
        <w:rPr>
          <w:rFonts w:ascii="Arial" w:hAnsi="Arial" w:cs="Arial"/>
          <w:kern w:val="1"/>
          <w:sz w:val="22"/>
          <w:szCs w:val="22"/>
        </w:rPr>
        <w:tab/>
        <w:t xml:space="preserve">Ross DS, Burch HB, Cooper DS, Greenlee MC, Laurberg P, Maia AL, </w:t>
      </w:r>
      <w:proofErr w:type="spellStart"/>
      <w:r w:rsidRPr="00DD448A">
        <w:rPr>
          <w:rFonts w:ascii="Arial" w:hAnsi="Arial" w:cs="Arial"/>
          <w:kern w:val="1"/>
          <w:sz w:val="22"/>
          <w:szCs w:val="22"/>
        </w:rPr>
        <w:t>Rivkees</w:t>
      </w:r>
      <w:proofErr w:type="spellEnd"/>
      <w:r w:rsidRPr="00DD448A">
        <w:rPr>
          <w:rFonts w:ascii="Arial" w:hAnsi="Arial" w:cs="Arial"/>
          <w:kern w:val="1"/>
          <w:sz w:val="22"/>
          <w:szCs w:val="22"/>
        </w:rPr>
        <w:t xml:space="preserve"> SA, Samuels M, Sosa JA, Stan MN, Walter MA. 2016 American Thyroid Association Guidelines for Diagnosis and Management of Hyperthyroidism and Other Causes of Thyrotoxicosis.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2016;26(10):1343-1421.</w:t>
      </w:r>
    </w:p>
    <w:p w14:paraId="79F26539" w14:textId="433CF39F"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55.</w:t>
      </w:r>
      <w:r w:rsidRPr="00DD448A">
        <w:rPr>
          <w:rFonts w:ascii="Arial" w:hAnsi="Arial" w:cs="Arial"/>
          <w:kern w:val="1"/>
          <w:sz w:val="22"/>
          <w:szCs w:val="22"/>
        </w:rPr>
        <w:tab/>
        <w:t xml:space="preserve">Gharib H, Papini E, Garber JR, </w:t>
      </w:r>
      <w:proofErr w:type="spellStart"/>
      <w:r w:rsidRPr="00DD448A">
        <w:rPr>
          <w:rFonts w:ascii="Arial" w:hAnsi="Arial" w:cs="Arial"/>
          <w:kern w:val="1"/>
          <w:sz w:val="22"/>
          <w:szCs w:val="22"/>
        </w:rPr>
        <w:t>Duick</w:t>
      </w:r>
      <w:proofErr w:type="spellEnd"/>
      <w:r w:rsidRPr="00DD448A">
        <w:rPr>
          <w:rFonts w:ascii="Arial" w:hAnsi="Arial" w:cs="Arial"/>
          <w:kern w:val="1"/>
          <w:sz w:val="22"/>
          <w:szCs w:val="22"/>
        </w:rPr>
        <w:t xml:space="preserve"> DS, Harrell RM, Hegedüs L, Paschke R, </w:t>
      </w:r>
      <w:proofErr w:type="spellStart"/>
      <w:r w:rsidRPr="00DD448A">
        <w:rPr>
          <w:rFonts w:ascii="Arial" w:hAnsi="Arial" w:cs="Arial"/>
          <w:kern w:val="1"/>
          <w:sz w:val="22"/>
          <w:szCs w:val="22"/>
        </w:rPr>
        <w:t>Valcavi</w:t>
      </w:r>
      <w:proofErr w:type="spellEnd"/>
      <w:r w:rsidRPr="00DD448A">
        <w:rPr>
          <w:rFonts w:ascii="Arial" w:hAnsi="Arial" w:cs="Arial"/>
          <w:kern w:val="1"/>
          <w:sz w:val="22"/>
          <w:szCs w:val="22"/>
        </w:rPr>
        <w:t xml:space="preserve"> R, Vitti P. M</w:t>
      </w:r>
      <w:r w:rsidR="008D0218" w:rsidRPr="00DD448A">
        <w:rPr>
          <w:rFonts w:ascii="Arial" w:hAnsi="Arial" w:cs="Arial"/>
          <w:kern w:val="1"/>
          <w:sz w:val="22"/>
          <w:szCs w:val="22"/>
        </w:rPr>
        <w:t>edical</w:t>
      </w:r>
      <w:r w:rsidRPr="00DD448A">
        <w:rPr>
          <w:rFonts w:ascii="Arial" w:hAnsi="Arial" w:cs="Arial"/>
          <w:kern w:val="1"/>
          <w:sz w:val="22"/>
          <w:szCs w:val="22"/>
        </w:rPr>
        <w:t xml:space="preserve"> G</w:t>
      </w:r>
      <w:r w:rsidR="008D0218" w:rsidRPr="00DD448A">
        <w:rPr>
          <w:rFonts w:ascii="Arial" w:hAnsi="Arial" w:cs="Arial"/>
          <w:kern w:val="1"/>
          <w:sz w:val="22"/>
          <w:szCs w:val="22"/>
        </w:rPr>
        <w:t>uidelines</w:t>
      </w:r>
      <w:r w:rsidRPr="00DD448A">
        <w:rPr>
          <w:rFonts w:ascii="Arial" w:hAnsi="Arial" w:cs="Arial"/>
          <w:kern w:val="1"/>
          <w:sz w:val="22"/>
          <w:szCs w:val="22"/>
        </w:rPr>
        <w:t xml:space="preserve"> </w:t>
      </w:r>
      <w:r w:rsidR="008D0218" w:rsidRPr="00DD448A">
        <w:rPr>
          <w:rFonts w:ascii="Arial" w:hAnsi="Arial" w:cs="Arial"/>
          <w:kern w:val="1"/>
          <w:sz w:val="22"/>
          <w:szCs w:val="22"/>
        </w:rPr>
        <w:t>for</w:t>
      </w:r>
      <w:r w:rsidRPr="00DD448A">
        <w:rPr>
          <w:rFonts w:ascii="Arial" w:hAnsi="Arial" w:cs="Arial"/>
          <w:kern w:val="1"/>
          <w:sz w:val="22"/>
          <w:szCs w:val="22"/>
        </w:rPr>
        <w:t xml:space="preserve"> C</w:t>
      </w:r>
      <w:r w:rsidR="008D0218" w:rsidRPr="00DD448A">
        <w:rPr>
          <w:rFonts w:ascii="Arial" w:hAnsi="Arial" w:cs="Arial"/>
          <w:kern w:val="1"/>
          <w:sz w:val="22"/>
          <w:szCs w:val="22"/>
        </w:rPr>
        <w:t>linical</w:t>
      </w:r>
      <w:r w:rsidRPr="00DD448A">
        <w:rPr>
          <w:rFonts w:ascii="Arial" w:hAnsi="Arial" w:cs="Arial"/>
          <w:kern w:val="1"/>
          <w:sz w:val="22"/>
          <w:szCs w:val="22"/>
        </w:rPr>
        <w:t xml:space="preserve"> P</w:t>
      </w:r>
      <w:r w:rsidR="008D0218" w:rsidRPr="00DD448A">
        <w:rPr>
          <w:rFonts w:ascii="Arial" w:hAnsi="Arial" w:cs="Arial"/>
          <w:kern w:val="1"/>
          <w:sz w:val="22"/>
          <w:szCs w:val="22"/>
        </w:rPr>
        <w:t>ractice</w:t>
      </w:r>
      <w:r w:rsidRPr="00DD448A">
        <w:rPr>
          <w:rFonts w:ascii="Arial" w:hAnsi="Arial" w:cs="Arial"/>
          <w:kern w:val="1"/>
          <w:sz w:val="22"/>
          <w:szCs w:val="22"/>
        </w:rPr>
        <w:t xml:space="preserve"> </w:t>
      </w:r>
      <w:r w:rsidR="008D0218" w:rsidRPr="00DD448A">
        <w:rPr>
          <w:rFonts w:ascii="Arial" w:hAnsi="Arial" w:cs="Arial"/>
          <w:kern w:val="1"/>
          <w:sz w:val="22"/>
          <w:szCs w:val="22"/>
        </w:rPr>
        <w:t>for</w:t>
      </w:r>
      <w:r w:rsidRPr="00DD448A">
        <w:rPr>
          <w:rFonts w:ascii="Arial" w:hAnsi="Arial" w:cs="Arial"/>
          <w:kern w:val="1"/>
          <w:sz w:val="22"/>
          <w:szCs w:val="22"/>
        </w:rPr>
        <w:t xml:space="preserve"> </w:t>
      </w:r>
      <w:r w:rsidR="008D0218" w:rsidRPr="00DD448A">
        <w:rPr>
          <w:rFonts w:ascii="Arial" w:hAnsi="Arial" w:cs="Arial"/>
          <w:kern w:val="1"/>
          <w:sz w:val="22"/>
          <w:szCs w:val="22"/>
        </w:rPr>
        <w:t>the</w:t>
      </w:r>
      <w:r w:rsidRPr="00DD448A">
        <w:rPr>
          <w:rFonts w:ascii="Arial" w:hAnsi="Arial" w:cs="Arial"/>
          <w:kern w:val="1"/>
          <w:sz w:val="22"/>
          <w:szCs w:val="22"/>
        </w:rPr>
        <w:t xml:space="preserve"> </w:t>
      </w:r>
      <w:r w:rsidR="008D0218" w:rsidRPr="00DD448A">
        <w:rPr>
          <w:rFonts w:ascii="Arial" w:hAnsi="Arial" w:cs="Arial"/>
          <w:kern w:val="1"/>
          <w:sz w:val="22"/>
          <w:szCs w:val="22"/>
        </w:rPr>
        <w:t>Diagnosis</w:t>
      </w:r>
      <w:r w:rsidRPr="00DD448A">
        <w:rPr>
          <w:rFonts w:ascii="Arial" w:hAnsi="Arial" w:cs="Arial"/>
          <w:kern w:val="1"/>
          <w:sz w:val="22"/>
          <w:szCs w:val="22"/>
        </w:rPr>
        <w:t xml:space="preserve"> </w:t>
      </w:r>
      <w:r w:rsidR="008D0218" w:rsidRPr="00DD448A">
        <w:rPr>
          <w:rFonts w:ascii="Arial" w:hAnsi="Arial" w:cs="Arial"/>
          <w:kern w:val="1"/>
          <w:sz w:val="22"/>
          <w:szCs w:val="22"/>
        </w:rPr>
        <w:t>and</w:t>
      </w:r>
      <w:r w:rsidRPr="00DD448A">
        <w:rPr>
          <w:rFonts w:ascii="Arial" w:hAnsi="Arial" w:cs="Arial"/>
          <w:kern w:val="1"/>
          <w:sz w:val="22"/>
          <w:szCs w:val="22"/>
        </w:rPr>
        <w:t xml:space="preserve"> M</w:t>
      </w:r>
      <w:r w:rsidR="008D0218" w:rsidRPr="00DD448A">
        <w:rPr>
          <w:rFonts w:ascii="Arial" w:hAnsi="Arial" w:cs="Arial"/>
          <w:kern w:val="1"/>
          <w:sz w:val="22"/>
          <w:szCs w:val="22"/>
        </w:rPr>
        <w:t>anagement</w:t>
      </w:r>
      <w:r w:rsidRPr="00DD448A">
        <w:rPr>
          <w:rFonts w:ascii="Arial" w:hAnsi="Arial" w:cs="Arial"/>
          <w:kern w:val="1"/>
          <w:sz w:val="22"/>
          <w:szCs w:val="22"/>
        </w:rPr>
        <w:t xml:space="preserve"> </w:t>
      </w:r>
      <w:r w:rsidR="008D0218" w:rsidRPr="00DD448A">
        <w:rPr>
          <w:rFonts w:ascii="Arial" w:hAnsi="Arial" w:cs="Arial"/>
          <w:kern w:val="1"/>
          <w:sz w:val="22"/>
          <w:szCs w:val="22"/>
        </w:rPr>
        <w:t>of</w:t>
      </w:r>
      <w:r w:rsidRPr="00DD448A">
        <w:rPr>
          <w:rFonts w:ascii="Arial" w:hAnsi="Arial" w:cs="Arial"/>
          <w:kern w:val="1"/>
          <w:sz w:val="22"/>
          <w:szCs w:val="22"/>
        </w:rPr>
        <w:t xml:space="preserve"> T</w:t>
      </w:r>
      <w:r w:rsidR="008D0218" w:rsidRPr="00DD448A">
        <w:rPr>
          <w:rFonts w:ascii="Arial" w:hAnsi="Arial" w:cs="Arial"/>
          <w:kern w:val="1"/>
          <w:sz w:val="22"/>
          <w:szCs w:val="22"/>
        </w:rPr>
        <w:t>hyroid</w:t>
      </w:r>
      <w:r w:rsidRPr="00DD448A">
        <w:rPr>
          <w:rFonts w:ascii="Arial" w:hAnsi="Arial" w:cs="Arial"/>
          <w:kern w:val="1"/>
          <w:sz w:val="22"/>
          <w:szCs w:val="22"/>
        </w:rPr>
        <w:t xml:space="preserve"> N</w:t>
      </w:r>
      <w:r w:rsidR="008D0218" w:rsidRPr="00DD448A">
        <w:rPr>
          <w:rFonts w:ascii="Arial" w:hAnsi="Arial" w:cs="Arial"/>
          <w:kern w:val="1"/>
          <w:sz w:val="22"/>
          <w:szCs w:val="22"/>
        </w:rPr>
        <w:t>odules</w:t>
      </w:r>
      <w:r w:rsidRPr="00DD448A">
        <w:rPr>
          <w:rFonts w:ascii="Arial" w:hAnsi="Arial" w:cs="Arial"/>
          <w:kern w:val="1"/>
          <w:sz w:val="22"/>
          <w:szCs w:val="22"/>
        </w:rPr>
        <w:t>--2016 U</w:t>
      </w:r>
      <w:r w:rsidR="008D0218" w:rsidRPr="00DD448A">
        <w:rPr>
          <w:rFonts w:ascii="Arial" w:hAnsi="Arial" w:cs="Arial"/>
          <w:kern w:val="1"/>
          <w:sz w:val="22"/>
          <w:szCs w:val="22"/>
        </w:rPr>
        <w:t>pdate</w:t>
      </w:r>
      <w:r w:rsidRPr="00DD448A">
        <w:rPr>
          <w:rFonts w:ascii="Arial" w:hAnsi="Arial" w:cs="Arial"/>
          <w:kern w:val="1"/>
          <w:sz w:val="22"/>
          <w:szCs w:val="22"/>
        </w:rPr>
        <w:t xml:space="preserve">.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2016;22(5):622-639.</w:t>
      </w:r>
    </w:p>
    <w:p w14:paraId="632236B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w:t>
      </w:r>
      <w:r w:rsidRPr="00DD448A">
        <w:rPr>
          <w:rFonts w:ascii="Arial" w:hAnsi="Arial" w:cs="Arial"/>
          <w:kern w:val="1"/>
          <w:sz w:val="22"/>
          <w:szCs w:val="22"/>
        </w:rPr>
        <w:tab/>
        <w:t xml:space="preserve">Francis GL, Waguespack SG, Bauer AJ, Angelos P, Benvenga S, Cerutti JM, </w:t>
      </w:r>
      <w:proofErr w:type="spellStart"/>
      <w:r w:rsidRPr="00DD448A">
        <w:rPr>
          <w:rFonts w:ascii="Arial" w:hAnsi="Arial" w:cs="Arial"/>
          <w:kern w:val="1"/>
          <w:sz w:val="22"/>
          <w:szCs w:val="22"/>
        </w:rPr>
        <w:t>Dinauer</w:t>
      </w:r>
      <w:proofErr w:type="spellEnd"/>
      <w:r w:rsidRPr="00DD448A">
        <w:rPr>
          <w:rFonts w:ascii="Arial" w:hAnsi="Arial" w:cs="Arial"/>
          <w:kern w:val="1"/>
          <w:sz w:val="22"/>
          <w:szCs w:val="22"/>
        </w:rPr>
        <w:t xml:space="preserve"> CA, Hamilton J, Hay ID, Luster M, Parisi MT, Rachmiel M, Thompson GB, Yamashita S. Management Guidelines for Children with Thyroid Nodules and Differentiated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2015;25(7):716-759.</w:t>
      </w:r>
    </w:p>
    <w:p w14:paraId="329AD43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w:t>
      </w:r>
      <w:r w:rsidRPr="00DD448A">
        <w:rPr>
          <w:rFonts w:ascii="Arial" w:hAnsi="Arial" w:cs="Arial"/>
          <w:kern w:val="1"/>
          <w:sz w:val="22"/>
          <w:szCs w:val="22"/>
        </w:rPr>
        <w:tab/>
        <w:t xml:space="preserve">Haugen BR, Alexander EK, Bible KC, Doherty GM, Mandel SJ, Nikiforov YE, Pacini F, Randolph GW, Sawka AM, Schlumberger M, Schuff KG, Sherman SI, Sosa JA, Steward DL, Tuttle RM, </w:t>
      </w:r>
      <w:proofErr w:type="spellStart"/>
      <w:r w:rsidRPr="00DD448A">
        <w:rPr>
          <w:rFonts w:ascii="Arial" w:hAnsi="Arial" w:cs="Arial"/>
          <w:kern w:val="1"/>
          <w:sz w:val="22"/>
          <w:szCs w:val="22"/>
        </w:rPr>
        <w:t>Wartofsky</w:t>
      </w:r>
      <w:proofErr w:type="spellEnd"/>
      <w:r w:rsidRPr="00DD448A">
        <w:rPr>
          <w:rFonts w:ascii="Arial" w:hAnsi="Arial" w:cs="Arial"/>
          <w:kern w:val="1"/>
          <w:sz w:val="22"/>
          <w:szCs w:val="22"/>
        </w:rPr>
        <w:t xml:space="preserve"> L. 2015 American Thyroid Association Management Guidelines for Adult Patients with Thyroid Nodules and Differentiated Thyroid Cancer: The American Thyroid Association Guidelines Task Force on Thyroid Nodules and Differentiated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2016;26(1):1-133.</w:t>
      </w:r>
    </w:p>
    <w:p w14:paraId="78CD115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w:t>
      </w:r>
      <w:r w:rsidRPr="00DD448A">
        <w:rPr>
          <w:rFonts w:ascii="Arial" w:hAnsi="Arial" w:cs="Arial"/>
          <w:kern w:val="1"/>
          <w:sz w:val="22"/>
          <w:szCs w:val="22"/>
        </w:rPr>
        <w:tab/>
        <w:t xml:space="preserve">Filetti S, Durante C, Hartl D, </w:t>
      </w:r>
      <w:proofErr w:type="spellStart"/>
      <w:r w:rsidRPr="00DD448A">
        <w:rPr>
          <w:rFonts w:ascii="Arial" w:hAnsi="Arial" w:cs="Arial"/>
          <w:kern w:val="1"/>
          <w:sz w:val="22"/>
          <w:szCs w:val="22"/>
        </w:rPr>
        <w:t>Leboulleux</w:t>
      </w:r>
      <w:proofErr w:type="spellEnd"/>
      <w:r w:rsidRPr="00DD448A">
        <w:rPr>
          <w:rFonts w:ascii="Arial" w:hAnsi="Arial" w:cs="Arial"/>
          <w:kern w:val="1"/>
          <w:sz w:val="22"/>
          <w:szCs w:val="22"/>
        </w:rPr>
        <w:t xml:space="preserve"> S, Locati LD, Newbold K, Papotti MG, </w:t>
      </w:r>
      <w:proofErr w:type="spellStart"/>
      <w:r w:rsidRPr="00DD448A">
        <w:rPr>
          <w:rFonts w:ascii="Arial" w:hAnsi="Arial" w:cs="Arial"/>
          <w:kern w:val="1"/>
          <w:sz w:val="22"/>
          <w:szCs w:val="22"/>
        </w:rPr>
        <w:t>Berruti</w:t>
      </w:r>
      <w:proofErr w:type="spellEnd"/>
      <w:r w:rsidRPr="00DD448A">
        <w:rPr>
          <w:rFonts w:ascii="Arial" w:hAnsi="Arial" w:cs="Arial"/>
          <w:kern w:val="1"/>
          <w:sz w:val="22"/>
          <w:szCs w:val="22"/>
        </w:rPr>
        <w:t xml:space="preserve"> A. Thyroid cancer: ESMO Clinical Practice Guidelines for diagnosis, treatment and follow-up†. </w:t>
      </w:r>
      <w:r w:rsidRPr="00DD448A">
        <w:rPr>
          <w:rFonts w:ascii="Arial" w:hAnsi="Arial" w:cs="Arial"/>
          <w:iCs/>
          <w:kern w:val="1"/>
          <w:sz w:val="22"/>
          <w:szCs w:val="22"/>
        </w:rPr>
        <w:t>Ann Oncol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2019;30(12):1856-1883.</w:t>
      </w:r>
    </w:p>
    <w:p w14:paraId="6E1FD12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w:t>
      </w:r>
      <w:r w:rsidRPr="00DD448A">
        <w:rPr>
          <w:rFonts w:ascii="Arial" w:hAnsi="Arial" w:cs="Arial"/>
          <w:kern w:val="1"/>
          <w:sz w:val="22"/>
          <w:szCs w:val="22"/>
        </w:rPr>
        <w:tab/>
        <w:t xml:space="preserve">Bible KC, </w:t>
      </w:r>
      <w:proofErr w:type="spellStart"/>
      <w:r w:rsidRPr="00DD448A">
        <w:rPr>
          <w:rFonts w:ascii="Arial" w:hAnsi="Arial" w:cs="Arial"/>
          <w:kern w:val="1"/>
          <w:sz w:val="22"/>
          <w:szCs w:val="22"/>
        </w:rPr>
        <w:t>Kebebew</w:t>
      </w:r>
      <w:proofErr w:type="spellEnd"/>
      <w:r w:rsidRPr="00DD448A">
        <w:rPr>
          <w:rFonts w:ascii="Arial" w:hAnsi="Arial" w:cs="Arial"/>
          <w:kern w:val="1"/>
          <w:sz w:val="22"/>
          <w:szCs w:val="22"/>
        </w:rPr>
        <w:t xml:space="preserve"> E, Brierley J, Brito JP, Cabanillas ME, Clark TJ, Jr., Di Cristofano A, Foote R, Giordano T, Kasperbauer J, Newbold K, Nikiforov YE, Randolph G, Rosenthal MS, Sawka AM, Shah M, Shaha A, Smallridge R, Wong-Clark CK. 2021 American Thyroid Association Guidelines for Management of Patients with Anaplastic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2021;31(3):337-386.</w:t>
      </w:r>
    </w:p>
    <w:p w14:paraId="55A7EA8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w:t>
      </w:r>
      <w:r w:rsidRPr="00DD448A">
        <w:rPr>
          <w:rFonts w:ascii="Arial" w:hAnsi="Arial" w:cs="Arial"/>
          <w:kern w:val="1"/>
          <w:sz w:val="22"/>
          <w:szCs w:val="22"/>
        </w:rPr>
        <w:tab/>
      </w:r>
      <w:proofErr w:type="spellStart"/>
      <w:r w:rsidRPr="00DD448A">
        <w:rPr>
          <w:rFonts w:ascii="Arial" w:hAnsi="Arial" w:cs="Arial"/>
          <w:kern w:val="1"/>
          <w:sz w:val="22"/>
          <w:szCs w:val="22"/>
        </w:rPr>
        <w:t>Giannoula</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Exadaktylou</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Melidis</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Koutsouki</w:t>
      </w:r>
      <w:proofErr w:type="spellEnd"/>
      <w:r w:rsidRPr="00DD448A">
        <w:rPr>
          <w:rFonts w:ascii="Arial" w:hAnsi="Arial" w:cs="Arial"/>
          <w:kern w:val="1"/>
          <w:sz w:val="22"/>
          <w:szCs w:val="22"/>
        </w:rPr>
        <w:t xml:space="preserve"> G, </w:t>
      </w:r>
      <w:proofErr w:type="spellStart"/>
      <w:r w:rsidRPr="00DD448A">
        <w:rPr>
          <w:rFonts w:ascii="Arial" w:hAnsi="Arial" w:cs="Arial"/>
          <w:kern w:val="1"/>
          <w:sz w:val="22"/>
          <w:szCs w:val="22"/>
        </w:rPr>
        <w:t>Katsadouros</w:t>
      </w:r>
      <w:proofErr w:type="spellEnd"/>
      <w:r w:rsidRPr="00DD448A">
        <w:rPr>
          <w:rFonts w:ascii="Arial" w:hAnsi="Arial" w:cs="Arial"/>
          <w:kern w:val="1"/>
          <w:sz w:val="22"/>
          <w:szCs w:val="22"/>
        </w:rPr>
        <w:t xml:space="preserve"> I, </w:t>
      </w:r>
      <w:proofErr w:type="spellStart"/>
      <w:r w:rsidRPr="00DD448A">
        <w:rPr>
          <w:rFonts w:ascii="Arial" w:hAnsi="Arial" w:cs="Arial"/>
          <w:kern w:val="1"/>
          <w:sz w:val="22"/>
          <w:szCs w:val="22"/>
        </w:rPr>
        <w:t>Tsangaridi</w:t>
      </w:r>
      <w:proofErr w:type="spellEnd"/>
      <w:r w:rsidRPr="00DD448A">
        <w:rPr>
          <w:rFonts w:ascii="Arial" w:hAnsi="Arial" w:cs="Arial"/>
          <w:kern w:val="1"/>
          <w:sz w:val="22"/>
          <w:szCs w:val="22"/>
        </w:rPr>
        <w:t xml:space="preserve"> A, Charalambous P, Papadopoulou K, Frangos S, Iakovou I. Real-world applicability of differentiated thyroid cancer guidelines. </w:t>
      </w:r>
      <w:r w:rsidRPr="00DD448A">
        <w:rPr>
          <w:rFonts w:ascii="Arial" w:hAnsi="Arial" w:cs="Arial"/>
          <w:iCs/>
          <w:kern w:val="1"/>
          <w:sz w:val="22"/>
          <w:szCs w:val="22"/>
        </w:rPr>
        <w:t xml:space="preserve">Hell J </w:t>
      </w:r>
      <w:proofErr w:type="spellStart"/>
      <w:r w:rsidRPr="00DD448A">
        <w:rPr>
          <w:rFonts w:ascii="Arial" w:hAnsi="Arial" w:cs="Arial"/>
          <w:iCs/>
          <w:kern w:val="1"/>
          <w:sz w:val="22"/>
          <w:szCs w:val="22"/>
        </w:rPr>
        <w:t>Nucl</w:t>
      </w:r>
      <w:proofErr w:type="spellEnd"/>
      <w:r w:rsidRPr="00DD448A">
        <w:rPr>
          <w:rFonts w:ascii="Arial" w:hAnsi="Arial" w:cs="Arial"/>
          <w:iCs/>
          <w:kern w:val="1"/>
          <w:sz w:val="22"/>
          <w:szCs w:val="22"/>
        </w:rPr>
        <w:t xml:space="preserve">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2024;27(2):121-130.</w:t>
      </w:r>
    </w:p>
    <w:p w14:paraId="25DD5F1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w:t>
      </w:r>
      <w:r w:rsidRPr="00DD448A">
        <w:rPr>
          <w:rFonts w:ascii="Arial" w:hAnsi="Arial" w:cs="Arial"/>
          <w:kern w:val="1"/>
          <w:sz w:val="22"/>
          <w:szCs w:val="22"/>
        </w:rPr>
        <w:tab/>
      </w:r>
      <w:proofErr w:type="spellStart"/>
      <w:r w:rsidRPr="00DD448A">
        <w:rPr>
          <w:rFonts w:ascii="Arial" w:hAnsi="Arial" w:cs="Arial"/>
          <w:kern w:val="1"/>
          <w:sz w:val="22"/>
          <w:szCs w:val="22"/>
        </w:rPr>
        <w:t>Bartalena</w:t>
      </w:r>
      <w:proofErr w:type="spellEnd"/>
      <w:r w:rsidRPr="00DD448A">
        <w:rPr>
          <w:rFonts w:ascii="Arial" w:hAnsi="Arial" w:cs="Arial"/>
          <w:kern w:val="1"/>
          <w:sz w:val="22"/>
          <w:szCs w:val="22"/>
        </w:rPr>
        <w:t xml:space="preserve"> L, Robbins J. Thyroid hormone transport proteins. </w:t>
      </w:r>
      <w:r w:rsidRPr="00DD448A">
        <w:rPr>
          <w:rFonts w:ascii="Arial" w:hAnsi="Arial" w:cs="Arial"/>
          <w:iCs/>
          <w:kern w:val="1"/>
          <w:sz w:val="22"/>
          <w:szCs w:val="22"/>
        </w:rPr>
        <w:t>Clin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1993;13(3):583-598.</w:t>
      </w:r>
    </w:p>
    <w:p w14:paraId="3896B11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w:t>
      </w:r>
      <w:r w:rsidRPr="00DD448A">
        <w:rPr>
          <w:rFonts w:ascii="Arial" w:hAnsi="Arial" w:cs="Arial"/>
          <w:kern w:val="1"/>
          <w:sz w:val="22"/>
          <w:szCs w:val="22"/>
        </w:rPr>
        <w:tab/>
      </w:r>
      <w:proofErr w:type="spellStart"/>
      <w:r w:rsidRPr="00DD448A">
        <w:rPr>
          <w:rFonts w:ascii="Arial" w:hAnsi="Arial" w:cs="Arial"/>
          <w:kern w:val="1"/>
          <w:sz w:val="22"/>
          <w:szCs w:val="22"/>
        </w:rPr>
        <w:t>Stockigt</w:t>
      </w:r>
      <w:proofErr w:type="spellEnd"/>
      <w:r w:rsidRPr="00DD448A">
        <w:rPr>
          <w:rFonts w:ascii="Arial" w:hAnsi="Arial" w:cs="Arial"/>
          <w:kern w:val="1"/>
          <w:sz w:val="22"/>
          <w:szCs w:val="22"/>
        </w:rPr>
        <w:t xml:space="preserve"> JR. Free thyroid hormone measurement. A critical appraisal. </w:t>
      </w:r>
      <w:r w:rsidRPr="00DD448A">
        <w:rPr>
          <w:rFonts w:ascii="Arial" w:hAnsi="Arial" w:cs="Arial"/>
          <w:iCs/>
          <w:kern w:val="1"/>
          <w:sz w:val="22"/>
          <w:szCs w:val="22"/>
        </w:rPr>
        <w:t xml:space="preserve">Endocrinol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Clin North Am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2001;30(2):265-289.</w:t>
      </w:r>
    </w:p>
    <w:p w14:paraId="08151CEC" w14:textId="71473929"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w:t>
      </w:r>
      <w:r w:rsidRPr="00DD448A">
        <w:rPr>
          <w:rFonts w:ascii="Arial" w:hAnsi="Arial" w:cs="Arial"/>
          <w:kern w:val="1"/>
          <w:sz w:val="22"/>
          <w:szCs w:val="22"/>
        </w:rPr>
        <w:tab/>
        <w:t>Murphy BE, Pattee CJ. D</w:t>
      </w:r>
      <w:r w:rsidR="000F115D" w:rsidRPr="00DD448A">
        <w:rPr>
          <w:rFonts w:ascii="Arial" w:hAnsi="Arial" w:cs="Arial"/>
          <w:kern w:val="1"/>
          <w:sz w:val="22"/>
          <w:szCs w:val="22"/>
        </w:rPr>
        <w:t>etermination</w:t>
      </w:r>
      <w:r w:rsidRPr="00DD448A">
        <w:rPr>
          <w:rFonts w:ascii="Arial" w:hAnsi="Arial" w:cs="Arial"/>
          <w:kern w:val="1"/>
          <w:sz w:val="22"/>
          <w:szCs w:val="22"/>
        </w:rPr>
        <w:t xml:space="preserve"> </w:t>
      </w:r>
      <w:r w:rsidR="000F115D" w:rsidRPr="00DD448A">
        <w:rPr>
          <w:rFonts w:ascii="Arial" w:hAnsi="Arial" w:cs="Arial"/>
          <w:kern w:val="1"/>
          <w:sz w:val="22"/>
          <w:szCs w:val="22"/>
        </w:rPr>
        <w:t>of</w:t>
      </w:r>
      <w:r w:rsidRPr="00DD448A">
        <w:rPr>
          <w:rFonts w:ascii="Arial" w:hAnsi="Arial" w:cs="Arial"/>
          <w:kern w:val="1"/>
          <w:sz w:val="22"/>
          <w:szCs w:val="22"/>
        </w:rPr>
        <w:t xml:space="preserve"> T</w:t>
      </w:r>
      <w:r w:rsidR="000F115D" w:rsidRPr="00DD448A">
        <w:rPr>
          <w:rFonts w:ascii="Arial" w:hAnsi="Arial" w:cs="Arial"/>
          <w:kern w:val="1"/>
          <w:sz w:val="22"/>
          <w:szCs w:val="22"/>
        </w:rPr>
        <w:t>hyroxine</w:t>
      </w:r>
      <w:r w:rsidRPr="00DD448A">
        <w:rPr>
          <w:rFonts w:ascii="Arial" w:hAnsi="Arial" w:cs="Arial"/>
          <w:kern w:val="1"/>
          <w:sz w:val="22"/>
          <w:szCs w:val="22"/>
        </w:rPr>
        <w:t xml:space="preserve"> U</w:t>
      </w:r>
      <w:r w:rsidR="000F115D" w:rsidRPr="00DD448A">
        <w:rPr>
          <w:rFonts w:ascii="Arial" w:hAnsi="Arial" w:cs="Arial"/>
          <w:kern w:val="1"/>
          <w:sz w:val="22"/>
          <w:szCs w:val="22"/>
        </w:rPr>
        <w:t>tilizing</w:t>
      </w:r>
      <w:r w:rsidRPr="00DD448A">
        <w:rPr>
          <w:rFonts w:ascii="Arial" w:hAnsi="Arial" w:cs="Arial"/>
          <w:kern w:val="1"/>
          <w:sz w:val="22"/>
          <w:szCs w:val="22"/>
        </w:rPr>
        <w:t xml:space="preserve"> </w:t>
      </w:r>
      <w:r w:rsidR="000F115D" w:rsidRPr="00DD448A">
        <w:rPr>
          <w:rFonts w:ascii="Arial" w:hAnsi="Arial" w:cs="Arial"/>
          <w:kern w:val="1"/>
          <w:sz w:val="22"/>
          <w:szCs w:val="22"/>
        </w:rPr>
        <w:t>the</w:t>
      </w:r>
      <w:r w:rsidRPr="00DD448A">
        <w:rPr>
          <w:rFonts w:ascii="Arial" w:hAnsi="Arial" w:cs="Arial"/>
          <w:kern w:val="1"/>
          <w:sz w:val="22"/>
          <w:szCs w:val="22"/>
        </w:rPr>
        <w:t xml:space="preserve"> </w:t>
      </w:r>
      <w:r w:rsidR="000F115D" w:rsidRPr="00DD448A">
        <w:rPr>
          <w:rFonts w:ascii="Arial" w:hAnsi="Arial" w:cs="Arial"/>
          <w:kern w:val="1"/>
          <w:sz w:val="22"/>
          <w:szCs w:val="22"/>
        </w:rPr>
        <w:t>Property</w:t>
      </w:r>
      <w:r w:rsidRPr="00DD448A">
        <w:rPr>
          <w:rFonts w:ascii="Arial" w:hAnsi="Arial" w:cs="Arial"/>
          <w:kern w:val="1"/>
          <w:sz w:val="22"/>
          <w:szCs w:val="22"/>
        </w:rPr>
        <w:t xml:space="preserve"> </w:t>
      </w:r>
      <w:r w:rsidR="000F115D" w:rsidRPr="00DD448A">
        <w:rPr>
          <w:rFonts w:ascii="Arial" w:hAnsi="Arial" w:cs="Arial"/>
          <w:kern w:val="1"/>
          <w:sz w:val="22"/>
          <w:szCs w:val="22"/>
        </w:rPr>
        <w:t>of</w:t>
      </w:r>
      <w:r w:rsidRPr="00DD448A">
        <w:rPr>
          <w:rFonts w:ascii="Arial" w:hAnsi="Arial" w:cs="Arial"/>
          <w:kern w:val="1"/>
          <w:sz w:val="22"/>
          <w:szCs w:val="22"/>
        </w:rPr>
        <w:t xml:space="preserve"> P</w:t>
      </w:r>
      <w:r w:rsidR="000F115D" w:rsidRPr="00DD448A">
        <w:rPr>
          <w:rFonts w:ascii="Arial" w:hAnsi="Arial" w:cs="Arial"/>
          <w:kern w:val="1"/>
          <w:sz w:val="22"/>
          <w:szCs w:val="22"/>
        </w:rPr>
        <w:t>rotein</w:t>
      </w:r>
      <w:r w:rsidRPr="00DD448A">
        <w:rPr>
          <w:rFonts w:ascii="Arial" w:hAnsi="Arial" w:cs="Arial"/>
          <w:kern w:val="1"/>
          <w:sz w:val="22"/>
          <w:szCs w:val="22"/>
        </w:rPr>
        <w:t>-</w:t>
      </w:r>
      <w:r w:rsidR="000F115D" w:rsidRPr="00DD448A">
        <w:rPr>
          <w:rFonts w:ascii="Arial" w:hAnsi="Arial" w:cs="Arial"/>
          <w:kern w:val="1"/>
          <w:sz w:val="22"/>
          <w:szCs w:val="22"/>
        </w:rPr>
        <w:t>Binding</w:t>
      </w:r>
      <w:r w:rsidRPr="00DD448A">
        <w:rPr>
          <w:rFonts w:ascii="Arial" w:hAnsi="Arial" w:cs="Arial"/>
          <w:kern w:val="1"/>
          <w:sz w:val="22"/>
          <w:szCs w:val="22"/>
        </w:rPr>
        <w:t xml:space="preserv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1964;24:187-196.</w:t>
      </w:r>
    </w:p>
    <w:p w14:paraId="2D03417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w:t>
      </w:r>
      <w:proofErr w:type="spellStart"/>
      <w:r w:rsidRPr="00DD448A">
        <w:rPr>
          <w:rFonts w:ascii="Arial" w:hAnsi="Arial" w:cs="Arial"/>
          <w:kern w:val="1"/>
          <w:sz w:val="22"/>
          <w:szCs w:val="22"/>
        </w:rPr>
        <w:t>Fierens</w:t>
      </w:r>
      <w:proofErr w:type="spellEnd"/>
      <w:r w:rsidRPr="00DD448A">
        <w:rPr>
          <w:rFonts w:ascii="Arial" w:hAnsi="Arial" w:cs="Arial"/>
          <w:kern w:val="1"/>
          <w:sz w:val="22"/>
          <w:szCs w:val="22"/>
        </w:rPr>
        <w:t xml:space="preserve"> C, De Leenheer AP, Przywara L. Isotope dilution-gas chromatography/mass spectrometry and liquid chromatography/electrospray ionization-tandem mass spectrometry for the determination of triiodo-L-thyronine in serum. </w:t>
      </w:r>
      <w:r w:rsidRPr="00DD448A">
        <w:rPr>
          <w:rFonts w:ascii="Arial" w:hAnsi="Arial" w:cs="Arial"/>
          <w:iCs/>
          <w:kern w:val="1"/>
          <w:sz w:val="22"/>
          <w:szCs w:val="22"/>
        </w:rPr>
        <w:t xml:space="preserve">Rapid Commun Mass </w:t>
      </w:r>
      <w:proofErr w:type="spellStart"/>
      <w:r w:rsidRPr="00DD448A">
        <w:rPr>
          <w:rFonts w:ascii="Arial" w:hAnsi="Arial" w:cs="Arial"/>
          <w:iCs/>
          <w:kern w:val="1"/>
          <w:sz w:val="22"/>
          <w:szCs w:val="22"/>
        </w:rPr>
        <w:t>Spectrom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1999;13(19):1924-1931.</w:t>
      </w:r>
    </w:p>
    <w:p w14:paraId="70F3EAE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w:t>
      </w:r>
      <w:r w:rsidRPr="00DD448A">
        <w:rPr>
          <w:rFonts w:ascii="Arial" w:hAnsi="Arial" w:cs="Arial"/>
          <w:kern w:val="1"/>
          <w:sz w:val="22"/>
          <w:szCs w:val="22"/>
        </w:rPr>
        <w:tab/>
        <w:t xml:space="preserve">Soldin SJ, </w:t>
      </w:r>
      <w:proofErr w:type="spellStart"/>
      <w:r w:rsidRPr="00DD448A">
        <w:rPr>
          <w:rFonts w:ascii="Arial" w:hAnsi="Arial" w:cs="Arial"/>
          <w:kern w:val="1"/>
          <w:sz w:val="22"/>
          <w:szCs w:val="22"/>
        </w:rPr>
        <w:t>Soukhova</w:t>
      </w:r>
      <w:proofErr w:type="spellEnd"/>
      <w:r w:rsidRPr="00DD448A">
        <w:rPr>
          <w:rFonts w:ascii="Arial" w:hAnsi="Arial" w:cs="Arial"/>
          <w:kern w:val="1"/>
          <w:sz w:val="22"/>
          <w:szCs w:val="22"/>
        </w:rPr>
        <w:t xml:space="preserve"> N, </w:t>
      </w:r>
      <w:proofErr w:type="spellStart"/>
      <w:r w:rsidRPr="00DD448A">
        <w:rPr>
          <w:rFonts w:ascii="Arial" w:hAnsi="Arial" w:cs="Arial"/>
          <w:kern w:val="1"/>
          <w:sz w:val="22"/>
          <w:szCs w:val="22"/>
        </w:rPr>
        <w:t>Janicic</w:t>
      </w:r>
      <w:proofErr w:type="spellEnd"/>
      <w:r w:rsidRPr="00DD448A">
        <w:rPr>
          <w:rFonts w:ascii="Arial" w:hAnsi="Arial" w:cs="Arial"/>
          <w:kern w:val="1"/>
          <w:sz w:val="22"/>
          <w:szCs w:val="22"/>
        </w:rPr>
        <w:t xml:space="preserve"> N, </w:t>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Soldin OP. The measurement of free thyroxine by isotope dilution tandem mass spectrometry.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2005;358(1-2):113-118.</w:t>
      </w:r>
    </w:p>
    <w:p w14:paraId="58880E0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w:t>
      </w:r>
      <w:r w:rsidRPr="00DD448A">
        <w:rPr>
          <w:rFonts w:ascii="Arial" w:hAnsi="Arial" w:cs="Arial"/>
          <w:kern w:val="1"/>
          <w:sz w:val="22"/>
          <w:szCs w:val="22"/>
        </w:rPr>
        <w:tab/>
        <w:t xml:space="preserve">Li W, Gao B, Yang T, Tang L, Song D, Li H, Sun K, Xiao P. Development and validation of an isotope dilution-liquid chromatography (ID-LC-MS/MS)-based candidate reference measurement procedure for total 3,3',5-triiodothyronine in human serum. </w:t>
      </w:r>
      <w:r w:rsidRPr="00DD448A">
        <w:rPr>
          <w:rFonts w:ascii="Arial" w:hAnsi="Arial" w:cs="Arial"/>
          <w:iCs/>
          <w:kern w:val="1"/>
          <w:sz w:val="22"/>
          <w:szCs w:val="22"/>
        </w:rPr>
        <w:t xml:space="preserve">Anal </w:t>
      </w:r>
      <w:proofErr w:type="spellStart"/>
      <w:r w:rsidRPr="00DD448A">
        <w:rPr>
          <w:rFonts w:ascii="Arial" w:hAnsi="Arial" w:cs="Arial"/>
          <w:iCs/>
          <w:kern w:val="1"/>
          <w:sz w:val="22"/>
          <w:szCs w:val="22"/>
        </w:rPr>
        <w:t>Bioanal</w:t>
      </w:r>
      <w:proofErr w:type="spellEnd"/>
      <w:r w:rsidRPr="00DD448A">
        <w:rPr>
          <w:rFonts w:ascii="Arial" w:hAnsi="Arial" w:cs="Arial"/>
          <w:iCs/>
          <w:kern w:val="1"/>
          <w:sz w:val="22"/>
          <w:szCs w:val="22"/>
        </w:rPr>
        <w:t xml:space="preserve">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2025.</w:t>
      </w:r>
    </w:p>
    <w:p w14:paraId="768F793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w:t>
      </w:r>
      <w:r w:rsidRPr="00DD448A">
        <w:rPr>
          <w:rFonts w:ascii="Arial" w:hAnsi="Arial" w:cs="Arial"/>
          <w:kern w:val="1"/>
          <w:sz w:val="22"/>
          <w:szCs w:val="22"/>
        </w:rPr>
        <w:tab/>
        <w:t xml:space="preserve">Matsuda M, Sakata S, Komaki T, Nakamura S, Kojima N, </w:t>
      </w:r>
      <w:proofErr w:type="spellStart"/>
      <w:r w:rsidRPr="00DD448A">
        <w:rPr>
          <w:rFonts w:ascii="Arial" w:hAnsi="Arial" w:cs="Arial"/>
          <w:kern w:val="1"/>
          <w:sz w:val="22"/>
          <w:szCs w:val="22"/>
        </w:rPr>
        <w:t>Takuno</w:t>
      </w:r>
      <w:proofErr w:type="spellEnd"/>
      <w:r w:rsidRPr="00DD448A">
        <w:rPr>
          <w:rFonts w:ascii="Arial" w:hAnsi="Arial" w:cs="Arial"/>
          <w:kern w:val="1"/>
          <w:sz w:val="22"/>
          <w:szCs w:val="22"/>
        </w:rPr>
        <w:t xml:space="preserve"> H, Miura K. Effect of 8-anilino-1-naphthalene sulfonic acid (ANS) on the interaction between thyroid hormone and anti-thyroid hormone antibodies.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1989;185(2):139-146.</w:t>
      </w:r>
    </w:p>
    <w:p w14:paraId="7929F5D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68.</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Marriott J, Stokes P, Siekmann L, Kessler A, Bunk D, Tai S. Feasibility study of the use of frozen human sera in split-sample comparison of immunoassays with candidate reference measurement procedures for total thyroxine and total triiodothyronine measurements.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2005;51(12):2303-2311.</w:t>
      </w:r>
    </w:p>
    <w:p w14:paraId="59C82DA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w:t>
      </w:r>
      <w:r w:rsidRPr="00DD448A">
        <w:rPr>
          <w:rFonts w:ascii="Arial" w:hAnsi="Arial" w:cs="Arial"/>
          <w:kern w:val="1"/>
          <w:sz w:val="22"/>
          <w:szCs w:val="22"/>
        </w:rPr>
        <w:tab/>
        <w:t xml:space="preserve">Faix JD, Miller WG. Progress in standardizing and harmonizing thyroid function tests. </w:t>
      </w:r>
      <w:r w:rsidRPr="00DD448A">
        <w:rPr>
          <w:rFonts w:ascii="Arial" w:hAnsi="Arial" w:cs="Arial"/>
          <w:iCs/>
          <w:kern w:val="1"/>
          <w:sz w:val="22"/>
          <w:szCs w:val="22"/>
        </w:rPr>
        <w:t xml:space="preserve">Am J Clin </w:t>
      </w:r>
      <w:proofErr w:type="spellStart"/>
      <w:r w:rsidRPr="00DD448A">
        <w:rPr>
          <w:rFonts w:ascii="Arial" w:hAnsi="Arial" w:cs="Arial"/>
          <w:iCs/>
          <w:kern w:val="1"/>
          <w:sz w:val="22"/>
          <w:szCs w:val="22"/>
        </w:rPr>
        <w:t>Nutr</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2016;104 Suppl 3(Suppl 3):913s-917s.</w:t>
      </w:r>
    </w:p>
    <w:p w14:paraId="6F8CAB6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w:t>
      </w:r>
      <w:r w:rsidRPr="00DD448A">
        <w:rPr>
          <w:rFonts w:ascii="Arial" w:hAnsi="Arial" w:cs="Arial"/>
          <w:kern w:val="1"/>
          <w:sz w:val="22"/>
          <w:szCs w:val="22"/>
        </w:rPr>
        <w:tab/>
        <w:t xml:space="preserve">Zhou Q, Li S, Li X, Wang W, Wang Z. Comparability of five analytical systems for the determination of triiodothyronine, thyroxine and thyroid-stimulating hormone.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2006;44(11):1363-1366.</w:t>
      </w:r>
    </w:p>
    <w:p w14:paraId="02983D5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71.</w:t>
      </w:r>
      <w:r w:rsidRPr="00DD448A">
        <w:rPr>
          <w:rFonts w:ascii="Arial" w:hAnsi="Arial" w:cs="Arial"/>
          <w:kern w:val="1"/>
          <w:sz w:val="22"/>
          <w:szCs w:val="22"/>
        </w:rPr>
        <w:tab/>
        <w:t>Algeciras-</w:t>
      </w:r>
      <w:proofErr w:type="spellStart"/>
      <w:r w:rsidRPr="00DD448A">
        <w:rPr>
          <w:rFonts w:ascii="Arial" w:hAnsi="Arial" w:cs="Arial"/>
          <w:kern w:val="1"/>
          <w:sz w:val="22"/>
          <w:szCs w:val="22"/>
        </w:rPr>
        <w:t>Schimnich</w:t>
      </w:r>
      <w:proofErr w:type="spellEnd"/>
      <w:r w:rsidRPr="00DD448A">
        <w:rPr>
          <w:rFonts w:ascii="Arial" w:hAnsi="Arial" w:cs="Arial"/>
          <w:kern w:val="1"/>
          <w:sz w:val="22"/>
          <w:szCs w:val="22"/>
        </w:rPr>
        <w:t xml:space="preserve"> A, Bruns DE, Boyd JC, Bryant SC, La Fortune KA, Grebe SK. Failure of current laboratory protocols to detect lot-to-lot reagent differences: findings and possible solutions.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2013;59(8):1187-1194.</w:t>
      </w:r>
    </w:p>
    <w:p w14:paraId="257567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72.</w:t>
      </w:r>
      <w:r w:rsidRPr="00DD448A">
        <w:rPr>
          <w:rFonts w:ascii="Arial" w:hAnsi="Arial" w:cs="Arial"/>
          <w:kern w:val="1"/>
          <w:sz w:val="22"/>
          <w:szCs w:val="22"/>
        </w:rPr>
        <w:tab/>
        <w:t xml:space="preserve">Van </w:t>
      </w:r>
      <w:proofErr w:type="spellStart"/>
      <w:r w:rsidRPr="00DD448A">
        <w:rPr>
          <w:rFonts w:ascii="Arial" w:hAnsi="Arial" w:cs="Arial"/>
          <w:kern w:val="1"/>
          <w:sz w:val="22"/>
          <w:szCs w:val="22"/>
        </w:rPr>
        <w:t>Houcke</w:t>
      </w:r>
      <w:proofErr w:type="spellEnd"/>
      <w:r w:rsidRPr="00DD448A">
        <w:rPr>
          <w:rFonts w:ascii="Arial" w:hAnsi="Arial" w:cs="Arial"/>
          <w:kern w:val="1"/>
          <w:sz w:val="22"/>
          <w:szCs w:val="22"/>
        </w:rPr>
        <w:t xml:space="preserve"> SK,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"Good samples make good assays" – the problem of sourcing clinical samples for a standardization project.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2013;51(5):967-972.</w:t>
      </w:r>
    </w:p>
    <w:p w14:paraId="241A1F5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73.</w:t>
      </w:r>
      <w:r w:rsidRPr="00DD448A">
        <w:rPr>
          <w:rFonts w:ascii="Arial" w:hAnsi="Arial" w:cs="Arial"/>
          <w:kern w:val="1"/>
          <w:sz w:val="22"/>
          <w:szCs w:val="22"/>
        </w:rPr>
        <w:tab/>
        <w:t xml:space="preserve">Lee RH, Spencer CA, </w:t>
      </w:r>
      <w:proofErr w:type="spellStart"/>
      <w:r w:rsidRPr="00DD448A">
        <w:rPr>
          <w:rFonts w:ascii="Arial" w:hAnsi="Arial" w:cs="Arial"/>
          <w:kern w:val="1"/>
          <w:sz w:val="22"/>
          <w:szCs w:val="22"/>
        </w:rPr>
        <w:t>Mestman</w:t>
      </w:r>
      <w:proofErr w:type="spellEnd"/>
      <w:r w:rsidRPr="00DD448A">
        <w:rPr>
          <w:rFonts w:ascii="Arial" w:hAnsi="Arial" w:cs="Arial"/>
          <w:kern w:val="1"/>
          <w:sz w:val="22"/>
          <w:szCs w:val="22"/>
        </w:rPr>
        <w:t xml:space="preserve"> JH, Miller EA, Petrovic I, Braverman LE, Goodwin TM. Free T4 immunoassays are flawed during pregnancy. </w:t>
      </w:r>
      <w:r w:rsidRPr="00DD448A">
        <w:rPr>
          <w:rFonts w:ascii="Arial" w:hAnsi="Arial" w:cs="Arial"/>
          <w:iCs/>
          <w:kern w:val="1"/>
          <w:sz w:val="22"/>
          <w:szCs w:val="22"/>
        </w:rPr>
        <w:t>Am J Obstet Gynecol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2009;200(3):260.e261-266.</w:t>
      </w:r>
    </w:p>
    <w:p w14:paraId="193167B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74.</w:t>
      </w:r>
      <w:r w:rsidRPr="00DD448A">
        <w:rPr>
          <w:rFonts w:ascii="Arial" w:hAnsi="Arial" w:cs="Arial"/>
          <w:kern w:val="1"/>
          <w:sz w:val="22"/>
          <w:szCs w:val="22"/>
        </w:rPr>
        <w:tab/>
        <w:t xml:space="preserve">Wilson KL, Casey BM, McIntire DD, Cunningham FG. Is total thyroxine better than free thyroxine during pregnancy? </w:t>
      </w:r>
      <w:r w:rsidRPr="00DD448A">
        <w:rPr>
          <w:rFonts w:ascii="Arial" w:hAnsi="Arial" w:cs="Arial"/>
          <w:iCs/>
          <w:kern w:val="1"/>
          <w:sz w:val="22"/>
          <w:szCs w:val="22"/>
        </w:rPr>
        <w:t>Am J Obstet Gynecol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2014;211(2):132.e131-136.</w:t>
      </w:r>
    </w:p>
    <w:p w14:paraId="1764647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75.</w:t>
      </w:r>
      <w:r w:rsidRPr="00DD448A">
        <w:rPr>
          <w:rFonts w:ascii="Arial" w:hAnsi="Arial" w:cs="Arial"/>
          <w:kern w:val="1"/>
          <w:sz w:val="22"/>
          <w:szCs w:val="22"/>
        </w:rPr>
        <w:tab/>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 Chaker L, Medici M, de Rijke YB, </w:t>
      </w:r>
      <w:proofErr w:type="spellStart"/>
      <w:r w:rsidRPr="00DD448A">
        <w:rPr>
          <w:rFonts w:ascii="Arial" w:hAnsi="Arial" w:cs="Arial"/>
          <w:kern w:val="1"/>
          <w:sz w:val="22"/>
          <w:szCs w:val="22"/>
        </w:rPr>
        <w:t>Jaddoe</w:t>
      </w:r>
      <w:proofErr w:type="spellEnd"/>
      <w:r w:rsidRPr="00DD448A">
        <w:rPr>
          <w:rFonts w:ascii="Arial" w:hAnsi="Arial" w:cs="Arial"/>
          <w:kern w:val="1"/>
          <w:sz w:val="22"/>
          <w:szCs w:val="22"/>
        </w:rPr>
        <w:t xml:space="preserve"> VW, </w:t>
      </w:r>
      <w:proofErr w:type="spellStart"/>
      <w:r w:rsidRPr="00DD448A">
        <w:rPr>
          <w:rFonts w:ascii="Arial" w:hAnsi="Arial" w:cs="Arial"/>
          <w:kern w:val="1"/>
          <w:sz w:val="22"/>
          <w:szCs w:val="22"/>
        </w:rPr>
        <w:t>Steegers</w:t>
      </w:r>
      <w:proofErr w:type="spellEnd"/>
      <w:r w:rsidRPr="00DD448A">
        <w:rPr>
          <w:rFonts w:ascii="Arial" w:hAnsi="Arial" w:cs="Arial"/>
          <w:kern w:val="1"/>
          <w:sz w:val="22"/>
          <w:szCs w:val="22"/>
        </w:rPr>
        <w:t xml:space="preserve"> EA, Tiemeier H, Visser TJ, Peeters RP. Maternal total T4 during the first half of pregnancy: physiologic aspects and the risk of adverse outcomes in comparison with free T4.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2016;85(5):757-763.</w:t>
      </w:r>
    </w:p>
    <w:p w14:paraId="016E2D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76.</w:t>
      </w:r>
      <w:r w:rsidRPr="00DD448A">
        <w:rPr>
          <w:rFonts w:ascii="Arial" w:hAnsi="Arial" w:cs="Arial"/>
          <w:kern w:val="1"/>
          <w:sz w:val="22"/>
          <w:szCs w:val="22"/>
        </w:rPr>
        <w:tab/>
        <w:t xml:space="preserve">De Groot L, </w:t>
      </w:r>
      <w:proofErr w:type="spellStart"/>
      <w:r w:rsidRPr="00DD448A">
        <w:rPr>
          <w:rFonts w:ascii="Arial" w:hAnsi="Arial" w:cs="Arial"/>
          <w:kern w:val="1"/>
          <w:sz w:val="22"/>
          <w:szCs w:val="22"/>
        </w:rPr>
        <w:t>Abalovich</w:t>
      </w:r>
      <w:proofErr w:type="spellEnd"/>
      <w:r w:rsidRPr="00DD448A">
        <w:rPr>
          <w:rFonts w:ascii="Arial" w:hAnsi="Arial" w:cs="Arial"/>
          <w:kern w:val="1"/>
          <w:sz w:val="22"/>
          <w:szCs w:val="22"/>
        </w:rPr>
        <w:t xml:space="preserve"> M, Alexander EK, Amino N, Barbour L, Cobin RH, Eastman CJ, Lazarus JH, Luton D, Mandel SJ, </w:t>
      </w:r>
      <w:proofErr w:type="spellStart"/>
      <w:r w:rsidRPr="00DD448A">
        <w:rPr>
          <w:rFonts w:ascii="Arial" w:hAnsi="Arial" w:cs="Arial"/>
          <w:kern w:val="1"/>
          <w:sz w:val="22"/>
          <w:szCs w:val="22"/>
        </w:rPr>
        <w:t>Mestman</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Rovet</w:t>
      </w:r>
      <w:proofErr w:type="spellEnd"/>
      <w:r w:rsidRPr="00DD448A">
        <w:rPr>
          <w:rFonts w:ascii="Arial" w:hAnsi="Arial" w:cs="Arial"/>
          <w:kern w:val="1"/>
          <w:sz w:val="22"/>
          <w:szCs w:val="22"/>
        </w:rPr>
        <w:t xml:space="preserve"> J, Sullivan S. Management of thyroid dysfunction during pregnancy and postpartum: an Endocrine Society clinical practice guideline.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2012;97(8):2543-2565.</w:t>
      </w:r>
    </w:p>
    <w:p w14:paraId="7AC6EC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77.</w:t>
      </w:r>
      <w:r w:rsidRPr="00DD448A">
        <w:rPr>
          <w:rFonts w:ascii="Arial" w:hAnsi="Arial" w:cs="Arial"/>
          <w:kern w:val="1"/>
          <w:sz w:val="22"/>
          <w:szCs w:val="22"/>
        </w:rPr>
        <w:tab/>
        <w:t xml:space="preserve">Klee GG. Clinical usage recommendations and analytic performance goals for total and free triiodothyronine measurements.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1996;42(1):155-159.</w:t>
      </w:r>
    </w:p>
    <w:p w14:paraId="3C69522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78.</w:t>
      </w:r>
      <w:r w:rsidRPr="00DD448A">
        <w:rPr>
          <w:rFonts w:ascii="Arial" w:hAnsi="Arial" w:cs="Arial"/>
          <w:kern w:val="1"/>
          <w:sz w:val="22"/>
          <w:szCs w:val="22"/>
        </w:rPr>
        <w:tab/>
        <w:t xml:space="preserve">Welsh KJ, Soldin SJ. Diagnosis of Endocrine Disease: How reliable are free thyroid and total T3 hormone assays?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2016;175(6):R255-r263.</w:t>
      </w:r>
    </w:p>
    <w:p w14:paraId="2F81F39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79.</w:t>
      </w:r>
      <w:r w:rsidRPr="00DD448A">
        <w:rPr>
          <w:rFonts w:ascii="Arial" w:hAnsi="Arial" w:cs="Arial"/>
          <w:kern w:val="1"/>
          <w:sz w:val="22"/>
          <w:szCs w:val="22"/>
        </w:rPr>
        <w:tab/>
        <w:t xml:space="preserve">Ekins R. Measurement of free hormones in blood.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1990;11(1):5-46.</w:t>
      </w:r>
    </w:p>
    <w:p w14:paraId="276ADBF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80.</w:t>
      </w:r>
      <w:r w:rsidRPr="00DD448A">
        <w:rPr>
          <w:rFonts w:ascii="Arial" w:hAnsi="Arial" w:cs="Arial"/>
          <w:kern w:val="1"/>
          <w:sz w:val="22"/>
          <w:szCs w:val="22"/>
        </w:rPr>
        <w:tab/>
        <w:t xml:space="preserve">Faix JD. Principles and pitfalls of free hormone measurements.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2013;27(5):631-645.</w:t>
      </w:r>
    </w:p>
    <w:p w14:paraId="49868DF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81.</w:t>
      </w:r>
      <w:r w:rsidRPr="00DD448A">
        <w:rPr>
          <w:rFonts w:ascii="Arial" w:hAnsi="Arial" w:cs="Arial"/>
          <w:kern w:val="1"/>
          <w:sz w:val="22"/>
          <w:szCs w:val="22"/>
        </w:rPr>
        <w:tab/>
        <w:t xml:space="preserve">Sterling K, Brenner MA. Free thyroxine in human serum: simplified measurement with the aid of magnesium precipitation.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1966;45(1):153-163.</w:t>
      </w:r>
    </w:p>
    <w:p w14:paraId="4A003B4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82.</w:t>
      </w:r>
      <w:r w:rsidRPr="00DD448A">
        <w:rPr>
          <w:rFonts w:ascii="Arial" w:hAnsi="Arial" w:cs="Arial"/>
          <w:kern w:val="1"/>
          <w:sz w:val="22"/>
          <w:szCs w:val="22"/>
        </w:rPr>
        <w:tab/>
        <w:t xml:space="preserve">Nelson JC, Weiss RM. The effect of serum dilution on free thyroxine (T4) concentration in the low T4 syndrome of nonthyroidal illness.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1985;61(2):239-246.</w:t>
      </w:r>
    </w:p>
    <w:p w14:paraId="05EE0B4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83.</w:t>
      </w:r>
      <w:r w:rsidRPr="00DD448A">
        <w:rPr>
          <w:rFonts w:ascii="Arial" w:hAnsi="Arial" w:cs="Arial"/>
          <w:kern w:val="1"/>
          <w:sz w:val="22"/>
          <w:szCs w:val="22"/>
        </w:rPr>
        <w:tab/>
      </w:r>
      <w:proofErr w:type="spellStart"/>
      <w:r w:rsidRPr="00DD448A">
        <w:rPr>
          <w:rFonts w:ascii="Arial" w:hAnsi="Arial" w:cs="Arial"/>
          <w:kern w:val="1"/>
          <w:sz w:val="22"/>
          <w:szCs w:val="22"/>
        </w:rPr>
        <w:t>Sophianopoulos</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Jerkunica</w:t>
      </w:r>
      <w:proofErr w:type="spellEnd"/>
      <w:r w:rsidRPr="00DD448A">
        <w:rPr>
          <w:rFonts w:ascii="Arial" w:hAnsi="Arial" w:cs="Arial"/>
          <w:kern w:val="1"/>
          <w:sz w:val="22"/>
          <w:szCs w:val="22"/>
        </w:rPr>
        <w:t xml:space="preserve"> I, Lee CN, </w:t>
      </w:r>
      <w:proofErr w:type="spellStart"/>
      <w:r w:rsidRPr="00DD448A">
        <w:rPr>
          <w:rFonts w:ascii="Arial" w:hAnsi="Arial" w:cs="Arial"/>
          <w:kern w:val="1"/>
          <w:sz w:val="22"/>
          <w:szCs w:val="22"/>
        </w:rPr>
        <w:t>Sgoutas</w:t>
      </w:r>
      <w:proofErr w:type="spellEnd"/>
      <w:r w:rsidRPr="00DD448A">
        <w:rPr>
          <w:rFonts w:ascii="Arial" w:hAnsi="Arial" w:cs="Arial"/>
          <w:kern w:val="1"/>
          <w:sz w:val="22"/>
          <w:szCs w:val="22"/>
        </w:rPr>
        <w:t xml:space="preserve"> D. An improved ultrafiltration method for free thyroxine and triiodothyronine in serum.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1980;26(1):159-162.</w:t>
      </w:r>
    </w:p>
    <w:p w14:paraId="1832598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84.</w:t>
      </w:r>
      <w:r w:rsidRPr="00DD448A">
        <w:rPr>
          <w:rFonts w:ascii="Arial" w:hAnsi="Arial" w:cs="Arial"/>
          <w:kern w:val="1"/>
          <w:sz w:val="22"/>
          <w:szCs w:val="22"/>
        </w:rPr>
        <w:tab/>
        <w:t xml:space="preserve">Wang YS, Hershman JM, </w:t>
      </w:r>
      <w:proofErr w:type="spellStart"/>
      <w:r w:rsidRPr="00DD448A">
        <w:rPr>
          <w:rFonts w:ascii="Arial" w:hAnsi="Arial" w:cs="Arial"/>
          <w:kern w:val="1"/>
          <w:sz w:val="22"/>
          <w:szCs w:val="22"/>
        </w:rPr>
        <w:t>Pekary</w:t>
      </w:r>
      <w:proofErr w:type="spellEnd"/>
      <w:r w:rsidRPr="00DD448A">
        <w:rPr>
          <w:rFonts w:ascii="Arial" w:hAnsi="Arial" w:cs="Arial"/>
          <w:kern w:val="1"/>
          <w:sz w:val="22"/>
          <w:szCs w:val="22"/>
        </w:rPr>
        <w:t xml:space="preserve"> AE. Improved ultrafiltration method for simultaneous measurement of free thyroxin and free triiodothyronine in serum.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1985;31(4):517-522.</w:t>
      </w:r>
    </w:p>
    <w:p w14:paraId="5EA1BAF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85.</w:t>
      </w:r>
      <w:r w:rsidRPr="00DD448A">
        <w:rPr>
          <w:rFonts w:ascii="Arial" w:hAnsi="Arial" w:cs="Arial"/>
          <w:kern w:val="1"/>
          <w:sz w:val="22"/>
          <w:szCs w:val="22"/>
        </w:rPr>
        <w:tab/>
        <w:t xml:space="preserve">Weeke J, Boye N, Orskov H. Ultrafiltration method for direct radioimmunoassay measurement of free thyroxine and free tri-iodothyronine in serum. </w:t>
      </w:r>
      <w:r w:rsidRPr="00DD448A">
        <w:rPr>
          <w:rFonts w:ascii="Arial" w:hAnsi="Arial" w:cs="Arial"/>
          <w:iCs/>
          <w:kern w:val="1"/>
          <w:sz w:val="22"/>
          <w:szCs w:val="22"/>
        </w:rPr>
        <w:t>Scand J Clin Lab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1986;46(4):381-389.</w:t>
      </w:r>
    </w:p>
    <w:p w14:paraId="7D8E08D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86.</w:t>
      </w:r>
      <w:r w:rsidRPr="00DD448A">
        <w:rPr>
          <w:rFonts w:ascii="Arial" w:hAnsi="Arial" w:cs="Arial"/>
          <w:kern w:val="1"/>
          <w:sz w:val="22"/>
          <w:szCs w:val="22"/>
        </w:rPr>
        <w:tab/>
      </w:r>
      <w:proofErr w:type="spellStart"/>
      <w:r w:rsidRPr="00DD448A">
        <w:rPr>
          <w:rFonts w:ascii="Arial" w:hAnsi="Arial" w:cs="Arial"/>
          <w:kern w:val="1"/>
          <w:sz w:val="22"/>
          <w:szCs w:val="22"/>
        </w:rPr>
        <w:t>Romelli</w:t>
      </w:r>
      <w:proofErr w:type="spellEnd"/>
      <w:r w:rsidRPr="00DD448A">
        <w:rPr>
          <w:rFonts w:ascii="Arial" w:hAnsi="Arial" w:cs="Arial"/>
          <w:kern w:val="1"/>
          <w:sz w:val="22"/>
          <w:szCs w:val="22"/>
        </w:rPr>
        <w:t xml:space="preserve"> PB, Pennisi F, Vancheri L. Measurement of free thyroid hormones in serum by column adsorption chromatography and radioimmunoassay.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1979;2(1):25-40.</w:t>
      </w:r>
    </w:p>
    <w:p w14:paraId="4CF6170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87.</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Van </w:t>
      </w:r>
      <w:proofErr w:type="spellStart"/>
      <w:r w:rsidRPr="00DD448A">
        <w:rPr>
          <w:rFonts w:ascii="Arial" w:hAnsi="Arial" w:cs="Arial"/>
          <w:kern w:val="1"/>
          <w:sz w:val="22"/>
          <w:szCs w:val="22"/>
        </w:rPr>
        <w:t>Houcke</w:t>
      </w:r>
      <w:proofErr w:type="spellEnd"/>
      <w:r w:rsidRPr="00DD448A">
        <w:rPr>
          <w:rFonts w:ascii="Arial" w:hAnsi="Arial" w:cs="Arial"/>
          <w:kern w:val="1"/>
          <w:sz w:val="22"/>
          <w:szCs w:val="22"/>
        </w:rPr>
        <w:t xml:space="preserve"> S, Das B, Faix JD, </w:t>
      </w:r>
      <w:proofErr w:type="spellStart"/>
      <w:r w:rsidRPr="00DD448A">
        <w:rPr>
          <w:rFonts w:ascii="Arial" w:hAnsi="Arial" w:cs="Arial"/>
          <w:kern w:val="1"/>
          <w:sz w:val="22"/>
          <w:szCs w:val="22"/>
        </w:rPr>
        <w:t>MacKenzie</w:t>
      </w:r>
      <w:proofErr w:type="spellEnd"/>
      <w:r w:rsidRPr="00DD448A">
        <w:rPr>
          <w:rFonts w:ascii="Arial" w:hAnsi="Arial" w:cs="Arial"/>
          <w:kern w:val="1"/>
          <w:sz w:val="22"/>
          <w:szCs w:val="22"/>
        </w:rPr>
        <w:t xml:space="preserve"> F, Quinn FA, Rottmann M, Van den Bruel A. A Progress Report of the IFCC Committee for Standardization of Thyroid Function Tests.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2014;3(2):109-116.</w:t>
      </w:r>
    </w:p>
    <w:p w14:paraId="17DDD87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88.</w:t>
      </w:r>
      <w:r w:rsidRPr="00DD448A">
        <w:rPr>
          <w:rFonts w:ascii="Arial" w:hAnsi="Arial" w:cs="Arial"/>
          <w:kern w:val="1"/>
          <w:sz w:val="22"/>
          <w:szCs w:val="22"/>
        </w:rPr>
        <w:tab/>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KV, Grande LD, Reynders D, Das B, Faix J, </w:t>
      </w:r>
      <w:proofErr w:type="spellStart"/>
      <w:r w:rsidRPr="00DD448A">
        <w:rPr>
          <w:rFonts w:ascii="Arial" w:hAnsi="Arial" w:cs="Arial"/>
          <w:kern w:val="1"/>
          <w:sz w:val="22"/>
          <w:szCs w:val="22"/>
        </w:rPr>
        <w:t>MacKenzie</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Decallonne</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Hishinuma</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Lapauw</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Taelman</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Crombrugge</w:t>
      </w:r>
      <w:proofErr w:type="spellEnd"/>
      <w:r w:rsidRPr="00DD448A">
        <w:rPr>
          <w:rFonts w:ascii="Arial" w:hAnsi="Arial" w:cs="Arial"/>
          <w:kern w:val="1"/>
          <w:sz w:val="22"/>
          <w:szCs w:val="22"/>
        </w:rPr>
        <w:t xml:space="preserve"> PV, Bruel </w:t>
      </w:r>
      <w:proofErr w:type="spellStart"/>
      <w:r w:rsidRPr="00DD448A">
        <w:rPr>
          <w:rFonts w:ascii="Arial" w:hAnsi="Arial" w:cs="Arial"/>
          <w:kern w:val="1"/>
          <w:sz w:val="22"/>
          <w:szCs w:val="22"/>
        </w:rPr>
        <w:t>AVd</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Velkeniers</w:t>
      </w:r>
      <w:proofErr w:type="spellEnd"/>
      <w:r w:rsidRPr="00DD448A">
        <w:rPr>
          <w:rFonts w:ascii="Arial" w:hAnsi="Arial" w:cs="Arial"/>
          <w:kern w:val="1"/>
          <w:sz w:val="22"/>
          <w:szCs w:val="22"/>
        </w:rPr>
        <w:t xml:space="preserve"> B, Williams P. Harmonization of Serum Thyroid-Stimulating Hormone Measurements Paves the Way for the Adoption of a More Uniform Reference Interval.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2017;63:1248-1260.</w:t>
      </w:r>
    </w:p>
    <w:p w14:paraId="34C6D35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89.</w:t>
      </w:r>
      <w:r w:rsidRPr="00DD448A">
        <w:rPr>
          <w:rFonts w:ascii="Arial" w:hAnsi="Arial" w:cs="Arial"/>
          <w:kern w:val="1"/>
          <w:sz w:val="22"/>
          <w:szCs w:val="22"/>
        </w:rPr>
        <w:tab/>
        <w:t xml:space="preserve">De Grande LAC,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Reynders D, Das B, Faix JD, </w:t>
      </w:r>
      <w:proofErr w:type="spellStart"/>
      <w:r w:rsidRPr="00DD448A">
        <w:rPr>
          <w:rFonts w:ascii="Arial" w:hAnsi="Arial" w:cs="Arial"/>
          <w:kern w:val="1"/>
          <w:sz w:val="22"/>
          <w:szCs w:val="22"/>
        </w:rPr>
        <w:t>MacKenzie</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Decallonne</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Hishinuma</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Lapauw</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Taelman</w:t>
      </w:r>
      <w:proofErr w:type="spellEnd"/>
      <w:r w:rsidRPr="00DD448A">
        <w:rPr>
          <w:rFonts w:ascii="Arial" w:hAnsi="Arial" w:cs="Arial"/>
          <w:kern w:val="1"/>
          <w:sz w:val="22"/>
          <w:szCs w:val="22"/>
        </w:rPr>
        <w:t xml:space="preserve"> P, Van </w:t>
      </w:r>
      <w:proofErr w:type="spellStart"/>
      <w:r w:rsidRPr="00DD448A">
        <w:rPr>
          <w:rFonts w:ascii="Arial" w:hAnsi="Arial" w:cs="Arial"/>
          <w:kern w:val="1"/>
          <w:sz w:val="22"/>
          <w:szCs w:val="22"/>
        </w:rPr>
        <w:t>Crombrugge</w:t>
      </w:r>
      <w:proofErr w:type="spellEnd"/>
      <w:r w:rsidRPr="00DD448A">
        <w:rPr>
          <w:rFonts w:ascii="Arial" w:hAnsi="Arial" w:cs="Arial"/>
          <w:kern w:val="1"/>
          <w:sz w:val="22"/>
          <w:szCs w:val="22"/>
        </w:rPr>
        <w:t xml:space="preserve"> P, Van den Bruel A, </w:t>
      </w:r>
      <w:proofErr w:type="spellStart"/>
      <w:r w:rsidRPr="00DD448A">
        <w:rPr>
          <w:rFonts w:ascii="Arial" w:hAnsi="Arial" w:cs="Arial"/>
          <w:kern w:val="1"/>
          <w:sz w:val="22"/>
          <w:szCs w:val="22"/>
        </w:rPr>
        <w:t>Velkeniers</w:t>
      </w:r>
      <w:proofErr w:type="spellEnd"/>
      <w:r w:rsidRPr="00DD448A">
        <w:rPr>
          <w:rFonts w:ascii="Arial" w:hAnsi="Arial" w:cs="Arial"/>
          <w:kern w:val="1"/>
          <w:sz w:val="22"/>
          <w:szCs w:val="22"/>
        </w:rPr>
        <w:t xml:space="preserve"> B, Williams P,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Standardization of Free Thyroxine Measurements Allows the Adoption of a More Uniform Reference Interval.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2017;63(10):1642-1652.</w:t>
      </w:r>
    </w:p>
    <w:p w14:paraId="4AA625E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90.</w:t>
      </w:r>
      <w:r w:rsidRPr="00DD448A">
        <w:rPr>
          <w:rFonts w:ascii="Arial" w:hAnsi="Arial" w:cs="Arial"/>
          <w:kern w:val="1"/>
          <w:sz w:val="22"/>
          <w:szCs w:val="22"/>
        </w:rPr>
        <w:tab/>
        <w:t xml:space="preserve">Iitaka M, Kawasaki S, Sakurai S, Hara Y, Kuriyama R, Yamanaka K, </w:t>
      </w:r>
      <w:proofErr w:type="spellStart"/>
      <w:r w:rsidRPr="00DD448A">
        <w:rPr>
          <w:rFonts w:ascii="Arial" w:hAnsi="Arial" w:cs="Arial"/>
          <w:kern w:val="1"/>
          <w:sz w:val="22"/>
          <w:szCs w:val="22"/>
        </w:rPr>
        <w:t>Kitahama</w:t>
      </w:r>
      <w:proofErr w:type="spellEnd"/>
      <w:r w:rsidRPr="00DD448A">
        <w:rPr>
          <w:rFonts w:ascii="Arial" w:hAnsi="Arial" w:cs="Arial"/>
          <w:kern w:val="1"/>
          <w:sz w:val="22"/>
          <w:szCs w:val="22"/>
        </w:rPr>
        <w:t xml:space="preserve"> S, Miura S, Kawakami Y, Katayama S. Serum substances that interfere with thyroid hormone assays in patients with chronic renal failure.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1998;48(6):739-746.</w:t>
      </w:r>
    </w:p>
    <w:p w14:paraId="630876A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91.</w:t>
      </w:r>
      <w:r w:rsidRPr="00DD448A">
        <w:rPr>
          <w:rFonts w:ascii="Arial" w:hAnsi="Arial" w:cs="Arial"/>
          <w:kern w:val="1"/>
          <w:sz w:val="22"/>
          <w:szCs w:val="22"/>
        </w:rPr>
        <w:tab/>
        <w:t xml:space="preserve">Moran C, </w:t>
      </w:r>
      <w:proofErr w:type="spellStart"/>
      <w:r w:rsidRPr="00DD448A">
        <w:rPr>
          <w:rFonts w:ascii="Arial" w:hAnsi="Arial" w:cs="Arial"/>
          <w:kern w:val="1"/>
          <w:sz w:val="22"/>
          <w:szCs w:val="22"/>
        </w:rPr>
        <w:t>Schoenmakers</w:t>
      </w:r>
      <w:proofErr w:type="spellEnd"/>
      <w:r w:rsidRPr="00DD448A">
        <w:rPr>
          <w:rFonts w:ascii="Arial" w:hAnsi="Arial" w:cs="Arial"/>
          <w:kern w:val="1"/>
          <w:sz w:val="22"/>
          <w:szCs w:val="22"/>
        </w:rPr>
        <w:t xml:space="preserve"> N, Halsall D, Oddy S, Lyons G, van den Berg S, Gurnell M, Chatterjee K. Approach to the Patient With Raised Thyroid Hormones and </w:t>
      </w:r>
      <w:proofErr w:type="spellStart"/>
      <w:r w:rsidRPr="00DD448A">
        <w:rPr>
          <w:rFonts w:ascii="Arial" w:hAnsi="Arial" w:cs="Arial"/>
          <w:kern w:val="1"/>
          <w:sz w:val="22"/>
          <w:szCs w:val="22"/>
        </w:rPr>
        <w:t>Nonsuppressed</w:t>
      </w:r>
      <w:proofErr w:type="spellEnd"/>
      <w:r w:rsidRPr="00DD448A">
        <w:rPr>
          <w:rFonts w:ascii="Arial" w:hAnsi="Arial" w:cs="Arial"/>
          <w:kern w:val="1"/>
          <w:sz w:val="22"/>
          <w:szCs w:val="22"/>
        </w:rPr>
        <w:t xml:space="preserve"> TSH.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2024;109(4):1094-1108.</w:t>
      </w:r>
    </w:p>
    <w:p w14:paraId="56BC511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92.</w:t>
      </w:r>
      <w:r w:rsidRPr="00DD448A">
        <w:rPr>
          <w:rFonts w:ascii="Arial" w:hAnsi="Arial" w:cs="Arial"/>
          <w:kern w:val="1"/>
          <w:sz w:val="22"/>
          <w:szCs w:val="22"/>
        </w:rPr>
        <w:tab/>
        <w:t xml:space="preserve">Nelson JC, Tomei RT. Direct determination of free thyroxin in undiluted serum by equilibrium dialysis/radioimmunoassay.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1988;34(9):1737-1744.</w:t>
      </w:r>
    </w:p>
    <w:p w14:paraId="11808FB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93.</w:t>
      </w:r>
      <w:r w:rsidRPr="00DD448A">
        <w:rPr>
          <w:rFonts w:ascii="Arial" w:hAnsi="Arial" w:cs="Arial"/>
          <w:kern w:val="1"/>
          <w:sz w:val="22"/>
          <w:szCs w:val="22"/>
        </w:rPr>
        <w:tab/>
        <w:t xml:space="preserve">Hopley CJ, Stokes P, Webb KS, Baynham M. The analysis of thyroxine in human serum by an 'exact matching' isotope dilution method with liquid chromatography/tandem mass spectrometry. </w:t>
      </w:r>
      <w:r w:rsidRPr="00DD448A">
        <w:rPr>
          <w:rFonts w:ascii="Arial" w:hAnsi="Arial" w:cs="Arial"/>
          <w:iCs/>
          <w:kern w:val="1"/>
          <w:sz w:val="22"/>
          <w:szCs w:val="22"/>
        </w:rPr>
        <w:t xml:space="preserve">Rapid Commun Mass </w:t>
      </w:r>
      <w:proofErr w:type="spellStart"/>
      <w:r w:rsidRPr="00DD448A">
        <w:rPr>
          <w:rFonts w:ascii="Arial" w:hAnsi="Arial" w:cs="Arial"/>
          <w:iCs/>
          <w:kern w:val="1"/>
          <w:sz w:val="22"/>
          <w:szCs w:val="22"/>
        </w:rPr>
        <w:t>Spectrom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2004;18(10):1033-1038.</w:t>
      </w:r>
    </w:p>
    <w:p w14:paraId="0C16329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94.</w:t>
      </w:r>
      <w:r w:rsidRPr="00DD448A">
        <w:rPr>
          <w:rFonts w:ascii="Arial" w:hAnsi="Arial" w:cs="Arial"/>
          <w:kern w:val="1"/>
          <w:sz w:val="22"/>
          <w:szCs w:val="22"/>
        </w:rPr>
        <w:tab/>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Kahric-Janicic</w:t>
      </w:r>
      <w:proofErr w:type="spellEnd"/>
      <w:r w:rsidRPr="00DD448A">
        <w:rPr>
          <w:rFonts w:ascii="Arial" w:hAnsi="Arial" w:cs="Arial"/>
          <w:kern w:val="1"/>
          <w:sz w:val="22"/>
          <w:szCs w:val="22"/>
        </w:rPr>
        <w:t xml:space="preserve"> N, Soldin OP, Soldin SJ. Correlations of free thyroid hormones measured by tandem mass spectrometry and immunoassay with thyroid-stimulating hormone across 4 patient populations.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2009;55(7):1380-1388.</w:t>
      </w:r>
    </w:p>
    <w:p w14:paraId="4A9F1C1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95.</w:t>
      </w:r>
      <w:r w:rsidRPr="00DD448A">
        <w:rPr>
          <w:rFonts w:ascii="Arial" w:hAnsi="Arial" w:cs="Arial"/>
          <w:kern w:val="1"/>
          <w:sz w:val="22"/>
          <w:szCs w:val="22"/>
        </w:rPr>
        <w:tab/>
        <w:t xml:space="preserve">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Stöckl D, Ross HA,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Use of frozen sera for FT4 standardization: investigation by equilibrium dialysis combined with isotope dilution-mass spectrometry and immunoassay.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2006;52(9):1817-1821.</w:t>
      </w:r>
    </w:p>
    <w:p w14:paraId="5505DE1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96.</w:t>
      </w:r>
      <w:r w:rsidRPr="00DD448A">
        <w:rPr>
          <w:rFonts w:ascii="Arial" w:hAnsi="Arial" w:cs="Arial"/>
          <w:kern w:val="1"/>
          <w:sz w:val="22"/>
          <w:szCs w:val="22"/>
        </w:rPr>
        <w:tab/>
        <w:t xml:space="preserve">Yue B, Rockwood AL, Sandrock T, </w:t>
      </w:r>
      <w:proofErr w:type="spellStart"/>
      <w:r w:rsidRPr="00DD448A">
        <w:rPr>
          <w:rFonts w:ascii="Arial" w:hAnsi="Arial" w:cs="Arial"/>
          <w:kern w:val="1"/>
          <w:sz w:val="22"/>
          <w:szCs w:val="22"/>
        </w:rPr>
        <w:t>La'ulu</w:t>
      </w:r>
      <w:proofErr w:type="spellEnd"/>
      <w:r w:rsidRPr="00DD448A">
        <w:rPr>
          <w:rFonts w:ascii="Arial" w:hAnsi="Arial" w:cs="Arial"/>
          <w:kern w:val="1"/>
          <w:sz w:val="22"/>
          <w:szCs w:val="22"/>
        </w:rPr>
        <w:t xml:space="preserve"> SL, Kushnir MM, Meikle AW. Free thyroid hormones in serum by direct equilibrium dialysis and online solid-phase extraction--liquid chromatography/tandem mass spectrometry.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2008;54(4):642-651.</w:t>
      </w:r>
    </w:p>
    <w:p w14:paraId="5D2637F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97.</w:t>
      </w:r>
      <w:r w:rsidRPr="00DD448A">
        <w:rPr>
          <w:rFonts w:ascii="Arial" w:hAnsi="Arial" w:cs="Arial"/>
          <w:kern w:val="1"/>
          <w:sz w:val="22"/>
          <w:szCs w:val="22"/>
        </w:rPr>
        <w:tab/>
      </w:r>
      <w:proofErr w:type="spellStart"/>
      <w:r w:rsidRPr="00DD448A">
        <w:rPr>
          <w:rFonts w:ascii="Arial" w:hAnsi="Arial" w:cs="Arial"/>
          <w:kern w:val="1"/>
          <w:sz w:val="22"/>
          <w:szCs w:val="22"/>
        </w:rPr>
        <w:t>Christofides</w:t>
      </w:r>
      <w:proofErr w:type="spellEnd"/>
      <w:r w:rsidRPr="00DD448A">
        <w:rPr>
          <w:rFonts w:ascii="Arial" w:hAnsi="Arial" w:cs="Arial"/>
          <w:kern w:val="1"/>
          <w:sz w:val="22"/>
          <w:szCs w:val="22"/>
        </w:rPr>
        <w:t xml:space="preserve"> ND, Midgley JE. Inaccuracies in free thyroid hormone measurement by ultrafiltration and tandem mass spectrometry.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2009;55(12):2228-2229; author reply 2229-2230.</w:t>
      </w:r>
    </w:p>
    <w:p w14:paraId="1E3D617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98.</w:t>
      </w:r>
      <w:r w:rsidRPr="00DD448A">
        <w:rPr>
          <w:rFonts w:ascii="Arial" w:hAnsi="Arial" w:cs="Arial"/>
          <w:kern w:val="1"/>
          <w:sz w:val="22"/>
          <w:szCs w:val="22"/>
        </w:rPr>
        <w:tab/>
      </w:r>
      <w:proofErr w:type="spellStart"/>
      <w:r w:rsidRPr="00DD448A">
        <w:rPr>
          <w:rFonts w:ascii="Arial" w:hAnsi="Arial" w:cs="Arial"/>
          <w:kern w:val="1"/>
          <w:sz w:val="22"/>
          <w:szCs w:val="22"/>
        </w:rPr>
        <w:t>Tikanoja</w:t>
      </w:r>
      <w:proofErr w:type="spellEnd"/>
      <w:r w:rsidRPr="00DD448A">
        <w:rPr>
          <w:rFonts w:ascii="Arial" w:hAnsi="Arial" w:cs="Arial"/>
          <w:kern w:val="1"/>
          <w:sz w:val="22"/>
          <w:szCs w:val="22"/>
        </w:rPr>
        <w:t xml:space="preserve"> S. Ultrafiltration devices tested for use in a free thyroxine assay validated by comparison with equilibrium dialysis. </w:t>
      </w:r>
      <w:r w:rsidRPr="00DD448A">
        <w:rPr>
          <w:rFonts w:ascii="Arial" w:hAnsi="Arial" w:cs="Arial"/>
          <w:iCs/>
          <w:kern w:val="1"/>
          <w:sz w:val="22"/>
          <w:szCs w:val="22"/>
        </w:rPr>
        <w:t>Scand J Clin Lab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1990;50(6):663-669.</w:t>
      </w:r>
    </w:p>
    <w:p w14:paraId="33CFB85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99.</w:t>
      </w:r>
      <w:r w:rsidRPr="00DD448A">
        <w:rPr>
          <w:rFonts w:ascii="Arial" w:hAnsi="Arial" w:cs="Arial"/>
          <w:kern w:val="1"/>
          <w:sz w:val="22"/>
          <w:szCs w:val="22"/>
        </w:rPr>
        <w:tab/>
        <w:t xml:space="preserve">Fritz KS, Wilcox RB, Nelson JC. Quantifying spurious free T4 results attributable to thyroxine-binding proteins in serum dialysates and ultrafiltrates.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2007;53(5):985-988.</w:t>
      </w:r>
    </w:p>
    <w:p w14:paraId="42DFB35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100.</w:t>
      </w:r>
      <w:r w:rsidRPr="00DD448A">
        <w:rPr>
          <w:rFonts w:ascii="Arial" w:hAnsi="Arial" w:cs="Arial"/>
          <w:kern w:val="1"/>
          <w:sz w:val="22"/>
          <w:szCs w:val="22"/>
        </w:rPr>
        <w:tab/>
      </w:r>
      <w:proofErr w:type="spellStart"/>
      <w:r w:rsidRPr="00DD448A">
        <w:rPr>
          <w:rFonts w:ascii="Arial" w:hAnsi="Arial" w:cs="Arial"/>
          <w:kern w:val="1"/>
          <w:sz w:val="22"/>
          <w:szCs w:val="22"/>
        </w:rPr>
        <w:t>Tractenberg</w:t>
      </w:r>
      <w:proofErr w:type="spellEnd"/>
      <w:r w:rsidRPr="00DD448A">
        <w:rPr>
          <w:rFonts w:ascii="Arial" w:hAnsi="Arial" w:cs="Arial"/>
          <w:kern w:val="1"/>
          <w:sz w:val="22"/>
          <w:szCs w:val="22"/>
        </w:rPr>
        <w:t xml:space="preserve"> RE, </w:t>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Soldin SJ. Agreement of immunoassay and tandem mass spectrometry in the analysis of cortisol and free t4: interpretation and implications for clinicians. </w:t>
      </w:r>
      <w:r w:rsidRPr="00DD448A">
        <w:rPr>
          <w:rFonts w:ascii="Arial" w:hAnsi="Arial" w:cs="Arial"/>
          <w:iCs/>
          <w:kern w:val="1"/>
          <w:sz w:val="22"/>
          <w:szCs w:val="22"/>
        </w:rPr>
        <w:t>Int J Anal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2010;2010.</w:t>
      </w:r>
    </w:p>
    <w:p w14:paraId="1AF0640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101.</w:t>
      </w:r>
      <w:r w:rsidRPr="00DD448A">
        <w:rPr>
          <w:rFonts w:ascii="Arial" w:hAnsi="Arial" w:cs="Arial"/>
          <w:kern w:val="1"/>
          <w:sz w:val="22"/>
          <w:szCs w:val="22"/>
        </w:rPr>
        <w:tab/>
      </w:r>
      <w:proofErr w:type="spellStart"/>
      <w:r w:rsidRPr="00DD448A">
        <w:rPr>
          <w:rFonts w:ascii="Arial" w:hAnsi="Arial" w:cs="Arial"/>
          <w:kern w:val="1"/>
          <w:sz w:val="22"/>
          <w:szCs w:val="22"/>
        </w:rPr>
        <w:t>Tuttlebee</w:t>
      </w:r>
      <w:proofErr w:type="spellEnd"/>
      <w:r w:rsidRPr="00DD448A">
        <w:rPr>
          <w:rFonts w:ascii="Arial" w:hAnsi="Arial" w:cs="Arial"/>
          <w:kern w:val="1"/>
          <w:sz w:val="22"/>
          <w:szCs w:val="22"/>
        </w:rPr>
        <w:t xml:space="preserve"> J, R B. A comparison of free thyroxine concentration and the free thyroxine index as diagnostic tests of thyroid function.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1981;18:88-92.</w:t>
      </w:r>
    </w:p>
    <w:p w14:paraId="133B373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102.</w:t>
      </w:r>
      <w:r w:rsidRPr="00DD448A">
        <w:rPr>
          <w:rFonts w:ascii="Arial" w:hAnsi="Arial" w:cs="Arial"/>
          <w:kern w:val="1"/>
          <w:sz w:val="22"/>
          <w:szCs w:val="22"/>
        </w:rPr>
        <w:tab/>
        <w:t xml:space="preserve">Roberts RF, </w:t>
      </w:r>
      <w:proofErr w:type="spellStart"/>
      <w:r w:rsidRPr="00DD448A">
        <w:rPr>
          <w:rFonts w:ascii="Arial" w:hAnsi="Arial" w:cs="Arial"/>
          <w:kern w:val="1"/>
          <w:sz w:val="22"/>
          <w:szCs w:val="22"/>
        </w:rPr>
        <w:t>La'ulu</w:t>
      </w:r>
      <w:proofErr w:type="spellEnd"/>
      <w:r w:rsidRPr="00DD448A">
        <w:rPr>
          <w:rFonts w:ascii="Arial" w:hAnsi="Arial" w:cs="Arial"/>
          <w:kern w:val="1"/>
          <w:sz w:val="22"/>
          <w:szCs w:val="22"/>
        </w:rPr>
        <w:t xml:space="preserve"> SL, Roberts WL. Performance characteristics of seven automated thyroxine and T-uptake methods.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2007;377(1-2):248-255.</w:t>
      </w:r>
    </w:p>
    <w:p w14:paraId="61C11EE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103.</w:t>
      </w:r>
      <w:r w:rsidRPr="00DD448A">
        <w:rPr>
          <w:rFonts w:ascii="Arial" w:hAnsi="Arial" w:cs="Arial"/>
          <w:kern w:val="1"/>
          <w:sz w:val="22"/>
          <w:szCs w:val="22"/>
        </w:rPr>
        <w:tab/>
        <w:t xml:space="preserve">Nelson JC, Tomei RT. Dependence of the thyroxin/thyroxin-binding globulin (TBG) ratio and the free thyroxin index on TBG concentrations.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1989;35(4):541-544.</w:t>
      </w:r>
    </w:p>
    <w:p w14:paraId="48CC58E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104.</w:t>
      </w:r>
      <w:r w:rsidRPr="00DD448A">
        <w:rPr>
          <w:rFonts w:ascii="Arial" w:hAnsi="Arial" w:cs="Arial"/>
          <w:kern w:val="1"/>
          <w:sz w:val="22"/>
          <w:szCs w:val="22"/>
        </w:rPr>
        <w:tab/>
      </w:r>
      <w:proofErr w:type="spellStart"/>
      <w:r w:rsidRPr="00DD448A">
        <w:rPr>
          <w:rFonts w:ascii="Arial" w:hAnsi="Arial" w:cs="Arial"/>
          <w:kern w:val="1"/>
          <w:sz w:val="22"/>
          <w:szCs w:val="22"/>
        </w:rPr>
        <w:t>Stockigt</w:t>
      </w:r>
      <w:proofErr w:type="spellEnd"/>
      <w:r w:rsidRPr="00DD448A">
        <w:rPr>
          <w:rFonts w:ascii="Arial" w:hAnsi="Arial" w:cs="Arial"/>
          <w:kern w:val="1"/>
          <w:sz w:val="22"/>
          <w:szCs w:val="22"/>
        </w:rPr>
        <w:t xml:space="preserve"> JR, Lim CF. Medications that distort in vitro tests of thyroid function, with particular reference to estimates of serum free thyroxine.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2009;23(6):753-767.</w:t>
      </w:r>
    </w:p>
    <w:p w14:paraId="627BFBA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105.</w:t>
      </w:r>
      <w:r w:rsidRPr="00DD448A">
        <w:rPr>
          <w:rFonts w:ascii="Arial" w:hAnsi="Arial" w:cs="Arial"/>
          <w:kern w:val="1"/>
          <w:sz w:val="22"/>
          <w:szCs w:val="22"/>
        </w:rPr>
        <w:tab/>
        <w:t xml:space="preserve">Cartwright D, O'Shea P, </w:t>
      </w:r>
      <w:proofErr w:type="spellStart"/>
      <w:r w:rsidRPr="00DD448A">
        <w:rPr>
          <w:rFonts w:ascii="Arial" w:hAnsi="Arial" w:cs="Arial"/>
          <w:kern w:val="1"/>
          <w:sz w:val="22"/>
          <w:szCs w:val="22"/>
        </w:rPr>
        <w:t>Rajanayagam</w:t>
      </w:r>
      <w:proofErr w:type="spellEnd"/>
      <w:r w:rsidRPr="00DD448A">
        <w:rPr>
          <w:rFonts w:ascii="Arial" w:hAnsi="Arial" w:cs="Arial"/>
          <w:kern w:val="1"/>
          <w:sz w:val="22"/>
          <w:szCs w:val="22"/>
        </w:rPr>
        <w:t xml:space="preserve"> O, Agostini M, Barker P, Moran C, Macchia E, Pinchera A, John R, Agha A, Ross HA, Chatterjee VK, Halsall DJ.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a persistent diagnostic challenge.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2009;55(5):1044-1046.</w:t>
      </w:r>
    </w:p>
    <w:p w14:paraId="4971E5B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106.</w:t>
      </w:r>
      <w:r w:rsidRPr="00DD448A">
        <w:rPr>
          <w:rFonts w:ascii="Arial" w:hAnsi="Arial" w:cs="Arial"/>
          <w:kern w:val="1"/>
          <w:sz w:val="22"/>
          <w:szCs w:val="22"/>
        </w:rPr>
        <w:tab/>
      </w:r>
      <w:proofErr w:type="spellStart"/>
      <w:r w:rsidRPr="00DD448A">
        <w:rPr>
          <w:rFonts w:ascii="Arial" w:hAnsi="Arial" w:cs="Arial"/>
          <w:kern w:val="1"/>
          <w:sz w:val="22"/>
          <w:szCs w:val="22"/>
        </w:rPr>
        <w:t>D'Aurizio</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Kratzsch</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Gruson</w:t>
      </w:r>
      <w:proofErr w:type="spellEnd"/>
      <w:r w:rsidRPr="00DD448A">
        <w:rPr>
          <w:rFonts w:ascii="Arial" w:hAnsi="Arial" w:cs="Arial"/>
          <w:kern w:val="1"/>
          <w:sz w:val="22"/>
          <w:szCs w:val="22"/>
        </w:rPr>
        <w:t xml:space="preserve"> D, Petranović </w:t>
      </w:r>
      <w:proofErr w:type="spellStart"/>
      <w:r w:rsidRPr="00DD448A">
        <w:rPr>
          <w:rFonts w:ascii="Arial" w:hAnsi="Arial" w:cs="Arial"/>
          <w:kern w:val="1"/>
          <w:sz w:val="22"/>
          <w:szCs w:val="22"/>
        </w:rPr>
        <w:t>Ovčariček</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Free thyroxine measurement in clinical practice: how to optimize indications, analytical procedures, and interpretation criteria while waiting for global standardization. </w:t>
      </w:r>
      <w:r w:rsidRPr="00DD448A">
        <w:rPr>
          <w:rFonts w:ascii="Arial" w:hAnsi="Arial" w:cs="Arial"/>
          <w:iCs/>
          <w:kern w:val="1"/>
          <w:sz w:val="22"/>
          <w:szCs w:val="22"/>
        </w:rPr>
        <w:t>Crit Rev Clin Lab Sci</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2023;60(2):101-140.</w:t>
      </w:r>
    </w:p>
    <w:p w14:paraId="3185C81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107.</w:t>
      </w:r>
      <w:r w:rsidRPr="00DD448A">
        <w:rPr>
          <w:rFonts w:ascii="Arial" w:hAnsi="Arial" w:cs="Arial"/>
          <w:kern w:val="1"/>
          <w:sz w:val="22"/>
          <w:szCs w:val="22"/>
        </w:rPr>
        <w:tab/>
        <w:t xml:space="preserve">Felicetta JV, Green WL. Value of free thyroxine index. </w:t>
      </w:r>
      <w:r w:rsidRPr="00DD448A">
        <w:rPr>
          <w:rFonts w:ascii="Arial" w:hAnsi="Arial" w:cs="Arial"/>
          <w:iCs/>
          <w:kern w:val="1"/>
          <w:sz w:val="22"/>
          <w:szCs w:val="22"/>
        </w:rPr>
        <w:t>N Engl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1980;302(26):1480-1481.</w:t>
      </w:r>
    </w:p>
    <w:p w14:paraId="7458E4F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108.</w:t>
      </w:r>
      <w:r w:rsidRPr="00DD448A">
        <w:rPr>
          <w:rFonts w:ascii="Arial" w:hAnsi="Arial" w:cs="Arial"/>
          <w:kern w:val="1"/>
          <w:sz w:val="22"/>
          <w:szCs w:val="22"/>
        </w:rPr>
        <w:tab/>
        <w:t xml:space="preserve">Larsen PR, Alexander NM, Chopra IJ, Hay ID, Hershman JM, Kaplan MM, </w:t>
      </w:r>
      <w:proofErr w:type="spellStart"/>
      <w:r w:rsidRPr="00DD448A">
        <w:rPr>
          <w:rFonts w:ascii="Arial" w:hAnsi="Arial" w:cs="Arial"/>
          <w:kern w:val="1"/>
          <w:sz w:val="22"/>
          <w:szCs w:val="22"/>
        </w:rPr>
        <w:t>Mariash</w:t>
      </w:r>
      <w:proofErr w:type="spellEnd"/>
      <w:r w:rsidRPr="00DD448A">
        <w:rPr>
          <w:rFonts w:ascii="Arial" w:hAnsi="Arial" w:cs="Arial"/>
          <w:kern w:val="1"/>
          <w:sz w:val="22"/>
          <w:szCs w:val="22"/>
        </w:rPr>
        <w:t xml:space="preserve"> CN, Nicoloff JT, Oppenheimer JH, Solomon DH, et al. Revised nomenclature for tests of thyroid hormones and thyroid-related proteins in serum.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1987;64(5):1089-1094.</w:t>
      </w:r>
    </w:p>
    <w:p w14:paraId="1154480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109.</w:t>
      </w:r>
      <w:r w:rsidRPr="00DD448A">
        <w:rPr>
          <w:rFonts w:ascii="Arial" w:hAnsi="Arial" w:cs="Arial"/>
          <w:kern w:val="1"/>
          <w:sz w:val="22"/>
          <w:szCs w:val="22"/>
        </w:rPr>
        <w:tab/>
        <w:t xml:space="preserve">Litherland PG, Bromage NR, Hall RA. Thyroxine binding globulin (TBG) and thyroxine binding prealbumin (TBPA) measurement, compared with the conventional T3 uptake in the diagnosis of thyroid disease.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1982;122(3):345-352.</w:t>
      </w:r>
    </w:p>
    <w:p w14:paraId="695AD5E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110.</w:t>
      </w:r>
      <w:r w:rsidRPr="00DD448A">
        <w:rPr>
          <w:rFonts w:ascii="Arial" w:hAnsi="Arial" w:cs="Arial"/>
          <w:kern w:val="1"/>
          <w:sz w:val="22"/>
          <w:szCs w:val="22"/>
        </w:rPr>
        <w:tab/>
        <w:t xml:space="preserve">Kundra P, Burman KD. The effect of medications on thyroid function tests. </w:t>
      </w:r>
      <w:r w:rsidRPr="00DD448A">
        <w:rPr>
          <w:rFonts w:ascii="Arial" w:hAnsi="Arial" w:cs="Arial"/>
          <w:iCs/>
          <w:kern w:val="1"/>
          <w:sz w:val="22"/>
          <w:szCs w:val="22"/>
        </w:rPr>
        <w:t>Med Clin North Am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2012;96(2):283-295.</w:t>
      </w:r>
    </w:p>
    <w:p w14:paraId="5CCDF29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111.</w:t>
      </w:r>
      <w:r w:rsidRPr="00DD448A">
        <w:rPr>
          <w:rFonts w:ascii="Arial" w:hAnsi="Arial" w:cs="Arial"/>
          <w:kern w:val="1"/>
          <w:sz w:val="22"/>
          <w:szCs w:val="22"/>
        </w:rPr>
        <w:tab/>
        <w:t xml:space="preserve">Witherspoon LR, Shuler SE, Garcia MM. The triiodothyronine uptake test: an assessment of methods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1981;27:1272-1276.</w:t>
      </w:r>
    </w:p>
    <w:p w14:paraId="63DF55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112.</w:t>
      </w:r>
      <w:r w:rsidRPr="00DD448A">
        <w:rPr>
          <w:rFonts w:ascii="Arial" w:hAnsi="Arial" w:cs="Arial"/>
          <w:kern w:val="1"/>
          <w:sz w:val="22"/>
          <w:szCs w:val="22"/>
        </w:rPr>
        <w:tab/>
        <w:t xml:space="preserve">Hay ID, Bayer MF, Kaplan MM, Klee GG, Larsen PR, Spencer CA. American Thyroid Association assessment of current free thyroid hormone and thyrotropin measurements and guidelines for future clinical assays. The Committee on Nomenclature of the American Thyroid Association.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1991;37(11):2002-2008.</w:t>
      </w:r>
    </w:p>
    <w:p w14:paraId="09E9A5F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113.</w:t>
      </w:r>
      <w:r w:rsidRPr="00DD448A">
        <w:rPr>
          <w:rFonts w:ascii="Arial" w:hAnsi="Arial" w:cs="Arial"/>
          <w:kern w:val="1"/>
          <w:sz w:val="22"/>
          <w:szCs w:val="22"/>
        </w:rPr>
        <w:tab/>
        <w:t xml:space="preserve">Midgley JE. Direct and indirect free thyroxine assay methods: theory and practice.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2001;47(8):1353-1363.</w:t>
      </w:r>
    </w:p>
    <w:p w14:paraId="639151F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114.</w:t>
      </w:r>
      <w:r w:rsidRPr="00DD448A">
        <w:rPr>
          <w:rFonts w:ascii="Arial" w:hAnsi="Arial" w:cs="Arial"/>
          <w:kern w:val="1"/>
          <w:sz w:val="22"/>
          <w:szCs w:val="22"/>
        </w:rPr>
        <w:tab/>
      </w:r>
      <w:proofErr w:type="spellStart"/>
      <w:r w:rsidRPr="00DD448A">
        <w:rPr>
          <w:rFonts w:ascii="Arial" w:hAnsi="Arial" w:cs="Arial"/>
          <w:kern w:val="1"/>
          <w:sz w:val="22"/>
          <w:szCs w:val="22"/>
        </w:rPr>
        <w:t>Harpen</w:t>
      </w:r>
      <w:proofErr w:type="spellEnd"/>
      <w:r w:rsidRPr="00DD448A">
        <w:rPr>
          <w:rFonts w:ascii="Arial" w:hAnsi="Arial" w:cs="Arial"/>
          <w:kern w:val="1"/>
          <w:sz w:val="22"/>
          <w:szCs w:val="22"/>
        </w:rPr>
        <w:t xml:space="preserve"> MD, Lee WN, Siegel JA, Greenfield MA. Serum binding of triiodothyronine: theoretical and practical implications for in vitro triiodothyronine uptake. </w:t>
      </w:r>
      <w:r w:rsidRPr="00DD448A">
        <w:rPr>
          <w:rFonts w:ascii="Arial" w:hAnsi="Arial" w:cs="Arial"/>
          <w:iCs/>
          <w:kern w:val="1"/>
          <w:sz w:val="22"/>
          <w:szCs w:val="22"/>
        </w:rPr>
        <w:t>Endocrinology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1982;110(5):1732-1739.</w:t>
      </w:r>
    </w:p>
    <w:p w14:paraId="590365D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115.</w:t>
      </w:r>
      <w:r w:rsidRPr="00DD448A">
        <w:rPr>
          <w:rFonts w:ascii="Arial" w:hAnsi="Arial" w:cs="Arial"/>
          <w:kern w:val="1"/>
          <w:sz w:val="22"/>
          <w:szCs w:val="22"/>
        </w:rPr>
        <w:tab/>
        <w:t xml:space="preserve">Faix JD, Rosen HN, Velazquez FR. Indirect estimation of thyroid hormone-binding proteins to calculate free thyroxine index: comparison of </w:t>
      </w:r>
      <w:proofErr w:type="spellStart"/>
      <w:r w:rsidRPr="00DD448A">
        <w:rPr>
          <w:rFonts w:ascii="Arial" w:hAnsi="Arial" w:cs="Arial"/>
          <w:kern w:val="1"/>
          <w:sz w:val="22"/>
          <w:szCs w:val="22"/>
        </w:rPr>
        <w:t>nonisotopic</w:t>
      </w:r>
      <w:proofErr w:type="spellEnd"/>
      <w:r w:rsidRPr="00DD448A">
        <w:rPr>
          <w:rFonts w:ascii="Arial" w:hAnsi="Arial" w:cs="Arial"/>
          <w:kern w:val="1"/>
          <w:sz w:val="22"/>
          <w:szCs w:val="22"/>
        </w:rPr>
        <w:t xml:space="preserve"> methods that use labeled thyroxine ("T-uptake").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1995;41(1):41-47.</w:t>
      </w:r>
    </w:p>
    <w:p w14:paraId="72680BB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116.</w:t>
      </w:r>
      <w:r w:rsidRPr="00DD448A">
        <w:rPr>
          <w:rFonts w:ascii="Arial" w:hAnsi="Arial" w:cs="Arial"/>
          <w:kern w:val="1"/>
          <w:sz w:val="22"/>
          <w:szCs w:val="22"/>
        </w:rPr>
        <w:tab/>
        <w:t xml:space="preserve">Burr WA, Ramsden DB, Hoffenberg R. Hereditary abnormalities of thyroxine-binding globulin concentration. A study of 19 kindreds with inherited increase or decrease of thyroxine-binding globulin. </w:t>
      </w:r>
      <w:r w:rsidRPr="00DD448A">
        <w:rPr>
          <w:rFonts w:ascii="Arial" w:hAnsi="Arial" w:cs="Arial"/>
          <w:iCs/>
          <w:kern w:val="1"/>
          <w:sz w:val="22"/>
          <w:szCs w:val="22"/>
        </w:rPr>
        <w:t>Q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1980;49(195):295-313.</w:t>
      </w:r>
    </w:p>
    <w:p w14:paraId="1C96D81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117.</w:t>
      </w:r>
      <w:r w:rsidRPr="00DD448A">
        <w:rPr>
          <w:rFonts w:ascii="Arial" w:hAnsi="Arial" w:cs="Arial"/>
          <w:kern w:val="1"/>
          <w:sz w:val="22"/>
          <w:szCs w:val="22"/>
        </w:rPr>
        <w:tab/>
        <w:t xml:space="preserve">Jensen IW, Faber J.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w:t>
      </w:r>
      <w:r w:rsidRPr="00DD448A">
        <w:rPr>
          <w:rFonts w:ascii="Arial" w:hAnsi="Arial" w:cs="Arial"/>
          <w:iCs/>
          <w:kern w:val="1"/>
          <w:sz w:val="22"/>
          <w:szCs w:val="22"/>
        </w:rPr>
        <w:t>Acta Med Scand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1987;221(5):469-473.</w:t>
      </w:r>
    </w:p>
    <w:p w14:paraId="61ED4F1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118.</w:t>
      </w:r>
      <w:r w:rsidRPr="00DD448A">
        <w:rPr>
          <w:rFonts w:ascii="Arial" w:hAnsi="Arial" w:cs="Arial"/>
          <w:kern w:val="1"/>
          <w:sz w:val="22"/>
          <w:szCs w:val="22"/>
        </w:rPr>
        <w:tab/>
      </w:r>
      <w:proofErr w:type="spellStart"/>
      <w:r w:rsidRPr="00DD448A">
        <w:rPr>
          <w:rFonts w:ascii="Arial" w:hAnsi="Arial" w:cs="Arial"/>
          <w:kern w:val="1"/>
          <w:sz w:val="22"/>
          <w:szCs w:val="22"/>
        </w:rPr>
        <w:t>Hoshikawa</w:t>
      </w:r>
      <w:proofErr w:type="spellEnd"/>
      <w:r w:rsidRPr="00DD448A">
        <w:rPr>
          <w:rFonts w:ascii="Arial" w:hAnsi="Arial" w:cs="Arial"/>
          <w:kern w:val="1"/>
          <w:sz w:val="22"/>
          <w:szCs w:val="22"/>
        </w:rPr>
        <w:t xml:space="preserve"> S, Mori K, Kaise N, Nakagawa Y, Ito S, Yoshida K. Artifactually elevated serum-free thyroxine levels measured by equilibrium dialysis in a pregnant woman with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2004;14(2):155-160.</w:t>
      </w:r>
    </w:p>
    <w:p w14:paraId="6800D41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119.</w:t>
      </w:r>
      <w:r w:rsidRPr="00DD448A">
        <w:rPr>
          <w:rFonts w:ascii="Arial" w:hAnsi="Arial" w:cs="Arial"/>
          <w:kern w:val="1"/>
          <w:sz w:val="22"/>
          <w:szCs w:val="22"/>
        </w:rPr>
        <w:tab/>
        <w:t xml:space="preserve">Ting MJM, Zhang R, Lim EM, Ward BK, Wilson SG, Walsh JP.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as a Cause for Discordant Thyroid Function Tests.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Soc</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2021;5(4):bvab012.</w:t>
      </w:r>
    </w:p>
    <w:p w14:paraId="02D4636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120.</w:t>
      </w:r>
      <w:r w:rsidRPr="00DD448A">
        <w:rPr>
          <w:rFonts w:ascii="Arial" w:hAnsi="Arial" w:cs="Arial"/>
          <w:kern w:val="1"/>
          <w:sz w:val="22"/>
          <w:szCs w:val="22"/>
        </w:rPr>
        <w:tab/>
      </w:r>
      <w:proofErr w:type="spellStart"/>
      <w:r w:rsidRPr="00DD448A">
        <w:rPr>
          <w:rFonts w:ascii="Arial" w:hAnsi="Arial" w:cs="Arial"/>
          <w:kern w:val="1"/>
          <w:sz w:val="22"/>
          <w:szCs w:val="22"/>
        </w:rPr>
        <w:t>Zouwail</w:t>
      </w:r>
      <w:proofErr w:type="spellEnd"/>
      <w:r w:rsidRPr="00DD448A">
        <w:rPr>
          <w:rFonts w:ascii="Arial" w:hAnsi="Arial" w:cs="Arial"/>
          <w:kern w:val="1"/>
          <w:sz w:val="22"/>
          <w:szCs w:val="22"/>
        </w:rPr>
        <w:t xml:space="preserve"> SA, O'Toole AM, Clark PM, Begley JP. Influence of thyroid hormone autoantibodies on 7 thyroid hormone assays.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2008;54(5):927-928.</w:t>
      </w:r>
    </w:p>
    <w:p w14:paraId="28F6F88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121.</w:t>
      </w:r>
      <w:r w:rsidRPr="00DD448A">
        <w:rPr>
          <w:rFonts w:ascii="Arial" w:hAnsi="Arial" w:cs="Arial"/>
          <w:kern w:val="1"/>
          <w:sz w:val="22"/>
          <w:szCs w:val="22"/>
        </w:rPr>
        <w:tab/>
      </w:r>
      <w:proofErr w:type="spellStart"/>
      <w:r w:rsidRPr="00DD448A">
        <w:rPr>
          <w:rFonts w:ascii="Arial" w:hAnsi="Arial" w:cs="Arial"/>
          <w:kern w:val="1"/>
          <w:sz w:val="22"/>
          <w:szCs w:val="22"/>
        </w:rPr>
        <w:t>Fillée</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Cumps</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Ketelslegers</w:t>
      </w:r>
      <w:proofErr w:type="spellEnd"/>
      <w:r w:rsidRPr="00DD448A">
        <w:rPr>
          <w:rFonts w:ascii="Arial" w:hAnsi="Arial" w:cs="Arial"/>
          <w:kern w:val="1"/>
          <w:sz w:val="22"/>
          <w:szCs w:val="22"/>
        </w:rPr>
        <w:t xml:space="preserve"> JM. Comparison of three free T4 (FT4) and free T3 (FT3) immunoassays in healthy subjects and patients with thyroid diseases and severe non-thyroidal illnesses. </w:t>
      </w:r>
      <w:r w:rsidRPr="00DD448A">
        <w:rPr>
          <w:rFonts w:ascii="Arial" w:hAnsi="Arial" w:cs="Arial"/>
          <w:iCs/>
          <w:kern w:val="1"/>
          <w:sz w:val="22"/>
          <w:szCs w:val="22"/>
        </w:rPr>
        <w:t>Clin Lab</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2012;58(7-8):725-736.</w:t>
      </w:r>
    </w:p>
    <w:p w14:paraId="25A857A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122.</w:t>
      </w:r>
      <w:r w:rsidRPr="00DD448A">
        <w:rPr>
          <w:rFonts w:ascii="Arial" w:hAnsi="Arial" w:cs="Arial"/>
          <w:kern w:val="1"/>
          <w:sz w:val="22"/>
          <w:szCs w:val="22"/>
        </w:rPr>
        <w:tab/>
        <w:t xml:space="preserve">Sapin R, </w:t>
      </w:r>
      <w:proofErr w:type="spellStart"/>
      <w:r w:rsidRPr="00DD448A">
        <w:rPr>
          <w:rFonts w:ascii="Arial" w:hAnsi="Arial" w:cs="Arial"/>
          <w:kern w:val="1"/>
          <w:sz w:val="22"/>
          <w:szCs w:val="22"/>
        </w:rPr>
        <w:t>Schlienger</w:t>
      </w:r>
      <w:proofErr w:type="spellEnd"/>
      <w:r w:rsidRPr="00DD448A">
        <w:rPr>
          <w:rFonts w:ascii="Arial" w:hAnsi="Arial" w:cs="Arial"/>
          <w:kern w:val="1"/>
          <w:sz w:val="22"/>
          <w:szCs w:val="22"/>
        </w:rPr>
        <w:t xml:space="preserve"> JL, Gasser F, Noel E, </w:t>
      </w:r>
      <w:proofErr w:type="spellStart"/>
      <w:r w:rsidRPr="00DD448A">
        <w:rPr>
          <w:rFonts w:ascii="Arial" w:hAnsi="Arial" w:cs="Arial"/>
          <w:kern w:val="1"/>
          <w:sz w:val="22"/>
          <w:szCs w:val="22"/>
        </w:rPr>
        <w:t>Lioure</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Grunenberger</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Goichot</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Grucker</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Intermethod</w:t>
      </w:r>
      <w:proofErr w:type="spellEnd"/>
      <w:r w:rsidRPr="00DD448A">
        <w:rPr>
          <w:rFonts w:ascii="Arial" w:hAnsi="Arial" w:cs="Arial"/>
          <w:kern w:val="1"/>
          <w:sz w:val="22"/>
          <w:szCs w:val="22"/>
        </w:rPr>
        <w:t xml:space="preserve"> discordant free thyroxine measurements in bone marrow-transplanted patients.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2000;46(3):418-422.</w:t>
      </w:r>
    </w:p>
    <w:p w14:paraId="4636F2D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123.</w:t>
      </w:r>
      <w:r w:rsidRPr="00DD448A">
        <w:rPr>
          <w:rFonts w:ascii="Arial" w:hAnsi="Arial" w:cs="Arial"/>
          <w:kern w:val="1"/>
          <w:sz w:val="22"/>
          <w:szCs w:val="22"/>
        </w:rPr>
        <w:tab/>
      </w:r>
      <w:proofErr w:type="spellStart"/>
      <w:r w:rsidRPr="00DD448A">
        <w:rPr>
          <w:rFonts w:ascii="Arial" w:hAnsi="Arial" w:cs="Arial"/>
          <w:kern w:val="1"/>
          <w:sz w:val="22"/>
          <w:szCs w:val="22"/>
        </w:rPr>
        <w:t>Surks</w:t>
      </w:r>
      <w:proofErr w:type="spellEnd"/>
      <w:r w:rsidRPr="00DD448A">
        <w:rPr>
          <w:rFonts w:ascii="Arial" w:hAnsi="Arial" w:cs="Arial"/>
          <w:kern w:val="1"/>
          <w:sz w:val="22"/>
          <w:szCs w:val="22"/>
        </w:rPr>
        <w:t xml:space="preserve"> MI, Sievert R. Drugs and thyroid function. </w:t>
      </w:r>
      <w:r w:rsidRPr="00DD448A">
        <w:rPr>
          <w:rFonts w:ascii="Arial" w:hAnsi="Arial" w:cs="Arial"/>
          <w:iCs/>
          <w:kern w:val="1"/>
          <w:sz w:val="22"/>
          <w:szCs w:val="22"/>
        </w:rPr>
        <w:t>N Engl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1995;333(25):1688-1694.</w:t>
      </w:r>
    </w:p>
    <w:p w14:paraId="450EE7C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124.</w:t>
      </w:r>
      <w:r w:rsidRPr="00DD448A">
        <w:rPr>
          <w:rFonts w:ascii="Arial" w:hAnsi="Arial" w:cs="Arial"/>
          <w:kern w:val="1"/>
          <w:sz w:val="22"/>
          <w:szCs w:val="22"/>
        </w:rPr>
        <w:tab/>
        <w:t xml:space="preserve">Levinson SS, Rieder SV. Parameters affecting a rapid method in which Sephadex is used to determine the percentage of free thyroxine in serum.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1974;20(12):1568-1572.</w:t>
      </w:r>
    </w:p>
    <w:p w14:paraId="67DF075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125.</w:t>
      </w:r>
      <w:r w:rsidRPr="00DD448A">
        <w:rPr>
          <w:rFonts w:ascii="Arial" w:hAnsi="Arial" w:cs="Arial"/>
          <w:kern w:val="1"/>
          <w:sz w:val="22"/>
          <w:szCs w:val="22"/>
        </w:rPr>
        <w:tab/>
        <w:t xml:space="preserve">Oppenheimer JH, </w:t>
      </w:r>
      <w:proofErr w:type="spellStart"/>
      <w:r w:rsidRPr="00DD448A">
        <w:rPr>
          <w:rFonts w:ascii="Arial" w:hAnsi="Arial" w:cs="Arial"/>
          <w:kern w:val="1"/>
          <w:sz w:val="22"/>
          <w:szCs w:val="22"/>
        </w:rPr>
        <w:t>Squef</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Surks</w:t>
      </w:r>
      <w:proofErr w:type="spellEnd"/>
      <w:r w:rsidRPr="00DD448A">
        <w:rPr>
          <w:rFonts w:ascii="Arial" w:hAnsi="Arial" w:cs="Arial"/>
          <w:kern w:val="1"/>
          <w:sz w:val="22"/>
          <w:szCs w:val="22"/>
        </w:rPr>
        <w:t xml:space="preserve"> MI, Hauer H. BINDING OF THYROXINE BY SERUM PROTEINS EVALUATED BY EQUILIBRUM DIALYSIS AND ELECTROPHORETIC TECHNIQUES. ALTERATIONS IN NONTHYROIDAL ILLNESS.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1963;42(11):1769-1782.</w:t>
      </w:r>
    </w:p>
    <w:p w14:paraId="722AC34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126.</w:t>
      </w:r>
      <w:r w:rsidRPr="00DD448A">
        <w:rPr>
          <w:rFonts w:ascii="Arial" w:hAnsi="Arial" w:cs="Arial"/>
          <w:kern w:val="1"/>
          <w:sz w:val="22"/>
          <w:szCs w:val="22"/>
        </w:rPr>
        <w:tab/>
        <w:t xml:space="preserve">Snyder SM, Cavalieri RR, </w:t>
      </w:r>
      <w:proofErr w:type="spellStart"/>
      <w:r w:rsidRPr="00DD448A">
        <w:rPr>
          <w:rFonts w:ascii="Arial" w:hAnsi="Arial" w:cs="Arial"/>
          <w:kern w:val="1"/>
          <w:sz w:val="22"/>
          <w:szCs w:val="22"/>
        </w:rPr>
        <w:t>Ingbar</w:t>
      </w:r>
      <w:proofErr w:type="spellEnd"/>
      <w:r w:rsidRPr="00DD448A">
        <w:rPr>
          <w:rFonts w:ascii="Arial" w:hAnsi="Arial" w:cs="Arial"/>
          <w:kern w:val="1"/>
          <w:sz w:val="22"/>
          <w:szCs w:val="22"/>
        </w:rPr>
        <w:t xml:space="preserve"> SH. Simultaneous measurement of percentage free thyroxine and triiodothyronine: comparison of equilibrium dialysis and Sephadex chromatography.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Nucl</w:t>
      </w:r>
      <w:proofErr w:type="spellEnd"/>
      <w:r w:rsidRPr="00DD448A">
        <w:rPr>
          <w:rFonts w:ascii="Arial" w:hAnsi="Arial" w:cs="Arial"/>
          <w:iCs/>
          <w:kern w:val="1"/>
          <w:sz w:val="22"/>
          <w:szCs w:val="22"/>
        </w:rPr>
        <w:t xml:space="preserve">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1976;17(7):660-664.</w:t>
      </w:r>
    </w:p>
    <w:p w14:paraId="6D92F0C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127.</w:t>
      </w:r>
      <w:r w:rsidRPr="00DD448A">
        <w:rPr>
          <w:rFonts w:ascii="Arial" w:hAnsi="Arial" w:cs="Arial"/>
          <w:kern w:val="1"/>
          <w:sz w:val="22"/>
          <w:szCs w:val="22"/>
        </w:rPr>
        <w:tab/>
        <w:t xml:space="preserve">Ross HA, </w:t>
      </w:r>
      <w:proofErr w:type="spellStart"/>
      <w:r w:rsidRPr="00DD448A">
        <w:rPr>
          <w:rFonts w:ascii="Arial" w:hAnsi="Arial" w:cs="Arial"/>
          <w:kern w:val="1"/>
          <w:sz w:val="22"/>
          <w:szCs w:val="22"/>
        </w:rPr>
        <w:t>Benraad</w:t>
      </w:r>
      <w:proofErr w:type="spellEnd"/>
      <w:r w:rsidRPr="00DD448A">
        <w:rPr>
          <w:rFonts w:ascii="Arial" w:hAnsi="Arial" w:cs="Arial"/>
          <w:kern w:val="1"/>
          <w:sz w:val="22"/>
          <w:szCs w:val="22"/>
        </w:rPr>
        <w:t xml:space="preserve"> TJ. Is free thyroxine accurately measurable at room temperature?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1992;38(6):880-886.</w:t>
      </w:r>
    </w:p>
    <w:p w14:paraId="392C0F1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128.</w:t>
      </w:r>
      <w:r w:rsidRPr="00DD448A">
        <w:rPr>
          <w:rFonts w:ascii="Arial" w:hAnsi="Arial" w:cs="Arial"/>
          <w:kern w:val="1"/>
          <w:sz w:val="22"/>
          <w:szCs w:val="22"/>
        </w:rPr>
        <w:tab/>
        <w:t xml:space="preserve">Uchimura H, </w:t>
      </w:r>
      <w:proofErr w:type="spellStart"/>
      <w:r w:rsidRPr="00DD448A">
        <w:rPr>
          <w:rFonts w:ascii="Arial" w:hAnsi="Arial" w:cs="Arial"/>
          <w:kern w:val="1"/>
          <w:sz w:val="22"/>
          <w:szCs w:val="22"/>
        </w:rPr>
        <w:t>Nagataki</w:t>
      </w:r>
      <w:proofErr w:type="spellEnd"/>
      <w:r w:rsidRPr="00DD448A">
        <w:rPr>
          <w:rFonts w:ascii="Arial" w:hAnsi="Arial" w:cs="Arial"/>
          <w:kern w:val="1"/>
          <w:sz w:val="22"/>
          <w:szCs w:val="22"/>
        </w:rPr>
        <w:t xml:space="preserve"> S, Tabuchi T, </w:t>
      </w:r>
      <w:proofErr w:type="spellStart"/>
      <w:r w:rsidRPr="00DD448A">
        <w:rPr>
          <w:rFonts w:ascii="Arial" w:hAnsi="Arial" w:cs="Arial"/>
          <w:kern w:val="1"/>
          <w:sz w:val="22"/>
          <w:szCs w:val="22"/>
        </w:rPr>
        <w:t>MMizuno</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Ingbar</w:t>
      </w:r>
      <w:proofErr w:type="spellEnd"/>
      <w:r w:rsidRPr="00DD448A">
        <w:rPr>
          <w:rFonts w:ascii="Arial" w:hAnsi="Arial" w:cs="Arial"/>
          <w:kern w:val="1"/>
          <w:sz w:val="22"/>
          <w:szCs w:val="22"/>
        </w:rPr>
        <w:t xml:space="preserve"> S. Measurements of free thyroxine: comparison of per cent of free thyroxine in diluted and undiluted sera.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1976;42:561-566.</w:t>
      </w:r>
    </w:p>
    <w:p w14:paraId="6A4B7E2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129.</w:t>
      </w:r>
      <w:r w:rsidRPr="00DD448A">
        <w:rPr>
          <w:rFonts w:ascii="Arial" w:hAnsi="Arial" w:cs="Arial"/>
          <w:kern w:val="1"/>
          <w:sz w:val="22"/>
          <w:szCs w:val="22"/>
        </w:rPr>
        <w:tab/>
        <w:t xml:space="preserve">Witherspoon LR, Shuler SE, Garcia MM, Zollinger LA. Effects of contaminant radioactivity on results of 125I-radioligand assay.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1979;25(11):1975-1977.</w:t>
      </w:r>
    </w:p>
    <w:p w14:paraId="6D33A31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130.</w:t>
      </w:r>
      <w:r w:rsidRPr="00DD448A">
        <w:rPr>
          <w:rFonts w:ascii="Arial" w:hAnsi="Arial" w:cs="Arial"/>
          <w:kern w:val="1"/>
          <w:sz w:val="22"/>
          <w:szCs w:val="22"/>
        </w:rPr>
        <w:tab/>
        <w:t xml:space="preserve">Midgley JE, Hoermann R. Measurement of total rather than free thyroxine in pregnancy: the diagnostic implications.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2013;23(3):259-261.</w:t>
      </w:r>
    </w:p>
    <w:p w14:paraId="71048C0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131.</w:t>
      </w:r>
      <w:r w:rsidRPr="00DD448A">
        <w:rPr>
          <w:rFonts w:ascii="Arial" w:hAnsi="Arial" w:cs="Arial"/>
          <w:kern w:val="1"/>
          <w:sz w:val="22"/>
          <w:szCs w:val="22"/>
        </w:rPr>
        <w:tab/>
        <w:t xml:space="preserve">Ma Z, Liu Z, Deng Y, Bai X, Zhou W, Zhang C. Free thyroid hormone: Methods and standardization.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2025;565:119944.</w:t>
      </w:r>
    </w:p>
    <w:p w14:paraId="567D17A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132.</w:t>
      </w:r>
      <w:r w:rsidRPr="00DD448A">
        <w:rPr>
          <w:rFonts w:ascii="Arial" w:hAnsi="Arial" w:cs="Arial"/>
          <w:kern w:val="1"/>
          <w:sz w:val="22"/>
          <w:szCs w:val="22"/>
        </w:rPr>
        <w:tab/>
        <w:t xml:space="preserve">Toldy E, </w:t>
      </w:r>
      <w:proofErr w:type="spellStart"/>
      <w:r w:rsidRPr="00DD448A">
        <w:rPr>
          <w:rFonts w:ascii="Arial" w:hAnsi="Arial" w:cs="Arial"/>
          <w:kern w:val="1"/>
          <w:sz w:val="22"/>
          <w:szCs w:val="22"/>
        </w:rPr>
        <w:t>Locsei</w:t>
      </w:r>
      <w:proofErr w:type="spellEnd"/>
      <w:r w:rsidRPr="00DD448A">
        <w:rPr>
          <w:rFonts w:ascii="Arial" w:hAnsi="Arial" w:cs="Arial"/>
          <w:kern w:val="1"/>
          <w:sz w:val="22"/>
          <w:szCs w:val="22"/>
        </w:rPr>
        <w:t xml:space="preserve"> Z, Szabolcs I, </w:t>
      </w:r>
      <w:proofErr w:type="spellStart"/>
      <w:r w:rsidRPr="00DD448A">
        <w:rPr>
          <w:rFonts w:ascii="Arial" w:hAnsi="Arial" w:cs="Arial"/>
          <w:kern w:val="1"/>
          <w:sz w:val="22"/>
          <w:szCs w:val="22"/>
        </w:rPr>
        <w:t>Bezzegh</w:t>
      </w:r>
      <w:proofErr w:type="spellEnd"/>
      <w:r w:rsidRPr="00DD448A">
        <w:rPr>
          <w:rFonts w:ascii="Arial" w:hAnsi="Arial" w:cs="Arial"/>
          <w:kern w:val="1"/>
          <w:sz w:val="22"/>
          <w:szCs w:val="22"/>
        </w:rPr>
        <w:t xml:space="preserve"> A, Kovács GL. Protein interference in thyroid assays: an in vitro study with in vivo consequences.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2005;352(1-2):93-104.</w:t>
      </w:r>
    </w:p>
    <w:p w14:paraId="1801282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133.</w:t>
      </w:r>
      <w:r w:rsidRPr="00DD448A">
        <w:rPr>
          <w:rFonts w:ascii="Arial" w:hAnsi="Arial" w:cs="Arial"/>
          <w:kern w:val="1"/>
          <w:sz w:val="22"/>
          <w:szCs w:val="22"/>
        </w:rPr>
        <w:tab/>
        <w:t xml:space="preserve">van Deventer HE, Mendu DR, Remaley AT, Soldin SJ. Inverse log-linear relationship between thyroid-stimulating hormone and free thyroxine measured by direct analog immunoassay and tandem mass spectrometry.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2011;57(1):122-127.</w:t>
      </w:r>
    </w:p>
    <w:p w14:paraId="7F6F1D4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134.</w:t>
      </w:r>
      <w:r w:rsidRPr="00DD448A">
        <w:rPr>
          <w:rFonts w:ascii="Arial" w:hAnsi="Arial" w:cs="Arial"/>
          <w:kern w:val="1"/>
          <w:sz w:val="22"/>
          <w:szCs w:val="22"/>
        </w:rPr>
        <w:tab/>
        <w:t xml:space="preserve">Gounden V, </w:t>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Soldin SJ. A pilot study: subclinical hypothyroidism and free thyroid hormone measurement by immunoassay and mass spectrometry.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2014;430:121-124.</w:t>
      </w:r>
    </w:p>
    <w:p w14:paraId="64C288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135.</w:t>
      </w:r>
      <w:r w:rsidRPr="00DD448A">
        <w:rPr>
          <w:rFonts w:ascii="Arial" w:hAnsi="Arial" w:cs="Arial"/>
          <w:kern w:val="1"/>
          <w:sz w:val="22"/>
          <w:szCs w:val="22"/>
        </w:rPr>
        <w:tab/>
      </w:r>
      <w:proofErr w:type="spellStart"/>
      <w:r w:rsidRPr="00DD448A">
        <w:rPr>
          <w:rFonts w:ascii="Arial" w:hAnsi="Arial" w:cs="Arial"/>
          <w:kern w:val="1"/>
          <w:sz w:val="22"/>
          <w:szCs w:val="22"/>
        </w:rPr>
        <w:t>Kratzsch</w:t>
      </w:r>
      <w:proofErr w:type="spellEnd"/>
      <w:r w:rsidRPr="00DD448A">
        <w:rPr>
          <w:rFonts w:ascii="Arial" w:hAnsi="Arial" w:cs="Arial"/>
          <w:kern w:val="1"/>
          <w:sz w:val="22"/>
          <w:szCs w:val="22"/>
        </w:rPr>
        <w:t xml:space="preserve"> J, Baumann NA, </w:t>
      </w:r>
      <w:proofErr w:type="spellStart"/>
      <w:r w:rsidRPr="00DD448A">
        <w:rPr>
          <w:rFonts w:ascii="Arial" w:hAnsi="Arial" w:cs="Arial"/>
          <w:kern w:val="1"/>
          <w:sz w:val="22"/>
          <w:szCs w:val="22"/>
        </w:rPr>
        <w:t>Ceriotti</w:t>
      </w:r>
      <w:proofErr w:type="spellEnd"/>
      <w:r w:rsidRPr="00DD448A">
        <w:rPr>
          <w:rFonts w:ascii="Arial" w:hAnsi="Arial" w:cs="Arial"/>
          <w:kern w:val="1"/>
          <w:sz w:val="22"/>
          <w:szCs w:val="22"/>
        </w:rPr>
        <w:t xml:space="preserve"> F, Lu ZX, Schott M, van </w:t>
      </w:r>
      <w:proofErr w:type="spellStart"/>
      <w:r w:rsidRPr="00DD448A">
        <w:rPr>
          <w:rFonts w:ascii="Arial" w:hAnsi="Arial" w:cs="Arial"/>
          <w:kern w:val="1"/>
          <w:sz w:val="22"/>
          <w:szCs w:val="22"/>
        </w:rPr>
        <w:t>Herwaarden</w:t>
      </w:r>
      <w:proofErr w:type="spellEnd"/>
      <w:r w:rsidRPr="00DD448A">
        <w:rPr>
          <w:rFonts w:ascii="Arial" w:hAnsi="Arial" w:cs="Arial"/>
          <w:kern w:val="1"/>
          <w:sz w:val="22"/>
          <w:szCs w:val="22"/>
        </w:rPr>
        <w:t xml:space="preserve"> AE, Henriques Vieira JG, </w:t>
      </w:r>
      <w:proofErr w:type="spellStart"/>
      <w:r w:rsidRPr="00DD448A">
        <w:rPr>
          <w:rFonts w:ascii="Arial" w:hAnsi="Arial" w:cs="Arial"/>
          <w:kern w:val="1"/>
          <w:sz w:val="22"/>
          <w:szCs w:val="22"/>
        </w:rPr>
        <w:t>Kasapic</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Global FT4 immunoassay standardization: an expert opinion review.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2021;59(6):1013-1023.</w:t>
      </w:r>
    </w:p>
    <w:p w14:paraId="15EE20E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136.</w:t>
      </w:r>
      <w:r w:rsidRPr="00DD448A">
        <w:rPr>
          <w:rFonts w:ascii="Arial" w:hAnsi="Arial" w:cs="Arial"/>
          <w:kern w:val="1"/>
          <w:sz w:val="22"/>
          <w:szCs w:val="22"/>
        </w:rPr>
        <w:tab/>
        <w:t xml:space="preserve">Piketty ML, </w:t>
      </w:r>
      <w:proofErr w:type="spellStart"/>
      <w:r w:rsidRPr="00DD448A">
        <w:rPr>
          <w:rFonts w:ascii="Arial" w:hAnsi="Arial" w:cs="Arial"/>
          <w:kern w:val="1"/>
          <w:sz w:val="22"/>
          <w:szCs w:val="22"/>
        </w:rPr>
        <w:t>Bounaud</w:t>
      </w:r>
      <w:proofErr w:type="spellEnd"/>
      <w:r w:rsidRPr="00DD448A">
        <w:rPr>
          <w:rFonts w:ascii="Arial" w:hAnsi="Arial" w:cs="Arial"/>
          <w:kern w:val="1"/>
          <w:sz w:val="22"/>
          <w:szCs w:val="22"/>
        </w:rPr>
        <w:t xml:space="preserve"> MP, </w:t>
      </w:r>
      <w:proofErr w:type="spellStart"/>
      <w:r w:rsidRPr="00DD448A">
        <w:rPr>
          <w:rFonts w:ascii="Arial" w:hAnsi="Arial" w:cs="Arial"/>
          <w:kern w:val="1"/>
          <w:sz w:val="22"/>
          <w:szCs w:val="22"/>
        </w:rPr>
        <w:t>Bounaud</w:t>
      </w:r>
      <w:proofErr w:type="spellEnd"/>
      <w:r w:rsidRPr="00DD448A">
        <w:rPr>
          <w:rFonts w:ascii="Arial" w:hAnsi="Arial" w:cs="Arial"/>
          <w:kern w:val="1"/>
          <w:sz w:val="22"/>
          <w:szCs w:val="22"/>
        </w:rPr>
        <w:t xml:space="preserve"> JY, </w:t>
      </w:r>
      <w:proofErr w:type="spellStart"/>
      <w:r w:rsidRPr="00DD448A">
        <w:rPr>
          <w:rFonts w:ascii="Arial" w:hAnsi="Arial" w:cs="Arial"/>
          <w:kern w:val="1"/>
          <w:sz w:val="22"/>
          <w:szCs w:val="22"/>
        </w:rPr>
        <w:t>Lebtahi</w:t>
      </w:r>
      <w:proofErr w:type="spellEnd"/>
      <w:r w:rsidRPr="00DD448A">
        <w:rPr>
          <w:rFonts w:ascii="Arial" w:hAnsi="Arial" w:cs="Arial"/>
          <w:kern w:val="1"/>
          <w:sz w:val="22"/>
          <w:szCs w:val="22"/>
        </w:rPr>
        <w:t xml:space="preserve"> R, Valat C, </w:t>
      </w:r>
      <w:proofErr w:type="spellStart"/>
      <w:r w:rsidRPr="00DD448A">
        <w:rPr>
          <w:rFonts w:ascii="Arial" w:hAnsi="Arial" w:cs="Arial"/>
          <w:kern w:val="1"/>
          <w:sz w:val="22"/>
          <w:szCs w:val="22"/>
        </w:rPr>
        <w:t>Askienazy</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Begon</w:t>
      </w:r>
      <w:proofErr w:type="spellEnd"/>
      <w:r w:rsidRPr="00DD448A">
        <w:rPr>
          <w:rFonts w:ascii="Arial" w:hAnsi="Arial" w:cs="Arial"/>
          <w:kern w:val="1"/>
          <w:sz w:val="22"/>
          <w:szCs w:val="22"/>
        </w:rPr>
        <w:t xml:space="preserve"> F, Besnard JC. </w:t>
      </w:r>
      <w:proofErr w:type="spellStart"/>
      <w:r w:rsidRPr="00DD448A">
        <w:rPr>
          <w:rFonts w:ascii="Arial" w:hAnsi="Arial" w:cs="Arial"/>
          <w:kern w:val="1"/>
          <w:sz w:val="22"/>
          <w:szCs w:val="22"/>
        </w:rPr>
        <w:t>Multicentre</w:t>
      </w:r>
      <w:proofErr w:type="spellEnd"/>
      <w:r w:rsidRPr="00DD448A">
        <w:rPr>
          <w:rFonts w:ascii="Arial" w:hAnsi="Arial" w:cs="Arial"/>
          <w:kern w:val="1"/>
          <w:sz w:val="22"/>
          <w:szCs w:val="22"/>
        </w:rPr>
        <w:t xml:space="preserve"> evaluation of a two-step automated enzyme immunoassay of free thyroxine.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Clin Chem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1992;30(8):485-492.</w:t>
      </w:r>
    </w:p>
    <w:p w14:paraId="6B71048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137.</w:t>
      </w:r>
      <w:r w:rsidRPr="00DD448A">
        <w:rPr>
          <w:rFonts w:ascii="Arial" w:hAnsi="Arial" w:cs="Arial"/>
          <w:kern w:val="1"/>
          <w:sz w:val="22"/>
          <w:szCs w:val="22"/>
        </w:rPr>
        <w:tab/>
      </w:r>
      <w:proofErr w:type="spellStart"/>
      <w:r w:rsidRPr="00DD448A">
        <w:rPr>
          <w:rFonts w:ascii="Arial" w:hAnsi="Arial" w:cs="Arial"/>
          <w:kern w:val="1"/>
          <w:sz w:val="22"/>
          <w:szCs w:val="22"/>
        </w:rPr>
        <w:t>Christofides</w:t>
      </w:r>
      <w:proofErr w:type="spellEnd"/>
      <w:r w:rsidRPr="00DD448A">
        <w:rPr>
          <w:rFonts w:ascii="Arial" w:hAnsi="Arial" w:cs="Arial"/>
          <w:kern w:val="1"/>
          <w:sz w:val="22"/>
          <w:szCs w:val="22"/>
        </w:rPr>
        <w:t xml:space="preserve"> ND, Sheehan CP. Multicenter evaluation of enhanced chemiluminescence labeled-antibody immunoassay (</w:t>
      </w:r>
      <w:proofErr w:type="spellStart"/>
      <w:r w:rsidRPr="00DD448A">
        <w:rPr>
          <w:rFonts w:ascii="Arial" w:hAnsi="Arial" w:cs="Arial"/>
          <w:kern w:val="1"/>
          <w:sz w:val="22"/>
          <w:szCs w:val="22"/>
        </w:rPr>
        <w:t>Amerlite</w:t>
      </w:r>
      <w:proofErr w:type="spellEnd"/>
      <w:r w:rsidRPr="00DD448A">
        <w:rPr>
          <w:rFonts w:ascii="Arial" w:hAnsi="Arial" w:cs="Arial"/>
          <w:kern w:val="1"/>
          <w:sz w:val="22"/>
          <w:szCs w:val="22"/>
        </w:rPr>
        <w:t xml:space="preserve">-MAB) for free thyroxine.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1995;41(1):24-31.</w:t>
      </w:r>
    </w:p>
    <w:p w14:paraId="69C6806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138.</w:t>
      </w:r>
      <w:r w:rsidRPr="00DD448A">
        <w:rPr>
          <w:rFonts w:ascii="Arial" w:hAnsi="Arial" w:cs="Arial"/>
          <w:kern w:val="1"/>
          <w:sz w:val="22"/>
          <w:szCs w:val="22"/>
        </w:rPr>
        <w:tab/>
        <w:t xml:space="preserve">Martel J, Després N, </w:t>
      </w:r>
      <w:proofErr w:type="spellStart"/>
      <w:r w:rsidRPr="00DD448A">
        <w:rPr>
          <w:rFonts w:ascii="Arial" w:hAnsi="Arial" w:cs="Arial"/>
          <w:kern w:val="1"/>
          <w:sz w:val="22"/>
          <w:szCs w:val="22"/>
        </w:rPr>
        <w:t>Ahnadi</w:t>
      </w:r>
      <w:proofErr w:type="spellEnd"/>
      <w:r w:rsidRPr="00DD448A">
        <w:rPr>
          <w:rFonts w:ascii="Arial" w:hAnsi="Arial" w:cs="Arial"/>
          <w:kern w:val="1"/>
          <w:sz w:val="22"/>
          <w:szCs w:val="22"/>
        </w:rPr>
        <w:t xml:space="preserve"> CE, Lachance JF, Monticello JE, Fink G, </w:t>
      </w:r>
      <w:proofErr w:type="spellStart"/>
      <w:r w:rsidRPr="00DD448A">
        <w:rPr>
          <w:rFonts w:ascii="Arial" w:hAnsi="Arial" w:cs="Arial"/>
          <w:kern w:val="1"/>
          <w:sz w:val="22"/>
          <w:szCs w:val="22"/>
        </w:rPr>
        <w:t>Ardemagni</w:t>
      </w:r>
      <w:proofErr w:type="spellEnd"/>
      <w:r w:rsidRPr="00DD448A">
        <w:rPr>
          <w:rFonts w:ascii="Arial" w:hAnsi="Arial" w:cs="Arial"/>
          <w:kern w:val="1"/>
          <w:sz w:val="22"/>
          <w:szCs w:val="22"/>
        </w:rPr>
        <w:t xml:space="preserve"> A, Banfi G, Tovey J, Dykes P, John R, Jeffery J, Grant AM. Comparative </w:t>
      </w:r>
      <w:proofErr w:type="spellStart"/>
      <w:r w:rsidRPr="00DD448A">
        <w:rPr>
          <w:rFonts w:ascii="Arial" w:hAnsi="Arial" w:cs="Arial"/>
          <w:kern w:val="1"/>
          <w:sz w:val="22"/>
          <w:szCs w:val="22"/>
        </w:rPr>
        <w:t>multicentre</w:t>
      </w:r>
      <w:proofErr w:type="spellEnd"/>
      <w:r w:rsidRPr="00DD448A">
        <w:rPr>
          <w:rFonts w:ascii="Arial" w:hAnsi="Arial" w:cs="Arial"/>
          <w:kern w:val="1"/>
          <w:sz w:val="22"/>
          <w:szCs w:val="22"/>
        </w:rPr>
        <w:t xml:space="preserve"> study of a panel of thyroid tests using different automated immunoassay platforms and specimens at high risk of antibody interference.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2000;38(8):785-793.</w:t>
      </w:r>
    </w:p>
    <w:p w14:paraId="7F38205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139.</w:t>
      </w:r>
      <w:r w:rsidRPr="00DD448A">
        <w:rPr>
          <w:rFonts w:ascii="Arial" w:hAnsi="Arial" w:cs="Arial"/>
          <w:kern w:val="1"/>
          <w:sz w:val="22"/>
          <w:szCs w:val="22"/>
        </w:rPr>
        <w:tab/>
        <w:t xml:space="preserve">Sapin R, </w:t>
      </w:r>
      <w:proofErr w:type="spellStart"/>
      <w:r w:rsidRPr="00DD448A">
        <w:rPr>
          <w:rFonts w:ascii="Arial" w:hAnsi="Arial" w:cs="Arial"/>
          <w:kern w:val="1"/>
          <w:sz w:val="22"/>
          <w:szCs w:val="22"/>
        </w:rPr>
        <w:t>d'Herbomez</w:t>
      </w:r>
      <w:proofErr w:type="spellEnd"/>
      <w:r w:rsidRPr="00DD448A">
        <w:rPr>
          <w:rFonts w:ascii="Arial" w:hAnsi="Arial" w:cs="Arial"/>
          <w:kern w:val="1"/>
          <w:sz w:val="22"/>
          <w:szCs w:val="22"/>
        </w:rPr>
        <w:t xml:space="preserve"> M. Free thyroxine measured by equilibrium dialysis and nine immunoassays in sera with various serum thyroxine-binding capacities.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2003;49(9):1531-1535.</w:t>
      </w:r>
    </w:p>
    <w:p w14:paraId="273E9E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140.</w:t>
      </w:r>
      <w:r w:rsidRPr="00DD448A">
        <w:rPr>
          <w:rFonts w:ascii="Arial" w:hAnsi="Arial" w:cs="Arial"/>
          <w:kern w:val="1"/>
          <w:sz w:val="22"/>
          <w:szCs w:val="22"/>
        </w:rPr>
        <w:tab/>
        <w:t xml:space="preserve">Masika LS, Zhao Z, Soldin SJ. Is measurement of TT3 by immunoassay reliable at low concentrations? A comparison of the Roche Cobas 6000 vs. LC-MSMS.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2016;49(12):846-849.</w:t>
      </w:r>
    </w:p>
    <w:p w14:paraId="2845F62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141.</w:t>
      </w:r>
      <w:r w:rsidRPr="00DD448A">
        <w:rPr>
          <w:rFonts w:ascii="Arial" w:hAnsi="Arial" w:cs="Arial"/>
          <w:kern w:val="1"/>
          <w:sz w:val="22"/>
          <w:szCs w:val="22"/>
        </w:rPr>
        <w:tab/>
        <w:t xml:space="preserve">Livingston M, Birch K, Guy M, Kane J, Heald AH. No role for tri-iodothyronine (T3) testing in the assessment of levothyroxine (T4) over-replacement in hypothyroid patients. </w:t>
      </w:r>
      <w:r w:rsidRPr="00DD448A">
        <w:rPr>
          <w:rFonts w:ascii="Arial" w:hAnsi="Arial" w:cs="Arial"/>
          <w:iCs/>
          <w:kern w:val="1"/>
          <w:sz w:val="22"/>
          <w:szCs w:val="22"/>
        </w:rPr>
        <w:t>Br J Biomed Sci</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2015;72(4):160-163.</w:t>
      </w:r>
    </w:p>
    <w:p w14:paraId="1F0090D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142.</w:t>
      </w:r>
      <w:r w:rsidRPr="00DD448A">
        <w:rPr>
          <w:rFonts w:ascii="Arial" w:hAnsi="Arial" w:cs="Arial"/>
          <w:kern w:val="1"/>
          <w:sz w:val="22"/>
          <w:szCs w:val="22"/>
        </w:rPr>
        <w:tab/>
        <w:t xml:space="preserve">Berberoğlu M. Drugs and thyroid interaction. </w:t>
      </w:r>
      <w:proofErr w:type="spellStart"/>
      <w:r w:rsidRPr="00DD448A">
        <w:rPr>
          <w:rFonts w:ascii="Arial" w:hAnsi="Arial" w:cs="Arial"/>
          <w:iCs/>
          <w:kern w:val="1"/>
          <w:sz w:val="22"/>
          <w:szCs w:val="22"/>
        </w:rPr>
        <w:t>Pediatr</w:t>
      </w:r>
      <w:proofErr w:type="spellEnd"/>
      <w:r w:rsidRPr="00DD448A">
        <w:rPr>
          <w:rFonts w:ascii="Arial" w:hAnsi="Arial" w:cs="Arial"/>
          <w:iCs/>
          <w:kern w:val="1"/>
          <w:sz w:val="22"/>
          <w:szCs w:val="22"/>
        </w:rPr>
        <w:t xml:space="preserve"> Endocrinol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2003;1 Suppl 2:251-256.</w:t>
      </w:r>
    </w:p>
    <w:p w14:paraId="73C1E9D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143.</w:t>
      </w:r>
      <w:r w:rsidRPr="00DD448A">
        <w:rPr>
          <w:rFonts w:ascii="Arial" w:hAnsi="Arial" w:cs="Arial"/>
          <w:kern w:val="1"/>
          <w:sz w:val="22"/>
          <w:szCs w:val="22"/>
        </w:rPr>
        <w:tab/>
        <w:t xml:space="preserve">Brown SJ, Bremner AP, Hadlow NC, Feddema P, </w:t>
      </w:r>
      <w:proofErr w:type="spellStart"/>
      <w:r w:rsidRPr="00DD448A">
        <w:rPr>
          <w:rFonts w:ascii="Arial" w:hAnsi="Arial" w:cs="Arial"/>
          <w:kern w:val="1"/>
          <w:sz w:val="22"/>
          <w:szCs w:val="22"/>
        </w:rPr>
        <w:t>Leedman</w:t>
      </w:r>
      <w:proofErr w:type="spellEnd"/>
      <w:r w:rsidRPr="00DD448A">
        <w:rPr>
          <w:rFonts w:ascii="Arial" w:hAnsi="Arial" w:cs="Arial"/>
          <w:kern w:val="1"/>
          <w:sz w:val="22"/>
          <w:szCs w:val="22"/>
        </w:rPr>
        <w:t xml:space="preserve"> PJ, O'Leary PC, Walsh JP. The log TSH-free T4 relationship in a community-based cohort is nonlinear and is influenced by age, smoking and thyroid peroxidase antibody status.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2016;85(5):789-796.</w:t>
      </w:r>
    </w:p>
    <w:p w14:paraId="7135A7F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144.</w:t>
      </w:r>
      <w:r w:rsidRPr="00DD448A">
        <w:rPr>
          <w:rFonts w:ascii="Arial" w:hAnsi="Arial" w:cs="Arial"/>
          <w:kern w:val="1"/>
          <w:sz w:val="22"/>
          <w:szCs w:val="22"/>
        </w:rPr>
        <w:tab/>
        <w:t>Hadlow NC, Rothacker KM, Wardrop R, Brown SJ, Lim EM, Walsh JP. The relationship between TSH and free T</w:t>
      </w:r>
      <w:r w:rsidRPr="00DD448A">
        <w:rPr>
          <w:rFonts w:ascii="Cambria Math" w:hAnsi="Cambria Math" w:cs="Cambria Math"/>
          <w:kern w:val="1"/>
          <w:sz w:val="22"/>
          <w:szCs w:val="22"/>
        </w:rPr>
        <w:t>₄</w:t>
      </w:r>
      <w:r w:rsidRPr="00DD448A">
        <w:rPr>
          <w:rFonts w:ascii="Arial" w:hAnsi="Arial" w:cs="Arial"/>
          <w:kern w:val="1"/>
          <w:sz w:val="22"/>
          <w:szCs w:val="22"/>
        </w:rPr>
        <w:t xml:space="preserve"> in a large population is complex and nonlinear and differs by age and sex.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2013;98(7):2936-2943.</w:t>
      </w:r>
    </w:p>
    <w:p w14:paraId="327A738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145.</w:t>
      </w:r>
      <w:r w:rsidRPr="00DD448A">
        <w:rPr>
          <w:rFonts w:ascii="Arial" w:hAnsi="Arial" w:cs="Arial"/>
          <w:kern w:val="1"/>
          <w:sz w:val="22"/>
          <w:szCs w:val="22"/>
        </w:rPr>
        <w:tab/>
        <w:t xml:space="preserve">Chaker L, </w:t>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 Medici M, </w:t>
      </w:r>
      <w:proofErr w:type="spellStart"/>
      <w:r w:rsidRPr="00DD448A">
        <w:rPr>
          <w:rFonts w:ascii="Arial" w:hAnsi="Arial" w:cs="Arial"/>
          <w:kern w:val="1"/>
          <w:sz w:val="22"/>
          <w:szCs w:val="22"/>
        </w:rPr>
        <w:t>Uitterlinden</w:t>
      </w:r>
      <w:proofErr w:type="spellEnd"/>
      <w:r w:rsidRPr="00DD448A">
        <w:rPr>
          <w:rFonts w:ascii="Arial" w:hAnsi="Arial" w:cs="Arial"/>
          <w:kern w:val="1"/>
          <w:sz w:val="22"/>
          <w:szCs w:val="22"/>
        </w:rPr>
        <w:t xml:space="preserve"> AG, Hofman A, Dehghan A, Franco OH, Peeters RP. Thyroid Function Characteristics and Determinants: The Rotterdam Study.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2016;26(9):1195-1204.</w:t>
      </w:r>
    </w:p>
    <w:p w14:paraId="1EAF853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146.</w:t>
      </w:r>
      <w:r w:rsidRPr="00DD448A">
        <w:rPr>
          <w:rFonts w:ascii="Arial" w:hAnsi="Arial" w:cs="Arial"/>
          <w:kern w:val="1"/>
          <w:sz w:val="22"/>
          <w:szCs w:val="22"/>
        </w:rPr>
        <w:tab/>
        <w:t xml:space="preserve">Jones AM, </w:t>
      </w:r>
      <w:proofErr w:type="spellStart"/>
      <w:r w:rsidRPr="00DD448A">
        <w:rPr>
          <w:rFonts w:ascii="Arial" w:hAnsi="Arial" w:cs="Arial"/>
          <w:kern w:val="1"/>
          <w:sz w:val="22"/>
          <w:szCs w:val="22"/>
        </w:rPr>
        <w:t>Honour</w:t>
      </w:r>
      <w:proofErr w:type="spellEnd"/>
      <w:r w:rsidRPr="00DD448A">
        <w:rPr>
          <w:rFonts w:ascii="Arial" w:hAnsi="Arial" w:cs="Arial"/>
          <w:kern w:val="1"/>
          <w:sz w:val="22"/>
          <w:szCs w:val="22"/>
        </w:rPr>
        <w:t xml:space="preserve"> JW. Unusual results from immunoassays and the role of the clinical endocrinologist.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2006;64(3):234-244.</w:t>
      </w:r>
    </w:p>
    <w:p w14:paraId="4E969A7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147.</w:t>
      </w:r>
      <w:r w:rsidRPr="00DD448A">
        <w:rPr>
          <w:rFonts w:ascii="Arial" w:hAnsi="Arial" w:cs="Arial"/>
          <w:kern w:val="1"/>
          <w:sz w:val="22"/>
          <w:szCs w:val="22"/>
        </w:rPr>
        <w:tab/>
        <w:t xml:space="preserve">Teti C, </w:t>
      </w:r>
      <w:proofErr w:type="spellStart"/>
      <w:r w:rsidRPr="00DD448A">
        <w:rPr>
          <w:rFonts w:ascii="Arial" w:hAnsi="Arial" w:cs="Arial"/>
          <w:kern w:val="1"/>
          <w:sz w:val="22"/>
          <w:szCs w:val="22"/>
        </w:rPr>
        <w:t>Nazzari</w:t>
      </w:r>
      <w:proofErr w:type="spellEnd"/>
      <w:r w:rsidRPr="00DD448A">
        <w:rPr>
          <w:rFonts w:ascii="Arial" w:hAnsi="Arial" w:cs="Arial"/>
          <w:kern w:val="1"/>
          <w:sz w:val="22"/>
          <w:szCs w:val="22"/>
        </w:rPr>
        <w:t xml:space="preserve"> E, Galletti MR, </w:t>
      </w:r>
      <w:proofErr w:type="spellStart"/>
      <w:r w:rsidRPr="00DD448A">
        <w:rPr>
          <w:rFonts w:ascii="Arial" w:hAnsi="Arial" w:cs="Arial"/>
          <w:kern w:val="1"/>
          <w:sz w:val="22"/>
          <w:szCs w:val="22"/>
        </w:rPr>
        <w:t>Mandolfino</w:t>
      </w:r>
      <w:proofErr w:type="spellEnd"/>
      <w:r w:rsidRPr="00DD448A">
        <w:rPr>
          <w:rFonts w:ascii="Arial" w:hAnsi="Arial" w:cs="Arial"/>
          <w:kern w:val="1"/>
          <w:sz w:val="22"/>
          <w:szCs w:val="22"/>
        </w:rPr>
        <w:t xml:space="preserve"> MG, Pupo F, Pesce G, Lillo F, Bagnasco M, Benvenga S. Unexpected Elevated Free Thyroid Hormones in Pregnancy.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2016;26(11):1640-1644.</w:t>
      </w:r>
    </w:p>
    <w:p w14:paraId="02B1DC3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148.</w:t>
      </w:r>
      <w:r w:rsidRPr="00DD448A">
        <w:rPr>
          <w:rFonts w:ascii="Arial" w:hAnsi="Arial" w:cs="Arial"/>
          <w:kern w:val="1"/>
          <w:sz w:val="22"/>
          <w:szCs w:val="22"/>
        </w:rPr>
        <w:tab/>
      </w:r>
      <w:proofErr w:type="spellStart"/>
      <w:r w:rsidRPr="00DD448A">
        <w:rPr>
          <w:rFonts w:ascii="Arial" w:hAnsi="Arial" w:cs="Arial"/>
          <w:kern w:val="1"/>
          <w:sz w:val="22"/>
          <w:szCs w:val="22"/>
        </w:rPr>
        <w:t>Soheilipour</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Fazilaty</w:t>
      </w:r>
      <w:proofErr w:type="spellEnd"/>
      <w:r w:rsidRPr="00DD448A">
        <w:rPr>
          <w:rFonts w:ascii="Arial" w:hAnsi="Arial" w:cs="Arial"/>
          <w:kern w:val="1"/>
          <w:sz w:val="22"/>
          <w:szCs w:val="22"/>
        </w:rPr>
        <w:t xml:space="preserve"> H, Jesmi F, Gahl WA, Behnam B. First report of inherited thyroxine-binding globulin deficiency in Iran caused by a known de novo mutation in SERPINA7. </w:t>
      </w:r>
      <w:r w:rsidRPr="00DD448A">
        <w:rPr>
          <w:rFonts w:ascii="Arial" w:hAnsi="Arial" w:cs="Arial"/>
          <w:iCs/>
          <w:kern w:val="1"/>
          <w:sz w:val="22"/>
          <w:szCs w:val="22"/>
        </w:rPr>
        <w:t xml:space="preserve">Mol Genet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Rep</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2016;8:13-16.</w:t>
      </w:r>
    </w:p>
    <w:p w14:paraId="7C5A214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149.</w:t>
      </w:r>
      <w:r w:rsidRPr="00DD448A">
        <w:rPr>
          <w:rFonts w:ascii="Arial" w:hAnsi="Arial" w:cs="Arial"/>
          <w:kern w:val="1"/>
          <w:sz w:val="22"/>
          <w:szCs w:val="22"/>
        </w:rPr>
        <w:tab/>
        <w:t xml:space="preserve">Jin HY. Thyroxine binding globulin excess detected by neonatal screening. </w:t>
      </w:r>
      <w:r w:rsidRPr="00DD448A">
        <w:rPr>
          <w:rFonts w:ascii="Arial" w:hAnsi="Arial" w:cs="Arial"/>
          <w:iCs/>
          <w:kern w:val="1"/>
          <w:sz w:val="22"/>
          <w:szCs w:val="22"/>
        </w:rPr>
        <w:t xml:space="preserve">Ann </w:t>
      </w:r>
      <w:proofErr w:type="spellStart"/>
      <w:r w:rsidRPr="00DD448A">
        <w:rPr>
          <w:rFonts w:ascii="Arial" w:hAnsi="Arial" w:cs="Arial"/>
          <w:iCs/>
          <w:kern w:val="1"/>
          <w:sz w:val="22"/>
          <w:szCs w:val="22"/>
        </w:rPr>
        <w:t>Pediatr</w:t>
      </w:r>
      <w:proofErr w:type="spellEnd"/>
      <w:r w:rsidRPr="00DD448A">
        <w:rPr>
          <w:rFonts w:ascii="Arial" w:hAnsi="Arial" w:cs="Arial"/>
          <w:iCs/>
          <w:kern w:val="1"/>
          <w:sz w:val="22"/>
          <w:szCs w:val="22"/>
        </w:rPr>
        <w:t xml:space="preserve">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2016;21(2):105-108.</w:t>
      </w:r>
    </w:p>
    <w:p w14:paraId="28BB0E2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150.</w:t>
      </w:r>
      <w:r w:rsidRPr="00DD448A">
        <w:rPr>
          <w:rFonts w:ascii="Arial" w:hAnsi="Arial" w:cs="Arial"/>
          <w:kern w:val="1"/>
          <w:sz w:val="22"/>
          <w:szCs w:val="22"/>
        </w:rPr>
        <w:tab/>
        <w:t xml:space="preserve">Greenberg SM, Ferrara AM, Nicholas ES, Dumitrescu AM, Cody V, Weiss RE, </w:t>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A novel mutation in the Albumin gene (R218S) causing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in a family of Bangladeshi extraction.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2014;24(6):945-950.</w:t>
      </w:r>
    </w:p>
    <w:p w14:paraId="2B1A3CC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151.</w:t>
      </w:r>
      <w:r w:rsidRPr="00DD448A">
        <w:rPr>
          <w:rFonts w:ascii="Arial" w:hAnsi="Arial" w:cs="Arial"/>
          <w:kern w:val="1"/>
          <w:sz w:val="22"/>
          <w:szCs w:val="22"/>
        </w:rPr>
        <w:tab/>
        <w:t xml:space="preserve">Osaki Y, Hayashi Y, Nakagawa Y, Yoshida K, Ozaki H, Fukazawa H.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in a Japanese Man Caused by a Point Albumin Gene Mutation (R218P). </w:t>
      </w:r>
      <w:proofErr w:type="spellStart"/>
      <w:r w:rsidRPr="00DD448A">
        <w:rPr>
          <w:rFonts w:ascii="Arial" w:hAnsi="Arial" w:cs="Arial"/>
          <w:iCs/>
          <w:kern w:val="1"/>
          <w:sz w:val="22"/>
          <w:szCs w:val="22"/>
        </w:rPr>
        <w:t>Jpn</w:t>
      </w:r>
      <w:proofErr w:type="spellEnd"/>
      <w:r w:rsidRPr="00DD448A">
        <w:rPr>
          <w:rFonts w:ascii="Arial" w:hAnsi="Arial" w:cs="Arial"/>
          <w:iCs/>
          <w:kern w:val="1"/>
          <w:sz w:val="22"/>
          <w:szCs w:val="22"/>
        </w:rPr>
        <w:t xml:space="preserve"> Clin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2016;7:9-13.</w:t>
      </w:r>
    </w:p>
    <w:p w14:paraId="289AF6B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152.</w:t>
      </w:r>
      <w:r w:rsidRPr="00DD448A">
        <w:rPr>
          <w:rFonts w:ascii="Arial" w:hAnsi="Arial" w:cs="Arial"/>
          <w:kern w:val="1"/>
          <w:sz w:val="22"/>
          <w:szCs w:val="22"/>
        </w:rPr>
        <w:tab/>
        <w:t xml:space="preserve">Cho YY, Song JS, Park HD, Kim YN, Kim HI, Kim TH, Chung JH, Ki CS, Kim SW. First Report of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With an ALB Variant. </w:t>
      </w:r>
      <w:r w:rsidRPr="00DD448A">
        <w:rPr>
          <w:rFonts w:ascii="Arial" w:hAnsi="Arial" w:cs="Arial"/>
          <w:iCs/>
          <w:kern w:val="1"/>
          <w:sz w:val="22"/>
          <w:szCs w:val="22"/>
        </w:rPr>
        <w:t>Ann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2017;37(1):63-65.</w:t>
      </w:r>
    </w:p>
    <w:p w14:paraId="5BF6879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153.</w:t>
      </w:r>
      <w:r w:rsidRPr="00DD448A">
        <w:rPr>
          <w:rFonts w:ascii="Arial" w:hAnsi="Arial" w:cs="Arial"/>
          <w:kern w:val="1"/>
          <w:sz w:val="22"/>
          <w:szCs w:val="22"/>
        </w:rPr>
        <w:tab/>
        <w:t xml:space="preserve">Pietras SM, Safer JD. Diagnostic confusion attributable to spurious elevation of both total thyroid hormone and thyroid hormone uptake measurements in the setting of autoantibodies: case report and review of related literature.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2008;14(6):738-742.</w:t>
      </w:r>
    </w:p>
    <w:p w14:paraId="1BBC9AE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154.</w:t>
      </w:r>
      <w:r w:rsidRPr="00DD448A">
        <w:rPr>
          <w:rFonts w:ascii="Arial" w:hAnsi="Arial" w:cs="Arial"/>
          <w:kern w:val="1"/>
          <w:sz w:val="22"/>
          <w:szCs w:val="22"/>
        </w:rPr>
        <w:tab/>
        <w:t xml:space="preserve">Massart C, </w:t>
      </w:r>
      <w:proofErr w:type="spellStart"/>
      <w:r w:rsidRPr="00DD448A">
        <w:rPr>
          <w:rFonts w:ascii="Arial" w:hAnsi="Arial" w:cs="Arial"/>
          <w:kern w:val="1"/>
          <w:sz w:val="22"/>
          <w:szCs w:val="22"/>
        </w:rPr>
        <w:t>Elbadii</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Gibassier</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Coignard</w:t>
      </w:r>
      <w:proofErr w:type="spellEnd"/>
      <w:r w:rsidRPr="00DD448A">
        <w:rPr>
          <w:rFonts w:ascii="Arial" w:hAnsi="Arial" w:cs="Arial"/>
          <w:kern w:val="1"/>
          <w:sz w:val="22"/>
          <w:szCs w:val="22"/>
        </w:rPr>
        <w:t xml:space="preserve"> V, </w:t>
      </w:r>
      <w:proofErr w:type="spellStart"/>
      <w:r w:rsidRPr="00DD448A">
        <w:rPr>
          <w:rFonts w:ascii="Arial" w:hAnsi="Arial" w:cs="Arial"/>
          <w:kern w:val="1"/>
          <w:sz w:val="22"/>
          <w:szCs w:val="22"/>
        </w:rPr>
        <w:t>Rasandratana</w:t>
      </w:r>
      <w:proofErr w:type="spellEnd"/>
      <w:r w:rsidRPr="00DD448A">
        <w:rPr>
          <w:rFonts w:ascii="Arial" w:hAnsi="Arial" w:cs="Arial"/>
          <w:kern w:val="1"/>
          <w:sz w:val="22"/>
          <w:szCs w:val="22"/>
        </w:rPr>
        <w:t xml:space="preserve"> A. Anti-thyroxine and anti-triiodothyronine antibody interferences in one-step free triiodothyronine and free thyroxine immunoassays.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2009;401(1-2):175-176.</w:t>
      </w:r>
    </w:p>
    <w:p w14:paraId="2D8F4AB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155.</w:t>
      </w:r>
      <w:r w:rsidRPr="00DD448A">
        <w:rPr>
          <w:rFonts w:ascii="Arial" w:hAnsi="Arial" w:cs="Arial"/>
          <w:kern w:val="1"/>
          <w:sz w:val="22"/>
          <w:szCs w:val="22"/>
        </w:rPr>
        <w:tab/>
        <w:t xml:space="preserve">Loh TP, Leong SM, Loke KY, Deepak DS. Spuriously elevated free thyroxine associated with autoantibodies, a result of laboratory methodology: case report and literature review.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2014;20(8):e134-139.</w:t>
      </w:r>
    </w:p>
    <w:p w14:paraId="6D32FEB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156.</w:t>
      </w:r>
      <w:r w:rsidRPr="00DD448A">
        <w:rPr>
          <w:rFonts w:ascii="Arial" w:hAnsi="Arial" w:cs="Arial"/>
          <w:kern w:val="1"/>
          <w:sz w:val="22"/>
          <w:szCs w:val="22"/>
        </w:rPr>
        <w:tab/>
      </w:r>
      <w:proofErr w:type="spellStart"/>
      <w:r w:rsidRPr="00DD448A">
        <w:rPr>
          <w:rFonts w:ascii="Arial" w:hAnsi="Arial" w:cs="Arial"/>
          <w:kern w:val="1"/>
          <w:sz w:val="22"/>
          <w:szCs w:val="22"/>
        </w:rPr>
        <w:t>Okosieme</w:t>
      </w:r>
      <w:proofErr w:type="spellEnd"/>
      <w:r w:rsidRPr="00DD448A">
        <w:rPr>
          <w:rFonts w:ascii="Arial" w:hAnsi="Arial" w:cs="Arial"/>
          <w:kern w:val="1"/>
          <w:sz w:val="22"/>
          <w:szCs w:val="22"/>
        </w:rPr>
        <w:t xml:space="preserve"> OE, Agrawal M, Usman D, Evans C. Method-dependent variation in TSH and FT4 reference intervals in pregnancy: A systematic review.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2021;58(5):537-546.</w:t>
      </w:r>
    </w:p>
    <w:p w14:paraId="5861917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157.</w:t>
      </w:r>
      <w:r w:rsidRPr="00DD448A">
        <w:rPr>
          <w:rFonts w:ascii="Arial" w:hAnsi="Arial" w:cs="Arial"/>
          <w:kern w:val="1"/>
          <w:sz w:val="22"/>
          <w:szCs w:val="22"/>
        </w:rPr>
        <w:tab/>
        <w:t xml:space="preserve">Osinga JAJ, Nelson SM, Walsh JP, Ashoor G, Palomaki GE, López-Bermejo A, Bassols J, </w:t>
      </w:r>
      <w:proofErr w:type="spellStart"/>
      <w:r w:rsidRPr="00DD448A">
        <w:rPr>
          <w:rFonts w:ascii="Arial" w:hAnsi="Arial" w:cs="Arial"/>
          <w:kern w:val="1"/>
          <w:sz w:val="22"/>
          <w:szCs w:val="22"/>
        </w:rPr>
        <w:t>Aminorroaya</w:t>
      </w:r>
      <w:proofErr w:type="spellEnd"/>
      <w:r w:rsidRPr="00DD448A">
        <w:rPr>
          <w:rFonts w:ascii="Arial" w:hAnsi="Arial" w:cs="Arial"/>
          <w:kern w:val="1"/>
          <w:sz w:val="22"/>
          <w:szCs w:val="22"/>
        </w:rPr>
        <w:t xml:space="preserve"> A, Broeren MAC, Chen L, Lu X, Brown SJ, Veltri F, Huang K, Männistö T, </w:t>
      </w:r>
      <w:proofErr w:type="spellStart"/>
      <w:r w:rsidRPr="00DD448A">
        <w:rPr>
          <w:rFonts w:ascii="Arial" w:hAnsi="Arial" w:cs="Arial"/>
          <w:kern w:val="1"/>
          <w:sz w:val="22"/>
          <w:szCs w:val="22"/>
        </w:rPr>
        <w:t>Vafeiadi</w:t>
      </w:r>
      <w:proofErr w:type="spellEnd"/>
      <w:r w:rsidRPr="00DD448A">
        <w:rPr>
          <w:rFonts w:ascii="Arial" w:hAnsi="Arial" w:cs="Arial"/>
          <w:kern w:val="1"/>
          <w:sz w:val="22"/>
          <w:szCs w:val="22"/>
        </w:rPr>
        <w:t xml:space="preserve"> M, Taylor PN, Tao FB, Chatzi L, Kianpour M, Suvanto E, </w:t>
      </w:r>
      <w:proofErr w:type="spellStart"/>
      <w:r w:rsidRPr="00DD448A">
        <w:rPr>
          <w:rFonts w:ascii="Arial" w:hAnsi="Arial" w:cs="Arial"/>
          <w:kern w:val="1"/>
          <w:sz w:val="22"/>
          <w:szCs w:val="22"/>
        </w:rPr>
        <w:t>Grineva</w:t>
      </w:r>
      <w:proofErr w:type="spellEnd"/>
      <w:r w:rsidRPr="00DD448A">
        <w:rPr>
          <w:rFonts w:ascii="Arial" w:hAnsi="Arial" w:cs="Arial"/>
          <w:kern w:val="1"/>
          <w:sz w:val="22"/>
          <w:szCs w:val="22"/>
        </w:rPr>
        <w:t xml:space="preserve"> EN, Nicolaides KH, D'Alton ME, Poppe KG, Alexander E, Feldt-Rasmussen U, Bliddal S, Popova PV, Chaker L, Visser WE, Peeters RP, Derakhshan A, </w:t>
      </w:r>
      <w:proofErr w:type="spellStart"/>
      <w:r w:rsidRPr="00DD448A">
        <w:rPr>
          <w:rFonts w:ascii="Arial" w:hAnsi="Arial" w:cs="Arial"/>
          <w:kern w:val="1"/>
          <w:sz w:val="22"/>
          <w:szCs w:val="22"/>
        </w:rPr>
        <w:t>Vrijkotte</w:t>
      </w:r>
      <w:proofErr w:type="spellEnd"/>
      <w:r w:rsidRPr="00DD448A">
        <w:rPr>
          <w:rFonts w:ascii="Arial" w:hAnsi="Arial" w:cs="Arial"/>
          <w:kern w:val="1"/>
          <w:sz w:val="22"/>
          <w:szCs w:val="22"/>
        </w:rPr>
        <w:t xml:space="preserve"> TGM, Pop VJM, </w:t>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TIM. Defining gestational thyroid dysfunction through modified non-pregnancy reference intervals: an individual participant meta-analysis.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3216288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158.</w:t>
      </w:r>
      <w:r w:rsidRPr="00DD448A">
        <w:rPr>
          <w:rFonts w:ascii="Arial" w:hAnsi="Arial" w:cs="Arial"/>
          <w:kern w:val="1"/>
          <w:sz w:val="22"/>
          <w:szCs w:val="22"/>
        </w:rPr>
        <w:tab/>
        <w:t xml:space="preserve">Osinga JAJ, Derakhshan A, Palomaki GE, Ashoor G, Männistö T, </w:t>
      </w:r>
      <w:proofErr w:type="spellStart"/>
      <w:r w:rsidRPr="00DD448A">
        <w:rPr>
          <w:rFonts w:ascii="Arial" w:hAnsi="Arial" w:cs="Arial"/>
          <w:kern w:val="1"/>
          <w:sz w:val="22"/>
          <w:szCs w:val="22"/>
        </w:rPr>
        <w:t>Maraka</w:t>
      </w:r>
      <w:proofErr w:type="spellEnd"/>
      <w:r w:rsidRPr="00DD448A">
        <w:rPr>
          <w:rFonts w:ascii="Arial" w:hAnsi="Arial" w:cs="Arial"/>
          <w:kern w:val="1"/>
          <w:sz w:val="22"/>
          <w:szCs w:val="22"/>
        </w:rPr>
        <w:t xml:space="preserve"> S, Chen L, Bliddal S, Lu X, Taylor PN, </w:t>
      </w:r>
      <w:proofErr w:type="spellStart"/>
      <w:r w:rsidRPr="00DD448A">
        <w:rPr>
          <w:rFonts w:ascii="Arial" w:hAnsi="Arial" w:cs="Arial"/>
          <w:kern w:val="1"/>
          <w:sz w:val="22"/>
          <w:szCs w:val="22"/>
        </w:rPr>
        <w:t>Vrijkotte</w:t>
      </w:r>
      <w:proofErr w:type="spellEnd"/>
      <w:r w:rsidRPr="00DD448A">
        <w:rPr>
          <w:rFonts w:ascii="Arial" w:hAnsi="Arial" w:cs="Arial"/>
          <w:kern w:val="1"/>
          <w:sz w:val="22"/>
          <w:szCs w:val="22"/>
        </w:rPr>
        <w:t xml:space="preserve"> TGM, Tao FB, Brown SJ, Ghafoor F, Poppe K, Veltri F, </w:t>
      </w:r>
      <w:r w:rsidRPr="00DD448A">
        <w:rPr>
          <w:rFonts w:ascii="Arial" w:hAnsi="Arial" w:cs="Arial"/>
          <w:kern w:val="1"/>
          <w:sz w:val="22"/>
          <w:szCs w:val="22"/>
        </w:rPr>
        <w:lastRenderedPageBreak/>
        <w:t xml:space="preserve">Chatzi L, Vaidya B, Broeren MAC, Shields BM, Itoh S, Mosso L, Popova PV, </w:t>
      </w:r>
      <w:proofErr w:type="spellStart"/>
      <w:r w:rsidRPr="00DD448A">
        <w:rPr>
          <w:rFonts w:ascii="Arial" w:hAnsi="Arial" w:cs="Arial"/>
          <w:kern w:val="1"/>
          <w:sz w:val="22"/>
          <w:szCs w:val="22"/>
        </w:rPr>
        <w:t>Anopova</w:t>
      </w:r>
      <w:proofErr w:type="spellEnd"/>
      <w:r w:rsidRPr="00DD448A">
        <w:rPr>
          <w:rFonts w:ascii="Arial" w:hAnsi="Arial" w:cs="Arial"/>
          <w:kern w:val="1"/>
          <w:sz w:val="22"/>
          <w:szCs w:val="22"/>
        </w:rPr>
        <w:t xml:space="preserve"> AD, Kishi R, </w:t>
      </w:r>
      <w:proofErr w:type="spellStart"/>
      <w:r w:rsidRPr="00DD448A">
        <w:rPr>
          <w:rFonts w:ascii="Arial" w:hAnsi="Arial" w:cs="Arial"/>
          <w:kern w:val="1"/>
          <w:sz w:val="22"/>
          <w:szCs w:val="22"/>
        </w:rPr>
        <w:t>Aminorroaya</w:t>
      </w:r>
      <w:proofErr w:type="spellEnd"/>
      <w:r w:rsidRPr="00DD448A">
        <w:rPr>
          <w:rFonts w:ascii="Arial" w:hAnsi="Arial" w:cs="Arial"/>
          <w:kern w:val="1"/>
          <w:sz w:val="22"/>
          <w:szCs w:val="22"/>
        </w:rPr>
        <w:t xml:space="preserve"> A, Kianpour M, López-Bermejo A, Oken E, Pirzada A, </w:t>
      </w:r>
      <w:proofErr w:type="spellStart"/>
      <w:r w:rsidRPr="00DD448A">
        <w:rPr>
          <w:rFonts w:ascii="Arial" w:hAnsi="Arial" w:cs="Arial"/>
          <w:kern w:val="1"/>
          <w:sz w:val="22"/>
          <w:szCs w:val="22"/>
        </w:rPr>
        <w:t>Vafeiadi</w:t>
      </w:r>
      <w:proofErr w:type="spellEnd"/>
      <w:r w:rsidRPr="00DD448A">
        <w:rPr>
          <w:rFonts w:ascii="Arial" w:hAnsi="Arial" w:cs="Arial"/>
          <w:kern w:val="1"/>
          <w:sz w:val="22"/>
          <w:szCs w:val="22"/>
        </w:rPr>
        <w:t xml:space="preserve"> M, Bramer WM, Suvanto E, Yoshinaga J, Huang K, Bassols J, </w:t>
      </w:r>
      <w:proofErr w:type="spellStart"/>
      <w:r w:rsidRPr="00DD448A">
        <w:rPr>
          <w:rFonts w:ascii="Arial" w:hAnsi="Arial" w:cs="Arial"/>
          <w:kern w:val="1"/>
          <w:sz w:val="22"/>
          <w:szCs w:val="22"/>
        </w:rPr>
        <w:t>Boucai</w:t>
      </w:r>
      <w:proofErr w:type="spellEnd"/>
      <w:r w:rsidRPr="00DD448A">
        <w:rPr>
          <w:rFonts w:ascii="Arial" w:hAnsi="Arial" w:cs="Arial"/>
          <w:kern w:val="1"/>
          <w:sz w:val="22"/>
          <w:szCs w:val="22"/>
        </w:rPr>
        <w:t xml:space="preserve"> L, Feldt-Rasmussen U, </w:t>
      </w:r>
      <w:proofErr w:type="spellStart"/>
      <w:r w:rsidRPr="00DD448A">
        <w:rPr>
          <w:rFonts w:ascii="Arial" w:hAnsi="Arial" w:cs="Arial"/>
          <w:kern w:val="1"/>
          <w:sz w:val="22"/>
          <w:szCs w:val="22"/>
        </w:rPr>
        <w:t>Grineva</w:t>
      </w:r>
      <w:proofErr w:type="spellEnd"/>
      <w:r w:rsidRPr="00DD448A">
        <w:rPr>
          <w:rFonts w:ascii="Arial" w:hAnsi="Arial" w:cs="Arial"/>
          <w:kern w:val="1"/>
          <w:sz w:val="22"/>
          <w:szCs w:val="22"/>
        </w:rPr>
        <w:t xml:space="preserve"> EN, Pearce EN, Alexander EK, Pop VJM, Nelson SM, Walsh JP, Peeters RP, Chaker L, Nicolaides KH, D'Alton ME, </w:t>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TIM. TSH and FT4 Reference Intervals in Pregnancy: A Systematic Review and Individual Participant Data Meta-Analysis.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2022;107(10):2925-2933.</w:t>
      </w:r>
    </w:p>
    <w:p w14:paraId="171D493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159.</w:t>
      </w:r>
      <w:r w:rsidRPr="00DD448A">
        <w:rPr>
          <w:rFonts w:ascii="Arial" w:hAnsi="Arial" w:cs="Arial"/>
          <w:kern w:val="1"/>
          <w:sz w:val="22"/>
          <w:szCs w:val="22"/>
        </w:rPr>
        <w:tab/>
        <w:t xml:space="preserve">Chan S, </w:t>
      </w:r>
      <w:proofErr w:type="spellStart"/>
      <w:r w:rsidRPr="00DD448A">
        <w:rPr>
          <w:rFonts w:ascii="Arial" w:hAnsi="Arial" w:cs="Arial"/>
          <w:kern w:val="1"/>
          <w:sz w:val="22"/>
          <w:szCs w:val="22"/>
        </w:rPr>
        <w:t>Boelaert</w:t>
      </w:r>
      <w:proofErr w:type="spellEnd"/>
      <w:r w:rsidRPr="00DD448A">
        <w:rPr>
          <w:rFonts w:ascii="Arial" w:hAnsi="Arial" w:cs="Arial"/>
          <w:kern w:val="1"/>
          <w:sz w:val="22"/>
          <w:szCs w:val="22"/>
        </w:rPr>
        <w:t xml:space="preserve"> K. Optimal management of hypothyroidism, </w:t>
      </w:r>
      <w:proofErr w:type="spellStart"/>
      <w:r w:rsidRPr="00DD448A">
        <w:rPr>
          <w:rFonts w:ascii="Arial" w:hAnsi="Arial" w:cs="Arial"/>
          <w:kern w:val="1"/>
          <w:sz w:val="22"/>
          <w:szCs w:val="22"/>
        </w:rPr>
        <w:t>hypothyroxinaemia</w:t>
      </w:r>
      <w:proofErr w:type="spellEnd"/>
      <w:r w:rsidRPr="00DD448A">
        <w:rPr>
          <w:rFonts w:ascii="Arial" w:hAnsi="Arial" w:cs="Arial"/>
          <w:kern w:val="1"/>
          <w:sz w:val="22"/>
          <w:szCs w:val="22"/>
        </w:rPr>
        <w:t xml:space="preserve"> and euthyroid TPO antibody positivity preconception and in pregnancy.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2015;82(3):313-326.</w:t>
      </w:r>
    </w:p>
    <w:p w14:paraId="598D8C3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160.</w:t>
      </w:r>
      <w:r w:rsidRPr="00DD448A">
        <w:rPr>
          <w:rFonts w:ascii="Arial" w:hAnsi="Arial" w:cs="Arial"/>
          <w:kern w:val="1"/>
          <w:sz w:val="22"/>
          <w:szCs w:val="22"/>
        </w:rPr>
        <w:tab/>
        <w:t xml:space="preserve">Varner MW, Mele L, Casey BM, </w:t>
      </w:r>
      <w:proofErr w:type="spellStart"/>
      <w:r w:rsidRPr="00DD448A">
        <w:rPr>
          <w:rFonts w:ascii="Arial" w:hAnsi="Arial" w:cs="Arial"/>
          <w:kern w:val="1"/>
          <w:sz w:val="22"/>
          <w:szCs w:val="22"/>
        </w:rPr>
        <w:t>Peaceman</w:t>
      </w:r>
      <w:proofErr w:type="spellEnd"/>
      <w:r w:rsidRPr="00DD448A">
        <w:rPr>
          <w:rFonts w:ascii="Arial" w:hAnsi="Arial" w:cs="Arial"/>
          <w:kern w:val="1"/>
          <w:sz w:val="22"/>
          <w:szCs w:val="22"/>
        </w:rPr>
        <w:t xml:space="preserve"> AM, Reddy UM, Wapner RJ, Thorp JM, Saade GR, Tita ATN, Rouse DJ, </w:t>
      </w:r>
      <w:proofErr w:type="spellStart"/>
      <w:r w:rsidRPr="00DD448A">
        <w:rPr>
          <w:rFonts w:ascii="Arial" w:hAnsi="Arial" w:cs="Arial"/>
          <w:kern w:val="1"/>
          <w:sz w:val="22"/>
          <w:szCs w:val="22"/>
        </w:rPr>
        <w:t>Sibai</w:t>
      </w:r>
      <w:proofErr w:type="spellEnd"/>
      <w:r w:rsidRPr="00DD448A">
        <w:rPr>
          <w:rFonts w:ascii="Arial" w:hAnsi="Arial" w:cs="Arial"/>
          <w:kern w:val="1"/>
          <w:sz w:val="22"/>
          <w:szCs w:val="22"/>
        </w:rPr>
        <w:t xml:space="preserve"> BM, </w:t>
      </w:r>
      <w:proofErr w:type="spellStart"/>
      <w:r w:rsidRPr="00DD448A">
        <w:rPr>
          <w:rFonts w:ascii="Arial" w:hAnsi="Arial" w:cs="Arial"/>
          <w:kern w:val="1"/>
          <w:sz w:val="22"/>
          <w:szCs w:val="22"/>
        </w:rPr>
        <w:t>Costantine</w:t>
      </w:r>
      <w:proofErr w:type="spellEnd"/>
      <w:r w:rsidRPr="00DD448A">
        <w:rPr>
          <w:rFonts w:ascii="Arial" w:hAnsi="Arial" w:cs="Arial"/>
          <w:kern w:val="1"/>
          <w:sz w:val="22"/>
          <w:szCs w:val="22"/>
        </w:rPr>
        <w:t xml:space="preserve"> MM, Mercer BM, Caritis SN. Progression of Gestational Subclinical Hypothyroidism and Hypothyroxinemia to Overt Hypothyroidism After Pregnancy: Pooled Analysis of Data from Two Randomized Controlled Trials.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2024;34(9):1171-1176.</w:t>
      </w:r>
    </w:p>
    <w:p w14:paraId="26498C7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161.</w:t>
      </w:r>
      <w:r w:rsidRPr="00DD448A">
        <w:rPr>
          <w:rFonts w:ascii="Arial" w:hAnsi="Arial" w:cs="Arial"/>
          <w:kern w:val="1"/>
          <w:sz w:val="22"/>
          <w:szCs w:val="22"/>
        </w:rPr>
        <w:tab/>
        <w:t xml:space="preserve">Oguz A, </w:t>
      </w:r>
      <w:proofErr w:type="spellStart"/>
      <w:r w:rsidRPr="00DD448A">
        <w:rPr>
          <w:rFonts w:ascii="Arial" w:hAnsi="Arial" w:cs="Arial"/>
          <w:kern w:val="1"/>
          <w:sz w:val="22"/>
          <w:szCs w:val="22"/>
        </w:rPr>
        <w:t>Tuzun</w:t>
      </w:r>
      <w:proofErr w:type="spellEnd"/>
      <w:r w:rsidRPr="00DD448A">
        <w:rPr>
          <w:rFonts w:ascii="Arial" w:hAnsi="Arial" w:cs="Arial"/>
          <w:kern w:val="1"/>
          <w:sz w:val="22"/>
          <w:szCs w:val="22"/>
        </w:rPr>
        <w:t xml:space="preserve"> D, Sahin M, </w:t>
      </w:r>
      <w:proofErr w:type="spellStart"/>
      <w:r w:rsidRPr="00DD448A">
        <w:rPr>
          <w:rFonts w:ascii="Arial" w:hAnsi="Arial" w:cs="Arial"/>
          <w:kern w:val="1"/>
          <w:sz w:val="22"/>
          <w:szCs w:val="22"/>
        </w:rPr>
        <w:t>Usluogullari</w:t>
      </w:r>
      <w:proofErr w:type="spellEnd"/>
      <w:r w:rsidRPr="00DD448A">
        <w:rPr>
          <w:rFonts w:ascii="Arial" w:hAnsi="Arial" w:cs="Arial"/>
          <w:kern w:val="1"/>
          <w:sz w:val="22"/>
          <w:szCs w:val="22"/>
        </w:rPr>
        <w:t xml:space="preserve"> AC, </w:t>
      </w:r>
      <w:proofErr w:type="spellStart"/>
      <w:r w:rsidRPr="00DD448A">
        <w:rPr>
          <w:rFonts w:ascii="Arial" w:hAnsi="Arial" w:cs="Arial"/>
          <w:kern w:val="1"/>
          <w:sz w:val="22"/>
          <w:szCs w:val="22"/>
        </w:rPr>
        <w:t>Usluogullari</w:t>
      </w:r>
      <w:proofErr w:type="spellEnd"/>
      <w:r w:rsidRPr="00DD448A">
        <w:rPr>
          <w:rFonts w:ascii="Arial" w:hAnsi="Arial" w:cs="Arial"/>
          <w:kern w:val="1"/>
          <w:sz w:val="22"/>
          <w:szCs w:val="22"/>
        </w:rPr>
        <w:t xml:space="preserve"> B, Celik A, Gul K. Frequency of isolated maternal hypothyroxinemia in women with gestational diabetes mellitus in a moderately iodine-deficient area. </w:t>
      </w:r>
      <w:proofErr w:type="spellStart"/>
      <w:r w:rsidRPr="00DD448A">
        <w:rPr>
          <w:rFonts w:ascii="Arial" w:hAnsi="Arial" w:cs="Arial"/>
          <w:iCs/>
          <w:kern w:val="1"/>
          <w:sz w:val="22"/>
          <w:szCs w:val="22"/>
        </w:rPr>
        <w:t>Gynecol</w:t>
      </w:r>
      <w:proofErr w:type="spellEnd"/>
      <w:r w:rsidRPr="00DD448A">
        <w:rPr>
          <w:rFonts w:ascii="Arial" w:hAnsi="Arial" w:cs="Arial"/>
          <w:iCs/>
          <w:kern w:val="1"/>
          <w:sz w:val="22"/>
          <w:szCs w:val="22"/>
        </w:rPr>
        <w:t xml:space="preserve">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2015;31(10):792-795.</w:t>
      </w:r>
    </w:p>
    <w:p w14:paraId="6E9DE98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162.</w:t>
      </w:r>
      <w:r w:rsidRPr="00DD448A">
        <w:rPr>
          <w:rFonts w:ascii="Arial" w:hAnsi="Arial" w:cs="Arial"/>
          <w:kern w:val="1"/>
          <w:sz w:val="22"/>
          <w:szCs w:val="22"/>
        </w:rPr>
        <w:tab/>
        <w:t xml:space="preserve">Haddow JE, Craig WY, Neveux LM, Palomaki GE, Lambert-Messerlian G, Malone FD, D'Alton ME. Free Thyroxine During Early Pregnancy and Risk for Gestational Diabetes. </w:t>
      </w:r>
      <w:proofErr w:type="spellStart"/>
      <w:r w:rsidRPr="00DD448A">
        <w:rPr>
          <w:rFonts w:ascii="Arial" w:hAnsi="Arial" w:cs="Arial"/>
          <w:iCs/>
          <w:kern w:val="1"/>
          <w:sz w:val="22"/>
          <w:szCs w:val="22"/>
        </w:rPr>
        <w:t>PloS</w:t>
      </w:r>
      <w:proofErr w:type="spellEnd"/>
      <w:r w:rsidRPr="00DD448A">
        <w:rPr>
          <w:rFonts w:ascii="Arial" w:hAnsi="Arial" w:cs="Arial"/>
          <w:iCs/>
          <w:kern w:val="1"/>
          <w:sz w:val="22"/>
          <w:szCs w:val="22"/>
        </w:rPr>
        <w:t xml:space="preserve"> one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2016;11(2):e0149065.</w:t>
      </w:r>
    </w:p>
    <w:p w14:paraId="3B149A0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163.</w:t>
      </w:r>
      <w:r w:rsidRPr="00DD448A">
        <w:rPr>
          <w:rFonts w:ascii="Arial" w:hAnsi="Arial" w:cs="Arial"/>
          <w:kern w:val="1"/>
          <w:sz w:val="22"/>
          <w:szCs w:val="22"/>
        </w:rPr>
        <w:tab/>
        <w:t xml:space="preserve">Yang S, Shi FT, Leung PC, Huang HF, Fan J. Low Thyroid Hormone in Early Pregnancy Is Associated With an Increased Risk of Gestational Diabetes Mellitus.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2016;101(11):4237-4243.</w:t>
      </w:r>
    </w:p>
    <w:p w14:paraId="20663BB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164.</w:t>
      </w:r>
      <w:r w:rsidRPr="00DD448A">
        <w:rPr>
          <w:rFonts w:ascii="Arial" w:hAnsi="Arial" w:cs="Arial"/>
          <w:kern w:val="1"/>
          <w:sz w:val="22"/>
          <w:szCs w:val="22"/>
        </w:rPr>
        <w:tab/>
        <w:t xml:space="preserve">Berta E, Samson L, Lenkey A, Erdei A, Cseke B, Jenei K, Major T, Jakab A, Jenei Z, </w:t>
      </w:r>
      <w:proofErr w:type="spellStart"/>
      <w:r w:rsidRPr="00DD448A">
        <w:rPr>
          <w:rFonts w:ascii="Arial" w:hAnsi="Arial" w:cs="Arial"/>
          <w:kern w:val="1"/>
          <w:sz w:val="22"/>
          <w:szCs w:val="22"/>
        </w:rPr>
        <w:t>Paragh</w:t>
      </w:r>
      <w:proofErr w:type="spellEnd"/>
      <w:r w:rsidRPr="00DD448A">
        <w:rPr>
          <w:rFonts w:ascii="Arial" w:hAnsi="Arial" w:cs="Arial"/>
          <w:kern w:val="1"/>
          <w:sz w:val="22"/>
          <w:szCs w:val="22"/>
        </w:rPr>
        <w:t xml:space="preserve"> G, Nagy EV, Bodor M. Evaluation of the thyroid function of healthy pregnant women by five different hormone assays. </w:t>
      </w:r>
      <w:proofErr w:type="spellStart"/>
      <w:r w:rsidRPr="00DD448A">
        <w:rPr>
          <w:rFonts w:ascii="Arial" w:hAnsi="Arial" w:cs="Arial"/>
          <w:iCs/>
          <w:kern w:val="1"/>
          <w:sz w:val="22"/>
          <w:szCs w:val="22"/>
        </w:rPr>
        <w:t>Pharmazie</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2010;65(6):436-439.</w:t>
      </w:r>
    </w:p>
    <w:p w14:paraId="0D0E8DC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165.</w:t>
      </w:r>
      <w:r w:rsidRPr="00DD448A">
        <w:rPr>
          <w:rFonts w:ascii="Arial" w:hAnsi="Arial" w:cs="Arial"/>
          <w:kern w:val="1"/>
          <w:sz w:val="22"/>
          <w:szCs w:val="22"/>
        </w:rPr>
        <w:tab/>
        <w:t xml:space="preserve">Laurberg P, Andersen SL, Hindersson P, Nohr EA, Olsen J. Dynamics and Predictors of Serum TSH and fT4 Reference Limits in Early Pregnancy: A Study Within the Danish National Birth Cohort.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2016;101(6):2484-2492.</w:t>
      </w:r>
    </w:p>
    <w:p w14:paraId="026246D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166.</w:t>
      </w:r>
      <w:r w:rsidRPr="00DD448A">
        <w:rPr>
          <w:rFonts w:ascii="Arial" w:hAnsi="Arial" w:cs="Arial"/>
          <w:kern w:val="1"/>
          <w:sz w:val="22"/>
          <w:szCs w:val="22"/>
        </w:rPr>
        <w:tab/>
        <w:t xml:space="preserve">Price A, Obel O, Cresswell J, Catch I, Rutter S, Barik S, Heller SR, Weetman AP. Comparison of thyroid function in pregnant and non-pregnant Asian and western Caucasian women.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2001;308(1-2):91-98.</w:t>
      </w:r>
    </w:p>
    <w:p w14:paraId="0F44726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167.</w:t>
      </w:r>
      <w:r w:rsidRPr="00DD448A">
        <w:rPr>
          <w:rFonts w:ascii="Arial" w:hAnsi="Arial" w:cs="Arial"/>
          <w:kern w:val="1"/>
          <w:sz w:val="22"/>
          <w:szCs w:val="22"/>
        </w:rPr>
        <w:tab/>
        <w:t xml:space="preserve">Dhatt GS, </w:t>
      </w:r>
      <w:proofErr w:type="spellStart"/>
      <w:r w:rsidRPr="00DD448A">
        <w:rPr>
          <w:rFonts w:ascii="Arial" w:hAnsi="Arial" w:cs="Arial"/>
          <w:kern w:val="1"/>
          <w:sz w:val="22"/>
          <w:szCs w:val="22"/>
        </w:rPr>
        <w:t>Jayasundaram</w:t>
      </w:r>
      <w:proofErr w:type="spellEnd"/>
      <w:r w:rsidRPr="00DD448A">
        <w:rPr>
          <w:rFonts w:ascii="Arial" w:hAnsi="Arial" w:cs="Arial"/>
          <w:kern w:val="1"/>
          <w:sz w:val="22"/>
          <w:szCs w:val="22"/>
        </w:rPr>
        <w:t xml:space="preserve"> R, Wareth LA, Nagelkerke N, </w:t>
      </w:r>
      <w:proofErr w:type="spellStart"/>
      <w:r w:rsidRPr="00DD448A">
        <w:rPr>
          <w:rFonts w:ascii="Arial" w:hAnsi="Arial" w:cs="Arial"/>
          <w:kern w:val="1"/>
          <w:sz w:val="22"/>
          <w:szCs w:val="22"/>
        </w:rPr>
        <w:t>Jayasundaram</w:t>
      </w:r>
      <w:proofErr w:type="spellEnd"/>
      <w:r w:rsidRPr="00DD448A">
        <w:rPr>
          <w:rFonts w:ascii="Arial" w:hAnsi="Arial" w:cs="Arial"/>
          <w:kern w:val="1"/>
          <w:sz w:val="22"/>
          <w:szCs w:val="22"/>
        </w:rPr>
        <w:t xml:space="preserve"> K, Darwish EA, Lewis A. Thyrotrophin and free thyroxine trimester-specific reference intervals in a mixed ethnic pregnant population in the United Arab Emirates.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2006;370(1-2):147-151.</w:t>
      </w:r>
    </w:p>
    <w:p w14:paraId="4FE4EFF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168.</w:t>
      </w:r>
      <w:r w:rsidRPr="00DD448A">
        <w:rPr>
          <w:rFonts w:ascii="Arial" w:hAnsi="Arial" w:cs="Arial"/>
          <w:kern w:val="1"/>
          <w:sz w:val="22"/>
          <w:szCs w:val="22"/>
        </w:rPr>
        <w:tab/>
      </w:r>
      <w:proofErr w:type="spellStart"/>
      <w:r w:rsidRPr="00DD448A">
        <w:rPr>
          <w:rFonts w:ascii="Arial" w:hAnsi="Arial" w:cs="Arial"/>
          <w:kern w:val="1"/>
          <w:sz w:val="22"/>
          <w:szCs w:val="22"/>
        </w:rPr>
        <w:t>La'ulu</w:t>
      </w:r>
      <w:proofErr w:type="spellEnd"/>
      <w:r w:rsidRPr="00DD448A">
        <w:rPr>
          <w:rFonts w:ascii="Arial" w:hAnsi="Arial" w:cs="Arial"/>
          <w:kern w:val="1"/>
          <w:sz w:val="22"/>
          <w:szCs w:val="22"/>
        </w:rPr>
        <w:t xml:space="preserve"> SL, Roberts WL. Ethnic differences in first-trimester thyroid reference intervals.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2011;57(6):913-915.</w:t>
      </w:r>
    </w:p>
    <w:p w14:paraId="1CD7E4A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169.</w:t>
      </w:r>
      <w:r w:rsidRPr="00DD448A">
        <w:rPr>
          <w:rFonts w:ascii="Arial" w:hAnsi="Arial" w:cs="Arial"/>
          <w:kern w:val="1"/>
          <w:sz w:val="22"/>
          <w:szCs w:val="22"/>
        </w:rPr>
        <w:tab/>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 Medici M, de Rijke YB, Visser W, de </w:t>
      </w:r>
      <w:proofErr w:type="spellStart"/>
      <w:r w:rsidRPr="00DD448A">
        <w:rPr>
          <w:rFonts w:ascii="Arial" w:hAnsi="Arial" w:cs="Arial"/>
          <w:kern w:val="1"/>
          <w:sz w:val="22"/>
          <w:szCs w:val="22"/>
        </w:rPr>
        <w:t>Muinck</w:t>
      </w:r>
      <w:proofErr w:type="spellEnd"/>
      <w:r w:rsidRPr="00DD448A">
        <w:rPr>
          <w:rFonts w:ascii="Arial" w:hAnsi="Arial" w:cs="Arial"/>
          <w:kern w:val="1"/>
          <w:sz w:val="22"/>
          <w:szCs w:val="22"/>
        </w:rPr>
        <w:t xml:space="preserve"> Keizer-</w:t>
      </w:r>
      <w:proofErr w:type="spellStart"/>
      <w:r w:rsidRPr="00DD448A">
        <w:rPr>
          <w:rFonts w:ascii="Arial" w:hAnsi="Arial" w:cs="Arial"/>
          <w:kern w:val="1"/>
          <w:sz w:val="22"/>
          <w:szCs w:val="22"/>
        </w:rPr>
        <w:t>Schrama</w:t>
      </w:r>
      <w:proofErr w:type="spellEnd"/>
      <w:r w:rsidRPr="00DD448A">
        <w:rPr>
          <w:rFonts w:ascii="Arial" w:hAnsi="Arial" w:cs="Arial"/>
          <w:kern w:val="1"/>
          <w:sz w:val="22"/>
          <w:szCs w:val="22"/>
        </w:rPr>
        <w:t xml:space="preserve"> SM, </w:t>
      </w:r>
      <w:proofErr w:type="spellStart"/>
      <w:r w:rsidRPr="00DD448A">
        <w:rPr>
          <w:rFonts w:ascii="Arial" w:hAnsi="Arial" w:cs="Arial"/>
          <w:kern w:val="1"/>
          <w:sz w:val="22"/>
          <w:szCs w:val="22"/>
        </w:rPr>
        <w:t>Jaddoe</w:t>
      </w:r>
      <w:proofErr w:type="spellEnd"/>
      <w:r w:rsidRPr="00DD448A">
        <w:rPr>
          <w:rFonts w:ascii="Arial" w:hAnsi="Arial" w:cs="Arial"/>
          <w:kern w:val="1"/>
          <w:sz w:val="22"/>
          <w:szCs w:val="22"/>
        </w:rPr>
        <w:t xml:space="preserve"> VW, Hofman A, Ross HA, Visser WE, </w:t>
      </w:r>
      <w:proofErr w:type="spellStart"/>
      <w:r w:rsidRPr="00DD448A">
        <w:rPr>
          <w:rFonts w:ascii="Arial" w:hAnsi="Arial" w:cs="Arial"/>
          <w:kern w:val="1"/>
          <w:sz w:val="22"/>
          <w:szCs w:val="22"/>
        </w:rPr>
        <w:t>Hooijkaas</w:t>
      </w:r>
      <w:proofErr w:type="spellEnd"/>
      <w:r w:rsidRPr="00DD448A">
        <w:rPr>
          <w:rFonts w:ascii="Arial" w:hAnsi="Arial" w:cs="Arial"/>
          <w:kern w:val="1"/>
          <w:sz w:val="22"/>
          <w:szCs w:val="22"/>
        </w:rPr>
        <w:t xml:space="preserve"> H, </w:t>
      </w:r>
      <w:proofErr w:type="spellStart"/>
      <w:r w:rsidRPr="00DD448A">
        <w:rPr>
          <w:rFonts w:ascii="Arial" w:hAnsi="Arial" w:cs="Arial"/>
          <w:kern w:val="1"/>
          <w:sz w:val="22"/>
          <w:szCs w:val="22"/>
        </w:rPr>
        <w:t>Steegers</w:t>
      </w:r>
      <w:proofErr w:type="spellEnd"/>
      <w:r w:rsidRPr="00DD448A">
        <w:rPr>
          <w:rFonts w:ascii="Arial" w:hAnsi="Arial" w:cs="Arial"/>
          <w:kern w:val="1"/>
          <w:sz w:val="22"/>
          <w:szCs w:val="22"/>
        </w:rPr>
        <w:t xml:space="preserve"> EA, Tiemeier H, Bongers-</w:t>
      </w:r>
      <w:proofErr w:type="spellStart"/>
      <w:r w:rsidRPr="00DD448A">
        <w:rPr>
          <w:rFonts w:ascii="Arial" w:hAnsi="Arial" w:cs="Arial"/>
          <w:kern w:val="1"/>
          <w:sz w:val="22"/>
          <w:szCs w:val="22"/>
        </w:rPr>
        <w:t>Schokking</w:t>
      </w:r>
      <w:proofErr w:type="spellEnd"/>
      <w:r w:rsidRPr="00DD448A">
        <w:rPr>
          <w:rFonts w:ascii="Arial" w:hAnsi="Arial" w:cs="Arial"/>
          <w:kern w:val="1"/>
          <w:sz w:val="22"/>
          <w:szCs w:val="22"/>
        </w:rPr>
        <w:t xml:space="preserve"> JJ, Visser TJ, Peeters RP. Ethnic differences in maternal thyroid parameters during pregnancy: the Generation R study.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2013;98(9):3678-3686.</w:t>
      </w:r>
    </w:p>
    <w:p w14:paraId="216C8EE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170.</w:t>
      </w:r>
      <w:r w:rsidRPr="00DD448A">
        <w:rPr>
          <w:rFonts w:ascii="Arial" w:hAnsi="Arial" w:cs="Arial"/>
          <w:kern w:val="1"/>
          <w:sz w:val="22"/>
          <w:szCs w:val="22"/>
        </w:rPr>
        <w:tab/>
        <w:t xml:space="preserve">Medici M, </w:t>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 Visser WE, Visser TJ, Peeters RP. Thyroid function in pregnancy: what is normal?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2015;61(5):704-713.</w:t>
      </w:r>
    </w:p>
    <w:p w14:paraId="5CB3D7E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171.</w:t>
      </w:r>
      <w:r w:rsidRPr="00DD448A">
        <w:rPr>
          <w:rFonts w:ascii="Arial" w:hAnsi="Arial" w:cs="Arial"/>
          <w:kern w:val="1"/>
          <w:sz w:val="22"/>
          <w:szCs w:val="22"/>
        </w:rPr>
        <w:tab/>
      </w:r>
      <w:proofErr w:type="spellStart"/>
      <w:r w:rsidRPr="00DD448A">
        <w:rPr>
          <w:rFonts w:ascii="Arial" w:hAnsi="Arial" w:cs="Arial"/>
          <w:kern w:val="1"/>
          <w:sz w:val="22"/>
          <w:szCs w:val="22"/>
        </w:rPr>
        <w:t>Antonangeli</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Maccherini</w:t>
      </w:r>
      <w:proofErr w:type="spellEnd"/>
      <w:r w:rsidRPr="00DD448A">
        <w:rPr>
          <w:rFonts w:ascii="Arial" w:hAnsi="Arial" w:cs="Arial"/>
          <w:kern w:val="1"/>
          <w:sz w:val="22"/>
          <w:szCs w:val="22"/>
        </w:rPr>
        <w:t xml:space="preserve"> D, Cavaliere R, Di Giulio C, Reinhardt B, Pinchera A, </w:t>
      </w:r>
      <w:proofErr w:type="spellStart"/>
      <w:r w:rsidRPr="00DD448A">
        <w:rPr>
          <w:rFonts w:ascii="Arial" w:hAnsi="Arial" w:cs="Arial"/>
          <w:kern w:val="1"/>
          <w:sz w:val="22"/>
          <w:szCs w:val="22"/>
        </w:rPr>
        <w:t>Aghini</w:t>
      </w:r>
      <w:proofErr w:type="spellEnd"/>
      <w:r w:rsidRPr="00DD448A">
        <w:rPr>
          <w:rFonts w:ascii="Arial" w:hAnsi="Arial" w:cs="Arial"/>
          <w:kern w:val="1"/>
          <w:sz w:val="22"/>
          <w:szCs w:val="22"/>
        </w:rPr>
        <w:t xml:space="preserve">-Lombardi F. Comparison of two different doses of iodide in the prevention of gestational goiter in marginal iodine deficiency: a longitudinal study.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2002;147(1):29-34.</w:t>
      </w:r>
    </w:p>
    <w:p w14:paraId="7A6F003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172.</w:t>
      </w:r>
      <w:r w:rsidRPr="00DD448A">
        <w:rPr>
          <w:rFonts w:ascii="Arial" w:hAnsi="Arial" w:cs="Arial"/>
          <w:kern w:val="1"/>
          <w:sz w:val="22"/>
          <w:szCs w:val="22"/>
        </w:rPr>
        <w:tab/>
      </w:r>
      <w:proofErr w:type="spellStart"/>
      <w:r w:rsidRPr="00DD448A">
        <w:rPr>
          <w:rFonts w:ascii="Arial" w:hAnsi="Arial" w:cs="Arial"/>
          <w:kern w:val="1"/>
          <w:sz w:val="22"/>
          <w:szCs w:val="22"/>
        </w:rPr>
        <w:t>Moleti</w:t>
      </w:r>
      <w:proofErr w:type="spellEnd"/>
      <w:r w:rsidRPr="00DD448A">
        <w:rPr>
          <w:rFonts w:ascii="Arial" w:hAnsi="Arial" w:cs="Arial"/>
          <w:kern w:val="1"/>
          <w:sz w:val="22"/>
          <w:szCs w:val="22"/>
        </w:rPr>
        <w:t xml:space="preserve"> M, Di Bella B, Giorgianni G, Mancuso A, De Vivo A, Alibrandi A, Trimarchi F, Vermiglio F. Maternal thyroid function in different conditions of iodine nutrition in pregnant women exposed to mild-moderate iodine deficiency: an observational study.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2011;74(6):762-768.</w:t>
      </w:r>
    </w:p>
    <w:p w14:paraId="0F68913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173.</w:t>
      </w:r>
      <w:r w:rsidRPr="00DD448A">
        <w:rPr>
          <w:rFonts w:ascii="Arial" w:hAnsi="Arial" w:cs="Arial"/>
          <w:kern w:val="1"/>
          <w:sz w:val="22"/>
          <w:szCs w:val="22"/>
        </w:rPr>
        <w:tab/>
        <w:t xml:space="preserve">Shi X, Han C, Li C, Mao J, Wang W, Xie X, Li C, Xu B, Meng T, Du J, Zhang S, Gao Z, Zhang X, Fan C, Shan Z, Teng W. Optimal and safe upper limits of iodine intake for early pregnancy in iodine-sufficient regions: a cross-sectional study of 7190 pregnant women in China.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2015;100(4):1630-1638.</w:t>
      </w:r>
    </w:p>
    <w:p w14:paraId="3997538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174.</w:t>
      </w:r>
      <w:r w:rsidRPr="00DD448A">
        <w:rPr>
          <w:rFonts w:ascii="Arial" w:hAnsi="Arial" w:cs="Arial"/>
          <w:kern w:val="1"/>
          <w:sz w:val="22"/>
          <w:szCs w:val="22"/>
        </w:rPr>
        <w:tab/>
        <w:t xml:space="preserve">Männistö T, Hartikainen AL, </w:t>
      </w:r>
      <w:proofErr w:type="spellStart"/>
      <w:r w:rsidRPr="00DD448A">
        <w:rPr>
          <w:rFonts w:ascii="Arial" w:hAnsi="Arial" w:cs="Arial"/>
          <w:kern w:val="1"/>
          <w:sz w:val="22"/>
          <w:szCs w:val="22"/>
        </w:rPr>
        <w:t>Vääräsmäki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Bloigu</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Surcel</w:t>
      </w:r>
      <w:proofErr w:type="spellEnd"/>
      <w:r w:rsidRPr="00DD448A">
        <w:rPr>
          <w:rFonts w:ascii="Arial" w:hAnsi="Arial" w:cs="Arial"/>
          <w:kern w:val="1"/>
          <w:sz w:val="22"/>
          <w:szCs w:val="22"/>
        </w:rPr>
        <w:t xml:space="preserve"> HM, Pouta A, </w:t>
      </w:r>
      <w:proofErr w:type="spellStart"/>
      <w:r w:rsidRPr="00DD448A">
        <w:rPr>
          <w:rFonts w:ascii="Arial" w:hAnsi="Arial" w:cs="Arial"/>
          <w:kern w:val="1"/>
          <w:sz w:val="22"/>
          <w:szCs w:val="22"/>
        </w:rPr>
        <w:t>Järvelin</w:t>
      </w:r>
      <w:proofErr w:type="spellEnd"/>
      <w:r w:rsidRPr="00DD448A">
        <w:rPr>
          <w:rFonts w:ascii="Arial" w:hAnsi="Arial" w:cs="Arial"/>
          <w:kern w:val="1"/>
          <w:sz w:val="22"/>
          <w:szCs w:val="22"/>
        </w:rPr>
        <w:t xml:space="preserve"> MR, Ruokonen A, Suvanto E. Smoking and early pregnancy thyroid hormone and anti-thyroid antibody levels in euthyroid mothers of the Northern Finland Birth Cohort 1986.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2012;22(9):944-950.</w:t>
      </w:r>
    </w:p>
    <w:p w14:paraId="7D6C418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175.</w:t>
      </w:r>
      <w:r w:rsidRPr="00DD448A">
        <w:rPr>
          <w:rFonts w:ascii="Arial" w:hAnsi="Arial" w:cs="Arial"/>
          <w:kern w:val="1"/>
          <w:sz w:val="22"/>
          <w:szCs w:val="22"/>
        </w:rPr>
        <w:tab/>
        <w:t xml:space="preserve">Lem AJ, de Rijke YB, van Toor H, de Ridder MA, Visser TJ, </w:t>
      </w:r>
      <w:proofErr w:type="spellStart"/>
      <w:r w:rsidRPr="00DD448A">
        <w:rPr>
          <w:rFonts w:ascii="Arial" w:hAnsi="Arial" w:cs="Arial"/>
          <w:kern w:val="1"/>
          <w:sz w:val="22"/>
          <w:szCs w:val="22"/>
        </w:rPr>
        <w:t>Hokken-Koelega</w:t>
      </w:r>
      <w:proofErr w:type="spellEnd"/>
      <w:r w:rsidRPr="00DD448A">
        <w:rPr>
          <w:rFonts w:ascii="Arial" w:hAnsi="Arial" w:cs="Arial"/>
          <w:kern w:val="1"/>
          <w:sz w:val="22"/>
          <w:szCs w:val="22"/>
        </w:rPr>
        <w:t xml:space="preserve"> AC. Serum thyroid hormone levels in healthy children from birth to adulthood and in short children born small for gestational age.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2012;97(9):3170-3178.</w:t>
      </w:r>
    </w:p>
    <w:p w14:paraId="3D19B51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176.</w:t>
      </w:r>
      <w:r w:rsidRPr="00DD448A">
        <w:rPr>
          <w:rFonts w:ascii="Arial" w:hAnsi="Arial" w:cs="Arial"/>
          <w:kern w:val="1"/>
          <w:sz w:val="22"/>
          <w:szCs w:val="22"/>
        </w:rPr>
        <w:tab/>
      </w:r>
      <w:proofErr w:type="spellStart"/>
      <w:r w:rsidRPr="00DD448A">
        <w:rPr>
          <w:rFonts w:ascii="Arial" w:hAnsi="Arial" w:cs="Arial"/>
          <w:kern w:val="1"/>
          <w:sz w:val="22"/>
          <w:szCs w:val="22"/>
        </w:rPr>
        <w:t>Chaler</w:t>
      </w:r>
      <w:proofErr w:type="spellEnd"/>
      <w:r w:rsidRPr="00DD448A">
        <w:rPr>
          <w:rFonts w:ascii="Arial" w:hAnsi="Arial" w:cs="Arial"/>
          <w:kern w:val="1"/>
          <w:sz w:val="22"/>
          <w:szCs w:val="22"/>
        </w:rPr>
        <w:t xml:space="preserve"> EA, </w:t>
      </w:r>
      <w:proofErr w:type="spellStart"/>
      <w:r w:rsidRPr="00DD448A">
        <w:rPr>
          <w:rFonts w:ascii="Arial" w:hAnsi="Arial" w:cs="Arial"/>
          <w:kern w:val="1"/>
          <w:sz w:val="22"/>
          <w:szCs w:val="22"/>
        </w:rPr>
        <w:t>Fiorenzano</w:t>
      </w:r>
      <w:proofErr w:type="spellEnd"/>
      <w:r w:rsidRPr="00DD448A">
        <w:rPr>
          <w:rFonts w:ascii="Arial" w:hAnsi="Arial" w:cs="Arial"/>
          <w:kern w:val="1"/>
          <w:sz w:val="22"/>
          <w:szCs w:val="22"/>
        </w:rPr>
        <w:t xml:space="preserve"> R, Chilelli C, </w:t>
      </w:r>
      <w:proofErr w:type="spellStart"/>
      <w:r w:rsidRPr="00DD448A">
        <w:rPr>
          <w:rFonts w:ascii="Arial" w:hAnsi="Arial" w:cs="Arial"/>
          <w:kern w:val="1"/>
          <w:sz w:val="22"/>
          <w:szCs w:val="22"/>
        </w:rPr>
        <w:t>Llinares</w:t>
      </w:r>
      <w:proofErr w:type="spellEnd"/>
      <w:r w:rsidRPr="00DD448A">
        <w:rPr>
          <w:rFonts w:ascii="Arial" w:hAnsi="Arial" w:cs="Arial"/>
          <w:kern w:val="1"/>
          <w:sz w:val="22"/>
          <w:szCs w:val="22"/>
        </w:rPr>
        <w:t xml:space="preserve"> V, Areny G, </w:t>
      </w:r>
      <w:proofErr w:type="spellStart"/>
      <w:r w:rsidRPr="00DD448A">
        <w:rPr>
          <w:rFonts w:ascii="Arial" w:hAnsi="Arial" w:cs="Arial"/>
          <w:kern w:val="1"/>
          <w:sz w:val="22"/>
          <w:szCs w:val="22"/>
        </w:rPr>
        <w:t>Herzovich</w:t>
      </w:r>
      <w:proofErr w:type="spellEnd"/>
      <w:r w:rsidRPr="00DD448A">
        <w:rPr>
          <w:rFonts w:ascii="Arial" w:hAnsi="Arial" w:cs="Arial"/>
          <w:kern w:val="1"/>
          <w:sz w:val="22"/>
          <w:szCs w:val="22"/>
        </w:rPr>
        <w:t xml:space="preserve"> V, </w:t>
      </w:r>
      <w:proofErr w:type="spellStart"/>
      <w:r w:rsidRPr="00DD448A">
        <w:rPr>
          <w:rFonts w:ascii="Arial" w:hAnsi="Arial" w:cs="Arial"/>
          <w:kern w:val="1"/>
          <w:sz w:val="22"/>
          <w:szCs w:val="22"/>
        </w:rPr>
        <w:t>Maceiras</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Lazzati</w:t>
      </w:r>
      <w:proofErr w:type="spellEnd"/>
      <w:r w:rsidRPr="00DD448A">
        <w:rPr>
          <w:rFonts w:ascii="Arial" w:hAnsi="Arial" w:cs="Arial"/>
          <w:kern w:val="1"/>
          <w:sz w:val="22"/>
          <w:szCs w:val="22"/>
        </w:rPr>
        <w:t xml:space="preserve"> JM, </w:t>
      </w:r>
      <w:proofErr w:type="spellStart"/>
      <w:r w:rsidRPr="00DD448A">
        <w:rPr>
          <w:rFonts w:ascii="Arial" w:hAnsi="Arial" w:cs="Arial"/>
          <w:kern w:val="1"/>
          <w:sz w:val="22"/>
          <w:szCs w:val="22"/>
        </w:rPr>
        <w:t>Mendioroz</w:t>
      </w:r>
      <w:proofErr w:type="spellEnd"/>
      <w:r w:rsidRPr="00DD448A">
        <w:rPr>
          <w:rFonts w:ascii="Arial" w:hAnsi="Arial" w:cs="Arial"/>
          <w:kern w:val="1"/>
          <w:sz w:val="22"/>
          <w:szCs w:val="22"/>
        </w:rPr>
        <w:t xml:space="preserve"> M, Rivarola MA, </w:t>
      </w:r>
      <w:proofErr w:type="spellStart"/>
      <w:r w:rsidRPr="00DD448A">
        <w:rPr>
          <w:rFonts w:ascii="Arial" w:hAnsi="Arial" w:cs="Arial"/>
          <w:kern w:val="1"/>
          <w:sz w:val="22"/>
          <w:szCs w:val="22"/>
        </w:rPr>
        <w:t>Belgorosky</w:t>
      </w:r>
      <w:proofErr w:type="spellEnd"/>
      <w:r w:rsidRPr="00DD448A">
        <w:rPr>
          <w:rFonts w:ascii="Arial" w:hAnsi="Arial" w:cs="Arial"/>
          <w:kern w:val="1"/>
          <w:sz w:val="22"/>
          <w:szCs w:val="22"/>
        </w:rPr>
        <w:t xml:space="preserve"> A. Age-specific thyroid hormone and thyrotropin reference intervals for a pediatric and adolescent population.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2012;50(5):885-890.</w:t>
      </w:r>
    </w:p>
    <w:p w14:paraId="1E44713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177.</w:t>
      </w:r>
      <w:r w:rsidRPr="00DD448A">
        <w:rPr>
          <w:rFonts w:ascii="Arial" w:hAnsi="Arial" w:cs="Arial"/>
          <w:kern w:val="1"/>
          <w:sz w:val="22"/>
          <w:szCs w:val="22"/>
        </w:rPr>
        <w:tab/>
      </w:r>
      <w:proofErr w:type="spellStart"/>
      <w:r w:rsidRPr="00DD448A">
        <w:rPr>
          <w:rFonts w:ascii="Arial" w:hAnsi="Arial" w:cs="Arial"/>
          <w:kern w:val="1"/>
          <w:sz w:val="22"/>
          <w:szCs w:val="22"/>
        </w:rPr>
        <w:t>La'ulu</w:t>
      </w:r>
      <w:proofErr w:type="spellEnd"/>
      <w:r w:rsidRPr="00DD448A">
        <w:rPr>
          <w:rFonts w:ascii="Arial" w:hAnsi="Arial" w:cs="Arial"/>
          <w:kern w:val="1"/>
          <w:sz w:val="22"/>
          <w:szCs w:val="22"/>
        </w:rPr>
        <w:t xml:space="preserve"> SL, Rasmussen KJ, </w:t>
      </w:r>
      <w:proofErr w:type="spellStart"/>
      <w:r w:rsidRPr="00DD448A">
        <w:rPr>
          <w:rFonts w:ascii="Arial" w:hAnsi="Arial" w:cs="Arial"/>
          <w:kern w:val="1"/>
          <w:sz w:val="22"/>
          <w:szCs w:val="22"/>
        </w:rPr>
        <w:t>Straseski</w:t>
      </w:r>
      <w:proofErr w:type="spellEnd"/>
      <w:r w:rsidRPr="00DD448A">
        <w:rPr>
          <w:rFonts w:ascii="Arial" w:hAnsi="Arial" w:cs="Arial"/>
          <w:kern w:val="1"/>
          <w:sz w:val="22"/>
          <w:szCs w:val="22"/>
        </w:rPr>
        <w:t xml:space="preserve"> JA. Pediatric Reference Intervals for Free Thyroxine and Free Triiodothyronine by Equilibrium Dialysis-Liquid Chromatography-Tandem Mass Spectrometry. </w:t>
      </w:r>
      <w:r w:rsidRPr="00DD448A">
        <w:rPr>
          <w:rFonts w:ascii="Arial" w:hAnsi="Arial" w:cs="Arial"/>
          <w:iCs/>
          <w:kern w:val="1"/>
          <w:sz w:val="22"/>
          <w:szCs w:val="22"/>
        </w:rPr>
        <w:t xml:space="preserve">J Clin Res </w:t>
      </w:r>
      <w:proofErr w:type="spellStart"/>
      <w:r w:rsidRPr="00DD448A">
        <w:rPr>
          <w:rFonts w:ascii="Arial" w:hAnsi="Arial" w:cs="Arial"/>
          <w:iCs/>
          <w:kern w:val="1"/>
          <w:sz w:val="22"/>
          <w:szCs w:val="22"/>
        </w:rPr>
        <w:t>Pediatr</w:t>
      </w:r>
      <w:proofErr w:type="spellEnd"/>
      <w:r w:rsidRPr="00DD448A">
        <w:rPr>
          <w:rFonts w:ascii="Arial" w:hAnsi="Arial" w:cs="Arial"/>
          <w:iCs/>
          <w:kern w:val="1"/>
          <w:sz w:val="22"/>
          <w:szCs w:val="22"/>
        </w:rPr>
        <w:t xml:space="preserve">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2016;8(1):26-31.</w:t>
      </w:r>
    </w:p>
    <w:p w14:paraId="42B7561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178.</w:t>
      </w:r>
      <w:r w:rsidRPr="00DD448A">
        <w:rPr>
          <w:rFonts w:ascii="Arial" w:hAnsi="Arial" w:cs="Arial"/>
          <w:kern w:val="1"/>
          <w:sz w:val="22"/>
          <w:szCs w:val="22"/>
        </w:rPr>
        <w:tab/>
        <w:t xml:space="preserve">Soldin SJ, Cheng LL, Lam LY, Werner A, Le AD, Soldin OP. Comparison of FT4 with log TSH on the Abbott Architect ci8200: Pediatric reference intervals for free thyroxine and thyroid-stimulating hormone.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2010;411(3-4):250-252.</w:t>
      </w:r>
    </w:p>
    <w:p w14:paraId="0E6EA2C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179.</w:t>
      </w:r>
      <w:r w:rsidRPr="00DD448A">
        <w:rPr>
          <w:rFonts w:ascii="Arial" w:hAnsi="Arial" w:cs="Arial"/>
          <w:kern w:val="1"/>
          <w:sz w:val="22"/>
          <w:szCs w:val="22"/>
        </w:rPr>
        <w:tab/>
        <w:t xml:space="preserve">Loh TP, Sethi SK, Metz MP. </w:t>
      </w:r>
      <w:proofErr w:type="spellStart"/>
      <w:r w:rsidRPr="00DD448A">
        <w:rPr>
          <w:rFonts w:ascii="Arial" w:hAnsi="Arial" w:cs="Arial"/>
          <w:kern w:val="1"/>
          <w:sz w:val="22"/>
          <w:szCs w:val="22"/>
        </w:rPr>
        <w:t>Paediatric</w:t>
      </w:r>
      <w:proofErr w:type="spellEnd"/>
      <w:r w:rsidRPr="00DD448A">
        <w:rPr>
          <w:rFonts w:ascii="Arial" w:hAnsi="Arial" w:cs="Arial"/>
          <w:kern w:val="1"/>
          <w:sz w:val="22"/>
          <w:szCs w:val="22"/>
        </w:rPr>
        <w:t xml:space="preserve"> reference interval and biological variation trends of thyrotropin (TSH) and free thyroxine (T4) in an Asian population. </w:t>
      </w:r>
      <w:r w:rsidRPr="00DD448A">
        <w:rPr>
          <w:rFonts w:ascii="Arial" w:hAnsi="Arial" w:cs="Arial"/>
          <w:iCs/>
          <w:kern w:val="1"/>
          <w:sz w:val="22"/>
          <w:szCs w:val="22"/>
        </w:rPr>
        <w:t xml:space="preserve">J Clin </w:t>
      </w:r>
      <w:proofErr w:type="spellStart"/>
      <w:r w:rsidRPr="00DD448A">
        <w:rPr>
          <w:rFonts w:ascii="Arial" w:hAnsi="Arial" w:cs="Arial"/>
          <w:iCs/>
          <w:kern w:val="1"/>
          <w:sz w:val="22"/>
          <w:szCs w:val="22"/>
        </w:rPr>
        <w:t>Pathol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2015;68(8):642-647.</w:t>
      </w:r>
    </w:p>
    <w:p w14:paraId="4567476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180.</w:t>
      </w:r>
      <w:r w:rsidRPr="00DD448A">
        <w:rPr>
          <w:rFonts w:ascii="Arial" w:hAnsi="Arial" w:cs="Arial"/>
          <w:kern w:val="1"/>
          <w:sz w:val="22"/>
          <w:szCs w:val="22"/>
        </w:rPr>
        <w:tab/>
        <w:t xml:space="preserve">Lauffer P, Heinen CA, </w:t>
      </w:r>
      <w:proofErr w:type="spellStart"/>
      <w:r w:rsidRPr="00DD448A">
        <w:rPr>
          <w:rFonts w:ascii="Arial" w:hAnsi="Arial" w:cs="Arial"/>
          <w:kern w:val="1"/>
          <w:sz w:val="22"/>
          <w:szCs w:val="22"/>
        </w:rPr>
        <w:t>Goorsenberg</w:t>
      </w:r>
      <w:proofErr w:type="spellEnd"/>
      <w:r w:rsidRPr="00DD448A">
        <w:rPr>
          <w:rFonts w:ascii="Arial" w:hAnsi="Arial" w:cs="Arial"/>
          <w:kern w:val="1"/>
          <w:sz w:val="22"/>
          <w:szCs w:val="22"/>
        </w:rPr>
        <w:t xml:space="preserve"> AWM, Malekzadeh A, Henneman P, </w:t>
      </w:r>
      <w:proofErr w:type="spellStart"/>
      <w:r w:rsidRPr="00DD448A">
        <w:rPr>
          <w:rFonts w:ascii="Arial" w:hAnsi="Arial" w:cs="Arial"/>
          <w:kern w:val="1"/>
          <w:sz w:val="22"/>
          <w:szCs w:val="22"/>
        </w:rPr>
        <w:t>Heijboer</w:t>
      </w:r>
      <w:proofErr w:type="spellEnd"/>
      <w:r w:rsidRPr="00DD448A">
        <w:rPr>
          <w:rFonts w:ascii="Arial" w:hAnsi="Arial" w:cs="Arial"/>
          <w:kern w:val="1"/>
          <w:sz w:val="22"/>
          <w:szCs w:val="22"/>
        </w:rPr>
        <w:t xml:space="preserve"> AC, </w:t>
      </w:r>
      <w:proofErr w:type="spellStart"/>
      <w:r w:rsidRPr="00DD448A">
        <w:rPr>
          <w:rFonts w:ascii="Arial" w:hAnsi="Arial" w:cs="Arial"/>
          <w:kern w:val="1"/>
          <w:sz w:val="22"/>
          <w:szCs w:val="22"/>
        </w:rPr>
        <w:t>Zwaveling-Soonawala</w:t>
      </w:r>
      <w:proofErr w:type="spellEnd"/>
      <w:r w:rsidRPr="00DD448A">
        <w:rPr>
          <w:rFonts w:ascii="Arial" w:hAnsi="Arial" w:cs="Arial"/>
          <w:kern w:val="1"/>
          <w:sz w:val="22"/>
          <w:szCs w:val="22"/>
        </w:rPr>
        <w:t xml:space="preserve"> N, </w:t>
      </w:r>
      <w:proofErr w:type="spellStart"/>
      <w:r w:rsidRPr="00DD448A">
        <w:rPr>
          <w:rFonts w:ascii="Arial" w:hAnsi="Arial" w:cs="Arial"/>
          <w:kern w:val="1"/>
          <w:sz w:val="22"/>
          <w:szCs w:val="22"/>
        </w:rPr>
        <w:t>Boelen</w:t>
      </w:r>
      <w:proofErr w:type="spellEnd"/>
      <w:r w:rsidRPr="00DD448A">
        <w:rPr>
          <w:rFonts w:ascii="Arial" w:hAnsi="Arial" w:cs="Arial"/>
          <w:kern w:val="1"/>
          <w:sz w:val="22"/>
          <w:szCs w:val="22"/>
        </w:rPr>
        <w:t xml:space="preserve"> A, van </w:t>
      </w:r>
      <w:proofErr w:type="spellStart"/>
      <w:r w:rsidRPr="00DD448A">
        <w:rPr>
          <w:rFonts w:ascii="Arial" w:hAnsi="Arial" w:cs="Arial"/>
          <w:kern w:val="1"/>
          <w:sz w:val="22"/>
          <w:szCs w:val="22"/>
        </w:rPr>
        <w:t>Trotsenburg</w:t>
      </w:r>
      <w:proofErr w:type="spellEnd"/>
      <w:r w:rsidRPr="00DD448A">
        <w:rPr>
          <w:rFonts w:ascii="Arial" w:hAnsi="Arial" w:cs="Arial"/>
          <w:kern w:val="1"/>
          <w:sz w:val="22"/>
          <w:szCs w:val="22"/>
        </w:rPr>
        <w:t xml:space="preserve"> ASP. Analysis of Serum Free Thyroxine Concentrations in Healthy Term Neonates Underlines Need for Local and Laboratory-Specific Reference Interval: A Systematic Review and Meta-Analysis of Individual Participant Data.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2024;34(5):559-565.</w:t>
      </w:r>
    </w:p>
    <w:p w14:paraId="262BA44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181.</w:t>
      </w:r>
      <w:r w:rsidRPr="00DD448A">
        <w:rPr>
          <w:rFonts w:ascii="Arial" w:hAnsi="Arial" w:cs="Arial"/>
          <w:kern w:val="1"/>
          <w:sz w:val="22"/>
          <w:szCs w:val="22"/>
        </w:rPr>
        <w:tab/>
        <w:t xml:space="preserve">Haugen BR. Drugs that suppress TSH or cause central hypothyroidism.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2009;23(6):793-800.</w:t>
      </w:r>
    </w:p>
    <w:p w14:paraId="7349C11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182.</w:t>
      </w:r>
      <w:r w:rsidRPr="00DD448A">
        <w:rPr>
          <w:rFonts w:ascii="Arial" w:hAnsi="Arial" w:cs="Arial"/>
          <w:kern w:val="1"/>
          <w:sz w:val="22"/>
          <w:szCs w:val="22"/>
        </w:rPr>
        <w:tab/>
        <w:t xml:space="preserve">Koulouri O, Moran C, Halsall D, Chatterjee K, Gurnell M. Pitfalls in the measurement and interpretation of thyroid function tests.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2013;27(6):745-762.</w:t>
      </w:r>
    </w:p>
    <w:p w14:paraId="6F81308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183.</w:t>
      </w:r>
      <w:r w:rsidRPr="00DD448A">
        <w:rPr>
          <w:rFonts w:ascii="Arial" w:hAnsi="Arial" w:cs="Arial"/>
          <w:kern w:val="1"/>
          <w:sz w:val="22"/>
          <w:szCs w:val="22"/>
        </w:rPr>
        <w:tab/>
        <w:t xml:space="preserve">Fliers E, </w:t>
      </w:r>
      <w:proofErr w:type="spellStart"/>
      <w:r w:rsidRPr="00DD448A">
        <w:rPr>
          <w:rFonts w:ascii="Arial" w:hAnsi="Arial" w:cs="Arial"/>
          <w:kern w:val="1"/>
          <w:sz w:val="22"/>
          <w:szCs w:val="22"/>
        </w:rPr>
        <w:t>Boelen</w:t>
      </w:r>
      <w:proofErr w:type="spellEnd"/>
      <w:r w:rsidRPr="00DD448A">
        <w:rPr>
          <w:rFonts w:ascii="Arial" w:hAnsi="Arial" w:cs="Arial"/>
          <w:kern w:val="1"/>
          <w:sz w:val="22"/>
          <w:szCs w:val="22"/>
        </w:rPr>
        <w:t xml:space="preserve"> A. An update on non-thyroidal illness syndrome.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2021;44(8):1597-1607.</w:t>
      </w:r>
    </w:p>
    <w:p w14:paraId="4A3056A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184.</w:t>
      </w:r>
      <w:r w:rsidRPr="00DD448A">
        <w:rPr>
          <w:rFonts w:ascii="Arial" w:hAnsi="Arial" w:cs="Arial"/>
          <w:kern w:val="1"/>
          <w:sz w:val="22"/>
          <w:szCs w:val="22"/>
        </w:rPr>
        <w:tab/>
        <w:t xml:space="preserve">Hamblin PS, SA. D, Mohr VS, Le Grand B, Lim CF, Tuxen DV, Topliss DJ, </w:t>
      </w:r>
      <w:proofErr w:type="spellStart"/>
      <w:r w:rsidRPr="00DD448A">
        <w:rPr>
          <w:rFonts w:ascii="Arial" w:hAnsi="Arial" w:cs="Arial"/>
          <w:kern w:val="1"/>
          <w:sz w:val="22"/>
          <w:szCs w:val="22"/>
        </w:rPr>
        <w:t>Stockigt</w:t>
      </w:r>
      <w:proofErr w:type="spellEnd"/>
      <w:r w:rsidRPr="00DD448A">
        <w:rPr>
          <w:rFonts w:ascii="Arial" w:hAnsi="Arial" w:cs="Arial"/>
          <w:kern w:val="1"/>
          <w:sz w:val="22"/>
          <w:szCs w:val="22"/>
        </w:rPr>
        <w:t xml:space="preserve"> JR. Relationship between thyrotropin and thyroxine changes during recovery from severe hypothyroxinemia of critical illness.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1986;62:717-722.</w:t>
      </w:r>
    </w:p>
    <w:p w14:paraId="3B7A39B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185.</w:t>
      </w:r>
      <w:r w:rsidRPr="00DD448A">
        <w:rPr>
          <w:rFonts w:ascii="Arial" w:hAnsi="Arial" w:cs="Arial"/>
          <w:kern w:val="1"/>
          <w:sz w:val="22"/>
          <w:szCs w:val="22"/>
        </w:rPr>
        <w:tab/>
        <w:t xml:space="preserve">Spencer CA, Eigen A, Shen D, Duda M, Qualls S, Weiss S, Nicoloff JT. Specificity of sensitive assays of thyrotropin (TSH) used to screen for thyroid disease in hospitalized patients.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1987;33:1391-1396.</w:t>
      </w:r>
    </w:p>
    <w:p w14:paraId="5B05CA0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186.</w:t>
      </w:r>
      <w:r w:rsidRPr="00DD448A">
        <w:rPr>
          <w:rFonts w:ascii="Arial" w:hAnsi="Arial" w:cs="Arial"/>
          <w:kern w:val="1"/>
          <w:sz w:val="22"/>
          <w:szCs w:val="22"/>
        </w:rPr>
        <w:tab/>
        <w:t xml:space="preserve">de Vries EM, Fliers E, </w:t>
      </w:r>
      <w:proofErr w:type="spellStart"/>
      <w:r w:rsidRPr="00DD448A">
        <w:rPr>
          <w:rFonts w:ascii="Arial" w:hAnsi="Arial" w:cs="Arial"/>
          <w:kern w:val="1"/>
          <w:sz w:val="22"/>
          <w:szCs w:val="22"/>
        </w:rPr>
        <w:t>Boelen</w:t>
      </w:r>
      <w:proofErr w:type="spellEnd"/>
      <w:r w:rsidRPr="00DD448A">
        <w:rPr>
          <w:rFonts w:ascii="Arial" w:hAnsi="Arial" w:cs="Arial"/>
          <w:kern w:val="1"/>
          <w:sz w:val="22"/>
          <w:szCs w:val="22"/>
        </w:rPr>
        <w:t xml:space="preserve"> A. The molecular basis of the non-thyroidal illness syndrome. </w:t>
      </w:r>
      <w:r w:rsidRPr="00DD448A">
        <w:rPr>
          <w:rFonts w:ascii="Arial" w:hAnsi="Arial" w:cs="Arial"/>
          <w:iCs/>
          <w:kern w:val="1"/>
          <w:sz w:val="22"/>
          <w:szCs w:val="22"/>
        </w:rPr>
        <w:t>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2015;225(3):R67-81.</w:t>
      </w:r>
    </w:p>
    <w:p w14:paraId="082505A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187.</w:t>
      </w:r>
      <w:r w:rsidRPr="00DD448A">
        <w:rPr>
          <w:rFonts w:ascii="Arial" w:hAnsi="Arial" w:cs="Arial"/>
          <w:kern w:val="1"/>
          <w:sz w:val="22"/>
          <w:szCs w:val="22"/>
        </w:rPr>
        <w:tab/>
        <w:t xml:space="preserve">Moura Neto A, </w:t>
      </w:r>
      <w:proofErr w:type="spellStart"/>
      <w:r w:rsidRPr="00DD448A">
        <w:rPr>
          <w:rFonts w:ascii="Arial" w:hAnsi="Arial" w:cs="Arial"/>
          <w:kern w:val="1"/>
          <w:sz w:val="22"/>
          <w:szCs w:val="22"/>
        </w:rPr>
        <w:t>Zantut</w:t>
      </w:r>
      <w:proofErr w:type="spellEnd"/>
      <w:r w:rsidRPr="00DD448A">
        <w:rPr>
          <w:rFonts w:ascii="Arial" w:hAnsi="Arial" w:cs="Arial"/>
          <w:kern w:val="1"/>
          <w:sz w:val="22"/>
          <w:szCs w:val="22"/>
        </w:rPr>
        <w:t xml:space="preserve">-Wittmann DE. Abnormalities of Thyroid Hormone Metabolism during Systemic Illness: The Low T3 Syndrome in Different Clinical Settings. </w:t>
      </w:r>
      <w:r w:rsidRPr="00DD448A">
        <w:rPr>
          <w:rFonts w:ascii="Arial" w:hAnsi="Arial" w:cs="Arial"/>
          <w:iCs/>
          <w:kern w:val="1"/>
          <w:sz w:val="22"/>
          <w:szCs w:val="22"/>
        </w:rPr>
        <w:t>Int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2016;2016:2157583.</w:t>
      </w:r>
    </w:p>
    <w:p w14:paraId="0F56A29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188.</w:t>
      </w:r>
      <w:r w:rsidRPr="00DD448A">
        <w:rPr>
          <w:rFonts w:ascii="Arial" w:hAnsi="Arial" w:cs="Arial"/>
          <w:kern w:val="1"/>
          <w:sz w:val="22"/>
          <w:szCs w:val="22"/>
        </w:rPr>
        <w:tab/>
        <w:t>LoPresti J, Patil K. Assessing thyroid function in hospitalized patients. New York: Springer.</w:t>
      </w:r>
    </w:p>
    <w:p w14:paraId="09A893A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189.</w:t>
      </w:r>
      <w:r w:rsidRPr="00DD448A">
        <w:rPr>
          <w:rFonts w:ascii="Arial" w:hAnsi="Arial" w:cs="Arial"/>
          <w:kern w:val="1"/>
          <w:sz w:val="22"/>
          <w:szCs w:val="22"/>
        </w:rPr>
        <w:tab/>
      </w:r>
      <w:proofErr w:type="spellStart"/>
      <w:r w:rsidRPr="00DD448A">
        <w:rPr>
          <w:rFonts w:ascii="Arial" w:hAnsi="Arial" w:cs="Arial"/>
          <w:kern w:val="1"/>
          <w:sz w:val="22"/>
          <w:szCs w:val="22"/>
        </w:rPr>
        <w:t>Rotmensch</w:t>
      </w:r>
      <w:proofErr w:type="spellEnd"/>
      <w:r w:rsidRPr="00DD448A">
        <w:rPr>
          <w:rFonts w:ascii="Arial" w:hAnsi="Arial" w:cs="Arial"/>
          <w:kern w:val="1"/>
          <w:sz w:val="22"/>
          <w:szCs w:val="22"/>
        </w:rPr>
        <w:t xml:space="preserve"> S, Cole LA. False diagnosis and needless therapy of presumed malignant disease in women with false-positive human chorionic gonadotropin concentrations. </w:t>
      </w:r>
      <w:r w:rsidRPr="00DD448A">
        <w:rPr>
          <w:rFonts w:ascii="Arial" w:hAnsi="Arial" w:cs="Arial"/>
          <w:iCs/>
          <w:kern w:val="1"/>
          <w:sz w:val="22"/>
          <w:szCs w:val="22"/>
        </w:rPr>
        <w:t>Lancet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2000;355(9205):712-715.</w:t>
      </w:r>
    </w:p>
    <w:p w14:paraId="233495B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190.</w:t>
      </w:r>
      <w:r w:rsidRPr="00DD448A">
        <w:rPr>
          <w:rFonts w:ascii="Arial" w:hAnsi="Arial" w:cs="Arial"/>
          <w:kern w:val="1"/>
          <w:sz w:val="22"/>
          <w:szCs w:val="22"/>
        </w:rPr>
        <w:tab/>
      </w:r>
      <w:proofErr w:type="spellStart"/>
      <w:r w:rsidRPr="00DD448A">
        <w:rPr>
          <w:rFonts w:ascii="Arial" w:hAnsi="Arial" w:cs="Arial"/>
          <w:kern w:val="1"/>
          <w:sz w:val="22"/>
          <w:szCs w:val="22"/>
        </w:rPr>
        <w:t>Ballieux</w:t>
      </w:r>
      <w:proofErr w:type="spellEnd"/>
      <w:r w:rsidRPr="00DD448A">
        <w:rPr>
          <w:rFonts w:ascii="Arial" w:hAnsi="Arial" w:cs="Arial"/>
          <w:kern w:val="1"/>
          <w:sz w:val="22"/>
          <w:szCs w:val="22"/>
        </w:rPr>
        <w:t xml:space="preserve"> BE, </w:t>
      </w:r>
      <w:proofErr w:type="spellStart"/>
      <w:r w:rsidRPr="00DD448A">
        <w:rPr>
          <w:rFonts w:ascii="Arial" w:hAnsi="Arial" w:cs="Arial"/>
          <w:kern w:val="1"/>
          <w:sz w:val="22"/>
          <w:szCs w:val="22"/>
        </w:rPr>
        <w:t>Weijl</w:t>
      </w:r>
      <w:proofErr w:type="spellEnd"/>
      <w:r w:rsidRPr="00DD448A">
        <w:rPr>
          <w:rFonts w:ascii="Arial" w:hAnsi="Arial" w:cs="Arial"/>
          <w:kern w:val="1"/>
          <w:sz w:val="22"/>
          <w:szCs w:val="22"/>
        </w:rPr>
        <w:t xml:space="preserve"> NI, </w:t>
      </w:r>
      <w:proofErr w:type="spellStart"/>
      <w:r w:rsidRPr="00DD448A">
        <w:rPr>
          <w:rFonts w:ascii="Arial" w:hAnsi="Arial" w:cs="Arial"/>
          <w:kern w:val="1"/>
          <w:sz w:val="22"/>
          <w:szCs w:val="22"/>
        </w:rPr>
        <w:t>Gelderblom</w:t>
      </w:r>
      <w:proofErr w:type="spellEnd"/>
      <w:r w:rsidRPr="00DD448A">
        <w:rPr>
          <w:rFonts w:ascii="Arial" w:hAnsi="Arial" w:cs="Arial"/>
          <w:kern w:val="1"/>
          <w:sz w:val="22"/>
          <w:szCs w:val="22"/>
        </w:rPr>
        <w:t xml:space="preserve"> H, van Pelt J, </w:t>
      </w:r>
      <w:proofErr w:type="spellStart"/>
      <w:r w:rsidRPr="00DD448A">
        <w:rPr>
          <w:rFonts w:ascii="Arial" w:hAnsi="Arial" w:cs="Arial"/>
          <w:kern w:val="1"/>
          <w:sz w:val="22"/>
          <w:szCs w:val="22"/>
        </w:rPr>
        <w:t>Osanto</w:t>
      </w:r>
      <w:proofErr w:type="spellEnd"/>
      <w:r w:rsidRPr="00DD448A">
        <w:rPr>
          <w:rFonts w:ascii="Arial" w:hAnsi="Arial" w:cs="Arial"/>
          <w:kern w:val="1"/>
          <w:sz w:val="22"/>
          <w:szCs w:val="22"/>
        </w:rPr>
        <w:t xml:space="preserve"> S. False-positive serum human chorionic gonadotropin (HCG) in a male patient with a malignant germ cell tumor of the testis: a case report and review of the literature. </w:t>
      </w:r>
      <w:r w:rsidRPr="00DD448A">
        <w:rPr>
          <w:rFonts w:ascii="Arial" w:hAnsi="Arial" w:cs="Arial"/>
          <w:iCs/>
          <w:kern w:val="1"/>
          <w:sz w:val="22"/>
          <w:szCs w:val="22"/>
        </w:rPr>
        <w:t>Oncologist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2008;13(11):1149-1154.</w:t>
      </w:r>
    </w:p>
    <w:p w14:paraId="335FEAC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191.</w:t>
      </w:r>
      <w:r w:rsidRPr="00DD448A">
        <w:rPr>
          <w:rFonts w:ascii="Arial" w:hAnsi="Arial" w:cs="Arial"/>
          <w:kern w:val="1"/>
          <w:sz w:val="22"/>
          <w:szCs w:val="22"/>
        </w:rPr>
        <w:tab/>
      </w:r>
      <w:proofErr w:type="spellStart"/>
      <w:r w:rsidRPr="00DD448A">
        <w:rPr>
          <w:rFonts w:ascii="Arial" w:hAnsi="Arial" w:cs="Arial"/>
          <w:kern w:val="1"/>
          <w:sz w:val="22"/>
          <w:szCs w:val="22"/>
        </w:rPr>
        <w:t>Dimeski</w:t>
      </w:r>
      <w:proofErr w:type="spellEnd"/>
      <w:r w:rsidRPr="00DD448A">
        <w:rPr>
          <w:rFonts w:ascii="Arial" w:hAnsi="Arial" w:cs="Arial"/>
          <w:kern w:val="1"/>
          <w:sz w:val="22"/>
          <w:szCs w:val="22"/>
        </w:rPr>
        <w:t xml:space="preserve"> G. Interference testing.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2008;29 Suppl 1(Suppl 1):S43-48.</w:t>
      </w:r>
    </w:p>
    <w:p w14:paraId="01BF1D6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192.</w:t>
      </w:r>
      <w:r w:rsidRPr="00DD448A">
        <w:rPr>
          <w:rFonts w:ascii="Arial" w:hAnsi="Arial" w:cs="Arial"/>
          <w:kern w:val="1"/>
          <w:sz w:val="22"/>
          <w:szCs w:val="22"/>
        </w:rPr>
        <w:tab/>
        <w:t xml:space="preserve">Henry N, Sebe P, </w:t>
      </w:r>
      <w:proofErr w:type="spellStart"/>
      <w:r w:rsidRPr="00DD448A">
        <w:rPr>
          <w:rFonts w:ascii="Arial" w:hAnsi="Arial" w:cs="Arial"/>
          <w:kern w:val="1"/>
          <w:sz w:val="22"/>
          <w:szCs w:val="22"/>
        </w:rPr>
        <w:t>Cussenot</w:t>
      </w:r>
      <w:proofErr w:type="spellEnd"/>
      <w:r w:rsidRPr="00DD448A">
        <w:rPr>
          <w:rFonts w:ascii="Arial" w:hAnsi="Arial" w:cs="Arial"/>
          <w:kern w:val="1"/>
          <w:sz w:val="22"/>
          <w:szCs w:val="22"/>
        </w:rPr>
        <w:t xml:space="preserve"> O. Inappropriate treatment of prostate cancer caused by heterophilic antibody interference. </w:t>
      </w:r>
      <w:r w:rsidRPr="00DD448A">
        <w:rPr>
          <w:rFonts w:ascii="Arial" w:hAnsi="Arial" w:cs="Arial"/>
          <w:iCs/>
          <w:kern w:val="1"/>
          <w:sz w:val="22"/>
          <w:szCs w:val="22"/>
        </w:rPr>
        <w:t xml:space="preserve">Nat Clin </w:t>
      </w:r>
      <w:proofErr w:type="spellStart"/>
      <w:r w:rsidRPr="00DD448A">
        <w:rPr>
          <w:rFonts w:ascii="Arial" w:hAnsi="Arial" w:cs="Arial"/>
          <w:iCs/>
          <w:kern w:val="1"/>
          <w:sz w:val="22"/>
          <w:szCs w:val="22"/>
        </w:rPr>
        <w:t>Pract</w:t>
      </w:r>
      <w:proofErr w:type="spellEnd"/>
      <w:r w:rsidRPr="00DD448A">
        <w:rPr>
          <w:rFonts w:ascii="Arial" w:hAnsi="Arial" w:cs="Arial"/>
          <w:iCs/>
          <w:kern w:val="1"/>
          <w:sz w:val="22"/>
          <w:szCs w:val="22"/>
        </w:rPr>
        <w:t xml:space="preserve"> Urol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2009;6(3):164-167.</w:t>
      </w:r>
    </w:p>
    <w:p w14:paraId="1BD7BFF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193.</w:t>
      </w:r>
      <w:r w:rsidRPr="00DD448A">
        <w:rPr>
          <w:rFonts w:ascii="Arial" w:hAnsi="Arial" w:cs="Arial"/>
          <w:kern w:val="1"/>
          <w:sz w:val="22"/>
          <w:szCs w:val="22"/>
        </w:rPr>
        <w:tab/>
        <w:t xml:space="preserve">Georges A, </w:t>
      </w:r>
      <w:proofErr w:type="spellStart"/>
      <w:r w:rsidRPr="00DD448A">
        <w:rPr>
          <w:rFonts w:ascii="Arial" w:hAnsi="Arial" w:cs="Arial"/>
          <w:kern w:val="1"/>
          <w:sz w:val="22"/>
          <w:szCs w:val="22"/>
        </w:rPr>
        <w:t>Charrié</w:t>
      </w:r>
      <w:proofErr w:type="spellEnd"/>
      <w:r w:rsidRPr="00DD448A">
        <w:rPr>
          <w:rFonts w:ascii="Arial" w:hAnsi="Arial" w:cs="Arial"/>
          <w:kern w:val="1"/>
          <w:sz w:val="22"/>
          <w:szCs w:val="22"/>
        </w:rPr>
        <w:t xml:space="preserve"> A, Raynaud S, Lombard C, </w:t>
      </w:r>
      <w:proofErr w:type="spellStart"/>
      <w:r w:rsidRPr="00DD448A">
        <w:rPr>
          <w:rFonts w:ascii="Arial" w:hAnsi="Arial" w:cs="Arial"/>
          <w:kern w:val="1"/>
          <w:sz w:val="22"/>
          <w:szCs w:val="22"/>
        </w:rPr>
        <w:t>Corcuff</w:t>
      </w:r>
      <w:proofErr w:type="spellEnd"/>
      <w:r w:rsidRPr="00DD448A">
        <w:rPr>
          <w:rFonts w:ascii="Arial" w:hAnsi="Arial" w:cs="Arial"/>
          <w:kern w:val="1"/>
          <w:sz w:val="22"/>
          <w:szCs w:val="22"/>
        </w:rPr>
        <w:t xml:space="preserve"> JB. Thyroxin overdose due to rheumatoid factor interferences in thyroid-stimulating hormone assays.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2011;49(5):873-875.</w:t>
      </w:r>
    </w:p>
    <w:p w14:paraId="3EEC9F3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194.</w:t>
      </w:r>
      <w:r w:rsidRPr="00DD448A">
        <w:rPr>
          <w:rFonts w:ascii="Arial" w:hAnsi="Arial" w:cs="Arial"/>
          <w:kern w:val="1"/>
          <w:sz w:val="22"/>
          <w:szCs w:val="22"/>
        </w:rPr>
        <w:tab/>
      </w:r>
      <w:proofErr w:type="spellStart"/>
      <w:r w:rsidRPr="00DD448A">
        <w:rPr>
          <w:rFonts w:ascii="Arial" w:hAnsi="Arial" w:cs="Arial"/>
          <w:kern w:val="1"/>
          <w:sz w:val="22"/>
          <w:szCs w:val="22"/>
        </w:rPr>
        <w:t>Pishdad</w:t>
      </w:r>
      <w:proofErr w:type="spellEnd"/>
      <w:r w:rsidRPr="00DD448A">
        <w:rPr>
          <w:rFonts w:ascii="Arial" w:hAnsi="Arial" w:cs="Arial"/>
          <w:kern w:val="1"/>
          <w:sz w:val="22"/>
          <w:szCs w:val="22"/>
        </w:rPr>
        <w:t xml:space="preserve"> GR, </w:t>
      </w:r>
      <w:proofErr w:type="spellStart"/>
      <w:r w:rsidRPr="00DD448A">
        <w:rPr>
          <w:rFonts w:ascii="Arial" w:hAnsi="Arial" w:cs="Arial"/>
          <w:kern w:val="1"/>
          <w:sz w:val="22"/>
          <w:szCs w:val="22"/>
        </w:rPr>
        <w:t>Pishdad</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Pishdad</w:t>
      </w:r>
      <w:proofErr w:type="spellEnd"/>
      <w:r w:rsidRPr="00DD448A">
        <w:rPr>
          <w:rFonts w:ascii="Arial" w:hAnsi="Arial" w:cs="Arial"/>
          <w:kern w:val="1"/>
          <w:sz w:val="22"/>
          <w:szCs w:val="22"/>
        </w:rPr>
        <w:t xml:space="preserve"> R. The effect of glucocorticoid therapy on a falsely raised thyrotropin due to heterophilic antibodies.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2013;23(12):1657-1658.</w:t>
      </w:r>
    </w:p>
    <w:p w14:paraId="16A4866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195.</w:t>
      </w:r>
      <w:r w:rsidRPr="00DD448A">
        <w:rPr>
          <w:rFonts w:ascii="Arial" w:hAnsi="Arial" w:cs="Arial"/>
          <w:kern w:val="1"/>
          <w:sz w:val="22"/>
          <w:szCs w:val="22"/>
        </w:rPr>
        <w:tab/>
      </w:r>
      <w:proofErr w:type="spellStart"/>
      <w:r w:rsidRPr="00DD448A">
        <w:rPr>
          <w:rFonts w:ascii="Arial" w:hAnsi="Arial" w:cs="Arial"/>
          <w:kern w:val="1"/>
          <w:sz w:val="22"/>
          <w:szCs w:val="22"/>
        </w:rPr>
        <w:t>Favresse</w:t>
      </w:r>
      <w:proofErr w:type="spellEnd"/>
      <w:r w:rsidRPr="00DD448A">
        <w:rPr>
          <w:rFonts w:ascii="Arial" w:hAnsi="Arial" w:cs="Arial"/>
          <w:kern w:val="1"/>
          <w:sz w:val="22"/>
          <w:szCs w:val="22"/>
        </w:rPr>
        <w:t xml:space="preserve"> J, Burlacu MC, </w:t>
      </w:r>
      <w:proofErr w:type="spellStart"/>
      <w:r w:rsidRPr="00DD448A">
        <w:rPr>
          <w:rFonts w:ascii="Arial" w:hAnsi="Arial" w:cs="Arial"/>
          <w:kern w:val="1"/>
          <w:sz w:val="22"/>
          <w:szCs w:val="22"/>
        </w:rPr>
        <w:t>Maiter</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Gruson</w:t>
      </w:r>
      <w:proofErr w:type="spellEnd"/>
      <w:r w:rsidRPr="00DD448A">
        <w:rPr>
          <w:rFonts w:ascii="Arial" w:hAnsi="Arial" w:cs="Arial"/>
          <w:kern w:val="1"/>
          <w:sz w:val="22"/>
          <w:szCs w:val="22"/>
        </w:rPr>
        <w:t xml:space="preserve"> D. Interferences With Thyroid Function Immunoassays: Clinical Implications and Detection Algorithm.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2018;39(5):830-850.</w:t>
      </w:r>
    </w:p>
    <w:p w14:paraId="40C3EDB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196.</w:t>
      </w:r>
      <w:r w:rsidRPr="00DD448A">
        <w:rPr>
          <w:rFonts w:ascii="Arial" w:hAnsi="Arial" w:cs="Arial"/>
          <w:kern w:val="1"/>
          <w:sz w:val="22"/>
          <w:szCs w:val="22"/>
        </w:rPr>
        <w:tab/>
        <w:t xml:space="preserve">Ghazal K, Brabant S, </w:t>
      </w:r>
      <w:proofErr w:type="spellStart"/>
      <w:r w:rsidRPr="00DD448A">
        <w:rPr>
          <w:rFonts w:ascii="Arial" w:hAnsi="Arial" w:cs="Arial"/>
          <w:kern w:val="1"/>
          <w:sz w:val="22"/>
          <w:szCs w:val="22"/>
        </w:rPr>
        <w:t>Prie</w:t>
      </w:r>
      <w:proofErr w:type="spellEnd"/>
      <w:r w:rsidRPr="00DD448A">
        <w:rPr>
          <w:rFonts w:ascii="Arial" w:hAnsi="Arial" w:cs="Arial"/>
          <w:kern w:val="1"/>
          <w:sz w:val="22"/>
          <w:szCs w:val="22"/>
        </w:rPr>
        <w:t xml:space="preserve"> D, Piketty ML. Hormone Immunoassay Interference: A 2021 Update. </w:t>
      </w:r>
      <w:r w:rsidRPr="00DD448A">
        <w:rPr>
          <w:rFonts w:ascii="Arial" w:hAnsi="Arial" w:cs="Arial"/>
          <w:iCs/>
          <w:kern w:val="1"/>
          <w:sz w:val="22"/>
          <w:szCs w:val="22"/>
        </w:rPr>
        <w:t>Ann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2022;42(1):3-23.</w:t>
      </w:r>
    </w:p>
    <w:p w14:paraId="37833AF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197.</w:t>
      </w:r>
      <w:r w:rsidRPr="00DD448A">
        <w:rPr>
          <w:rFonts w:ascii="Arial" w:hAnsi="Arial" w:cs="Arial"/>
          <w:kern w:val="1"/>
          <w:sz w:val="22"/>
          <w:szCs w:val="22"/>
        </w:rPr>
        <w:tab/>
        <w:t xml:space="preserve">Campi I, </w:t>
      </w:r>
      <w:proofErr w:type="spellStart"/>
      <w:r w:rsidRPr="00DD448A">
        <w:rPr>
          <w:rFonts w:ascii="Arial" w:hAnsi="Arial" w:cs="Arial"/>
          <w:kern w:val="1"/>
          <w:sz w:val="22"/>
          <w:szCs w:val="22"/>
        </w:rPr>
        <w:t>Dell'Acqua</w:t>
      </w:r>
      <w:proofErr w:type="spellEnd"/>
      <w:r w:rsidRPr="00DD448A">
        <w:rPr>
          <w:rFonts w:ascii="Arial" w:hAnsi="Arial" w:cs="Arial"/>
          <w:kern w:val="1"/>
          <w:sz w:val="22"/>
          <w:szCs w:val="22"/>
        </w:rPr>
        <w:t xml:space="preserve"> M, Stellaria Grassi E, Cristina </w:t>
      </w:r>
      <w:proofErr w:type="spellStart"/>
      <w:r w:rsidRPr="00DD448A">
        <w:rPr>
          <w:rFonts w:ascii="Arial" w:hAnsi="Arial" w:cs="Arial"/>
          <w:kern w:val="1"/>
          <w:sz w:val="22"/>
          <w:szCs w:val="22"/>
        </w:rPr>
        <w:t>Vigone</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Unusual causes of </w:t>
      </w:r>
      <w:proofErr w:type="spellStart"/>
      <w:r w:rsidRPr="00DD448A">
        <w:rPr>
          <w:rFonts w:ascii="Arial" w:hAnsi="Arial" w:cs="Arial"/>
          <w:kern w:val="1"/>
          <w:sz w:val="22"/>
          <w:szCs w:val="22"/>
        </w:rPr>
        <w:t>hyperthyrotropinemia</w:t>
      </w:r>
      <w:proofErr w:type="spellEnd"/>
      <w:r w:rsidRPr="00DD448A">
        <w:rPr>
          <w:rFonts w:ascii="Arial" w:hAnsi="Arial" w:cs="Arial"/>
          <w:kern w:val="1"/>
          <w:sz w:val="22"/>
          <w:szCs w:val="22"/>
        </w:rPr>
        <w:t xml:space="preserve"> and differential diagnosis of primary hypothyroidism: a revised diagnostic flowchart.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2023;12(4).</w:t>
      </w:r>
    </w:p>
    <w:p w14:paraId="407A7D2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198.</w:t>
      </w:r>
      <w:r w:rsidRPr="00DD448A">
        <w:rPr>
          <w:rFonts w:ascii="Arial" w:hAnsi="Arial" w:cs="Arial"/>
          <w:kern w:val="1"/>
          <w:sz w:val="22"/>
          <w:szCs w:val="22"/>
        </w:rPr>
        <w:tab/>
        <w:t xml:space="preserve">Ismail Y, Ismail AA, Ismail AA. Erroneous laboratory results: what clinicians need to know. </w:t>
      </w:r>
      <w:r w:rsidRPr="00DD448A">
        <w:rPr>
          <w:rFonts w:ascii="Arial" w:hAnsi="Arial" w:cs="Arial"/>
          <w:iCs/>
          <w:kern w:val="1"/>
          <w:sz w:val="22"/>
          <w:szCs w:val="22"/>
        </w:rPr>
        <w:t>Clin Med (Lond)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2007;7(4):357-361.</w:t>
      </w:r>
    </w:p>
    <w:p w14:paraId="3621514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199.</w:t>
      </w:r>
      <w:r w:rsidRPr="00DD448A">
        <w:rPr>
          <w:rFonts w:ascii="Arial" w:hAnsi="Arial" w:cs="Arial"/>
          <w:kern w:val="1"/>
          <w:sz w:val="22"/>
          <w:szCs w:val="22"/>
        </w:rPr>
        <w:tab/>
        <w:t xml:space="preserve">Sturgeon CM, Viljoen A. Analytical error and interference in immunoassay: minimizing risk.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2011;48(Pt 5):418-432.</w:t>
      </w:r>
    </w:p>
    <w:p w14:paraId="373835D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200.</w:t>
      </w:r>
      <w:r w:rsidRPr="00DD448A">
        <w:rPr>
          <w:rFonts w:ascii="Arial" w:hAnsi="Arial" w:cs="Arial"/>
          <w:kern w:val="1"/>
          <w:sz w:val="22"/>
          <w:szCs w:val="22"/>
        </w:rPr>
        <w:tab/>
        <w:t xml:space="preserve">Gulbahar O, Konca </w:t>
      </w:r>
      <w:proofErr w:type="spellStart"/>
      <w:r w:rsidRPr="00DD448A">
        <w:rPr>
          <w:rFonts w:ascii="Arial" w:hAnsi="Arial" w:cs="Arial"/>
          <w:kern w:val="1"/>
          <w:sz w:val="22"/>
          <w:szCs w:val="22"/>
        </w:rPr>
        <w:t>Degertekin</w:t>
      </w:r>
      <w:proofErr w:type="spellEnd"/>
      <w:r w:rsidRPr="00DD448A">
        <w:rPr>
          <w:rFonts w:ascii="Arial" w:hAnsi="Arial" w:cs="Arial"/>
          <w:kern w:val="1"/>
          <w:sz w:val="22"/>
          <w:szCs w:val="22"/>
        </w:rPr>
        <w:t xml:space="preserve"> C, Akturk M, Yalcin MM, Kalan I, </w:t>
      </w:r>
      <w:proofErr w:type="spellStart"/>
      <w:r w:rsidRPr="00DD448A">
        <w:rPr>
          <w:rFonts w:ascii="Arial" w:hAnsi="Arial" w:cs="Arial"/>
          <w:kern w:val="1"/>
          <w:sz w:val="22"/>
          <w:szCs w:val="22"/>
        </w:rPr>
        <w:t>Atikeler</w:t>
      </w:r>
      <w:proofErr w:type="spellEnd"/>
      <w:r w:rsidRPr="00DD448A">
        <w:rPr>
          <w:rFonts w:ascii="Arial" w:hAnsi="Arial" w:cs="Arial"/>
          <w:kern w:val="1"/>
          <w:sz w:val="22"/>
          <w:szCs w:val="22"/>
        </w:rPr>
        <w:t xml:space="preserve"> GF, </w:t>
      </w:r>
      <w:proofErr w:type="spellStart"/>
      <w:r w:rsidRPr="00DD448A">
        <w:rPr>
          <w:rFonts w:ascii="Arial" w:hAnsi="Arial" w:cs="Arial"/>
          <w:kern w:val="1"/>
          <w:sz w:val="22"/>
          <w:szCs w:val="22"/>
        </w:rPr>
        <w:t>Altinova</w:t>
      </w:r>
      <w:proofErr w:type="spellEnd"/>
      <w:r w:rsidRPr="00DD448A">
        <w:rPr>
          <w:rFonts w:ascii="Arial" w:hAnsi="Arial" w:cs="Arial"/>
          <w:kern w:val="1"/>
          <w:sz w:val="22"/>
          <w:szCs w:val="22"/>
        </w:rPr>
        <w:t xml:space="preserve"> AE, Yetkin I, Arslan M, </w:t>
      </w:r>
      <w:proofErr w:type="spellStart"/>
      <w:r w:rsidRPr="00DD448A">
        <w:rPr>
          <w:rFonts w:ascii="Arial" w:hAnsi="Arial" w:cs="Arial"/>
          <w:kern w:val="1"/>
          <w:sz w:val="22"/>
          <w:szCs w:val="22"/>
        </w:rPr>
        <w:t>Toruner</w:t>
      </w:r>
      <w:proofErr w:type="spellEnd"/>
      <w:r w:rsidRPr="00DD448A">
        <w:rPr>
          <w:rFonts w:ascii="Arial" w:hAnsi="Arial" w:cs="Arial"/>
          <w:kern w:val="1"/>
          <w:sz w:val="22"/>
          <w:szCs w:val="22"/>
        </w:rPr>
        <w:t xml:space="preserve"> F. A Case With Immunoassay Interferences in the Measurement of Multiple Hormones.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2015;100(6):2147-2153.</w:t>
      </w:r>
    </w:p>
    <w:p w14:paraId="027718A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201.</w:t>
      </w:r>
      <w:r w:rsidRPr="00DD448A">
        <w:rPr>
          <w:rFonts w:ascii="Arial" w:hAnsi="Arial" w:cs="Arial"/>
          <w:kern w:val="1"/>
          <w:sz w:val="22"/>
          <w:szCs w:val="22"/>
        </w:rPr>
        <w:tab/>
        <w:t xml:space="preserve">Massart C, </w:t>
      </w:r>
      <w:proofErr w:type="spellStart"/>
      <w:r w:rsidRPr="00DD448A">
        <w:rPr>
          <w:rFonts w:ascii="Arial" w:hAnsi="Arial" w:cs="Arial"/>
          <w:kern w:val="1"/>
          <w:sz w:val="22"/>
          <w:szCs w:val="22"/>
        </w:rPr>
        <w:t>Corcuff</w:t>
      </w:r>
      <w:proofErr w:type="spellEnd"/>
      <w:r w:rsidRPr="00DD448A">
        <w:rPr>
          <w:rFonts w:ascii="Arial" w:hAnsi="Arial" w:cs="Arial"/>
          <w:kern w:val="1"/>
          <w:sz w:val="22"/>
          <w:szCs w:val="22"/>
        </w:rPr>
        <w:t xml:space="preserve"> JB, Bordenave L. False-positive results corrected by the use of heterophilic antibody-blocking reagent in thyroglobulin immunoassays.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2008;388(1-2):211-213.</w:t>
      </w:r>
    </w:p>
    <w:p w14:paraId="2DFAAA4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202.</w:t>
      </w:r>
      <w:r w:rsidRPr="00DD448A">
        <w:rPr>
          <w:rFonts w:ascii="Arial" w:hAnsi="Arial" w:cs="Arial"/>
          <w:kern w:val="1"/>
          <w:sz w:val="22"/>
          <w:szCs w:val="22"/>
        </w:rPr>
        <w:tab/>
        <w:t xml:space="preserve">King RI, Florkowski CM. How paraproteins can affect laboratory assays: spurious results and biological effects. </w:t>
      </w:r>
      <w:r w:rsidRPr="00DD448A">
        <w:rPr>
          <w:rFonts w:ascii="Arial" w:hAnsi="Arial" w:cs="Arial"/>
          <w:iCs/>
          <w:kern w:val="1"/>
          <w:sz w:val="22"/>
          <w:szCs w:val="22"/>
        </w:rPr>
        <w:t>Pathology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2010;42(5):397-401.</w:t>
      </w:r>
    </w:p>
    <w:p w14:paraId="0463EC5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203.</w:t>
      </w:r>
      <w:r w:rsidRPr="00DD448A">
        <w:rPr>
          <w:rFonts w:ascii="Arial" w:hAnsi="Arial" w:cs="Arial"/>
          <w:kern w:val="1"/>
          <w:sz w:val="22"/>
          <w:szCs w:val="22"/>
        </w:rPr>
        <w:tab/>
        <w:t xml:space="preserve">LeGatt DF, Higgins TN. Paraprotein interference in immunoassays. </w:t>
      </w:r>
      <w:r w:rsidRPr="00DD448A">
        <w:rPr>
          <w:rFonts w:ascii="Arial" w:hAnsi="Arial" w:cs="Arial"/>
          <w:iCs/>
          <w:kern w:val="1"/>
          <w:sz w:val="22"/>
          <w:szCs w:val="22"/>
        </w:rPr>
        <w:t>Ther Drug Monit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2015;37(3):417.</w:t>
      </w:r>
    </w:p>
    <w:p w14:paraId="086EC8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204.</w:t>
      </w:r>
      <w:r w:rsidRPr="00DD448A">
        <w:rPr>
          <w:rFonts w:ascii="Arial" w:hAnsi="Arial" w:cs="Arial"/>
          <w:kern w:val="1"/>
          <w:sz w:val="22"/>
          <w:szCs w:val="22"/>
        </w:rPr>
        <w:tab/>
        <w:t xml:space="preserve">Mandal K, </w:t>
      </w:r>
      <w:proofErr w:type="spellStart"/>
      <w:r w:rsidRPr="00DD448A">
        <w:rPr>
          <w:rFonts w:ascii="Arial" w:hAnsi="Arial" w:cs="Arial"/>
          <w:kern w:val="1"/>
          <w:sz w:val="22"/>
          <w:szCs w:val="22"/>
        </w:rPr>
        <w:t>Ashorobi</w:t>
      </w:r>
      <w:proofErr w:type="spellEnd"/>
      <w:r w:rsidRPr="00DD448A">
        <w:rPr>
          <w:rFonts w:ascii="Arial" w:hAnsi="Arial" w:cs="Arial"/>
          <w:kern w:val="1"/>
          <w:sz w:val="22"/>
          <w:szCs w:val="22"/>
        </w:rPr>
        <w:t xml:space="preserve"> D, Lee A, Liao H, Kumar SC, Rosenthal DS. Factitiously Elevated Total Triiodothyronine in a Euthyroid Patient with Multiple Myeloma. </w:t>
      </w:r>
      <w:r w:rsidRPr="00DD448A">
        <w:rPr>
          <w:rFonts w:ascii="Arial" w:hAnsi="Arial" w:cs="Arial"/>
          <w:iCs/>
          <w:kern w:val="1"/>
          <w:sz w:val="22"/>
          <w:szCs w:val="22"/>
        </w:rPr>
        <w:t>Case Rep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2021;2021:8479193.</w:t>
      </w:r>
    </w:p>
    <w:p w14:paraId="1D0C035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205.</w:t>
      </w:r>
      <w:r w:rsidRPr="00DD448A">
        <w:rPr>
          <w:rFonts w:ascii="Arial" w:hAnsi="Arial" w:cs="Arial"/>
          <w:kern w:val="1"/>
          <w:sz w:val="22"/>
          <w:szCs w:val="22"/>
        </w:rPr>
        <w:tab/>
        <w:t xml:space="preserve">Sarkar R. A simple method to overcome paraproteinemic interferences in chemistry and immunoassays. </w:t>
      </w:r>
      <w:r w:rsidRPr="00DD448A">
        <w:rPr>
          <w:rFonts w:ascii="Arial" w:hAnsi="Arial" w:cs="Arial"/>
          <w:iCs/>
          <w:kern w:val="1"/>
          <w:sz w:val="22"/>
          <w:szCs w:val="22"/>
        </w:rPr>
        <w:t>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70E9299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206.</w:t>
      </w:r>
      <w:r w:rsidRPr="00DD448A">
        <w:rPr>
          <w:rFonts w:ascii="Arial" w:hAnsi="Arial" w:cs="Arial"/>
          <w:kern w:val="1"/>
          <w:sz w:val="22"/>
          <w:szCs w:val="22"/>
        </w:rPr>
        <w:tab/>
        <w:t xml:space="preserve">Sapin R, </w:t>
      </w:r>
      <w:proofErr w:type="spellStart"/>
      <w:r w:rsidRPr="00DD448A">
        <w:rPr>
          <w:rFonts w:ascii="Arial" w:hAnsi="Arial" w:cs="Arial"/>
          <w:kern w:val="1"/>
          <w:sz w:val="22"/>
          <w:szCs w:val="22"/>
        </w:rPr>
        <w:t>D'Herbomez</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Schlienger</w:t>
      </w:r>
      <w:proofErr w:type="spellEnd"/>
      <w:r w:rsidRPr="00DD448A">
        <w:rPr>
          <w:rFonts w:ascii="Arial" w:hAnsi="Arial" w:cs="Arial"/>
          <w:kern w:val="1"/>
          <w:sz w:val="22"/>
          <w:szCs w:val="22"/>
        </w:rPr>
        <w:t xml:space="preserve"> JL. Free thyroxine measured with equilibrium dialysis and nine immunoassays decreases in late pregnancy. </w:t>
      </w:r>
      <w:r w:rsidRPr="00DD448A">
        <w:rPr>
          <w:rFonts w:ascii="Arial" w:hAnsi="Arial" w:cs="Arial"/>
          <w:iCs/>
          <w:kern w:val="1"/>
          <w:sz w:val="22"/>
          <w:szCs w:val="22"/>
        </w:rPr>
        <w:t>Clin Lab</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2004;50(9-10):581-584.</w:t>
      </w:r>
    </w:p>
    <w:p w14:paraId="3BECC7B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207.</w:t>
      </w:r>
      <w:r w:rsidRPr="00DD448A">
        <w:rPr>
          <w:rFonts w:ascii="Arial" w:hAnsi="Arial" w:cs="Arial"/>
          <w:kern w:val="1"/>
          <w:sz w:val="22"/>
          <w:szCs w:val="22"/>
        </w:rPr>
        <w:tab/>
      </w:r>
      <w:proofErr w:type="spellStart"/>
      <w:r w:rsidRPr="00DD448A">
        <w:rPr>
          <w:rFonts w:ascii="Arial" w:hAnsi="Arial" w:cs="Arial"/>
          <w:kern w:val="1"/>
          <w:sz w:val="22"/>
          <w:szCs w:val="22"/>
        </w:rPr>
        <w:t>Anckaert</w:t>
      </w:r>
      <w:proofErr w:type="spellEnd"/>
      <w:r w:rsidRPr="00DD448A">
        <w:rPr>
          <w:rFonts w:ascii="Arial" w:hAnsi="Arial" w:cs="Arial"/>
          <w:kern w:val="1"/>
          <w:sz w:val="22"/>
          <w:szCs w:val="22"/>
        </w:rPr>
        <w:t xml:space="preserve"> E, Poppe K,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w:t>
      </w:r>
      <w:proofErr w:type="spellStart"/>
      <w:r w:rsidRPr="00DD448A">
        <w:rPr>
          <w:rFonts w:ascii="Arial" w:hAnsi="Arial" w:cs="Arial"/>
          <w:kern w:val="1"/>
          <w:sz w:val="22"/>
          <w:szCs w:val="22"/>
        </w:rPr>
        <w:t>Schiettecatte</w:t>
      </w:r>
      <w:proofErr w:type="spellEnd"/>
      <w:r w:rsidRPr="00DD448A">
        <w:rPr>
          <w:rFonts w:ascii="Arial" w:hAnsi="Arial" w:cs="Arial"/>
          <w:kern w:val="1"/>
          <w:sz w:val="22"/>
          <w:szCs w:val="22"/>
        </w:rPr>
        <w:t xml:space="preserve"> J, Foulon W,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FT4 immunoassays may display a pattern during pregnancy similar to the equilibrium dialysis ID-LC/tandem MS candidate reference measurement procedure in spite of susceptibility towards binding protein alterations.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2010;411(17-18):1348-1353.</w:t>
      </w:r>
    </w:p>
    <w:p w14:paraId="05B787B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208.</w:t>
      </w:r>
      <w:r w:rsidRPr="00DD448A">
        <w:rPr>
          <w:rFonts w:ascii="Arial" w:hAnsi="Arial" w:cs="Arial"/>
          <w:kern w:val="1"/>
          <w:sz w:val="22"/>
          <w:szCs w:val="22"/>
        </w:rPr>
        <w:tab/>
        <w:t xml:space="preserve">Guven S, Alver A, </w:t>
      </w:r>
      <w:proofErr w:type="spellStart"/>
      <w:r w:rsidRPr="00DD448A">
        <w:rPr>
          <w:rFonts w:ascii="Arial" w:hAnsi="Arial" w:cs="Arial"/>
          <w:kern w:val="1"/>
          <w:sz w:val="22"/>
          <w:szCs w:val="22"/>
        </w:rPr>
        <w:t>Mentese</w:t>
      </w:r>
      <w:proofErr w:type="spellEnd"/>
      <w:r w:rsidRPr="00DD448A">
        <w:rPr>
          <w:rFonts w:ascii="Arial" w:hAnsi="Arial" w:cs="Arial"/>
          <w:kern w:val="1"/>
          <w:sz w:val="22"/>
          <w:szCs w:val="22"/>
        </w:rPr>
        <w:t xml:space="preserve"> A, Ilhan FC, </w:t>
      </w:r>
      <w:proofErr w:type="spellStart"/>
      <w:r w:rsidRPr="00DD448A">
        <w:rPr>
          <w:rFonts w:ascii="Arial" w:hAnsi="Arial" w:cs="Arial"/>
          <w:kern w:val="1"/>
          <w:sz w:val="22"/>
          <w:szCs w:val="22"/>
        </w:rPr>
        <w:t>Calapoglu</w:t>
      </w:r>
      <w:proofErr w:type="spellEnd"/>
      <w:r w:rsidRPr="00DD448A">
        <w:rPr>
          <w:rFonts w:ascii="Arial" w:hAnsi="Arial" w:cs="Arial"/>
          <w:kern w:val="1"/>
          <w:sz w:val="22"/>
          <w:szCs w:val="22"/>
        </w:rPr>
        <w:t xml:space="preserve"> M, Unsal MA. The novel ischemia marker 'ischemia-modified albumin' is increased in normal pregnancies. </w:t>
      </w:r>
      <w:r w:rsidRPr="00DD448A">
        <w:rPr>
          <w:rFonts w:ascii="Arial" w:hAnsi="Arial" w:cs="Arial"/>
          <w:iCs/>
          <w:kern w:val="1"/>
          <w:sz w:val="22"/>
          <w:szCs w:val="22"/>
        </w:rPr>
        <w:t xml:space="preserve">Acta </w:t>
      </w:r>
      <w:proofErr w:type="spellStart"/>
      <w:r w:rsidRPr="00DD448A">
        <w:rPr>
          <w:rFonts w:ascii="Arial" w:hAnsi="Arial" w:cs="Arial"/>
          <w:iCs/>
          <w:kern w:val="1"/>
          <w:sz w:val="22"/>
          <w:szCs w:val="22"/>
        </w:rPr>
        <w:t>Obstet</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Gynecol</w:t>
      </w:r>
      <w:proofErr w:type="spellEnd"/>
      <w:r w:rsidRPr="00DD448A">
        <w:rPr>
          <w:rFonts w:ascii="Arial" w:hAnsi="Arial" w:cs="Arial"/>
          <w:iCs/>
          <w:kern w:val="1"/>
          <w:sz w:val="22"/>
          <w:szCs w:val="22"/>
        </w:rPr>
        <w:t xml:space="preserve"> Scand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2009;88(4):479-482.</w:t>
      </w:r>
    </w:p>
    <w:p w14:paraId="6CDD1F3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209.</w:t>
      </w:r>
      <w:r w:rsidRPr="00DD448A">
        <w:rPr>
          <w:rFonts w:ascii="Arial" w:hAnsi="Arial" w:cs="Arial"/>
          <w:kern w:val="1"/>
          <w:sz w:val="22"/>
          <w:szCs w:val="22"/>
        </w:rPr>
        <w:tab/>
        <w:t xml:space="preserve">Cameron SJ, Hagedorn JC, Sokoll LJ, </w:t>
      </w:r>
      <w:proofErr w:type="spellStart"/>
      <w:r w:rsidRPr="00DD448A">
        <w:rPr>
          <w:rFonts w:ascii="Arial" w:hAnsi="Arial" w:cs="Arial"/>
          <w:kern w:val="1"/>
          <w:sz w:val="22"/>
          <w:szCs w:val="22"/>
        </w:rPr>
        <w:t>Caturegli</w:t>
      </w:r>
      <w:proofErr w:type="spellEnd"/>
      <w:r w:rsidRPr="00DD448A">
        <w:rPr>
          <w:rFonts w:ascii="Arial" w:hAnsi="Arial" w:cs="Arial"/>
          <w:kern w:val="1"/>
          <w:sz w:val="22"/>
          <w:szCs w:val="22"/>
        </w:rPr>
        <w:t xml:space="preserve"> P, Ladenson PW. </w:t>
      </w:r>
      <w:proofErr w:type="spellStart"/>
      <w:r w:rsidRPr="00DD448A">
        <w:rPr>
          <w:rFonts w:ascii="Arial" w:hAnsi="Arial" w:cs="Arial"/>
          <w:kern w:val="1"/>
          <w:sz w:val="22"/>
          <w:szCs w:val="22"/>
        </w:rPr>
        <w:t>Dysprealbuminemic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in a patient with hyperthyroid </w:t>
      </w:r>
      <w:proofErr w:type="spellStart"/>
      <w:r w:rsidRPr="00DD448A">
        <w:rPr>
          <w:rFonts w:ascii="Arial" w:hAnsi="Arial" w:cs="Arial"/>
          <w:kern w:val="1"/>
          <w:sz w:val="22"/>
          <w:szCs w:val="22"/>
        </w:rPr>
        <w:t>graves</w:t>
      </w:r>
      <w:proofErr w:type="spellEnd"/>
      <w:r w:rsidRPr="00DD448A">
        <w:rPr>
          <w:rFonts w:ascii="Arial" w:hAnsi="Arial" w:cs="Arial"/>
          <w:kern w:val="1"/>
          <w:sz w:val="22"/>
          <w:szCs w:val="22"/>
        </w:rPr>
        <w:t xml:space="preserve"> disease.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2005;51(6):1065-1069.</w:t>
      </w:r>
    </w:p>
    <w:p w14:paraId="7A0438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210.</w:t>
      </w:r>
      <w:r w:rsidRPr="00DD448A">
        <w:rPr>
          <w:rFonts w:ascii="Arial" w:hAnsi="Arial" w:cs="Arial"/>
          <w:kern w:val="1"/>
          <w:sz w:val="22"/>
          <w:szCs w:val="22"/>
        </w:rPr>
        <w:tab/>
        <w:t xml:space="preserve">Sapin R, Gasser F, </w:t>
      </w:r>
      <w:proofErr w:type="spellStart"/>
      <w:r w:rsidRPr="00DD448A">
        <w:rPr>
          <w:rFonts w:ascii="Arial" w:hAnsi="Arial" w:cs="Arial"/>
          <w:kern w:val="1"/>
          <w:sz w:val="22"/>
          <w:szCs w:val="22"/>
        </w:rPr>
        <w:t>Schlienger</w:t>
      </w:r>
      <w:proofErr w:type="spellEnd"/>
      <w:r w:rsidRPr="00DD448A">
        <w:rPr>
          <w:rFonts w:ascii="Arial" w:hAnsi="Arial" w:cs="Arial"/>
          <w:kern w:val="1"/>
          <w:sz w:val="22"/>
          <w:szCs w:val="22"/>
        </w:rPr>
        <w:t xml:space="preserve"> JL.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and thyroid hormone autoantibodies: interference in current free thyroid hormone assays. </w:t>
      </w:r>
      <w:r w:rsidRPr="00DD448A">
        <w:rPr>
          <w:rFonts w:ascii="Arial" w:hAnsi="Arial" w:cs="Arial"/>
          <w:iCs/>
          <w:kern w:val="1"/>
          <w:sz w:val="22"/>
          <w:szCs w:val="22"/>
        </w:rPr>
        <w:t>Horm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1996;45(3-5):139-141.</w:t>
      </w:r>
    </w:p>
    <w:p w14:paraId="0F023CF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211.</w:t>
      </w:r>
      <w:r w:rsidRPr="00DD448A">
        <w:rPr>
          <w:rFonts w:ascii="Arial" w:hAnsi="Arial" w:cs="Arial"/>
          <w:kern w:val="1"/>
          <w:sz w:val="22"/>
          <w:szCs w:val="22"/>
        </w:rPr>
        <w:tab/>
        <w:t xml:space="preserve">Kragh-Hansen U, Galliano M, </w:t>
      </w:r>
      <w:proofErr w:type="spellStart"/>
      <w:r w:rsidRPr="00DD448A">
        <w:rPr>
          <w:rFonts w:ascii="Arial" w:hAnsi="Arial" w:cs="Arial"/>
          <w:kern w:val="1"/>
          <w:sz w:val="22"/>
          <w:szCs w:val="22"/>
        </w:rPr>
        <w:t>Minchiotti</w:t>
      </w:r>
      <w:proofErr w:type="spellEnd"/>
      <w:r w:rsidRPr="00DD448A">
        <w:rPr>
          <w:rFonts w:ascii="Arial" w:hAnsi="Arial" w:cs="Arial"/>
          <w:kern w:val="1"/>
          <w:sz w:val="22"/>
          <w:szCs w:val="22"/>
        </w:rPr>
        <w:t xml:space="preserve"> L. Clinical, Genetic, and Protein Structural Aspects of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and </w:t>
      </w:r>
      <w:proofErr w:type="spellStart"/>
      <w:r w:rsidRPr="00DD448A">
        <w:rPr>
          <w:rFonts w:ascii="Arial" w:hAnsi="Arial" w:cs="Arial"/>
          <w:kern w:val="1"/>
          <w:sz w:val="22"/>
          <w:szCs w:val="22"/>
        </w:rPr>
        <w:t>Hypertriiodothyroninemia</w:t>
      </w:r>
      <w:proofErr w:type="spellEnd"/>
      <w:r w:rsidRPr="00DD448A">
        <w:rPr>
          <w:rFonts w:ascii="Arial" w:hAnsi="Arial" w:cs="Arial"/>
          <w:kern w:val="1"/>
          <w:sz w:val="22"/>
          <w:szCs w:val="22"/>
        </w:rPr>
        <w:t xml:space="preserve">.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2017;8:297.</w:t>
      </w:r>
    </w:p>
    <w:p w14:paraId="63E9F5D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212.</w:t>
      </w:r>
      <w:r w:rsidRPr="00DD448A">
        <w:rPr>
          <w:rFonts w:ascii="Arial" w:hAnsi="Arial" w:cs="Arial"/>
          <w:kern w:val="1"/>
          <w:sz w:val="22"/>
          <w:szCs w:val="22"/>
        </w:rPr>
        <w:tab/>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Scherberg</w:t>
      </w:r>
      <w:proofErr w:type="spellEnd"/>
      <w:r w:rsidRPr="00DD448A">
        <w:rPr>
          <w:rFonts w:ascii="Arial" w:hAnsi="Arial" w:cs="Arial"/>
          <w:kern w:val="1"/>
          <w:sz w:val="22"/>
          <w:szCs w:val="22"/>
        </w:rPr>
        <w:t xml:space="preserve"> NH, Yuan C, Wu W, Wu Z, McPhaul MJ. Free Thyroxine Concentrations in Sera of Individuals with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A Comparison of Three Methods of Measurement.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2020;30(1):37-41.</w:t>
      </w:r>
    </w:p>
    <w:p w14:paraId="2189540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213.</w:t>
      </w:r>
      <w:r w:rsidRPr="00DD448A">
        <w:rPr>
          <w:rFonts w:ascii="Arial" w:hAnsi="Arial" w:cs="Arial"/>
          <w:kern w:val="1"/>
          <w:sz w:val="22"/>
          <w:szCs w:val="22"/>
        </w:rPr>
        <w:tab/>
      </w:r>
      <w:proofErr w:type="spellStart"/>
      <w:r w:rsidRPr="00DD448A">
        <w:rPr>
          <w:rFonts w:ascii="Arial" w:hAnsi="Arial" w:cs="Arial"/>
          <w:kern w:val="1"/>
          <w:sz w:val="22"/>
          <w:szCs w:val="22"/>
        </w:rPr>
        <w:t>DeCosimo</w:t>
      </w:r>
      <w:proofErr w:type="spellEnd"/>
      <w:r w:rsidRPr="00DD448A">
        <w:rPr>
          <w:rFonts w:ascii="Arial" w:hAnsi="Arial" w:cs="Arial"/>
          <w:kern w:val="1"/>
          <w:sz w:val="22"/>
          <w:szCs w:val="22"/>
        </w:rPr>
        <w:t xml:space="preserve"> DR, Fang SL, Braverman LE. Prevalence of familial </w:t>
      </w:r>
      <w:proofErr w:type="spellStart"/>
      <w:r w:rsidRPr="00DD448A">
        <w:rPr>
          <w:rFonts w:ascii="Arial" w:hAnsi="Arial" w:cs="Arial"/>
          <w:kern w:val="1"/>
          <w:sz w:val="22"/>
          <w:szCs w:val="22"/>
        </w:rPr>
        <w:t>dysalbuminemic</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hyperthyroxinemia</w:t>
      </w:r>
      <w:proofErr w:type="spellEnd"/>
      <w:r w:rsidRPr="00DD448A">
        <w:rPr>
          <w:rFonts w:ascii="Arial" w:hAnsi="Arial" w:cs="Arial"/>
          <w:kern w:val="1"/>
          <w:sz w:val="22"/>
          <w:szCs w:val="22"/>
        </w:rPr>
        <w:t xml:space="preserve"> in Hispanics. </w:t>
      </w:r>
      <w:r w:rsidRPr="00DD448A">
        <w:rPr>
          <w:rFonts w:ascii="Arial" w:hAnsi="Arial" w:cs="Arial"/>
          <w:iCs/>
          <w:kern w:val="1"/>
          <w:sz w:val="22"/>
          <w:szCs w:val="22"/>
        </w:rPr>
        <w:t>Ann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1987;107(5):780-781.</w:t>
      </w:r>
    </w:p>
    <w:p w14:paraId="2C6A8F3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214.</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Keller F, Ceriani L, </w:t>
      </w:r>
      <w:proofErr w:type="spellStart"/>
      <w:r w:rsidRPr="00DD448A">
        <w:rPr>
          <w:rFonts w:ascii="Arial" w:hAnsi="Arial" w:cs="Arial"/>
          <w:kern w:val="1"/>
          <w:sz w:val="22"/>
          <w:szCs w:val="22"/>
        </w:rPr>
        <w:t>Tozzoli</w:t>
      </w:r>
      <w:proofErr w:type="spellEnd"/>
      <w:r w:rsidRPr="00DD448A">
        <w:rPr>
          <w:rFonts w:ascii="Arial" w:hAnsi="Arial" w:cs="Arial"/>
          <w:kern w:val="1"/>
          <w:sz w:val="22"/>
          <w:szCs w:val="22"/>
        </w:rPr>
        <w:t xml:space="preserve"> R. Heterophile antibodies may falsely increase or decrease thyroglobulin measurement in patients with differentiated thyroid carcinoma.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2009;47(8):952-954.</w:t>
      </w:r>
    </w:p>
    <w:p w14:paraId="0F0489D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215.</w:t>
      </w:r>
      <w:r w:rsidRPr="00DD448A">
        <w:rPr>
          <w:rFonts w:ascii="Arial" w:hAnsi="Arial" w:cs="Arial"/>
          <w:kern w:val="1"/>
          <w:sz w:val="22"/>
          <w:szCs w:val="22"/>
        </w:rPr>
        <w:tab/>
        <w:t xml:space="preserve">Bolstad N, Warren DJ, Nustad K. Heterophilic antibody interference in immunometric assays.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2013;27(5):647-661.</w:t>
      </w:r>
    </w:p>
    <w:p w14:paraId="3C29EA8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216.</w:t>
      </w:r>
      <w:r w:rsidRPr="00DD448A">
        <w:rPr>
          <w:rFonts w:ascii="Arial" w:hAnsi="Arial" w:cs="Arial"/>
          <w:kern w:val="1"/>
          <w:sz w:val="22"/>
          <w:szCs w:val="22"/>
        </w:rPr>
        <w:tab/>
        <w:t xml:space="preserve">Weber TH, </w:t>
      </w:r>
      <w:proofErr w:type="spellStart"/>
      <w:r w:rsidRPr="00DD448A">
        <w:rPr>
          <w:rFonts w:ascii="Arial" w:hAnsi="Arial" w:cs="Arial"/>
          <w:kern w:val="1"/>
          <w:sz w:val="22"/>
          <w:szCs w:val="22"/>
        </w:rPr>
        <w:t>Käpyaho</w:t>
      </w:r>
      <w:proofErr w:type="spellEnd"/>
      <w:r w:rsidRPr="00DD448A">
        <w:rPr>
          <w:rFonts w:ascii="Arial" w:hAnsi="Arial" w:cs="Arial"/>
          <w:kern w:val="1"/>
          <w:sz w:val="22"/>
          <w:szCs w:val="22"/>
        </w:rPr>
        <w:t xml:space="preserve"> KI, Tanner P. Endogenous interference in immunoassays in clinical chemistry. A review. </w:t>
      </w:r>
      <w:r w:rsidRPr="00DD448A">
        <w:rPr>
          <w:rFonts w:ascii="Arial" w:hAnsi="Arial" w:cs="Arial"/>
          <w:iCs/>
          <w:kern w:val="1"/>
          <w:sz w:val="22"/>
          <w:szCs w:val="22"/>
        </w:rPr>
        <w:t>Scand J Clin Lab Invest Suppl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1990;201:77-82.</w:t>
      </w:r>
    </w:p>
    <w:p w14:paraId="2F1737E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217.</w:t>
      </w:r>
      <w:r w:rsidRPr="00DD448A">
        <w:rPr>
          <w:rFonts w:ascii="Arial" w:hAnsi="Arial" w:cs="Arial"/>
          <w:kern w:val="1"/>
          <w:sz w:val="22"/>
          <w:szCs w:val="22"/>
        </w:rPr>
        <w:tab/>
        <w:t xml:space="preserve">Levinson SS, Miller JJ. Towards a better understanding of heterophile (and the like) antibody interference with modern immunoassays.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2002;325(1-2):1-15.</w:t>
      </w:r>
    </w:p>
    <w:p w14:paraId="28C954B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218.</w:t>
      </w:r>
      <w:r w:rsidRPr="00DD448A">
        <w:rPr>
          <w:rFonts w:ascii="Arial" w:hAnsi="Arial" w:cs="Arial"/>
          <w:kern w:val="1"/>
          <w:sz w:val="22"/>
          <w:szCs w:val="22"/>
        </w:rPr>
        <w:tab/>
        <w:t xml:space="preserve">Bjerner J, Olsen KH, </w:t>
      </w:r>
      <w:proofErr w:type="spellStart"/>
      <w:r w:rsidRPr="00DD448A">
        <w:rPr>
          <w:rFonts w:ascii="Arial" w:hAnsi="Arial" w:cs="Arial"/>
          <w:kern w:val="1"/>
          <w:sz w:val="22"/>
          <w:szCs w:val="22"/>
        </w:rPr>
        <w:t>Børmer</w:t>
      </w:r>
      <w:proofErr w:type="spellEnd"/>
      <w:r w:rsidRPr="00DD448A">
        <w:rPr>
          <w:rFonts w:ascii="Arial" w:hAnsi="Arial" w:cs="Arial"/>
          <w:kern w:val="1"/>
          <w:sz w:val="22"/>
          <w:szCs w:val="22"/>
        </w:rPr>
        <w:t xml:space="preserve"> OP, Nustad K. Human heterophilic antibodies display specificity for murine IgG subclasses.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2005;38(5):465-472.</w:t>
      </w:r>
    </w:p>
    <w:p w14:paraId="4EC4C81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219.</w:t>
      </w:r>
      <w:r w:rsidRPr="00DD448A">
        <w:rPr>
          <w:rFonts w:ascii="Arial" w:hAnsi="Arial" w:cs="Arial"/>
          <w:kern w:val="1"/>
          <w:sz w:val="22"/>
          <w:szCs w:val="22"/>
        </w:rPr>
        <w:tab/>
        <w:t xml:space="preserve">Ellis MJ, Livesey JH. Techniques for identifying heterophile antibody interference are assay specific: study of seven analytes on two automated immunoassay analyzers.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2005;51(3):639-641.</w:t>
      </w:r>
    </w:p>
    <w:p w14:paraId="6E3D67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220.</w:t>
      </w:r>
      <w:r w:rsidRPr="00DD448A">
        <w:rPr>
          <w:rFonts w:ascii="Arial" w:hAnsi="Arial" w:cs="Arial"/>
          <w:kern w:val="1"/>
          <w:sz w:val="22"/>
          <w:szCs w:val="22"/>
        </w:rPr>
        <w:tab/>
        <w:t xml:space="preserve">Sun HG, Xu XP, He LQ. Pseudo Elevation of TSH and ACTH Caused by Heterophilic Antibodies: a Case Report and Literature Review. </w:t>
      </w:r>
      <w:r w:rsidRPr="00DD448A">
        <w:rPr>
          <w:rFonts w:ascii="Arial" w:hAnsi="Arial" w:cs="Arial"/>
          <w:iCs/>
          <w:kern w:val="1"/>
          <w:sz w:val="22"/>
          <w:szCs w:val="22"/>
        </w:rPr>
        <w:t>Clin Lab</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2024;70(6).</w:t>
      </w:r>
    </w:p>
    <w:p w14:paraId="44B5ECE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221.</w:t>
      </w:r>
      <w:r w:rsidRPr="00DD448A">
        <w:rPr>
          <w:rFonts w:ascii="Arial" w:hAnsi="Arial" w:cs="Arial"/>
          <w:kern w:val="1"/>
          <w:sz w:val="22"/>
          <w:szCs w:val="22"/>
        </w:rPr>
        <w:tab/>
        <w:t xml:space="preserve">Astarita G, Gutiérrez S, </w:t>
      </w:r>
      <w:proofErr w:type="spellStart"/>
      <w:r w:rsidRPr="00DD448A">
        <w:rPr>
          <w:rFonts w:ascii="Arial" w:hAnsi="Arial" w:cs="Arial"/>
          <w:kern w:val="1"/>
          <w:sz w:val="22"/>
          <w:szCs w:val="22"/>
        </w:rPr>
        <w:t>Kogovsek</w:t>
      </w:r>
      <w:proofErr w:type="spellEnd"/>
      <w:r w:rsidRPr="00DD448A">
        <w:rPr>
          <w:rFonts w:ascii="Arial" w:hAnsi="Arial" w:cs="Arial"/>
          <w:kern w:val="1"/>
          <w:sz w:val="22"/>
          <w:szCs w:val="22"/>
        </w:rPr>
        <w:t xml:space="preserve"> N, </w:t>
      </w:r>
      <w:proofErr w:type="spellStart"/>
      <w:r w:rsidRPr="00DD448A">
        <w:rPr>
          <w:rFonts w:ascii="Arial" w:hAnsi="Arial" w:cs="Arial"/>
          <w:kern w:val="1"/>
          <w:sz w:val="22"/>
          <w:szCs w:val="22"/>
        </w:rPr>
        <w:t>Mormandi</w:t>
      </w:r>
      <w:proofErr w:type="spellEnd"/>
      <w:r w:rsidRPr="00DD448A">
        <w:rPr>
          <w:rFonts w:ascii="Arial" w:hAnsi="Arial" w:cs="Arial"/>
          <w:kern w:val="1"/>
          <w:sz w:val="22"/>
          <w:szCs w:val="22"/>
        </w:rPr>
        <w:t xml:space="preserve"> E, Otero P, Calabrese C, Alcaraz G, Vázquez A, </w:t>
      </w:r>
      <w:proofErr w:type="spellStart"/>
      <w:r w:rsidRPr="00DD448A">
        <w:rPr>
          <w:rFonts w:ascii="Arial" w:hAnsi="Arial" w:cs="Arial"/>
          <w:kern w:val="1"/>
          <w:sz w:val="22"/>
          <w:szCs w:val="22"/>
        </w:rPr>
        <w:t>Abalovich</w:t>
      </w:r>
      <w:proofErr w:type="spellEnd"/>
      <w:r w:rsidRPr="00DD448A">
        <w:rPr>
          <w:rFonts w:ascii="Arial" w:hAnsi="Arial" w:cs="Arial"/>
          <w:kern w:val="1"/>
          <w:sz w:val="22"/>
          <w:szCs w:val="22"/>
        </w:rPr>
        <w:t xml:space="preserve"> M. False positive in the measurement of thyroglobulin induced by rheumatoid factor.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2015;447:43-46.</w:t>
      </w:r>
    </w:p>
    <w:p w14:paraId="124F5DF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222.</w:t>
      </w:r>
      <w:r w:rsidRPr="00DD448A">
        <w:rPr>
          <w:rFonts w:ascii="Arial" w:hAnsi="Arial" w:cs="Arial"/>
          <w:kern w:val="1"/>
          <w:sz w:val="22"/>
          <w:szCs w:val="22"/>
        </w:rPr>
        <w:tab/>
      </w:r>
      <w:proofErr w:type="spellStart"/>
      <w:r w:rsidRPr="00DD448A">
        <w:rPr>
          <w:rFonts w:ascii="Arial" w:hAnsi="Arial" w:cs="Arial"/>
          <w:kern w:val="1"/>
          <w:sz w:val="22"/>
          <w:szCs w:val="22"/>
        </w:rPr>
        <w:t>Mongolu</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Armston</w:t>
      </w:r>
      <w:proofErr w:type="spellEnd"/>
      <w:r w:rsidRPr="00DD448A">
        <w:rPr>
          <w:rFonts w:ascii="Arial" w:hAnsi="Arial" w:cs="Arial"/>
          <w:kern w:val="1"/>
          <w:sz w:val="22"/>
          <w:szCs w:val="22"/>
        </w:rPr>
        <w:t xml:space="preserve"> AE, Mozley E, Nasruddin A. Heterophilic antibody interference affecting multiple hormone assays: Is it due to rheumatoid factor? </w:t>
      </w:r>
      <w:r w:rsidRPr="00DD448A">
        <w:rPr>
          <w:rFonts w:ascii="Arial" w:hAnsi="Arial" w:cs="Arial"/>
          <w:iCs/>
          <w:kern w:val="1"/>
          <w:sz w:val="22"/>
          <w:szCs w:val="22"/>
        </w:rPr>
        <w:t>Scand J Clin Lab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2016;76(3):240-242.</w:t>
      </w:r>
    </w:p>
    <w:p w14:paraId="09D4E8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223.</w:t>
      </w:r>
      <w:r w:rsidRPr="00DD448A">
        <w:rPr>
          <w:rFonts w:ascii="Arial" w:hAnsi="Arial" w:cs="Arial"/>
          <w:kern w:val="1"/>
          <w:sz w:val="22"/>
          <w:szCs w:val="22"/>
        </w:rPr>
        <w:tab/>
        <w:t xml:space="preserve">Preissner CM, O'Kane DJ, Singh RJ, Morris JC, Grebe SKG. Phantoms in the assay tube; Heterophile antibody interferences in serum thyroglobulin assays.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2003;88:3069-3074.</w:t>
      </w:r>
    </w:p>
    <w:p w14:paraId="47E5AF0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224.</w:t>
      </w:r>
      <w:r w:rsidRPr="00DD448A">
        <w:rPr>
          <w:rFonts w:ascii="Arial" w:hAnsi="Arial" w:cs="Arial"/>
          <w:kern w:val="1"/>
          <w:sz w:val="22"/>
          <w:szCs w:val="22"/>
        </w:rPr>
        <w:tab/>
        <w:t xml:space="preserve">Ghosh S, Howlett M, Boag D, Malik I, Collier A. Interference in free thyroxine immunoassay.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2008;19(3):221-222.</w:t>
      </w:r>
    </w:p>
    <w:p w14:paraId="5178B56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225.</w:t>
      </w:r>
      <w:r w:rsidRPr="00DD448A">
        <w:rPr>
          <w:rFonts w:ascii="Arial" w:hAnsi="Arial" w:cs="Arial"/>
          <w:kern w:val="1"/>
          <w:sz w:val="22"/>
          <w:szCs w:val="22"/>
        </w:rPr>
        <w:tab/>
        <w:t xml:space="preserve">Preissner CM, Dodge LA, O'Kane DJ, Singh RJ, Grebe SK. Prevalence of heterophilic antibody interference in eight automated tumor marker immunoassays.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2005;51(1):208-210.</w:t>
      </w:r>
    </w:p>
    <w:p w14:paraId="1ED3EEB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226.</w:t>
      </w:r>
      <w:r w:rsidRPr="00DD448A">
        <w:rPr>
          <w:rFonts w:ascii="Arial" w:hAnsi="Arial" w:cs="Arial"/>
          <w:kern w:val="1"/>
          <w:sz w:val="22"/>
          <w:szCs w:val="22"/>
        </w:rPr>
        <w:tab/>
        <w:t xml:space="preserve">Marks V. False-positive immunoassay results: a multicenter survey of erroneous immunoassay results from assays of 74 analytes in 10 donors from 66 laboratories in seven countries.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2002;48(11):2008-2016.</w:t>
      </w:r>
    </w:p>
    <w:p w14:paraId="4378873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227.</w:t>
      </w:r>
      <w:r w:rsidRPr="00DD448A">
        <w:rPr>
          <w:rFonts w:ascii="Arial" w:hAnsi="Arial" w:cs="Arial"/>
          <w:kern w:val="1"/>
          <w:sz w:val="22"/>
          <w:szCs w:val="22"/>
        </w:rPr>
        <w:tab/>
      </w:r>
      <w:proofErr w:type="spellStart"/>
      <w:r w:rsidRPr="00DD448A">
        <w:rPr>
          <w:rFonts w:ascii="Arial" w:hAnsi="Arial" w:cs="Arial"/>
          <w:kern w:val="1"/>
          <w:sz w:val="22"/>
          <w:szCs w:val="22"/>
        </w:rPr>
        <w:t>Koshida</w:t>
      </w:r>
      <w:proofErr w:type="spellEnd"/>
      <w:r w:rsidRPr="00DD448A">
        <w:rPr>
          <w:rFonts w:ascii="Arial" w:hAnsi="Arial" w:cs="Arial"/>
          <w:kern w:val="1"/>
          <w:sz w:val="22"/>
          <w:szCs w:val="22"/>
        </w:rPr>
        <w:t xml:space="preserve"> S, Asanuma K, Kuribayashi K, Goto M, Tsuji N, Kobayashi D, Tanaka M, Watanabe N. Prevalence of human anti-mouse antibodies (HAMAs) in routine examinations.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2010;411(5-6):391-394.</w:t>
      </w:r>
    </w:p>
    <w:p w14:paraId="01E91CE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228.</w:t>
      </w:r>
      <w:r w:rsidRPr="00DD448A">
        <w:rPr>
          <w:rFonts w:ascii="Arial" w:hAnsi="Arial" w:cs="Arial"/>
          <w:kern w:val="1"/>
          <w:sz w:val="22"/>
          <w:szCs w:val="22"/>
        </w:rPr>
        <w:tab/>
        <w:t xml:space="preserve">Verburg FA, </w:t>
      </w:r>
      <w:proofErr w:type="spellStart"/>
      <w:r w:rsidRPr="00DD448A">
        <w:rPr>
          <w:rFonts w:ascii="Arial" w:hAnsi="Arial" w:cs="Arial"/>
          <w:kern w:val="1"/>
          <w:sz w:val="22"/>
          <w:szCs w:val="22"/>
        </w:rPr>
        <w:t>Wäschle</w:t>
      </w:r>
      <w:proofErr w:type="spellEnd"/>
      <w:r w:rsidRPr="00DD448A">
        <w:rPr>
          <w:rFonts w:ascii="Arial" w:hAnsi="Arial" w:cs="Arial"/>
          <w:kern w:val="1"/>
          <w:sz w:val="22"/>
          <w:szCs w:val="22"/>
        </w:rPr>
        <w:t xml:space="preserve"> K, Reiners C,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Lentjes</w:t>
      </w:r>
      <w:proofErr w:type="spellEnd"/>
      <w:r w:rsidRPr="00DD448A">
        <w:rPr>
          <w:rFonts w:ascii="Arial" w:hAnsi="Arial" w:cs="Arial"/>
          <w:kern w:val="1"/>
          <w:sz w:val="22"/>
          <w:szCs w:val="22"/>
        </w:rPr>
        <w:t xml:space="preserve"> EG. Heterophile antibodies rarely influence the measurement of thyroglobulin and thyroglobulin antibodies in differentiated thyroid cancer patients. </w:t>
      </w:r>
      <w:r w:rsidRPr="00DD448A">
        <w:rPr>
          <w:rFonts w:ascii="Arial" w:hAnsi="Arial" w:cs="Arial"/>
          <w:iCs/>
          <w:kern w:val="1"/>
          <w:sz w:val="22"/>
          <w:szCs w:val="22"/>
        </w:rPr>
        <w:t xml:space="preserve">Horm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2010;42(10):736-739.</w:t>
      </w:r>
    </w:p>
    <w:p w14:paraId="6707B44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229.</w:t>
      </w:r>
      <w:r w:rsidRPr="00DD448A">
        <w:rPr>
          <w:rFonts w:ascii="Arial" w:hAnsi="Arial" w:cs="Arial"/>
          <w:kern w:val="1"/>
          <w:sz w:val="22"/>
          <w:szCs w:val="22"/>
        </w:rPr>
        <w:tab/>
        <w:t xml:space="preserve">Nakano K, Yasuda K, Shibuya H, Moriyama T, </w:t>
      </w:r>
      <w:proofErr w:type="spellStart"/>
      <w:r w:rsidRPr="00DD448A">
        <w:rPr>
          <w:rFonts w:ascii="Arial" w:hAnsi="Arial" w:cs="Arial"/>
          <w:kern w:val="1"/>
          <w:sz w:val="22"/>
          <w:szCs w:val="22"/>
        </w:rPr>
        <w:t>Kahata</w:t>
      </w:r>
      <w:proofErr w:type="spellEnd"/>
      <w:r w:rsidRPr="00DD448A">
        <w:rPr>
          <w:rFonts w:ascii="Arial" w:hAnsi="Arial" w:cs="Arial"/>
          <w:kern w:val="1"/>
          <w:sz w:val="22"/>
          <w:szCs w:val="22"/>
        </w:rPr>
        <w:t xml:space="preserve"> K, Shimizu C. Transient human anti-mouse antibody generated with immune enhancement in a carbohydrate antigen 19-9 immunoassay after surgical resection of recurrent cancer.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2016;53(Pt 4):511-515.</w:t>
      </w:r>
    </w:p>
    <w:p w14:paraId="2D9BA4C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230.</w:t>
      </w:r>
      <w:r w:rsidRPr="00DD448A">
        <w:rPr>
          <w:rFonts w:ascii="Arial" w:hAnsi="Arial" w:cs="Arial"/>
          <w:kern w:val="1"/>
          <w:sz w:val="22"/>
          <w:szCs w:val="22"/>
        </w:rPr>
        <w:tab/>
        <w:t xml:space="preserve">Gessl A, </w:t>
      </w:r>
      <w:proofErr w:type="spellStart"/>
      <w:r w:rsidRPr="00DD448A">
        <w:rPr>
          <w:rFonts w:ascii="Arial" w:hAnsi="Arial" w:cs="Arial"/>
          <w:kern w:val="1"/>
          <w:sz w:val="22"/>
          <w:szCs w:val="22"/>
        </w:rPr>
        <w:t>Blueml</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Bieglmayer</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Marculescu</w:t>
      </w:r>
      <w:proofErr w:type="spellEnd"/>
      <w:r w:rsidRPr="00DD448A">
        <w:rPr>
          <w:rFonts w:ascii="Arial" w:hAnsi="Arial" w:cs="Arial"/>
          <w:kern w:val="1"/>
          <w:sz w:val="22"/>
          <w:szCs w:val="22"/>
        </w:rPr>
        <w:t xml:space="preserve"> R. Anti-ruthenium antibodies mimic macro-TSH in </w:t>
      </w:r>
      <w:proofErr w:type="spellStart"/>
      <w:r w:rsidRPr="00DD448A">
        <w:rPr>
          <w:rFonts w:ascii="Arial" w:hAnsi="Arial" w:cs="Arial"/>
          <w:kern w:val="1"/>
          <w:sz w:val="22"/>
          <w:szCs w:val="22"/>
        </w:rPr>
        <w:t>electrochemiluminescent</w:t>
      </w:r>
      <w:proofErr w:type="spellEnd"/>
      <w:r w:rsidRPr="00DD448A">
        <w:rPr>
          <w:rFonts w:ascii="Arial" w:hAnsi="Arial" w:cs="Arial"/>
          <w:kern w:val="1"/>
          <w:sz w:val="22"/>
          <w:szCs w:val="22"/>
        </w:rPr>
        <w:t xml:space="preserve"> immunoassay.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2014;52(11):1589-1594.</w:t>
      </w:r>
    </w:p>
    <w:p w14:paraId="470DD58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231.</w:t>
      </w:r>
      <w:r w:rsidRPr="00DD448A">
        <w:rPr>
          <w:rFonts w:ascii="Arial" w:hAnsi="Arial" w:cs="Arial"/>
          <w:kern w:val="1"/>
          <w:sz w:val="22"/>
          <w:szCs w:val="22"/>
        </w:rPr>
        <w:tab/>
      </w:r>
      <w:proofErr w:type="spellStart"/>
      <w:r w:rsidRPr="00DD448A">
        <w:rPr>
          <w:rFonts w:ascii="Arial" w:hAnsi="Arial" w:cs="Arial"/>
          <w:kern w:val="1"/>
          <w:sz w:val="22"/>
          <w:szCs w:val="22"/>
        </w:rPr>
        <w:t>Rulander</w:t>
      </w:r>
      <w:proofErr w:type="spellEnd"/>
      <w:r w:rsidRPr="00DD448A">
        <w:rPr>
          <w:rFonts w:ascii="Arial" w:hAnsi="Arial" w:cs="Arial"/>
          <w:kern w:val="1"/>
          <w:sz w:val="22"/>
          <w:szCs w:val="22"/>
        </w:rPr>
        <w:t xml:space="preserve"> NJ, Cardamone D, Senior M, Snyder PJ, Master SR. Interference from anti-streptavidin antibody. </w:t>
      </w:r>
      <w:r w:rsidRPr="00DD448A">
        <w:rPr>
          <w:rFonts w:ascii="Arial" w:hAnsi="Arial" w:cs="Arial"/>
          <w:iCs/>
          <w:kern w:val="1"/>
          <w:sz w:val="22"/>
          <w:szCs w:val="22"/>
        </w:rPr>
        <w:t xml:space="preserve">Arch </w:t>
      </w:r>
      <w:proofErr w:type="spellStart"/>
      <w:r w:rsidRPr="00DD448A">
        <w:rPr>
          <w:rFonts w:ascii="Arial" w:hAnsi="Arial" w:cs="Arial"/>
          <w:iCs/>
          <w:kern w:val="1"/>
          <w:sz w:val="22"/>
          <w:szCs w:val="22"/>
        </w:rPr>
        <w:t>Pathol</w:t>
      </w:r>
      <w:proofErr w:type="spellEnd"/>
      <w:r w:rsidRPr="00DD448A">
        <w:rPr>
          <w:rFonts w:ascii="Arial" w:hAnsi="Arial" w:cs="Arial"/>
          <w:iCs/>
          <w:kern w:val="1"/>
          <w:sz w:val="22"/>
          <w:szCs w:val="22"/>
        </w:rPr>
        <w:t xml:space="preserve">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2013;137(8):1141-1146.</w:t>
      </w:r>
    </w:p>
    <w:p w14:paraId="78C5E82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232.</w:t>
      </w:r>
      <w:r w:rsidRPr="00DD448A">
        <w:rPr>
          <w:rFonts w:ascii="Arial" w:hAnsi="Arial" w:cs="Arial"/>
          <w:kern w:val="1"/>
          <w:sz w:val="22"/>
          <w:szCs w:val="22"/>
        </w:rPr>
        <w:tab/>
      </w:r>
      <w:proofErr w:type="spellStart"/>
      <w:r w:rsidRPr="00DD448A">
        <w:rPr>
          <w:rFonts w:ascii="Arial" w:hAnsi="Arial" w:cs="Arial"/>
          <w:kern w:val="1"/>
          <w:sz w:val="22"/>
          <w:szCs w:val="22"/>
        </w:rPr>
        <w:t>Dahll</w:t>
      </w:r>
      <w:proofErr w:type="spellEnd"/>
      <w:r w:rsidRPr="00DD448A">
        <w:rPr>
          <w:rFonts w:ascii="Arial" w:hAnsi="Arial" w:cs="Arial"/>
          <w:kern w:val="1"/>
          <w:sz w:val="22"/>
          <w:szCs w:val="22"/>
        </w:rPr>
        <w:t xml:space="preserve"> LK, </w:t>
      </w:r>
      <w:proofErr w:type="spellStart"/>
      <w:r w:rsidRPr="00DD448A">
        <w:rPr>
          <w:rFonts w:ascii="Arial" w:hAnsi="Arial" w:cs="Arial"/>
          <w:kern w:val="1"/>
          <w:sz w:val="22"/>
          <w:szCs w:val="22"/>
        </w:rPr>
        <w:t>Haave</w:t>
      </w:r>
      <w:proofErr w:type="spellEnd"/>
      <w:r w:rsidRPr="00DD448A">
        <w:rPr>
          <w:rFonts w:ascii="Arial" w:hAnsi="Arial" w:cs="Arial"/>
          <w:kern w:val="1"/>
          <w:sz w:val="22"/>
          <w:szCs w:val="22"/>
        </w:rPr>
        <w:t xml:space="preserve"> EM, Dahl SR, Aas FE, Thorsby PM. Endogenous anti-streptavidin antibodies causing erroneous laboratory results more common than anticipated. </w:t>
      </w:r>
      <w:r w:rsidRPr="00DD448A">
        <w:rPr>
          <w:rFonts w:ascii="Arial" w:hAnsi="Arial" w:cs="Arial"/>
          <w:iCs/>
          <w:kern w:val="1"/>
          <w:sz w:val="22"/>
          <w:szCs w:val="22"/>
        </w:rPr>
        <w:t>Scand J Clin Lab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2021;81(2):92-103.</w:t>
      </w:r>
    </w:p>
    <w:p w14:paraId="5B67CB8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233.</w:t>
      </w:r>
      <w:r w:rsidRPr="00DD448A">
        <w:rPr>
          <w:rFonts w:ascii="Arial" w:hAnsi="Arial" w:cs="Arial"/>
          <w:kern w:val="1"/>
          <w:sz w:val="22"/>
          <w:szCs w:val="22"/>
        </w:rPr>
        <w:tab/>
        <w:t xml:space="preserve">Vos MJ, </w:t>
      </w:r>
      <w:proofErr w:type="spellStart"/>
      <w:r w:rsidRPr="00DD448A">
        <w:rPr>
          <w:rFonts w:ascii="Arial" w:hAnsi="Arial" w:cs="Arial"/>
          <w:kern w:val="1"/>
          <w:sz w:val="22"/>
          <w:szCs w:val="22"/>
        </w:rPr>
        <w:t>Rondeel</w:t>
      </w:r>
      <w:proofErr w:type="spellEnd"/>
      <w:r w:rsidRPr="00DD448A">
        <w:rPr>
          <w:rFonts w:ascii="Arial" w:hAnsi="Arial" w:cs="Arial"/>
          <w:kern w:val="1"/>
          <w:sz w:val="22"/>
          <w:szCs w:val="22"/>
        </w:rPr>
        <w:t xml:space="preserve"> JMM, </w:t>
      </w:r>
      <w:proofErr w:type="spellStart"/>
      <w:r w:rsidRPr="00DD448A">
        <w:rPr>
          <w:rFonts w:ascii="Arial" w:hAnsi="Arial" w:cs="Arial"/>
          <w:kern w:val="1"/>
          <w:sz w:val="22"/>
          <w:szCs w:val="22"/>
        </w:rPr>
        <w:t>Mijnhout</w:t>
      </w:r>
      <w:proofErr w:type="spellEnd"/>
      <w:r w:rsidRPr="00DD448A">
        <w:rPr>
          <w:rFonts w:ascii="Arial" w:hAnsi="Arial" w:cs="Arial"/>
          <w:kern w:val="1"/>
          <w:sz w:val="22"/>
          <w:szCs w:val="22"/>
        </w:rPr>
        <w:t xml:space="preserve"> GS, Endert E. Immunoassay interference caused by heterophilic antibodies interacting with biotin.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2017;55(6):e122-e126.</w:t>
      </w:r>
    </w:p>
    <w:p w14:paraId="37F8C0A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234.</w:t>
      </w:r>
      <w:r w:rsidRPr="00DD448A">
        <w:rPr>
          <w:rFonts w:ascii="Arial" w:hAnsi="Arial" w:cs="Arial"/>
          <w:kern w:val="1"/>
          <w:sz w:val="22"/>
          <w:szCs w:val="22"/>
        </w:rPr>
        <w:tab/>
        <w:t xml:space="preserve">Ylli D, Soldin SJ, Stolze B, Wei B, Nigussie G, Nguyen H, Mendu DR, Mete M, Wu D, Gomes-Lima CJ, </w:t>
      </w:r>
      <w:proofErr w:type="spellStart"/>
      <w:r w:rsidRPr="00DD448A">
        <w:rPr>
          <w:rFonts w:ascii="Arial" w:hAnsi="Arial" w:cs="Arial"/>
          <w:kern w:val="1"/>
          <w:sz w:val="22"/>
          <w:szCs w:val="22"/>
        </w:rPr>
        <w:t>Klubo-Gwiezdzinska</w:t>
      </w:r>
      <w:proofErr w:type="spellEnd"/>
      <w:r w:rsidRPr="00DD448A">
        <w:rPr>
          <w:rFonts w:ascii="Arial" w:hAnsi="Arial" w:cs="Arial"/>
          <w:kern w:val="1"/>
          <w:sz w:val="22"/>
          <w:szCs w:val="22"/>
        </w:rPr>
        <w:t xml:space="preserve"> J, Burman KD, </w:t>
      </w:r>
      <w:proofErr w:type="spellStart"/>
      <w:r w:rsidRPr="00DD448A">
        <w:rPr>
          <w:rFonts w:ascii="Arial" w:hAnsi="Arial" w:cs="Arial"/>
          <w:kern w:val="1"/>
          <w:sz w:val="22"/>
          <w:szCs w:val="22"/>
        </w:rPr>
        <w:t>Wartofsky</w:t>
      </w:r>
      <w:proofErr w:type="spellEnd"/>
      <w:r w:rsidRPr="00DD448A">
        <w:rPr>
          <w:rFonts w:ascii="Arial" w:hAnsi="Arial" w:cs="Arial"/>
          <w:kern w:val="1"/>
          <w:sz w:val="22"/>
          <w:szCs w:val="22"/>
        </w:rPr>
        <w:t xml:space="preserve"> L. Biotin Interference in Assays for Thyroid Hormones, Thyrotropin and Thyroglobulin.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2021;31(8):1160-1170.</w:t>
      </w:r>
    </w:p>
    <w:p w14:paraId="5D03BE1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235.</w:t>
      </w:r>
      <w:r w:rsidRPr="00DD448A">
        <w:rPr>
          <w:rFonts w:ascii="Arial" w:hAnsi="Arial" w:cs="Arial"/>
          <w:kern w:val="1"/>
          <w:sz w:val="22"/>
          <w:szCs w:val="22"/>
        </w:rPr>
        <w:tab/>
        <w:t xml:space="preserve">McBride M, Dasgupta A. Technical Note: Approach to Identify and Eliminate Biotin Interference in Thyroid Function Tests Using Beckman DXI 800 Analyzer by Taking Advantage of Assay Harmonization with </w:t>
      </w:r>
      <w:proofErr w:type="spellStart"/>
      <w:r w:rsidRPr="00DD448A">
        <w:rPr>
          <w:rFonts w:ascii="Arial" w:hAnsi="Arial" w:cs="Arial"/>
          <w:kern w:val="1"/>
          <w:sz w:val="22"/>
          <w:szCs w:val="22"/>
        </w:rPr>
        <w:t>Alinity</w:t>
      </w:r>
      <w:proofErr w:type="spellEnd"/>
      <w:r w:rsidRPr="00DD448A">
        <w:rPr>
          <w:rFonts w:ascii="Arial" w:hAnsi="Arial" w:cs="Arial"/>
          <w:kern w:val="1"/>
          <w:sz w:val="22"/>
          <w:szCs w:val="22"/>
        </w:rPr>
        <w:t xml:space="preserve"> </w:t>
      </w:r>
      <w:proofErr w:type="spellStart"/>
      <w:r w:rsidRPr="00DD448A">
        <w:rPr>
          <w:rFonts w:ascii="Arial" w:hAnsi="Arial" w:cs="Arial"/>
          <w:kern w:val="1"/>
          <w:sz w:val="22"/>
          <w:szCs w:val="22"/>
        </w:rPr>
        <w:t>i</w:t>
      </w:r>
      <w:proofErr w:type="spellEnd"/>
      <w:r w:rsidRPr="00DD448A">
        <w:rPr>
          <w:rFonts w:ascii="Arial" w:hAnsi="Arial" w:cs="Arial"/>
          <w:kern w:val="1"/>
          <w:sz w:val="22"/>
          <w:szCs w:val="22"/>
        </w:rPr>
        <w:t xml:space="preserve"> Analyzer. </w:t>
      </w:r>
      <w:r w:rsidRPr="00DD448A">
        <w:rPr>
          <w:rFonts w:ascii="Arial" w:hAnsi="Arial" w:cs="Arial"/>
          <w:iCs/>
          <w:kern w:val="1"/>
          <w:sz w:val="22"/>
          <w:szCs w:val="22"/>
        </w:rPr>
        <w:t>Ann Clin Lab Sci</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2023;53(3):482-484.</w:t>
      </w:r>
    </w:p>
    <w:p w14:paraId="73A0D9D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236.</w:t>
      </w:r>
      <w:r w:rsidRPr="00DD448A">
        <w:rPr>
          <w:rFonts w:ascii="Arial" w:hAnsi="Arial" w:cs="Arial"/>
          <w:kern w:val="1"/>
          <w:sz w:val="22"/>
          <w:szCs w:val="22"/>
        </w:rPr>
        <w:tab/>
        <w:t xml:space="preserve">McBride M, Dasgupta A. Significant Interference of Biotin in Thyroid Function Tests Using Beckman Analyzer: How to Identify such Interferences? </w:t>
      </w:r>
      <w:r w:rsidRPr="00DD448A">
        <w:rPr>
          <w:rFonts w:ascii="Arial" w:hAnsi="Arial" w:cs="Arial"/>
          <w:iCs/>
          <w:kern w:val="1"/>
          <w:sz w:val="22"/>
          <w:szCs w:val="22"/>
        </w:rPr>
        <w:t>Ann Clin Lab Sci</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2023;53(1):130-133.</w:t>
      </w:r>
    </w:p>
    <w:p w14:paraId="7CD0EF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237.</w:t>
      </w:r>
      <w:r w:rsidRPr="00DD448A">
        <w:rPr>
          <w:rFonts w:ascii="Arial" w:hAnsi="Arial" w:cs="Arial"/>
          <w:kern w:val="1"/>
          <w:sz w:val="22"/>
          <w:szCs w:val="22"/>
        </w:rPr>
        <w:tab/>
        <w:t xml:space="preserve">Countryman B, McBride M, McCracken T, Dasgupta A. Effect of biotin on currently used Beckman thyroglobulin assay and newly reformulated thyroglobulin assay not affected by biotin. </w:t>
      </w:r>
      <w:r w:rsidRPr="00DD448A">
        <w:rPr>
          <w:rFonts w:ascii="Arial" w:hAnsi="Arial" w:cs="Arial"/>
          <w:iCs/>
          <w:kern w:val="1"/>
          <w:sz w:val="22"/>
          <w:szCs w:val="22"/>
        </w:rPr>
        <w:t xml:space="preserve">Am J Clin </w:t>
      </w:r>
      <w:proofErr w:type="spellStart"/>
      <w:r w:rsidRPr="00DD448A">
        <w:rPr>
          <w:rFonts w:ascii="Arial" w:hAnsi="Arial" w:cs="Arial"/>
          <w:iCs/>
          <w:kern w:val="1"/>
          <w:sz w:val="22"/>
          <w:szCs w:val="22"/>
        </w:rPr>
        <w:t>Pathol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768AAE3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238.</w:t>
      </w:r>
      <w:r w:rsidRPr="00DD448A">
        <w:rPr>
          <w:rFonts w:ascii="Arial" w:hAnsi="Arial" w:cs="Arial"/>
          <w:kern w:val="1"/>
          <w:sz w:val="22"/>
          <w:szCs w:val="22"/>
        </w:rPr>
        <w:tab/>
        <w:t xml:space="preserve">Tang M, Meng X, Ni J, Liu X, Wang X, Li Y, Chai Y, Kou C, Zhang L, Zhang H. The interference of anti-TSH autoantibody on clinical TSH detection.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2024;15:1289923.</w:t>
      </w:r>
    </w:p>
    <w:p w14:paraId="414AF5A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239.</w:t>
      </w:r>
      <w:r w:rsidRPr="00DD448A">
        <w:rPr>
          <w:rFonts w:ascii="Arial" w:hAnsi="Arial" w:cs="Arial"/>
          <w:kern w:val="1"/>
          <w:sz w:val="22"/>
          <w:szCs w:val="22"/>
        </w:rPr>
        <w:tab/>
        <w:t xml:space="preserve">Hattori N, Ishihara T, Matsuoka N, Saito T, </w:t>
      </w:r>
      <w:proofErr w:type="spellStart"/>
      <w:r w:rsidRPr="00DD448A">
        <w:rPr>
          <w:rFonts w:ascii="Arial" w:hAnsi="Arial" w:cs="Arial"/>
          <w:kern w:val="1"/>
          <w:sz w:val="22"/>
          <w:szCs w:val="22"/>
        </w:rPr>
        <w:t>Shimatsu</w:t>
      </w:r>
      <w:proofErr w:type="spellEnd"/>
      <w:r w:rsidRPr="00DD448A">
        <w:rPr>
          <w:rFonts w:ascii="Arial" w:hAnsi="Arial" w:cs="Arial"/>
          <w:kern w:val="1"/>
          <w:sz w:val="22"/>
          <w:szCs w:val="22"/>
        </w:rPr>
        <w:t xml:space="preserve"> A. Anti-Thyrotropin Autoantibodies in Patients with Macro-Thyrotropin and Long-Term Changes in Macro-Thyrotropin and Serum Thyrotropin Levels.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2017;27(2):138-146.</w:t>
      </w:r>
    </w:p>
    <w:p w14:paraId="73BF215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240.</w:t>
      </w:r>
      <w:r w:rsidRPr="00DD448A">
        <w:rPr>
          <w:rFonts w:ascii="Arial" w:hAnsi="Arial" w:cs="Arial"/>
          <w:kern w:val="1"/>
          <w:sz w:val="22"/>
          <w:szCs w:val="22"/>
        </w:rPr>
        <w:tab/>
      </w:r>
      <w:proofErr w:type="spellStart"/>
      <w:r w:rsidRPr="00DD448A">
        <w:rPr>
          <w:rFonts w:ascii="Arial" w:hAnsi="Arial" w:cs="Arial"/>
          <w:kern w:val="1"/>
          <w:sz w:val="22"/>
          <w:szCs w:val="22"/>
        </w:rPr>
        <w:t>Chiardi</w:t>
      </w:r>
      <w:proofErr w:type="spellEnd"/>
      <w:r w:rsidRPr="00DD448A">
        <w:rPr>
          <w:rFonts w:ascii="Arial" w:hAnsi="Arial" w:cs="Arial"/>
          <w:kern w:val="1"/>
          <w:sz w:val="22"/>
          <w:szCs w:val="22"/>
        </w:rPr>
        <w:t xml:space="preserve"> I, Rotondi M, Cantù M, Keller F, Trimboli P. Macro-TSH: An Uncommon Explanation for Persistent TSH Elevation That </w:t>
      </w:r>
      <w:proofErr w:type="spellStart"/>
      <w:r w:rsidRPr="00DD448A">
        <w:rPr>
          <w:rFonts w:ascii="Arial" w:hAnsi="Arial" w:cs="Arial"/>
          <w:kern w:val="1"/>
          <w:sz w:val="22"/>
          <w:szCs w:val="22"/>
        </w:rPr>
        <w:t>Thyroidologists</w:t>
      </w:r>
      <w:proofErr w:type="spellEnd"/>
      <w:r w:rsidRPr="00DD448A">
        <w:rPr>
          <w:rFonts w:ascii="Arial" w:hAnsi="Arial" w:cs="Arial"/>
          <w:kern w:val="1"/>
          <w:sz w:val="22"/>
          <w:szCs w:val="22"/>
        </w:rPr>
        <w:t xml:space="preserve"> Have to Keep in Mind. </w:t>
      </w:r>
      <w:r w:rsidRPr="00DD448A">
        <w:rPr>
          <w:rFonts w:ascii="Arial" w:hAnsi="Arial" w:cs="Arial"/>
          <w:iCs/>
          <w:kern w:val="1"/>
          <w:sz w:val="22"/>
          <w:szCs w:val="22"/>
        </w:rPr>
        <w:t>J Pers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2023;13(10).</w:t>
      </w:r>
    </w:p>
    <w:p w14:paraId="066F1BB7" w14:textId="60722305"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241.</w:t>
      </w:r>
      <w:r w:rsidRPr="00DD448A">
        <w:rPr>
          <w:rFonts w:ascii="Arial" w:hAnsi="Arial" w:cs="Arial"/>
          <w:kern w:val="1"/>
          <w:sz w:val="22"/>
          <w:szCs w:val="22"/>
        </w:rPr>
        <w:tab/>
        <w:t>Al-</w:t>
      </w:r>
      <w:proofErr w:type="spellStart"/>
      <w:r w:rsidRPr="00DD448A">
        <w:rPr>
          <w:rFonts w:ascii="Arial" w:hAnsi="Arial" w:cs="Arial"/>
          <w:kern w:val="1"/>
          <w:sz w:val="22"/>
          <w:szCs w:val="22"/>
        </w:rPr>
        <w:t>Bahadili</w:t>
      </w:r>
      <w:proofErr w:type="spellEnd"/>
      <w:r w:rsidRPr="00DD448A">
        <w:rPr>
          <w:rFonts w:ascii="Arial" w:hAnsi="Arial" w:cs="Arial"/>
          <w:kern w:val="1"/>
          <w:sz w:val="22"/>
          <w:szCs w:val="22"/>
        </w:rPr>
        <w:t xml:space="preserve"> H, Powers Carson J, Markov A, Jasim S. The Complex Web of Interferences </w:t>
      </w:r>
      <w:r w:rsidR="00405634" w:rsidRPr="00DD448A">
        <w:rPr>
          <w:rFonts w:ascii="Arial" w:hAnsi="Arial" w:cs="Arial"/>
          <w:kern w:val="1"/>
          <w:sz w:val="22"/>
          <w:szCs w:val="22"/>
        </w:rPr>
        <w:t>w</w:t>
      </w:r>
      <w:r w:rsidRPr="00DD448A">
        <w:rPr>
          <w:rFonts w:ascii="Arial" w:hAnsi="Arial" w:cs="Arial"/>
          <w:kern w:val="1"/>
          <w:sz w:val="22"/>
          <w:szCs w:val="22"/>
        </w:rPr>
        <w:t xml:space="preserve">ith Thyroid Function Tests.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2025;31(1):92-101.</w:t>
      </w:r>
    </w:p>
    <w:p w14:paraId="6F8700C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242.</w:t>
      </w:r>
      <w:r w:rsidRPr="00DD448A">
        <w:rPr>
          <w:rFonts w:ascii="Arial" w:hAnsi="Arial" w:cs="Arial"/>
          <w:kern w:val="1"/>
          <w:sz w:val="22"/>
          <w:szCs w:val="22"/>
        </w:rPr>
        <w:tab/>
        <w:t xml:space="preserve">Gangemi S, Saitta S, Lombardo G, </w:t>
      </w:r>
      <w:proofErr w:type="spellStart"/>
      <w:r w:rsidRPr="00DD448A">
        <w:rPr>
          <w:rFonts w:ascii="Arial" w:hAnsi="Arial" w:cs="Arial"/>
          <w:kern w:val="1"/>
          <w:sz w:val="22"/>
          <w:szCs w:val="22"/>
        </w:rPr>
        <w:t>Patafi</w:t>
      </w:r>
      <w:proofErr w:type="spellEnd"/>
      <w:r w:rsidRPr="00DD448A">
        <w:rPr>
          <w:rFonts w:ascii="Arial" w:hAnsi="Arial" w:cs="Arial"/>
          <w:kern w:val="1"/>
          <w:sz w:val="22"/>
          <w:szCs w:val="22"/>
        </w:rPr>
        <w:t xml:space="preserve"> M, Benvenga S. Serum thyroid autoantibodies in patients with idiopathic either acute or chronic urticaria.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2009;32(2):107-110.</w:t>
      </w:r>
    </w:p>
    <w:p w14:paraId="29361FE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243.</w:t>
      </w:r>
      <w:r w:rsidRPr="00DD448A">
        <w:rPr>
          <w:rFonts w:ascii="Arial" w:hAnsi="Arial" w:cs="Arial"/>
          <w:kern w:val="1"/>
          <w:sz w:val="22"/>
          <w:szCs w:val="22"/>
        </w:rPr>
        <w:tab/>
        <w:t xml:space="preserve">Colucci R, Lotti F, </w:t>
      </w:r>
      <w:proofErr w:type="spellStart"/>
      <w:r w:rsidRPr="00DD448A">
        <w:rPr>
          <w:rFonts w:ascii="Arial" w:hAnsi="Arial" w:cs="Arial"/>
          <w:kern w:val="1"/>
          <w:sz w:val="22"/>
          <w:szCs w:val="22"/>
        </w:rPr>
        <w:t>Dragoni</w:t>
      </w:r>
      <w:proofErr w:type="spellEnd"/>
      <w:r w:rsidRPr="00DD448A">
        <w:rPr>
          <w:rFonts w:ascii="Arial" w:hAnsi="Arial" w:cs="Arial"/>
          <w:kern w:val="1"/>
          <w:sz w:val="22"/>
          <w:szCs w:val="22"/>
        </w:rPr>
        <w:t xml:space="preserve"> F, Arunachalam M, Lotti T, Benvenga S, Moretti S. High prevalence of circulating autoantibodies against thyroid hormones in vitiligo and correlation with clinical and historical parameters of patients. </w:t>
      </w:r>
      <w:r w:rsidRPr="00DD448A">
        <w:rPr>
          <w:rFonts w:ascii="Arial" w:hAnsi="Arial" w:cs="Arial"/>
          <w:iCs/>
          <w:kern w:val="1"/>
          <w:sz w:val="22"/>
          <w:szCs w:val="22"/>
        </w:rPr>
        <w:t>Br J Dermatol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2014;171(4):786-798.</w:t>
      </w:r>
    </w:p>
    <w:p w14:paraId="1C727E3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244.</w:t>
      </w:r>
      <w:r w:rsidRPr="00DD448A">
        <w:rPr>
          <w:rFonts w:ascii="Arial" w:hAnsi="Arial" w:cs="Arial"/>
          <w:kern w:val="1"/>
          <w:sz w:val="22"/>
          <w:szCs w:val="22"/>
        </w:rPr>
        <w:tab/>
        <w:t xml:space="preserve">Hattori N, Aisaka K, Yamada A, Matsuda T, </w:t>
      </w:r>
      <w:proofErr w:type="spellStart"/>
      <w:r w:rsidRPr="00DD448A">
        <w:rPr>
          <w:rFonts w:ascii="Arial" w:hAnsi="Arial" w:cs="Arial"/>
          <w:kern w:val="1"/>
          <w:sz w:val="22"/>
          <w:szCs w:val="22"/>
        </w:rPr>
        <w:t>Shimatsu</w:t>
      </w:r>
      <w:proofErr w:type="spellEnd"/>
      <w:r w:rsidRPr="00DD448A">
        <w:rPr>
          <w:rFonts w:ascii="Arial" w:hAnsi="Arial" w:cs="Arial"/>
          <w:kern w:val="1"/>
          <w:sz w:val="22"/>
          <w:szCs w:val="22"/>
        </w:rPr>
        <w:t xml:space="preserve"> A. Prevalence and Pathogenesis of Macro-Thyrotropin in Neonates: Analysis of Umbilical Cord Blood from 939 Neonates and Their Mothers.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2023;33(1):45-52.</w:t>
      </w:r>
    </w:p>
    <w:p w14:paraId="6F60DEA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245.</w:t>
      </w:r>
      <w:r w:rsidRPr="00DD448A">
        <w:rPr>
          <w:rFonts w:ascii="Arial" w:hAnsi="Arial" w:cs="Arial"/>
          <w:kern w:val="1"/>
          <w:sz w:val="22"/>
          <w:szCs w:val="22"/>
        </w:rPr>
        <w:tab/>
        <w:t xml:space="preserve">Newman JD, Bergman PB, </w:t>
      </w:r>
      <w:proofErr w:type="spellStart"/>
      <w:r w:rsidRPr="00DD448A">
        <w:rPr>
          <w:rFonts w:ascii="Arial" w:hAnsi="Arial" w:cs="Arial"/>
          <w:kern w:val="1"/>
          <w:sz w:val="22"/>
          <w:szCs w:val="22"/>
        </w:rPr>
        <w:t>Doery</w:t>
      </w:r>
      <w:proofErr w:type="spellEnd"/>
      <w:r w:rsidRPr="00DD448A">
        <w:rPr>
          <w:rFonts w:ascii="Arial" w:hAnsi="Arial" w:cs="Arial"/>
          <w:kern w:val="1"/>
          <w:sz w:val="22"/>
          <w:szCs w:val="22"/>
        </w:rPr>
        <w:t xml:space="preserve"> JC, Balazs ND. Factitious increase in thyrotropin in a neonate caused by a maternally transmitted interfering substance.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2006;52(3):541-542.</w:t>
      </w:r>
    </w:p>
    <w:p w14:paraId="724A318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246.</w:t>
      </w:r>
      <w:r w:rsidRPr="00DD448A">
        <w:rPr>
          <w:rFonts w:ascii="Arial" w:hAnsi="Arial" w:cs="Arial"/>
          <w:kern w:val="1"/>
          <w:sz w:val="22"/>
          <w:szCs w:val="22"/>
        </w:rPr>
        <w:tab/>
        <w:t xml:space="preserve">Benvenga S, </w:t>
      </w:r>
      <w:proofErr w:type="spellStart"/>
      <w:r w:rsidRPr="00DD448A">
        <w:rPr>
          <w:rFonts w:ascii="Arial" w:hAnsi="Arial" w:cs="Arial"/>
          <w:kern w:val="1"/>
          <w:sz w:val="22"/>
          <w:szCs w:val="22"/>
        </w:rPr>
        <w:t>Ordookhani</w:t>
      </w:r>
      <w:proofErr w:type="spellEnd"/>
      <w:r w:rsidRPr="00DD448A">
        <w:rPr>
          <w:rFonts w:ascii="Arial" w:hAnsi="Arial" w:cs="Arial"/>
          <w:kern w:val="1"/>
          <w:sz w:val="22"/>
          <w:szCs w:val="22"/>
        </w:rPr>
        <w:t xml:space="preserve"> A, Pearce EN, </w:t>
      </w:r>
      <w:proofErr w:type="spellStart"/>
      <w:r w:rsidRPr="00DD448A">
        <w:rPr>
          <w:rFonts w:ascii="Arial" w:hAnsi="Arial" w:cs="Arial"/>
          <w:kern w:val="1"/>
          <w:sz w:val="22"/>
          <w:szCs w:val="22"/>
        </w:rPr>
        <w:t>Tonacchera</w:t>
      </w:r>
      <w:proofErr w:type="spellEnd"/>
      <w:r w:rsidRPr="00DD448A">
        <w:rPr>
          <w:rFonts w:ascii="Arial" w:hAnsi="Arial" w:cs="Arial"/>
          <w:kern w:val="1"/>
          <w:sz w:val="22"/>
          <w:szCs w:val="22"/>
        </w:rPr>
        <w:t xml:space="preserve"> M, Azizi F, Braverman LE. Detection of circulating autoantibodies against thyroid hormones in an infant with permanent congenital hypothyroidism and her twin with transient congenital hypothyroidism: possible </w:t>
      </w:r>
      <w:r w:rsidRPr="00DD448A">
        <w:rPr>
          <w:rFonts w:ascii="Arial" w:hAnsi="Arial" w:cs="Arial"/>
          <w:kern w:val="1"/>
          <w:sz w:val="22"/>
          <w:szCs w:val="22"/>
        </w:rPr>
        <w:lastRenderedPageBreak/>
        <w:t xml:space="preserve">contribution of thyroid hormone autoantibodies to neonatal and infant hypothyroidism.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Pediatr</w:t>
      </w:r>
      <w:proofErr w:type="spellEnd"/>
      <w:r w:rsidRPr="00DD448A">
        <w:rPr>
          <w:rFonts w:ascii="Arial" w:hAnsi="Arial" w:cs="Arial"/>
          <w:iCs/>
          <w:kern w:val="1"/>
          <w:sz w:val="22"/>
          <w:szCs w:val="22"/>
        </w:rPr>
        <w:t xml:space="preserve">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2008;21(10):1011-1020.</w:t>
      </w:r>
    </w:p>
    <w:p w14:paraId="235B4DA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247.</w:t>
      </w:r>
      <w:r w:rsidRPr="00DD448A">
        <w:rPr>
          <w:rFonts w:ascii="Arial" w:hAnsi="Arial" w:cs="Arial"/>
          <w:kern w:val="1"/>
          <w:sz w:val="22"/>
          <w:szCs w:val="22"/>
        </w:rPr>
        <w:tab/>
        <w:t xml:space="preserve">Rix M, Laurberg P, </w:t>
      </w:r>
      <w:proofErr w:type="spellStart"/>
      <w:r w:rsidRPr="00DD448A">
        <w:rPr>
          <w:rFonts w:ascii="Arial" w:hAnsi="Arial" w:cs="Arial"/>
          <w:kern w:val="1"/>
          <w:sz w:val="22"/>
          <w:szCs w:val="22"/>
        </w:rPr>
        <w:t>Porzig</w:t>
      </w:r>
      <w:proofErr w:type="spellEnd"/>
      <w:r w:rsidRPr="00DD448A">
        <w:rPr>
          <w:rFonts w:ascii="Arial" w:hAnsi="Arial" w:cs="Arial"/>
          <w:kern w:val="1"/>
          <w:sz w:val="22"/>
          <w:szCs w:val="22"/>
        </w:rPr>
        <w:t xml:space="preserve"> C, Kristensen SR. Elevated thyroid-stimulating hormone level in a euthyroid neonate caused by macro thyrotropin-IgG complex. </w:t>
      </w:r>
      <w:r w:rsidRPr="00DD448A">
        <w:rPr>
          <w:rFonts w:ascii="Arial" w:hAnsi="Arial" w:cs="Arial"/>
          <w:iCs/>
          <w:kern w:val="1"/>
          <w:sz w:val="22"/>
          <w:szCs w:val="22"/>
        </w:rPr>
        <w:t xml:space="preserve">Acta </w:t>
      </w:r>
      <w:proofErr w:type="spellStart"/>
      <w:r w:rsidRPr="00DD448A">
        <w:rPr>
          <w:rFonts w:ascii="Arial" w:hAnsi="Arial" w:cs="Arial"/>
          <w:iCs/>
          <w:kern w:val="1"/>
          <w:sz w:val="22"/>
          <w:szCs w:val="22"/>
        </w:rPr>
        <w:t>Paediatr</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2011;100(9):e135-137.</w:t>
      </w:r>
    </w:p>
    <w:p w14:paraId="00BDF2E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248.</w:t>
      </w:r>
      <w:r w:rsidRPr="00DD448A">
        <w:rPr>
          <w:rFonts w:ascii="Arial" w:hAnsi="Arial" w:cs="Arial"/>
          <w:kern w:val="1"/>
          <w:sz w:val="22"/>
          <w:szCs w:val="22"/>
        </w:rPr>
        <w:tab/>
        <w:t xml:space="preserve">Ni J, Long Y, Zhang L, Yang Q, Kou C, Li S, Li J, Zhang H. High prevalence of thyroid hormone autoantibody and low rate of thyroid hormone detection interference. </w:t>
      </w:r>
      <w:r w:rsidRPr="00DD448A">
        <w:rPr>
          <w:rFonts w:ascii="Arial" w:hAnsi="Arial" w:cs="Arial"/>
          <w:iCs/>
          <w:kern w:val="1"/>
          <w:sz w:val="22"/>
          <w:szCs w:val="22"/>
        </w:rPr>
        <w:t>J Clin Lab Anal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2022;36(1):e24124.</w:t>
      </w:r>
    </w:p>
    <w:p w14:paraId="121B6FF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249.</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Dorizzi</w:t>
      </w:r>
      <w:proofErr w:type="spellEnd"/>
      <w:r w:rsidRPr="00DD448A">
        <w:rPr>
          <w:rFonts w:ascii="Arial" w:hAnsi="Arial" w:cs="Arial"/>
          <w:kern w:val="1"/>
          <w:sz w:val="22"/>
          <w:szCs w:val="22"/>
        </w:rPr>
        <w:t xml:space="preserve"> RM, Keller F. A hypothyroid patient with increased free thyroid hormones.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2008;46(11):1650-1651.</w:t>
      </w:r>
    </w:p>
    <w:p w14:paraId="41A3227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250.</w:t>
      </w:r>
      <w:r w:rsidRPr="00DD448A">
        <w:rPr>
          <w:rFonts w:ascii="Arial" w:hAnsi="Arial" w:cs="Arial"/>
          <w:kern w:val="1"/>
          <w:sz w:val="22"/>
          <w:szCs w:val="22"/>
        </w:rPr>
        <w:tab/>
        <w:t xml:space="preserve">van der Watt G, </w:t>
      </w:r>
      <w:proofErr w:type="spellStart"/>
      <w:r w:rsidRPr="00DD448A">
        <w:rPr>
          <w:rFonts w:ascii="Arial" w:hAnsi="Arial" w:cs="Arial"/>
          <w:kern w:val="1"/>
          <w:sz w:val="22"/>
          <w:szCs w:val="22"/>
        </w:rPr>
        <w:t>Haarburger</w:t>
      </w:r>
      <w:proofErr w:type="spellEnd"/>
      <w:r w:rsidRPr="00DD448A">
        <w:rPr>
          <w:rFonts w:ascii="Arial" w:hAnsi="Arial" w:cs="Arial"/>
          <w:kern w:val="1"/>
          <w:sz w:val="22"/>
          <w:szCs w:val="22"/>
        </w:rPr>
        <w:t xml:space="preserve"> D, Berman P. Euthyroid patient with elevated serum free thyroxine.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2008;54(7):1239-1241.</w:t>
      </w:r>
    </w:p>
    <w:p w14:paraId="2A6EC68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251.</w:t>
      </w:r>
      <w:r w:rsidRPr="00DD448A">
        <w:rPr>
          <w:rFonts w:ascii="Arial" w:hAnsi="Arial" w:cs="Arial"/>
          <w:kern w:val="1"/>
          <w:sz w:val="22"/>
          <w:szCs w:val="22"/>
        </w:rPr>
        <w:tab/>
        <w:t xml:space="preserve">Nicoloff J SC. Use and misuse of the sensitive thyrotropin assays.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1990;71:553-558.</w:t>
      </w:r>
    </w:p>
    <w:p w14:paraId="76C2F23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252.</w:t>
      </w:r>
      <w:r w:rsidRPr="00DD448A">
        <w:rPr>
          <w:rFonts w:ascii="Arial" w:hAnsi="Arial" w:cs="Arial"/>
          <w:kern w:val="1"/>
          <w:sz w:val="22"/>
          <w:szCs w:val="22"/>
        </w:rPr>
        <w:tab/>
        <w:t xml:space="preserve">Zhang X, Higuchi T, Tomonaga H, </w:t>
      </w:r>
      <w:proofErr w:type="spellStart"/>
      <w:r w:rsidRPr="00DD448A">
        <w:rPr>
          <w:rFonts w:ascii="Arial" w:hAnsi="Arial" w:cs="Arial"/>
          <w:kern w:val="1"/>
          <w:sz w:val="22"/>
          <w:szCs w:val="22"/>
        </w:rPr>
        <w:t>Lamid</w:t>
      </w:r>
      <w:proofErr w:type="spellEnd"/>
      <w:r w:rsidRPr="00DD448A">
        <w:rPr>
          <w:rFonts w:ascii="Arial" w:hAnsi="Arial" w:cs="Arial"/>
          <w:kern w:val="1"/>
          <w:sz w:val="22"/>
          <w:szCs w:val="22"/>
        </w:rPr>
        <w:t xml:space="preserve">-Ochir O, Bhattarai A, Nguyen-Thu H, </w:t>
      </w:r>
      <w:proofErr w:type="spellStart"/>
      <w:r w:rsidRPr="00DD448A">
        <w:rPr>
          <w:rFonts w:ascii="Arial" w:hAnsi="Arial" w:cs="Arial"/>
          <w:kern w:val="1"/>
          <w:sz w:val="22"/>
          <w:szCs w:val="22"/>
        </w:rPr>
        <w:t>Taketomi</w:t>
      </w:r>
      <w:proofErr w:type="spellEnd"/>
      <w:r w:rsidRPr="00DD448A">
        <w:rPr>
          <w:rFonts w:ascii="Arial" w:hAnsi="Arial" w:cs="Arial"/>
          <w:kern w:val="1"/>
          <w:sz w:val="22"/>
          <w:szCs w:val="22"/>
        </w:rPr>
        <w:t xml:space="preserve">-Takahashi A, Hirasawa H, Tsushima Y. Early detection of progressive disease using thyroglobulin doubling-time in metastatic differentiated thyroid carcinoma treated with radioactive iodine. </w:t>
      </w:r>
      <w:proofErr w:type="spellStart"/>
      <w:r w:rsidRPr="00DD448A">
        <w:rPr>
          <w:rFonts w:ascii="Arial" w:hAnsi="Arial" w:cs="Arial"/>
          <w:iCs/>
          <w:kern w:val="1"/>
          <w:sz w:val="22"/>
          <w:szCs w:val="22"/>
        </w:rPr>
        <w:t>Nucl</w:t>
      </w:r>
      <w:proofErr w:type="spellEnd"/>
      <w:r w:rsidRPr="00DD448A">
        <w:rPr>
          <w:rFonts w:ascii="Arial" w:hAnsi="Arial" w:cs="Arial"/>
          <w:iCs/>
          <w:kern w:val="1"/>
          <w:sz w:val="22"/>
          <w:szCs w:val="22"/>
        </w:rPr>
        <w:t xml:space="preserve"> Med Commun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2020;41(4):350-355.</w:t>
      </w:r>
    </w:p>
    <w:p w14:paraId="2FD4467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253.</w:t>
      </w:r>
      <w:r w:rsidRPr="00DD448A">
        <w:rPr>
          <w:rFonts w:ascii="Arial" w:hAnsi="Arial" w:cs="Arial"/>
          <w:kern w:val="1"/>
          <w:sz w:val="22"/>
          <w:szCs w:val="22"/>
        </w:rPr>
        <w:tab/>
        <w:t xml:space="preserve">Biondi B. TSH Suppression in Differentiated Thyroid Cancer Patients. Still More Questions than Answers after 30 Years.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2024;34(6):671-673.</w:t>
      </w:r>
    </w:p>
    <w:p w14:paraId="7DA0D69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254.</w:t>
      </w:r>
      <w:r w:rsidRPr="00DD448A">
        <w:rPr>
          <w:rFonts w:ascii="Arial" w:hAnsi="Arial" w:cs="Arial"/>
          <w:kern w:val="1"/>
          <w:sz w:val="22"/>
          <w:szCs w:val="22"/>
        </w:rPr>
        <w:tab/>
        <w:t xml:space="preserve">Hollowell JG, Staehling NW, Hannon WH, Flanders WD, Gunter EW, Spencer CA, Braverman LE. Serum thyrotropin, thyroxine, and thyroid antibodies in the United States population (1988 to 1994): NHANES III.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2002;87:489-499.</w:t>
      </w:r>
    </w:p>
    <w:p w14:paraId="1E554D0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255.</w:t>
      </w:r>
      <w:r w:rsidRPr="00DD448A">
        <w:rPr>
          <w:rFonts w:ascii="Arial" w:hAnsi="Arial" w:cs="Arial"/>
          <w:kern w:val="1"/>
          <w:sz w:val="22"/>
          <w:szCs w:val="22"/>
        </w:rPr>
        <w:tab/>
        <w:t xml:space="preserve">De Grande LA,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A Fresh Look at the Relationship between TSH and Free Thyroxine in Cross-Sectional Data.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2015;4(1):69-70.</w:t>
      </w:r>
    </w:p>
    <w:p w14:paraId="4977D34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256.</w:t>
      </w:r>
      <w:r w:rsidRPr="00DD448A">
        <w:rPr>
          <w:rFonts w:ascii="Arial" w:hAnsi="Arial" w:cs="Arial"/>
          <w:kern w:val="1"/>
          <w:sz w:val="22"/>
          <w:szCs w:val="22"/>
        </w:rPr>
        <w:tab/>
        <w:t xml:space="preserve">Spencer CA, Nicoloff JT. Improved radioimmunoassay for human TSH.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1980;108:415-424.</w:t>
      </w:r>
    </w:p>
    <w:p w14:paraId="14F1930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257.</w:t>
      </w:r>
      <w:r w:rsidRPr="00DD448A">
        <w:rPr>
          <w:rFonts w:ascii="Arial" w:hAnsi="Arial" w:cs="Arial"/>
          <w:kern w:val="1"/>
          <w:sz w:val="22"/>
          <w:szCs w:val="22"/>
        </w:rPr>
        <w:tab/>
        <w:t xml:space="preserve">Odell WD, Wilber JF, Paul WE. Radioimmunoassay of thyrotropin in human serum.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1965;25(9):1179-1188.</w:t>
      </w:r>
    </w:p>
    <w:p w14:paraId="12A14E0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258.</w:t>
      </w:r>
      <w:r w:rsidRPr="00DD448A">
        <w:rPr>
          <w:rFonts w:ascii="Arial" w:hAnsi="Arial" w:cs="Arial"/>
          <w:kern w:val="1"/>
          <w:sz w:val="22"/>
          <w:szCs w:val="22"/>
        </w:rPr>
        <w:tab/>
        <w:t xml:space="preserve">Hershman J, Pittman J. Utility of the radioimmunoassay of serum thyrotrophin in man </w:t>
      </w:r>
      <w:r w:rsidRPr="00DD448A">
        <w:rPr>
          <w:rFonts w:ascii="Arial" w:hAnsi="Arial" w:cs="Arial"/>
          <w:iCs/>
          <w:kern w:val="1"/>
          <w:sz w:val="22"/>
          <w:szCs w:val="22"/>
        </w:rPr>
        <w:t>Ann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1971;74:481-490.</w:t>
      </w:r>
    </w:p>
    <w:p w14:paraId="513B330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259.</w:t>
      </w:r>
      <w:r w:rsidRPr="00DD448A">
        <w:rPr>
          <w:rFonts w:ascii="Arial" w:hAnsi="Arial" w:cs="Arial"/>
          <w:kern w:val="1"/>
          <w:sz w:val="22"/>
          <w:szCs w:val="22"/>
        </w:rPr>
        <w:tab/>
        <w:t xml:space="preserve">Haigler E, Pittman J, Hershman J, Baugh C. Direct evaluation of pituitary Thyrotropin reserve utilizing synthetic Thyrotropin Releasing Hormone.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1971;33:573-581.</w:t>
      </w:r>
    </w:p>
    <w:p w14:paraId="6720FD7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260.</w:t>
      </w:r>
      <w:r w:rsidRPr="00DD448A">
        <w:rPr>
          <w:rFonts w:ascii="Arial" w:hAnsi="Arial" w:cs="Arial"/>
          <w:kern w:val="1"/>
          <w:sz w:val="22"/>
          <w:szCs w:val="22"/>
        </w:rPr>
        <w:tab/>
        <w:t xml:space="preserve">Hall R, Ormston B, Besser G, Cryer R. The Thyrotropin-Releasing Hormone test in diseases of the pituitary and hypothalamus. </w:t>
      </w:r>
      <w:r w:rsidRPr="00DD448A">
        <w:rPr>
          <w:rFonts w:ascii="Arial" w:hAnsi="Arial" w:cs="Arial"/>
          <w:iCs/>
          <w:kern w:val="1"/>
          <w:sz w:val="22"/>
          <w:szCs w:val="22"/>
        </w:rPr>
        <w:t>Lancet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1972;1:7754-7765.</w:t>
      </w:r>
    </w:p>
    <w:p w14:paraId="77A79B7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261.</w:t>
      </w:r>
      <w:r w:rsidRPr="00DD448A">
        <w:rPr>
          <w:rFonts w:ascii="Arial" w:hAnsi="Arial" w:cs="Arial"/>
          <w:kern w:val="1"/>
          <w:sz w:val="22"/>
          <w:szCs w:val="22"/>
        </w:rPr>
        <w:tab/>
        <w:t xml:space="preserve">Spencer CA, </w:t>
      </w:r>
      <w:proofErr w:type="spellStart"/>
      <w:r w:rsidRPr="00DD448A">
        <w:rPr>
          <w:rFonts w:ascii="Arial" w:hAnsi="Arial" w:cs="Arial"/>
          <w:kern w:val="1"/>
          <w:sz w:val="22"/>
          <w:szCs w:val="22"/>
        </w:rPr>
        <w:t>Schwarzbein</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Guttler</w:t>
      </w:r>
      <w:proofErr w:type="spellEnd"/>
      <w:r w:rsidRPr="00DD448A">
        <w:rPr>
          <w:rFonts w:ascii="Arial" w:hAnsi="Arial" w:cs="Arial"/>
          <w:kern w:val="1"/>
          <w:sz w:val="22"/>
          <w:szCs w:val="22"/>
        </w:rPr>
        <w:t xml:space="preserve"> RB, LoPresti JS, Nicoloff JT. TRH stimulation test responses employing third and fourth generation TSH assays.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1993;76:494-498.</w:t>
      </w:r>
    </w:p>
    <w:p w14:paraId="7404D02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262.</w:t>
      </w:r>
      <w:r w:rsidRPr="00DD448A">
        <w:rPr>
          <w:rFonts w:ascii="Arial" w:hAnsi="Arial" w:cs="Arial"/>
          <w:kern w:val="1"/>
          <w:sz w:val="22"/>
          <w:szCs w:val="22"/>
        </w:rPr>
        <w:tab/>
        <w:t xml:space="preserve">Miles L, CN H. Labeled antibodies and immunological assay systems. </w:t>
      </w:r>
      <w:r w:rsidRPr="00DD448A">
        <w:rPr>
          <w:rFonts w:ascii="Arial" w:hAnsi="Arial" w:cs="Arial"/>
          <w:iCs/>
          <w:kern w:val="1"/>
          <w:sz w:val="22"/>
          <w:szCs w:val="22"/>
        </w:rPr>
        <w:t>Nature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1968;219:186-189.</w:t>
      </w:r>
    </w:p>
    <w:p w14:paraId="77B2DFA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263.</w:t>
      </w:r>
      <w:r w:rsidRPr="00DD448A">
        <w:rPr>
          <w:rFonts w:ascii="Arial" w:hAnsi="Arial" w:cs="Arial"/>
          <w:kern w:val="1"/>
          <w:sz w:val="22"/>
          <w:szCs w:val="22"/>
        </w:rPr>
        <w:tab/>
        <w:t xml:space="preserve">Köhler G, Milstein C. Continuous cultures of fused cells secreting antibody of predefined specificity. </w:t>
      </w:r>
      <w:r w:rsidRPr="00DD448A">
        <w:rPr>
          <w:rFonts w:ascii="Arial" w:hAnsi="Arial" w:cs="Arial"/>
          <w:iCs/>
          <w:kern w:val="1"/>
          <w:sz w:val="22"/>
          <w:szCs w:val="22"/>
        </w:rPr>
        <w:t>Nature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1975;256(5517):495-497.</w:t>
      </w:r>
    </w:p>
    <w:p w14:paraId="243B086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264.</w:t>
      </w:r>
      <w:r w:rsidRPr="00DD448A">
        <w:rPr>
          <w:rFonts w:ascii="Arial" w:hAnsi="Arial" w:cs="Arial"/>
          <w:kern w:val="1"/>
          <w:sz w:val="22"/>
          <w:szCs w:val="22"/>
        </w:rPr>
        <w:tab/>
        <w:t xml:space="preserve">García de la Rosa I, Feal Carballo S, Almenares Guasch PR, Segura González MT, Pupo Infante M, </w:t>
      </w:r>
      <w:proofErr w:type="spellStart"/>
      <w:r w:rsidRPr="00DD448A">
        <w:rPr>
          <w:rFonts w:ascii="Arial" w:hAnsi="Arial" w:cs="Arial"/>
          <w:kern w:val="1"/>
          <w:sz w:val="22"/>
          <w:szCs w:val="22"/>
        </w:rPr>
        <w:t>Frómeta</w:t>
      </w:r>
      <w:proofErr w:type="spellEnd"/>
      <w:r w:rsidRPr="00DD448A">
        <w:rPr>
          <w:rFonts w:ascii="Arial" w:hAnsi="Arial" w:cs="Arial"/>
          <w:kern w:val="1"/>
          <w:sz w:val="22"/>
          <w:szCs w:val="22"/>
        </w:rPr>
        <w:t xml:space="preserve"> Suárez A, Martínez Beltrán L, </w:t>
      </w:r>
      <w:proofErr w:type="spellStart"/>
      <w:r w:rsidRPr="00DD448A">
        <w:rPr>
          <w:rFonts w:ascii="Arial" w:hAnsi="Arial" w:cs="Arial"/>
          <w:kern w:val="1"/>
          <w:sz w:val="22"/>
          <w:szCs w:val="22"/>
        </w:rPr>
        <w:t>Quintana</w:t>
      </w:r>
      <w:proofErr w:type="spellEnd"/>
      <w:r w:rsidRPr="00DD448A">
        <w:rPr>
          <w:rFonts w:ascii="Arial" w:hAnsi="Arial" w:cs="Arial"/>
          <w:kern w:val="1"/>
          <w:sz w:val="22"/>
          <w:szCs w:val="22"/>
        </w:rPr>
        <w:t xml:space="preserve"> Guerra JM, </w:t>
      </w:r>
      <w:proofErr w:type="spellStart"/>
      <w:r w:rsidRPr="00DD448A">
        <w:rPr>
          <w:rFonts w:ascii="Arial" w:hAnsi="Arial" w:cs="Arial"/>
          <w:kern w:val="1"/>
          <w:sz w:val="22"/>
          <w:szCs w:val="22"/>
        </w:rPr>
        <w:t>Lafita</w:t>
      </w:r>
      <w:proofErr w:type="spellEnd"/>
      <w:r w:rsidRPr="00DD448A">
        <w:rPr>
          <w:rFonts w:ascii="Arial" w:hAnsi="Arial" w:cs="Arial"/>
          <w:kern w:val="1"/>
          <w:sz w:val="22"/>
          <w:szCs w:val="22"/>
        </w:rPr>
        <w:t xml:space="preserve"> Delfino Y, </w:t>
      </w:r>
      <w:proofErr w:type="spellStart"/>
      <w:r w:rsidRPr="00DD448A">
        <w:rPr>
          <w:rFonts w:ascii="Arial" w:hAnsi="Arial" w:cs="Arial"/>
          <w:kern w:val="1"/>
          <w:sz w:val="22"/>
          <w:szCs w:val="22"/>
        </w:rPr>
        <w:t>Morejón</w:t>
      </w:r>
      <w:proofErr w:type="spellEnd"/>
      <w:r w:rsidRPr="00DD448A">
        <w:rPr>
          <w:rFonts w:ascii="Arial" w:hAnsi="Arial" w:cs="Arial"/>
          <w:kern w:val="1"/>
          <w:sz w:val="22"/>
          <w:szCs w:val="22"/>
        </w:rPr>
        <w:t xml:space="preserve"> García G, Pérez </w:t>
      </w:r>
      <w:proofErr w:type="spellStart"/>
      <w:r w:rsidRPr="00DD448A">
        <w:rPr>
          <w:rFonts w:ascii="Arial" w:hAnsi="Arial" w:cs="Arial"/>
          <w:kern w:val="1"/>
          <w:sz w:val="22"/>
          <w:szCs w:val="22"/>
        </w:rPr>
        <w:t>Morás</w:t>
      </w:r>
      <w:proofErr w:type="spellEnd"/>
      <w:r w:rsidRPr="00DD448A">
        <w:rPr>
          <w:rFonts w:ascii="Arial" w:hAnsi="Arial" w:cs="Arial"/>
          <w:kern w:val="1"/>
          <w:sz w:val="22"/>
          <w:szCs w:val="22"/>
        </w:rPr>
        <w:t xml:space="preserve"> PL, Hernández Pérez L, Castells Martínez EM. Generation and characterization of monoclonal antibodies against thyroid-stimulating hormone for newborn screening of congenital hypothyroidism. </w:t>
      </w:r>
      <w:r w:rsidRPr="00DD448A">
        <w:rPr>
          <w:rFonts w:ascii="Arial" w:hAnsi="Arial" w:cs="Arial"/>
          <w:iCs/>
          <w:kern w:val="1"/>
          <w:sz w:val="22"/>
          <w:szCs w:val="22"/>
        </w:rPr>
        <w:t xml:space="preserve">J Immunoassay </w:t>
      </w:r>
      <w:proofErr w:type="spellStart"/>
      <w:r w:rsidRPr="00DD448A">
        <w:rPr>
          <w:rFonts w:ascii="Arial" w:hAnsi="Arial" w:cs="Arial"/>
          <w:iCs/>
          <w:kern w:val="1"/>
          <w:sz w:val="22"/>
          <w:szCs w:val="22"/>
        </w:rPr>
        <w:t>Immunochem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2019;40(4):350-366.</w:t>
      </w:r>
    </w:p>
    <w:p w14:paraId="07BD045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265.</w:t>
      </w:r>
      <w:r w:rsidRPr="00DD448A">
        <w:rPr>
          <w:rFonts w:ascii="Arial" w:hAnsi="Arial" w:cs="Arial"/>
          <w:kern w:val="1"/>
          <w:sz w:val="22"/>
          <w:szCs w:val="22"/>
        </w:rPr>
        <w:tab/>
        <w:t xml:space="preserve">Seth J, Kellett H, Caldwell G, Sweeting V, Beckett G, Gow S, Toft A. A sensitive immunoradiometric assay for serum thyroid stimulating hormone: a replacement for the thyrotropin releasing test. </w:t>
      </w:r>
      <w:r w:rsidRPr="00DD448A">
        <w:rPr>
          <w:rFonts w:ascii="Arial" w:hAnsi="Arial" w:cs="Arial"/>
          <w:iCs/>
          <w:kern w:val="1"/>
          <w:sz w:val="22"/>
          <w:szCs w:val="22"/>
        </w:rPr>
        <w:t>Br Med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1984;289:1334-1336.</w:t>
      </w:r>
    </w:p>
    <w:p w14:paraId="795C8A0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266.</w:t>
      </w:r>
      <w:r w:rsidRPr="00DD448A">
        <w:rPr>
          <w:rFonts w:ascii="Arial" w:hAnsi="Arial" w:cs="Arial"/>
          <w:kern w:val="1"/>
          <w:sz w:val="22"/>
          <w:szCs w:val="22"/>
        </w:rPr>
        <w:tab/>
        <w:t xml:space="preserve">Spencer C, </w:t>
      </w:r>
      <w:proofErr w:type="spellStart"/>
      <w:r w:rsidRPr="00DD448A">
        <w:rPr>
          <w:rFonts w:ascii="Arial" w:hAnsi="Arial" w:cs="Arial"/>
          <w:kern w:val="1"/>
          <w:sz w:val="22"/>
          <w:szCs w:val="22"/>
        </w:rPr>
        <w:t>Schwarzbein</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Guttler</w:t>
      </w:r>
      <w:proofErr w:type="spellEnd"/>
      <w:r w:rsidRPr="00DD448A">
        <w:rPr>
          <w:rFonts w:ascii="Arial" w:hAnsi="Arial" w:cs="Arial"/>
          <w:kern w:val="1"/>
          <w:sz w:val="22"/>
          <w:szCs w:val="22"/>
        </w:rPr>
        <w:t xml:space="preserve"> R, LoPresti J, Nicoloff J. TRH stimulation test responses employing 3rd. and 4th. generation TSH assay technology.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1993;76:494-499.</w:t>
      </w:r>
    </w:p>
    <w:p w14:paraId="6E27CAC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267.</w:t>
      </w:r>
      <w:r w:rsidRPr="00DD448A">
        <w:rPr>
          <w:rFonts w:ascii="Arial" w:hAnsi="Arial" w:cs="Arial"/>
          <w:kern w:val="1"/>
          <w:sz w:val="22"/>
          <w:szCs w:val="22"/>
        </w:rPr>
        <w:tab/>
        <w:t xml:space="preserve">Spencer C, Takeuchi M, </w:t>
      </w:r>
      <w:proofErr w:type="spellStart"/>
      <w:r w:rsidRPr="00DD448A">
        <w:rPr>
          <w:rFonts w:ascii="Arial" w:hAnsi="Arial" w:cs="Arial"/>
          <w:kern w:val="1"/>
          <w:sz w:val="22"/>
          <w:szCs w:val="22"/>
        </w:rPr>
        <w:t>Kazarosyan</w:t>
      </w:r>
      <w:proofErr w:type="spellEnd"/>
      <w:r w:rsidRPr="00DD448A">
        <w:rPr>
          <w:rFonts w:ascii="Arial" w:hAnsi="Arial" w:cs="Arial"/>
          <w:kern w:val="1"/>
          <w:sz w:val="22"/>
          <w:szCs w:val="22"/>
        </w:rPr>
        <w:t xml:space="preserve"> M. Current status and performance goals for serum thyrotropin (TSH) assays. </w:t>
      </w:r>
      <w:r w:rsidRPr="00DD448A">
        <w:rPr>
          <w:rFonts w:ascii="Arial" w:hAnsi="Arial" w:cs="Arial"/>
          <w:iCs/>
          <w:kern w:val="1"/>
          <w:sz w:val="22"/>
          <w:szCs w:val="22"/>
        </w:rPr>
        <w:t>Clinical Chemistry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1996;42(1):141-145.</w:t>
      </w:r>
    </w:p>
    <w:p w14:paraId="079B93A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268.</w:t>
      </w:r>
      <w:r w:rsidRPr="00DD448A">
        <w:rPr>
          <w:rFonts w:ascii="Arial" w:hAnsi="Arial" w:cs="Arial"/>
          <w:kern w:val="1"/>
          <w:sz w:val="22"/>
          <w:szCs w:val="22"/>
        </w:rPr>
        <w:tab/>
      </w:r>
      <w:proofErr w:type="spellStart"/>
      <w:r w:rsidRPr="00DD448A">
        <w:rPr>
          <w:rFonts w:ascii="Arial" w:hAnsi="Arial" w:cs="Arial"/>
          <w:kern w:val="1"/>
          <w:sz w:val="22"/>
          <w:szCs w:val="22"/>
        </w:rPr>
        <w:t>Taimela</w:t>
      </w:r>
      <w:proofErr w:type="spellEnd"/>
      <w:r w:rsidRPr="00DD448A">
        <w:rPr>
          <w:rFonts w:ascii="Arial" w:hAnsi="Arial" w:cs="Arial"/>
          <w:kern w:val="1"/>
          <w:sz w:val="22"/>
          <w:szCs w:val="22"/>
        </w:rPr>
        <w:t xml:space="preserve"> E, R T, P K, </w:t>
      </w:r>
      <w:proofErr w:type="spellStart"/>
      <w:r w:rsidRPr="00DD448A">
        <w:rPr>
          <w:rFonts w:ascii="Arial" w:hAnsi="Arial" w:cs="Arial"/>
          <w:kern w:val="1"/>
          <w:sz w:val="22"/>
          <w:szCs w:val="22"/>
        </w:rPr>
        <w:t>Nuutila</w:t>
      </w:r>
      <w:proofErr w:type="spellEnd"/>
      <w:r w:rsidRPr="00DD448A">
        <w:rPr>
          <w:rFonts w:ascii="Arial" w:hAnsi="Arial" w:cs="Arial"/>
          <w:kern w:val="1"/>
          <w:sz w:val="22"/>
          <w:szCs w:val="22"/>
        </w:rPr>
        <w:t xml:space="preserve"> P FJ, S T, SL K, M V, K I. Ability of two new thyrotropin (TSH) assays to separate hyperthyroid patients from euthyroid patients with low TSH.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1994;40:101-105.</w:t>
      </w:r>
    </w:p>
    <w:p w14:paraId="767C59A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269.</w:t>
      </w:r>
      <w:r w:rsidRPr="00DD448A">
        <w:rPr>
          <w:rFonts w:ascii="Arial" w:hAnsi="Arial" w:cs="Arial"/>
          <w:kern w:val="1"/>
          <w:sz w:val="22"/>
          <w:szCs w:val="22"/>
        </w:rPr>
        <w:tab/>
      </w:r>
      <w:proofErr w:type="spellStart"/>
      <w:r w:rsidRPr="00DD448A">
        <w:rPr>
          <w:rFonts w:ascii="Arial" w:hAnsi="Arial" w:cs="Arial"/>
          <w:kern w:val="1"/>
          <w:sz w:val="22"/>
          <w:szCs w:val="22"/>
        </w:rPr>
        <w:t>Moussallieh</w:t>
      </w:r>
      <w:proofErr w:type="spellEnd"/>
      <w:r w:rsidRPr="00DD448A">
        <w:rPr>
          <w:rFonts w:ascii="Arial" w:hAnsi="Arial" w:cs="Arial"/>
          <w:kern w:val="1"/>
          <w:sz w:val="22"/>
          <w:szCs w:val="22"/>
        </w:rPr>
        <w:t xml:space="preserve"> FM, </w:t>
      </w:r>
      <w:proofErr w:type="spellStart"/>
      <w:r w:rsidRPr="00DD448A">
        <w:rPr>
          <w:rFonts w:ascii="Arial" w:hAnsi="Arial" w:cs="Arial"/>
          <w:kern w:val="1"/>
          <w:sz w:val="22"/>
          <w:szCs w:val="22"/>
        </w:rPr>
        <w:t>Ranaivosoa</w:t>
      </w:r>
      <w:proofErr w:type="spellEnd"/>
      <w:r w:rsidRPr="00DD448A">
        <w:rPr>
          <w:rFonts w:ascii="Arial" w:hAnsi="Arial" w:cs="Arial"/>
          <w:kern w:val="1"/>
          <w:sz w:val="22"/>
          <w:szCs w:val="22"/>
        </w:rPr>
        <w:t xml:space="preserve"> MK, Romain S, </w:t>
      </w:r>
      <w:proofErr w:type="spellStart"/>
      <w:r w:rsidRPr="00DD448A">
        <w:rPr>
          <w:rFonts w:ascii="Arial" w:hAnsi="Arial" w:cs="Arial"/>
          <w:kern w:val="1"/>
          <w:sz w:val="22"/>
          <w:szCs w:val="22"/>
        </w:rPr>
        <w:t>Reix</w:t>
      </w:r>
      <w:proofErr w:type="spellEnd"/>
      <w:r w:rsidRPr="00DD448A">
        <w:rPr>
          <w:rFonts w:ascii="Arial" w:hAnsi="Arial" w:cs="Arial"/>
          <w:kern w:val="1"/>
          <w:sz w:val="22"/>
          <w:szCs w:val="22"/>
        </w:rPr>
        <w:t xml:space="preserve"> N. Analytical validation of two second generation thyroglobulin immunoassays (Roche and </w:t>
      </w:r>
      <w:proofErr w:type="spellStart"/>
      <w:r w:rsidRPr="00DD448A">
        <w:rPr>
          <w:rFonts w:ascii="Arial" w:hAnsi="Arial" w:cs="Arial"/>
          <w:kern w:val="1"/>
          <w:sz w:val="22"/>
          <w:szCs w:val="22"/>
        </w:rPr>
        <w:t>Thermo</w:t>
      </w:r>
      <w:proofErr w:type="spellEnd"/>
      <w:r w:rsidRPr="00DD448A">
        <w:rPr>
          <w:rFonts w:ascii="Arial" w:hAnsi="Arial" w:cs="Arial"/>
          <w:kern w:val="1"/>
          <w:sz w:val="22"/>
          <w:szCs w:val="22"/>
        </w:rPr>
        <w:t xml:space="preserve"> Fisher).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2018;56(12):e302-e305.</w:t>
      </w:r>
    </w:p>
    <w:p w14:paraId="1B87B89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270.</w:t>
      </w:r>
      <w:r w:rsidRPr="00DD448A">
        <w:rPr>
          <w:rFonts w:ascii="Arial" w:hAnsi="Arial" w:cs="Arial"/>
          <w:kern w:val="1"/>
          <w:sz w:val="22"/>
          <w:szCs w:val="22"/>
        </w:rPr>
        <w:tab/>
        <w:t xml:space="preserve">Owen WE, Gantzer ML, Lyons JM, Rockwood AL, Roberts WL. Functional sensitivity of seven automated thyroid stimulating hormone immunoassays.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2011;412(23-24):2336-2339.</w:t>
      </w:r>
    </w:p>
    <w:p w14:paraId="40C1C57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271.</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Feldt-Rasmussen U, Verburg FA, Grebe SK, </w:t>
      </w:r>
      <w:proofErr w:type="spellStart"/>
      <w:r w:rsidRPr="00DD448A">
        <w:rPr>
          <w:rFonts w:ascii="Arial" w:hAnsi="Arial" w:cs="Arial"/>
          <w:kern w:val="1"/>
          <w:sz w:val="22"/>
          <w:szCs w:val="22"/>
        </w:rPr>
        <w:t>Plebani</w:t>
      </w:r>
      <w:proofErr w:type="spellEnd"/>
      <w:r w:rsidRPr="00DD448A">
        <w:rPr>
          <w:rFonts w:ascii="Arial" w:hAnsi="Arial" w:cs="Arial"/>
          <w:kern w:val="1"/>
          <w:sz w:val="22"/>
          <w:szCs w:val="22"/>
        </w:rPr>
        <w:t xml:space="preserve"> M, Clark PM. Thyroglobulin measurement by highly sensitive assays: focus on laboratory challenges.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2015;53(9):1301-1314.</w:t>
      </w:r>
    </w:p>
    <w:p w14:paraId="64C2023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272.</w:t>
      </w:r>
      <w:r w:rsidRPr="00DD448A">
        <w:rPr>
          <w:rFonts w:ascii="Arial" w:hAnsi="Arial" w:cs="Arial"/>
          <w:kern w:val="1"/>
          <w:sz w:val="22"/>
          <w:szCs w:val="22"/>
        </w:rPr>
        <w:tab/>
        <w:t xml:space="preserve">Rigo RB, </w:t>
      </w:r>
      <w:proofErr w:type="spellStart"/>
      <w:r w:rsidRPr="00DD448A">
        <w:rPr>
          <w:rFonts w:ascii="Arial" w:hAnsi="Arial" w:cs="Arial"/>
          <w:kern w:val="1"/>
          <w:sz w:val="22"/>
          <w:szCs w:val="22"/>
        </w:rPr>
        <w:t>Panyella</w:t>
      </w:r>
      <w:proofErr w:type="spellEnd"/>
      <w:r w:rsidRPr="00DD448A">
        <w:rPr>
          <w:rFonts w:ascii="Arial" w:hAnsi="Arial" w:cs="Arial"/>
          <w:kern w:val="1"/>
          <w:sz w:val="22"/>
          <w:szCs w:val="22"/>
        </w:rPr>
        <w:t xml:space="preserve"> MG, Bartolomé LR, Ramos PA, Soria PR, Navarro MA. Variations observed for insulin concentrations in an interlaboratory quality control program may be due to interferences between reagents and the matrix of the control materials.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2007;40(13-14):1088-1091.</w:t>
      </w:r>
    </w:p>
    <w:p w14:paraId="01DB952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273.</w:t>
      </w:r>
      <w:r w:rsidRPr="00DD448A">
        <w:rPr>
          <w:rFonts w:ascii="Arial" w:hAnsi="Arial" w:cs="Arial"/>
          <w:kern w:val="1"/>
          <w:sz w:val="22"/>
          <w:szCs w:val="22"/>
        </w:rPr>
        <w:tab/>
        <w:t xml:space="preserve">Armbruster DA, Pry T. Limit of blank, limit of detection and limit of quantitation.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2008;29 Suppl 1(Suppl 1):S49-52.</w:t>
      </w:r>
    </w:p>
    <w:p w14:paraId="5FF4DFB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274.</w:t>
      </w:r>
      <w:r w:rsidRPr="00DD448A">
        <w:rPr>
          <w:rFonts w:ascii="Arial" w:hAnsi="Arial" w:cs="Arial"/>
          <w:kern w:val="1"/>
          <w:sz w:val="22"/>
          <w:szCs w:val="22"/>
        </w:rPr>
        <w:tab/>
        <w:t xml:space="preserve">Spencer C, LoPresti J, Fatemi S. How sensitive (second-generation) thyroglobulin measurement is changing paradigms for monitoring patients with differentiated thyroid cancer, in the absence or presence of thyroglobulin autoantibodies. </w:t>
      </w:r>
      <w:r w:rsidRPr="00DD448A">
        <w:rPr>
          <w:rFonts w:ascii="Arial" w:hAnsi="Arial" w:cs="Arial"/>
          <w:iCs/>
          <w:kern w:val="1"/>
          <w:sz w:val="22"/>
          <w:szCs w:val="22"/>
        </w:rPr>
        <w:t>Current opinion in endocrinology, diabetes, and obesity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2014;21(5):394-404.</w:t>
      </w:r>
    </w:p>
    <w:p w14:paraId="5037495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275.</w:t>
      </w:r>
      <w:r w:rsidRPr="00DD448A">
        <w:rPr>
          <w:rFonts w:ascii="Arial" w:hAnsi="Arial" w:cs="Arial"/>
          <w:kern w:val="1"/>
          <w:sz w:val="22"/>
          <w:szCs w:val="22"/>
        </w:rPr>
        <w:tab/>
        <w:t xml:space="preserve">Rawlins ML, Roberts WL. Performance characteristics of six third-generation assays for thyroid-stimulating hormone.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2004;50(12):2338-2344.</w:t>
      </w:r>
    </w:p>
    <w:p w14:paraId="7404B77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276.</w:t>
      </w:r>
      <w:r w:rsidRPr="00DD448A">
        <w:rPr>
          <w:rFonts w:ascii="Arial" w:hAnsi="Arial" w:cs="Arial"/>
          <w:kern w:val="1"/>
          <w:sz w:val="22"/>
          <w:szCs w:val="22"/>
        </w:rPr>
        <w:tab/>
        <w:t xml:space="preserve">Schaaf L, Theodoropoulou M, Gregori A, </w:t>
      </w:r>
      <w:proofErr w:type="spellStart"/>
      <w:r w:rsidRPr="00DD448A">
        <w:rPr>
          <w:rFonts w:ascii="Arial" w:hAnsi="Arial" w:cs="Arial"/>
          <w:kern w:val="1"/>
          <w:sz w:val="22"/>
          <w:szCs w:val="22"/>
        </w:rPr>
        <w:t>Leiprecht</w:t>
      </w:r>
      <w:proofErr w:type="spellEnd"/>
      <w:r w:rsidRPr="00DD448A">
        <w:rPr>
          <w:rFonts w:ascii="Arial" w:hAnsi="Arial" w:cs="Arial"/>
          <w:kern w:val="1"/>
          <w:sz w:val="22"/>
          <w:szCs w:val="22"/>
        </w:rPr>
        <w:t xml:space="preserve"> A, Trojan J, </w:t>
      </w:r>
      <w:proofErr w:type="spellStart"/>
      <w:r w:rsidRPr="00DD448A">
        <w:rPr>
          <w:rFonts w:ascii="Arial" w:hAnsi="Arial" w:cs="Arial"/>
          <w:kern w:val="1"/>
          <w:sz w:val="22"/>
          <w:szCs w:val="22"/>
        </w:rPr>
        <w:t>Klostermeier</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Stalla</w:t>
      </w:r>
      <w:proofErr w:type="spellEnd"/>
      <w:r w:rsidRPr="00DD448A">
        <w:rPr>
          <w:rFonts w:ascii="Arial" w:hAnsi="Arial" w:cs="Arial"/>
          <w:kern w:val="1"/>
          <w:sz w:val="22"/>
          <w:szCs w:val="22"/>
        </w:rPr>
        <w:t xml:space="preserve"> GK. Thyrotropin-releasing hormone time-dependently influences thyrotropin microheterogeneity--an in vivo study in </w:t>
      </w:r>
      <w:proofErr w:type="spellStart"/>
      <w:r w:rsidRPr="00DD448A">
        <w:rPr>
          <w:rFonts w:ascii="Arial" w:hAnsi="Arial" w:cs="Arial"/>
          <w:kern w:val="1"/>
          <w:sz w:val="22"/>
          <w:szCs w:val="22"/>
        </w:rPr>
        <w:t>euthyroidism</w:t>
      </w:r>
      <w:proofErr w:type="spellEnd"/>
      <w:r w:rsidRPr="00DD448A">
        <w:rPr>
          <w:rFonts w:ascii="Arial" w:hAnsi="Arial" w:cs="Arial"/>
          <w:kern w:val="1"/>
          <w:sz w:val="22"/>
          <w:szCs w:val="22"/>
        </w:rPr>
        <w:t xml:space="preserve">. </w:t>
      </w:r>
      <w:r w:rsidRPr="00DD448A">
        <w:rPr>
          <w:rFonts w:ascii="Arial" w:hAnsi="Arial" w:cs="Arial"/>
          <w:iCs/>
          <w:kern w:val="1"/>
          <w:sz w:val="22"/>
          <w:szCs w:val="22"/>
        </w:rPr>
        <w:t>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2000;166(1):137-143.</w:t>
      </w:r>
    </w:p>
    <w:p w14:paraId="73FF208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277.</w:t>
      </w:r>
      <w:r w:rsidRPr="00DD448A">
        <w:rPr>
          <w:rFonts w:ascii="Arial" w:hAnsi="Arial" w:cs="Arial"/>
          <w:kern w:val="1"/>
          <w:sz w:val="22"/>
          <w:szCs w:val="22"/>
        </w:rPr>
        <w:tab/>
        <w:t xml:space="preserve">Donadio S, Morelle W, Pascual A, Romi-Lebrun R, Michalski JC, Ronin C. Both core and terminal glycosylation alter epitope expression in thyrotropin and introduce discordances in hormone measurements.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2005;43(5):519-530.</w:t>
      </w:r>
    </w:p>
    <w:p w14:paraId="1D90B6A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278.</w:t>
      </w:r>
      <w:r w:rsidRPr="00DD448A">
        <w:rPr>
          <w:rFonts w:ascii="Arial" w:hAnsi="Arial" w:cs="Arial"/>
          <w:kern w:val="1"/>
          <w:sz w:val="22"/>
          <w:szCs w:val="22"/>
        </w:rPr>
        <w:tab/>
        <w:t xml:space="preserve">Estrada JM, Soldin D, Buckey TM, Burman KD, Soldin OP. Thyrotropin isoforms: implications for thyrotropin analysis and clinical practice.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2014;24(3):411-423.</w:t>
      </w:r>
    </w:p>
    <w:p w14:paraId="53BB56F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279.</w:t>
      </w:r>
      <w:r w:rsidRPr="00DD448A">
        <w:rPr>
          <w:rFonts w:ascii="Arial" w:hAnsi="Arial" w:cs="Arial"/>
          <w:kern w:val="1"/>
          <w:sz w:val="22"/>
          <w:szCs w:val="22"/>
        </w:rPr>
        <w:tab/>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Hypothalamic thyrotropin-releasing hormone and thyrotropin biological activity.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1998;8(10):941-946.</w:t>
      </w:r>
    </w:p>
    <w:p w14:paraId="5504341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280.</w:t>
      </w:r>
      <w:r w:rsidRPr="00DD448A">
        <w:rPr>
          <w:rFonts w:ascii="Arial" w:hAnsi="Arial" w:cs="Arial"/>
          <w:kern w:val="1"/>
          <w:sz w:val="22"/>
          <w:szCs w:val="22"/>
        </w:rPr>
        <w:tab/>
        <w:t>Ikegami K, Liao XH, Hoshino Y, Ono H, Ota W, Ito Y, Nishiwaki-</w:t>
      </w:r>
      <w:proofErr w:type="spellStart"/>
      <w:r w:rsidRPr="00DD448A">
        <w:rPr>
          <w:rFonts w:ascii="Arial" w:hAnsi="Arial" w:cs="Arial"/>
          <w:kern w:val="1"/>
          <w:sz w:val="22"/>
          <w:szCs w:val="22"/>
        </w:rPr>
        <w:t>Ohkawa</w:t>
      </w:r>
      <w:proofErr w:type="spellEnd"/>
      <w:r w:rsidRPr="00DD448A">
        <w:rPr>
          <w:rFonts w:ascii="Arial" w:hAnsi="Arial" w:cs="Arial"/>
          <w:kern w:val="1"/>
          <w:sz w:val="22"/>
          <w:szCs w:val="22"/>
        </w:rPr>
        <w:t xml:space="preserve"> T, Sato C, Kitajima K, </w:t>
      </w:r>
      <w:proofErr w:type="spellStart"/>
      <w:r w:rsidRPr="00DD448A">
        <w:rPr>
          <w:rFonts w:ascii="Arial" w:hAnsi="Arial" w:cs="Arial"/>
          <w:kern w:val="1"/>
          <w:sz w:val="22"/>
          <w:szCs w:val="22"/>
        </w:rPr>
        <w:t>Iigo</w:t>
      </w:r>
      <w:proofErr w:type="spellEnd"/>
      <w:r w:rsidRPr="00DD448A">
        <w:rPr>
          <w:rFonts w:ascii="Arial" w:hAnsi="Arial" w:cs="Arial"/>
          <w:kern w:val="1"/>
          <w:sz w:val="22"/>
          <w:szCs w:val="22"/>
        </w:rPr>
        <w:t xml:space="preserve"> M, Shigeyoshi Y, Yamada M, Murata Y, </w:t>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Yoshimura T. Tissue-specific posttranslational modification allows functional targeting of thyrotropin. </w:t>
      </w:r>
      <w:r w:rsidRPr="00DD448A">
        <w:rPr>
          <w:rFonts w:ascii="Arial" w:hAnsi="Arial" w:cs="Arial"/>
          <w:iCs/>
          <w:kern w:val="1"/>
          <w:sz w:val="22"/>
          <w:szCs w:val="22"/>
        </w:rPr>
        <w:t>Cell Rep</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2014;9(3):801-810.</w:t>
      </w:r>
    </w:p>
    <w:p w14:paraId="1D4E776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281.</w:t>
      </w:r>
      <w:r w:rsidRPr="00DD448A">
        <w:rPr>
          <w:rFonts w:ascii="Arial" w:hAnsi="Arial" w:cs="Arial"/>
          <w:kern w:val="1"/>
          <w:sz w:val="22"/>
          <w:szCs w:val="22"/>
        </w:rPr>
        <w:tab/>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C A, P B-P. Dissociation between immunological and </w:t>
      </w:r>
      <w:proofErr w:type="spellStart"/>
      <w:r w:rsidRPr="00DD448A">
        <w:rPr>
          <w:rFonts w:ascii="Arial" w:hAnsi="Arial" w:cs="Arial"/>
          <w:kern w:val="1"/>
          <w:sz w:val="22"/>
          <w:szCs w:val="22"/>
        </w:rPr>
        <w:t>buiological</w:t>
      </w:r>
      <w:proofErr w:type="spellEnd"/>
      <w:r w:rsidRPr="00DD448A">
        <w:rPr>
          <w:rFonts w:ascii="Arial" w:hAnsi="Arial" w:cs="Arial"/>
          <w:kern w:val="1"/>
          <w:sz w:val="22"/>
          <w:szCs w:val="22"/>
        </w:rPr>
        <w:t xml:space="preserve"> activities of circulating TSH. </w:t>
      </w:r>
      <w:r w:rsidRPr="00DD448A">
        <w:rPr>
          <w:rFonts w:ascii="Arial" w:hAnsi="Arial" w:cs="Arial"/>
          <w:iCs/>
          <w:kern w:val="1"/>
          <w:sz w:val="22"/>
          <w:szCs w:val="22"/>
        </w:rPr>
        <w:t>Exp Clin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1994;102:38-48.</w:t>
      </w:r>
    </w:p>
    <w:p w14:paraId="66483EC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282.</w:t>
      </w:r>
      <w:r w:rsidRPr="00DD448A">
        <w:rPr>
          <w:rFonts w:ascii="Arial" w:hAnsi="Arial" w:cs="Arial"/>
          <w:kern w:val="1"/>
          <w:sz w:val="22"/>
          <w:szCs w:val="22"/>
        </w:rPr>
        <w:tab/>
        <w:t xml:space="preserve">Oliveira JH, Barbosa ER, </w:t>
      </w:r>
      <w:proofErr w:type="spellStart"/>
      <w:r w:rsidRPr="00DD448A">
        <w:rPr>
          <w:rFonts w:ascii="Arial" w:hAnsi="Arial" w:cs="Arial"/>
          <w:kern w:val="1"/>
          <w:sz w:val="22"/>
          <w:szCs w:val="22"/>
        </w:rPr>
        <w:t>Kasamatsu</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Abucham</w:t>
      </w:r>
      <w:proofErr w:type="spellEnd"/>
      <w:r w:rsidRPr="00DD448A">
        <w:rPr>
          <w:rFonts w:ascii="Arial" w:hAnsi="Arial" w:cs="Arial"/>
          <w:kern w:val="1"/>
          <w:sz w:val="22"/>
          <w:szCs w:val="22"/>
        </w:rPr>
        <w:t xml:space="preserve"> J. Evidence for thyroid hormone as a positive regulator of serum thyrotropin bioactivity.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2007;92(8):3108-3113.</w:t>
      </w:r>
    </w:p>
    <w:p w14:paraId="7C9C47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283.</w:t>
      </w:r>
      <w:r w:rsidRPr="00DD448A">
        <w:rPr>
          <w:rFonts w:ascii="Arial" w:hAnsi="Arial" w:cs="Arial"/>
          <w:kern w:val="1"/>
          <w:sz w:val="22"/>
          <w:szCs w:val="22"/>
        </w:rPr>
        <w:tab/>
        <w:t xml:space="preserve">Yoshihara A, Noh JY, Watanabe N, </w:t>
      </w:r>
      <w:proofErr w:type="spellStart"/>
      <w:r w:rsidRPr="00DD448A">
        <w:rPr>
          <w:rFonts w:ascii="Arial" w:hAnsi="Arial" w:cs="Arial"/>
          <w:kern w:val="1"/>
          <w:sz w:val="22"/>
          <w:szCs w:val="22"/>
        </w:rPr>
        <w:t>Iwaku</w:t>
      </w:r>
      <w:proofErr w:type="spellEnd"/>
      <w:r w:rsidRPr="00DD448A">
        <w:rPr>
          <w:rFonts w:ascii="Arial" w:hAnsi="Arial" w:cs="Arial"/>
          <w:kern w:val="1"/>
          <w:sz w:val="22"/>
          <w:szCs w:val="22"/>
        </w:rPr>
        <w:t xml:space="preserve"> K, Kunii Y, </w:t>
      </w:r>
      <w:proofErr w:type="spellStart"/>
      <w:r w:rsidRPr="00DD448A">
        <w:rPr>
          <w:rFonts w:ascii="Arial" w:hAnsi="Arial" w:cs="Arial"/>
          <w:kern w:val="1"/>
          <w:sz w:val="22"/>
          <w:szCs w:val="22"/>
        </w:rPr>
        <w:t>Ohye</w:t>
      </w:r>
      <w:proofErr w:type="spellEnd"/>
      <w:r w:rsidRPr="00DD448A">
        <w:rPr>
          <w:rFonts w:ascii="Arial" w:hAnsi="Arial" w:cs="Arial"/>
          <w:kern w:val="1"/>
          <w:sz w:val="22"/>
          <w:szCs w:val="22"/>
        </w:rPr>
        <w:t xml:space="preserve"> H, Suzuki M, Matsumoto M, Suzuki N, Sugino K,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w:t>
      </w:r>
      <w:proofErr w:type="spellStart"/>
      <w:r w:rsidRPr="00DD448A">
        <w:rPr>
          <w:rFonts w:ascii="Arial" w:hAnsi="Arial" w:cs="Arial"/>
          <w:kern w:val="1"/>
          <w:sz w:val="22"/>
          <w:szCs w:val="22"/>
        </w:rPr>
        <w:t>Hishinuma</w:t>
      </w:r>
      <w:proofErr w:type="spellEnd"/>
      <w:r w:rsidRPr="00DD448A">
        <w:rPr>
          <w:rFonts w:ascii="Arial" w:hAnsi="Arial" w:cs="Arial"/>
          <w:kern w:val="1"/>
          <w:sz w:val="22"/>
          <w:szCs w:val="22"/>
        </w:rPr>
        <w:t xml:space="preserve"> A, Ito K. Seasonal Changes in Serum Thyrotropin Concentrations Observed from Big Data Obtained During Six Consecutive Years from 2010 to 2015 at a Single Hospital in Japan.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2018;28(4):429-436.</w:t>
      </w:r>
    </w:p>
    <w:p w14:paraId="1279A88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284.</w:t>
      </w:r>
      <w:r w:rsidRPr="00DD448A">
        <w:rPr>
          <w:rFonts w:ascii="Arial" w:hAnsi="Arial" w:cs="Arial"/>
          <w:kern w:val="1"/>
          <w:sz w:val="22"/>
          <w:szCs w:val="22"/>
        </w:rPr>
        <w:tab/>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Asteria C, </w:t>
      </w:r>
      <w:proofErr w:type="spellStart"/>
      <w:r w:rsidRPr="00DD448A">
        <w:rPr>
          <w:rFonts w:ascii="Arial" w:hAnsi="Arial" w:cs="Arial"/>
          <w:kern w:val="1"/>
          <w:sz w:val="22"/>
          <w:szCs w:val="22"/>
        </w:rPr>
        <w:t>Tonacchera</w:t>
      </w:r>
      <w:proofErr w:type="spellEnd"/>
      <w:r w:rsidRPr="00DD448A">
        <w:rPr>
          <w:rFonts w:ascii="Arial" w:hAnsi="Arial" w:cs="Arial"/>
          <w:kern w:val="1"/>
          <w:sz w:val="22"/>
          <w:szCs w:val="22"/>
        </w:rPr>
        <w:t xml:space="preserve"> M, Vitti P, Krishna V, Chatterjee K, Beck-Peccoz P. Evidence for the secretion of thyrotropin with enhanced bioactivity in syndromes of thyroid hormone resistance.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1994;78:1035-1039.</w:t>
      </w:r>
    </w:p>
    <w:p w14:paraId="6044299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285.</w:t>
      </w:r>
      <w:r w:rsidRPr="00DD448A">
        <w:rPr>
          <w:rFonts w:ascii="Arial" w:hAnsi="Arial" w:cs="Arial"/>
          <w:kern w:val="1"/>
          <w:sz w:val="22"/>
          <w:szCs w:val="22"/>
        </w:rPr>
        <w:tab/>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Ferretti E, </w:t>
      </w:r>
      <w:proofErr w:type="spellStart"/>
      <w:r w:rsidRPr="00DD448A">
        <w:rPr>
          <w:rFonts w:ascii="Arial" w:hAnsi="Arial" w:cs="Arial"/>
          <w:kern w:val="1"/>
          <w:sz w:val="22"/>
          <w:szCs w:val="22"/>
        </w:rPr>
        <w:t>Borgato</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Faglia</w:t>
      </w:r>
      <w:proofErr w:type="spellEnd"/>
      <w:r w:rsidRPr="00DD448A">
        <w:rPr>
          <w:rFonts w:ascii="Arial" w:hAnsi="Arial" w:cs="Arial"/>
          <w:kern w:val="1"/>
          <w:sz w:val="22"/>
          <w:szCs w:val="22"/>
        </w:rPr>
        <w:t xml:space="preserve"> G, Beck-Peccoz P. Circulating thyrotropin bioactivity in sporadic central hypothyroidism.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2000;85(10):3631-3635.</w:t>
      </w:r>
    </w:p>
    <w:p w14:paraId="31FBCC0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286.</w:t>
      </w:r>
      <w:r w:rsidRPr="00DD448A">
        <w:rPr>
          <w:rFonts w:ascii="Arial" w:hAnsi="Arial" w:cs="Arial"/>
          <w:kern w:val="1"/>
          <w:sz w:val="22"/>
          <w:szCs w:val="22"/>
        </w:rPr>
        <w:tab/>
        <w:t xml:space="preserve">Pappa T, Johannesen J, </w:t>
      </w:r>
      <w:proofErr w:type="spellStart"/>
      <w:r w:rsidRPr="00DD448A">
        <w:rPr>
          <w:rFonts w:ascii="Arial" w:hAnsi="Arial" w:cs="Arial"/>
          <w:kern w:val="1"/>
          <w:sz w:val="22"/>
          <w:szCs w:val="22"/>
        </w:rPr>
        <w:t>Scherberg</w:t>
      </w:r>
      <w:proofErr w:type="spellEnd"/>
      <w:r w:rsidRPr="00DD448A">
        <w:rPr>
          <w:rFonts w:ascii="Arial" w:hAnsi="Arial" w:cs="Arial"/>
          <w:kern w:val="1"/>
          <w:sz w:val="22"/>
          <w:szCs w:val="22"/>
        </w:rPr>
        <w:t xml:space="preserve"> N, Torrent M, Dumitrescu A, </w:t>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A TSHβ Variant with Impaired Immunoreactivity but Intact Biological Activity and Its Clinical Implications.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2015;25(8):869-876.</w:t>
      </w:r>
    </w:p>
    <w:p w14:paraId="23CE603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287.</w:t>
      </w:r>
      <w:r w:rsidRPr="00DD448A">
        <w:rPr>
          <w:rFonts w:ascii="Arial" w:hAnsi="Arial" w:cs="Arial"/>
          <w:kern w:val="1"/>
          <w:sz w:val="22"/>
          <w:szCs w:val="22"/>
        </w:rPr>
        <w:tab/>
        <w:t xml:space="preserve">Andersen S, Pedersen KM, Bruun NH, Laurberg P. Narrow individual variations in serum T4 and T3 in normal subjects: a clue to the understanding of subclinical thyroid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2002;87:1068-1072.</w:t>
      </w:r>
    </w:p>
    <w:p w14:paraId="3F4ED32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288.</w:t>
      </w:r>
      <w:r w:rsidRPr="00DD448A">
        <w:rPr>
          <w:rFonts w:ascii="Arial" w:hAnsi="Arial" w:cs="Arial"/>
          <w:kern w:val="1"/>
          <w:sz w:val="22"/>
          <w:szCs w:val="22"/>
        </w:rPr>
        <w:tab/>
        <w:t xml:space="preserve">Boas M, Forman JL, Juul A, Feldt-Rasmussen U, </w:t>
      </w:r>
      <w:proofErr w:type="spellStart"/>
      <w:r w:rsidRPr="00DD448A">
        <w:rPr>
          <w:rFonts w:ascii="Arial" w:hAnsi="Arial" w:cs="Arial"/>
          <w:kern w:val="1"/>
          <w:sz w:val="22"/>
          <w:szCs w:val="22"/>
        </w:rPr>
        <w:t>Skakkebaek</w:t>
      </w:r>
      <w:proofErr w:type="spellEnd"/>
      <w:r w:rsidRPr="00DD448A">
        <w:rPr>
          <w:rFonts w:ascii="Arial" w:hAnsi="Arial" w:cs="Arial"/>
          <w:kern w:val="1"/>
          <w:sz w:val="22"/>
          <w:szCs w:val="22"/>
        </w:rPr>
        <w:t xml:space="preserve"> NE, Hilsted L, </w:t>
      </w:r>
      <w:proofErr w:type="spellStart"/>
      <w:r w:rsidRPr="00DD448A">
        <w:rPr>
          <w:rFonts w:ascii="Arial" w:hAnsi="Arial" w:cs="Arial"/>
          <w:kern w:val="1"/>
          <w:sz w:val="22"/>
          <w:szCs w:val="22"/>
        </w:rPr>
        <w:t>Chellakooty</w:t>
      </w:r>
      <w:proofErr w:type="spellEnd"/>
      <w:r w:rsidRPr="00DD448A">
        <w:rPr>
          <w:rFonts w:ascii="Arial" w:hAnsi="Arial" w:cs="Arial"/>
          <w:kern w:val="1"/>
          <w:sz w:val="22"/>
          <w:szCs w:val="22"/>
        </w:rPr>
        <w:t xml:space="preserve"> M, Larsen T, Larsen JF, Petersen JH, Main KM. Narrow intra-individual variation of maternal thyroid function in pregnancy based on a longitudinal study on 132 women.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2009;161(6):903-910.</w:t>
      </w:r>
    </w:p>
    <w:p w14:paraId="4E06AA6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289.</w:t>
      </w:r>
      <w:r w:rsidRPr="00DD448A">
        <w:rPr>
          <w:rFonts w:ascii="Arial" w:hAnsi="Arial" w:cs="Arial"/>
          <w:kern w:val="1"/>
          <w:sz w:val="22"/>
          <w:szCs w:val="22"/>
        </w:rPr>
        <w:tab/>
        <w:t xml:space="preserve">Meikle AW, Stringham JD, Woodward MG, Nelson JC. Hereditary and environmental influences on the variation of thyroid hormones in normal male twins. </w:t>
      </w:r>
      <w:r w:rsidRPr="00DD448A">
        <w:rPr>
          <w:rFonts w:ascii="Arial" w:hAnsi="Arial" w:cs="Arial"/>
          <w:iCs/>
          <w:kern w:val="1"/>
          <w:sz w:val="22"/>
          <w:szCs w:val="22"/>
        </w:rPr>
        <w:t>J Clin Endocrinol Metab1</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1988;66:588-592.</w:t>
      </w:r>
    </w:p>
    <w:p w14:paraId="70C4E0B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290.</w:t>
      </w:r>
      <w:r w:rsidRPr="00DD448A">
        <w:rPr>
          <w:rFonts w:ascii="Arial" w:hAnsi="Arial" w:cs="Arial"/>
          <w:kern w:val="1"/>
          <w:sz w:val="22"/>
          <w:szCs w:val="22"/>
        </w:rPr>
        <w:tab/>
        <w:t xml:space="preserve">Hansen PS, Brix TH, Sørensen TI, Kyvik KO, Hegedüs L. Major genetic influence on the regulation of the pituitary-thyroid axis: a study of healthy Danish twins.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2004;89(3):1181-1187.</w:t>
      </w:r>
    </w:p>
    <w:p w14:paraId="4BEE243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291.</w:t>
      </w:r>
      <w:r w:rsidRPr="00DD448A">
        <w:rPr>
          <w:rFonts w:ascii="Arial" w:hAnsi="Arial" w:cs="Arial"/>
          <w:kern w:val="1"/>
          <w:sz w:val="22"/>
          <w:szCs w:val="22"/>
        </w:rPr>
        <w:tab/>
        <w:t xml:space="preserve">Panicker V, Wilson SG, Spector TD, Brown SJ, Falchi M, Richards JB, </w:t>
      </w:r>
      <w:proofErr w:type="spellStart"/>
      <w:r w:rsidRPr="00DD448A">
        <w:rPr>
          <w:rFonts w:ascii="Arial" w:hAnsi="Arial" w:cs="Arial"/>
          <w:kern w:val="1"/>
          <w:sz w:val="22"/>
          <w:szCs w:val="22"/>
        </w:rPr>
        <w:t>Surdulescu</w:t>
      </w:r>
      <w:proofErr w:type="spellEnd"/>
      <w:r w:rsidRPr="00DD448A">
        <w:rPr>
          <w:rFonts w:ascii="Arial" w:hAnsi="Arial" w:cs="Arial"/>
          <w:kern w:val="1"/>
          <w:sz w:val="22"/>
          <w:szCs w:val="22"/>
        </w:rPr>
        <w:t xml:space="preserve"> GL, Lim EM, Fletcher SJ, Walsh JP. Heritability of serum TSH, free T4 and free T3 concentrations: a study of a large UK twin cohort.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2008;68(4):652-659.</w:t>
      </w:r>
    </w:p>
    <w:p w14:paraId="09EF904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292.</w:t>
      </w:r>
      <w:r w:rsidRPr="00DD448A">
        <w:rPr>
          <w:rFonts w:ascii="Arial" w:hAnsi="Arial" w:cs="Arial"/>
          <w:kern w:val="1"/>
          <w:sz w:val="22"/>
          <w:szCs w:val="22"/>
        </w:rPr>
        <w:tab/>
        <w:t xml:space="preserve">Arnaud-Lopez L, </w:t>
      </w:r>
      <w:proofErr w:type="spellStart"/>
      <w:r w:rsidRPr="00DD448A">
        <w:rPr>
          <w:rFonts w:ascii="Arial" w:hAnsi="Arial" w:cs="Arial"/>
          <w:kern w:val="1"/>
          <w:sz w:val="22"/>
          <w:szCs w:val="22"/>
        </w:rPr>
        <w:t>Usala</w:t>
      </w:r>
      <w:proofErr w:type="spellEnd"/>
      <w:r w:rsidRPr="00DD448A">
        <w:rPr>
          <w:rFonts w:ascii="Arial" w:hAnsi="Arial" w:cs="Arial"/>
          <w:kern w:val="1"/>
          <w:sz w:val="22"/>
          <w:szCs w:val="22"/>
        </w:rPr>
        <w:t xml:space="preserve"> G, Ceresini G, Mitchell BD, </w:t>
      </w:r>
      <w:proofErr w:type="spellStart"/>
      <w:r w:rsidRPr="00DD448A">
        <w:rPr>
          <w:rFonts w:ascii="Arial" w:hAnsi="Arial" w:cs="Arial"/>
          <w:kern w:val="1"/>
          <w:sz w:val="22"/>
          <w:szCs w:val="22"/>
        </w:rPr>
        <w:t>Pilia</w:t>
      </w:r>
      <w:proofErr w:type="spellEnd"/>
      <w:r w:rsidRPr="00DD448A">
        <w:rPr>
          <w:rFonts w:ascii="Arial" w:hAnsi="Arial" w:cs="Arial"/>
          <w:kern w:val="1"/>
          <w:sz w:val="22"/>
          <w:szCs w:val="22"/>
        </w:rPr>
        <w:t xml:space="preserve"> MG, </w:t>
      </w:r>
      <w:proofErr w:type="spellStart"/>
      <w:r w:rsidRPr="00DD448A">
        <w:rPr>
          <w:rFonts w:ascii="Arial" w:hAnsi="Arial" w:cs="Arial"/>
          <w:kern w:val="1"/>
          <w:sz w:val="22"/>
          <w:szCs w:val="22"/>
        </w:rPr>
        <w:t>Piras</w:t>
      </w:r>
      <w:proofErr w:type="spellEnd"/>
      <w:r w:rsidRPr="00DD448A">
        <w:rPr>
          <w:rFonts w:ascii="Arial" w:hAnsi="Arial" w:cs="Arial"/>
          <w:kern w:val="1"/>
          <w:sz w:val="22"/>
          <w:szCs w:val="22"/>
        </w:rPr>
        <w:t xml:space="preserve"> MG, </w:t>
      </w:r>
      <w:proofErr w:type="spellStart"/>
      <w:r w:rsidRPr="00DD448A">
        <w:rPr>
          <w:rFonts w:ascii="Arial" w:hAnsi="Arial" w:cs="Arial"/>
          <w:kern w:val="1"/>
          <w:sz w:val="22"/>
          <w:szCs w:val="22"/>
        </w:rPr>
        <w:t>Sestu</w:t>
      </w:r>
      <w:proofErr w:type="spellEnd"/>
      <w:r w:rsidRPr="00DD448A">
        <w:rPr>
          <w:rFonts w:ascii="Arial" w:hAnsi="Arial" w:cs="Arial"/>
          <w:kern w:val="1"/>
          <w:sz w:val="22"/>
          <w:szCs w:val="22"/>
        </w:rPr>
        <w:t xml:space="preserve"> N, Maschio A, </w:t>
      </w:r>
      <w:proofErr w:type="spellStart"/>
      <w:r w:rsidRPr="00DD448A">
        <w:rPr>
          <w:rFonts w:ascii="Arial" w:hAnsi="Arial" w:cs="Arial"/>
          <w:kern w:val="1"/>
          <w:sz w:val="22"/>
          <w:szCs w:val="22"/>
        </w:rPr>
        <w:t>Busonero</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Albai</w:t>
      </w:r>
      <w:proofErr w:type="spellEnd"/>
      <w:r w:rsidRPr="00DD448A">
        <w:rPr>
          <w:rFonts w:ascii="Arial" w:hAnsi="Arial" w:cs="Arial"/>
          <w:kern w:val="1"/>
          <w:sz w:val="22"/>
          <w:szCs w:val="22"/>
        </w:rPr>
        <w:t xml:space="preserve"> G, Dei M, Lai S, Mulas A, </w:t>
      </w:r>
      <w:proofErr w:type="spellStart"/>
      <w:r w:rsidRPr="00DD448A">
        <w:rPr>
          <w:rFonts w:ascii="Arial" w:hAnsi="Arial" w:cs="Arial"/>
          <w:kern w:val="1"/>
          <w:sz w:val="22"/>
          <w:szCs w:val="22"/>
        </w:rPr>
        <w:t>Crisponi</w:t>
      </w:r>
      <w:proofErr w:type="spellEnd"/>
      <w:r w:rsidRPr="00DD448A">
        <w:rPr>
          <w:rFonts w:ascii="Arial" w:hAnsi="Arial" w:cs="Arial"/>
          <w:kern w:val="1"/>
          <w:sz w:val="22"/>
          <w:szCs w:val="22"/>
        </w:rPr>
        <w:t xml:space="preserve"> L, Tanaka T, Bandinelli S, Guralnik JM, Loi A, Balaci L, Sole G, </w:t>
      </w:r>
      <w:proofErr w:type="spellStart"/>
      <w:r w:rsidRPr="00DD448A">
        <w:rPr>
          <w:rFonts w:ascii="Arial" w:hAnsi="Arial" w:cs="Arial"/>
          <w:kern w:val="1"/>
          <w:sz w:val="22"/>
          <w:szCs w:val="22"/>
        </w:rPr>
        <w:t>Prinzis</w:t>
      </w:r>
      <w:proofErr w:type="spellEnd"/>
      <w:r w:rsidRPr="00DD448A">
        <w:rPr>
          <w:rFonts w:ascii="Arial" w:hAnsi="Arial" w:cs="Arial"/>
          <w:kern w:val="1"/>
          <w:sz w:val="22"/>
          <w:szCs w:val="22"/>
        </w:rPr>
        <w:t xml:space="preserve"> A, Mariotti S, </w:t>
      </w:r>
      <w:proofErr w:type="spellStart"/>
      <w:r w:rsidRPr="00DD448A">
        <w:rPr>
          <w:rFonts w:ascii="Arial" w:hAnsi="Arial" w:cs="Arial"/>
          <w:kern w:val="1"/>
          <w:sz w:val="22"/>
          <w:szCs w:val="22"/>
        </w:rPr>
        <w:t>Shuldiner</w:t>
      </w:r>
      <w:proofErr w:type="spellEnd"/>
      <w:r w:rsidRPr="00DD448A">
        <w:rPr>
          <w:rFonts w:ascii="Arial" w:hAnsi="Arial" w:cs="Arial"/>
          <w:kern w:val="1"/>
          <w:sz w:val="22"/>
          <w:szCs w:val="22"/>
        </w:rPr>
        <w:t xml:space="preserve"> AR, Cao A, Schlessinger D, Uda M, </w:t>
      </w:r>
      <w:proofErr w:type="spellStart"/>
      <w:r w:rsidRPr="00DD448A">
        <w:rPr>
          <w:rFonts w:ascii="Arial" w:hAnsi="Arial" w:cs="Arial"/>
          <w:kern w:val="1"/>
          <w:sz w:val="22"/>
          <w:szCs w:val="22"/>
        </w:rPr>
        <w:t>Abecasis</w:t>
      </w:r>
      <w:proofErr w:type="spellEnd"/>
      <w:r w:rsidRPr="00DD448A">
        <w:rPr>
          <w:rFonts w:ascii="Arial" w:hAnsi="Arial" w:cs="Arial"/>
          <w:kern w:val="1"/>
          <w:sz w:val="22"/>
          <w:szCs w:val="22"/>
        </w:rPr>
        <w:t xml:space="preserve"> GR, Nagaraja R, Sanna S, </w:t>
      </w:r>
      <w:proofErr w:type="spellStart"/>
      <w:r w:rsidRPr="00DD448A">
        <w:rPr>
          <w:rFonts w:ascii="Arial" w:hAnsi="Arial" w:cs="Arial"/>
          <w:kern w:val="1"/>
          <w:sz w:val="22"/>
          <w:szCs w:val="22"/>
        </w:rPr>
        <w:t>Naitza</w:t>
      </w:r>
      <w:proofErr w:type="spellEnd"/>
      <w:r w:rsidRPr="00DD448A">
        <w:rPr>
          <w:rFonts w:ascii="Arial" w:hAnsi="Arial" w:cs="Arial"/>
          <w:kern w:val="1"/>
          <w:sz w:val="22"/>
          <w:szCs w:val="22"/>
        </w:rPr>
        <w:t xml:space="preserve"> S. Phosphodiesterase 8B gene variants are associated with serum TSH levels and thyroid function. </w:t>
      </w:r>
      <w:r w:rsidRPr="00DD448A">
        <w:rPr>
          <w:rFonts w:ascii="Arial" w:hAnsi="Arial" w:cs="Arial"/>
          <w:iCs/>
          <w:kern w:val="1"/>
          <w:sz w:val="22"/>
          <w:szCs w:val="22"/>
        </w:rPr>
        <w:t>American journal of human genetics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2008;82(6):1270-1280.</w:t>
      </w:r>
    </w:p>
    <w:p w14:paraId="467E757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293.</w:t>
      </w:r>
      <w:r w:rsidRPr="00DD448A">
        <w:rPr>
          <w:rFonts w:ascii="Arial" w:hAnsi="Arial" w:cs="Arial"/>
          <w:kern w:val="1"/>
          <w:sz w:val="22"/>
          <w:szCs w:val="22"/>
        </w:rPr>
        <w:tab/>
        <w:t xml:space="preserve">Larsen CC, </w:t>
      </w:r>
      <w:proofErr w:type="spellStart"/>
      <w:r w:rsidRPr="00DD448A">
        <w:rPr>
          <w:rFonts w:ascii="Arial" w:hAnsi="Arial" w:cs="Arial"/>
          <w:kern w:val="1"/>
          <w:sz w:val="22"/>
          <w:szCs w:val="22"/>
        </w:rPr>
        <w:t>Karaviti</w:t>
      </w:r>
      <w:proofErr w:type="spellEnd"/>
      <w:r w:rsidRPr="00DD448A">
        <w:rPr>
          <w:rFonts w:ascii="Arial" w:hAnsi="Arial" w:cs="Arial"/>
          <w:kern w:val="1"/>
          <w:sz w:val="22"/>
          <w:szCs w:val="22"/>
        </w:rPr>
        <w:t xml:space="preserve"> LP, Seghers V, Weiss RE, </w:t>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Dumitrescu AM. A new family with an activating mutation (G431S) in the TSH receptor gene: a phenotype discussion and review of the literature. </w:t>
      </w:r>
      <w:r w:rsidRPr="00DD448A">
        <w:rPr>
          <w:rFonts w:ascii="Arial" w:hAnsi="Arial" w:cs="Arial"/>
          <w:iCs/>
          <w:kern w:val="1"/>
          <w:sz w:val="22"/>
          <w:szCs w:val="22"/>
        </w:rPr>
        <w:t xml:space="preserve">Int J </w:t>
      </w:r>
      <w:proofErr w:type="spellStart"/>
      <w:r w:rsidRPr="00DD448A">
        <w:rPr>
          <w:rFonts w:ascii="Arial" w:hAnsi="Arial" w:cs="Arial"/>
          <w:iCs/>
          <w:kern w:val="1"/>
          <w:sz w:val="22"/>
          <w:szCs w:val="22"/>
        </w:rPr>
        <w:t>Pediatr</w:t>
      </w:r>
      <w:proofErr w:type="spellEnd"/>
      <w:r w:rsidRPr="00DD448A">
        <w:rPr>
          <w:rFonts w:ascii="Arial" w:hAnsi="Arial" w:cs="Arial"/>
          <w:iCs/>
          <w:kern w:val="1"/>
          <w:sz w:val="22"/>
          <w:szCs w:val="22"/>
        </w:rPr>
        <w:t xml:space="preserve">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2014;2014(1):23.</w:t>
      </w:r>
    </w:p>
    <w:p w14:paraId="7C6C49B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294.</w:t>
      </w:r>
      <w:r w:rsidRPr="00DD448A">
        <w:rPr>
          <w:rFonts w:ascii="Arial" w:hAnsi="Arial" w:cs="Arial"/>
          <w:kern w:val="1"/>
          <w:sz w:val="22"/>
          <w:szCs w:val="22"/>
        </w:rPr>
        <w:tab/>
        <w:t xml:space="preserve">De Marco G, </w:t>
      </w:r>
      <w:proofErr w:type="spellStart"/>
      <w:r w:rsidRPr="00DD448A">
        <w:rPr>
          <w:rFonts w:ascii="Arial" w:hAnsi="Arial" w:cs="Arial"/>
          <w:kern w:val="1"/>
          <w:sz w:val="22"/>
          <w:szCs w:val="22"/>
        </w:rPr>
        <w:t>Agretti</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Camilot</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Teofoli</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Tatò</w:t>
      </w:r>
      <w:proofErr w:type="spellEnd"/>
      <w:r w:rsidRPr="00DD448A">
        <w:rPr>
          <w:rFonts w:ascii="Arial" w:hAnsi="Arial" w:cs="Arial"/>
          <w:kern w:val="1"/>
          <w:sz w:val="22"/>
          <w:szCs w:val="22"/>
        </w:rPr>
        <w:t xml:space="preserve"> L, Vitti P, Pinchera A, </w:t>
      </w:r>
      <w:proofErr w:type="spellStart"/>
      <w:r w:rsidRPr="00DD448A">
        <w:rPr>
          <w:rFonts w:ascii="Arial" w:hAnsi="Arial" w:cs="Arial"/>
          <w:kern w:val="1"/>
          <w:sz w:val="22"/>
          <w:szCs w:val="22"/>
        </w:rPr>
        <w:t>Tonacchera</w:t>
      </w:r>
      <w:proofErr w:type="spellEnd"/>
      <w:r w:rsidRPr="00DD448A">
        <w:rPr>
          <w:rFonts w:ascii="Arial" w:hAnsi="Arial" w:cs="Arial"/>
          <w:kern w:val="1"/>
          <w:sz w:val="22"/>
          <w:szCs w:val="22"/>
        </w:rPr>
        <w:t xml:space="preserve"> M. Functional studies of new TSH receptor (</w:t>
      </w:r>
      <w:proofErr w:type="spellStart"/>
      <w:r w:rsidRPr="00DD448A">
        <w:rPr>
          <w:rFonts w:ascii="Arial" w:hAnsi="Arial" w:cs="Arial"/>
          <w:kern w:val="1"/>
          <w:sz w:val="22"/>
          <w:szCs w:val="22"/>
        </w:rPr>
        <w:t>TSHr</w:t>
      </w:r>
      <w:proofErr w:type="spellEnd"/>
      <w:r w:rsidRPr="00DD448A">
        <w:rPr>
          <w:rFonts w:ascii="Arial" w:hAnsi="Arial" w:cs="Arial"/>
          <w:kern w:val="1"/>
          <w:sz w:val="22"/>
          <w:szCs w:val="22"/>
        </w:rPr>
        <w:t xml:space="preserve">) mutations identified in patients affected by hypothyroidism or isolated </w:t>
      </w:r>
      <w:proofErr w:type="spellStart"/>
      <w:r w:rsidRPr="00DD448A">
        <w:rPr>
          <w:rFonts w:ascii="Arial" w:hAnsi="Arial" w:cs="Arial"/>
          <w:kern w:val="1"/>
          <w:sz w:val="22"/>
          <w:szCs w:val="22"/>
        </w:rPr>
        <w:t>hyperthyrotrophinaemia</w:t>
      </w:r>
      <w:proofErr w:type="spellEnd"/>
      <w:r w:rsidRPr="00DD448A">
        <w:rPr>
          <w:rFonts w:ascii="Arial" w:hAnsi="Arial" w:cs="Arial"/>
          <w:kern w:val="1"/>
          <w:sz w:val="22"/>
          <w:szCs w:val="22"/>
        </w:rPr>
        <w:t xml:space="preserve">.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2009;70(2):335-338.</w:t>
      </w:r>
    </w:p>
    <w:p w14:paraId="6155C1C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295.</w:t>
      </w:r>
      <w:r w:rsidRPr="00DD448A">
        <w:rPr>
          <w:rFonts w:ascii="Arial" w:hAnsi="Arial" w:cs="Arial"/>
          <w:kern w:val="1"/>
          <w:sz w:val="22"/>
          <w:szCs w:val="22"/>
        </w:rPr>
        <w:tab/>
        <w:t xml:space="preserve">Alberti L, </w:t>
      </w:r>
      <w:proofErr w:type="spellStart"/>
      <w:r w:rsidRPr="00DD448A">
        <w:rPr>
          <w:rFonts w:ascii="Arial" w:hAnsi="Arial" w:cs="Arial"/>
          <w:kern w:val="1"/>
          <w:sz w:val="22"/>
          <w:szCs w:val="22"/>
        </w:rPr>
        <w:t>Proverbio</w:t>
      </w:r>
      <w:proofErr w:type="spellEnd"/>
      <w:r w:rsidRPr="00DD448A">
        <w:rPr>
          <w:rFonts w:ascii="Arial" w:hAnsi="Arial" w:cs="Arial"/>
          <w:kern w:val="1"/>
          <w:sz w:val="22"/>
          <w:szCs w:val="22"/>
        </w:rPr>
        <w:t xml:space="preserve"> MC, Costagliola S, </w:t>
      </w:r>
      <w:proofErr w:type="spellStart"/>
      <w:r w:rsidRPr="00DD448A">
        <w:rPr>
          <w:rFonts w:ascii="Arial" w:hAnsi="Arial" w:cs="Arial"/>
          <w:kern w:val="1"/>
          <w:sz w:val="22"/>
          <w:szCs w:val="22"/>
        </w:rPr>
        <w:t>Romoli</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Boldrighini</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Vigone</w:t>
      </w:r>
      <w:proofErr w:type="spellEnd"/>
      <w:r w:rsidRPr="00DD448A">
        <w:rPr>
          <w:rFonts w:ascii="Arial" w:hAnsi="Arial" w:cs="Arial"/>
          <w:kern w:val="1"/>
          <w:sz w:val="22"/>
          <w:szCs w:val="22"/>
        </w:rPr>
        <w:t xml:space="preserve"> MC, Weber G, </w:t>
      </w:r>
      <w:proofErr w:type="spellStart"/>
      <w:r w:rsidRPr="00DD448A">
        <w:rPr>
          <w:rFonts w:ascii="Arial" w:hAnsi="Arial" w:cs="Arial"/>
          <w:kern w:val="1"/>
          <w:sz w:val="22"/>
          <w:szCs w:val="22"/>
        </w:rPr>
        <w:t>Chiumello</w:t>
      </w:r>
      <w:proofErr w:type="spellEnd"/>
      <w:r w:rsidRPr="00DD448A">
        <w:rPr>
          <w:rFonts w:ascii="Arial" w:hAnsi="Arial" w:cs="Arial"/>
          <w:kern w:val="1"/>
          <w:sz w:val="22"/>
          <w:szCs w:val="22"/>
        </w:rPr>
        <w:t xml:space="preserve"> G, Beck-</w:t>
      </w:r>
      <w:proofErr w:type="spellStart"/>
      <w:r w:rsidRPr="00DD448A">
        <w:rPr>
          <w:rFonts w:ascii="Arial" w:hAnsi="Arial" w:cs="Arial"/>
          <w:kern w:val="1"/>
          <w:sz w:val="22"/>
          <w:szCs w:val="22"/>
        </w:rPr>
        <w:t>Peccoz</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Germline mutations of TSH receptor gene as cause of nonautoimmune subclinical hypothyroidism.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2002;87(6):2549-2555.</w:t>
      </w:r>
    </w:p>
    <w:p w14:paraId="31F7111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296.</w:t>
      </w:r>
      <w:r w:rsidRPr="00DD448A">
        <w:rPr>
          <w:rFonts w:ascii="Arial" w:hAnsi="Arial" w:cs="Arial"/>
          <w:kern w:val="1"/>
          <w:sz w:val="22"/>
          <w:szCs w:val="22"/>
        </w:rPr>
        <w:tab/>
        <w:t xml:space="preserve">van de Ven AC, </w:t>
      </w:r>
      <w:proofErr w:type="spellStart"/>
      <w:r w:rsidRPr="00DD448A">
        <w:rPr>
          <w:rFonts w:ascii="Arial" w:hAnsi="Arial" w:cs="Arial"/>
          <w:kern w:val="1"/>
          <w:sz w:val="22"/>
          <w:szCs w:val="22"/>
        </w:rPr>
        <w:t>Netea</w:t>
      </w:r>
      <w:proofErr w:type="spellEnd"/>
      <w:r w:rsidRPr="00DD448A">
        <w:rPr>
          <w:rFonts w:ascii="Arial" w:hAnsi="Arial" w:cs="Arial"/>
          <w:kern w:val="1"/>
          <w:sz w:val="22"/>
          <w:szCs w:val="22"/>
        </w:rPr>
        <w:t xml:space="preserve">-Maier RT, Medici M, Sweep FC, Ross HA, Hofman A, de Graaf J, </w:t>
      </w:r>
      <w:proofErr w:type="spellStart"/>
      <w:r w:rsidRPr="00DD448A">
        <w:rPr>
          <w:rFonts w:ascii="Arial" w:hAnsi="Arial" w:cs="Arial"/>
          <w:kern w:val="1"/>
          <w:sz w:val="22"/>
          <w:szCs w:val="22"/>
        </w:rPr>
        <w:t>Kiemeney</w:t>
      </w:r>
      <w:proofErr w:type="spellEnd"/>
      <w:r w:rsidRPr="00DD448A">
        <w:rPr>
          <w:rFonts w:ascii="Arial" w:hAnsi="Arial" w:cs="Arial"/>
          <w:kern w:val="1"/>
          <w:sz w:val="22"/>
          <w:szCs w:val="22"/>
        </w:rPr>
        <w:t xml:space="preserve"> LA, Hermus AR, Peeters RP, Visser TJ, den </w:t>
      </w:r>
      <w:proofErr w:type="spellStart"/>
      <w:r w:rsidRPr="00DD448A">
        <w:rPr>
          <w:rFonts w:ascii="Arial" w:hAnsi="Arial" w:cs="Arial"/>
          <w:kern w:val="1"/>
          <w:sz w:val="22"/>
          <w:szCs w:val="22"/>
        </w:rPr>
        <w:t>Heijer</w:t>
      </w:r>
      <w:proofErr w:type="spellEnd"/>
      <w:r w:rsidRPr="00DD448A">
        <w:rPr>
          <w:rFonts w:ascii="Arial" w:hAnsi="Arial" w:cs="Arial"/>
          <w:kern w:val="1"/>
          <w:sz w:val="22"/>
          <w:szCs w:val="22"/>
        </w:rPr>
        <w:t xml:space="preserve"> M. Underestimation of effect of thyroid function parameters on morbidity and mortality due to intra-individual variation.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2011;96(12):E2014-2017.</w:t>
      </w:r>
    </w:p>
    <w:p w14:paraId="6E582CA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297.</w:t>
      </w:r>
      <w:r w:rsidRPr="00DD448A">
        <w:rPr>
          <w:rFonts w:ascii="Arial" w:hAnsi="Arial" w:cs="Arial"/>
          <w:kern w:val="1"/>
          <w:sz w:val="22"/>
          <w:szCs w:val="22"/>
        </w:rPr>
        <w:tab/>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TSH Reference Intervals: Their Importance and Complexity.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2024;34(8):957-959.</w:t>
      </w:r>
    </w:p>
    <w:p w14:paraId="47B5AF1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298.</w:t>
      </w:r>
      <w:r w:rsidRPr="00DD448A">
        <w:rPr>
          <w:rFonts w:ascii="Arial" w:hAnsi="Arial" w:cs="Arial"/>
          <w:kern w:val="1"/>
          <w:sz w:val="22"/>
          <w:szCs w:val="22"/>
        </w:rPr>
        <w:tab/>
        <w:t xml:space="preserve">Kuś A, </w:t>
      </w:r>
      <w:proofErr w:type="spellStart"/>
      <w:r w:rsidRPr="00DD448A">
        <w:rPr>
          <w:rFonts w:ascii="Arial" w:hAnsi="Arial" w:cs="Arial"/>
          <w:kern w:val="1"/>
          <w:sz w:val="22"/>
          <w:szCs w:val="22"/>
        </w:rPr>
        <w:t>Sterenborg</w:t>
      </w:r>
      <w:proofErr w:type="spellEnd"/>
      <w:r w:rsidRPr="00DD448A">
        <w:rPr>
          <w:rFonts w:ascii="Arial" w:hAnsi="Arial" w:cs="Arial"/>
          <w:kern w:val="1"/>
          <w:sz w:val="22"/>
          <w:szCs w:val="22"/>
        </w:rPr>
        <w:t xml:space="preserve"> R, Haug EB, </w:t>
      </w:r>
      <w:proofErr w:type="spellStart"/>
      <w:r w:rsidRPr="00DD448A">
        <w:rPr>
          <w:rFonts w:ascii="Arial" w:hAnsi="Arial" w:cs="Arial"/>
          <w:kern w:val="1"/>
          <w:sz w:val="22"/>
          <w:szCs w:val="22"/>
        </w:rPr>
        <w:t>Galesloot</w:t>
      </w:r>
      <w:proofErr w:type="spellEnd"/>
      <w:r w:rsidRPr="00DD448A">
        <w:rPr>
          <w:rFonts w:ascii="Arial" w:hAnsi="Arial" w:cs="Arial"/>
          <w:kern w:val="1"/>
          <w:sz w:val="22"/>
          <w:szCs w:val="22"/>
        </w:rPr>
        <w:t xml:space="preserve"> TE, Visser WE, Smit JWA, </w:t>
      </w:r>
      <w:proofErr w:type="spellStart"/>
      <w:r w:rsidRPr="00DD448A">
        <w:rPr>
          <w:rFonts w:ascii="Arial" w:hAnsi="Arial" w:cs="Arial"/>
          <w:kern w:val="1"/>
          <w:sz w:val="22"/>
          <w:szCs w:val="22"/>
        </w:rPr>
        <w:t>Bednarczuk</w:t>
      </w:r>
      <w:proofErr w:type="spellEnd"/>
      <w:r w:rsidRPr="00DD448A">
        <w:rPr>
          <w:rFonts w:ascii="Arial" w:hAnsi="Arial" w:cs="Arial"/>
          <w:kern w:val="1"/>
          <w:sz w:val="22"/>
          <w:szCs w:val="22"/>
        </w:rPr>
        <w:t xml:space="preserve"> T, Peeters RP, </w:t>
      </w:r>
      <w:proofErr w:type="spellStart"/>
      <w:r w:rsidRPr="00DD448A">
        <w:rPr>
          <w:rFonts w:ascii="Arial" w:hAnsi="Arial" w:cs="Arial"/>
          <w:kern w:val="1"/>
          <w:sz w:val="22"/>
          <w:szCs w:val="22"/>
        </w:rPr>
        <w:t>Åsvold</w:t>
      </w:r>
      <w:proofErr w:type="spellEnd"/>
      <w:r w:rsidRPr="00DD448A">
        <w:rPr>
          <w:rFonts w:ascii="Arial" w:hAnsi="Arial" w:cs="Arial"/>
          <w:kern w:val="1"/>
          <w:sz w:val="22"/>
          <w:szCs w:val="22"/>
        </w:rPr>
        <w:t xml:space="preserve"> BO, Teumer A, Medici M. Towards Personalized TSH Reference Ranges: A Genetic and Population-Based Approach in Three Independent Cohorts.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2024;34(8):969-979.</w:t>
      </w:r>
    </w:p>
    <w:p w14:paraId="200B475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299.</w:t>
      </w:r>
      <w:r w:rsidRPr="00DD448A">
        <w:rPr>
          <w:rFonts w:ascii="Arial" w:hAnsi="Arial" w:cs="Arial"/>
          <w:kern w:val="1"/>
          <w:sz w:val="22"/>
          <w:szCs w:val="22"/>
        </w:rPr>
        <w:tab/>
        <w:t xml:space="preserve">Biondi B, Cooper DS. The clinical significance of subclinical thyroid dysfunction.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2008;29(1):76-131.</w:t>
      </w:r>
    </w:p>
    <w:p w14:paraId="6BBCDF1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300.</w:t>
      </w:r>
      <w:r w:rsidRPr="00DD448A">
        <w:rPr>
          <w:rFonts w:ascii="Arial" w:hAnsi="Arial" w:cs="Arial"/>
          <w:kern w:val="1"/>
          <w:sz w:val="22"/>
          <w:szCs w:val="22"/>
        </w:rPr>
        <w:tab/>
        <w:t xml:space="preserve">Coene KL, Demir AY, Broeren MA, </w:t>
      </w:r>
      <w:proofErr w:type="spellStart"/>
      <w:r w:rsidRPr="00DD448A">
        <w:rPr>
          <w:rFonts w:ascii="Arial" w:hAnsi="Arial" w:cs="Arial"/>
          <w:kern w:val="1"/>
          <w:sz w:val="22"/>
          <w:szCs w:val="22"/>
        </w:rPr>
        <w:t>Verschuure</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Lentjes</w:t>
      </w:r>
      <w:proofErr w:type="spellEnd"/>
      <w:r w:rsidRPr="00DD448A">
        <w:rPr>
          <w:rFonts w:ascii="Arial" w:hAnsi="Arial" w:cs="Arial"/>
          <w:kern w:val="1"/>
          <w:sz w:val="22"/>
          <w:szCs w:val="22"/>
        </w:rPr>
        <w:t xml:space="preserve"> EG, Boer AK. Subclinical hypothyroidism: a 'laboratory-induced' condition?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2015;173(4):499-505.</w:t>
      </w:r>
    </w:p>
    <w:p w14:paraId="47C6A9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301.</w:t>
      </w:r>
      <w:r w:rsidRPr="00DD448A">
        <w:rPr>
          <w:rFonts w:ascii="Arial" w:hAnsi="Arial" w:cs="Arial"/>
          <w:kern w:val="1"/>
          <w:sz w:val="22"/>
          <w:szCs w:val="22"/>
        </w:rPr>
        <w:tab/>
        <w:t xml:space="preserve">Stöckl D, Van </w:t>
      </w:r>
      <w:proofErr w:type="spellStart"/>
      <w:r w:rsidRPr="00DD448A">
        <w:rPr>
          <w:rFonts w:ascii="Arial" w:hAnsi="Arial" w:cs="Arial"/>
          <w:kern w:val="1"/>
          <w:sz w:val="22"/>
          <w:szCs w:val="22"/>
        </w:rPr>
        <w:t>Uytfanghe</w:t>
      </w:r>
      <w:proofErr w:type="spellEnd"/>
      <w:r w:rsidRPr="00DD448A">
        <w:rPr>
          <w:rFonts w:ascii="Arial" w:hAnsi="Arial" w:cs="Arial"/>
          <w:kern w:val="1"/>
          <w:sz w:val="22"/>
          <w:szCs w:val="22"/>
        </w:rPr>
        <w:t xml:space="preserve"> K, Van Aelst S, </w:t>
      </w:r>
      <w:proofErr w:type="spellStart"/>
      <w:r w:rsidRPr="00DD448A">
        <w:rPr>
          <w:rFonts w:ascii="Arial" w:hAnsi="Arial" w:cs="Arial"/>
          <w:kern w:val="1"/>
          <w:sz w:val="22"/>
          <w:szCs w:val="22"/>
        </w:rPr>
        <w:t>Thienpont</w:t>
      </w:r>
      <w:proofErr w:type="spellEnd"/>
      <w:r w:rsidRPr="00DD448A">
        <w:rPr>
          <w:rFonts w:ascii="Arial" w:hAnsi="Arial" w:cs="Arial"/>
          <w:kern w:val="1"/>
          <w:sz w:val="22"/>
          <w:szCs w:val="22"/>
        </w:rPr>
        <w:t xml:space="preserve"> LM. A statistical basis for harmonization of thyroid stimulating hormone immunoassays using a robust factor analysis model.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2014;52(7):965-972.</w:t>
      </w:r>
    </w:p>
    <w:p w14:paraId="2B54218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302.</w:t>
      </w:r>
      <w:r w:rsidRPr="00DD448A">
        <w:rPr>
          <w:rFonts w:ascii="Arial" w:hAnsi="Arial" w:cs="Arial"/>
          <w:kern w:val="1"/>
          <w:sz w:val="22"/>
          <w:szCs w:val="22"/>
        </w:rPr>
        <w:tab/>
        <w:t xml:space="preserve">Strich D, </w:t>
      </w:r>
      <w:proofErr w:type="spellStart"/>
      <w:r w:rsidRPr="00DD448A">
        <w:rPr>
          <w:rFonts w:ascii="Arial" w:hAnsi="Arial" w:cs="Arial"/>
          <w:kern w:val="1"/>
          <w:sz w:val="22"/>
          <w:szCs w:val="22"/>
        </w:rPr>
        <w:t>Karavani</w:t>
      </w:r>
      <w:proofErr w:type="spellEnd"/>
      <w:r w:rsidRPr="00DD448A">
        <w:rPr>
          <w:rFonts w:ascii="Arial" w:hAnsi="Arial" w:cs="Arial"/>
          <w:kern w:val="1"/>
          <w:sz w:val="22"/>
          <w:szCs w:val="22"/>
        </w:rPr>
        <w:t xml:space="preserve"> G, Levin S, Edri S, Gillis D. Normal limits for serum thyrotropin vary greatly depending on method.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2016;85(1):110-115.</w:t>
      </w:r>
    </w:p>
    <w:p w14:paraId="5595E74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303.</w:t>
      </w:r>
      <w:r w:rsidRPr="00DD448A">
        <w:rPr>
          <w:rFonts w:ascii="Arial" w:hAnsi="Arial" w:cs="Arial"/>
          <w:kern w:val="1"/>
          <w:sz w:val="22"/>
          <w:szCs w:val="22"/>
        </w:rPr>
        <w:tab/>
        <w:t xml:space="preserve">Solberg HE. The IFCC recommendation on estimation of reference intervals. The </w:t>
      </w:r>
      <w:proofErr w:type="spellStart"/>
      <w:r w:rsidRPr="00DD448A">
        <w:rPr>
          <w:rFonts w:ascii="Arial" w:hAnsi="Arial" w:cs="Arial"/>
          <w:kern w:val="1"/>
          <w:sz w:val="22"/>
          <w:szCs w:val="22"/>
        </w:rPr>
        <w:t>RefVal</w:t>
      </w:r>
      <w:proofErr w:type="spellEnd"/>
      <w:r w:rsidRPr="00DD448A">
        <w:rPr>
          <w:rFonts w:ascii="Arial" w:hAnsi="Arial" w:cs="Arial"/>
          <w:kern w:val="1"/>
          <w:sz w:val="22"/>
          <w:szCs w:val="22"/>
        </w:rPr>
        <w:t xml:space="preserve"> program.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2004;42(7):710-714.</w:t>
      </w:r>
    </w:p>
    <w:p w14:paraId="72D7002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304.</w:t>
      </w:r>
      <w:r w:rsidRPr="00DD448A">
        <w:rPr>
          <w:rFonts w:ascii="Arial" w:hAnsi="Arial" w:cs="Arial"/>
          <w:kern w:val="1"/>
          <w:sz w:val="22"/>
          <w:szCs w:val="22"/>
        </w:rPr>
        <w:tab/>
      </w:r>
      <w:proofErr w:type="spellStart"/>
      <w:r w:rsidRPr="00DD448A">
        <w:rPr>
          <w:rFonts w:ascii="Arial" w:hAnsi="Arial" w:cs="Arial"/>
          <w:kern w:val="1"/>
          <w:sz w:val="22"/>
          <w:szCs w:val="22"/>
        </w:rPr>
        <w:t>Kahapola</w:t>
      </w:r>
      <w:proofErr w:type="spellEnd"/>
      <w:r w:rsidRPr="00DD448A">
        <w:rPr>
          <w:rFonts w:ascii="Arial" w:hAnsi="Arial" w:cs="Arial"/>
          <w:kern w:val="1"/>
          <w:sz w:val="22"/>
          <w:szCs w:val="22"/>
        </w:rPr>
        <w:t xml:space="preserve">-Arachchige KM, Hadlow N, Wardrop R, Lim EM, Walsh JP. Age-specific TSH reference ranges have minimal impact on the diagnosis of thyroid dysfunction.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2012;77(5):773-779.</w:t>
      </w:r>
    </w:p>
    <w:p w14:paraId="3D2D1B0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305.</w:t>
      </w:r>
      <w:r w:rsidRPr="00DD448A">
        <w:rPr>
          <w:rFonts w:ascii="Arial" w:hAnsi="Arial" w:cs="Arial"/>
          <w:kern w:val="1"/>
          <w:sz w:val="22"/>
          <w:szCs w:val="22"/>
        </w:rPr>
        <w:tab/>
        <w:t xml:space="preserve">Fan L, Bu Y, Chen S, Wang S, Zhang W, He Y, Sun D. Iodine nutritional status and its associations with thyroid function of pregnant women and neonatal TSH.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2024;15:1394306.</w:t>
      </w:r>
    </w:p>
    <w:p w14:paraId="0672ACF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306.</w:t>
      </w:r>
      <w:r w:rsidRPr="00DD448A">
        <w:rPr>
          <w:rFonts w:ascii="Arial" w:hAnsi="Arial" w:cs="Arial"/>
          <w:kern w:val="1"/>
          <w:sz w:val="22"/>
          <w:szCs w:val="22"/>
        </w:rPr>
        <w:tab/>
        <w:t xml:space="preserve">Jensen E, Hyltoft Petersen P, Blaabjerg O, Hansen PS, Brix TH, Kyvik KO, Hegedüs L. Establishment of a serum thyroid stimulating hormone (TSH) reference interval in healthy adults. The importance of environmental factors, including thyroid antibodies.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2004;42(7):824-832.</w:t>
      </w:r>
    </w:p>
    <w:p w14:paraId="786350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307.</w:t>
      </w:r>
      <w:r w:rsidRPr="00DD448A">
        <w:rPr>
          <w:rFonts w:ascii="Arial" w:hAnsi="Arial" w:cs="Arial"/>
          <w:kern w:val="1"/>
          <w:sz w:val="22"/>
          <w:szCs w:val="22"/>
        </w:rPr>
        <w:tab/>
        <w:t xml:space="preserve">Spencer CA, Hollowell JG, </w:t>
      </w:r>
      <w:proofErr w:type="spellStart"/>
      <w:r w:rsidRPr="00DD448A">
        <w:rPr>
          <w:rFonts w:ascii="Arial" w:hAnsi="Arial" w:cs="Arial"/>
          <w:kern w:val="1"/>
          <w:sz w:val="22"/>
          <w:szCs w:val="22"/>
        </w:rPr>
        <w:t>Kazarosyan</w:t>
      </w:r>
      <w:proofErr w:type="spellEnd"/>
      <w:r w:rsidRPr="00DD448A">
        <w:rPr>
          <w:rFonts w:ascii="Arial" w:hAnsi="Arial" w:cs="Arial"/>
          <w:kern w:val="1"/>
          <w:sz w:val="22"/>
          <w:szCs w:val="22"/>
        </w:rPr>
        <w:t xml:space="preserve"> M, Braverman LE. National Health and Nutrition Examination Survey III thyroid-stimulating hormone (TSH)-</w:t>
      </w:r>
      <w:proofErr w:type="spellStart"/>
      <w:r w:rsidRPr="00DD448A">
        <w:rPr>
          <w:rFonts w:ascii="Arial" w:hAnsi="Arial" w:cs="Arial"/>
          <w:kern w:val="1"/>
          <w:sz w:val="22"/>
          <w:szCs w:val="22"/>
        </w:rPr>
        <w:t>thyroperoxidase</w:t>
      </w:r>
      <w:proofErr w:type="spellEnd"/>
      <w:r w:rsidRPr="00DD448A">
        <w:rPr>
          <w:rFonts w:ascii="Arial" w:hAnsi="Arial" w:cs="Arial"/>
          <w:kern w:val="1"/>
          <w:sz w:val="22"/>
          <w:szCs w:val="22"/>
        </w:rPr>
        <w:t xml:space="preserve"> antibody relationships demonstrate that TSH upper reference limits may be skewed by occult thyroid dysfunction.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2007;92(11):4236-4240.</w:t>
      </w:r>
    </w:p>
    <w:p w14:paraId="151DFD1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308.</w:t>
      </w:r>
      <w:r w:rsidRPr="00DD448A">
        <w:rPr>
          <w:rFonts w:ascii="Arial" w:hAnsi="Arial" w:cs="Arial"/>
          <w:kern w:val="1"/>
          <w:sz w:val="22"/>
          <w:szCs w:val="22"/>
        </w:rPr>
        <w:tab/>
      </w:r>
      <w:proofErr w:type="spellStart"/>
      <w:r w:rsidRPr="00DD448A">
        <w:rPr>
          <w:rFonts w:ascii="Arial" w:hAnsi="Arial" w:cs="Arial"/>
          <w:kern w:val="1"/>
          <w:sz w:val="22"/>
          <w:szCs w:val="22"/>
        </w:rPr>
        <w:t>Surks</w:t>
      </w:r>
      <w:proofErr w:type="spellEnd"/>
      <w:r w:rsidRPr="00DD448A">
        <w:rPr>
          <w:rFonts w:ascii="Arial" w:hAnsi="Arial" w:cs="Arial"/>
          <w:kern w:val="1"/>
          <w:sz w:val="22"/>
          <w:szCs w:val="22"/>
        </w:rPr>
        <w:t xml:space="preserve"> MI, Hollowell JG. Age-specific distribution of serum thyrotropin and antithyroid antibodies in the US population: implications for the prevalence of subclinical hypothyroidism.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2007;92(12):4575-4582.</w:t>
      </w:r>
    </w:p>
    <w:p w14:paraId="3A823FE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309.</w:t>
      </w:r>
      <w:r w:rsidRPr="00DD448A">
        <w:rPr>
          <w:rFonts w:ascii="Arial" w:hAnsi="Arial" w:cs="Arial"/>
          <w:kern w:val="1"/>
          <w:sz w:val="22"/>
          <w:szCs w:val="22"/>
        </w:rPr>
        <w:tab/>
      </w:r>
      <w:proofErr w:type="spellStart"/>
      <w:r w:rsidRPr="00DD448A">
        <w:rPr>
          <w:rFonts w:ascii="Arial" w:hAnsi="Arial" w:cs="Arial"/>
          <w:kern w:val="1"/>
          <w:sz w:val="22"/>
          <w:szCs w:val="22"/>
        </w:rPr>
        <w:t>Surks</w:t>
      </w:r>
      <w:proofErr w:type="spellEnd"/>
      <w:r w:rsidRPr="00DD448A">
        <w:rPr>
          <w:rFonts w:ascii="Arial" w:hAnsi="Arial" w:cs="Arial"/>
          <w:kern w:val="1"/>
          <w:sz w:val="22"/>
          <w:szCs w:val="22"/>
        </w:rPr>
        <w:t xml:space="preserve"> MI, </w:t>
      </w:r>
      <w:proofErr w:type="spellStart"/>
      <w:r w:rsidRPr="00DD448A">
        <w:rPr>
          <w:rFonts w:ascii="Arial" w:hAnsi="Arial" w:cs="Arial"/>
          <w:kern w:val="1"/>
          <w:sz w:val="22"/>
          <w:szCs w:val="22"/>
        </w:rPr>
        <w:t>Boucai</w:t>
      </w:r>
      <w:proofErr w:type="spellEnd"/>
      <w:r w:rsidRPr="00DD448A">
        <w:rPr>
          <w:rFonts w:ascii="Arial" w:hAnsi="Arial" w:cs="Arial"/>
          <w:kern w:val="1"/>
          <w:sz w:val="22"/>
          <w:szCs w:val="22"/>
        </w:rPr>
        <w:t xml:space="preserve"> L. Age- and race-based serum thyrotropin reference limits.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2010;95(2):496-502.</w:t>
      </w:r>
    </w:p>
    <w:p w14:paraId="31D9784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310.</w:t>
      </w:r>
      <w:r w:rsidRPr="00DD448A">
        <w:rPr>
          <w:rFonts w:ascii="Arial" w:hAnsi="Arial" w:cs="Arial"/>
          <w:kern w:val="1"/>
          <w:sz w:val="22"/>
          <w:szCs w:val="22"/>
        </w:rPr>
        <w:tab/>
        <w:t xml:space="preserve">Sletner L, </w:t>
      </w:r>
      <w:proofErr w:type="spellStart"/>
      <w:r w:rsidRPr="00DD448A">
        <w:rPr>
          <w:rFonts w:ascii="Arial" w:hAnsi="Arial" w:cs="Arial"/>
          <w:kern w:val="1"/>
          <w:sz w:val="22"/>
          <w:szCs w:val="22"/>
        </w:rPr>
        <w:t>Jenum</w:t>
      </w:r>
      <w:proofErr w:type="spellEnd"/>
      <w:r w:rsidRPr="00DD448A">
        <w:rPr>
          <w:rFonts w:ascii="Arial" w:hAnsi="Arial" w:cs="Arial"/>
          <w:kern w:val="1"/>
          <w:sz w:val="22"/>
          <w:szCs w:val="22"/>
        </w:rPr>
        <w:t xml:space="preserve"> AK, </w:t>
      </w:r>
      <w:proofErr w:type="spellStart"/>
      <w:r w:rsidRPr="00DD448A">
        <w:rPr>
          <w:rFonts w:ascii="Arial" w:hAnsi="Arial" w:cs="Arial"/>
          <w:kern w:val="1"/>
          <w:sz w:val="22"/>
          <w:szCs w:val="22"/>
        </w:rPr>
        <w:t>Qvigstad</w:t>
      </w:r>
      <w:proofErr w:type="spellEnd"/>
      <w:r w:rsidRPr="00DD448A">
        <w:rPr>
          <w:rFonts w:ascii="Arial" w:hAnsi="Arial" w:cs="Arial"/>
          <w:kern w:val="1"/>
          <w:sz w:val="22"/>
          <w:szCs w:val="22"/>
        </w:rPr>
        <w:t xml:space="preserve"> E, Hammerstad SS. Thyroid Function During Pregnancy in A Multiethnic Population in Norway.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Soc</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2021;5(7):bvab078.</w:t>
      </w:r>
    </w:p>
    <w:p w14:paraId="7EE6FD1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311.</w:t>
      </w:r>
      <w:r w:rsidRPr="00DD448A">
        <w:rPr>
          <w:rFonts w:ascii="Arial" w:hAnsi="Arial" w:cs="Arial"/>
          <w:kern w:val="1"/>
          <w:sz w:val="22"/>
          <w:szCs w:val="22"/>
        </w:rPr>
        <w:tab/>
        <w:t xml:space="preserve">Vejbjerg P, Knudsen N, Perrild H, </w:t>
      </w:r>
      <w:proofErr w:type="spellStart"/>
      <w:r w:rsidRPr="00DD448A">
        <w:rPr>
          <w:rFonts w:ascii="Arial" w:hAnsi="Arial" w:cs="Arial"/>
          <w:kern w:val="1"/>
          <w:sz w:val="22"/>
          <w:szCs w:val="22"/>
        </w:rPr>
        <w:t>Carlé</w:t>
      </w:r>
      <w:proofErr w:type="spellEnd"/>
      <w:r w:rsidRPr="00DD448A">
        <w:rPr>
          <w:rFonts w:ascii="Arial" w:hAnsi="Arial" w:cs="Arial"/>
          <w:kern w:val="1"/>
          <w:sz w:val="22"/>
          <w:szCs w:val="22"/>
        </w:rPr>
        <w:t xml:space="preserve"> A, Laurberg P, Pedersen IB, Rasmussen LB, Ovesen L, Jørgensen T. The impact of smoking on thyroid volume and function in relation to a shift towards iodine sufficiency.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Epidemiol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2008;23(6):423-429.</w:t>
      </w:r>
    </w:p>
    <w:p w14:paraId="7E889DB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312.</w:t>
      </w:r>
      <w:r w:rsidRPr="00DD448A">
        <w:rPr>
          <w:rFonts w:ascii="Arial" w:hAnsi="Arial" w:cs="Arial"/>
          <w:kern w:val="1"/>
          <w:sz w:val="22"/>
          <w:szCs w:val="22"/>
        </w:rPr>
        <w:tab/>
      </w:r>
      <w:proofErr w:type="spellStart"/>
      <w:r w:rsidRPr="00DD448A">
        <w:rPr>
          <w:rFonts w:ascii="Arial" w:hAnsi="Arial" w:cs="Arial"/>
          <w:kern w:val="1"/>
          <w:sz w:val="22"/>
          <w:szCs w:val="22"/>
        </w:rPr>
        <w:t>Ittermann</w:t>
      </w:r>
      <w:proofErr w:type="spellEnd"/>
      <w:r w:rsidRPr="00DD448A">
        <w:rPr>
          <w:rFonts w:ascii="Arial" w:hAnsi="Arial" w:cs="Arial"/>
          <w:kern w:val="1"/>
          <w:sz w:val="22"/>
          <w:szCs w:val="22"/>
        </w:rPr>
        <w:t xml:space="preserve"> T, Khattak RM, Nauck M, Cordova CM, </w:t>
      </w:r>
      <w:proofErr w:type="spellStart"/>
      <w:r w:rsidRPr="00DD448A">
        <w:rPr>
          <w:rFonts w:ascii="Arial" w:hAnsi="Arial" w:cs="Arial"/>
          <w:kern w:val="1"/>
          <w:sz w:val="22"/>
          <w:szCs w:val="22"/>
        </w:rPr>
        <w:t>Völzke</w:t>
      </w:r>
      <w:proofErr w:type="spellEnd"/>
      <w:r w:rsidRPr="00DD448A">
        <w:rPr>
          <w:rFonts w:ascii="Arial" w:hAnsi="Arial" w:cs="Arial"/>
          <w:kern w:val="1"/>
          <w:sz w:val="22"/>
          <w:szCs w:val="22"/>
        </w:rPr>
        <w:t xml:space="preserve"> H. Shift of the TSH reference range with improved iodine supply in Northeast Germany.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2015;172(3):261-267.</w:t>
      </w:r>
    </w:p>
    <w:p w14:paraId="5A177C6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313.</w:t>
      </w:r>
      <w:r w:rsidRPr="00DD448A">
        <w:rPr>
          <w:rFonts w:ascii="Arial" w:hAnsi="Arial" w:cs="Arial"/>
          <w:kern w:val="1"/>
          <w:sz w:val="22"/>
          <w:szCs w:val="22"/>
        </w:rPr>
        <w:tab/>
      </w:r>
      <w:proofErr w:type="spellStart"/>
      <w:r w:rsidRPr="00DD448A">
        <w:rPr>
          <w:rFonts w:ascii="Arial" w:hAnsi="Arial" w:cs="Arial"/>
          <w:kern w:val="1"/>
          <w:sz w:val="22"/>
          <w:szCs w:val="22"/>
        </w:rPr>
        <w:t>Nyrnes</w:t>
      </w:r>
      <w:proofErr w:type="spellEnd"/>
      <w:r w:rsidRPr="00DD448A">
        <w:rPr>
          <w:rFonts w:ascii="Arial" w:hAnsi="Arial" w:cs="Arial"/>
          <w:kern w:val="1"/>
          <w:sz w:val="22"/>
          <w:szCs w:val="22"/>
        </w:rPr>
        <w:t xml:space="preserve"> A, Jorde R, </w:t>
      </w:r>
      <w:proofErr w:type="spellStart"/>
      <w:r w:rsidRPr="00DD448A">
        <w:rPr>
          <w:rFonts w:ascii="Arial" w:hAnsi="Arial" w:cs="Arial"/>
          <w:kern w:val="1"/>
          <w:sz w:val="22"/>
          <w:szCs w:val="22"/>
        </w:rPr>
        <w:t>Sundsfjord</w:t>
      </w:r>
      <w:proofErr w:type="spellEnd"/>
      <w:r w:rsidRPr="00DD448A">
        <w:rPr>
          <w:rFonts w:ascii="Arial" w:hAnsi="Arial" w:cs="Arial"/>
          <w:kern w:val="1"/>
          <w:sz w:val="22"/>
          <w:szCs w:val="22"/>
        </w:rPr>
        <w:t xml:space="preserve"> J. Serum TSH is positively associated with BMI. </w:t>
      </w:r>
      <w:r w:rsidRPr="00DD448A">
        <w:rPr>
          <w:rFonts w:ascii="Arial" w:hAnsi="Arial" w:cs="Arial"/>
          <w:iCs/>
          <w:kern w:val="1"/>
          <w:sz w:val="22"/>
          <w:szCs w:val="22"/>
        </w:rPr>
        <w:t xml:space="preserve">Int J </w:t>
      </w:r>
      <w:proofErr w:type="spellStart"/>
      <w:r w:rsidRPr="00DD448A">
        <w:rPr>
          <w:rFonts w:ascii="Arial" w:hAnsi="Arial" w:cs="Arial"/>
          <w:iCs/>
          <w:kern w:val="1"/>
          <w:sz w:val="22"/>
          <w:szCs w:val="22"/>
        </w:rPr>
        <w:t>Obes</w:t>
      </w:r>
      <w:proofErr w:type="spellEnd"/>
      <w:r w:rsidRPr="00DD448A">
        <w:rPr>
          <w:rFonts w:ascii="Arial" w:hAnsi="Arial" w:cs="Arial"/>
          <w:iCs/>
          <w:kern w:val="1"/>
          <w:sz w:val="22"/>
          <w:szCs w:val="22"/>
        </w:rPr>
        <w:t xml:space="preserve"> (Lond)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2006;30(1):100-105.</w:t>
      </w:r>
    </w:p>
    <w:p w14:paraId="520D40A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314.</w:t>
      </w:r>
      <w:r w:rsidRPr="00DD448A">
        <w:rPr>
          <w:rFonts w:ascii="Arial" w:hAnsi="Arial" w:cs="Arial"/>
          <w:kern w:val="1"/>
          <w:sz w:val="22"/>
          <w:szCs w:val="22"/>
        </w:rPr>
        <w:tab/>
        <w:t xml:space="preserve">Duntas LH, Biondi B. The interconnections between obesity, thyroid function, and autoimmunity: the multifold role of leptin.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2013;23(6):646-653.</w:t>
      </w:r>
    </w:p>
    <w:p w14:paraId="6177404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315.</w:t>
      </w:r>
      <w:r w:rsidRPr="00DD448A">
        <w:rPr>
          <w:rFonts w:ascii="Arial" w:hAnsi="Arial" w:cs="Arial"/>
          <w:kern w:val="1"/>
          <w:sz w:val="22"/>
          <w:szCs w:val="22"/>
        </w:rPr>
        <w:tab/>
        <w:t xml:space="preserve">Soldin OP, Goughenour BE, Gilbert SZ, Landy HJ, Soldin SJ. Thyroid hormone levels associated with active and passive cigarette smoking.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2009;19(8):817-823.</w:t>
      </w:r>
    </w:p>
    <w:p w14:paraId="36EADC2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316.</w:t>
      </w:r>
      <w:r w:rsidRPr="00DD448A">
        <w:rPr>
          <w:rFonts w:ascii="Arial" w:hAnsi="Arial" w:cs="Arial"/>
          <w:kern w:val="1"/>
          <w:sz w:val="22"/>
          <w:szCs w:val="22"/>
        </w:rPr>
        <w:tab/>
      </w:r>
      <w:proofErr w:type="spellStart"/>
      <w:r w:rsidRPr="00DD448A">
        <w:rPr>
          <w:rFonts w:ascii="Arial" w:hAnsi="Arial" w:cs="Arial"/>
          <w:kern w:val="1"/>
          <w:sz w:val="22"/>
          <w:szCs w:val="22"/>
        </w:rPr>
        <w:t>Raverot</w:t>
      </w:r>
      <w:proofErr w:type="spellEnd"/>
      <w:r w:rsidRPr="00DD448A">
        <w:rPr>
          <w:rFonts w:ascii="Arial" w:hAnsi="Arial" w:cs="Arial"/>
          <w:kern w:val="1"/>
          <w:sz w:val="22"/>
          <w:szCs w:val="22"/>
        </w:rPr>
        <w:t xml:space="preserve"> V, Bonjour M, </w:t>
      </w:r>
      <w:proofErr w:type="spellStart"/>
      <w:r w:rsidRPr="00DD448A">
        <w:rPr>
          <w:rFonts w:ascii="Arial" w:hAnsi="Arial" w:cs="Arial"/>
          <w:kern w:val="1"/>
          <w:sz w:val="22"/>
          <w:szCs w:val="22"/>
        </w:rPr>
        <w:t>Abeillon</w:t>
      </w:r>
      <w:proofErr w:type="spellEnd"/>
      <w:r w:rsidRPr="00DD448A">
        <w:rPr>
          <w:rFonts w:ascii="Arial" w:hAnsi="Arial" w:cs="Arial"/>
          <w:kern w:val="1"/>
          <w:sz w:val="22"/>
          <w:szCs w:val="22"/>
        </w:rPr>
        <w:t xml:space="preserve"> du </w:t>
      </w:r>
      <w:proofErr w:type="spellStart"/>
      <w:r w:rsidRPr="00DD448A">
        <w:rPr>
          <w:rFonts w:ascii="Arial" w:hAnsi="Arial" w:cs="Arial"/>
          <w:kern w:val="1"/>
          <w:sz w:val="22"/>
          <w:szCs w:val="22"/>
        </w:rPr>
        <w:t>Payrat</w:t>
      </w:r>
      <w:proofErr w:type="spellEnd"/>
      <w:r w:rsidRPr="00DD448A">
        <w:rPr>
          <w:rFonts w:ascii="Arial" w:hAnsi="Arial" w:cs="Arial"/>
          <w:kern w:val="1"/>
          <w:sz w:val="22"/>
          <w:szCs w:val="22"/>
        </w:rPr>
        <w:t xml:space="preserve"> J, Perrin P, </w:t>
      </w:r>
      <w:proofErr w:type="spellStart"/>
      <w:r w:rsidRPr="00DD448A">
        <w:rPr>
          <w:rFonts w:ascii="Arial" w:hAnsi="Arial" w:cs="Arial"/>
          <w:kern w:val="1"/>
          <w:sz w:val="22"/>
          <w:szCs w:val="22"/>
        </w:rPr>
        <w:t>Roucher</w:t>
      </w:r>
      <w:proofErr w:type="spellEnd"/>
      <w:r w:rsidRPr="00DD448A">
        <w:rPr>
          <w:rFonts w:ascii="Arial" w:hAnsi="Arial" w:cs="Arial"/>
          <w:kern w:val="1"/>
          <w:sz w:val="22"/>
          <w:szCs w:val="22"/>
        </w:rPr>
        <w:t xml:space="preserve">-Boulez F, </w:t>
      </w:r>
      <w:proofErr w:type="spellStart"/>
      <w:r w:rsidRPr="00DD448A">
        <w:rPr>
          <w:rFonts w:ascii="Arial" w:hAnsi="Arial" w:cs="Arial"/>
          <w:kern w:val="1"/>
          <w:sz w:val="22"/>
          <w:szCs w:val="22"/>
        </w:rPr>
        <w:t>Lasolle</w:t>
      </w:r>
      <w:proofErr w:type="spellEnd"/>
      <w:r w:rsidRPr="00DD448A">
        <w:rPr>
          <w:rFonts w:ascii="Arial" w:hAnsi="Arial" w:cs="Arial"/>
          <w:kern w:val="1"/>
          <w:sz w:val="22"/>
          <w:szCs w:val="22"/>
        </w:rPr>
        <w:t xml:space="preserve"> H, </w:t>
      </w:r>
      <w:proofErr w:type="spellStart"/>
      <w:r w:rsidRPr="00DD448A">
        <w:rPr>
          <w:rFonts w:ascii="Arial" w:hAnsi="Arial" w:cs="Arial"/>
          <w:kern w:val="1"/>
          <w:sz w:val="22"/>
          <w:szCs w:val="22"/>
        </w:rPr>
        <w:t>Subtil</w:t>
      </w:r>
      <w:proofErr w:type="spellEnd"/>
      <w:r w:rsidRPr="00DD448A">
        <w:rPr>
          <w:rFonts w:ascii="Arial" w:hAnsi="Arial" w:cs="Arial"/>
          <w:kern w:val="1"/>
          <w:sz w:val="22"/>
          <w:szCs w:val="22"/>
        </w:rPr>
        <w:t xml:space="preserve"> F, Borson-</w:t>
      </w:r>
      <w:proofErr w:type="spellStart"/>
      <w:r w:rsidRPr="00DD448A">
        <w:rPr>
          <w:rFonts w:ascii="Arial" w:hAnsi="Arial" w:cs="Arial"/>
          <w:kern w:val="1"/>
          <w:sz w:val="22"/>
          <w:szCs w:val="22"/>
        </w:rPr>
        <w:t>Chazot</w:t>
      </w:r>
      <w:proofErr w:type="spellEnd"/>
      <w:r w:rsidRPr="00DD448A">
        <w:rPr>
          <w:rFonts w:ascii="Arial" w:hAnsi="Arial" w:cs="Arial"/>
          <w:kern w:val="1"/>
          <w:sz w:val="22"/>
          <w:szCs w:val="22"/>
        </w:rPr>
        <w:t xml:space="preserve"> F. Age- and Sex-Specific TSH Upper-Limit Reference Intervals in the General French Population: There Is a Need to Adjust Our Actual Practices. </w:t>
      </w:r>
      <w:r w:rsidRPr="00DD448A">
        <w:rPr>
          <w:rFonts w:ascii="Arial" w:hAnsi="Arial" w:cs="Arial"/>
          <w:iCs/>
          <w:kern w:val="1"/>
          <w:sz w:val="22"/>
          <w:szCs w:val="22"/>
        </w:rPr>
        <w:t>J Clin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2020;9(3).</w:t>
      </w:r>
    </w:p>
    <w:p w14:paraId="6B0CD2F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317.</w:t>
      </w:r>
      <w:r w:rsidRPr="00DD448A">
        <w:rPr>
          <w:rFonts w:ascii="Arial" w:hAnsi="Arial" w:cs="Arial"/>
          <w:kern w:val="1"/>
          <w:sz w:val="22"/>
          <w:szCs w:val="22"/>
        </w:rPr>
        <w:tab/>
        <w:t xml:space="preserve">Meisinger C, </w:t>
      </w:r>
      <w:proofErr w:type="spellStart"/>
      <w:r w:rsidRPr="00DD448A">
        <w:rPr>
          <w:rFonts w:ascii="Arial" w:hAnsi="Arial" w:cs="Arial"/>
          <w:kern w:val="1"/>
          <w:sz w:val="22"/>
          <w:szCs w:val="22"/>
        </w:rPr>
        <w:t>Ittermann</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Wallaschofski</w:t>
      </w:r>
      <w:proofErr w:type="spellEnd"/>
      <w:r w:rsidRPr="00DD448A">
        <w:rPr>
          <w:rFonts w:ascii="Arial" w:hAnsi="Arial" w:cs="Arial"/>
          <w:kern w:val="1"/>
          <w:sz w:val="22"/>
          <w:szCs w:val="22"/>
        </w:rPr>
        <w:t xml:space="preserve"> H, Heier M, Below H, Kramer A, Döring A, Nauck M, </w:t>
      </w:r>
      <w:proofErr w:type="spellStart"/>
      <w:r w:rsidRPr="00DD448A">
        <w:rPr>
          <w:rFonts w:ascii="Arial" w:hAnsi="Arial" w:cs="Arial"/>
          <w:kern w:val="1"/>
          <w:sz w:val="22"/>
          <w:szCs w:val="22"/>
        </w:rPr>
        <w:t>Völzke</w:t>
      </w:r>
      <w:proofErr w:type="spellEnd"/>
      <w:r w:rsidRPr="00DD448A">
        <w:rPr>
          <w:rFonts w:ascii="Arial" w:hAnsi="Arial" w:cs="Arial"/>
          <w:kern w:val="1"/>
          <w:sz w:val="22"/>
          <w:szCs w:val="22"/>
        </w:rPr>
        <w:t xml:space="preserve"> H. Geographic variations in the frequency of thyroid disorders and thyroid peroxidase antibodies in persons without former thyroid disease within Germany.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2012;167(3):363-371.</w:t>
      </w:r>
    </w:p>
    <w:p w14:paraId="6606C8F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318.</w:t>
      </w:r>
      <w:r w:rsidRPr="00DD448A">
        <w:rPr>
          <w:rFonts w:ascii="Arial" w:hAnsi="Arial" w:cs="Arial"/>
          <w:kern w:val="1"/>
          <w:sz w:val="22"/>
          <w:szCs w:val="22"/>
        </w:rPr>
        <w:tab/>
      </w:r>
      <w:proofErr w:type="spellStart"/>
      <w:r w:rsidRPr="00DD448A">
        <w:rPr>
          <w:rFonts w:ascii="Arial" w:hAnsi="Arial" w:cs="Arial"/>
          <w:kern w:val="1"/>
          <w:sz w:val="22"/>
          <w:szCs w:val="22"/>
        </w:rPr>
        <w:t>Berghout</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Wiersinga</w:t>
      </w:r>
      <w:proofErr w:type="spellEnd"/>
      <w:r w:rsidRPr="00DD448A">
        <w:rPr>
          <w:rFonts w:ascii="Arial" w:hAnsi="Arial" w:cs="Arial"/>
          <w:kern w:val="1"/>
          <w:sz w:val="22"/>
          <w:szCs w:val="22"/>
        </w:rPr>
        <w:t xml:space="preserve"> WM, Smits NJ, </w:t>
      </w:r>
      <w:proofErr w:type="spellStart"/>
      <w:r w:rsidRPr="00DD448A">
        <w:rPr>
          <w:rFonts w:ascii="Arial" w:hAnsi="Arial" w:cs="Arial"/>
          <w:kern w:val="1"/>
          <w:sz w:val="22"/>
          <w:szCs w:val="22"/>
        </w:rPr>
        <w:t>touber</w:t>
      </w:r>
      <w:proofErr w:type="spellEnd"/>
      <w:r w:rsidRPr="00DD448A">
        <w:rPr>
          <w:rFonts w:ascii="Arial" w:hAnsi="Arial" w:cs="Arial"/>
          <w:kern w:val="1"/>
          <w:sz w:val="22"/>
          <w:szCs w:val="22"/>
        </w:rPr>
        <w:t xml:space="preserve"> JL. Interrelationships between age, thyroid volume, thyroid nodularity, and thyroid function in patients with sporadic nontoxic goiter. </w:t>
      </w:r>
      <w:r w:rsidRPr="00DD448A">
        <w:rPr>
          <w:rFonts w:ascii="Arial" w:hAnsi="Arial" w:cs="Arial"/>
          <w:iCs/>
          <w:kern w:val="1"/>
          <w:sz w:val="22"/>
          <w:szCs w:val="22"/>
        </w:rPr>
        <w:t>Amer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1990;89:602-608.</w:t>
      </w:r>
    </w:p>
    <w:p w14:paraId="2D58873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319.</w:t>
      </w:r>
      <w:r w:rsidRPr="00DD448A">
        <w:rPr>
          <w:rFonts w:ascii="Arial" w:hAnsi="Arial" w:cs="Arial"/>
          <w:kern w:val="1"/>
          <w:sz w:val="22"/>
          <w:szCs w:val="22"/>
        </w:rPr>
        <w:tab/>
        <w:t xml:space="preserve">Atzmon G, Barzilai N, Hollowell JG, </w:t>
      </w:r>
      <w:proofErr w:type="spellStart"/>
      <w:r w:rsidRPr="00DD448A">
        <w:rPr>
          <w:rFonts w:ascii="Arial" w:hAnsi="Arial" w:cs="Arial"/>
          <w:kern w:val="1"/>
          <w:sz w:val="22"/>
          <w:szCs w:val="22"/>
        </w:rPr>
        <w:t>Surks</w:t>
      </w:r>
      <w:proofErr w:type="spellEnd"/>
      <w:r w:rsidRPr="00DD448A">
        <w:rPr>
          <w:rFonts w:ascii="Arial" w:hAnsi="Arial" w:cs="Arial"/>
          <w:kern w:val="1"/>
          <w:sz w:val="22"/>
          <w:szCs w:val="22"/>
        </w:rPr>
        <w:t xml:space="preserve"> MI, Gabriely I. Extreme longevity is associated with increased serum thyrotropin.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2009;94(4):1251-1254.</w:t>
      </w:r>
    </w:p>
    <w:p w14:paraId="384840D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320.</w:t>
      </w:r>
      <w:r w:rsidRPr="00DD448A">
        <w:rPr>
          <w:rFonts w:ascii="Arial" w:hAnsi="Arial" w:cs="Arial"/>
          <w:kern w:val="1"/>
          <w:sz w:val="22"/>
          <w:szCs w:val="22"/>
        </w:rPr>
        <w:tab/>
      </w:r>
      <w:proofErr w:type="spellStart"/>
      <w:r w:rsidRPr="00DD448A">
        <w:rPr>
          <w:rFonts w:ascii="Arial" w:hAnsi="Arial" w:cs="Arial"/>
          <w:kern w:val="1"/>
          <w:sz w:val="22"/>
          <w:szCs w:val="22"/>
        </w:rPr>
        <w:t>Akirov</w:t>
      </w:r>
      <w:proofErr w:type="spellEnd"/>
      <w:r w:rsidRPr="00DD448A">
        <w:rPr>
          <w:rFonts w:ascii="Arial" w:hAnsi="Arial" w:cs="Arial"/>
          <w:kern w:val="1"/>
          <w:sz w:val="22"/>
          <w:szCs w:val="22"/>
        </w:rPr>
        <w:t xml:space="preserve"> A, Gimbel H, Grossman A, Shochat T, Shimon I. Elevated TSH in adults treated for hypothyroidism is associated with increased mortality.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2017;176(1):57-66.</w:t>
      </w:r>
    </w:p>
    <w:p w14:paraId="46ED501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321.</w:t>
      </w:r>
      <w:r w:rsidRPr="00DD448A">
        <w:rPr>
          <w:rFonts w:ascii="Arial" w:hAnsi="Arial" w:cs="Arial"/>
          <w:kern w:val="1"/>
          <w:sz w:val="22"/>
          <w:szCs w:val="22"/>
        </w:rPr>
        <w:tab/>
        <w:t xml:space="preserve">Somwaru LL, </w:t>
      </w:r>
      <w:proofErr w:type="spellStart"/>
      <w:r w:rsidRPr="00DD448A">
        <w:rPr>
          <w:rFonts w:ascii="Arial" w:hAnsi="Arial" w:cs="Arial"/>
          <w:kern w:val="1"/>
          <w:sz w:val="22"/>
          <w:szCs w:val="22"/>
        </w:rPr>
        <w:t>Rariy</w:t>
      </w:r>
      <w:proofErr w:type="spellEnd"/>
      <w:r w:rsidRPr="00DD448A">
        <w:rPr>
          <w:rFonts w:ascii="Arial" w:hAnsi="Arial" w:cs="Arial"/>
          <w:kern w:val="1"/>
          <w:sz w:val="22"/>
          <w:szCs w:val="22"/>
        </w:rPr>
        <w:t xml:space="preserve"> CM, Arnold AM, Cappola AR. The natural history of subclinical hypothyroidism in the elderly: the cardiovascular health study.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2012;97(6):1962-1969.</w:t>
      </w:r>
    </w:p>
    <w:p w14:paraId="1926CBE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322.</w:t>
      </w:r>
      <w:r w:rsidRPr="00DD448A">
        <w:rPr>
          <w:rFonts w:ascii="Arial" w:hAnsi="Arial" w:cs="Arial"/>
          <w:kern w:val="1"/>
          <w:sz w:val="22"/>
          <w:szCs w:val="22"/>
        </w:rPr>
        <w:tab/>
      </w:r>
      <w:proofErr w:type="spellStart"/>
      <w:r w:rsidRPr="00DD448A">
        <w:rPr>
          <w:rFonts w:ascii="Arial" w:hAnsi="Arial" w:cs="Arial"/>
          <w:kern w:val="1"/>
          <w:sz w:val="22"/>
          <w:szCs w:val="22"/>
        </w:rPr>
        <w:t>Kapelari</w:t>
      </w:r>
      <w:proofErr w:type="spellEnd"/>
      <w:r w:rsidRPr="00DD448A">
        <w:rPr>
          <w:rFonts w:ascii="Arial" w:hAnsi="Arial" w:cs="Arial"/>
          <w:kern w:val="1"/>
          <w:sz w:val="22"/>
          <w:szCs w:val="22"/>
        </w:rPr>
        <w:t xml:space="preserve"> K, </w:t>
      </w:r>
      <w:proofErr w:type="spellStart"/>
      <w:r w:rsidRPr="00DD448A">
        <w:rPr>
          <w:rFonts w:ascii="Arial" w:hAnsi="Arial" w:cs="Arial"/>
          <w:kern w:val="1"/>
          <w:sz w:val="22"/>
          <w:szCs w:val="22"/>
        </w:rPr>
        <w:t>Kirchlechner</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Högler</w:t>
      </w:r>
      <w:proofErr w:type="spellEnd"/>
      <w:r w:rsidRPr="00DD448A">
        <w:rPr>
          <w:rFonts w:ascii="Arial" w:hAnsi="Arial" w:cs="Arial"/>
          <w:kern w:val="1"/>
          <w:sz w:val="22"/>
          <w:szCs w:val="22"/>
        </w:rPr>
        <w:t xml:space="preserve"> W, Schweitzer K, </w:t>
      </w:r>
      <w:proofErr w:type="spellStart"/>
      <w:r w:rsidRPr="00DD448A">
        <w:rPr>
          <w:rFonts w:ascii="Arial" w:hAnsi="Arial" w:cs="Arial"/>
          <w:kern w:val="1"/>
          <w:sz w:val="22"/>
          <w:szCs w:val="22"/>
        </w:rPr>
        <w:t>Virgolini</w:t>
      </w:r>
      <w:proofErr w:type="spellEnd"/>
      <w:r w:rsidRPr="00DD448A">
        <w:rPr>
          <w:rFonts w:ascii="Arial" w:hAnsi="Arial" w:cs="Arial"/>
          <w:kern w:val="1"/>
          <w:sz w:val="22"/>
          <w:szCs w:val="22"/>
        </w:rPr>
        <w:t xml:space="preserve"> I, Moncayo R. Pediatric reference intervals for thyroid hormone levels from birth to adulthood: a retrospective study. </w:t>
      </w:r>
      <w:r w:rsidRPr="00DD448A">
        <w:rPr>
          <w:rFonts w:ascii="Arial" w:hAnsi="Arial" w:cs="Arial"/>
          <w:iCs/>
          <w:kern w:val="1"/>
          <w:sz w:val="22"/>
          <w:szCs w:val="22"/>
        </w:rPr>
        <w:t xml:space="preserve">BMC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Disord</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2008;8:15.</w:t>
      </w:r>
    </w:p>
    <w:p w14:paraId="00699B0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323.</w:t>
      </w:r>
      <w:r w:rsidRPr="00DD448A">
        <w:rPr>
          <w:rFonts w:ascii="Arial" w:hAnsi="Arial" w:cs="Arial"/>
          <w:kern w:val="1"/>
          <w:sz w:val="22"/>
          <w:szCs w:val="22"/>
        </w:rPr>
        <w:tab/>
        <w:t xml:space="preserve">Verburg FA, </w:t>
      </w:r>
      <w:proofErr w:type="spellStart"/>
      <w:r w:rsidRPr="00DD448A">
        <w:rPr>
          <w:rFonts w:ascii="Arial" w:hAnsi="Arial" w:cs="Arial"/>
          <w:kern w:val="1"/>
          <w:sz w:val="22"/>
          <w:szCs w:val="22"/>
        </w:rPr>
        <w:t>Kirchgässner</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Hebestreit</w:t>
      </w:r>
      <w:proofErr w:type="spellEnd"/>
      <w:r w:rsidRPr="00DD448A">
        <w:rPr>
          <w:rFonts w:ascii="Arial" w:hAnsi="Arial" w:cs="Arial"/>
          <w:kern w:val="1"/>
          <w:sz w:val="22"/>
          <w:szCs w:val="22"/>
        </w:rPr>
        <w:t xml:space="preserve"> H, Steigerwald U, </w:t>
      </w:r>
      <w:proofErr w:type="spellStart"/>
      <w:r w:rsidRPr="00DD448A">
        <w:rPr>
          <w:rFonts w:ascii="Arial" w:hAnsi="Arial" w:cs="Arial"/>
          <w:kern w:val="1"/>
          <w:sz w:val="22"/>
          <w:szCs w:val="22"/>
        </w:rPr>
        <w:t>Lentjes</w:t>
      </w:r>
      <w:proofErr w:type="spellEnd"/>
      <w:r w:rsidRPr="00DD448A">
        <w:rPr>
          <w:rFonts w:ascii="Arial" w:hAnsi="Arial" w:cs="Arial"/>
          <w:kern w:val="1"/>
          <w:sz w:val="22"/>
          <w:szCs w:val="22"/>
        </w:rPr>
        <w:t xml:space="preserve"> EG, </w:t>
      </w:r>
      <w:proofErr w:type="spellStart"/>
      <w:r w:rsidRPr="00DD448A">
        <w:rPr>
          <w:rFonts w:ascii="Arial" w:hAnsi="Arial" w:cs="Arial"/>
          <w:kern w:val="1"/>
          <w:sz w:val="22"/>
          <w:szCs w:val="22"/>
        </w:rPr>
        <w:t>Ergezinger</w:t>
      </w:r>
      <w:proofErr w:type="spellEnd"/>
      <w:r w:rsidRPr="00DD448A">
        <w:rPr>
          <w:rFonts w:ascii="Arial" w:hAnsi="Arial" w:cs="Arial"/>
          <w:kern w:val="1"/>
          <w:sz w:val="22"/>
          <w:szCs w:val="22"/>
        </w:rPr>
        <w:t xml:space="preserve"> K, Grelle I, Reiners C, Luster M. Reference ranges for analytes of thyroid function in children. </w:t>
      </w:r>
      <w:r w:rsidRPr="00DD448A">
        <w:rPr>
          <w:rFonts w:ascii="Arial" w:hAnsi="Arial" w:cs="Arial"/>
          <w:iCs/>
          <w:kern w:val="1"/>
          <w:sz w:val="22"/>
          <w:szCs w:val="22"/>
        </w:rPr>
        <w:t xml:space="preserve">Horm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2011;43(6):422-426.</w:t>
      </w:r>
    </w:p>
    <w:p w14:paraId="6E6C951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324.</w:t>
      </w:r>
      <w:r w:rsidRPr="00DD448A">
        <w:rPr>
          <w:rFonts w:ascii="Arial" w:hAnsi="Arial" w:cs="Arial"/>
          <w:kern w:val="1"/>
          <w:sz w:val="22"/>
          <w:szCs w:val="22"/>
        </w:rPr>
        <w:tab/>
      </w:r>
      <w:proofErr w:type="spellStart"/>
      <w:r w:rsidRPr="00DD448A">
        <w:rPr>
          <w:rFonts w:ascii="Arial" w:hAnsi="Arial" w:cs="Arial"/>
          <w:kern w:val="1"/>
          <w:sz w:val="22"/>
          <w:szCs w:val="22"/>
        </w:rPr>
        <w:t>Goichot</w:t>
      </w:r>
      <w:proofErr w:type="spellEnd"/>
      <w:r w:rsidRPr="00DD448A">
        <w:rPr>
          <w:rFonts w:ascii="Arial" w:hAnsi="Arial" w:cs="Arial"/>
          <w:kern w:val="1"/>
          <w:sz w:val="22"/>
          <w:szCs w:val="22"/>
        </w:rPr>
        <w:t xml:space="preserve"> B, Sapin R, </w:t>
      </w:r>
      <w:proofErr w:type="spellStart"/>
      <w:r w:rsidRPr="00DD448A">
        <w:rPr>
          <w:rFonts w:ascii="Arial" w:hAnsi="Arial" w:cs="Arial"/>
          <w:kern w:val="1"/>
          <w:sz w:val="22"/>
          <w:szCs w:val="22"/>
        </w:rPr>
        <w:t>Schlienger</w:t>
      </w:r>
      <w:proofErr w:type="spellEnd"/>
      <w:r w:rsidRPr="00DD448A">
        <w:rPr>
          <w:rFonts w:ascii="Arial" w:hAnsi="Arial" w:cs="Arial"/>
          <w:kern w:val="1"/>
          <w:sz w:val="22"/>
          <w:szCs w:val="22"/>
        </w:rPr>
        <w:t xml:space="preserve"> JL. Subclinical hyperthyroidism: considerations in defining the lower limit of the thyrotropin reference interval.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2009;55(3):420-424.</w:t>
      </w:r>
    </w:p>
    <w:p w14:paraId="56A136E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325.</w:t>
      </w:r>
      <w:r w:rsidRPr="00DD448A">
        <w:rPr>
          <w:rFonts w:ascii="Arial" w:hAnsi="Arial" w:cs="Arial"/>
          <w:kern w:val="1"/>
          <w:sz w:val="22"/>
          <w:szCs w:val="22"/>
        </w:rPr>
        <w:tab/>
        <w:t xml:space="preserve">Biondi B, Cooper DS. Subclinical Hyperthyroidism. </w:t>
      </w:r>
      <w:r w:rsidRPr="00DD448A">
        <w:rPr>
          <w:rFonts w:ascii="Arial" w:hAnsi="Arial" w:cs="Arial"/>
          <w:iCs/>
          <w:kern w:val="1"/>
          <w:sz w:val="22"/>
          <w:szCs w:val="22"/>
        </w:rPr>
        <w:t>N Engl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2018;379(15):1485-1486.</w:t>
      </w:r>
    </w:p>
    <w:p w14:paraId="01C41B0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326.</w:t>
      </w:r>
      <w:r w:rsidRPr="00DD448A">
        <w:rPr>
          <w:rFonts w:ascii="Arial" w:hAnsi="Arial" w:cs="Arial"/>
          <w:kern w:val="1"/>
          <w:sz w:val="22"/>
          <w:szCs w:val="22"/>
        </w:rPr>
        <w:tab/>
        <w:t xml:space="preserve">Kim HJ, McLeod DSA. Subclinical Hyperthyroidism and Cardiovascular Disease.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5B4CBC1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327.</w:t>
      </w:r>
      <w:r w:rsidRPr="00DD448A">
        <w:rPr>
          <w:rFonts w:ascii="Arial" w:hAnsi="Arial" w:cs="Arial"/>
          <w:kern w:val="1"/>
          <w:sz w:val="22"/>
          <w:szCs w:val="22"/>
        </w:rPr>
        <w:tab/>
        <w:t xml:space="preserve">Canaris GJ, </w:t>
      </w:r>
      <w:proofErr w:type="spellStart"/>
      <w:r w:rsidRPr="00DD448A">
        <w:rPr>
          <w:rFonts w:ascii="Arial" w:hAnsi="Arial" w:cs="Arial"/>
          <w:kern w:val="1"/>
          <w:sz w:val="22"/>
          <w:szCs w:val="22"/>
        </w:rPr>
        <w:t>Manowitz</w:t>
      </w:r>
      <w:proofErr w:type="spellEnd"/>
      <w:r w:rsidRPr="00DD448A">
        <w:rPr>
          <w:rFonts w:ascii="Arial" w:hAnsi="Arial" w:cs="Arial"/>
          <w:kern w:val="1"/>
          <w:sz w:val="22"/>
          <w:szCs w:val="22"/>
        </w:rPr>
        <w:t xml:space="preserve"> NR, Mayor G, Ridgway EC. The Colorado thyroid disease prevalence study. </w:t>
      </w:r>
      <w:r w:rsidRPr="00DD448A">
        <w:rPr>
          <w:rFonts w:ascii="Arial" w:hAnsi="Arial" w:cs="Arial"/>
          <w:iCs/>
          <w:kern w:val="1"/>
          <w:sz w:val="22"/>
          <w:szCs w:val="22"/>
        </w:rPr>
        <w:t>Arch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2000;160:526-534.</w:t>
      </w:r>
    </w:p>
    <w:p w14:paraId="29D8D08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328.</w:t>
      </w:r>
      <w:r w:rsidRPr="00DD448A">
        <w:rPr>
          <w:rFonts w:ascii="Arial" w:hAnsi="Arial" w:cs="Arial"/>
          <w:kern w:val="1"/>
          <w:sz w:val="22"/>
          <w:szCs w:val="22"/>
        </w:rPr>
        <w:tab/>
      </w:r>
      <w:proofErr w:type="spellStart"/>
      <w:r w:rsidRPr="00DD448A">
        <w:rPr>
          <w:rFonts w:ascii="Arial" w:hAnsi="Arial" w:cs="Arial"/>
          <w:kern w:val="1"/>
          <w:sz w:val="22"/>
          <w:szCs w:val="22"/>
        </w:rPr>
        <w:t>Surks</w:t>
      </w:r>
      <w:proofErr w:type="spellEnd"/>
      <w:r w:rsidRPr="00DD448A">
        <w:rPr>
          <w:rFonts w:ascii="Arial" w:hAnsi="Arial" w:cs="Arial"/>
          <w:kern w:val="1"/>
          <w:sz w:val="22"/>
          <w:szCs w:val="22"/>
        </w:rPr>
        <w:t xml:space="preserve"> MI, Ortiz E, Daniels GH, Sawin CT, Col NF, Cobin RH, Franklyn JA, Hershman JM, Burman KD, Denke MA, Gorman C, Cooper RS, Weissman NJ. Subclinical thyroid disease: scientific review and guidelines for diagnosis and management. </w:t>
      </w:r>
      <w:r w:rsidRPr="00DD448A">
        <w:rPr>
          <w:rFonts w:ascii="Arial" w:hAnsi="Arial" w:cs="Arial"/>
          <w:iCs/>
          <w:kern w:val="1"/>
          <w:sz w:val="22"/>
          <w:szCs w:val="22"/>
        </w:rPr>
        <w:t>Jama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2004;291(2):228-238.</w:t>
      </w:r>
    </w:p>
    <w:p w14:paraId="7DC53D9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329.</w:t>
      </w:r>
      <w:r w:rsidRPr="00DD448A">
        <w:rPr>
          <w:rFonts w:ascii="Arial" w:hAnsi="Arial" w:cs="Arial"/>
          <w:kern w:val="1"/>
          <w:sz w:val="22"/>
          <w:szCs w:val="22"/>
        </w:rPr>
        <w:tab/>
        <w:t xml:space="preserve">Efthymiadis A, Henry M, Spinos D, </w:t>
      </w:r>
      <w:proofErr w:type="spellStart"/>
      <w:r w:rsidRPr="00DD448A">
        <w:rPr>
          <w:rFonts w:ascii="Arial" w:hAnsi="Arial" w:cs="Arial"/>
          <w:kern w:val="1"/>
          <w:sz w:val="22"/>
          <w:szCs w:val="22"/>
        </w:rPr>
        <w:t>Bourlaki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Tsikopoulos</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Bourazana</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Bastounis</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Tsikopoulos</w:t>
      </w:r>
      <w:proofErr w:type="spellEnd"/>
      <w:r w:rsidRPr="00DD448A">
        <w:rPr>
          <w:rFonts w:ascii="Arial" w:hAnsi="Arial" w:cs="Arial"/>
          <w:kern w:val="1"/>
          <w:sz w:val="22"/>
          <w:szCs w:val="22"/>
        </w:rPr>
        <w:t xml:space="preserve"> K. Adequacy of thyroid hormone replacement for people with hypothyroidism in real-world settings: A systematic review and meta-analysis of observational studies.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2024;100(5):488-501.</w:t>
      </w:r>
    </w:p>
    <w:p w14:paraId="12D87C3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330.</w:t>
      </w:r>
      <w:r w:rsidRPr="00DD448A">
        <w:rPr>
          <w:rFonts w:ascii="Arial" w:hAnsi="Arial" w:cs="Arial"/>
          <w:kern w:val="1"/>
          <w:sz w:val="22"/>
          <w:szCs w:val="22"/>
        </w:rPr>
        <w:tab/>
        <w:t xml:space="preserve">Yu OHY, Filliter C, Filion KB, Platt RW, Grad R, </w:t>
      </w:r>
      <w:proofErr w:type="spellStart"/>
      <w:r w:rsidRPr="00DD448A">
        <w:rPr>
          <w:rFonts w:ascii="Arial" w:hAnsi="Arial" w:cs="Arial"/>
          <w:kern w:val="1"/>
          <w:sz w:val="22"/>
          <w:szCs w:val="22"/>
        </w:rPr>
        <w:t>Renoux</w:t>
      </w:r>
      <w:proofErr w:type="spellEnd"/>
      <w:r w:rsidRPr="00DD448A">
        <w:rPr>
          <w:rFonts w:ascii="Arial" w:hAnsi="Arial" w:cs="Arial"/>
          <w:kern w:val="1"/>
          <w:sz w:val="22"/>
          <w:szCs w:val="22"/>
        </w:rPr>
        <w:t xml:space="preserve"> C. Levothyroxine Treatment of Subclinical Hypothyroidism and the Risk of Adverse Cardiovascular Events.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2024;34(10):1214-1224.</w:t>
      </w:r>
    </w:p>
    <w:p w14:paraId="1621D97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331.</w:t>
      </w:r>
      <w:r w:rsidRPr="00DD448A">
        <w:rPr>
          <w:rFonts w:ascii="Arial" w:hAnsi="Arial" w:cs="Arial"/>
          <w:kern w:val="1"/>
          <w:sz w:val="22"/>
          <w:szCs w:val="22"/>
        </w:rPr>
        <w:tab/>
        <w:t xml:space="preserve">Blum MR, Bauer DC, Collet TH, Fink HA, Cappola AR, da Costa BR, Wirth CD, Peeters RP, </w:t>
      </w:r>
      <w:proofErr w:type="spellStart"/>
      <w:r w:rsidRPr="00DD448A">
        <w:rPr>
          <w:rFonts w:ascii="Arial" w:hAnsi="Arial" w:cs="Arial"/>
          <w:kern w:val="1"/>
          <w:sz w:val="22"/>
          <w:szCs w:val="22"/>
        </w:rPr>
        <w:t>Åsvold</w:t>
      </w:r>
      <w:proofErr w:type="spellEnd"/>
      <w:r w:rsidRPr="00DD448A">
        <w:rPr>
          <w:rFonts w:ascii="Arial" w:hAnsi="Arial" w:cs="Arial"/>
          <w:kern w:val="1"/>
          <w:sz w:val="22"/>
          <w:szCs w:val="22"/>
        </w:rPr>
        <w:t xml:space="preserve"> BO, den </w:t>
      </w:r>
      <w:proofErr w:type="spellStart"/>
      <w:r w:rsidRPr="00DD448A">
        <w:rPr>
          <w:rFonts w:ascii="Arial" w:hAnsi="Arial" w:cs="Arial"/>
          <w:kern w:val="1"/>
          <w:sz w:val="22"/>
          <w:szCs w:val="22"/>
        </w:rPr>
        <w:t>Elzen</w:t>
      </w:r>
      <w:proofErr w:type="spellEnd"/>
      <w:r w:rsidRPr="00DD448A">
        <w:rPr>
          <w:rFonts w:ascii="Arial" w:hAnsi="Arial" w:cs="Arial"/>
          <w:kern w:val="1"/>
          <w:sz w:val="22"/>
          <w:szCs w:val="22"/>
        </w:rPr>
        <w:t xml:space="preserve"> WP, Luben RN, Imaizumi M, Bremner AP, </w:t>
      </w:r>
      <w:proofErr w:type="spellStart"/>
      <w:r w:rsidRPr="00DD448A">
        <w:rPr>
          <w:rFonts w:ascii="Arial" w:hAnsi="Arial" w:cs="Arial"/>
          <w:kern w:val="1"/>
          <w:sz w:val="22"/>
          <w:szCs w:val="22"/>
        </w:rPr>
        <w:t>Gogakos</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Eastell</w:t>
      </w:r>
      <w:proofErr w:type="spellEnd"/>
      <w:r w:rsidRPr="00DD448A">
        <w:rPr>
          <w:rFonts w:ascii="Arial" w:hAnsi="Arial" w:cs="Arial"/>
          <w:kern w:val="1"/>
          <w:sz w:val="22"/>
          <w:szCs w:val="22"/>
        </w:rPr>
        <w:t xml:space="preserve"> R, Kearney PM, </w:t>
      </w:r>
      <w:proofErr w:type="spellStart"/>
      <w:r w:rsidRPr="00DD448A">
        <w:rPr>
          <w:rFonts w:ascii="Arial" w:hAnsi="Arial" w:cs="Arial"/>
          <w:kern w:val="1"/>
          <w:sz w:val="22"/>
          <w:szCs w:val="22"/>
        </w:rPr>
        <w:t>Strotmeyer</w:t>
      </w:r>
      <w:proofErr w:type="spellEnd"/>
      <w:r w:rsidRPr="00DD448A">
        <w:rPr>
          <w:rFonts w:ascii="Arial" w:hAnsi="Arial" w:cs="Arial"/>
          <w:kern w:val="1"/>
          <w:sz w:val="22"/>
          <w:szCs w:val="22"/>
        </w:rPr>
        <w:t xml:space="preserve"> ES, Wallace ER, Hoff M, Ceresini G, Rivadeneira F, </w:t>
      </w:r>
      <w:proofErr w:type="spellStart"/>
      <w:r w:rsidRPr="00DD448A">
        <w:rPr>
          <w:rFonts w:ascii="Arial" w:hAnsi="Arial" w:cs="Arial"/>
          <w:kern w:val="1"/>
          <w:sz w:val="22"/>
          <w:szCs w:val="22"/>
        </w:rPr>
        <w:t>Uitterlinden</w:t>
      </w:r>
      <w:proofErr w:type="spellEnd"/>
      <w:r w:rsidRPr="00DD448A">
        <w:rPr>
          <w:rFonts w:ascii="Arial" w:hAnsi="Arial" w:cs="Arial"/>
          <w:kern w:val="1"/>
          <w:sz w:val="22"/>
          <w:szCs w:val="22"/>
        </w:rPr>
        <w:t xml:space="preserve"> AG, Stott DJ, </w:t>
      </w:r>
      <w:proofErr w:type="spellStart"/>
      <w:r w:rsidRPr="00DD448A">
        <w:rPr>
          <w:rFonts w:ascii="Arial" w:hAnsi="Arial" w:cs="Arial"/>
          <w:kern w:val="1"/>
          <w:sz w:val="22"/>
          <w:szCs w:val="22"/>
        </w:rPr>
        <w:t>Westendorp</w:t>
      </w:r>
      <w:proofErr w:type="spellEnd"/>
      <w:r w:rsidRPr="00DD448A">
        <w:rPr>
          <w:rFonts w:ascii="Arial" w:hAnsi="Arial" w:cs="Arial"/>
          <w:kern w:val="1"/>
          <w:sz w:val="22"/>
          <w:szCs w:val="22"/>
        </w:rPr>
        <w:t xml:space="preserve"> RG, Khaw KT, Langhammer A, Ferrucci L, </w:t>
      </w:r>
      <w:proofErr w:type="spellStart"/>
      <w:r w:rsidRPr="00DD448A">
        <w:rPr>
          <w:rFonts w:ascii="Arial" w:hAnsi="Arial" w:cs="Arial"/>
          <w:kern w:val="1"/>
          <w:sz w:val="22"/>
          <w:szCs w:val="22"/>
        </w:rPr>
        <w:t>Gussekloo</w:t>
      </w:r>
      <w:proofErr w:type="spellEnd"/>
      <w:r w:rsidRPr="00DD448A">
        <w:rPr>
          <w:rFonts w:ascii="Arial" w:hAnsi="Arial" w:cs="Arial"/>
          <w:kern w:val="1"/>
          <w:sz w:val="22"/>
          <w:szCs w:val="22"/>
        </w:rPr>
        <w:t xml:space="preserve"> J, Williams GR, Walsh JP, </w:t>
      </w:r>
      <w:proofErr w:type="spellStart"/>
      <w:r w:rsidRPr="00DD448A">
        <w:rPr>
          <w:rFonts w:ascii="Arial" w:hAnsi="Arial" w:cs="Arial"/>
          <w:kern w:val="1"/>
          <w:sz w:val="22"/>
          <w:szCs w:val="22"/>
        </w:rPr>
        <w:t>Jüni</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Aujesky</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Rodondi</w:t>
      </w:r>
      <w:proofErr w:type="spellEnd"/>
      <w:r w:rsidRPr="00DD448A">
        <w:rPr>
          <w:rFonts w:ascii="Arial" w:hAnsi="Arial" w:cs="Arial"/>
          <w:kern w:val="1"/>
          <w:sz w:val="22"/>
          <w:szCs w:val="22"/>
        </w:rPr>
        <w:t xml:space="preserve"> N. Subclinical thyroid dysfunction and fracture risk: a meta-analysis. </w:t>
      </w:r>
      <w:r w:rsidRPr="00DD448A">
        <w:rPr>
          <w:rFonts w:ascii="Arial" w:hAnsi="Arial" w:cs="Arial"/>
          <w:iCs/>
          <w:kern w:val="1"/>
          <w:sz w:val="22"/>
          <w:szCs w:val="22"/>
        </w:rPr>
        <w:t>Jama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2015;313(20):2055-2065.</w:t>
      </w:r>
    </w:p>
    <w:p w14:paraId="2BA1814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332.</w:t>
      </w:r>
      <w:r w:rsidRPr="00DD448A">
        <w:rPr>
          <w:rFonts w:ascii="Arial" w:hAnsi="Arial" w:cs="Arial"/>
          <w:kern w:val="1"/>
          <w:sz w:val="22"/>
          <w:szCs w:val="22"/>
        </w:rPr>
        <w:tab/>
        <w:t xml:space="preserve">Collet TH, </w:t>
      </w:r>
      <w:proofErr w:type="spellStart"/>
      <w:r w:rsidRPr="00DD448A">
        <w:rPr>
          <w:rFonts w:ascii="Arial" w:hAnsi="Arial" w:cs="Arial"/>
          <w:kern w:val="1"/>
          <w:sz w:val="22"/>
          <w:szCs w:val="22"/>
        </w:rPr>
        <w:t>Gussekloo</w:t>
      </w:r>
      <w:proofErr w:type="spellEnd"/>
      <w:r w:rsidRPr="00DD448A">
        <w:rPr>
          <w:rFonts w:ascii="Arial" w:hAnsi="Arial" w:cs="Arial"/>
          <w:kern w:val="1"/>
          <w:sz w:val="22"/>
          <w:szCs w:val="22"/>
        </w:rPr>
        <w:t xml:space="preserve"> J, Bauer DC, den </w:t>
      </w:r>
      <w:proofErr w:type="spellStart"/>
      <w:r w:rsidRPr="00DD448A">
        <w:rPr>
          <w:rFonts w:ascii="Arial" w:hAnsi="Arial" w:cs="Arial"/>
          <w:kern w:val="1"/>
          <w:sz w:val="22"/>
          <w:szCs w:val="22"/>
        </w:rPr>
        <w:t>Elzen</w:t>
      </w:r>
      <w:proofErr w:type="spellEnd"/>
      <w:r w:rsidRPr="00DD448A">
        <w:rPr>
          <w:rFonts w:ascii="Arial" w:hAnsi="Arial" w:cs="Arial"/>
          <w:kern w:val="1"/>
          <w:sz w:val="22"/>
          <w:szCs w:val="22"/>
        </w:rPr>
        <w:t xml:space="preserve"> WP, Cappola AR, Balmer P, </w:t>
      </w:r>
      <w:proofErr w:type="spellStart"/>
      <w:r w:rsidRPr="00DD448A">
        <w:rPr>
          <w:rFonts w:ascii="Arial" w:hAnsi="Arial" w:cs="Arial"/>
          <w:kern w:val="1"/>
          <w:sz w:val="22"/>
          <w:szCs w:val="22"/>
        </w:rPr>
        <w:t>Iervasi</w:t>
      </w:r>
      <w:proofErr w:type="spellEnd"/>
      <w:r w:rsidRPr="00DD448A">
        <w:rPr>
          <w:rFonts w:ascii="Arial" w:hAnsi="Arial" w:cs="Arial"/>
          <w:kern w:val="1"/>
          <w:sz w:val="22"/>
          <w:szCs w:val="22"/>
        </w:rPr>
        <w:t xml:space="preserve"> G, </w:t>
      </w:r>
      <w:proofErr w:type="spellStart"/>
      <w:r w:rsidRPr="00DD448A">
        <w:rPr>
          <w:rFonts w:ascii="Arial" w:hAnsi="Arial" w:cs="Arial"/>
          <w:kern w:val="1"/>
          <w:sz w:val="22"/>
          <w:szCs w:val="22"/>
        </w:rPr>
        <w:t>Åsvold</w:t>
      </w:r>
      <w:proofErr w:type="spellEnd"/>
      <w:r w:rsidRPr="00DD448A">
        <w:rPr>
          <w:rFonts w:ascii="Arial" w:hAnsi="Arial" w:cs="Arial"/>
          <w:kern w:val="1"/>
          <w:sz w:val="22"/>
          <w:szCs w:val="22"/>
        </w:rPr>
        <w:t xml:space="preserve"> BO, </w:t>
      </w:r>
      <w:proofErr w:type="spellStart"/>
      <w:r w:rsidRPr="00DD448A">
        <w:rPr>
          <w:rFonts w:ascii="Arial" w:hAnsi="Arial" w:cs="Arial"/>
          <w:kern w:val="1"/>
          <w:sz w:val="22"/>
          <w:szCs w:val="22"/>
        </w:rPr>
        <w:t>Sgarbi</w:t>
      </w:r>
      <w:proofErr w:type="spellEnd"/>
      <w:r w:rsidRPr="00DD448A">
        <w:rPr>
          <w:rFonts w:ascii="Arial" w:hAnsi="Arial" w:cs="Arial"/>
          <w:kern w:val="1"/>
          <w:sz w:val="22"/>
          <w:szCs w:val="22"/>
        </w:rPr>
        <w:t xml:space="preserve"> JA, </w:t>
      </w:r>
      <w:proofErr w:type="spellStart"/>
      <w:r w:rsidRPr="00DD448A">
        <w:rPr>
          <w:rFonts w:ascii="Arial" w:hAnsi="Arial" w:cs="Arial"/>
          <w:kern w:val="1"/>
          <w:sz w:val="22"/>
          <w:szCs w:val="22"/>
        </w:rPr>
        <w:t>Völzke</w:t>
      </w:r>
      <w:proofErr w:type="spellEnd"/>
      <w:r w:rsidRPr="00DD448A">
        <w:rPr>
          <w:rFonts w:ascii="Arial" w:hAnsi="Arial" w:cs="Arial"/>
          <w:kern w:val="1"/>
          <w:sz w:val="22"/>
          <w:szCs w:val="22"/>
        </w:rPr>
        <w:t xml:space="preserve"> H, Gencer B, Maciel RM, Molinaro S, Bremner A, Luben RN, Maisonneuve P, </w:t>
      </w:r>
      <w:proofErr w:type="spellStart"/>
      <w:r w:rsidRPr="00DD448A">
        <w:rPr>
          <w:rFonts w:ascii="Arial" w:hAnsi="Arial" w:cs="Arial"/>
          <w:kern w:val="1"/>
          <w:sz w:val="22"/>
          <w:szCs w:val="22"/>
        </w:rPr>
        <w:t>Cornuz</w:t>
      </w:r>
      <w:proofErr w:type="spellEnd"/>
      <w:r w:rsidRPr="00DD448A">
        <w:rPr>
          <w:rFonts w:ascii="Arial" w:hAnsi="Arial" w:cs="Arial"/>
          <w:kern w:val="1"/>
          <w:sz w:val="22"/>
          <w:szCs w:val="22"/>
        </w:rPr>
        <w:t xml:space="preserve"> J, Newman AB, Khaw KT, </w:t>
      </w:r>
      <w:proofErr w:type="spellStart"/>
      <w:r w:rsidRPr="00DD448A">
        <w:rPr>
          <w:rFonts w:ascii="Arial" w:hAnsi="Arial" w:cs="Arial"/>
          <w:kern w:val="1"/>
          <w:sz w:val="22"/>
          <w:szCs w:val="22"/>
        </w:rPr>
        <w:t>Westendorp</w:t>
      </w:r>
      <w:proofErr w:type="spellEnd"/>
      <w:r w:rsidRPr="00DD448A">
        <w:rPr>
          <w:rFonts w:ascii="Arial" w:hAnsi="Arial" w:cs="Arial"/>
          <w:kern w:val="1"/>
          <w:sz w:val="22"/>
          <w:szCs w:val="22"/>
        </w:rPr>
        <w:t xml:space="preserve"> RG, Franklyn JA, Vittinghoff E, Walsh JP, </w:t>
      </w:r>
      <w:proofErr w:type="spellStart"/>
      <w:r w:rsidRPr="00DD448A">
        <w:rPr>
          <w:rFonts w:ascii="Arial" w:hAnsi="Arial" w:cs="Arial"/>
          <w:kern w:val="1"/>
          <w:sz w:val="22"/>
          <w:szCs w:val="22"/>
        </w:rPr>
        <w:t>Rodondi</w:t>
      </w:r>
      <w:proofErr w:type="spellEnd"/>
      <w:r w:rsidRPr="00DD448A">
        <w:rPr>
          <w:rFonts w:ascii="Arial" w:hAnsi="Arial" w:cs="Arial"/>
          <w:kern w:val="1"/>
          <w:sz w:val="22"/>
          <w:szCs w:val="22"/>
        </w:rPr>
        <w:t xml:space="preserve"> N. Subclinical hyperthyroidism and the risk of coronary heart disease and mortality. </w:t>
      </w:r>
      <w:r w:rsidRPr="00DD448A">
        <w:rPr>
          <w:rFonts w:ascii="Arial" w:hAnsi="Arial" w:cs="Arial"/>
          <w:iCs/>
          <w:kern w:val="1"/>
          <w:sz w:val="22"/>
          <w:szCs w:val="22"/>
        </w:rPr>
        <w:t>Arch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2012;172(10):799-809.</w:t>
      </w:r>
    </w:p>
    <w:p w14:paraId="6DE8633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333.</w:t>
      </w:r>
      <w:r w:rsidRPr="00DD448A">
        <w:rPr>
          <w:rFonts w:ascii="Arial" w:hAnsi="Arial" w:cs="Arial"/>
          <w:kern w:val="1"/>
          <w:sz w:val="22"/>
          <w:szCs w:val="22"/>
        </w:rPr>
        <w:tab/>
        <w:t xml:space="preserve">Taylor PN, Razvi S, Pearce SH, Dayan CM. Clinical review: A review of the clinical consequences of variation in thyroid function within the reference range.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2013;98(9):3562-3571.</w:t>
      </w:r>
    </w:p>
    <w:p w14:paraId="0733359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334.</w:t>
      </w:r>
      <w:r w:rsidRPr="00DD448A">
        <w:rPr>
          <w:rFonts w:ascii="Arial" w:hAnsi="Arial" w:cs="Arial"/>
          <w:kern w:val="1"/>
          <w:sz w:val="22"/>
          <w:szCs w:val="22"/>
        </w:rPr>
        <w:tab/>
        <w:t xml:space="preserve">Jay M, Huan P, Cliffe N, Rakoff J, Morris E, Kavsak P, Luthra M, </w:t>
      </w:r>
      <w:proofErr w:type="spellStart"/>
      <w:r w:rsidRPr="00DD448A">
        <w:rPr>
          <w:rFonts w:ascii="Arial" w:hAnsi="Arial" w:cs="Arial"/>
          <w:kern w:val="1"/>
          <w:sz w:val="22"/>
          <w:szCs w:val="22"/>
        </w:rPr>
        <w:t>Punthakee</w:t>
      </w:r>
      <w:proofErr w:type="spellEnd"/>
      <w:r w:rsidRPr="00DD448A">
        <w:rPr>
          <w:rFonts w:ascii="Arial" w:hAnsi="Arial" w:cs="Arial"/>
          <w:kern w:val="1"/>
          <w:sz w:val="22"/>
          <w:szCs w:val="22"/>
        </w:rPr>
        <w:t xml:space="preserve"> Z. Treatment of Subclinical Hyperthyroidism and Incident Atrial Fibrillation.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529A7D1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335.</w:t>
      </w:r>
      <w:r w:rsidRPr="00DD448A">
        <w:rPr>
          <w:rFonts w:ascii="Arial" w:hAnsi="Arial" w:cs="Arial"/>
          <w:kern w:val="1"/>
          <w:sz w:val="22"/>
          <w:szCs w:val="22"/>
        </w:rPr>
        <w:tab/>
        <w:t xml:space="preserve">Zhang X, Zhang G, Wang S, Jin J, Zhang S, Teng X. The change in thyroid function categories with time in patients with subclinical hypothyroidism: a systematic review and meta-analysis. </w:t>
      </w:r>
      <w:r w:rsidRPr="00DD448A">
        <w:rPr>
          <w:rFonts w:ascii="Arial" w:hAnsi="Arial" w:cs="Arial"/>
          <w:iCs/>
          <w:kern w:val="1"/>
          <w:sz w:val="22"/>
          <w:szCs w:val="22"/>
        </w:rPr>
        <w:t xml:space="preserve">BMC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Disord</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2024;24(1):224.</w:t>
      </w:r>
    </w:p>
    <w:p w14:paraId="0BBE133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336.</w:t>
      </w:r>
      <w:r w:rsidRPr="00DD448A">
        <w:rPr>
          <w:rFonts w:ascii="Arial" w:hAnsi="Arial" w:cs="Arial"/>
          <w:kern w:val="1"/>
          <w:sz w:val="22"/>
          <w:szCs w:val="22"/>
        </w:rPr>
        <w:tab/>
        <w:t xml:space="preserve">McQuade C, </w:t>
      </w:r>
      <w:proofErr w:type="spellStart"/>
      <w:r w:rsidRPr="00DD448A">
        <w:rPr>
          <w:rFonts w:ascii="Arial" w:hAnsi="Arial" w:cs="Arial"/>
          <w:kern w:val="1"/>
          <w:sz w:val="22"/>
          <w:szCs w:val="22"/>
        </w:rPr>
        <w:t>Skugor</w:t>
      </w:r>
      <w:proofErr w:type="spellEnd"/>
      <w:r w:rsidRPr="00DD448A">
        <w:rPr>
          <w:rFonts w:ascii="Arial" w:hAnsi="Arial" w:cs="Arial"/>
          <w:kern w:val="1"/>
          <w:sz w:val="22"/>
          <w:szCs w:val="22"/>
        </w:rPr>
        <w:t xml:space="preserve"> M, Brennan DM, Hoar B, Stevenson C, </w:t>
      </w:r>
      <w:proofErr w:type="spellStart"/>
      <w:r w:rsidRPr="00DD448A">
        <w:rPr>
          <w:rFonts w:ascii="Arial" w:hAnsi="Arial" w:cs="Arial"/>
          <w:kern w:val="1"/>
          <w:sz w:val="22"/>
          <w:szCs w:val="22"/>
        </w:rPr>
        <w:t>Hoogwerf</w:t>
      </w:r>
      <w:proofErr w:type="spellEnd"/>
      <w:r w:rsidRPr="00DD448A">
        <w:rPr>
          <w:rFonts w:ascii="Arial" w:hAnsi="Arial" w:cs="Arial"/>
          <w:kern w:val="1"/>
          <w:sz w:val="22"/>
          <w:szCs w:val="22"/>
        </w:rPr>
        <w:t xml:space="preserve"> BJ. Hypothyroidism and moderate subclinical hypothyroidism are associated with increased all-cause mortality independent of coronary heart disease risk factors: a </w:t>
      </w:r>
      <w:proofErr w:type="spellStart"/>
      <w:r w:rsidRPr="00DD448A">
        <w:rPr>
          <w:rFonts w:ascii="Arial" w:hAnsi="Arial" w:cs="Arial"/>
          <w:kern w:val="1"/>
          <w:sz w:val="22"/>
          <w:szCs w:val="22"/>
        </w:rPr>
        <w:t>PreCIS</w:t>
      </w:r>
      <w:proofErr w:type="spellEnd"/>
      <w:r w:rsidRPr="00DD448A">
        <w:rPr>
          <w:rFonts w:ascii="Arial" w:hAnsi="Arial" w:cs="Arial"/>
          <w:kern w:val="1"/>
          <w:sz w:val="22"/>
          <w:szCs w:val="22"/>
        </w:rPr>
        <w:t xml:space="preserve"> database study.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2011;21(8):837-843.</w:t>
      </w:r>
    </w:p>
    <w:p w14:paraId="15F48E8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337.</w:t>
      </w:r>
      <w:r w:rsidRPr="00DD448A">
        <w:rPr>
          <w:rFonts w:ascii="Arial" w:hAnsi="Arial" w:cs="Arial"/>
          <w:kern w:val="1"/>
          <w:sz w:val="22"/>
          <w:szCs w:val="22"/>
        </w:rPr>
        <w:tab/>
        <w:t xml:space="preserve">Javed Z, </w:t>
      </w:r>
      <w:proofErr w:type="spellStart"/>
      <w:r w:rsidRPr="00DD448A">
        <w:rPr>
          <w:rFonts w:ascii="Arial" w:hAnsi="Arial" w:cs="Arial"/>
          <w:kern w:val="1"/>
          <w:sz w:val="22"/>
          <w:szCs w:val="22"/>
        </w:rPr>
        <w:t>Sathyapalan</w:t>
      </w:r>
      <w:proofErr w:type="spellEnd"/>
      <w:r w:rsidRPr="00DD448A">
        <w:rPr>
          <w:rFonts w:ascii="Arial" w:hAnsi="Arial" w:cs="Arial"/>
          <w:kern w:val="1"/>
          <w:sz w:val="22"/>
          <w:szCs w:val="22"/>
        </w:rPr>
        <w:t xml:space="preserve"> T. Levothyroxine treatment of mild subclinical hypothyroidism: a review of potential risks and benefits. </w:t>
      </w:r>
      <w:r w:rsidRPr="00DD448A">
        <w:rPr>
          <w:rFonts w:ascii="Arial" w:hAnsi="Arial" w:cs="Arial"/>
          <w:iCs/>
          <w:kern w:val="1"/>
          <w:sz w:val="22"/>
          <w:szCs w:val="22"/>
        </w:rPr>
        <w:t xml:space="preserve">Ther Adv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2016;7(1):12-23.</w:t>
      </w:r>
    </w:p>
    <w:p w14:paraId="620CD7E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338.</w:t>
      </w:r>
      <w:r w:rsidRPr="00DD448A">
        <w:rPr>
          <w:rFonts w:ascii="Arial" w:hAnsi="Arial" w:cs="Arial"/>
          <w:kern w:val="1"/>
          <w:sz w:val="22"/>
          <w:szCs w:val="22"/>
        </w:rPr>
        <w:tab/>
        <w:t xml:space="preserve">Helfand M. Screening for subclinical thyroid dysfunction in nonpregnant adults: a summary of the evidence for the U.S. Preventive Services Task Force. </w:t>
      </w:r>
      <w:r w:rsidRPr="00DD448A">
        <w:rPr>
          <w:rFonts w:ascii="Arial" w:hAnsi="Arial" w:cs="Arial"/>
          <w:iCs/>
          <w:kern w:val="1"/>
          <w:sz w:val="22"/>
          <w:szCs w:val="22"/>
        </w:rPr>
        <w:t>Ann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2004;140(2):128-141.</w:t>
      </w:r>
    </w:p>
    <w:p w14:paraId="21C4040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339.</w:t>
      </w:r>
      <w:r w:rsidRPr="00DD448A">
        <w:rPr>
          <w:rFonts w:ascii="Arial" w:hAnsi="Arial" w:cs="Arial"/>
          <w:kern w:val="1"/>
          <w:sz w:val="22"/>
          <w:szCs w:val="22"/>
        </w:rPr>
        <w:tab/>
      </w:r>
      <w:proofErr w:type="spellStart"/>
      <w:r w:rsidRPr="00DD448A">
        <w:rPr>
          <w:rFonts w:ascii="Arial" w:hAnsi="Arial" w:cs="Arial"/>
          <w:kern w:val="1"/>
          <w:sz w:val="22"/>
          <w:szCs w:val="22"/>
        </w:rPr>
        <w:t>Åsvold</w:t>
      </w:r>
      <w:proofErr w:type="spellEnd"/>
      <w:r w:rsidRPr="00DD448A">
        <w:rPr>
          <w:rFonts w:ascii="Arial" w:hAnsi="Arial" w:cs="Arial"/>
          <w:kern w:val="1"/>
          <w:sz w:val="22"/>
          <w:szCs w:val="22"/>
        </w:rPr>
        <w:t xml:space="preserve"> BO, </w:t>
      </w:r>
      <w:proofErr w:type="spellStart"/>
      <w:r w:rsidRPr="00DD448A">
        <w:rPr>
          <w:rFonts w:ascii="Arial" w:hAnsi="Arial" w:cs="Arial"/>
          <w:kern w:val="1"/>
          <w:sz w:val="22"/>
          <w:szCs w:val="22"/>
        </w:rPr>
        <w:t>Vatten</w:t>
      </w:r>
      <w:proofErr w:type="spellEnd"/>
      <w:r w:rsidRPr="00DD448A">
        <w:rPr>
          <w:rFonts w:ascii="Arial" w:hAnsi="Arial" w:cs="Arial"/>
          <w:kern w:val="1"/>
          <w:sz w:val="22"/>
          <w:szCs w:val="22"/>
        </w:rPr>
        <w:t xml:space="preserve"> LJ, </w:t>
      </w:r>
      <w:proofErr w:type="spellStart"/>
      <w:r w:rsidRPr="00DD448A">
        <w:rPr>
          <w:rFonts w:ascii="Arial" w:hAnsi="Arial" w:cs="Arial"/>
          <w:kern w:val="1"/>
          <w:sz w:val="22"/>
          <w:szCs w:val="22"/>
        </w:rPr>
        <w:t>Midthjell</w:t>
      </w:r>
      <w:proofErr w:type="spellEnd"/>
      <w:r w:rsidRPr="00DD448A">
        <w:rPr>
          <w:rFonts w:ascii="Arial" w:hAnsi="Arial" w:cs="Arial"/>
          <w:kern w:val="1"/>
          <w:sz w:val="22"/>
          <w:szCs w:val="22"/>
        </w:rPr>
        <w:t xml:space="preserve"> K, </w:t>
      </w:r>
      <w:proofErr w:type="spellStart"/>
      <w:r w:rsidRPr="00DD448A">
        <w:rPr>
          <w:rFonts w:ascii="Arial" w:hAnsi="Arial" w:cs="Arial"/>
          <w:kern w:val="1"/>
          <w:sz w:val="22"/>
          <w:szCs w:val="22"/>
        </w:rPr>
        <w:t>Bjøro</w:t>
      </w:r>
      <w:proofErr w:type="spellEnd"/>
      <w:r w:rsidRPr="00DD448A">
        <w:rPr>
          <w:rFonts w:ascii="Arial" w:hAnsi="Arial" w:cs="Arial"/>
          <w:kern w:val="1"/>
          <w:sz w:val="22"/>
          <w:szCs w:val="22"/>
        </w:rPr>
        <w:t xml:space="preserve"> T. Serum TSH within the reference range as a predictor of future hypothyroidism and hyperthyroidism: 11-year follow-up of the HUNT Study in Norway.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2012;97(1):93-99.</w:t>
      </w:r>
    </w:p>
    <w:p w14:paraId="77DC2A9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340.</w:t>
      </w:r>
      <w:r w:rsidRPr="00DD448A">
        <w:rPr>
          <w:rFonts w:ascii="Arial" w:hAnsi="Arial" w:cs="Arial"/>
          <w:kern w:val="1"/>
          <w:sz w:val="22"/>
          <w:szCs w:val="22"/>
        </w:rPr>
        <w:tab/>
      </w:r>
      <w:proofErr w:type="spellStart"/>
      <w:r w:rsidRPr="00DD448A">
        <w:rPr>
          <w:rFonts w:ascii="Arial" w:hAnsi="Arial" w:cs="Arial"/>
          <w:kern w:val="1"/>
          <w:sz w:val="22"/>
          <w:szCs w:val="22"/>
        </w:rPr>
        <w:t>Åsvold</w:t>
      </w:r>
      <w:proofErr w:type="spellEnd"/>
      <w:r w:rsidRPr="00DD448A">
        <w:rPr>
          <w:rFonts w:ascii="Arial" w:hAnsi="Arial" w:cs="Arial"/>
          <w:kern w:val="1"/>
          <w:sz w:val="22"/>
          <w:szCs w:val="22"/>
        </w:rPr>
        <w:t xml:space="preserve"> BO, </w:t>
      </w:r>
      <w:proofErr w:type="spellStart"/>
      <w:r w:rsidRPr="00DD448A">
        <w:rPr>
          <w:rFonts w:ascii="Arial" w:hAnsi="Arial" w:cs="Arial"/>
          <w:kern w:val="1"/>
          <w:sz w:val="22"/>
          <w:szCs w:val="22"/>
        </w:rPr>
        <w:t>Vatten</w:t>
      </w:r>
      <w:proofErr w:type="spellEnd"/>
      <w:r w:rsidRPr="00DD448A">
        <w:rPr>
          <w:rFonts w:ascii="Arial" w:hAnsi="Arial" w:cs="Arial"/>
          <w:kern w:val="1"/>
          <w:sz w:val="22"/>
          <w:szCs w:val="22"/>
        </w:rPr>
        <w:t xml:space="preserve"> LJ, </w:t>
      </w:r>
      <w:proofErr w:type="spellStart"/>
      <w:r w:rsidRPr="00DD448A">
        <w:rPr>
          <w:rFonts w:ascii="Arial" w:hAnsi="Arial" w:cs="Arial"/>
          <w:kern w:val="1"/>
          <w:sz w:val="22"/>
          <w:szCs w:val="22"/>
        </w:rPr>
        <w:t>Bjøro</w:t>
      </w:r>
      <w:proofErr w:type="spellEnd"/>
      <w:r w:rsidRPr="00DD448A">
        <w:rPr>
          <w:rFonts w:ascii="Arial" w:hAnsi="Arial" w:cs="Arial"/>
          <w:kern w:val="1"/>
          <w:sz w:val="22"/>
          <w:szCs w:val="22"/>
        </w:rPr>
        <w:t xml:space="preserve"> T, Bauer DC, Bremner A, Cappola AR, Ceresini G, den </w:t>
      </w:r>
      <w:proofErr w:type="spellStart"/>
      <w:r w:rsidRPr="00DD448A">
        <w:rPr>
          <w:rFonts w:ascii="Arial" w:hAnsi="Arial" w:cs="Arial"/>
          <w:kern w:val="1"/>
          <w:sz w:val="22"/>
          <w:szCs w:val="22"/>
        </w:rPr>
        <w:t>Elzen</w:t>
      </w:r>
      <w:proofErr w:type="spellEnd"/>
      <w:r w:rsidRPr="00DD448A">
        <w:rPr>
          <w:rFonts w:ascii="Arial" w:hAnsi="Arial" w:cs="Arial"/>
          <w:kern w:val="1"/>
          <w:sz w:val="22"/>
          <w:szCs w:val="22"/>
        </w:rPr>
        <w:t xml:space="preserve"> WP, Ferrucci L, Franco OH, Franklyn JA, </w:t>
      </w:r>
      <w:proofErr w:type="spellStart"/>
      <w:r w:rsidRPr="00DD448A">
        <w:rPr>
          <w:rFonts w:ascii="Arial" w:hAnsi="Arial" w:cs="Arial"/>
          <w:kern w:val="1"/>
          <w:sz w:val="22"/>
          <w:szCs w:val="22"/>
        </w:rPr>
        <w:t>Gussekloo</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Iervasi</w:t>
      </w:r>
      <w:proofErr w:type="spellEnd"/>
      <w:r w:rsidRPr="00DD448A">
        <w:rPr>
          <w:rFonts w:ascii="Arial" w:hAnsi="Arial" w:cs="Arial"/>
          <w:kern w:val="1"/>
          <w:sz w:val="22"/>
          <w:szCs w:val="22"/>
        </w:rPr>
        <w:t xml:space="preserve"> G, Imaizumi M, Kearney PM, Khaw KT, Maciel RM, Newman AB, Peeters RP, </w:t>
      </w:r>
      <w:proofErr w:type="spellStart"/>
      <w:r w:rsidRPr="00DD448A">
        <w:rPr>
          <w:rFonts w:ascii="Arial" w:hAnsi="Arial" w:cs="Arial"/>
          <w:kern w:val="1"/>
          <w:sz w:val="22"/>
          <w:szCs w:val="22"/>
        </w:rPr>
        <w:t>Psaty</w:t>
      </w:r>
      <w:proofErr w:type="spellEnd"/>
      <w:r w:rsidRPr="00DD448A">
        <w:rPr>
          <w:rFonts w:ascii="Arial" w:hAnsi="Arial" w:cs="Arial"/>
          <w:kern w:val="1"/>
          <w:sz w:val="22"/>
          <w:szCs w:val="22"/>
        </w:rPr>
        <w:t xml:space="preserve"> BM, Razvi S, </w:t>
      </w:r>
      <w:proofErr w:type="spellStart"/>
      <w:r w:rsidRPr="00DD448A">
        <w:rPr>
          <w:rFonts w:ascii="Arial" w:hAnsi="Arial" w:cs="Arial"/>
          <w:kern w:val="1"/>
          <w:sz w:val="22"/>
          <w:szCs w:val="22"/>
        </w:rPr>
        <w:t>Sgarbi</w:t>
      </w:r>
      <w:proofErr w:type="spellEnd"/>
      <w:r w:rsidRPr="00DD448A">
        <w:rPr>
          <w:rFonts w:ascii="Arial" w:hAnsi="Arial" w:cs="Arial"/>
          <w:kern w:val="1"/>
          <w:sz w:val="22"/>
          <w:szCs w:val="22"/>
        </w:rPr>
        <w:t xml:space="preserve"> JA, Stott DJ, </w:t>
      </w:r>
      <w:proofErr w:type="spellStart"/>
      <w:r w:rsidRPr="00DD448A">
        <w:rPr>
          <w:rFonts w:ascii="Arial" w:hAnsi="Arial" w:cs="Arial"/>
          <w:kern w:val="1"/>
          <w:sz w:val="22"/>
          <w:szCs w:val="22"/>
        </w:rPr>
        <w:t>Trompet</w:t>
      </w:r>
      <w:proofErr w:type="spellEnd"/>
      <w:r w:rsidRPr="00DD448A">
        <w:rPr>
          <w:rFonts w:ascii="Arial" w:hAnsi="Arial" w:cs="Arial"/>
          <w:kern w:val="1"/>
          <w:sz w:val="22"/>
          <w:szCs w:val="22"/>
        </w:rPr>
        <w:t xml:space="preserve"> S, Vanderpump MP, </w:t>
      </w:r>
      <w:proofErr w:type="spellStart"/>
      <w:r w:rsidRPr="00DD448A">
        <w:rPr>
          <w:rFonts w:ascii="Arial" w:hAnsi="Arial" w:cs="Arial"/>
          <w:kern w:val="1"/>
          <w:sz w:val="22"/>
          <w:szCs w:val="22"/>
        </w:rPr>
        <w:t>Völzke</w:t>
      </w:r>
      <w:proofErr w:type="spellEnd"/>
      <w:r w:rsidRPr="00DD448A">
        <w:rPr>
          <w:rFonts w:ascii="Arial" w:hAnsi="Arial" w:cs="Arial"/>
          <w:kern w:val="1"/>
          <w:sz w:val="22"/>
          <w:szCs w:val="22"/>
        </w:rPr>
        <w:t xml:space="preserve"> H, Walsh JP, </w:t>
      </w:r>
      <w:proofErr w:type="spellStart"/>
      <w:r w:rsidRPr="00DD448A">
        <w:rPr>
          <w:rFonts w:ascii="Arial" w:hAnsi="Arial" w:cs="Arial"/>
          <w:kern w:val="1"/>
          <w:sz w:val="22"/>
          <w:szCs w:val="22"/>
        </w:rPr>
        <w:t>Westendorp</w:t>
      </w:r>
      <w:proofErr w:type="spellEnd"/>
      <w:r w:rsidRPr="00DD448A">
        <w:rPr>
          <w:rFonts w:ascii="Arial" w:hAnsi="Arial" w:cs="Arial"/>
          <w:kern w:val="1"/>
          <w:sz w:val="22"/>
          <w:szCs w:val="22"/>
        </w:rPr>
        <w:t xml:space="preserve"> RG, </w:t>
      </w:r>
      <w:proofErr w:type="spellStart"/>
      <w:r w:rsidRPr="00DD448A">
        <w:rPr>
          <w:rFonts w:ascii="Arial" w:hAnsi="Arial" w:cs="Arial"/>
          <w:kern w:val="1"/>
          <w:sz w:val="22"/>
          <w:szCs w:val="22"/>
        </w:rPr>
        <w:t>Rodondi</w:t>
      </w:r>
      <w:proofErr w:type="spellEnd"/>
      <w:r w:rsidRPr="00DD448A">
        <w:rPr>
          <w:rFonts w:ascii="Arial" w:hAnsi="Arial" w:cs="Arial"/>
          <w:kern w:val="1"/>
          <w:sz w:val="22"/>
          <w:szCs w:val="22"/>
        </w:rPr>
        <w:t xml:space="preserve"> N. Thyroid function within the normal range and risk of coronary heart disease: an individual participant data analysis of 14 cohorts. </w:t>
      </w:r>
      <w:r w:rsidRPr="00DD448A">
        <w:rPr>
          <w:rFonts w:ascii="Arial" w:hAnsi="Arial" w:cs="Arial"/>
          <w:iCs/>
          <w:kern w:val="1"/>
          <w:sz w:val="22"/>
          <w:szCs w:val="22"/>
        </w:rPr>
        <w:t>JAMA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2015;175(6):1037-1047.</w:t>
      </w:r>
    </w:p>
    <w:p w14:paraId="545B6BE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341.</w:t>
      </w:r>
      <w:r w:rsidRPr="00DD448A">
        <w:rPr>
          <w:rFonts w:ascii="Arial" w:hAnsi="Arial" w:cs="Arial"/>
          <w:kern w:val="1"/>
          <w:sz w:val="22"/>
          <w:szCs w:val="22"/>
        </w:rPr>
        <w:tab/>
      </w:r>
      <w:proofErr w:type="spellStart"/>
      <w:r w:rsidRPr="00DD448A">
        <w:rPr>
          <w:rFonts w:ascii="Arial" w:hAnsi="Arial" w:cs="Arial"/>
          <w:kern w:val="1"/>
          <w:sz w:val="22"/>
          <w:szCs w:val="22"/>
        </w:rPr>
        <w:t>Asvold</w:t>
      </w:r>
      <w:proofErr w:type="spellEnd"/>
      <w:r w:rsidRPr="00DD448A">
        <w:rPr>
          <w:rFonts w:ascii="Arial" w:hAnsi="Arial" w:cs="Arial"/>
          <w:kern w:val="1"/>
          <w:sz w:val="22"/>
          <w:szCs w:val="22"/>
        </w:rPr>
        <w:t xml:space="preserve"> BO, </w:t>
      </w:r>
      <w:proofErr w:type="spellStart"/>
      <w:r w:rsidRPr="00DD448A">
        <w:rPr>
          <w:rFonts w:ascii="Arial" w:hAnsi="Arial" w:cs="Arial"/>
          <w:kern w:val="1"/>
          <w:sz w:val="22"/>
          <w:szCs w:val="22"/>
        </w:rPr>
        <w:t>Bjøro</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Vatten</w:t>
      </w:r>
      <w:proofErr w:type="spellEnd"/>
      <w:r w:rsidRPr="00DD448A">
        <w:rPr>
          <w:rFonts w:ascii="Arial" w:hAnsi="Arial" w:cs="Arial"/>
          <w:kern w:val="1"/>
          <w:sz w:val="22"/>
          <w:szCs w:val="22"/>
        </w:rPr>
        <w:t xml:space="preserve"> LJ. Association of thyroid function with estimated glomerular filtration rate in a population-based study: the HUNT study.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2011;164(1):101-105.</w:t>
      </w:r>
    </w:p>
    <w:p w14:paraId="52465C0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342.</w:t>
      </w:r>
      <w:r w:rsidRPr="00DD448A">
        <w:rPr>
          <w:rFonts w:ascii="Arial" w:hAnsi="Arial" w:cs="Arial"/>
          <w:kern w:val="1"/>
          <w:sz w:val="22"/>
          <w:szCs w:val="22"/>
        </w:rPr>
        <w:tab/>
        <w:t xml:space="preserve">Cappola AR, Ladenson PW. Hypothyroidism and atherosclerosis.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2003;88(6):2438-2444.</w:t>
      </w:r>
    </w:p>
    <w:p w14:paraId="704612D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343.</w:t>
      </w:r>
      <w:r w:rsidRPr="00DD448A">
        <w:rPr>
          <w:rFonts w:ascii="Arial" w:hAnsi="Arial" w:cs="Arial"/>
          <w:kern w:val="1"/>
          <w:sz w:val="22"/>
          <w:szCs w:val="22"/>
        </w:rPr>
        <w:tab/>
        <w:t xml:space="preserve">Ochs N, Auer R, Bauer DC, </w:t>
      </w:r>
      <w:proofErr w:type="spellStart"/>
      <w:r w:rsidRPr="00DD448A">
        <w:rPr>
          <w:rFonts w:ascii="Arial" w:hAnsi="Arial" w:cs="Arial"/>
          <w:kern w:val="1"/>
          <w:sz w:val="22"/>
          <w:szCs w:val="22"/>
        </w:rPr>
        <w:t>Nanchen</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Gussekloo</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Cornuz</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Rodondi</w:t>
      </w:r>
      <w:proofErr w:type="spellEnd"/>
      <w:r w:rsidRPr="00DD448A">
        <w:rPr>
          <w:rFonts w:ascii="Arial" w:hAnsi="Arial" w:cs="Arial"/>
          <w:kern w:val="1"/>
          <w:sz w:val="22"/>
          <w:szCs w:val="22"/>
        </w:rPr>
        <w:t xml:space="preserve"> N. Meta-analysis: subclinical thyroid dysfunction and the risk for coronary heart disease and mortality. </w:t>
      </w:r>
      <w:r w:rsidRPr="00DD448A">
        <w:rPr>
          <w:rFonts w:ascii="Arial" w:hAnsi="Arial" w:cs="Arial"/>
          <w:iCs/>
          <w:kern w:val="1"/>
          <w:sz w:val="22"/>
          <w:szCs w:val="22"/>
        </w:rPr>
        <w:t>Ann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2008;148(11):832-845.</w:t>
      </w:r>
    </w:p>
    <w:p w14:paraId="4B4EDF0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344.</w:t>
      </w:r>
      <w:r w:rsidRPr="00DD448A">
        <w:rPr>
          <w:rFonts w:ascii="Arial" w:hAnsi="Arial" w:cs="Arial"/>
          <w:kern w:val="1"/>
          <w:sz w:val="22"/>
          <w:szCs w:val="22"/>
        </w:rPr>
        <w:tab/>
      </w:r>
      <w:proofErr w:type="spellStart"/>
      <w:r w:rsidRPr="00DD448A">
        <w:rPr>
          <w:rFonts w:ascii="Arial" w:hAnsi="Arial" w:cs="Arial"/>
          <w:kern w:val="1"/>
          <w:sz w:val="22"/>
          <w:szCs w:val="22"/>
        </w:rPr>
        <w:t>Ittermann</w:t>
      </w:r>
      <w:proofErr w:type="spellEnd"/>
      <w:r w:rsidRPr="00DD448A">
        <w:rPr>
          <w:rFonts w:ascii="Arial" w:hAnsi="Arial" w:cs="Arial"/>
          <w:kern w:val="1"/>
          <w:sz w:val="22"/>
          <w:szCs w:val="22"/>
        </w:rPr>
        <w:t xml:space="preserve"> T, Lorbeer R, Dörr M, Schneider T, Quadrat A, </w:t>
      </w:r>
      <w:proofErr w:type="spellStart"/>
      <w:r w:rsidRPr="00DD448A">
        <w:rPr>
          <w:rFonts w:ascii="Arial" w:hAnsi="Arial" w:cs="Arial"/>
          <w:kern w:val="1"/>
          <w:sz w:val="22"/>
          <w:szCs w:val="22"/>
        </w:rPr>
        <w:t>Heßelbarth</w:t>
      </w:r>
      <w:proofErr w:type="spellEnd"/>
      <w:r w:rsidRPr="00DD448A">
        <w:rPr>
          <w:rFonts w:ascii="Arial" w:hAnsi="Arial" w:cs="Arial"/>
          <w:kern w:val="1"/>
          <w:sz w:val="22"/>
          <w:szCs w:val="22"/>
        </w:rPr>
        <w:t xml:space="preserve"> L, Wenzel M, </w:t>
      </w:r>
      <w:proofErr w:type="spellStart"/>
      <w:r w:rsidRPr="00DD448A">
        <w:rPr>
          <w:rFonts w:ascii="Arial" w:hAnsi="Arial" w:cs="Arial"/>
          <w:kern w:val="1"/>
          <w:sz w:val="22"/>
          <w:szCs w:val="22"/>
        </w:rPr>
        <w:t>Lehmphul</w:t>
      </w:r>
      <w:proofErr w:type="spellEnd"/>
      <w:r w:rsidRPr="00DD448A">
        <w:rPr>
          <w:rFonts w:ascii="Arial" w:hAnsi="Arial" w:cs="Arial"/>
          <w:kern w:val="1"/>
          <w:sz w:val="22"/>
          <w:szCs w:val="22"/>
        </w:rPr>
        <w:t xml:space="preserve"> I, </w:t>
      </w:r>
      <w:proofErr w:type="spellStart"/>
      <w:r w:rsidRPr="00DD448A">
        <w:rPr>
          <w:rFonts w:ascii="Arial" w:hAnsi="Arial" w:cs="Arial"/>
          <w:kern w:val="1"/>
          <w:sz w:val="22"/>
          <w:szCs w:val="22"/>
        </w:rPr>
        <w:t>Köhrle</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Mensel</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Völzke</w:t>
      </w:r>
      <w:proofErr w:type="spellEnd"/>
      <w:r w:rsidRPr="00DD448A">
        <w:rPr>
          <w:rFonts w:ascii="Arial" w:hAnsi="Arial" w:cs="Arial"/>
          <w:kern w:val="1"/>
          <w:sz w:val="22"/>
          <w:szCs w:val="22"/>
        </w:rPr>
        <w:t xml:space="preserve"> H. High levels of thyroid-stimulating hormone are associated with aortic wall thickness in the general population.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Radiol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2016;26(12):4490-4496.</w:t>
      </w:r>
    </w:p>
    <w:p w14:paraId="2BCF370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345.</w:t>
      </w:r>
      <w:r w:rsidRPr="00DD448A">
        <w:rPr>
          <w:rFonts w:ascii="Arial" w:hAnsi="Arial" w:cs="Arial"/>
          <w:kern w:val="1"/>
          <w:sz w:val="22"/>
          <w:szCs w:val="22"/>
        </w:rPr>
        <w:tab/>
        <w:t xml:space="preserve">Andersen MN, Olsen AS, Madsen JC, Kristensen SL, Faber J, Torp-Pedersen C, Gislason GH, Selmer C. Long-Term Outcome in Levothyroxine Treated Patients With Subclinical Hypothyroidism and Concomitant Heart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2016;101(11):4170-4177.</w:t>
      </w:r>
    </w:p>
    <w:p w14:paraId="477E204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346.</w:t>
      </w:r>
      <w:r w:rsidRPr="00DD448A">
        <w:rPr>
          <w:rFonts w:ascii="Arial" w:hAnsi="Arial" w:cs="Arial"/>
          <w:kern w:val="1"/>
          <w:sz w:val="22"/>
          <w:szCs w:val="22"/>
        </w:rPr>
        <w:tab/>
      </w:r>
      <w:proofErr w:type="spellStart"/>
      <w:r w:rsidRPr="00DD448A">
        <w:rPr>
          <w:rFonts w:ascii="Arial" w:hAnsi="Arial" w:cs="Arial"/>
          <w:kern w:val="1"/>
          <w:sz w:val="22"/>
          <w:szCs w:val="22"/>
        </w:rPr>
        <w:t>Baretella</w:t>
      </w:r>
      <w:proofErr w:type="spellEnd"/>
      <w:r w:rsidRPr="00DD448A">
        <w:rPr>
          <w:rFonts w:ascii="Arial" w:hAnsi="Arial" w:cs="Arial"/>
          <w:kern w:val="1"/>
          <w:sz w:val="22"/>
          <w:szCs w:val="22"/>
        </w:rPr>
        <w:t xml:space="preserve"> O, Blum MR, Abolhassani N, Alwan H, </w:t>
      </w:r>
      <w:proofErr w:type="spellStart"/>
      <w:r w:rsidRPr="00DD448A">
        <w:rPr>
          <w:rFonts w:ascii="Arial" w:hAnsi="Arial" w:cs="Arial"/>
          <w:kern w:val="1"/>
          <w:sz w:val="22"/>
          <w:szCs w:val="22"/>
        </w:rPr>
        <w:t>Wildisen</w:t>
      </w:r>
      <w:proofErr w:type="spellEnd"/>
      <w:r w:rsidRPr="00DD448A">
        <w:rPr>
          <w:rFonts w:ascii="Arial" w:hAnsi="Arial" w:cs="Arial"/>
          <w:kern w:val="1"/>
          <w:sz w:val="22"/>
          <w:szCs w:val="22"/>
        </w:rPr>
        <w:t xml:space="preserve"> L, Del </w:t>
      </w:r>
      <w:proofErr w:type="spellStart"/>
      <w:r w:rsidRPr="00DD448A">
        <w:rPr>
          <w:rFonts w:ascii="Arial" w:hAnsi="Arial" w:cs="Arial"/>
          <w:kern w:val="1"/>
          <w:sz w:val="22"/>
          <w:szCs w:val="22"/>
        </w:rPr>
        <w:t>Giovane</w:t>
      </w:r>
      <w:proofErr w:type="spellEnd"/>
      <w:r w:rsidRPr="00DD448A">
        <w:rPr>
          <w:rFonts w:ascii="Arial" w:hAnsi="Arial" w:cs="Arial"/>
          <w:kern w:val="1"/>
          <w:sz w:val="22"/>
          <w:szCs w:val="22"/>
        </w:rPr>
        <w:t xml:space="preserve"> C, Tal K, </w:t>
      </w:r>
      <w:proofErr w:type="spellStart"/>
      <w:r w:rsidRPr="00DD448A">
        <w:rPr>
          <w:rFonts w:ascii="Arial" w:hAnsi="Arial" w:cs="Arial"/>
          <w:kern w:val="1"/>
          <w:sz w:val="22"/>
          <w:szCs w:val="22"/>
        </w:rPr>
        <w:t>Moutzouri</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Åsvold</w:t>
      </w:r>
      <w:proofErr w:type="spellEnd"/>
      <w:r w:rsidRPr="00DD448A">
        <w:rPr>
          <w:rFonts w:ascii="Arial" w:hAnsi="Arial" w:cs="Arial"/>
          <w:kern w:val="1"/>
          <w:sz w:val="22"/>
          <w:szCs w:val="22"/>
        </w:rPr>
        <w:t xml:space="preserve"> BO, Cappola AR, </w:t>
      </w:r>
      <w:proofErr w:type="spellStart"/>
      <w:r w:rsidRPr="00DD448A">
        <w:rPr>
          <w:rFonts w:ascii="Arial" w:hAnsi="Arial" w:cs="Arial"/>
          <w:kern w:val="1"/>
          <w:sz w:val="22"/>
          <w:szCs w:val="22"/>
        </w:rPr>
        <w:t>Gussekloo</w:t>
      </w:r>
      <w:proofErr w:type="spellEnd"/>
      <w:r w:rsidRPr="00DD448A">
        <w:rPr>
          <w:rFonts w:ascii="Arial" w:hAnsi="Arial" w:cs="Arial"/>
          <w:kern w:val="1"/>
          <w:sz w:val="22"/>
          <w:szCs w:val="22"/>
        </w:rPr>
        <w:t xml:space="preserve"> J, Iacoviello M, </w:t>
      </w:r>
      <w:proofErr w:type="spellStart"/>
      <w:r w:rsidRPr="00DD448A">
        <w:rPr>
          <w:rFonts w:ascii="Arial" w:hAnsi="Arial" w:cs="Arial"/>
          <w:kern w:val="1"/>
          <w:sz w:val="22"/>
          <w:szCs w:val="22"/>
        </w:rPr>
        <w:t>Iervasi</w:t>
      </w:r>
      <w:proofErr w:type="spellEnd"/>
      <w:r w:rsidRPr="00DD448A">
        <w:rPr>
          <w:rFonts w:ascii="Arial" w:hAnsi="Arial" w:cs="Arial"/>
          <w:kern w:val="1"/>
          <w:sz w:val="22"/>
          <w:szCs w:val="22"/>
        </w:rPr>
        <w:t xml:space="preserve"> G, Imaizumi M, Weiler S, Razvi S, </w:t>
      </w:r>
      <w:proofErr w:type="spellStart"/>
      <w:r w:rsidRPr="00DD448A">
        <w:rPr>
          <w:rFonts w:ascii="Arial" w:hAnsi="Arial" w:cs="Arial"/>
          <w:kern w:val="1"/>
          <w:sz w:val="22"/>
          <w:szCs w:val="22"/>
        </w:rPr>
        <w:t>Sgarbi</w:t>
      </w:r>
      <w:proofErr w:type="spellEnd"/>
      <w:r w:rsidRPr="00DD448A">
        <w:rPr>
          <w:rFonts w:ascii="Arial" w:hAnsi="Arial" w:cs="Arial"/>
          <w:kern w:val="1"/>
          <w:sz w:val="22"/>
          <w:szCs w:val="22"/>
        </w:rPr>
        <w:t xml:space="preserve"> JA, </w:t>
      </w:r>
      <w:proofErr w:type="spellStart"/>
      <w:r w:rsidRPr="00DD448A">
        <w:rPr>
          <w:rFonts w:ascii="Arial" w:hAnsi="Arial" w:cs="Arial"/>
          <w:kern w:val="1"/>
          <w:sz w:val="22"/>
          <w:szCs w:val="22"/>
        </w:rPr>
        <w:t>Völzke</w:t>
      </w:r>
      <w:proofErr w:type="spellEnd"/>
      <w:r w:rsidRPr="00DD448A">
        <w:rPr>
          <w:rFonts w:ascii="Arial" w:hAnsi="Arial" w:cs="Arial"/>
          <w:kern w:val="1"/>
          <w:sz w:val="22"/>
          <w:szCs w:val="22"/>
        </w:rPr>
        <w:t xml:space="preserve"> H, Brown SJ, Walsh JP, Vaes B, Yeap BB, </w:t>
      </w:r>
      <w:proofErr w:type="spellStart"/>
      <w:r w:rsidRPr="00DD448A">
        <w:rPr>
          <w:rFonts w:ascii="Arial" w:hAnsi="Arial" w:cs="Arial"/>
          <w:kern w:val="1"/>
          <w:sz w:val="22"/>
          <w:szCs w:val="22"/>
        </w:rPr>
        <w:t>Dullaart</w:t>
      </w:r>
      <w:proofErr w:type="spellEnd"/>
      <w:r w:rsidRPr="00DD448A">
        <w:rPr>
          <w:rFonts w:ascii="Arial" w:hAnsi="Arial" w:cs="Arial"/>
          <w:kern w:val="1"/>
          <w:sz w:val="22"/>
          <w:szCs w:val="22"/>
        </w:rPr>
        <w:t xml:space="preserve"> RPF, Bakker SJL, </w:t>
      </w:r>
      <w:proofErr w:type="spellStart"/>
      <w:r w:rsidRPr="00DD448A">
        <w:rPr>
          <w:rFonts w:ascii="Arial" w:hAnsi="Arial" w:cs="Arial"/>
          <w:kern w:val="1"/>
          <w:sz w:val="22"/>
          <w:szCs w:val="22"/>
        </w:rPr>
        <w:t>Kavousi</w:t>
      </w:r>
      <w:proofErr w:type="spellEnd"/>
      <w:r w:rsidRPr="00DD448A">
        <w:rPr>
          <w:rFonts w:ascii="Arial" w:hAnsi="Arial" w:cs="Arial"/>
          <w:kern w:val="1"/>
          <w:sz w:val="22"/>
          <w:szCs w:val="22"/>
        </w:rPr>
        <w:t xml:space="preserve"> M, Ceresini G, Ferrucci L, </w:t>
      </w:r>
      <w:proofErr w:type="spellStart"/>
      <w:r w:rsidRPr="00DD448A">
        <w:rPr>
          <w:rFonts w:ascii="Arial" w:hAnsi="Arial" w:cs="Arial"/>
          <w:kern w:val="1"/>
          <w:sz w:val="22"/>
          <w:szCs w:val="22"/>
        </w:rPr>
        <w:t>Aujesky</w:t>
      </w:r>
      <w:proofErr w:type="spellEnd"/>
      <w:r w:rsidRPr="00DD448A">
        <w:rPr>
          <w:rFonts w:ascii="Arial" w:hAnsi="Arial" w:cs="Arial"/>
          <w:kern w:val="1"/>
          <w:sz w:val="22"/>
          <w:szCs w:val="22"/>
        </w:rPr>
        <w:t xml:space="preserve"> D, Peeters RP, Bauer DC, Feller M, </w:t>
      </w:r>
      <w:proofErr w:type="spellStart"/>
      <w:r w:rsidRPr="00DD448A">
        <w:rPr>
          <w:rFonts w:ascii="Arial" w:hAnsi="Arial" w:cs="Arial"/>
          <w:kern w:val="1"/>
          <w:sz w:val="22"/>
          <w:szCs w:val="22"/>
        </w:rPr>
        <w:t>Rodondi</w:t>
      </w:r>
      <w:proofErr w:type="spellEnd"/>
      <w:r w:rsidRPr="00DD448A">
        <w:rPr>
          <w:rFonts w:ascii="Arial" w:hAnsi="Arial" w:cs="Arial"/>
          <w:kern w:val="1"/>
          <w:sz w:val="22"/>
          <w:szCs w:val="22"/>
        </w:rPr>
        <w:t xml:space="preserve"> N. Associations between subclinical thyroid dysfunction and cardiovascular risk factors according to age and sex.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4CA9AB8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347.</w:t>
      </w:r>
      <w:r w:rsidRPr="00DD448A">
        <w:rPr>
          <w:rFonts w:ascii="Arial" w:hAnsi="Arial" w:cs="Arial"/>
          <w:kern w:val="1"/>
          <w:sz w:val="22"/>
          <w:szCs w:val="22"/>
        </w:rPr>
        <w:tab/>
        <w:t xml:space="preserve">Iqbal A, Jorde R, Figenschau Y. Serum lipid levels in relation to serum thyroid-stimulating hormone and the effect of thyroxine treatment on serum lipid levels in subjects with subclinical hypothyroidism: the Tromsø Study. </w:t>
      </w:r>
      <w:r w:rsidRPr="00DD448A">
        <w:rPr>
          <w:rFonts w:ascii="Arial" w:hAnsi="Arial" w:cs="Arial"/>
          <w:iCs/>
          <w:kern w:val="1"/>
          <w:sz w:val="22"/>
          <w:szCs w:val="22"/>
        </w:rPr>
        <w:t>J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2006;260(1):53-61.</w:t>
      </w:r>
    </w:p>
    <w:p w14:paraId="2426EC9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348.</w:t>
      </w:r>
      <w:r w:rsidRPr="00DD448A">
        <w:rPr>
          <w:rFonts w:ascii="Arial" w:hAnsi="Arial" w:cs="Arial"/>
          <w:kern w:val="1"/>
          <w:sz w:val="22"/>
          <w:szCs w:val="22"/>
        </w:rPr>
        <w:tab/>
      </w:r>
      <w:proofErr w:type="spellStart"/>
      <w:r w:rsidRPr="00DD448A">
        <w:rPr>
          <w:rFonts w:ascii="Arial" w:hAnsi="Arial" w:cs="Arial"/>
          <w:kern w:val="1"/>
          <w:sz w:val="22"/>
          <w:szCs w:val="22"/>
        </w:rPr>
        <w:t>Asvold</w:t>
      </w:r>
      <w:proofErr w:type="spellEnd"/>
      <w:r w:rsidRPr="00DD448A">
        <w:rPr>
          <w:rFonts w:ascii="Arial" w:hAnsi="Arial" w:cs="Arial"/>
          <w:kern w:val="1"/>
          <w:sz w:val="22"/>
          <w:szCs w:val="22"/>
        </w:rPr>
        <w:t xml:space="preserve"> BO, </w:t>
      </w:r>
      <w:proofErr w:type="spellStart"/>
      <w:r w:rsidRPr="00DD448A">
        <w:rPr>
          <w:rFonts w:ascii="Arial" w:hAnsi="Arial" w:cs="Arial"/>
          <w:kern w:val="1"/>
          <w:sz w:val="22"/>
          <w:szCs w:val="22"/>
        </w:rPr>
        <w:t>Bjøro</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Vatten</w:t>
      </w:r>
      <w:proofErr w:type="spellEnd"/>
      <w:r w:rsidRPr="00DD448A">
        <w:rPr>
          <w:rFonts w:ascii="Arial" w:hAnsi="Arial" w:cs="Arial"/>
          <w:kern w:val="1"/>
          <w:sz w:val="22"/>
          <w:szCs w:val="22"/>
        </w:rPr>
        <w:t xml:space="preserve"> LJ. Associations of TSH levels within the reference range with future blood pressure and lipid concentrations: 11-year follow-up of the HUNT study.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2013;169(1):73-82.</w:t>
      </w:r>
    </w:p>
    <w:p w14:paraId="044ED7F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349.</w:t>
      </w:r>
      <w:r w:rsidRPr="00DD448A">
        <w:rPr>
          <w:rFonts w:ascii="Arial" w:hAnsi="Arial" w:cs="Arial"/>
          <w:kern w:val="1"/>
          <w:sz w:val="22"/>
          <w:szCs w:val="22"/>
        </w:rPr>
        <w:tab/>
        <w:t xml:space="preserve">Casey BM, Dashe JS, Wells CE, McIntire DD, </w:t>
      </w:r>
      <w:proofErr w:type="spellStart"/>
      <w:r w:rsidRPr="00DD448A">
        <w:rPr>
          <w:rFonts w:ascii="Arial" w:hAnsi="Arial" w:cs="Arial"/>
          <w:kern w:val="1"/>
          <w:sz w:val="22"/>
          <w:szCs w:val="22"/>
        </w:rPr>
        <w:t>Leveno</w:t>
      </w:r>
      <w:proofErr w:type="spellEnd"/>
      <w:r w:rsidRPr="00DD448A">
        <w:rPr>
          <w:rFonts w:ascii="Arial" w:hAnsi="Arial" w:cs="Arial"/>
          <w:kern w:val="1"/>
          <w:sz w:val="22"/>
          <w:szCs w:val="22"/>
        </w:rPr>
        <w:t xml:space="preserve"> KJ, Cunningham FG. Subclinical hyperthyroidism and pregnancy outcomes. </w:t>
      </w:r>
      <w:r w:rsidRPr="00DD448A">
        <w:rPr>
          <w:rFonts w:ascii="Arial" w:hAnsi="Arial" w:cs="Arial"/>
          <w:iCs/>
          <w:kern w:val="1"/>
          <w:sz w:val="22"/>
          <w:szCs w:val="22"/>
        </w:rPr>
        <w:t>Obstet Gynecol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2006;107(2 Pt 1):337-341.</w:t>
      </w:r>
    </w:p>
    <w:p w14:paraId="5FC0BFC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350.</w:t>
      </w:r>
      <w:r w:rsidRPr="00DD448A">
        <w:rPr>
          <w:rFonts w:ascii="Arial" w:hAnsi="Arial" w:cs="Arial"/>
          <w:kern w:val="1"/>
          <w:sz w:val="22"/>
          <w:szCs w:val="22"/>
        </w:rPr>
        <w:tab/>
        <w:t xml:space="preserve">Ajmani SN, Aggarwal D, Bhatia P, Sharma M, Sarabhai V, Paul M. Prevalence of overt and subclinical thyroid dysfunction among pregnant women and its effect on maternal and fetal outcome.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Obstet</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Gynaecol</w:t>
      </w:r>
      <w:proofErr w:type="spellEnd"/>
      <w:r w:rsidRPr="00DD448A">
        <w:rPr>
          <w:rFonts w:ascii="Arial" w:hAnsi="Arial" w:cs="Arial"/>
          <w:iCs/>
          <w:kern w:val="1"/>
          <w:sz w:val="22"/>
          <w:szCs w:val="22"/>
        </w:rPr>
        <w:t xml:space="preserve"> India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2014;64(2):105-110.</w:t>
      </w:r>
    </w:p>
    <w:p w14:paraId="008B12D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351.</w:t>
      </w:r>
      <w:r w:rsidRPr="00DD448A">
        <w:rPr>
          <w:rFonts w:ascii="Arial" w:hAnsi="Arial" w:cs="Arial"/>
          <w:kern w:val="1"/>
          <w:sz w:val="22"/>
          <w:szCs w:val="22"/>
        </w:rPr>
        <w:tab/>
        <w:t xml:space="preserve">Debbarma R, </w:t>
      </w:r>
      <w:proofErr w:type="spellStart"/>
      <w:r w:rsidRPr="00DD448A">
        <w:rPr>
          <w:rFonts w:ascii="Arial" w:hAnsi="Arial" w:cs="Arial"/>
          <w:kern w:val="1"/>
          <w:sz w:val="22"/>
          <w:szCs w:val="22"/>
        </w:rPr>
        <w:t>Gothwal</w:t>
      </w:r>
      <w:proofErr w:type="spellEnd"/>
      <w:r w:rsidRPr="00DD448A">
        <w:rPr>
          <w:rFonts w:ascii="Arial" w:hAnsi="Arial" w:cs="Arial"/>
          <w:kern w:val="1"/>
          <w:sz w:val="22"/>
          <w:szCs w:val="22"/>
        </w:rPr>
        <w:t xml:space="preserve"> M, Singh P, Yadav G, Purohit P, Ghuman NK, Gupta N. The Spectrum of Thyroid Dysfunction During Pregnancy and </w:t>
      </w:r>
      <w:proofErr w:type="spellStart"/>
      <w:r w:rsidRPr="00DD448A">
        <w:rPr>
          <w:rFonts w:ascii="Arial" w:hAnsi="Arial" w:cs="Arial"/>
          <w:kern w:val="1"/>
          <w:sz w:val="22"/>
          <w:szCs w:val="22"/>
        </w:rPr>
        <w:t>Fetomaternal</w:t>
      </w:r>
      <w:proofErr w:type="spellEnd"/>
      <w:r w:rsidRPr="00DD448A">
        <w:rPr>
          <w:rFonts w:ascii="Arial" w:hAnsi="Arial" w:cs="Arial"/>
          <w:kern w:val="1"/>
          <w:sz w:val="22"/>
          <w:szCs w:val="22"/>
        </w:rPr>
        <w:t xml:space="preserve"> Outcome, A Study from the Premier Institute of Western India. </w:t>
      </w:r>
      <w:r w:rsidRPr="00DD448A">
        <w:rPr>
          <w:rFonts w:ascii="Arial" w:hAnsi="Arial" w:cs="Arial"/>
          <w:iCs/>
          <w:kern w:val="1"/>
          <w:sz w:val="22"/>
          <w:szCs w:val="22"/>
        </w:rPr>
        <w:t>Indian J Community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2024;49(5):734-738.</w:t>
      </w:r>
    </w:p>
    <w:p w14:paraId="725E5CC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352.</w:t>
      </w:r>
      <w:r w:rsidRPr="00DD448A">
        <w:rPr>
          <w:rFonts w:ascii="Arial" w:hAnsi="Arial" w:cs="Arial"/>
          <w:kern w:val="1"/>
          <w:sz w:val="22"/>
          <w:szCs w:val="22"/>
        </w:rPr>
        <w:tab/>
        <w:t xml:space="preserve">Zaccarelli-Marino MA, </w:t>
      </w:r>
      <w:proofErr w:type="spellStart"/>
      <w:r w:rsidRPr="00DD448A">
        <w:rPr>
          <w:rFonts w:ascii="Arial" w:hAnsi="Arial" w:cs="Arial"/>
          <w:kern w:val="1"/>
          <w:sz w:val="22"/>
          <w:szCs w:val="22"/>
        </w:rPr>
        <w:t>Dsouki</w:t>
      </w:r>
      <w:proofErr w:type="spellEnd"/>
      <w:r w:rsidRPr="00DD448A">
        <w:rPr>
          <w:rFonts w:ascii="Arial" w:hAnsi="Arial" w:cs="Arial"/>
          <w:kern w:val="1"/>
          <w:sz w:val="22"/>
          <w:szCs w:val="22"/>
        </w:rPr>
        <w:t xml:space="preserve"> NA, de Carvalho RP, Maciel RMB. Evaluation of Anti-Thyroperoxidase (A-TPO) and Anti-Thyroglobulin (A-</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Antibodies in Women with Previous Hashimoto's Thyroiditis during and after Pregnancy. </w:t>
      </w:r>
      <w:r w:rsidRPr="00DD448A">
        <w:rPr>
          <w:rFonts w:ascii="Arial" w:hAnsi="Arial" w:cs="Arial"/>
          <w:iCs/>
          <w:kern w:val="1"/>
          <w:sz w:val="22"/>
          <w:szCs w:val="22"/>
        </w:rPr>
        <w:t>J Clin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2024;13(15).</w:t>
      </w:r>
    </w:p>
    <w:p w14:paraId="291A319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353.</w:t>
      </w:r>
      <w:r w:rsidRPr="00DD448A">
        <w:rPr>
          <w:rFonts w:ascii="Arial" w:hAnsi="Arial" w:cs="Arial"/>
          <w:kern w:val="1"/>
          <w:sz w:val="22"/>
          <w:szCs w:val="22"/>
        </w:rPr>
        <w:tab/>
        <w:t xml:space="preserve">Tong Z, Xiaowen Z, </w:t>
      </w:r>
      <w:proofErr w:type="spellStart"/>
      <w:r w:rsidRPr="00DD448A">
        <w:rPr>
          <w:rFonts w:ascii="Arial" w:hAnsi="Arial" w:cs="Arial"/>
          <w:kern w:val="1"/>
          <w:sz w:val="22"/>
          <w:szCs w:val="22"/>
        </w:rPr>
        <w:t>Baomin</w:t>
      </w:r>
      <w:proofErr w:type="spellEnd"/>
      <w:r w:rsidRPr="00DD448A">
        <w:rPr>
          <w:rFonts w:ascii="Arial" w:hAnsi="Arial" w:cs="Arial"/>
          <w:kern w:val="1"/>
          <w:sz w:val="22"/>
          <w:szCs w:val="22"/>
        </w:rPr>
        <w:t xml:space="preserve"> C, Aihua L, Yingying Z, Weiping T, </w:t>
      </w:r>
      <w:proofErr w:type="spellStart"/>
      <w:r w:rsidRPr="00DD448A">
        <w:rPr>
          <w:rFonts w:ascii="Arial" w:hAnsi="Arial" w:cs="Arial"/>
          <w:kern w:val="1"/>
          <w:sz w:val="22"/>
          <w:szCs w:val="22"/>
        </w:rPr>
        <w:t>Zhongyan</w:t>
      </w:r>
      <w:proofErr w:type="spellEnd"/>
      <w:r w:rsidRPr="00DD448A">
        <w:rPr>
          <w:rFonts w:ascii="Arial" w:hAnsi="Arial" w:cs="Arial"/>
          <w:kern w:val="1"/>
          <w:sz w:val="22"/>
          <w:szCs w:val="22"/>
        </w:rPr>
        <w:t xml:space="preserve"> S. The Effect of Subclinical Maternal Thyroid Dysfunction and Autoimmunity on Intrauterine Growth Restriction: A Systematic Review and Meta-Analysis. </w:t>
      </w:r>
      <w:r w:rsidRPr="00DD448A">
        <w:rPr>
          <w:rFonts w:ascii="Arial" w:hAnsi="Arial" w:cs="Arial"/>
          <w:iCs/>
          <w:kern w:val="1"/>
          <w:sz w:val="22"/>
          <w:szCs w:val="22"/>
        </w:rPr>
        <w:t>Medicine (Baltimore)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2016;95(19):e3677.</w:t>
      </w:r>
    </w:p>
    <w:p w14:paraId="6CEE018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354.</w:t>
      </w:r>
      <w:r w:rsidRPr="00DD448A">
        <w:rPr>
          <w:rFonts w:ascii="Arial" w:hAnsi="Arial" w:cs="Arial"/>
          <w:kern w:val="1"/>
          <w:sz w:val="22"/>
          <w:szCs w:val="22"/>
        </w:rPr>
        <w:tab/>
        <w:t xml:space="preserve">Iijima S. Pitfalls in the assessment of gestational transient thyrotoxicosis. </w:t>
      </w:r>
      <w:proofErr w:type="spellStart"/>
      <w:r w:rsidRPr="00DD448A">
        <w:rPr>
          <w:rFonts w:ascii="Arial" w:hAnsi="Arial" w:cs="Arial"/>
          <w:iCs/>
          <w:kern w:val="1"/>
          <w:sz w:val="22"/>
          <w:szCs w:val="22"/>
        </w:rPr>
        <w:t>Gynecol</w:t>
      </w:r>
      <w:proofErr w:type="spellEnd"/>
      <w:r w:rsidRPr="00DD448A">
        <w:rPr>
          <w:rFonts w:ascii="Arial" w:hAnsi="Arial" w:cs="Arial"/>
          <w:iCs/>
          <w:kern w:val="1"/>
          <w:sz w:val="22"/>
          <w:szCs w:val="22"/>
        </w:rPr>
        <w:t xml:space="preserve">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2020;36(8):662-667.</w:t>
      </w:r>
    </w:p>
    <w:p w14:paraId="01BD089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355.</w:t>
      </w:r>
      <w:r w:rsidRPr="00DD448A">
        <w:rPr>
          <w:rFonts w:ascii="Arial" w:hAnsi="Arial" w:cs="Arial"/>
          <w:kern w:val="1"/>
          <w:sz w:val="22"/>
          <w:szCs w:val="22"/>
        </w:rPr>
        <w:tab/>
        <w:t xml:space="preserve">Brabant G, Peeters RP, Chan SY, Bernal J, Bouchard P, Salvatore D, </w:t>
      </w:r>
      <w:proofErr w:type="spellStart"/>
      <w:r w:rsidRPr="00DD448A">
        <w:rPr>
          <w:rFonts w:ascii="Arial" w:hAnsi="Arial" w:cs="Arial"/>
          <w:kern w:val="1"/>
          <w:sz w:val="22"/>
          <w:szCs w:val="22"/>
        </w:rPr>
        <w:t>Boelaert</w:t>
      </w:r>
      <w:proofErr w:type="spellEnd"/>
      <w:r w:rsidRPr="00DD448A">
        <w:rPr>
          <w:rFonts w:ascii="Arial" w:hAnsi="Arial" w:cs="Arial"/>
          <w:kern w:val="1"/>
          <w:sz w:val="22"/>
          <w:szCs w:val="22"/>
        </w:rPr>
        <w:t xml:space="preserve"> K, Laurberg P. Management of subclinical hypothyroidism in pregnancy: are we too simplistic?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2015;173(1):P1-p11.</w:t>
      </w:r>
    </w:p>
    <w:p w14:paraId="4C00127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356.</w:t>
      </w:r>
      <w:r w:rsidRPr="00DD448A">
        <w:rPr>
          <w:rFonts w:ascii="Arial" w:hAnsi="Arial" w:cs="Arial"/>
          <w:kern w:val="1"/>
          <w:sz w:val="22"/>
          <w:szCs w:val="22"/>
        </w:rPr>
        <w:tab/>
        <w:t xml:space="preserve">Negro R, Stagnaro-Green A. Diagnosis and management of subclinical hypothyroidism in pregnancy. </w:t>
      </w:r>
      <w:proofErr w:type="spellStart"/>
      <w:r w:rsidRPr="00DD448A">
        <w:rPr>
          <w:rFonts w:ascii="Arial" w:hAnsi="Arial" w:cs="Arial"/>
          <w:iCs/>
          <w:kern w:val="1"/>
          <w:sz w:val="22"/>
          <w:szCs w:val="22"/>
        </w:rPr>
        <w:t>Bmj</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2014;349:g4929.</w:t>
      </w:r>
    </w:p>
    <w:p w14:paraId="39D1A8F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357.</w:t>
      </w:r>
      <w:r w:rsidRPr="00DD448A">
        <w:rPr>
          <w:rFonts w:ascii="Arial" w:hAnsi="Arial" w:cs="Arial"/>
          <w:kern w:val="1"/>
          <w:sz w:val="22"/>
          <w:szCs w:val="22"/>
        </w:rPr>
        <w:tab/>
        <w:t xml:space="preserve">Negro R. Thyroid autoimmunity and pre-term delivery: brief review and meta-analysis.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2011;34(2):155-158.</w:t>
      </w:r>
    </w:p>
    <w:p w14:paraId="3B4AEF2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358.</w:t>
      </w:r>
      <w:r w:rsidRPr="00DD448A">
        <w:rPr>
          <w:rFonts w:ascii="Arial" w:hAnsi="Arial" w:cs="Arial"/>
          <w:kern w:val="1"/>
          <w:sz w:val="22"/>
          <w:szCs w:val="22"/>
        </w:rPr>
        <w:tab/>
        <w:t xml:space="preserve">Negro R, Schwartz A, Stagnaro-Green A. Impact of Levothyroxine in Miscarriage and Preterm Delivery Rates in First Trimester Thyroid Antibody-Positive Women With TSH Less Than 2.5 </w:t>
      </w:r>
      <w:proofErr w:type="spellStart"/>
      <w:r w:rsidRPr="00DD448A">
        <w:rPr>
          <w:rFonts w:ascii="Arial" w:hAnsi="Arial" w:cs="Arial"/>
          <w:kern w:val="1"/>
          <w:sz w:val="22"/>
          <w:szCs w:val="22"/>
        </w:rPr>
        <w:t>mIU</w:t>
      </w:r>
      <w:proofErr w:type="spellEnd"/>
      <w:r w:rsidRPr="00DD448A">
        <w:rPr>
          <w:rFonts w:ascii="Arial" w:hAnsi="Arial" w:cs="Arial"/>
          <w:kern w:val="1"/>
          <w:sz w:val="22"/>
          <w:szCs w:val="22"/>
        </w:rPr>
        <w:t xml:space="preserve">/L.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2016;101(10):3685-3690.</w:t>
      </w:r>
    </w:p>
    <w:p w14:paraId="44C4AD1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359.</w:t>
      </w:r>
      <w:r w:rsidRPr="00DD448A">
        <w:rPr>
          <w:rFonts w:ascii="Arial" w:hAnsi="Arial" w:cs="Arial"/>
          <w:kern w:val="1"/>
          <w:sz w:val="22"/>
          <w:szCs w:val="22"/>
        </w:rPr>
        <w:tab/>
        <w:t xml:space="preserve">Chen X, Jin B, Xia J, Tao X, Huang X, Sun L, Yuan Q. Effects of Thyroid Peroxidase Antibody on Maternal and Neonatal Outcomes in Pregnant Women in an Iodine-Sufficient Area in China. </w:t>
      </w:r>
      <w:r w:rsidRPr="00DD448A">
        <w:rPr>
          <w:rFonts w:ascii="Arial" w:hAnsi="Arial" w:cs="Arial"/>
          <w:iCs/>
          <w:kern w:val="1"/>
          <w:sz w:val="22"/>
          <w:szCs w:val="22"/>
        </w:rPr>
        <w:t>Int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2016;2016:6461380.</w:t>
      </w:r>
    </w:p>
    <w:p w14:paraId="4830241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360.</w:t>
      </w:r>
      <w:r w:rsidRPr="00DD448A">
        <w:rPr>
          <w:rFonts w:ascii="Arial" w:hAnsi="Arial" w:cs="Arial"/>
          <w:kern w:val="1"/>
          <w:sz w:val="22"/>
          <w:szCs w:val="22"/>
        </w:rPr>
        <w:tab/>
        <w:t xml:space="preserve">Dhillon-Smith RK, Tobias A, Smith PP, Middleton LJ, Sunner KK, Baker K, Farrell-Carver S, Bender-Atik R, Agrawal R, Bhatia K, Chu JJ, Edi-Osagie E, </w:t>
      </w:r>
      <w:proofErr w:type="spellStart"/>
      <w:r w:rsidRPr="00DD448A">
        <w:rPr>
          <w:rFonts w:ascii="Arial" w:hAnsi="Arial" w:cs="Arial"/>
          <w:kern w:val="1"/>
          <w:sz w:val="22"/>
          <w:szCs w:val="22"/>
        </w:rPr>
        <w:t>Ewies</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Ghobara</w:t>
      </w:r>
      <w:proofErr w:type="spellEnd"/>
      <w:r w:rsidRPr="00DD448A">
        <w:rPr>
          <w:rFonts w:ascii="Arial" w:hAnsi="Arial" w:cs="Arial"/>
          <w:kern w:val="1"/>
          <w:sz w:val="22"/>
          <w:szCs w:val="22"/>
        </w:rPr>
        <w:t xml:space="preserve"> T, Gupta P, Jurkovic D, Khalaf Y, </w:t>
      </w:r>
      <w:proofErr w:type="spellStart"/>
      <w:r w:rsidRPr="00DD448A">
        <w:rPr>
          <w:rFonts w:ascii="Arial" w:hAnsi="Arial" w:cs="Arial"/>
          <w:kern w:val="1"/>
          <w:sz w:val="22"/>
          <w:szCs w:val="22"/>
        </w:rPr>
        <w:t>Mulbagal</w:t>
      </w:r>
      <w:proofErr w:type="spellEnd"/>
      <w:r w:rsidRPr="00DD448A">
        <w:rPr>
          <w:rFonts w:ascii="Arial" w:hAnsi="Arial" w:cs="Arial"/>
          <w:kern w:val="1"/>
          <w:sz w:val="22"/>
          <w:szCs w:val="22"/>
        </w:rPr>
        <w:t xml:space="preserve"> K, Nunes N, Overton C, Quenby S, Rai R, Raine-Fenning N, Robinson L, Ross J, Sizer A, Small R, Underwood M, Kilby MD, Daniels J, </w:t>
      </w:r>
      <w:proofErr w:type="spellStart"/>
      <w:r w:rsidRPr="00DD448A">
        <w:rPr>
          <w:rFonts w:ascii="Arial" w:hAnsi="Arial" w:cs="Arial"/>
          <w:kern w:val="1"/>
          <w:sz w:val="22"/>
          <w:szCs w:val="22"/>
        </w:rPr>
        <w:t>Thangaratinam</w:t>
      </w:r>
      <w:proofErr w:type="spellEnd"/>
      <w:r w:rsidRPr="00DD448A">
        <w:rPr>
          <w:rFonts w:ascii="Arial" w:hAnsi="Arial" w:cs="Arial"/>
          <w:kern w:val="1"/>
          <w:sz w:val="22"/>
          <w:szCs w:val="22"/>
        </w:rPr>
        <w:t xml:space="preserve"> S, Chan S, </w:t>
      </w:r>
      <w:proofErr w:type="spellStart"/>
      <w:r w:rsidRPr="00DD448A">
        <w:rPr>
          <w:rFonts w:ascii="Arial" w:hAnsi="Arial" w:cs="Arial"/>
          <w:kern w:val="1"/>
          <w:sz w:val="22"/>
          <w:szCs w:val="22"/>
        </w:rPr>
        <w:t>Boelaert</w:t>
      </w:r>
      <w:proofErr w:type="spellEnd"/>
      <w:r w:rsidRPr="00DD448A">
        <w:rPr>
          <w:rFonts w:ascii="Arial" w:hAnsi="Arial" w:cs="Arial"/>
          <w:kern w:val="1"/>
          <w:sz w:val="22"/>
          <w:szCs w:val="22"/>
        </w:rPr>
        <w:t xml:space="preserve"> K, Coomarasamy A. The Prevalence of Thyroid Dysfunction and Autoimmunity in Women With History of Miscarriage or Subfertility.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2020;105(8).</w:t>
      </w:r>
    </w:p>
    <w:p w14:paraId="79E65C8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361.</w:t>
      </w:r>
      <w:r w:rsidRPr="00DD448A">
        <w:rPr>
          <w:rFonts w:ascii="Arial" w:hAnsi="Arial" w:cs="Arial"/>
          <w:kern w:val="1"/>
          <w:sz w:val="22"/>
          <w:szCs w:val="22"/>
        </w:rPr>
        <w:tab/>
        <w:t xml:space="preserve">Yu M, Long Y, Wang Y, Zhang R, Tao L. Effect of levothyroxine on the pregnancy outcomes in recurrent pregnancy loss women with subclinical hypothyroidism and </w:t>
      </w:r>
      <w:proofErr w:type="spellStart"/>
      <w:r w:rsidRPr="00DD448A">
        <w:rPr>
          <w:rFonts w:ascii="Arial" w:hAnsi="Arial" w:cs="Arial"/>
          <w:kern w:val="1"/>
          <w:sz w:val="22"/>
          <w:szCs w:val="22"/>
        </w:rPr>
        <w:t>thyroperoxidase</w:t>
      </w:r>
      <w:proofErr w:type="spellEnd"/>
      <w:r w:rsidRPr="00DD448A">
        <w:rPr>
          <w:rFonts w:ascii="Arial" w:hAnsi="Arial" w:cs="Arial"/>
          <w:kern w:val="1"/>
          <w:sz w:val="22"/>
          <w:szCs w:val="22"/>
        </w:rPr>
        <w:t xml:space="preserve"> antibody positivity: a systematic review and meta-analysis. </w:t>
      </w:r>
      <w:r w:rsidRPr="00DD448A">
        <w:rPr>
          <w:rFonts w:ascii="Arial" w:hAnsi="Arial" w:cs="Arial"/>
          <w:iCs/>
          <w:kern w:val="1"/>
          <w:sz w:val="22"/>
          <w:szCs w:val="22"/>
        </w:rPr>
        <w:t>J Matern Fetal Neonatal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2023;36(2):2233039.</w:t>
      </w:r>
    </w:p>
    <w:p w14:paraId="15797C4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362.</w:t>
      </w:r>
      <w:r w:rsidRPr="00DD448A">
        <w:rPr>
          <w:rFonts w:ascii="Arial" w:hAnsi="Arial" w:cs="Arial"/>
          <w:kern w:val="1"/>
          <w:sz w:val="22"/>
          <w:szCs w:val="22"/>
        </w:rPr>
        <w:tab/>
      </w:r>
      <w:proofErr w:type="spellStart"/>
      <w:r w:rsidRPr="00DD448A">
        <w:rPr>
          <w:rFonts w:ascii="Arial" w:hAnsi="Arial" w:cs="Arial"/>
          <w:kern w:val="1"/>
          <w:sz w:val="22"/>
          <w:szCs w:val="22"/>
        </w:rPr>
        <w:t>Maraka</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Dosiou</w:t>
      </w:r>
      <w:proofErr w:type="spellEnd"/>
      <w:r w:rsidRPr="00DD448A">
        <w:rPr>
          <w:rFonts w:ascii="Arial" w:hAnsi="Arial" w:cs="Arial"/>
          <w:kern w:val="1"/>
          <w:sz w:val="22"/>
          <w:szCs w:val="22"/>
        </w:rPr>
        <w:t xml:space="preserve"> C. Subclinical Hypothyroidism and Thyroid Autoimmunity in Pregnancy: To Treat or Not to Treat. </w:t>
      </w:r>
      <w:r w:rsidRPr="00DD448A">
        <w:rPr>
          <w:rFonts w:ascii="Arial" w:hAnsi="Arial" w:cs="Arial"/>
          <w:iCs/>
          <w:kern w:val="1"/>
          <w:sz w:val="22"/>
          <w:szCs w:val="22"/>
        </w:rPr>
        <w:t xml:space="preserve">Endocrinol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Clin North Am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2024;53(3):363-376.</w:t>
      </w:r>
    </w:p>
    <w:p w14:paraId="70A11DE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363.</w:t>
      </w:r>
      <w:r w:rsidRPr="00DD448A">
        <w:rPr>
          <w:rFonts w:ascii="Arial" w:hAnsi="Arial" w:cs="Arial"/>
          <w:kern w:val="1"/>
          <w:sz w:val="22"/>
          <w:szCs w:val="22"/>
        </w:rPr>
        <w:tab/>
        <w:t xml:space="preserve">Wilson KL, Casey BM, McIntire DD, Halvorson LM, Cunningham FG. Subclinical thyroid disease and the incidence of hypertension in pregnancy. </w:t>
      </w:r>
      <w:r w:rsidRPr="00DD448A">
        <w:rPr>
          <w:rFonts w:ascii="Arial" w:hAnsi="Arial" w:cs="Arial"/>
          <w:iCs/>
          <w:kern w:val="1"/>
          <w:sz w:val="22"/>
          <w:szCs w:val="22"/>
        </w:rPr>
        <w:t>Obstet Gynecol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2012;119(2 Pt 1):315-320.</w:t>
      </w:r>
    </w:p>
    <w:p w14:paraId="7004577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364.</w:t>
      </w:r>
      <w:r w:rsidRPr="00DD448A">
        <w:rPr>
          <w:rFonts w:ascii="Arial" w:hAnsi="Arial" w:cs="Arial"/>
          <w:kern w:val="1"/>
          <w:sz w:val="22"/>
          <w:szCs w:val="22"/>
        </w:rPr>
        <w:tab/>
        <w:t xml:space="preserve">Alavi A, </w:t>
      </w:r>
      <w:proofErr w:type="spellStart"/>
      <w:r w:rsidRPr="00DD448A">
        <w:rPr>
          <w:rFonts w:ascii="Arial" w:hAnsi="Arial" w:cs="Arial"/>
          <w:kern w:val="1"/>
          <w:sz w:val="22"/>
          <w:szCs w:val="22"/>
        </w:rPr>
        <w:t>Adabi</w:t>
      </w:r>
      <w:proofErr w:type="spellEnd"/>
      <w:r w:rsidRPr="00DD448A">
        <w:rPr>
          <w:rFonts w:ascii="Arial" w:hAnsi="Arial" w:cs="Arial"/>
          <w:kern w:val="1"/>
          <w:sz w:val="22"/>
          <w:szCs w:val="22"/>
        </w:rPr>
        <w:t xml:space="preserve"> K, </w:t>
      </w:r>
      <w:proofErr w:type="spellStart"/>
      <w:r w:rsidRPr="00DD448A">
        <w:rPr>
          <w:rFonts w:ascii="Arial" w:hAnsi="Arial" w:cs="Arial"/>
          <w:kern w:val="1"/>
          <w:sz w:val="22"/>
          <w:szCs w:val="22"/>
        </w:rPr>
        <w:t>Nekuie</w:t>
      </w:r>
      <w:proofErr w:type="spellEnd"/>
      <w:r w:rsidRPr="00DD448A">
        <w:rPr>
          <w:rFonts w:ascii="Arial" w:hAnsi="Arial" w:cs="Arial"/>
          <w:kern w:val="1"/>
          <w:sz w:val="22"/>
          <w:szCs w:val="22"/>
        </w:rPr>
        <w:t xml:space="preserve"> S, Jahromi EK, </w:t>
      </w:r>
      <w:proofErr w:type="spellStart"/>
      <w:r w:rsidRPr="00DD448A">
        <w:rPr>
          <w:rFonts w:ascii="Arial" w:hAnsi="Arial" w:cs="Arial"/>
          <w:kern w:val="1"/>
          <w:sz w:val="22"/>
          <w:szCs w:val="22"/>
        </w:rPr>
        <w:t>Solati</w:t>
      </w:r>
      <w:proofErr w:type="spellEnd"/>
      <w:r w:rsidRPr="00DD448A">
        <w:rPr>
          <w:rFonts w:ascii="Arial" w:hAnsi="Arial" w:cs="Arial"/>
          <w:kern w:val="1"/>
          <w:sz w:val="22"/>
          <w:szCs w:val="22"/>
        </w:rPr>
        <w:t xml:space="preserve"> M, Sobhani A, </w:t>
      </w:r>
      <w:proofErr w:type="spellStart"/>
      <w:r w:rsidRPr="00DD448A">
        <w:rPr>
          <w:rFonts w:ascii="Arial" w:hAnsi="Arial" w:cs="Arial"/>
          <w:kern w:val="1"/>
          <w:sz w:val="22"/>
          <w:szCs w:val="22"/>
        </w:rPr>
        <w:t>Karmostaji</w:t>
      </w:r>
      <w:proofErr w:type="spellEnd"/>
      <w:r w:rsidRPr="00DD448A">
        <w:rPr>
          <w:rFonts w:ascii="Arial" w:hAnsi="Arial" w:cs="Arial"/>
          <w:kern w:val="1"/>
          <w:sz w:val="22"/>
          <w:szCs w:val="22"/>
        </w:rPr>
        <w:t xml:space="preserve"> H, </w:t>
      </w:r>
      <w:proofErr w:type="spellStart"/>
      <w:r w:rsidRPr="00DD448A">
        <w:rPr>
          <w:rFonts w:ascii="Arial" w:hAnsi="Arial" w:cs="Arial"/>
          <w:kern w:val="1"/>
          <w:sz w:val="22"/>
          <w:szCs w:val="22"/>
        </w:rPr>
        <w:t>Jahanlou</w:t>
      </w:r>
      <w:proofErr w:type="spellEnd"/>
      <w:r w:rsidRPr="00DD448A">
        <w:rPr>
          <w:rFonts w:ascii="Arial" w:hAnsi="Arial" w:cs="Arial"/>
          <w:kern w:val="1"/>
          <w:sz w:val="22"/>
          <w:szCs w:val="22"/>
        </w:rPr>
        <w:t xml:space="preserve"> AS. Thyroid dysfunction and autoantibodies association with hypertensive disorders during pregnancy. </w:t>
      </w:r>
      <w:r w:rsidRPr="00DD448A">
        <w:rPr>
          <w:rFonts w:ascii="Arial" w:hAnsi="Arial" w:cs="Arial"/>
          <w:iCs/>
          <w:kern w:val="1"/>
          <w:sz w:val="22"/>
          <w:szCs w:val="22"/>
        </w:rPr>
        <w:t>J Pregnancy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2012;2012:742695.</w:t>
      </w:r>
    </w:p>
    <w:p w14:paraId="719D684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365.</w:t>
      </w:r>
      <w:r w:rsidRPr="00DD448A">
        <w:rPr>
          <w:rFonts w:ascii="Arial" w:hAnsi="Arial" w:cs="Arial"/>
          <w:kern w:val="1"/>
          <w:sz w:val="22"/>
          <w:szCs w:val="22"/>
        </w:rPr>
        <w:tab/>
        <w:t xml:space="preserve">Nazarpour S, Ramezani Tehrani F, Rahmati M, Azizi F. Prediction of preterm delivery based on thyroid peroxidase antibody levels and other identified risk factors.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w:t>
      </w:r>
      <w:proofErr w:type="spellStart"/>
      <w:r w:rsidRPr="00DD448A">
        <w:rPr>
          <w:rFonts w:ascii="Arial" w:hAnsi="Arial" w:cs="Arial"/>
          <w:iCs/>
          <w:kern w:val="1"/>
          <w:sz w:val="22"/>
          <w:szCs w:val="22"/>
        </w:rPr>
        <w:t>Obstet</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Gynecol</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Reprod</w:t>
      </w:r>
      <w:proofErr w:type="spellEnd"/>
      <w:r w:rsidRPr="00DD448A">
        <w:rPr>
          <w:rFonts w:ascii="Arial" w:hAnsi="Arial" w:cs="Arial"/>
          <w:iCs/>
          <w:kern w:val="1"/>
          <w:sz w:val="22"/>
          <w:szCs w:val="22"/>
        </w:rPr>
        <w:t xml:space="preserve"> Biol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2023;284:125-130.</w:t>
      </w:r>
    </w:p>
    <w:p w14:paraId="3EB6F84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366.</w:t>
      </w:r>
      <w:r w:rsidRPr="00DD448A">
        <w:rPr>
          <w:rFonts w:ascii="Arial" w:hAnsi="Arial" w:cs="Arial"/>
          <w:kern w:val="1"/>
          <w:sz w:val="22"/>
          <w:szCs w:val="22"/>
        </w:rPr>
        <w:tab/>
        <w:t xml:space="preserve">Liu X, Zhang C, Lin Z, Zhu K, He R, Jiang Z, Wu H, Yu J, Luo Q, Sheng J, Fan J, Pan J, Huang H. Association of maternal mild hypothyroidism in the first and third trimesters with obstetric and perinatal outcomes: a prospective cohort study. </w:t>
      </w:r>
      <w:r w:rsidRPr="00DD448A">
        <w:rPr>
          <w:rFonts w:ascii="Arial" w:hAnsi="Arial" w:cs="Arial"/>
          <w:iCs/>
          <w:kern w:val="1"/>
          <w:sz w:val="22"/>
          <w:szCs w:val="22"/>
        </w:rPr>
        <w:t>Am J Obstet Gynecol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0C5EF54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367.</w:t>
      </w:r>
      <w:r w:rsidRPr="00DD448A">
        <w:rPr>
          <w:rFonts w:ascii="Arial" w:hAnsi="Arial" w:cs="Arial"/>
          <w:kern w:val="1"/>
          <w:sz w:val="22"/>
          <w:szCs w:val="22"/>
        </w:rPr>
        <w:tab/>
        <w:t xml:space="preserve">Haddow JE, Palomaki GE, Allan WC, Williams JR KG, Gagnon J, </w:t>
      </w:r>
      <w:proofErr w:type="spellStart"/>
      <w:r w:rsidRPr="00DD448A">
        <w:rPr>
          <w:rFonts w:ascii="Arial" w:hAnsi="Arial" w:cs="Arial"/>
          <w:kern w:val="1"/>
          <w:sz w:val="22"/>
          <w:szCs w:val="22"/>
        </w:rPr>
        <w:t>O'Heir</w:t>
      </w:r>
      <w:proofErr w:type="spellEnd"/>
      <w:r w:rsidRPr="00DD448A">
        <w:rPr>
          <w:rFonts w:ascii="Arial" w:hAnsi="Arial" w:cs="Arial"/>
          <w:kern w:val="1"/>
          <w:sz w:val="22"/>
          <w:szCs w:val="22"/>
        </w:rPr>
        <w:t xml:space="preserve"> CE, Mitchell ML, Hermos RJ WS, Faix JD, Klein RZ. Maternal thyroid deficiency during pregnancy and subsequent neuropsychological development of the child. </w:t>
      </w:r>
      <w:r w:rsidRPr="00DD448A">
        <w:rPr>
          <w:rFonts w:ascii="Arial" w:hAnsi="Arial" w:cs="Arial"/>
          <w:iCs/>
          <w:kern w:val="1"/>
          <w:sz w:val="22"/>
          <w:szCs w:val="22"/>
        </w:rPr>
        <w:t>NEJM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1999;341:549-555.</w:t>
      </w:r>
    </w:p>
    <w:p w14:paraId="31F4CE4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368.</w:t>
      </w:r>
      <w:r w:rsidRPr="00DD448A">
        <w:rPr>
          <w:rFonts w:ascii="Arial" w:hAnsi="Arial" w:cs="Arial"/>
          <w:kern w:val="1"/>
          <w:sz w:val="22"/>
          <w:szCs w:val="22"/>
        </w:rPr>
        <w:tab/>
        <w:t xml:space="preserve">Li Y, Shan Z, Teng W, Yu X, Li Y, Fan C, Teng X, Guo R, Wang H, Li J, Chen Y, Wang W, Chawinga M, Zhang L, Yang L, Zhao Y, Hua T. Abnormalities of maternal thyroid function during pregnancy affect neuropsychological development of their children at 25-30 months.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2010;72(6):825-829.</w:t>
      </w:r>
    </w:p>
    <w:p w14:paraId="179A750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369.</w:t>
      </w:r>
      <w:r w:rsidRPr="00DD448A">
        <w:rPr>
          <w:rFonts w:ascii="Arial" w:hAnsi="Arial" w:cs="Arial"/>
          <w:kern w:val="1"/>
          <w:sz w:val="22"/>
          <w:szCs w:val="22"/>
        </w:rPr>
        <w:tab/>
        <w:t xml:space="preserve">Nazarpour S, Ramezani Tehrani F, </w:t>
      </w:r>
      <w:proofErr w:type="spellStart"/>
      <w:r w:rsidRPr="00DD448A">
        <w:rPr>
          <w:rFonts w:ascii="Arial" w:hAnsi="Arial" w:cs="Arial"/>
          <w:kern w:val="1"/>
          <w:sz w:val="22"/>
          <w:szCs w:val="22"/>
        </w:rPr>
        <w:t>Simbar</w:t>
      </w:r>
      <w:proofErr w:type="spellEnd"/>
      <w:r w:rsidRPr="00DD448A">
        <w:rPr>
          <w:rFonts w:ascii="Arial" w:hAnsi="Arial" w:cs="Arial"/>
          <w:kern w:val="1"/>
          <w:sz w:val="22"/>
          <w:szCs w:val="22"/>
        </w:rPr>
        <w:t xml:space="preserve"> M, Tohidi M, Alavi Majd H, Azizi F. Effects of levothyroxine treatment on pregnancy outcomes in pregnant women with autoimmune thyroid disease.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2017;176(2):253-265.</w:t>
      </w:r>
    </w:p>
    <w:p w14:paraId="1B8945D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370.</w:t>
      </w:r>
      <w:r w:rsidRPr="00DD448A">
        <w:rPr>
          <w:rFonts w:ascii="Arial" w:hAnsi="Arial" w:cs="Arial"/>
          <w:kern w:val="1"/>
          <w:sz w:val="22"/>
          <w:szCs w:val="22"/>
        </w:rPr>
        <w:tab/>
      </w:r>
      <w:proofErr w:type="spellStart"/>
      <w:r w:rsidRPr="00DD448A">
        <w:rPr>
          <w:rFonts w:ascii="Arial" w:hAnsi="Arial" w:cs="Arial"/>
          <w:kern w:val="1"/>
          <w:sz w:val="22"/>
          <w:szCs w:val="22"/>
        </w:rPr>
        <w:t>Pekonen</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Alfthan</w:t>
      </w:r>
      <w:proofErr w:type="spellEnd"/>
      <w:r w:rsidRPr="00DD448A">
        <w:rPr>
          <w:rFonts w:ascii="Arial" w:hAnsi="Arial" w:cs="Arial"/>
          <w:kern w:val="1"/>
          <w:sz w:val="22"/>
          <w:szCs w:val="22"/>
        </w:rPr>
        <w:t xml:space="preserve"> H, Stenman UH, </w:t>
      </w:r>
      <w:proofErr w:type="spellStart"/>
      <w:r w:rsidRPr="00DD448A">
        <w:rPr>
          <w:rFonts w:ascii="Arial" w:hAnsi="Arial" w:cs="Arial"/>
          <w:kern w:val="1"/>
          <w:sz w:val="22"/>
          <w:szCs w:val="22"/>
        </w:rPr>
        <w:t>Ylikorkala</w:t>
      </w:r>
      <w:proofErr w:type="spellEnd"/>
      <w:r w:rsidRPr="00DD448A">
        <w:rPr>
          <w:rFonts w:ascii="Arial" w:hAnsi="Arial" w:cs="Arial"/>
          <w:kern w:val="1"/>
          <w:sz w:val="22"/>
          <w:szCs w:val="22"/>
        </w:rPr>
        <w:t xml:space="preserve"> O. Human chorionic gonadotropin (</w:t>
      </w:r>
      <w:proofErr w:type="spellStart"/>
      <w:r w:rsidRPr="00DD448A">
        <w:rPr>
          <w:rFonts w:ascii="Arial" w:hAnsi="Arial" w:cs="Arial"/>
          <w:kern w:val="1"/>
          <w:sz w:val="22"/>
          <w:szCs w:val="22"/>
        </w:rPr>
        <w:t>hCG</w:t>
      </w:r>
      <w:proofErr w:type="spellEnd"/>
      <w:r w:rsidRPr="00DD448A">
        <w:rPr>
          <w:rFonts w:ascii="Arial" w:hAnsi="Arial" w:cs="Arial"/>
          <w:kern w:val="1"/>
          <w:sz w:val="22"/>
          <w:szCs w:val="22"/>
        </w:rPr>
        <w:t xml:space="preserve">) and thyroid function in early human pregnancy: circadian variation and evidence for intrinsic thyrotropic activity of </w:t>
      </w:r>
      <w:proofErr w:type="spellStart"/>
      <w:r w:rsidRPr="00DD448A">
        <w:rPr>
          <w:rFonts w:ascii="Arial" w:hAnsi="Arial" w:cs="Arial"/>
          <w:kern w:val="1"/>
          <w:sz w:val="22"/>
          <w:szCs w:val="22"/>
        </w:rPr>
        <w:t>hCG</w:t>
      </w:r>
      <w:proofErr w:type="spellEnd"/>
      <w:r w:rsidRPr="00DD448A">
        <w:rPr>
          <w:rFonts w:ascii="Arial" w:hAnsi="Arial" w:cs="Arial"/>
          <w:kern w:val="1"/>
          <w:sz w:val="22"/>
          <w:szCs w:val="22"/>
        </w:rPr>
        <w:t xml:space="preserv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1988;66(4):853-856.</w:t>
      </w:r>
    </w:p>
    <w:p w14:paraId="7C494C4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371.</w:t>
      </w:r>
      <w:r w:rsidRPr="00DD448A">
        <w:rPr>
          <w:rFonts w:ascii="Arial" w:hAnsi="Arial" w:cs="Arial"/>
          <w:kern w:val="1"/>
          <w:sz w:val="22"/>
          <w:szCs w:val="22"/>
        </w:rPr>
        <w:tab/>
        <w:t xml:space="preserve">Goodwin TM, Montoro M, </w:t>
      </w:r>
      <w:proofErr w:type="spellStart"/>
      <w:r w:rsidRPr="00DD448A">
        <w:rPr>
          <w:rFonts w:ascii="Arial" w:hAnsi="Arial" w:cs="Arial"/>
          <w:kern w:val="1"/>
          <w:sz w:val="22"/>
          <w:szCs w:val="22"/>
        </w:rPr>
        <w:t>Mestman</w:t>
      </w:r>
      <w:proofErr w:type="spellEnd"/>
      <w:r w:rsidRPr="00DD448A">
        <w:rPr>
          <w:rFonts w:ascii="Arial" w:hAnsi="Arial" w:cs="Arial"/>
          <w:kern w:val="1"/>
          <w:sz w:val="22"/>
          <w:szCs w:val="22"/>
        </w:rPr>
        <w:t xml:space="preserve"> JH, </w:t>
      </w:r>
      <w:proofErr w:type="spellStart"/>
      <w:r w:rsidRPr="00DD448A">
        <w:rPr>
          <w:rFonts w:ascii="Arial" w:hAnsi="Arial" w:cs="Arial"/>
          <w:kern w:val="1"/>
          <w:sz w:val="22"/>
          <w:szCs w:val="22"/>
        </w:rPr>
        <w:t>Pekary</w:t>
      </w:r>
      <w:proofErr w:type="spellEnd"/>
      <w:r w:rsidRPr="00DD448A">
        <w:rPr>
          <w:rFonts w:ascii="Arial" w:hAnsi="Arial" w:cs="Arial"/>
          <w:kern w:val="1"/>
          <w:sz w:val="22"/>
          <w:szCs w:val="22"/>
        </w:rPr>
        <w:t xml:space="preserve"> AE, Hershman JM. The role of chorionic gonadotropin in transient hyperthyroidism of hyperemesis gravidarum.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1992;75(5):1333-1337.</w:t>
      </w:r>
    </w:p>
    <w:p w14:paraId="2301283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372.</w:t>
      </w:r>
      <w:r w:rsidRPr="00DD448A">
        <w:rPr>
          <w:rFonts w:ascii="Arial" w:hAnsi="Arial" w:cs="Arial"/>
          <w:kern w:val="1"/>
          <w:sz w:val="22"/>
          <w:szCs w:val="22"/>
        </w:rPr>
        <w:tab/>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 </w:t>
      </w:r>
      <w:proofErr w:type="spellStart"/>
      <w:r w:rsidRPr="00DD448A">
        <w:rPr>
          <w:rFonts w:ascii="Arial" w:hAnsi="Arial" w:cs="Arial"/>
          <w:kern w:val="1"/>
          <w:sz w:val="22"/>
          <w:szCs w:val="22"/>
        </w:rPr>
        <w:t>Steegers</w:t>
      </w:r>
      <w:proofErr w:type="spellEnd"/>
      <w:r w:rsidRPr="00DD448A">
        <w:rPr>
          <w:rFonts w:ascii="Arial" w:hAnsi="Arial" w:cs="Arial"/>
          <w:kern w:val="1"/>
          <w:sz w:val="22"/>
          <w:szCs w:val="22"/>
        </w:rPr>
        <w:t xml:space="preserve"> EA, de Rijke YB, Visser WE, </w:t>
      </w:r>
      <w:proofErr w:type="spellStart"/>
      <w:r w:rsidRPr="00DD448A">
        <w:rPr>
          <w:rFonts w:ascii="Arial" w:hAnsi="Arial" w:cs="Arial"/>
          <w:kern w:val="1"/>
          <w:sz w:val="22"/>
          <w:szCs w:val="22"/>
        </w:rPr>
        <w:t>Jaddoe</w:t>
      </w:r>
      <w:proofErr w:type="spellEnd"/>
      <w:r w:rsidRPr="00DD448A">
        <w:rPr>
          <w:rFonts w:ascii="Arial" w:hAnsi="Arial" w:cs="Arial"/>
          <w:kern w:val="1"/>
          <w:sz w:val="22"/>
          <w:szCs w:val="22"/>
        </w:rPr>
        <w:t xml:space="preserve"> VW, Visser TJ, Medici M, Peeters RP. Placental Angiogenic Factors Are Associated With Maternal Thyroid Function and Modify </w:t>
      </w:r>
      <w:proofErr w:type="spellStart"/>
      <w:r w:rsidRPr="00DD448A">
        <w:rPr>
          <w:rFonts w:ascii="Arial" w:hAnsi="Arial" w:cs="Arial"/>
          <w:kern w:val="1"/>
          <w:sz w:val="22"/>
          <w:szCs w:val="22"/>
        </w:rPr>
        <w:t>hCG</w:t>
      </w:r>
      <w:proofErr w:type="spellEnd"/>
      <w:r w:rsidRPr="00DD448A">
        <w:rPr>
          <w:rFonts w:ascii="Arial" w:hAnsi="Arial" w:cs="Arial"/>
          <w:kern w:val="1"/>
          <w:sz w:val="22"/>
          <w:szCs w:val="22"/>
        </w:rPr>
        <w:t xml:space="preserve">-Mediated FT4 Stimulation.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2015;100(10):E1328-1334.</w:t>
      </w:r>
    </w:p>
    <w:p w14:paraId="7E6FFA8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373.</w:t>
      </w:r>
      <w:r w:rsidRPr="00DD448A">
        <w:rPr>
          <w:rFonts w:ascii="Arial" w:hAnsi="Arial" w:cs="Arial"/>
          <w:kern w:val="1"/>
          <w:sz w:val="22"/>
          <w:szCs w:val="22"/>
        </w:rPr>
        <w:tab/>
        <w:t xml:space="preserve">Grün JP, </w:t>
      </w:r>
      <w:proofErr w:type="spellStart"/>
      <w:r w:rsidRPr="00DD448A">
        <w:rPr>
          <w:rFonts w:ascii="Arial" w:hAnsi="Arial" w:cs="Arial"/>
          <w:kern w:val="1"/>
          <w:sz w:val="22"/>
          <w:szCs w:val="22"/>
        </w:rPr>
        <w:t>Meuris</w:t>
      </w:r>
      <w:proofErr w:type="spellEnd"/>
      <w:r w:rsidRPr="00DD448A">
        <w:rPr>
          <w:rFonts w:ascii="Arial" w:hAnsi="Arial" w:cs="Arial"/>
          <w:kern w:val="1"/>
          <w:sz w:val="22"/>
          <w:szCs w:val="22"/>
        </w:rPr>
        <w:t xml:space="preserve"> S, De Nayer P, Glinoer D. The thyrotrophic role of human chorionic gonadotrophin (</w:t>
      </w:r>
      <w:proofErr w:type="spellStart"/>
      <w:r w:rsidRPr="00DD448A">
        <w:rPr>
          <w:rFonts w:ascii="Arial" w:hAnsi="Arial" w:cs="Arial"/>
          <w:kern w:val="1"/>
          <w:sz w:val="22"/>
          <w:szCs w:val="22"/>
        </w:rPr>
        <w:t>hCG</w:t>
      </w:r>
      <w:proofErr w:type="spellEnd"/>
      <w:r w:rsidRPr="00DD448A">
        <w:rPr>
          <w:rFonts w:ascii="Arial" w:hAnsi="Arial" w:cs="Arial"/>
          <w:kern w:val="1"/>
          <w:sz w:val="22"/>
          <w:szCs w:val="22"/>
        </w:rPr>
        <w:t xml:space="preserve">) in the early stages of twin (versus single) pregnancies.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1997;46(6):719-725.</w:t>
      </w:r>
    </w:p>
    <w:p w14:paraId="28EAEA4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374.</w:t>
      </w:r>
      <w:r w:rsidRPr="00DD448A">
        <w:rPr>
          <w:rFonts w:ascii="Arial" w:hAnsi="Arial" w:cs="Arial"/>
          <w:kern w:val="1"/>
          <w:sz w:val="22"/>
          <w:szCs w:val="22"/>
        </w:rPr>
        <w:tab/>
      </w:r>
      <w:proofErr w:type="spellStart"/>
      <w:r w:rsidRPr="00DD448A">
        <w:rPr>
          <w:rFonts w:ascii="Arial" w:hAnsi="Arial" w:cs="Arial"/>
          <w:kern w:val="1"/>
          <w:sz w:val="22"/>
          <w:szCs w:val="22"/>
        </w:rPr>
        <w:t>Barjaktarovic</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Korevaar</w:t>
      </w:r>
      <w:proofErr w:type="spellEnd"/>
      <w:r w:rsidRPr="00DD448A">
        <w:rPr>
          <w:rFonts w:ascii="Arial" w:hAnsi="Arial" w:cs="Arial"/>
          <w:kern w:val="1"/>
          <w:sz w:val="22"/>
          <w:szCs w:val="22"/>
        </w:rPr>
        <w:t xml:space="preserve"> TIM, </w:t>
      </w:r>
      <w:proofErr w:type="spellStart"/>
      <w:r w:rsidRPr="00DD448A">
        <w:rPr>
          <w:rFonts w:ascii="Arial" w:hAnsi="Arial" w:cs="Arial"/>
          <w:kern w:val="1"/>
          <w:sz w:val="22"/>
          <w:szCs w:val="22"/>
        </w:rPr>
        <w:t>Jaddoe</w:t>
      </w:r>
      <w:proofErr w:type="spellEnd"/>
      <w:r w:rsidRPr="00DD448A">
        <w:rPr>
          <w:rFonts w:ascii="Arial" w:hAnsi="Arial" w:cs="Arial"/>
          <w:kern w:val="1"/>
          <w:sz w:val="22"/>
          <w:szCs w:val="22"/>
        </w:rPr>
        <w:t xml:space="preserve"> VWV, de Rijke YB, Peeters RP, </w:t>
      </w:r>
      <w:proofErr w:type="spellStart"/>
      <w:r w:rsidRPr="00DD448A">
        <w:rPr>
          <w:rFonts w:ascii="Arial" w:hAnsi="Arial" w:cs="Arial"/>
          <w:kern w:val="1"/>
          <w:sz w:val="22"/>
          <w:szCs w:val="22"/>
        </w:rPr>
        <w:t>Steegers</w:t>
      </w:r>
      <w:proofErr w:type="spellEnd"/>
      <w:r w:rsidRPr="00DD448A">
        <w:rPr>
          <w:rFonts w:ascii="Arial" w:hAnsi="Arial" w:cs="Arial"/>
          <w:kern w:val="1"/>
          <w:sz w:val="22"/>
          <w:szCs w:val="22"/>
        </w:rPr>
        <w:t xml:space="preserve"> EAP. Human chorionic gonadotropin and risk of pre-eclampsia: prospective population-based cohort study. </w:t>
      </w:r>
      <w:r w:rsidRPr="00DD448A">
        <w:rPr>
          <w:rFonts w:ascii="Arial" w:hAnsi="Arial" w:cs="Arial"/>
          <w:iCs/>
          <w:kern w:val="1"/>
          <w:sz w:val="22"/>
          <w:szCs w:val="22"/>
        </w:rPr>
        <w:t>Ultrasound Obstet Gynecol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2019;54(4):477-483.</w:t>
      </w:r>
    </w:p>
    <w:p w14:paraId="572997F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375.</w:t>
      </w:r>
      <w:r w:rsidRPr="00DD448A">
        <w:rPr>
          <w:rFonts w:ascii="Arial" w:hAnsi="Arial" w:cs="Arial"/>
          <w:kern w:val="1"/>
          <w:sz w:val="22"/>
          <w:szCs w:val="22"/>
        </w:rPr>
        <w:tab/>
        <w:t xml:space="preserve">Männistö T, </w:t>
      </w:r>
      <w:proofErr w:type="spellStart"/>
      <w:r w:rsidRPr="00DD448A">
        <w:rPr>
          <w:rFonts w:ascii="Arial" w:hAnsi="Arial" w:cs="Arial"/>
          <w:kern w:val="1"/>
          <w:sz w:val="22"/>
          <w:szCs w:val="22"/>
        </w:rPr>
        <w:t>Surcel</w:t>
      </w:r>
      <w:proofErr w:type="spellEnd"/>
      <w:r w:rsidRPr="00DD448A">
        <w:rPr>
          <w:rFonts w:ascii="Arial" w:hAnsi="Arial" w:cs="Arial"/>
          <w:kern w:val="1"/>
          <w:sz w:val="22"/>
          <w:szCs w:val="22"/>
        </w:rPr>
        <w:t xml:space="preserve"> HM, Ruokonen A, </w:t>
      </w:r>
      <w:proofErr w:type="spellStart"/>
      <w:r w:rsidRPr="00DD448A">
        <w:rPr>
          <w:rFonts w:ascii="Arial" w:hAnsi="Arial" w:cs="Arial"/>
          <w:kern w:val="1"/>
          <w:sz w:val="22"/>
          <w:szCs w:val="22"/>
        </w:rPr>
        <w:t>Vääräsmäki</w:t>
      </w:r>
      <w:proofErr w:type="spellEnd"/>
      <w:r w:rsidRPr="00DD448A">
        <w:rPr>
          <w:rFonts w:ascii="Arial" w:hAnsi="Arial" w:cs="Arial"/>
          <w:kern w:val="1"/>
          <w:sz w:val="22"/>
          <w:szCs w:val="22"/>
        </w:rPr>
        <w:t xml:space="preserve"> M, Pouta A, </w:t>
      </w:r>
      <w:proofErr w:type="spellStart"/>
      <w:r w:rsidRPr="00DD448A">
        <w:rPr>
          <w:rFonts w:ascii="Arial" w:hAnsi="Arial" w:cs="Arial"/>
          <w:kern w:val="1"/>
          <w:sz w:val="22"/>
          <w:szCs w:val="22"/>
        </w:rPr>
        <w:t>Bloigu</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Järvelin</w:t>
      </w:r>
      <w:proofErr w:type="spellEnd"/>
      <w:r w:rsidRPr="00DD448A">
        <w:rPr>
          <w:rFonts w:ascii="Arial" w:hAnsi="Arial" w:cs="Arial"/>
          <w:kern w:val="1"/>
          <w:sz w:val="22"/>
          <w:szCs w:val="22"/>
        </w:rPr>
        <w:t xml:space="preserve"> MR, Hartikainen AL, Suvanto E. Early pregnancy reference intervals of thyroid hormone concentrations in a thyroid antibody-negative pregnant population.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2011;21(3):291-298.</w:t>
      </w:r>
    </w:p>
    <w:p w14:paraId="71B74B6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376.</w:t>
      </w:r>
      <w:r w:rsidRPr="00DD448A">
        <w:rPr>
          <w:rFonts w:ascii="Arial" w:hAnsi="Arial" w:cs="Arial"/>
          <w:kern w:val="1"/>
          <w:sz w:val="22"/>
          <w:szCs w:val="22"/>
        </w:rPr>
        <w:tab/>
        <w:t xml:space="preserve">McNeil AR, Stanford PE. Reporting Thyroid Function Tests in Pregnancy. </w:t>
      </w:r>
      <w:r w:rsidRPr="00DD448A">
        <w:rPr>
          <w:rFonts w:ascii="Arial" w:hAnsi="Arial" w:cs="Arial"/>
          <w:iCs/>
          <w:kern w:val="1"/>
          <w:sz w:val="22"/>
          <w:szCs w:val="22"/>
        </w:rPr>
        <w:t xml:space="preserve">Clin </w:t>
      </w:r>
      <w:proofErr w:type="spellStart"/>
      <w:r w:rsidRPr="00DD448A">
        <w:rPr>
          <w:rFonts w:ascii="Arial" w:hAnsi="Arial" w:cs="Arial"/>
          <w:iCs/>
          <w:kern w:val="1"/>
          <w:sz w:val="22"/>
          <w:szCs w:val="22"/>
        </w:rPr>
        <w:t>Biochem</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2015;36(4):109-126.</w:t>
      </w:r>
    </w:p>
    <w:p w14:paraId="1FD4672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377.</w:t>
      </w:r>
      <w:r w:rsidRPr="00DD448A">
        <w:rPr>
          <w:rFonts w:ascii="Arial" w:hAnsi="Arial" w:cs="Arial"/>
          <w:kern w:val="1"/>
          <w:sz w:val="22"/>
          <w:szCs w:val="22"/>
        </w:rPr>
        <w:tab/>
      </w:r>
      <w:proofErr w:type="spellStart"/>
      <w:r w:rsidRPr="00DD448A">
        <w:rPr>
          <w:rFonts w:ascii="Arial" w:hAnsi="Arial" w:cs="Arial"/>
          <w:kern w:val="1"/>
          <w:sz w:val="22"/>
          <w:szCs w:val="22"/>
        </w:rPr>
        <w:t>Tozzoli</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D'Aurizio</w:t>
      </w:r>
      <w:proofErr w:type="spellEnd"/>
      <w:r w:rsidRPr="00DD448A">
        <w:rPr>
          <w:rFonts w:ascii="Arial" w:hAnsi="Arial" w:cs="Arial"/>
          <w:kern w:val="1"/>
          <w:sz w:val="22"/>
          <w:szCs w:val="22"/>
        </w:rPr>
        <w:t xml:space="preserve"> F, Ferrari A, Castello R, </w:t>
      </w:r>
      <w:proofErr w:type="spellStart"/>
      <w:r w:rsidRPr="00DD448A">
        <w:rPr>
          <w:rFonts w:ascii="Arial" w:hAnsi="Arial" w:cs="Arial"/>
          <w:kern w:val="1"/>
          <w:sz w:val="22"/>
          <w:szCs w:val="22"/>
        </w:rPr>
        <w:t>Metus</w:t>
      </w:r>
      <w:proofErr w:type="spellEnd"/>
      <w:r w:rsidRPr="00DD448A">
        <w:rPr>
          <w:rFonts w:ascii="Arial" w:hAnsi="Arial" w:cs="Arial"/>
          <w:kern w:val="1"/>
          <w:sz w:val="22"/>
          <w:szCs w:val="22"/>
        </w:rPr>
        <w:t xml:space="preserve"> P, Caruso B, </w:t>
      </w:r>
      <w:proofErr w:type="spellStart"/>
      <w:r w:rsidRPr="00DD448A">
        <w:rPr>
          <w:rFonts w:ascii="Arial" w:hAnsi="Arial" w:cs="Arial"/>
          <w:kern w:val="1"/>
          <w:sz w:val="22"/>
          <w:szCs w:val="22"/>
        </w:rPr>
        <w:t>Perosa</w:t>
      </w:r>
      <w:proofErr w:type="spellEnd"/>
      <w:r w:rsidRPr="00DD448A">
        <w:rPr>
          <w:rFonts w:ascii="Arial" w:hAnsi="Arial" w:cs="Arial"/>
          <w:kern w:val="1"/>
          <w:sz w:val="22"/>
          <w:szCs w:val="22"/>
        </w:rPr>
        <w:t xml:space="preserve"> AR, Sirianni F, Stenner E, Steffan A, Villalta D. The upper reference limit for thyroid peroxidase autoantibodies is method-dependent: A collaborative study with biomedical industries.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2016;452:61-65.</w:t>
      </w:r>
    </w:p>
    <w:p w14:paraId="328596E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378.</w:t>
      </w:r>
      <w:r w:rsidRPr="00DD448A">
        <w:rPr>
          <w:rFonts w:ascii="Arial" w:hAnsi="Arial" w:cs="Arial"/>
          <w:kern w:val="1"/>
          <w:sz w:val="22"/>
          <w:szCs w:val="22"/>
        </w:rPr>
        <w:tab/>
        <w:t xml:space="preserve">Caruso B, Bovo C, Guidi GC. Causes of Preanalytical Interferences on Laboratory Immunoassays - A Critical Review. </w:t>
      </w:r>
      <w:proofErr w:type="spellStart"/>
      <w:r w:rsidRPr="00DD448A">
        <w:rPr>
          <w:rFonts w:ascii="Arial" w:hAnsi="Arial" w:cs="Arial"/>
          <w:iCs/>
          <w:kern w:val="1"/>
          <w:sz w:val="22"/>
          <w:szCs w:val="22"/>
        </w:rPr>
        <w:t>Ejifcc</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2020;31(1):70-84.</w:t>
      </w:r>
    </w:p>
    <w:p w14:paraId="49FA4EE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379.</w:t>
      </w:r>
      <w:r w:rsidRPr="00DD448A">
        <w:rPr>
          <w:rFonts w:ascii="Arial" w:hAnsi="Arial" w:cs="Arial"/>
          <w:kern w:val="1"/>
          <w:sz w:val="22"/>
          <w:szCs w:val="22"/>
        </w:rPr>
        <w:tab/>
      </w:r>
      <w:proofErr w:type="spellStart"/>
      <w:r w:rsidRPr="00DD448A">
        <w:rPr>
          <w:rFonts w:ascii="Arial" w:hAnsi="Arial" w:cs="Arial"/>
          <w:kern w:val="1"/>
          <w:sz w:val="22"/>
          <w:szCs w:val="22"/>
        </w:rPr>
        <w:t>Roelfsema</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Pijl</w:t>
      </w:r>
      <w:proofErr w:type="spellEnd"/>
      <w:r w:rsidRPr="00DD448A">
        <w:rPr>
          <w:rFonts w:ascii="Arial" w:hAnsi="Arial" w:cs="Arial"/>
          <w:kern w:val="1"/>
          <w:sz w:val="22"/>
          <w:szCs w:val="22"/>
        </w:rPr>
        <w:t xml:space="preserve"> H, Kok P, Endert E, Fliers E, </w:t>
      </w:r>
      <w:proofErr w:type="spellStart"/>
      <w:r w:rsidRPr="00DD448A">
        <w:rPr>
          <w:rFonts w:ascii="Arial" w:hAnsi="Arial" w:cs="Arial"/>
          <w:kern w:val="1"/>
          <w:sz w:val="22"/>
          <w:szCs w:val="22"/>
        </w:rPr>
        <w:t>Biermasz</w:t>
      </w:r>
      <w:proofErr w:type="spellEnd"/>
      <w:r w:rsidRPr="00DD448A">
        <w:rPr>
          <w:rFonts w:ascii="Arial" w:hAnsi="Arial" w:cs="Arial"/>
          <w:kern w:val="1"/>
          <w:sz w:val="22"/>
          <w:szCs w:val="22"/>
        </w:rPr>
        <w:t xml:space="preserve"> NR, Pereira AM, Veldhuis JD. Thyrotropin secretion in healthy subjects is robust and independent of age and gender, and only weakly dependent on body mass index.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2014;99(2):570-578.</w:t>
      </w:r>
    </w:p>
    <w:p w14:paraId="22B1652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380.</w:t>
      </w:r>
      <w:r w:rsidRPr="00DD448A">
        <w:rPr>
          <w:rFonts w:ascii="Arial" w:hAnsi="Arial" w:cs="Arial"/>
          <w:kern w:val="1"/>
          <w:sz w:val="22"/>
          <w:szCs w:val="22"/>
        </w:rPr>
        <w:tab/>
      </w:r>
      <w:proofErr w:type="spellStart"/>
      <w:r w:rsidRPr="00DD448A">
        <w:rPr>
          <w:rFonts w:ascii="Arial" w:hAnsi="Arial" w:cs="Arial"/>
          <w:kern w:val="1"/>
          <w:sz w:val="22"/>
          <w:szCs w:val="22"/>
        </w:rPr>
        <w:t>Roelfsema</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Boelen</w:t>
      </w:r>
      <w:proofErr w:type="spellEnd"/>
      <w:r w:rsidRPr="00DD448A">
        <w:rPr>
          <w:rFonts w:ascii="Arial" w:hAnsi="Arial" w:cs="Arial"/>
          <w:kern w:val="1"/>
          <w:sz w:val="22"/>
          <w:szCs w:val="22"/>
        </w:rPr>
        <w:t xml:space="preserve"> A, Kalsbeek A, Fliers E. Regulatory aspects of the human hypothalamus-pituitary-thyroid axis.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2017;31(5):487-503.</w:t>
      </w:r>
    </w:p>
    <w:p w14:paraId="0A8291B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381.</w:t>
      </w:r>
      <w:r w:rsidRPr="00DD448A">
        <w:rPr>
          <w:rFonts w:ascii="Arial" w:hAnsi="Arial" w:cs="Arial"/>
          <w:kern w:val="1"/>
          <w:sz w:val="22"/>
          <w:szCs w:val="22"/>
        </w:rPr>
        <w:tab/>
        <w:t xml:space="preserve">van der </w:t>
      </w:r>
      <w:proofErr w:type="spellStart"/>
      <w:r w:rsidRPr="00DD448A">
        <w:rPr>
          <w:rFonts w:ascii="Arial" w:hAnsi="Arial" w:cs="Arial"/>
          <w:kern w:val="1"/>
          <w:sz w:val="22"/>
          <w:szCs w:val="22"/>
        </w:rPr>
        <w:t>Spoel</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Roelfsema</w:t>
      </w:r>
      <w:proofErr w:type="spellEnd"/>
      <w:r w:rsidRPr="00DD448A">
        <w:rPr>
          <w:rFonts w:ascii="Arial" w:hAnsi="Arial" w:cs="Arial"/>
          <w:kern w:val="1"/>
          <w:sz w:val="22"/>
          <w:szCs w:val="22"/>
        </w:rPr>
        <w:t xml:space="preserve"> F, van </w:t>
      </w:r>
      <w:proofErr w:type="spellStart"/>
      <w:r w:rsidRPr="00DD448A">
        <w:rPr>
          <w:rFonts w:ascii="Arial" w:hAnsi="Arial" w:cs="Arial"/>
          <w:kern w:val="1"/>
          <w:sz w:val="22"/>
          <w:szCs w:val="22"/>
        </w:rPr>
        <w:t>Heemst</w:t>
      </w:r>
      <w:proofErr w:type="spellEnd"/>
      <w:r w:rsidRPr="00DD448A">
        <w:rPr>
          <w:rFonts w:ascii="Arial" w:hAnsi="Arial" w:cs="Arial"/>
          <w:kern w:val="1"/>
          <w:sz w:val="22"/>
          <w:szCs w:val="22"/>
        </w:rPr>
        <w:t xml:space="preserve"> D. Within-Person Variation in Serum Thyrotropin Concentrations: Main Sources, Potential Underlying Biological Mechanisms, and Clinical Implications.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2021;12:619568.</w:t>
      </w:r>
    </w:p>
    <w:p w14:paraId="4E1BE4D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382.</w:t>
      </w:r>
      <w:r w:rsidRPr="00DD448A">
        <w:rPr>
          <w:rFonts w:ascii="Arial" w:hAnsi="Arial" w:cs="Arial"/>
          <w:kern w:val="1"/>
          <w:sz w:val="22"/>
          <w:szCs w:val="22"/>
        </w:rPr>
        <w:tab/>
        <w:t xml:space="preserve">Beckett G, </w:t>
      </w:r>
      <w:proofErr w:type="spellStart"/>
      <w:r w:rsidRPr="00DD448A">
        <w:rPr>
          <w:rFonts w:ascii="Arial" w:hAnsi="Arial" w:cs="Arial"/>
          <w:kern w:val="1"/>
          <w:sz w:val="22"/>
          <w:szCs w:val="22"/>
        </w:rPr>
        <w:t>MacKenzie</w:t>
      </w:r>
      <w:proofErr w:type="spellEnd"/>
      <w:r w:rsidRPr="00DD448A">
        <w:rPr>
          <w:rFonts w:ascii="Arial" w:hAnsi="Arial" w:cs="Arial"/>
          <w:kern w:val="1"/>
          <w:sz w:val="22"/>
          <w:szCs w:val="22"/>
        </w:rPr>
        <w:t xml:space="preserve"> F. Thyroid guidelines - are thyroid-stimulating hormone assays fit for purpose?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2007;44(Pt 3):203-208.</w:t>
      </w:r>
    </w:p>
    <w:p w14:paraId="1F26755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383.</w:t>
      </w:r>
      <w:r w:rsidRPr="00DD448A">
        <w:rPr>
          <w:rFonts w:ascii="Arial" w:hAnsi="Arial" w:cs="Arial"/>
          <w:kern w:val="1"/>
          <w:sz w:val="22"/>
          <w:szCs w:val="22"/>
        </w:rPr>
        <w:tab/>
      </w:r>
      <w:proofErr w:type="spellStart"/>
      <w:r w:rsidRPr="00DD448A">
        <w:rPr>
          <w:rFonts w:ascii="Arial" w:hAnsi="Arial" w:cs="Arial"/>
          <w:kern w:val="1"/>
          <w:sz w:val="22"/>
          <w:szCs w:val="22"/>
        </w:rPr>
        <w:t>Roelfsema</w:t>
      </w:r>
      <w:proofErr w:type="spellEnd"/>
      <w:r w:rsidRPr="00DD448A">
        <w:rPr>
          <w:rFonts w:ascii="Arial" w:hAnsi="Arial" w:cs="Arial"/>
          <w:kern w:val="1"/>
          <w:sz w:val="22"/>
          <w:szCs w:val="22"/>
        </w:rPr>
        <w:t xml:space="preserve"> F, Pereira AM, Veldhuis JD, Adriaanse R, Endert E, Fliers E, Romijn JA. Thyrotropin secretion profiles are not different in men and women.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2009;94(10):3964-3967.</w:t>
      </w:r>
    </w:p>
    <w:p w14:paraId="216FE8F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384.</w:t>
      </w:r>
      <w:r w:rsidRPr="00DD448A">
        <w:rPr>
          <w:rFonts w:ascii="Arial" w:hAnsi="Arial" w:cs="Arial"/>
          <w:kern w:val="1"/>
          <w:sz w:val="22"/>
          <w:szCs w:val="22"/>
        </w:rPr>
        <w:tab/>
        <w:t xml:space="preserve">Walsh JP, Ward LC, Burke V, Bhagat CI, Shiels L, Henley D, Gillett MJ, Gilbert R, Tanner M, Stuckey BG. Small changes in thyroxine dosage do not produce measurable changes in hypothyroid symptoms, well-being, or quality of life: results of a double-blind, randomized clinical trial.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2006;91(7):2624-2630.</w:t>
      </w:r>
    </w:p>
    <w:p w14:paraId="5D49103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385.</w:t>
      </w:r>
      <w:r w:rsidRPr="00DD448A">
        <w:rPr>
          <w:rFonts w:ascii="Arial" w:hAnsi="Arial" w:cs="Arial"/>
          <w:kern w:val="1"/>
          <w:sz w:val="22"/>
          <w:szCs w:val="22"/>
        </w:rPr>
        <w:tab/>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Sarlis</w:t>
      </w:r>
      <w:proofErr w:type="spellEnd"/>
      <w:r w:rsidRPr="00DD448A">
        <w:rPr>
          <w:rFonts w:ascii="Arial" w:hAnsi="Arial" w:cs="Arial"/>
          <w:kern w:val="1"/>
          <w:sz w:val="22"/>
          <w:szCs w:val="22"/>
        </w:rPr>
        <w:t xml:space="preserve"> NJ, </w:t>
      </w:r>
      <w:proofErr w:type="spellStart"/>
      <w:r w:rsidRPr="00DD448A">
        <w:rPr>
          <w:rFonts w:ascii="Arial" w:hAnsi="Arial" w:cs="Arial"/>
          <w:kern w:val="1"/>
          <w:sz w:val="22"/>
          <w:szCs w:val="22"/>
        </w:rPr>
        <w:t>Litofsky</w:t>
      </w:r>
      <w:proofErr w:type="spellEnd"/>
      <w:r w:rsidRPr="00DD448A">
        <w:rPr>
          <w:rFonts w:ascii="Arial" w:hAnsi="Arial" w:cs="Arial"/>
          <w:kern w:val="1"/>
          <w:sz w:val="22"/>
          <w:szCs w:val="22"/>
        </w:rPr>
        <w:t xml:space="preserve"> D, Ain KB, Bigos ST, Brierley JD, Cooper DS, Haugen BR, Ladenson PW, Magner J, Robbins J, Ross DS, </w:t>
      </w:r>
      <w:proofErr w:type="spellStart"/>
      <w:r w:rsidRPr="00DD448A">
        <w:rPr>
          <w:rFonts w:ascii="Arial" w:hAnsi="Arial" w:cs="Arial"/>
          <w:kern w:val="1"/>
          <w:sz w:val="22"/>
          <w:szCs w:val="22"/>
        </w:rPr>
        <w:t>Skarulis</w:t>
      </w:r>
      <w:proofErr w:type="spellEnd"/>
      <w:r w:rsidRPr="00DD448A">
        <w:rPr>
          <w:rFonts w:ascii="Arial" w:hAnsi="Arial" w:cs="Arial"/>
          <w:kern w:val="1"/>
          <w:sz w:val="22"/>
          <w:szCs w:val="22"/>
        </w:rPr>
        <w:t xml:space="preserve"> M, Maxon HR, Sherman SI. Outcomes of patients with differentiated thyroid carcinoma following initial therapy.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2006;16(12):1229-1242.</w:t>
      </w:r>
    </w:p>
    <w:p w14:paraId="56FFE89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386.</w:t>
      </w:r>
      <w:r w:rsidRPr="00DD448A">
        <w:rPr>
          <w:rFonts w:ascii="Arial" w:hAnsi="Arial" w:cs="Arial"/>
          <w:kern w:val="1"/>
          <w:sz w:val="22"/>
          <w:szCs w:val="22"/>
        </w:rPr>
        <w:tab/>
        <w:t xml:space="preserve">Cooper DS, Doherty GM, Haugen BR, Kloos RT, Lee SL, Mandel SJ, </w:t>
      </w:r>
      <w:proofErr w:type="spellStart"/>
      <w:r w:rsidRPr="00DD448A">
        <w:rPr>
          <w:rFonts w:ascii="Arial" w:hAnsi="Arial" w:cs="Arial"/>
          <w:kern w:val="1"/>
          <w:sz w:val="22"/>
          <w:szCs w:val="22"/>
        </w:rPr>
        <w:t>Mazzaferri</w:t>
      </w:r>
      <w:proofErr w:type="spellEnd"/>
      <w:r w:rsidRPr="00DD448A">
        <w:rPr>
          <w:rFonts w:ascii="Arial" w:hAnsi="Arial" w:cs="Arial"/>
          <w:kern w:val="1"/>
          <w:sz w:val="22"/>
          <w:szCs w:val="22"/>
        </w:rPr>
        <w:t xml:space="preserve"> EL, McIver B, Pacini F, Schlumberger M, Sherman SI, Steward DL, Tuttle RM. Revised American Thyroid Association management guidelines for patients with thyroid nodules and differentiated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2009;19(11):1167-1214.</w:t>
      </w:r>
    </w:p>
    <w:p w14:paraId="3289F3A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387.</w:t>
      </w:r>
      <w:r w:rsidRPr="00DD448A">
        <w:rPr>
          <w:rFonts w:ascii="Arial" w:hAnsi="Arial" w:cs="Arial"/>
          <w:kern w:val="1"/>
          <w:sz w:val="22"/>
          <w:szCs w:val="22"/>
        </w:rPr>
        <w:tab/>
        <w:t xml:space="preserve">Mebis L, van den Berghe G. The hypothalamus-pituitary-thyroid axis in critical illness. </w:t>
      </w:r>
      <w:r w:rsidRPr="00DD448A">
        <w:rPr>
          <w:rFonts w:ascii="Arial" w:hAnsi="Arial" w:cs="Arial"/>
          <w:iCs/>
          <w:kern w:val="1"/>
          <w:sz w:val="22"/>
          <w:szCs w:val="22"/>
        </w:rPr>
        <w:t>Neth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2009;67(10):332-340.</w:t>
      </w:r>
    </w:p>
    <w:p w14:paraId="7155BDA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388.</w:t>
      </w:r>
      <w:r w:rsidRPr="00DD448A">
        <w:rPr>
          <w:rFonts w:ascii="Arial" w:hAnsi="Arial" w:cs="Arial"/>
          <w:kern w:val="1"/>
          <w:sz w:val="22"/>
          <w:szCs w:val="22"/>
        </w:rPr>
        <w:tab/>
        <w:t xml:space="preserve">Van den Berghe G. Non-thyroidal illness in the ICU: a syndrome with different faces.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2014;24(10):1456-1465.</w:t>
      </w:r>
    </w:p>
    <w:p w14:paraId="0159F4B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389.</w:t>
      </w:r>
      <w:r w:rsidRPr="00DD448A">
        <w:rPr>
          <w:rFonts w:ascii="Arial" w:hAnsi="Arial" w:cs="Arial"/>
          <w:kern w:val="1"/>
          <w:sz w:val="22"/>
          <w:szCs w:val="22"/>
        </w:rPr>
        <w:tab/>
        <w:t xml:space="preserve">Aidoo ED, Ababio GK, Arko-Boham B, Tagoe EA, Aryee NA. Thyroid dysfunction among patients assessed by thyroid function tests at a tertiary care hospital: a retrospective study. </w:t>
      </w:r>
      <w:r w:rsidRPr="00DD448A">
        <w:rPr>
          <w:rFonts w:ascii="Arial" w:hAnsi="Arial" w:cs="Arial"/>
          <w:iCs/>
          <w:kern w:val="1"/>
          <w:sz w:val="22"/>
          <w:szCs w:val="22"/>
        </w:rPr>
        <w:t xml:space="preserve">Pan </w:t>
      </w:r>
      <w:proofErr w:type="spellStart"/>
      <w:r w:rsidRPr="00DD448A">
        <w:rPr>
          <w:rFonts w:ascii="Arial" w:hAnsi="Arial" w:cs="Arial"/>
          <w:iCs/>
          <w:kern w:val="1"/>
          <w:sz w:val="22"/>
          <w:szCs w:val="22"/>
        </w:rPr>
        <w:t>Afr</w:t>
      </w:r>
      <w:proofErr w:type="spellEnd"/>
      <w:r w:rsidRPr="00DD448A">
        <w:rPr>
          <w:rFonts w:ascii="Arial" w:hAnsi="Arial" w:cs="Arial"/>
          <w:iCs/>
          <w:kern w:val="1"/>
          <w:sz w:val="22"/>
          <w:szCs w:val="22"/>
        </w:rPr>
        <w:t xml:space="preserve"> Med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2024;49:7.</w:t>
      </w:r>
    </w:p>
    <w:p w14:paraId="730E78D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390.</w:t>
      </w:r>
      <w:r w:rsidRPr="00DD448A">
        <w:rPr>
          <w:rFonts w:ascii="Arial" w:hAnsi="Arial" w:cs="Arial"/>
          <w:kern w:val="1"/>
          <w:sz w:val="22"/>
          <w:szCs w:val="22"/>
        </w:rPr>
        <w:tab/>
      </w:r>
      <w:proofErr w:type="spellStart"/>
      <w:r w:rsidRPr="00DD448A">
        <w:rPr>
          <w:rFonts w:ascii="Arial" w:hAnsi="Arial" w:cs="Arial"/>
          <w:kern w:val="1"/>
          <w:sz w:val="22"/>
          <w:szCs w:val="22"/>
        </w:rPr>
        <w:t>Stockigt</w:t>
      </w:r>
      <w:proofErr w:type="spellEnd"/>
      <w:r w:rsidRPr="00DD448A">
        <w:rPr>
          <w:rFonts w:ascii="Arial" w:hAnsi="Arial" w:cs="Arial"/>
          <w:kern w:val="1"/>
          <w:sz w:val="22"/>
          <w:szCs w:val="22"/>
        </w:rPr>
        <w:t xml:space="preserve"> JR. Guidelines for diagnosis and monitoring of thyroid disease: nonthyroidal illness.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1996;42:188-192.</w:t>
      </w:r>
    </w:p>
    <w:p w14:paraId="0D3E677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391.</w:t>
      </w:r>
      <w:r w:rsidRPr="00DD448A">
        <w:rPr>
          <w:rFonts w:ascii="Arial" w:hAnsi="Arial" w:cs="Arial"/>
          <w:kern w:val="1"/>
          <w:sz w:val="22"/>
          <w:szCs w:val="22"/>
        </w:rPr>
        <w:tab/>
        <w:t xml:space="preserve">Stathatos N, </w:t>
      </w:r>
      <w:proofErr w:type="spellStart"/>
      <w:r w:rsidRPr="00DD448A">
        <w:rPr>
          <w:rFonts w:ascii="Arial" w:hAnsi="Arial" w:cs="Arial"/>
          <w:kern w:val="1"/>
          <w:sz w:val="22"/>
          <w:szCs w:val="22"/>
        </w:rPr>
        <w:t>Levetan</w:t>
      </w:r>
      <w:proofErr w:type="spellEnd"/>
      <w:r w:rsidRPr="00DD448A">
        <w:rPr>
          <w:rFonts w:ascii="Arial" w:hAnsi="Arial" w:cs="Arial"/>
          <w:kern w:val="1"/>
          <w:sz w:val="22"/>
          <w:szCs w:val="22"/>
        </w:rPr>
        <w:t xml:space="preserve"> C, Burman KD, </w:t>
      </w:r>
      <w:proofErr w:type="spellStart"/>
      <w:r w:rsidRPr="00DD448A">
        <w:rPr>
          <w:rFonts w:ascii="Arial" w:hAnsi="Arial" w:cs="Arial"/>
          <w:kern w:val="1"/>
          <w:sz w:val="22"/>
          <w:szCs w:val="22"/>
        </w:rPr>
        <w:t>Wartofsky</w:t>
      </w:r>
      <w:proofErr w:type="spellEnd"/>
      <w:r w:rsidRPr="00DD448A">
        <w:rPr>
          <w:rFonts w:ascii="Arial" w:hAnsi="Arial" w:cs="Arial"/>
          <w:kern w:val="1"/>
          <w:sz w:val="22"/>
          <w:szCs w:val="22"/>
        </w:rPr>
        <w:t xml:space="preserve"> L. The controversy of the treatment of critically ill patients with thyroid hormone.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2001;15(4):465-478.</w:t>
      </w:r>
    </w:p>
    <w:p w14:paraId="2E14D8D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392.</w:t>
      </w:r>
      <w:r w:rsidRPr="00DD448A">
        <w:rPr>
          <w:rFonts w:ascii="Arial" w:hAnsi="Arial" w:cs="Arial"/>
          <w:kern w:val="1"/>
          <w:sz w:val="22"/>
          <w:szCs w:val="22"/>
        </w:rPr>
        <w:tab/>
      </w:r>
      <w:proofErr w:type="spellStart"/>
      <w:r w:rsidRPr="00DD448A">
        <w:rPr>
          <w:rFonts w:ascii="Arial" w:hAnsi="Arial" w:cs="Arial"/>
          <w:kern w:val="1"/>
          <w:sz w:val="22"/>
          <w:szCs w:val="22"/>
        </w:rPr>
        <w:t>Bunevicius</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Steibliene</w:t>
      </w:r>
      <w:proofErr w:type="spellEnd"/>
      <w:r w:rsidRPr="00DD448A">
        <w:rPr>
          <w:rFonts w:ascii="Arial" w:hAnsi="Arial" w:cs="Arial"/>
          <w:kern w:val="1"/>
          <w:sz w:val="22"/>
          <w:szCs w:val="22"/>
        </w:rPr>
        <w:t xml:space="preserve"> V, Prange AJ, Jr. Thyroid axis function after in-patient treatment of acute psychosis with antipsychotics: a naturalistic study. </w:t>
      </w:r>
      <w:r w:rsidRPr="00DD448A">
        <w:rPr>
          <w:rFonts w:ascii="Arial" w:hAnsi="Arial" w:cs="Arial"/>
          <w:iCs/>
          <w:kern w:val="1"/>
          <w:sz w:val="22"/>
          <w:szCs w:val="22"/>
        </w:rPr>
        <w:t>BMC Psychiatry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2014;14:279.</w:t>
      </w:r>
    </w:p>
    <w:p w14:paraId="70CF6CF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393.</w:t>
      </w:r>
      <w:r w:rsidRPr="00DD448A">
        <w:rPr>
          <w:rFonts w:ascii="Arial" w:hAnsi="Arial" w:cs="Arial"/>
          <w:kern w:val="1"/>
          <w:sz w:val="22"/>
          <w:szCs w:val="22"/>
        </w:rPr>
        <w:tab/>
        <w:t xml:space="preserve">Soh SB, Aw TC. Laboratory Testing in Thyroid Conditions - Pitfalls and Clinical Utility. </w:t>
      </w:r>
      <w:r w:rsidRPr="00DD448A">
        <w:rPr>
          <w:rFonts w:ascii="Arial" w:hAnsi="Arial" w:cs="Arial"/>
          <w:iCs/>
          <w:kern w:val="1"/>
          <w:sz w:val="22"/>
          <w:szCs w:val="22"/>
        </w:rPr>
        <w:t>Ann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2019;39(1):3-14.</w:t>
      </w:r>
    </w:p>
    <w:p w14:paraId="60936CA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394.</w:t>
      </w:r>
      <w:r w:rsidRPr="00DD448A">
        <w:rPr>
          <w:rFonts w:ascii="Arial" w:hAnsi="Arial" w:cs="Arial"/>
          <w:kern w:val="1"/>
          <w:sz w:val="22"/>
          <w:szCs w:val="22"/>
        </w:rPr>
        <w:tab/>
        <w:t xml:space="preserve">Uy HL, Reasner CA, Samuels MH. Pattern of recovery of the hypothalamic-pituitary-thyroid axis following radioactive iodine therapy in patients with Graves' disease. </w:t>
      </w:r>
      <w:r w:rsidRPr="00DD448A">
        <w:rPr>
          <w:rFonts w:ascii="Arial" w:hAnsi="Arial" w:cs="Arial"/>
          <w:iCs/>
          <w:kern w:val="1"/>
          <w:sz w:val="22"/>
          <w:szCs w:val="22"/>
        </w:rPr>
        <w:t>Am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1995;99(2):173-179.</w:t>
      </w:r>
    </w:p>
    <w:p w14:paraId="12BB724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395.</w:t>
      </w:r>
      <w:r w:rsidRPr="00DD448A">
        <w:rPr>
          <w:rFonts w:ascii="Arial" w:hAnsi="Arial" w:cs="Arial"/>
          <w:kern w:val="1"/>
          <w:sz w:val="22"/>
          <w:szCs w:val="22"/>
        </w:rPr>
        <w:tab/>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Clinical review: Central hypothyroidism: pathogenic, diagnostic, and therapeutic challenges.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2012;97:3068-3078.</w:t>
      </w:r>
    </w:p>
    <w:p w14:paraId="3C1B9EB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396.</w:t>
      </w:r>
      <w:r w:rsidRPr="00DD448A">
        <w:rPr>
          <w:rFonts w:ascii="Arial" w:hAnsi="Arial" w:cs="Arial"/>
          <w:kern w:val="1"/>
          <w:sz w:val="22"/>
          <w:szCs w:val="22"/>
        </w:rPr>
        <w:tab/>
        <w:t xml:space="preserve">Lania A, </w:t>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Beck-</w:t>
      </w:r>
      <w:proofErr w:type="spellStart"/>
      <w:r w:rsidRPr="00DD448A">
        <w:rPr>
          <w:rFonts w:ascii="Arial" w:hAnsi="Arial" w:cs="Arial"/>
          <w:kern w:val="1"/>
          <w:sz w:val="22"/>
          <w:szCs w:val="22"/>
        </w:rPr>
        <w:t>Peccoz</w:t>
      </w:r>
      <w:proofErr w:type="spellEnd"/>
      <w:r w:rsidRPr="00DD448A">
        <w:rPr>
          <w:rFonts w:ascii="Arial" w:hAnsi="Arial" w:cs="Arial"/>
          <w:kern w:val="1"/>
          <w:sz w:val="22"/>
          <w:szCs w:val="22"/>
        </w:rPr>
        <w:t xml:space="preserve"> P. Central hypothyroidism. </w:t>
      </w:r>
      <w:r w:rsidRPr="00DD448A">
        <w:rPr>
          <w:rFonts w:ascii="Arial" w:hAnsi="Arial" w:cs="Arial"/>
          <w:iCs/>
          <w:kern w:val="1"/>
          <w:sz w:val="22"/>
          <w:szCs w:val="22"/>
        </w:rPr>
        <w:t>Pituitary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2008;11(2):181-186.</w:t>
      </w:r>
    </w:p>
    <w:p w14:paraId="0AA5215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397.</w:t>
      </w:r>
      <w:r w:rsidRPr="00DD448A">
        <w:rPr>
          <w:rFonts w:ascii="Arial" w:hAnsi="Arial" w:cs="Arial"/>
          <w:kern w:val="1"/>
          <w:sz w:val="22"/>
          <w:szCs w:val="22"/>
        </w:rPr>
        <w:tab/>
      </w:r>
      <w:proofErr w:type="spellStart"/>
      <w:r w:rsidRPr="00DD448A">
        <w:rPr>
          <w:rFonts w:ascii="Arial" w:hAnsi="Arial" w:cs="Arial"/>
          <w:kern w:val="1"/>
          <w:sz w:val="22"/>
          <w:szCs w:val="22"/>
        </w:rPr>
        <w:t>Roelfsema</w:t>
      </w:r>
      <w:proofErr w:type="spellEnd"/>
      <w:r w:rsidRPr="00DD448A">
        <w:rPr>
          <w:rFonts w:ascii="Arial" w:hAnsi="Arial" w:cs="Arial"/>
          <w:kern w:val="1"/>
          <w:sz w:val="22"/>
          <w:szCs w:val="22"/>
        </w:rPr>
        <w:t xml:space="preserve"> F, Kok S, Kok P, Pereira AM, </w:t>
      </w:r>
      <w:proofErr w:type="spellStart"/>
      <w:r w:rsidRPr="00DD448A">
        <w:rPr>
          <w:rFonts w:ascii="Arial" w:hAnsi="Arial" w:cs="Arial"/>
          <w:kern w:val="1"/>
          <w:sz w:val="22"/>
          <w:szCs w:val="22"/>
        </w:rPr>
        <w:t>Biermasz</w:t>
      </w:r>
      <w:proofErr w:type="spellEnd"/>
      <w:r w:rsidRPr="00DD448A">
        <w:rPr>
          <w:rFonts w:ascii="Arial" w:hAnsi="Arial" w:cs="Arial"/>
          <w:kern w:val="1"/>
          <w:sz w:val="22"/>
          <w:szCs w:val="22"/>
        </w:rPr>
        <w:t xml:space="preserve"> NR, Smit JW, Frolich M, Keenan DM, Veldhuis JD, Romijn JA. Pituitary-hormone secretion by </w:t>
      </w:r>
      <w:proofErr w:type="spellStart"/>
      <w:r w:rsidRPr="00DD448A">
        <w:rPr>
          <w:rFonts w:ascii="Arial" w:hAnsi="Arial" w:cs="Arial"/>
          <w:kern w:val="1"/>
          <w:sz w:val="22"/>
          <w:szCs w:val="22"/>
        </w:rPr>
        <w:t>thyrotropinomas</w:t>
      </w:r>
      <w:proofErr w:type="spellEnd"/>
      <w:r w:rsidRPr="00DD448A">
        <w:rPr>
          <w:rFonts w:ascii="Arial" w:hAnsi="Arial" w:cs="Arial"/>
          <w:kern w:val="1"/>
          <w:sz w:val="22"/>
          <w:szCs w:val="22"/>
        </w:rPr>
        <w:t xml:space="preserve">. </w:t>
      </w:r>
      <w:r w:rsidRPr="00DD448A">
        <w:rPr>
          <w:rFonts w:ascii="Arial" w:hAnsi="Arial" w:cs="Arial"/>
          <w:iCs/>
          <w:kern w:val="1"/>
          <w:sz w:val="22"/>
          <w:szCs w:val="22"/>
        </w:rPr>
        <w:t>Pituitary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2009;12(3):200-210.</w:t>
      </w:r>
    </w:p>
    <w:p w14:paraId="7BFD8D7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398.</w:t>
      </w:r>
      <w:r w:rsidRPr="00DD448A">
        <w:rPr>
          <w:rFonts w:ascii="Arial" w:hAnsi="Arial" w:cs="Arial"/>
          <w:kern w:val="1"/>
          <w:sz w:val="22"/>
          <w:szCs w:val="22"/>
        </w:rPr>
        <w:tab/>
        <w:t>Beck-</w:t>
      </w:r>
      <w:proofErr w:type="spellStart"/>
      <w:r w:rsidRPr="00DD448A">
        <w:rPr>
          <w:rFonts w:ascii="Arial" w:hAnsi="Arial" w:cs="Arial"/>
          <w:kern w:val="1"/>
          <w:sz w:val="22"/>
          <w:szCs w:val="22"/>
        </w:rPr>
        <w:t>Peccoz</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Giavoli</w:t>
      </w:r>
      <w:proofErr w:type="spellEnd"/>
      <w:r w:rsidRPr="00DD448A">
        <w:rPr>
          <w:rFonts w:ascii="Arial" w:hAnsi="Arial" w:cs="Arial"/>
          <w:kern w:val="1"/>
          <w:sz w:val="22"/>
          <w:szCs w:val="22"/>
        </w:rPr>
        <w:t xml:space="preserve"> C, Lania A. A 2019 update on TSH-secreting pituitary adenomas.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2019;42(12):1401-1406.</w:t>
      </w:r>
    </w:p>
    <w:p w14:paraId="49287C7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399.</w:t>
      </w:r>
      <w:r w:rsidRPr="00DD448A">
        <w:rPr>
          <w:rFonts w:ascii="Arial" w:hAnsi="Arial" w:cs="Arial"/>
          <w:kern w:val="1"/>
          <w:sz w:val="22"/>
          <w:szCs w:val="22"/>
        </w:rPr>
        <w:tab/>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Weiss RE, </w:t>
      </w:r>
      <w:proofErr w:type="spellStart"/>
      <w:r w:rsidRPr="00DD448A">
        <w:rPr>
          <w:rFonts w:ascii="Arial" w:hAnsi="Arial" w:cs="Arial"/>
          <w:kern w:val="1"/>
          <w:sz w:val="22"/>
          <w:szCs w:val="22"/>
        </w:rPr>
        <w:t>Usala</w:t>
      </w:r>
      <w:proofErr w:type="spellEnd"/>
      <w:r w:rsidRPr="00DD448A">
        <w:rPr>
          <w:rFonts w:ascii="Arial" w:hAnsi="Arial" w:cs="Arial"/>
          <w:kern w:val="1"/>
          <w:sz w:val="22"/>
          <w:szCs w:val="22"/>
        </w:rPr>
        <w:t xml:space="preserve"> SJ. The syndromes of resistance to thyroid hormone. </w:t>
      </w:r>
      <w:r w:rsidRPr="00DD448A">
        <w:rPr>
          <w:rFonts w:ascii="Arial" w:hAnsi="Arial" w:cs="Arial"/>
          <w:iCs/>
          <w:kern w:val="1"/>
          <w:sz w:val="22"/>
          <w:szCs w:val="22"/>
        </w:rPr>
        <w:t>Endocrine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1993;14:348-399.</w:t>
      </w:r>
    </w:p>
    <w:p w14:paraId="313C060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400.</w:t>
      </w:r>
      <w:r w:rsidRPr="00DD448A">
        <w:rPr>
          <w:rFonts w:ascii="Arial" w:hAnsi="Arial" w:cs="Arial"/>
          <w:kern w:val="1"/>
          <w:sz w:val="22"/>
          <w:szCs w:val="22"/>
        </w:rPr>
        <w:tab/>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Rodien</w:t>
      </w:r>
      <w:proofErr w:type="spellEnd"/>
      <w:r w:rsidRPr="00DD448A">
        <w:rPr>
          <w:rFonts w:ascii="Arial" w:hAnsi="Arial" w:cs="Arial"/>
          <w:kern w:val="1"/>
          <w:sz w:val="22"/>
          <w:szCs w:val="22"/>
        </w:rPr>
        <w:t xml:space="preserve"> P, Moran C, Edward Visser W, Groeneweg S, Peeters R, </w:t>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Gurnell M, Beck-Peccoz P, Chatterjee K. 2024 European Thyroid Association Guidelines on diagnosis and management of genetic disorders of thyroid hormone transport, metabolism and action.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2024;13(4).</w:t>
      </w:r>
    </w:p>
    <w:p w14:paraId="66BEF1E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401.</w:t>
      </w:r>
      <w:r w:rsidRPr="00DD448A">
        <w:rPr>
          <w:rFonts w:ascii="Arial" w:hAnsi="Arial" w:cs="Arial"/>
          <w:kern w:val="1"/>
          <w:sz w:val="22"/>
          <w:szCs w:val="22"/>
        </w:rPr>
        <w:tab/>
        <w:t xml:space="preserve">Dumitrescu AM, </w:t>
      </w:r>
      <w:proofErr w:type="spellStart"/>
      <w:r w:rsidRPr="00DD448A">
        <w:rPr>
          <w:rFonts w:ascii="Arial" w:hAnsi="Arial" w:cs="Arial"/>
          <w:kern w:val="1"/>
          <w:sz w:val="22"/>
          <w:szCs w:val="22"/>
        </w:rPr>
        <w:t>Refetoff</w:t>
      </w:r>
      <w:proofErr w:type="spellEnd"/>
      <w:r w:rsidRPr="00DD448A">
        <w:rPr>
          <w:rFonts w:ascii="Arial" w:hAnsi="Arial" w:cs="Arial"/>
          <w:kern w:val="1"/>
          <w:sz w:val="22"/>
          <w:szCs w:val="22"/>
        </w:rPr>
        <w:t xml:space="preserve"> S. The syndromes of reduced sensitivity to thyroid hormone. </w:t>
      </w:r>
      <w:proofErr w:type="spellStart"/>
      <w:r w:rsidRPr="00DD448A">
        <w:rPr>
          <w:rFonts w:ascii="Arial" w:hAnsi="Arial" w:cs="Arial"/>
          <w:iCs/>
          <w:kern w:val="1"/>
          <w:sz w:val="22"/>
          <w:szCs w:val="22"/>
        </w:rPr>
        <w:t>Biochim</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Biophys</w:t>
      </w:r>
      <w:proofErr w:type="spellEnd"/>
      <w:r w:rsidRPr="00DD448A">
        <w:rPr>
          <w:rFonts w:ascii="Arial" w:hAnsi="Arial" w:cs="Arial"/>
          <w:iCs/>
          <w:kern w:val="1"/>
          <w:sz w:val="22"/>
          <w:szCs w:val="22"/>
        </w:rPr>
        <w:t xml:space="preserve">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2013;1830(7):3987-4003.</w:t>
      </w:r>
    </w:p>
    <w:p w14:paraId="46525AA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402.</w:t>
      </w:r>
      <w:r w:rsidRPr="00DD448A">
        <w:rPr>
          <w:rFonts w:ascii="Arial" w:hAnsi="Arial" w:cs="Arial"/>
          <w:kern w:val="1"/>
          <w:sz w:val="22"/>
          <w:szCs w:val="22"/>
        </w:rPr>
        <w:tab/>
        <w:t xml:space="preserve">Bertalan R, Sallai A, Sólyom J, Lotz G, Szabó I, Kovács B, Szabó E, Patócs A, Rácz K. Hyperthyroidism caused by a germline activating mutation of the thyrotropin receptor gene: difficulties in diagnosis and therapy.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2010;20(3):327-332.</w:t>
      </w:r>
    </w:p>
    <w:p w14:paraId="606D3DB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403.</w:t>
      </w:r>
      <w:r w:rsidRPr="00DD448A">
        <w:rPr>
          <w:rFonts w:ascii="Arial" w:hAnsi="Arial" w:cs="Arial"/>
          <w:kern w:val="1"/>
          <w:sz w:val="22"/>
          <w:szCs w:val="22"/>
        </w:rPr>
        <w:tab/>
        <w:t xml:space="preserve">Drees JC, Stone JA, Reamer CR, Arboleda VE, Huang K, </w:t>
      </w:r>
      <w:proofErr w:type="spellStart"/>
      <w:r w:rsidRPr="00DD448A">
        <w:rPr>
          <w:rFonts w:ascii="Arial" w:hAnsi="Arial" w:cs="Arial"/>
          <w:kern w:val="1"/>
          <w:sz w:val="22"/>
          <w:szCs w:val="22"/>
        </w:rPr>
        <w:t>Hrynkow</w:t>
      </w:r>
      <w:proofErr w:type="spellEnd"/>
      <w:r w:rsidRPr="00DD448A">
        <w:rPr>
          <w:rFonts w:ascii="Arial" w:hAnsi="Arial" w:cs="Arial"/>
          <w:kern w:val="1"/>
          <w:sz w:val="22"/>
          <w:szCs w:val="22"/>
        </w:rPr>
        <w:t xml:space="preserve"> J, Greene DN, Petrie MS, Hoke C, Lorey TS, </w:t>
      </w:r>
      <w:proofErr w:type="spellStart"/>
      <w:r w:rsidRPr="00DD448A">
        <w:rPr>
          <w:rFonts w:ascii="Arial" w:hAnsi="Arial" w:cs="Arial"/>
          <w:kern w:val="1"/>
          <w:sz w:val="22"/>
          <w:szCs w:val="22"/>
        </w:rPr>
        <w:t>Dlott</w:t>
      </w:r>
      <w:proofErr w:type="spellEnd"/>
      <w:r w:rsidRPr="00DD448A">
        <w:rPr>
          <w:rFonts w:ascii="Arial" w:hAnsi="Arial" w:cs="Arial"/>
          <w:kern w:val="1"/>
          <w:sz w:val="22"/>
          <w:szCs w:val="22"/>
        </w:rPr>
        <w:t xml:space="preserve"> RS. Falsely undetectable TSH in a cohort of South Asian euthyroid patients.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2014;99(4):1171-1179.</w:t>
      </w:r>
    </w:p>
    <w:p w14:paraId="59E58F6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404.</w:t>
      </w:r>
      <w:r w:rsidRPr="00DD448A">
        <w:rPr>
          <w:rFonts w:ascii="Arial" w:hAnsi="Arial" w:cs="Arial"/>
          <w:kern w:val="1"/>
          <w:sz w:val="22"/>
          <w:szCs w:val="22"/>
        </w:rPr>
        <w:tab/>
      </w:r>
      <w:proofErr w:type="spellStart"/>
      <w:r w:rsidRPr="00DD448A">
        <w:rPr>
          <w:rFonts w:ascii="Arial" w:hAnsi="Arial" w:cs="Arial"/>
          <w:kern w:val="1"/>
          <w:sz w:val="22"/>
          <w:szCs w:val="22"/>
        </w:rPr>
        <w:t>Kalveram</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Kleinau</w:t>
      </w:r>
      <w:proofErr w:type="spellEnd"/>
      <w:r w:rsidRPr="00DD448A">
        <w:rPr>
          <w:rFonts w:ascii="Arial" w:hAnsi="Arial" w:cs="Arial"/>
          <w:kern w:val="1"/>
          <w:sz w:val="22"/>
          <w:szCs w:val="22"/>
        </w:rPr>
        <w:t xml:space="preserve"> G, Szymańska K, Scheerer P, Rivero-Müller A, </w:t>
      </w:r>
      <w:proofErr w:type="spellStart"/>
      <w:r w:rsidRPr="00DD448A">
        <w:rPr>
          <w:rFonts w:ascii="Arial" w:hAnsi="Arial" w:cs="Arial"/>
          <w:kern w:val="1"/>
          <w:sz w:val="22"/>
          <w:szCs w:val="22"/>
        </w:rPr>
        <w:t>Grüters</w:t>
      </w:r>
      <w:proofErr w:type="spellEnd"/>
      <w:r w:rsidRPr="00DD448A">
        <w:rPr>
          <w:rFonts w:ascii="Arial" w:hAnsi="Arial" w:cs="Arial"/>
          <w:kern w:val="1"/>
          <w:sz w:val="22"/>
          <w:szCs w:val="22"/>
        </w:rPr>
        <w:t xml:space="preserve">-Kieslich A, </w:t>
      </w:r>
      <w:proofErr w:type="spellStart"/>
      <w:r w:rsidRPr="00DD448A">
        <w:rPr>
          <w:rFonts w:ascii="Arial" w:hAnsi="Arial" w:cs="Arial"/>
          <w:kern w:val="1"/>
          <w:sz w:val="22"/>
          <w:szCs w:val="22"/>
        </w:rPr>
        <w:t>Biebermann</w:t>
      </w:r>
      <w:proofErr w:type="spellEnd"/>
      <w:r w:rsidRPr="00DD448A">
        <w:rPr>
          <w:rFonts w:ascii="Arial" w:hAnsi="Arial" w:cs="Arial"/>
          <w:kern w:val="1"/>
          <w:sz w:val="22"/>
          <w:szCs w:val="22"/>
        </w:rPr>
        <w:t xml:space="preserve"> H. The Pathogenic TSH β-subunit Variant C105Vfs114X Causes a Modified Signaling Profile at TSHR. </w:t>
      </w:r>
      <w:r w:rsidRPr="00DD448A">
        <w:rPr>
          <w:rFonts w:ascii="Arial" w:hAnsi="Arial" w:cs="Arial"/>
          <w:iCs/>
          <w:kern w:val="1"/>
          <w:sz w:val="22"/>
          <w:szCs w:val="22"/>
        </w:rPr>
        <w:t>Int J Mol Sci</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2019;20(22).</w:t>
      </w:r>
    </w:p>
    <w:p w14:paraId="56BAB71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405.</w:t>
      </w:r>
      <w:r w:rsidRPr="00DD448A">
        <w:rPr>
          <w:rFonts w:ascii="Arial" w:hAnsi="Arial" w:cs="Arial"/>
          <w:kern w:val="1"/>
          <w:sz w:val="22"/>
          <w:szCs w:val="22"/>
        </w:rPr>
        <w:tab/>
        <w:t xml:space="preserve">Emerson JF, Ngo G, Emerson SS. Screening for interference in immunoassays.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2003;49:1163-1169.</w:t>
      </w:r>
    </w:p>
    <w:p w14:paraId="540F877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406.</w:t>
      </w:r>
      <w:r w:rsidRPr="00DD448A">
        <w:rPr>
          <w:rFonts w:ascii="Arial" w:hAnsi="Arial" w:cs="Arial"/>
          <w:kern w:val="1"/>
          <w:sz w:val="22"/>
          <w:szCs w:val="22"/>
        </w:rPr>
        <w:tab/>
      </w:r>
      <w:proofErr w:type="spellStart"/>
      <w:r w:rsidRPr="00DD448A">
        <w:rPr>
          <w:rFonts w:ascii="Arial" w:hAnsi="Arial" w:cs="Arial"/>
          <w:kern w:val="1"/>
          <w:sz w:val="22"/>
          <w:szCs w:val="22"/>
        </w:rPr>
        <w:t>Nayeemuddin</w:t>
      </w:r>
      <w:proofErr w:type="spellEnd"/>
      <w:r w:rsidRPr="00DD448A">
        <w:rPr>
          <w:rFonts w:ascii="Arial" w:hAnsi="Arial" w:cs="Arial"/>
          <w:kern w:val="1"/>
          <w:sz w:val="22"/>
          <w:szCs w:val="22"/>
        </w:rPr>
        <w:t xml:space="preserve"> SN, Panigrahi A, Bhattacharjee R, Chowdhury S. Heterophilic Interference of Rheumatoid Factor in TSH Immunometric Assay: A Cross-Sectional Observational Study. </w:t>
      </w:r>
      <w:r w:rsidRPr="00DD448A">
        <w:rPr>
          <w:rFonts w:ascii="Arial" w:hAnsi="Arial" w:cs="Arial"/>
          <w:iCs/>
          <w:kern w:val="1"/>
          <w:sz w:val="22"/>
          <w:szCs w:val="22"/>
        </w:rPr>
        <w:t xml:space="preserve">Indian J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2024;28(1):29-34.</w:t>
      </w:r>
    </w:p>
    <w:p w14:paraId="72CC8EF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407.</w:t>
      </w:r>
      <w:r w:rsidRPr="00DD448A">
        <w:rPr>
          <w:rFonts w:ascii="Arial" w:hAnsi="Arial" w:cs="Arial"/>
          <w:kern w:val="1"/>
          <w:sz w:val="22"/>
          <w:szCs w:val="22"/>
        </w:rPr>
        <w:tab/>
      </w:r>
      <w:proofErr w:type="spellStart"/>
      <w:r w:rsidRPr="00DD448A">
        <w:rPr>
          <w:rFonts w:ascii="Arial" w:hAnsi="Arial" w:cs="Arial"/>
          <w:kern w:val="1"/>
          <w:sz w:val="22"/>
          <w:szCs w:val="22"/>
        </w:rPr>
        <w:t>Czernichow</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Vandalem</w:t>
      </w:r>
      <w:proofErr w:type="spellEnd"/>
      <w:r w:rsidRPr="00DD448A">
        <w:rPr>
          <w:rFonts w:ascii="Arial" w:hAnsi="Arial" w:cs="Arial"/>
          <w:kern w:val="1"/>
          <w:sz w:val="22"/>
          <w:szCs w:val="22"/>
        </w:rPr>
        <w:t xml:space="preserve"> JL, Hennen G. Transient neonatal </w:t>
      </w:r>
      <w:proofErr w:type="spellStart"/>
      <w:r w:rsidRPr="00DD448A">
        <w:rPr>
          <w:rFonts w:ascii="Arial" w:hAnsi="Arial" w:cs="Arial"/>
          <w:kern w:val="1"/>
          <w:sz w:val="22"/>
          <w:szCs w:val="22"/>
        </w:rPr>
        <w:t>hyperthyrotropinemia</w:t>
      </w:r>
      <w:proofErr w:type="spellEnd"/>
      <w:r w:rsidRPr="00DD448A">
        <w:rPr>
          <w:rFonts w:ascii="Arial" w:hAnsi="Arial" w:cs="Arial"/>
          <w:kern w:val="1"/>
          <w:sz w:val="22"/>
          <w:szCs w:val="22"/>
        </w:rPr>
        <w:t xml:space="preserve">: a factitious syndrome due to the presence of heterophilic antibodies in the plasma of infants and their mothers.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1981;53(2):387-393.</w:t>
      </w:r>
    </w:p>
    <w:p w14:paraId="2C96409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408.</w:t>
      </w:r>
      <w:r w:rsidRPr="00DD448A">
        <w:rPr>
          <w:rFonts w:ascii="Arial" w:hAnsi="Arial" w:cs="Arial"/>
          <w:kern w:val="1"/>
          <w:sz w:val="22"/>
          <w:szCs w:val="22"/>
        </w:rPr>
        <w:tab/>
      </w:r>
      <w:proofErr w:type="spellStart"/>
      <w:r w:rsidRPr="00DD448A">
        <w:rPr>
          <w:rFonts w:ascii="Arial" w:hAnsi="Arial" w:cs="Arial"/>
          <w:kern w:val="1"/>
          <w:sz w:val="22"/>
          <w:szCs w:val="22"/>
        </w:rPr>
        <w:t>Favresse</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Paridaens</w:t>
      </w:r>
      <w:proofErr w:type="spellEnd"/>
      <w:r w:rsidRPr="00DD448A">
        <w:rPr>
          <w:rFonts w:ascii="Arial" w:hAnsi="Arial" w:cs="Arial"/>
          <w:kern w:val="1"/>
          <w:sz w:val="22"/>
          <w:szCs w:val="22"/>
        </w:rPr>
        <w:t xml:space="preserve"> H, </w:t>
      </w:r>
      <w:proofErr w:type="spellStart"/>
      <w:r w:rsidRPr="00DD448A">
        <w:rPr>
          <w:rFonts w:ascii="Arial" w:hAnsi="Arial" w:cs="Arial"/>
          <w:kern w:val="1"/>
          <w:sz w:val="22"/>
          <w:szCs w:val="22"/>
        </w:rPr>
        <w:t>Pirson</w:t>
      </w:r>
      <w:proofErr w:type="spellEnd"/>
      <w:r w:rsidRPr="00DD448A">
        <w:rPr>
          <w:rFonts w:ascii="Arial" w:hAnsi="Arial" w:cs="Arial"/>
          <w:kern w:val="1"/>
          <w:sz w:val="22"/>
          <w:szCs w:val="22"/>
        </w:rPr>
        <w:t xml:space="preserve"> N, </w:t>
      </w:r>
      <w:proofErr w:type="spellStart"/>
      <w:r w:rsidRPr="00DD448A">
        <w:rPr>
          <w:rFonts w:ascii="Arial" w:hAnsi="Arial" w:cs="Arial"/>
          <w:kern w:val="1"/>
          <w:sz w:val="22"/>
          <w:szCs w:val="22"/>
        </w:rPr>
        <w:t>Maiter</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Gruson</w:t>
      </w:r>
      <w:proofErr w:type="spellEnd"/>
      <w:r w:rsidRPr="00DD448A">
        <w:rPr>
          <w:rFonts w:ascii="Arial" w:hAnsi="Arial" w:cs="Arial"/>
          <w:kern w:val="1"/>
          <w:sz w:val="22"/>
          <w:szCs w:val="22"/>
        </w:rPr>
        <w:t xml:space="preserve"> D. Massive interference in free T4 and free T3 assays misleading clinical judgment.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2017;55(4):e84-e86.</w:t>
      </w:r>
    </w:p>
    <w:p w14:paraId="1B3817F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409.</w:t>
      </w:r>
      <w:r w:rsidRPr="00DD448A">
        <w:rPr>
          <w:rFonts w:ascii="Arial" w:hAnsi="Arial" w:cs="Arial"/>
          <w:kern w:val="1"/>
          <w:sz w:val="22"/>
          <w:szCs w:val="22"/>
        </w:rPr>
        <w:tab/>
      </w:r>
      <w:proofErr w:type="spellStart"/>
      <w:r w:rsidRPr="00DD448A">
        <w:rPr>
          <w:rFonts w:ascii="Arial" w:hAnsi="Arial" w:cs="Arial"/>
          <w:kern w:val="1"/>
          <w:sz w:val="22"/>
          <w:szCs w:val="22"/>
        </w:rPr>
        <w:t>Ohba</w:t>
      </w:r>
      <w:proofErr w:type="spellEnd"/>
      <w:r w:rsidRPr="00DD448A">
        <w:rPr>
          <w:rFonts w:ascii="Arial" w:hAnsi="Arial" w:cs="Arial"/>
          <w:kern w:val="1"/>
          <w:sz w:val="22"/>
          <w:szCs w:val="22"/>
        </w:rPr>
        <w:t xml:space="preserve"> K, Noh JY, Unno T, Satoh T, </w:t>
      </w:r>
      <w:proofErr w:type="spellStart"/>
      <w:r w:rsidRPr="00DD448A">
        <w:rPr>
          <w:rFonts w:ascii="Arial" w:hAnsi="Arial" w:cs="Arial"/>
          <w:kern w:val="1"/>
          <w:sz w:val="22"/>
          <w:szCs w:val="22"/>
        </w:rPr>
        <w:t>Iwahara</w:t>
      </w:r>
      <w:proofErr w:type="spellEnd"/>
      <w:r w:rsidRPr="00DD448A">
        <w:rPr>
          <w:rFonts w:ascii="Arial" w:hAnsi="Arial" w:cs="Arial"/>
          <w:kern w:val="1"/>
          <w:sz w:val="22"/>
          <w:szCs w:val="22"/>
        </w:rPr>
        <w:t xml:space="preserve"> K, Matsushita A, Sasaki S, Oki Y, Nakamura H. Falsely elevated thyroid hormone levels caused by anti-ruthenium interference in the </w:t>
      </w:r>
      <w:proofErr w:type="spellStart"/>
      <w:r w:rsidRPr="00DD448A">
        <w:rPr>
          <w:rFonts w:ascii="Arial" w:hAnsi="Arial" w:cs="Arial"/>
          <w:kern w:val="1"/>
          <w:sz w:val="22"/>
          <w:szCs w:val="22"/>
        </w:rPr>
        <w:t>Elecsys</w:t>
      </w:r>
      <w:proofErr w:type="spellEnd"/>
      <w:r w:rsidRPr="00DD448A">
        <w:rPr>
          <w:rFonts w:ascii="Arial" w:hAnsi="Arial" w:cs="Arial"/>
          <w:kern w:val="1"/>
          <w:sz w:val="22"/>
          <w:szCs w:val="22"/>
        </w:rPr>
        <w:t xml:space="preserve"> assay resembling the syndrome of inappropriate secretion of thyrotropin.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2012;59(8):663-667.</w:t>
      </w:r>
    </w:p>
    <w:p w14:paraId="51FBA93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410.</w:t>
      </w:r>
      <w:r w:rsidRPr="00DD448A">
        <w:rPr>
          <w:rFonts w:ascii="Arial" w:hAnsi="Arial" w:cs="Arial"/>
          <w:kern w:val="1"/>
          <w:sz w:val="22"/>
          <w:szCs w:val="22"/>
        </w:rPr>
        <w:tab/>
        <w:t xml:space="preserve">Takahashi S, Nishikawa M, Nishihara E, Deguchi H, </w:t>
      </w:r>
      <w:proofErr w:type="spellStart"/>
      <w:r w:rsidRPr="00DD448A">
        <w:rPr>
          <w:rFonts w:ascii="Arial" w:hAnsi="Arial" w:cs="Arial"/>
          <w:kern w:val="1"/>
          <w:sz w:val="22"/>
          <w:szCs w:val="22"/>
        </w:rPr>
        <w:t>Kohsaka</w:t>
      </w:r>
      <w:proofErr w:type="spellEnd"/>
      <w:r w:rsidRPr="00DD448A">
        <w:rPr>
          <w:rFonts w:ascii="Arial" w:hAnsi="Arial" w:cs="Arial"/>
          <w:kern w:val="1"/>
          <w:sz w:val="22"/>
          <w:szCs w:val="22"/>
        </w:rPr>
        <w:t xml:space="preserve"> K, Yamaoka H, </w:t>
      </w:r>
      <w:proofErr w:type="spellStart"/>
      <w:r w:rsidRPr="00DD448A">
        <w:rPr>
          <w:rFonts w:ascii="Arial" w:hAnsi="Arial" w:cs="Arial"/>
          <w:kern w:val="1"/>
          <w:sz w:val="22"/>
          <w:szCs w:val="22"/>
        </w:rPr>
        <w:t>Hisakado</w:t>
      </w:r>
      <w:proofErr w:type="spellEnd"/>
      <w:r w:rsidRPr="00DD448A">
        <w:rPr>
          <w:rFonts w:ascii="Arial" w:hAnsi="Arial" w:cs="Arial"/>
          <w:kern w:val="1"/>
          <w:sz w:val="22"/>
          <w:szCs w:val="22"/>
        </w:rPr>
        <w:t xml:space="preserve"> M, Fukata S, Ito M, Miyauchi A, </w:t>
      </w:r>
      <w:proofErr w:type="spellStart"/>
      <w:r w:rsidRPr="00DD448A">
        <w:rPr>
          <w:rFonts w:ascii="Arial" w:hAnsi="Arial" w:cs="Arial"/>
          <w:kern w:val="1"/>
          <w:sz w:val="22"/>
          <w:szCs w:val="22"/>
        </w:rPr>
        <w:t>Akamizu</w:t>
      </w:r>
      <w:proofErr w:type="spellEnd"/>
      <w:r w:rsidRPr="00DD448A">
        <w:rPr>
          <w:rFonts w:ascii="Arial" w:hAnsi="Arial" w:cs="Arial"/>
          <w:kern w:val="1"/>
          <w:sz w:val="22"/>
          <w:szCs w:val="22"/>
        </w:rPr>
        <w:t xml:space="preserve"> T. Interference against a newly labeled substance with ruthenium sulfonate complexes showing discrepant thyroid function test results.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2024;553:117706.</w:t>
      </w:r>
    </w:p>
    <w:p w14:paraId="3E98221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411.</w:t>
      </w:r>
      <w:r w:rsidRPr="00DD448A">
        <w:rPr>
          <w:rFonts w:ascii="Arial" w:hAnsi="Arial" w:cs="Arial"/>
          <w:kern w:val="1"/>
          <w:sz w:val="22"/>
          <w:szCs w:val="22"/>
        </w:rPr>
        <w:tab/>
        <w:t xml:space="preserve">Elston MS, Sehgal S, Du Toit S, </w:t>
      </w:r>
      <w:proofErr w:type="spellStart"/>
      <w:r w:rsidRPr="00DD448A">
        <w:rPr>
          <w:rFonts w:ascii="Arial" w:hAnsi="Arial" w:cs="Arial"/>
          <w:kern w:val="1"/>
          <w:sz w:val="22"/>
          <w:szCs w:val="22"/>
        </w:rPr>
        <w:t>Yarndley</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Conaglen</w:t>
      </w:r>
      <w:proofErr w:type="spellEnd"/>
      <w:r w:rsidRPr="00DD448A">
        <w:rPr>
          <w:rFonts w:ascii="Arial" w:hAnsi="Arial" w:cs="Arial"/>
          <w:kern w:val="1"/>
          <w:sz w:val="22"/>
          <w:szCs w:val="22"/>
        </w:rPr>
        <w:t xml:space="preserve"> JV. Factitious Graves' Disease Due to Biotin Immunoassay Interference-A Case and Review of the Literature.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2016;101(9):3251-3255.</w:t>
      </w:r>
    </w:p>
    <w:p w14:paraId="6D6178A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412.</w:t>
      </w:r>
      <w:r w:rsidRPr="00DD448A">
        <w:rPr>
          <w:rFonts w:ascii="Arial" w:hAnsi="Arial" w:cs="Arial"/>
          <w:kern w:val="1"/>
          <w:sz w:val="22"/>
          <w:szCs w:val="22"/>
        </w:rPr>
        <w:tab/>
        <w:t>Balzer AHA, Whitehurst CB. An Analysis of the Biotin-(</w:t>
      </w:r>
      <w:proofErr w:type="spellStart"/>
      <w:r w:rsidRPr="00DD448A">
        <w:rPr>
          <w:rFonts w:ascii="Arial" w:hAnsi="Arial" w:cs="Arial"/>
          <w:kern w:val="1"/>
          <w:sz w:val="22"/>
          <w:szCs w:val="22"/>
        </w:rPr>
        <w:t>Strept</w:t>
      </w:r>
      <w:proofErr w:type="spellEnd"/>
      <w:r w:rsidRPr="00DD448A">
        <w:rPr>
          <w:rFonts w:ascii="Arial" w:hAnsi="Arial" w:cs="Arial"/>
          <w:kern w:val="1"/>
          <w:sz w:val="22"/>
          <w:szCs w:val="22"/>
        </w:rPr>
        <w:t xml:space="preserve">)avidin System in Immunoassays: Interference and Mitigation Strategies. </w:t>
      </w:r>
      <w:r w:rsidRPr="00DD448A">
        <w:rPr>
          <w:rFonts w:ascii="Arial" w:hAnsi="Arial" w:cs="Arial"/>
          <w:iCs/>
          <w:kern w:val="1"/>
          <w:sz w:val="22"/>
          <w:szCs w:val="22"/>
        </w:rPr>
        <w:t>Curr Issues Mol Biol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2023;45(11):8733-8754.</w:t>
      </w:r>
    </w:p>
    <w:p w14:paraId="4F5F128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413.</w:t>
      </w:r>
      <w:r w:rsidRPr="00DD448A">
        <w:rPr>
          <w:rFonts w:ascii="Arial" w:hAnsi="Arial" w:cs="Arial"/>
          <w:kern w:val="1"/>
          <w:sz w:val="22"/>
          <w:szCs w:val="22"/>
        </w:rPr>
        <w:tab/>
        <w:t xml:space="preserve">Lazarus JH, John R, Ginsberg J, Hughes IA, Shewring G, Smith BR, Woodhead JS, Hall R. Transient neonatal </w:t>
      </w:r>
      <w:proofErr w:type="spellStart"/>
      <w:r w:rsidRPr="00DD448A">
        <w:rPr>
          <w:rFonts w:ascii="Arial" w:hAnsi="Arial" w:cs="Arial"/>
          <w:kern w:val="1"/>
          <w:sz w:val="22"/>
          <w:szCs w:val="22"/>
        </w:rPr>
        <w:t>hyperthyrotrophinaemia</w:t>
      </w:r>
      <w:proofErr w:type="spellEnd"/>
      <w:r w:rsidRPr="00DD448A">
        <w:rPr>
          <w:rFonts w:ascii="Arial" w:hAnsi="Arial" w:cs="Arial"/>
          <w:kern w:val="1"/>
          <w:sz w:val="22"/>
          <w:szCs w:val="22"/>
        </w:rPr>
        <w:t xml:space="preserve">: a serum abnormality due to </w:t>
      </w:r>
      <w:proofErr w:type="spellStart"/>
      <w:r w:rsidRPr="00DD448A">
        <w:rPr>
          <w:rFonts w:ascii="Arial" w:hAnsi="Arial" w:cs="Arial"/>
          <w:kern w:val="1"/>
          <w:sz w:val="22"/>
          <w:szCs w:val="22"/>
        </w:rPr>
        <w:t>transplacentally</w:t>
      </w:r>
      <w:proofErr w:type="spellEnd"/>
      <w:r w:rsidRPr="00DD448A">
        <w:rPr>
          <w:rFonts w:ascii="Arial" w:hAnsi="Arial" w:cs="Arial"/>
          <w:kern w:val="1"/>
          <w:sz w:val="22"/>
          <w:szCs w:val="22"/>
        </w:rPr>
        <w:t xml:space="preserve"> acquired antibody to thyroid stimulating hormone. </w:t>
      </w:r>
      <w:r w:rsidRPr="00DD448A">
        <w:rPr>
          <w:rFonts w:ascii="Arial" w:hAnsi="Arial" w:cs="Arial"/>
          <w:iCs/>
          <w:kern w:val="1"/>
          <w:sz w:val="22"/>
          <w:szCs w:val="22"/>
        </w:rPr>
        <w:t>Br Med J (Clin Res 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1983;286(6365):592-594.</w:t>
      </w:r>
    </w:p>
    <w:p w14:paraId="0D57DB1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414.</w:t>
      </w:r>
      <w:r w:rsidRPr="00DD448A">
        <w:rPr>
          <w:rFonts w:ascii="Arial" w:hAnsi="Arial" w:cs="Arial"/>
          <w:kern w:val="1"/>
          <w:sz w:val="22"/>
          <w:szCs w:val="22"/>
        </w:rPr>
        <w:tab/>
        <w:t xml:space="preserve">Sazonova DV, </w:t>
      </w:r>
      <w:proofErr w:type="spellStart"/>
      <w:r w:rsidRPr="00DD448A">
        <w:rPr>
          <w:rFonts w:ascii="Arial" w:hAnsi="Arial" w:cs="Arial"/>
          <w:kern w:val="1"/>
          <w:sz w:val="22"/>
          <w:szCs w:val="22"/>
        </w:rPr>
        <w:t>Perepelova</w:t>
      </w:r>
      <w:proofErr w:type="spellEnd"/>
      <w:r w:rsidRPr="00DD448A">
        <w:rPr>
          <w:rFonts w:ascii="Arial" w:hAnsi="Arial" w:cs="Arial"/>
          <w:kern w:val="1"/>
          <w:sz w:val="22"/>
          <w:szCs w:val="22"/>
        </w:rPr>
        <w:t xml:space="preserve"> MA, </w:t>
      </w:r>
      <w:proofErr w:type="spellStart"/>
      <w:r w:rsidRPr="00DD448A">
        <w:rPr>
          <w:rFonts w:ascii="Arial" w:hAnsi="Arial" w:cs="Arial"/>
          <w:kern w:val="1"/>
          <w:sz w:val="22"/>
          <w:szCs w:val="22"/>
        </w:rPr>
        <w:t>Shutova</w:t>
      </w:r>
      <w:proofErr w:type="spellEnd"/>
      <w:r w:rsidRPr="00DD448A">
        <w:rPr>
          <w:rFonts w:ascii="Arial" w:hAnsi="Arial" w:cs="Arial"/>
          <w:kern w:val="1"/>
          <w:sz w:val="22"/>
          <w:szCs w:val="22"/>
        </w:rPr>
        <w:t xml:space="preserve"> AS, </w:t>
      </w:r>
      <w:proofErr w:type="spellStart"/>
      <w:r w:rsidRPr="00DD448A">
        <w:rPr>
          <w:rFonts w:ascii="Arial" w:hAnsi="Arial" w:cs="Arial"/>
          <w:kern w:val="1"/>
          <w:sz w:val="22"/>
          <w:szCs w:val="22"/>
        </w:rPr>
        <w:t>Nikankina</w:t>
      </w:r>
      <w:proofErr w:type="spellEnd"/>
      <w:r w:rsidRPr="00DD448A">
        <w:rPr>
          <w:rFonts w:ascii="Arial" w:hAnsi="Arial" w:cs="Arial"/>
          <w:kern w:val="1"/>
          <w:sz w:val="22"/>
          <w:szCs w:val="22"/>
        </w:rPr>
        <w:t xml:space="preserve"> LV, Kolesnikova GS, </w:t>
      </w:r>
      <w:proofErr w:type="spellStart"/>
      <w:r w:rsidRPr="00DD448A">
        <w:rPr>
          <w:rFonts w:ascii="Arial" w:hAnsi="Arial" w:cs="Arial"/>
          <w:kern w:val="1"/>
          <w:sz w:val="22"/>
          <w:szCs w:val="22"/>
        </w:rPr>
        <w:t>Pigarova</w:t>
      </w:r>
      <w:proofErr w:type="spellEnd"/>
      <w:r w:rsidRPr="00DD448A">
        <w:rPr>
          <w:rFonts w:ascii="Arial" w:hAnsi="Arial" w:cs="Arial"/>
          <w:kern w:val="1"/>
          <w:sz w:val="22"/>
          <w:szCs w:val="22"/>
        </w:rPr>
        <w:t xml:space="preserve"> EA, </w:t>
      </w:r>
      <w:proofErr w:type="spellStart"/>
      <w:r w:rsidRPr="00DD448A">
        <w:rPr>
          <w:rFonts w:ascii="Arial" w:hAnsi="Arial" w:cs="Arial"/>
          <w:kern w:val="1"/>
          <w:sz w:val="22"/>
          <w:szCs w:val="22"/>
        </w:rPr>
        <w:t>Dzeranova</w:t>
      </w:r>
      <w:proofErr w:type="spellEnd"/>
      <w:r w:rsidRPr="00DD448A">
        <w:rPr>
          <w:rFonts w:ascii="Arial" w:hAnsi="Arial" w:cs="Arial"/>
          <w:kern w:val="1"/>
          <w:sz w:val="22"/>
          <w:szCs w:val="22"/>
        </w:rPr>
        <w:t xml:space="preserve"> LK. [Combination of macro-TSH and </w:t>
      </w:r>
      <w:proofErr w:type="spellStart"/>
      <w:r w:rsidRPr="00DD448A">
        <w:rPr>
          <w:rFonts w:ascii="Arial" w:hAnsi="Arial" w:cs="Arial"/>
          <w:kern w:val="1"/>
          <w:sz w:val="22"/>
          <w:szCs w:val="22"/>
        </w:rPr>
        <w:t>macroprolactinemia</w:t>
      </w:r>
      <w:proofErr w:type="spellEnd"/>
      <w:r w:rsidRPr="00DD448A">
        <w:rPr>
          <w:rFonts w:ascii="Arial" w:hAnsi="Arial" w:cs="Arial"/>
          <w:kern w:val="1"/>
          <w:sz w:val="22"/>
          <w:szCs w:val="22"/>
        </w:rPr>
        <w:t xml:space="preserve"> phenomena in a patient with autoimmune thyroiditis and vitiligo]. </w:t>
      </w:r>
      <w:proofErr w:type="spellStart"/>
      <w:r w:rsidRPr="00DD448A">
        <w:rPr>
          <w:rFonts w:ascii="Arial" w:hAnsi="Arial" w:cs="Arial"/>
          <w:iCs/>
          <w:kern w:val="1"/>
          <w:sz w:val="22"/>
          <w:szCs w:val="22"/>
        </w:rPr>
        <w:t>Probl</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Endokrinol</w:t>
      </w:r>
      <w:proofErr w:type="spellEnd"/>
      <w:r w:rsidRPr="00DD448A">
        <w:rPr>
          <w:rFonts w:ascii="Arial" w:hAnsi="Arial" w:cs="Arial"/>
          <w:iCs/>
          <w:kern w:val="1"/>
          <w:sz w:val="22"/>
          <w:szCs w:val="22"/>
        </w:rPr>
        <w:t xml:space="preserve"> (Mosk)</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2024;70(5):34-39.</w:t>
      </w:r>
    </w:p>
    <w:p w14:paraId="7E7C740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415.</w:t>
      </w:r>
      <w:r w:rsidRPr="00DD448A">
        <w:rPr>
          <w:rFonts w:ascii="Arial" w:hAnsi="Arial" w:cs="Arial"/>
          <w:kern w:val="1"/>
          <w:sz w:val="22"/>
          <w:szCs w:val="22"/>
        </w:rPr>
        <w:tab/>
        <w:t xml:space="preserve">Hattori N, Ishihara T, </w:t>
      </w:r>
      <w:proofErr w:type="spellStart"/>
      <w:r w:rsidRPr="00DD448A">
        <w:rPr>
          <w:rFonts w:ascii="Arial" w:hAnsi="Arial" w:cs="Arial"/>
          <w:kern w:val="1"/>
          <w:sz w:val="22"/>
          <w:szCs w:val="22"/>
        </w:rPr>
        <w:t>Shimatsu</w:t>
      </w:r>
      <w:proofErr w:type="spellEnd"/>
      <w:r w:rsidRPr="00DD448A">
        <w:rPr>
          <w:rFonts w:ascii="Arial" w:hAnsi="Arial" w:cs="Arial"/>
          <w:kern w:val="1"/>
          <w:sz w:val="22"/>
          <w:szCs w:val="22"/>
        </w:rPr>
        <w:t xml:space="preserve"> A. Variability in the detection of macro TSH in different immunoassay systems.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2016;174(1):9-15.</w:t>
      </w:r>
    </w:p>
    <w:p w14:paraId="077BB0E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416.</w:t>
      </w:r>
      <w:r w:rsidRPr="00DD448A">
        <w:rPr>
          <w:rFonts w:ascii="Arial" w:hAnsi="Arial" w:cs="Arial"/>
          <w:kern w:val="1"/>
          <w:sz w:val="22"/>
          <w:szCs w:val="22"/>
        </w:rPr>
        <w:tab/>
      </w:r>
      <w:proofErr w:type="spellStart"/>
      <w:r w:rsidRPr="00DD448A">
        <w:rPr>
          <w:rFonts w:ascii="Arial" w:hAnsi="Arial" w:cs="Arial"/>
          <w:kern w:val="1"/>
          <w:sz w:val="22"/>
          <w:szCs w:val="22"/>
        </w:rPr>
        <w:t>Verhoye</w:t>
      </w:r>
      <w:proofErr w:type="spellEnd"/>
      <w:r w:rsidRPr="00DD448A">
        <w:rPr>
          <w:rFonts w:ascii="Arial" w:hAnsi="Arial" w:cs="Arial"/>
          <w:kern w:val="1"/>
          <w:sz w:val="22"/>
          <w:szCs w:val="22"/>
        </w:rPr>
        <w:t xml:space="preserve"> E, Van den Bruel A, </w:t>
      </w:r>
      <w:proofErr w:type="spellStart"/>
      <w:r w:rsidRPr="00DD448A">
        <w:rPr>
          <w:rFonts w:ascii="Arial" w:hAnsi="Arial" w:cs="Arial"/>
          <w:kern w:val="1"/>
          <w:sz w:val="22"/>
          <w:szCs w:val="22"/>
        </w:rPr>
        <w:t>Delanghe</w:t>
      </w:r>
      <w:proofErr w:type="spellEnd"/>
      <w:r w:rsidRPr="00DD448A">
        <w:rPr>
          <w:rFonts w:ascii="Arial" w:hAnsi="Arial" w:cs="Arial"/>
          <w:kern w:val="1"/>
          <w:sz w:val="22"/>
          <w:szCs w:val="22"/>
        </w:rPr>
        <w:t xml:space="preserve"> JR, Debruyne E, Langlois MR. Spuriously high thyrotropin values due to anti-thyrotropin antibodies in adult patients.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2009;47(5):604-606.</w:t>
      </w:r>
    </w:p>
    <w:p w14:paraId="2F3EFDC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417.</w:t>
      </w:r>
      <w:r w:rsidRPr="00DD448A">
        <w:rPr>
          <w:rFonts w:ascii="Arial" w:hAnsi="Arial" w:cs="Arial"/>
          <w:kern w:val="1"/>
          <w:sz w:val="22"/>
          <w:szCs w:val="22"/>
        </w:rPr>
        <w:tab/>
      </w:r>
      <w:proofErr w:type="spellStart"/>
      <w:r w:rsidRPr="00DD448A">
        <w:rPr>
          <w:rFonts w:ascii="Arial" w:hAnsi="Arial" w:cs="Arial"/>
          <w:kern w:val="1"/>
          <w:sz w:val="22"/>
          <w:szCs w:val="22"/>
        </w:rPr>
        <w:t>Piticchio</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Chiardi</w:t>
      </w:r>
      <w:proofErr w:type="spellEnd"/>
      <w:r w:rsidRPr="00DD448A">
        <w:rPr>
          <w:rFonts w:ascii="Arial" w:hAnsi="Arial" w:cs="Arial"/>
          <w:kern w:val="1"/>
          <w:sz w:val="22"/>
          <w:szCs w:val="22"/>
        </w:rPr>
        <w:t xml:space="preserve"> I, Tumminia A, Frasca F, Rotondi M, Trimboli P. PEG Precipitation to Detect Macro-TSH in Clinical Practice: A Systematic Review.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1E9A0C3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418.</w:t>
      </w:r>
      <w:r w:rsidRPr="00DD448A">
        <w:rPr>
          <w:rFonts w:ascii="Arial" w:hAnsi="Arial" w:cs="Arial"/>
          <w:kern w:val="1"/>
          <w:sz w:val="22"/>
          <w:szCs w:val="22"/>
        </w:rPr>
        <w:tab/>
      </w:r>
      <w:proofErr w:type="spellStart"/>
      <w:r w:rsidRPr="00DD448A">
        <w:rPr>
          <w:rFonts w:ascii="Arial" w:hAnsi="Arial" w:cs="Arial"/>
          <w:kern w:val="1"/>
          <w:sz w:val="22"/>
          <w:szCs w:val="22"/>
        </w:rPr>
        <w:t>Grünert</w:t>
      </w:r>
      <w:proofErr w:type="spellEnd"/>
      <w:r w:rsidRPr="00DD448A">
        <w:rPr>
          <w:rFonts w:ascii="Arial" w:hAnsi="Arial" w:cs="Arial"/>
          <w:kern w:val="1"/>
          <w:sz w:val="22"/>
          <w:szCs w:val="22"/>
        </w:rPr>
        <w:t xml:space="preserve"> SC, </w:t>
      </w:r>
      <w:proofErr w:type="spellStart"/>
      <w:r w:rsidRPr="00DD448A">
        <w:rPr>
          <w:rFonts w:ascii="Arial" w:hAnsi="Arial" w:cs="Arial"/>
          <w:kern w:val="1"/>
          <w:sz w:val="22"/>
          <w:szCs w:val="22"/>
        </w:rPr>
        <w:t>Schmidts</w:t>
      </w:r>
      <w:proofErr w:type="spellEnd"/>
      <w:r w:rsidRPr="00DD448A">
        <w:rPr>
          <w:rFonts w:ascii="Arial" w:hAnsi="Arial" w:cs="Arial"/>
          <w:kern w:val="1"/>
          <w:sz w:val="22"/>
          <w:szCs w:val="22"/>
        </w:rPr>
        <w:t xml:space="preserve"> M, Pohlenz J, Kopp MV, Uhl M, Schwab KO. Congenital Central Hypothyroidism due to a Homozygous Mutation in the TSHβ Subunit Gene. </w:t>
      </w:r>
      <w:r w:rsidRPr="00DD448A">
        <w:rPr>
          <w:rFonts w:ascii="Arial" w:hAnsi="Arial" w:cs="Arial"/>
          <w:iCs/>
          <w:kern w:val="1"/>
          <w:sz w:val="22"/>
          <w:szCs w:val="22"/>
        </w:rPr>
        <w:t xml:space="preserve">Case Rep </w:t>
      </w:r>
      <w:proofErr w:type="spellStart"/>
      <w:r w:rsidRPr="00DD448A">
        <w:rPr>
          <w:rFonts w:ascii="Arial" w:hAnsi="Arial" w:cs="Arial"/>
          <w:iCs/>
          <w:kern w:val="1"/>
          <w:sz w:val="22"/>
          <w:szCs w:val="22"/>
        </w:rPr>
        <w:t>Pediatr</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2011;2011:369871.</w:t>
      </w:r>
    </w:p>
    <w:p w14:paraId="16D4574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419.</w:t>
      </w:r>
      <w:r w:rsidRPr="00DD448A">
        <w:rPr>
          <w:rFonts w:ascii="Arial" w:hAnsi="Arial" w:cs="Arial"/>
          <w:kern w:val="1"/>
          <w:sz w:val="22"/>
          <w:szCs w:val="22"/>
        </w:rPr>
        <w:tab/>
      </w:r>
      <w:proofErr w:type="spellStart"/>
      <w:r w:rsidRPr="00DD448A">
        <w:rPr>
          <w:rFonts w:ascii="Arial" w:hAnsi="Arial" w:cs="Arial"/>
          <w:kern w:val="1"/>
          <w:sz w:val="22"/>
          <w:szCs w:val="22"/>
        </w:rPr>
        <w:t>Yeste</w:t>
      </w:r>
      <w:proofErr w:type="spellEnd"/>
      <w:r w:rsidRPr="00DD448A">
        <w:rPr>
          <w:rFonts w:ascii="Arial" w:hAnsi="Arial" w:cs="Arial"/>
          <w:kern w:val="1"/>
          <w:sz w:val="22"/>
          <w:szCs w:val="22"/>
        </w:rPr>
        <w:t xml:space="preserve"> D, Baz-</w:t>
      </w:r>
      <w:proofErr w:type="spellStart"/>
      <w:r w:rsidRPr="00DD448A">
        <w:rPr>
          <w:rFonts w:ascii="Arial" w:hAnsi="Arial" w:cs="Arial"/>
          <w:kern w:val="1"/>
          <w:sz w:val="22"/>
          <w:szCs w:val="22"/>
        </w:rPr>
        <w:t>Redón</w:t>
      </w:r>
      <w:proofErr w:type="spellEnd"/>
      <w:r w:rsidRPr="00DD448A">
        <w:rPr>
          <w:rFonts w:ascii="Arial" w:hAnsi="Arial" w:cs="Arial"/>
          <w:kern w:val="1"/>
          <w:sz w:val="22"/>
          <w:szCs w:val="22"/>
        </w:rPr>
        <w:t xml:space="preserve"> N, Antolín M, Garcia-</w:t>
      </w:r>
      <w:proofErr w:type="spellStart"/>
      <w:r w:rsidRPr="00DD448A">
        <w:rPr>
          <w:rFonts w:ascii="Arial" w:hAnsi="Arial" w:cs="Arial"/>
          <w:kern w:val="1"/>
          <w:sz w:val="22"/>
          <w:szCs w:val="22"/>
        </w:rPr>
        <w:t>Arumí</w:t>
      </w:r>
      <w:proofErr w:type="spellEnd"/>
      <w:r w:rsidRPr="00DD448A">
        <w:rPr>
          <w:rFonts w:ascii="Arial" w:hAnsi="Arial" w:cs="Arial"/>
          <w:kern w:val="1"/>
          <w:sz w:val="22"/>
          <w:szCs w:val="22"/>
        </w:rPr>
        <w:t xml:space="preserve"> E, Mogas E, Campos-Martorell A, González-Llorens N, Aguilar-Riera C, Soler-Colomer L, Clemente M, Fernández-Cancio M, </w:t>
      </w:r>
      <w:proofErr w:type="spellStart"/>
      <w:r w:rsidRPr="00DD448A">
        <w:rPr>
          <w:rFonts w:ascii="Arial" w:hAnsi="Arial" w:cs="Arial"/>
          <w:kern w:val="1"/>
          <w:sz w:val="22"/>
          <w:szCs w:val="22"/>
        </w:rPr>
        <w:t>Camats-Tarruella</w:t>
      </w:r>
      <w:proofErr w:type="spellEnd"/>
      <w:r w:rsidRPr="00DD448A">
        <w:rPr>
          <w:rFonts w:ascii="Arial" w:hAnsi="Arial" w:cs="Arial"/>
          <w:kern w:val="1"/>
          <w:sz w:val="22"/>
          <w:szCs w:val="22"/>
        </w:rPr>
        <w:t xml:space="preserve"> N. Genetic and Functional Studies of Patients with Thyroid </w:t>
      </w:r>
      <w:proofErr w:type="spellStart"/>
      <w:r w:rsidRPr="00DD448A">
        <w:rPr>
          <w:rFonts w:ascii="Arial" w:hAnsi="Arial" w:cs="Arial"/>
          <w:kern w:val="1"/>
          <w:sz w:val="22"/>
          <w:szCs w:val="22"/>
        </w:rPr>
        <w:lastRenderedPageBreak/>
        <w:t>Dyshormonogenesis</w:t>
      </w:r>
      <w:proofErr w:type="spellEnd"/>
      <w:r w:rsidRPr="00DD448A">
        <w:rPr>
          <w:rFonts w:ascii="Arial" w:hAnsi="Arial" w:cs="Arial"/>
          <w:kern w:val="1"/>
          <w:sz w:val="22"/>
          <w:szCs w:val="22"/>
        </w:rPr>
        <w:t xml:space="preserve"> and Defects in the TSH Receptor (TSHR). </w:t>
      </w:r>
      <w:r w:rsidRPr="00DD448A">
        <w:rPr>
          <w:rFonts w:ascii="Arial" w:hAnsi="Arial" w:cs="Arial"/>
          <w:iCs/>
          <w:kern w:val="1"/>
          <w:sz w:val="22"/>
          <w:szCs w:val="22"/>
        </w:rPr>
        <w:t>Int J Mol Sci</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2024;25(18).</w:t>
      </w:r>
    </w:p>
    <w:p w14:paraId="6B26085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420.</w:t>
      </w:r>
      <w:r w:rsidRPr="00DD448A">
        <w:rPr>
          <w:rFonts w:ascii="Arial" w:hAnsi="Arial" w:cs="Arial"/>
          <w:kern w:val="1"/>
          <w:sz w:val="22"/>
          <w:szCs w:val="22"/>
        </w:rPr>
        <w:tab/>
        <w:t xml:space="preserve">Feldt-Rasmussen U. Analytical and clinical performance goals for thyroid testing: thyroid antibodies.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1996;46:In press.</w:t>
      </w:r>
    </w:p>
    <w:p w14:paraId="2D1A52D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421.</w:t>
      </w:r>
      <w:r w:rsidRPr="00DD448A">
        <w:rPr>
          <w:rFonts w:ascii="Arial" w:hAnsi="Arial" w:cs="Arial"/>
          <w:kern w:val="1"/>
          <w:sz w:val="22"/>
          <w:szCs w:val="22"/>
        </w:rPr>
        <w:tab/>
        <w:t xml:space="preserve">Saravanan P, Dayan CM. Thyroid autoantibodies. </w:t>
      </w:r>
      <w:r w:rsidRPr="00DD448A">
        <w:rPr>
          <w:rFonts w:ascii="Arial" w:hAnsi="Arial" w:cs="Arial"/>
          <w:iCs/>
          <w:kern w:val="1"/>
          <w:sz w:val="22"/>
          <w:szCs w:val="22"/>
        </w:rPr>
        <w:t xml:space="preserve">Endocrinol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Clin North Am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2001;30(2):315-337, viii.</w:t>
      </w:r>
    </w:p>
    <w:p w14:paraId="65E7B66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422.</w:t>
      </w:r>
      <w:r w:rsidRPr="00DD448A">
        <w:rPr>
          <w:rFonts w:ascii="Arial" w:hAnsi="Arial" w:cs="Arial"/>
          <w:kern w:val="1"/>
          <w:sz w:val="22"/>
          <w:szCs w:val="22"/>
        </w:rPr>
        <w:tab/>
        <w:t xml:space="preserve">McLachlan SM, Rapoport B. Discoveries in Thyroid Autoimmunity in the Past Century.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2023;33(3):278-286.</w:t>
      </w:r>
    </w:p>
    <w:p w14:paraId="054C5F4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423.</w:t>
      </w:r>
      <w:r w:rsidRPr="00DD448A">
        <w:rPr>
          <w:rFonts w:ascii="Arial" w:hAnsi="Arial" w:cs="Arial"/>
          <w:kern w:val="1"/>
          <w:sz w:val="22"/>
          <w:szCs w:val="22"/>
        </w:rPr>
        <w:tab/>
        <w:t xml:space="preserve">Massart C, Sapin R, </w:t>
      </w:r>
      <w:proofErr w:type="spellStart"/>
      <w:r w:rsidRPr="00DD448A">
        <w:rPr>
          <w:rFonts w:ascii="Arial" w:hAnsi="Arial" w:cs="Arial"/>
          <w:kern w:val="1"/>
          <w:sz w:val="22"/>
          <w:szCs w:val="22"/>
        </w:rPr>
        <w:t>Gibassier</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Agin</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d'Herbomez</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Intermethod</w:t>
      </w:r>
      <w:proofErr w:type="spellEnd"/>
      <w:r w:rsidRPr="00DD448A">
        <w:rPr>
          <w:rFonts w:ascii="Arial" w:hAnsi="Arial" w:cs="Arial"/>
          <w:kern w:val="1"/>
          <w:sz w:val="22"/>
          <w:szCs w:val="22"/>
        </w:rPr>
        <w:t xml:space="preserve"> variability in TSH-receptor antibody measurement: implication for the diagnosis of </w:t>
      </w:r>
      <w:proofErr w:type="spellStart"/>
      <w:r w:rsidRPr="00DD448A">
        <w:rPr>
          <w:rFonts w:ascii="Arial" w:hAnsi="Arial" w:cs="Arial"/>
          <w:kern w:val="1"/>
          <w:sz w:val="22"/>
          <w:szCs w:val="22"/>
        </w:rPr>
        <w:t>Graves</w:t>
      </w:r>
      <w:proofErr w:type="spellEnd"/>
      <w:r w:rsidRPr="00DD448A">
        <w:rPr>
          <w:rFonts w:ascii="Arial" w:hAnsi="Arial" w:cs="Arial"/>
          <w:kern w:val="1"/>
          <w:sz w:val="22"/>
          <w:szCs w:val="22"/>
        </w:rPr>
        <w:t xml:space="preserve"> disease and for the follow-up of Graves ophthalmopathy.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2009;55(1):183-186.</w:t>
      </w:r>
    </w:p>
    <w:p w14:paraId="5DF0484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424.</w:t>
      </w:r>
      <w:r w:rsidRPr="00DD448A">
        <w:rPr>
          <w:rFonts w:ascii="Arial" w:hAnsi="Arial" w:cs="Arial"/>
          <w:kern w:val="1"/>
          <w:sz w:val="22"/>
          <w:szCs w:val="22"/>
        </w:rPr>
        <w:tab/>
      </w:r>
      <w:proofErr w:type="spellStart"/>
      <w:r w:rsidRPr="00DD448A">
        <w:rPr>
          <w:rFonts w:ascii="Arial" w:hAnsi="Arial" w:cs="Arial"/>
          <w:kern w:val="1"/>
          <w:sz w:val="22"/>
          <w:szCs w:val="22"/>
        </w:rPr>
        <w:t>D'Aurizio</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Metus</w:t>
      </w:r>
      <w:proofErr w:type="spellEnd"/>
      <w:r w:rsidRPr="00DD448A">
        <w:rPr>
          <w:rFonts w:ascii="Arial" w:hAnsi="Arial" w:cs="Arial"/>
          <w:kern w:val="1"/>
          <w:sz w:val="22"/>
          <w:szCs w:val="22"/>
        </w:rPr>
        <w:t xml:space="preserve"> P, Ferrari A, Caruso B, Castello R, Villalta D, Steffan A, Gaspardo K, </w:t>
      </w:r>
      <w:proofErr w:type="spellStart"/>
      <w:r w:rsidRPr="00DD448A">
        <w:rPr>
          <w:rFonts w:ascii="Arial" w:hAnsi="Arial" w:cs="Arial"/>
          <w:kern w:val="1"/>
          <w:sz w:val="22"/>
          <w:szCs w:val="22"/>
        </w:rPr>
        <w:t>Pesente</w:t>
      </w:r>
      <w:proofErr w:type="spellEnd"/>
      <w:r w:rsidRPr="00DD448A">
        <w:rPr>
          <w:rFonts w:ascii="Arial" w:hAnsi="Arial" w:cs="Arial"/>
          <w:kern w:val="1"/>
          <w:sz w:val="22"/>
          <w:szCs w:val="22"/>
        </w:rPr>
        <w:t xml:space="preserve"> F, Bizzaro N, </w:t>
      </w:r>
      <w:proofErr w:type="spellStart"/>
      <w:r w:rsidRPr="00DD448A">
        <w:rPr>
          <w:rFonts w:ascii="Arial" w:hAnsi="Arial" w:cs="Arial"/>
          <w:kern w:val="1"/>
          <w:sz w:val="22"/>
          <w:szCs w:val="22"/>
        </w:rPr>
        <w:t>Tonutti</w:t>
      </w:r>
      <w:proofErr w:type="spellEnd"/>
      <w:r w:rsidRPr="00DD448A">
        <w:rPr>
          <w:rFonts w:ascii="Arial" w:hAnsi="Arial" w:cs="Arial"/>
          <w:kern w:val="1"/>
          <w:sz w:val="22"/>
          <w:szCs w:val="22"/>
        </w:rPr>
        <w:t xml:space="preserve"> E, Valverde S, Cosma C, </w:t>
      </w:r>
      <w:proofErr w:type="spellStart"/>
      <w:r w:rsidRPr="00DD448A">
        <w:rPr>
          <w:rFonts w:ascii="Arial" w:hAnsi="Arial" w:cs="Arial"/>
          <w:kern w:val="1"/>
          <w:sz w:val="22"/>
          <w:szCs w:val="22"/>
        </w:rPr>
        <w:t>Plebani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Tozzoli</w:t>
      </w:r>
      <w:proofErr w:type="spellEnd"/>
      <w:r w:rsidRPr="00DD448A">
        <w:rPr>
          <w:rFonts w:ascii="Arial" w:hAnsi="Arial" w:cs="Arial"/>
          <w:kern w:val="1"/>
          <w:sz w:val="22"/>
          <w:szCs w:val="22"/>
        </w:rPr>
        <w:t xml:space="preserve"> R. Definition of the upper reference limit for thyroglobulin antibodies according to the National Academy of Clinical Biochemistry guidelines: comparison of eleven different automated methods. </w:t>
      </w:r>
      <w:r w:rsidRPr="00DD448A">
        <w:rPr>
          <w:rFonts w:ascii="Arial" w:hAnsi="Arial" w:cs="Arial"/>
          <w:iCs/>
          <w:kern w:val="1"/>
          <w:sz w:val="22"/>
          <w:szCs w:val="22"/>
        </w:rPr>
        <w:t xml:space="preserve">Auto </w:t>
      </w:r>
      <w:proofErr w:type="spellStart"/>
      <w:r w:rsidRPr="00DD448A">
        <w:rPr>
          <w:rFonts w:ascii="Arial" w:hAnsi="Arial" w:cs="Arial"/>
          <w:iCs/>
          <w:kern w:val="1"/>
          <w:sz w:val="22"/>
          <w:szCs w:val="22"/>
        </w:rPr>
        <w:t>Immun</w:t>
      </w:r>
      <w:proofErr w:type="spellEnd"/>
      <w:r w:rsidRPr="00DD448A">
        <w:rPr>
          <w:rFonts w:ascii="Arial" w:hAnsi="Arial" w:cs="Arial"/>
          <w:iCs/>
          <w:kern w:val="1"/>
          <w:sz w:val="22"/>
          <w:szCs w:val="22"/>
        </w:rPr>
        <w:t xml:space="preserve"> Highlights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2017;8(1):8.</w:t>
      </w:r>
    </w:p>
    <w:p w14:paraId="66111CE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425.</w:t>
      </w:r>
      <w:r w:rsidRPr="00DD448A">
        <w:rPr>
          <w:rFonts w:ascii="Arial" w:hAnsi="Arial" w:cs="Arial"/>
          <w:kern w:val="1"/>
          <w:sz w:val="22"/>
          <w:szCs w:val="22"/>
        </w:rPr>
        <w:tab/>
      </w:r>
      <w:proofErr w:type="spellStart"/>
      <w:r w:rsidRPr="00DD448A">
        <w:rPr>
          <w:rFonts w:ascii="Arial" w:hAnsi="Arial" w:cs="Arial"/>
          <w:kern w:val="1"/>
          <w:sz w:val="22"/>
          <w:szCs w:val="22"/>
        </w:rPr>
        <w:t>Tozzoli</w:t>
      </w:r>
      <w:proofErr w:type="spellEnd"/>
      <w:r w:rsidRPr="00DD448A">
        <w:rPr>
          <w:rFonts w:ascii="Arial" w:hAnsi="Arial" w:cs="Arial"/>
          <w:kern w:val="1"/>
          <w:sz w:val="22"/>
          <w:szCs w:val="22"/>
        </w:rPr>
        <w:t xml:space="preserve"> R, Bagnasco M, </w:t>
      </w:r>
      <w:proofErr w:type="spellStart"/>
      <w:r w:rsidRPr="00DD448A">
        <w:rPr>
          <w:rFonts w:ascii="Arial" w:hAnsi="Arial" w:cs="Arial"/>
          <w:kern w:val="1"/>
          <w:sz w:val="22"/>
          <w:szCs w:val="22"/>
        </w:rPr>
        <w:t>Giavarina</w:t>
      </w:r>
      <w:proofErr w:type="spellEnd"/>
      <w:r w:rsidRPr="00DD448A">
        <w:rPr>
          <w:rFonts w:ascii="Arial" w:hAnsi="Arial" w:cs="Arial"/>
          <w:kern w:val="1"/>
          <w:sz w:val="22"/>
          <w:szCs w:val="22"/>
        </w:rPr>
        <w:t xml:space="preserve"> D, Bizzaro N. TSH receptor autoantibody immunoassay in patients with Graves' disease: improvement of diagnostic accuracy over different generations of methods. Systematic review and meta-analysis. </w:t>
      </w:r>
      <w:proofErr w:type="spellStart"/>
      <w:r w:rsidRPr="00DD448A">
        <w:rPr>
          <w:rFonts w:ascii="Arial" w:hAnsi="Arial" w:cs="Arial"/>
          <w:iCs/>
          <w:kern w:val="1"/>
          <w:sz w:val="22"/>
          <w:szCs w:val="22"/>
        </w:rPr>
        <w:t>Autoimmun</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2012;12(2):107-113.</w:t>
      </w:r>
    </w:p>
    <w:p w14:paraId="398E158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426.</w:t>
      </w:r>
      <w:r w:rsidRPr="00DD448A">
        <w:rPr>
          <w:rFonts w:ascii="Arial" w:hAnsi="Arial" w:cs="Arial"/>
          <w:kern w:val="1"/>
          <w:sz w:val="22"/>
          <w:szCs w:val="22"/>
        </w:rPr>
        <w:tab/>
        <w:t xml:space="preserve">Rapoport B, </w:t>
      </w:r>
      <w:proofErr w:type="spellStart"/>
      <w:r w:rsidRPr="00DD448A">
        <w:rPr>
          <w:rFonts w:ascii="Arial" w:hAnsi="Arial" w:cs="Arial"/>
          <w:kern w:val="1"/>
          <w:sz w:val="22"/>
          <w:szCs w:val="22"/>
        </w:rPr>
        <w:t>Chazenbalk</w:t>
      </w:r>
      <w:proofErr w:type="spellEnd"/>
      <w:r w:rsidRPr="00DD448A">
        <w:rPr>
          <w:rFonts w:ascii="Arial" w:hAnsi="Arial" w:cs="Arial"/>
          <w:kern w:val="1"/>
          <w:sz w:val="22"/>
          <w:szCs w:val="22"/>
        </w:rPr>
        <w:t xml:space="preserve"> GD, Jaume JC, McLachlan SM. The thyrotropin (TSH) receptor: interaction with TSH and autoantibodies.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1998;19(6):673-716.</w:t>
      </w:r>
    </w:p>
    <w:p w14:paraId="1ADD509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427.</w:t>
      </w:r>
      <w:r w:rsidRPr="00DD448A">
        <w:rPr>
          <w:rFonts w:ascii="Arial" w:hAnsi="Arial" w:cs="Arial"/>
          <w:kern w:val="1"/>
          <w:sz w:val="22"/>
          <w:szCs w:val="22"/>
        </w:rPr>
        <w:tab/>
        <w:t xml:space="preserve">Davies T, Marians R, Latif R. The TSH receptor reveals itself.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2002;110(2):161-164.</w:t>
      </w:r>
    </w:p>
    <w:p w14:paraId="376A45B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428.</w:t>
      </w:r>
      <w:r w:rsidRPr="00DD448A">
        <w:rPr>
          <w:rFonts w:ascii="Arial" w:hAnsi="Arial" w:cs="Arial"/>
          <w:kern w:val="1"/>
          <w:sz w:val="22"/>
          <w:szCs w:val="22"/>
        </w:rPr>
        <w:tab/>
      </w:r>
      <w:proofErr w:type="spellStart"/>
      <w:r w:rsidRPr="00DD448A">
        <w:rPr>
          <w:rFonts w:ascii="Arial" w:hAnsi="Arial" w:cs="Arial"/>
          <w:kern w:val="1"/>
          <w:sz w:val="22"/>
          <w:szCs w:val="22"/>
        </w:rPr>
        <w:t>Barbesino</w:t>
      </w:r>
      <w:proofErr w:type="spellEnd"/>
      <w:r w:rsidRPr="00DD448A">
        <w:rPr>
          <w:rFonts w:ascii="Arial" w:hAnsi="Arial" w:cs="Arial"/>
          <w:kern w:val="1"/>
          <w:sz w:val="22"/>
          <w:szCs w:val="22"/>
        </w:rPr>
        <w:t xml:space="preserve"> G, Tomer Y. Clinical review: Clinical utility of TSH receptor antibodies.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2013;98(6):2247-2255.</w:t>
      </w:r>
    </w:p>
    <w:p w14:paraId="03015D8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429.</w:t>
      </w:r>
      <w:r w:rsidRPr="00DD448A">
        <w:rPr>
          <w:rFonts w:ascii="Arial" w:hAnsi="Arial" w:cs="Arial"/>
          <w:kern w:val="1"/>
          <w:sz w:val="22"/>
          <w:szCs w:val="22"/>
        </w:rPr>
        <w:tab/>
        <w:t xml:space="preserve">Rees Smith B, McLachlan SM, </w:t>
      </w:r>
      <w:proofErr w:type="spellStart"/>
      <w:r w:rsidRPr="00DD448A">
        <w:rPr>
          <w:rFonts w:ascii="Arial" w:hAnsi="Arial" w:cs="Arial"/>
          <w:kern w:val="1"/>
          <w:sz w:val="22"/>
          <w:szCs w:val="22"/>
        </w:rPr>
        <w:t>Furmaniak</w:t>
      </w:r>
      <w:proofErr w:type="spellEnd"/>
      <w:r w:rsidRPr="00DD448A">
        <w:rPr>
          <w:rFonts w:ascii="Arial" w:hAnsi="Arial" w:cs="Arial"/>
          <w:kern w:val="1"/>
          <w:sz w:val="22"/>
          <w:szCs w:val="22"/>
        </w:rPr>
        <w:t xml:space="preserve"> J. Autoantibodies to the thyrotropin receptor.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1988;9(1):106-121.</w:t>
      </w:r>
    </w:p>
    <w:p w14:paraId="666E4BB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430.</w:t>
      </w:r>
      <w:r w:rsidRPr="00DD448A">
        <w:rPr>
          <w:rFonts w:ascii="Arial" w:hAnsi="Arial" w:cs="Arial"/>
          <w:kern w:val="1"/>
          <w:sz w:val="22"/>
          <w:szCs w:val="22"/>
        </w:rPr>
        <w:tab/>
        <w:t xml:space="preserve">Adams DD. Long-acting thyroid stimulator: how receptor autoimmunity was discovered. </w:t>
      </w:r>
      <w:r w:rsidRPr="00DD448A">
        <w:rPr>
          <w:rFonts w:ascii="Arial" w:hAnsi="Arial" w:cs="Arial"/>
          <w:iCs/>
          <w:kern w:val="1"/>
          <w:sz w:val="22"/>
          <w:szCs w:val="22"/>
        </w:rPr>
        <w:t>Autoimmunity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1988;1(1):3-9.</w:t>
      </w:r>
    </w:p>
    <w:p w14:paraId="305BFB2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431.</w:t>
      </w:r>
      <w:r w:rsidRPr="00DD448A">
        <w:rPr>
          <w:rFonts w:ascii="Arial" w:hAnsi="Arial" w:cs="Arial"/>
          <w:kern w:val="1"/>
          <w:sz w:val="22"/>
          <w:szCs w:val="22"/>
        </w:rPr>
        <w:tab/>
        <w:t>McKenzie MJ, Zakarija M. Antibodies in autoimmune thyroid disease. 6th. Edition ed. Philadelphia: J B Lippincott.</w:t>
      </w:r>
    </w:p>
    <w:p w14:paraId="53C0180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432.</w:t>
      </w:r>
      <w:r w:rsidRPr="00DD448A">
        <w:rPr>
          <w:rFonts w:ascii="Arial" w:hAnsi="Arial" w:cs="Arial"/>
          <w:kern w:val="1"/>
          <w:sz w:val="22"/>
          <w:szCs w:val="22"/>
        </w:rPr>
        <w:tab/>
        <w:t xml:space="preserve">Ando T, Latif R, Davies TF. Thyrotropin receptor antibodies: new insights into their actions and clinical relevance.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2005;19(1):33-52.</w:t>
      </w:r>
    </w:p>
    <w:p w14:paraId="0B66E29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433.</w:t>
      </w:r>
      <w:r w:rsidRPr="00DD448A">
        <w:rPr>
          <w:rFonts w:ascii="Arial" w:hAnsi="Arial" w:cs="Arial"/>
          <w:kern w:val="1"/>
          <w:sz w:val="22"/>
          <w:szCs w:val="22"/>
        </w:rPr>
        <w:tab/>
        <w:t xml:space="preserve">Noh JY, Hamada N, Inoue Y, Abe Y, Ito K, Ito K. Thyroid-stimulating antibody is related to Graves' ophthalmopathy, but thyrotropin-binding inhibitor immunoglobulin is related to hyperthyroidism in patients with Graves' disease.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2000;10(9):809-813.</w:t>
      </w:r>
    </w:p>
    <w:p w14:paraId="050EB19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434.</w:t>
      </w:r>
      <w:r w:rsidRPr="00DD448A">
        <w:rPr>
          <w:rFonts w:ascii="Arial" w:hAnsi="Arial" w:cs="Arial"/>
          <w:kern w:val="1"/>
          <w:sz w:val="22"/>
          <w:szCs w:val="22"/>
        </w:rPr>
        <w:tab/>
      </w:r>
      <w:proofErr w:type="spellStart"/>
      <w:r w:rsidRPr="00DD448A">
        <w:rPr>
          <w:rFonts w:ascii="Arial" w:hAnsi="Arial" w:cs="Arial"/>
          <w:kern w:val="1"/>
          <w:sz w:val="22"/>
          <w:szCs w:val="22"/>
        </w:rPr>
        <w:t>Mizutori</w:t>
      </w:r>
      <w:proofErr w:type="spellEnd"/>
      <w:r w:rsidRPr="00DD448A">
        <w:rPr>
          <w:rFonts w:ascii="Arial" w:hAnsi="Arial" w:cs="Arial"/>
          <w:kern w:val="1"/>
          <w:sz w:val="22"/>
          <w:szCs w:val="22"/>
        </w:rPr>
        <w:t xml:space="preserve"> Y, Chen CR, </w:t>
      </w:r>
      <w:proofErr w:type="spellStart"/>
      <w:r w:rsidRPr="00DD448A">
        <w:rPr>
          <w:rFonts w:ascii="Arial" w:hAnsi="Arial" w:cs="Arial"/>
          <w:kern w:val="1"/>
          <w:sz w:val="22"/>
          <w:szCs w:val="22"/>
        </w:rPr>
        <w:t>Latrofa</w:t>
      </w:r>
      <w:proofErr w:type="spellEnd"/>
      <w:r w:rsidRPr="00DD448A">
        <w:rPr>
          <w:rFonts w:ascii="Arial" w:hAnsi="Arial" w:cs="Arial"/>
          <w:kern w:val="1"/>
          <w:sz w:val="22"/>
          <w:szCs w:val="22"/>
        </w:rPr>
        <w:t xml:space="preserve"> F, McLachlan SM, Rapoport B. Evidence that shed thyrotropin receptor A subunits drive affinity maturation of autoantibodies causing Graves'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2009;94(3):927-935.</w:t>
      </w:r>
    </w:p>
    <w:p w14:paraId="1FBFAA5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435.</w:t>
      </w:r>
      <w:r w:rsidRPr="00DD448A">
        <w:rPr>
          <w:rFonts w:ascii="Arial" w:hAnsi="Arial" w:cs="Arial"/>
          <w:kern w:val="1"/>
          <w:sz w:val="22"/>
          <w:szCs w:val="22"/>
        </w:rPr>
        <w:tab/>
        <w:t xml:space="preserve">Ko J, Kook KH, Yoon JS, Woo KI, Yang JW. Longitudinal association of thyroid-stimulating immunoglobulin levels with clinical characteristics in thyroid eye disease. </w:t>
      </w:r>
      <w:r w:rsidRPr="00DD448A">
        <w:rPr>
          <w:rFonts w:ascii="Arial" w:hAnsi="Arial" w:cs="Arial"/>
          <w:iCs/>
          <w:kern w:val="1"/>
          <w:sz w:val="22"/>
          <w:szCs w:val="22"/>
        </w:rPr>
        <w:t>BMJ Open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2022;12(6):e050337.</w:t>
      </w:r>
    </w:p>
    <w:p w14:paraId="16F5FC0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436.</w:t>
      </w:r>
      <w:r w:rsidRPr="00DD448A">
        <w:rPr>
          <w:rFonts w:ascii="Arial" w:hAnsi="Arial" w:cs="Arial"/>
          <w:kern w:val="1"/>
          <w:sz w:val="22"/>
          <w:szCs w:val="22"/>
        </w:rPr>
        <w:tab/>
      </w:r>
      <w:proofErr w:type="spellStart"/>
      <w:r w:rsidRPr="00DD448A">
        <w:rPr>
          <w:rFonts w:ascii="Arial" w:hAnsi="Arial" w:cs="Arial"/>
          <w:kern w:val="1"/>
          <w:sz w:val="22"/>
          <w:szCs w:val="22"/>
        </w:rPr>
        <w:t>Abeillon</w:t>
      </w:r>
      <w:proofErr w:type="spellEnd"/>
      <w:r w:rsidRPr="00DD448A">
        <w:rPr>
          <w:rFonts w:ascii="Arial" w:hAnsi="Arial" w:cs="Arial"/>
          <w:kern w:val="1"/>
          <w:sz w:val="22"/>
          <w:szCs w:val="22"/>
        </w:rPr>
        <w:t xml:space="preserve">-du </w:t>
      </w:r>
      <w:proofErr w:type="spellStart"/>
      <w:r w:rsidRPr="00DD448A">
        <w:rPr>
          <w:rFonts w:ascii="Arial" w:hAnsi="Arial" w:cs="Arial"/>
          <w:kern w:val="1"/>
          <w:sz w:val="22"/>
          <w:szCs w:val="22"/>
        </w:rPr>
        <w:t>Payrat</w:t>
      </w:r>
      <w:proofErr w:type="spellEnd"/>
      <w:r w:rsidRPr="00DD448A">
        <w:rPr>
          <w:rFonts w:ascii="Arial" w:hAnsi="Arial" w:cs="Arial"/>
          <w:kern w:val="1"/>
          <w:sz w:val="22"/>
          <w:szCs w:val="22"/>
        </w:rPr>
        <w:t xml:space="preserve"> J, Caron P. The key data from the 2022 European Thyroid Association congress: Toward personalized treatment of Graves' orbitopathy. </w:t>
      </w:r>
      <w:r w:rsidRPr="00DD448A">
        <w:rPr>
          <w:rFonts w:ascii="Arial" w:hAnsi="Arial" w:cs="Arial"/>
          <w:iCs/>
          <w:kern w:val="1"/>
          <w:sz w:val="22"/>
          <w:szCs w:val="22"/>
        </w:rPr>
        <w:t>Ann Endocrinol (Paris)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2023;84(6):756-757.</w:t>
      </w:r>
    </w:p>
    <w:p w14:paraId="75D29C7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437.</w:t>
      </w:r>
      <w:r w:rsidRPr="00DD448A">
        <w:rPr>
          <w:rFonts w:ascii="Arial" w:hAnsi="Arial" w:cs="Arial"/>
          <w:kern w:val="1"/>
          <w:sz w:val="22"/>
          <w:szCs w:val="22"/>
        </w:rPr>
        <w:tab/>
        <w:t xml:space="preserve">Gupta MK. Thyrotropin-receptor antibodies in thyroid diseases: advances in detection techniques and clinical application. </w:t>
      </w:r>
      <w:r w:rsidRPr="00DD448A">
        <w:rPr>
          <w:rFonts w:ascii="Arial" w:hAnsi="Arial" w:cs="Arial"/>
          <w:iCs/>
          <w:kern w:val="1"/>
          <w:sz w:val="22"/>
          <w:szCs w:val="22"/>
        </w:rPr>
        <w:t>Clin Chem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2000;293:1-29.</w:t>
      </w:r>
    </w:p>
    <w:p w14:paraId="2BCA629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438.</w:t>
      </w:r>
      <w:r w:rsidRPr="00DD448A">
        <w:rPr>
          <w:rFonts w:ascii="Arial" w:hAnsi="Arial" w:cs="Arial"/>
          <w:kern w:val="1"/>
          <w:sz w:val="22"/>
          <w:szCs w:val="22"/>
        </w:rPr>
        <w:tab/>
        <w:t xml:space="preserve">Michalek K, Morshed SA, Latif R, Davies TF. TSH receptor autoantibodies. </w:t>
      </w:r>
      <w:proofErr w:type="spellStart"/>
      <w:r w:rsidRPr="00DD448A">
        <w:rPr>
          <w:rFonts w:ascii="Arial" w:hAnsi="Arial" w:cs="Arial"/>
          <w:iCs/>
          <w:kern w:val="1"/>
          <w:sz w:val="22"/>
          <w:szCs w:val="22"/>
        </w:rPr>
        <w:t>Autoimmun</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2009;9(2):113-116.</w:t>
      </w:r>
    </w:p>
    <w:p w14:paraId="0E352C6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439.</w:t>
      </w:r>
      <w:r w:rsidRPr="00DD448A">
        <w:rPr>
          <w:rFonts w:ascii="Arial" w:hAnsi="Arial" w:cs="Arial"/>
          <w:kern w:val="1"/>
          <w:sz w:val="22"/>
          <w:szCs w:val="22"/>
        </w:rPr>
        <w:tab/>
      </w:r>
      <w:proofErr w:type="spellStart"/>
      <w:r w:rsidRPr="00DD448A">
        <w:rPr>
          <w:rFonts w:ascii="Arial" w:hAnsi="Arial" w:cs="Arial"/>
          <w:kern w:val="1"/>
          <w:sz w:val="22"/>
          <w:szCs w:val="22"/>
        </w:rPr>
        <w:t>Kahaly</w:t>
      </w:r>
      <w:proofErr w:type="spellEnd"/>
      <w:r w:rsidRPr="00DD448A">
        <w:rPr>
          <w:rFonts w:ascii="Arial" w:hAnsi="Arial" w:cs="Arial"/>
          <w:kern w:val="1"/>
          <w:sz w:val="22"/>
          <w:szCs w:val="22"/>
        </w:rPr>
        <w:t xml:space="preserve"> GJ. Bioassays for TSH Receptor Antibodies: Quo Vadis?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2015;4(1):3-5.</w:t>
      </w:r>
    </w:p>
    <w:p w14:paraId="28F4197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440.</w:t>
      </w:r>
      <w:r w:rsidRPr="00DD448A">
        <w:rPr>
          <w:rFonts w:ascii="Arial" w:hAnsi="Arial" w:cs="Arial"/>
          <w:kern w:val="1"/>
          <w:sz w:val="22"/>
          <w:szCs w:val="22"/>
        </w:rPr>
        <w:tab/>
      </w:r>
      <w:proofErr w:type="spellStart"/>
      <w:r w:rsidRPr="00DD448A">
        <w:rPr>
          <w:rFonts w:ascii="Arial" w:hAnsi="Arial" w:cs="Arial"/>
          <w:kern w:val="1"/>
          <w:sz w:val="22"/>
          <w:szCs w:val="22"/>
        </w:rPr>
        <w:t>Kahaly</w:t>
      </w:r>
      <w:proofErr w:type="spellEnd"/>
      <w:r w:rsidRPr="00DD448A">
        <w:rPr>
          <w:rFonts w:ascii="Arial" w:hAnsi="Arial" w:cs="Arial"/>
          <w:kern w:val="1"/>
          <w:sz w:val="22"/>
          <w:szCs w:val="22"/>
        </w:rPr>
        <w:t xml:space="preserve"> GJ, Diana T, Glang J, Kanitz M, Pitz S, König J. Thyroid Stimulating Antibodies Are Highly Prevalent in Hashimoto's Thyroiditis and Associated Orbitopathy.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2016;101(5):1998-2004.</w:t>
      </w:r>
    </w:p>
    <w:p w14:paraId="3781EC1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441.</w:t>
      </w:r>
      <w:r w:rsidRPr="00DD448A">
        <w:rPr>
          <w:rFonts w:ascii="Arial" w:hAnsi="Arial" w:cs="Arial"/>
          <w:kern w:val="1"/>
          <w:sz w:val="22"/>
          <w:szCs w:val="22"/>
        </w:rPr>
        <w:tab/>
        <w:t xml:space="preserve">Morgenthaler NG, Ho SC, Minich WB. Stimulating and blocking thyroid-stimulating hormone (TSH) receptor autoantibodies from patients with Graves' disease and autoimmune hypothyroidism have very similar concentration, TSH receptor affinity, and binding sites.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2007;92(3):1058-1065.</w:t>
      </w:r>
    </w:p>
    <w:p w14:paraId="0E4AB3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442.</w:t>
      </w:r>
      <w:r w:rsidRPr="00DD448A">
        <w:rPr>
          <w:rFonts w:ascii="Arial" w:hAnsi="Arial" w:cs="Arial"/>
          <w:kern w:val="1"/>
          <w:sz w:val="22"/>
          <w:szCs w:val="22"/>
        </w:rPr>
        <w:tab/>
        <w:t xml:space="preserve">Yoshida K, Aizawa Y, Kaise N, Fukazawa H, Kiso Y, Sayama N, Mori K, Hori H, Abe K. Relationship between thyroid-stimulating antibodies and thyrotropin-binding inhibitory immunoglobulins years after administration of radioiodine for Graves' disease: retrospective clinical survey.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1996;19(10):682-686.</w:t>
      </w:r>
    </w:p>
    <w:p w14:paraId="62C7AA9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443.</w:t>
      </w:r>
      <w:r w:rsidRPr="00DD448A">
        <w:rPr>
          <w:rFonts w:ascii="Arial" w:hAnsi="Arial" w:cs="Arial"/>
          <w:kern w:val="1"/>
          <w:sz w:val="22"/>
          <w:szCs w:val="22"/>
        </w:rPr>
        <w:tab/>
      </w:r>
      <w:proofErr w:type="spellStart"/>
      <w:r w:rsidRPr="00DD448A">
        <w:rPr>
          <w:rFonts w:ascii="Arial" w:hAnsi="Arial" w:cs="Arial"/>
          <w:kern w:val="1"/>
          <w:sz w:val="22"/>
          <w:szCs w:val="22"/>
        </w:rPr>
        <w:t>Quadbeck</w:t>
      </w:r>
      <w:proofErr w:type="spellEnd"/>
      <w:r w:rsidRPr="00DD448A">
        <w:rPr>
          <w:rFonts w:ascii="Arial" w:hAnsi="Arial" w:cs="Arial"/>
          <w:kern w:val="1"/>
          <w:sz w:val="22"/>
          <w:szCs w:val="22"/>
        </w:rPr>
        <w:t xml:space="preserve"> B, Hoermann R, Hahn S, Roggenbuck U, Mann K, Janssen OE. Binding, stimulating and blocking TSH receptor antibodies to the thyrotropin receptor as predictors of relapse of Graves' disease after withdrawal of antithyroid treatment. </w:t>
      </w:r>
      <w:r w:rsidRPr="00DD448A">
        <w:rPr>
          <w:rFonts w:ascii="Arial" w:hAnsi="Arial" w:cs="Arial"/>
          <w:iCs/>
          <w:kern w:val="1"/>
          <w:sz w:val="22"/>
          <w:szCs w:val="22"/>
        </w:rPr>
        <w:t xml:space="preserve">Horm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2005;37(12):745-750.</w:t>
      </w:r>
    </w:p>
    <w:p w14:paraId="20E96C3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444.</w:t>
      </w:r>
      <w:r w:rsidRPr="00DD448A">
        <w:rPr>
          <w:rFonts w:ascii="Arial" w:hAnsi="Arial" w:cs="Arial"/>
          <w:kern w:val="1"/>
          <w:sz w:val="22"/>
          <w:szCs w:val="22"/>
        </w:rPr>
        <w:tab/>
        <w:t xml:space="preserve">McLachlan SM, Rapoport B. Thyrotropin-blocking autoantibodies and thyroid-stimulating autoantibodies: potential mechanisms involved in the pendulum swinging from hypothyroidism to hyperthyroidism or vice versa.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2013;23(1):14-24.</w:t>
      </w:r>
    </w:p>
    <w:p w14:paraId="35E9DE7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445.</w:t>
      </w:r>
      <w:r w:rsidRPr="00DD448A">
        <w:rPr>
          <w:rFonts w:ascii="Arial" w:hAnsi="Arial" w:cs="Arial"/>
          <w:kern w:val="1"/>
          <w:sz w:val="22"/>
          <w:szCs w:val="22"/>
        </w:rPr>
        <w:tab/>
      </w:r>
      <w:proofErr w:type="spellStart"/>
      <w:r w:rsidRPr="00DD448A">
        <w:rPr>
          <w:rFonts w:ascii="Arial" w:hAnsi="Arial" w:cs="Arial"/>
          <w:kern w:val="1"/>
          <w:sz w:val="22"/>
          <w:szCs w:val="22"/>
        </w:rPr>
        <w:t>Kamijo</w:t>
      </w:r>
      <w:proofErr w:type="spellEnd"/>
      <w:r w:rsidRPr="00DD448A">
        <w:rPr>
          <w:rFonts w:ascii="Arial" w:hAnsi="Arial" w:cs="Arial"/>
          <w:kern w:val="1"/>
          <w:sz w:val="22"/>
          <w:szCs w:val="22"/>
        </w:rPr>
        <w:t xml:space="preserve"> K. Shift in Dominance from Blocking to Stimulating Type of Thyrotropin Receptor Antibodies, Resulting in Conversion from Hypothyroidism to Hyperthyroidism during Late Pregnancy. </w:t>
      </w:r>
      <w:r w:rsidRPr="00DD448A">
        <w:rPr>
          <w:rFonts w:ascii="Arial" w:hAnsi="Arial" w:cs="Arial"/>
          <w:iCs/>
          <w:kern w:val="1"/>
          <w:sz w:val="22"/>
          <w:szCs w:val="22"/>
        </w:rPr>
        <w:t>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2024;63(4):521-526.</w:t>
      </w:r>
    </w:p>
    <w:p w14:paraId="680741B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446.</w:t>
      </w:r>
      <w:r w:rsidRPr="00DD448A">
        <w:rPr>
          <w:rFonts w:ascii="Arial" w:hAnsi="Arial" w:cs="Arial"/>
          <w:kern w:val="1"/>
          <w:sz w:val="22"/>
          <w:szCs w:val="22"/>
        </w:rPr>
        <w:tab/>
      </w:r>
      <w:proofErr w:type="spellStart"/>
      <w:r w:rsidRPr="00DD448A">
        <w:rPr>
          <w:rFonts w:ascii="Arial" w:hAnsi="Arial" w:cs="Arial"/>
          <w:kern w:val="1"/>
          <w:sz w:val="22"/>
          <w:szCs w:val="22"/>
        </w:rPr>
        <w:t>Seetharamaiah</w:t>
      </w:r>
      <w:proofErr w:type="spellEnd"/>
      <w:r w:rsidRPr="00DD448A">
        <w:rPr>
          <w:rFonts w:ascii="Arial" w:hAnsi="Arial" w:cs="Arial"/>
          <w:kern w:val="1"/>
          <w:sz w:val="22"/>
          <w:szCs w:val="22"/>
        </w:rPr>
        <w:t xml:space="preserve"> GS, Kurosky A, Desai RK, Dallas JS, Prabhakar BS. A recombinant extracellular domain of the thyrotropin (TSH) receptor binds TSH in the absence of membranes. </w:t>
      </w:r>
      <w:r w:rsidRPr="00DD448A">
        <w:rPr>
          <w:rFonts w:ascii="Arial" w:hAnsi="Arial" w:cs="Arial"/>
          <w:iCs/>
          <w:kern w:val="1"/>
          <w:sz w:val="22"/>
          <w:szCs w:val="22"/>
        </w:rPr>
        <w:t>Endocrinology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1994;134(2):549-554.</w:t>
      </w:r>
    </w:p>
    <w:p w14:paraId="7970A07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447.</w:t>
      </w:r>
      <w:r w:rsidRPr="00DD448A">
        <w:rPr>
          <w:rFonts w:ascii="Arial" w:hAnsi="Arial" w:cs="Arial"/>
          <w:kern w:val="1"/>
          <w:sz w:val="22"/>
          <w:szCs w:val="22"/>
        </w:rPr>
        <w:tab/>
        <w:t xml:space="preserve">Kung AW, Jones BM. A change from stimulatory to blocking antibody activity in Graves' disease during pregnancy.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1998;83(2):514-518.</w:t>
      </w:r>
    </w:p>
    <w:p w14:paraId="70C985D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448.</w:t>
      </w:r>
      <w:r w:rsidRPr="00DD448A">
        <w:rPr>
          <w:rFonts w:ascii="Arial" w:hAnsi="Arial" w:cs="Arial"/>
          <w:kern w:val="1"/>
          <w:sz w:val="22"/>
          <w:szCs w:val="22"/>
        </w:rPr>
        <w:tab/>
        <w:t xml:space="preserve">Davies TF, Ando T, Lin RY, Tomer Y, Latif R. Thyrotropin receptor-associated diseases: from </w:t>
      </w:r>
      <w:proofErr w:type="spellStart"/>
      <w:r w:rsidRPr="00DD448A">
        <w:rPr>
          <w:rFonts w:ascii="Arial" w:hAnsi="Arial" w:cs="Arial"/>
          <w:kern w:val="1"/>
          <w:sz w:val="22"/>
          <w:szCs w:val="22"/>
        </w:rPr>
        <w:t>adenomata</w:t>
      </w:r>
      <w:proofErr w:type="spellEnd"/>
      <w:r w:rsidRPr="00DD448A">
        <w:rPr>
          <w:rFonts w:ascii="Arial" w:hAnsi="Arial" w:cs="Arial"/>
          <w:kern w:val="1"/>
          <w:sz w:val="22"/>
          <w:szCs w:val="22"/>
        </w:rPr>
        <w:t xml:space="preserve"> to </w:t>
      </w:r>
      <w:proofErr w:type="spellStart"/>
      <w:r w:rsidRPr="00DD448A">
        <w:rPr>
          <w:rFonts w:ascii="Arial" w:hAnsi="Arial" w:cs="Arial"/>
          <w:kern w:val="1"/>
          <w:sz w:val="22"/>
          <w:szCs w:val="22"/>
        </w:rPr>
        <w:t>Graves</w:t>
      </w:r>
      <w:proofErr w:type="spellEnd"/>
      <w:r w:rsidRPr="00DD448A">
        <w:rPr>
          <w:rFonts w:ascii="Arial" w:hAnsi="Arial" w:cs="Arial"/>
          <w:kern w:val="1"/>
          <w:sz w:val="22"/>
          <w:szCs w:val="22"/>
        </w:rPr>
        <w:t xml:space="preserve"> disease.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2005;115(8):1972-1983.</w:t>
      </w:r>
    </w:p>
    <w:p w14:paraId="7E1F9BC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449.</w:t>
      </w:r>
      <w:r w:rsidRPr="00DD448A">
        <w:rPr>
          <w:rFonts w:ascii="Arial" w:hAnsi="Arial" w:cs="Arial"/>
          <w:kern w:val="1"/>
          <w:sz w:val="22"/>
          <w:szCs w:val="22"/>
        </w:rPr>
        <w:tab/>
        <w:t xml:space="preserve">Morshed SA, Ando T, Latif R, Davies TF. Neutral antibodies to the TSH receptor are present in Graves' disease and regulate selective signaling cascades. </w:t>
      </w:r>
      <w:r w:rsidRPr="00DD448A">
        <w:rPr>
          <w:rFonts w:ascii="Arial" w:hAnsi="Arial" w:cs="Arial"/>
          <w:iCs/>
          <w:kern w:val="1"/>
          <w:sz w:val="22"/>
          <w:szCs w:val="22"/>
        </w:rPr>
        <w:t>Endocrinology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2010;151(11):5537-5549.</w:t>
      </w:r>
    </w:p>
    <w:p w14:paraId="1DA8476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450.</w:t>
      </w:r>
      <w:r w:rsidRPr="00DD448A">
        <w:rPr>
          <w:rFonts w:ascii="Arial" w:hAnsi="Arial" w:cs="Arial"/>
          <w:kern w:val="1"/>
          <w:sz w:val="22"/>
          <w:szCs w:val="22"/>
        </w:rPr>
        <w:tab/>
      </w:r>
      <w:proofErr w:type="spellStart"/>
      <w:r w:rsidRPr="00DD448A">
        <w:rPr>
          <w:rFonts w:ascii="Arial" w:hAnsi="Arial" w:cs="Arial"/>
          <w:kern w:val="1"/>
          <w:sz w:val="22"/>
          <w:szCs w:val="22"/>
        </w:rPr>
        <w:t>Kamijo</w:t>
      </w:r>
      <w:proofErr w:type="spellEnd"/>
      <w:r w:rsidRPr="00DD448A">
        <w:rPr>
          <w:rFonts w:ascii="Arial" w:hAnsi="Arial" w:cs="Arial"/>
          <w:kern w:val="1"/>
          <w:sz w:val="22"/>
          <w:szCs w:val="22"/>
        </w:rPr>
        <w:t xml:space="preserve"> K. TSH-receptor antibodies determined by the first, second and third generation assays and thyroid-stimulating antibody in pregnant patients with Graves' disease.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2007;54(4):619-624.</w:t>
      </w:r>
    </w:p>
    <w:p w14:paraId="5BC8557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451.</w:t>
      </w:r>
      <w:r w:rsidRPr="00DD448A">
        <w:rPr>
          <w:rFonts w:ascii="Arial" w:hAnsi="Arial" w:cs="Arial"/>
          <w:kern w:val="1"/>
          <w:sz w:val="22"/>
          <w:szCs w:val="22"/>
        </w:rPr>
        <w:tab/>
      </w:r>
      <w:proofErr w:type="spellStart"/>
      <w:r w:rsidRPr="00DD448A">
        <w:rPr>
          <w:rFonts w:ascii="Arial" w:hAnsi="Arial" w:cs="Arial"/>
          <w:kern w:val="1"/>
          <w:sz w:val="22"/>
          <w:szCs w:val="22"/>
        </w:rPr>
        <w:t>Ajjan</w:t>
      </w:r>
      <w:proofErr w:type="spellEnd"/>
      <w:r w:rsidRPr="00DD448A">
        <w:rPr>
          <w:rFonts w:ascii="Arial" w:hAnsi="Arial" w:cs="Arial"/>
          <w:kern w:val="1"/>
          <w:sz w:val="22"/>
          <w:szCs w:val="22"/>
        </w:rPr>
        <w:t xml:space="preserve"> RA, Weetman AP. Techniques to quantify TSH receptor antibodies. </w:t>
      </w:r>
      <w:r w:rsidRPr="00DD448A">
        <w:rPr>
          <w:rFonts w:ascii="Arial" w:hAnsi="Arial" w:cs="Arial"/>
          <w:iCs/>
          <w:kern w:val="1"/>
          <w:sz w:val="22"/>
          <w:szCs w:val="22"/>
        </w:rPr>
        <w:t>Nature clinical practice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2008;4(8):461-468.</w:t>
      </w:r>
    </w:p>
    <w:p w14:paraId="2F82C92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452.</w:t>
      </w:r>
      <w:r w:rsidRPr="00DD448A">
        <w:rPr>
          <w:rFonts w:ascii="Arial" w:hAnsi="Arial" w:cs="Arial"/>
          <w:kern w:val="1"/>
          <w:sz w:val="22"/>
          <w:szCs w:val="22"/>
        </w:rPr>
        <w:tab/>
        <w:t xml:space="preserve">Diana T, </w:t>
      </w:r>
      <w:proofErr w:type="spellStart"/>
      <w:r w:rsidRPr="00DD448A">
        <w:rPr>
          <w:rFonts w:ascii="Arial" w:hAnsi="Arial" w:cs="Arial"/>
          <w:kern w:val="1"/>
          <w:sz w:val="22"/>
          <w:szCs w:val="22"/>
        </w:rPr>
        <w:t>Wüster</w:t>
      </w:r>
      <w:proofErr w:type="spellEnd"/>
      <w:r w:rsidRPr="00DD448A">
        <w:rPr>
          <w:rFonts w:ascii="Arial" w:hAnsi="Arial" w:cs="Arial"/>
          <w:kern w:val="1"/>
          <w:sz w:val="22"/>
          <w:szCs w:val="22"/>
        </w:rPr>
        <w:t xml:space="preserve"> C, Kanitz M, </w:t>
      </w:r>
      <w:proofErr w:type="spellStart"/>
      <w:r w:rsidRPr="00DD448A">
        <w:rPr>
          <w:rFonts w:ascii="Arial" w:hAnsi="Arial" w:cs="Arial"/>
          <w:kern w:val="1"/>
          <w:sz w:val="22"/>
          <w:szCs w:val="22"/>
        </w:rPr>
        <w:t>Kahaly</w:t>
      </w:r>
      <w:proofErr w:type="spellEnd"/>
      <w:r w:rsidRPr="00DD448A">
        <w:rPr>
          <w:rFonts w:ascii="Arial" w:hAnsi="Arial" w:cs="Arial"/>
          <w:kern w:val="1"/>
          <w:sz w:val="22"/>
          <w:szCs w:val="22"/>
        </w:rPr>
        <w:t xml:space="preserve"> GJ. Highly variable sensitivity of five binding and two bio-assays for TSH-receptor antibodies.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2016;39(10):1159-1165.</w:t>
      </w:r>
    </w:p>
    <w:p w14:paraId="476B0B9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453.</w:t>
      </w:r>
      <w:r w:rsidRPr="00DD448A">
        <w:rPr>
          <w:rFonts w:ascii="Arial" w:hAnsi="Arial" w:cs="Arial"/>
          <w:kern w:val="1"/>
          <w:sz w:val="22"/>
          <w:szCs w:val="22"/>
        </w:rPr>
        <w:tab/>
      </w:r>
      <w:proofErr w:type="spellStart"/>
      <w:r w:rsidRPr="00DD448A">
        <w:rPr>
          <w:rFonts w:ascii="Arial" w:hAnsi="Arial" w:cs="Arial"/>
          <w:kern w:val="1"/>
          <w:sz w:val="22"/>
          <w:szCs w:val="22"/>
        </w:rPr>
        <w:t>Zöphel</w:t>
      </w:r>
      <w:proofErr w:type="spellEnd"/>
      <w:r w:rsidRPr="00DD448A">
        <w:rPr>
          <w:rFonts w:ascii="Arial" w:hAnsi="Arial" w:cs="Arial"/>
          <w:kern w:val="1"/>
          <w:sz w:val="22"/>
          <w:szCs w:val="22"/>
        </w:rPr>
        <w:t xml:space="preserve"> K, Roggenbuck D, Schott M. Clinical review about TRAb assay's history. </w:t>
      </w:r>
      <w:proofErr w:type="spellStart"/>
      <w:r w:rsidRPr="00DD448A">
        <w:rPr>
          <w:rFonts w:ascii="Arial" w:hAnsi="Arial" w:cs="Arial"/>
          <w:iCs/>
          <w:kern w:val="1"/>
          <w:sz w:val="22"/>
          <w:szCs w:val="22"/>
        </w:rPr>
        <w:t>Autoimmun</w:t>
      </w:r>
      <w:proofErr w:type="spellEnd"/>
      <w:r w:rsidRPr="00DD448A">
        <w:rPr>
          <w:rFonts w:ascii="Arial" w:hAnsi="Arial" w:cs="Arial"/>
          <w:iCs/>
          <w:kern w:val="1"/>
          <w:sz w:val="22"/>
          <w:szCs w:val="22"/>
        </w:rPr>
        <w:t xml:space="preserve"> Rev</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2010;9(10):695-700.</w:t>
      </w:r>
    </w:p>
    <w:p w14:paraId="70A7C14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454.</w:t>
      </w:r>
      <w:r w:rsidRPr="00DD448A">
        <w:rPr>
          <w:rFonts w:ascii="Arial" w:hAnsi="Arial" w:cs="Arial"/>
          <w:kern w:val="1"/>
          <w:sz w:val="22"/>
          <w:szCs w:val="22"/>
        </w:rPr>
        <w:tab/>
        <w:t xml:space="preserve">Iida Y, Konishi J, </w:t>
      </w:r>
      <w:proofErr w:type="spellStart"/>
      <w:r w:rsidRPr="00DD448A">
        <w:rPr>
          <w:rFonts w:ascii="Arial" w:hAnsi="Arial" w:cs="Arial"/>
          <w:kern w:val="1"/>
          <w:sz w:val="22"/>
          <w:szCs w:val="22"/>
        </w:rPr>
        <w:t>Kasagi</w:t>
      </w:r>
      <w:proofErr w:type="spellEnd"/>
      <w:r w:rsidRPr="00DD448A">
        <w:rPr>
          <w:rFonts w:ascii="Arial" w:hAnsi="Arial" w:cs="Arial"/>
          <w:kern w:val="1"/>
          <w:sz w:val="22"/>
          <w:szCs w:val="22"/>
        </w:rPr>
        <w:t xml:space="preserve"> K, Kuma K, </w:t>
      </w:r>
      <w:proofErr w:type="spellStart"/>
      <w:r w:rsidRPr="00DD448A">
        <w:rPr>
          <w:rFonts w:ascii="Arial" w:hAnsi="Arial" w:cs="Arial"/>
          <w:kern w:val="1"/>
          <w:sz w:val="22"/>
          <w:szCs w:val="22"/>
        </w:rPr>
        <w:t>Torizuka</w:t>
      </w:r>
      <w:proofErr w:type="spellEnd"/>
      <w:r w:rsidRPr="00DD448A">
        <w:rPr>
          <w:rFonts w:ascii="Arial" w:hAnsi="Arial" w:cs="Arial"/>
          <w:kern w:val="1"/>
          <w:sz w:val="22"/>
          <w:szCs w:val="22"/>
        </w:rPr>
        <w:t xml:space="preserve"> K. Detection of TSH-binding inhibitor immunoglobulins by using the triton-solubilized receptor from human thyroid membranes. </w:t>
      </w:r>
      <w:r w:rsidRPr="00DD448A">
        <w:rPr>
          <w:rFonts w:ascii="Arial" w:hAnsi="Arial" w:cs="Arial"/>
          <w:iCs/>
          <w:kern w:val="1"/>
          <w:sz w:val="22"/>
          <w:szCs w:val="22"/>
        </w:rPr>
        <w:t xml:space="preserve">Endocrinol </w:t>
      </w:r>
      <w:proofErr w:type="spellStart"/>
      <w:r w:rsidRPr="00DD448A">
        <w:rPr>
          <w:rFonts w:ascii="Arial" w:hAnsi="Arial" w:cs="Arial"/>
          <w:iCs/>
          <w:kern w:val="1"/>
          <w:sz w:val="22"/>
          <w:szCs w:val="22"/>
        </w:rPr>
        <w:t>Jpn</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1982;29(2):227-231.</w:t>
      </w:r>
    </w:p>
    <w:p w14:paraId="6EAF519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455.</w:t>
      </w:r>
      <w:r w:rsidRPr="00DD448A">
        <w:rPr>
          <w:rFonts w:ascii="Arial" w:hAnsi="Arial" w:cs="Arial"/>
          <w:kern w:val="1"/>
          <w:sz w:val="22"/>
          <w:szCs w:val="22"/>
        </w:rPr>
        <w:tab/>
        <w:t xml:space="preserve">Ehlers M, </w:t>
      </w:r>
      <w:proofErr w:type="spellStart"/>
      <w:r w:rsidRPr="00DD448A">
        <w:rPr>
          <w:rFonts w:ascii="Arial" w:hAnsi="Arial" w:cs="Arial"/>
          <w:kern w:val="1"/>
          <w:sz w:val="22"/>
          <w:szCs w:val="22"/>
        </w:rPr>
        <w:t>Allelein</w:t>
      </w:r>
      <w:proofErr w:type="spellEnd"/>
      <w:r w:rsidRPr="00DD448A">
        <w:rPr>
          <w:rFonts w:ascii="Arial" w:hAnsi="Arial" w:cs="Arial"/>
          <w:kern w:val="1"/>
          <w:sz w:val="22"/>
          <w:szCs w:val="22"/>
        </w:rPr>
        <w:t xml:space="preserve"> S, Schott M. TSH-receptor autoantibodies: pathophysiology, assay methods, and clinical applications. </w:t>
      </w:r>
      <w:r w:rsidRPr="00DD448A">
        <w:rPr>
          <w:rFonts w:ascii="Arial" w:hAnsi="Arial" w:cs="Arial"/>
          <w:iCs/>
          <w:kern w:val="1"/>
          <w:sz w:val="22"/>
          <w:szCs w:val="22"/>
        </w:rPr>
        <w:t>Minerva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2018;43(3):323-332.</w:t>
      </w:r>
    </w:p>
    <w:p w14:paraId="56DA8EC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456.</w:t>
      </w:r>
      <w:r w:rsidRPr="00DD448A">
        <w:rPr>
          <w:rFonts w:ascii="Arial" w:hAnsi="Arial" w:cs="Arial"/>
          <w:kern w:val="1"/>
          <w:sz w:val="22"/>
          <w:szCs w:val="22"/>
        </w:rPr>
        <w:tab/>
        <w:t xml:space="preserve">Massart C, </w:t>
      </w:r>
      <w:proofErr w:type="spellStart"/>
      <w:r w:rsidRPr="00DD448A">
        <w:rPr>
          <w:rFonts w:ascii="Arial" w:hAnsi="Arial" w:cs="Arial"/>
          <w:kern w:val="1"/>
          <w:sz w:val="22"/>
          <w:szCs w:val="22"/>
        </w:rPr>
        <w:t>Gibassier</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d'Herbomez</w:t>
      </w:r>
      <w:proofErr w:type="spellEnd"/>
      <w:r w:rsidRPr="00DD448A">
        <w:rPr>
          <w:rFonts w:ascii="Arial" w:hAnsi="Arial" w:cs="Arial"/>
          <w:kern w:val="1"/>
          <w:sz w:val="22"/>
          <w:szCs w:val="22"/>
        </w:rPr>
        <w:t xml:space="preserve"> M. Clinical value of M22-based assays for TSH-receptor antibody (TRAb) in the follow-up of antithyroid drug treated Graves' disease: comparison with the second generation human TRAb assay.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2009;407(1-2):62-66.</w:t>
      </w:r>
    </w:p>
    <w:p w14:paraId="19A4890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457.</w:t>
      </w:r>
      <w:r w:rsidRPr="00DD448A">
        <w:rPr>
          <w:rFonts w:ascii="Arial" w:hAnsi="Arial" w:cs="Arial"/>
          <w:kern w:val="1"/>
          <w:sz w:val="22"/>
          <w:szCs w:val="22"/>
        </w:rPr>
        <w:tab/>
        <w:t xml:space="preserve">Smith BR, Sanders J, </w:t>
      </w:r>
      <w:proofErr w:type="spellStart"/>
      <w:r w:rsidRPr="00DD448A">
        <w:rPr>
          <w:rFonts w:ascii="Arial" w:hAnsi="Arial" w:cs="Arial"/>
          <w:kern w:val="1"/>
          <w:sz w:val="22"/>
          <w:szCs w:val="22"/>
        </w:rPr>
        <w:t>Furmaniak</w:t>
      </w:r>
      <w:proofErr w:type="spellEnd"/>
      <w:r w:rsidRPr="00DD448A">
        <w:rPr>
          <w:rFonts w:ascii="Arial" w:hAnsi="Arial" w:cs="Arial"/>
          <w:kern w:val="1"/>
          <w:sz w:val="22"/>
          <w:szCs w:val="22"/>
        </w:rPr>
        <w:t xml:space="preserve"> J. TSH receptor antibodies.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2007;17(10):923-938.</w:t>
      </w:r>
    </w:p>
    <w:p w14:paraId="582929A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458.</w:t>
      </w:r>
      <w:r w:rsidRPr="00DD448A">
        <w:rPr>
          <w:rFonts w:ascii="Arial" w:hAnsi="Arial" w:cs="Arial"/>
          <w:kern w:val="1"/>
          <w:sz w:val="22"/>
          <w:szCs w:val="22"/>
        </w:rPr>
        <w:tab/>
        <w:t xml:space="preserve">Feldt-Rasmussen U, Schleusener H, </w:t>
      </w:r>
      <w:proofErr w:type="spellStart"/>
      <w:r w:rsidRPr="00DD448A">
        <w:rPr>
          <w:rFonts w:ascii="Arial" w:hAnsi="Arial" w:cs="Arial"/>
          <w:kern w:val="1"/>
          <w:sz w:val="22"/>
          <w:szCs w:val="22"/>
        </w:rPr>
        <w:t>Carayon</w:t>
      </w:r>
      <w:proofErr w:type="spellEnd"/>
      <w:r w:rsidRPr="00DD448A">
        <w:rPr>
          <w:rFonts w:ascii="Arial" w:hAnsi="Arial" w:cs="Arial"/>
          <w:kern w:val="1"/>
          <w:sz w:val="22"/>
          <w:szCs w:val="22"/>
        </w:rPr>
        <w:t xml:space="preserve"> P. Meta-analysis evaluation of the impact of thyrotropin receptor antibodies on long term remission after medical therapy of Graves'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1994;78(1):98-102.</w:t>
      </w:r>
    </w:p>
    <w:p w14:paraId="3E30E02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459.</w:t>
      </w:r>
      <w:r w:rsidRPr="00DD448A">
        <w:rPr>
          <w:rFonts w:ascii="Arial" w:hAnsi="Arial" w:cs="Arial"/>
          <w:kern w:val="1"/>
          <w:sz w:val="22"/>
          <w:szCs w:val="22"/>
        </w:rPr>
        <w:tab/>
      </w:r>
      <w:proofErr w:type="spellStart"/>
      <w:r w:rsidRPr="00DD448A">
        <w:rPr>
          <w:rFonts w:ascii="Arial" w:hAnsi="Arial" w:cs="Arial"/>
          <w:kern w:val="1"/>
          <w:sz w:val="22"/>
          <w:szCs w:val="22"/>
        </w:rPr>
        <w:t>Furmaniak</w:t>
      </w:r>
      <w:proofErr w:type="spellEnd"/>
      <w:r w:rsidRPr="00DD448A">
        <w:rPr>
          <w:rFonts w:ascii="Arial" w:hAnsi="Arial" w:cs="Arial"/>
          <w:kern w:val="1"/>
          <w:sz w:val="22"/>
          <w:szCs w:val="22"/>
        </w:rPr>
        <w:t xml:space="preserve"> J, Sanders J, Sanders P, Miller-Gallacher J, Ryder MM, Rees Smith B. Practical applications of studies on the TSH receptor and TSH receptor autoantibodies. </w:t>
      </w:r>
      <w:r w:rsidRPr="00DD448A">
        <w:rPr>
          <w:rFonts w:ascii="Arial" w:hAnsi="Arial" w:cs="Arial"/>
          <w:iCs/>
          <w:kern w:val="1"/>
          <w:sz w:val="22"/>
          <w:szCs w:val="22"/>
        </w:rPr>
        <w:t>Endocrine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2020;68(2):261-264.</w:t>
      </w:r>
    </w:p>
    <w:p w14:paraId="7413761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460.</w:t>
      </w:r>
      <w:r w:rsidRPr="00DD448A">
        <w:rPr>
          <w:rFonts w:ascii="Arial" w:hAnsi="Arial" w:cs="Arial"/>
          <w:kern w:val="1"/>
          <w:sz w:val="22"/>
          <w:szCs w:val="22"/>
        </w:rPr>
        <w:tab/>
        <w:t xml:space="preserve">Evans M, Sanders J, Tagami T, Sanders P, Young S, Roberts E, Wilmot J, Hu X, </w:t>
      </w:r>
      <w:proofErr w:type="spellStart"/>
      <w:r w:rsidRPr="00DD448A">
        <w:rPr>
          <w:rFonts w:ascii="Arial" w:hAnsi="Arial" w:cs="Arial"/>
          <w:kern w:val="1"/>
          <w:sz w:val="22"/>
          <w:szCs w:val="22"/>
        </w:rPr>
        <w:t>Kabelis</w:t>
      </w:r>
      <w:proofErr w:type="spellEnd"/>
      <w:r w:rsidRPr="00DD448A">
        <w:rPr>
          <w:rFonts w:ascii="Arial" w:hAnsi="Arial" w:cs="Arial"/>
          <w:kern w:val="1"/>
          <w:sz w:val="22"/>
          <w:szCs w:val="22"/>
        </w:rPr>
        <w:t xml:space="preserve"> K, Clark J, Holl S, Richards T, Collyer A, </w:t>
      </w:r>
      <w:proofErr w:type="spellStart"/>
      <w:r w:rsidRPr="00DD448A">
        <w:rPr>
          <w:rFonts w:ascii="Arial" w:hAnsi="Arial" w:cs="Arial"/>
          <w:kern w:val="1"/>
          <w:sz w:val="22"/>
          <w:szCs w:val="22"/>
        </w:rPr>
        <w:t>Furmaniak</w:t>
      </w:r>
      <w:proofErr w:type="spellEnd"/>
      <w:r w:rsidRPr="00DD448A">
        <w:rPr>
          <w:rFonts w:ascii="Arial" w:hAnsi="Arial" w:cs="Arial"/>
          <w:kern w:val="1"/>
          <w:sz w:val="22"/>
          <w:szCs w:val="22"/>
        </w:rPr>
        <w:t xml:space="preserve"> J, Smith BR. Monoclonal autoantibodies to the TSH receptor, one with stimulating activity and one with blocking activity, obtained from the same blood sample.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2010;73(3):404-412.</w:t>
      </w:r>
    </w:p>
    <w:p w14:paraId="29A5D58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461.</w:t>
      </w:r>
      <w:r w:rsidRPr="00DD448A">
        <w:rPr>
          <w:rFonts w:ascii="Arial" w:hAnsi="Arial" w:cs="Arial"/>
          <w:kern w:val="1"/>
          <w:sz w:val="22"/>
          <w:szCs w:val="22"/>
        </w:rPr>
        <w:tab/>
        <w:t xml:space="preserve">Takamura Y, Nakano K, Uruno T, Ito Y, Miya A, Kobayashi K, </w:t>
      </w:r>
      <w:proofErr w:type="spellStart"/>
      <w:r w:rsidRPr="00DD448A">
        <w:rPr>
          <w:rFonts w:ascii="Arial" w:hAnsi="Arial" w:cs="Arial"/>
          <w:kern w:val="1"/>
          <w:sz w:val="22"/>
          <w:szCs w:val="22"/>
        </w:rPr>
        <w:t>Yokozawa</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Matsuzuka</w:t>
      </w:r>
      <w:proofErr w:type="spellEnd"/>
      <w:r w:rsidRPr="00DD448A">
        <w:rPr>
          <w:rFonts w:ascii="Arial" w:hAnsi="Arial" w:cs="Arial"/>
          <w:kern w:val="1"/>
          <w:sz w:val="22"/>
          <w:szCs w:val="22"/>
        </w:rPr>
        <w:t xml:space="preserve"> F, Kuma K, Miyauchi A. Changes in serum TSH receptor antibody (TRAb) values in patients with Graves' disease after total or subtotal thyroidectomy.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2003;50(5):595-601.</w:t>
      </w:r>
    </w:p>
    <w:p w14:paraId="59FD640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462.</w:t>
      </w:r>
      <w:r w:rsidRPr="00DD448A">
        <w:rPr>
          <w:rFonts w:ascii="Arial" w:hAnsi="Arial" w:cs="Arial"/>
          <w:kern w:val="1"/>
          <w:sz w:val="22"/>
          <w:szCs w:val="22"/>
        </w:rPr>
        <w:tab/>
        <w:t xml:space="preserve">Carella C, Mazziotti G, Sorvillo F, Piscopo M, Cioffi M, Pilla P, </w:t>
      </w:r>
      <w:proofErr w:type="spellStart"/>
      <w:r w:rsidRPr="00DD448A">
        <w:rPr>
          <w:rFonts w:ascii="Arial" w:hAnsi="Arial" w:cs="Arial"/>
          <w:kern w:val="1"/>
          <w:sz w:val="22"/>
          <w:szCs w:val="22"/>
        </w:rPr>
        <w:t>Nersita</w:t>
      </w:r>
      <w:proofErr w:type="spellEnd"/>
      <w:r w:rsidRPr="00DD448A">
        <w:rPr>
          <w:rFonts w:ascii="Arial" w:hAnsi="Arial" w:cs="Arial"/>
          <w:kern w:val="1"/>
          <w:sz w:val="22"/>
          <w:szCs w:val="22"/>
        </w:rPr>
        <w:t xml:space="preserve"> R, Iorio S, Amato G, Braverman LE, Roti E. Serum thyrotropin receptor antibodies concentrations in patients with Graves' disease before, at the end of methimazole treatment, and after drug withdrawal: evidence that the activity of thyrotropin receptor antibody and/or thyroid response modify during the observation period.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2006;16(3):295-302.</w:t>
      </w:r>
    </w:p>
    <w:p w14:paraId="68F40F8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463.</w:t>
      </w:r>
      <w:r w:rsidRPr="00DD448A">
        <w:rPr>
          <w:rFonts w:ascii="Arial" w:hAnsi="Arial" w:cs="Arial"/>
          <w:kern w:val="1"/>
          <w:sz w:val="22"/>
          <w:szCs w:val="22"/>
        </w:rPr>
        <w:tab/>
        <w:t xml:space="preserve">Giuliani C, Cerrone D, Harii N, Thornton M, Kohn LD, </w:t>
      </w:r>
      <w:proofErr w:type="spellStart"/>
      <w:r w:rsidRPr="00DD448A">
        <w:rPr>
          <w:rFonts w:ascii="Arial" w:hAnsi="Arial" w:cs="Arial"/>
          <w:kern w:val="1"/>
          <w:sz w:val="22"/>
          <w:szCs w:val="22"/>
        </w:rPr>
        <w:t>Dagia</w:t>
      </w:r>
      <w:proofErr w:type="spellEnd"/>
      <w:r w:rsidRPr="00DD448A">
        <w:rPr>
          <w:rFonts w:ascii="Arial" w:hAnsi="Arial" w:cs="Arial"/>
          <w:kern w:val="1"/>
          <w:sz w:val="22"/>
          <w:szCs w:val="22"/>
        </w:rPr>
        <w:t xml:space="preserve"> NM, Bucci I, Carpentieri M, Di Nenno B, Di Blasio A, Vitti P, Monaco F, Napolitano G. A TSHR-LH/CGR chimera that measures functional thyroid-stimulating autoantibodies (</w:t>
      </w:r>
      <w:proofErr w:type="spellStart"/>
      <w:r w:rsidRPr="00DD448A">
        <w:rPr>
          <w:rFonts w:ascii="Arial" w:hAnsi="Arial" w:cs="Arial"/>
          <w:kern w:val="1"/>
          <w:sz w:val="22"/>
          <w:szCs w:val="22"/>
        </w:rPr>
        <w:t>TSAb</w:t>
      </w:r>
      <w:proofErr w:type="spellEnd"/>
      <w:r w:rsidRPr="00DD448A">
        <w:rPr>
          <w:rFonts w:ascii="Arial" w:hAnsi="Arial" w:cs="Arial"/>
          <w:kern w:val="1"/>
          <w:sz w:val="22"/>
          <w:szCs w:val="22"/>
        </w:rPr>
        <w:t xml:space="preserve">) can predict remission or recurrence in Graves' patients undergoing antithyroid drug (ATD) treatment.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2012;97(7):E1080-1087.</w:t>
      </w:r>
    </w:p>
    <w:p w14:paraId="7605835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464.</w:t>
      </w:r>
      <w:r w:rsidRPr="00DD448A">
        <w:rPr>
          <w:rFonts w:ascii="Arial" w:hAnsi="Arial" w:cs="Arial"/>
          <w:kern w:val="1"/>
          <w:sz w:val="22"/>
          <w:szCs w:val="22"/>
        </w:rPr>
        <w:tab/>
        <w:t xml:space="preserve">McKenzie JM, Zakarija M. Fetal and neonatal hyperthyroidism and hypothyroidism due to maternal TSH receptor antibodies.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1992;2(2):155-159.</w:t>
      </w:r>
    </w:p>
    <w:p w14:paraId="4C8C88C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465.</w:t>
      </w:r>
      <w:r w:rsidRPr="00DD448A">
        <w:rPr>
          <w:rFonts w:ascii="Arial" w:hAnsi="Arial" w:cs="Arial"/>
          <w:kern w:val="1"/>
          <w:sz w:val="22"/>
          <w:szCs w:val="22"/>
        </w:rPr>
        <w:tab/>
        <w:t xml:space="preserve">Nor Azlin MI, Bakin YD, Mustafa N, Wahab NA, Johari MJ, Kamarudin NA, Jamil MA. Thyroid autoantibodies and associated complications during pregnancy.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Obstet</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Gynaecol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2010;30(7):675-678.</w:t>
      </w:r>
    </w:p>
    <w:p w14:paraId="4667406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466.</w:t>
      </w:r>
      <w:r w:rsidRPr="00DD448A">
        <w:rPr>
          <w:rFonts w:ascii="Arial" w:hAnsi="Arial" w:cs="Arial"/>
          <w:kern w:val="1"/>
          <w:sz w:val="22"/>
          <w:szCs w:val="22"/>
        </w:rPr>
        <w:tab/>
        <w:t xml:space="preserve">Hamada N, </w:t>
      </w:r>
      <w:proofErr w:type="spellStart"/>
      <w:r w:rsidRPr="00DD448A">
        <w:rPr>
          <w:rFonts w:ascii="Arial" w:hAnsi="Arial" w:cs="Arial"/>
          <w:kern w:val="1"/>
          <w:sz w:val="22"/>
          <w:szCs w:val="22"/>
        </w:rPr>
        <w:t>Momotani</w:t>
      </w:r>
      <w:proofErr w:type="spellEnd"/>
      <w:r w:rsidRPr="00DD448A">
        <w:rPr>
          <w:rFonts w:ascii="Arial" w:hAnsi="Arial" w:cs="Arial"/>
          <w:kern w:val="1"/>
          <w:sz w:val="22"/>
          <w:szCs w:val="22"/>
        </w:rPr>
        <w:t xml:space="preserve"> N, Ishikawa N, Yoshimura Noh J, Okamoto Y, Konishi T, Ito K, Ito K. Persistent high TRAb values during pregnancy predict increased risk of neonatal hyperthyroidism following radioiodine therapy for refractory hyperthyroidism.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2011;58(1):55-58.</w:t>
      </w:r>
    </w:p>
    <w:p w14:paraId="021DDB8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467.</w:t>
      </w:r>
      <w:r w:rsidRPr="00DD448A">
        <w:rPr>
          <w:rFonts w:ascii="Arial" w:hAnsi="Arial" w:cs="Arial"/>
          <w:kern w:val="1"/>
          <w:sz w:val="22"/>
          <w:szCs w:val="22"/>
        </w:rPr>
        <w:tab/>
      </w:r>
      <w:proofErr w:type="spellStart"/>
      <w:r w:rsidRPr="00DD448A">
        <w:rPr>
          <w:rFonts w:ascii="Arial" w:hAnsi="Arial" w:cs="Arial"/>
          <w:kern w:val="1"/>
          <w:sz w:val="22"/>
          <w:szCs w:val="22"/>
        </w:rPr>
        <w:t>Heithorn</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Hauffa</w:t>
      </w:r>
      <w:proofErr w:type="spellEnd"/>
      <w:r w:rsidRPr="00DD448A">
        <w:rPr>
          <w:rFonts w:ascii="Arial" w:hAnsi="Arial" w:cs="Arial"/>
          <w:kern w:val="1"/>
          <w:sz w:val="22"/>
          <w:szCs w:val="22"/>
        </w:rPr>
        <w:t xml:space="preserve"> BP, </w:t>
      </w:r>
      <w:proofErr w:type="spellStart"/>
      <w:r w:rsidRPr="00DD448A">
        <w:rPr>
          <w:rFonts w:ascii="Arial" w:hAnsi="Arial" w:cs="Arial"/>
          <w:kern w:val="1"/>
          <w:sz w:val="22"/>
          <w:szCs w:val="22"/>
        </w:rPr>
        <w:t>Reinwein</w:t>
      </w:r>
      <w:proofErr w:type="spellEnd"/>
      <w:r w:rsidRPr="00DD448A">
        <w:rPr>
          <w:rFonts w:ascii="Arial" w:hAnsi="Arial" w:cs="Arial"/>
          <w:kern w:val="1"/>
          <w:sz w:val="22"/>
          <w:szCs w:val="22"/>
        </w:rPr>
        <w:t xml:space="preserve"> D. Thyroid antibodies in children of mothers with autoimmune thyroid disorders.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w:t>
      </w:r>
      <w:proofErr w:type="spellStart"/>
      <w:r w:rsidRPr="00DD448A">
        <w:rPr>
          <w:rFonts w:ascii="Arial" w:hAnsi="Arial" w:cs="Arial"/>
          <w:iCs/>
          <w:kern w:val="1"/>
          <w:sz w:val="22"/>
          <w:szCs w:val="22"/>
        </w:rPr>
        <w:t>Pediatr</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1999;158:24-28.</w:t>
      </w:r>
    </w:p>
    <w:p w14:paraId="4E7A868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468.</w:t>
      </w:r>
      <w:r w:rsidRPr="00DD448A">
        <w:rPr>
          <w:rFonts w:ascii="Arial" w:hAnsi="Arial" w:cs="Arial"/>
          <w:kern w:val="1"/>
          <w:sz w:val="22"/>
          <w:szCs w:val="22"/>
        </w:rPr>
        <w:tab/>
      </w:r>
      <w:proofErr w:type="spellStart"/>
      <w:r w:rsidRPr="00DD448A">
        <w:rPr>
          <w:rFonts w:ascii="Arial" w:hAnsi="Arial" w:cs="Arial"/>
          <w:kern w:val="1"/>
          <w:sz w:val="22"/>
          <w:szCs w:val="22"/>
        </w:rPr>
        <w:t>Abeillon</w:t>
      </w:r>
      <w:proofErr w:type="spellEnd"/>
      <w:r w:rsidRPr="00DD448A">
        <w:rPr>
          <w:rFonts w:ascii="Arial" w:hAnsi="Arial" w:cs="Arial"/>
          <w:kern w:val="1"/>
          <w:sz w:val="22"/>
          <w:szCs w:val="22"/>
        </w:rPr>
        <w:t xml:space="preserve">-du </w:t>
      </w:r>
      <w:proofErr w:type="spellStart"/>
      <w:r w:rsidRPr="00DD448A">
        <w:rPr>
          <w:rFonts w:ascii="Arial" w:hAnsi="Arial" w:cs="Arial"/>
          <w:kern w:val="1"/>
          <w:sz w:val="22"/>
          <w:szCs w:val="22"/>
        </w:rPr>
        <w:t>Payrat</w:t>
      </w:r>
      <w:proofErr w:type="spellEnd"/>
      <w:r w:rsidRPr="00DD448A">
        <w:rPr>
          <w:rFonts w:ascii="Arial" w:hAnsi="Arial" w:cs="Arial"/>
          <w:kern w:val="1"/>
          <w:sz w:val="22"/>
          <w:szCs w:val="22"/>
        </w:rPr>
        <w:t xml:space="preserve"> J, Chikh K, Bossard N, </w:t>
      </w:r>
      <w:proofErr w:type="spellStart"/>
      <w:r w:rsidRPr="00DD448A">
        <w:rPr>
          <w:rFonts w:ascii="Arial" w:hAnsi="Arial" w:cs="Arial"/>
          <w:kern w:val="1"/>
          <w:sz w:val="22"/>
          <w:szCs w:val="22"/>
        </w:rPr>
        <w:t>Bretones</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Gaucherand</w:t>
      </w:r>
      <w:proofErr w:type="spellEnd"/>
      <w:r w:rsidRPr="00DD448A">
        <w:rPr>
          <w:rFonts w:ascii="Arial" w:hAnsi="Arial" w:cs="Arial"/>
          <w:kern w:val="1"/>
          <w:sz w:val="22"/>
          <w:szCs w:val="22"/>
        </w:rPr>
        <w:t xml:space="preserve"> P, Claris O, </w:t>
      </w:r>
      <w:proofErr w:type="spellStart"/>
      <w:r w:rsidRPr="00DD448A">
        <w:rPr>
          <w:rFonts w:ascii="Arial" w:hAnsi="Arial" w:cs="Arial"/>
          <w:kern w:val="1"/>
          <w:sz w:val="22"/>
          <w:szCs w:val="22"/>
        </w:rPr>
        <w:t>Charrié</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Raverot</w:t>
      </w:r>
      <w:proofErr w:type="spellEnd"/>
      <w:r w:rsidRPr="00DD448A">
        <w:rPr>
          <w:rFonts w:ascii="Arial" w:hAnsi="Arial" w:cs="Arial"/>
          <w:kern w:val="1"/>
          <w:sz w:val="22"/>
          <w:szCs w:val="22"/>
        </w:rPr>
        <w:t xml:space="preserve"> V, </w:t>
      </w:r>
      <w:proofErr w:type="spellStart"/>
      <w:r w:rsidRPr="00DD448A">
        <w:rPr>
          <w:rFonts w:ascii="Arial" w:hAnsi="Arial" w:cs="Arial"/>
          <w:kern w:val="1"/>
          <w:sz w:val="22"/>
          <w:szCs w:val="22"/>
        </w:rPr>
        <w:t>Orgiazzi</w:t>
      </w:r>
      <w:proofErr w:type="spellEnd"/>
      <w:r w:rsidRPr="00DD448A">
        <w:rPr>
          <w:rFonts w:ascii="Arial" w:hAnsi="Arial" w:cs="Arial"/>
          <w:kern w:val="1"/>
          <w:sz w:val="22"/>
          <w:szCs w:val="22"/>
        </w:rPr>
        <w:t xml:space="preserve"> J, Borson-</w:t>
      </w:r>
      <w:proofErr w:type="spellStart"/>
      <w:r w:rsidRPr="00DD448A">
        <w:rPr>
          <w:rFonts w:ascii="Arial" w:hAnsi="Arial" w:cs="Arial"/>
          <w:kern w:val="1"/>
          <w:sz w:val="22"/>
          <w:szCs w:val="22"/>
        </w:rPr>
        <w:t>Chazot</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Bournaud</w:t>
      </w:r>
      <w:proofErr w:type="spellEnd"/>
      <w:r w:rsidRPr="00DD448A">
        <w:rPr>
          <w:rFonts w:ascii="Arial" w:hAnsi="Arial" w:cs="Arial"/>
          <w:kern w:val="1"/>
          <w:sz w:val="22"/>
          <w:szCs w:val="22"/>
        </w:rPr>
        <w:t xml:space="preserve"> C. Predictive value of maternal second-generation thyroid-binding inhibitory immunoglobulin assay for neonatal autoimmune hyperthyroidism.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2014;171(4):451-460.</w:t>
      </w:r>
    </w:p>
    <w:p w14:paraId="4D88D34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469.</w:t>
      </w:r>
      <w:r w:rsidRPr="00DD448A">
        <w:rPr>
          <w:rFonts w:ascii="Arial" w:hAnsi="Arial" w:cs="Arial"/>
          <w:kern w:val="1"/>
          <w:sz w:val="22"/>
          <w:szCs w:val="22"/>
        </w:rPr>
        <w:tab/>
        <w:t xml:space="preserve">Tokuda Y, </w:t>
      </w:r>
      <w:proofErr w:type="spellStart"/>
      <w:r w:rsidRPr="00DD448A">
        <w:rPr>
          <w:rFonts w:ascii="Arial" w:hAnsi="Arial" w:cs="Arial"/>
          <w:kern w:val="1"/>
          <w:sz w:val="22"/>
          <w:szCs w:val="22"/>
        </w:rPr>
        <w:t>Kasagi</w:t>
      </w:r>
      <w:proofErr w:type="spellEnd"/>
      <w:r w:rsidRPr="00DD448A">
        <w:rPr>
          <w:rFonts w:ascii="Arial" w:hAnsi="Arial" w:cs="Arial"/>
          <w:kern w:val="1"/>
          <w:sz w:val="22"/>
          <w:szCs w:val="22"/>
        </w:rPr>
        <w:t xml:space="preserve"> K, Iida Y, </w:t>
      </w:r>
      <w:proofErr w:type="spellStart"/>
      <w:r w:rsidRPr="00DD448A">
        <w:rPr>
          <w:rFonts w:ascii="Arial" w:hAnsi="Arial" w:cs="Arial"/>
          <w:kern w:val="1"/>
          <w:sz w:val="22"/>
          <w:szCs w:val="22"/>
        </w:rPr>
        <w:t>Hatabu</w:t>
      </w:r>
      <w:proofErr w:type="spellEnd"/>
      <w:r w:rsidRPr="00DD448A">
        <w:rPr>
          <w:rFonts w:ascii="Arial" w:hAnsi="Arial" w:cs="Arial"/>
          <w:kern w:val="1"/>
          <w:sz w:val="22"/>
          <w:szCs w:val="22"/>
        </w:rPr>
        <w:t xml:space="preserve"> H, Hidaka A, Misaki T, Konishi J. Sensitive, practical bioassay of thyrotropin, with use of FRTL-5 thyroid cells and magnetizable solid-phase-bound antibodies.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1988;34(11):2360-2364.</w:t>
      </w:r>
    </w:p>
    <w:p w14:paraId="151D0AA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470.</w:t>
      </w:r>
      <w:r w:rsidRPr="00DD448A">
        <w:rPr>
          <w:rFonts w:ascii="Arial" w:hAnsi="Arial" w:cs="Arial"/>
          <w:kern w:val="1"/>
          <w:sz w:val="22"/>
          <w:szCs w:val="22"/>
        </w:rPr>
        <w:tab/>
        <w:t xml:space="preserve">Morris JC, 3rd, Hay ID, Nelson RE, Jiang NS. Clinical utility of thyrotropin-receptor antibody assays: comparison of radioreceptor and bioassay methods. </w:t>
      </w:r>
      <w:r w:rsidRPr="00DD448A">
        <w:rPr>
          <w:rFonts w:ascii="Arial" w:hAnsi="Arial" w:cs="Arial"/>
          <w:iCs/>
          <w:kern w:val="1"/>
          <w:sz w:val="22"/>
          <w:szCs w:val="22"/>
        </w:rPr>
        <w:t>Mayo Clin Proc</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1988;63(7):707-717.</w:t>
      </w:r>
    </w:p>
    <w:p w14:paraId="162F732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471.</w:t>
      </w:r>
      <w:r w:rsidRPr="00DD448A">
        <w:rPr>
          <w:rFonts w:ascii="Arial" w:hAnsi="Arial" w:cs="Arial"/>
          <w:kern w:val="1"/>
          <w:sz w:val="22"/>
          <w:szCs w:val="22"/>
        </w:rPr>
        <w:tab/>
      </w:r>
      <w:proofErr w:type="spellStart"/>
      <w:r w:rsidRPr="00DD448A">
        <w:rPr>
          <w:rFonts w:ascii="Arial" w:hAnsi="Arial" w:cs="Arial"/>
          <w:kern w:val="1"/>
          <w:sz w:val="22"/>
          <w:szCs w:val="22"/>
        </w:rPr>
        <w:t>Michelangeli</w:t>
      </w:r>
      <w:proofErr w:type="spellEnd"/>
      <w:r w:rsidRPr="00DD448A">
        <w:rPr>
          <w:rFonts w:ascii="Arial" w:hAnsi="Arial" w:cs="Arial"/>
          <w:kern w:val="1"/>
          <w:sz w:val="22"/>
          <w:szCs w:val="22"/>
        </w:rPr>
        <w:t xml:space="preserve"> VP, Munro DS, Poon CW, </w:t>
      </w:r>
      <w:proofErr w:type="spellStart"/>
      <w:r w:rsidRPr="00DD448A">
        <w:rPr>
          <w:rFonts w:ascii="Arial" w:hAnsi="Arial" w:cs="Arial"/>
          <w:kern w:val="1"/>
          <w:sz w:val="22"/>
          <w:szCs w:val="22"/>
        </w:rPr>
        <w:t>Frauman</w:t>
      </w:r>
      <w:proofErr w:type="spellEnd"/>
      <w:r w:rsidRPr="00DD448A">
        <w:rPr>
          <w:rFonts w:ascii="Arial" w:hAnsi="Arial" w:cs="Arial"/>
          <w:kern w:val="1"/>
          <w:sz w:val="22"/>
          <w:szCs w:val="22"/>
        </w:rPr>
        <w:t xml:space="preserve"> AG, Colman PG. Measurement of thyroid stimulating immunoglobulins in a new cell line transfected with a functional human TSH receptor (JPO9 cells), compared with an assay using FRTL-5 cells.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1994;40(5):645-652.</w:t>
      </w:r>
    </w:p>
    <w:p w14:paraId="3562678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472.</w:t>
      </w:r>
      <w:r w:rsidRPr="00DD448A">
        <w:rPr>
          <w:rFonts w:ascii="Arial" w:hAnsi="Arial" w:cs="Arial"/>
          <w:kern w:val="1"/>
          <w:sz w:val="22"/>
          <w:szCs w:val="22"/>
        </w:rPr>
        <w:tab/>
      </w:r>
      <w:proofErr w:type="spellStart"/>
      <w:r w:rsidRPr="00DD448A">
        <w:rPr>
          <w:rFonts w:ascii="Arial" w:hAnsi="Arial" w:cs="Arial"/>
          <w:kern w:val="1"/>
          <w:sz w:val="22"/>
          <w:szCs w:val="22"/>
        </w:rPr>
        <w:t>Michelangeli</w:t>
      </w:r>
      <w:proofErr w:type="spellEnd"/>
      <w:r w:rsidRPr="00DD448A">
        <w:rPr>
          <w:rFonts w:ascii="Arial" w:hAnsi="Arial" w:cs="Arial"/>
          <w:kern w:val="1"/>
          <w:sz w:val="22"/>
          <w:szCs w:val="22"/>
        </w:rPr>
        <w:t xml:space="preserve"> VP, Poon CW, Arnus EE, </w:t>
      </w:r>
      <w:proofErr w:type="spellStart"/>
      <w:r w:rsidRPr="00DD448A">
        <w:rPr>
          <w:rFonts w:ascii="Arial" w:hAnsi="Arial" w:cs="Arial"/>
          <w:kern w:val="1"/>
          <w:sz w:val="22"/>
          <w:szCs w:val="22"/>
        </w:rPr>
        <w:t>Frauman</w:t>
      </w:r>
      <w:proofErr w:type="spellEnd"/>
      <w:r w:rsidRPr="00DD448A">
        <w:rPr>
          <w:rFonts w:ascii="Arial" w:hAnsi="Arial" w:cs="Arial"/>
          <w:kern w:val="1"/>
          <w:sz w:val="22"/>
          <w:szCs w:val="22"/>
        </w:rPr>
        <w:t xml:space="preserve"> AG, Connelly J, Colman PG. Measurement of TSH receptor blocking immunoglobulins using 3H-adenine incorporation into FRTL-5 and JPO9 cells: use in a child with neonatal hypothyroidism.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1995;42(1):39-44.</w:t>
      </w:r>
    </w:p>
    <w:p w14:paraId="1B2997C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473.</w:t>
      </w:r>
      <w:r w:rsidRPr="00DD448A">
        <w:rPr>
          <w:rFonts w:ascii="Arial" w:hAnsi="Arial" w:cs="Arial"/>
          <w:kern w:val="1"/>
          <w:sz w:val="22"/>
          <w:szCs w:val="22"/>
        </w:rPr>
        <w:tab/>
        <w:t xml:space="preserve">Morgenthaler NG, Pampel I, Aust G, </w:t>
      </w:r>
      <w:proofErr w:type="spellStart"/>
      <w:r w:rsidRPr="00DD448A">
        <w:rPr>
          <w:rFonts w:ascii="Arial" w:hAnsi="Arial" w:cs="Arial"/>
          <w:kern w:val="1"/>
          <w:sz w:val="22"/>
          <w:szCs w:val="22"/>
        </w:rPr>
        <w:t>Seissler</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Scherbaum</w:t>
      </w:r>
      <w:proofErr w:type="spellEnd"/>
      <w:r w:rsidRPr="00DD448A">
        <w:rPr>
          <w:rFonts w:ascii="Arial" w:hAnsi="Arial" w:cs="Arial"/>
          <w:kern w:val="1"/>
          <w:sz w:val="22"/>
          <w:szCs w:val="22"/>
        </w:rPr>
        <w:t xml:space="preserve"> WA. Application of a bioassay with CHO cells for the routine detection of stimulating and blocking autoantibodies to the TSH-receptor. </w:t>
      </w:r>
      <w:r w:rsidRPr="00DD448A">
        <w:rPr>
          <w:rFonts w:ascii="Arial" w:hAnsi="Arial" w:cs="Arial"/>
          <w:iCs/>
          <w:kern w:val="1"/>
          <w:sz w:val="22"/>
          <w:szCs w:val="22"/>
        </w:rPr>
        <w:t xml:space="preserve">Horm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1998;30(3):162-168.</w:t>
      </w:r>
    </w:p>
    <w:p w14:paraId="25AFA36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474.</w:t>
      </w:r>
      <w:r w:rsidRPr="00DD448A">
        <w:rPr>
          <w:rFonts w:ascii="Arial" w:hAnsi="Arial" w:cs="Arial"/>
          <w:kern w:val="1"/>
          <w:sz w:val="22"/>
          <w:szCs w:val="22"/>
        </w:rPr>
        <w:tab/>
        <w:t xml:space="preserve">McLachlan SM, Rapoport B. Thyroid peroxidase autoantibody epitopes revisited*.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2008;69(4):526-527.</w:t>
      </w:r>
    </w:p>
    <w:p w14:paraId="5E1D5E0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475.</w:t>
      </w:r>
      <w:r w:rsidRPr="00DD448A">
        <w:rPr>
          <w:rFonts w:ascii="Arial" w:hAnsi="Arial" w:cs="Arial"/>
          <w:kern w:val="1"/>
          <w:sz w:val="22"/>
          <w:szCs w:val="22"/>
        </w:rPr>
        <w:tab/>
      </w:r>
      <w:proofErr w:type="spellStart"/>
      <w:r w:rsidRPr="00DD448A">
        <w:rPr>
          <w:rFonts w:ascii="Arial" w:hAnsi="Arial" w:cs="Arial"/>
          <w:kern w:val="1"/>
          <w:sz w:val="22"/>
          <w:szCs w:val="22"/>
        </w:rPr>
        <w:t>Paparodis</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Livadas</w:t>
      </w:r>
      <w:proofErr w:type="spellEnd"/>
      <w:r w:rsidRPr="00DD448A">
        <w:rPr>
          <w:rFonts w:ascii="Arial" w:hAnsi="Arial" w:cs="Arial"/>
          <w:kern w:val="1"/>
          <w:sz w:val="22"/>
          <w:szCs w:val="22"/>
        </w:rPr>
        <w:t xml:space="preserve"> S, Karvounis E, </w:t>
      </w:r>
      <w:proofErr w:type="spellStart"/>
      <w:r w:rsidRPr="00DD448A">
        <w:rPr>
          <w:rFonts w:ascii="Arial" w:hAnsi="Arial" w:cs="Arial"/>
          <w:kern w:val="1"/>
          <w:sz w:val="22"/>
          <w:szCs w:val="22"/>
        </w:rPr>
        <w:t>Bantouna</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Zoupas</w:t>
      </w:r>
      <w:proofErr w:type="spellEnd"/>
      <w:r w:rsidRPr="00DD448A">
        <w:rPr>
          <w:rFonts w:ascii="Arial" w:hAnsi="Arial" w:cs="Arial"/>
          <w:kern w:val="1"/>
          <w:sz w:val="22"/>
          <w:szCs w:val="22"/>
        </w:rPr>
        <w:t xml:space="preserve"> I, Angelopoulos N, Imam S, Jaume JC. Elevated Preoperative TPO Ab Titers Decrease Risk for DTC in a Linear Fashion: A Retrospective Analysis of 1635 Cases.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2023;109(1):e347-e355.</w:t>
      </w:r>
    </w:p>
    <w:p w14:paraId="27ADB6D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476.</w:t>
      </w:r>
      <w:r w:rsidRPr="00DD448A">
        <w:rPr>
          <w:rFonts w:ascii="Arial" w:hAnsi="Arial" w:cs="Arial"/>
          <w:kern w:val="1"/>
          <w:sz w:val="22"/>
          <w:szCs w:val="22"/>
        </w:rPr>
        <w:tab/>
        <w:t xml:space="preserve">Jaume JC, Burek CL, Hoffman WH, Rose NR, McLachlan SM, Rapoport B. Thyroid peroxidase autoantibody </w:t>
      </w:r>
      <w:proofErr w:type="spellStart"/>
      <w:r w:rsidRPr="00DD448A">
        <w:rPr>
          <w:rFonts w:ascii="Arial" w:hAnsi="Arial" w:cs="Arial"/>
          <w:kern w:val="1"/>
          <w:sz w:val="22"/>
          <w:szCs w:val="22"/>
        </w:rPr>
        <w:t>epitopic</w:t>
      </w:r>
      <w:proofErr w:type="spellEnd"/>
      <w:r w:rsidRPr="00DD448A">
        <w:rPr>
          <w:rFonts w:ascii="Arial" w:hAnsi="Arial" w:cs="Arial"/>
          <w:kern w:val="1"/>
          <w:sz w:val="22"/>
          <w:szCs w:val="22"/>
        </w:rPr>
        <w:t xml:space="preserve"> 'fingerprints' in juvenile Hashimoto's thyroiditis: evidence for conservation over time and in families. </w:t>
      </w:r>
      <w:r w:rsidRPr="00DD448A">
        <w:rPr>
          <w:rFonts w:ascii="Arial" w:hAnsi="Arial" w:cs="Arial"/>
          <w:iCs/>
          <w:kern w:val="1"/>
          <w:sz w:val="22"/>
          <w:szCs w:val="22"/>
        </w:rPr>
        <w:t>Clin Exp Immunol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1996;104(1):115-123.</w:t>
      </w:r>
    </w:p>
    <w:p w14:paraId="4E4C570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477.</w:t>
      </w:r>
      <w:r w:rsidRPr="00DD448A">
        <w:rPr>
          <w:rFonts w:ascii="Arial" w:hAnsi="Arial" w:cs="Arial"/>
          <w:kern w:val="1"/>
          <w:sz w:val="22"/>
          <w:szCs w:val="22"/>
        </w:rPr>
        <w:tab/>
        <w:t xml:space="preserve">Ehlers M, Thiel A, Bernecker C, </w:t>
      </w:r>
      <w:proofErr w:type="spellStart"/>
      <w:r w:rsidRPr="00DD448A">
        <w:rPr>
          <w:rFonts w:ascii="Arial" w:hAnsi="Arial" w:cs="Arial"/>
          <w:kern w:val="1"/>
          <w:sz w:val="22"/>
          <w:szCs w:val="22"/>
        </w:rPr>
        <w:t>Porwol</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Papewalis</w:t>
      </w:r>
      <w:proofErr w:type="spellEnd"/>
      <w:r w:rsidRPr="00DD448A">
        <w:rPr>
          <w:rFonts w:ascii="Arial" w:hAnsi="Arial" w:cs="Arial"/>
          <w:kern w:val="1"/>
          <w:sz w:val="22"/>
          <w:szCs w:val="22"/>
        </w:rPr>
        <w:t xml:space="preserve"> C, Willenberg HS, Schinner S, </w:t>
      </w:r>
      <w:proofErr w:type="spellStart"/>
      <w:r w:rsidRPr="00DD448A">
        <w:rPr>
          <w:rFonts w:ascii="Arial" w:hAnsi="Arial" w:cs="Arial"/>
          <w:kern w:val="1"/>
          <w:sz w:val="22"/>
          <w:szCs w:val="22"/>
        </w:rPr>
        <w:t>Hautzel</w:t>
      </w:r>
      <w:proofErr w:type="spellEnd"/>
      <w:r w:rsidRPr="00DD448A">
        <w:rPr>
          <w:rFonts w:ascii="Arial" w:hAnsi="Arial" w:cs="Arial"/>
          <w:kern w:val="1"/>
          <w:sz w:val="22"/>
          <w:szCs w:val="22"/>
        </w:rPr>
        <w:t xml:space="preserve"> H, </w:t>
      </w:r>
      <w:proofErr w:type="spellStart"/>
      <w:r w:rsidRPr="00DD448A">
        <w:rPr>
          <w:rFonts w:ascii="Arial" w:hAnsi="Arial" w:cs="Arial"/>
          <w:kern w:val="1"/>
          <w:sz w:val="22"/>
          <w:szCs w:val="22"/>
        </w:rPr>
        <w:t>Scherbaum</w:t>
      </w:r>
      <w:proofErr w:type="spellEnd"/>
      <w:r w:rsidRPr="00DD448A">
        <w:rPr>
          <w:rFonts w:ascii="Arial" w:hAnsi="Arial" w:cs="Arial"/>
          <w:kern w:val="1"/>
          <w:sz w:val="22"/>
          <w:szCs w:val="22"/>
        </w:rPr>
        <w:t xml:space="preserve"> WA, Schott M. Evidence of a combined cytotoxic thyroglobulin and </w:t>
      </w:r>
      <w:proofErr w:type="spellStart"/>
      <w:r w:rsidRPr="00DD448A">
        <w:rPr>
          <w:rFonts w:ascii="Arial" w:hAnsi="Arial" w:cs="Arial"/>
          <w:kern w:val="1"/>
          <w:sz w:val="22"/>
          <w:szCs w:val="22"/>
        </w:rPr>
        <w:t>thyroperoxidase</w:t>
      </w:r>
      <w:proofErr w:type="spellEnd"/>
      <w:r w:rsidRPr="00DD448A">
        <w:rPr>
          <w:rFonts w:ascii="Arial" w:hAnsi="Arial" w:cs="Arial"/>
          <w:kern w:val="1"/>
          <w:sz w:val="22"/>
          <w:szCs w:val="22"/>
        </w:rPr>
        <w:t xml:space="preserve"> epitope-specific cellular immunity in Hashimoto's thyroiditis.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2012;97(4):1347-1354.</w:t>
      </w:r>
    </w:p>
    <w:p w14:paraId="61B4A51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478.</w:t>
      </w:r>
      <w:r w:rsidRPr="00DD448A">
        <w:rPr>
          <w:rFonts w:ascii="Arial" w:hAnsi="Arial" w:cs="Arial"/>
          <w:kern w:val="1"/>
          <w:sz w:val="22"/>
          <w:szCs w:val="22"/>
        </w:rPr>
        <w:tab/>
      </w:r>
      <w:proofErr w:type="spellStart"/>
      <w:r w:rsidRPr="00DD448A">
        <w:rPr>
          <w:rFonts w:ascii="Arial" w:hAnsi="Arial" w:cs="Arial"/>
          <w:kern w:val="1"/>
          <w:sz w:val="22"/>
          <w:szCs w:val="22"/>
        </w:rPr>
        <w:t>Cayzer</w:t>
      </w:r>
      <w:proofErr w:type="spellEnd"/>
      <w:r w:rsidRPr="00DD448A">
        <w:rPr>
          <w:rFonts w:ascii="Arial" w:hAnsi="Arial" w:cs="Arial"/>
          <w:kern w:val="1"/>
          <w:sz w:val="22"/>
          <w:szCs w:val="22"/>
        </w:rPr>
        <w:t xml:space="preserve"> I, Chalmers SR, </w:t>
      </w:r>
      <w:proofErr w:type="spellStart"/>
      <w:r w:rsidRPr="00DD448A">
        <w:rPr>
          <w:rFonts w:ascii="Arial" w:hAnsi="Arial" w:cs="Arial"/>
          <w:kern w:val="1"/>
          <w:sz w:val="22"/>
          <w:szCs w:val="22"/>
        </w:rPr>
        <w:t>Doniach</w:t>
      </w:r>
      <w:proofErr w:type="spellEnd"/>
      <w:r w:rsidRPr="00DD448A">
        <w:rPr>
          <w:rFonts w:ascii="Arial" w:hAnsi="Arial" w:cs="Arial"/>
          <w:kern w:val="1"/>
          <w:sz w:val="22"/>
          <w:szCs w:val="22"/>
        </w:rPr>
        <w:t xml:space="preserve"> D, Swana G. An evaluation of two new </w:t>
      </w:r>
      <w:proofErr w:type="spellStart"/>
      <w:r w:rsidRPr="00DD448A">
        <w:rPr>
          <w:rFonts w:ascii="Arial" w:hAnsi="Arial" w:cs="Arial"/>
          <w:kern w:val="1"/>
          <w:sz w:val="22"/>
          <w:szCs w:val="22"/>
        </w:rPr>
        <w:t>haemagglutination</w:t>
      </w:r>
      <w:proofErr w:type="spellEnd"/>
      <w:r w:rsidRPr="00DD448A">
        <w:rPr>
          <w:rFonts w:ascii="Arial" w:hAnsi="Arial" w:cs="Arial"/>
          <w:kern w:val="1"/>
          <w:sz w:val="22"/>
          <w:szCs w:val="22"/>
        </w:rPr>
        <w:t xml:space="preserve"> tests for the rapid diagnosis of autoimmune thyroid diseases. </w:t>
      </w:r>
      <w:r w:rsidRPr="00DD448A">
        <w:rPr>
          <w:rFonts w:ascii="Arial" w:hAnsi="Arial" w:cs="Arial"/>
          <w:iCs/>
          <w:kern w:val="1"/>
          <w:sz w:val="22"/>
          <w:szCs w:val="22"/>
        </w:rPr>
        <w:t>J Clin Path</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1978;31:1147-1151.</w:t>
      </w:r>
    </w:p>
    <w:p w14:paraId="6A2DC6C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479.</w:t>
      </w:r>
      <w:r w:rsidRPr="00DD448A">
        <w:rPr>
          <w:rFonts w:ascii="Arial" w:hAnsi="Arial" w:cs="Arial"/>
          <w:kern w:val="1"/>
          <w:sz w:val="22"/>
          <w:szCs w:val="22"/>
        </w:rPr>
        <w:tab/>
        <w:t xml:space="preserve">Mariotti S, </w:t>
      </w:r>
      <w:proofErr w:type="spellStart"/>
      <w:r w:rsidRPr="00DD448A">
        <w:rPr>
          <w:rFonts w:ascii="Arial" w:hAnsi="Arial" w:cs="Arial"/>
          <w:kern w:val="1"/>
          <w:sz w:val="22"/>
          <w:szCs w:val="22"/>
        </w:rPr>
        <w:t>Caturegli</w:t>
      </w:r>
      <w:proofErr w:type="spellEnd"/>
      <w:r w:rsidRPr="00DD448A">
        <w:rPr>
          <w:rFonts w:ascii="Arial" w:hAnsi="Arial" w:cs="Arial"/>
          <w:kern w:val="1"/>
          <w:sz w:val="22"/>
          <w:szCs w:val="22"/>
        </w:rPr>
        <w:t xml:space="preserve"> P, Piccolo P, </w:t>
      </w:r>
      <w:proofErr w:type="spellStart"/>
      <w:r w:rsidRPr="00DD448A">
        <w:rPr>
          <w:rFonts w:ascii="Arial" w:hAnsi="Arial" w:cs="Arial"/>
          <w:kern w:val="1"/>
          <w:sz w:val="22"/>
          <w:szCs w:val="22"/>
        </w:rPr>
        <w:t>Barbesino</w:t>
      </w:r>
      <w:proofErr w:type="spellEnd"/>
      <w:r w:rsidRPr="00DD448A">
        <w:rPr>
          <w:rFonts w:ascii="Arial" w:hAnsi="Arial" w:cs="Arial"/>
          <w:kern w:val="1"/>
          <w:sz w:val="22"/>
          <w:szCs w:val="22"/>
        </w:rPr>
        <w:t xml:space="preserve"> G, Pinchera A. Antithyroid peroxidase autoantibodies in thyroid diseases.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1990;71:661-669.</w:t>
      </w:r>
    </w:p>
    <w:p w14:paraId="7930C52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480.</w:t>
      </w:r>
      <w:r w:rsidRPr="00DD448A">
        <w:rPr>
          <w:rFonts w:ascii="Arial" w:hAnsi="Arial" w:cs="Arial"/>
          <w:kern w:val="1"/>
          <w:sz w:val="22"/>
          <w:szCs w:val="22"/>
        </w:rPr>
        <w:tab/>
        <w:t xml:space="preserve">Beever K, Bradbury J, Phillips D, McLachlan SM, Pegg C, Goral A, Overbeck W, </w:t>
      </w:r>
      <w:proofErr w:type="spellStart"/>
      <w:r w:rsidRPr="00DD448A">
        <w:rPr>
          <w:rFonts w:ascii="Arial" w:hAnsi="Arial" w:cs="Arial"/>
          <w:kern w:val="1"/>
          <w:sz w:val="22"/>
          <w:szCs w:val="22"/>
        </w:rPr>
        <w:t>Feifel</w:t>
      </w:r>
      <w:proofErr w:type="spellEnd"/>
      <w:r w:rsidRPr="00DD448A">
        <w:rPr>
          <w:rFonts w:ascii="Arial" w:hAnsi="Arial" w:cs="Arial"/>
          <w:kern w:val="1"/>
          <w:sz w:val="22"/>
          <w:szCs w:val="22"/>
        </w:rPr>
        <w:t xml:space="preserve"> G, Smith BR. Highly sensitive assays of autoantibodies to thyroglobulin and to thyroid peroxidase.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1989;35:1949-1954.</w:t>
      </w:r>
    </w:p>
    <w:p w14:paraId="5F08F7E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481.</w:t>
      </w:r>
      <w:r w:rsidRPr="00DD448A">
        <w:rPr>
          <w:rFonts w:ascii="Arial" w:hAnsi="Arial" w:cs="Arial"/>
          <w:kern w:val="1"/>
          <w:sz w:val="22"/>
          <w:szCs w:val="22"/>
        </w:rPr>
        <w:tab/>
        <w:t xml:space="preserve">Laurberg P, Pedersen KM, Vittinghus E, Ekelund S. Sensitive enzyme-linked immunosorbent assay for measurement of autoantibodies to human thyroid peroxidase. </w:t>
      </w:r>
      <w:r w:rsidRPr="00DD448A">
        <w:rPr>
          <w:rFonts w:ascii="Arial" w:hAnsi="Arial" w:cs="Arial"/>
          <w:iCs/>
          <w:kern w:val="1"/>
          <w:sz w:val="22"/>
          <w:szCs w:val="22"/>
        </w:rPr>
        <w:t>Scandinavian Journal Of Clinical And Laboratory Investigation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1992;52(7):663-669.</w:t>
      </w:r>
    </w:p>
    <w:p w14:paraId="761A7D4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482.</w:t>
      </w:r>
      <w:r w:rsidRPr="00DD448A">
        <w:rPr>
          <w:rFonts w:ascii="Arial" w:hAnsi="Arial" w:cs="Arial"/>
          <w:kern w:val="1"/>
          <w:sz w:val="22"/>
          <w:szCs w:val="22"/>
        </w:rPr>
        <w:tab/>
      </w:r>
      <w:proofErr w:type="spellStart"/>
      <w:r w:rsidRPr="00DD448A">
        <w:rPr>
          <w:rFonts w:ascii="Arial" w:hAnsi="Arial" w:cs="Arial"/>
          <w:kern w:val="1"/>
          <w:sz w:val="22"/>
          <w:szCs w:val="22"/>
        </w:rPr>
        <w:t>La'ulu</w:t>
      </w:r>
      <w:proofErr w:type="spellEnd"/>
      <w:r w:rsidRPr="00DD448A">
        <w:rPr>
          <w:rFonts w:ascii="Arial" w:hAnsi="Arial" w:cs="Arial"/>
          <w:kern w:val="1"/>
          <w:sz w:val="22"/>
          <w:szCs w:val="22"/>
        </w:rPr>
        <w:t xml:space="preserve"> SL, </w:t>
      </w:r>
      <w:proofErr w:type="spellStart"/>
      <w:r w:rsidRPr="00DD448A">
        <w:rPr>
          <w:rFonts w:ascii="Arial" w:hAnsi="Arial" w:cs="Arial"/>
          <w:kern w:val="1"/>
          <w:sz w:val="22"/>
          <w:szCs w:val="22"/>
        </w:rPr>
        <w:t>Slev</w:t>
      </w:r>
      <w:proofErr w:type="spellEnd"/>
      <w:r w:rsidRPr="00DD448A">
        <w:rPr>
          <w:rFonts w:ascii="Arial" w:hAnsi="Arial" w:cs="Arial"/>
          <w:kern w:val="1"/>
          <w:sz w:val="22"/>
          <w:szCs w:val="22"/>
        </w:rPr>
        <w:t xml:space="preserve"> PR, Roberts WL. Performance characteristics of 5 automated thyroglobulin autoantibody and thyroid peroxidase autoantibody assays.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2007;376(1-2):88-95.</w:t>
      </w:r>
    </w:p>
    <w:p w14:paraId="7145075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483.</w:t>
      </w:r>
      <w:r w:rsidRPr="00DD448A">
        <w:rPr>
          <w:rFonts w:ascii="Arial" w:hAnsi="Arial" w:cs="Arial"/>
          <w:kern w:val="1"/>
          <w:sz w:val="22"/>
          <w:szCs w:val="22"/>
        </w:rPr>
        <w:tab/>
      </w:r>
      <w:proofErr w:type="spellStart"/>
      <w:r w:rsidRPr="00DD448A">
        <w:rPr>
          <w:rFonts w:ascii="Arial" w:hAnsi="Arial" w:cs="Arial"/>
          <w:kern w:val="1"/>
          <w:sz w:val="22"/>
          <w:szCs w:val="22"/>
        </w:rPr>
        <w:t>Kasagi</w:t>
      </w:r>
      <w:proofErr w:type="spellEnd"/>
      <w:r w:rsidRPr="00DD448A">
        <w:rPr>
          <w:rFonts w:ascii="Arial" w:hAnsi="Arial" w:cs="Arial"/>
          <w:kern w:val="1"/>
          <w:sz w:val="22"/>
          <w:szCs w:val="22"/>
        </w:rPr>
        <w:t xml:space="preserve"> K, Takahashi N, Inoue G, Honda T, Kawachi Y, Izumi Y. Thyroid function in Japanese adults as assessed by a general health checkup system in relation with thyroid-related antibodies and other clinical parameters.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2009;19(9):937-944.</w:t>
      </w:r>
    </w:p>
    <w:p w14:paraId="0038CE0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484.</w:t>
      </w:r>
      <w:r w:rsidRPr="00DD448A">
        <w:rPr>
          <w:rFonts w:ascii="Arial" w:hAnsi="Arial" w:cs="Arial"/>
          <w:kern w:val="1"/>
          <w:sz w:val="22"/>
          <w:szCs w:val="22"/>
        </w:rPr>
        <w:tab/>
        <w:t xml:space="preserve">Liu Q, Yang H, Chen Y, He X, Dong L, Zhang X, Yang Y, Tian M, Cheng W, Liu D, Yang G, Li K. Effect of thyroid peroxidase antibody titers trajectories during pregnancy and postpartum on postpartum thyroid dysfunction. </w:t>
      </w:r>
      <w:r w:rsidRPr="00DD448A">
        <w:rPr>
          <w:rFonts w:ascii="Arial" w:hAnsi="Arial" w:cs="Arial"/>
          <w:iCs/>
          <w:kern w:val="1"/>
          <w:sz w:val="22"/>
          <w:szCs w:val="22"/>
        </w:rPr>
        <w:t xml:space="preserve">Arch </w:t>
      </w:r>
      <w:proofErr w:type="spellStart"/>
      <w:r w:rsidRPr="00DD448A">
        <w:rPr>
          <w:rFonts w:ascii="Arial" w:hAnsi="Arial" w:cs="Arial"/>
          <w:iCs/>
          <w:kern w:val="1"/>
          <w:sz w:val="22"/>
          <w:szCs w:val="22"/>
        </w:rPr>
        <w:t>Gynecol</w:t>
      </w:r>
      <w:proofErr w:type="spellEnd"/>
      <w:r w:rsidRPr="00DD448A">
        <w:rPr>
          <w:rFonts w:ascii="Arial" w:hAnsi="Arial" w:cs="Arial"/>
          <w:iCs/>
          <w:kern w:val="1"/>
          <w:sz w:val="22"/>
          <w:szCs w:val="22"/>
        </w:rPr>
        <w:t xml:space="preserve"> Obstet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1E43FE5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485.</w:t>
      </w:r>
      <w:r w:rsidRPr="00DD448A">
        <w:rPr>
          <w:rFonts w:ascii="Arial" w:hAnsi="Arial" w:cs="Arial"/>
          <w:kern w:val="1"/>
          <w:sz w:val="22"/>
          <w:szCs w:val="22"/>
        </w:rPr>
        <w:tab/>
        <w:t xml:space="preserve">Karanikas G, Schuetz M, Wahl K, Paul M, Kontur S, Pietschmann P, Kletter K, </w:t>
      </w:r>
      <w:proofErr w:type="spellStart"/>
      <w:r w:rsidRPr="00DD448A">
        <w:rPr>
          <w:rFonts w:ascii="Arial" w:hAnsi="Arial" w:cs="Arial"/>
          <w:kern w:val="1"/>
          <w:sz w:val="22"/>
          <w:szCs w:val="22"/>
        </w:rPr>
        <w:t>Dudczak</w:t>
      </w:r>
      <w:proofErr w:type="spellEnd"/>
      <w:r w:rsidRPr="00DD448A">
        <w:rPr>
          <w:rFonts w:ascii="Arial" w:hAnsi="Arial" w:cs="Arial"/>
          <w:kern w:val="1"/>
          <w:sz w:val="22"/>
          <w:szCs w:val="22"/>
        </w:rPr>
        <w:t xml:space="preserve"> R, Willheim M. Relation of anti-TPO autoantibody </w:t>
      </w:r>
      <w:proofErr w:type="spellStart"/>
      <w:r w:rsidRPr="00DD448A">
        <w:rPr>
          <w:rFonts w:ascii="Arial" w:hAnsi="Arial" w:cs="Arial"/>
          <w:kern w:val="1"/>
          <w:sz w:val="22"/>
          <w:szCs w:val="22"/>
        </w:rPr>
        <w:t>titre</w:t>
      </w:r>
      <w:proofErr w:type="spellEnd"/>
      <w:r w:rsidRPr="00DD448A">
        <w:rPr>
          <w:rFonts w:ascii="Arial" w:hAnsi="Arial" w:cs="Arial"/>
          <w:kern w:val="1"/>
          <w:sz w:val="22"/>
          <w:szCs w:val="22"/>
        </w:rPr>
        <w:t xml:space="preserve"> and T-lymphocyte cytokine production patterns in Hashimoto's thyroiditis.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2005;63(2):191-196.</w:t>
      </w:r>
    </w:p>
    <w:p w14:paraId="3182153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486.</w:t>
      </w:r>
      <w:r w:rsidRPr="00DD448A">
        <w:rPr>
          <w:rFonts w:ascii="Arial" w:hAnsi="Arial" w:cs="Arial"/>
          <w:kern w:val="1"/>
          <w:sz w:val="22"/>
          <w:szCs w:val="22"/>
        </w:rPr>
        <w:tab/>
      </w:r>
      <w:proofErr w:type="spellStart"/>
      <w:r w:rsidRPr="00DD448A">
        <w:rPr>
          <w:rFonts w:ascii="Arial" w:hAnsi="Arial" w:cs="Arial"/>
          <w:kern w:val="1"/>
          <w:sz w:val="22"/>
          <w:szCs w:val="22"/>
        </w:rPr>
        <w:t>Rebuffat</w:t>
      </w:r>
      <w:proofErr w:type="spellEnd"/>
      <w:r w:rsidRPr="00DD448A">
        <w:rPr>
          <w:rFonts w:ascii="Arial" w:hAnsi="Arial" w:cs="Arial"/>
          <w:kern w:val="1"/>
          <w:sz w:val="22"/>
          <w:szCs w:val="22"/>
        </w:rPr>
        <w:t xml:space="preserve"> SA, Nguyen B, Robert B, Castex F, </w:t>
      </w:r>
      <w:proofErr w:type="spellStart"/>
      <w:r w:rsidRPr="00DD448A">
        <w:rPr>
          <w:rFonts w:ascii="Arial" w:hAnsi="Arial" w:cs="Arial"/>
          <w:kern w:val="1"/>
          <w:sz w:val="22"/>
          <w:szCs w:val="22"/>
        </w:rPr>
        <w:t>Peraldi</w:t>
      </w:r>
      <w:proofErr w:type="spellEnd"/>
      <w:r w:rsidRPr="00DD448A">
        <w:rPr>
          <w:rFonts w:ascii="Arial" w:hAnsi="Arial" w:cs="Arial"/>
          <w:kern w:val="1"/>
          <w:sz w:val="22"/>
          <w:szCs w:val="22"/>
        </w:rPr>
        <w:t xml:space="preserve">-Roux S. </w:t>
      </w:r>
      <w:proofErr w:type="spellStart"/>
      <w:r w:rsidRPr="00DD448A">
        <w:rPr>
          <w:rFonts w:ascii="Arial" w:hAnsi="Arial" w:cs="Arial"/>
          <w:kern w:val="1"/>
          <w:sz w:val="22"/>
          <w:szCs w:val="22"/>
        </w:rPr>
        <w:t>Antithyroperoxidase</w:t>
      </w:r>
      <w:proofErr w:type="spellEnd"/>
      <w:r w:rsidRPr="00DD448A">
        <w:rPr>
          <w:rFonts w:ascii="Arial" w:hAnsi="Arial" w:cs="Arial"/>
          <w:kern w:val="1"/>
          <w:sz w:val="22"/>
          <w:szCs w:val="22"/>
        </w:rPr>
        <w:t xml:space="preserve"> antibody-dependent cytotoxicity in autoimmune thyroid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2008;93(3):929-934.</w:t>
      </w:r>
    </w:p>
    <w:p w14:paraId="6675E37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487.</w:t>
      </w:r>
      <w:r w:rsidRPr="00DD448A">
        <w:rPr>
          <w:rFonts w:ascii="Arial" w:hAnsi="Arial" w:cs="Arial"/>
          <w:kern w:val="1"/>
          <w:sz w:val="22"/>
          <w:szCs w:val="22"/>
        </w:rPr>
        <w:tab/>
        <w:t xml:space="preserve">Carmel R, Spencer CA. Clinical and subclinical thyroid disorders associated with pernicious anemia. </w:t>
      </w:r>
      <w:r w:rsidRPr="00DD448A">
        <w:rPr>
          <w:rFonts w:ascii="Arial" w:hAnsi="Arial" w:cs="Arial"/>
          <w:iCs/>
          <w:kern w:val="1"/>
          <w:sz w:val="22"/>
          <w:szCs w:val="22"/>
        </w:rPr>
        <w:t>Arch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1982;142:1465-1469.</w:t>
      </w:r>
    </w:p>
    <w:p w14:paraId="53A4DE7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488.</w:t>
      </w:r>
      <w:r w:rsidRPr="00DD448A">
        <w:rPr>
          <w:rFonts w:ascii="Arial" w:hAnsi="Arial" w:cs="Arial"/>
          <w:kern w:val="1"/>
          <w:sz w:val="22"/>
          <w:szCs w:val="22"/>
        </w:rPr>
        <w:tab/>
        <w:t xml:space="preserve">Vanderpump MPJ, Tunbridge WMG, French JM, Appleton D, Bates D, Rodgers H, Evans JG, Clark F, Tunbridge F, Young ET. The incidence of thyroid disorders in the community; a twenty year follow up of the Whickham survey. </w:t>
      </w:r>
      <w:r w:rsidRPr="00DD448A">
        <w:rPr>
          <w:rFonts w:ascii="Arial" w:hAnsi="Arial" w:cs="Arial"/>
          <w:iCs/>
          <w:kern w:val="1"/>
          <w:sz w:val="22"/>
          <w:szCs w:val="22"/>
        </w:rPr>
        <w:t>Clin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1995;43:55-68.</w:t>
      </w:r>
    </w:p>
    <w:p w14:paraId="76F773F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489.</w:t>
      </w:r>
      <w:r w:rsidRPr="00DD448A">
        <w:rPr>
          <w:rFonts w:ascii="Arial" w:hAnsi="Arial" w:cs="Arial"/>
          <w:kern w:val="1"/>
          <w:sz w:val="22"/>
          <w:szCs w:val="22"/>
        </w:rPr>
        <w:tab/>
        <w:t xml:space="preserve">Hutfless S, Matos P, Talor MV, </w:t>
      </w:r>
      <w:proofErr w:type="spellStart"/>
      <w:r w:rsidRPr="00DD448A">
        <w:rPr>
          <w:rFonts w:ascii="Arial" w:hAnsi="Arial" w:cs="Arial"/>
          <w:kern w:val="1"/>
          <w:sz w:val="22"/>
          <w:szCs w:val="22"/>
        </w:rPr>
        <w:t>Caturegli</w:t>
      </w:r>
      <w:proofErr w:type="spellEnd"/>
      <w:r w:rsidRPr="00DD448A">
        <w:rPr>
          <w:rFonts w:ascii="Arial" w:hAnsi="Arial" w:cs="Arial"/>
          <w:kern w:val="1"/>
          <w:sz w:val="22"/>
          <w:szCs w:val="22"/>
        </w:rPr>
        <w:t xml:space="preserve"> P, Rose NR. Significance of </w:t>
      </w:r>
      <w:proofErr w:type="spellStart"/>
      <w:r w:rsidRPr="00DD448A">
        <w:rPr>
          <w:rFonts w:ascii="Arial" w:hAnsi="Arial" w:cs="Arial"/>
          <w:kern w:val="1"/>
          <w:sz w:val="22"/>
          <w:szCs w:val="22"/>
        </w:rPr>
        <w:t>prediagnostic</w:t>
      </w:r>
      <w:proofErr w:type="spellEnd"/>
      <w:r w:rsidRPr="00DD448A">
        <w:rPr>
          <w:rFonts w:ascii="Arial" w:hAnsi="Arial" w:cs="Arial"/>
          <w:kern w:val="1"/>
          <w:sz w:val="22"/>
          <w:szCs w:val="22"/>
        </w:rPr>
        <w:t xml:space="preserve"> thyroid antibodies in women with autoimmune thyroid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2011;96(9):E1466-1471.</w:t>
      </w:r>
    </w:p>
    <w:p w14:paraId="0E27AFE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490.</w:t>
      </w:r>
      <w:r w:rsidRPr="00DD448A">
        <w:rPr>
          <w:rFonts w:ascii="Arial" w:hAnsi="Arial" w:cs="Arial"/>
          <w:kern w:val="1"/>
          <w:sz w:val="22"/>
          <w:szCs w:val="22"/>
        </w:rPr>
        <w:tab/>
        <w:t xml:space="preserve">Yang S, Huang Z, Zhang Y, Li Y, Zhou Y, Guan H, Fan J. Association of Maternal Thyroglobulin Antibody with Preterm Birth in Euthyroid Women.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2025.</w:t>
      </w:r>
    </w:p>
    <w:p w14:paraId="23950CF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491.</w:t>
      </w:r>
      <w:r w:rsidRPr="00DD448A">
        <w:rPr>
          <w:rFonts w:ascii="Arial" w:hAnsi="Arial" w:cs="Arial"/>
          <w:kern w:val="1"/>
          <w:sz w:val="22"/>
          <w:szCs w:val="22"/>
        </w:rPr>
        <w:tab/>
      </w:r>
      <w:r w:rsidRPr="00DD448A">
        <w:rPr>
          <w:rFonts w:ascii="Arial" w:hAnsi="Arial" w:cs="Arial"/>
          <w:bCs/>
          <w:kern w:val="1"/>
          <w:sz w:val="22"/>
          <w:szCs w:val="22"/>
        </w:rPr>
        <w:t>Huber G</w:t>
      </w:r>
      <w:r w:rsidRPr="00DD448A">
        <w:rPr>
          <w:rFonts w:ascii="Arial" w:hAnsi="Arial" w:cs="Arial"/>
          <w:kern w:val="1"/>
          <w:sz w:val="22"/>
          <w:szCs w:val="22"/>
        </w:rPr>
        <w:t xml:space="preserve">, Staub JJ, Meier C, Mitrache C, Guglielmetti M, </w:t>
      </w:r>
      <w:r w:rsidRPr="00DD448A">
        <w:rPr>
          <w:rFonts w:ascii="Arial" w:hAnsi="Arial" w:cs="Arial"/>
          <w:bCs/>
          <w:kern w:val="1"/>
          <w:sz w:val="22"/>
          <w:szCs w:val="22"/>
        </w:rPr>
        <w:t>Huber P</w:t>
      </w:r>
      <w:r w:rsidRPr="00DD448A">
        <w:rPr>
          <w:rFonts w:ascii="Arial" w:hAnsi="Arial" w:cs="Arial"/>
          <w:kern w:val="1"/>
          <w:sz w:val="22"/>
          <w:szCs w:val="22"/>
        </w:rPr>
        <w:t xml:space="preserve">, Braverman LE. Prospective Study of the Spontaneous Course of Subclinical Hypothyroidism: Prognostic Value of Thyrotropin, Thyroid Reserve, and Thyroid Antibodies.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2002;87:3221-3226.</w:t>
      </w:r>
    </w:p>
    <w:p w14:paraId="281F087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492.</w:t>
      </w:r>
      <w:r w:rsidRPr="00DD448A">
        <w:rPr>
          <w:rFonts w:ascii="Arial" w:hAnsi="Arial" w:cs="Arial"/>
          <w:kern w:val="1"/>
          <w:sz w:val="22"/>
          <w:szCs w:val="22"/>
        </w:rPr>
        <w:tab/>
        <w:t xml:space="preserve">Pedersen OM, Aardal NP, Larssen TB, Varhaug JE, Myking O, Vik-Mo H. The value of ultrasonography in predicting autoimmune thyroid disease.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2000;10:251-259.</w:t>
      </w:r>
    </w:p>
    <w:p w14:paraId="49959C6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493.</w:t>
      </w:r>
      <w:r w:rsidRPr="00DD448A">
        <w:rPr>
          <w:rFonts w:ascii="Arial" w:hAnsi="Arial" w:cs="Arial"/>
          <w:kern w:val="1"/>
          <w:sz w:val="22"/>
          <w:szCs w:val="22"/>
        </w:rPr>
        <w:tab/>
        <w:t xml:space="preserve">Mariotti S, </w:t>
      </w:r>
      <w:proofErr w:type="spellStart"/>
      <w:r w:rsidRPr="00DD448A">
        <w:rPr>
          <w:rFonts w:ascii="Arial" w:hAnsi="Arial" w:cs="Arial"/>
          <w:kern w:val="1"/>
          <w:sz w:val="22"/>
          <w:szCs w:val="22"/>
        </w:rPr>
        <w:t>Barbesino</w:t>
      </w:r>
      <w:proofErr w:type="spellEnd"/>
      <w:r w:rsidRPr="00DD448A">
        <w:rPr>
          <w:rFonts w:ascii="Arial" w:hAnsi="Arial" w:cs="Arial"/>
          <w:kern w:val="1"/>
          <w:sz w:val="22"/>
          <w:szCs w:val="22"/>
        </w:rPr>
        <w:t xml:space="preserve"> G, </w:t>
      </w:r>
      <w:proofErr w:type="spellStart"/>
      <w:r w:rsidRPr="00DD448A">
        <w:rPr>
          <w:rFonts w:ascii="Arial" w:hAnsi="Arial" w:cs="Arial"/>
          <w:kern w:val="1"/>
          <w:sz w:val="22"/>
          <w:szCs w:val="22"/>
        </w:rPr>
        <w:t>Caturegli</w:t>
      </w:r>
      <w:proofErr w:type="spellEnd"/>
      <w:r w:rsidRPr="00DD448A">
        <w:rPr>
          <w:rFonts w:ascii="Arial" w:hAnsi="Arial" w:cs="Arial"/>
          <w:kern w:val="1"/>
          <w:sz w:val="22"/>
          <w:szCs w:val="22"/>
        </w:rPr>
        <w:t xml:space="preserve"> P, Atzeni F, Manetti L, </w:t>
      </w:r>
      <w:proofErr w:type="spellStart"/>
      <w:r w:rsidRPr="00DD448A">
        <w:rPr>
          <w:rFonts w:ascii="Arial" w:hAnsi="Arial" w:cs="Arial"/>
          <w:kern w:val="1"/>
          <w:sz w:val="22"/>
          <w:szCs w:val="22"/>
        </w:rPr>
        <w:t>Marinò</w:t>
      </w:r>
      <w:proofErr w:type="spellEnd"/>
      <w:r w:rsidRPr="00DD448A">
        <w:rPr>
          <w:rFonts w:ascii="Arial" w:hAnsi="Arial" w:cs="Arial"/>
          <w:kern w:val="1"/>
          <w:sz w:val="22"/>
          <w:szCs w:val="22"/>
        </w:rPr>
        <w:t xml:space="preserve"> M, Grasso L, </w:t>
      </w:r>
      <w:proofErr w:type="spellStart"/>
      <w:r w:rsidRPr="00DD448A">
        <w:rPr>
          <w:rFonts w:ascii="Arial" w:hAnsi="Arial" w:cs="Arial"/>
          <w:kern w:val="1"/>
          <w:sz w:val="22"/>
          <w:szCs w:val="22"/>
        </w:rPr>
        <w:t>Velluzzi</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Loviselli</w:t>
      </w:r>
      <w:proofErr w:type="spellEnd"/>
      <w:r w:rsidRPr="00DD448A">
        <w:rPr>
          <w:rFonts w:ascii="Arial" w:hAnsi="Arial" w:cs="Arial"/>
          <w:kern w:val="1"/>
          <w:sz w:val="22"/>
          <w:szCs w:val="22"/>
        </w:rPr>
        <w:t xml:space="preserve"> A, Pinchera A, et al. False negative results observed in anti-thyroid peroxidase autoantibody determination by competitive </w:t>
      </w:r>
      <w:proofErr w:type="spellStart"/>
      <w:r w:rsidRPr="00DD448A">
        <w:rPr>
          <w:rFonts w:ascii="Arial" w:hAnsi="Arial" w:cs="Arial"/>
          <w:kern w:val="1"/>
          <w:sz w:val="22"/>
          <w:szCs w:val="22"/>
        </w:rPr>
        <w:t>radioimmunoassays</w:t>
      </w:r>
      <w:proofErr w:type="spellEnd"/>
      <w:r w:rsidRPr="00DD448A">
        <w:rPr>
          <w:rFonts w:ascii="Arial" w:hAnsi="Arial" w:cs="Arial"/>
          <w:kern w:val="1"/>
          <w:sz w:val="22"/>
          <w:szCs w:val="22"/>
        </w:rPr>
        <w:t xml:space="preserve"> using monoclonal antibodies.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1994;130(6):552-558.</w:t>
      </w:r>
    </w:p>
    <w:p w14:paraId="0B9E9C2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494.</w:t>
      </w:r>
      <w:r w:rsidRPr="00DD448A">
        <w:rPr>
          <w:rFonts w:ascii="Arial" w:hAnsi="Arial" w:cs="Arial"/>
          <w:kern w:val="1"/>
          <w:sz w:val="22"/>
          <w:szCs w:val="22"/>
        </w:rPr>
        <w:tab/>
        <w:t xml:space="preserve">Schmidt M, Voell M, Rahlff I, Dietlein M, Kobe C, Faust M, </w:t>
      </w:r>
      <w:proofErr w:type="spellStart"/>
      <w:r w:rsidRPr="00DD448A">
        <w:rPr>
          <w:rFonts w:ascii="Arial" w:hAnsi="Arial" w:cs="Arial"/>
          <w:kern w:val="1"/>
          <w:sz w:val="22"/>
          <w:szCs w:val="22"/>
        </w:rPr>
        <w:t>Schicha</w:t>
      </w:r>
      <w:proofErr w:type="spellEnd"/>
      <w:r w:rsidRPr="00DD448A">
        <w:rPr>
          <w:rFonts w:ascii="Arial" w:hAnsi="Arial" w:cs="Arial"/>
          <w:kern w:val="1"/>
          <w:sz w:val="22"/>
          <w:szCs w:val="22"/>
        </w:rPr>
        <w:t xml:space="preserve"> H. Long-term follow-up of antithyroid peroxidase antibodies in patients with chronic autoimmune thyroiditis (Hashimoto's thyroiditis) treated with levothyroxine.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2008;18(7):755-760.</w:t>
      </w:r>
    </w:p>
    <w:p w14:paraId="5ED836A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495.</w:t>
      </w:r>
      <w:r w:rsidRPr="00DD448A">
        <w:rPr>
          <w:rFonts w:ascii="Arial" w:hAnsi="Arial" w:cs="Arial"/>
          <w:kern w:val="1"/>
          <w:sz w:val="22"/>
          <w:szCs w:val="22"/>
        </w:rPr>
        <w:tab/>
        <w:t xml:space="preserve">Bell TM, Bansal AS, Shorthouse C, Sandford N, Powell EE. Low </w:t>
      </w:r>
      <w:proofErr w:type="spellStart"/>
      <w:r w:rsidRPr="00DD448A">
        <w:rPr>
          <w:rFonts w:ascii="Arial" w:hAnsi="Arial" w:cs="Arial"/>
          <w:kern w:val="1"/>
          <w:sz w:val="22"/>
          <w:szCs w:val="22"/>
        </w:rPr>
        <w:t>titre</w:t>
      </w:r>
      <w:proofErr w:type="spellEnd"/>
      <w:r w:rsidRPr="00DD448A">
        <w:rPr>
          <w:rFonts w:ascii="Arial" w:hAnsi="Arial" w:cs="Arial"/>
          <w:kern w:val="1"/>
          <w:sz w:val="22"/>
          <w:szCs w:val="22"/>
        </w:rPr>
        <w:t xml:space="preserve"> autoantibodies predict autoimmune disease during interferon alpha treatment of chronic hepatitis C. </w:t>
      </w:r>
      <w:r w:rsidRPr="00DD448A">
        <w:rPr>
          <w:rFonts w:ascii="Arial" w:hAnsi="Arial" w:cs="Arial"/>
          <w:iCs/>
          <w:kern w:val="1"/>
          <w:sz w:val="22"/>
          <w:szCs w:val="22"/>
        </w:rPr>
        <w:t>J Gastroenterol Hepatol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1999;14:419-422.</w:t>
      </w:r>
    </w:p>
    <w:p w14:paraId="27B5023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496.</w:t>
      </w:r>
      <w:r w:rsidRPr="00DD448A">
        <w:rPr>
          <w:rFonts w:ascii="Arial" w:hAnsi="Arial" w:cs="Arial"/>
          <w:kern w:val="1"/>
          <w:sz w:val="22"/>
          <w:szCs w:val="22"/>
        </w:rPr>
        <w:tab/>
        <w:t xml:space="preserve">Johnston AM, Eagles JM. Lithium-associated clinical hypothyroidism. Prevalence and risk factors. </w:t>
      </w:r>
      <w:r w:rsidRPr="00DD448A">
        <w:rPr>
          <w:rFonts w:ascii="Arial" w:hAnsi="Arial" w:cs="Arial"/>
          <w:iCs/>
          <w:kern w:val="1"/>
          <w:sz w:val="22"/>
          <w:szCs w:val="22"/>
        </w:rPr>
        <w:t>Br J Psychiatry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1999;175:336-339.</w:t>
      </w:r>
    </w:p>
    <w:p w14:paraId="6622497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497.</w:t>
      </w:r>
      <w:r w:rsidRPr="00DD448A">
        <w:rPr>
          <w:rFonts w:ascii="Arial" w:hAnsi="Arial" w:cs="Arial"/>
          <w:kern w:val="1"/>
          <w:sz w:val="22"/>
          <w:szCs w:val="22"/>
        </w:rPr>
        <w:tab/>
        <w:t xml:space="preserve">Daniels GH. Amiodarone-induced thyrotoxicosis.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2001;86(1):3-8.</w:t>
      </w:r>
    </w:p>
    <w:p w14:paraId="4C68A25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498.</w:t>
      </w:r>
      <w:r w:rsidRPr="00DD448A">
        <w:rPr>
          <w:rFonts w:ascii="Arial" w:hAnsi="Arial" w:cs="Arial"/>
          <w:kern w:val="1"/>
          <w:sz w:val="22"/>
          <w:szCs w:val="22"/>
        </w:rPr>
        <w:tab/>
        <w:t xml:space="preserve">Bocchetta A, Cocco F, </w:t>
      </w:r>
      <w:proofErr w:type="spellStart"/>
      <w:r w:rsidRPr="00DD448A">
        <w:rPr>
          <w:rFonts w:ascii="Arial" w:hAnsi="Arial" w:cs="Arial"/>
          <w:kern w:val="1"/>
          <w:sz w:val="22"/>
          <w:szCs w:val="22"/>
        </w:rPr>
        <w:t>Velluzzi</w:t>
      </w:r>
      <w:proofErr w:type="spellEnd"/>
      <w:r w:rsidRPr="00DD448A">
        <w:rPr>
          <w:rFonts w:ascii="Arial" w:hAnsi="Arial" w:cs="Arial"/>
          <w:kern w:val="1"/>
          <w:sz w:val="22"/>
          <w:szCs w:val="22"/>
        </w:rPr>
        <w:t xml:space="preserve"> F, Del </w:t>
      </w:r>
      <w:proofErr w:type="spellStart"/>
      <w:r w:rsidRPr="00DD448A">
        <w:rPr>
          <w:rFonts w:ascii="Arial" w:hAnsi="Arial" w:cs="Arial"/>
          <w:kern w:val="1"/>
          <w:sz w:val="22"/>
          <w:szCs w:val="22"/>
        </w:rPr>
        <w:t>Zompo</w:t>
      </w:r>
      <w:proofErr w:type="spellEnd"/>
      <w:r w:rsidRPr="00DD448A">
        <w:rPr>
          <w:rFonts w:ascii="Arial" w:hAnsi="Arial" w:cs="Arial"/>
          <w:kern w:val="1"/>
          <w:sz w:val="22"/>
          <w:szCs w:val="22"/>
        </w:rPr>
        <w:t xml:space="preserve"> M, Mariotti S, </w:t>
      </w:r>
      <w:proofErr w:type="spellStart"/>
      <w:r w:rsidRPr="00DD448A">
        <w:rPr>
          <w:rFonts w:ascii="Arial" w:hAnsi="Arial" w:cs="Arial"/>
          <w:kern w:val="1"/>
          <w:sz w:val="22"/>
          <w:szCs w:val="22"/>
        </w:rPr>
        <w:t>Loviselli</w:t>
      </w:r>
      <w:proofErr w:type="spellEnd"/>
      <w:r w:rsidRPr="00DD448A">
        <w:rPr>
          <w:rFonts w:ascii="Arial" w:hAnsi="Arial" w:cs="Arial"/>
          <w:kern w:val="1"/>
          <w:sz w:val="22"/>
          <w:szCs w:val="22"/>
        </w:rPr>
        <w:t xml:space="preserve"> A. Fifteen-year follow-up of thyroid function in lithium patients.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2007;30(5):363-366.</w:t>
      </w:r>
    </w:p>
    <w:p w14:paraId="652883B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499.</w:t>
      </w:r>
      <w:r w:rsidRPr="00DD448A">
        <w:rPr>
          <w:rFonts w:ascii="Arial" w:hAnsi="Arial" w:cs="Arial"/>
          <w:kern w:val="1"/>
          <w:sz w:val="22"/>
          <w:szCs w:val="22"/>
        </w:rPr>
        <w:tab/>
        <w:t xml:space="preserve">Tsang W, Houlden RL. Amiodarone-induced thyrotoxicosis: a review. </w:t>
      </w:r>
      <w:r w:rsidRPr="00DD448A">
        <w:rPr>
          <w:rFonts w:ascii="Arial" w:hAnsi="Arial" w:cs="Arial"/>
          <w:iCs/>
          <w:kern w:val="1"/>
          <w:sz w:val="22"/>
          <w:szCs w:val="22"/>
        </w:rPr>
        <w:t xml:space="preserve">Can J </w:t>
      </w:r>
      <w:proofErr w:type="spellStart"/>
      <w:r w:rsidRPr="00DD448A">
        <w:rPr>
          <w:rFonts w:ascii="Arial" w:hAnsi="Arial" w:cs="Arial"/>
          <w:iCs/>
          <w:kern w:val="1"/>
          <w:sz w:val="22"/>
          <w:szCs w:val="22"/>
        </w:rPr>
        <w:t>Cardiol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2009;25(7):421-424.</w:t>
      </w:r>
    </w:p>
    <w:p w14:paraId="5E5333A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500.</w:t>
      </w:r>
      <w:r w:rsidRPr="00DD448A">
        <w:rPr>
          <w:rFonts w:ascii="Arial" w:hAnsi="Arial" w:cs="Arial"/>
          <w:kern w:val="1"/>
          <w:sz w:val="22"/>
          <w:szCs w:val="22"/>
        </w:rPr>
        <w:tab/>
        <w:t xml:space="preserve">Wang L, Li B, Zhao H, Wu P, Wu Q, Chen K, Mu Y. A systematic review and meta-analysis of endocrine-related adverse events associated with interferon.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2022;13:949003.</w:t>
      </w:r>
    </w:p>
    <w:p w14:paraId="38F1F59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501.</w:t>
      </w:r>
      <w:r w:rsidRPr="00DD448A">
        <w:rPr>
          <w:rFonts w:ascii="Arial" w:hAnsi="Arial" w:cs="Arial"/>
          <w:kern w:val="1"/>
          <w:sz w:val="22"/>
          <w:szCs w:val="22"/>
        </w:rPr>
        <w:tab/>
        <w:t xml:space="preserve">Negro R, Žarković M, Attanasio R, Hegedüs L, Nagy EV, Papini E, Akarsu E, </w:t>
      </w:r>
      <w:proofErr w:type="spellStart"/>
      <w:r w:rsidRPr="00DD448A">
        <w:rPr>
          <w:rFonts w:ascii="Arial" w:hAnsi="Arial" w:cs="Arial"/>
          <w:kern w:val="1"/>
          <w:sz w:val="22"/>
          <w:szCs w:val="22"/>
        </w:rPr>
        <w:t>Alevizaki</w:t>
      </w:r>
      <w:proofErr w:type="spellEnd"/>
      <w:r w:rsidRPr="00DD448A">
        <w:rPr>
          <w:rFonts w:ascii="Arial" w:hAnsi="Arial" w:cs="Arial"/>
          <w:kern w:val="1"/>
          <w:sz w:val="22"/>
          <w:szCs w:val="22"/>
        </w:rPr>
        <w:t xml:space="preserve"> M, Ayvaz G, </w:t>
      </w:r>
      <w:proofErr w:type="spellStart"/>
      <w:r w:rsidRPr="00DD448A">
        <w:rPr>
          <w:rFonts w:ascii="Arial" w:hAnsi="Arial" w:cs="Arial"/>
          <w:kern w:val="1"/>
          <w:sz w:val="22"/>
          <w:szCs w:val="22"/>
        </w:rPr>
        <w:t>Bednarczuk</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Beleslin</w:t>
      </w:r>
      <w:proofErr w:type="spellEnd"/>
      <w:r w:rsidRPr="00DD448A">
        <w:rPr>
          <w:rFonts w:ascii="Arial" w:hAnsi="Arial" w:cs="Arial"/>
          <w:kern w:val="1"/>
          <w:sz w:val="22"/>
          <w:szCs w:val="22"/>
        </w:rPr>
        <w:t xml:space="preserve"> BN, Berta E, Bodor M, </w:t>
      </w:r>
      <w:proofErr w:type="spellStart"/>
      <w:r w:rsidRPr="00DD448A">
        <w:rPr>
          <w:rFonts w:ascii="Arial" w:hAnsi="Arial" w:cs="Arial"/>
          <w:kern w:val="1"/>
          <w:sz w:val="22"/>
          <w:szCs w:val="22"/>
        </w:rPr>
        <w:t>Borissova</w:t>
      </w:r>
      <w:proofErr w:type="spellEnd"/>
      <w:r w:rsidRPr="00DD448A">
        <w:rPr>
          <w:rFonts w:ascii="Arial" w:hAnsi="Arial" w:cs="Arial"/>
          <w:kern w:val="1"/>
          <w:sz w:val="22"/>
          <w:szCs w:val="22"/>
        </w:rPr>
        <w:t xml:space="preserve"> AM, Boyanov M, Buffet C, Burlacu MC, </w:t>
      </w:r>
      <w:proofErr w:type="spellStart"/>
      <w:r w:rsidRPr="00DD448A">
        <w:rPr>
          <w:rFonts w:ascii="Arial" w:hAnsi="Arial" w:cs="Arial"/>
          <w:kern w:val="1"/>
          <w:sz w:val="22"/>
          <w:szCs w:val="22"/>
        </w:rPr>
        <w:t>Ćirić</w:t>
      </w:r>
      <w:proofErr w:type="spellEnd"/>
      <w:r w:rsidRPr="00DD448A">
        <w:rPr>
          <w:rFonts w:ascii="Arial" w:hAnsi="Arial" w:cs="Arial"/>
          <w:kern w:val="1"/>
          <w:sz w:val="22"/>
          <w:szCs w:val="22"/>
        </w:rPr>
        <w:t xml:space="preserve"> J, Cohen CA, Díez JJ, </w:t>
      </w:r>
      <w:proofErr w:type="spellStart"/>
      <w:r w:rsidRPr="00DD448A">
        <w:rPr>
          <w:rFonts w:ascii="Arial" w:hAnsi="Arial" w:cs="Arial"/>
          <w:kern w:val="1"/>
          <w:sz w:val="22"/>
          <w:szCs w:val="22"/>
        </w:rPr>
        <w:t>Dobnig</w:t>
      </w:r>
      <w:proofErr w:type="spellEnd"/>
      <w:r w:rsidRPr="00DD448A">
        <w:rPr>
          <w:rFonts w:ascii="Arial" w:hAnsi="Arial" w:cs="Arial"/>
          <w:kern w:val="1"/>
          <w:sz w:val="22"/>
          <w:szCs w:val="22"/>
        </w:rPr>
        <w:t xml:space="preserve"> H, Fadeyev V, Field BCT, Fliers E, Führer D, </w:t>
      </w:r>
      <w:proofErr w:type="spellStart"/>
      <w:r w:rsidRPr="00DD448A">
        <w:rPr>
          <w:rFonts w:ascii="Arial" w:hAnsi="Arial" w:cs="Arial"/>
          <w:kern w:val="1"/>
          <w:sz w:val="22"/>
          <w:szCs w:val="22"/>
        </w:rPr>
        <w:t>Galofré</w:t>
      </w:r>
      <w:proofErr w:type="spellEnd"/>
      <w:r w:rsidRPr="00DD448A">
        <w:rPr>
          <w:rFonts w:ascii="Arial" w:hAnsi="Arial" w:cs="Arial"/>
          <w:kern w:val="1"/>
          <w:sz w:val="22"/>
          <w:szCs w:val="22"/>
        </w:rPr>
        <w:t xml:space="preserve"> JC, Hakala T, Jan J, Kopp P, Krebs M, </w:t>
      </w:r>
      <w:proofErr w:type="spellStart"/>
      <w:r w:rsidRPr="00DD448A">
        <w:rPr>
          <w:rFonts w:ascii="Arial" w:hAnsi="Arial" w:cs="Arial"/>
          <w:kern w:val="1"/>
          <w:sz w:val="22"/>
          <w:szCs w:val="22"/>
        </w:rPr>
        <w:t>Kršek</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Kužma</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Leenhardt</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Luchytskiy</w:t>
      </w:r>
      <w:proofErr w:type="spellEnd"/>
      <w:r w:rsidRPr="00DD448A">
        <w:rPr>
          <w:rFonts w:ascii="Arial" w:hAnsi="Arial" w:cs="Arial"/>
          <w:kern w:val="1"/>
          <w:sz w:val="22"/>
          <w:szCs w:val="22"/>
        </w:rPr>
        <w:t xml:space="preserve"> V, Puga FM, McGowan A, Melo M, Metso S, Moran C, </w:t>
      </w:r>
      <w:proofErr w:type="spellStart"/>
      <w:r w:rsidRPr="00DD448A">
        <w:rPr>
          <w:rFonts w:ascii="Arial" w:hAnsi="Arial" w:cs="Arial"/>
          <w:kern w:val="1"/>
          <w:sz w:val="22"/>
          <w:szCs w:val="22"/>
        </w:rPr>
        <w:t>Morgunova</w:t>
      </w:r>
      <w:proofErr w:type="spellEnd"/>
      <w:r w:rsidRPr="00DD448A">
        <w:rPr>
          <w:rFonts w:ascii="Arial" w:hAnsi="Arial" w:cs="Arial"/>
          <w:kern w:val="1"/>
          <w:sz w:val="22"/>
          <w:szCs w:val="22"/>
        </w:rPr>
        <w:t xml:space="preserve"> T, Niculescu DA, </w:t>
      </w:r>
      <w:proofErr w:type="spellStart"/>
      <w:r w:rsidRPr="00DD448A">
        <w:rPr>
          <w:rFonts w:ascii="Arial" w:hAnsi="Arial" w:cs="Arial"/>
          <w:kern w:val="1"/>
          <w:sz w:val="22"/>
          <w:szCs w:val="22"/>
        </w:rPr>
        <w:t>Perić</w:t>
      </w:r>
      <w:proofErr w:type="spellEnd"/>
      <w:r w:rsidRPr="00DD448A">
        <w:rPr>
          <w:rFonts w:ascii="Arial" w:hAnsi="Arial" w:cs="Arial"/>
          <w:kern w:val="1"/>
          <w:sz w:val="22"/>
          <w:szCs w:val="22"/>
        </w:rPr>
        <w:t xml:space="preserve"> B, Planck T, Poiana C, </w:t>
      </w:r>
      <w:proofErr w:type="spellStart"/>
      <w:r w:rsidRPr="00DD448A">
        <w:rPr>
          <w:rFonts w:ascii="Arial" w:hAnsi="Arial" w:cs="Arial"/>
          <w:kern w:val="1"/>
          <w:sz w:val="22"/>
          <w:szCs w:val="22"/>
        </w:rPr>
        <w:t>Robenshtok</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Rosselet</w:t>
      </w:r>
      <w:proofErr w:type="spellEnd"/>
      <w:r w:rsidRPr="00DD448A">
        <w:rPr>
          <w:rFonts w:ascii="Arial" w:hAnsi="Arial" w:cs="Arial"/>
          <w:kern w:val="1"/>
          <w:sz w:val="22"/>
          <w:szCs w:val="22"/>
        </w:rPr>
        <w:t xml:space="preserve"> PO, Ruchala M, Riis KR, </w:t>
      </w:r>
      <w:proofErr w:type="spellStart"/>
      <w:r w:rsidRPr="00DD448A">
        <w:rPr>
          <w:rFonts w:ascii="Arial" w:hAnsi="Arial" w:cs="Arial"/>
          <w:kern w:val="1"/>
          <w:sz w:val="22"/>
          <w:szCs w:val="22"/>
        </w:rPr>
        <w:t>Shepelkevich</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Tronko</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Unuane</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Vardarli</w:t>
      </w:r>
      <w:proofErr w:type="spellEnd"/>
      <w:r w:rsidRPr="00DD448A">
        <w:rPr>
          <w:rFonts w:ascii="Arial" w:hAnsi="Arial" w:cs="Arial"/>
          <w:kern w:val="1"/>
          <w:sz w:val="22"/>
          <w:szCs w:val="22"/>
        </w:rPr>
        <w:t xml:space="preserve"> I, Visser E, </w:t>
      </w:r>
      <w:proofErr w:type="spellStart"/>
      <w:r w:rsidRPr="00DD448A">
        <w:rPr>
          <w:rFonts w:ascii="Arial" w:hAnsi="Arial" w:cs="Arial"/>
          <w:kern w:val="1"/>
          <w:sz w:val="22"/>
          <w:szCs w:val="22"/>
        </w:rPr>
        <w:t>Vryonidou</w:t>
      </w:r>
      <w:proofErr w:type="spellEnd"/>
      <w:r w:rsidRPr="00DD448A">
        <w:rPr>
          <w:rFonts w:ascii="Arial" w:hAnsi="Arial" w:cs="Arial"/>
          <w:kern w:val="1"/>
          <w:sz w:val="22"/>
          <w:szCs w:val="22"/>
        </w:rPr>
        <w:t xml:space="preserve"> A, Younes YR, Perros P. Use of levothyroxine for euthyroid, thyroid antibody positive women with infertility: Analyses of aggregate data from a survey of European thyroid specialists (Treatment of Hypothyroidism in Europe by Specialists: An International Survey).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2024;101(2):180-190.</w:t>
      </w:r>
    </w:p>
    <w:p w14:paraId="3566C2B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502.</w:t>
      </w:r>
      <w:r w:rsidRPr="00DD448A">
        <w:rPr>
          <w:rFonts w:ascii="Arial" w:hAnsi="Arial" w:cs="Arial"/>
          <w:kern w:val="1"/>
          <w:sz w:val="22"/>
          <w:szCs w:val="22"/>
        </w:rPr>
        <w:tab/>
      </w:r>
      <w:proofErr w:type="spellStart"/>
      <w:r w:rsidRPr="00DD448A">
        <w:rPr>
          <w:rFonts w:ascii="Arial" w:hAnsi="Arial" w:cs="Arial"/>
          <w:kern w:val="1"/>
          <w:sz w:val="22"/>
          <w:szCs w:val="22"/>
        </w:rPr>
        <w:t>Mecacci</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Parretti</w:t>
      </w:r>
      <w:proofErr w:type="spellEnd"/>
      <w:r w:rsidRPr="00DD448A">
        <w:rPr>
          <w:rFonts w:ascii="Arial" w:hAnsi="Arial" w:cs="Arial"/>
          <w:kern w:val="1"/>
          <w:sz w:val="22"/>
          <w:szCs w:val="22"/>
        </w:rPr>
        <w:t xml:space="preserve"> E, Cioni R, Lucchetti R, Magrini A, La Torre P, Mignosa M, Acanfora L, Mello G. Thyroid autoimmunity and its association with non-organ-specific antibodies and subclinical alterations of thyroid function in women with a history of pregnancy loss or preeclampsia.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Reprod</w:t>
      </w:r>
      <w:proofErr w:type="spellEnd"/>
      <w:r w:rsidRPr="00DD448A">
        <w:rPr>
          <w:rFonts w:ascii="Arial" w:hAnsi="Arial" w:cs="Arial"/>
          <w:iCs/>
          <w:kern w:val="1"/>
          <w:sz w:val="22"/>
          <w:szCs w:val="22"/>
        </w:rPr>
        <w:t xml:space="preserve"> Immunol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2000;46:39-50.</w:t>
      </w:r>
    </w:p>
    <w:p w14:paraId="42480CA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503.</w:t>
      </w:r>
      <w:r w:rsidRPr="00DD448A">
        <w:rPr>
          <w:rFonts w:ascii="Arial" w:hAnsi="Arial" w:cs="Arial"/>
          <w:kern w:val="1"/>
          <w:sz w:val="22"/>
          <w:szCs w:val="22"/>
        </w:rPr>
        <w:tab/>
        <w:t xml:space="preserve">Bussen S, Steck T, Dietl J. Increased prevalence of thyroid antibodies in euthyroid women with a history of recurrent in-vitro fertilization failure. </w:t>
      </w:r>
      <w:r w:rsidRPr="00DD448A">
        <w:rPr>
          <w:rFonts w:ascii="Arial" w:hAnsi="Arial" w:cs="Arial"/>
          <w:iCs/>
          <w:kern w:val="1"/>
          <w:sz w:val="22"/>
          <w:szCs w:val="22"/>
        </w:rPr>
        <w:t xml:space="preserve">Hum </w:t>
      </w:r>
      <w:proofErr w:type="spellStart"/>
      <w:r w:rsidRPr="00DD448A">
        <w:rPr>
          <w:rFonts w:ascii="Arial" w:hAnsi="Arial" w:cs="Arial"/>
          <w:iCs/>
          <w:kern w:val="1"/>
          <w:sz w:val="22"/>
          <w:szCs w:val="22"/>
        </w:rPr>
        <w:t>Reprod</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2000;15:545-548.</w:t>
      </w:r>
    </w:p>
    <w:p w14:paraId="6119D19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504.</w:t>
      </w:r>
      <w:r w:rsidRPr="00DD448A">
        <w:rPr>
          <w:rFonts w:ascii="Arial" w:hAnsi="Arial" w:cs="Arial"/>
          <w:kern w:val="1"/>
          <w:sz w:val="22"/>
          <w:szCs w:val="22"/>
        </w:rPr>
        <w:tab/>
        <w:t xml:space="preserve">Poppe K, </w:t>
      </w:r>
      <w:proofErr w:type="spellStart"/>
      <w:r w:rsidRPr="00DD448A">
        <w:rPr>
          <w:rFonts w:ascii="Arial" w:hAnsi="Arial" w:cs="Arial"/>
          <w:kern w:val="1"/>
          <w:sz w:val="22"/>
          <w:szCs w:val="22"/>
        </w:rPr>
        <w:t>Glinoer</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tournaye</w:t>
      </w:r>
      <w:proofErr w:type="spellEnd"/>
      <w:r w:rsidRPr="00DD448A">
        <w:rPr>
          <w:rFonts w:ascii="Arial" w:hAnsi="Arial" w:cs="Arial"/>
          <w:kern w:val="1"/>
          <w:sz w:val="22"/>
          <w:szCs w:val="22"/>
        </w:rPr>
        <w:t xml:space="preserve"> H, </w:t>
      </w:r>
      <w:proofErr w:type="spellStart"/>
      <w:r w:rsidRPr="00DD448A">
        <w:rPr>
          <w:rFonts w:ascii="Arial" w:hAnsi="Arial" w:cs="Arial"/>
          <w:kern w:val="1"/>
          <w:sz w:val="22"/>
          <w:szCs w:val="22"/>
        </w:rPr>
        <w:t>Devroey</w:t>
      </w:r>
      <w:proofErr w:type="spellEnd"/>
      <w:r w:rsidRPr="00DD448A">
        <w:rPr>
          <w:rFonts w:ascii="Arial" w:hAnsi="Arial" w:cs="Arial"/>
          <w:kern w:val="1"/>
          <w:sz w:val="22"/>
          <w:szCs w:val="22"/>
        </w:rPr>
        <w:t xml:space="preserve"> P, Van </w:t>
      </w:r>
      <w:proofErr w:type="spellStart"/>
      <w:r w:rsidRPr="00DD448A">
        <w:rPr>
          <w:rFonts w:ascii="Arial" w:hAnsi="Arial" w:cs="Arial"/>
          <w:kern w:val="1"/>
          <w:sz w:val="22"/>
          <w:szCs w:val="22"/>
        </w:rPr>
        <w:t>Steirteghem</w:t>
      </w:r>
      <w:proofErr w:type="spellEnd"/>
      <w:r w:rsidRPr="00DD448A">
        <w:rPr>
          <w:rFonts w:ascii="Arial" w:hAnsi="Arial" w:cs="Arial"/>
          <w:kern w:val="1"/>
          <w:sz w:val="22"/>
          <w:szCs w:val="22"/>
        </w:rPr>
        <w:t xml:space="preserve"> a, Kaufman L, </w:t>
      </w:r>
      <w:proofErr w:type="spellStart"/>
      <w:r w:rsidRPr="00DD448A">
        <w:rPr>
          <w:rFonts w:ascii="Arial" w:hAnsi="Arial" w:cs="Arial"/>
          <w:kern w:val="1"/>
          <w:sz w:val="22"/>
          <w:szCs w:val="22"/>
        </w:rPr>
        <w:t>Velkeniers</w:t>
      </w:r>
      <w:proofErr w:type="spellEnd"/>
      <w:r w:rsidRPr="00DD448A">
        <w:rPr>
          <w:rFonts w:ascii="Arial" w:hAnsi="Arial" w:cs="Arial"/>
          <w:kern w:val="1"/>
          <w:sz w:val="22"/>
          <w:szCs w:val="22"/>
        </w:rPr>
        <w:t xml:space="preserve"> B. Assisted reproduction and thyroid autoimmunity: an unfortunate combination?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2003;88:4149-4152.</w:t>
      </w:r>
    </w:p>
    <w:p w14:paraId="368A317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505.</w:t>
      </w:r>
      <w:r w:rsidRPr="00DD448A">
        <w:rPr>
          <w:rFonts w:ascii="Arial" w:hAnsi="Arial" w:cs="Arial"/>
          <w:kern w:val="1"/>
          <w:sz w:val="22"/>
          <w:szCs w:val="22"/>
        </w:rPr>
        <w:tab/>
        <w:t xml:space="preserve">Negro R, Formoso G, Coppola L, </w:t>
      </w:r>
      <w:proofErr w:type="spellStart"/>
      <w:r w:rsidRPr="00DD448A">
        <w:rPr>
          <w:rFonts w:ascii="Arial" w:hAnsi="Arial" w:cs="Arial"/>
          <w:kern w:val="1"/>
          <w:sz w:val="22"/>
          <w:szCs w:val="22"/>
        </w:rPr>
        <w:t>Presicce</w:t>
      </w:r>
      <w:proofErr w:type="spellEnd"/>
      <w:r w:rsidRPr="00DD448A">
        <w:rPr>
          <w:rFonts w:ascii="Arial" w:hAnsi="Arial" w:cs="Arial"/>
          <w:kern w:val="1"/>
          <w:sz w:val="22"/>
          <w:szCs w:val="22"/>
        </w:rPr>
        <w:t xml:space="preserve"> G, Mangieri T, </w:t>
      </w:r>
      <w:proofErr w:type="spellStart"/>
      <w:r w:rsidRPr="00DD448A">
        <w:rPr>
          <w:rFonts w:ascii="Arial" w:hAnsi="Arial" w:cs="Arial"/>
          <w:kern w:val="1"/>
          <w:sz w:val="22"/>
          <w:szCs w:val="22"/>
        </w:rPr>
        <w:t>Pezzarossa</w:t>
      </w:r>
      <w:proofErr w:type="spellEnd"/>
      <w:r w:rsidRPr="00DD448A">
        <w:rPr>
          <w:rFonts w:ascii="Arial" w:hAnsi="Arial" w:cs="Arial"/>
          <w:kern w:val="1"/>
          <w:sz w:val="22"/>
          <w:szCs w:val="22"/>
        </w:rPr>
        <w:t xml:space="preserve"> A, Dazzi D. Euthyroid women with autoimmune disease undergoing assisted reproduction technologies: the role of autoimmunity and thyroid function.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2007;30(1):3-8.</w:t>
      </w:r>
    </w:p>
    <w:p w14:paraId="6E97C6F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506.</w:t>
      </w:r>
      <w:r w:rsidRPr="00DD448A">
        <w:rPr>
          <w:rFonts w:ascii="Arial" w:hAnsi="Arial" w:cs="Arial"/>
          <w:kern w:val="1"/>
          <w:sz w:val="22"/>
          <w:szCs w:val="22"/>
        </w:rPr>
        <w:tab/>
        <w:t xml:space="preserve">He X, Wang P, Wang Z, He X, Xu D, Wang B. Thyroid antibodies and risk of preterm delivery: a meta-analysis of prospective cohort studies.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2012;167(4):455-464.</w:t>
      </w:r>
    </w:p>
    <w:p w14:paraId="4FB8E8C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507.</w:t>
      </w:r>
      <w:r w:rsidRPr="00DD448A">
        <w:rPr>
          <w:rFonts w:ascii="Arial" w:hAnsi="Arial" w:cs="Arial"/>
          <w:kern w:val="1"/>
          <w:sz w:val="22"/>
          <w:szCs w:val="22"/>
        </w:rPr>
        <w:tab/>
        <w:t xml:space="preserve">Karakosta P, </w:t>
      </w:r>
      <w:proofErr w:type="spellStart"/>
      <w:r w:rsidRPr="00DD448A">
        <w:rPr>
          <w:rFonts w:ascii="Arial" w:hAnsi="Arial" w:cs="Arial"/>
          <w:kern w:val="1"/>
          <w:sz w:val="22"/>
          <w:szCs w:val="22"/>
        </w:rPr>
        <w:t>Alegakis</w:t>
      </w:r>
      <w:proofErr w:type="spellEnd"/>
      <w:r w:rsidRPr="00DD448A">
        <w:rPr>
          <w:rFonts w:ascii="Arial" w:hAnsi="Arial" w:cs="Arial"/>
          <w:kern w:val="1"/>
          <w:sz w:val="22"/>
          <w:szCs w:val="22"/>
        </w:rPr>
        <w:t xml:space="preserve"> D, Georgiou V, </w:t>
      </w:r>
      <w:proofErr w:type="spellStart"/>
      <w:r w:rsidRPr="00DD448A">
        <w:rPr>
          <w:rFonts w:ascii="Arial" w:hAnsi="Arial" w:cs="Arial"/>
          <w:kern w:val="1"/>
          <w:sz w:val="22"/>
          <w:szCs w:val="22"/>
        </w:rPr>
        <w:t>Roumeliotaki</w:t>
      </w:r>
      <w:proofErr w:type="spellEnd"/>
      <w:r w:rsidRPr="00DD448A">
        <w:rPr>
          <w:rFonts w:ascii="Arial" w:hAnsi="Arial" w:cs="Arial"/>
          <w:kern w:val="1"/>
          <w:sz w:val="22"/>
          <w:szCs w:val="22"/>
        </w:rPr>
        <w:t xml:space="preserve"> T, </w:t>
      </w:r>
      <w:proofErr w:type="spellStart"/>
      <w:r w:rsidRPr="00DD448A">
        <w:rPr>
          <w:rFonts w:ascii="Arial" w:hAnsi="Arial" w:cs="Arial"/>
          <w:kern w:val="1"/>
          <w:sz w:val="22"/>
          <w:szCs w:val="22"/>
        </w:rPr>
        <w:t>Fthenou</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Vassilaki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Boumpas</w:t>
      </w:r>
      <w:proofErr w:type="spellEnd"/>
      <w:r w:rsidRPr="00DD448A">
        <w:rPr>
          <w:rFonts w:ascii="Arial" w:hAnsi="Arial" w:cs="Arial"/>
          <w:kern w:val="1"/>
          <w:sz w:val="22"/>
          <w:szCs w:val="22"/>
        </w:rPr>
        <w:t xml:space="preserve"> D, Castanas E, </w:t>
      </w:r>
      <w:proofErr w:type="spellStart"/>
      <w:r w:rsidRPr="00DD448A">
        <w:rPr>
          <w:rFonts w:ascii="Arial" w:hAnsi="Arial" w:cs="Arial"/>
          <w:kern w:val="1"/>
          <w:sz w:val="22"/>
          <w:szCs w:val="22"/>
        </w:rPr>
        <w:t>Kogevinas</w:t>
      </w:r>
      <w:proofErr w:type="spellEnd"/>
      <w:r w:rsidRPr="00DD448A">
        <w:rPr>
          <w:rFonts w:ascii="Arial" w:hAnsi="Arial" w:cs="Arial"/>
          <w:kern w:val="1"/>
          <w:sz w:val="22"/>
          <w:szCs w:val="22"/>
        </w:rPr>
        <w:t xml:space="preserve"> M, Chatzi L. Thyroid dysfunction and autoantibodies in early pregnancy are associated with increased risk of gestational diabetes and adverse birth outcomes.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2012;97(12):4464-4472.</w:t>
      </w:r>
    </w:p>
    <w:p w14:paraId="03C77F5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508.</w:t>
      </w:r>
      <w:r w:rsidRPr="00DD448A">
        <w:rPr>
          <w:rFonts w:ascii="Arial" w:hAnsi="Arial" w:cs="Arial"/>
          <w:kern w:val="1"/>
          <w:sz w:val="22"/>
          <w:szCs w:val="22"/>
        </w:rPr>
        <w:tab/>
        <w:t xml:space="preserve">Bucci I, Giuliani C, Di </w:t>
      </w:r>
      <w:proofErr w:type="spellStart"/>
      <w:r w:rsidRPr="00DD448A">
        <w:rPr>
          <w:rFonts w:ascii="Arial" w:hAnsi="Arial" w:cs="Arial"/>
          <w:kern w:val="1"/>
          <w:sz w:val="22"/>
          <w:szCs w:val="22"/>
        </w:rPr>
        <w:t>Dalmazi</w:t>
      </w:r>
      <w:proofErr w:type="spellEnd"/>
      <w:r w:rsidRPr="00DD448A">
        <w:rPr>
          <w:rFonts w:ascii="Arial" w:hAnsi="Arial" w:cs="Arial"/>
          <w:kern w:val="1"/>
          <w:sz w:val="22"/>
          <w:szCs w:val="22"/>
        </w:rPr>
        <w:t xml:space="preserve"> G, Formoso G, Napolitano G. Thyroid Autoimmunity in Female Infertility and Assisted Reproductive Technology Outcome.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2022;13:768363.</w:t>
      </w:r>
    </w:p>
    <w:p w14:paraId="176D5DB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509.</w:t>
      </w:r>
      <w:r w:rsidRPr="00DD448A">
        <w:rPr>
          <w:rFonts w:ascii="Arial" w:hAnsi="Arial" w:cs="Arial"/>
          <w:kern w:val="1"/>
          <w:sz w:val="22"/>
          <w:szCs w:val="22"/>
        </w:rPr>
        <w:tab/>
        <w:t xml:space="preserve">McLachlan SM, Rapoport B. Why measure thyroglobulin autoantibodies rather than thyroid peroxidase autoantibodies?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2004;14(7):510-520.</w:t>
      </w:r>
    </w:p>
    <w:p w14:paraId="59B1DE6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510.</w:t>
      </w:r>
      <w:r w:rsidRPr="00DD448A">
        <w:rPr>
          <w:rFonts w:ascii="Arial" w:hAnsi="Arial" w:cs="Arial"/>
          <w:kern w:val="1"/>
          <w:sz w:val="22"/>
          <w:szCs w:val="22"/>
        </w:rPr>
        <w:tab/>
      </w:r>
      <w:proofErr w:type="spellStart"/>
      <w:r w:rsidRPr="00DD448A">
        <w:rPr>
          <w:rFonts w:ascii="Arial" w:hAnsi="Arial" w:cs="Arial"/>
          <w:kern w:val="1"/>
          <w:sz w:val="22"/>
          <w:szCs w:val="22"/>
        </w:rPr>
        <w:t>Latrofa</w:t>
      </w:r>
      <w:proofErr w:type="spellEnd"/>
      <w:r w:rsidRPr="00DD448A">
        <w:rPr>
          <w:rFonts w:ascii="Arial" w:hAnsi="Arial" w:cs="Arial"/>
          <w:kern w:val="1"/>
          <w:sz w:val="22"/>
          <w:szCs w:val="22"/>
        </w:rPr>
        <w:t xml:space="preserve"> F, Ricci D, Montanelli L, Rocchi R, Piaggi P, Sisti E, Grasso L, Basolo F, Ugolini C, Pinchera A, Vitti P. Thyroglobulin autoantibodies in patients with papillary thyroid carcinoma: comparison of different assays and evaluation of causes of discrepancies.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2012;97(11):3974-3982.</w:t>
      </w:r>
    </w:p>
    <w:p w14:paraId="17AEA90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511.</w:t>
      </w:r>
      <w:r w:rsidRPr="00DD448A">
        <w:rPr>
          <w:rFonts w:ascii="Arial" w:hAnsi="Arial" w:cs="Arial"/>
          <w:kern w:val="1"/>
          <w:sz w:val="22"/>
          <w:szCs w:val="22"/>
        </w:rPr>
        <w:tab/>
        <w:t xml:space="preserve">Pickett AJ, Jones M, Evans C. Causes of discordance between thyroglobulin antibody assays.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2012;49(Pt 5):463-467.</w:t>
      </w:r>
    </w:p>
    <w:p w14:paraId="2296680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512.</w:t>
      </w:r>
      <w:r w:rsidRPr="00DD448A">
        <w:rPr>
          <w:rFonts w:ascii="Arial" w:hAnsi="Arial" w:cs="Arial"/>
          <w:kern w:val="1"/>
          <w:sz w:val="22"/>
          <w:szCs w:val="22"/>
        </w:rPr>
        <w:tab/>
        <w:t xml:space="preserve">Spencer CA, Bergoglio LM, </w:t>
      </w:r>
      <w:proofErr w:type="spellStart"/>
      <w:r w:rsidRPr="00DD448A">
        <w:rPr>
          <w:rFonts w:ascii="Arial" w:hAnsi="Arial" w:cs="Arial"/>
          <w:kern w:val="1"/>
          <w:sz w:val="22"/>
          <w:szCs w:val="22"/>
        </w:rPr>
        <w:t>Kazarosyan</w:t>
      </w:r>
      <w:proofErr w:type="spellEnd"/>
      <w:r w:rsidRPr="00DD448A">
        <w:rPr>
          <w:rFonts w:ascii="Arial" w:hAnsi="Arial" w:cs="Arial"/>
          <w:kern w:val="1"/>
          <w:sz w:val="22"/>
          <w:szCs w:val="22"/>
        </w:rPr>
        <w:t xml:space="preserve"> M, Fatemi S, LoPresti JS. Clinical impact of thyroglobulin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and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autoantibody method differences on the management of patients with differentiated thyroid carcinomas.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2005;90(10):5566-5575.</w:t>
      </w:r>
    </w:p>
    <w:p w14:paraId="7F2288A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513.</w:t>
      </w:r>
      <w:r w:rsidRPr="00DD448A">
        <w:rPr>
          <w:rFonts w:ascii="Arial" w:hAnsi="Arial" w:cs="Arial"/>
          <w:kern w:val="1"/>
          <w:sz w:val="22"/>
          <w:szCs w:val="22"/>
        </w:rPr>
        <w:tab/>
        <w:t xml:space="preserve">Lupoli GA, </w:t>
      </w:r>
      <w:proofErr w:type="spellStart"/>
      <w:r w:rsidRPr="00DD448A">
        <w:rPr>
          <w:rFonts w:ascii="Arial" w:hAnsi="Arial" w:cs="Arial"/>
          <w:kern w:val="1"/>
          <w:sz w:val="22"/>
          <w:szCs w:val="22"/>
        </w:rPr>
        <w:t>Okosieme</w:t>
      </w:r>
      <w:proofErr w:type="spellEnd"/>
      <w:r w:rsidRPr="00DD448A">
        <w:rPr>
          <w:rFonts w:ascii="Arial" w:hAnsi="Arial" w:cs="Arial"/>
          <w:kern w:val="1"/>
          <w:sz w:val="22"/>
          <w:szCs w:val="22"/>
        </w:rPr>
        <w:t xml:space="preserve"> OE, Evans C, Clark PM, Pickett AJ, </w:t>
      </w:r>
      <w:proofErr w:type="spellStart"/>
      <w:r w:rsidRPr="00DD448A">
        <w:rPr>
          <w:rFonts w:ascii="Arial" w:hAnsi="Arial" w:cs="Arial"/>
          <w:kern w:val="1"/>
          <w:sz w:val="22"/>
          <w:szCs w:val="22"/>
        </w:rPr>
        <w:t>Premawardhana</w:t>
      </w:r>
      <w:proofErr w:type="spellEnd"/>
      <w:r w:rsidRPr="00DD448A">
        <w:rPr>
          <w:rFonts w:ascii="Arial" w:hAnsi="Arial" w:cs="Arial"/>
          <w:kern w:val="1"/>
          <w:sz w:val="22"/>
          <w:szCs w:val="22"/>
        </w:rPr>
        <w:t xml:space="preserve"> LD, Lupoli G, Lazarus JH. Prognostic significance of thyroglobulin antibody epitopes in differentiated thyroid cancer.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2015;100(1):100-108.</w:t>
      </w:r>
    </w:p>
    <w:p w14:paraId="6AE11E8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514.</w:t>
      </w:r>
      <w:r w:rsidRPr="00DD448A">
        <w:rPr>
          <w:rFonts w:ascii="Arial" w:hAnsi="Arial" w:cs="Arial"/>
          <w:kern w:val="1"/>
          <w:sz w:val="22"/>
          <w:szCs w:val="22"/>
        </w:rPr>
        <w:tab/>
        <w:t xml:space="preserve">Taylor KP, Parkington D, Bradbury S, Simpson HL, Jefferies SJ, Halsall DJ. Concordance between thyroglobulin antibody assays.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2011;48(Pt 4):367-369.</w:t>
      </w:r>
    </w:p>
    <w:p w14:paraId="595DBD6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515.</w:t>
      </w:r>
      <w:r w:rsidRPr="00DD448A">
        <w:rPr>
          <w:rFonts w:ascii="Arial" w:hAnsi="Arial" w:cs="Arial"/>
          <w:kern w:val="1"/>
          <w:sz w:val="22"/>
          <w:szCs w:val="22"/>
        </w:rPr>
        <w:tab/>
        <w:t xml:space="preserve">Rosario PW, </w:t>
      </w:r>
      <w:proofErr w:type="spellStart"/>
      <w:r w:rsidRPr="00DD448A">
        <w:rPr>
          <w:rFonts w:ascii="Arial" w:hAnsi="Arial" w:cs="Arial"/>
          <w:kern w:val="1"/>
          <w:sz w:val="22"/>
          <w:szCs w:val="22"/>
        </w:rPr>
        <w:t>Côrtes</w:t>
      </w:r>
      <w:proofErr w:type="spellEnd"/>
      <w:r w:rsidRPr="00DD448A">
        <w:rPr>
          <w:rFonts w:ascii="Arial" w:hAnsi="Arial" w:cs="Arial"/>
          <w:kern w:val="1"/>
          <w:sz w:val="22"/>
          <w:szCs w:val="22"/>
        </w:rPr>
        <w:t xml:space="preserve"> MCS, Franco Mourão G. Follow-up of patients with thyroid cancer and antithyroglobulin antibodies: a review for clinicians.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Relat</w:t>
      </w:r>
      <w:proofErr w:type="spellEnd"/>
      <w:r w:rsidRPr="00DD448A">
        <w:rPr>
          <w:rFonts w:ascii="Arial" w:hAnsi="Arial" w:cs="Arial"/>
          <w:iCs/>
          <w:kern w:val="1"/>
          <w:sz w:val="22"/>
          <w:szCs w:val="22"/>
        </w:rPr>
        <w:t xml:space="preserve"> Cancer</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2021;28(4):R111-r119.</w:t>
      </w:r>
    </w:p>
    <w:p w14:paraId="7C37B21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516.</w:t>
      </w:r>
      <w:r w:rsidRPr="00DD448A">
        <w:rPr>
          <w:rFonts w:ascii="Arial" w:hAnsi="Arial" w:cs="Arial"/>
          <w:kern w:val="1"/>
          <w:sz w:val="22"/>
          <w:szCs w:val="22"/>
        </w:rPr>
        <w:tab/>
        <w:t xml:space="preserve">van </w:t>
      </w:r>
      <w:proofErr w:type="spellStart"/>
      <w:r w:rsidRPr="00DD448A">
        <w:rPr>
          <w:rFonts w:ascii="Arial" w:hAnsi="Arial" w:cs="Arial"/>
          <w:kern w:val="1"/>
          <w:sz w:val="22"/>
          <w:szCs w:val="22"/>
        </w:rPr>
        <w:t>Kinschot</w:t>
      </w:r>
      <w:proofErr w:type="spellEnd"/>
      <w:r w:rsidRPr="00DD448A">
        <w:rPr>
          <w:rFonts w:ascii="Arial" w:hAnsi="Arial" w:cs="Arial"/>
          <w:kern w:val="1"/>
          <w:sz w:val="22"/>
          <w:szCs w:val="22"/>
        </w:rPr>
        <w:t xml:space="preserve"> CMJ, Peeters RP, van den Berg SAA, Verburg FA, van Noord C, van </w:t>
      </w:r>
      <w:proofErr w:type="spellStart"/>
      <w:r w:rsidRPr="00DD448A">
        <w:rPr>
          <w:rFonts w:ascii="Arial" w:hAnsi="Arial" w:cs="Arial"/>
          <w:kern w:val="1"/>
          <w:sz w:val="22"/>
          <w:szCs w:val="22"/>
        </w:rPr>
        <w:t>Ginhoven</w:t>
      </w:r>
      <w:proofErr w:type="spellEnd"/>
      <w:r w:rsidRPr="00DD448A">
        <w:rPr>
          <w:rFonts w:ascii="Arial" w:hAnsi="Arial" w:cs="Arial"/>
          <w:kern w:val="1"/>
          <w:sz w:val="22"/>
          <w:szCs w:val="22"/>
        </w:rPr>
        <w:t xml:space="preserve"> TM, Visser WE. Thyroglobulin and thyroglobulin antibodies: assay-dependent management consequences in patients with differentiated thyroid carcinoma.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2022;60(5):756-765.</w:t>
      </w:r>
    </w:p>
    <w:p w14:paraId="7FB90E5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517.</w:t>
      </w:r>
      <w:r w:rsidRPr="00DD448A">
        <w:rPr>
          <w:rFonts w:ascii="Arial" w:hAnsi="Arial" w:cs="Arial"/>
          <w:kern w:val="1"/>
          <w:sz w:val="22"/>
          <w:szCs w:val="22"/>
        </w:rPr>
        <w:tab/>
        <w:t xml:space="preserve">Ruf J, </w:t>
      </w:r>
      <w:proofErr w:type="spellStart"/>
      <w:r w:rsidRPr="00DD448A">
        <w:rPr>
          <w:rFonts w:ascii="Arial" w:hAnsi="Arial" w:cs="Arial"/>
          <w:kern w:val="1"/>
          <w:sz w:val="22"/>
          <w:szCs w:val="22"/>
        </w:rPr>
        <w:t>Carayon</w:t>
      </w:r>
      <w:proofErr w:type="spellEnd"/>
      <w:r w:rsidRPr="00DD448A">
        <w:rPr>
          <w:rFonts w:ascii="Arial" w:hAnsi="Arial" w:cs="Arial"/>
          <w:kern w:val="1"/>
          <w:sz w:val="22"/>
          <w:szCs w:val="22"/>
        </w:rPr>
        <w:t xml:space="preserve"> P, Lissitzky S. Various expressions of a unique anti-human thyroglobulin antibody repertoire in normal state and autoimmune disease.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Immunol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1985;15(3):268-272.</w:t>
      </w:r>
    </w:p>
    <w:p w14:paraId="79686A4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518.</w:t>
      </w:r>
      <w:r w:rsidRPr="00DD448A">
        <w:rPr>
          <w:rFonts w:ascii="Arial" w:hAnsi="Arial" w:cs="Arial"/>
          <w:kern w:val="1"/>
          <w:sz w:val="22"/>
          <w:szCs w:val="22"/>
        </w:rPr>
        <w:tab/>
        <w:t xml:space="preserve">Aras G, Gültekin SS, </w:t>
      </w:r>
      <w:proofErr w:type="spellStart"/>
      <w:r w:rsidRPr="00DD448A">
        <w:rPr>
          <w:rFonts w:ascii="Arial" w:hAnsi="Arial" w:cs="Arial"/>
          <w:kern w:val="1"/>
          <w:sz w:val="22"/>
          <w:szCs w:val="22"/>
        </w:rPr>
        <w:t>Küçük</w:t>
      </w:r>
      <w:proofErr w:type="spellEnd"/>
      <w:r w:rsidRPr="00DD448A">
        <w:rPr>
          <w:rFonts w:ascii="Arial" w:hAnsi="Arial" w:cs="Arial"/>
          <w:kern w:val="1"/>
          <w:sz w:val="22"/>
          <w:szCs w:val="22"/>
        </w:rPr>
        <w:t xml:space="preserve"> NO. The additive clinical value of combined thyroglobulin and antithyroglobulin antibody measurements to define persistent and recurrent disease in patients with differentiated thyroid cancer. </w:t>
      </w:r>
      <w:proofErr w:type="spellStart"/>
      <w:r w:rsidRPr="00DD448A">
        <w:rPr>
          <w:rFonts w:ascii="Arial" w:hAnsi="Arial" w:cs="Arial"/>
          <w:iCs/>
          <w:kern w:val="1"/>
          <w:sz w:val="22"/>
          <w:szCs w:val="22"/>
        </w:rPr>
        <w:t>Nucl</w:t>
      </w:r>
      <w:proofErr w:type="spellEnd"/>
      <w:r w:rsidRPr="00DD448A">
        <w:rPr>
          <w:rFonts w:ascii="Arial" w:hAnsi="Arial" w:cs="Arial"/>
          <w:iCs/>
          <w:kern w:val="1"/>
          <w:sz w:val="22"/>
          <w:szCs w:val="22"/>
        </w:rPr>
        <w:t xml:space="preserve"> Med Commun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2008;29(10):880-884.</w:t>
      </w:r>
    </w:p>
    <w:p w14:paraId="35C2596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519.</w:t>
      </w:r>
      <w:r w:rsidRPr="00DD448A">
        <w:rPr>
          <w:rFonts w:ascii="Arial" w:hAnsi="Arial" w:cs="Arial"/>
          <w:kern w:val="1"/>
          <w:sz w:val="22"/>
          <w:szCs w:val="22"/>
        </w:rPr>
        <w:tab/>
        <w:t xml:space="preserve">Feldt-Rasmussen U, Rasmussen AK. Autoimmunity in differentiated thyroid cancer: significance and related clinical problems. </w:t>
      </w:r>
      <w:r w:rsidRPr="00DD448A">
        <w:rPr>
          <w:rFonts w:ascii="Arial" w:hAnsi="Arial" w:cs="Arial"/>
          <w:iCs/>
          <w:kern w:val="1"/>
          <w:sz w:val="22"/>
          <w:szCs w:val="22"/>
        </w:rPr>
        <w:t>Hormones (Athens)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2010;9(2):109-117.</w:t>
      </w:r>
    </w:p>
    <w:p w14:paraId="7BEC60A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520.</w:t>
      </w:r>
      <w:r w:rsidRPr="00DD448A">
        <w:rPr>
          <w:rFonts w:ascii="Arial" w:hAnsi="Arial" w:cs="Arial"/>
          <w:kern w:val="1"/>
          <w:sz w:val="22"/>
          <w:szCs w:val="22"/>
        </w:rPr>
        <w:tab/>
        <w:t xml:space="preserve">Zhao Y, Mu Z, Liang D, Zhang T, Zhang X, Sun D, Sun Y, Liang J, Lin Y. Prognostic value of postoperative anti-thyroglobulin antibody in patients with differentiated thyroid cancer.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2024;15:1354426.</w:t>
      </w:r>
    </w:p>
    <w:p w14:paraId="364545F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521.</w:t>
      </w:r>
      <w:r w:rsidRPr="00DD448A">
        <w:rPr>
          <w:rFonts w:ascii="Arial" w:hAnsi="Arial" w:cs="Arial"/>
          <w:kern w:val="1"/>
          <w:sz w:val="22"/>
          <w:szCs w:val="22"/>
        </w:rPr>
        <w:tab/>
        <w:t xml:space="preserve">Spencer CA, Takeuchi M, </w:t>
      </w:r>
      <w:proofErr w:type="spellStart"/>
      <w:r w:rsidRPr="00DD448A">
        <w:rPr>
          <w:rFonts w:ascii="Arial" w:hAnsi="Arial" w:cs="Arial"/>
          <w:kern w:val="1"/>
          <w:sz w:val="22"/>
          <w:szCs w:val="22"/>
        </w:rPr>
        <w:t>Kazarosyan</w:t>
      </w:r>
      <w:proofErr w:type="spellEnd"/>
      <w:r w:rsidRPr="00DD448A">
        <w:rPr>
          <w:rFonts w:ascii="Arial" w:hAnsi="Arial" w:cs="Arial"/>
          <w:kern w:val="1"/>
          <w:sz w:val="22"/>
          <w:szCs w:val="22"/>
        </w:rPr>
        <w:t xml:space="preserve"> M, Wang CC, </w:t>
      </w:r>
      <w:proofErr w:type="spellStart"/>
      <w:r w:rsidRPr="00DD448A">
        <w:rPr>
          <w:rFonts w:ascii="Arial" w:hAnsi="Arial" w:cs="Arial"/>
          <w:kern w:val="1"/>
          <w:sz w:val="22"/>
          <w:szCs w:val="22"/>
        </w:rPr>
        <w:t>Guttler</w:t>
      </w:r>
      <w:proofErr w:type="spellEnd"/>
      <w:r w:rsidRPr="00DD448A">
        <w:rPr>
          <w:rFonts w:ascii="Arial" w:hAnsi="Arial" w:cs="Arial"/>
          <w:kern w:val="1"/>
          <w:sz w:val="22"/>
          <w:szCs w:val="22"/>
        </w:rPr>
        <w:t xml:space="preserve"> RB, Singer PA, Fatemi S, LoPresti JS, Nicoloff JT. Serum thyroglobulin autoantibodies: prevalence, influence on serum thyroglobulin measurement, and prognostic significance in patients with differentiated thyroid carcinoma.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1998;83(4):1121-1127.</w:t>
      </w:r>
    </w:p>
    <w:p w14:paraId="1A99869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522.</w:t>
      </w:r>
      <w:r w:rsidRPr="00DD448A">
        <w:rPr>
          <w:rFonts w:ascii="Arial" w:hAnsi="Arial" w:cs="Arial"/>
          <w:kern w:val="1"/>
          <w:sz w:val="22"/>
          <w:szCs w:val="22"/>
        </w:rPr>
        <w:tab/>
      </w:r>
      <w:proofErr w:type="spellStart"/>
      <w:r w:rsidRPr="00DD448A">
        <w:rPr>
          <w:rFonts w:ascii="Arial" w:hAnsi="Arial" w:cs="Arial"/>
          <w:kern w:val="1"/>
          <w:sz w:val="22"/>
          <w:szCs w:val="22"/>
        </w:rPr>
        <w:t>Görges</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Maniecki</w:t>
      </w:r>
      <w:proofErr w:type="spellEnd"/>
      <w:r w:rsidRPr="00DD448A">
        <w:rPr>
          <w:rFonts w:ascii="Arial" w:hAnsi="Arial" w:cs="Arial"/>
          <w:kern w:val="1"/>
          <w:sz w:val="22"/>
          <w:szCs w:val="22"/>
        </w:rPr>
        <w:t xml:space="preserve"> M, Jentzen W, Sheu SN, Mann K, </w:t>
      </w:r>
      <w:proofErr w:type="spellStart"/>
      <w:r w:rsidRPr="00DD448A">
        <w:rPr>
          <w:rFonts w:ascii="Arial" w:hAnsi="Arial" w:cs="Arial"/>
          <w:kern w:val="1"/>
          <w:sz w:val="22"/>
          <w:szCs w:val="22"/>
        </w:rPr>
        <w:t>Bockisch</w:t>
      </w:r>
      <w:proofErr w:type="spellEnd"/>
      <w:r w:rsidRPr="00DD448A">
        <w:rPr>
          <w:rFonts w:ascii="Arial" w:hAnsi="Arial" w:cs="Arial"/>
          <w:kern w:val="1"/>
          <w:sz w:val="22"/>
          <w:szCs w:val="22"/>
        </w:rPr>
        <w:t xml:space="preserve"> A, Janssen OE. Development and clinical impact of thyroglobulin antibodies in patients with differentiated thyroid carcinoma during the first 3 years after thyroidectomy.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2005;153(1):49-55.</w:t>
      </w:r>
    </w:p>
    <w:p w14:paraId="0ECC5C3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523.</w:t>
      </w:r>
      <w:r w:rsidRPr="00DD448A">
        <w:rPr>
          <w:rFonts w:ascii="Arial" w:hAnsi="Arial" w:cs="Arial"/>
          <w:kern w:val="1"/>
          <w:sz w:val="22"/>
          <w:szCs w:val="22"/>
        </w:rPr>
        <w:tab/>
        <w:t xml:space="preserve">Kim ES, Lim DJ, Baek KH, Lee JM, Kim MK, Kwon HS, Song KH, Kang MI, Cha BY, Lee KW, Son HY. Thyroglobulin antibody is associated with increased cancer risk in thyroid nodules.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2010;20(8):885-891.</w:t>
      </w:r>
    </w:p>
    <w:p w14:paraId="50FA874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524.</w:t>
      </w:r>
      <w:r w:rsidRPr="00DD448A">
        <w:rPr>
          <w:rFonts w:ascii="Arial" w:hAnsi="Arial" w:cs="Arial"/>
          <w:kern w:val="1"/>
          <w:sz w:val="22"/>
          <w:szCs w:val="22"/>
        </w:rPr>
        <w:tab/>
        <w:t xml:space="preserve">Ge H, Chen W, Lin Z, Li Y, Chen S. Analysis of the prognostic value of thyroglobulin antibody change trends during follow-up after (131)I treatment in patients with differentiated thyroid carcinoma. </w:t>
      </w:r>
      <w:r w:rsidRPr="00DD448A">
        <w:rPr>
          <w:rFonts w:ascii="Arial" w:hAnsi="Arial" w:cs="Arial"/>
          <w:iCs/>
          <w:kern w:val="1"/>
          <w:sz w:val="22"/>
          <w:szCs w:val="22"/>
        </w:rPr>
        <w:t>Front Oncol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2025;15:1496594.</w:t>
      </w:r>
    </w:p>
    <w:p w14:paraId="36241B0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525.</w:t>
      </w:r>
      <w:r w:rsidRPr="00DD448A">
        <w:rPr>
          <w:rFonts w:ascii="Arial" w:hAnsi="Arial" w:cs="Arial"/>
          <w:kern w:val="1"/>
          <w:sz w:val="22"/>
          <w:szCs w:val="22"/>
        </w:rPr>
        <w:tab/>
        <w:t xml:space="preserve">Grani G, Calvanese A, </w:t>
      </w:r>
      <w:proofErr w:type="spellStart"/>
      <w:r w:rsidRPr="00DD448A">
        <w:rPr>
          <w:rFonts w:ascii="Arial" w:hAnsi="Arial" w:cs="Arial"/>
          <w:kern w:val="1"/>
          <w:sz w:val="22"/>
          <w:szCs w:val="22"/>
        </w:rPr>
        <w:t>Carbotta</w:t>
      </w:r>
      <w:proofErr w:type="spellEnd"/>
      <w:r w:rsidRPr="00DD448A">
        <w:rPr>
          <w:rFonts w:ascii="Arial" w:hAnsi="Arial" w:cs="Arial"/>
          <w:kern w:val="1"/>
          <w:sz w:val="22"/>
          <w:szCs w:val="22"/>
        </w:rPr>
        <w:t xml:space="preserve"> G, D'Alessandri M, Nesca A, Bianchini M, Del Sordo M, Vitale M, Fumarola A. Thyroid autoimmunity and risk of malignancy in thyroid nodules submitted to fine-needle aspiration cytology. </w:t>
      </w:r>
      <w:r w:rsidRPr="00DD448A">
        <w:rPr>
          <w:rFonts w:ascii="Arial" w:hAnsi="Arial" w:cs="Arial"/>
          <w:iCs/>
          <w:kern w:val="1"/>
          <w:sz w:val="22"/>
          <w:szCs w:val="22"/>
        </w:rPr>
        <w:t>Head Neck</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2015;37(2):260-264.</w:t>
      </w:r>
    </w:p>
    <w:p w14:paraId="222D1DB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526.</w:t>
      </w:r>
      <w:r w:rsidRPr="00DD448A">
        <w:rPr>
          <w:rFonts w:ascii="Arial" w:hAnsi="Arial" w:cs="Arial"/>
          <w:kern w:val="1"/>
          <w:sz w:val="22"/>
          <w:szCs w:val="22"/>
        </w:rPr>
        <w:tab/>
        <w:t xml:space="preserve">Karatzas T, Vasileiadis I, </w:t>
      </w:r>
      <w:proofErr w:type="spellStart"/>
      <w:r w:rsidRPr="00DD448A">
        <w:rPr>
          <w:rFonts w:ascii="Arial" w:hAnsi="Arial" w:cs="Arial"/>
          <w:kern w:val="1"/>
          <w:sz w:val="22"/>
          <w:szCs w:val="22"/>
        </w:rPr>
        <w:t>Zapanti</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Charitoudis</w:t>
      </w:r>
      <w:proofErr w:type="spellEnd"/>
      <w:r w:rsidRPr="00DD448A">
        <w:rPr>
          <w:rFonts w:ascii="Arial" w:hAnsi="Arial" w:cs="Arial"/>
          <w:kern w:val="1"/>
          <w:sz w:val="22"/>
          <w:szCs w:val="22"/>
        </w:rPr>
        <w:t xml:space="preserve"> G, Karakostas E, </w:t>
      </w:r>
      <w:proofErr w:type="spellStart"/>
      <w:r w:rsidRPr="00DD448A">
        <w:rPr>
          <w:rFonts w:ascii="Arial" w:hAnsi="Arial" w:cs="Arial"/>
          <w:kern w:val="1"/>
          <w:sz w:val="22"/>
          <w:szCs w:val="22"/>
        </w:rPr>
        <w:t>Boutzios</w:t>
      </w:r>
      <w:proofErr w:type="spellEnd"/>
      <w:r w:rsidRPr="00DD448A">
        <w:rPr>
          <w:rFonts w:ascii="Arial" w:hAnsi="Arial" w:cs="Arial"/>
          <w:kern w:val="1"/>
          <w:sz w:val="22"/>
          <w:szCs w:val="22"/>
        </w:rPr>
        <w:t xml:space="preserve"> G. Thyroglobulin antibodies as a potential predictive marker of papillary thyroid carcinoma in patients with indeterminate cytology. </w:t>
      </w:r>
      <w:r w:rsidRPr="00DD448A">
        <w:rPr>
          <w:rFonts w:ascii="Arial" w:hAnsi="Arial" w:cs="Arial"/>
          <w:iCs/>
          <w:kern w:val="1"/>
          <w:sz w:val="22"/>
          <w:szCs w:val="22"/>
        </w:rPr>
        <w:t>Am J Surg</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2016;212(5):946-952.</w:t>
      </w:r>
    </w:p>
    <w:p w14:paraId="37DA480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527.</w:t>
      </w:r>
      <w:r w:rsidRPr="00DD448A">
        <w:rPr>
          <w:rFonts w:ascii="Arial" w:hAnsi="Arial" w:cs="Arial"/>
          <w:kern w:val="1"/>
          <w:sz w:val="22"/>
          <w:szCs w:val="22"/>
        </w:rPr>
        <w:tab/>
        <w:t xml:space="preserve">Pacini F, Schlumberger M, Dralle H, Elisei R, Smit JW, </w:t>
      </w:r>
      <w:proofErr w:type="spellStart"/>
      <w:r w:rsidRPr="00DD448A">
        <w:rPr>
          <w:rFonts w:ascii="Arial" w:hAnsi="Arial" w:cs="Arial"/>
          <w:kern w:val="1"/>
          <w:sz w:val="22"/>
          <w:szCs w:val="22"/>
        </w:rPr>
        <w:t>Wiersinga</w:t>
      </w:r>
      <w:proofErr w:type="spellEnd"/>
      <w:r w:rsidRPr="00DD448A">
        <w:rPr>
          <w:rFonts w:ascii="Arial" w:hAnsi="Arial" w:cs="Arial"/>
          <w:kern w:val="1"/>
          <w:sz w:val="22"/>
          <w:szCs w:val="22"/>
        </w:rPr>
        <w:t xml:space="preserve"> W. European consensus for the management of patients with differentiated thyroid carcinoma of the follicular epithelium.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2006;154(6):787-803.</w:t>
      </w:r>
    </w:p>
    <w:p w14:paraId="4C0A1E1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528.</w:t>
      </w:r>
      <w:r w:rsidRPr="00DD448A">
        <w:rPr>
          <w:rFonts w:ascii="Arial" w:hAnsi="Arial" w:cs="Arial"/>
          <w:kern w:val="1"/>
          <w:sz w:val="22"/>
          <w:szCs w:val="22"/>
        </w:rPr>
        <w:tab/>
        <w:t xml:space="preserve">Shin HJ, Lee HS, Kim EK, Moon HJ, Lee JH, Kwak JY. A Study on Serum Antithyroglobulin Antibodies Interference in Thyroglobulin Measurement in Fine-Needle Aspiration for Diagnosing Lymph Node Metastasis in Postoperative Patients. </w:t>
      </w:r>
      <w:proofErr w:type="spellStart"/>
      <w:r w:rsidRPr="00DD448A">
        <w:rPr>
          <w:rFonts w:ascii="Arial" w:hAnsi="Arial" w:cs="Arial"/>
          <w:iCs/>
          <w:kern w:val="1"/>
          <w:sz w:val="22"/>
          <w:szCs w:val="22"/>
        </w:rPr>
        <w:t>PloS</w:t>
      </w:r>
      <w:proofErr w:type="spellEnd"/>
      <w:r w:rsidRPr="00DD448A">
        <w:rPr>
          <w:rFonts w:ascii="Arial" w:hAnsi="Arial" w:cs="Arial"/>
          <w:iCs/>
          <w:kern w:val="1"/>
          <w:sz w:val="22"/>
          <w:szCs w:val="22"/>
        </w:rPr>
        <w:t xml:space="preserve"> one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2015;10(6):e0131096.</w:t>
      </w:r>
    </w:p>
    <w:p w14:paraId="3B323C1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529.</w:t>
      </w:r>
      <w:r w:rsidRPr="00DD448A">
        <w:rPr>
          <w:rFonts w:ascii="Arial" w:hAnsi="Arial" w:cs="Arial"/>
          <w:kern w:val="1"/>
          <w:sz w:val="22"/>
          <w:szCs w:val="22"/>
        </w:rPr>
        <w:tab/>
      </w:r>
      <w:proofErr w:type="spellStart"/>
      <w:r w:rsidRPr="00DD448A">
        <w:rPr>
          <w:rFonts w:ascii="Arial" w:hAnsi="Arial" w:cs="Arial"/>
          <w:kern w:val="1"/>
          <w:sz w:val="22"/>
          <w:szCs w:val="22"/>
        </w:rPr>
        <w:t>Gholve</w:t>
      </w:r>
      <w:proofErr w:type="spellEnd"/>
      <w:r w:rsidRPr="00DD448A">
        <w:rPr>
          <w:rFonts w:ascii="Arial" w:hAnsi="Arial" w:cs="Arial"/>
          <w:kern w:val="1"/>
          <w:sz w:val="22"/>
          <w:szCs w:val="22"/>
        </w:rPr>
        <w:t xml:space="preserve"> C, Damle A, Kulkarni S, Banerjee S, Rajan M. Evaluation of Different Methods for the Detection of Anti- Thyroglobulin Autoantibody: Prevalence of Anti-Thyroglobulin Autoantibody and Anti-Microsomal Autoantibody in Thyroid Cancer Patients. </w:t>
      </w:r>
      <w:r w:rsidRPr="00DD448A">
        <w:rPr>
          <w:rFonts w:ascii="Arial" w:hAnsi="Arial" w:cs="Arial"/>
          <w:iCs/>
          <w:kern w:val="1"/>
          <w:sz w:val="22"/>
          <w:szCs w:val="22"/>
        </w:rPr>
        <w:t xml:space="preserve">Indian J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2022;37(4):473-479.</w:t>
      </w:r>
    </w:p>
    <w:p w14:paraId="11390ED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530.</w:t>
      </w:r>
      <w:r w:rsidRPr="00DD448A">
        <w:rPr>
          <w:rFonts w:ascii="Arial" w:hAnsi="Arial" w:cs="Arial"/>
          <w:kern w:val="1"/>
          <w:sz w:val="22"/>
          <w:szCs w:val="22"/>
        </w:rPr>
        <w:tab/>
      </w:r>
      <w:proofErr w:type="spellStart"/>
      <w:r w:rsidRPr="00DD448A">
        <w:rPr>
          <w:rFonts w:ascii="Arial" w:hAnsi="Arial" w:cs="Arial"/>
          <w:kern w:val="1"/>
          <w:sz w:val="22"/>
          <w:szCs w:val="22"/>
        </w:rPr>
        <w:t>Chiovato</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Latrofa</w:t>
      </w:r>
      <w:proofErr w:type="spellEnd"/>
      <w:r w:rsidRPr="00DD448A">
        <w:rPr>
          <w:rFonts w:ascii="Arial" w:hAnsi="Arial" w:cs="Arial"/>
          <w:kern w:val="1"/>
          <w:sz w:val="22"/>
          <w:szCs w:val="22"/>
        </w:rPr>
        <w:t xml:space="preserve"> F, Braverman LE, Pacini F, </w:t>
      </w:r>
      <w:proofErr w:type="spellStart"/>
      <w:r w:rsidRPr="00DD448A">
        <w:rPr>
          <w:rFonts w:ascii="Arial" w:hAnsi="Arial" w:cs="Arial"/>
          <w:kern w:val="1"/>
          <w:sz w:val="22"/>
          <w:szCs w:val="22"/>
        </w:rPr>
        <w:t>Capezzone</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Masserini</w:t>
      </w:r>
      <w:proofErr w:type="spellEnd"/>
      <w:r w:rsidRPr="00DD448A">
        <w:rPr>
          <w:rFonts w:ascii="Arial" w:hAnsi="Arial" w:cs="Arial"/>
          <w:kern w:val="1"/>
          <w:sz w:val="22"/>
          <w:szCs w:val="22"/>
        </w:rPr>
        <w:t xml:space="preserve"> L, Grasso L, Pinchera A. Disappearance of humoral thyroid autoimmunity after complete removal of thyroid antigens. </w:t>
      </w:r>
      <w:r w:rsidRPr="00DD448A">
        <w:rPr>
          <w:rFonts w:ascii="Arial" w:hAnsi="Arial" w:cs="Arial"/>
          <w:iCs/>
          <w:kern w:val="1"/>
          <w:sz w:val="22"/>
          <w:szCs w:val="22"/>
        </w:rPr>
        <w:t>Ann Intern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2003;139(5 Pt 1):346-351.</w:t>
      </w:r>
    </w:p>
    <w:p w14:paraId="54FBDE1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531.</w:t>
      </w:r>
      <w:r w:rsidRPr="00DD448A">
        <w:rPr>
          <w:rFonts w:ascii="Arial" w:hAnsi="Arial" w:cs="Arial"/>
          <w:kern w:val="1"/>
          <w:sz w:val="22"/>
          <w:szCs w:val="22"/>
        </w:rPr>
        <w:tab/>
        <w:t xml:space="preserve">Kim WG, Yoon JH, Kim WB, Kim TY, Kim EY, Kim JM, Ryu JS, Gong G, Hong SJ, Shong YK. Change of serum antithyroglobulin antibody levels is useful for prediction of clinical recurrence in thyroglobulin-negative patients with differentiated thyroid carcinoma.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2008;93(12):4683-4689.</w:t>
      </w:r>
    </w:p>
    <w:p w14:paraId="5D84263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532.</w:t>
      </w:r>
      <w:r w:rsidRPr="00DD448A">
        <w:rPr>
          <w:rFonts w:ascii="Arial" w:hAnsi="Arial" w:cs="Arial"/>
          <w:kern w:val="1"/>
          <w:sz w:val="22"/>
          <w:szCs w:val="22"/>
        </w:rPr>
        <w:tab/>
      </w:r>
      <w:proofErr w:type="spellStart"/>
      <w:r w:rsidRPr="00DD448A">
        <w:rPr>
          <w:rFonts w:ascii="Arial" w:hAnsi="Arial" w:cs="Arial"/>
          <w:kern w:val="1"/>
          <w:sz w:val="22"/>
          <w:szCs w:val="22"/>
        </w:rPr>
        <w:t>Scappaticcio</w:t>
      </w:r>
      <w:proofErr w:type="spellEnd"/>
      <w:r w:rsidRPr="00DD448A">
        <w:rPr>
          <w:rFonts w:ascii="Arial" w:hAnsi="Arial" w:cs="Arial"/>
          <w:kern w:val="1"/>
          <w:sz w:val="22"/>
          <w:szCs w:val="22"/>
        </w:rPr>
        <w:t xml:space="preserve"> L, Trimboli P, Verburg FA,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Significance of "de novo" appearance of thyroglobulin antibodies in patients with differentiated thyroid cancer. </w:t>
      </w:r>
      <w:r w:rsidRPr="00DD448A">
        <w:rPr>
          <w:rFonts w:ascii="Arial" w:hAnsi="Arial" w:cs="Arial"/>
          <w:iCs/>
          <w:kern w:val="1"/>
          <w:sz w:val="22"/>
          <w:szCs w:val="22"/>
        </w:rPr>
        <w:t>Int J Biol Markers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2020;35(3):41-49.</w:t>
      </w:r>
    </w:p>
    <w:p w14:paraId="31BA201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533.</w:t>
      </w:r>
      <w:r w:rsidRPr="00DD448A">
        <w:rPr>
          <w:rFonts w:ascii="Arial" w:hAnsi="Arial" w:cs="Arial"/>
          <w:kern w:val="1"/>
          <w:sz w:val="22"/>
          <w:szCs w:val="22"/>
        </w:rPr>
        <w:tab/>
        <w:t xml:space="preserve">Pacini F, Mariotti S, Formica N, Elisei R. Thyroid autoantibodies in thyroid cancer: Incidence and relationship with tumor outcome. </w:t>
      </w:r>
      <w:r w:rsidRPr="00DD448A">
        <w:rPr>
          <w:rFonts w:ascii="Arial" w:hAnsi="Arial" w:cs="Arial"/>
          <w:iCs/>
          <w:kern w:val="1"/>
          <w:sz w:val="22"/>
          <w:szCs w:val="22"/>
        </w:rPr>
        <w:t>Acta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1988;119:373-380.</w:t>
      </w:r>
    </w:p>
    <w:p w14:paraId="4C6DB04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534.</w:t>
      </w:r>
      <w:r w:rsidRPr="00DD448A">
        <w:rPr>
          <w:rFonts w:ascii="Arial" w:hAnsi="Arial" w:cs="Arial"/>
          <w:kern w:val="1"/>
          <w:sz w:val="22"/>
          <w:szCs w:val="22"/>
        </w:rPr>
        <w:tab/>
        <w:t xml:space="preserve">Yamada O, Miyauchi A, Ito Y, Nakayama A, </w:t>
      </w:r>
      <w:proofErr w:type="spellStart"/>
      <w:r w:rsidRPr="00DD448A">
        <w:rPr>
          <w:rFonts w:ascii="Arial" w:hAnsi="Arial" w:cs="Arial"/>
          <w:kern w:val="1"/>
          <w:sz w:val="22"/>
          <w:szCs w:val="22"/>
        </w:rPr>
        <w:t>Yabuta</w:t>
      </w:r>
      <w:proofErr w:type="spellEnd"/>
      <w:r w:rsidRPr="00DD448A">
        <w:rPr>
          <w:rFonts w:ascii="Arial" w:hAnsi="Arial" w:cs="Arial"/>
          <w:kern w:val="1"/>
          <w:sz w:val="22"/>
          <w:szCs w:val="22"/>
        </w:rPr>
        <w:t xml:space="preserve"> T, Masuoka H, Fukushima M, Higashiyama T, Kihara M, Kobayashi K, Miya A. Changes in serum thyroglobulin antibody levels as a dynamic prognostic factor for early-phase recurrence of thyroglobulin antibody-positive papillary thyroid carcinoma after total thyroidectomy.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2014;61(10):961-965.</w:t>
      </w:r>
    </w:p>
    <w:p w14:paraId="270F734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535.</w:t>
      </w:r>
      <w:r w:rsidRPr="00DD448A">
        <w:rPr>
          <w:rFonts w:ascii="Arial" w:hAnsi="Arial" w:cs="Arial"/>
          <w:kern w:val="1"/>
          <w:sz w:val="22"/>
          <w:szCs w:val="22"/>
        </w:rPr>
        <w:tab/>
      </w:r>
      <w:proofErr w:type="spellStart"/>
      <w:r w:rsidRPr="00DD448A">
        <w:rPr>
          <w:rFonts w:ascii="Arial" w:hAnsi="Arial" w:cs="Arial"/>
          <w:kern w:val="1"/>
          <w:sz w:val="22"/>
          <w:szCs w:val="22"/>
        </w:rPr>
        <w:t>Gianoukakis</w:t>
      </w:r>
      <w:proofErr w:type="spellEnd"/>
      <w:r w:rsidRPr="00DD448A">
        <w:rPr>
          <w:rFonts w:ascii="Arial" w:hAnsi="Arial" w:cs="Arial"/>
          <w:kern w:val="1"/>
          <w:sz w:val="22"/>
          <w:szCs w:val="22"/>
        </w:rPr>
        <w:t xml:space="preserve"> AG. Thyroglobulin antibody status and differentiated thyroid cancer: what does it mean for prognosis and surveillance? </w:t>
      </w:r>
      <w:r w:rsidRPr="00DD448A">
        <w:rPr>
          <w:rFonts w:ascii="Arial" w:hAnsi="Arial" w:cs="Arial"/>
          <w:iCs/>
          <w:kern w:val="1"/>
          <w:sz w:val="22"/>
          <w:szCs w:val="22"/>
        </w:rPr>
        <w:t xml:space="preserve">Curr </w:t>
      </w:r>
      <w:proofErr w:type="spellStart"/>
      <w:r w:rsidRPr="00DD448A">
        <w:rPr>
          <w:rFonts w:ascii="Arial" w:hAnsi="Arial" w:cs="Arial"/>
          <w:iCs/>
          <w:kern w:val="1"/>
          <w:sz w:val="22"/>
          <w:szCs w:val="22"/>
        </w:rPr>
        <w:t>Opin</w:t>
      </w:r>
      <w:proofErr w:type="spellEnd"/>
      <w:r w:rsidRPr="00DD448A">
        <w:rPr>
          <w:rFonts w:ascii="Arial" w:hAnsi="Arial" w:cs="Arial"/>
          <w:iCs/>
          <w:kern w:val="1"/>
          <w:sz w:val="22"/>
          <w:szCs w:val="22"/>
        </w:rPr>
        <w:t xml:space="preserve"> Oncol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2015;27(1):26-32.</w:t>
      </w:r>
    </w:p>
    <w:p w14:paraId="16C7019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536.</w:t>
      </w:r>
      <w:r w:rsidRPr="00DD448A">
        <w:rPr>
          <w:rFonts w:ascii="Arial" w:hAnsi="Arial" w:cs="Arial"/>
          <w:kern w:val="1"/>
          <w:sz w:val="22"/>
          <w:szCs w:val="22"/>
        </w:rPr>
        <w:tab/>
        <w:t xml:space="preserve">Lee ZJO, Eslick GD, </w:t>
      </w:r>
      <w:proofErr w:type="spellStart"/>
      <w:r w:rsidRPr="00DD448A">
        <w:rPr>
          <w:rFonts w:ascii="Arial" w:hAnsi="Arial" w:cs="Arial"/>
          <w:kern w:val="1"/>
          <w:sz w:val="22"/>
          <w:szCs w:val="22"/>
        </w:rPr>
        <w:t>Edirimanne</w:t>
      </w:r>
      <w:proofErr w:type="spellEnd"/>
      <w:r w:rsidRPr="00DD448A">
        <w:rPr>
          <w:rFonts w:ascii="Arial" w:hAnsi="Arial" w:cs="Arial"/>
          <w:kern w:val="1"/>
          <w:sz w:val="22"/>
          <w:szCs w:val="22"/>
        </w:rPr>
        <w:t xml:space="preserve"> S. Investigating Antithyroglobulin Antibody As a Prognostic Marker for Differentiated Thyroid Cancer: A Meta-Analysis and Systematic Review.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2020;30(11):1601-1612.</w:t>
      </w:r>
    </w:p>
    <w:p w14:paraId="6B95465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537.</w:t>
      </w:r>
      <w:r w:rsidRPr="00DD448A">
        <w:rPr>
          <w:rFonts w:ascii="Arial" w:hAnsi="Arial" w:cs="Arial"/>
          <w:kern w:val="1"/>
          <w:sz w:val="22"/>
          <w:szCs w:val="22"/>
        </w:rPr>
        <w:tab/>
        <w:t xml:space="preserve">Tomer Y, Greenberg D. The thyroglobulin gene as the first thyroid-specific susceptibility gene for autoimmune thyroid disease. </w:t>
      </w:r>
      <w:r w:rsidRPr="00DD448A">
        <w:rPr>
          <w:rFonts w:ascii="Arial" w:hAnsi="Arial" w:cs="Arial"/>
          <w:iCs/>
          <w:kern w:val="1"/>
          <w:sz w:val="22"/>
          <w:szCs w:val="22"/>
        </w:rPr>
        <w:t>Trends Mol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2004;10(7):306-308.</w:t>
      </w:r>
    </w:p>
    <w:p w14:paraId="58B93A5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538.</w:t>
      </w:r>
      <w:r w:rsidRPr="00DD448A">
        <w:rPr>
          <w:rFonts w:ascii="Arial" w:hAnsi="Arial" w:cs="Arial"/>
          <w:kern w:val="1"/>
          <w:sz w:val="22"/>
          <w:szCs w:val="22"/>
        </w:rPr>
        <w:tab/>
        <w:t xml:space="preserve">Vejbjerg P, Knudsen N, Perrild H, Laurberg P, </w:t>
      </w:r>
      <w:proofErr w:type="spellStart"/>
      <w:r w:rsidRPr="00DD448A">
        <w:rPr>
          <w:rFonts w:ascii="Arial" w:hAnsi="Arial" w:cs="Arial"/>
          <w:kern w:val="1"/>
          <w:sz w:val="22"/>
          <w:szCs w:val="22"/>
        </w:rPr>
        <w:t>Carlé</w:t>
      </w:r>
      <w:proofErr w:type="spellEnd"/>
      <w:r w:rsidRPr="00DD448A">
        <w:rPr>
          <w:rFonts w:ascii="Arial" w:hAnsi="Arial" w:cs="Arial"/>
          <w:kern w:val="1"/>
          <w:sz w:val="22"/>
          <w:szCs w:val="22"/>
        </w:rPr>
        <w:t xml:space="preserve"> A, Pedersen IB, Rasmussen LB, Ovesen L, Jørgensen T. Thyroglobulin as a marker of iodine nutrition status in the general population.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2009;161(3):475-481.</w:t>
      </w:r>
    </w:p>
    <w:p w14:paraId="54FF423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539.</w:t>
      </w:r>
      <w:r w:rsidRPr="00DD448A">
        <w:rPr>
          <w:rFonts w:ascii="Arial" w:hAnsi="Arial" w:cs="Arial"/>
          <w:kern w:val="1"/>
          <w:sz w:val="22"/>
          <w:szCs w:val="22"/>
        </w:rPr>
        <w:tab/>
        <w:t xml:space="preserve">Wang Z, Zhang H, Zhang X, Sun J, Han C, Li C, Li Y, Teng X, Fan C, Liu A, Shan Z, Liu C, Weng J, Teng W. Serum thyroglobulin reference intervals in regions with adequate and more than adequate iodine intake. </w:t>
      </w:r>
      <w:r w:rsidRPr="00DD448A">
        <w:rPr>
          <w:rFonts w:ascii="Arial" w:hAnsi="Arial" w:cs="Arial"/>
          <w:iCs/>
          <w:kern w:val="1"/>
          <w:sz w:val="22"/>
          <w:szCs w:val="22"/>
        </w:rPr>
        <w:t>Medicine (Baltimore)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2016;95(48):e5273.</w:t>
      </w:r>
    </w:p>
    <w:p w14:paraId="5F9C1D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540.</w:t>
      </w:r>
      <w:r w:rsidRPr="00DD448A">
        <w:rPr>
          <w:rFonts w:ascii="Arial" w:hAnsi="Arial" w:cs="Arial"/>
          <w:kern w:val="1"/>
          <w:sz w:val="22"/>
          <w:szCs w:val="22"/>
        </w:rPr>
        <w:tab/>
        <w:t xml:space="preserve">Bath SC, Pop VJ, </w:t>
      </w:r>
      <w:proofErr w:type="spellStart"/>
      <w:r w:rsidRPr="00DD448A">
        <w:rPr>
          <w:rFonts w:ascii="Arial" w:hAnsi="Arial" w:cs="Arial"/>
          <w:kern w:val="1"/>
          <w:sz w:val="22"/>
          <w:szCs w:val="22"/>
        </w:rPr>
        <w:t>Furmidge</w:t>
      </w:r>
      <w:proofErr w:type="spellEnd"/>
      <w:r w:rsidRPr="00DD448A">
        <w:rPr>
          <w:rFonts w:ascii="Arial" w:hAnsi="Arial" w:cs="Arial"/>
          <w:kern w:val="1"/>
          <w:sz w:val="22"/>
          <w:szCs w:val="22"/>
        </w:rPr>
        <w:t xml:space="preserve">-Owen VL, Broeren MA, Rayman MP. Thyroglobulin as a Functional Biomarker of Iodine Status in a Cohort Study of Pregnant Women in the United Kingdom.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2017;27(3):426-433.</w:t>
      </w:r>
    </w:p>
    <w:p w14:paraId="032202E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541.</w:t>
      </w:r>
      <w:r w:rsidRPr="00DD448A">
        <w:rPr>
          <w:rFonts w:ascii="Arial" w:hAnsi="Arial" w:cs="Arial"/>
          <w:kern w:val="1"/>
          <w:sz w:val="22"/>
          <w:szCs w:val="22"/>
        </w:rPr>
        <w:tab/>
        <w:t xml:space="preserve">Vali M, Rose NR, </w:t>
      </w:r>
      <w:proofErr w:type="spellStart"/>
      <w:r w:rsidRPr="00DD448A">
        <w:rPr>
          <w:rFonts w:ascii="Arial" w:hAnsi="Arial" w:cs="Arial"/>
          <w:kern w:val="1"/>
          <w:sz w:val="22"/>
          <w:szCs w:val="22"/>
        </w:rPr>
        <w:t>Caturegli</w:t>
      </w:r>
      <w:proofErr w:type="spellEnd"/>
      <w:r w:rsidRPr="00DD448A">
        <w:rPr>
          <w:rFonts w:ascii="Arial" w:hAnsi="Arial" w:cs="Arial"/>
          <w:kern w:val="1"/>
          <w:sz w:val="22"/>
          <w:szCs w:val="22"/>
        </w:rPr>
        <w:t xml:space="preserve"> P. Thyroglobulin as autoantigen: structure-function relationships. </w:t>
      </w:r>
      <w:r w:rsidRPr="00DD448A">
        <w:rPr>
          <w:rFonts w:ascii="Arial" w:hAnsi="Arial" w:cs="Arial"/>
          <w:iCs/>
          <w:kern w:val="1"/>
          <w:sz w:val="22"/>
          <w:szCs w:val="22"/>
        </w:rPr>
        <w:t xml:space="preserve">Rev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Disord</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2000;1(1-2):69-77.</w:t>
      </w:r>
    </w:p>
    <w:p w14:paraId="4AD6B1C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542.</w:t>
      </w:r>
      <w:r w:rsidRPr="00DD448A">
        <w:rPr>
          <w:rFonts w:ascii="Arial" w:hAnsi="Arial" w:cs="Arial"/>
          <w:kern w:val="1"/>
          <w:sz w:val="22"/>
          <w:szCs w:val="22"/>
        </w:rPr>
        <w:tab/>
      </w:r>
      <w:proofErr w:type="spellStart"/>
      <w:r w:rsidRPr="00DD448A">
        <w:rPr>
          <w:rFonts w:ascii="Arial" w:hAnsi="Arial" w:cs="Arial"/>
          <w:kern w:val="1"/>
          <w:sz w:val="22"/>
          <w:szCs w:val="22"/>
        </w:rPr>
        <w:t>Citterio</w:t>
      </w:r>
      <w:proofErr w:type="spellEnd"/>
      <w:r w:rsidRPr="00DD448A">
        <w:rPr>
          <w:rFonts w:ascii="Arial" w:hAnsi="Arial" w:cs="Arial"/>
          <w:kern w:val="1"/>
          <w:sz w:val="22"/>
          <w:szCs w:val="22"/>
        </w:rPr>
        <w:t xml:space="preserve"> CE, Machiavelli GA, Miras MB, </w:t>
      </w:r>
      <w:proofErr w:type="spellStart"/>
      <w:r w:rsidRPr="00DD448A">
        <w:rPr>
          <w:rFonts w:ascii="Arial" w:hAnsi="Arial" w:cs="Arial"/>
          <w:kern w:val="1"/>
          <w:sz w:val="22"/>
          <w:szCs w:val="22"/>
        </w:rPr>
        <w:t>Gruneiro-Papendieck</w:t>
      </w:r>
      <w:proofErr w:type="spellEnd"/>
      <w:r w:rsidRPr="00DD448A">
        <w:rPr>
          <w:rFonts w:ascii="Arial" w:hAnsi="Arial" w:cs="Arial"/>
          <w:kern w:val="1"/>
          <w:sz w:val="22"/>
          <w:szCs w:val="22"/>
        </w:rPr>
        <w:t xml:space="preserve"> L, Lachlan K, Sobrero G, Chiesa A, Walker J, Munoz L, Testa G, </w:t>
      </w:r>
      <w:proofErr w:type="spellStart"/>
      <w:r w:rsidRPr="00DD448A">
        <w:rPr>
          <w:rFonts w:ascii="Arial" w:hAnsi="Arial" w:cs="Arial"/>
          <w:kern w:val="1"/>
          <w:sz w:val="22"/>
          <w:szCs w:val="22"/>
        </w:rPr>
        <w:t>Belforte</w:t>
      </w:r>
      <w:proofErr w:type="spellEnd"/>
      <w:r w:rsidRPr="00DD448A">
        <w:rPr>
          <w:rFonts w:ascii="Arial" w:hAnsi="Arial" w:cs="Arial"/>
          <w:kern w:val="1"/>
          <w:sz w:val="22"/>
          <w:szCs w:val="22"/>
        </w:rPr>
        <w:t xml:space="preserve"> FS, Gonzalez-Sarmiento R, Rivolta CM, </w:t>
      </w:r>
      <w:proofErr w:type="spellStart"/>
      <w:r w:rsidRPr="00DD448A">
        <w:rPr>
          <w:rFonts w:ascii="Arial" w:hAnsi="Arial" w:cs="Arial"/>
          <w:kern w:val="1"/>
          <w:sz w:val="22"/>
          <w:szCs w:val="22"/>
        </w:rPr>
        <w:t>Targovnik</w:t>
      </w:r>
      <w:proofErr w:type="spellEnd"/>
      <w:r w:rsidRPr="00DD448A">
        <w:rPr>
          <w:rFonts w:ascii="Arial" w:hAnsi="Arial" w:cs="Arial"/>
          <w:kern w:val="1"/>
          <w:sz w:val="22"/>
          <w:szCs w:val="22"/>
        </w:rPr>
        <w:t xml:space="preserve"> HM. New insights into thyroglobulin gene: molecular analysis of seven novel mutations associated with goiter and hypothyroidism. </w:t>
      </w:r>
      <w:r w:rsidRPr="00DD448A">
        <w:rPr>
          <w:rFonts w:ascii="Arial" w:hAnsi="Arial" w:cs="Arial"/>
          <w:iCs/>
          <w:kern w:val="1"/>
          <w:sz w:val="22"/>
          <w:szCs w:val="22"/>
        </w:rPr>
        <w:t>Mol Cell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2013;365(2):277-291.</w:t>
      </w:r>
    </w:p>
    <w:p w14:paraId="2970342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543.</w:t>
      </w:r>
      <w:r w:rsidRPr="00DD448A">
        <w:rPr>
          <w:rFonts w:ascii="Arial" w:hAnsi="Arial" w:cs="Arial"/>
          <w:kern w:val="1"/>
          <w:sz w:val="22"/>
          <w:szCs w:val="22"/>
        </w:rPr>
        <w:tab/>
      </w:r>
      <w:proofErr w:type="spellStart"/>
      <w:r w:rsidRPr="00DD448A">
        <w:rPr>
          <w:rFonts w:ascii="Arial" w:hAnsi="Arial" w:cs="Arial"/>
          <w:kern w:val="1"/>
          <w:sz w:val="22"/>
          <w:szCs w:val="22"/>
        </w:rPr>
        <w:t>Persani</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Rurale</w:t>
      </w:r>
      <w:proofErr w:type="spellEnd"/>
      <w:r w:rsidRPr="00DD448A">
        <w:rPr>
          <w:rFonts w:ascii="Arial" w:hAnsi="Arial" w:cs="Arial"/>
          <w:kern w:val="1"/>
          <w:sz w:val="22"/>
          <w:szCs w:val="22"/>
        </w:rPr>
        <w:t xml:space="preserve"> G, de Filippis T, </w:t>
      </w:r>
      <w:proofErr w:type="spellStart"/>
      <w:r w:rsidRPr="00DD448A">
        <w:rPr>
          <w:rFonts w:ascii="Arial" w:hAnsi="Arial" w:cs="Arial"/>
          <w:kern w:val="1"/>
          <w:sz w:val="22"/>
          <w:szCs w:val="22"/>
        </w:rPr>
        <w:t>Galazzi</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Muzza</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Fugazzola</w:t>
      </w:r>
      <w:proofErr w:type="spellEnd"/>
      <w:r w:rsidRPr="00DD448A">
        <w:rPr>
          <w:rFonts w:ascii="Arial" w:hAnsi="Arial" w:cs="Arial"/>
          <w:kern w:val="1"/>
          <w:sz w:val="22"/>
          <w:szCs w:val="22"/>
        </w:rPr>
        <w:t xml:space="preserve"> L. Genetics and management of congenital hypothyroidism.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2018;32(4):387-396.</w:t>
      </w:r>
    </w:p>
    <w:p w14:paraId="508CD65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544.</w:t>
      </w:r>
      <w:r w:rsidRPr="00DD448A">
        <w:rPr>
          <w:rFonts w:ascii="Arial" w:hAnsi="Arial" w:cs="Arial"/>
          <w:kern w:val="1"/>
          <w:sz w:val="22"/>
          <w:szCs w:val="22"/>
        </w:rPr>
        <w:tab/>
        <w:t>Fernández-Cancio M, Antolín M, Clemente M, Campos-Martorell A, Mogas E, Baz-</w:t>
      </w:r>
      <w:proofErr w:type="spellStart"/>
      <w:r w:rsidRPr="00DD448A">
        <w:rPr>
          <w:rFonts w:ascii="Arial" w:hAnsi="Arial" w:cs="Arial"/>
          <w:kern w:val="1"/>
          <w:sz w:val="22"/>
          <w:szCs w:val="22"/>
        </w:rPr>
        <w:t>Redón</w:t>
      </w:r>
      <w:proofErr w:type="spellEnd"/>
      <w:r w:rsidRPr="00DD448A">
        <w:rPr>
          <w:rFonts w:ascii="Arial" w:hAnsi="Arial" w:cs="Arial"/>
          <w:kern w:val="1"/>
          <w:sz w:val="22"/>
          <w:szCs w:val="22"/>
        </w:rPr>
        <w:t xml:space="preserve"> N, Leno-Colorado J, Comas-</w:t>
      </w:r>
      <w:proofErr w:type="spellStart"/>
      <w:r w:rsidRPr="00DD448A">
        <w:rPr>
          <w:rFonts w:ascii="Arial" w:hAnsi="Arial" w:cs="Arial"/>
          <w:kern w:val="1"/>
          <w:sz w:val="22"/>
          <w:szCs w:val="22"/>
        </w:rPr>
        <w:t>Armangué</w:t>
      </w:r>
      <w:proofErr w:type="spellEnd"/>
      <w:r w:rsidRPr="00DD448A">
        <w:rPr>
          <w:rFonts w:ascii="Arial" w:hAnsi="Arial" w:cs="Arial"/>
          <w:kern w:val="1"/>
          <w:sz w:val="22"/>
          <w:szCs w:val="22"/>
        </w:rPr>
        <w:t xml:space="preserve"> G, García-</w:t>
      </w:r>
      <w:proofErr w:type="spellStart"/>
      <w:r w:rsidRPr="00DD448A">
        <w:rPr>
          <w:rFonts w:ascii="Arial" w:hAnsi="Arial" w:cs="Arial"/>
          <w:kern w:val="1"/>
          <w:sz w:val="22"/>
          <w:szCs w:val="22"/>
        </w:rPr>
        <w:t>Arumí</w:t>
      </w:r>
      <w:proofErr w:type="spellEnd"/>
      <w:r w:rsidRPr="00DD448A">
        <w:rPr>
          <w:rFonts w:ascii="Arial" w:hAnsi="Arial" w:cs="Arial"/>
          <w:kern w:val="1"/>
          <w:sz w:val="22"/>
          <w:szCs w:val="22"/>
        </w:rPr>
        <w:t xml:space="preserve"> E, Soler-Colomer L, González-Llorens N, </w:t>
      </w:r>
      <w:proofErr w:type="spellStart"/>
      <w:r w:rsidRPr="00DD448A">
        <w:rPr>
          <w:rFonts w:ascii="Arial" w:hAnsi="Arial" w:cs="Arial"/>
          <w:kern w:val="1"/>
          <w:sz w:val="22"/>
          <w:szCs w:val="22"/>
        </w:rPr>
        <w:t>Camats-Tarruella</w:t>
      </w:r>
      <w:proofErr w:type="spellEnd"/>
      <w:r w:rsidRPr="00DD448A">
        <w:rPr>
          <w:rFonts w:ascii="Arial" w:hAnsi="Arial" w:cs="Arial"/>
          <w:kern w:val="1"/>
          <w:sz w:val="22"/>
          <w:szCs w:val="22"/>
        </w:rPr>
        <w:t xml:space="preserve"> N, </w:t>
      </w:r>
      <w:proofErr w:type="spellStart"/>
      <w:r w:rsidRPr="00DD448A">
        <w:rPr>
          <w:rFonts w:ascii="Arial" w:hAnsi="Arial" w:cs="Arial"/>
          <w:kern w:val="1"/>
          <w:sz w:val="22"/>
          <w:szCs w:val="22"/>
        </w:rPr>
        <w:t>Yeste</w:t>
      </w:r>
      <w:proofErr w:type="spellEnd"/>
      <w:r w:rsidRPr="00DD448A">
        <w:rPr>
          <w:rFonts w:ascii="Arial" w:hAnsi="Arial" w:cs="Arial"/>
          <w:kern w:val="1"/>
          <w:sz w:val="22"/>
          <w:szCs w:val="22"/>
        </w:rPr>
        <w:t xml:space="preserve"> D. Clinical and molecular study of patients with thyroid </w:t>
      </w:r>
      <w:proofErr w:type="spellStart"/>
      <w:r w:rsidRPr="00DD448A">
        <w:rPr>
          <w:rFonts w:ascii="Arial" w:hAnsi="Arial" w:cs="Arial"/>
          <w:kern w:val="1"/>
          <w:sz w:val="22"/>
          <w:szCs w:val="22"/>
        </w:rPr>
        <w:t>dyshormogenesis</w:t>
      </w:r>
      <w:proofErr w:type="spellEnd"/>
      <w:r w:rsidRPr="00DD448A">
        <w:rPr>
          <w:rFonts w:ascii="Arial" w:hAnsi="Arial" w:cs="Arial"/>
          <w:kern w:val="1"/>
          <w:sz w:val="22"/>
          <w:szCs w:val="22"/>
        </w:rPr>
        <w:t xml:space="preserve"> and variants in the thyroglobulin gene. </w:t>
      </w:r>
      <w:r w:rsidRPr="00DD448A">
        <w:rPr>
          <w:rFonts w:ascii="Arial" w:hAnsi="Arial" w:cs="Arial"/>
          <w:iCs/>
          <w:kern w:val="1"/>
          <w:sz w:val="22"/>
          <w:szCs w:val="22"/>
        </w:rPr>
        <w:t>Front Endocrinol (Lausanne)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2024;15:1367808.</w:t>
      </w:r>
    </w:p>
    <w:p w14:paraId="4607A73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545.</w:t>
      </w:r>
      <w:r w:rsidRPr="00DD448A">
        <w:rPr>
          <w:rFonts w:ascii="Arial" w:hAnsi="Arial" w:cs="Arial"/>
          <w:kern w:val="1"/>
          <w:sz w:val="22"/>
          <w:szCs w:val="22"/>
        </w:rPr>
        <w:tab/>
        <w:t xml:space="preserve">Chow E, Siddique F, Gama R. Thyrotoxicosis </w:t>
      </w:r>
      <w:proofErr w:type="spellStart"/>
      <w:r w:rsidRPr="00DD448A">
        <w:rPr>
          <w:rFonts w:ascii="Arial" w:hAnsi="Arial" w:cs="Arial"/>
          <w:kern w:val="1"/>
          <w:sz w:val="22"/>
          <w:szCs w:val="22"/>
        </w:rPr>
        <w:t>factitia</w:t>
      </w:r>
      <w:proofErr w:type="spellEnd"/>
      <w:r w:rsidRPr="00DD448A">
        <w:rPr>
          <w:rFonts w:ascii="Arial" w:hAnsi="Arial" w:cs="Arial"/>
          <w:kern w:val="1"/>
          <w:sz w:val="22"/>
          <w:szCs w:val="22"/>
        </w:rPr>
        <w:t xml:space="preserve">: role of thyroglobulin.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2008;45(Pt 4):447-448; author reply 448.</w:t>
      </w:r>
    </w:p>
    <w:p w14:paraId="2EA6BA2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546.</w:t>
      </w:r>
      <w:r w:rsidRPr="00DD448A">
        <w:rPr>
          <w:rFonts w:ascii="Arial" w:hAnsi="Arial" w:cs="Arial"/>
          <w:kern w:val="1"/>
          <w:sz w:val="22"/>
          <w:szCs w:val="22"/>
        </w:rPr>
        <w:tab/>
        <w:t xml:space="preserve">Jahagirdar VR, Strouhal P, Holder G, Gama R, Singh BM. Thyrotoxicosis </w:t>
      </w:r>
      <w:proofErr w:type="spellStart"/>
      <w:r w:rsidRPr="00DD448A">
        <w:rPr>
          <w:rFonts w:ascii="Arial" w:hAnsi="Arial" w:cs="Arial"/>
          <w:kern w:val="1"/>
          <w:sz w:val="22"/>
          <w:szCs w:val="22"/>
        </w:rPr>
        <w:t>factitia</w:t>
      </w:r>
      <w:proofErr w:type="spellEnd"/>
      <w:r w:rsidRPr="00DD448A">
        <w:rPr>
          <w:rFonts w:ascii="Arial" w:hAnsi="Arial" w:cs="Arial"/>
          <w:kern w:val="1"/>
          <w:sz w:val="22"/>
          <w:szCs w:val="22"/>
        </w:rPr>
        <w:t xml:space="preserve"> masquerading as recurrent Graves' disease: endogenous antibody immunoassay interference, a pitfall for the unwary.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2008;45(Pt 3):325-327.</w:t>
      </w:r>
    </w:p>
    <w:p w14:paraId="4D3F52F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547.</w:t>
      </w:r>
      <w:r w:rsidRPr="00DD448A">
        <w:rPr>
          <w:rFonts w:ascii="Arial" w:hAnsi="Arial" w:cs="Arial"/>
          <w:kern w:val="1"/>
          <w:sz w:val="22"/>
          <w:szCs w:val="22"/>
        </w:rPr>
        <w:tab/>
      </w:r>
      <w:proofErr w:type="spellStart"/>
      <w:r w:rsidRPr="00DD448A">
        <w:rPr>
          <w:rFonts w:ascii="Arial" w:hAnsi="Arial" w:cs="Arial"/>
          <w:kern w:val="1"/>
          <w:sz w:val="22"/>
          <w:szCs w:val="22"/>
        </w:rPr>
        <w:t>Vorasart</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Sriphrapradang</w:t>
      </w:r>
      <w:proofErr w:type="spellEnd"/>
      <w:r w:rsidRPr="00DD448A">
        <w:rPr>
          <w:rFonts w:ascii="Arial" w:hAnsi="Arial" w:cs="Arial"/>
          <w:kern w:val="1"/>
          <w:sz w:val="22"/>
          <w:szCs w:val="22"/>
        </w:rPr>
        <w:t xml:space="preserve"> C. Factitious thyrotoxicosis: how to find it. </w:t>
      </w:r>
      <w:r w:rsidRPr="00DD448A">
        <w:rPr>
          <w:rFonts w:ascii="Arial" w:hAnsi="Arial" w:cs="Arial"/>
          <w:iCs/>
          <w:kern w:val="1"/>
          <w:sz w:val="22"/>
          <w:szCs w:val="22"/>
        </w:rPr>
        <w:t>Diagnosis (Berl)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2020;7(2):141-145.</w:t>
      </w:r>
    </w:p>
    <w:p w14:paraId="115E927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548.</w:t>
      </w:r>
      <w:r w:rsidRPr="00DD448A">
        <w:rPr>
          <w:rFonts w:ascii="Arial" w:hAnsi="Arial" w:cs="Arial"/>
          <w:kern w:val="1"/>
          <w:sz w:val="22"/>
          <w:szCs w:val="22"/>
        </w:rPr>
        <w:tab/>
      </w:r>
      <w:proofErr w:type="spellStart"/>
      <w:r w:rsidRPr="00DD448A">
        <w:rPr>
          <w:rFonts w:ascii="Arial" w:hAnsi="Arial" w:cs="Arial"/>
          <w:kern w:val="1"/>
          <w:sz w:val="22"/>
          <w:szCs w:val="22"/>
        </w:rPr>
        <w:t>Bögershausen</w:t>
      </w:r>
      <w:proofErr w:type="spellEnd"/>
      <w:r w:rsidRPr="00DD448A">
        <w:rPr>
          <w:rFonts w:ascii="Arial" w:hAnsi="Arial" w:cs="Arial"/>
          <w:kern w:val="1"/>
          <w:sz w:val="22"/>
          <w:szCs w:val="22"/>
        </w:rPr>
        <w:t xml:space="preserve"> LR,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Stief T, Luster M, Verburg FA. Long-term predictive value of highly sensitive thyroglobulin measurement.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2023;98(4):622-628.</w:t>
      </w:r>
    </w:p>
    <w:p w14:paraId="7424C22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549.</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Milan L, Roll W, Weber M, Schenke S, </w:t>
      </w:r>
      <w:proofErr w:type="spellStart"/>
      <w:r w:rsidRPr="00DD448A">
        <w:rPr>
          <w:rFonts w:ascii="Arial" w:hAnsi="Arial" w:cs="Arial"/>
          <w:kern w:val="1"/>
          <w:sz w:val="22"/>
          <w:szCs w:val="22"/>
        </w:rPr>
        <w:t>Kreissl</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Vrachimis</w:t>
      </w:r>
      <w:proofErr w:type="spellEnd"/>
      <w:r w:rsidRPr="00DD448A">
        <w:rPr>
          <w:rFonts w:ascii="Arial" w:hAnsi="Arial" w:cs="Arial"/>
          <w:kern w:val="1"/>
          <w:sz w:val="22"/>
          <w:szCs w:val="22"/>
        </w:rPr>
        <w:t xml:space="preserve"> A, Pabst K, Murat T, Petranović </w:t>
      </w:r>
      <w:proofErr w:type="spellStart"/>
      <w:r w:rsidRPr="00DD448A">
        <w:rPr>
          <w:rFonts w:ascii="Arial" w:hAnsi="Arial" w:cs="Arial"/>
          <w:kern w:val="1"/>
          <w:sz w:val="22"/>
          <w:szCs w:val="22"/>
        </w:rPr>
        <w:t>Ovčariček</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Campenni</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Görges</w:t>
      </w:r>
      <w:proofErr w:type="spellEnd"/>
      <w:r w:rsidRPr="00DD448A">
        <w:rPr>
          <w:rFonts w:ascii="Arial" w:hAnsi="Arial" w:cs="Arial"/>
          <w:kern w:val="1"/>
          <w:sz w:val="22"/>
          <w:szCs w:val="22"/>
        </w:rPr>
        <w:t xml:space="preserve"> R, Ceriani L. Thyroglobulin measurement is the most powerful outcome predictor in differentiated thyroid cancer: a decision tree analysis in a European multicenter series.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2024;62(11):2307-2315.</w:t>
      </w:r>
    </w:p>
    <w:p w14:paraId="413A435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550.</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D'Aurizio</w:t>
      </w:r>
      <w:proofErr w:type="spellEnd"/>
      <w:r w:rsidRPr="00DD448A">
        <w:rPr>
          <w:rFonts w:ascii="Arial" w:hAnsi="Arial" w:cs="Arial"/>
          <w:kern w:val="1"/>
          <w:sz w:val="22"/>
          <w:szCs w:val="22"/>
        </w:rPr>
        <w:t xml:space="preserve"> F, Petranović </w:t>
      </w:r>
      <w:proofErr w:type="spellStart"/>
      <w:r w:rsidRPr="00DD448A">
        <w:rPr>
          <w:rFonts w:ascii="Arial" w:hAnsi="Arial" w:cs="Arial"/>
          <w:kern w:val="1"/>
          <w:sz w:val="22"/>
          <w:szCs w:val="22"/>
        </w:rPr>
        <w:t>Ovčariček</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Görges</w:t>
      </w:r>
      <w:proofErr w:type="spellEnd"/>
      <w:r w:rsidRPr="00DD448A">
        <w:rPr>
          <w:rFonts w:ascii="Arial" w:hAnsi="Arial" w:cs="Arial"/>
          <w:kern w:val="1"/>
          <w:sz w:val="22"/>
          <w:szCs w:val="22"/>
        </w:rPr>
        <w:t xml:space="preserve"> R. Diagnostic, </w:t>
      </w:r>
      <w:proofErr w:type="spellStart"/>
      <w:r w:rsidRPr="00DD448A">
        <w:rPr>
          <w:rFonts w:ascii="Arial" w:hAnsi="Arial" w:cs="Arial"/>
          <w:kern w:val="1"/>
          <w:sz w:val="22"/>
          <w:szCs w:val="22"/>
        </w:rPr>
        <w:t>Theranostic</w:t>
      </w:r>
      <w:proofErr w:type="spellEnd"/>
      <w:r w:rsidRPr="00DD448A">
        <w:rPr>
          <w:rFonts w:ascii="Arial" w:hAnsi="Arial" w:cs="Arial"/>
          <w:kern w:val="1"/>
          <w:sz w:val="22"/>
          <w:szCs w:val="22"/>
        </w:rPr>
        <w:t xml:space="preserve"> and Prognostic Value of Thyroglobulin in Thyroid Cancer. </w:t>
      </w:r>
      <w:r w:rsidRPr="00DD448A">
        <w:rPr>
          <w:rFonts w:ascii="Arial" w:hAnsi="Arial" w:cs="Arial"/>
          <w:iCs/>
          <w:kern w:val="1"/>
          <w:sz w:val="22"/>
          <w:szCs w:val="22"/>
        </w:rPr>
        <w:t>J Clin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2024;13(9).</w:t>
      </w:r>
    </w:p>
    <w:p w14:paraId="7336385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551.</w:t>
      </w:r>
      <w:r w:rsidRPr="00DD448A">
        <w:rPr>
          <w:rFonts w:ascii="Arial" w:hAnsi="Arial" w:cs="Arial"/>
          <w:kern w:val="1"/>
          <w:sz w:val="22"/>
          <w:szCs w:val="22"/>
        </w:rPr>
        <w:tab/>
        <w:t xml:space="preserve">Chindris AM, Diehl NN, Crook JE, </w:t>
      </w:r>
      <w:proofErr w:type="spellStart"/>
      <w:r w:rsidRPr="00DD448A">
        <w:rPr>
          <w:rFonts w:ascii="Arial" w:hAnsi="Arial" w:cs="Arial"/>
          <w:kern w:val="1"/>
          <w:sz w:val="22"/>
          <w:szCs w:val="22"/>
        </w:rPr>
        <w:t>Fatourechi</w:t>
      </w:r>
      <w:proofErr w:type="spellEnd"/>
      <w:r w:rsidRPr="00DD448A">
        <w:rPr>
          <w:rFonts w:ascii="Arial" w:hAnsi="Arial" w:cs="Arial"/>
          <w:kern w:val="1"/>
          <w:sz w:val="22"/>
          <w:szCs w:val="22"/>
        </w:rPr>
        <w:t xml:space="preserve"> V, Smallridge RC. Undetectable sensitive serum thyroglobulin (&lt;0.1 ng/ml) in 163 patients with follicular cell-derived thyroid cancer: results of </w:t>
      </w:r>
      <w:proofErr w:type="spellStart"/>
      <w:r w:rsidRPr="00DD448A">
        <w:rPr>
          <w:rFonts w:ascii="Arial" w:hAnsi="Arial" w:cs="Arial"/>
          <w:kern w:val="1"/>
          <w:sz w:val="22"/>
          <w:szCs w:val="22"/>
        </w:rPr>
        <w:t>rhTSH</w:t>
      </w:r>
      <w:proofErr w:type="spellEnd"/>
      <w:r w:rsidRPr="00DD448A">
        <w:rPr>
          <w:rFonts w:ascii="Arial" w:hAnsi="Arial" w:cs="Arial"/>
          <w:kern w:val="1"/>
          <w:sz w:val="22"/>
          <w:szCs w:val="22"/>
        </w:rPr>
        <w:t xml:space="preserve"> stimulation and neck ultrasonography and long-term biochemical and clinical follow-up.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2012;97(8):2714-2723.</w:t>
      </w:r>
    </w:p>
    <w:p w14:paraId="021C7CB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552.</w:t>
      </w:r>
      <w:r w:rsidRPr="00DD448A">
        <w:rPr>
          <w:rFonts w:ascii="Arial" w:hAnsi="Arial" w:cs="Arial"/>
          <w:kern w:val="1"/>
          <w:sz w:val="22"/>
          <w:szCs w:val="22"/>
        </w:rPr>
        <w:tab/>
        <w:t xml:space="preserve">Trimboli P, La Torre D, Ceriani L, </w:t>
      </w:r>
      <w:proofErr w:type="spellStart"/>
      <w:r w:rsidRPr="00DD448A">
        <w:rPr>
          <w:rFonts w:ascii="Arial" w:hAnsi="Arial" w:cs="Arial"/>
          <w:kern w:val="1"/>
          <w:sz w:val="22"/>
          <w:szCs w:val="22"/>
        </w:rPr>
        <w:t>Condorelli</w:t>
      </w:r>
      <w:proofErr w:type="spellEnd"/>
      <w:r w:rsidRPr="00DD448A">
        <w:rPr>
          <w:rFonts w:ascii="Arial" w:hAnsi="Arial" w:cs="Arial"/>
          <w:kern w:val="1"/>
          <w:sz w:val="22"/>
          <w:szCs w:val="22"/>
        </w:rPr>
        <w:t xml:space="preserve"> E, Laurenti O, Romanelli F, Ventura C, Signore A, </w:t>
      </w:r>
      <w:proofErr w:type="spellStart"/>
      <w:r w:rsidRPr="00DD448A">
        <w:rPr>
          <w:rFonts w:ascii="Arial" w:hAnsi="Arial" w:cs="Arial"/>
          <w:kern w:val="1"/>
          <w:sz w:val="22"/>
          <w:szCs w:val="22"/>
        </w:rPr>
        <w:t>Valabrega</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High sensitive thyroglobulin assay on thyroxine therapy: can it avoid stimulation test in low and high risk differentiated thyroid carcinoma patients? </w:t>
      </w:r>
      <w:r w:rsidRPr="00DD448A">
        <w:rPr>
          <w:rFonts w:ascii="Arial" w:hAnsi="Arial" w:cs="Arial"/>
          <w:iCs/>
          <w:kern w:val="1"/>
          <w:sz w:val="22"/>
          <w:szCs w:val="22"/>
        </w:rPr>
        <w:t xml:space="preserve">Horm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2013;45(9):664-668.</w:t>
      </w:r>
    </w:p>
    <w:p w14:paraId="19E9057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553.</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Castellana M, Trimboli P. Unstimulated high-sensitive thyroglobulin is a powerful prognostic predictor in patients with thyroid cancer.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2019;58(1):130-137.</w:t>
      </w:r>
    </w:p>
    <w:p w14:paraId="1B82AA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554.</w:t>
      </w:r>
      <w:r w:rsidRPr="00DD448A">
        <w:rPr>
          <w:rFonts w:ascii="Arial" w:hAnsi="Arial" w:cs="Arial"/>
          <w:kern w:val="1"/>
          <w:sz w:val="22"/>
          <w:szCs w:val="22"/>
        </w:rPr>
        <w:tab/>
        <w:t xml:space="preserve">Fernández-Velasco P, Díaz-Soto G, Pérez López P, Torres </w:t>
      </w:r>
      <w:proofErr w:type="spellStart"/>
      <w:r w:rsidRPr="00DD448A">
        <w:rPr>
          <w:rFonts w:ascii="Arial" w:hAnsi="Arial" w:cs="Arial"/>
          <w:kern w:val="1"/>
          <w:sz w:val="22"/>
          <w:szCs w:val="22"/>
        </w:rPr>
        <w:t>Torres</w:t>
      </w:r>
      <w:proofErr w:type="spellEnd"/>
      <w:r w:rsidRPr="00DD448A">
        <w:rPr>
          <w:rFonts w:ascii="Arial" w:hAnsi="Arial" w:cs="Arial"/>
          <w:kern w:val="1"/>
          <w:sz w:val="22"/>
          <w:szCs w:val="22"/>
        </w:rPr>
        <w:t xml:space="preserve"> B, de Luis D. Predictive value and dynamic risk stratification of high sensitive basal or stimulated thyroglobulin assay in a long-term thyroid carcinoma cohort. </w:t>
      </w:r>
      <w:r w:rsidRPr="00DD448A">
        <w:rPr>
          <w:rFonts w:ascii="Arial" w:hAnsi="Arial" w:cs="Arial"/>
          <w:iCs/>
          <w:kern w:val="1"/>
          <w:sz w:val="22"/>
          <w:szCs w:val="22"/>
        </w:rPr>
        <w:t>Endocrine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2023;81(1):116-122.</w:t>
      </w:r>
    </w:p>
    <w:p w14:paraId="7EC66C7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555.</w:t>
      </w:r>
      <w:r w:rsidRPr="00DD448A">
        <w:rPr>
          <w:rFonts w:ascii="Arial" w:hAnsi="Arial" w:cs="Arial"/>
          <w:kern w:val="1"/>
          <w:sz w:val="22"/>
          <w:szCs w:val="22"/>
        </w:rPr>
        <w:tab/>
        <w:t>Spencer C, Petrovic I, Fatemi S, LoPresti J. Serum thyroglobulin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monitoring of patients with differentiated thyroid cancer using sensitive (second-generation) immunometric assays can be disrupted by false-negative and false-positive serum thyroglobulin autoantibody misclassifications.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2014;99(12):4589-4599.</w:t>
      </w:r>
    </w:p>
    <w:p w14:paraId="1D3AEF7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556.</w:t>
      </w:r>
      <w:r w:rsidRPr="00DD448A">
        <w:rPr>
          <w:rFonts w:ascii="Arial" w:hAnsi="Arial" w:cs="Arial"/>
          <w:kern w:val="1"/>
          <w:sz w:val="22"/>
          <w:szCs w:val="22"/>
        </w:rPr>
        <w:tab/>
      </w:r>
      <w:proofErr w:type="spellStart"/>
      <w:r w:rsidRPr="00DD448A">
        <w:rPr>
          <w:rFonts w:ascii="Arial" w:hAnsi="Arial" w:cs="Arial"/>
          <w:kern w:val="1"/>
          <w:sz w:val="22"/>
          <w:szCs w:val="22"/>
        </w:rPr>
        <w:t>Latrofa</w:t>
      </w:r>
      <w:proofErr w:type="spellEnd"/>
      <w:r w:rsidRPr="00DD448A">
        <w:rPr>
          <w:rFonts w:ascii="Arial" w:hAnsi="Arial" w:cs="Arial"/>
          <w:kern w:val="1"/>
          <w:sz w:val="22"/>
          <w:szCs w:val="22"/>
        </w:rPr>
        <w:t xml:space="preserve"> F, Ricci D, Sisti E, Piaggi P, </w:t>
      </w:r>
      <w:proofErr w:type="spellStart"/>
      <w:r w:rsidRPr="00DD448A">
        <w:rPr>
          <w:rFonts w:ascii="Arial" w:hAnsi="Arial" w:cs="Arial"/>
          <w:kern w:val="1"/>
          <w:sz w:val="22"/>
          <w:szCs w:val="22"/>
        </w:rPr>
        <w:t>Nencetti</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Marinò</w:t>
      </w:r>
      <w:proofErr w:type="spellEnd"/>
      <w:r w:rsidRPr="00DD448A">
        <w:rPr>
          <w:rFonts w:ascii="Arial" w:hAnsi="Arial" w:cs="Arial"/>
          <w:kern w:val="1"/>
          <w:sz w:val="22"/>
          <w:szCs w:val="22"/>
        </w:rPr>
        <w:t xml:space="preserve"> M, Vitti P. Significance of Low Levels of Thyroglobulin Autoantibodies Associated with Undetectable Thyroglobulin After Thyroidectomy for Differentiated Thyroid Carcinoma.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2016;26(6):798-806.</w:t>
      </w:r>
    </w:p>
    <w:p w14:paraId="7901558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557.</w:t>
      </w:r>
      <w:r w:rsidRPr="00DD448A">
        <w:rPr>
          <w:rFonts w:ascii="Arial" w:hAnsi="Arial" w:cs="Arial"/>
          <w:kern w:val="1"/>
          <w:sz w:val="22"/>
          <w:szCs w:val="22"/>
        </w:rPr>
        <w:tab/>
        <w:t xml:space="preserve">Jindal A, Khan U. Is Thyroglobulin Level by Liquid Chromatography Tandem-Mass Spectrometry Always Reliable for Follow-Up of DTC After Thyroidectomy: A Report on Two Patients.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2016;26(9):1334-1335.</w:t>
      </w:r>
    </w:p>
    <w:p w14:paraId="433C4B0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558.</w:t>
      </w:r>
      <w:r w:rsidRPr="00DD448A">
        <w:rPr>
          <w:rFonts w:ascii="Arial" w:hAnsi="Arial" w:cs="Arial"/>
          <w:kern w:val="1"/>
          <w:sz w:val="22"/>
          <w:szCs w:val="22"/>
        </w:rPr>
        <w:tab/>
        <w:t xml:space="preserve">Azmat U, Porter K, Senter L, Ringel MD, Nabhan F. Thyroglobulin Liquid Chromatography-Tandem Mass Spectrometry Has a Low Sensitivity for Detecting Structural Disease in Patients with Antithyroglobulin Antibodies.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2017;27(1):74-80.</w:t>
      </w:r>
    </w:p>
    <w:p w14:paraId="7B1743F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559.</w:t>
      </w:r>
      <w:r w:rsidRPr="00DD448A">
        <w:rPr>
          <w:rFonts w:ascii="Arial" w:hAnsi="Arial" w:cs="Arial"/>
          <w:kern w:val="1"/>
          <w:sz w:val="22"/>
          <w:szCs w:val="22"/>
        </w:rPr>
        <w:tab/>
        <w:t xml:space="preserve">Spencer CA, Wang CC. Thyroglobulin measurement. Techniques, clinical benefits, and pitfalls. </w:t>
      </w:r>
      <w:r w:rsidRPr="00DD448A">
        <w:rPr>
          <w:rFonts w:ascii="Arial" w:hAnsi="Arial" w:cs="Arial"/>
          <w:iCs/>
          <w:kern w:val="1"/>
          <w:sz w:val="22"/>
          <w:szCs w:val="22"/>
        </w:rPr>
        <w:t xml:space="preserve">Endocrinol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Clin North Am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1995;24(4):841-863.</w:t>
      </w:r>
    </w:p>
    <w:p w14:paraId="4696BD8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560.</w:t>
      </w:r>
      <w:r w:rsidRPr="00DD448A">
        <w:rPr>
          <w:rFonts w:ascii="Arial" w:hAnsi="Arial" w:cs="Arial"/>
          <w:kern w:val="1"/>
          <w:sz w:val="22"/>
          <w:szCs w:val="22"/>
        </w:rPr>
        <w:tab/>
        <w:t xml:space="preserve">Ross HA, </w:t>
      </w:r>
      <w:proofErr w:type="spellStart"/>
      <w:r w:rsidRPr="00DD448A">
        <w:rPr>
          <w:rFonts w:ascii="Arial" w:hAnsi="Arial" w:cs="Arial"/>
          <w:kern w:val="1"/>
          <w:sz w:val="22"/>
          <w:szCs w:val="22"/>
        </w:rPr>
        <w:t>Netea</w:t>
      </w:r>
      <w:proofErr w:type="spellEnd"/>
      <w:r w:rsidRPr="00DD448A">
        <w:rPr>
          <w:rFonts w:ascii="Arial" w:hAnsi="Arial" w:cs="Arial"/>
          <w:kern w:val="1"/>
          <w:sz w:val="22"/>
          <w:szCs w:val="22"/>
        </w:rPr>
        <w:t xml:space="preserve">-Maier RT, </w:t>
      </w:r>
      <w:proofErr w:type="spellStart"/>
      <w:r w:rsidRPr="00DD448A">
        <w:rPr>
          <w:rFonts w:ascii="Arial" w:hAnsi="Arial" w:cs="Arial"/>
          <w:kern w:val="1"/>
          <w:sz w:val="22"/>
          <w:szCs w:val="22"/>
        </w:rPr>
        <w:t>Schakenraad</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Bravenboer</w:t>
      </w:r>
      <w:proofErr w:type="spellEnd"/>
      <w:r w:rsidRPr="00DD448A">
        <w:rPr>
          <w:rFonts w:ascii="Arial" w:hAnsi="Arial" w:cs="Arial"/>
          <w:kern w:val="1"/>
          <w:sz w:val="22"/>
          <w:szCs w:val="22"/>
        </w:rPr>
        <w:t xml:space="preserve"> B, Hermus AR, Sweep FC. Assay bias may invalidate decision limits and affect comparability of serum thyroglobulin assay </w:t>
      </w:r>
      <w:r w:rsidRPr="00DD448A">
        <w:rPr>
          <w:rFonts w:ascii="Arial" w:hAnsi="Arial" w:cs="Arial"/>
          <w:kern w:val="1"/>
          <w:sz w:val="22"/>
          <w:szCs w:val="22"/>
        </w:rPr>
        <w:lastRenderedPageBreak/>
        <w:t xml:space="preserve">methods: an approach to reduce interpretation differences.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2008;394(1-2):104-109.</w:t>
      </w:r>
    </w:p>
    <w:p w14:paraId="1FF1043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561.</w:t>
      </w:r>
      <w:r w:rsidRPr="00DD448A">
        <w:rPr>
          <w:rFonts w:ascii="Arial" w:hAnsi="Arial" w:cs="Arial"/>
          <w:kern w:val="1"/>
          <w:sz w:val="22"/>
          <w:szCs w:val="22"/>
        </w:rPr>
        <w:tab/>
        <w:t xml:space="preserve">Spencer C, Fatemi S, Singer P, Nicoloff J, Lopresti J. Serum Basal thyroglobulin measured by a second-generation assay correlates with the recombinant human thyrotropin-stimulated thyroglobulin response in patients treated for differentiated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2010;20(6):587-595.</w:t>
      </w:r>
    </w:p>
    <w:p w14:paraId="7C3B593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562.</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Clark PM, </w:t>
      </w:r>
      <w:proofErr w:type="spellStart"/>
      <w:r w:rsidRPr="00DD448A">
        <w:rPr>
          <w:rFonts w:ascii="Arial" w:hAnsi="Arial" w:cs="Arial"/>
          <w:kern w:val="1"/>
          <w:sz w:val="22"/>
          <w:szCs w:val="22"/>
        </w:rPr>
        <w:t>Chiovato</w:t>
      </w:r>
      <w:proofErr w:type="spellEnd"/>
      <w:r w:rsidRPr="00DD448A">
        <w:rPr>
          <w:rFonts w:ascii="Arial" w:hAnsi="Arial" w:cs="Arial"/>
          <w:kern w:val="1"/>
          <w:sz w:val="22"/>
          <w:szCs w:val="22"/>
        </w:rPr>
        <w:t xml:space="preserve"> L, Duntas L, Elisei R, Feldt-Rasmussen U, </w:t>
      </w:r>
      <w:proofErr w:type="spellStart"/>
      <w:r w:rsidRPr="00DD448A">
        <w:rPr>
          <w:rFonts w:ascii="Arial" w:hAnsi="Arial" w:cs="Arial"/>
          <w:kern w:val="1"/>
          <w:sz w:val="22"/>
          <w:szCs w:val="22"/>
        </w:rPr>
        <w:t>Leenhardt</w:t>
      </w:r>
      <w:proofErr w:type="spellEnd"/>
      <w:r w:rsidRPr="00DD448A">
        <w:rPr>
          <w:rFonts w:ascii="Arial" w:hAnsi="Arial" w:cs="Arial"/>
          <w:kern w:val="1"/>
          <w:sz w:val="22"/>
          <w:szCs w:val="22"/>
        </w:rPr>
        <w:t xml:space="preserve"> L, Luster M, </w:t>
      </w:r>
      <w:proofErr w:type="spellStart"/>
      <w:r w:rsidRPr="00DD448A">
        <w:rPr>
          <w:rFonts w:ascii="Arial" w:hAnsi="Arial" w:cs="Arial"/>
          <w:kern w:val="1"/>
          <w:sz w:val="22"/>
          <w:szCs w:val="22"/>
        </w:rPr>
        <w:t>Schalin</w:t>
      </w:r>
      <w:proofErr w:type="spellEnd"/>
      <w:r w:rsidRPr="00DD448A">
        <w:rPr>
          <w:rFonts w:ascii="Arial" w:hAnsi="Arial" w:cs="Arial"/>
          <w:kern w:val="1"/>
          <w:sz w:val="22"/>
          <w:szCs w:val="22"/>
        </w:rPr>
        <w:t xml:space="preserve">-Jäntti C, Schott M, </w:t>
      </w:r>
      <w:proofErr w:type="spellStart"/>
      <w:r w:rsidRPr="00DD448A">
        <w:rPr>
          <w:rFonts w:ascii="Arial" w:hAnsi="Arial" w:cs="Arial"/>
          <w:kern w:val="1"/>
          <w:sz w:val="22"/>
          <w:szCs w:val="22"/>
        </w:rPr>
        <w:t>Seregni</w:t>
      </w:r>
      <w:proofErr w:type="spellEnd"/>
      <w:r w:rsidRPr="00DD448A">
        <w:rPr>
          <w:rFonts w:ascii="Arial" w:hAnsi="Arial" w:cs="Arial"/>
          <w:kern w:val="1"/>
          <w:sz w:val="22"/>
          <w:szCs w:val="22"/>
        </w:rPr>
        <w:t xml:space="preserve"> E, Rimmele H, Smit J, Verburg FA. Thyroglobulin measurement using highly sensitive assays in patients with differentiated thyroid cancer: a clinical position paper.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2014;171(2):R33-46.</w:t>
      </w:r>
    </w:p>
    <w:p w14:paraId="0BDB804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563.</w:t>
      </w:r>
      <w:r w:rsidRPr="00DD448A">
        <w:rPr>
          <w:rFonts w:ascii="Arial" w:hAnsi="Arial" w:cs="Arial"/>
          <w:kern w:val="1"/>
          <w:sz w:val="22"/>
          <w:szCs w:val="22"/>
        </w:rPr>
        <w:tab/>
      </w:r>
      <w:proofErr w:type="spellStart"/>
      <w:r w:rsidRPr="00DD448A">
        <w:rPr>
          <w:rFonts w:ascii="Arial" w:hAnsi="Arial" w:cs="Arial"/>
          <w:kern w:val="1"/>
          <w:sz w:val="22"/>
          <w:szCs w:val="22"/>
        </w:rPr>
        <w:t>Iervasi</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Iervasi</w:t>
      </w:r>
      <w:proofErr w:type="spellEnd"/>
      <w:r w:rsidRPr="00DD448A">
        <w:rPr>
          <w:rFonts w:ascii="Arial" w:hAnsi="Arial" w:cs="Arial"/>
          <w:kern w:val="1"/>
          <w:sz w:val="22"/>
          <w:szCs w:val="22"/>
        </w:rPr>
        <w:t xml:space="preserve"> G, </w:t>
      </w:r>
      <w:proofErr w:type="spellStart"/>
      <w:r w:rsidRPr="00DD448A">
        <w:rPr>
          <w:rFonts w:ascii="Arial" w:hAnsi="Arial" w:cs="Arial"/>
          <w:kern w:val="1"/>
          <w:sz w:val="22"/>
          <w:szCs w:val="22"/>
        </w:rPr>
        <w:t>Ferdeghini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Solimeo</w:t>
      </w:r>
      <w:proofErr w:type="spellEnd"/>
      <w:r w:rsidRPr="00DD448A">
        <w:rPr>
          <w:rFonts w:ascii="Arial" w:hAnsi="Arial" w:cs="Arial"/>
          <w:kern w:val="1"/>
          <w:sz w:val="22"/>
          <w:szCs w:val="22"/>
        </w:rPr>
        <w:t xml:space="preserve"> C, Bottoni A, Rossi L, Colato C, </w:t>
      </w:r>
      <w:proofErr w:type="spellStart"/>
      <w:r w:rsidRPr="00DD448A">
        <w:rPr>
          <w:rFonts w:ascii="Arial" w:hAnsi="Arial" w:cs="Arial"/>
          <w:kern w:val="1"/>
          <w:sz w:val="22"/>
          <w:szCs w:val="22"/>
        </w:rPr>
        <w:t>Zucchelli</w:t>
      </w:r>
      <w:proofErr w:type="spellEnd"/>
      <w:r w:rsidRPr="00DD448A">
        <w:rPr>
          <w:rFonts w:ascii="Arial" w:hAnsi="Arial" w:cs="Arial"/>
          <w:kern w:val="1"/>
          <w:sz w:val="22"/>
          <w:szCs w:val="22"/>
        </w:rPr>
        <w:t xml:space="preserve"> GC. Clinical relevance of highly sensitive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assay in monitoring patients treated for differentiated thyroid cancer.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2007;67(3):434-441.</w:t>
      </w:r>
    </w:p>
    <w:p w14:paraId="7ED42AA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564.</w:t>
      </w:r>
      <w:r w:rsidRPr="00DD448A">
        <w:rPr>
          <w:rFonts w:ascii="Arial" w:hAnsi="Arial" w:cs="Arial"/>
          <w:kern w:val="1"/>
          <w:sz w:val="22"/>
          <w:szCs w:val="22"/>
        </w:rPr>
        <w:tab/>
        <w:t xml:space="preserve">Bachelot A, </w:t>
      </w:r>
      <w:proofErr w:type="spellStart"/>
      <w:r w:rsidRPr="00DD448A">
        <w:rPr>
          <w:rFonts w:ascii="Arial" w:hAnsi="Arial" w:cs="Arial"/>
          <w:kern w:val="1"/>
          <w:sz w:val="22"/>
          <w:szCs w:val="22"/>
        </w:rPr>
        <w:t>Cailleux</w:t>
      </w:r>
      <w:proofErr w:type="spellEnd"/>
      <w:r w:rsidRPr="00DD448A">
        <w:rPr>
          <w:rFonts w:ascii="Arial" w:hAnsi="Arial" w:cs="Arial"/>
          <w:kern w:val="1"/>
          <w:sz w:val="22"/>
          <w:szCs w:val="22"/>
        </w:rPr>
        <w:t xml:space="preserve"> AF, Klain M, Baudin E, Ricard M, Bellon N, Caillou B, </w:t>
      </w:r>
      <w:proofErr w:type="spellStart"/>
      <w:r w:rsidRPr="00DD448A">
        <w:rPr>
          <w:rFonts w:ascii="Arial" w:hAnsi="Arial" w:cs="Arial"/>
          <w:kern w:val="1"/>
          <w:sz w:val="22"/>
          <w:szCs w:val="22"/>
        </w:rPr>
        <w:t>Travagli</w:t>
      </w:r>
      <w:proofErr w:type="spellEnd"/>
      <w:r w:rsidRPr="00DD448A">
        <w:rPr>
          <w:rFonts w:ascii="Arial" w:hAnsi="Arial" w:cs="Arial"/>
          <w:kern w:val="1"/>
          <w:sz w:val="22"/>
          <w:szCs w:val="22"/>
        </w:rPr>
        <w:t xml:space="preserve"> JP, Schlumberger M. Relationship between tumor burden and serum thyroglobulin level in patients with papillary and follicular thyroid carcinoma.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2002;12(8):707-711.</w:t>
      </w:r>
    </w:p>
    <w:p w14:paraId="2C746DB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565.</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Imperiali M, Ferrari A, Palumbo A, Furlani L, Graziani MS, Castello R. Serum thyroglobulin reference values according to NACB criteria in healthy subjects with normal thyroid ultrasound.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2012;50(5):891-893.</w:t>
      </w:r>
    </w:p>
    <w:p w14:paraId="09A17EF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566.</w:t>
      </w:r>
      <w:r w:rsidRPr="00DD448A">
        <w:rPr>
          <w:rFonts w:ascii="Arial" w:hAnsi="Arial" w:cs="Arial"/>
          <w:kern w:val="1"/>
          <w:sz w:val="22"/>
          <w:szCs w:val="22"/>
        </w:rPr>
        <w:tab/>
        <w:t xml:space="preserve">Sobrero G, Munoz L, </w:t>
      </w:r>
      <w:proofErr w:type="spellStart"/>
      <w:r w:rsidRPr="00DD448A">
        <w:rPr>
          <w:rFonts w:ascii="Arial" w:hAnsi="Arial" w:cs="Arial"/>
          <w:kern w:val="1"/>
          <w:sz w:val="22"/>
          <w:szCs w:val="22"/>
        </w:rPr>
        <w:t>Bazzara</w:t>
      </w:r>
      <w:proofErr w:type="spellEnd"/>
      <w:r w:rsidRPr="00DD448A">
        <w:rPr>
          <w:rFonts w:ascii="Arial" w:hAnsi="Arial" w:cs="Arial"/>
          <w:kern w:val="1"/>
          <w:sz w:val="22"/>
          <w:szCs w:val="22"/>
        </w:rPr>
        <w:t xml:space="preserve"> L, Martin S, Silvano L, </w:t>
      </w:r>
      <w:proofErr w:type="spellStart"/>
      <w:r w:rsidRPr="00DD448A">
        <w:rPr>
          <w:rFonts w:ascii="Arial" w:hAnsi="Arial" w:cs="Arial"/>
          <w:kern w:val="1"/>
          <w:sz w:val="22"/>
          <w:szCs w:val="22"/>
        </w:rPr>
        <w:t>Iorkansky</w:t>
      </w:r>
      <w:proofErr w:type="spellEnd"/>
      <w:r w:rsidRPr="00DD448A">
        <w:rPr>
          <w:rFonts w:ascii="Arial" w:hAnsi="Arial" w:cs="Arial"/>
          <w:kern w:val="1"/>
          <w:sz w:val="22"/>
          <w:szCs w:val="22"/>
        </w:rPr>
        <w:t xml:space="preserve"> S, Bergoglio L, Spencer C, Miras M. Thyroglobulin reference values in a pediatric infant population.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2007;17(11):1049-1054.</w:t>
      </w:r>
    </w:p>
    <w:p w14:paraId="139084C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567.</w:t>
      </w:r>
      <w:r w:rsidRPr="00DD448A">
        <w:rPr>
          <w:rFonts w:ascii="Arial" w:hAnsi="Arial" w:cs="Arial"/>
          <w:kern w:val="1"/>
          <w:sz w:val="22"/>
          <w:szCs w:val="22"/>
        </w:rPr>
        <w:tab/>
        <w:t xml:space="preserve">Sands NB, Karls S, Rivera J, Tamilia M, Hier MP, Black MJ, </w:t>
      </w:r>
      <w:proofErr w:type="spellStart"/>
      <w:r w:rsidRPr="00DD448A">
        <w:rPr>
          <w:rFonts w:ascii="Arial" w:hAnsi="Arial" w:cs="Arial"/>
          <w:kern w:val="1"/>
          <w:sz w:val="22"/>
          <w:szCs w:val="22"/>
        </w:rPr>
        <w:t>Gologan</w:t>
      </w:r>
      <w:proofErr w:type="spellEnd"/>
      <w:r w:rsidRPr="00DD448A">
        <w:rPr>
          <w:rFonts w:ascii="Arial" w:hAnsi="Arial" w:cs="Arial"/>
          <w:kern w:val="1"/>
          <w:sz w:val="22"/>
          <w:szCs w:val="22"/>
        </w:rPr>
        <w:t xml:space="preserve"> O, Payne RJ. Preoperative serum thyroglobulin as an adjunct to fine-needle aspiration in predicting well-differentiated thyroid cancer. </w:t>
      </w:r>
      <w:r w:rsidRPr="00DD448A">
        <w:rPr>
          <w:rFonts w:ascii="Arial" w:hAnsi="Arial" w:cs="Arial"/>
          <w:iCs/>
          <w:kern w:val="1"/>
          <w:sz w:val="22"/>
          <w:szCs w:val="22"/>
        </w:rPr>
        <w:t xml:space="preserve">J </w:t>
      </w:r>
      <w:proofErr w:type="spellStart"/>
      <w:r w:rsidRPr="00DD448A">
        <w:rPr>
          <w:rFonts w:ascii="Arial" w:hAnsi="Arial" w:cs="Arial"/>
          <w:iCs/>
          <w:kern w:val="1"/>
          <w:sz w:val="22"/>
          <w:szCs w:val="22"/>
        </w:rPr>
        <w:t>Otolaryngol</w:t>
      </w:r>
      <w:proofErr w:type="spellEnd"/>
      <w:r w:rsidRPr="00DD448A">
        <w:rPr>
          <w:rFonts w:ascii="Arial" w:hAnsi="Arial" w:cs="Arial"/>
          <w:iCs/>
          <w:kern w:val="1"/>
          <w:sz w:val="22"/>
          <w:szCs w:val="22"/>
        </w:rPr>
        <w:t xml:space="preserve"> Head Neck Surg</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2010;39(6):669-673.</w:t>
      </w:r>
    </w:p>
    <w:p w14:paraId="2A427ED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568.</w:t>
      </w:r>
      <w:r w:rsidRPr="00DD448A">
        <w:rPr>
          <w:rFonts w:ascii="Arial" w:hAnsi="Arial" w:cs="Arial"/>
          <w:kern w:val="1"/>
          <w:sz w:val="22"/>
          <w:szCs w:val="22"/>
        </w:rPr>
        <w:tab/>
        <w:t xml:space="preserve">Trimboli P, Treglia G,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Preoperative measurement of serum thyroglobulin to predict malignancy in thyroid nodules: a systematic review. </w:t>
      </w:r>
      <w:r w:rsidRPr="00DD448A">
        <w:rPr>
          <w:rFonts w:ascii="Arial" w:hAnsi="Arial" w:cs="Arial"/>
          <w:iCs/>
          <w:kern w:val="1"/>
          <w:sz w:val="22"/>
          <w:szCs w:val="22"/>
        </w:rPr>
        <w:t xml:space="preserve">Horm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2015;47(4):247-252.</w:t>
      </w:r>
    </w:p>
    <w:p w14:paraId="5409C37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569.</w:t>
      </w:r>
      <w:r w:rsidRPr="00DD448A">
        <w:rPr>
          <w:rFonts w:ascii="Arial" w:hAnsi="Arial" w:cs="Arial"/>
          <w:kern w:val="1"/>
          <w:sz w:val="22"/>
          <w:szCs w:val="22"/>
        </w:rPr>
        <w:tab/>
        <w:t xml:space="preserve">Jo K, Kim MH, Ha J, Lim Y, Lee S, Bae JS, Jung CK, Kang MI, Cha BY, Lim DJ. Prognostic value of preoperative anti-thyroglobulin antibody in differentiated thyroid cancer.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2017;87(3):292-299.</w:t>
      </w:r>
    </w:p>
    <w:p w14:paraId="159BBA1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570.</w:t>
      </w:r>
      <w:r w:rsidRPr="00DD448A">
        <w:rPr>
          <w:rFonts w:ascii="Arial" w:hAnsi="Arial" w:cs="Arial"/>
          <w:kern w:val="1"/>
          <w:sz w:val="22"/>
          <w:szCs w:val="22"/>
        </w:rPr>
        <w:tab/>
        <w:t xml:space="preserve">Jang A, Jin M, Kim CA, Jeon MJ, Lee YM, Sung TY, Kim TY, Kim WB, Shong YK, Kim WG. Serum thyroglobulin testing after thyroid lobectomy in patients with 1-4 cm papillary thyroid carcinoma. </w:t>
      </w:r>
      <w:r w:rsidRPr="00DD448A">
        <w:rPr>
          <w:rFonts w:ascii="Arial" w:hAnsi="Arial" w:cs="Arial"/>
          <w:iCs/>
          <w:kern w:val="1"/>
          <w:sz w:val="22"/>
          <w:szCs w:val="22"/>
        </w:rPr>
        <w:t>Endocrine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2023;81(2):290-297.</w:t>
      </w:r>
    </w:p>
    <w:p w14:paraId="123FD23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571.</w:t>
      </w:r>
      <w:r w:rsidRPr="00DD448A">
        <w:rPr>
          <w:rFonts w:ascii="Arial" w:hAnsi="Arial" w:cs="Arial"/>
          <w:kern w:val="1"/>
          <w:sz w:val="22"/>
          <w:szCs w:val="22"/>
        </w:rPr>
        <w:tab/>
        <w:t xml:space="preserve">Evans C, Lotz J, Bhandari M, Hellier RT, Wang XY, Lott R, Lackner KJ, Müller R, Kulasingam V. Multi-center evaluation of the highly sensitive Abbott ARCHITECT and </w:t>
      </w:r>
      <w:proofErr w:type="spellStart"/>
      <w:r w:rsidRPr="00DD448A">
        <w:rPr>
          <w:rFonts w:ascii="Arial" w:hAnsi="Arial" w:cs="Arial"/>
          <w:kern w:val="1"/>
          <w:sz w:val="22"/>
          <w:szCs w:val="22"/>
        </w:rPr>
        <w:t>Alinity</w:t>
      </w:r>
      <w:proofErr w:type="spellEnd"/>
      <w:r w:rsidRPr="00DD448A">
        <w:rPr>
          <w:rFonts w:ascii="Arial" w:hAnsi="Arial" w:cs="Arial"/>
          <w:kern w:val="1"/>
          <w:sz w:val="22"/>
          <w:szCs w:val="22"/>
        </w:rPr>
        <w:t xml:space="preserve"> thyroglobulin chemiluminescent microparticle immunoassay. </w:t>
      </w:r>
      <w:r w:rsidRPr="00DD448A">
        <w:rPr>
          <w:rFonts w:ascii="Arial" w:hAnsi="Arial" w:cs="Arial"/>
          <w:iCs/>
          <w:kern w:val="1"/>
          <w:sz w:val="22"/>
          <w:szCs w:val="22"/>
        </w:rPr>
        <w:t>J Clin Lab Anal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2022;36(9):e24595.</w:t>
      </w:r>
    </w:p>
    <w:p w14:paraId="3571309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572.</w:t>
      </w:r>
      <w:r w:rsidRPr="00DD448A">
        <w:rPr>
          <w:rFonts w:ascii="Arial" w:hAnsi="Arial" w:cs="Arial"/>
          <w:kern w:val="1"/>
          <w:sz w:val="22"/>
          <w:szCs w:val="22"/>
        </w:rPr>
        <w:tab/>
        <w:t xml:space="preserve">Heilig B, </w:t>
      </w:r>
      <w:proofErr w:type="spellStart"/>
      <w:r w:rsidRPr="00DD448A">
        <w:rPr>
          <w:rFonts w:ascii="Arial" w:hAnsi="Arial" w:cs="Arial"/>
          <w:kern w:val="1"/>
          <w:sz w:val="22"/>
          <w:szCs w:val="22"/>
        </w:rPr>
        <w:t>Hufner</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Dorken</w:t>
      </w:r>
      <w:proofErr w:type="spellEnd"/>
      <w:r w:rsidRPr="00DD448A">
        <w:rPr>
          <w:rFonts w:ascii="Arial" w:hAnsi="Arial" w:cs="Arial"/>
          <w:kern w:val="1"/>
          <w:sz w:val="22"/>
          <w:szCs w:val="22"/>
        </w:rPr>
        <w:t xml:space="preserve"> B, Schmidt-</w:t>
      </w:r>
      <w:proofErr w:type="spellStart"/>
      <w:r w:rsidRPr="00DD448A">
        <w:rPr>
          <w:rFonts w:ascii="Arial" w:hAnsi="Arial" w:cs="Arial"/>
          <w:kern w:val="1"/>
          <w:sz w:val="22"/>
          <w:szCs w:val="22"/>
        </w:rPr>
        <w:t>Gayk</w:t>
      </w:r>
      <w:proofErr w:type="spellEnd"/>
      <w:r w:rsidRPr="00DD448A">
        <w:rPr>
          <w:rFonts w:ascii="Arial" w:hAnsi="Arial" w:cs="Arial"/>
          <w:kern w:val="1"/>
          <w:sz w:val="22"/>
          <w:szCs w:val="22"/>
        </w:rPr>
        <w:t xml:space="preserve"> H. Increased heterogeneity of serum thyroglobulin in thyroid cancer patients as determined by monoclonal antibodies. </w:t>
      </w:r>
      <w:r w:rsidRPr="00DD448A">
        <w:rPr>
          <w:rFonts w:ascii="Arial" w:hAnsi="Arial" w:cs="Arial"/>
          <w:iCs/>
          <w:kern w:val="1"/>
          <w:sz w:val="22"/>
          <w:szCs w:val="22"/>
        </w:rPr>
        <w:t>Klin Wochenschr</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1986;64:776-780.</w:t>
      </w:r>
    </w:p>
    <w:p w14:paraId="5263220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573.</w:t>
      </w:r>
      <w:r w:rsidRPr="00DD448A">
        <w:rPr>
          <w:rFonts w:ascii="Arial" w:hAnsi="Arial" w:cs="Arial"/>
          <w:kern w:val="1"/>
          <w:sz w:val="22"/>
          <w:szCs w:val="22"/>
        </w:rPr>
        <w:tab/>
        <w:t xml:space="preserve">Schulz R, </w:t>
      </w:r>
      <w:proofErr w:type="spellStart"/>
      <w:r w:rsidRPr="00DD448A">
        <w:rPr>
          <w:rFonts w:ascii="Arial" w:hAnsi="Arial" w:cs="Arial"/>
          <w:kern w:val="1"/>
          <w:sz w:val="22"/>
          <w:szCs w:val="22"/>
        </w:rPr>
        <w:t>Bethauser</w:t>
      </w:r>
      <w:proofErr w:type="spellEnd"/>
      <w:r w:rsidRPr="00DD448A">
        <w:rPr>
          <w:rFonts w:ascii="Arial" w:hAnsi="Arial" w:cs="Arial"/>
          <w:kern w:val="1"/>
          <w:sz w:val="22"/>
          <w:szCs w:val="22"/>
        </w:rPr>
        <w:t xml:space="preserve"> H, </w:t>
      </w:r>
      <w:proofErr w:type="spellStart"/>
      <w:r w:rsidRPr="00DD448A">
        <w:rPr>
          <w:rFonts w:ascii="Arial" w:hAnsi="Arial" w:cs="Arial"/>
          <w:kern w:val="1"/>
          <w:sz w:val="22"/>
          <w:szCs w:val="22"/>
        </w:rPr>
        <w:t>Stempka</w:t>
      </w:r>
      <w:proofErr w:type="spellEnd"/>
      <w:r w:rsidRPr="00DD448A">
        <w:rPr>
          <w:rFonts w:ascii="Arial" w:hAnsi="Arial" w:cs="Arial"/>
          <w:kern w:val="1"/>
          <w:sz w:val="22"/>
          <w:szCs w:val="22"/>
        </w:rPr>
        <w:t xml:space="preserve"> L, Heilig B, Moll A, </w:t>
      </w:r>
      <w:proofErr w:type="spellStart"/>
      <w:r w:rsidRPr="00DD448A">
        <w:rPr>
          <w:rFonts w:ascii="Arial" w:hAnsi="Arial" w:cs="Arial"/>
          <w:kern w:val="1"/>
          <w:sz w:val="22"/>
          <w:szCs w:val="22"/>
        </w:rPr>
        <w:t>Hufner</w:t>
      </w:r>
      <w:proofErr w:type="spellEnd"/>
      <w:r w:rsidRPr="00DD448A">
        <w:rPr>
          <w:rFonts w:ascii="Arial" w:hAnsi="Arial" w:cs="Arial"/>
          <w:kern w:val="1"/>
          <w:sz w:val="22"/>
          <w:szCs w:val="22"/>
        </w:rPr>
        <w:t xml:space="preserve"> M. Evidence for immunological differences between circulating and tissue-derived thyroglobulin in men.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1989;19:459-463.</w:t>
      </w:r>
    </w:p>
    <w:p w14:paraId="401D06F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574.</w:t>
      </w:r>
      <w:r w:rsidRPr="00DD448A">
        <w:rPr>
          <w:rFonts w:ascii="Arial" w:hAnsi="Arial" w:cs="Arial"/>
          <w:kern w:val="1"/>
          <w:sz w:val="22"/>
          <w:szCs w:val="22"/>
        </w:rPr>
        <w:tab/>
        <w:t xml:space="preserve">Magro G, </w:t>
      </w:r>
      <w:proofErr w:type="spellStart"/>
      <w:r w:rsidRPr="00DD448A">
        <w:rPr>
          <w:rFonts w:ascii="Arial" w:hAnsi="Arial" w:cs="Arial"/>
          <w:kern w:val="1"/>
          <w:sz w:val="22"/>
          <w:szCs w:val="22"/>
        </w:rPr>
        <w:t>Perissinotto</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Schiappacassi</w:t>
      </w:r>
      <w:proofErr w:type="spellEnd"/>
      <w:r w:rsidRPr="00DD448A">
        <w:rPr>
          <w:rFonts w:ascii="Arial" w:hAnsi="Arial" w:cs="Arial"/>
          <w:kern w:val="1"/>
          <w:sz w:val="22"/>
          <w:szCs w:val="22"/>
        </w:rPr>
        <w:t xml:space="preserve"> M, Goletz S, Otto A, Müller EC, Bisceglia M, Brown G, Ellis T, Grasso S, </w:t>
      </w:r>
      <w:proofErr w:type="spellStart"/>
      <w:r w:rsidRPr="00DD448A">
        <w:rPr>
          <w:rFonts w:ascii="Arial" w:hAnsi="Arial" w:cs="Arial"/>
          <w:kern w:val="1"/>
          <w:sz w:val="22"/>
          <w:szCs w:val="22"/>
        </w:rPr>
        <w:t>Colombatti</w:t>
      </w:r>
      <w:proofErr w:type="spellEnd"/>
      <w:r w:rsidRPr="00DD448A">
        <w:rPr>
          <w:rFonts w:ascii="Arial" w:hAnsi="Arial" w:cs="Arial"/>
          <w:kern w:val="1"/>
          <w:sz w:val="22"/>
          <w:szCs w:val="22"/>
        </w:rPr>
        <w:t xml:space="preserve"> A, Perris R. Proteomic and </w:t>
      </w:r>
      <w:proofErr w:type="spellStart"/>
      <w:r w:rsidRPr="00DD448A">
        <w:rPr>
          <w:rFonts w:ascii="Arial" w:hAnsi="Arial" w:cs="Arial"/>
          <w:kern w:val="1"/>
          <w:sz w:val="22"/>
          <w:szCs w:val="22"/>
        </w:rPr>
        <w:t>postproteomic</w:t>
      </w:r>
      <w:proofErr w:type="spellEnd"/>
      <w:r w:rsidRPr="00DD448A">
        <w:rPr>
          <w:rFonts w:ascii="Arial" w:hAnsi="Arial" w:cs="Arial"/>
          <w:kern w:val="1"/>
          <w:sz w:val="22"/>
          <w:szCs w:val="22"/>
        </w:rPr>
        <w:t xml:space="preserve"> characterization of keratan sulfate-</w:t>
      </w:r>
      <w:proofErr w:type="spellStart"/>
      <w:r w:rsidRPr="00DD448A">
        <w:rPr>
          <w:rFonts w:ascii="Arial" w:hAnsi="Arial" w:cs="Arial"/>
          <w:kern w:val="1"/>
          <w:sz w:val="22"/>
          <w:szCs w:val="22"/>
        </w:rPr>
        <w:t>glycanated</w:t>
      </w:r>
      <w:proofErr w:type="spellEnd"/>
      <w:r w:rsidRPr="00DD448A">
        <w:rPr>
          <w:rFonts w:ascii="Arial" w:hAnsi="Arial" w:cs="Arial"/>
          <w:kern w:val="1"/>
          <w:sz w:val="22"/>
          <w:szCs w:val="22"/>
        </w:rPr>
        <w:t xml:space="preserve"> isoforms of thyroglobulin and transferrin uniquely elaborated by papillary thyroid carcinomas. </w:t>
      </w:r>
      <w:r w:rsidRPr="00DD448A">
        <w:rPr>
          <w:rFonts w:ascii="Arial" w:hAnsi="Arial" w:cs="Arial"/>
          <w:iCs/>
          <w:kern w:val="1"/>
          <w:sz w:val="22"/>
          <w:szCs w:val="22"/>
        </w:rPr>
        <w:t xml:space="preserve">Am J </w:t>
      </w:r>
      <w:proofErr w:type="spellStart"/>
      <w:r w:rsidRPr="00DD448A">
        <w:rPr>
          <w:rFonts w:ascii="Arial" w:hAnsi="Arial" w:cs="Arial"/>
          <w:iCs/>
          <w:kern w:val="1"/>
          <w:sz w:val="22"/>
          <w:szCs w:val="22"/>
        </w:rPr>
        <w:t>Pathol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2003;163(1):183-196.</w:t>
      </w:r>
    </w:p>
    <w:p w14:paraId="34A1E45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575.</w:t>
      </w:r>
      <w:r w:rsidRPr="00DD448A">
        <w:rPr>
          <w:rFonts w:ascii="Arial" w:hAnsi="Arial" w:cs="Arial"/>
          <w:kern w:val="1"/>
          <w:sz w:val="22"/>
          <w:szCs w:val="22"/>
        </w:rPr>
        <w:tab/>
        <w:t xml:space="preserve">Schlumberger M, Hitzel A, </w:t>
      </w:r>
      <w:proofErr w:type="spellStart"/>
      <w:r w:rsidRPr="00DD448A">
        <w:rPr>
          <w:rFonts w:ascii="Arial" w:hAnsi="Arial" w:cs="Arial"/>
          <w:kern w:val="1"/>
          <w:sz w:val="22"/>
          <w:szCs w:val="22"/>
        </w:rPr>
        <w:t>Toubert</w:t>
      </w:r>
      <w:proofErr w:type="spellEnd"/>
      <w:r w:rsidRPr="00DD448A">
        <w:rPr>
          <w:rFonts w:ascii="Arial" w:hAnsi="Arial" w:cs="Arial"/>
          <w:kern w:val="1"/>
          <w:sz w:val="22"/>
          <w:szCs w:val="22"/>
        </w:rPr>
        <w:t xml:space="preserve"> ME, </w:t>
      </w:r>
      <w:proofErr w:type="spellStart"/>
      <w:r w:rsidRPr="00DD448A">
        <w:rPr>
          <w:rFonts w:ascii="Arial" w:hAnsi="Arial" w:cs="Arial"/>
          <w:kern w:val="1"/>
          <w:sz w:val="22"/>
          <w:szCs w:val="22"/>
        </w:rPr>
        <w:t>Corone</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Troalen</w:t>
      </w:r>
      <w:proofErr w:type="spellEnd"/>
      <w:r w:rsidRPr="00DD448A">
        <w:rPr>
          <w:rFonts w:ascii="Arial" w:hAnsi="Arial" w:cs="Arial"/>
          <w:kern w:val="1"/>
          <w:sz w:val="22"/>
          <w:szCs w:val="22"/>
        </w:rPr>
        <w:t xml:space="preserve"> F, Schlageter MH, </w:t>
      </w:r>
      <w:proofErr w:type="spellStart"/>
      <w:r w:rsidRPr="00DD448A">
        <w:rPr>
          <w:rFonts w:ascii="Arial" w:hAnsi="Arial" w:cs="Arial"/>
          <w:kern w:val="1"/>
          <w:sz w:val="22"/>
          <w:szCs w:val="22"/>
        </w:rPr>
        <w:t>Claustrat</w:t>
      </w:r>
      <w:proofErr w:type="spellEnd"/>
      <w:r w:rsidRPr="00DD448A">
        <w:rPr>
          <w:rFonts w:ascii="Arial" w:hAnsi="Arial" w:cs="Arial"/>
          <w:kern w:val="1"/>
          <w:sz w:val="22"/>
          <w:szCs w:val="22"/>
        </w:rPr>
        <w:t xml:space="preserve"> F, Koscielny S, </w:t>
      </w:r>
      <w:proofErr w:type="spellStart"/>
      <w:r w:rsidRPr="00DD448A">
        <w:rPr>
          <w:rFonts w:ascii="Arial" w:hAnsi="Arial" w:cs="Arial"/>
          <w:kern w:val="1"/>
          <w:sz w:val="22"/>
          <w:szCs w:val="22"/>
        </w:rPr>
        <w:t>Taieb</w:t>
      </w:r>
      <w:proofErr w:type="spellEnd"/>
      <w:r w:rsidRPr="00DD448A">
        <w:rPr>
          <w:rFonts w:ascii="Arial" w:hAnsi="Arial" w:cs="Arial"/>
          <w:kern w:val="1"/>
          <w:sz w:val="22"/>
          <w:szCs w:val="22"/>
        </w:rPr>
        <w:t xml:space="preserve"> D, </w:t>
      </w:r>
      <w:proofErr w:type="spellStart"/>
      <w:r w:rsidRPr="00DD448A">
        <w:rPr>
          <w:rFonts w:ascii="Arial" w:hAnsi="Arial" w:cs="Arial"/>
          <w:kern w:val="1"/>
          <w:sz w:val="22"/>
          <w:szCs w:val="22"/>
        </w:rPr>
        <w:t>Toubeau</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Bonichon</w:t>
      </w:r>
      <w:proofErr w:type="spellEnd"/>
      <w:r w:rsidRPr="00DD448A">
        <w:rPr>
          <w:rFonts w:ascii="Arial" w:hAnsi="Arial" w:cs="Arial"/>
          <w:kern w:val="1"/>
          <w:sz w:val="22"/>
          <w:szCs w:val="22"/>
        </w:rPr>
        <w:t xml:space="preserve"> F, Borson-</w:t>
      </w:r>
      <w:proofErr w:type="spellStart"/>
      <w:r w:rsidRPr="00DD448A">
        <w:rPr>
          <w:rFonts w:ascii="Arial" w:hAnsi="Arial" w:cs="Arial"/>
          <w:kern w:val="1"/>
          <w:sz w:val="22"/>
          <w:szCs w:val="22"/>
        </w:rPr>
        <w:t>Chazot</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Leenhardt</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Schvartz</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Dejax</w:t>
      </w:r>
      <w:proofErr w:type="spellEnd"/>
      <w:r w:rsidRPr="00DD448A">
        <w:rPr>
          <w:rFonts w:ascii="Arial" w:hAnsi="Arial" w:cs="Arial"/>
          <w:kern w:val="1"/>
          <w:sz w:val="22"/>
          <w:szCs w:val="22"/>
        </w:rPr>
        <w:t xml:space="preserve"> C, Brenot-Rossi I, </w:t>
      </w:r>
      <w:proofErr w:type="spellStart"/>
      <w:r w:rsidRPr="00DD448A">
        <w:rPr>
          <w:rFonts w:ascii="Arial" w:hAnsi="Arial" w:cs="Arial"/>
          <w:kern w:val="1"/>
          <w:sz w:val="22"/>
          <w:szCs w:val="22"/>
        </w:rPr>
        <w:t>Torlontano</w:t>
      </w:r>
      <w:proofErr w:type="spellEnd"/>
      <w:r w:rsidRPr="00DD448A">
        <w:rPr>
          <w:rFonts w:ascii="Arial" w:hAnsi="Arial" w:cs="Arial"/>
          <w:kern w:val="1"/>
          <w:sz w:val="22"/>
          <w:szCs w:val="22"/>
        </w:rPr>
        <w:t xml:space="preserve"> M, Tenenbaum F, Bardet S, </w:t>
      </w:r>
      <w:proofErr w:type="spellStart"/>
      <w:r w:rsidRPr="00DD448A">
        <w:rPr>
          <w:rFonts w:ascii="Arial" w:hAnsi="Arial" w:cs="Arial"/>
          <w:kern w:val="1"/>
          <w:sz w:val="22"/>
          <w:szCs w:val="22"/>
        </w:rPr>
        <w:t>Bussière</w:t>
      </w:r>
      <w:proofErr w:type="spellEnd"/>
      <w:r w:rsidRPr="00DD448A">
        <w:rPr>
          <w:rFonts w:ascii="Arial" w:hAnsi="Arial" w:cs="Arial"/>
          <w:kern w:val="1"/>
          <w:sz w:val="22"/>
          <w:szCs w:val="22"/>
        </w:rPr>
        <w:t xml:space="preserve"> F, Girard JJ, Morel O, </w:t>
      </w:r>
      <w:proofErr w:type="spellStart"/>
      <w:r w:rsidRPr="00DD448A">
        <w:rPr>
          <w:rFonts w:ascii="Arial" w:hAnsi="Arial" w:cs="Arial"/>
          <w:kern w:val="1"/>
          <w:sz w:val="22"/>
          <w:szCs w:val="22"/>
        </w:rPr>
        <w:t>Schneegans</w:t>
      </w:r>
      <w:proofErr w:type="spellEnd"/>
      <w:r w:rsidRPr="00DD448A">
        <w:rPr>
          <w:rFonts w:ascii="Arial" w:hAnsi="Arial" w:cs="Arial"/>
          <w:kern w:val="1"/>
          <w:sz w:val="22"/>
          <w:szCs w:val="22"/>
        </w:rPr>
        <w:t xml:space="preserve"> O, </w:t>
      </w:r>
      <w:proofErr w:type="spellStart"/>
      <w:r w:rsidRPr="00DD448A">
        <w:rPr>
          <w:rFonts w:ascii="Arial" w:hAnsi="Arial" w:cs="Arial"/>
          <w:kern w:val="1"/>
          <w:sz w:val="22"/>
          <w:szCs w:val="22"/>
        </w:rPr>
        <w:t>Schlienger</w:t>
      </w:r>
      <w:proofErr w:type="spellEnd"/>
      <w:r w:rsidRPr="00DD448A">
        <w:rPr>
          <w:rFonts w:ascii="Arial" w:hAnsi="Arial" w:cs="Arial"/>
          <w:kern w:val="1"/>
          <w:sz w:val="22"/>
          <w:szCs w:val="22"/>
        </w:rPr>
        <w:t xml:space="preserve"> JL, Prost A, So D, </w:t>
      </w:r>
      <w:proofErr w:type="spellStart"/>
      <w:r w:rsidRPr="00DD448A">
        <w:rPr>
          <w:rFonts w:ascii="Arial" w:hAnsi="Arial" w:cs="Arial"/>
          <w:kern w:val="1"/>
          <w:sz w:val="22"/>
          <w:szCs w:val="22"/>
        </w:rPr>
        <w:t>Archambeaud</w:t>
      </w:r>
      <w:proofErr w:type="spellEnd"/>
      <w:r w:rsidRPr="00DD448A">
        <w:rPr>
          <w:rFonts w:ascii="Arial" w:hAnsi="Arial" w:cs="Arial"/>
          <w:kern w:val="1"/>
          <w:sz w:val="22"/>
          <w:szCs w:val="22"/>
        </w:rPr>
        <w:t xml:space="preserve"> F, Ricard M, Benhamou E. Comparison of seven serum thyroglobulin assays in the follow-up of papillary and follicular thyroid cancer patients.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2007;92(7):2487-2495.</w:t>
      </w:r>
    </w:p>
    <w:p w14:paraId="41C19B9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576.</w:t>
      </w:r>
      <w:r w:rsidRPr="00DD448A">
        <w:rPr>
          <w:rFonts w:ascii="Arial" w:hAnsi="Arial" w:cs="Arial"/>
          <w:kern w:val="1"/>
          <w:sz w:val="22"/>
          <w:szCs w:val="22"/>
        </w:rPr>
        <w:tab/>
        <w:t xml:space="preserve">Shaw JB, Harvey SR, Du C, Xu Z, Edgington RM, </w:t>
      </w:r>
      <w:proofErr w:type="spellStart"/>
      <w:r w:rsidRPr="00DD448A">
        <w:rPr>
          <w:rFonts w:ascii="Arial" w:hAnsi="Arial" w:cs="Arial"/>
          <w:kern w:val="1"/>
          <w:sz w:val="22"/>
          <w:szCs w:val="22"/>
        </w:rPr>
        <w:t>Olmedillas</w:t>
      </w:r>
      <w:proofErr w:type="spellEnd"/>
      <w:r w:rsidRPr="00DD448A">
        <w:rPr>
          <w:rFonts w:ascii="Arial" w:hAnsi="Arial" w:cs="Arial"/>
          <w:kern w:val="1"/>
          <w:sz w:val="22"/>
          <w:szCs w:val="22"/>
        </w:rPr>
        <w:t xml:space="preserve"> E, Saphire EO, Wysocki VH. Protein Complex Heterogeneity and Topology Revealed by Electron Capture Charge Reduction and Surface Induced Dissociation. </w:t>
      </w:r>
      <w:r w:rsidRPr="00DD448A">
        <w:rPr>
          <w:rFonts w:ascii="Arial" w:hAnsi="Arial" w:cs="Arial"/>
          <w:iCs/>
          <w:kern w:val="1"/>
          <w:sz w:val="22"/>
          <w:szCs w:val="22"/>
        </w:rPr>
        <w:t>ACS Cent Sci</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2024;10(8):1537-1547.</w:t>
      </w:r>
    </w:p>
    <w:p w14:paraId="3B7A123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577.</w:t>
      </w:r>
      <w:r w:rsidRPr="00DD448A">
        <w:rPr>
          <w:rFonts w:ascii="Arial" w:hAnsi="Arial" w:cs="Arial"/>
          <w:kern w:val="1"/>
          <w:sz w:val="22"/>
          <w:szCs w:val="22"/>
        </w:rPr>
        <w:tab/>
        <w:t xml:space="preserve">Jensen E, Petersen PH, Blaabjerg O, Hegedüs L. Biological variation of thyroid autoantibodies and thyroglobulin.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2007;45(8):1058-1064.</w:t>
      </w:r>
    </w:p>
    <w:p w14:paraId="5518E00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578.</w:t>
      </w:r>
      <w:r w:rsidRPr="00DD448A">
        <w:rPr>
          <w:rFonts w:ascii="Arial" w:hAnsi="Arial" w:cs="Arial"/>
          <w:kern w:val="1"/>
          <w:sz w:val="22"/>
          <w:szCs w:val="22"/>
        </w:rPr>
        <w:tab/>
        <w:t xml:space="preserve">Spencer CA, LoPresti JS. Measuring thyroglobulin and thyroglobulin autoantibody in patients with differentiated thyroid cancer. </w:t>
      </w:r>
      <w:r w:rsidRPr="00DD448A">
        <w:rPr>
          <w:rFonts w:ascii="Arial" w:hAnsi="Arial" w:cs="Arial"/>
          <w:iCs/>
          <w:kern w:val="1"/>
          <w:sz w:val="22"/>
          <w:szCs w:val="22"/>
        </w:rPr>
        <w:t>Nature clinical practice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2008;4(4):223-233.</w:t>
      </w:r>
    </w:p>
    <w:p w14:paraId="3658556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579.</w:t>
      </w:r>
      <w:r w:rsidRPr="00DD448A">
        <w:rPr>
          <w:rFonts w:ascii="Arial" w:hAnsi="Arial" w:cs="Arial"/>
          <w:kern w:val="1"/>
          <w:sz w:val="22"/>
          <w:szCs w:val="22"/>
        </w:rPr>
        <w:tab/>
        <w:t xml:space="preserve">Grebe S. Soluble thyroid tumor markers – old and new challenges and potential solutions. </w:t>
      </w:r>
      <w:r w:rsidRPr="00DD448A">
        <w:rPr>
          <w:rFonts w:ascii="Arial" w:hAnsi="Arial" w:cs="Arial"/>
          <w:iCs/>
          <w:kern w:val="1"/>
          <w:sz w:val="22"/>
          <w:szCs w:val="22"/>
        </w:rPr>
        <w:t xml:space="preserve">NZ J Med Lab Science </w:t>
      </w:r>
      <w:r w:rsidRPr="00DD448A">
        <w:rPr>
          <w:rFonts w:ascii="Arial" w:hAnsi="Arial" w:cs="Arial"/>
          <w:kern w:val="1"/>
          <w:sz w:val="22"/>
          <w:szCs w:val="22"/>
        </w:rPr>
        <w:t>2013;87:76-87.</w:t>
      </w:r>
    </w:p>
    <w:p w14:paraId="75D0FB8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580.</w:t>
      </w:r>
      <w:r w:rsidRPr="00DD448A">
        <w:rPr>
          <w:rFonts w:ascii="Arial" w:hAnsi="Arial" w:cs="Arial"/>
          <w:kern w:val="1"/>
          <w:sz w:val="22"/>
          <w:szCs w:val="22"/>
        </w:rPr>
        <w:tab/>
        <w:t xml:space="preserve">Grebe SK. Diagnosis and management of thyroid carcinoma: focus on serum thyroglobulin. </w:t>
      </w:r>
      <w:r w:rsidRPr="00DD448A">
        <w:rPr>
          <w:rFonts w:ascii="Arial" w:hAnsi="Arial" w:cs="Arial"/>
          <w:iCs/>
          <w:kern w:val="1"/>
          <w:sz w:val="22"/>
          <w:szCs w:val="22"/>
        </w:rPr>
        <w:t xml:space="preserve">Exp Rev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2009;4:25-43.</w:t>
      </w:r>
    </w:p>
    <w:p w14:paraId="6D4D485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581.</w:t>
      </w:r>
      <w:r w:rsidRPr="00DD448A">
        <w:rPr>
          <w:rFonts w:ascii="Arial" w:hAnsi="Arial" w:cs="Arial"/>
          <w:kern w:val="1"/>
          <w:sz w:val="22"/>
          <w:szCs w:val="22"/>
        </w:rPr>
        <w:tab/>
      </w:r>
      <w:proofErr w:type="spellStart"/>
      <w:r w:rsidRPr="00DD448A">
        <w:rPr>
          <w:rFonts w:ascii="Arial" w:hAnsi="Arial" w:cs="Arial"/>
          <w:kern w:val="1"/>
          <w:sz w:val="22"/>
          <w:szCs w:val="22"/>
        </w:rPr>
        <w:t>Tomoda</w:t>
      </w:r>
      <w:proofErr w:type="spellEnd"/>
      <w:r w:rsidRPr="00DD448A">
        <w:rPr>
          <w:rFonts w:ascii="Arial" w:hAnsi="Arial" w:cs="Arial"/>
          <w:kern w:val="1"/>
          <w:sz w:val="22"/>
          <w:szCs w:val="22"/>
        </w:rPr>
        <w:t xml:space="preserve"> C, Miyauchi A. Undetectable serum thyroglobulin levels in patients with medullary thyroid carcinoma after total thyroidectomy without radioiodine ablation.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2012;22(7):680-682.</w:t>
      </w:r>
    </w:p>
    <w:p w14:paraId="48DD58E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582.</w:t>
      </w:r>
      <w:r w:rsidRPr="00DD448A">
        <w:rPr>
          <w:rFonts w:ascii="Arial" w:hAnsi="Arial" w:cs="Arial"/>
          <w:kern w:val="1"/>
          <w:sz w:val="22"/>
          <w:szCs w:val="22"/>
        </w:rPr>
        <w:tab/>
        <w:t xml:space="preserve">Angell TE, Spencer CA, Rubino BD, Nicoloff JT, LoPresti JS. In search of an unstimulated thyroglobulin baseline value in low-risk papillary thyroid carcinoma patients not receiving radioactive iodine ablation.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2014;24(7):1127-1133.</w:t>
      </w:r>
    </w:p>
    <w:p w14:paraId="6EA9206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583.</w:t>
      </w:r>
      <w:r w:rsidRPr="00DD448A">
        <w:rPr>
          <w:rFonts w:ascii="Arial" w:hAnsi="Arial" w:cs="Arial"/>
          <w:kern w:val="1"/>
          <w:sz w:val="22"/>
          <w:szCs w:val="22"/>
        </w:rPr>
        <w:tab/>
        <w:t xml:space="preserve">Park S, Jeon MJ, Oh HS, Lee YM, Sung TY, Han M, Han JM, Kim TY, Chung KW, Kim WB, Shong YK, Kim WG. Changes in Serum Thyroglobulin Levels After Lobectomy in Patients with Low-Risk Papillary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2018;28(8):997-1003.</w:t>
      </w:r>
    </w:p>
    <w:p w14:paraId="694E463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584.</w:t>
      </w:r>
      <w:r w:rsidRPr="00DD448A">
        <w:rPr>
          <w:rFonts w:ascii="Arial" w:hAnsi="Arial" w:cs="Arial"/>
          <w:kern w:val="1"/>
          <w:sz w:val="22"/>
          <w:szCs w:val="22"/>
        </w:rPr>
        <w:tab/>
        <w:t xml:space="preserve">Feldt-Rasmussen U, </w:t>
      </w:r>
      <w:proofErr w:type="spellStart"/>
      <w:r w:rsidRPr="00DD448A">
        <w:rPr>
          <w:rFonts w:ascii="Arial" w:hAnsi="Arial" w:cs="Arial"/>
          <w:kern w:val="1"/>
          <w:sz w:val="22"/>
          <w:szCs w:val="22"/>
        </w:rPr>
        <w:t>Profilis</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Colinet</w:t>
      </w:r>
      <w:proofErr w:type="spellEnd"/>
      <w:r w:rsidRPr="00DD448A">
        <w:rPr>
          <w:rFonts w:ascii="Arial" w:hAnsi="Arial" w:cs="Arial"/>
          <w:kern w:val="1"/>
          <w:sz w:val="22"/>
          <w:szCs w:val="22"/>
        </w:rPr>
        <w:t xml:space="preserve"> E, Black E, Bornet H, </w:t>
      </w:r>
      <w:proofErr w:type="spellStart"/>
      <w:r w:rsidRPr="00DD448A">
        <w:rPr>
          <w:rFonts w:ascii="Arial" w:hAnsi="Arial" w:cs="Arial"/>
          <w:kern w:val="1"/>
          <w:sz w:val="22"/>
          <w:szCs w:val="22"/>
        </w:rPr>
        <w:t>Bourdoux</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Carayon</w:t>
      </w:r>
      <w:proofErr w:type="spellEnd"/>
      <w:r w:rsidRPr="00DD448A">
        <w:rPr>
          <w:rFonts w:ascii="Arial" w:hAnsi="Arial" w:cs="Arial"/>
          <w:kern w:val="1"/>
          <w:sz w:val="22"/>
          <w:szCs w:val="22"/>
        </w:rPr>
        <w:t xml:space="preserve"> P, Ericsson UB, Koutras DA, Lamas de Leon L, </w:t>
      </w:r>
      <w:proofErr w:type="spellStart"/>
      <w:r w:rsidRPr="00DD448A">
        <w:rPr>
          <w:rFonts w:ascii="Arial" w:hAnsi="Arial" w:cs="Arial"/>
          <w:kern w:val="1"/>
          <w:sz w:val="22"/>
          <w:szCs w:val="22"/>
        </w:rPr>
        <w:t>DeNayer</w:t>
      </w:r>
      <w:proofErr w:type="spellEnd"/>
      <w:r w:rsidRPr="00DD448A">
        <w:rPr>
          <w:rFonts w:ascii="Arial" w:hAnsi="Arial" w:cs="Arial"/>
          <w:kern w:val="1"/>
          <w:sz w:val="22"/>
          <w:szCs w:val="22"/>
        </w:rPr>
        <w:t xml:space="preserve"> P, Pacini F, Palumbo G, Santos A, Schlumberger M, Seidel C, Van Herle AJ, JJM D. Human thyroglobulin reference material (CRM 457) 1st part: Assessment of homogeneity, stability and immunoreactivity. </w:t>
      </w:r>
      <w:r w:rsidRPr="00DD448A">
        <w:rPr>
          <w:rFonts w:ascii="Arial" w:hAnsi="Arial" w:cs="Arial"/>
          <w:iCs/>
          <w:kern w:val="1"/>
          <w:sz w:val="22"/>
          <w:szCs w:val="22"/>
        </w:rPr>
        <w:t>Ann Biol Clin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1996;54:337-342.</w:t>
      </w:r>
    </w:p>
    <w:p w14:paraId="7AE7E06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585.</w:t>
      </w:r>
      <w:r w:rsidRPr="00DD448A">
        <w:rPr>
          <w:rFonts w:ascii="Arial" w:hAnsi="Arial" w:cs="Arial"/>
          <w:kern w:val="1"/>
          <w:sz w:val="22"/>
          <w:szCs w:val="22"/>
        </w:rPr>
        <w:tab/>
        <w:t xml:space="preserve">Feldt-Rasmussen U, </w:t>
      </w:r>
      <w:proofErr w:type="spellStart"/>
      <w:r w:rsidRPr="00DD448A">
        <w:rPr>
          <w:rFonts w:ascii="Arial" w:hAnsi="Arial" w:cs="Arial"/>
          <w:kern w:val="1"/>
          <w:sz w:val="22"/>
          <w:szCs w:val="22"/>
        </w:rPr>
        <w:t>Profilis</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Colinet</w:t>
      </w:r>
      <w:proofErr w:type="spellEnd"/>
      <w:r w:rsidRPr="00DD448A">
        <w:rPr>
          <w:rFonts w:ascii="Arial" w:hAnsi="Arial" w:cs="Arial"/>
          <w:kern w:val="1"/>
          <w:sz w:val="22"/>
          <w:szCs w:val="22"/>
        </w:rPr>
        <w:t xml:space="preserve"> E, Black E, Bornet H, </w:t>
      </w:r>
      <w:proofErr w:type="spellStart"/>
      <w:r w:rsidRPr="00DD448A">
        <w:rPr>
          <w:rFonts w:ascii="Arial" w:hAnsi="Arial" w:cs="Arial"/>
          <w:kern w:val="1"/>
          <w:sz w:val="22"/>
          <w:szCs w:val="22"/>
        </w:rPr>
        <w:t>Bourdoux</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Carayon</w:t>
      </w:r>
      <w:proofErr w:type="spellEnd"/>
      <w:r w:rsidRPr="00DD448A">
        <w:rPr>
          <w:rFonts w:ascii="Arial" w:hAnsi="Arial" w:cs="Arial"/>
          <w:kern w:val="1"/>
          <w:sz w:val="22"/>
          <w:szCs w:val="22"/>
        </w:rPr>
        <w:t xml:space="preserve"> P, Ericsson UB, Koutras DA, Lamas de Leon L, </w:t>
      </w:r>
      <w:proofErr w:type="spellStart"/>
      <w:r w:rsidRPr="00DD448A">
        <w:rPr>
          <w:rFonts w:ascii="Arial" w:hAnsi="Arial" w:cs="Arial"/>
          <w:kern w:val="1"/>
          <w:sz w:val="22"/>
          <w:szCs w:val="22"/>
        </w:rPr>
        <w:t>DeNayer</w:t>
      </w:r>
      <w:proofErr w:type="spellEnd"/>
      <w:r w:rsidRPr="00DD448A">
        <w:rPr>
          <w:rFonts w:ascii="Arial" w:hAnsi="Arial" w:cs="Arial"/>
          <w:kern w:val="1"/>
          <w:sz w:val="22"/>
          <w:szCs w:val="22"/>
        </w:rPr>
        <w:t xml:space="preserve"> P, Pacini F, Palumbo G, Santos A, Schlumberger M, Seidel C, Van Herle AJ, JJM D. Human thyroglobulin reference material (CRM 457) 2nd part: Physicochemical characterization and certification. </w:t>
      </w:r>
      <w:r w:rsidRPr="00DD448A">
        <w:rPr>
          <w:rFonts w:ascii="Arial" w:hAnsi="Arial" w:cs="Arial"/>
          <w:iCs/>
          <w:kern w:val="1"/>
          <w:sz w:val="22"/>
          <w:szCs w:val="22"/>
        </w:rPr>
        <w:t>Ann Biol Clin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1996;54:343-348.</w:t>
      </w:r>
    </w:p>
    <w:p w14:paraId="2C97B88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586.</w:t>
      </w:r>
      <w:r w:rsidRPr="00DD448A">
        <w:rPr>
          <w:rFonts w:ascii="Arial" w:hAnsi="Arial" w:cs="Arial"/>
          <w:kern w:val="1"/>
          <w:sz w:val="22"/>
          <w:szCs w:val="22"/>
        </w:rPr>
        <w:tab/>
        <w:t xml:space="preserve">Cubero JM, Rodríguez-Espinosa J, Gelpi C, </w:t>
      </w:r>
      <w:proofErr w:type="spellStart"/>
      <w:r w:rsidRPr="00DD448A">
        <w:rPr>
          <w:rFonts w:ascii="Arial" w:hAnsi="Arial" w:cs="Arial"/>
          <w:kern w:val="1"/>
          <w:sz w:val="22"/>
          <w:szCs w:val="22"/>
        </w:rPr>
        <w:t>Estorch</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Corcoy</w:t>
      </w:r>
      <w:proofErr w:type="spellEnd"/>
      <w:r w:rsidRPr="00DD448A">
        <w:rPr>
          <w:rFonts w:ascii="Arial" w:hAnsi="Arial" w:cs="Arial"/>
          <w:kern w:val="1"/>
          <w:sz w:val="22"/>
          <w:szCs w:val="22"/>
        </w:rPr>
        <w:t xml:space="preserve"> R. Thyroglobulin autoantibody levels below the cut-off for positivity can interfere with thyroglobulin measurement.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2003;13(7):659-661.</w:t>
      </w:r>
    </w:p>
    <w:p w14:paraId="538E5A2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587.</w:t>
      </w:r>
      <w:r w:rsidRPr="00DD448A">
        <w:rPr>
          <w:rFonts w:ascii="Arial" w:hAnsi="Arial" w:cs="Arial"/>
          <w:kern w:val="1"/>
          <w:sz w:val="22"/>
          <w:szCs w:val="22"/>
        </w:rPr>
        <w:tab/>
        <w:t xml:space="preserve">Malandrino P, Tumino D, Russo M, </w:t>
      </w:r>
      <w:proofErr w:type="spellStart"/>
      <w:r w:rsidRPr="00DD448A">
        <w:rPr>
          <w:rFonts w:ascii="Arial" w:hAnsi="Arial" w:cs="Arial"/>
          <w:kern w:val="1"/>
          <w:sz w:val="22"/>
          <w:szCs w:val="22"/>
        </w:rPr>
        <w:t>Marescalco</w:t>
      </w:r>
      <w:proofErr w:type="spellEnd"/>
      <w:r w:rsidRPr="00DD448A">
        <w:rPr>
          <w:rFonts w:ascii="Arial" w:hAnsi="Arial" w:cs="Arial"/>
          <w:kern w:val="1"/>
          <w:sz w:val="22"/>
          <w:szCs w:val="22"/>
        </w:rPr>
        <w:t xml:space="preserve"> S, Fulco RA, Frasca F. Surveillance of patients with differentiated thyroid cancer and indeterminate response: a longitudinal study on basal thyroglobulin trend.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2019;42(10):1223-1230.</w:t>
      </w:r>
    </w:p>
    <w:p w14:paraId="172628F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588.</w:t>
      </w:r>
      <w:r w:rsidRPr="00DD448A">
        <w:rPr>
          <w:rFonts w:ascii="Arial" w:hAnsi="Arial" w:cs="Arial"/>
          <w:kern w:val="1"/>
          <w:sz w:val="22"/>
          <w:szCs w:val="22"/>
        </w:rPr>
        <w:tab/>
        <w:t xml:space="preserve">Cole TG, Johnson D, Eveland BJ, Nahm MH. Cost-effective method for detection of "hook effect" in tumor marker immunometric assays.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1993;39:695-696.</w:t>
      </w:r>
    </w:p>
    <w:p w14:paraId="2DFF7E6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589.</w:t>
      </w:r>
      <w:r w:rsidRPr="00DD448A">
        <w:rPr>
          <w:rFonts w:ascii="Arial" w:hAnsi="Arial" w:cs="Arial"/>
          <w:kern w:val="1"/>
          <w:sz w:val="22"/>
          <w:szCs w:val="22"/>
        </w:rPr>
        <w:tab/>
        <w:t xml:space="preserve">Jassam N, Jones CM, Briscoe T, Horner JH. The hook effect: a need for constant vigilance.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2006;43(Pt 4):314-317.</w:t>
      </w:r>
    </w:p>
    <w:p w14:paraId="3DA0FEF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590.</w:t>
      </w:r>
      <w:r w:rsidRPr="00DD448A">
        <w:rPr>
          <w:rFonts w:ascii="Arial" w:hAnsi="Arial" w:cs="Arial"/>
          <w:kern w:val="1"/>
          <w:sz w:val="22"/>
          <w:szCs w:val="22"/>
        </w:rPr>
        <w:tab/>
        <w:t xml:space="preserve">Leboeuf R, Langlois MF, Martin M, </w:t>
      </w:r>
      <w:proofErr w:type="spellStart"/>
      <w:r w:rsidRPr="00DD448A">
        <w:rPr>
          <w:rFonts w:ascii="Arial" w:hAnsi="Arial" w:cs="Arial"/>
          <w:kern w:val="1"/>
          <w:sz w:val="22"/>
          <w:szCs w:val="22"/>
        </w:rPr>
        <w:t>Ahnadi</w:t>
      </w:r>
      <w:proofErr w:type="spellEnd"/>
      <w:r w:rsidRPr="00DD448A">
        <w:rPr>
          <w:rFonts w:ascii="Arial" w:hAnsi="Arial" w:cs="Arial"/>
          <w:kern w:val="1"/>
          <w:sz w:val="22"/>
          <w:szCs w:val="22"/>
        </w:rPr>
        <w:t xml:space="preserve"> CE, Fink GD. "Hook effect" in calcitonin immunoradiometric assay in patients with metastatic medullary thyroid carcinoma: case report and review of the literature.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2006;91(2):361-364.</w:t>
      </w:r>
    </w:p>
    <w:p w14:paraId="646364B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591.</w:t>
      </w:r>
      <w:r w:rsidRPr="00DD448A">
        <w:rPr>
          <w:rFonts w:ascii="Arial" w:hAnsi="Arial" w:cs="Arial"/>
          <w:kern w:val="1"/>
          <w:sz w:val="22"/>
          <w:szCs w:val="22"/>
        </w:rPr>
        <w:tab/>
        <w:t xml:space="preserve">Hillebrand JJ, </w:t>
      </w:r>
      <w:proofErr w:type="spellStart"/>
      <w:r w:rsidRPr="00DD448A">
        <w:rPr>
          <w:rFonts w:ascii="Arial" w:hAnsi="Arial" w:cs="Arial"/>
          <w:kern w:val="1"/>
          <w:sz w:val="22"/>
          <w:szCs w:val="22"/>
        </w:rPr>
        <w:t>Siegelaar</w:t>
      </w:r>
      <w:proofErr w:type="spellEnd"/>
      <w:r w:rsidRPr="00DD448A">
        <w:rPr>
          <w:rFonts w:ascii="Arial" w:hAnsi="Arial" w:cs="Arial"/>
          <w:kern w:val="1"/>
          <w:sz w:val="22"/>
          <w:szCs w:val="22"/>
        </w:rPr>
        <w:t xml:space="preserve"> SE, </w:t>
      </w:r>
      <w:proofErr w:type="spellStart"/>
      <w:r w:rsidRPr="00DD448A">
        <w:rPr>
          <w:rFonts w:ascii="Arial" w:hAnsi="Arial" w:cs="Arial"/>
          <w:kern w:val="1"/>
          <w:sz w:val="22"/>
          <w:szCs w:val="22"/>
        </w:rPr>
        <w:t>Heijboer</w:t>
      </w:r>
      <w:proofErr w:type="spellEnd"/>
      <w:r w:rsidRPr="00DD448A">
        <w:rPr>
          <w:rFonts w:ascii="Arial" w:hAnsi="Arial" w:cs="Arial"/>
          <w:kern w:val="1"/>
          <w:sz w:val="22"/>
          <w:szCs w:val="22"/>
        </w:rPr>
        <w:t xml:space="preserve"> AC. Falsely decreased thyroglobulin levels in a patient with differentiated thyroid carcinoma.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2020;509:217-219.</w:t>
      </w:r>
    </w:p>
    <w:p w14:paraId="541B7F6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592.</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Ghelfo</w:t>
      </w:r>
      <w:proofErr w:type="spellEnd"/>
      <w:r w:rsidRPr="00DD448A">
        <w:rPr>
          <w:rFonts w:ascii="Arial" w:hAnsi="Arial" w:cs="Arial"/>
          <w:kern w:val="1"/>
          <w:sz w:val="22"/>
          <w:szCs w:val="22"/>
        </w:rPr>
        <w:t xml:space="preserve"> A. Undetectable serum thyroglobulin due to negative interference of heterophile antibodies in relapsing thyroid carcinoma.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2007;53(10):1871-1872.</w:t>
      </w:r>
    </w:p>
    <w:p w14:paraId="3DF41BE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593.</w:t>
      </w:r>
      <w:r w:rsidRPr="00DD448A">
        <w:rPr>
          <w:rFonts w:ascii="Arial" w:hAnsi="Arial" w:cs="Arial"/>
          <w:kern w:val="1"/>
          <w:sz w:val="22"/>
          <w:szCs w:val="22"/>
        </w:rPr>
        <w:tab/>
        <w:t xml:space="preserve">Ross HA, Menheere PP, Thomas CM, Mudde AH, </w:t>
      </w:r>
      <w:proofErr w:type="spellStart"/>
      <w:r w:rsidRPr="00DD448A">
        <w:rPr>
          <w:rFonts w:ascii="Arial" w:hAnsi="Arial" w:cs="Arial"/>
          <w:kern w:val="1"/>
          <w:sz w:val="22"/>
          <w:szCs w:val="22"/>
        </w:rPr>
        <w:t>Kouwenberg</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Wolffenbuttel</w:t>
      </w:r>
      <w:proofErr w:type="spellEnd"/>
      <w:r w:rsidRPr="00DD448A">
        <w:rPr>
          <w:rFonts w:ascii="Arial" w:hAnsi="Arial" w:cs="Arial"/>
          <w:kern w:val="1"/>
          <w:sz w:val="22"/>
          <w:szCs w:val="22"/>
        </w:rPr>
        <w:t xml:space="preserve"> BH. Interference from heterophilic antibodies in seven current TSH assays.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2008;45(Pt 6):616.</w:t>
      </w:r>
    </w:p>
    <w:p w14:paraId="58DEC28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594.</w:t>
      </w:r>
      <w:r w:rsidRPr="00DD448A">
        <w:rPr>
          <w:rFonts w:ascii="Arial" w:hAnsi="Arial" w:cs="Arial"/>
          <w:kern w:val="1"/>
          <w:sz w:val="22"/>
          <w:szCs w:val="22"/>
        </w:rPr>
        <w:tab/>
        <w:t xml:space="preserve">Ding L, Shankara-Narayana N, Wood C, Ward P, Sidhu S, Clifton-Bligh R. Markedly elevated serum thyroglobulin associated with heterophile antibodies: a cautionary tale.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2013;23(6):771-772.</w:t>
      </w:r>
    </w:p>
    <w:p w14:paraId="74D8D66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595.</w:t>
      </w:r>
      <w:r w:rsidRPr="00DD448A">
        <w:rPr>
          <w:rFonts w:ascii="Arial" w:hAnsi="Arial" w:cs="Arial"/>
          <w:kern w:val="1"/>
          <w:sz w:val="22"/>
          <w:szCs w:val="22"/>
        </w:rPr>
        <w:tab/>
        <w:t>Netzel BC, Grebe SK, Algeciras-</w:t>
      </w:r>
      <w:proofErr w:type="spellStart"/>
      <w:r w:rsidRPr="00DD448A">
        <w:rPr>
          <w:rFonts w:ascii="Arial" w:hAnsi="Arial" w:cs="Arial"/>
          <w:kern w:val="1"/>
          <w:sz w:val="22"/>
          <w:szCs w:val="22"/>
        </w:rPr>
        <w:t>Schimnich</w:t>
      </w:r>
      <w:proofErr w:type="spellEnd"/>
      <w:r w:rsidRPr="00DD448A">
        <w:rPr>
          <w:rFonts w:ascii="Arial" w:hAnsi="Arial" w:cs="Arial"/>
          <w:kern w:val="1"/>
          <w:sz w:val="22"/>
          <w:szCs w:val="22"/>
        </w:rPr>
        <w:t xml:space="preserve"> A. Usefulness of a thyroglobulin liquid chromatography-tandem mass spectrometry assay for evaluation of suspected heterophile interference.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2014;60(7):1016-1018.</w:t>
      </w:r>
    </w:p>
    <w:p w14:paraId="3DA6442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596.</w:t>
      </w:r>
      <w:r w:rsidRPr="00DD448A">
        <w:rPr>
          <w:rFonts w:ascii="Arial" w:hAnsi="Arial" w:cs="Arial"/>
          <w:kern w:val="1"/>
          <w:sz w:val="22"/>
          <w:szCs w:val="22"/>
        </w:rPr>
        <w:tab/>
      </w:r>
      <w:proofErr w:type="spellStart"/>
      <w:r w:rsidRPr="00DD448A">
        <w:rPr>
          <w:rFonts w:ascii="Arial" w:hAnsi="Arial" w:cs="Arial"/>
          <w:kern w:val="1"/>
          <w:sz w:val="22"/>
          <w:szCs w:val="22"/>
        </w:rPr>
        <w:t>Guastapaglia</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Chiamolera</w:t>
      </w:r>
      <w:proofErr w:type="spellEnd"/>
      <w:r w:rsidRPr="00DD448A">
        <w:rPr>
          <w:rFonts w:ascii="Arial" w:hAnsi="Arial" w:cs="Arial"/>
          <w:kern w:val="1"/>
          <w:sz w:val="22"/>
          <w:szCs w:val="22"/>
        </w:rPr>
        <w:t xml:space="preserve"> MI, Viana Lima Junior J, Ferrer CMF, Godoy Viana L, Veiga Chang C, Andrade Siqueira R, Monteiro Barros Maciel R, Henriques Vieira JG, </w:t>
      </w:r>
      <w:proofErr w:type="spellStart"/>
      <w:r w:rsidRPr="00DD448A">
        <w:rPr>
          <w:rFonts w:ascii="Arial" w:hAnsi="Arial" w:cs="Arial"/>
          <w:kern w:val="1"/>
          <w:sz w:val="22"/>
          <w:szCs w:val="22"/>
        </w:rPr>
        <w:t>Biscolla</w:t>
      </w:r>
      <w:proofErr w:type="spellEnd"/>
      <w:r w:rsidRPr="00DD448A">
        <w:rPr>
          <w:rFonts w:ascii="Arial" w:hAnsi="Arial" w:cs="Arial"/>
          <w:kern w:val="1"/>
          <w:sz w:val="22"/>
          <w:szCs w:val="22"/>
        </w:rPr>
        <w:t xml:space="preserve"> RPM. False diagnosis of recurrent thyroid carcinoma: the importance of testing for heterophile antibodies. </w:t>
      </w:r>
      <w:r w:rsidRPr="00DD448A">
        <w:rPr>
          <w:rFonts w:ascii="Arial" w:hAnsi="Arial" w:cs="Arial"/>
          <w:iCs/>
          <w:kern w:val="1"/>
          <w:sz w:val="22"/>
          <w:szCs w:val="22"/>
        </w:rPr>
        <w:t>Archives of endocrinology and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2024;68:e230115.</w:t>
      </w:r>
    </w:p>
    <w:p w14:paraId="2E92378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597.</w:t>
      </w:r>
      <w:r w:rsidRPr="00DD448A">
        <w:rPr>
          <w:rFonts w:ascii="Arial" w:hAnsi="Arial" w:cs="Arial"/>
          <w:kern w:val="1"/>
          <w:sz w:val="22"/>
          <w:szCs w:val="22"/>
        </w:rPr>
        <w:tab/>
        <w:t xml:space="preserve">Cheng F, Chen J, Wu BL, Yang X, Huang YS. A Rare Case of Falsely Elevated High-Sensitivity Cardiac Troponin T due to Antibody Interference and a Literature Review. </w:t>
      </w:r>
      <w:r w:rsidRPr="00DD448A">
        <w:rPr>
          <w:rFonts w:ascii="Arial" w:hAnsi="Arial" w:cs="Arial"/>
          <w:iCs/>
          <w:kern w:val="1"/>
          <w:sz w:val="22"/>
          <w:szCs w:val="22"/>
        </w:rPr>
        <w:t>Clin Lab</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2023;69(8).</w:t>
      </w:r>
    </w:p>
    <w:p w14:paraId="3A6842C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598.</w:t>
      </w:r>
      <w:r w:rsidRPr="00DD448A">
        <w:rPr>
          <w:rFonts w:ascii="Arial" w:hAnsi="Arial" w:cs="Arial"/>
          <w:kern w:val="1"/>
          <w:sz w:val="22"/>
          <w:szCs w:val="22"/>
        </w:rPr>
        <w:tab/>
        <w:t>Spencer CA. Recoveries cannot be used to authenticate thyroglobulin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measurements when sera contain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autoantibodies. </w:t>
      </w:r>
      <w:r w:rsidRPr="00DD448A">
        <w:rPr>
          <w:rFonts w:ascii="Arial" w:hAnsi="Arial" w:cs="Arial"/>
          <w:iCs/>
          <w:kern w:val="1"/>
          <w:sz w:val="22"/>
          <w:szCs w:val="22"/>
        </w:rPr>
        <w:t>Clin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1996;42(5):661-663.</w:t>
      </w:r>
    </w:p>
    <w:p w14:paraId="4CD7A4B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599.</w:t>
      </w:r>
      <w:r w:rsidRPr="00DD448A">
        <w:rPr>
          <w:rFonts w:ascii="Arial" w:hAnsi="Arial" w:cs="Arial"/>
          <w:kern w:val="1"/>
          <w:sz w:val="22"/>
          <w:szCs w:val="22"/>
        </w:rPr>
        <w:tab/>
        <w:t xml:space="preserve">Weigle WO, High GJ. The </w:t>
      </w:r>
      <w:proofErr w:type="spellStart"/>
      <w:r w:rsidRPr="00DD448A">
        <w:rPr>
          <w:rFonts w:ascii="Arial" w:hAnsi="Arial" w:cs="Arial"/>
          <w:kern w:val="1"/>
          <w:sz w:val="22"/>
          <w:szCs w:val="22"/>
        </w:rPr>
        <w:t>behaviour</w:t>
      </w:r>
      <w:proofErr w:type="spellEnd"/>
      <w:r w:rsidRPr="00DD448A">
        <w:rPr>
          <w:rFonts w:ascii="Arial" w:hAnsi="Arial" w:cs="Arial"/>
          <w:kern w:val="1"/>
          <w:sz w:val="22"/>
          <w:szCs w:val="22"/>
        </w:rPr>
        <w:t xml:space="preserve"> of autologous thyroglobulin in the circulation of rabbits immunized with either heterologous or altered homologous thyroglobulin. </w:t>
      </w:r>
      <w:r w:rsidRPr="00DD448A">
        <w:rPr>
          <w:rFonts w:ascii="Arial" w:hAnsi="Arial" w:cs="Arial"/>
          <w:iCs/>
          <w:kern w:val="1"/>
          <w:sz w:val="22"/>
          <w:szCs w:val="22"/>
        </w:rPr>
        <w:t>J Immunol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1967;98:1105-1114.</w:t>
      </w:r>
    </w:p>
    <w:p w14:paraId="07D7C09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600.</w:t>
      </w:r>
      <w:r w:rsidRPr="00DD448A">
        <w:rPr>
          <w:rFonts w:ascii="Arial" w:hAnsi="Arial" w:cs="Arial"/>
          <w:kern w:val="1"/>
          <w:sz w:val="22"/>
          <w:szCs w:val="22"/>
        </w:rPr>
        <w:tab/>
        <w:t xml:space="preserve">Feldt-Rasmussen U. Serum thyroglobulin and thyroglobulin autoantibodies in thyroid diseases. Pathogenic and diagnostic aspects. </w:t>
      </w:r>
      <w:r w:rsidRPr="00DD448A">
        <w:rPr>
          <w:rFonts w:ascii="Arial" w:hAnsi="Arial" w:cs="Arial"/>
          <w:iCs/>
          <w:kern w:val="1"/>
          <w:sz w:val="22"/>
          <w:szCs w:val="22"/>
        </w:rPr>
        <w:t>Allergy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1983;38(6):369-387.</w:t>
      </w:r>
    </w:p>
    <w:p w14:paraId="7B03A00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601.</w:t>
      </w:r>
      <w:r w:rsidRPr="00DD448A">
        <w:rPr>
          <w:rFonts w:ascii="Arial" w:hAnsi="Arial" w:cs="Arial"/>
          <w:kern w:val="1"/>
          <w:sz w:val="22"/>
          <w:szCs w:val="22"/>
        </w:rPr>
        <w:tab/>
        <w:t xml:space="preserve">Sellitti DF, Suzuki K. Intrinsic regulation of thyroid function by thyroglobulin.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2014;24(4):625-638.</w:t>
      </w:r>
    </w:p>
    <w:p w14:paraId="551F9B4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602.</w:t>
      </w:r>
      <w:r w:rsidRPr="00DD448A">
        <w:rPr>
          <w:rFonts w:ascii="Arial" w:hAnsi="Arial" w:cs="Arial"/>
          <w:kern w:val="1"/>
          <w:sz w:val="22"/>
          <w:szCs w:val="22"/>
        </w:rPr>
        <w:tab/>
        <w:t xml:space="preserve">Igawa T, </w:t>
      </w:r>
      <w:proofErr w:type="spellStart"/>
      <w:r w:rsidRPr="00DD448A">
        <w:rPr>
          <w:rFonts w:ascii="Arial" w:hAnsi="Arial" w:cs="Arial"/>
          <w:kern w:val="1"/>
          <w:sz w:val="22"/>
          <w:szCs w:val="22"/>
        </w:rPr>
        <w:t>Haraya</w:t>
      </w:r>
      <w:proofErr w:type="spellEnd"/>
      <w:r w:rsidRPr="00DD448A">
        <w:rPr>
          <w:rFonts w:ascii="Arial" w:hAnsi="Arial" w:cs="Arial"/>
          <w:kern w:val="1"/>
          <w:sz w:val="22"/>
          <w:szCs w:val="22"/>
        </w:rPr>
        <w:t xml:space="preserve"> K, Hattori K. Sweeping antibody as a novel therapeutic antibody modality capable of eliminating soluble antigens from circulation. </w:t>
      </w:r>
      <w:r w:rsidRPr="00DD448A">
        <w:rPr>
          <w:rFonts w:ascii="Arial" w:hAnsi="Arial" w:cs="Arial"/>
          <w:iCs/>
          <w:kern w:val="1"/>
          <w:sz w:val="22"/>
          <w:szCs w:val="22"/>
        </w:rPr>
        <w:t>Immunological reviews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2016;270(1):132-151.</w:t>
      </w:r>
    </w:p>
    <w:p w14:paraId="38944E4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603.</w:t>
      </w:r>
      <w:r w:rsidRPr="00DD448A">
        <w:rPr>
          <w:rFonts w:ascii="Arial" w:hAnsi="Arial" w:cs="Arial"/>
          <w:kern w:val="1"/>
          <w:sz w:val="22"/>
          <w:szCs w:val="22"/>
        </w:rPr>
        <w:tab/>
      </w:r>
      <w:proofErr w:type="spellStart"/>
      <w:r w:rsidRPr="00DD448A">
        <w:rPr>
          <w:rFonts w:ascii="Arial" w:hAnsi="Arial" w:cs="Arial"/>
          <w:kern w:val="1"/>
          <w:sz w:val="22"/>
          <w:szCs w:val="22"/>
        </w:rPr>
        <w:t>Latrofa</w:t>
      </w:r>
      <w:proofErr w:type="spellEnd"/>
      <w:r w:rsidRPr="00DD448A">
        <w:rPr>
          <w:rFonts w:ascii="Arial" w:hAnsi="Arial" w:cs="Arial"/>
          <w:kern w:val="1"/>
          <w:sz w:val="22"/>
          <w:szCs w:val="22"/>
        </w:rPr>
        <w:t xml:space="preserve"> F, Ricci D, </w:t>
      </w:r>
      <w:proofErr w:type="spellStart"/>
      <w:r w:rsidRPr="00DD448A">
        <w:rPr>
          <w:rFonts w:ascii="Arial" w:hAnsi="Arial" w:cs="Arial"/>
          <w:kern w:val="1"/>
          <w:sz w:val="22"/>
          <w:szCs w:val="22"/>
        </w:rPr>
        <w:t>Bottai</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Brozzi</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Chiovato</w:t>
      </w:r>
      <w:proofErr w:type="spellEnd"/>
      <w:r w:rsidRPr="00DD448A">
        <w:rPr>
          <w:rFonts w:ascii="Arial" w:hAnsi="Arial" w:cs="Arial"/>
          <w:kern w:val="1"/>
          <w:sz w:val="22"/>
          <w:szCs w:val="22"/>
        </w:rPr>
        <w:t xml:space="preserve"> L, Piaggi P, </w:t>
      </w:r>
      <w:proofErr w:type="spellStart"/>
      <w:r w:rsidRPr="00DD448A">
        <w:rPr>
          <w:rFonts w:ascii="Arial" w:hAnsi="Arial" w:cs="Arial"/>
          <w:kern w:val="1"/>
          <w:sz w:val="22"/>
          <w:szCs w:val="22"/>
        </w:rPr>
        <w:t>Marinò</w:t>
      </w:r>
      <w:proofErr w:type="spellEnd"/>
      <w:r w:rsidRPr="00DD448A">
        <w:rPr>
          <w:rFonts w:ascii="Arial" w:hAnsi="Arial" w:cs="Arial"/>
          <w:kern w:val="1"/>
          <w:sz w:val="22"/>
          <w:szCs w:val="22"/>
        </w:rPr>
        <w:t xml:space="preserve"> M, Vitti P. Effect of Thyroglobulin Autoantibodies on the Metabolic Clearance of Serum Thyroglobulin.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2018;28(3):288-294.</w:t>
      </w:r>
    </w:p>
    <w:p w14:paraId="2C8CCE9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604.</w:t>
      </w:r>
      <w:r w:rsidRPr="00DD448A">
        <w:rPr>
          <w:rFonts w:ascii="Arial" w:hAnsi="Arial" w:cs="Arial"/>
          <w:kern w:val="1"/>
          <w:sz w:val="22"/>
          <w:szCs w:val="22"/>
        </w:rPr>
        <w:tab/>
      </w:r>
      <w:proofErr w:type="spellStart"/>
      <w:r w:rsidRPr="00DD448A">
        <w:rPr>
          <w:rFonts w:ascii="Arial" w:hAnsi="Arial" w:cs="Arial"/>
          <w:kern w:val="1"/>
          <w:sz w:val="22"/>
          <w:szCs w:val="22"/>
        </w:rPr>
        <w:t>Tozzoli</w:t>
      </w:r>
      <w:proofErr w:type="spellEnd"/>
      <w:r w:rsidRPr="00DD448A">
        <w:rPr>
          <w:rFonts w:ascii="Arial" w:hAnsi="Arial" w:cs="Arial"/>
          <w:kern w:val="1"/>
          <w:sz w:val="22"/>
          <w:szCs w:val="22"/>
        </w:rPr>
        <w:t xml:space="preserve"> R, Bizzaro N, </w:t>
      </w:r>
      <w:proofErr w:type="spellStart"/>
      <w:r w:rsidRPr="00DD448A">
        <w:rPr>
          <w:rFonts w:ascii="Arial" w:hAnsi="Arial" w:cs="Arial"/>
          <w:kern w:val="1"/>
          <w:sz w:val="22"/>
          <w:szCs w:val="22"/>
        </w:rPr>
        <w:t>Tonutti</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Pradella</w:t>
      </w:r>
      <w:proofErr w:type="spellEnd"/>
      <w:r w:rsidRPr="00DD448A">
        <w:rPr>
          <w:rFonts w:ascii="Arial" w:hAnsi="Arial" w:cs="Arial"/>
          <w:kern w:val="1"/>
          <w:sz w:val="22"/>
          <w:szCs w:val="22"/>
        </w:rPr>
        <w:t xml:space="preserve"> M, Manoni F, Vilalta D, Bassetti D, Piazza A, Rizzotti P. Immunoassay of anti-thyroid autoantibodies: high analytical variability in second generation methods. </w:t>
      </w:r>
      <w:r w:rsidRPr="00DD448A">
        <w:rPr>
          <w:rFonts w:ascii="Arial" w:hAnsi="Arial" w:cs="Arial"/>
          <w:iCs/>
          <w:kern w:val="1"/>
          <w:sz w:val="22"/>
          <w:szCs w:val="22"/>
        </w:rPr>
        <w:t>Clin Chem Lab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2002;40(6):568-573.</w:t>
      </w:r>
    </w:p>
    <w:p w14:paraId="30DD6E6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605.</w:t>
      </w:r>
      <w:r w:rsidRPr="00DD448A">
        <w:rPr>
          <w:rFonts w:ascii="Arial" w:hAnsi="Arial" w:cs="Arial"/>
          <w:kern w:val="1"/>
          <w:sz w:val="22"/>
          <w:szCs w:val="22"/>
        </w:rPr>
        <w:tab/>
        <w:t xml:space="preserve">Rosário PW, Maia FF, Fagundes TA, Vasconcelos FP, Cardoso LD, </w:t>
      </w:r>
      <w:proofErr w:type="spellStart"/>
      <w:r w:rsidRPr="00DD448A">
        <w:rPr>
          <w:rFonts w:ascii="Arial" w:hAnsi="Arial" w:cs="Arial"/>
          <w:kern w:val="1"/>
          <w:sz w:val="22"/>
          <w:szCs w:val="22"/>
        </w:rPr>
        <w:t>Purisch</w:t>
      </w:r>
      <w:proofErr w:type="spellEnd"/>
      <w:r w:rsidRPr="00DD448A">
        <w:rPr>
          <w:rFonts w:ascii="Arial" w:hAnsi="Arial" w:cs="Arial"/>
          <w:kern w:val="1"/>
          <w:sz w:val="22"/>
          <w:szCs w:val="22"/>
        </w:rPr>
        <w:t xml:space="preserve"> S. Antithyroglobulin antibodies in patients with differentiated thyroid carcinoma: methods of detection, interference with serum thyroglobulin measurement and clinical significance. </w:t>
      </w:r>
      <w:proofErr w:type="spellStart"/>
      <w:r w:rsidRPr="00DD448A">
        <w:rPr>
          <w:rFonts w:ascii="Arial" w:hAnsi="Arial" w:cs="Arial"/>
          <w:iCs/>
          <w:kern w:val="1"/>
          <w:sz w:val="22"/>
          <w:szCs w:val="22"/>
        </w:rPr>
        <w:t>Arquivos</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brasileiros</w:t>
      </w:r>
      <w:proofErr w:type="spellEnd"/>
      <w:r w:rsidRPr="00DD448A">
        <w:rPr>
          <w:rFonts w:ascii="Arial" w:hAnsi="Arial" w:cs="Arial"/>
          <w:iCs/>
          <w:kern w:val="1"/>
          <w:sz w:val="22"/>
          <w:szCs w:val="22"/>
        </w:rPr>
        <w:t xml:space="preserve"> de </w:t>
      </w:r>
      <w:proofErr w:type="spellStart"/>
      <w:r w:rsidRPr="00DD448A">
        <w:rPr>
          <w:rFonts w:ascii="Arial" w:hAnsi="Arial" w:cs="Arial"/>
          <w:iCs/>
          <w:kern w:val="1"/>
          <w:sz w:val="22"/>
          <w:szCs w:val="22"/>
        </w:rPr>
        <w:t>endocrinologia</w:t>
      </w:r>
      <w:proofErr w:type="spellEnd"/>
      <w:r w:rsidRPr="00DD448A">
        <w:rPr>
          <w:rFonts w:ascii="Arial" w:hAnsi="Arial" w:cs="Arial"/>
          <w:iCs/>
          <w:kern w:val="1"/>
          <w:sz w:val="22"/>
          <w:szCs w:val="22"/>
        </w:rPr>
        <w:t xml:space="preserve"> e </w:t>
      </w:r>
      <w:proofErr w:type="spellStart"/>
      <w:r w:rsidRPr="00DD448A">
        <w:rPr>
          <w:rFonts w:ascii="Arial" w:hAnsi="Arial" w:cs="Arial"/>
          <w:iCs/>
          <w:kern w:val="1"/>
          <w:sz w:val="22"/>
          <w:szCs w:val="22"/>
        </w:rPr>
        <w:t>metabologia</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2004;48(4):487-492.</w:t>
      </w:r>
    </w:p>
    <w:p w14:paraId="39E194E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606.</w:t>
      </w:r>
      <w:r w:rsidRPr="00DD448A">
        <w:rPr>
          <w:rFonts w:ascii="Arial" w:hAnsi="Arial" w:cs="Arial"/>
          <w:kern w:val="1"/>
          <w:sz w:val="22"/>
          <w:szCs w:val="22"/>
        </w:rPr>
        <w:tab/>
        <w:t>Feldt-Rasmussen U, Petersen PH, Date J, Madsen CM. Sequential changes in serum thyroglobulin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and its autoantibodies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following subtotal thyroidectomy of patients with preoperatively detectable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w:t>
      </w:r>
      <w:r w:rsidRPr="00DD448A">
        <w:rPr>
          <w:rFonts w:ascii="Arial" w:hAnsi="Arial" w:cs="Arial"/>
          <w:iCs/>
          <w:kern w:val="1"/>
          <w:sz w:val="22"/>
          <w:szCs w:val="22"/>
        </w:rPr>
        <w:t>Clin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1980;12:29-38.</w:t>
      </w:r>
    </w:p>
    <w:p w14:paraId="1E1A24D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607.</w:t>
      </w:r>
      <w:r w:rsidRPr="00DD448A">
        <w:rPr>
          <w:rFonts w:ascii="Arial" w:hAnsi="Arial" w:cs="Arial"/>
          <w:kern w:val="1"/>
          <w:sz w:val="22"/>
          <w:szCs w:val="22"/>
        </w:rPr>
        <w:tab/>
        <w:t xml:space="preserve">Richards DB, Cookson LM, Berges AC, Barton SV, Lane T, Ritter JM, Fontana M, Moon JC, </w:t>
      </w:r>
      <w:proofErr w:type="spellStart"/>
      <w:r w:rsidRPr="00DD448A">
        <w:rPr>
          <w:rFonts w:ascii="Arial" w:hAnsi="Arial" w:cs="Arial"/>
          <w:kern w:val="1"/>
          <w:sz w:val="22"/>
          <w:szCs w:val="22"/>
        </w:rPr>
        <w:t>Pinzani</w:t>
      </w:r>
      <w:proofErr w:type="spellEnd"/>
      <w:r w:rsidRPr="00DD448A">
        <w:rPr>
          <w:rFonts w:ascii="Arial" w:hAnsi="Arial" w:cs="Arial"/>
          <w:kern w:val="1"/>
          <w:sz w:val="22"/>
          <w:szCs w:val="22"/>
        </w:rPr>
        <w:t xml:space="preserve"> M, Gillmore JD, Hawkins PN, Pepys MB. Therapeutic Clearance of Amyloid by Antibodies to Serum Amyloid P Component. </w:t>
      </w:r>
      <w:r w:rsidRPr="00DD448A">
        <w:rPr>
          <w:rFonts w:ascii="Arial" w:hAnsi="Arial" w:cs="Arial"/>
          <w:iCs/>
          <w:kern w:val="1"/>
          <w:sz w:val="22"/>
          <w:szCs w:val="22"/>
        </w:rPr>
        <w:t>N Engl J Med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2015;373(12):1106-1114.</w:t>
      </w:r>
    </w:p>
    <w:p w14:paraId="6C03BAB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608.</w:t>
      </w:r>
      <w:r w:rsidRPr="00DD448A">
        <w:rPr>
          <w:rFonts w:ascii="Arial" w:hAnsi="Arial" w:cs="Arial"/>
          <w:kern w:val="1"/>
          <w:sz w:val="22"/>
          <w:szCs w:val="22"/>
        </w:rPr>
        <w:tab/>
        <w:t xml:space="preserve">Schneider AB, </w:t>
      </w:r>
      <w:proofErr w:type="spellStart"/>
      <w:r w:rsidRPr="00DD448A">
        <w:rPr>
          <w:rFonts w:ascii="Arial" w:hAnsi="Arial" w:cs="Arial"/>
          <w:kern w:val="1"/>
          <w:sz w:val="22"/>
          <w:szCs w:val="22"/>
        </w:rPr>
        <w:t>Pervos</w:t>
      </w:r>
      <w:proofErr w:type="spellEnd"/>
      <w:r w:rsidRPr="00DD448A">
        <w:rPr>
          <w:rFonts w:ascii="Arial" w:hAnsi="Arial" w:cs="Arial"/>
          <w:kern w:val="1"/>
          <w:sz w:val="22"/>
          <w:szCs w:val="22"/>
        </w:rPr>
        <w:t xml:space="preserve"> R. Radioimmunoassay of human thyroglobulin: effect of antithyroglobulin autoantibodies.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1978;47:126-137.</w:t>
      </w:r>
    </w:p>
    <w:p w14:paraId="661F1FA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609.</w:t>
      </w:r>
      <w:r w:rsidRPr="00DD448A">
        <w:rPr>
          <w:rFonts w:ascii="Arial" w:hAnsi="Arial" w:cs="Arial"/>
          <w:kern w:val="1"/>
          <w:sz w:val="22"/>
          <w:szCs w:val="22"/>
        </w:rPr>
        <w:tab/>
        <w:t>Feldt-Rasmussen U, Rasmussen A K. Serum thyroglobulin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)in presence of thyroglobulin autoantibodies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Clinical and methodological relevance of the interaction between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and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in vivo and in vitro.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1985;8:571-576.</w:t>
      </w:r>
    </w:p>
    <w:p w14:paraId="530E186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610.</w:t>
      </w:r>
      <w:r w:rsidRPr="00DD448A">
        <w:rPr>
          <w:rFonts w:ascii="Arial" w:hAnsi="Arial" w:cs="Arial"/>
          <w:kern w:val="1"/>
          <w:sz w:val="22"/>
          <w:szCs w:val="22"/>
        </w:rPr>
        <w:tab/>
        <w:t xml:space="preserve">Benvenga S, Burek CL, Talor M, Rose NR, Trimarchi F. Heterogeneity of the thyroglobulin epitopes associated with circulating thyroid hormone autoantibodies in </w:t>
      </w:r>
      <w:proofErr w:type="spellStart"/>
      <w:r w:rsidRPr="00DD448A">
        <w:rPr>
          <w:rFonts w:ascii="Arial" w:hAnsi="Arial" w:cs="Arial"/>
          <w:kern w:val="1"/>
          <w:sz w:val="22"/>
          <w:szCs w:val="22"/>
        </w:rPr>
        <w:t>hashimoto's</w:t>
      </w:r>
      <w:proofErr w:type="spellEnd"/>
      <w:r w:rsidRPr="00DD448A">
        <w:rPr>
          <w:rFonts w:ascii="Arial" w:hAnsi="Arial" w:cs="Arial"/>
          <w:kern w:val="1"/>
          <w:sz w:val="22"/>
          <w:szCs w:val="22"/>
        </w:rPr>
        <w:t xml:space="preserve"> thyroiditis and non-autoimmune thyroid diseases.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2002;25(11):977-982.</w:t>
      </w:r>
    </w:p>
    <w:p w14:paraId="5ECB970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611.</w:t>
      </w:r>
      <w:r w:rsidRPr="00DD448A">
        <w:rPr>
          <w:rFonts w:ascii="Arial" w:hAnsi="Arial" w:cs="Arial"/>
          <w:kern w:val="1"/>
          <w:sz w:val="22"/>
          <w:szCs w:val="22"/>
        </w:rPr>
        <w:tab/>
        <w:t xml:space="preserve">Crane MS, Strachan MW, Toft AD, Beckett GJ. Discordance in thyroglobulin measurements by radioimmunoassay and immunometric assay: a useful means of identifying thyroglobulin assay interference. </w:t>
      </w:r>
      <w:r w:rsidRPr="00DD448A">
        <w:rPr>
          <w:rFonts w:ascii="Arial" w:hAnsi="Arial" w:cs="Arial"/>
          <w:iCs/>
          <w:kern w:val="1"/>
          <w:sz w:val="22"/>
          <w:szCs w:val="22"/>
        </w:rPr>
        <w:t xml:space="preserve">Ann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2013;50(Pt 5):421-432.</w:t>
      </w:r>
    </w:p>
    <w:p w14:paraId="436E302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612.</w:t>
      </w:r>
      <w:r w:rsidRPr="00DD448A">
        <w:rPr>
          <w:rFonts w:ascii="Arial" w:hAnsi="Arial" w:cs="Arial"/>
          <w:kern w:val="1"/>
          <w:sz w:val="22"/>
          <w:szCs w:val="22"/>
        </w:rPr>
        <w:tab/>
        <w:t>Spencer C, Fatemi S. Thyroglobulin antibody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 methods - Strengths, pitfalls and clinical utility for monitoring </w:t>
      </w:r>
      <w:proofErr w:type="spellStart"/>
      <w:r w:rsidRPr="00DD448A">
        <w:rPr>
          <w:rFonts w:ascii="Arial" w:hAnsi="Arial" w:cs="Arial"/>
          <w:kern w:val="1"/>
          <w:sz w:val="22"/>
          <w:szCs w:val="22"/>
        </w:rPr>
        <w:t>TgAb</w:t>
      </w:r>
      <w:proofErr w:type="spellEnd"/>
      <w:r w:rsidRPr="00DD448A">
        <w:rPr>
          <w:rFonts w:ascii="Arial" w:hAnsi="Arial" w:cs="Arial"/>
          <w:kern w:val="1"/>
          <w:sz w:val="22"/>
          <w:szCs w:val="22"/>
        </w:rPr>
        <w:t xml:space="preserve">-positive patients with differentiated thyroid cancer.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2013;27(5):701-712.</w:t>
      </w:r>
    </w:p>
    <w:p w14:paraId="75391F2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613.</w:t>
      </w:r>
      <w:r w:rsidRPr="00DD448A">
        <w:rPr>
          <w:rFonts w:ascii="Arial" w:hAnsi="Arial" w:cs="Arial"/>
          <w:kern w:val="1"/>
          <w:sz w:val="22"/>
          <w:szCs w:val="22"/>
        </w:rPr>
        <w:tab/>
        <w:t xml:space="preserve">Van Herle AJ, Uller RP. Elevated serum thyroglobulin: a marker of metastases in differentiated thyroid carcinomas. </w:t>
      </w:r>
      <w:r w:rsidRPr="00DD448A">
        <w:rPr>
          <w:rFonts w:ascii="Arial" w:hAnsi="Arial" w:cs="Arial"/>
          <w:iCs/>
          <w:kern w:val="1"/>
          <w:sz w:val="22"/>
          <w:szCs w:val="22"/>
        </w:rPr>
        <w:t>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1975;56:272-277.</w:t>
      </w:r>
    </w:p>
    <w:p w14:paraId="2B6C173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614.</w:t>
      </w:r>
      <w:r w:rsidRPr="00DD448A">
        <w:rPr>
          <w:rFonts w:ascii="Arial" w:hAnsi="Arial" w:cs="Arial"/>
          <w:kern w:val="1"/>
          <w:sz w:val="22"/>
          <w:szCs w:val="22"/>
        </w:rPr>
        <w:tab/>
        <w:t xml:space="preserve">Spencer CA, </w:t>
      </w:r>
      <w:proofErr w:type="spellStart"/>
      <w:r w:rsidRPr="00DD448A">
        <w:rPr>
          <w:rFonts w:ascii="Arial" w:hAnsi="Arial" w:cs="Arial"/>
          <w:kern w:val="1"/>
          <w:sz w:val="22"/>
          <w:szCs w:val="22"/>
        </w:rPr>
        <w:t>Platler</w:t>
      </w:r>
      <w:proofErr w:type="spellEnd"/>
      <w:r w:rsidRPr="00DD448A">
        <w:rPr>
          <w:rFonts w:ascii="Arial" w:hAnsi="Arial" w:cs="Arial"/>
          <w:kern w:val="1"/>
          <w:sz w:val="22"/>
          <w:szCs w:val="22"/>
        </w:rPr>
        <w:t xml:space="preserve"> BW, Nicoloff JT. The effect of 125-I thyroglobulin tracer heterogeneity on serum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RIA measurement.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1985;153:105-115.</w:t>
      </w:r>
    </w:p>
    <w:p w14:paraId="6CC39E4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615.</w:t>
      </w:r>
      <w:r w:rsidRPr="00DD448A">
        <w:rPr>
          <w:rFonts w:ascii="Arial" w:hAnsi="Arial" w:cs="Arial"/>
          <w:kern w:val="1"/>
          <w:sz w:val="22"/>
          <w:szCs w:val="22"/>
        </w:rPr>
        <w:tab/>
        <w:t xml:space="preserve">Spencer CA, </w:t>
      </w:r>
      <w:proofErr w:type="spellStart"/>
      <w:r w:rsidRPr="00DD448A">
        <w:rPr>
          <w:rFonts w:ascii="Arial" w:hAnsi="Arial" w:cs="Arial"/>
          <w:kern w:val="1"/>
          <w:sz w:val="22"/>
          <w:szCs w:val="22"/>
        </w:rPr>
        <w:t>Platler</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Guttler</w:t>
      </w:r>
      <w:proofErr w:type="spellEnd"/>
      <w:r w:rsidRPr="00DD448A">
        <w:rPr>
          <w:rFonts w:ascii="Arial" w:hAnsi="Arial" w:cs="Arial"/>
          <w:kern w:val="1"/>
          <w:sz w:val="22"/>
          <w:szCs w:val="22"/>
        </w:rPr>
        <w:t xml:space="preserve"> RB, Nicoloff JT. Heterogeneity of 125-I labelled thyroglobulin preparations. </w:t>
      </w:r>
      <w:r w:rsidRPr="00DD448A">
        <w:rPr>
          <w:rFonts w:ascii="Arial" w:hAnsi="Arial" w:cs="Arial"/>
          <w:iCs/>
          <w:kern w:val="1"/>
          <w:sz w:val="22"/>
          <w:szCs w:val="22"/>
        </w:rPr>
        <w:t>Clin Chim Acta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1985;151:121-132.</w:t>
      </w:r>
    </w:p>
    <w:p w14:paraId="279BE8F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616.</w:t>
      </w:r>
      <w:r w:rsidRPr="00DD448A">
        <w:rPr>
          <w:rFonts w:ascii="Arial" w:hAnsi="Arial" w:cs="Arial"/>
          <w:kern w:val="1"/>
          <w:sz w:val="22"/>
          <w:szCs w:val="22"/>
        </w:rPr>
        <w:tab/>
        <w:t xml:space="preserve">Black EG, Hoffenberg R. Should one measure serum thyroglobulin in the presence of anti-thyroglobulin antibodies? </w:t>
      </w:r>
      <w:r w:rsidRPr="00DD448A">
        <w:rPr>
          <w:rFonts w:ascii="Arial" w:hAnsi="Arial" w:cs="Arial"/>
          <w:iCs/>
          <w:kern w:val="1"/>
          <w:sz w:val="22"/>
          <w:szCs w:val="22"/>
        </w:rPr>
        <w:t>Clin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1983;19:597-601.</w:t>
      </w:r>
    </w:p>
    <w:p w14:paraId="2344A65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617.</w:t>
      </w:r>
      <w:r w:rsidRPr="00DD448A">
        <w:rPr>
          <w:rFonts w:ascii="Arial" w:hAnsi="Arial" w:cs="Arial"/>
          <w:kern w:val="1"/>
          <w:sz w:val="22"/>
          <w:szCs w:val="22"/>
        </w:rPr>
        <w:tab/>
        <w:t xml:space="preserve">Mariotti S, </w:t>
      </w:r>
      <w:proofErr w:type="spellStart"/>
      <w:r w:rsidRPr="00DD448A">
        <w:rPr>
          <w:rFonts w:ascii="Arial" w:hAnsi="Arial" w:cs="Arial"/>
          <w:kern w:val="1"/>
          <w:sz w:val="22"/>
          <w:szCs w:val="22"/>
        </w:rPr>
        <w:t>Barbesino</w:t>
      </w:r>
      <w:proofErr w:type="spellEnd"/>
      <w:r w:rsidRPr="00DD448A">
        <w:rPr>
          <w:rFonts w:ascii="Arial" w:hAnsi="Arial" w:cs="Arial"/>
          <w:kern w:val="1"/>
          <w:sz w:val="22"/>
          <w:szCs w:val="22"/>
        </w:rPr>
        <w:t xml:space="preserve"> G, </w:t>
      </w:r>
      <w:proofErr w:type="spellStart"/>
      <w:r w:rsidRPr="00DD448A">
        <w:rPr>
          <w:rFonts w:ascii="Arial" w:hAnsi="Arial" w:cs="Arial"/>
          <w:kern w:val="1"/>
          <w:sz w:val="22"/>
          <w:szCs w:val="22"/>
        </w:rPr>
        <w:t>Caturegli</w:t>
      </w:r>
      <w:proofErr w:type="spellEnd"/>
      <w:r w:rsidRPr="00DD448A">
        <w:rPr>
          <w:rFonts w:ascii="Arial" w:hAnsi="Arial" w:cs="Arial"/>
          <w:kern w:val="1"/>
          <w:sz w:val="22"/>
          <w:szCs w:val="22"/>
        </w:rPr>
        <w:t xml:space="preserve"> P, Marino M, Manetti L, Pacini F, Centoni R, Pinchera A. Assay of thyroglobulin in serum with thyroglobulin autoantibodies: an unobtainable goal?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1995;80:468-472.</w:t>
      </w:r>
    </w:p>
    <w:p w14:paraId="1BAE3F4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618.</w:t>
      </w:r>
      <w:r w:rsidRPr="00DD448A">
        <w:rPr>
          <w:rFonts w:ascii="Arial" w:hAnsi="Arial" w:cs="Arial"/>
          <w:kern w:val="1"/>
          <w:sz w:val="22"/>
          <w:szCs w:val="22"/>
        </w:rPr>
        <w:tab/>
      </w:r>
      <w:proofErr w:type="spellStart"/>
      <w:r w:rsidRPr="00DD448A">
        <w:rPr>
          <w:rFonts w:ascii="Arial" w:hAnsi="Arial" w:cs="Arial"/>
          <w:kern w:val="1"/>
          <w:sz w:val="22"/>
          <w:szCs w:val="22"/>
        </w:rPr>
        <w:t>Gholve</w:t>
      </w:r>
      <w:proofErr w:type="spellEnd"/>
      <w:r w:rsidRPr="00DD448A">
        <w:rPr>
          <w:rFonts w:ascii="Arial" w:hAnsi="Arial" w:cs="Arial"/>
          <w:kern w:val="1"/>
          <w:sz w:val="22"/>
          <w:szCs w:val="22"/>
        </w:rPr>
        <w:t xml:space="preserve"> C, Kumarasamy J, Damle A, Kulkarni S, Venkatesh M, Banerjee S, Rajan MGR. Comparison of Serum Thyroglobulin Levels in Differentiated Thyroid Cancer Patients Using In-House Developed Radioimmunoassay and Immunoradiometric Procedures. </w:t>
      </w:r>
      <w:r w:rsidRPr="00DD448A">
        <w:rPr>
          <w:rFonts w:ascii="Arial" w:hAnsi="Arial" w:cs="Arial"/>
          <w:iCs/>
          <w:kern w:val="1"/>
          <w:sz w:val="22"/>
          <w:szCs w:val="22"/>
        </w:rPr>
        <w:t xml:space="preserve">Indian J Clin </w:t>
      </w:r>
      <w:proofErr w:type="spellStart"/>
      <w:r w:rsidRPr="00DD448A">
        <w:rPr>
          <w:rFonts w:ascii="Arial" w:hAnsi="Arial" w:cs="Arial"/>
          <w:iCs/>
          <w:kern w:val="1"/>
          <w:sz w:val="22"/>
          <w:szCs w:val="22"/>
        </w:rPr>
        <w:t>Biochem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2019;34(4):465-471.</w:t>
      </w:r>
    </w:p>
    <w:p w14:paraId="06BF7C2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619.</w:t>
      </w:r>
      <w:r w:rsidRPr="00DD448A">
        <w:rPr>
          <w:rFonts w:ascii="Arial" w:hAnsi="Arial" w:cs="Arial"/>
          <w:kern w:val="1"/>
          <w:sz w:val="22"/>
          <w:szCs w:val="22"/>
        </w:rPr>
        <w:tab/>
        <w:t xml:space="preserve">L E M Miles CNH. Labelled antibodies and immunological assay systems. </w:t>
      </w:r>
      <w:r w:rsidRPr="00DD448A">
        <w:rPr>
          <w:rFonts w:ascii="Arial" w:hAnsi="Arial" w:cs="Arial"/>
          <w:iCs/>
          <w:kern w:val="1"/>
          <w:sz w:val="22"/>
          <w:szCs w:val="22"/>
        </w:rPr>
        <w:t>Nature</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1968;219:186-189.</w:t>
      </w:r>
    </w:p>
    <w:p w14:paraId="7B0B0F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620.</w:t>
      </w:r>
      <w:r w:rsidRPr="00DD448A">
        <w:rPr>
          <w:rFonts w:ascii="Arial" w:hAnsi="Arial" w:cs="Arial"/>
          <w:kern w:val="1"/>
          <w:sz w:val="22"/>
          <w:szCs w:val="22"/>
        </w:rPr>
        <w:tab/>
      </w:r>
      <w:proofErr w:type="spellStart"/>
      <w:r w:rsidRPr="00DD448A">
        <w:rPr>
          <w:rFonts w:ascii="Arial" w:hAnsi="Arial" w:cs="Arial"/>
          <w:kern w:val="1"/>
          <w:sz w:val="22"/>
          <w:szCs w:val="22"/>
        </w:rPr>
        <w:t>Latrofa</w:t>
      </w:r>
      <w:proofErr w:type="spellEnd"/>
      <w:r w:rsidRPr="00DD448A">
        <w:rPr>
          <w:rFonts w:ascii="Arial" w:hAnsi="Arial" w:cs="Arial"/>
          <w:kern w:val="1"/>
          <w:sz w:val="22"/>
          <w:szCs w:val="22"/>
        </w:rPr>
        <w:t xml:space="preserve"> F, Ricci D, Grasso L, Vitti P, </w:t>
      </w:r>
      <w:proofErr w:type="spellStart"/>
      <w:r w:rsidRPr="00DD448A">
        <w:rPr>
          <w:rFonts w:ascii="Arial" w:hAnsi="Arial" w:cs="Arial"/>
          <w:kern w:val="1"/>
          <w:sz w:val="22"/>
          <w:szCs w:val="22"/>
        </w:rPr>
        <w:t>Masserini</w:t>
      </w:r>
      <w:proofErr w:type="spellEnd"/>
      <w:r w:rsidRPr="00DD448A">
        <w:rPr>
          <w:rFonts w:ascii="Arial" w:hAnsi="Arial" w:cs="Arial"/>
          <w:kern w:val="1"/>
          <w:sz w:val="22"/>
          <w:szCs w:val="22"/>
        </w:rPr>
        <w:t xml:space="preserve"> L, Basolo F, Ugolini C, Mascia G, </w:t>
      </w:r>
      <w:proofErr w:type="spellStart"/>
      <w:r w:rsidRPr="00DD448A">
        <w:rPr>
          <w:rFonts w:ascii="Arial" w:hAnsi="Arial" w:cs="Arial"/>
          <w:kern w:val="1"/>
          <w:sz w:val="22"/>
          <w:szCs w:val="22"/>
        </w:rPr>
        <w:t>Lucacchini</w:t>
      </w:r>
      <w:proofErr w:type="spellEnd"/>
      <w:r w:rsidRPr="00DD448A">
        <w:rPr>
          <w:rFonts w:ascii="Arial" w:hAnsi="Arial" w:cs="Arial"/>
          <w:kern w:val="1"/>
          <w:sz w:val="22"/>
          <w:szCs w:val="22"/>
        </w:rPr>
        <w:t xml:space="preserve"> A, Pinchera A. Characterization of thyroglobulin epitopes in patients with autoimmune and non-autoimmune thyroid diseases using recombinant human monoclonal thyroglobulin autoantibodies.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2008;93(2):591-596.</w:t>
      </w:r>
    </w:p>
    <w:p w14:paraId="7251385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621.</w:t>
      </w:r>
      <w:r w:rsidRPr="00DD448A">
        <w:rPr>
          <w:rFonts w:ascii="Arial" w:hAnsi="Arial" w:cs="Arial"/>
          <w:kern w:val="1"/>
          <w:sz w:val="22"/>
          <w:szCs w:val="22"/>
        </w:rPr>
        <w:tab/>
        <w:t xml:space="preserve">Shuford CM, Johnson JS, Thompson JW, Holland PL, Hoofnagle AN, Grant RP. More sensitivity is always better: Measuring sub-clinical levels of serum thyroglobulin on a µLC-MS/MS system. </w:t>
      </w:r>
      <w:r w:rsidRPr="00DD448A">
        <w:rPr>
          <w:rFonts w:ascii="Arial" w:hAnsi="Arial" w:cs="Arial"/>
          <w:iCs/>
          <w:kern w:val="1"/>
          <w:sz w:val="22"/>
          <w:szCs w:val="22"/>
        </w:rPr>
        <w:t xml:space="preserve">Clin Mass </w:t>
      </w:r>
      <w:proofErr w:type="spellStart"/>
      <w:r w:rsidRPr="00DD448A">
        <w:rPr>
          <w:rFonts w:ascii="Arial" w:hAnsi="Arial" w:cs="Arial"/>
          <w:iCs/>
          <w:kern w:val="1"/>
          <w:sz w:val="22"/>
          <w:szCs w:val="22"/>
        </w:rPr>
        <w:t>Spectrom</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2020;15:29-35.</w:t>
      </w:r>
    </w:p>
    <w:p w14:paraId="30EB2E1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622.</w:t>
      </w:r>
      <w:r w:rsidRPr="00DD448A">
        <w:rPr>
          <w:rFonts w:ascii="Arial" w:hAnsi="Arial" w:cs="Arial"/>
          <w:kern w:val="1"/>
          <w:sz w:val="22"/>
          <w:szCs w:val="22"/>
        </w:rPr>
        <w:tab/>
        <w:t xml:space="preserve">Feldt-Rasmussen U, Verburg FA, Luster M, </w:t>
      </w:r>
      <w:proofErr w:type="spellStart"/>
      <w:r w:rsidRPr="00DD448A">
        <w:rPr>
          <w:rFonts w:ascii="Arial" w:hAnsi="Arial" w:cs="Arial"/>
          <w:kern w:val="1"/>
          <w:sz w:val="22"/>
          <w:szCs w:val="22"/>
        </w:rPr>
        <w:t>Cupini</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Chiovato</w:t>
      </w:r>
      <w:proofErr w:type="spellEnd"/>
      <w:r w:rsidRPr="00DD448A">
        <w:rPr>
          <w:rFonts w:ascii="Arial" w:hAnsi="Arial" w:cs="Arial"/>
          <w:kern w:val="1"/>
          <w:sz w:val="22"/>
          <w:szCs w:val="22"/>
        </w:rPr>
        <w:t xml:space="preserve"> L, Duntas L, Elisei R, Rimmele H, </w:t>
      </w:r>
      <w:proofErr w:type="spellStart"/>
      <w:r w:rsidRPr="00DD448A">
        <w:rPr>
          <w:rFonts w:ascii="Arial" w:hAnsi="Arial" w:cs="Arial"/>
          <w:kern w:val="1"/>
          <w:sz w:val="22"/>
          <w:szCs w:val="22"/>
        </w:rPr>
        <w:t>Seregni</w:t>
      </w:r>
      <w:proofErr w:type="spellEnd"/>
      <w:r w:rsidRPr="00DD448A">
        <w:rPr>
          <w:rFonts w:ascii="Arial" w:hAnsi="Arial" w:cs="Arial"/>
          <w:kern w:val="1"/>
          <w:sz w:val="22"/>
          <w:szCs w:val="22"/>
        </w:rPr>
        <w:t xml:space="preserve"> E, Smit JW, Theimer C,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Thyroglobulin autoantibodies as surrogate biomarkers in the management of patients with differentiated thyroid carcinoma. </w:t>
      </w:r>
      <w:r w:rsidRPr="00DD448A">
        <w:rPr>
          <w:rFonts w:ascii="Arial" w:hAnsi="Arial" w:cs="Arial"/>
          <w:iCs/>
          <w:kern w:val="1"/>
          <w:sz w:val="22"/>
          <w:szCs w:val="22"/>
        </w:rPr>
        <w:t>Curr Med Chem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2014;21(32):3687-3692.</w:t>
      </w:r>
    </w:p>
    <w:p w14:paraId="4954AD2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623.</w:t>
      </w:r>
      <w:r w:rsidRPr="00DD448A">
        <w:rPr>
          <w:rFonts w:ascii="Arial" w:hAnsi="Arial" w:cs="Arial"/>
          <w:kern w:val="1"/>
          <w:sz w:val="22"/>
          <w:szCs w:val="22"/>
        </w:rPr>
        <w:tab/>
        <w:t xml:space="preserve">Hsieh CJ, Wang PW. Sequential changes of serum antithyroglobulin antibody levels are a good predictor of disease activity in thyroglobulin-negative patients with papillary thyroid carcinoma.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2014;24(3):488-493.</w:t>
      </w:r>
    </w:p>
    <w:p w14:paraId="5084A2B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624.</w:t>
      </w:r>
      <w:r w:rsidRPr="00DD448A">
        <w:rPr>
          <w:rFonts w:ascii="Arial" w:hAnsi="Arial" w:cs="Arial"/>
          <w:kern w:val="1"/>
          <w:sz w:val="22"/>
          <w:szCs w:val="22"/>
        </w:rPr>
        <w:tab/>
        <w:t xml:space="preserve">Matrone A, </w:t>
      </w:r>
      <w:proofErr w:type="spellStart"/>
      <w:r w:rsidRPr="00DD448A">
        <w:rPr>
          <w:rFonts w:ascii="Arial" w:hAnsi="Arial" w:cs="Arial"/>
          <w:kern w:val="1"/>
          <w:sz w:val="22"/>
          <w:szCs w:val="22"/>
        </w:rPr>
        <w:t>Latrofa</w:t>
      </w:r>
      <w:proofErr w:type="spellEnd"/>
      <w:r w:rsidRPr="00DD448A">
        <w:rPr>
          <w:rFonts w:ascii="Arial" w:hAnsi="Arial" w:cs="Arial"/>
          <w:kern w:val="1"/>
          <w:sz w:val="22"/>
          <w:szCs w:val="22"/>
        </w:rPr>
        <w:t xml:space="preserve"> F, Torregrossa L, Piaggi P, Gambale C, Faranda A, Ricci D, Agate L, Molinaro E, Basolo F, Vitti P, Elisei R. Changing Trend of Thyroglobulin Antibodies in Patients With Differentiated Thyroid Cancer Treated With Total Thyroidectomy Without (131)I Ablation.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2018;28(7):871-879.</w:t>
      </w:r>
    </w:p>
    <w:p w14:paraId="0B631AA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625.</w:t>
      </w:r>
      <w:r w:rsidRPr="00DD448A">
        <w:rPr>
          <w:rFonts w:ascii="Arial" w:hAnsi="Arial" w:cs="Arial"/>
          <w:kern w:val="1"/>
          <w:sz w:val="22"/>
          <w:szCs w:val="22"/>
        </w:rPr>
        <w:tab/>
        <w:t xml:space="preserve">Thomas D, Liakos V, Vassiliou E, </w:t>
      </w:r>
      <w:proofErr w:type="spellStart"/>
      <w:r w:rsidRPr="00DD448A">
        <w:rPr>
          <w:rFonts w:ascii="Arial" w:hAnsi="Arial" w:cs="Arial"/>
          <w:kern w:val="1"/>
          <w:sz w:val="22"/>
          <w:szCs w:val="22"/>
        </w:rPr>
        <w:t>Hatzimarkou</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Tsatsoulis</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Kaldrimides</w:t>
      </w:r>
      <w:proofErr w:type="spellEnd"/>
      <w:r w:rsidRPr="00DD448A">
        <w:rPr>
          <w:rFonts w:ascii="Arial" w:hAnsi="Arial" w:cs="Arial"/>
          <w:kern w:val="1"/>
          <w:sz w:val="22"/>
          <w:szCs w:val="22"/>
        </w:rPr>
        <w:t xml:space="preserve"> P. Possible reasons for different pattern disappearance of thyroglobulin and thyroid peroxidase autoantibodies in patients with differentiated thyroid carcinoma following total thyroidectomy and iodine-131 ablation.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2007;30(3):173-180.</w:t>
      </w:r>
    </w:p>
    <w:p w14:paraId="7401454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626.</w:t>
      </w:r>
      <w:r w:rsidRPr="00DD448A">
        <w:rPr>
          <w:rFonts w:ascii="Arial" w:hAnsi="Arial" w:cs="Arial"/>
          <w:kern w:val="1"/>
          <w:sz w:val="22"/>
          <w:szCs w:val="22"/>
        </w:rPr>
        <w:tab/>
        <w:t xml:space="preserve">Hammarlund E, Thomas A, </w:t>
      </w:r>
      <w:proofErr w:type="spellStart"/>
      <w:r w:rsidRPr="00DD448A">
        <w:rPr>
          <w:rFonts w:ascii="Arial" w:hAnsi="Arial" w:cs="Arial"/>
          <w:kern w:val="1"/>
          <w:sz w:val="22"/>
          <w:szCs w:val="22"/>
        </w:rPr>
        <w:t>Amanna</w:t>
      </w:r>
      <w:proofErr w:type="spellEnd"/>
      <w:r w:rsidRPr="00DD448A">
        <w:rPr>
          <w:rFonts w:ascii="Arial" w:hAnsi="Arial" w:cs="Arial"/>
          <w:kern w:val="1"/>
          <w:sz w:val="22"/>
          <w:szCs w:val="22"/>
        </w:rPr>
        <w:t xml:space="preserve"> IJ, Holden LA, Slayden OD, Park B, Gao L, Slifka MK. Plasma cell survival in the absence of B cell memory. </w:t>
      </w:r>
      <w:r w:rsidRPr="00DD448A">
        <w:rPr>
          <w:rFonts w:ascii="Arial" w:hAnsi="Arial" w:cs="Arial"/>
          <w:iCs/>
          <w:kern w:val="1"/>
          <w:sz w:val="22"/>
          <w:szCs w:val="22"/>
        </w:rPr>
        <w:t>Nat Commun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2017;8(1):1781.</w:t>
      </w:r>
    </w:p>
    <w:p w14:paraId="6FCC079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627.</w:t>
      </w:r>
      <w:r w:rsidRPr="00DD448A">
        <w:rPr>
          <w:rFonts w:ascii="Arial" w:hAnsi="Arial" w:cs="Arial"/>
          <w:kern w:val="1"/>
          <w:sz w:val="22"/>
          <w:szCs w:val="22"/>
        </w:rPr>
        <w:tab/>
        <w:t xml:space="preserve">Tsushima Y, Miyauchi A, Ito Y, Kudo T, Masuoka H, </w:t>
      </w:r>
      <w:proofErr w:type="spellStart"/>
      <w:r w:rsidRPr="00DD448A">
        <w:rPr>
          <w:rFonts w:ascii="Arial" w:hAnsi="Arial" w:cs="Arial"/>
          <w:kern w:val="1"/>
          <w:sz w:val="22"/>
          <w:szCs w:val="22"/>
        </w:rPr>
        <w:t>Yabuta</w:t>
      </w:r>
      <w:proofErr w:type="spellEnd"/>
      <w:r w:rsidRPr="00DD448A">
        <w:rPr>
          <w:rFonts w:ascii="Arial" w:hAnsi="Arial" w:cs="Arial"/>
          <w:kern w:val="1"/>
          <w:sz w:val="22"/>
          <w:szCs w:val="22"/>
        </w:rPr>
        <w:t xml:space="preserve"> T, Fukushima M, Kihara M, Higashiyama T, Takamura Y, Kobayashi K, Miya A, </w:t>
      </w:r>
      <w:proofErr w:type="spellStart"/>
      <w:r w:rsidRPr="00DD448A">
        <w:rPr>
          <w:rFonts w:ascii="Arial" w:hAnsi="Arial" w:cs="Arial"/>
          <w:kern w:val="1"/>
          <w:sz w:val="22"/>
          <w:szCs w:val="22"/>
        </w:rPr>
        <w:t>Kikumori</w:t>
      </w:r>
      <w:proofErr w:type="spellEnd"/>
      <w:r w:rsidRPr="00DD448A">
        <w:rPr>
          <w:rFonts w:ascii="Arial" w:hAnsi="Arial" w:cs="Arial"/>
          <w:kern w:val="1"/>
          <w:sz w:val="22"/>
          <w:szCs w:val="22"/>
        </w:rPr>
        <w:t xml:space="preserve"> T, Imai T, Kiuchi T. Prognostic significance of changes in serum thyroglobulin antibody levels of pre- and post-total thyroidectomy in thyroglobulin antibody-positive papillary thyroid carcinoma patients.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2013;60(7):871-876.</w:t>
      </w:r>
    </w:p>
    <w:p w14:paraId="014B1DD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628.</w:t>
      </w:r>
      <w:r w:rsidRPr="00DD448A">
        <w:rPr>
          <w:rFonts w:ascii="Arial" w:hAnsi="Arial" w:cs="Arial"/>
          <w:kern w:val="1"/>
          <w:sz w:val="22"/>
          <w:szCs w:val="22"/>
        </w:rPr>
        <w:tab/>
        <w:t xml:space="preserve">Uller RP, Van Herle AJ. Effect of therapy on serum thyroglobulin levels in patients with Graves' disease.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1978;46:747-755.</w:t>
      </w:r>
    </w:p>
    <w:p w14:paraId="39C59F8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629.</w:t>
      </w:r>
      <w:r w:rsidRPr="00DD448A">
        <w:rPr>
          <w:rFonts w:ascii="Arial" w:hAnsi="Arial" w:cs="Arial"/>
          <w:kern w:val="1"/>
          <w:sz w:val="22"/>
          <w:szCs w:val="22"/>
        </w:rPr>
        <w:tab/>
        <w:t xml:space="preserve">Feldt-Rasmussen U, Blichert-Toft M, Christiansen C, Date J. Serum thyroglobulin and its autoantibody following subtotal thyroid resection of Graves' disease.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Clin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1982;12(3):203-208.</w:t>
      </w:r>
    </w:p>
    <w:p w14:paraId="6D8685C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630.</w:t>
      </w:r>
      <w:r w:rsidRPr="00DD448A">
        <w:rPr>
          <w:rFonts w:ascii="Arial" w:hAnsi="Arial" w:cs="Arial"/>
          <w:kern w:val="1"/>
          <w:sz w:val="22"/>
          <w:szCs w:val="22"/>
        </w:rPr>
        <w:tab/>
        <w:t xml:space="preserve">Benvenga S, Bartolone L, Squadrito S, Trimarchi F. Thyroid hormone autoantibodies elicited by diagnostic fine needle biopsy.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1997;82(12):4217-4223.</w:t>
      </w:r>
    </w:p>
    <w:p w14:paraId="5CC78A1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631.</w:t>
      </w:r>
      <w:r w:rsidRPr="00DD448A">
        <w:rPr>
          <w:rFonts w:ascii="Arial" w:hAnsi="Arial" w:cs="Arial"/>
          <w:kern w:val="1"/>
          <w:sz w:val="22"/>
          <w:szCs w:val="22"/>
        </w:rPr>
        <w:tab/>
        <w:t xml:space="preserve">Polyzos SA, </w:t>
      </w:r>
      <w:proofErr w:type="spellStart"/>
      <w:r w:rsidRPr="00DD448A">
        <w:rPr>
          <w:rFonts w:ascii="Arial" w:hAnsi="Arial" w:cs="Arial"/>
          <w:kern w:val="1"/>
          <w:sz w:val="22"/>
          <w:szCs w:val="22"/>
        </w:rPr>
        <w:t>Anastasilakis</w:t>
      </w:r>
      <w:proofErr w:type="spellEnd"/>
      <w:r w:rsidRPr="00DD448A">
        <w:rPr>
          <w:rFonts w:ascii="Arial" w:hAnsi="Arial" w:cs="Arial"/>
          <w:kern w:val="1"/>
          <w:sz w:val="22"/>
          <w:szCs w:val="22"/>
        </w:rPr>
        <w:t xml:space="preserve"> AD. Alterations in serum thyroid-related constituents after thyroid fine-needle biopsy: a systematic review.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2010;20(3):265-271.</w:t>
      </w:r>
    </w:p>
    <w:p w14:paraId="6E08BFC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632.</w:t>
      </w:r>
      <w:r w:rsidRPr="00DD448A">
        <w:rPr>
          <w:rFonts w:ascii="Arial" w:hAnsi="Arial" w:cs="Arial"/>
          <w:kern w:val="1"/>
          <w:sz w:val="22"/>
          <w:szCs w:val="22"/>
        </w:rPr>
        <w:tab/>
        <w:t xml:space="preserve">Al-Hilli Z, </w:t>
      </w:r>
      <w:proofErr w:type="spellStart"/>
      <w:r w:rsidRPr="00DD448A">
        <w:rPr>
          <w:rFonts w:ascii="Arial" w:hAnsi="Arial" w:cs="Arial"/>
          <w:kern w:val="1"/>
          <w:sz w:val="22"/>
          <w:szCs w:val="22"/>
        </w:rPr>
        <w:t>Strajina</w:t>
      </w:r>
      <w:proofErr w:type="spellEnd"/>
      <w:r w:rsidRPr="00DD448A">
        <w:rPr>
          <w:rFonts w:ascii="Arial" w:hAnsi="Arial" w:cs="Arial"/>
          <w:kern w:val="1"/>
          <w:sz w:val="22"/>
          <w:szCs w:val="22"/>
        </w:rPr>
        <w:t xml:space="preserve"> V, McKenzie TJ, Thompson GB, Farley DR, Regina Castro M, Algeciras-</w:t>
      </w:r>
      <w:proofErr w:type="spellStart"/>
      <w:r w:rsidRPr="00DD448A">
        <w:rPr>
          <w:rFonts w:ascii="Arial" w:hAnsi="Arial" w:cs="Arial"/>
          <w:kern w:val="1"/>
          <w:sz w:val="22"/>
          <w:szCs w:val="22"/>
        </w:rPr>
        <w:t>Schimnich</w:t>
      </w:r>
      <w:proofErr w:type="spellEnd"/>
      <w:r w:rsidRPr="00DD448A">
        <w:rPr>
          <w:rFonts w:ascii="Arial" w:hAnsi="Arial" w:cs="Arial"/>
          <w:kern w:val="1"/>
          <w:sz w:val="22"/>
          <w:szCs w:val="22"/>
        </w:rPr>
        <w:t xml:space="preserve"> A, Richards ML. Thyroglobulin Measurement in Fine-Needle Aspiration Improves the Diagnosis of Cervical Lymph Node Metastases in Papillary Thyroid Carcinoma. </w:t>
      </w:r>
      <w:r w:rsidRPr="00DD448A">
        <w:rPr>
          <w:rFonts w:ascii="Arial" w:hAnsi="Arial" w:cs="Arial"/>
          <w:iCs/>
          <w:kern w:val="1"/>
          <w:sz w:val="22"/>
          <w:szCs w:val="22"/>
        </w:rPr>
        <w:t>Ann Surg Oncol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2017;24(3):739-744.</w:t>
      </w:r>
    </w:p>
    <w:p w14:paraId="60B172E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633.</w:t>
      </w:r>
      <w:r w:rsidRPr="00DD448A">
        <w:rPr>
          <w:rFonts w:ascii="Arial" w:hAnsi="Arial" w:cs="Arial"/>
          <w:kern w:val="1"/>
          <w:sz w:val="22"/>
          <w:szCs w:val="22"/>
        </w:rPr>
        <w:tab/>
        <w:t xml:space="preserve">Feldt-Rasmussen U, Bech K, Date J, Hyltoft Pedersen P, Johansen K, Nistrup Madsen S. Thyroid stimulating antibodies, thyroglobulin antibodies and serum proteins during treatment of Graves' disease with radioiodine or propylthiouracil. </w:t>
      </w:r>
      <w:r w:rsidRPr="00DD448A">
        <w:rPr>
          <w:rFonts w:ascii="Arial" w:hAnsi="Arial" w:cs="Arial"/>
          <w:iCs/>
          <w:kern w:val="1"/>
          <w:sz w:val="22"/>
          <w:szCs w:val="22"/>
        </w:rPr>
        <w:t>Allergy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1982;37(3):161-167.</w:t>
      </w:r>
    </w:p>
    <w:p w14:paraId="12920AA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634.</w:t>
      </w:r>
      <w:r w:rsidRPr="00DD448A">
        <w:rPr>
          <w:rFonts w:ascii="Arial" w:hAnsi="Arial" w:cs="Arial"/>
          <w:kern w:val="1"/>
          <w:sz w:val="22"/>
          <w:szCs w:val="22"/>
        </w:rPr>
        <w:tab/>
        <w:t xml:space="preserve">Feldt-Rasmussen U, Bech K, Date J, Petersen PH, Johansen K. A prospective study of the differential changes in serum thyroglobulin and its autoantibodies during propylthiouracil or radioiodine therapy of patients with Graves' disease. </w:t>
      </w:r>
      <w:r w:rsidRPr="00DD448A">
        <w:rPr>
          <w:rFonts w:ascii="Arial" w:hAnsi="Arial" w:cs="Arial"/>
          <w:iCs/>
          <w:kern w:val="1"/>
          <w:sz w:val="22"/>
          <w:szCs w:val="22"/>
        </w:rPr>
        <w:t>Acta Endocrinol (</w:t>
      </w:r>
      <w:proofErr w:type="spellStart"/>
      <w:r w:rsidRPr="00DD448A">
        <w:rPr>
          <w:rFonts w:ascii="Arial" w:hAnsi="Arial" w:cs="Arial"/>
          <w:iCs/>
          <w:kern w:val="1"/>
          <w:sz w:val="22"/>
          <w:szCs w:val="22"/>
        </w:rPr>
        <w:t>Copenh</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1982;99(3):379-385.</w:t>
      </w:r>
    </w:p>
    <w:p w14:paraId="07B01A8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635.</w:t>
      </w:r>
      <w:r w:rsidRPr="00DD448A">
        <w:rPr>
          <w:rFonts w:ascii="Arial" w:hAnsi="Arial" w:cs="Arial"/>
          <w:kern w:val="1"/>
          <w:sz w:val="22"/>
          <w:szCs w:val="22"/>
        </w:rPr>
        <w:tab/>
        <w:t xml:space="preserve">Yin N, Sherman SI, Pak Y, </w:t>
      </w:r>
      <w:proofErr w:type="spellStart"/>
      <w:r w:rsidRPr="00DD448A">
        <w:rPr>
          <w:rFonts w:ascii="Arial" w:hAnsi="Arial" w:cs="Arial"/>
          <w:kern w:val="1"/>
          <w:sz w:val="22"/>
          <w:szCs w:val="22"/>
        </w:rPr>
        <w:t>Litofsky</w:t>
      </w:r>
      <w:proofErr w:type="spellEnd"/>
      <w:r w:rsidRPr="00DD448A">
        <w:rPr>
          <w:rFonts w:ascii="Arial" w:hAnsi="Arial" w:cs="Arial"/>
          <w:kern w:val="1"/>
          <w:sz w:val="22"/>
          <w:szCs w:val="22"/>
        </w:rPr>
        <w:t xml:space="preserve"> DR, </w:t>
      </w:r>
      <w:proofErr w:type="spellStart"/>
      <w:r w:rsidRPr="00DD448A">
        <w:rPr>
          <w:rFonts w:ascii="Arial" w:hAnsi="Arial" w:cs="Arial"/>
          <w:kern w:val="1"/>
          <w:sz w:val="22"/>
          <w:szCs w:val="22"/>
        </w:rPr>
        <w:t>Gianoukakis</w:t>
      </w:r>
      <w:proofErr w:type="spellEnd"/>
      <w:r w:rsidRPr="00DD448A">
        <w:rPr>
          <w:rFonts w:ascii="Arial" w:hAnsi="Arial" w:cs="Arial"/>
          <w:kern w:val="1"/>
          <w:sz w:val="22"/>
          <w:szCs w:val="22"/>
        </w:rPr>
        <w:t xml:space="preserve"> AG. The De Novo Detection of Anti-Thyroglobulin Antibodies and Differentiated Thyroid Cancer Recurrence.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2020;30(10):1490-1495.</w:t>
      </w:r>
    </w:p>
    <w:p w14:paraId="09F6E08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636.</w:t>
      </w:r>
      <w:r w:rsidRPr="00DD448A">
        <w:rPr>
          <w:rFonts w:ascii="Arial" w:hAnsi="Arial" w:cs="Arial"/>
          <w:kern w:val="1"/>
          <w:sz w:val="22"/>
          <w:szCs w:val="22"/>
        </w:rPr>
        <w:tab/>
        <w:t>Donegan D, McIver B, Algeciras-</w:t>
      </w:r>
      <w:proofErr w:type="spellStart"/>
      <w:r w:rsidRPr="00DD448A">
        <w:rPr>
          <w:rFonts w:ascii="Arial" w:hAnsi="Arial" w:cs="Arial"/>
          <w:kern w:val="1"/>
          <w:sz w:val="22"/>
          <w:szCs w:val="22"/>
        </w:rPr>
        <w:t>Schimnich</w:t>
      </w:r>
      <w:proofErr w:type="spellEnd"/>
      <w:r w:rsidRPr="00DD448A">
        <w:rPr>
          <w:rFonts w:ascii="Arial" w:hAnsi="Arial" w:cs="Arial"/>
          <w:kern w:val="1"/>
          <w:sz w:val="22"/>
          <w:szCs w:val="22"/>
        </w:rPr>
        <w:t xml:space="preserve"> A. Clinical consequences of a change in anti-thyroglobulin antibody assays during the follow-up of patients with differentiated thyroid cancer.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2014;20(10):1032-1036.</w:t>
      </w:r>
    </w:p>
    <w:p w14:paraId="5F0F4319"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637.</w:t>
      </w:r>
      <w:r w:rsidRPr="00DD448A">
        <w:rPr>
          <w:rFonts w:ascii="Arial" w:hAnsi="Arial" w:cs="Arial"/>
          <w:kern w:val="1"/>
          <w:sz w:val="22"/>
          <w:szCs w:val="22"/>
        </w:rPr>
        <w:tab/>
        <w:t xml:space="preserve">Davies L, Welch HG. Epidemiology of head and neck cancer in the United States. </w:t>
      </w:r>
      <w:proofErr w:type="spellStart"/>
      <w:r w:rsidRPr="00DD448A">
        <w:rPr>
          <w:rFonts w:ascii="Arial" w:hAnsi="Arial" w:cs="Arial"/>
          <w:iCs/>
          <w:kern w:val="1"/>
          <w:sz w:val="22"/>
          <w:szCs w:val="22"/>
        </w:rPr>
        <w:t>Otolaryngol</w:t>
      </w:r>
      <w:proofErr w:type="spellEnd"/>
      <w:r w:rsidRPr="00DD448A">
        <w:rPr>
          <w:rFonts w:ascii="Arial" w:hAnsi="Arial" w:cs="Arial"/>
          <w:iCs/>
          <w:kern w:val="1"/>
          <w:sz w:val="22"/>
          <w:szCs w:val="22"/>
        </w:rPr>
        <w:t xml:space="preserve"> Head Neck Surg</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2006;135(3):451-457.</w:t>
      </w:r>
    </w:p>
    <w:p w14:paraId="678E038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638.</w:t>
      </w:r>
      <w:r w:rsidRPr="00DD448A">
        <w:rPr>
          <w:rFonts w:ascii="Arial" w:hAnsi="Arial" w:cs="Arial"/>
          <w:kern w:val="1"/>
          <w:sz w:val="22"/>
          <w:szCs w:val="22"/>
        </w:rPr>
        <w:tab/>
      </w:r>
      <w:proofErr w:type="spellStart"/>
      <w:r w:rsidRPr="00DD448A">
        <w:rPr>
          <w:rFonts w:ascii="Arial" w:hAnsi="Arial" w:cs="Arial"/>
          <w:kern w:val="1"/>
          <w:sz w:val="22"/>
          <w:szCs w:val="22"/>
        </w:rPr>
        <w:t>Pellegriti</w:t>
      </w:r>
      <w:proofErr w:type="spellEnd"/>
      <w:r w:rsidRPr="00DD448A">
        <w:rPr>
          <w:rFonts w:ascii="Arial" w:hAnsi="Arial" w:cs="Arial"/>
          <w:kern w:val="1"/>
          <w:sz w:val="22"/>
          <w:szCs w:val="22"/>
        </w:rPr>
        <w:t xml:space="preserve"> G, Frasca F, Regalbuto C, Squatrito S, Vigneri R. Worldwide increasing incidence of thyroid cancer: update on epidemiology and risk factors. </w:t>
      </w:r>
      <w:r w:rsidRPr="00DD448A">
        <w:rPr>
          <w:rFonts w:ascii="Arial" w:hAnsi="Arial" w:cs="Arial"/>
          <w:iCs/>
          <w:kern w:val="1"/>
          <w:sz w:val="22"/>
          <w:szCs w:val="22"/>
        </w:rPr>
        <w:t>J Cancer Epidemiol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2013;2013:965212.</w:t>
      </w:r>
    </w:p>
    <w:p w14:paraId="4E2B208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639.</w:t>
      </w:r>
      <w:r w:rsidRPr="00DD448A">
        <w:rPr>
          <w:rFonts w:ascii="Arial" w:hAnsi="Arial" w:cs="Arial"/>
          <w:kern w:val="1"/>
          <w:sz w:val="22"/>
          <w:szCs w:val="22"/>
        </w:rPr>
        <w:tab/>
        <w:t xml:space="preserve">Lim H, Devesa SS, Sosa JA, Check D, Kitahara CM. Trends in Thyroid Cancer Incidence and Mortality in the United States, 1974-2013. </w:t>
      </w:r>
      <w:r w:rsidRPr="00DD448A">
        <w:rPr>
          <w:rFonts w:ascii="Arial" w:hAnsi="Arial" w:cs="Arial"/>
          <w:iCs/>
          <w:kern w:val="1"/>
          <w:sz w:val="22"/>
          <w:szCs w:val="22"/>
        </w:rPr>
        <w:t>Jama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2017;317(13):1338-1348.</w:t>
      </w:r>
    </w:p>
    <w:p w14:paraId="678B888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640.</w:t>
      </w:r>
      <w:r w:rsidRPr="00DD448A">
        <w:rPr>
          <w:rFonts w:ascii="Arial" w:hAnsi="Arial" w:cs="Arial"/>
          <w:kern w:val="1"/>
          <w:sz w:val="22"/>
          <w:szCs w:val="22"/>
        </w:rPr>
        <w:tab/>
        <w:t xml:space="preserve">Bell R, Weinberger DM, Venkatesh M, Fernandes-Taylor S, Francis DO, Davies L. Thyroid Cancer Incidence During 2020 to 2021 COVID-19 Variant Waves. </w:t>
      </w:r>
      <w:r w:rsidRPr="00DD448A">
        <w:rPr>
          <w:rFonts w:ascii="Arial" w:hAnsi="Arial" w:cs="Arial"/>
          <w:iCs/>
          <w:kern w:val="1"/>
          <w:sz w:val="22"/>
          <w:szCs w:val="22"/>
        </w:rPr>
        <w:t xml:space="preserve">JAMA </w:t>
      </w:r>
      <w:proofErr w:type="spellStart"/>
      <w:r w:rsidRPr="00DD448A">
        <w:rPr>
          <w:rFonts w:ascii="Arial" w:hAnsi="Arial" w:cs="Arial"/>
          <w:iCs/>
          <w:kern w:val="1"/>
          <w:sz w:val="22"/>
          <w:szCs w:val="22"/>
        </w:rPr>
        <w:t>Otolaryngol</w:t>
      </w:r>
      <w:proofErr w:type="spellEnd"/>
      <w:r w:rsidRPr="00DD448A">
        <w:rPr>
          <w:rFonts w:ascii="Arial" w:hAnsi="Arial" w:cs="Arial"/>
          <w:iCs/>
          <w:kern w:val="1"/>
          <w:sz w:val="22"/>
          <w:szCs w:val="22"/>
        </w:rPr>
        <w:t xml:space="preserve"> Head Neck Surg</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2024;150(11):969-977.</w:t>
      </w:r>
    </w:p>
    <w:p w14:paraId="6F01605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641.</w:t>
      </w:r>
      <w:r w:rsidRPr="00DD448A">
        <w:rPr>
          <w:rFonts w:ascii="Arial" w:hAnsi="Arial" w:cs="Arial"/>
          <w:kern w:val="1"/>
          <w:sz w:val="22"/>
          <w:szCs w:val="22"/>
        </w:rPr>
        <w:tab/>
      </w:r>
      <w:proofErr w:type="spellStart"/>
      <w:r w:rsidRPr="00DD448A">
        <w:rPr>
          <w:rFonts w:ascii="Arial" w:hAnsi="Arial" w:cs="Arial"/>
          <w:kern w:val="1"/>
          <w:sz w:val="22"/>
          <w:szCs w:val="22"/>
        </w:rPr>
        <w:t>Morosán</w:t>
      </w:r>
      <w:proofErr w:type="spellEnd"/>
      <w:r w:rsidRPr="00DD448A">
        <w:rPr>
          <w:rFonts w:ascii="Arial" w:hAnsi="Arial" w:cs="Arial"/>
          <w:kern w:val="1"/>
          <w:sz w:val="22"/>
          <w:szCs w:val="22"/>
        </w:rPr>
        <w:t xml:space="preserve"> YJ, Parisi C, Urrutia MA, Rosmarin M, Schnitman M, Serrano L, Luciani W, </w:t>
      </w:r>
      <w:proofErr w:type="spellStart"/>
      <w:r w:rsidRPr="00DD448A">
        <w:rPr>
          <w:rFonts w:ascii="Arial" w:hAnsi="Arial" w:cs="Arial"/>
          <w:kern w:val="1"/>
          <w:sz w:val="22"/>
          <w:szCs w:val="22"/>
        </w:rPr>
        <w:t>Faingold</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Pitoia</w:t>
      </w:r>
      <w:proofErr w:type="spellEnd"/>
      <w:r w:rsidRPr="00DD448A">
        <w:rPr>
          <w:rFonts w:ascii="Arial" w:hAnsi="Arial" w:cs="Arial"/>
          <w:kern w:val="1"/>
          <w:sz w:val="22"/>
          <w:szCs w:val="22"/>
        </w:rPr>
        <w:t xml:space="preserve"> F, Brenta G. Dynamic prediction of the risk of recurrence in patients over 60 years of age with differentiated thyroid carcinoma. </w:t>
      </w:r>
      <w:r w:rsidRPr="00DD448A">
        <w:rPr>
          <w:rFonts w:ascii="Arial" w:hAnsi="Arial" w:cs="Arial"/>
          <w:iCs/>
          <w:kern w:val="1"/>
          <w:sz w:val="22"/>
          <w:szCs w:val="22"/>
        </w:rPr>
        <w:t>Archives of endocrinology and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2016;60(4):348-354.</w:t>
      </w:r>
    </w:p>
    <w:p w14:paraId="22D98D0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642.</w:t>
      </w:r>
      <w:r w:rsidRPr="00DD448A">
        <w:rPr>
          <w:rFonts w:ascii="Arial" w:hAnsi="Arial" w:cs="Arial"/>
          <w:kern w:val="1"/>
          <w:sz w:val="22"/>
          <w:szCs w:val="22"/>
        </w:rPr>
        <w:tab/>
        <w:t xml:space="preserve">Hay ID, Johnson TR, </w:t>
      </w:r>
      <w:proofErr w:type="spellStart"/>
      <w:r w:rsidRPr="00DD448A">
        <w:rPr>
          <w:rFonts w:ascii="Arial" w:hAnsi="Arial" w:cs="Arial"/>
          <w:kern w:val="1"/>
          <w:sz w:val="22"/>
          <w:szCs w:val="22"/>
        </w:rPr>
        <w:t>Kaggal</w:t>
      </w:r>
      <w:proofErr w:type="spellEnd"/>
      <w:r w:rsidRPr="00DD448A">
        <w:rPr>
          <w:rFonts w:ascii="Arial" w:hAnsi="Arial" w:cs="Arial"/>
          <w:kern w:val="1"/>
          <w:sz w:val="22"/>
          <w:szCs w:val="22"/>
        </w:rPr>
        <w:t xml:space="preserve"> S, Reinalda MS, Iniguez-Ariza NM, Grant CS, Pittock ST, Thompson GB. Papillary Thyroid Carcinoma (PTC) in Children and Adults: Comparison of Initial Presentation and Long-Term Postoperative Outcome in 4432 Patients Consecutively Treated at the Mayo Clinic During Eight Decades (1936-2015). </w:t>
      </w:r>
      <w:r w:rsidRPr="00DD448A">
        <w:rPr>
          <w:rFonts w:ascii="Arial" w:hAnsi="Arial" w:cs="Arial"/>
          <w:iCs/>
          <w:kern w:val="1"/>
          <w:sz w:val="22"/>
          <w:szCs w:val="22"/>
        </w:rPr>
        <w:t>World J Surg</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2018;42(2):329-342.</w:t>
      </w:r>
    </w:p>
    <w:p w14:paraId="0F04DC0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643.</w:t>
      </w:r>
      <w:r w:rsidRPr="00DD448A">
        <w:rPr>
          <w:rFonts w:ascii="Arial" w:hAnsi="Arial" w:cs="Arial"/>
          <w:kern w:val="1"/>
          <w:sz w:val="22"/>
          <w:szCs w:val="22"/>
        </w:rPr>
        <w:tab/>
        <w:t xml:space="preserve">Sanabria A, Ferraz C, Ku CHC, Padovani R, Palacios K, Paz JL, Roman A, </w:t>
      </w:r>
      <w:proofErr w:type="spellStart"/>
      <w:r w:rsidRPr="00DD448A">
        <w:rPr>
          <w:rFonts w:ascii="Arial" w:hAnsi="Arial" w:cs="Arial"/>
          <w:kern w:val="1"/>
          <w:sz w:val="22"/>
          <w:szCs w:val="22"/>
        </w:rPr>
        <w:t>Smulever</w:t>
      </w:r>
      <w:proofErr w:type="spellEnd"/>
      <w:r w:rsidRPr="00DD448A">
        <w:rPr>
          <w:rFonts w:ascii="Arial" w:hAnsi="Arial" w:cs="Arial"/>
          <w:kern w:val="1"/>
          <w:sz w:val="22"/>
          <w:szCs w:val="22"/>
        </w:rPr>
        <w:t xml:space="preserve"> A, Vaisman F, </w:t>
      </w:r>
      <w:proofErr w:type="spellStart"/>
      <w:r w:rsidRPr="00DD448A">
        <w:rPr>
          <w:rFonts w:ascii="Arial" w:hAnsi="Arial" w:cs="Arial"/>
          <w:kern w:val="1"/>
          <w:sz w:val="22"/>
          <w:szCs w:val="22"/>
        </w:rPr>
        <w:t>Pitoia</w:t>
      </w:r>
      <w:proofErr w:type="spellEnd"/>
      <w:r w:rsidRPr="00DD448A">
        <w:rPr>
          <w:rFonts w:ascii="Arial" w:hAnsi="Arial" w:cs="Arial"/>
          <w:kern w:val="1"/>
          <w:sz w:val="22"/>
          <w:szCs w:val="22"/>
        </w:rPr>
        <w:t xml:space="preserve"> F. Implementing active surveillance for low-risk thyroid carcinoma into </w:t>
      </w:r>
      <w:r w:rsidRPr="00DD448A">
        <w:rPr>
          <w:rFonts w:ascii="Arial" w:hAnsi="Arial" w:cs="Arial"/>
          <w:kern w:val="1"/>
          <w:sz w:val="22"/>
          <w:szCs w:val="22"/>
        </w:rPr>
        <w:lastRenderedPageBreak/>
        <w:t xml:space="preserve">clinical practice: collaborative recommendations for Latin America. </w:t>
      </w:r>
      <w:r w:rsidRPr="00DD448A">
        <w:rPr>
          <w:rFonts w:ascii="Arial" w:hAnsi="Arial" w:cs="Arial"/>
          <w:iCs/>
          <w:kern w:val="1"/>
          <w:sz w:val="22"/>
          <w:szCs w:val="22"/>
        </w:rPr>
        <w:t>Archives of endocrinology and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2024;68:e230371.</w:t>
      </w:r>
    </w:p>
    <w:p w14:paraId="487ABEA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644.</w:t>
      </w:r>
      <w:r w:rsidRPr="00DD448A">
        <w:rPr>
          <w:rFonts w:ascii="Arial" w:hAnsi="Arial" w:cs="Arial"/>
          <w:kern w:val="1"/>
          <w:sz w:val="22"/>
          <w:szCs w:val="22"/>
        </w:rPr>
        <w:tab/>
      </w:r>
      <w:proofErr w:type="spellStart"/>
      <w:r w:rsidRPr="00DD448A">
        <w:rPr>
          <w:rFonts w:ascii="Arial" w:hAnsi="Arial" w:cs="Arial"/>
          <w:kern w:val="1"/>
          <w:sz w:val="22"/>
          <w:szCs w:val="22"/>
        </w:rPr>
        <w:t>Maniam</w:t>
      </w:r>
      <w:proofErr w:type="spellEnd"/>
      <w:r w:rsidRPr="00DD448A">
        <w:rPr>
          <w:rFonts w:ascii="Arial" w:hAnsi="Arial" w:cs="Arial"/>
          <w:kern w:val="1"/>
          <w:sz w:val="22"/>
          <w:szCs w:val="22"/>
        </w:rPr>
        <w:t xml:space="preserve"> P, Hey SY, Evans-Harding N, Li L, Conn B, Adamson RM, Hay AJ, Lyall M, Nixon IJ. Practice patterns in management of differentiated thyroid cancer since the 2014 British Thyroid Association (BTA) guidelines. </w:t>
      </w:r>
      <w:r w:rsidRPr="00DD448A">
        <w:rPr>
          <w:rFonts w:ascii="Arial" w:hAnsi="Arial" w:cs="Arial"/>
          <w:iCs/>
          <w:kern w:val="1"/>
          <w:sz w:val="22"/>
          <w:szCs w:val="22"/>
        </w:rPr>
        <w:t>Surgeon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2024;22(1):e54-e60.</w:t>
      </w:r>
    </w:p>
    <w:p w14:paraId="27F0138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645.</w:t>
      </w:r>
      <w:r w:rsidRPr="00DD448A">
        <w:rPr>
          <w:rFonts w:ascii="Arial" w:hAnsi="Arial" w:cs="Arial"/>
          <w:kern w:val="1"/>
          <w:sz w:val="22"/>
          <w:szCs w:val="22"/>
        </w:rPr>
        <w:tab/>
        <w:t xml:space="preserve">Smallridge RC, Diehl N, Bernet V. Practice trends in patients with persistent detectable thyroglobulin and negative diagnostic radioiodine whole body scans: a survey of American Thyroid Association members.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2014;24(10):1501-1507.</w:t>
      </w:r>
    </w:p>
    <w:p w14:paraId="40294715"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646.</w:t>
      </w:r>
      <w:r w:rsidRPr="00DD448A">
        <w:rPr>
          <w:rFonts w:ascii="Arial" w:hAnsi="Arial" w:cs="Arial"/>
          <w:kern w:val="1"/>
          <w:sz w:val="22"/>
          <w:szCs w:val="22"/>
        </w:rPr>
        <w:tab/>
        <w:t xml:space="preserve">Rinaldi S, Plummer M, </w:t>
      </w:r>
      <w:proofErr w:type="spellStart"/>
      <w:r w:rsidRPr="00DD448A">
        <w:rPr>
          <w:rFonts w:ascii="Arial" w:hAnsi="Arial" w:cs="Arial"/>
          <w:kern w:val="1"/>
          <w:sz w:val="22"/>
          <w:szCs w:val="22"/>
        </w:rPr>
        <w:t>Biessy</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Tsilidis</w:t>
      </w:r>
      <w:proofErr w:type="spellEnd"/>
      <w:r w:rsidRPr="00DD448A">
        <w:rPr>
          <w:rFonts w:ascii="Arial" w:hAnsi="Arial" w:cs="Arial"/>
          <w:kern w:val="1"/>
          <w:sz w:val="22"/>
          <w:szCs w:val="22"/>
        </w:rPr>
        <w:t xml:space="preserve"> KK, Østergaard JN, Overvad K, </w:t>
      </w:r>
      <w:proofErr w:type="spellStart"/>
      <w:r w:rsidRPr="00DD448A">
        <w:rPr>
          <w:rFonts w:ascii="Arial" w:hAnsi="Arial" w:cs="Arial"/>
          <w:kern w:val="1"/>
          <w:sz w:val="22"/>
          <w:szCs w:val="22"/>
        </w:rPr>
        <w:t>Tjønneland</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Halkjaer</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Boutron-Ruault</w:t>
      </w:r>
      <w:proofErr w:type="spellEnd"/>
      <w:r w:rsidRPr="00DD448A">
        <w:rPr>
          <w:rFonts w:ascii="Arial" w:hAnsi="Arial" w:cs="Arial"/>
          <w:kern w:val="1"/>
          <w:sz w:val="22"/>
          <w:szCs w:val="22"/>
        </w:rPr>
        <w:t xml:space="preserve"> MC, Clavel-</w:t>
      </w:r>
      <w:proofErr w:type="spellStart"/>
      <w:r w:rsidRPr="00DD448A">
        <w:rPr>
          <w:rFonts w:ascii="Arial" w:hAnsi="Arial" w:cs="Arial"/>
          <w:kern w:val="1"/>
          <w:sz w:val="22"/>
          <w:szCs w:val="22"/>
        </w:rPr>
        <w:t>Chapelon</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Dossus</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Kaaks</w:t>
      </w:r>
      <w:proofErr w:type="spellEnd"/>
      <w:r w:rsidRPr="00DD448A">
        <w:rPr>
          <w:rFonts w:ascii="Arial" w:hAnsi="Arial" w:cs="Arial"/>
          <w:kern w:val="1"/>
          <w:sz w:val="22"/>
          <w:szCs w:val="22"/>
        </w:rPr>
        <w:t xml:space="preserve"> R, </w:t>
      </w:r>
      <w:proofErr w:type="spellStart"/>
      <w:r w:rsidRPr="00DD448A">
        <w:rPr>
          <w:rFonts w:ascii="Arial" w:hAnsi="Arial" w:cs="Arial"/>
          <w:kern w:val="1"/>
          <w:sz w:val="22"/>
          <w:szCs w:val="22"/>
        </w:rPr>
        <w:t>Lukanova</w:t>
      </w:r>
      <w:proofErr w:type="spellEnd"/>
      <w:r w:rsidRPr="00DD448A">
        <w:rPr>
          <w:rFonts w:ascii="Arial" w:hAnsi="Arial" w:cs="Arial"/>
          <w:kern w:val="1"/>
          <w:sz w:val="22"/>
          <w:szCs w:val="22"/>
        </w:rPr>
        <w:t xml:space="preserve"> A, Boeing H, </w:t>
      </w:r>
      <w:proofErr w:type="spellStart"/>
      <w:r w:rsidRPr="00DD448A">
        <w:rPr>
          <w:rFonts w:ascii="Arial" w:hAnsi="Arial" w:cs="Arial"/>
          <w:kern w:val="1"/>
          <w:sz w:val="22"/>
          <w:szCs w:val="22"/>
        </w:rPr>
        <w:t>Trichopoulou</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Lagiou</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Trichopoulos</w:t>
      </w:r>
      <w:proofErr w:type="spellEnd"/>
      <w:r w:rsidRPr="00DD448A">
        <w:rPr>
          <w:rFonts w:ascii="Arial" w:hAnsi="Arial" w:cs="Arial"/>
          <w:kern w:val="1"/>
          <w:sz w:val="22"/>
          <w:szCs w:val="22"/>
        </w:rPr>
        <w:t xml:space="preserve"> D, Palli D, Agnoli C, Tumino R, </w:t>
      </w:r>
      <w:proofErr w:type="spellStart"/>
      <w:r w:rsidRPr="00DD448A">
        <w:rPr>
          <w:rFonts w:ascii="Arial" w:hAnsi="Arial" w:cs="Arial"/>
          <w:kern w:val="1"/>
          <w:sz w:val="22"/>
          <w:szCs w:val="22"/>
        </w:rPr>
        <w:t>Vineis</w:t>
      </w:r>
      <w:proofErr w:type="spellEnd"/>
      <w:r w:rsidRPr="00DD448A">
        <w:rPr>
          <w:rFonts w:ascii="Arial" w:hAnsi="Arial" w:cs="Arial"/>
          <w:kern w:val="1"/>
          <w:sz w:val="22"/>
          <w:szCs w:val="22"/>
        </w:rPr>
        <w:t xml:space="preserve"> P, Panico S, Bueno-de-Mesquita HB, Peeters PH, Weiderpass E, Lund E, Quirós JR, Agudo A, Molina E, Larrañaga N, Navarro C, </w:t>
      </w:r>
      <w:proofErr w:type="spellStart"/>
      <w:r w:rsidRPr="00DD448A">
        <w:rPr>
          <w:rFonts w:ascii="Arial" w:hAnsi="Arial" w:cs="Arial"/>
          <w:kern w:val="1"/>
          <w:sz w:val="22"/>
          <w:szCs w:val="22"/>
        </w:rPr>
        <w:t>Ardanaz</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Manjer</w:t>
      </w:r>
      <w:proofErr w:type="spellEnd"/>
      <w:r w:rsidRPr="00DD448A">
        <w:rPr>
          <w:rFonts w:ascii="Arial" w:hAnsi="Arial" w:cs="Arial"/>
          <w:kern w:val="1"/>
          <w:sz w:val="22"/>
          <w:szCs w:val="22"/>
        </w:rPr>
        <w:t xml:space="preserve"> J, Almquist M, Sandström M, Hennings J, Khaw KT, Schmidt J, Travis RC, Byrnes G, </w:t>
      </w:r>
      <w:proofErr w:type="spellStart"/>
      <w:r w:rsidRPr="00DD448A">
        <w:rPr>
          <w:rFonts w:ascii="Arial" w:hAnsi="Arial" w:cs="Arial"/>
          <w:kern w:val="1"/>
          <w:sz w:val="22"/>
          <w:szCs w:val="22"/>
        </w:rPr>
        <w:t>Scalbert</w:t>
      </w:r>
      <w:proofErr w:type="spellEnd"/>
      <w:r w:rsidRPr="00DD448A">
        <w:rPr>
          <w:rFonts w:ascii="Arial" w:hAnsi="Arial" w:cs="Arial"/>
          <w:kern w:val="1"/>
          <w:sz w:val="22"/>
          <w:szCs w:val="22"/>
        </w:rPr>
        <w:t xml:space="preserve"> A, Romieu I, Gunter M, Riboli E, Franceschi S. Thyroid-stimulating hormone, thyroglobulin, and thyroid hormones and risk of differentiated thyroid carcinoma: the EPIC study. </w:t>
      </w:r>
      <w:r w:rsidRPr="00DD448A">
        <w:rPr>
          <w:rFonts w:ascii="Arial" w:hAnsi="Arial" w:cs="Arial"/>
          <w:iCs/>
          <w:kern w:val="1"/>
          <w:sz w:val="22"/>
          <w:szCs w:val="22"/>
        </w:rPr>
        <w:t>J Natl Cancer Inst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2014;106(6):dju097.</w:t>
      </w:r>
    </w:p>
    <w:p w14:paraId="0A98B6D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647.</w:t>
      </w:r>
      <w:r w:rsidRPr="00DD448A">
        <w:rPr>
          <w:rFonts w:ascii="Arial" w:hAnsi="Arial" w:cs="Arial"/>
          <w:kern w:val="1"/>
          <w:sz w:val="22"/>
          <w:szCs w:val="22"/>
        </w:rPr>
        <w:tab/>
        <w:t xml:space="preserve">Petric R, Besic H, Besic N. Preoperative serum thyroglobulin concentration as a predictive factor of malignancy in small follicular and </w:t>
      </w:r>
      <w:proofErr w:type="spellStart"/>
      <w:r w:rsidRPr="00DD448A">
        <w:rPr>
          <w:rFonts w:ascii="Arial" w:hAnsi="Arial" w:cs="Arial"/>
          <w:kern w:val="1"/>
          <w:sz w:val="22"/>
          <w:szCs w:val="22"/>
        </w:rPr>
        <w:t>Hürthle</w:t>
      </w:r>
      <w:proofErr w:type="spellEnd"/>
      <w:r w:rsidRPr="00DD448A">
        <w:rPr>
          <w:rFonts w:ascii="Arial" w:hAnsi="Arial" w:cs="Arial"/>
          <w:kern w:val="1"/>
          <w:sz w:val="22"/>
          <w:szCs w:val="22"/>
        </w:rPr>
        <w:t xml:space="preserve"> cell neoplasms of the thyroid gland. </w:t>
      </w:r>
      <w:r w:rsidRPr="00DD448A">
        <w:rPr>
          <w:rFonts w:ascii="Arial" w:hAnsi="Arial" w:cs="Arial"/>
          <w:iCs/>
          <w:kern w:val="1"/>
          <w:sz w:val="22"/>
          <w:szCs w:val="22"/>
        </w:rPr>
        <w:t>World J Surg Oncol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2014;12:282.</w:t>
      </w:r>
    </w:p>
    <w:p w14:paraId="1FAB112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648.</w:t>
      </w:r>
      <w:r w:rsidRPr="00DD448A">
        <w:rPr>
          <w:rFonts w:ascii="Arial" w:hAnsi="Arial" w:cs="Arial"/>
          <w:kern w:val="1"/>
          <w:sz w:val="22"/>
          <w:szCs w:val="22"/>
        </w:rPr>
        <w:tab/>
        <w:t xml:space="preserve">Tian D, Li X, Jia Z. Analysis of Risk Factors and Risk Prediction for Cervical Lymph Node Metastasis in Thyroid Papillary Carcinoma. </w:t>
      </w:r>
      <w:r w:rsidRPr="00DD448A">
        <w:rPr>
          <w:rFonts w:ascii="Arial" w:hAnsi="Arial" w:cs="Arial"/>
          <w:iCs/>
          <w:kern w:val="1"/>
          <w:sz w:val="22"/>
          <w:szCs w:val="22"/>
        </w:rPr>
        <w:t>Cancer Manag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2024;16:1571-1585.</w:t>
      </w:r>
    </w:p>
    <w:p w14:paraId="00BDBDB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649.</w:t>
      </w:r>
      <w:r w:rsidRPr="00DD448A">
        <w:rPr>
          <w:rFonts w:ascii="Arial" w:hAnsi="Arial" w:cs="Arial"/>
          <w:kern w:val="1"/>
          <w:sz w:val="22"/>
          <w:szCs w:val="22"/>
        </w:rPr>
        <w:tab/>
      </w:r>
      <w:proofErr w:type="spellStart"/>
      <w:r w:rsidRPr="00DD448A">
        <w:rPr>
          <w:rFonts w:ascii="Arial" w:hAnsi="Arial" w:cs="Arial"/>
          <w:kern w:val="1"/>
          <w:sz w:val="22"/>
          <w:szCs w:val="22"/>
        </w:rPr>
        <w:t>Rosignolo</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Maggisano</w:t>
      </w:r>
      <w:proofErr w:type="spellEnd"/>
      <w:r w:rsidRPr="00DD448A">
        <w:rPr>
          <w:rFonts w:ascii="Arial" w:hAnsi="Arial" w:cs="Arial"/>
          <w:kern w:val="1"/>
          <w:sz w:val="22"/>
          <w:szCs w:val="22"/>
        </w:rPr>
        <w:t xml:space="preserve"> V, </w:t>
      </w:r>
      <w:proofErr w:type="spellStart"/>
      <w:r w:rsidRPr="00DD448A">
        <w:rPr>
          <w:rFonts w:ascii="Arial" w:hAnsi="Arial" w:cs="Arial"/>
          <w:kern w:val="1"/>
          <w:sz w:val="22"/>
          <w:szCs w:val="22"/>
        </w:rPr>
        <w:t>Sponziello</w:t>
      </w:r>
      <w:proofErr w:type="spellEnd"/>
      <w:r w:rsidRPr="00DD448A">
        <w:rPr>
          <w:rFonts w:ascii="Arial" w:hAnsi="Arial" w:cs="Arial"/>
          <w:kern w:val="1"/>
          <w:sz w:val="22"/>
          <w:szCs w:val="22"/>
        </w:rPr>
        <w:t xml:space="preserve"> M, Celano M, Di Gioia CR, D'Agostino M, Giacomelli L, </w:t>
      </w:r>
      <w:proofErr w:type="spellStart"/>
      <w:r w:rsidRPr="00DD448A">
        <w:rPr>
          <w:rFonts w:ascii="Arial" w:hAnsi="Arial" w:cs="Arial"/>
          <w:kern w:val="1"/>
          <w:sz w:val="22"/>
          <w:szCs w:val="22"/>
        </w:rPr>
        <w:t>Verrienti</w:t>
      </w:r>
      <w:proofErr w:type="spellEnd"/>
      <w:r w:rsidRPr="00DD448A">
        <w:rPr>
          <w:rFonts w:ascii="Arial" w:hAnsi="Arial" w:cs="Arial"/>
          <w:kern w:val="1"/>
          <w:sz w:val="22"/>
          <w:szCs w:val="22"/>
        </w:rPr>
        <w:t xml:space="preserve"> A, Dima M, </w:t>
      </w:r>
      <w:proofErr w:type="spellStart"/>
      <w:r w:rsidRPr="00DD448A">
        <w:rPr>
          <w:rFonts w:ascii="Arial" w:hAnsi="Arial" w:cs="Arial"/>
          <w:kern w:val="1"/>
          <w:sz w:val="22"/>
          <w:szCs w:val="22"/>
        </w:rPr>
        <w:t>Pecce</w:t>
      </w:r>
      <w:proofErr w:type="spellEnd"/>
      <w:r w:rsidRPr="00DD448A">
        <w:rPr>
          <w:rFonts w:ascii="Arial" w:hAnsi="Arial" w:cs="Arial"/>
          <w:kern w:val="1"/>
          <w:sz w:val="22"/>
          <w:szCs w:val="22"/>
        </w:rPr>
        <w:t xml:space="preserve"> V, Durante C. Reduced expression of THRβ in papillary thyroid carcinomas: relationship with BRAF mutation, aggressiveness and </w:t>
      </w:r>
      <w:proofErr w:type="spellStart"/>
      <w:r w:rsidRPr="00DD448A">
        <w:rPr>
          <w:rFonts w:ascii="Arial" w:hAnsi="Arial" w:cs="Arial"/>
          <w:kern w:val="1"/>
          <w:sz w:val="22"/>
          <w:szCs w:val="22"/>
        </w:rPr>
        <w:t>miR</w:t>
      </w:r>
      <w:proofErr w:type="spellEnd"/>
      <w:r w:rsidRPr="00DD448A">
        <w:rPr>
          <w:rFonts w:ascii="Arial" w:hAnsi="Arial" w:cs="Arial"/>
          <w:kern w:val="1"/>
          <w:sz w:val="22"/>
          <w:szCs w:val="22"/>
        </w:rPr>
        <w:t xml:space="preserve"> expression. </w:t>
      </w:r>
      <w:r w:rsidRPr="00DD448A">
        <w:rPr>
          <w:rFonts w:ascii="Arial" w:hAnsi="Arial" w:cs="Arial"/>
          <w:iCs/>
          <w:kern w:val="1"/>
          <w:sz w:val="22"/>
          <w:szCs w:val="22"/>
        </w:rPr>
        <w:t>J Endocrinol Invest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2015;38(12):1283-1289.</w:t>
      </w:r>
    </w:p>
    <w:p w14:paraId="0A24DAD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650.</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Ceriani L, </w:t>
      </w:r>
      <w:proofErr w:type="spellStart"/>
      <w:r w:rsidRPr="00DD448A">
        <w:rPr>
          <w:rFonts w:ascii="Arial" w:hAnsi="Arial" w:cs="Arial"/>
          <w:kern w:val="1"/>
          <w:sz w:val="22"/>
          <w:szCs w:val="22"/>
        </w:rPr>
        <w:t>Ghelfo</w:t>
      </w:r>
      <w:proofErr w:type="spellEnd"/>
      <w:r w:rsidRPr="00DD448A">
        <w:rPr>
          <w:rFonts w:ascii="Arial" w:hAnsi="Arial" w:cs="Arial"/>
          <w:kern w:val="1"/>
          <w:sz w:val="22"/>
          <w:szCs w:val="22"/>
        </w:rPr>
        <w:t xml:space="preserve"> A, Maffioli M, Keller F. Preoperative undetectable serum thyroglobulin in differentiated thyroid carcinoma: incidence, causes and management strategy.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2007;67(4):547-551.</w:t>
      </w:r>
    </w:p>
    <w:p w14:paraId="42EB77F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651.</w:t>
      </w:r>
      <w:r w:rsidRPr="00DD448A">
        <w:rPr>
          <w:rFonts w:ascii="Arial" w:hAnsi="Arial" w:cs="Arial"/>
          <w:kern w:val="1"/>
          <w:sz w:val="22"/>
          <w:szCs w:val="22"/>
        </w:rPr>
        <w:tab/>
        <w:t xml:space="preserve">Durante C, </w:t>
      </w:r>
      <w:proofErr w:type="spellStart"/>
      <w:r w:rsidRPr="00DD448A">
        <w:rPr>
          <w:rFonts w:ascii="Arial" w:hAnsi="Arial" w:cs="Arial"/>
          <w:kern w:val="1"/>
          <w:sz w:val="22"/>
          <w:szCs w:val="22"/>
        </w:rPr>
        <w:t>Puxeddu</w:t>
      </w:r>
      <w:proofErr w:type="spellEnd"/>
      <w:r w:rsidRPr="00DD448A">
        <w:rPr>
          <w:rFonts w:ascii="Arial" w:hAnsi="Arial" w:cs="Arial"/>
          <w:kern w:val="1"/>
          <w:sz w:val="22"/>
          <w:szCs w:val="22"/>
        </w:rPr>
        <w:t xml:space="preserve"> E, Ferretti E, Morisi R, Moretti S, Bruno R, Barbi F, Avenia N, Scipioni A, </w:t>
      </w:r>
      <w:proofErr w:type="spellStart"/>
      <w:r w:rsidRPr="00DD448A">
        <w:rPr>
          <w:rFonts w:ascii="Arial" w:hAnsi="Arial" w:cs="Arial"/>
          <w:kern w:val="1"/>
          <w:sz w:val="22"/>
          <w:szCs w:val="22"/>
        </w:rPr>
        <w:t>Verrienti</w:t>
      </w:r>
      <w:proofErr w:type="spellEnd"/>
      <w:r w:rsidRPr="00DD448A">
        <w:rPr>
          <w:rFonts w:ascii="Arial" w:hAnsi="Arial" w:cs="Arial"/>
          <w:kern w:val="1"/>
          <w:sz w:val="22"/>
          <w:szCs w:val="22"/>
        </w:rPr>
        <w:t xml:space="preserve"> A, Tosi E, Cavaliere A, Gulino A, Filetti S, Russo D. BRAF mutations in papillary thyroid carcinomas inhibit genes involved in iodine metabolism.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2007;92(7):2840-2843.</w:t>
      </w:r>
    </w:p>
    <w:p w14:paraId="5E67181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652.</w:t>
      </w:r>
      <w:r w:rsidRPr="00DD448A">
        <w:rPr>
          <w:rFonts w:ascii="Arial" w:hAnsi="Arial" w:cs="Arial"/>
          <w:kern w:val="1"/>
          <w:sz w:val="22"/>
          <w:szCs w:val="22"/>
        </w:rPr>
        <w:tab/>
        <w:t xml:space="preserve">Tallini G, de Biase D, Durante C, Acquaviva G, Bisceglia M, Bruno R, Bacchi Reggiani ML, Casadei GP, Costante G, </w:t>
      </w:r>
      <w:proofErr w:type="spellStart"/>
      <w:r w:rsidRPr="00DD448A">
        <w:rPr>
          <w:rFonts w:ascii="Arial" w:hAnsi="Arial" w:cs="Arial"/>
          <w:kern w:val="1"/>
          <w:sz w:val="22"/>
          <w:szCs w:val="22"/>
        </w:rPr>
        <w:t>Cremonini</w:t>
      </w:r>
      <w:proofErr w:type="spellEnd"/>
      <w:r w:rsidRPr="00DD448A">
        <w:rPr>
          <w:rFonts w:ascii="Arial" w:hAnsi="Arial" w:cs="Arial"/>
          <w:kern w:val="1"/>
          <w:sz w:val="22"/>
          <w:szCs w:val="22"/>
        </w:rPr>
        <w:t xml:space="preserve"> N, Lamartina L, Meringolo D, Nardi F, Pession A, Rhoden KJ, Ronga G, </w:t>
      </w:r>
      <w:proofErr w:type="spellStart"/>
      <w:r w:rsidRPr="00DD448A">
        <w:rPr>
          <w:rFonts w:ascii="Arial" w:hAnsi="Arial" w:cs="Arial"/>
          <w:kern w:val="1"/>
          <w:sz w:val="22"/>
          <w:szCs w:val="22"/>
        </w:rPr>
        <w:t>Torlontano</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Verrienti</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Visani</w:t>
      </w:r>
      <w:proofErr w:type="spellEnd"/>
      <w:r w:rsidRPr="00DD448A">
        <w:rPr>
          <w:rFonts w:ascii="Arial" w:hAnsi="Arial" w:cs="Arial"/>
          <w:kern w:val="1"/>
          <w:sz w:val="22"/>
          <w:szCs w:val="22"/>
        </w:rPr>
        <w:t xml:space="preserve"> M, Filetti S. BRAF V600E and risk stratification of thyroid microcarcinoma: a multicenter pathological and clinical study. </w:t>
      </w:r>
      <w:r w:rsidRPr="00DD448A">
        <w:rPr>
          <w:rFonts w:ascii="Arial" w:hAnsi="Arial" w:cs="Arial"/>
          <w:iCs/>
          <w:kern w:val="1"/>
          <w:sz w:val="22"/>
          <w:szCs w:val="22"/>
        </w:rPr>
        <w:t xml:space="preserve">Mod </w:t>
      </w:r>
      <w:proofErr w:type="spellStart"/>
      <w:r w:rsidRPr="00DD448A">
        <w:rPr>
          <w:rFonts w:ascii="Arial" w:hAnsi="Arial" w:cs="Arial"/>
          <w:iCs/>
          <w:kern w:val="1"/>
          <w:sz w:val="22"/>
          <w:szCs w:val="22"/>
        </w:rPr>
        <w:t>Pathol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2015;28(10):1343-1359.</w:t>
      </w:r>
    </w:p>
    <w:p w14:paraId="3414E1A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653.</w:t>
      </w:r>
      <w:r w:rsidRPr="00DD448A">
        <w:rPr>
          <w:rFonts w:ascii="Arial" w:hAnsi="Arial" w:cs="Arial"/>
          <w:kern w:val="1"/>
          <w:sz w:val="22"/>
          <w:szCs w:val="22"/>
        </w:rPr>
        <w:tab/>
        <w:t xml:space="preserve">Haugen BR, Ladenson PW, Cooper DS, Pacini F, Reiners C, Luster M, Schlumberger M, Sherman SI, Samuels M, Graham K, Braverman LE, </w:t>
      </w:r>
      <w:proofErr w:type="spellStart"/>
      <w:r w:rsidRPr="00DD448A">
        <w:rPr>
          <w:rFonts w:ascii="Arial" w:hAnsi="Arial" w:cs="Arial"/>
          <w:kern w:val="1"/>
          <w:sz w:val="22"/>
          <w:szCs w:val="22"/>
        </w:rPr>
        <w:t>Skarulis</w:t>
      </w:r>
      <w:proofErr w:type="spellEnd"/>
      <w:r w:rsidRPr="00DD448A">
        <w:rPr>
          <w:rFonts w:ascii="Arial" w:hAnsi="Arial" w:cs="Arial"/>
          <w:kern w:val="1"/>
          <w:sz w:val="22"/>
          <w:szCs w:val="22"/>
        </w:rPr>
        <w:t xml:space="preserve"> MC, Davies TF, DeGroot L, </w:t>
      </w:r>
      <w:proofErr w:type="spellStart"/>
      <w:r w:rsidRPr="00DD448A">
        <w:rPr>
          <w:rFonts w:ascii="Arial" w:hAnsi="Arial" w:cs="Arial"/>
          <w:kern w:val="1"/>
          <w:sz w:val="22"/>
          <w:szCs w:val="22"/>
        </w:rPr>
        <w:t>Mazzaferri</w:t>
      </w:r>
      <w:proofErr w:type="spellEnd"/>
      <w:r w:rsidRPr="00DD448A">
        <w:rPr>
          <w:rFonts w:ascii="Arial" w:hAnsi="Arial" w:cs="Arial"/>
          <w:kern w:val="1"/>
          <w:sz w:val="22"/>
          <w:szCs w:val="22"/>
        </w:rPr>
        <w:t xml:space="preserve"> EL, Daniels GH, Ross DC, Becker DV, Mazon HR, Cavalieri RR, Spencer CA, </w:t>
      </w:r>
      <w:proofErr w:type="spellStart"/>
      <w:r w:rsidRPr="00DD448A">
        <w:rPr>
          <w:rFonts w:ascii="Arial" w:hAnsi="Arial" w:cs="Arial"/>
          <w:kern w:val="1"/>
          <w:sz w:val="22"/>
          <w:szCs w:val="22"/>
        </w:rPr>
        <w:t>McEllin</w:t>
      </w:r>
      <w:proofErr w:type="spellEnd"/>
      <w:r w:rsidRPr="00DD448A">
        <w:rPr>
          <w:rFonts w:ascii="Arial" w:hAnsi="Arial" w:cs="Arial"/>
          <w:kern w:val="1"/>
          <w:sz w:val="22"/>
          <w:szCs w:val="22"/>
        </w:rPr>
        <w:t xml:space="preserve"> K, Weintraub BD, EC. R. A comparison of Recombinant Human Thyrotropin and Thyroid Hormone Withdrawal for the Detection of Thyroid Remnant or Cancer.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1999;84:3877-3885.</w:t>
      </w:r>
    </w:p>
    <w:p w14:paraId="2022C58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654.</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Ceriani L, Suriano S, </w:t>
      </w:r>
      <w:proofErr w:type="spellStart"/>
      <w:r w:rsidRPr="00DD448A">
        <w:rPr>
          <w:rFonts w:ascii="Arial" w:hAnsi="Arial" w:cs="Arial"/>
          <w:kern w:val="1"/>
          <w:sz w:val="22"/>
          <w:szCs w:val="22"/>
        </w:rPr>
        <w:t>Ghelfo</w:t>
      </w:r>
      <w:proofErr w:type="spellEnd"/>
      <w:r w:rsidRPr="00DD448A">
        <w:rPr>
          <w:rFonts w:ascii="Arial" w:hAnsi="Arial" w:cs="Arial"/>
          <w:kern w:val="1"/>
          <w:sz w:val="22"/>
          <w:szCs w:val="22"/>
        </w:rPr>
        <w:t xml:space="preserve"> A, Maffioli M. Thyroglobulin measurement before </w:t>
      </w:r>
      <w:proofErr w:type="spellStart"/>
      <w:r w:rsidRPr="00DD448A">
        <w:rPr>
          <w:rFonts w:ascii="Arial" w:hAnsi="Arial" w:cs="Arial"/>
          <w:kern w:val="1"/>
          <w:sz w:val="22"/>
          <w:szCs w:val="22"/>
        </w:rPr>
        <w:t>rhTSH</w:t>
      </w:r>
      <w:proofErr w:type="spellEnd"/>
      <w:r w:rsidRPr="00DD448A">
        <w:rPr>
          <w:rFonts w:ascii="Arial" w:hAnsi="Arial" w:cs="Arial"/>
          <w:kern w:val="1"/>
          <w:sz w:val="22"/>
          <w:szCs w:val="22"/>
        </w:rPr>
        <w:t xml:space="preserve">-aided 131I ablation in detecting metastases from differentiated thyroid carcinoma.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2008;69(4):659-663.</w:t>
      </w:r>
    </w:p>
    <w:p w14:paraId="710176E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655.</w:t>
      </w:r>
      <w:r w:rsidRPr="00DD448A">
        <w:rPr>
          <w:rFonts w:ascii="Arial" w:hAnsi="Arial" w:cs="Arial"/>
          <w:kern w:val="1"/>
          <w:sz w:val="22"/>
          <w:szCs w:val="22"/>
        </w:rPr>
        <w:tab/>
        <w:t xml:space="preserve">Zhu Y, Yang X, Liu Z, Zhang Q, Li Z, Hou X, Zhu H. Predictive value of thyroglobulin after radioiodine therapy for excellent response to treatment in postoperative thyroid cancer. </w:t>
      </w:r>
      <w:proofErr w:type="spellStart"/>
      <w:r w:rsidRPr="00DD448A">
        <w:rPr>
          <w:rFonts w:ascii="Arial" w:hAnsi="Arial" w:cs="Arial"/>
          <w:iCs/>
          <w:kern w:val="1"/>
          <w:sz w:val="22"/>
          <w:szCs w:val="22"/>
        </w:rPr>
        <w:t>Nucl</w:t>
      </w:r>
      <w:proofErr w:type="spellEnd"/>
      <w:r w:rsidRPr="00DD448A">
        <w:rPr>
          <w:rFonts w:ascii="Arial" w:hAnsi="Arial" w:cs="Arial"/>
          <w:iCs/>
          <w:kern w:val="1"/>
          <w:sz w:val="22"/>
          <w:szCs w:val="22"/>
        </w:rPr>
        <w:t xml:space="preserve"> Med Commun</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w:t>
      </w:r>
    </w:p>
    <w:p w14:paraId="603C77F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656.</w:t>
      </w:r>
      <w:r w:rsidRPr="00DD448A">
        <w:rPr>
          <w:rFonts w:ascii="Arial" w:hAnsi="Arial" w:cs="Arial"/>
          <w:kern w:val="1"/>
          <w:sz w:val="22"/>
          <w:szCs w:val="22"/>
        </w:rPr>
        <w:tab/>
        <w:t xml:space="preserve">Feldt-Rasmussen U, Petersen PH, Nielsen H, Date J. Thyroglobulin of varying molecular sizes with different </w:t>
      </w:r>
      <w:proofErr w:type="spellStart"/>
      <w:r w:rsidRPr="00DD448A">
        <w:rPr>
          <w:rFonts w:ascii="Arial" w:hAnsi="Arial" w:cs="Arial"/>
          <w:kern w:val="1"/>
          <w:sz w:val="22"/>
          <w:szCs w:val="22"/>
        </w:rPr>
        <w:t>disappearence</w:t>
      </w:r>
      <w:proofErr w:type="spellEnd"/>
      <w:r w:rsidRPr="00DD448A">
        <w:rPr>
          <w:rFonts w:ascii="Arial" w:hAnsi="Arial" w:cs="Arial"/>
          <w:kern w:val="1"/>
          <w:sz w:val="22"/>
          <w:szCs w:val="22"/>
        </w:rPr>
        <w:t xml:space="preserve"> rates in plasma following subtotal thyroidectomy.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1978;9:205-?????</w:t>
      </w:r>
    </w:p>
    <w:p w14:paraId="0AD2B04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657.</w:t>
      </w:r>
      <w:r w:rsidRPr="00DD448A">
        <w:rPr>
          <w:rFonts w:ascii="Arial" w:hAnsi="Arial" w:cs="Arial"/>
          <w:kern w:val="1"/>
          <w:sz w:val="22"/>
          <w:szCs w:val="22"/>
        </w:rPr>
        <w:tab/>
        <w:t xml:space="preserve">Durante C, Montesano T, Attard M, </w:t>
      </w:r>
      <w:proofErr w:type="spellStart"/>
      <w:r w:rsidRPr="00DD448A">
        <w:rPr>
          <w:rFonts w:ascii="Arial" w:hAnsi="Arial" w:cs="Arial"/>
          <w:kern w:val="1"/>
          <w:sz w:val="22"/>
          <w:szCs w:val="22"/>
        </w:rPr>
        <w:t>Torlontano</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Monzani</w:t>
      </w:r>
      <w:proofErr w:type="spellEnd"/>
      <w:r w:rsidRPr="00DD448A">
        <w:rPr>
          <w:rFonts w:ascii="Arial" w:hAnsi="Arial" w:cs="Arial"/>
          <w:kern w:val="1"/>
          <w:sz w:val="22"/>
          <w:szCs w:val="22"/>
        </w:rPr>
        <w:t xml:space="preserve"> F, Costante G, Meringolo D, </w:t>
      </w:r>
      <w:proofErr w:type="spellStart"/>
      <w:r w:rsidRPr="00DD448A">
        <w:rPr>
          <w:rFonts w:ascii="Arial" w:hAnsi="Arial" w:cs="Arial"/>
          <w:kern w:val="1"/>
          <w:sz w:val="22"/>
          <w:szCs w:val="22"/>
        </w:rPr>
        <w:t>Ferdeghini</w:t>
      </w:r>
      <w:proofErr w:type="spellEnd"/>
      <w:r w:rsidRPr="00DD448A">
        <w:rPr>
          <w:rFonts w:ascii="Arial" w:hAnsi="Arial" w:cs="Arial"/>
          <w:kern w:val="1"/>
          <w:sz w:val="22"/>
          <w:szCs w:val="22"/>
        </w:rPr>
        <w:t xml:space="preserve"> M, Tumino S, Lamartina L, </w:t>
      </w:r>
      <w:proofErr w:type="spellStart"/>
      <w:r w:rsidRPr="00DD448A">
        <w:rPr>
          <w:rFonts w:ascii="Arial" w:hAnsi="Arial" w:cs="Arial"/>
          <w:kern w:val="1"/>
          <w:sz w:val="22"/>
          <w:szCs w:val="22"/>
        </w:rPr>
        <w:t>Paciaroni</w:t>
      </w:r>
      <w:proofErr w:type="spellEnd"/>
      <w:r w:rsidRPr="00DD448A">
        <w:rPr>
          <w:rFonts w:ascii="Arial" w:hAnsi="Arial" w:cs="Arial"/>
          <w:kern w:val="1"/>
          <w:sz w:val="22"/>
          <w:szCs w:val="22"/>
        </w:rPr>
        <w:t xml:space="preserve"> A, Massa M, Giacomelli L, Ronga G, Filetti S. Long-term surveillance of papillary thyroid cancer patients who do not undergo postoperative radioiodine remnant ablation: is there a role for serum thyroglobulin measurement?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2012;97(8):2748-2753.</w:t>
      </w:r>
    </w:p>
    <w:p w14:paraId="4FC11EB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658.</w:t>
      </w:r>
      <w:r w:rsidRPr="00DD448A">
        <w:rPr>
          <w:rFonts w:ascii="Arial" w:hAnsi="Arial" w:cs="Arial"/>
          <w:kern w:val="1"/>
          <w:sz w:val="22"/>
          <w:szCs w:val="22"/>
        </w:rPr>
        <w:tab/>
        <w:t xml:space="preserve">Padovani RP, </w:t>
      </w:r>
      <w:proofErr w:type="spellStart"/>
      <w:r w:rsidRPr="00DD448A">
        <w:rPr>
          <w:rFonts w:ascii="Arial" w:hAnsi="Arial" w:cs="Arial"/>
          <w:kern w:val="1"/>
          <w:sz w:val="22"/>
          <w:szCs w:val="22"/>
        </w:rPr>
        <w:t>Robenshtok</w:t>
      </w:r>
      <w:proofErr w:type="spellEnd"/>
      <w:r w:rsidRPr="00DD448A">
        <w:rPr>
          <w:rFonts w:ascii="Arial" w:hAnsi="Arial" w:cs="Arial"/>
          <w:kern w:val="1"/>
          <w:sz w:val="22"/>
          <w:szCs w:val="22"/>
        </w:rPr>
        <w:t xml:space="preserve"> E, </w:t>
      </w:r>
      <w:proofErr w:type="spellStart"/>
      <w:r w:rsidRPr="00DD448A">
        <w:rPr>
          <w:rFonts w:ascii="Arial" w:hAnsi="Arial" w:cs="Arial"/>
          <w:kern w:val="1"/>
          <w:sz w:val="22"/>
          <w:szCs w:val="22"/>
        </w:rPr>
        <w:t>Brokhin</w:t>
      </w:r>
      <w:proofErr w:type="spellEnd"/>
      <w:r w:rsidRPr="00DD448A">
        <w:rPr>
          <w:rFonts w:ascii="Arial" w:hAnsi="Arial" w:cs="Arial"/>
          <w:kern w:val="1"/>
          <w:sz w:val="22"/>
          <w:szCs w:val="22"/>
        </w:rPr>
        <w:t xml:space="preserve"> M, Tuttle RM. Even without additional therapy, serum thyroglobulin concentrations often decline for years after total thyroidectomy and radioactive remnant ablation in patients with differentiated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2012;22(8):778-783.</w:t>
      </w:r>
    </w:p>
    <w:p w14:paraId="3EC4D9B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659.</w:t>
      </w:r>
      <w:r w:rsidRPr="00DD448A">
        <w:rPr>
          <w:rFonts w:ascii="Arial" w:hAnsi="Arial" w:cs="Arial"/>
          <w:kern w:val="1"/>
          <w:sz w:val="22"/>
          <w:szCs w:val="22"/>
        </w:rPr>
        <w:tab/>
        <w:t xml:space="preserve">Tuttle RM, Leboeuf R. Follow up approaches in thyroid cancer: a risk adapted paradigm. </w:t>
      </w:r>
      <w:r w:rsidRPr="00DD448A">
        <w:rPr>
          <w:rFonts w:ascii="Arial" w:hAnsi="Arial" w:cs="Arial"/>
          <w:iCs/>
          <w:kern w:val="1"/>
          <w:sz w:val="22"/>
          <w:szCs w:val="22"/>
        </w:rPr>
        <w:t xml:space="preserve">Endocrinol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Clin North Am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2008;37(2):419-435, ix-x.</w:t>
      </w:r>
    </w:p>
    <w:p w14:paraId="20E0AC3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660.</w:t>
      </w:r>
      <w:r w:rsidRPr="00DD448A">
        <w:rPr>
          <w:rFonts w:ascii="Arial" w:hAnsi="Arial" w:cs="Arial"/>
          <w:kern w:val="1"/>
          <w:sz w:val="22"/>
          <w:szCs w:val="22"/>
        </w:rPr>
        <w:tab/>
        <w:t xml:space="preserve">Miyauchi A, Kudo T, Miya A, Kobayashi K, Ito Y, Takamura Y, Higashiyama T, Fukushima M, Kihara M, Inoue H, </w:t>
      </w:r>
      <w:proofErr w:type="spellStart"/>
      <w:r w:rsidRPr="00DD448A">
        <w:rPr>
          <w:rFonts w:ascii="Arial" w:hAnsi="Arial" w:cs="Arial"/>
          <w:kern w:val="1"/>
          <w:sz w:val="22"/>
          <w:szCs w:val="22"/>
        </w:rPr>
        <w:t>Tomoda</w:t>
      </w:r>
      <w:proofErr w:type="spellEnd"/>
      <w:r w:rsidRPr="00DD448A">
        <w:rPr>
          <w:rFonts w:ascii="Arial" w:hAnsi="Arial" w:cs="Arial"/>
          <w:kern w:val="1"/>
          <w:sz w:val="22"/>
          <w:szCs w:val="22"/>
        </w:rPr>
        <w:t xml:space="preserve"> C, </w:t>
      </w:r>
      <w:proofErr w:type="spellStart"/>
      <w:r w:rsidRPr="00DD448A">
        <w:rPr>
          <w:rFonts w:ascii="Arial" w:hAnsi="Arial" w:cs="Arial"/>
          <w:kern w:val="1"/>
          <w:sz w:val="22"/>
          <w:szCs w:val="22"/>
        </w:rPr>
        <w:t>Yabuta</w:t>
      </w:r>
      <w:proofErr w:type="spellEnd"/>
      <w:r w:rsidRPr="00DD448A">
        <w:rPr>
          <w:rFonts w:ascii="Arial" w:hAnsi="Arial" w:cs="Arial"/>
          <w:kern w:val="1"/>
          <w:sz w:val="22"/>
          <w:szCs w:val="22"/>
        </w:rPr>
        <w:t xml:space="preserve"> T, Masuoka H. Prognostic impact of serum thyroglobulin doubling-time under thyrotropin suppression in patients with papillary thyroid carcinoma who underwent total thyroidectomy.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2011;21(7):707-716.</w:t>
      </w:r>
    </w:p>
    <w:p w14:paraId="663B0A4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661.</w:t>
      </w:r>
      <w:r w:rsidRPr="00DD448A">
        <w:rPr>
          <w:rFonts w:ascii="Arial" w:hAnsi="Arial" w:cs="Arial"/>
          <w:kern w:val="1"/>
          <w:sz w:val="22"/>
          <w:szCs w:val="22"/>
        </w:rPr>
        <w:tab/>
        <w:t xml:space="preserve">Couto JS, Almeida MFO, Trindade VCG, Marone MMS, </w:t>
      </w:r>
      <w:proofErr w:type="spellStart"/>
      <w:r w:rsidRPr="00DD448A">
        <w:rPr>
          <w:rFonts w:ascii="Arial" w:hAnsi="Arial" w:cs="Arial"/>
          <w:kern w:val="1"/>
          <w:sz w:val="22"/>
          <w:szCs w:val="22"/>
        </w:rPr>
        <w:t>Scalissi</w:t>
      </w:r>
      <w:proofErr w:type="spellEnd"/>
      <w:r w:rsidRPr="00DD448A">
        <w:rPr>
          <w:rFonts w:ascii="Arial" w:hAnsi="Arial" w:cs="Arial"/>
          <w:kern w:val="1"/>
          <w:sz w:val="22"/>
          <w:szCs w:val="22"/>
        </w:rPr>
        <w:t xml:space="preserve"> NM, Cury AN, Ferraz C, Padovani RP. A cutoff thyroglobulin value suggestive of distant metastases in differentiated thyroid cancer patients. </w:t>
      </w:r>
      <w:r w:rsidRPr="00DD448A">
        <w:rPr>
          <w:rFonts w:ascii="Arial" w:hAnsi="Arial" w:cs="Arial"/>
          <w:iCs/>
          <w:kern w:val="1"/>
          <w:sz w:val="22"/>
          <w:szCs w:val="22"/>
        </w:rPr>
        <w:t>Braz J Med Biol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2020;53(11):e9781.</w:t>
      </w:r>
    </w:p>
    <w:p w14:paraId="02051E6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662.</w:t>
      </w:r>
      <w:r w:rsidRPr="00DD448A">
        <w:rPr>
          <w:rFonts w:ascii="Arial" w:hAnsi="Arial" w:cs="Arial"/>
          <w:kern w:val="1"/>
          <w:sz w:val="22"/>
          <w:szCs w:val="22"/>
        </w:rPr>
        <w:tab/>
        <w:t xml:space="preserve">Pacini F, Sabra MM, Tuttle RM. Clinical relevance of thyroglobulin doubling time in the management of patients with differentiated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2011;21(7):691-692.</w:t>
      </w:r>
    </w:p>
    <w:p w14:paraId="196C378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663.</w:t>
      </w:r>
      <w:r w:rsidRPr="00DD448A">
        <w:rPr>
          <w:rFonts w:ascii="Arial" w:hAnsi="Arial" w:cs="Arial"/>
          <w:kern w:val="1"/>
          <w:sz w:val="22"/>
          <w:szCs w:val="22"/>
        </w:rPr>
        <w:tab/>
        <w:t xml:space="preserve">Miyauchi A, Kudo T, Kihara M, Higashiyama T, Ito Y, Kobayashi K, Miya A. Relationship of biochemically persistent disease and thyroglobulin-doubling time to age at surgery in patients with papillary thyroid carcinoma.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2013;60(4):415-421.</w:t>
      </w:r>
    </w:p>
    <w:p w14:paraId="6799FA6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664.</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Trimboli P, Verburg FA, Treglia G, </w:t>
      </w:r>
      <w:proofErr w:type="spellStart"/>
      <w:r w:rsidRPr="00DD448A">
        <w:rPr>
          <w:rFonts w:ascii="Arial" w:hAnsi="Arial" w:cs="Arial"/>
          <w:kern w:val="1"/>
          <w:sz w:val="22"/>
          <w:szCs w:val="22"/>
        </w:rPr>
        <w:t>Piccardo</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Foppiani</w:t>
      </w:r>
      <w:proofErr w:type="spellEnd"/>
      <w:r w:rsidRPr="00DD448A">
        <w:rPr>
          <w:rFonts w:ascii="Arial" w:hAnsi="Arial" w:cs="Arial"/>
          <w:kern w:val="1"/>
          <w:sz w:val="22"/>
          <w:szCs w:val="22"/>
        </w:rPr>
        <w:t xml:space="preserve"> L, Ceriani L. Thyroglobulin levels and thyroglobulin doubling time independently predict a positive 18F-FDG PET/CT scan in patients with biochemical recurrence of differentiated thyroid carcinoma.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J </w:t>
      </w:r>
      <w:proofErr w:type="spellStart"/>
      <w:r w:rsidRPr="00DD448A">
        <w:rPr>
          <w:rFonts w:ascii="Arial" w:hAnsi="Arial" w:cs="Arial"/>
          <w:iCs/>
          <w:kern w:val="1"/>
          <w:sz w:val="22"/>
          <w:szCs w:val="22"/>
        </w:rPr>
        <w:t>Nucl</w:t>
      </w:r>
      <w:proofErr w:type="spellEnd"/>
      <w:r w:rsidRPr="00DD448A">
        <w:rPr>
          <w:rFonts w:ascii="Arial" w:hAnsi="Arial" w:cs="Arial"/>
          <w:iCs/>
          <w:kern w:val="1"/>
          <w:sz w:val="22"/>
          <w:szCs w:val="22"/>
        </w:rPr>
        <w:t xml:space="preserve"> Med Mol Imaging</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2013;40(6):874-880.</w:t>
      </w:r>
    </w:p>
    <w:p w14:paraId="1928F8A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665.</w:t>
      </w:r>
      <w:r w:rsidRPr="00DD448A">
        <w:rPr>
          <w:rFonts w:ascii="Arial" w:hAnsi="Arial" w:cs="Arial"/>
          <w:kern w:val="1"/>
          <w:sz w:val="22"/>
          <w:szCs w:val="22"/>
        </w:rPr>
        <w:tab/>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Garo ML, Albano D, </w:t>
      </w:r>
      <w:proofErr w:type="spellStart"/>
      <w:r w:rsidRPr="00DD448A">
        <w:rPr>
          <w:rFonts w:ascii="Arial" w:hAnsi="Arial" w:cs="Arial"/>
          <w:kern w:val="1"/>
          <w:sz w:val="22"/>
          <w:szCs w:val="22"/>
        </w:rPr>
        <w:t>Görges</w:t>
      </w:r>
      <w:proofErr w:type="spellEnd"/>
      <w:r w:rsidRPr="00DD448A">
        <w:rPr>
          <w:rFonts w:ascii="Arial" w:hAnsi="Arial" w:cs="Arial"/>
          <w:kern w:val="1"/>
          <w:sz w:val="22"/>
          <w:szCs w:val="22"/>
        </w:rPr>
        <w:t xml:space="preserve"> R, Ceriani L. The role of thyroglobulin doubling time in differentiated thyroid cancer: a meta-analysis.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Connect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2022;11(4).</w:t>
      </w:r>
    </w:p>
    <w:p w14:paraId="53D8A67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666.</w:t>
      </w:r>
      <w:r w:rsidRPr="00DD448A">
        <w:rPr>
          <w:rFonts w:ascii="Arial" w:hAnsi="Arial" w:cs="Arial"/>
          <w:kern w:val="1"/>
          <w:sz w:val="22"/>
          <w:szCs w:val="22"/>
        </w:rPr>
        <w:tab/>
        <w:t xml:space="preserve">Ito Y, Miyauchi A. Prognostic factors of papillary and follicular carcinomas based on pre-, intra-, and post-operative findings. </w:t>
      </w:r>
      <w:proofErr w:type="spellStart"/>
      <w:r w:rsidRPr="00DD448A">
        <w:rPr>
          <w:rFonts w:ascii="Arial" w:hAnsi="Arial" w:cs="Arial"/>
          <w:iCs/>
          <w:kern w:val="1"/>
          <w:sz w:val="22"/>
          <w:szCs w:val="22"/>
        </w:rPr>
        <w:t>Eur</w:t>
      </w:r>
      <w:proofErr w:type="spellEnd"/>
      <w:r w:rsidRPr="00DD448A">
        <w:rPr>
          <w:rFonts w:ascii="Arial" w:hAnsi="Arial" w:cs="Arial"/>
          <w:iCs/>
          <w:kern w:val="1"/>
          <w:sz w:val="22"/>
          <w:szCs w:val="22"/>
        </w:rPr>
        <w:t xml:space="preserve"> Thyroid J</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2024;13(5).</w:t>
      </w:r>
    </w:p>
    <w:p w14:paraId="3977F89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667.</w:t>
      </w:r>
      <w:r w:rsidRPr="00DD448A">
        <w:rPr>
          <w:rFonts w:ascii="Arial" w:hAnsi="Arial" w:cs="Arial"/>
          <w:kern w:val="1"/>
          <w:sz w:val="22"/>
          <w:szCs w:val="22"/>
        </w:rPr>
        <w:tab/>
        <w:t xml:space="preserve">Schlumberger M CP, </w:t>
      </w:r>
      <w:proofErr w:type="spellStart"/>
      <w:r w:rsidRPr="00DD448A">
        <w:rPr>
          <w:rFonts w:ascii="Arial" w:hAnsi="Arial" w:cs="Arial"/>
          <w:kern w:val="1"/>
          <w:sz w:val="22"/>
          <w:szCs w:val="22"/>
        </w:rPr>
        <w:t>Fragu</w:t>
      </w:r>
      <w:proofErr w:type="spellEnd"/>
      <w:r w:rsidRPr="00DD448A">
        <w:rPr>
          <w:rFonts w:ascii="Arial" w:hAnsi="Arial" w:cs="Arial"/>
          <w:kern w:val="1"/>
          <w:sz w:val="22"/>
          <w:szCs w:val="22"/>
        </w:rPr>
        <w:t xml:space="preserve"> P, </w:t>
      </w:r>
      <w:proofErr w:type="spellStart"/>
      <w:r w:rsidRPr="00DD448A">
        <w:rPr>
          <w:rFonts w:ascii="Arial" w:hAnsi="Arial" w:cs="Arial"/>
          <w:kern w:val="1"/>
          <w:sz w:val="22"/>
          <w:szCs w:val="22"/>
        </w:rPr>
        <w:t>Lumbroso</w:t>
      </w:r>
      <w:proofErr w:type="spellEnd"/>
      <w:r w:rsidRPr="00DD448A">
        <w:rPr>
          <w:rFonts w:ascii="Arial" w:hAnsi="Arial" w:cs="Arial"/>
          <w:kern w:val="1"/>
          <w:sz w:val="22"/>
          <w:szCs w:val="22"/>
        </w:rPr>
        <w:t xml:space="preserve"> J, Parmentier C and </w:t>
      </w:r>
      <w:proofErr w:type="spellStart"/>
      <w:r w:rsidRPr="00DD448A">
        <w:rPr>
          <w:rFonts w:ascii="Arial" w:hAnsi="Arial" w:cs="Arial"/>
          <w:kern w:val="1"/>
          <w:sz w:val="22"/>
          <w:szCs w:val="22"/>
        </w:rPr>
        <w:t>Tubiana</w:t>
      </w:r>
      <w:proofErr w:type="spellEnd"/>
      <w:r w:rsidRPr="00DD448A">
        <w:rPr>
          <w:rFonts w:ascii="Arial" w:hAnsi="Arial" w:cs="Arial"/>
          <w:kern w:val="1"/>
          <w:sz w:val="22"/>
          <w:szCs w:val="22"/>
        </w:rPr>
        <w:t xml:space="preserve"> M,. Circulating thyrotropin and thyroid hormones in patients with metastases of differentiated thyroid carcinoma: relationship to serum thyrotropin levels.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1980;51:513-519.</w:t>
      </w:r>
    </w:p>
    <w:p w14:paraId="4A891B1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668.</w:t>
      </w:r>
      <w:r w:rsidRPr="00DD448A">
        <w:rPr>
          <w:rFonts w:ascii="Arial" w:hAnsi="Arial" w:cs="Arial"/>
          <w:kern w:val="1"/>
          <w:sz w:val="22"/>
          <w:szCs w:val="22"/>
        </w:rPr>
        <w:tab/>
        <w:t xml:space="preserve">Robbins RJ, Srivastava S, Shaha A, Ghossein R, Larson SM, Fleisher M, Tuttle RM. Factors influencing the basal and recombinant human thyrotropin-stimulated serum thyroglobulin in patients with metastatic thyroid carcinoma.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2004;89(12):6010-6016.</w:t>
      </w:r>
    </w:p>
    <w:p w14:paraId="08E01CF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669.</w:t>
      </w:r>
      <w:r w:rsidRPr="00DD448A">
        <w:rPr>
          <w:rFonts w:ascii="Arial" w:hAnsi="Arial" w:cs="Arial"/>
          <w:kern w:val="1"/>
          <w:sz w:val="22"/>
          <w:szCs w:val="22"/>
        </w:rPr>
        <w:tab/>
        <w:t xml:space="preserve">Cooper DS, Doherty GM, Haugen BR, Kloos RT, Lee SL, Mandel SJ, </w:t>
      </w:r>
      <w:proofErr w:type="spellStart"/>
      <w:r w:rsidRPr="00DD448A">
        <w:rPr>
          <w:rFonts w:ascii="Arial" w:hAnsi="Arial" w:cs="Arial"/>
          <w:kern w:val="1"/>
          <w:sz w:val="22"/>
          <w:szCs w:val="22"/>
        </w:rPr>
        <w:t>Mazzaferri</w:t>
      </w:r>
      <w:proofErr w:type="spellEnd"/>
      <w:r w:rsidRPr="00DD448A">
        <w:rPr>
          <w:rFonts w:ascii="Arial" w:hAnsi="Arial" w:cs="Arial"/>
          <w:kern w:val="1"/>
          <w:sz w:val="22"/>
          <w:szCs w:val="22"/>
        </w:rPr>
        <w:t xml:space="preserve"> EL, McIver B, Sherman SI, Tuttle RM. Management guidelines for patients with thyroid nodules and differentiated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2006;16(2):109-142.</w:t>
      </w:r>
    </w:p>
    <w:p w14:paraId="18C3F5A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670.</w:t>
      </w:r>
      <w:r w:rsidRPr="00DD448A">
        <w:rPr>
          <w:rFonts w:ascii="Arial" w:hAnsi="Arial" w:cs="Arial"/>
          <w:kern w:val="1"/>
          <w:sz w:val="22"/>
          <w:szCs w:val="22"/>
        </w:rPr>
        <w:tab/>
        <w:t>Pacini F, Castagna MG. Diagnostic and therapeutic use of recombinant human TSH (</w:t>
      </w:r>
      <w:proofErr w:type="spellStart"/>
      <w:r w:rsidRPr="00DD448A">
        <w:rPr>
          <w:rFonts w:ascii="Arial" w:hAnsi="Arial" w:cs="Arial"/>
          <w:kern w:val="1"/>
          <w:sz w:val="22"/>
          <w:szCs w:val="22"/>
        </w:rPr>
        <w:t>rhTSH</w:t>
      </w:r>
      <w:proofErr w:type="spellEnd"/>
      <w:r w:rsidRPr="00DD448A">
        <w:rPr>
          <w:rFonts w:ascii="Arial" w:hAnsi="Arial" w:cs="Arial"/>
          <w:kern w:val="1"/>
          <w:sz w:val="22"/>
          <w:szCs w:val="22"/>
        </w:rPr>
        <w:t xml:space="preserve">) in differentiated thyroid cancer. </w:t>
      </w:r>
      <w:r w:rsidRPr="00DD448A">
        <w:rPr>
          <w:rFonts w:ascii="Arial" w:hAnsi="Arial" w:cs="Arial"/>
          <w:iCs/>
          <w:kern w:val="1"/>
          <w:sz w:val="22"/>
          <w:szCs w:val="22"/>
        </w:rPr>
        <w:t>Best practice &amp; research Clinical endocrinology &amp; metabolism</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2008;22(6):1009-1021.</w:t>
      </w:r>
    </w:p>
    <w:p w14:paraId="30B35A1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671.</w:t>
      </w:r>
      <w:r w:rsidRPr="00DD448A">
        <w:rPr>
          <w:rFonts w:ascii="Arial" w:hAnsi="Arial" w:cs="Arial"/>
          <w:kern w:val="1"/>
          <w:sz w:val="22"/>
          <w:szCs w:val="22"/>
        </w:rPr>
        <w:tab/>
      </w:r>
      <w:proofErr w:type="spellStart"/>
      <w:r w:rsidRPr="00DD448A">
        <w:rPr>
          <w:rFonts w:ascii="Arial" w:hAnsi="Arial" w:cs="Arial"/>
          <w:kern w:val="1"/>
          <w:sz w:val="22"/>
          <w:szCs w:val="22"/>
        </w:rPr>
        <w:t>Mazzaferri</w:t>
      </w:r>
      <w:proofErr w:type="spellEnd"/>
      <w:r w:rsidRPr="00DD448A">
        <w:rPr>
          <w:rFonts w:ascii="Arial" w:hAnsi="Arial" w:cs="Arial"/>
          <w:kern w:val="1"/>
          <w:sz w:val="22"/>
          <w:szCs w:val="22"/>
        </w:rPr>
        <w:t xml:space="preserve"> EL, Robbins RJ, Spencer CA, Braverman LE, Pacini F, </w:t>
      </w:r>
      <w:proofErr w:type="spellStart"/>
      <w:r w:rsidRPr="00DD448A">
        <w:rPr>
          <w:rFonts w:ascii="Arial" w:hAnsi="Arial" w:cs="Arial"/>
          <w:kern w:val="1"/>
          <w:sz w:val="22"/>
          <w:szCs w:val="22"/>
        </w:rPr>
        <w:t>Wartofsky</w:t>
      </w:r>
      <w:proofErr w:type="spellEnd"/>
      <w:r w:rsidRPr="00DD448A">
        <w:rPr>
          <w:rFonts w:ascii="Arial" w:hAnsi="Arial" w:cs="Arial"/>
          <w:kern w:val="1"/>
          <w:sz w:val="22"/>
          <w:szCs w:val="22"/>
        </w:rPr>
        <w:t xml:space="preserve"> L, Haugen BR, Sherman SI, Cooper DS, Braunstein GD, Lee S, Davies TF, Arafah BM, Ladenson PW, Pinchera A. A consensus report of the role of serum thyroglobulin as a monitoring method for low-risk patients with papillary thyroid carcinoma.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2003;88(4):1433-1441.</w:t>
      </w:r>
    </w:p>
    <w:p w14:paraId="6B94D39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672.</w:t>
      </w:r>
      <w:r w:rsidRPr="00DD448A">
        <w:rPr>
          <w:rFonts w:ascii="Arial" w:hAnsi="Arial" w:cs="Arial"/>
          <w:kern w:val="1"/>
          <w:sz w:val="22"/>
          <w:szCs w:val="22"/>
        </w:rPr>
        <w:tab/>
        <w:t xml:space="preserve">Braverman L, Kloos RT, Law B, Jr., </w:t>
      </w:r>
      <w:proofErr w:type="spellStart"/>
      <w:r w:rsidRPr="00DD448A">
        <w:rPr>
          <w:rFonts w:ascii="Arial" w:hAnsi="Arial" w:cs="Arial"/>
          <w:kern w:val="1"/>
          <w:sz w:val="22"/>
          <w:szCs w:val="22"/>
        </w:rPr>
        <w:t>Kipnes</w:t>
      </w:r>
      <w:proofErr w:type="spellEnd"/>
      <w:r w:rsidRPr="00DD448A">
        <w:rPr>
          <w:rFonts w:ascii="Arial" w:hAnsi="Arial" w:cs="Arial"/>
          <w:kern w:val="1"/>
          <w:sz w:val="22"/>
          <w:szCs w:val="22"/>
        </w:rPr>
        <w:t xml:space="preserve"> M, Dionne M, Magner J. Evaluation of various doses of recombinant human thyrotropin in patients with multinodular goiters.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2008;14(7):832-839.</w:t>
      </w:r>
    </w:p>
    <w:p w14:paraId="4786258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673.</w:t>
      </w:r>
      <w:r w:rsidRPr="00DD448A">
        <w:rPr>
          <w:rFonts w:ascii="Arial" w:hAnsi="Arial" w:cs="Arial"/>
          <w:kern w:val="1"/>
          <w:sz w:val="22"/>
          <w:szCs w:val="22"/>
        </w:rPr>
        <w:tab/>
        <w:t xml:space="preserve">Over R, Nsouli-Maktabi H, Burman KD, </w:t>
      </w:r>
      <w:proofErr w:type="spellStart"/>
      <w:r w:rsidRPr="00DD448A">
        <w:rPr>
          <w:rFonts w:ascii="Arial" w:hAnsi="Arial" w:cs="Arial"/>
          <w:kern w:val="1"/>
          <w:sz w:val="22"/>
          <w:szCs w:val="22"/>
        </w:rPr>
        <w:t>Jonklaas</w:t>
      </w:r>
      <w:proofErr w:type="spellEnd"/>
      <w:r w:rsidRPr="00DD448A">
        <w:rPr>
          <w:rFonts w:ascii="Arial" w:hAnsi="Arial" w:cs="Arial"/>
          <w:kern w:val="1"/>
          <w:sz w:val="22"/>
          <w:szCs w:val="22"/>
        </w:rPr>
        <w:t xml:space="preserve"> J. Age modifies the response to recombinant human thyrotropin.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2010;20(12):1377-1384.</w:t>
      </w:r>
    </w:p>
    <w:p w14:paraId="005A14B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674.</w:t>
      </w:r>
      <w:r w:rsidRPr="00DD448A">
        <w:rPr>
          <w:rFonts w:ascii="Arial" w:hAnsi="Arial" w:cs="Arial"/>
          <w:kern w:val="1"/>
          <w:sz w:val="22"/>
          <w:szCs w:val="22"/>
        </w:rPr>
        <w:tab/>
        <w:t xml:space="preserve">Smallridge RC, Meek SE, Morgan MA, Gates GS, Fox TP, Grebe S, </w:t>
      </w:r>
      <w:proofErr w:type="spellStart"/>
      <w:r w:rsidRPr="00DD448A">
        <w:rPr>
          <w:rFonts w:ascii="Arial" w:hAnsi="Arial" w:cs="Arial"/>
          <w:kern w:val="1"/>
          <w:sz w:val="22"/>
          <w:szCs w:val="22"/>
        </w:rPr>
        <w:t>Fatourechi</w:t>
      </w:r>
      <w:proofErr w:type="spellEnd"/>
      <w:r w:rsidRPr="00DD448A">
        <w:rPr>
          <w:rFonts w:ascii="Arial" w:hAnsi="Arial" w:cs="Arial"/>
          <w:kern w:val="1"/>
          <w:sz w:val="22"/>
          <w:szCs w:val="22"/>
        </w:rPr>
        <w:t xml:space="preserve"> V. Monitoring thyroglobulin in a sensitive immunoassay has comparable sensitivity to recombinant human </w:t>
      </w:r>
      <w:proofErr w:type="spellStart"/>
      <w:r w:rsidRPr="00DD448A">
        <w:rPr>
          <w:rFonts w:ascii="Arial" w:hAnsi="Arial" w:cs="Arial"/>
          <w:kern w:val="1"/>
          <w:sz w:val="22"/>
          <w:szCs w:val="22"/>
        </w:rPr>
        <w:t>tsh</w:t>
      </w:r>
      <w:proofErr w:type="spellEnd"/>
      <w:r w:rsidRPr="00DD448A">
        <w:rPr>
          <w:rFonts w:ascii="Arial" w:hAnsi="Arial" w:cs="Arial"/>
          <w:kern w:val="1"/>
          <w:sz w:val="22"/>
          <w:szCs w:val="22"/>
        </w:rPr>
        <w:t xml:space="preserve">-stimulated thyroglobulin in follow-up of thyroid cancer patients.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2007;92(1):82-87.</w:t>
      </w:r>
    </w:p>
    <w:p w14:paraId="1ADA840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675.</w:t>
      </w:r>
      <w:r w:rsidRPr="00DD448A">
        <w:rPr>
          <w:rFonts w:ascii="Arial" w:hAnsi="Arial" w:cs="Arial"/>
          <w:kern w:val="1"/>
          <w:sz w:val="22"/>
          <w:szCs w:val="22"/>
        </w:rPr>
        <w:tab/>
      </w:r>
      <w:proofErr w:type="spellStart"/>
      <w:r w:rsidRPr="00DD448A">
        <w:rPr>
          <w:rFonts w:ascii="Arial" w:hAnsi="Arial" w:cs="Arial"/>
          <w:kern w:val="1"/>
          <w:sz w:val="22"/>
          <w:szCs w:val="22"/>
        </w:rPr>
        <w:t>Mazzaferri</w:t>
      </w:r>
      <w:proofErr w:type="spellEnd"/>
      <w:r w:rsidRPr="00DD448A">
        <w:rPr>
          <w:rFonts w:ascii="Arial" w:hAnsi="Arial" w:cs="Arial"/>
          <w:kern w:val="1"/>
          <w:sz w:val="22"/>
          <w:szCs w:val="22"/>
        </w:rPr>
        <w:t xml:space="preserve"> EL. Will highly sensitive thyroglobulin assays change the management of thyroid cancer? </w:t>
      </w:r>
      <w:r w:rsidRPr="00DD448A">
        <w:rPr>
          <w:rFonts w:ascii="Arial" w:hAnsi="Arial" w:cs="Arial"/>
          <w:iCs/>
          <w:kern w:val="1"/>
          <w:sz w:val="22"/>
          <w:szCs w:val="22"/>
        </w:rPr>
        <w:t>Clin Endocrinol (</w:t>
      </w:r>
      <w:proofErr w:type="spellStart"/>
      <w:r w:rsidRPr="00DD448A">
        <w:rPr>
          <w:rFonts w:ascii="Arial" w:hAnsi="Arial" w:cs="Arial"/>
          <w:iCs/>
          <w:kern w:val="1"/>
          <w:sz w:val="22"/>
          <w:szCs w:val="22"/>
        </w:rPr>
        <w:t>Oxf</w:t>
      </w:r>
      <w:proofErr w:type="spellEnd"/>
      <w:r w:rsidRPr="00DD448A">
        <w:rPr>
          <w:rFonts w:ascii="Arial" w:hAnsi="Arial" w:cs="Arial"/>
          <w:iCs/>
          <w:kern w:val="1"/>
          <w:sz w:val="22"/>
          <w:szCs w:val="22"/>
        </w:rPr>
        <w:t>)</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2007;67(3):321-323.</w:t>
      </w:r>
    </w:p>
    <w:p w14:paraId="4C08EE6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676.</w:t>
      </w:r>
      <w:r w:rsidRPr="00DD448A">
        <w:rPr>
          <w:rFonts w:ascii="Arial" w:hAnsi="Arial" w:cs="Arial"/>
          <w:kern w:val="1"/>
          <w:sz w:val="22"/>
          <w:szCs w:val="22"/>
        </w:rPr>
        <w:tab/>
        <w:t xml:space="preserve">Chindris AM, Casler JD, Bernet VJ, Rivera M, Thomas C, </w:t>
      </w:r>
      <w:proofErr w:type="spellStart"/>
      <w:r w:rsidRPr="00DD448A">
        <w:rPr>
          <w:rFonts w:ascii="Arial" w:hAnsi="Arial" w:cs="Arial"/>
          <w:kern w:val="1"/>
          <w:sz w:val="22"/>
          <w:szCs w:val="22"/>
        </w:rPr>
        <w:t>Kachergus</w:t>
      </w:r>
      <w:proofErr w:type="spellEnd"/>
      <w:r w:rsidRPr="00DD448A">
        <w:rPr>
          <w:rFonts w:ascii="Arial" w:hAnsi="Arial" w:cs="Arial"/>
          <w:kern w:val="1"/>
          <w:sz w:val="22"/>
          <w:szCs w:val="22"/>
        </w:rPr>
        <w:t xml:space="preserve"> JM, Necela BM, Hay ID, Westphal SA, Grant CS, Thompson GB, Schlinkert RT, Thompson EA, Smallridge RC. Clinical and molecular features of </w:t>
      </w:r>
      <w:proofErr w:type="spellStart"/>
      <w:r w:rsidRPr="00DD448A">
        <w:rPr>
          <w:rFonts w:ascii="Arial" w:hAnsi="Arial" w:cs="Arial"/>
          <w:kern w:val="1"/>
          <w:sz w:val="22"/>
          <w:szCs w:val="22"/>
        </w:rPr>
        <w:t>Hürthle</w:t>
      </w:r>
      <w:proofErr w:type="spellEnd"/>
      <w:r w:rsidRPr="00DD448A">
        <w:rPr>
          <w:rFonts w:ascii="Arial" w:hAnsi="Arial" w:cs="Arial"/>
          <w:kern w:val="1"/>
          <w:sz w:val="22"/>
          <w:szCs w:val="22"/>
        </w:rPr>
        <w:t xml:space="preserve"> cell carcinoma of the thyroid.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2015;100(1):55-62.</w:t>
      </w:r>
    </w:p>
    <w:p w14:paraId="0DAF653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677.</w:t>
      </w:r>
      <w:r w:rsidRPr="00DD448A">
        <w:rPr>
          <w:rFonts w:ascii="Arial" w:hAnsi="Arial" w:cs="Arial"/>
          <w:kern w:val="1"/>
          <w:sz w:val="22"/>
          <w:szCs w:val="22"/>
        </w:rPr>
        <w:tab/>
        <w:t xml:space="preserve">Benmoussa JA, Chen K, Najjar S, Applewhite M, Warshaw J. Lateral neck Cystic Mass: The Role of Thyroglobulin Measurement in Fine Needle Aspiration.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Pract</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2018;24(8):767.</w:t>
      </w:r>
    </w:p>
    <w:p w14:paraId="1CCB1A3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678.</w:t>
      </w:r>
      <w:r w:rsidRPr="00DD448A">
        <w:rPr>
          <w:rFonts w:ascii="Arial" w:hAnsi="Arial" w:cs="Arial"/>
          <w:kern w:val="1"/>
          <w:sz w:val="22"/>
          <w:szCs w:val="22"/>
        </w:rPr>
        <w:tab/>
        <w:t>Rotman-</w:t>
      </w:r>
      <w:proofErr w:type="spellStart"/>
      <w:r w:rsidRPr="00DD448A">
        <w:rPr>
          <w:rFonts w:ascii="Arial" w:hAnsi="Arial" w:cs="Arial"/>
          <w:kern w:val="1"/>
          <w:sz w:val="22"/>
          <w:szCs w:val="22"/>
        </w:rPr>
        <w:t>Pikielny</w:t>
      </w:r>
      <w:proofErr w:type="spellEnd"/>
      <w:r w:rsidRPr="00DD448A">
        <w:rPr>
          <w:rFonts w:ascii="Arial" w:hAnsi="Arial" w:cs="Arial"/>
          <w:kern w:val="1"/>
          <w:sz w:val="22"/>
          <w:szCs w:val="22"/>
        </w:rPr>
        <w:t xml:space="preserve"> P, Reynolds JC, Barker WC, Yen PM, </w:t>
      </w:r>
      <w:proofErr w:type="spellStart"/>
      <w:r w:rsidRPr="00DD448A">
        <w:rPr>
          <w:rFonts w:ascii="Arial" w:hAnsi="Arial" w:cs="Arial"/>
          <w:kern w:val="1"/>
          <w:sz w:val="22"/>
          <w:szCs w:val="22"/>
        </w:rPr>
        <w:t>Skarulis</w:t>
      </w:r>
      <w:proofErr w:type="spellEnd"/>
      <w:r w:rsidRPr="00DD448A">
        <w:rPr>
          <w:rFonts w:ascii="Arial" w:hAnsi="Arial" w:cs="Arial"/>
          <w:kern w:val="1"/>
          <w:sz w:val="22"/>
          <w:szCs w:val="22"/>
        </w:rPr>
        <w:t xml:space="preserve"> MC, </w:t>
      </w:r>
      <w:proofErr w:type="spellStart"/>
      <w:r w:rsidRPr="00DD448A">
        <w:rPr>
          <w:rFonts w:ascii="Arial" w:hAnsi="Arial" w:cs="Arial"/>
          <w:kern w:val="1"/>
          <w:sz w:val="22"/>
          <w:szCs w:val="22"/>
        </w:rPr>
        <w:t>Sarlis</w:t>
      </w:r>
      <w:proofErr w:type="spellEnd"/>
      <w:r w:rsidRPr="00DD448A">
        <w:rPr>
          <w:rFonts w:ascii="Arial" w:hAnsi="Arial" w:cs="Arial"/>
          <w:kern w:val="1"/>
          <w:sz w:val="22"/>
          <w:szCs w:val="22"/>
        </w:rPr>
        <w:t xml:space="preserve"> NJ. Recombinant human thyrotropin for the diagnosis and treatment of a highly functional metastatic struma </w:t>
      </w:r>
      <w:proofErr w:type="spellStart"/>
      <w:r w:rsidRPr="00DD448A">
        <w:rPr>
          <w:rFonts w:ascii="Arial" w:hAnsi="Arial" w:cs="Arial"/>
          <w:kern w:val="1"/>
          <w:sz w:val="22"/>
          <w:szCs w:val="22"/>
        </w:rPr>
        <w:t>ovarii</w:t>
      </w:r>
      <w:proofErr w:type="spellEnd"/>
      <w:r w:rsidRPr="00DD448A">
        <w:rPr>
          <w:rFonts w:ascii="Arial" w:hAnsi="Arial" w:cs="Arial"/>
          <w:kern w:val="1"/>
          <w:sz w:val="22"/>
          <w:szCs w:val="22"/>
        </w:rPr>
        <w:t xml:space="preserve">.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2000;85(1):237-244.</w:t>
      </w:r>
    </w:p>
    <w:p w14:paraId="36B8A58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679.</w:t>
      </w:r>
      <w:r w:rsidRPr="00DD448A">
        <w:rPr>
          <w:rFonts w:ascii="Arial" w:hAnsi="Arial" w:cs="Arial"/>
          <w:kern w:val="1"/>
          <w:sz w:val="22"/>
          <w:szCs w:val="22"/>
        </w:rPr>
        <w:tab/>
        <w:t xml:space="preserve">Russo M, Marturano I, Masucci R, Caruso M, </w:t>
      </w:r>
      <w:proofErr w:type="spellStart"/>
      <w:r w:rsidRPr="00DD448A">
        <w:rPr>
          <w:rFonts w:ascii="Arial" w:hAnsi="Arial" w:cs="Arial"/>
          <w:kern w:val="1"/>
          <w:sz w:val="22"/>
          <w:szCs w:val="22"/>
        </w:rPr>
        <w:t>Fornito</w:t>
      </w:r>
      <w:proofErr w:type="spellEnd"/>
      <w:r w:rsidRPr="00DD448A">
        <w:rPr>
          <w:rFonts w:ascii="Arial" w:hAnsi="Arial" w:cs="Arial"/>
          <w:kern w:val="1"/>
          <w:sz w:val="22"/>
          <w:szCs w:val="22"/>
        </w:rPr>
        <w:t xml:space="preserve"> MC, Tumino D, </w:t>
      </w:r>
      <w:proofErr w:type="spellStart"/>
      <w:r w:rsidRPr="00DD448A">
        <w:rPr>
          <w:rFonts w:ascii="Arial" w:hAnsi="Arial" w:cs="Arial"/>
          <w:kern w:val="1"/>
          <w:sz w:val="22"/>
          <w:szCs w:val="22"/>
        </w:rPr>
        <w:t>Tavarelli</w:t>
      </w:r>
      <w:proofErr w:type="spellEnd"/>
      <w:r w:rsidRPr="00DD448A">
        <w:rPr>
          <w:rFonts w:ascii="Arial" w:hAnsi="Arial" w:cs="Arial"/>
          <w:kern w:val="1"/>
          <w:sz w:val="22"/>
          <w:szCs w:val="22"/>
        </w:rPr>
        <w:t xml:space="preserve"> M, Squatrito S, </w:t>
      </w:r>
      <w:proofErr w:type="spellStart"/>
      <w:r w:rsidRPr="00DD448A">
        <w:rPr>
          <w:rFonts w:ascii="Arial" w:hAnsi="Arial" w:cs="Arial"/>
          <w:kern w:val="1"/>
          <w:sz w:val="22"/>
          <w:szCs w:val="22"/>
        </w:rPr>
        <w:t>Pellegriti</w:t>
      </w:r>
      <w:proofErr w:type="spellEnd"/>
      <w:r w:rsidRPr="00DD448A">
        <w:rPr>
          <w:rFonts w:ascii="Arial" w:hAnsi="Arial" w:cs="Arial"/>
          <w:kern w:val="1"/>
          <w:sz w:val="22"/>
          <w:szCs w:val="22"/>
        </w:rPr>
        <w:t xml:space="preserve"> G. Metastatic malignant struma </w:t>
      </w:r>
      <w:proofErr w:type="spellStart"/>
      <w:r w:rsidRPr="00DD448A">
        <w:rPr>
          <w:rFonts w:ascii="Arial" w:hAnsi="Arial" w:cs="Arial"/>
          <w:kern w:val="1"/>
          <w:sz w:val="22"/>
          <w:szCs w:val="22"/>
        </w:rPr>
        <w:t>ovarii</w:t>
      </w:r>
      <w:proofErr w:type="spellEnd"/>
      <w:r w:rsidRPr="00DD448A">
        <w:rPr>
          <w:rFonts w:ascii="Arial" w:hAnsi="Arial" w:cs="Arial"/>
          <w:kern w:val="1"/>
          <w:sz w:val="22"/>
          <w:szCs w:val="22"/>
        </w:rPr>
        <w:t xml:space="preserve"> with coexistence of Hashimoto's thyroiditis. </w:t>
      </w:r>
      <w:r w:rsidRPr="00DD448A">
        <w:rPr>
          <w:rFonts w:ascii="Arial" w:hAnsi="Arial" w:cs="Arial"/>
          <w:iCs/>
          <w:kern w:val="1"/>
          <w:sz w:val="22"/>
          <w:szCs w:val="22"/>
        </w:rPr>
        <w:t xml:space="preserve">Endocrinol Diabetes </w:t>
      </w:r>
      <w:proofErr w:type="spellStart"/>
      <w:r w:rsidRPr="00DD448A">
        <w:rPr>
          <w:rFonts w:ascii="Arial" w:hAnsi="Arial" w:cs="Arial"/>
          <w:iCs/>
          <w:kern w:val="1"/>
          <w:sz w:val="22"/>
          <w:szCs w:val="22"/>
        </w:rPr>
        <w:t>Metab</w:t>
      </w:r>
      <w:proofErr w:type="spellEnd"/>
      <w:r w:rsidRPr="00DD448A">
        <w:rPr>
          <w:rFonts w:ascii="Arial" w:hAnsi="Arial" w:cs="Arial"/>
          <w:iCs/>
          <w:kern w:val="1"/>
          <w:sz w:val="22"/>
          <w:szCs w:val="22"/>
        </w:rPr>
        <w:t xml:space="preserve"> Case Rep</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2016;2016:160030.</w:t>
      </w:r>
    </w:p>
    <w:p w14:paraId="64B27904"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680.</w:t>
      </w:r>
      <w:r w:rsidRPr="00DD448A">
        <w:rPr>
          <w:rFonts w:ascii="Arial" w:hAnsi="Arial" w:cs="Arial"/>
          <w:kern w:val="1"/>
          <w:sz w:val="22"/>
          <w:szCs w:val="22"/>
        </w:rPr>
        <w:tab/>
        <w:t xml:space="preserve">Trimboli P, </w:t>
      </w:r>
      <w:proofErr w:type="spellStart"/>
      <w:r w:rsidRPr="00DD448A">
        <w:rPr>
          <w:rFonts w:ascii="Arial" w:hAnsi="Arial" w:cs="Arial"/>
          <w:kern w:val="1"/>
          <w:sz w:val="22"/>
          <w:szCs w:val="22"/>
        </w:rPr>
        <w:t>Guidobaldi</w:t>
      </w:r>
      <w:proofErr w:type="spellEnd"/>
      <w:r w:rsidRPr="00DD448A">
        <w:rPr>
          <w:rFonts w:ascii="Arial" w:hAnsi="Arial" w:cs="Arial"/>
          <w:kern w:val="1"/>
          <w:sz w:val="22"/>
          <w:szCs w:val="22"/>
        </w:rPr>
        <w:t xml:space="preserve"> L, Bongiovanni M, Crescenzi A, </w:t>
      </w:r>
      <w:proofErr w:type="spellStart"/>
      <w:r w:rsidRPr="00DD448A">
        <w:rPr>
          <w:rFonts w:ascii="Arial" w:hAnsi="Arial" w:cs="Arial"/>
          <w:kern w:val="1"/>
          <w:sz w:val="22"/>
          <w:szCs w:val="22"/>
        </w:rPr>
        <w:t>Alevizaki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Use of fine-needle aspirate calcitonin to detect medullary thyroid carcinoma: A systematic review. </w:t>
      </w:r>
      <w:proofErr w:type="spellStart"/>
      <w:r w:rsidRPr="00DD448A">
        <w:rPr>
          <w:rFonts w:ascii="Arial" w:hAnsi="Arial" w:cs="Arial"/>
          <w:iCs/>
          <w:kern w:val="1"/>
          <w:sz w:val="22"/>
          <w:szCs w:val="22"/>
        </w:rPr>
        <w:t>Diagn</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Cytopathol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2016;44(1):45-51.</w:t>
      </w:r>
    </w:p>
    <w:p w14:paraId="2DD973E8"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681.</w:t>
      </w:r>
      <w:r w:rsidRPr="00DD448A">
        <w:rPr>
          <w:rFonts w:ascii="Arial" w:hAnsi="Arial" w:cs="Arial"/>
          <w:kern w:val="1"/>
          <w:sz w:val="22"/>
          <w:szCs w:val="22"/>
        </w:rPr>
        <w:tab/>
        <w:t xml:space="preserve">Randolph GW, Duh QY, Heller KS, LiVolsi VA, Mandel SJ, Steward DL, Tufano RP, Tuttle RM. The prognostic significance of nodal metastases from papillary thyroid carcinoma can </w:t>
      </w:r>
      <w:r w:rsidRPr="00DD448A">
        <w:rPr>
          <w:rFonts w:ascii="Arial" w:hAnsi="Arial" w:cs="Arial"/>
          <w:kern w:val="1"/>
          <w:sz w:val="22"/>
          <w:szCs w:val="22"/>
        </w:rPr>
        <w:lastRenderedPageBreak/>
        <w:t xml:space="preserve">be stratified based on the size and number of metastatic lymph nodes, as well as the presence of </w:t>
      </w:r>
      <w:proofErr w:type="spellStart"/>
      <w:r w:rsidRPr="00DD448A">
        <w:rPr>
          <w:rFonts w:ascii="Arial" w:hAnsi="Arial" w:cs="Arial"/>
          <w:kern w:val="1"/>
          <w:sz w:val="22"/>
          <w:szCs w:val="22"/>
        </w:rPr>
        <w:t>extranodal</w:t>
      </w:r>
      <w:proofErr w:type="spellEnd"/>
      <w:r w:rsidRPr="00DD448A">
        <w:rPr>
          <w:rFonts w:ascii="Arial" w:hAnsi="Arial" w:cs="Arial"/>
          <w:kern w:val="1"/>
          <w:sz w:val="22"/>
          <w:szCs w:val="22"/>
        </w:rPr>
        <w:t xml:space="preserve"> extension.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2012;22(11):1144-1152.</w:t>
      </w:r>
    </w:p>
    <w:p w14:paraId="0A4062E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682.</w:t>
      </w:r>
      <w:r w:rsidRPr="00DD448A">
        <w:rPr>
          <w:rFonts w:ascii="Arial" w:hAnsi="Arial" w:cs="Arial"/>
          <w:kern w:val="1"/>
          <w:sz w:val="22"/>
          <w:szCs w:val="22"/>
        </w:rPr>
        <w:tab/>
        <w:t xml:space="preserve">Lin SY, Li MY, Zhou CP, Ao W, Huang WY, Wang SS, Yu JF, Tang ZH, Abdelhamid Ahmed AH, Wang TY, Wang ZH, Hua S, Randolph GW, Zhao WX, Wang B. Accurate preoperative prediction of nodal metastasis in papillary thyroid microcarcinoma: Towards optimal management of patients. </w:t>
      </w:r>
      <w:r w:rsidRPr="00DD448A">
        <w:rPr>
          <w:rFonts w:ascii="Arial" w:hAnsi="Arial" w:cs="Arial"/>
          <w:iCs/>
          <w:kern w:val="1"/>
          <w:sz w:val="22"/>
          <w:szCs w:val="22"/>
        </w:rPr>
        <w:t>Head Neck</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2024;46(5):1009-1019.</w:t>
      </w:r>
    </w:p>
    <w:p w14:paraId="631DEBD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683.</w:t>
      </w:r>
      <w:r w:rsidRPr="00DD448A">
        <w:rPr>
          <w:rFonts w:ascii="Arial" w:hAnsi="Arial" w:cs="Arial"/>
          <w:kern w:val="1"/>
          <w:sz w:val="22"/>
          <w:szCs w:val="22"/>
        </w:rPr>
        <w:tab/>
        <w:t xml:space="preserve">Uruno T, Miyauchi A, Shimizu K, </w:t>
      </w:r>
      <w:proofErr w:type="spellStart"/>
      <w:r w:rsidRPr="00DD448A">
        <w:rPr>
          <w:rFonts w:ascii="Arial" w:hAnsi="Arial" w:cs="Arial"/>
          <w:kern w:val="1"/>
          <w:sz w:val="22"/>
          <w:szCs w:val="22"/>
        </w:rPr>
        <w:t>Tomoda</w:t>
      </w:r>
      <w:proofErr w:type="spellEnd"/>
      <w:r w:rsidRPr="00DD448A">
        <w:rPr>
          <w:rFonts w:ascii="Arial" w:hAnsi="Arial" w:cs="Arial"/>
          <w:kern w:val="1"/>
          <w:sz w:val="22"/>
          <w:szCs w:val="22"/>
        </w:rPr>
        <w:t xml:space="preserve"> C, Takamura Y, Ito Y, Miya A, Kobayashi K, </w:t>
      </w:r>
      <w:proofErr w:type="spellStart"/>
      <w:r w:rsidRPr="00DD448A">
        <w:rPr>
          <w:rFonts w:ascii="Arial" w:hAnsi="Arial" w:cs="Arial"/>
          <w:kern w:val="1"/>
          <w:sz w:val="22"/>
          <w:szCs w:val="22"/>
        </w:rPr>
        <w:t>Matsuzuka</w:t>
      </w:r>
      <w:proofErr w:type="spellEnd"/>
      <w:r w:rsidRPr="00DD448A">
        <w:rPr>
          <w:rFonts w:ascii="Arial" w:hAnsi="Arial" w:cs="Arial"/>
          <w:kern w:val="1"/>
          <w:sz w:val="22"/>
          <w:szCs w:val="22"/>
        </w:rPr>
        <w:t xml:space="preserve"> F, Amino N, Kuma K. Usefulness of thyroglobulin measurement in fine-needle aspiration biopsy specimens for diagnosing cervical lymph node metastasis in patients with papillary thyroid cancer. </w:t>
      </w:r>
      <w:r w:rsidRPr="00DD448A">
        <w:rPr>
          <w:rFonts w:ascii="Arial" w:hAnsi="Arial" w:cs="Arial"/>
          <w:iCs/>
          <w:kern w:val="1"/>
          <w:sz w:val="22"/>
          <w:szCs w:val="22"/>
        </w:rPr>
        <w:t>World J Surg</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2005;29(4):483-485.</w:t>
      </w:r>
    </w:p>
    <w:p w14:paraId="0DEC6C7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684.</w:t>
      </w:r>
      <w:r w:rsidRPr="00DD448A">
        <w:rPr>
          <w:rFonts w:ascii="Arial" w:hAnsi="Arial" w:cs="Arial"/>
          <w:kern w:val="1"/>
          <w:sz w:val="22"/>
          <w:szCs w:val="22"/>
        </w:rPr>
        <w:tab/>
        <w:t xml:space="preserve">Boi F, </w:t>
      </w:r>
      <w:proofErr w:type="spellStart"/>
      <w:r w:rsidRPr="00DD448A">
        <w:rPr>
          <w:rFonts w:ascii="Arial" w:hAnsi="Arial" w:cs="Arial"/>
          <w:kern w:val="1"/>
          <w:sz w:val="22"/>
          <w:szCs w:val="22"/>
        </w:rPr>
        <w:t>Baghino</w:t>
      </w:r>
      <w:proofErr w:type="spellEnd"/>
      <w:r w:rsidRPr="00DD448A">
        <w:rPr>
          <w:rFonts w:ascii="Arial" w:hAnsi="Arial" w:cs="Arial"/>
          <w:kern w:val="1"/>
          <w:sz w:val="22"/>
          <w:szCs w:val="22"/>
        </w:rPr>
        <w:t xml:space="preserve"> G, Atzeni F, Lai ML, Faa G, Mariotti S. The diagnostic value for differentiated thyroid carcinoma metastases of thyroglobulin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measurement in washout fluid from fine-needle aspiration biopsy of neck lymph nodes is maintained in the presence of circulating anti-</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antibodies.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2006;91(4):1364-1369.</w:t>
      </w:r>
    </w:p>
    <w:p w14:paraId="420B071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685.</w:t>
      </w:r>
      <w:r w:rsidRPr="00DD448A">
        <w:rPr>
          <w:rFonts w:ascii="Arial" w:hAnsi="Arial" w:cs="Arial"/>
          <w:kern w:val="1"/>
          <w:sz w:val="22"/>
          <w:szCs w:val="22"/>
        </w:rPr>
        <w:tab/>
      </w:r>
      <w:proofErr w:type="spellStart"/>
      <w:r w:rsidRPr="00DD448A">
        <w:rPr>
          <w:rFonts w:ascii="Arial" w:hAnsi="Arial" w:cs="Arial"/>
          <w:kern w:val="1"/>
          <w:sz w:val="22"/>
          <w:szCs w:val="22"/>
        </w:rPr>
        <w:t>Snozek</w:t>
      </w:r>
      <w:proofErr w:type="spellEnd"/>
      <w:r w:rsidRPr="00DD448A">
        <w:rPr>
          <w:rFonts w:ascii="Arial" w:hAnsi="Arial" w:cs="Arial"/>
          <w:kern w:val="1"/>
          <w:sz w:val="22"/>
          <w:szCs w:val="22"/>
        </w:rPr>
        <w:t xml:space="preserve"> CL, Chambers EP, Reading CC, Sebo TJ, Sistrunk JW, Singh RJ, Grebe SK. Serum thyroglobulin, high-resolution ultrasound, and lymph node thyroglobulin in diagnosis of differentiated thyroid carcinoma nodal metastases.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2007;92(11):4278-4281.</w:t>
      </w:r>
    </w:p>
    <w:p w14:paraId="3C1D18F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686.</w:t>
      </w:r>
      <w:r w:rsidRPr="00DD448A">
        <w:rPr>
          <w:rFonts w:ascii="Arial" w:hAnsi="Arial" w:cs="Arial"/>
          <w:kern w:val="1"/>
          <w:sz w:val="22"/>
          <w:szCs w:val="22"/>
        </w:rPr>
        <w:tab/>
        <w:t xml:space="preserve">Torres MR, Nóbrega Neto SH, Rosas RJ, Martins AL, Ramos AL, da Cruz TR. Thyroglobulin in the washout fluid of lymph-node biopsy: what is its role in the follow-up of differentiated thyroid carcinoma?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2014;24(1):7-18.</w:t>
      </w:r>
    </w:p>
    <w:p w14:paraId="43527F8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687.</w:t>
      </w:r>
      <w:r w:rsidRPr="00DD448A">
        <w:rPr>
          <w:rFonts w:ascii="Arial" w:hAnsi="Arial" w:cs="Arial"/>
          <w:kern w:val="1"/>
          <w:sz w:val="22"/>
          <w:szCs w:val="22"/>
        </w:rPr>
        <w:tab/>
        <w:t xml:space="preserve">Tralongo P, Bruno C, </w:t>
      </w:r>
      <w:proofErr w:type="spellStart"/>
      <w:r w:rsidRPr="00DD448A">
        <w:rPr>
          <w:rFonts w:ascii="Arial" w:hAnsi="Arial" w:cs="Arial"/>
          <w:kern w:val="1"/>
          <w:sz w:val="22"/>
          <w:szCs w:val="22"/>
        </w:rPr>
        <w:t>Policardo</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Vegni</w:t>
      </w:r>
      <w:proofErr w:type="spellEnd"/>
      <w:r w:rsidRPr="00DD448A">
        <w:rPr>
          <w:rFonts w:ascii="Arial" w:hAnsi="Arial" w:cs="Arial"/>
          <w:kern w:val="1"/>
          <w:sz w:val="22"/>
          <w:szCs w:val="22"/>
        </w:rPr>
        <w:t xml:space="preserve"> F, Feraco A, Carlino A, Ferraro G, </w:t>
      </w:r>
      <w:proofErr w:type="spellStart"/>
      <w:r w:rsidRPr="00DD448A">
        <w:rPr>
          <w:rFonts w:ascii="Arial" w:hAnsi="Arial" w:cs="Arial"/>
          <w:kern w:val="1"/>
          <w:sz w:val="22"/>
          <w:szCs w:val="22"/>
        </w:rPr>
        <w:t>Milardi</w:t>
      </w:r>
      <w:proofErr w:type="spellEnd"/>
      <w:r w:rsidRPr="00DD448A">
        <w:rPr>
          <w:rFonts w:ascii="Arial" w:hAnsi="Arial" w:cs="Arial"/>
          <w:kern w:val="1"/>
          <w:sz w:val="22"/>
          <w:szCs w:val="22"/>
        </w:rPr>
        <w:t xml:space="preserve"> D, Navarra E, </w:t>
      </w:r>
      <w:proofErr w:type="spellStart"/>
      <w:r w:rsidRPr="00DD448A">
        <w:rPr>
          <w:rFonts w:ascii="Arial" w:hAnsi="Arial" w:cs="Arial"/>
          <w:kern w:val="1"/>
          <w:sz w:val="22"/>
          <w:szCs w:val="22"/>
        </w:rPr>
        <w:t>Pontecorvi</w:t>
      </w:r>
      <w:proofErr w:type="spellEnd"/>
      <w:r w:rsidRPr="00DD448A">
        <w:rPr>
          <w:rFonts w:ascii="Arial" w:hAnsi="Arial" w:cs="Arial"/>
          <w:kern w:val="1"/>
          <w:sz w:val="22"/>
          <w:szCs w:val="22"/>
        </w:rPr>
        <w:t xml:space="preserve"> A, Lombardi CP, Raffaelli M, Larocca LM, </w:t>
      </w:r>
      <w:proofErr w:type="spellStart"/>
      <w:r w:rsidRPr="00DD448A">
        <w:rPr>
          <w:rFonts w:ascii="Arial" w:hAnsi="Arial" w:cs="Arial"/>
          <w:kern w:val="1"/>
          <w:sz w:val="22"/>
          <w:szCs w:val="22"/>
        </w:rPr>
        <w:t>Pantanowitz</w:t>
      </w:r>
      <w:proofErr w:type="spellEnd"/>
      <w:r w:rsidRPr="00DD448A">
        <w:rPr>
          <w:rFonts w:ascii="Arial" w:hAnsi="Arial" w:cs="Arial"/>
          <w:kern w:val="1"/>
          <w:sz w:val="22"/>
          <w:szCs w:val="22"/>
        </w:rPr>
        <w:t xml:space="preserve"> L, Rossi ED. Diagnostic role of FNA cytology in the evaluation of cervical lymph nodes in thyroid cancers: Combined evaluation of thyroglobulin in eluate from FNA cytology. </w:t>
      </w:r>
      <w:r w:rsidRPr="00DD448A">
        <w:rPr>
          <w:rFonts w:ascii="Arial" w:hAnsi="Arial" w:cs="Arial"/>
          <w:iCs/>
          <w:kern w:val="1"/>
          <w:sz w:val="22"/>
          <w:szCs w:val="22"/>
        </w:rPr>
        <w:t xml:space="preserve">Cancer </w:t>
      </w:r>
      <w:proofErr w:type="spellStart"/>
      <w:r w:rsidRPr="00DD448A">
        <w:rPr>
          <w:rFonts w:ascii="Arial" w:hAnsi="Arial" w:cs="Arial"/>
          <w:iCs/>
          <w:kern w:val="1"/>
          <w:sz w:val="22"/>
          <w:szCs w:val="22"/>
        </w:rPr>
        <w:t>Cytopathol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2023;131(11):693-700.</w:t>
      </w:r>
    </w:p>
    <w:p w14:paraId="4EF293A3"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688.</w:t>
      </w:r>
      <w:r w:rsidRPr="00DD448A">
        <w:rPr>
          <w:rFonts w:ascii="Arial" w:hAnsi="Arial" w:cs="Arial"/>
          <w:kern w:val="1"/>
          <w:sz w:val="22"/>
          <w:szCs w:val="22"/>
        </w:rPr>
        <w:tab/>
        <w:t xml:space="preserve">Grani G, </w:t>
      </w:r>
      <w:proofErr w:type="spellStart"/>
      <w:r w:rsidRPr="00DD448A">
        <w:rPr>
          <w:rFonts w:ascii="Arial" w:hAnsi="Arial" w:cs="Arial"/>
          <w:kern w:val="1"/>
          <w:sz w:val="22"/>
          <w:szCs w:val="22"/>
        </w:rPr>
        <w:t>Sponziello</w:t>
      </w:r>
      <w:proofErr w:type="spellEnd"/>
      <w:r w:rsidRPr="00DD448A">
        <w:rPr>
          <w:rFonts w:ascii="Arial" w:hAnsi="Arial" w:cs="Arial"/>
          <w:kern w:val="1"/>
          <w:sz w:val="22"/>
          <w:szCs w:val="22"/>
        </w:rPr>
        <w:t xml:space="preserve"> M, Filetti S, Durante C. Thyroid nodules: diagnosis and management. </w:t>
      </w:r>
      <w:r w:rsidRPr="00DD448A">
        <w:rPr>
          <w:rFonts w:ascii="Arial" w:hAnsi="Arial" w:cs="Arial"/>
          <w:iCs/>
          <w:kern w:val="1"/>
          <w:sz w:val="22"/>
          <w:szCs w:val="22"/>
        </w:rPr>
        <w:t>Nat Rev Endocrinol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2024;20(12):715-728.</w:t>
      </w:r>
    </w:p>
    <w:p w14:paraId="4B16C64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689.</w:t>
      </w:r>
      <w:r w:rsidRPr="00DD448A">
        <w:rPr>
          <w:rFonts w:ascii="Arial" w:hAnsi="Arial" w:cs="Arial"/>
          <w:kern w:val="1"/>
          <w:sz w:val="22"/>
          <w:szCs w:val="22"/>
        </w:rPr>
        <w:tab/>
        <w:t xml:space="preserve">Sakamoto K, Ozawa H, Sato Y, </w:t>
      </w:r>
      <w:proofErr w:type="spellStart"/>
      <w:r w:rsidRPr="00DD448A">
        <w:rPr>
          <w:rFonts w:ascii="Arial" w:hAnsi="Arial" w:cs="Arial"/>
          <w:kern w:val="1"/>
          <w:sz w:val="22"/>
          <w:szCs w:val="22"/>
        </w:rPr>
        <w:t>Nakaishi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Sakanushi</w:t>
      </w:r>
      <w:proofErr w:type="spellEnd"/>
      <w:r w:rsidRPr="00DD448A">
        <w:rPr>
          <w:rFonts w:ascii="Arial" w:hAnsi="Arial" w:cs="Arial"/>
          <w:kern w:val="1"/>
          <w:sz w:val="22"/>
          <w:szCs w:val="22"/>
        </w:rPr>
        <w:t xml:space="preserve"> A, Matsunobu T, Okubo K, Shinden S. Cutoff value of thyroglobulin in needle aspirates for screening neck masses of thyroid carcinoma.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Relat</w:t>
      </w:r>
      <w:proofErr w:type="spellEnd"/>
      <w:r w:rsidRPr="00DD448A">
        <w:rPr>
          <w:rFonts w:ascii="Arial" w:hAnsi="Arial" w:cs="Arial"/>
          <w:iCs/>
          <w:kern w:val="1"/>
          <w:sz w:val="22"/>
          <w:szCs w:val="22"/>
        </w:rPr>
        <w:t xml:space="preserve"> Cancer</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2024;31(12).</w:t>
      </w:r>
    </w:p>
    <w:p w14:paraId="43C096F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690.</w:t>
      </w:r>
      <w:r w:rsidRPr="00DD448A">
        <w:rPr>
          <w:rFonts w:ascii="Arial" w:hAnsi="Arial" w:cs="Arial"/>
          <w:kern w:val="1"/>
          <w:sz w:val="22"/>
          <w:szCs w:val="22"/>
        </w:rPr>
        <w:tab/>
        <w:t xml:space="preserve">García-Molina F, Arense-Gonzalo JJ, </w:t>
      </w:r>
      <w:proofErr w:type="spellStart"/>
      <w:r w:rsidRPr="00DD448A">
        <w:rPr>
          <w:rFonts w:ascii="Arial" w:hAnsi="Arial" w:cs="Arial"/>
          <w:kern w:val="1"/>
          <w:sz w:val="22"/>
          <w:szCs w:val="22"/>
        </w:rPr>
        <w:t>Aguera</w:t>
      </w:r>
      <w:proofErr w:type="spellEnd"/>
      <w:r w:rsidRPr="00DD448A">
        <w:rPr>
          <w:rFonts w:ascii="Arial" w:hAnsi="Arial" w:cs="Arial"/>
          <w:kern w:val="1"/>
          <w:sz w:val="22"/>
          <w:szCs w:val="22"/>
        </w:rPr>
        <w:t xml:space="preserve">-Sanchez A, Peña-Ros E, Ruiz-Marín M, </w:t>
      </w:r>
      <w:proofErr w:type="spellStart"/>
      <w:r w:rsidRPr="00DD448A">
        <w:rPr>
          <w:rFonts w:ascii="Arial" w:hAnsi="Arial" w:cs="Arial"/>
          <w:kern w:val="1"/>
          <w:sz w:val="22"/>
          <w:szCs w:val="22"/>
        </w:rPr>
        <w:t>Matínez</w:t>
      </w:r>
      <w:proofErr w:type="spellEnd"/>
      <w:r w:rsidRPr="00DD448A">
        <w:rPr>
          <w:rFonts w:ascii="Arial" w:hAnsi="Arial" w:cs="Arial"/>
          <w:kern w:val="1"/>
          <w:sz w:val="22"/>
          <w:szCs w:val="22"/>
        </w:rPr>
        <w:t xml:space="preserve">-Perez M, Chaves-Benito A, Martínez-Diaz F. [Diagnosis of lymph node metastases from papillary thyroid carcinoma by measuring thyroglobulin in the puncture needle. Calculation of optimal cut-off point in our series]. </w:t>
      </w:r>
      <w:r w:rsidRPr="00DD448A">
        <w:rPr>
          <w:rFonts w:ascii="Arial" w:hAnsi="Arial" w:cs="Arial"/>
          <w:iCs/>
          <w:kern w:val="1"/>
          <w:sz w:val="22"/>
          <w:szCs w:val="22"/>
        </w:rPr>
        <w:t xml:space="preserve">Rev Esp </w:t>
      </w:r>
      <w:proofErr w:type="spellStart"/>
      <w:r w:rsidRPr="00DD448A">
        <w:rPr>
          <w:rFonts w:ascii="Arial" w:hAnsi="Arial" w:cs="Arial"/>
          <w:iCs/>
          <w:kern w:val="1"/>
          <w:sz w:val="22"/>
          <w:szCs w:val="22"/>
        </w:rPr>
        <w:t>Patol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2024;57(4):258-264.</w:t>
      </w:r>
    </w:p>
    <w:p w14:paraId="4E6D268D"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691.</w:t>
      </w:r>
      <w:r w:rsidRPr="00DD448A">
        <w:rPr>
          <w:rFonts w:ascii="Arial" w:hAnsi="Arial" w:cs="Arial"/>
          <w:kern w:val="1"/>
          <w:sz w:val="22"/>
          <w:szCs w:val="22"/>
        </w:rPr>
        <w:tab/>
        <w:t xml:space="preserve">Chen J, Lin Z, Xu B, Lu T, Zhang X. The efficacy and assessment value of the level of thyroglobulin wash-out after fine-needle aspiration </w:t>
      </w:r>
      <w:proofErr w:type="spellStart"/>
      <w:r w:rsidRPr="00DD448A">
        <w:rPr>
          <w:rFonts w:ascii="Arial" w:hAnsi="Arial" w:cs="Arial"/>
          <w:kern w:val="1"/>
          <w:sz w:val="22"/>
          <w:szCs w:val="22"/>
        </w:rPr>
        <w:t>cytodiagnosis</w:t>
      </w:r>
      <w:proofErr w:type="spellEnd"/>
      <w:r w:rsidRPr="00DD448A">
        <w:rPr>
          <w:rFonts w:ascii="Arial" w:hAnsi="Arial" w:cs="Arial"/>
          <w:kern w:val="1"/>
          <w:sz w:val="22"/>
          <w:szCs w:val="22"/>
        </w:rPr>
        <w:t xml:space="preserve"> in the evaluation of lymph node metastasis in papillary thyroid carcinoma. </w:t>
      </w:r>
      <w:r w:rsidRPr="00DD448A">
        <w:rPr>
          <w:rFonts w:ascii="Arial" w:hAnsi="Arial" w:cs="Arial"/>
          <w:iCs/>
          <w:kern w:val="1"/>
          <w:sz w:val="22"/>
          <w:szCs w:val="22"/>
        </w:rPr>
        <w:t>World J Surg Oncol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2024;22(1):149.</w:t>
      </w:r>
    </w:p>
    <w:p w14:paraId="4C6CC35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692.</w:t>
      </w:r>
      <w:r w:rsidRPr="00DD448A">
        <w:rPr>
          <w:rFonts w:ascii="Arial" w:hAnsi="Arial" w:cs="Arial"/>
          <w:kern w:val="1"/>
          <w:sz w:val="22"/>
          <w:szCs w:val="22"/>
        </w:rPr>
        <w:tab/>
        <w:t xml:space="preserve">Jeon MJ, Kim WG, Jang EK, Choi YM, Lee YM, Sung TY, Yoon JH, Chung KW, Hong SJ, Baek JH, Lee JH, Kim TY, Shong YK, Kim WB. Thyroglobulin level in fine-needle aspirates for preoperative diagnosis of cervical lymph node metastasis in patients with papillary </w:t>
      </w:r>
      <w:r w:rsidRPr="00DD448A">
        <w:rPr>
          <w:rFonts w:ascii="Arial" w:hAnsi="Arial" w:cs="Arial"/>
          <w:kern w:val="1"/>
          <w:sz w:val="22"/>
          <w:szCs w:val="22"/>
        </w:rPr>
        <w:lastRenderedPageBreak/>
        <w:t xml:space="preserve">thyroid carcinoma: two different cutoff values according to serum thyroglobulin level.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2015;25(4):410-416.</w:t>
      </w:r>
    </w:p>
    <w:p w14:paraId="038FC65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693.</w:t>
      </w:r>
      <w:r w:rsidRPr="00DD448A">
        <w:rPr>
          <w:rFonts w:ascii="Arial" w:hAnsi="Arial" w:cs="Arial"/>
          <w:kern w:val="1"/>
          <w:sz w:val="22"/>
          <w:szCs w:val="22"/>
        </w:rPr>
        <w:tab/>
        <w:t xml:space="preserve">Boi F, </w:t>
      </w:r>
      <w:proofErr w:type="spellStart"/>
      <w:r w:rsidRPr="00DD448A">
        <w:rPr>
          <w:rFonts w:ascii="Arial" w:hAnsi="Arial" w:cs="Arial"/>
          <w:kern w:val="1"/>
          <w:sz w:val="22"/>
          <w:szCs w:val="22"/>
        </w:rPr>
        <w:t>Maurelli</w:t>
      </w:r>
      <w:proofErr w:type="spellEnd"/>
      <w:r w:rsidRPr="00DD448A">
        <w:rPr>
          <w:rFonts w:ascii="Arial" w:hAnsi="Arial" w:cs="Arial"/>
          <w:kern w:val="1"/>
          <w:sz w:val="22"/>
          <w:szCs w:val="22"/>
        </w:rPr>
        <w:t xml:space="preserve"> I, Pinna G, Atzeni F, Piga M, Lai ML, Mariotti S. Calcitonin measurement in wash-out fluid from fine needle aspiration of neck masses in patients with primary and metastatic medullary thyroid carcinoma.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2007;92(6):2115-2118.</w:t>
      </w:r>
    </w:p>
    <w:p w14:paraId="3DB7CAB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694.</w:t>
      </w:r>
      <w:r w:rsidRPr="00DD448A">
        <w:rPr>
          <w:rFonts w:ascii="Arial" w:hAnsi="Arial" w:cs="Arial"/>
          <w:kern w:val="1"/>
          <w:sz w:val="22"/>
          <w:szCs w:val="22"/>
        </w:rPr>
        <w:tab/>
        <w:t xml:space="preserve">Abraham D, Gault PM, Hunt J, Bentz J. Calcitonin estimation in neck lymph node fine-needle aspirate fluid prevents misinterpretation of cytology in patients with metastatic medullary thyroid cancer.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2009;19(9):1015-1016.</w:t>
      </w:r>
    </w:p>
    <w:p w14:paraId="4EE9D98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695.</w:t>
      </w:r>
      <w:r w:rsidRPr="00DD448A">
        <w:rPr>
          <w:rFonts w:ascii="Arial" w:hAnsi="Arial" w:cs="Arial"/>
          <w:kern w:val="1"/>
          <w:sz w:val="22"/>
          <w:szCs w:val="22"/>
        </w:rPr>
        <w:tab/>
        <w:t xml:space="preserve">Ringel DM, Balducci-Silano PL, Anderson JS, Spencer CA, Silverman J, Sparling YH, Francis GL, Burman KD, </w:t>
      </w:r>
      <w:proofErr w:type="spellStart"/>
      <w:r w:rsidRPr="00DD448A">
        <w:rPr>
          <w:rFonts w:ascii="Arial" w:hAnsi="Arial" w:cs="Arial"/>
          <w:kern w:val="1"/>
          <w:sz w:val="22"/>
          <w:szCs w:val="22"/>
        </w:rPr>
        <w:t>Wartofsky</w:t>
      </w:r>
      <w:proofErr w:type="spellEnd"/>
      <w:r w:rsidRPr="00DD448A">
        <w:rPr>
          <w:rFonts w:ascii="Arial" w:hAnsi="Arial" w:cs="Arial"/>
          <w:kern w:val="1"/>
          <w:sz w:val="22"/>
          <w:szCs w:val="22"/>
        </w:rPr>
        <w:t xml:space="preserve"> L, Ladenson PW, Levine MA, Tuttle RM. Quantitative reverse transcriptase polymerase chain reaction of circulating thyroglobulin messenger RNA  for monitoring patients with thyroid carcinoma.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1999;84:4037-4042.</w:t>
      </w:r>
    </w:p>
    <w:p w14:paraId="7C49F4B7"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696.</w:t>
      </w:r>
      <w:r w:rsidRPr="00DD448A">
        <w:rPr>
          <w:rFonts w:ascii="Arial" w:hAnsi="Arial" w:cs="Arial"/>
          <w:kern w:val="1"/>
          <w:sz w:val="22"/>
          <w:szCs w:val="22"/>
        </w:rPr>
        <w:tab/>
      </w:r>
      <w:proofErr w:type="spellStart"/>
      <w:r w:rsidRPr="00DD448A">
        <w:rPr>
          <w:rFonts w:ascii="Arial" w:hAnsi="Arial" w:cs="Arial"/>
          <w:kern w:val="1"/>
          <w:sz w:val="22"/>
          <w:szCs w:val="22"/>
        </w:rPr>
        <w:t>Barzon</w:t>
      </w:r>
      <w:proofErr w:type="spellEnd"/>
      <w:r w:rsidRPr="00DD448A">
        <w:rPr>
          <w:rFonts w:ascii="Arial" w:hAnsi="Arial" w:cs="Arial"/>
          <w:kern w:val="1"/>
          <w:sz w:val="22"/>
          <w:szCs w:val="22"/>
        </w:rPr>
        <w:t xml:space="preserve"> L, </w:t>
      </w:r>
      <w:proofErr w:type="spellStart"/>
      <w:r w:rsidRPr="00DD448A">
        <w:rPr>
          <w:rFonts w:ascii="Arial" w:hAnsi="Arial" w:cs="Arial"/>
          <w:kern w:val="1"/>
          <w:sz w:val="22"/>
          <w:szCs w:val="22"/>
        </w:rPr>
        <w:t>Boscaro</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Pacenti</w:t>
      </w:r>
      <w:proofErr w:type="spellEnd"/>
      <w:r w:rsidRPr="00DD448A">
        <w:rPr>
          <w:rFonts w:ascii="Arial" w:hAnsi="Arial" w:cs="Arial"/>
          <w:kern w:val="1"/>
          <w:sz w:val="22"/>
          <w:szCs w:val="22"/>
        </w:rPr>
        <w:t xml:space="preserve"> M, </w:t>
      </w:r>
      <w:proofErr w:type="spellStart"/>
      <w:r w:rsidRPr="00DD448A">
        <w:rPr>
          <w:rFonts w:ascii="Arial" w:hAnsi="Arial" w:cs="Arial"/>
          <w:kern w:val="1"/>
          <w:sz w:val="22"/>
          <w:szCs w:val="22"/>
        </w:rPr>
        <w:t>Taccaliti</w:t>
      </w:r>
      <w:proofErr w:type="spellEnd"/>
      <w:r w:rsidRPr="00DD448A">
        <w:rPr>
          <w:rFonts w:ascii="Arial" w:hAnsi="Arial" w:cs="Arial"/>
          <w:kern w:val="1"/>
          <w:sz w:val="22"/>
          <w:szCs w:val="22"/>
        </w:rPr>
        <w:t xml:space="preserve"> A, Palù G. Evaluation of circulating thyroid-specific transcripts as markers of thyroid cancer relapse. </w:t>
      </w:r>
      <w:r w:rsidRPr="00DD448A">
        <w:rPr>
          <w:rFonts w:ascii="Arial" w:hAnsi="Arial" w:cs="Arial"/>
          <w:iCs/>
          <w:kern w:val="1"/>
          <w:sz w:val="22"/>
          <w:szCs w:val="22"/>
        </w:rPr>
        <w:t>Int J Cancer</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2004;110(6):914-920.</w:t>
      </w:r>
    </w:p>
    <w:p w14:paraId="3C3DFBEE"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697.</w:t>
      </w:r>
      <w:r w:rsidRPr="00DD448A">
        <w:rPr>
          <w:rFonts w:ascii="Arial" w:hAnsi="Arial" w:cs="Arial"/>
          <w:kern w:val="1"/>
          <w:sz w:val="22"/>
          <w:szCs w:val="22"/>
        </w:rPr>
        <w:tab/>
        <w:t xml:space="preserve">Gupta M, Chia SY. Circulating thyroid cancer markers. </w:t>
      </w:r>
      <w:r w:rsidRPr="00DD448A">
        <w:rPr>
          <w:rFonts w:ascii="Arial" w:hAnsi="Arial" w:cs="Arial"/>
          <w:iCs/>
          <w:kern w:val="1"/>
          <w:sz w:val="22"/>
          <w:szCs w:val="22"/>
        </w:rPr>
        <w:t>Current opinion in endocrinology, diabetes, and obesity</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2007;14(5):383-388.</w:t>
      </w:r>
    </w:p>
    <w:p w14:paraId="30F69F1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698.</w:t>
      </w:r>
      <w:r w:rsidRPr="00DD448A">
        <w:rPr>
          <w:rFonts w:ascii="Arial" w:hAnsi="Arial" w:cs="Arial"/>
          <w:kern w:val="1"/>
          <w:sz w:val="22"/>
          <w:szCs w:val="22"/>
        </w:rPr>
        <w:tab/>
      </w:r>
      <w:proofErr w:type="spellStart"/>
      <w:r w:rsidRPr="00DD448A">
        <w:rPr>
          <w:rFonts w:ascii="Arial" w:hAnsi="Arial" w:cs="Arial"/>
          <w:kern w:val="1"/>
          <w:sz w:val="22"/>
          <w:szCs w:val="22"/>
        </w:rPr>
        <w:t>Grammatopoulos</w:t>
      </w:r>
      <w:proofErr w:type="spellEnd"/>
      <w:r w:rsidRPr="00DD448A">
        <w:rPr>
          <w:rFonts w:ascii="Arial" w:hAnsi="Arial" w:cs="Arial"/>
          <w:kern w:val="1"/>
          <w:sz w:val="22"/>
          <w:szCs w:val="22"/>
        </w:rPr>
        <w:t xml:space="preserve"> D, Elliott Y, Smith SC, Brown I, Grieve RJ, Hillhouse EW, Levine MA, Ringel MD. Measurement of thyroglobulin mRNA in peripheral blood as an adjunctive test for monitoring thyroid cancer. </w:t>
      </w:r>
      <w:r w:rsidRPr="00DD448A">
        <w:rPr>
          <w:rFonts w:ascii="Arial" w:hAnsi="Arial" w:cs="Arial"/>
          <w:iCs/>
          <w:kern w:val="1"/>
          <w:sz w:val="22"/>
          <w:szCs w:val="22"/>
        </w:rPr>
        <w:t xml:space="preserve">Mol </w:t>
      </w:r>
      <w:proofErr w:type="spellStart"/>
      <w:r w:rsidRPr="00DD448A">
        <w:rPr>
          <w:rFonts w:ascii="Arial" w:hAnsi="Arial" w:cs="Arial"/>
          <w:iCs/>
          <w:kern w:val="1"/>
          <w:sz w:val="22"/>
          <w:szCs w:val="22"/>
        </w:rPr>
        <w:t>Pathol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2003;56(3):162-166.</w:t>
      </w:r>
    </w:p>
    <w:p w14:paraId="0041459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699.</w:t>
      </w:r>
      <w:r w:rsidRPr="00DD448A">
        <w:rPr>
          <w:rFonts w:ascii="Arial" w:hAnsi="Arial" w:cs="Arial"/>
          <w:kern w:val="1"/>
          <w:sz w:val="22"/>
          <w:szCs w:val="22"/>
        </w:rPr>
        <w:tab/>
      </w:r>
      <w:proofErr w:type="spellStart"/>
      <w:r w:rsidRPr="00DD448A">
        <w:rPr>
          <w:rFonts w:ascii="Arial" w:hAnsi="Arial" w:cs="Arial"/>
          <w:kern w:val="1"/>
          <w:sz w:val="22"/>
          <w:szCs w:val="22"/>
        </w:rPr>
        <w:t>Ausavarat</w:t>
      </w:r>
      <w:proofErr w:type="spellEnd"/>
      <w:r w:rsidRPr="00DD448A">
        <w:rPr>
          <w:rFonts w:ascii="Arial" w:hAnsi="Arial" w:cs="Arial"/>
          <w:kern w:val="1"/>
          <w:sz w:val="22"/>
          <w:szCs w:val="22"/>
        </w:rPr>
        <w:t xml:space="preserve"> S, </w:t>
      </w:r>
      <w:proofErr w:type="spellStart"/>
      <w:r w:rsidRPr="00DD448A">
        <w:rPr>
          <w:rFonts w:ascii="Arial" w:hAnsi="Arial" w:cs="Arial"/>
          <w:kern w:val="1"/>
          <w:sz w:val="22"/>
          <w:szCs w:val="22"/>
        </w:rPr>
        <w:t>Sriprapaporn</w:t>
      </w:r>
      <w:proofErr w:type="spellEnd"/>
      <w:r w:rsidRPr="00DD448A">
        <w:rPr>
          <w:rFonts w:ascii="Arial" w:hAnsi="Arial" w:cs="Arial"/>
          <w:kern w:val="1"/>
          <w:sz w:val="22"/>
          <w:szCs w:val="22"/>
        </w:rPr>
        <w:t xml:space="preserve"> J, </w:t>
      </w:r>
      <w:proofErr w:type="spellStart"/>
      <w:r w:rsidRPr="00DD448A">
        <w:rPr>
          <w:rFonts w:ascii="Arial" w:hAnsi="Arial" w:cs="Arial"/>
          <w:kern w:val="1"/>
          <w:sz w:val="22"/>
          <w:szCs w:val="22"/>
        </w:rPr>
        <w:t>Satayaban</w:t>
      </w:r>
      <w:proofErr w:type="spellEnd"/>
      <w:r w:rsidRPr="00DD448A">
        <w:rPr>
          <w:rFonts w:ascii="Arial" w:hAnsi="Arial" w:cs="Arial"/>
          <w:kern w:val="1"/>
          <w:sz w:val="22"/>
          <w:szCs w:val="22"/>
        </w:rPr>
        <w:t xml:space="preserve"> B, </w:t>
      </w:r>
      <w:proofErr w:type="spellStart"/>
      <w:r w:rsidRPr="00DD448A">
        <w:rPr>
          <w:rFonts w:ascii="Arial" w:hAnsi="Arial" w:cs="Arial"/>
          <w:kern w:val="1"/>
          <w:sz w:val="22"/>
          <w:szCs w:val="22"/>
        </w:rPr>
        <w:t>Thongnoppakhun</w:t>
      </w:r>
      <w:proofErr w:type="spellEnd"/>
      <w:r w:rsidRPr="00DD448A">
        <w:rPr>
          <w:rFonts w:ascii="Arial" w:hAnsi="Arial" w:cs="Arial"/>
          <w:kern w:val="1"/>
          <w:sz w:val="22"/>
          <w:szCs w:val="22"/>
        </w:rPr>
        <w:t xml:space="preserve"> W, </w:t>
      </w:r>
      <w:proofErr w:type="spellStart"/>
      <w:r w:rsidRPr="00DD448A">
        <w:rPr>
          <w:rFonts w:ascii="Arial" w:hAnsi="Arial" w:cs="Arial"/>
          <w:kern w:val="1"/>
          <w:sz w:val="22"/>
          <w:szCs w:val="22"/>
        </w:rPr>
        <w:t>Laipiriyakun</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Amornkitticharoen</w:t>
      </w:r>
      <w:proofErr w:type="spellEnd"/>
      <w:r w:rsidRPr="00DD448A">
        <w:rPr>
          <w:rFonts w:ascii="Arial" w:hAnsi="Arial" w:cs="Arial"/>
          <w:kern w:val="1"/>
          <w:sz w:val="22"/>
          <w:szCs w:val="22"/>
        </w:rPr>
        <w:t xml:space="preserve"> B, Chanachai R, </w:t>
      </w:r>
      <w:proofErr w:type="spellStart"/>
      <w:r w:rsidRPr="00DD448A">
        <w:rPr>
          <w:rFonts w:ascii="Arial" w:hAnsi="Arial" w:cs="Arial"/>
          <w:kern w:val="1"/>
          <w:sz w:val="22"/>
          <w:szCs w:val="22"/>
        </w:rPr>
        <w:t>Pattanachak</w:t>
      </w:r>
      <w:proofErr w:type="spellEnd"/>
      <w:r w:rsidRPr="00DD448A">
        <w:rPr>
          <w:rFonts w:ascii="Arial" w:hAnsi="Arial" w:cs="Arial"/>
          <w:kern w:val="1"/>
          <w:sz w:val="22"/>
          <w:szCs w:val="22"/>
        </w:rPr>
        <w:t xml:space="preserve"> C. Circulating thyrotropin receptor messenger ribonucleic acid is not an effective marker in the follow-up of differentiated thyroid carcinoma. </w:t>
      </w:r>
      <w:r w:rsidRPr="00DD448A">
        <w:rPr>
          <w:rFonts w:ascii="Arial" w:hAnsi="Arial" w:cs="Arial"/>
          <w:iCs/>
          <w:kern w:val="1"/>
          <w:sz w:val="22"/>
          <w:szCs w:val="22"/>
        </w:rPr>
        <w:t>Thyroid Res</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2015;8:11.</w:t>
      </w:r>
    </w:p>
    <w:p w14:paraId="63167ED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700.</w:t>
      </w:r>
      <w:r w:rsidRPr="00DD448A">
        <w:rPr>
          <w:rFonts w:ascii="Arial" w:hAnsi="Arial" w:cs="Arial"/>
          <w:kern w:val="1"/>
          <w:sz w:val="22"/>
          <w:szCs w:val="22"/>
        </w:rPr>
        <w:tab/>
      </w:r>
      <w:proofErr w:type="spellStart"/>
      <w:r w:rsidRPr="00DD448A">
        <w:rPr>
          <w:rFonts w:ascii="Arial" w:hAnsi="Arial" w:cs="Arial"/>
          <w:kern w:val="1"/>
          <w:sz w:val="22"/>
          <w:szCs w:val="22"/>
        </w:rPr>
        <w:t>Biscolla</w:t>
      </w:r>
      <w:proofErr w:type="spellEnd"/>
      <w:r w:rsidRPr="00DD448A">
        <w:rPr>
          <w:rFonts w:ascii="Arial" w:hAnsi="Arial" w:cs="Arial"/>
          <w:kern w:val="1"/>
          <w:sz w:val="22"/>
          <w:szCs w:val="22"/>
        </w:rPr>
        <w:t xml:space="preserve"> RP, Cerutti JM, Maciel RM. Detection of recurrent thyroid cancer by sensitive nested reverse transcription-polymerase chain reaction of thyroglobulin and sodium/iodide symporter messenger ribonucleic acid transcripts in peripheral blood.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2000;85(10):3623-3627.</w:t>
      </w:r>
    </w:p>
    <w:p w14:paraId="710D4D5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701.</w:t>
      </w:r>
      <w:r w:rsidRPr="00DD448A">
        <w:rPr>
          <w:rFonts w:ascii="Arial" w:hAnsi="Arial" w:cs="Arial"/>
          <w:kern w:val="1"/>
          <w:sz w:val="22"/>
          <w:szCs w:val="22"/>
        </w:rPr>
        <w:tab/>
        <w:t xml:space="preserve">Ringel MD. Molecular detection of thyroid cancer: differentiating "signal" and "noise" in clinical assays.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2004;89(1):29-32.</w:t>
      </w:r>
    </w:p>
    <w:p w14:paraId="265D945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702.</w:t>
      </w:r>
      <w:r w:rsidRPr="00DD448A">
        <w:rPr>
          <w:rFonts w:ascii="Arial" w:hAnsi="Arial" w:cs="Arial"/>
          <w:kern w:val="1"/>
          <w:sz w:val="22"/>
          <w:szCs w:val="22"/>
        </w:rPr>
        <w:tab/>
        <w:t xml:space="preserve">Kaufmann S, Schmutzler C, Schomburg L, Körber C, Luster M, Rendl J, Reiners C, </w:t>
      </w:r>
      <w:proofErr w:type="spellStart"/>
      <w:r w:rsidRPr="00DD448A">
        <w:rPr>
          <w:rFonts w:ascii="Arial" w:hAnsi="Arial" w:cs="Arial"/>
          <w:kern w:val="1"/>
          <w:sz w:val="22"/>
          <w:szCs w:val="22"/>
        </w:rPr>
        <w:t>Köhrle</w:t>
      </w:r>
      <w:proofErr w:type="spellEnd"/>
      <w:r w:rsidRPr="00DD448A">
        <w:rPr>
          <w:rFonts w:ascii="Arial" w:hAnsi="Arial" w:cs="Arial"/>
          <w:kern w:val="1"/>
          <w:sz w:val="22"/>
          <w:szCs w:val="22"/>
        </w:rPr>
        <w:t xml:space="preserve"> J. Real time RT-PCR analysis of thyroglobulin mRNA in peripheral blood in patients with congenital athyreosis and with differentiated thyroid carcinoma after stimulation with recombinant human thyrotropin. </w:t>
      </w:r>
      <w:proofErr w:type="spellStart"/>
      <w:r w:rsidRPr="00DD448A">
        <w:rPr>
          <w:rFonts w:ascii="Arial" w:hAnsi="Arial" w:cs="Arial"/>
          <w:iCs/>
          <w:kern w:val="1"/>
          <w:sz w:val="22"/>
          <w:szCs w:val="22"/>
        </w:rPr>
        <w:t>Endocr</w:t>
      </w:r>
      <w:proofErr w:type="spellEnd"/>
      <w:r w:rsidRPr="00DD448A">
        <w:rPr>
          <w:rFonts w:ascii="Arial" w:hAnsi="Arial" w:cs="Arial"/>
          <w:iCs/>
          <w:kern w:val="1"/>
          <w:sz w:val="22"/>
          <w:szCs w:val="22"/>
        </w:rPr>
        <w:t xml:space="preserve"> </w:t>
      </w:r>
      <w:proofErr w:type="spellStart"/>
      <w:r w:rsidRPr="00DD448A">
        <w:rPr>
          <w:rFonts w:ascii="Arial" w:hAnsi="Arial" w:cs="Arial"/>
          <w:iCs/>
          <w:kern w:val="1"/>
          <w:sz w:val="22"/>
          <w:szCs w:val="22"/>
        </w:rPr>
        <w:t>Regul</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2004;38(2):41-49.</w:t>
      </w:r>
    </w:p>
    <w:p w14:paraId="6F0FD5CB"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703.</w:t>
      </w:r>
      <w:r w:rsidRPr="00DD448A">
        <w:rPr>
          <w:rFonts w:ascii="Arial" w:hAnsi="Arial" w:cs="Arial"/>
          <w:kern w:val="1"/>
          <w:sz w:val="22"/>
          <w:szCs w:val="22"/>
        </w:rPr>
        <w:tab/>
        <w:t xml:space="preserve">Chelly J, </w:t>
      </w:r>
      <w:proofErr w:type="spellStart"/>
      <w:r w:rsidRPr="00DD448A">
        <w:rPr>
          <w:rFonts w:ascii="Arial" w:hAnsi="Arial" w:cs="Arial"/>
          <w:kern w:val="1"/>
          <w:sz w:val="22"/>
          <w:szCs w:val="22"/>
        </w:rPr>
        <w:t>Concordet</w:t>
      </w:r>
      <w:proofErr w:type="spellEnd"/>
      <w:r w:rsidRPr="00DD448A">
        <w:rPr>
          <w:rFonts w:ascii="Arial" w:hAnsi="Arial" w:cs="Arial"/>
          <w:kern w:val="1"/>
          <w:sz w:val="22"/>
          <w:szCs w:val="22"/>
        </w:rPr>
        <w:t xml:space="preserve"> JP, Kaplan JC, Kahn A. Illegitimate transcription: transcription of any gene in any cell type. </w:t>
      </w:r>
      <w:r w:rsidRPr="00DD448A">
        <w:rPr>
          <w:rFonts w:ascii="Arial" w:hAnsi="Arial" w:cs="Arial"/>
          <w:iCs/>
          <w:kern w:val="1"/>
          <w:sz w:val="22"/>
          <w:szCs w:val="22"/>
        </w:rPr>
        <w:t xml:space="preserve">Proc Natl </w:t>
      </w:r>
      <w:proofErr w:type="spellStart"/>
      <w:r w:rsidRPr="00DD448A">
        <w:rPr>
          <w:rFonts w:ascii="Arial" w:hAnsi="Arial" w:cs="Arial"/>
          <w:iCs/>
          <w:kern w:val="1"/>
          <w:sz w:val="22"/>
          <w:szCs w:val="22"/>
        </w:rPr>
        <w:t>Acad</w:t>
      </w:r>
      <w:proofErr w:type="spellEnd"/>
      <w:r w:rsidRPr="00DD448A">
        <w:rPr>
          <w:rFonts w:ascii="Arial" w:hAnsi="Arial" w:cs="Arial"/>
          <w:iCs/>
          <w:kern w:val="1"/>
          <w:sz w:val="22"/>
          <w:szCs w:val="22"/>
        </w:rPr>
        <w:t xml:space="preserve"> Sci U S A</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1989;86(8):2617-2621.</w:t>
      </w:r>
    </w:p>
    <w:p w14:paraId="4D89BBF0"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704.</w:t>
      </w:r>
      <w:r w:rsidRPr="00DD448A">
        <w:rPr>
          <w:rFonts w:ascii="Arial" w:hAnsi="Arial" w:cs="Arial"/>
          <w:kern w:val="1"/>
          <w:sz w:val="22"/>
          <w:szCs w:val="22"/>
        </w:rPr>
        <w:tab/>
        <w:t xml:space="preserve">Ghossein RA, Bhattacharya S. Molecular detection and characterization of circulating tumor cells and </w:t>
      </w:r>
      <w:proofErr w:type="spellStart"/>
      <w:r w:rsidRPr="00DD448A">
        <w:rPr>
          <w:rFonts w:ascii="Arial" w:hAnsi="Arial" w:cs="Arial"/>
          <w:kern w:val="1"/>
          <w:sz w:val="22"/>
          <w:szCs w:val="22"/>
        </w:rPr>
        <w:t>micrometastases</w:t>
      </w:r>
      <w:proofErr w:type="spellEnd"/>
      <w:r w:rsidRPr="00DD448A">
        <w:rPr>
          <w:rFonts w:ascii="Arial" w:hAnsi="Arial" w:cs="Arial"/>
          <w:kern w:val="1"/>
          <w:sz w:val="22"/>
          <w:szCs w:val="22"/>
        </w:rPr>
        <w:t xml:space="preserve"> in prostatic, urothelial, and renal cell carcinomas. </w:t>
      </w:r>
      <w:r w:rsidRPr="00DD448A">
        <w:rPr>
          <w:rFonts w:ascii="Arial" w:hAnsi="Arial" w:cs="Arial"/>
          <w:iCs/>
          <w:kern w:val="1"/>
          <w:sz w:val="22"/>
          <w:szCs w:val="22"/>
        </w:rPr>
        <w:t>Semin Surg Oncol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2001;20(4):304-311.</w:t>
      </w:r>
    </w:p>
    <w:p w14:paraId="37FBD54F"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705.</w:t>
      </w:r>
      <w:r w:rsidRPr="00DD448A">
        <w:rPr>
          <w:rFonts w:ascii="Arial" w:hAnsi="Arial" w:cs="Arial"/>
          <w:kern w:val="1"/>
          <w:sz w:val="22"/>
          <w:szCs w:val="22"/>
        </w:rPr>
        <w:tab/>
      </w:r>
      <w:proofErr w:type="spellStart"/>
      <w:r w:rsidRPr="00DD448A">
        <w:rPr>
          <w:rFonts w:ascii="Arial" w:hAnsi="Arial" w:cs="Arial"/>
          <w:kern w:val="1"/>
          <w:sz w:val="22"/>
          <w:szCs w:val="22"/>
        </w:rPr>
        <w:t>Savagner</w:t>
      </w:r>
      <w:proofErr w:type="spellEnd"/>
      <w:r w:rsidRPr="00DD448A">
        <w:rPr>
          <w:rFonts w:ascii="Arial" w:hAnsi="Arial" w:cs="Arial"/>
          <w:kern w:val="1"/>
          <w:sz w:val="22"/>
          <w:szCs w:val="22"/>
        </w:rPr>
        <w:t xml:space="preserve"> F, </w:t>
      </w:r>
      <w:proofErr w:type="spellStart"/>
      <w:r w:rsidRPr="00DD448A">
        <w:rPr>
          <w:rFonts w:ascii="Arial" w:hAnsi="Arial" w:cs="Arial"/>
          <w:kern w:val="1"/>
          <w:sz w:val="22"/>
          <w:szCs w:val="22"/>
        </w:rPr>
        <w:t>Rodien</w:t>
      </w:r>
      <w:proofErr w:type="spellEnd"/>
      <w:r w:rsidRPr="00DD448A">
        <w:rPr>
          <w:rFonts w:ascii="Arial" w:hAnsi="Arial" w:cs="Arial"/>
          <w:kern w:val="1"/>
          <w:sz w:val="22"/>
          <w:szCs w:val="22"/>
        </w:rPr>
        <w:t xml:space="preserve"> P, Reynier P, Rohmer V, </w:t>
      </w:r>
      <w:proofErr w:type="spellStart"/>
      <w:r w:rsidRPr="00DD448A">
        <w:rPr>
          <w:rFonts w:ascii="Arial" w:hAnsi="Arial" w:cs="Arial"/>
          <w:kern w:val="1"/>
          <w:sz w:val="22"/>
          <w:szCs w:val="22"/>
        </w:rPr>
        <w:t>Bigorgne</w:t>
      </w:r>
      <w:proofErr w:type="spellEnd"/>
      <w:r w:rsidRPr="00DD448A">
        <w:rPr>
          <w:rFonts w:ascii="Arial" w:hAnsi="Arial" w:cs="Arial"/>
          <w:kern w:val="1"/>
          <w:sz w:val="22"/>
          <w:szCs w:val="22"/>
        </w:rPr>
        <w:t xml:space="preserve"> JC, </w:t>
      </w:r>
      <w:proofErr w:type="spellStart"/>
      <w:r w:rsidRPr="00DD448A">
        <w:rPr>
          <w:rFonts w:ascii="Arial" w:hAnsi="Arial" w:cs="Arial"/>
          <w:kern w:val="1"/>
          <w:sz w:val="22"/>
          <w:szCs w:val="22"/>
        </w:rPr>
        <w:t>Malthiery</w:t>
      </w:r>
      <w:proofErr w:type="spellEnd"/>
      <w:r w:rsidRPr="00DD448A">
        <w:rPr>
          <w:rFonts w:ascii="Arial" w:hAnsi="Arial" w:cs="Arial"/>
          <w:kern w:val="1"/>
          <w:sz w:val="22"/>
          <w:szCs w:val="22"/>
        </w:rPr>
        <w:t xml:space="preserve"> Y. Analysis of </w:t>
      </w:r>
      <w:proofErr w:type="spellStart"/>
      <w:r w:rsidRPr="00DD448A">
        <w:rPr>
          <w:rFonts w:ascii="Arial" w:hAnsi="Arial" w:cs="Arial"/>
          <w:kern w:val="1"/>
          <w:sz w:val="22"/>
          <w:szCs w:val="22"/>
        </w:rPr>
        <w:t>Tg</w:t>
      </w:r>
      <w:proofErr w:type="spellEnd"/>
      <w:r w:rsidRPr="00DD448A">
        <w:rPr>
          <w:rFonts w:ascii="Arial" w:hAnsi="Arial" w:cs="Arial"/>
          <w:kern w:val="1"/>
          <w:sz w:val="22"/>
          <w:szCs w:val="22"/>
        </w:rPr>
        <w:t xml:space="preserve"> transcripts by real-time RT-PCR in the blood of thyroid cancer patients.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2002;87(2):635-639.</w:t>
      </w:r>
    </w:p>
    <w:p w14:paraId="5332F97C"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lastRenderedPageBreak/>
        <w:t>706.</w:t>
      </w:r>
      <w:r w:rsidRPr="00DD448A">
        <w:rPr>
          <w:rFonts w:ascii="Arial" w:hAnsi="Arial" w:cs="Arial"/>
          <w:kern w:val="1"/>
          <w:sz w:val="22"/>
          <w:szCs w:val="22"/>
        </w:rPr>
        <w:tab/>
        <w:t xml:space="preserve">Elisei R, Vivaldi A, Agate L, Molinaro E, </w:t>
      </w:r>
      <w:proofErr w:type="spellStart"/>
      <w:r w:rsidRPr="00DD448A">
        <w:rPr>
          <w:rFonts w:ascii="Arial" w:hAnsi="Arial" w:cs="Arial"/>
          <w:kern w:val="1"/>
          <w:sz w:val="22"/>
          <w:szCs w:val="22"/>
        </w:rPr>
        <w:t>Nencetti</w:t>
      </w:r>
      <w:proofErr w:type="spellEnd"/>
      <w:r w:rsidRPr="00DD448A">
        <w:rPr>
          <w:rFonts w:ascii="Arial" w:hAnsi="Arial" w:cs="Arial"/>
          <w:kern w:val="1"/>
          <w:sz w:val="22"/>
          <w:szCs w:val="22"/>
        </w:rPr>
        <w:t xml:space="preserve"> C, Grasso L, Pinchera A, Pacini F. Low specificity of blood thyroglobulin messenger ribonucleic acid assay prevents its use in the follow-up of differentiated thyroid cancer patients. </w:t>
      </w:r>
      <w:r w:rsidRPr="00DD448A">
        <w:rPr>
          <w:rFonts w:ascii="Arial" w:hAnsi="Arial" w:cs="Arial"/>
          <w:iCs/>
          <w:kern w:val="1"/>
          <w:sz w:val="22"/>
          <w:szCs w:val="22"/>
        </w:rPr>
        <w:t xml:space="preserve">J Clin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2004;89(1):33-39.</w:t>
      </w:r>
    </w:p>
    <w:p w14:paraId="6599F651"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707.</w:t>
      </w:r>
      <w:r w:rsidRPr="00DD448A">
        <w:rPr>
          <w:rFonts w:ascii="Arial" w:hAnsi="Arial" w:cs="Arial"/>
          <w:kern w:val="1"/>
          <w:sz w:val="22"/>
          <w:szCs w:val="22"/>
        </w:rPr>
        <w:tab/>
        <w:t xml:space="preserve">Endo T, Kobayashi T. Thyroid-stimulating hormone receptor in brown adipose tissue is involved in the regulation of thermogenesis. </w:t>
      </w:r>
      <w:r w:rsidRPr="00DD448A">
        <w:rPr>
          <w:rFonts w:ascii="Arial" w:hAnsi="Arial" w:cs="Arial"/>
          <w:iCs/>
          <w:kern w:val="1"/>
          <w:sz w:val="22"/>
          <w:szCs w:val="22"/>
        </w:rPr>
        <w:t xml:space="preserve">Am J </w:t>
      </w:r>
      <w:proofErr w:type="spellStart"/>
      <w:r w:rsidRPr="00DD448A">
        <w:rPr>
          <w:rFonts w:ascii="Arial" w:hAnsi="Arial" w:cs="Arial"/>
          <w:iCs/>
          <w:kern w:val="1"/>
          <w:sz w:val="22"/>
          <w:szCs w:val="22"/>
        </w:rPr>
        <w:t>Physiol</w:t>
      </w:r>
      <w:proofErr w:type="spellEnd"/>
      <w:r w:rsidRPr="00DD448A">
        <w:rPr>
          <w:rFonts w:ascii="Arial" w:hAnsi="Arial" w:cs="Arial"/>
          <w:iCs/>
          <w:kern w:val="1"/>
          <w:sz w:val="22"/>
          <w:szCs w:val="22"/>
        </w:rPr>
        <w:t xml:space="preserve"> Endocrinol </w:t>
      </w:r>
      <w:proofErr w:type="spellStart"/>
      <w:r w:rsidRPr="00DD448A">
        <w:rPr>
          <w:rFonts w:ascii="Arial" w:hAnsi="Arial" w:cs="Arial"/>
          <w:iCs/>
          <w:kern w:val="1"/>
          <w:sz w:val="22"/>
          <w:szCs w:val="22"/>
        </w:rPr>
        <w:t>Metab</w:t>
      </w:r>
      <w:proofErr w:type="spellEnd"/>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2008;295(2):E514-518.</w:t>
      </w:r>
    </w:p>
    <w:p w14:paraId="5E8B6D52"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708.</w:t>
      </w:r>
      <w:r w:rsidRPr="00DD448A">
        <w:rPr>
          <w:rFonts w:ascii="Arial" w:hAnsi="Arial" w:cs="Arial"/>
          <w:kern w:val="1"/>
          <w:sz w:val="22"/>
          <w:szCs w:val="22"/>
        </w:rPr>
        <w:tab/>
        <w:t xml:space="preserve">Cianfarani F, Baldini E, Cavalli A, Marchioni E, Lembo L, Teson M, Persechino S, </w:t>
      </w:r>
      <w:proofErr w:type="spellStart"/>
      <w:r w:rsidRPr="00DD448A">
        <w:rPr>
          <w:rFonts w:ascii="Arial" w:hAnsi="Arial" w:cs="Arial"/>
          <w:kern w:val="1"/>
          <w:sz w:val="22"/>
          <w:szCs w:val="22"/>
        </w:rPr>
        <w:t>Zambruno</w:t>
      </w:r>
      <w:proofErr w:type="spellEnd"/>
      <w:r w:rsidRPr="00DD448A">
        <w:rPr>
          <w:rFonts w:ascii="Arial" w:hAnsi="Arial" w:cs="Arial"/>
          <w:kern w:val="1"/>
          <w:sz w:val="22"/>
          <w:szCs w:val="22"/>
        </w:rPr>
        <w:t xml:space="preserve"> G, Ulisse S, Odorisio T, D'Armiento M. TSH receptor and thyroid-specific gene expression in human skin. </w:t>
      </w:r>
      <w:r w:rsidRPr="00DD448A">
        <w:rPr>
          <w:rFonts w:ascii="Arial" w:hAnsi="Arial" w:cs="Arial"/>
          <w:iCs/>
          <w:kern w:val="1"/>
          <w:sz w:val="22"/>
          <w:szCs w:val="22"/>
        </w:rPr>
        <w:t>J Invest Dermatol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2010;130(1):93-101.</w:t>
      </w:r>
    </w:p>
    <w:p w14:paraId="25EDD236"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709.</w:t>
      </w:r>
      <w:r w:rsidRPr="00DD448A">
        <w:rPr>
          <w:rFonts w:ascii="Arial" w:hAnsi="Arial" w:cs="Arial"/>
          <w:kern w:val="1"/>
          <w:sz w:val="22"/>
          <w:szCs w:val="22"/>
        </w:rPr>
        <w:tab/>
      </w:r>
      <w:proofErr w:type="spellStart"/>
      <w:r w:rsidRPr="00DD448A">
        <w:rPr>
          <w:rFonts w:ascii="Arial" w:hAnsi="Arial" w:cs="Arial"/>
          <w:kern w:val="1"/>
          <w:sz w:val="22"/>
          <w:szCs w:val="22"/>
        </w:rPr>
        <w:t>Campennì</w:t>
      </w:r>
      <w:proofErr w:type="spellEnd"/>
      <w:r w:rsidRPr="00DD448A">
        <w:rPr>
          <w:rFonts w:ascii="Arial" w:hAnsi="Arial" w:cs="Arial"/>
          <w:kern w:val="1"/>
          <w:sz w:val="22"/>
          <w:szCs w:val="22"/>
        </w:rPr>
        <w:t xml:space="preserve"> A, </w:t>
      </w:r>
      <w:proofErr w:type="spellStart"/>
      <w:r w:rsidRPr="00DD448A">
        <w:rPr>
          <w:rFonts w:ascii="Arial" w:hAnsi="Arial" w:cs="Arial"/>
          <w:kern w:val="1"/>
          <w:sz w:val="22"/>
          <w:szCs w:val="22"/>
        </w:rPr>
        <w:t>Aguennouz</w:t>
      </w:r>
      <w:proofErr w:type="spellEnd"/>
      <w:r w:rsidRPr="00DD448A">
        <w:rPr>
          <w:rFonts w:ascii="Arial" w:hAnsi="Arial" w:cs="Arial"/>
          <w:kern w:val="1"/>
          <w:sz w:val="22"/>
          <w:szCs w:val="22"/>
        </w:rPr>
        <w:t xml:space="preserve"> M, Siracusa M, Alibrandi A, Polito F, Oteri R, </w:t>
      </w:r>
      <w:proofErr w:type="spellStart"/>
      <w:r w:rsidRPr="00DD448A">
        <w:rPr>
          <w:rFonts w:ascii="Arial" w:hAnsi="Arial" w:cs="Arial"/>
          <w:kern w:val="1"/>
          <w:sz w:val="22"/>
          <w:szCs w:val="22"/>
        </w:rPr>
        <w:t>Baldari</w:t>
      </w:r>
      <w:proofErr w:type="spellEnd"/>
      <w:r w:rsidRPr="00DD448A">
        <w:rPr>
          <w:rFonts w:ascii="Arial" w:hAnsi="Arial" w:cs="Arial"/>
          <w:kern w:val="1"/>
          <w:sz w:val="22"/>
          <w:szCs w:val="22"/>
        </w:rPr>
        <w:t xml:space="preserve"> S, Ruggeri RM, </w:t>
      </w:r>
      <w:proofErr w:type="spellStart"/>
      <w:r w:rsidRPr="00DD448A">
        <w:rPr>
          <w:rFonts w:ascii="Arial" w:hAnsi="Arial" w:cs="Arial"/>
          <w:kern w:val="1"/>
          <w:sz w:val="22"/>
          <w:szCs w:val="22"/>
        </w:rPr>
        <w:t>Giovanella</w:t>
      </w:r>
      <w:proofErr w:type="spellEnd"/>
      <w:r w:rsidRPr="00DD448A">
        <w:rPr>
          <w:rFonts w:ascii="Arial" w:hAnsi="Arial" w:cs="Arial"/>
          <w:kern w:val="1"/>
          <w:sz w:val="22"/>
          <w:szCs w:val="22"/>
        </w:rPr>
        <w:t xml:space="preserve"> L. Thyroid Cancer Persistence in Patients with Unreliable Thyroglobulin Measurement: Circulating microRNA as Candidate Alternative Biomarkers. </w:t>
      </w:r>
      <w:r w:rsidRPr="00DD448A">
        <w:rPr>
          <w:rFonts w:ascii="Arial" w:hAnsi="Arial" w:cs="Arial"/>
          <w:iCs/>
          <w:kern w:val="1"/>
          <w:sz w:val="22"/>
          <w:szCs w:val="22"/>
        </w:rPr>
        <w:t>Cancers (Basel)</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2022;14(22).</w:t>
      </w:r>
    </w:p>
    <w:p w14:paraId="2FA618EA" w14:textId="77777777" w:rsidR="005C4829" w:rsidRPr="00DD448A" w:rsidRDefault="005C4829" w:rsidP="00F82953">
      <w:pPr>
        <w:autoSpaceDE w:val="0"/>
        <w:autoSpaceDN w:val="0"/>
        <w:adjustRightInd w:val="0"/>
        <w:spacing w:after="0" w:line="276" w:lineRule="auto"/>
        <w:ind w:left="576" w:hanging="576"/>
        <w:rPr>
          <w:rFonts w:ascii="Arial" w:hAnsi="Arial" w:cs="Arial"/>
          <w:kern w:val="1"/>
          <w:sz w:val="22"/>
          <w:szCs w:val="22"/>
        </w:rPr>
      </w:pPr>
      <w:r w:rsidRPr="00DD448A">
        <w:rPr>
          <w:rFonts w:ascii="Arial" w:hAnsi="Arial" w:cs="Arial"/>
          <w:kern w:val="1"/>
          <w:sz w:val="22"/>
          <w:szCs w:val="22"/>
        </w:rPr>
        <w:t>710.</w:t>
      </w:r>
      <w:r w:rsidRPr="00DD448A">
        <w:rPr>
          <w:rFonts w:ascii="Arial" w:hAnsi="Arial" w:cs="Arial"/>
          <w:kern w:val="1"/>
          <w:sz w:val="22"/>
          <w:szCs w:val="22"/>
        </w:rPr>
        <w:tab/>
        <w:t xml:space="preserve">Fagin JA, Nikiforov YE. Progress in Thyroid Cancer Genomics: A 40-Year Journey. </w:t>
      </w:r>
      <w:r w:rsidRPr="00DD448A">
        <w:rPr>
          <w:rFonts w:ascii="Arial" w:hAnsi="Arial" w:cs="Arial"/>
          <w:iCs/>
          <w:kern w:val="1"/>
          <w:sz w:val="22"/>
          <w:szCs w:val="22"/>
        </w:rPr>
        <w:t>Thyroid</w:t>
      </w:r>
      <w:r w:rsidRPr="00DD448A">
        <w:rPr>
          <w:rFonts w:ascii="Arial" w:hAnsi="Arial" w:cs="Arial"/>
          <w:kern w:val="1"/>
          <w:sz w:val="22"/>
          <w:szCs w:val="22"/>
        </w:rPr>
        <w:t>.</w:t>
      </w:r>
      <w:r w:rsidRPr="00DD448A">
        <w:rPr>
          <w:rFonts w:ascii="Arial" w:hAnsi="Arial" w:cs="Arial"/>
          <w:iCs/>
          <w:kern w:val="1"/>
          <w:sz w:val="22"/>
          <w:szCs w:val="22"/>
        </w:rPr>
        <w:t xml:space="preserve"> </w:t>
      </w:r>
      <w:r w:rsidRPr="00DD448A">
        <w:rPr>
          <w:rFonts w:ascii="Arial" w:hAnsi="Arial" w:cs="Arial"/>
          <w:kern w:val="1"/>
          <w:sz w:val="22"/>
          <w:szCs w:val="22"/>
        </w:rPr>
        <w:t>2023;33(11):1271-1286.</w:t>
      </w:r>
    </w:p>
    <w:p w14:paraId="2B1B5028" w14:textId="77777777" w:rsidR="006D2BAB" w:rsidRPr="00DD448A" w:rsidRDefault="006D2BAB" w:rsidP="00F82953">
      <w:pPr>
        <w:spacing w:after="0" w:line="276" w:lineRule="auto"/>
        <w:ind w:left="576" w:hanging="576"/>
        <w:rPr>
          <w:rFonts w:ascii="Arial" w:hAnsi="Arial" w:cs="Arial"/>
          <w:sz w:val="22"/>
          <w:szCs w:val="22"/>
        </w:rPr>
      </w:pPr>
    </w:p>
    <w:p w14:paraId="59490697" w14:textId="77777777" w:rsidR="003A7D79" w:rsidRPr="00F82953" w:rsidRDefault="003A7D79" w:rsidP="00F82953">
      <w:pPr>
        <w:spacing w:after="0" w:line="276" w:lineRule="auto"/>
        <w:ind w:left="576" w:hanging="576"/>
        <w:rPr>
          <w:rFonts w:ascii="Arial" w:hAnsi="Arial" w:cs="Arial"/>
          <w:sz w:val="22"/>
          <w:szCs w:val="22"/>
        </w:rPr>
      </w:pPr>
    </w:p>
    <w:sectPr w:rsidR="003A7D79" w:rsidRPr="00F82953" w:rsidSect="005C4829">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70330DF"/>
    <w:multiLevelType w:val="hybridMultilevel"/>
    <w:tmpl w:val="DC3C7EB4"/>
    <w:lvl w:ilvl="0" w:tplc="6076FFB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EB540A"/>
    <w:multiLevelType w:val="hybridMultilevel"/>
    <w:tmpl w:val="1D1C0C80"/>
    <w:lvl w:ilvl="0" w:tplc="F36AD064">
      <w:start w:val="9"/>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3" w15:restartNumberingAfterBreak="0">
    <w:nsid w:val="3C07208D"/>
    <w:multiLevelType w:val="hybridMultilevel"/>
    <w:tmpl w:val="176CCC80"/>
    <w:lvl w:ilvl="0" w:tplc="ACDC22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8E5A88"/>
    <w:multiLevelType w:val="hybridMultilevel"/>
    <w:tmpl w:val="42A07C00"/>
    <w:lvl w:ilvl="0" w:tplc="F72E480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CBB0044"/>
    <w:multiLevelType w:val="hybridMultilevel"/>
    <w:tmpl w:val="75B29C3A"/>
    <w:lvl w:ilvl="0" w:tplc="2FAEA00C">
      <w:start w:val="1"/>
      <w:numFmt w:val="lowerRoman"/>
      <w:lvlText w:val="(%1)"/>
      <w:lvlJc w:val="left"/>
      <w:pPr>
        <w:ind w:left="3600" w:hanging="72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5BD37CF1"/>
    <w:multiLevelType w:val="hybridMultilevel"/>
    <w:tmpl w:val="B238A838"/>
    <w:lvl w:ilvl="0" w:tplc="73D6476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6A1D2570"/>
    <w:multiLevelType w:val="hybridMultilevel"/>
    <w:tmpl w:val="9A3A4D60"/>
    <w:lvl w:ilvl="0" w:tplc="CAC80E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60781D"/>
    <w:multiLevelType w:val="hybridMultilevel"/>
    <w:tmpl w:val="4C6A0FC6"/>
    <w:lvl w:ilvl="0" w:tplc="9F7E2E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10E69B2"/>
    <w:multiLevelType w:val="hybridMultilevel"/>
    <w:tmpl w:val="C00C3E3A"/>
    <w:lvl w:ilvl="0" w:tplc="E89E84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E75404"/>
    <w:multiLevelType w:val="hybridMultilevel"/>
    <w:tmpl w:val="7DDE1344"/>
    <w:lvl w:ilvl="0" w:tplc="254C48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A13096"/>
    <w:multiLevelType w:val="hybridMultilevel"/>
    <w:tmpl w:val="EA0EDB6A"/>
    <w:lvl w:ilvl="0" w:tplc="F7307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8B16087"/>
    <w:multiLevelType w:val="hybridMultilevel"/>
    <w:tmpl w:val="1918F25A"/>
    <w:lvl w:ilvl="0" w:tplc="5C28F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F1E7FD5"/>
    <w:multiLevelType w:val="hybridMultilevel"/>
    <w:tmpl w:val="ED101D0E"/>
    <w:lvl w:ilvl="0" w:tplc="0E7C2FD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4" w15:restartNumberingAfterBreak="0">
    <w:nsid w:val="7FEA770D"/>
    <w:multiLevelType w:val="hybridMultilevel"/>
    <w:tmpl w:val="99246E44"/>
    <w:lvl w:ilvl="0" w:tplc="FE5E147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96898130">
    <w:abstractNumId w:val="0"/>
  </w:num>
  <w:num w:numId="2" w16cid:durableId="474110035">
    <w:abstractNumId w:val="1"/>
  </w:num>
  <w:num w:numId="3" w16cid:durableId="1016153056">
    <w:abstractNumId w:val="2"/>
  </w:num>
  <w:num w:numId="4" w16cid:durableId="675421261">
    <w:abstractNumId w:val="3"/>
  </w:num>
  <w:num w:numId="5" w16cid:durableId="2080596821">
    <w:abstractNumId w:val="4"/>
  </w:num>
  <w:num w:numId="6" w16cid:durableId="56124210">
    <w:abstractNumId w:val="5"/>
  </w:num>
  <w:num w:numId="7" w16cid:durableId="1176001742">
    <w:abstractNumId w:val="6"/>
  </w:num>
  <w:num w:numId="8" w16cid:durableId="400643319">
    <w:abstractNumId w:val="7"/>
  </w:num>
  <w:num w:numId="9" w16cid:durableId="1427992591">
    <w:abstractNumId w:val="8"/>
  </w:num>
  <w:num w:numId="10" w16cid:durableId="1094520831">
    <w:abstractNumId w:val="9"/>
  </w:num>
  <w:num w:numId="11" w16cid:durableId="1255869095">
    <w:abstractNumId w:val="10"/>
  </w:num>
  <w:num w:numId="12" w16cid:durableId="1996882192">
    <w:abstractNumId w:val="17"/>
  </w:num>
  <w:num w:numId="13" w16cid:durableId="475684331">
    <w:abstractNumId w:val="18"/>
  </w:num>
  <w:num w:numId="14" w16cid:durableId="673453340">
    <w:abstractNumId w:val="15"/>
  </w:num>
  <w:num w:numId="15" w16cid:durableId="1744133903">
    <w:abstractNumId w:val="20"/>
  </w:num>
  <w:num w:numId="16" w16cid:durableId="1911033552">
    <w:abstractNumId w:val="24"/>
  </w:num>
  <w:num w:numId="17" w16cid:durableId="235552024">
    <w:abstractNumId w:val="14"/>
  </w:num>
  <w:num w:numId="18" w16cid:durableId="1737315347">
    <w:abstractNumId w:val="11"/>
  </w:num>
  <w:num w:numId="19" w16cid:durableId="627006979">
    <w:abstractNumId w:val="19"/>
  </w:num>
  <w:num w:numId="20" w16cid:durableId="1013413078">
    <w:abstractNumId w:val="23"/>
  </w:num>
  <w:num w:numId="21" w16cid:durableId="699401236">
    <w:abstractNumId w:val="22"/>
  </w:num>
  <w:num w:numId="22" w16cid:durableId="1643148954">
    <w:abstractNumId w:val="16"/>
  </w:num>
  <w:num w:numId="23" w16cid:durableId="725180268">
    <w:abstractNumId w:val="12"/>
  </w:num>
  <w:num w:numId="24" w16cid:durableId="1587691132">
    <w:abstractNumId w:val="13"/>
  </w:num>
  <w:num w:numId="25" w16cid:durableId="5457951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829"/>
    <w:rsid w:val="000029B6"/>
    <w:rsid w:val="00004EA5"/>
    <w:rsid w:val="0000545F"/>
    <w:rsid w:val="00007130"/>
    <w:rsid w:val="0001078E"/>
    <w:rsid w:val="0001447C"/>
    <w:rsid w:val="00023118"/>
    <w:rsid w:val="000243C5"/>
    <w:rsid w:val="00030803"/>
    <w:rsid w:val="000308FC"/>
    <w:rsid w:val="000326A4"/>
    <w:rsid w:val="00040090"/>
    <w:rsid w:val="000451A7"/>
    <w:rsid w:val="0005059A"/>
    <w:rsid w:val="00055631"/>
    <w:rsid w:val="00055D25"/>
    <w:rsid w:val="000602FF"/>
    <w:rsid w:val="000605E6"/>
    <w:rsid w:val="00060708"/>
    <w:rsid w:val="00061C63"/>
    <w:rsid w:val="00062135"/>
    <w:rsid w:val="00067BFE"/>
    <w:rsid w:val="000718B0"/>
    <w:rsid w:val="000718DB"/>
    <w:rsid w:val="0007360A"/>
    <w:rsid w:val="00074116"/>
    <w:rsid w:val="00077340"/>
    <w:rsid w:val="00085C0E"/>
    <w:rsid w:val="00085E8D"/>
    <w:rsid w:val="00086E3A"/>
    <w:rsid w:val="00087042"/>
    <w:rsid w:val="000A5219"/>
    <w:rsid w:val="000A6FA7"/>
    <w:rsid w:val="000B2FA8"/>
    <w:rsid w:val="000B4430"/>
    <w:rsid w:val="000C2CA3"/>
    <w:rsid w:val="000C3D51"/>
    <w:rsid w:val="000D20EB"/>
    <w:rsid w:val="000D35B6"/>
    <w:rsid w:val="000E1730"/>
    <w:rsid w:val="000F0C0E"/>
    <w:rsid w:val="000F115D"/>
    <w:rsid w:val="000F19B4"/>
    <w:rsid w:val="000F30DD"/>
    <w:rsid w:val="000F7E0E"/>
    <w:rsid w:val="00101E43"/>
    <w:rsid w:val="00102FD6"/>
    <w:rsid w:val="001067DD"/>
    <w:rsid w:val="00111A70"/>
    <w:rsid w:val="00113865"/>
    <w:rsid w:val="00114991"/>
    <w:rsid w:val="00116FF4"/>
    <w:rsid w:val="0012557B"/>
    <w:rsid w:val="00126687"/>
    <w:rsid w:val="00146154"/>
    <w:rsid w:val="00146989"/>
    <w:rsid w:val="00150D93"/>
    <w:rsid w:val="00152366"/>
    <w:rsid w:val="001538EB"/>
    <w:rsid w:val="001546F2"/>
    <w:rsid w:val="0015590E"/>
    <w:rsid w:val="00161765"/>
    <w:rsid w:val="00162B52"/>
    <w:rsid w:val="00163133"/>
    <w:rsid w:val="00167D30"/>
    <w:rsid w:val="00170BEF"/>
    <w:rsid w:val="001716C7"/>
    <w:rsid w:val="00171D22"/>
    <w:rsid w:val="00177A37"/>
    <w:rsid w:val="00190C51"/>
    <w:rsid w:val="001917CC"/>
    <w:rsid w:val="001933E1"/>
    <w:rsid w:val="001936F8"/>
    <w:rsid w:val="00196584"/>
    <w:rsid w:val="001A113F"/>
    <w:rsid w:val="001A1C32"/>
    <w:rsid w:val="001A3ED9"/>
    <w:rsid w:val="001A51F5"/>
    <w:rsid w:val="001A5CC2"/>
    <w:rsid w:val="001B4520"/>
    <w:rsid w:val="001B5073"/>
    <w:rsid w:val="001B5979"/>
    <w:rsid w:val="001B7441"/>
    <w:rsid w:val="001C21A5"/>
    <w:rsid w:val="001C2988"/>
    <w:rsid w:val="001C548F"/>
    <w:rsid w:val="001C661A"/>
    <w:rsid w:val="001D1D74"/>
    <w:rsid w:val="001E022F"/>
    <w:rsid w:val="001E02A8"/>
    <w:rsid w:val="001E4D84"/>
    <w:rsid w:val="001E5BD5"/>
    <w:rsid w:val="001E6CD6"/>
    <w:rsid w:val="001F5F79"/>
    <w:rsid w:val="002002D9"/>
    <w:rsid w:val="0020533A"/>
    <w:rsid w:val="002115A2"/>
    <w:rsid w:val="00213783"/>
    <w:rsid w:val="00220F4C"/>
    <w:rsid w:val="00221B85"/>
    <w:rsid w:val="0022579F"/>
    <w:rsid w:val="0022722C"/>
    <w:rsid w:val="00230148"/>
    <w:rsid w:val="00234544"/>
    <w:rsid w:val="00236C45"/>
    <w:rsid w:val="00237A59"/>
    <w:rsid w:val="00252DFF"/>
    <w:rsid w:val="00255946"/>
    <w:rsid w:val="00255C4B"/>
    <w:rsid w:val="00260D14"/>
    <w:rsid w:val="0026209C"/>
    <w:rsid w:val="00272C06"/>
    <w:rsid w:val="0027665C"/>
    <w:rsid w:val="00277F6D"/>
    <w:rsid w:val="0028014F"/>
    <w:rsid w:val="00280B3F"/>
    <w:rsid w:val="002860A0"/>
    <w:rsid w:val="00291563"/>
    <w:rsid w:val="00297CE7"/>
    <w:rsid w:val="002B2ACF"/>
    <w:rsid w:val="002B671B"/>
    <w:rsid w:val="002C2A0B"/>
    <w:rsid w:val="002D075A"/>
    <w:rsid w:val="002D31FD"/>
    <w:rsid w:val="002D322A"/>
    <w:rsid w:val="002D365F"/>
    <w:rsid w:val="002D7351"/>
    <w:rsid w:val="002E26B9"/>
    <w:rsid w:val="002E651F"/>
    <w:rsid w:val="0030016F"/>
    <w:rsid w:val="003004AB"/>
    <w:rsid w:val="0030455C"/>
    <w:rsid w:val="00304E29"/>
    <w:rsid w:val="00312142"/>
    <w:rsid w:val="00312E37"/>
    <w:rsid w:val="0031684D"/>
    <w:rsid w:val="00325CA6"/>
    <w:rsid w:val="00325D13"/>
    <w:rsid w:val="003275F8"/>
    <w:rsid w:val="00330908"/>
    <w:rsid w:val="00342031"/>
    <w:rsid w:val="00343D69"/>
    <w:rsid w:val="003502AC"/>
    <w:rsid w:val="00351E8C"/>
    <w:rsid w:val="003549BC"/>
    <w:rsid w:val="00357E97"/>
    <w:rsid w:val="00360BCF"/>
    <w:rsid w:val="0036482C"/>
    <w:rsid w:val="0037402D"/>
    <w:rsid w:val="003774D0"/>
    <w:rsid w:val="0038344D"/>
    <w:rsid w:val="003869EF"/>
    <w:rsid w:val="00391D01"/>
    <w:rsid w:val="00392D1C"/>
    <w:rsid w:val="00394DC6"/>
    <w:rsid w:val="003A61D1"/>
    <w:rsid w:val="003A7D79"/>
    <w:rsid w:val="003B3281"/>
    <w:rsid w:val="003B3BAE"/>
    <w:rsid w:val="003C4DB7"/>
    <w:rsid w:val="003D0826"/>
    <w:rsid w:val="003E059A"/>
    <w:rsid w:val="003E0F16"/>
    <w:rsid w:val="003E4D84"/>
    <w:rsid w:val="003E7204"/>
    <w:rsid w:val="003F13F4"/>
    <w:rsid w:val="003F14D2"/>
    <w:rsid w:val="003F1637"/>
    <w:rsid w:val="003F1A30"/>
    <w:rsid w:val="003F32F9"/>
    <w:rsid w:val="003F362E"/>
    <w:rsid w:val="003F44D6"/>
    <w:rsid w:val="003F5596"/>
    <w:rsid w:val="00404A4C"/>
    <w:rsid w:val="00405634"/>
    <w:rsid w:val="004070D5"/>
    <w:rsid w:val="00411622"/>
    <w:rsid w:val="004153DE"/>
    <w:rsid w:val="0041553C"/>
    <w:rsid w:val="00416C77"/>
    <w:rsid w:val="004176E8"/>
    <w:rsid w:val="00420640"/>
    <w:rsid w:val="00420B34"/>
    <w:rsid w:val="00421835"/>
    <w:rsid w:val="004225EF"/>
    <w:rsid w:val="00425837"/>
    <w:rsid w:val="004276EA"/>
    <w:rsid w:val="004301C0"/>
    <w:rsid w:val="004301E6"/>
    <w:rsid w:val="0043185E"/>
    <w:rsid w:val="0044072B"/>
    <w:rsid w:val="00441245"/>
    <w:rsid w:val="0044183B"/>
    <w:rsid w:val="00443029"/>
    <w:rsid w:val="00450A24"/>
    <w:rsid w:val="00451030"/>
    <w:rsid w:val="004541B0"/>
    <w:rsid w:val="00456527"/>
    <w:rsid w:val="00460524"/>
    <w:rsid w:val="0046218C"/>
    <w:rsid w:val="004622C6"/>
    <w:rsid w:val="00463819"/>
    <w:rsid w:val="004645CF"/>
    <w:rsid w:val="00466EBC"/>
    <w:rsid w:val="004674F1"/>
    <w:rsid w:val="0047010E"/>
    <w:rsid w:val="00470E2D"/>
    <w:rsid w:val="00472B8A"/>
    <w:rsid w:val="004756A5"/>
    <w:rsid w:val="00477A90"/>
    <w:rsid w:val="004804C0"/>
    <w:rsid w:val="00484006"/>
    <w:rsid w:val="004845DA"/>
    <w:rsid w:val="00487F9E"/>
    <w:rsid w:val="00492B7E"/>
    <w:rsid w:val="00494290"/>
    <w:rsid w:val="004973EC"/>
    <w:rsid w:val="004A1D9B"/>
    <w:rsid w:val="004A3C65"/>
    <w:rsid w:val="004A4E81"/>
    <w:rsid w:val="004A5FD6"/>
    <w:rsid w:val="004B2215"/>
    <w:rsid w:val="004B2426"/>
    <w:rsid w:val="004B461A"/>
    <w:rsid w:val="004B48BC"/>
    <w:rsid w:val="004C0865"/>
    <w:rsid w:val="004C36C8"/>
    <w:rsid w:val="004D2588"/>
    <w:rsid w:val="004D26AC"/>
    <w:rsid w:val="004D3E47"/>
    <w:rsid w:val="004D621E"/>
    <w:rsid w:val="004E01E2"/>
    <w:rsid w:val="004E09F6"/>
    <w:rsid w:val="004E1AE7"/>
    <w:rsid w:val="004E43AE"/>
    <w:rsid w:val="004E7718"/>
    <w:rsid w:val="004F165E"/>
    <w:rsid w:val="004F6DE2"/>
    <w:rsid w:val="004F7300"/>
    <w:rsid w:val="00502895"/>
    <w:rsid w:val="00506E68"/>
    <w:rsid w:val="005107D4"/>
    <w:rsid w:val="00516D43"/>
    <w:rsid w:val="00517D76"/>
    <w:rsid w:val="00522508"/>
    <w:rsid w:val="00524462"/>
    <w:rsid w:val="00527443"/>
    <w:rsid w:val="00527996"/>
    <w:rsid w:val="00527AEE"/>
    <w:rsid w:val="00533CC5"/>
    <w:rsid w:val="00534D3A"/>
    <w:rsid w:val="00536215"/>
    <w:rsid w:val="0053721C"/>
    <w:rsid w:val="0053763D"/>
    <w:rsid w:val="00537943"/>
    <w:rsid w:val="00537E99"/>
    <w:rsid w:val="00544837"/>
    <w:rsid w:val="00544CA4"/>
    <w:rsid w:val="00544E3A"/>
    <w:rsid w:val="00545E06"/>
    <w:rsid w:val="00546F6C"/>
    <w:rsid w:val="00554DA8"/>
    <w:rsid w:val="005567F3"/>
    <w:rsid w:val="00557008"/>
    <w:rsid w:val="00557855"/>
    <w:rsid w:val="0056314B"/>
    <w:rsid w:val="00565E6F"/>
    <w:rsid w:val="005707FD"/>
    <w:rsid w:val="00575A1B"/>
    <w:rsid w:val="00577D11"/>
    <w:rsid w:val="00581907"/>
    <w:rsid w:val="00584D8E"/>
    <w:rsid w:val="00585410"/>
    <w:rsid w:val="005903D5"/>
    <w:rsid w:val="00590D72"/>
    <w:rsid w:val="005932A4"/>
    <w:rsid w:val="0059492F"/>
    <w:rsid w:val="00596704"/>
    <w:rsid w:val="005968F4"/>
    <w:rsid w:val="00597399"/>
    <w:rsid w:val="005A07B9"/>
    <w:rsid w:val="005A0C27"/>
    <w:rsid w:val="005A4672"/>
    <w:rsid w:val="005A4AA7"/>
    <w:rsid w:val="005A782F"/>
    <w:rsid w:val="005B5650"/>
    <w:rsid w:val="005C4829"/>
    <w:rsid w:val="005C4CE7"/>
    <w:rsid w:val="005C5D94"/>
    <w:rsid w:val="005D0DBD"/>
    <w:rsid w:val="005D65B5"/>
    <w:rsid w:val="005D65DE"/>
    <w:rsid w:val="005E3C31"/>
    <w:rsid w:val="005E3E1A"/>
    <w:rsid w:val="005E403A"/>
    <w:rsid w:val="005E7F6E"/>
    <w:rsid w:val="005F5134"/>
    <w:rsid w:val="005F67C7"/>
    <w:rsid w:val="005F6FAF"/>
    <w:rsid w:val="00602F75"/>
    <w:rsid w:val="00604553"/>
    <w:rsid w:val="006057EA"/>
    <w:rsid w:val="00605840"/>
    <w:rsid w:val="00617D41"/>
    <w:rsid w:val="00620284"/>
    <w:rsid w:val="006215ED"/>
    <w:rsid w:val="00622B65"/>
    <w:rsid w:val="00622F41"/>
    <w:rsid w:val="00625816"/>
    <w:rsid w:val="00627B99"/>
    <w:rsid w:val="0063443C"/>
    <w:rsid w:val="00641C21"/>
    <w:rsid w:val="0064386E"/>
    <w:rsid w:val="006529F8"/>
    <w:rsid w:val="006552A9"/>
    <w:rsid w:val="00656C88"/>
    <w:rsid w:val="0066064A"/>
    <w:rsid w:val="00661C49"/>
    <w:rsid w:val="0066236E"/>
    <w:rsid w:val="006635B4"/>
    <w:rsid w:val="006665DD"/>
    <w:rsid w:val="00667E4D"/>
    <w:rsid w:val="0067162E"/>
    <w:rsid w:val="0067212F"/>
    <w:rsid w:val="00676B4A"/>
    <w:rsid w:val="00676C3F"/>
    <w:rsid w:val="00676DE1"/>
    <w:rsid w:val="006848AA"/>
    <w:rsid w:val="00684A8A"/>
    <w:rsid w:val="00690370"/>
    <w:rsid w:val="00690A96"/>
    <w:rsid w:val="00690E1F"/>
    <w:rsid w:val="00691BDD"/>
    <w:rsid w:val="00695D5A"/>
    <w:rsid w:val="006A03B2"/>
    <w:rsid w:val="006A0A19"/>
    <w:rsid w:val="006A2296"/>
    <w:rsid w:val="006A432A"/>
    <w:rsid w:val="006B06D6"/>
    <w:rsid w:val="006B5CD5"/>
    <w:rsid w:val="006B7221"/>
    <w:rsid w:val="006B783D"/>
    <w:rsid w:val="006C1BCE"/>
    <w:rsid w:val="006C27F4"/>
    <w:rsid w:val="006D13C2"/>
    <w:rsid w:val="006D2BAB"/>
    <w:rsid w:val="006D3AF3"/>
    <w:rsid w:val="006D3B47"/>
    <w:rsid w:val="006D6D7D"/>
    <w:rsid w:val="006E41E5"/>
    <w:rsid w:val="006E5504"/>
    <w:rsid w:val="006F186A"/>
    <w:rsid w:val="006F261A"/>
    <w:rsid w:val="006F699C"/>
    <w:rsid w:val="00700C48"/>
    <w:rsid w:val="00701246"/>
    <w:rsid w:val="00704189"/>
    <w:rsid w:val="00704A6B"/>
    <w:rsid w:val="0071075D"/>
    <w:rsid w:val="00712A1A"/>
    <w:rsid w:val="00716496"/>
    <w:rsid w:val="007173EE"/>
    <w:rsid w:val="0072223B"/>
    <w:rsid w:val="0072225B"/>
    <w:rsid w:val="00726095"/>
    <w:rsid w:val="00726906"/>
    <w:rsid w:val="00730EFC"/>
    <w:rsid w:val="00733B20"/>
    <w:rsid w:val="00742EBF"/>
    <w:rsid w:val="007430FF"/>
    <w:rsid w:val="00744F04"/>
    <w:rsid w:val="0074586A"/>
    <w:rsid w:val="007511CB"/>
    <w:rsid w:val="007526EE"/>
    <w:rsid w:val="00755D73"/>
    <w:rsid w:val="00761FBC"/>
    <w:rsid w:val="00767032"/>
    <w:rsid w:val="00775480"/>
    <w:rsid w:val="00786712"/>
    <w:rsid w:val="00786F8B"/>
    <w:rsid w:val="00794808"/>
    <w:rsid w:val="00797D28"/>
    <w:rsid w:val="007A1B70"/>
    <w:rsid w:val="007A3859"/>
    <w:rsid w:val="007A67A9"/>
    <w:rsid w:val="007B013B"/>
    <w:rsid w:val="007B1535"/>
    <w:rsid w:val="007B555E"/>
    <w:rsid w:val="007C105A"/>
    <w:rsid w:val="007C27BA"/>
    <w:rsid w:val="007C4858"/>
    <w:rsid w:val="007C4BE5"/>
    <w:rsid w:val="007C4CA0"/>
    <w:rsid w:val="007C5FE4"/>
    <w:rsid w:val="007D0492"/>
    <w:rsid w:val="007D4965"/>
    <w:rsid w:val="007D4D9E"/>
    <w:rsid w:val="007D52F5"/>
    <w:rsid w:val="007D7F25"/>
    <w:rsid w:val="007D7FDD"/>
    <w:rsid w:val="007E47FE"/>
    <w:rsid w:val="007E51C8"/>
    <w:rsid w:val="007F144A"/>
    <w:rsid w:val="007F5E1C"/>
    <w:rsid w:val="00802213"/>
    <w:rsid w:val="00803EAE"/>
    <w:rsid w:val="00811B84"/>
    <w:rsid w:val="00817063"/>
    <w:rsid w:val="008207BC"/>
    <w:rsid w:val="00820D83"/>
    <w:rsid w:val="0082178B"/>
    <w:rsid w:val="00821B71"/>
    <w:rsid w:val="00822EAF"/>
    <w:rsid w:val="0082336D"/>
    <w:rsid w:val="00826527"/>
    <w:rsid w:val="00827D84"/>
    <w:rsid w:val="0083337F"/>
    <w:rsid w:val="008355A5"/>
    <w:rsid w:val="0083577E"/>
    <w:rsid w:val="00835DDD"/>
    <w:rsid w:val="00837B25"/>
    <w:rsid w:val="00840D4E"/>
    <w:rsid w:val="008440EF"/>
    <w:rsid w:val="00850EDF"/>
    <w:rsid w:val="00855098"/>
    <w:rsid w:val="00857C3B"/>
    <w:rsid w:val="00861F4C"/>
    <w:rsid w:val="0086515E"/>
    <w:rsid w:val="0086571B"/>
    <w:rsid w:val="00872B84"/>
    <w:rsid w:val="00877C5E"/>
    <w:rsid w:val="00881CB4"/>
    <w:rsid w:val="00882099"/>
    <w:rsid w:val="00883B69"/>
    <w:rsid w:val="008857DF"/>
    <w:rsid w:val="00890FC9"/>
    <w:rsid w:val="00893918"/>
    <w:rsid w:val="0089614F"/>
    <w:rsid w:val="008A014B"/>
    <w:rsid w:val="008A03E2"/>
    <w:rsid w:val="008A27A1"/>
    <w:rsid w:val="008A7D3A"/>
    <w:rsid w:val="008B2B70"/>
    <w:rsid w:val="008B3E1C"/>
    <w:rsid w:val="008B41E0"/>
    <w:rsid w:val="008C1192"/>
    <w:rsid w:val="008C2B86"/>
    <w:rsid w:val="008C6C33"/>
    <w:rsid w:val="008D0218"/>
    <w:rsid w:val="008D105B"/>
    <w:rsid w:val="008D36F9"/>
    <w:rsid w:val="008E11EB"/>
    <w:rsid w:val="008E1FAF"/>
    <w:rsid w:val="008E6753"/>
    <w:rsid w:val="008E789E"/>
    <w:rsid w:val="008F5875"/>
    <w:rsid w:val="008F60E9"/>
    <w:rsid w:val="008F6C28"/>
    <w:rsid w:val="00903337"/>
    <w:rsid w:val="0090446B"/>
    <w:rsid w:val="00905136"/>
    <w:rsid w:val="00905223"/>
    <w:rsid w:val="009141F0"/>
    <w:rsid w:val="00914FC7"/>
    <w:rsid w:val="009163F7"/>
    <w:rsid w:val="009165F3"/>
    <w:rsid w:val="00917AE9"/>
    <w:rsid w:val="00917E7D"/>
    <w:rsid w:val="00924439"/>
    <w:rsid w:val="009249EB"/>
    <w:rsid w:val="00932BFA"/>
    <w:rsid w:val="00934AF9"/>
    <w:rsid w:val="00943F82"/>
    <w:rsid w:val="00946268"/>
    <w:rsid w:val="009472A0"/>
    <w:rsid w:val="00947D80"/>
    <w:rsid w:val="00947F5D"/>
    <w:rsid w:val="009556F4"/>
    <w:rsid w:val="0095625D"/>
    <w:rsid w:val="009601F4"/>
    <w:rsid w:val="009609A5"/>
    <w:rsid w:val="00960E30"/>
    <w:rsid w:val="0096298F"/>
    <w:rsid w:val="00965AFF"/>
    <w:rsid w:val="00990158"/>
    <w:rsid w:val="00991742"/>
    <w:rsid w:val="00992065"/>
    <w:rsid w:val="00995EFD"/>
    <w:rsid w:val="00996514"/>
    <w:rsid w:val="009A0C55"/>
    <w:rsid w:val="009A3601"/>
    <w:rsid w:val="009A59E7"/>
    <w:rsid w:val="009A6A46"/>
    <w:rsid w:val="009B1950"/>
    <w:rsid w:val="009B38DC"/>
    <w:rsid w:val="009B46C0"/>
    <w:rsid w:val="009B6D9D"/>
    <w:rsid w:val="009B6DAB"/>
    <w:rsid w:val="009B76FD"/>
    <w:rsid w:val="009C4673"/>
    <w:rsid w:val="009D054D"/>
    <w:rsid w:val="009D06C5"/>
    <w:rsid w:val="009D3A70"/>
    <w:rsid w:val="009D6120"/>
    <w:rsid w:val="009E1D94"/>
    <w:rsid w:val="009E3BE4"/>
    <w:rsid w:val="009F03B8"/>
    <w:rsid w:val="009F55C6"/>
    <w:rsid w:val="00A020D0"/>
    <w:rsid w:val="00A032F1"/>
    <w:rsid w:val="00A04BCD"/>
    <w:rsid w:val="00A05782"/>
    <w:rsid w:val="00A2289D"/>
    <w:rsid w:val="00A232C1"/>
    <w:rsid w:val="00A237A6"/>
    <w:rsid w:val="00A308D3"/>
    <w:rsid w:val="00A30A3A"/>
    <w:rsid w:val="00A37720"/>
    <w:rsid w:val="00A441BF"/>
    <w:rsid w:val="00A446DD"/>
    <w:rsid w:val="00A47BA1"/>
    <w:rsid w:val="00A50D25"/>
    <w:rsid w:val="00A534A3"/>
    <w:rsid w:val="00A56C39"/>
    <w:rsid w:val="00A6050F"/>
    <w:rsid w:val="00A61372"/>
    <w:rsid w:val="00A668EE"/>
    <w:rsid w:val="00A67598"/>
    <w:rsid w:val="00A725E6"/>
    <w:rsid w:val="00A753F9"/>
    <w:rsid w:val="00A80237"/>
    <w:rsid w:val="00A94040"/>
    <w:rsid w:val="00A967F1"/>
    <w:rsid w:val="00AA4362"/>
    <w:rsid w:val="00AA4BAF"/>
    <w:rsid w:val="00AB0CC2"/>
    <w:rsid w:val="00AB0DFB"/>
    <w:rsid w:val="00AB3367"/>
    <w:rsid w:val="00AB5B46"/>
    <w:rsid w:val="00AC1676"/>
    <w:rsid w:val="00AC253A"/>
    <w:rsid w:val="00AC30BD"/>
    <w:rsid w:val="00AC3BE9"/>
    <w:rsid w:val="00AC4AC8"/>
    <w:rsid w:val="00AC54D8"/>
    <w:rsid w:val="00AC676B"/>
    <w:rsid w:val="00AD51ED"/>
    <w:rsid w:val="00AE235B"/>
    <w:rsid w:val="00AE4191"/>
    <w:rsid w:val="00AF1062"/>
    <w:rsid w:val="00AF16DC"/>
    <w:rsid w:val="00AF25EA"/>
    <w:rsid w:val="00AF295B"/>
    <w:rsid w:val="00AF2FAF"/>
    <w:rsid w:val="00AF47E4"/>
    <w:rsid w:val="00B01B0C"/>
    <w:rsid w:val="00B10D6F"/>
    <w:rsid w:val="00B12BBD"/>
    <w:rsid w:val="00B1310D"/>
    <w:rsid w:val="00B13ADB"/>
    <w:rsid w:val="00B17717"/>
    <w:rsid w:val="00B2026B"/>
    <w:rsid w:val="00B20CA5"/>
    <w:rsid w:val="00B25BEC"/>
    <w:rsid w:val="00B31D00"/>
    <w:rsid w:val="00B32E2D"/>
    <w:rsid w:val="00B356BA"/>
    <w:rsid w:val="00B363BD"/>
    <w:rsid w:val="00B447EF"/>
    <w:rsid w:val="00B46B7F"/>
    <w:rsid w:val="00B471C8"/>
    <w:rsid w:val="00B506D9"/>
    <w:rsid w:val="00B51910"/>
    <w:rsid w:val="00B524CA"/>
    <w:rsid w:val="00B52E46"/>
    <w:rsid w:val="00B530BE"/>
    <w:rsid w:val="00B608CB"/>
    <w:rsid w:val="00B61C87"/>
    <w:rsid w:val="00B64D43"/>
    <w:rsid w:val="00B7486B"/>
    <w:rsid w:val="00B81FC2"/>
    <w:rsid w:val="00B833B4"/>
    <w:rsid w:val="00B9211F"/>
    <w:rsid w:val="00B970DA"/>
    <w:rsid w:val="00B97DF3"/>
    <w:rsid w:val="00BA00DC"/>
    <w:rsid w:val="00BA49B4"/>
    <w:rsid w:val="00BA6D8F"/>
    <w:rsid w:val="00BA7058"/>
    <w:rsid w:val="00BB04C0"/>
    <w:rsid w:val="00BB3C64"/>
    <w:rsid w:val="00BB6DEA"/>
    <w:rsid w:val="00BC1EDB"/>
    <w:rsid w:val="00BC222A"/>
    <w:rsid w:val="00BC2D24"/>
    <w:rsid w:val="00BC3DA2"/>
    <w:rsid w:val="00BD15AC"/>
    <w:rsid w:val="00BE16A6"/>
    <w:rsid w:val="00BE3541"/>
    <w:rsid w:val="00BE3DF9"/>
    <w:rsid w:val="00BF085D"/>
    <w:rsid w:val="00BF0B87"/>
    <w:rsid w:val="00BF1CBD"/>
    <w:rsid w:val="00C00015"/>
    <w:rsid w:val="00C03292"/>
    <w:rsid w:val="00C048F0"/>
    <w:rsid w:val="00C05A1A"/>
    <w:rsid w:val="00C12113"/>
    <w:rsid w:val="00C16CB8"/>
    <w:rsid w:val="00C24C65"/>
    <w:rsid w:val="00C25A2E"/>
    <w:rsid w:val="00C32C99"/>
    <w:rsid w:val="00C333E7"/>
    <w:rsid w:val="00C37089"/>
    <w:rsid w:val="00C41ED5"/>
    <w:rsid w:val="00C51F21"/>
    <w:rsid w:val="00C522F7"/>
    <w:rsid w:val="00C5739C"/>
    <w:rsid w:val="00C64561"/>
    <w:rsid w:val="00C663FD"/>
    <w:rsid w:val="00C71492"/>
    <w:rsid w:val="00C7311B"/>
    <w:rsid w:val="00C73131"/>
    <w:rsid w:val="00C74562"/>
    <w:rsid w:val="00C7616A"/>
    <w:rsid w:val="00C804C8"/>
    <w:rsid w:val="00C8207E"/>
    <w:rsid w:val="00C83BB6"/>
    <w:rsid w:val="00C904EE"/>
    <w:rsid w:val="00C92E8B"/>
    <w:rsid w:val="00C948C9"/>
    <w:rsid w:val="00C95F4A"/>
    <w:rsid w:val="00CA140D"/>
    <w:rsid w:val="00CA1B79"/>
    <w:rsid w:val="00CA4353"/>
    <w:rsid w:val="00CB0288"/>
    <w:rsid w:val="00CB0561"/>
    <w:rsid w:val="00CB21AF"/>
    <w:rsid w:val="00CB3D8E"/>
    <w:rsid w:val="00CB4203"/>
    <w:rsid w:val="00CC62EF"/>
    <w:rsid w:val="00CD2B01"/>
    <w:rsid w:val="00CD42DE"/>
    <w:rsid w:val="00CD70B6"/>
    <w:rsid w:val="00CD7DFB"/>
    <w:rsid w:val="00CE191D"/>
    <w:rsid w:val="00CE1ADE"/>
    <w:rsid w:val="00CE317D"/>
    <w:rsid w:val="00CE708E"/>
    <w:rsid w:val="00CF0A33"/>
    <w:rsid w:val="00CF4303"/>
    <w:rsid w:val="00D00D08"/>
    <w:rsid w:val="00D12629"/>
    <w:rsid w:val="00D14BB8"/>
    <w:rsid w:val="00D1503F"/>
    <w:rsid w:val="00D16115"/>
    <w:rsid w:val="00D17A5F"/>
    <w:rsid w:val="00D25786"/>
    <w:rsid w:val="00D25C4E"/>
    <w:rsid w:val="00D33135"/>
    <w:rsid w:val="00D34BB9"/>
    <w:rsid w:val="00D377B2"/>
    <w:rsid w:val="00D378A0"/>
    <w:rsid w:val="00D40FB7"/>
    <w:rsid w:val="00D41BB8"/>
    <w:rsid w:val="00D41C5F"/>
    <w:rsid w:val="00D51311"/>
    <w:rsid w:val="00D51412"/>
    <w:rsid w:val="00D519B4"/>
    <w:rsid w:val="00D53931"/>
    <w:rsid w:val="00D6017D"/>
    <w:rsid w:val="00D60A15"/>
    <w:rsid w:val="00D644F0"/>
    <w:rsid w:val="00D6782B"/>
    <w:rsid w:val="00D72222"/>
    <w:rsid w:val="00D742BC"/>
    <w:rsid w:val="00D76AD9"/>
    <w:rsid w:val="00D8028F"/>
    <w:rsid w:val="00D808FE"/>
    <w:rsid w:val="00D82BEA"/>
    <w:rsid w:val="00D871EE"/>
    <w:rsid w:val="00D95274"/>
    <w:rsid w:val="00DA0824"/>
    <w:rsid w:val="00DA1BD0"/>
    <w:rsid w:val="00DA3400"/>
    <w:rsid w:val="00DB021D"/>
    <w:rsid w:val="00DB049B"/>
    <w:rsid w:val="00DB68B6"/>
    <w:rsid w:val="00DB74F6"/>
    <w:rsid w:val="00DC3CCB"/>
    <w:rsid w:val="00DC5FE7"/>
    <w:rsid w:val="00DC6AAC"/>
    <w:rsid w:val="00DD0899"/>
    <w:rsid w:val="00DD448A"/>
    <w:rsid w:val="00DE2003"/>
    <w:rsid w:val="00DE2315"/>
    <w:rsid w:val="00DE25E4"/>
    <w:rsid w:val="00DE2EA7"/>
    <w:rsid w:val="00DE3383"/>
    <w:rsid w:val="00DE4CB0"/>
    <w:rsid w:val="00DE5B77"/>
    <w:rsid w:val="00DE5FD9"/>
    <w:rsid w:val="00DF0D93"/>
    <w:rsid w:val="00DF2E68"/>
    <w:rsid w:val="00DF5057"/>
    <w:rsid w:val="00E031E8"/>
    <w:rsid w:val="00E0435C"/>
    <w:rsid w:val="00E04DFF"/>
    <w:rsid w:val="00E055EB"/>
    <w:rsid w:val="00E058C3"/>
    <w:rsid w:val="00E05D40"/>
    <w:rsid w:val="00E078CE"/>
    <w:rsid w:val="00E1727A"/>
    <w:rsid w:val="00E175DB"/>
    <w:rsid w:val="00E24A3E"/>
    <w:rsid w:val="00E251F4"/>
    <w:rsid w:val="00E27ABD"/>
    <w:rsid w:val="00E31044"/>
    <w:rsid w:val="00E32192"/>
    <w:rsid w:val="00E33CA4"/>
    <w:rsid w:val="00E37002"/>
    <w:rsid w:val="00E4367E"/>
    <w:rsid w:val="00E51335"/>
    <w:rsid w:val="00E51784"/>
    <w:rsid w:val="00E54AD9"/>
    <w:rsid w:val="00E54DB7"/>
    <w:rsid w:val="00E54E01"/>
    <w:rsid w:val="00E57E92"/>
    <w:rsid w:val="00E64218"/>
    <w:rsid w:val="00E64868"/>
    <w:rsid w:val="00E64FB8"/>
    <w:rsid w:val="00E66141"/>
    <w:rsid w:val="00E70660"/>
    <w:rsid w:val="00E71413"/>
    <w:rsid w:val="00E71794"/>
    <w:rsid w:val="00E75056"/>
    <w:rsid w:val="00E76BB8"/>
    <w:rsid w:val="00E779A9"/>
    <w:rsid w:val="00E80FC6"/>
    <w:rsid w:val="00E82964"/>
    <w:rsid w:val="00E868CE"/>
    <w:rsid w:val="00E95EAD"/>
    <w:rsid w:val="00EA012B"/>
    <w:rsid w:val="00EA2D16"/>
    <w:rsid w:val="00EA339B"/>
    <w:rsid w:val="00EA4BFC"/>
    <w:rsid w:val="00EA5879"/>
    <w:rsid w:val="00EA5A2C"/>
    <w:rsid w:val="00EA5AC6"/>
    <w:rsid w:val="00EA71AA"/>
    <w:rsid w:val="00EB1704"/>
    <w:rsid w:val="00EB29B8"/>
    <w:rsid w:val="00EB2C64"/>
    <w:rsid w:val="00EB781C"/>
    <w:rsid w:val="00EC118B"/>
    <w:rsid w:val="00EC3246"/>
    <w:rsid w:val="00ED2422"/>
    <w:rsid w:val="00ED2CE4"/>
    <w:rsid w:val="00ED3AAD"/>
    <w:rsid w:val="00ED5905"/>
    <w:rsid w:val="00EE2B64"/>
    <w:rsid w:val="00EF0F7D"/>
    <w:rsid w:val="00F06EA7"/>
    <w:rsid w:val="00F105B4"/>
    <w:rsid w:val="00F10B66"/>
    <w:rsid w:val="00F142E8"/>
    <w:rsid w:val="00F15A18"/>
    <w:rsid w:val="00F15D21"/>
    <w:rsid w:val="00F15E36"/>
    <w:rsid w:val="00F16414"/>
    <w:rsid w:val="00F165BF"/>
    <w:rsid w:val="00F213EC"/>
    <w:rsid w:val="00F22806"/>
    <w:rsid w:val="00F241B2"/>
    <w:rsid w:val="00F30EA4"/>
    <w:rsid w:val="00F31380"/>
    <w:rsid w:val="00F37094"/>
    <w:rsid w:val="00F377A6"/>
    <w:rsid w:val="00F462FA"/>
    <w:rsid w:val="00F50BF2"/>
    <w:rsid w:val="00F5182B"/>
    <w:rsid w:val="00F532A5"/>
    <w:rsid w:val="00F6140B"/>
    <w:rsid w:val="00F64F73"/>
    <w:rsid w:val="00F75BA9"/>
    <w:rsid w:val="00F82953"/>
    <w:rsid w:val="00F833EC"/>
    <w:rsid w:val="00F9215A"/>
    <w:rsid w:val="00F9649F"/>
    <w:rsid w:val="00FA0ED3"/>
    <w:rsid w:val="00FA14CC"/>
    <w:rsid w:val="00FA4240"/>
    <w:rsid w:val="00FA7757"/>
    <w:rsid w:val="00FB045C"/>
    <w:rsid w:val="00FB44BD"/>
    <w:rsid w:val="00FB56EA"/>
    <w:rsid w:val="00FC3B19"/>
    <w:rsid w:val="00FC6CF9"/>
    <w:rsid w:val="00FC7D88"/>
    <w:rsid w:val="00FD771A"/>
    <w:rsid w:val="00FE0BCD"/>
    <w:rsid w:val="00FE3E44"/>
    <w:rsid w:val="00FE731D"/>
    <w:rsid w:val="00FE770C"/>
    <w:rsid w:val="00FE7CAB"/>
    <w:rsid w:val="00FF25D8"/>
    <w:rsid w:val="00FF42EE"/>
    <w:rsid w:val="00FF44F0"/>
    <w:rsid w:val="00FF5FD6"/>
    <w:rsid w:val="00FF6A92"/>
    <w:rsid w:val="00FF7C56"/>
    <w:rsid w:val="00FF7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EF513"/>
  <w15:chartTrackingRefBased/>
  <w15:docId w15:val="{91393F6A-F93A-9E43-B73F-04EF8D93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FD6"/>
  </w:style>
  <w:style w:type="paragraph" w:styleId="Heading1">
    <w:name w:val="heading 1"/>
    <w:basedOn w:val="Normal"/>
    <w:next w:val="Normal"/>
    <w:link w:val="Heading1Char"/>
    <w:uiPriority w:val="9"/>
    <w:qFormat/>
    <w:rsid w:val="005C48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48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48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48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48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48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48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48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48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8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48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48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48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48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48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48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48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4829"/>
    <w:rPr>
      <w:rFonts w:eastAsiaTheme="majorEastAsia" w:cstheme="majorBidi"/>
      <w:color w:val="272727" w:themeColor="text1" w:themeTint="D8"/>
    </w:rPr>
  </w:style>
  <w:style w:type="paragraph" w:styleId="Title">
    <w:name w:val="Title"/>
    <w:basedOn w:val="Normal"/>
    <w:next w:val="Normal"/>
    <w:link w:val="TitleChar"/>
    <w:uiPriority w:val="10"/>
    <w:qFormat/>
    <w:rsid w:val="005C48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48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48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48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4829"/>
    <w:pPr>
      <w:spacing w:before="160"/>
      <w:jc w:val="center"/>
    </w:pPr>
    <w:rPr>
      <w:i/>
      <w:iCs/>
      <w:color w:val="404040" w:themeColor="text1" w:themeTint="BF"/>
    </w:rPr>
  </w:style>
  <w:style w:type="character" w:customStyle="1" w:styleId="QuoteChar">
    <w:name w:val="Quote Char"/>
    <w:basedOn w:val="DefaultParagraphFont"/>
    <w:link w:val="Quote"/>
    <w:uiPriority w:val="29"/>
    <w:rsid w:val="005C4829"/>
    <w:rPr>
      <w:i/>
      <w:iCs/>
      <w:color w:val="404040" w:themeColor="text1" w:themeTint="BF"/>
    </w:rPr>
  </w:style>
  <w:style w:type="paragraph" w:styleId="ListParagraph">
    <w:name w:val="List Paragraph"/>
    <w:basedOn w:val="Normal"/>
    <w:uiPriority w:val="34"/>
    <w:qFormat/>
    <w:rsid w:val="005C4829"/>
    <w:pPr>
      <w:ind w:left="720"/>
      <w:contextualSpacing/>
    </w:pPr>
  </w:style>
  <w:style w:type="character" w:styleId="IntenseEmphasis">
    <w:name w:val="Intense Emphasis"/>
    <w:basedOn w:val="DefaultParagraphFont"/>
    <w:uiPriority w:val="21"/>
    <w:qFormat/>
    <w:rsid w:val="005C4829"/>
    <w:rPr>
      <w:i/>
      <w:iCs/>
      <w:color w:val="0F4761" w:themeColor="accent1" w:themeShade="BF"/>
    </w:rPr>
  </w:style>
  <w:style w:type="paragraph" w:styleId="IntenseQuote">
    <w:name w:val="Intense Quote"/>
    <w:basedOn w:val="Normal"/>
    <w:next w:val="Normal"/>
    <w:link w:val="IntenseQuoteChar"/>
    <w:uiPriority w:val="30"/>
    <w:qFormat/>
    <w:rsid w:val="005C48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4829"/>
    <w:rPr>
      <w:i/>
      <w:iCs/>
      <w:color w:val="0F4761" w:themeColor="accent1" w:themeShade="BF"/>
    </w:rPr>
  </w:style>
  <w:style w:type="character" w:styleId="IntenseReference">
    <w:name w:val="Intense Reference"/>
    <w:basedOn w:val="DefaultParagraphFont"/>
    <w:uiPriority w:val="32"/>
    <w:qFormat/>
    <w:rsid w:val="005C48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1567</TotalTime>
  <Pages>97</Pages>
  <Words>42461</Words>
  <Characters>242029</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Ann Spencer</dc:creator>
  <cp:keywords/>
  <dc:description/>
  <cp:lastModifiedBy>Kenneth Feingold</cp:lastModifiedBy>
  <cp:revision>279</cp:revision>
  <cp:lastPrinted>2025-04-29T19:49:00Z</cp:lastPrinted>
  <dcterms:created xsi:type="dcterms:W3CDTF">2025-04-30T12:02:00Z</dcterms:created>
  <dcterms:modified xsi:type="dcterms:W3CDTF">2025-05-15T20:01:00Z</dcterms:modified>
</cp:coreProperties>
</file>