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6EC17" w14:textId="55E63817" w:rsidR="005E7CBF" w:rsidRPr="00416898" w:rsidRDefault="003C420F" w:rsidP="00C84278">
      <w:pPr>
        <w:pStyle w:val="Title"/>
        <w:spacing w:before="0" w:line="276" w:lineRule="auto"/>
        <w:ind w:left="0"/>
      </w:pPr>
      <w:r w:rsidRPr="00416898">
        <w:t>AUTOIMMUNE POLYGLANDULAR SYNDROMES</w:t>
      </w:r>
    </w:p>
    <w:p w14:paraId="6CC9D86D" w14:textId="77777777" w:rsidR="006E097C" w:rsidRPr="00416898" w:rsidRDefault="006E097C" w:rsidP="00C84278">
      <w:pPr>
        <w:pStyle w:val="BodyText"/>
        <w:spacing w:line="276" w:lineRule="auto"/>
        <w:rPr>
          <w:b/>
          <w:sz w:val="31"/>
          <w:lang w:val="en-US"/>
        </w:rPr>
      </w:pPr>
    </w:p>
    <w:p w14:paraId="1680B886" w14:textId="77777777" w:rsidR="006E097C" w:rsidRPr="00416898" w:rsidRDefault="003C420F" w:rsidP="00C84278">
      <w:pPr>
        <w:spacing w:line="276" w:lineRule="auto"/>
        <w:rPr>
          <w:w w:val="105"/>
          <w:sz w:val="20"/>
          <w:szCs w:val="20"/>
        </w:rPr>
      </w:pPr>
      <w:r w:rsidRPr="00416898">
        <w:rPr>
          <w:b/>
          <w:w w:val="105"/>
          <w:sz w:val="24"/>
        </w:rPr>
        <w:t>M</w:t>
      </w:r>
      <w:r w:rsidR="00CC4235">
        <w:rPr>
          <w:b/>
          <w:w w:val="105"/>
          <w:sz w:val="24"/>
        </w:rPr>
        <w:t>ark</w:t>
      </w:r>
      <w:r w:rsidRPr="00416898">
        <w:rPr>
          <w:b/>
          <w:spacing w:val="-18"/>
          <w:w w:val="105"/>
          <w:sz w:val="24"/>
        </w:rPr>
        <w:t xml:space="preserve"> </w:t>
      </w:r>
      <w:r w:rsidRPr="00416898">
        <w:rPr>
          <w:b/>
          <w:w w:val="105"/>
          <w:sz w:val="24"/>
        </w:rPr>
        <w:t>A</w:t>
      </w:r>
      <w:r w:rsidRPr="00416898">
        <w:rPr>
          <w:b/>
          <w:spacing w:val="-17"/>
          <w:w w:val="105"/>
          <w:sz w:val="24"/>
        </w:rPr>
        <w:t xml:space="preserve"> </w:t>
      </w:r>
      <w:r w:rsidRPr="00416898">
        <w:rPr>
          <w:b/>
          <w:w w:val="105"/>
          <w:sz w:val="24"/>
        </w:rPr>
        <w:t>S</w:t>
      </w:r>
      <w:r w:rsidR="00CC4235">
        <w:rPr>
          <w:b/>
          <w:w w:val="105"/>
          <w:sz w:val="24"/>
        </w:rPr>
        <w:t>perling</w:t>
      </w:r>
      <w:r w:rsidRPr="00416898">
        <w:rPr>
          <w:b/>
          <w:w w:val="105"/>
          <w:sz w:val="24"/>
        </w:rPr>
        <w:t>,</w:t>
      </w:r>
      <w:r w:rsidRPr="00416898">
        <w:rPr>
          <w:b/>
          <w:spacing w:val="-17"/>
          <w:w w:val="105"/>
          <w:sz w:val="24"/>
        </w:rPr>
        <w:t xml:space="preserve"> </w:t>
      </w:r>
      <w:r w:rsidRPr="00416898">
        <w:rPr>
          <w:w w:val="105"/>
          <w:sz w:val="20"/>
          <w:szCs w:val="20"/>
        </w:rPr>
        <w:t>Professorial</w:t>
      </w:r>
      <w:r w:rsidRPr="00416898">
        <w:rPr>
          <w:spacing w:val="-12"/>
          <w:w w:val="105"/>
          <w:sz w:val="20"/>
          <w:szCs w:val="20"/>
        </w:rPr>
        <w:t xml:space="preserve"> </w:t>
      </w:r>
      <w:r w:rsidRPr="00416898">
        <w:rPr>
          <w:w w:val="105"/>
          <w:sz w:val="20"/>
          <w:szCs w:val="20"/>
        </w:rPr>
        <w:t>Lecturer,</w:t>
      </w:r>
      <w:r w:rsidRPr="00416898">
        <w:rPr>
          <w:spacing w:val="-11"/>
          <w:w w:val="105"/>
          <w:sz w:val="20"/>
          <w:szCs w:val="20"/>
        </w:rPr>
        <w:t xml:space="preserve"> </w:t>
      </w:r>
      <w:r w:rsidRPr="00416898">
        <w:rPr>
          <w:w w:val="105"/>
          <w:sz w:val="20"/>
          <w:szCs w:val="20"/>
        </w:rPr>
        <w:t>Division</w:t>
      </w:r>
      <w:r w:rsidRPr="00416898">
        <w:rPr>
          <w:spacing w:val="-10"/>
          <w:w w:val="105"/>
          <w:sz w:val="20"/>
          <w:szCs w:val="20"/>
        </w:rPr>
        <w:t xml:space="preserve"> </w:t>
      </w:r>
      <w:r w:rsidRPr="00416898">
        <w:rPr>
          <w:w w:val="105"/>
          <w:sz w:val="20"/>
          <w:szCs w:val="20"/>
        </w:rPr>
        <w:t>of</w:t>
      </w:r>
      <w:r w:rsidRPr="00416898">
        <w:rPr>
          <w:spacing w:val="-12"/>
          <w:w w:val="105"/>
          <w:sz w:val="20"/>
          <w:szCs w:val="20"/>
        </w:rPr>
        <w:t xml:space="preserve"> </w:t>
      </w:r>
      <w:r w:rsidRPr="00416898">
        <w:rPr>
          <w:w w:val="105"/>
          <w:sz w:val="20"/>
          <w:szCs w:val="20"/>
        </w:rPr>
        <w:t>Pediatric</w:t>
      </w:r>
      <w:r w:rsidRPr="00416898">
        <w:rPr>
          <w:spacing w:val="-10"/>
          <w:w w:val="105"/>
          <w:sz w:val="20"/>
          <w:szCs w:val="20"/>
        </w:rPr>
        <w:t xml:space="preserve"> </w:t>
      </w:r>
      <w:r w:rsidRPr="00416898">
        <w:rPr>
          <w:w w:val="105"/>
          <w:sz w:val="20"/>
          <w:szCs w:val="20"/>
        </w:rPr>
        <w:t>Endocrinology</w:t>
      </w:r>
      <w:r w:rsidRPr="00416898">
        <w:rPr>
          <w:spacing w:val="-11"/>
          <w:w w:val="105"/>
          <w:sz w:val="20"/>
          <w:szCs w:val="20"/>
        </w:rPr>
        <w:t xml:space="preserve"> </w:t>
      </w:r>
      <w:r w:rsidRPr="00416898">
        <w:rPr>
          <w:w w:val="105"/>
          <w:sz w:val="20"/>
          <w:szCs w:val="20"/>
        </w:rPr>
        <w:t>and</w:t>
      </w:r>
      <w:r w:rsidRPr="00416898">
        <w:rPr>
          <w:spacing w:val="-10"/>
          <w:w w:val="105"/>
          <w:sz w:val="20"/>
          <w:szCs w:val="20"/>
        </w:rPr>
        <w:t xml:space="preserve"> </w:t>
      </w:r>
      <w:r w:rsidRPr="00416898">
        <w:rPr>
          <w:w w:val="105"/>
          <w:sz w:val="20"/>
          <w:szCs w:val="20"/>
        </w:rPr>
        <w:t>Diabetes,</w:t>
      </w:r>
      <w:r w:rsidRPr="00416898">
        <w:rPr>
          <w:spacing w:val="-12"/>
          <w:w w:val="105"/>
          <w:sz w:val="20"/>
          <w:szCs w:val="20"/>
        </w:rPr>
        <w:t xml:space="preserve"> </w:t>
      </w:r>
      <w:r w:rsidRPr="00416898">
        <w:rPr>
          <w:w w:val="105"/>
          <w:sz w:val="20"/>
          <w:szCs w:val="20"/>
        </w:rPr>
        <w:t>Icahn School of Medicine at Mount Sinai, New York, NY 10029, Emeritus Professor and Chair, Department of Pediatrics, University of</w:t>
      </w:r>
      <w:r w:rsidRPr="00416898">
        <w:rPr>
          <w:spacing w:val="1"/>
          <w:w w:val="105"/>
          <w:sz w:val="20"/>
          <w:szCs w:val="20"/>
        </w:rPr>
        <w:t xml:space="preserve"> </w:t>
      </w:r>
      <w:r w:rsidRPr="00416898">
        <w:rPr>
          <w:w w:val="105"/>
          <w:sz w:val="20"/>
          <w:szCs w:val="20"/>
        </w:rPr>
        <w:t>Pittsburgh</w:t>
      </w:r>
      <w:r w:rsidR="00F40609">
        <w:rPr>
          <w:w w:val="105"/>
          <w:sz w:val="20"/>
          <w:szCs w:val="20"/>
        </w:rPr>
        <w:t>. masp@pitt.edu</w:t>
      </w:r>
    </w:p>
    <w:p w14:paraId="6333A7F2" w14:textId="77777777" w:rsidR="00D33FE1" w:rsidRPr="00416898" w:rsidRDefault="00D33FE1" w:rsidP="00C84278">
      <w:pPr>
        <w:spacing w:line="276" w:lineRule="auto"/>
        <w:rPr>
          <w:sz w:val="19"/>
        </w:rPr>
      </w:pPr>
      <w:r w:rsidRPr="00416898">
        <w:rPr>
          <w:b/>
          <w:w w:val="105"/>
          <w:sz w:val="24"/>
          <w:szCs w:val="24"/>
        </w:rPr>
        <w:t>A</w:t>
      </w:r>
      <w:r w:rsidR="00CC4235">
        <w:rPr>
          <w:b/>
          <w:w w:val="105"/>
          <w:sz w:val="24"/>
          <w:szCs w:val="24"/>
        </w:rPr>
        <w:t>nna</w:t>
      </w:r>
      <w:r w:rsidRPr="00416898">
        <w:rPr>
          <w:b/>
          <w:w w:val="105"/>
          <w:sz w:val="24"/>
          <w:szCs w:val="24"/>
        </w:rPr>
        <w:t xml:space="preserve"> </w:t>
      </w:r>
      <w:bookmarkStart w:id="0" w:name="_Hlk62234224"/>
      <w:proofErr w:type="spellStart"/>
      <w:r w:rsidRPr="00416898">
        <w:rPr>
          <w:b/>
          <w:w w:val="105"/>
          <w:sz w:val="24"/>
          <w:szCs w:val="24"/>
        </w:rPr>
        <w:t>A</w:t>
      </w:r>
      <w:r w:rsidR="00CC4235">
        <w:rPr>
          <w:b/>
          <w:w w:val="105"/>
          <w:sz w:val="24"/>
          <w:szCs w:val="24"/>
        </w:rPr>
        <w:t>ngelousi</w:t>
      </w:r>
      <w:bookmarkEnd w:id="0"/>
      <w:proofErr w:type="spellEnd"/>
      <w:r w:rsidRPr="00416898">
        <w:rPr>
          <w:b/>
          <w:w w:val="105"/>
          <w:sz w:val="24"/>
        </w:rPr>
        <w:t xml:space="preserve">, </w:t>
      </w:r>
      <w:r w:rsidRPr="00416898">
        <w:rPr>
          <w:bCs/>
          <w:w w:val="105"/>
          <w:sz w:val="20"/>
          <w:szCs w:val="20"/>
        </w:rPr>
        <w:t>Assistant Professor, 1</w:t>
      </w:r>
      <w:r w:rsidRPr="00416898">
        <w:rPr>
          <w:bCs/>
          <w:w w:val="105"/>
          <w:sz w:val="20"/>
          <w:szCs w:val="20"/>
          <w:vertAlign w:val="superscript"/>
        </w:rPr>
        <w:t xml:space="preserve">st </w:t>
      </w:r>
      <w:r w:rsidRPr="00416898">
        <w:rPr>
          <w:bCs/>
          <w:sz w:val="20"/>
          <w:szCs w:val="20"/>
        </w:rPr>
        <w:t>Department of Internal Medicine, Unit of Endocrinology, National and Kapodistrian University of Athens</w:t>
      </w:r>
      <w:r w:rsidRPr="00416898">
        <w:rPr>
          <w:sz w:val="20"/>
          <w:szCs w:val="20"/>
        </w:rPr>
        <w:t>, Goudi, 11527</w:t>
      </w:r>
      <w:r w:rsidR="00F40609">
        <w:rPr>
          <w:sz w:val="20"/>
          <w:szCs w:val="20"/>
        </w:rPr>
        <w:t xml:space="preserve">. </w:t>
      </w:r>
      <w:r w:rsidR="00F40609" w:rsidRPr="00F40609">
        <w:rPr>
          <w:sz w:val="20"/>
          <w:szCs w:val="20"/>
        </w:rPr>
        <w:t>a.angelousi@gmail.com</w:t>
      </w:r>
    </w:p>
    <w:p w14:paraId="4FBEE2C1" w14:textId="77777777" w:rsidR="008D52E8" w:rsidRPr="008D52E8" w:rsidRDefault="003C420F" w:rsidP="008D52E8">
      <w:pPr>
        <w:rPr>
          <w:w w:val="105"/>
          <w:sz w:val="20"/>
          <w:szCs w:val="20"/>
        </w:rPr>
      </w:pPr>
      <w:r w:rsidRPr="00416898">
        <w:rPr>
          <w:b/>
          <w:w w:val="105"/>
          <w:sz w:val="24"/>
        </w:rPr>
        <w:t>M</w:t>
      </w:r>
      <w:r w:rsidR="00CC4235">
        <w:rPr>
          <w:b/>
          <w:w w:val="105"/>
          <w:sz w:val="24"/>
        </w:rPr>
        <w:t>abel</w:t>
      </w:r>
      <w:r w:rsidRPr="00416898">
        <w:rPr>
          <w:b/>
          <w:w w:val="105"/>
          <w:sz w:val="24"/>
        </w:rPr>
        <w:t xml:space="preserve"> </w:t>
      </w:r>
      <w:proofErr w:type="spellStart"/>
      <w:r w:rsidRPr="00416898">
        <w:rPr>
          <w:b/>
          <w:w w:val="105"/>
          <w:sz w:val="24"/>
        </w:rPr>
        <w:t>Y</w:t>
      </w:r>
      <w:r w:rsidR="00CC4235">
        <w:rPr>
          <w:b/>
          <w:w w:val="105"/>
          <w:sz w:val="24"/>
        </w:rPr>
        <w:t>au</w:t>
      </w:r>
      <w:proofErr w:type="spellEnd"/>
      <w:r w:rsidRPr="00416898">
        <w:rPr>
          <w:b/>
          <w:w w:val="105"/>
          <w:sz w:val="24"/>
        </w:rPr>
        <w:t xml:space="preserve">, </w:t>
      </w:r>
      <w:r w:rsidRPr="00416898">
        <w:rPr>
          <w:w w:val="105"/>
          <w:sz w:val="20"/>
          <w:szCs w:val="20"/>
        </w:rPr>
        <w:t>Assistant Professor of Pediatrics, Division of Pediatric Endocrinology and Diabetes, Icahn School of Medicine at Mount Sinai, New York, NY 10029</w:t>
      </w:r>
      <w:r w:rsidR="008D52E8">
        <w:rPr>
          <w:w w:val="105"/>
          <w:sz w:val="20"/>
          <w:szCs w:val="20"/>
        </w:rPr>
        <w:t xml:space="preserve">. </w:t>
      </w:r>
      <w:r w:rsidR="008D52E8" w:rsidRPr="008D52E8">
        <w:rPr>
          <w:w w:val="105"/>
          <w:sz w:val="20"/>
          <w:szCs w:val="20"/>
        </w:rPr>
        <w:t>mabel.yau@mssm.edu</w:t>
      </w:r>
    </w:p>
    <w:p w14:paraId="690DD8E8" w14:textId="77777777" w:rsidR="006E097C" w:rsidRPr="00416898" w:rsidRDefault="006E097C" w:rsidP="00C84278">
      <w:pPr>
        <w:spacing w:line="276" w:lineRule="auto"/>
        <w:rPr>
          <w:w w:val="105"/>
          <w:sz w:val="20"/>
          <w:szCs w:val="20"/>
        </w:rPr>
      </w:pPr>
    </w:p>
    <w:p w14:paraId="53473178" w14:textId="77777777" w:rsidR="00C84278" w:rsidRPr="00416898" w:rsidRDefault="00C84278" w:rsidP="00C84278">
      <w:pPr>
        <w:spacing w:line="276" w:lineRule="auto"/>
        <w:rPr>
          <w:b/>
          <w:bCs/>
        </w:rPr>
      </w:pPr>
      <w:r w:rsidRPr="00416898">
        <w:rPr>
          <w:b/>
          <w:bCs/>
        </w:rPr>
        <w:t xml:space="preserve">Updated </w:t>
      </w:r>
      <w:r w:rsidR="00701CD3">
        <w:rPr>
          <w:b/>
          <w:bCs/>
        </w:rPr>
        <w:t>April 10, 2021</w:t>
      </w:r>
    </w:p>
    <w:p w14:paraId="6D41A5BA" w14:textId="77777777" w:rsidR="006E097C" w:rsidRPr="00416898" w:rsidRDefault="006E097C" w:rsidP="00C84278">
      <w:pPr>
        <w:pStyle w:val="BodyText"/>
        <w:spacing w:line="276" w:lineRule="auto"/>
        <w:rPr>
          <w:rFonts w:cs="Arial"/>
          <w:sz w:val="22"/>
          <w:szCs w:val="22"/>
          <w:lang w:val="en-US"/>
        </w:rPr>
      </w:pPr>
    </w:p>
    <w:p w14:paraId="0A7FC84F" w14:textId="77777777" w:rsidR="006E097C" w:rsidRPr="00701CD3" w:rsidRDefault="003C420F" w:rsidP="00C84278">
      <w:pPr>
        <w:pStyle w:val="Heading1"/>
        <w:spacing w:line="276" w:lineRule="auto"/>
        <w:ind w:left="0"/>
        <w:rPr>
          <w:rFonts w:cs="Arial"/>
          <w:color w:val="0070C0"/>
          <w:sz w:val="22"/>
          <w:szCs w:val="22"/>
          <w:lang w:val="en-US"/>
        </w:rPr>
      </w:pPr>
      <w:r w:rsidRPr="00701CD3">
        <w:rPr>
          <w:rFonts w:cs="Arial"/>
          <w:color w:val="0070C0"/>
          <w:w w:val="105"/>
          <w:sz w:val="22"/>
          <w:szCs w:val="22"/>
          <w:lang w:val="en-US"/>
        </w:rPr>
        <w:t>ABSTRACT</w:t>
      </w:r>
    </w:p>
    <w:p w14:paraId="63343C5D" w14:textId="77777777" w:rsidR="00C84278" w:rsidRPr="00416898" w:rsidRDefault="00C84278" w:rsidP="00C84278">
      <w:pPr>
        <w:pStyle w:val="BodyText"/>
        <w:spacing w:line="276" w:lineRule="auto"/>
        <w:rPr>
          <w:rFonts w:cs="Arial"/>
          <w:w w:val="105"/>
          <w:sz w:val="22"/>
          <w:szCs w:val="22"/>
          <w:lang w:val="en-US"/>
        </w:rPr>
      </w:pPr>
    </w:p>
    <w:p w14:paraId="65FCA86E" w14:textId="77777777" w:rsidR="00D10AE8" w:rsidRPr="00416898" w:rsidRDefault="003C420F" w:rsidP="00C84278">
      <w:pPr>
        <w:pStyle w:val="BodyText"/>
        <w:spacing w:line="276" w:lineRule="auto"/>
        <w:rPr>
          <w:rFonts w:cs="Arial"/>
          <w:w w:val="105"/>
          <w:sz w:val="22"/>
          <w:szCs w:val="22"/>
          <w:lang w:val="en-US"/>
        </w:rPr>
      </w:pPr>
      <w:r w:rsidRPr="00416898">
        <w:rPr>
          <w:rFonts w:cs="Arial"/>
          <w:w w:val="105"/>
          <w:sz w:val="22"/>
          <w:szCs w:val="22"/>
          <w:lang w:val="en-US"/>
        </w:rPr>
        <w:t>The autoimmune polyglandular syndromes</w:t>
      </w:r>
      <w:r w:rsidR="00801B79" w:rsidRPr="00416898">
        <w:rPr>
          <w:rFonts w:cs="Arial"/>
          <w:w w:val="105"/>
          <w:sz w:val="22"/>
          <w:szCs w:val="22"/>
          <w:lang w:val="en-US"/>
        </w:rPr>
        <w:t xml:space="preserve"> (APS)</w:t>
      </w:r>
      <w:r w:rsidRPr="00416898">
        <w:rPr>
          <w:rFonts w:cs="Arial"/>
          <w:w w:val="105"/>
          <w:sz w:val="22"/>
          <w:szCs w:val="22"/>
          <w:lang w:val="en-US"/>
        </w:rPr>
        <w:t xml:space="preserve"> are clusters of endocrine abnormalities that occur in discreet patterns in subjects with immune dysregulation and that permit treatment and anticipation of associated systemic or other hormonal deficiencies. Three major entities are recognized, APS1, APS2 and APS3</w:t>
      </w:r>
      <w:r w:rsidR="00801B79" w:rsidRPr="00416898">
        <w:rPr>
          <w:rFonts w:cs="Arial"/>
          <w:w w:val="105"/>
          <w:sz w:val="22"/>
          <w:szCs w:val="22"/>
          <w:lang w:val="en-US"/>
        </w:rPr>
        <w:t>;</w:t>
      </w:r>
      <w:r w:rsidR="00D10AE8" w:rsidRPr="00416898">
        <w:rPr>
          <w:rFonts w:cs="Arial"/>
          <w:w w:val="105"/>
          <w:sz w:val="22"/>
          <w:szCs w:val="22"/>
          <w:lang w:val="en-US"/>
        </w:rPr>
        <w:t xml:space="preserve"> </w:t>
      </w:r>
      <w:r w:rsidR="00801B79" w:rsidRPr="00416898">
        <w:rPr>
          <w:rFonts w:cs="Arial"/>
          <w:w w:val="105"/>
          <w:sz w:val="22"/>
          <w:szCs w:val="22"/>
          <w:lang w:val="en-US"/>
        </w:rPr>
        <w:t>the</w:t>
      </w:r>
      <w:r w:rsidR="009348CF" w:rsidRPr="00416898">
        <w:rPr>
          <w:rFonts w:cs="Arial"/>
          <w:w w:val="105"/>
          <w:sz w:val="22"/>
          <w:szCs w:val="22"/>
          <w:lang w:val="en-US"/>
        </w:rPr>
        <w:t xml:space="preserve"> </w:t>
      </w:r>
      <w:r w:rsidR="00D10AE8" w:rsidRPr="00416898">
        <w:rPr>
          <w:rFonts w:cs="Arial"/>
          <w:w w:val="105"/>
          <w:sz w:val="22"/>
          <w:szCs w:val="22"/>
          <w:lang w:val="en-US"/>
        </w:rPr>
        <w:t xml:space="preserve">rare X-linked </w:t>
      </w:r>
      <w:r w:rsidR="00801B79" w:rsidRPr="00416898">
        <w:rPr>
          <w:rFonts w:cs="Arial"/>
          <w:w w:val="105"/>
          <w:sz w:val="22"/>
          <w:szCs w:val="22"/>
          <w:lang w:val="en-US"/>
        </w:rPr>
        <w:t xml:space="preserve">syndrome of </w:t>
      </w:r>
      <w:r w:rsidR="00D10AE8" w:rsidRPr="00416898">
        <w:rPr>
          <w:rFonts w:eastAsia="Calibri" w:cs="Arial"/>
          <w:sz w:val="22"/>
          <w:szCs w:val="22"/>
          <w:lang w:val="en-US" w:eastAsia="en-GB"/>
        </w:rPr>
        <w:t>immunodysregulation, polyendocrinopathy, and enteropathy</w:t>
      </w:r>
      <w:r w:rsidR="00801B79" w:rsidRPr="00416898">
        <w:rPr>
          <w:rFonts w:eastAsia="Calibri" w:cs="Arial"/>
          <w:sz w:val="22"/>
          <w:szCs w:val="22"/>
          <w:lang w:val="en-US" w:eastAsia="en-GB"/>
        </w:rPr>
        <w:t xml:space="preserve"> due to mutations in the </w:t>
      </w:r>
      <w:r w:rsidR="00801B79" w:rsidRPr="00416898">
        <w:rPr>
          <w:rFonts w:eastAsia="Calibri" w:cs="Arial"/>
          <w:i/>
          <w:iCs/>
          <w:sz w:val="22"/>
          <w:szCs w:val="22"/>
          <w:lang w:val="en-US" w:eastAsia="en-GB"/>
        </w:rPr>
        <w:t xml:space="preserve">FOXP3 </w:t>
      </w:r>
      <w:r w:rsidR="00801B79" w:rsidRPr="00416898">
        <w:rPr>
          <w:rFonts w:eastAsia="Calibri" w:cs="Arial"/>
          <w:sz w:val="22"/>
          <w:szCs w:val="22"/>
          <w:lang w:val="en-US" w:eastAsia="en-GB"/>
        </w:rPr>
        <w:t>gene also qualifies as an APS</w:t>
      </w:r>
      <w:r w:rsidRPr="00416898">
        <w:rPr>
          <w:rFonts w:cs="Arial"/>
          <w:w w:val="105"/>
          <w:sz w:val="22"/>
          <w:szCs w:val="22"/>
          <w:lang w:val="en-US"/>
        </w:rPr>
        <w:t xml:space="preserve">. An additional </w:t>
      </w:r>
      <w:r w:rsidR="002E2C30" w:rsidRPr="00416898">
        <w:rPr>
          <w:rFonts w:cs="Arial"/>
          <w:w w:val="105"/>
          <w:sz w:val="22"/>
          <w:szCs w:val="22"/>
          <w:lang w:val="en-US"/>
        </w:rPr>
        <w:t>i</w:t>
      </w:r>
      <w:r w:rsidR="005224DC" w:rsidRPr="00416898">
        <w:rPr>
          <w:rFonts w:cs="Arial"/>
          <w:w w:val="105"/>
          <w:sz w:val="22"/>
          <w:szCs w:val="22"/>
          <w:lang w:val="en-US"/>
        </w:rPr>
        <w:t>n</w:t>
      </w:r>
      <w:r w:rsidR="002E2C30" w:rsidRPr="00416898">
        <w:rPr>
          <w:rFonts w:cs="Arial"/>
          <w:w w:val="105"/>
          <w:sz w:val="22"/>
          <w:szCs w:val="22"/>
          <w:lang w:val="en-US"/>
        </w:rPr>
        <w:t>creasingly</w:t>
      </w:r>
      <w:r w:rsidR="00D10AE8" w:rsidRPr="00416898">
        <w:rPr>
          <w:rFonts w:cs="Arial"/>
          <w:w w:val="105"/>
          <w:sz w:val="22"/>
          <w:szCs w:val="22"/>
          <w:lang w:val="en-US"/>
        </w:rPr>
        <w:t xml:space="preserve"> described </w:t>
      </w:r>
      <w:r w:rsidRPr="00416898">
        <w:rPr>
          <w:rFonts w:cs="Arial"/>
          <w:w w:val="105"/>
          <w:sz w:val="22"/>
          <w:szCs w:val="22"/>
          <w:lang w:val="en-US"/>
        </w:rPr>
        <w:t>category occurs in patients treated with immunoregulatory agents</w:t>
      </w:r>
      <w:r w:rsidR="002E2C30" w:rsidRPr="00416898">
        <w:rPr>
          <w:rFonts w:cs="Arial"/>
          <w:w w:val="105"/>
          <w:sz w:val="22"/>
          <w:szCs w:val="22"/>
          <w:lang w:val="en-US"/>
        </w:rPr>
        <w:t xml:space="preserve"> such as checkpoint </w:t>
      </w:r>
      <w:r w:rsidR="00416898" w:rsidRPr="00416898">
        <w:rPr>
          <w:rFonts w:cs="Arial"/>
          <w:w w:val="105"/>
          <w:sz w:val="22"/>
          <w:szCs w:val="22"/>
          <w:lang w:val="en-US"/>
        </w:rPr>
        <w:t>inhibitors for</w:t>
      </w:r>
      <w:r w:rsidRPr="00416898">
        <w:rPr>
          <w:rFonts w:cs="Arial"/>
          <w:w w:val="105"/>
          <w:sz w:val="22"/>
          <w:szCs w:val="22"/>
          <w:lang w:val="en-US"/>
        </w:rPr>
        <w:t xml:space="preserve"> cancer, so that tumor antigens that have evaded recognition can now be</w:t>
      </w:r>
      <w:r w:rsidR="005224DC" w:rsidRPr="00416898">
        <w:rPr>
          <w:rFonts w:cs="Arial"/>
          <w:w w:val="105"/>
          <w:sz w:val="22"/>
          <w:szCs w:val="22"/>
          <w:lang w:val="en-US"/>
        </w:rPr>
        <w:t xml:space="preserve"> </w:t>
      </w:r>
      <w:r w:rsidR="002E2C30" w:rsidRPr="00416898">
        <w:rPr>
          <w:rFonts w:cs="Arial"/>
          <w:w w:val="105"/>
          <w:sz w:val="22"/>
          <w:szCs w:val="22"/>
          <w:lang w:val="en-US"/>
        </w:rPr>
        <w:t>targeted</w:t>
      </w:r>
      <w:r w:rsidRPr="00416898">
        <w:rPr>
          <w:rFonts w:cs="Arial"/>
          <w:w w:val="105"/>
          <w:sz w:val="22"/>
          <w:szCs w:val="22"/>
          <w:lang w:val="en-US"/>
        </w:rPr>
        <w:t xml:space="preserve">, but at the expense of activating autoimmunity. APS1 is a syndrome characterized by chronic muco-cutaneous candidiasis, hypoparathyroidism, and primary adrenal insufficiency, as well as ectodermal dystrophy and a host of other endocrine and non-endocrine tissue involvement in autoimmune destructive processes. The underlying cause is </w:t>
      </w:r>
      <w:r w:rsidR="009348CF" w:rsidRPr="00416898">
        <w:rPr>
          <w:rFonts w:cs="Arial"/>
          <w:w w:val="105"/>
          <w:sz w:val="22"/>
          <w:szCs w:val="22"/>
          <w:lang w:val="en-US"/>
        </w:rPr>
        <w:t xml:space="preserve">a </w:t>
      </w:r>
      <w:r w:rsidRPr="00416898">
        <w:rPr>
          <w:rFonts w:cs="Arial"/>
          <w:w w:val="105"/>
          <w:sz w:val="22"/>
          <w:szCs w:val="22"/>
          <w:lang w:val="en-US"/>
        </w:rPr>
        <w:t xml:space="preserve">homozygous inactivating mutation in the autoimmune regulator gene </w:t>
      </w:r>
      <w:r w:rsidRPr="00416898">
        <w:rPr>
          <w:rFonts w:cs="Arial"/>
          <w:i/>
          <w:w w:val="105"/>
          <w:sz w:val="22"/>
          <w:szCs w:val="22"/>
          <w:lang w:val="en-US"/>
        </w:rPr>
        <w:t xml:space="preserve">AIRE </w:t>
      </w:r>
      <w:r w:rsidRPr="00416898">
        <w:rPr>
          <w:rFonts w:cs="Arial"/>
          <w:w w:val="105"/>
          <w:sz w:val="22"/>
          <w:szCs w:val="22"/>
          <w:lang w:val="en-US"/>
        </w:rPr>
        <w:t>which</w:t>
      </w:r>
      <w:r w:rsidR="009348CF" w:rsidRPr="00416898">
        <w:rPr>
          <w:rFonts w:cs="Arial"/>
          <w:w w:val="105"/>
          <w:sz w:val="22"/>
          <w:szCs w:val="22"/>
          <w:lang w:val="en-US"/>
        </w:rPr>
        <w:t xml:space="preserve"> </w:t>
      </w:r>
      <w:r w:rsidRPr="00416898">
        <w:rPr>
          <w:rFonts w:cs="Arial"/>
          <w:w w:val="105"/>
          <w:sz w:val="22"/>
          <w:szCs w:val="22"/>
          <w:lang w:val="en-US"/>
        </w:rPr>
        <w:t>permits the intra-thymic expression of ectopic antigens normally expressed only in specific peripheral tissues (</w:t>
      </w:r>
      <w:r w:rsidR="00416898" w:rsidRPr="00416898">
        <w:rPr>
          <w:rFonts w:cs="Arial"/>
          <w:w w:val="105"/>
          <w:sz w:val="22"/>
          <w:szCs w:val="22"/>
          <w:lang w:val="en-US"/>
        </w:rPr>
        <w:t>e.g.,</w:t>
      </w:r>
      <w:r w:rsidRPr="00416898">
        <w:rPr>
          <w:rFonts w:cs="Arial"/>
          <w:w w:val="105"/>
          <w:sz w:val="22"/>
          <w:szCs w:val="22"/>
          <w:lang w:val="en-US"/>
        </w:rPr>
        <w:t xml:space="preserve"> insulin), so that T-cells as they mature within the thymus and acquire a receptor for the self- antigen are eliminated (negative selection), thereby avoiding autoimmunity. Recent studies demonstrate that in addition to the classical homozygous mutations, single gene dominant mutations in </w:t>
      </w:r>
      <w:r w:rsidRPr="00416898">
        <w:rPr>
          <w:rFonts w:cs="Arial"/>
          <w:i/>
          <w:w w:val="105"/>
          <w:sz w:val="22"/>
          <w:szCs w:val="22"/>
          <w:lang w:val="en-US"/>
        </w:rPr>
        <w:t xml:space="preserve">AIRE </w:t>
      </w:r>
      <w:r w:rsidRPr="00416898">
        <w:rPr>
          <w:rFonts w:cs="Arial"/>
          <w:w w:val="105"/>
          <w:sz w:val="22"/>
          <w:szCs w:val="22"/>
          <w:lang w:val="en-US"/>
        </w:rPr>
        <w:t xml:space="preserve">play an important role in autoimmune regulation and its disorders. APS2 and APS3 are both due to mutations in the HLA DQ/DR regions which regulate antigen presentation to T-cell receptors; </w:t>
      </w:r>
      <w:r w:rsidR="00416898" w:rsidRPr="00416898">
        <w:rPr>
          <w:rFonts w:cs="Arial"/>
          <w:w w:val="105"/>
          <w:sz w:val="22"/>
          <w:szCs w:val="22"/>
          <w:lang w:val="en-US"/>
        </w:rPr>
        <w:t>however,</w:t>
      </w:r>
      <w:r w:rsidR="001262F9" w:rsidRPr="00416898">
        <w:rPr>
          <w:rFonts w:cs="Arial"/>
          <w:w w:val="105"/>
          <w:sz w:val="22"/>
          <w:szCs w:val="22"/>
          <w:lang w:val="en-US"/>
        </w:rPr>
        <w:t xml:space="preserve"> their genetic profile is more complex. </w:t>
      </w:r>
      <w:r w:rsidRPr="00416898">
        <w:rPr>
          <w:rFonts w:cs="Arial"/>
          <w:w w:val="105"/>
          <w:sz w:val="22"/>
          <w:szCs w:val="22"/>
          <w:lang w:val="en-US"/>
        </w:rPr>
        <w:t xml:space="preserve">APS2 is characterized by </w:t>
      </w:r>
      <w:r w:rsidR="004C0E6A" w:rsidRPr="00416898">
        <w:rPr>
          <w:rFonts w:cs="Arial"/>
          <w:w w:val="105"/>
          <w:sz w:val="22"/>
          <w:szCs w:val="22"/>
          <w:lang w:val="en-US"/>
        </w:rPr>
        <w:t>type 1 diabetes mellitus (</w:t>
      </w:r>
      <w:r w:rsidRPr="00416898">
        <w:rPr>
          <w:rFonts w:cs="Arial"/>
          <w:w w:val="105"/>
          <w:sz w:val="22"/>
          <w:szCs w:val="22"/>
          <w:lang w:val="en-US"/>
        </w:rPr>
        <w:t>T1DM</w:t>
      </w:r>
      <w:r w:rsidR="004C0E6A" w:rsidRPr="00416898">
        <w:rPr>
          <w:rFonts w:cs="Arial"/>
          <w:w w:val="105"/>
          <w:sz w:val="22"/>
          <w:szCs w:val="22"/>
          <w:lang w:val="en-US"/>
        </w:rPr>
        <w:t>)</w:t>
      </w:r>
      <w:r w:rsidRPr="00416898">
        <w:rPr>
          <w:rFonts w:cs="Arial"/>
          <w:w w:val="105"/>
          <w:sz w:val="22"/>
          <w:szCs w:val="22"/>
          <w:lang w:val="en-US"/>
        </w:rPr>
        <w:t>, Addison Disease, and Hypothyroidism, whereas APS3 is similar but without Addison disease. In keeping with other autoimmune disorders, these entities are more frequent in females, whereas APS1 has no sexual predominance. The recent emergence of autoimmune endocrinopathies in patients treated with immunoregulatory agents for cancer adds a new dimension to considerations of autoimmune polyendocrinopathy syndromes.</w:t>
      </w:r>
      <w:r w:rsidR="00FA4FAC" w:rsidRPr="00416898">
        <w:rPr>
          <w:rFonts w:cs="Arial"/>
          <w:w w:val="105"/>
          <w:sz w:val="22"/>
          <w:szCs w:val="22"/>
          <w:lang w:val="en-US"/>
        </w:rPr>
        <w:t xml:space="preserve"> </w:t>
      </w:r>
      <w:r w:rsidR="00D02D90" w:rsidRPr="00416898">
        <w:rPr>
          <w:rFonts w:cs="Arial"/>
          <w:sz w:val="22"/>
          <w:szCs w:val="22"/>
          <w:lang w:val="en-US" w:eastAsia="en-GB"/>
        </w:rPr>
        <w:t xml:space="preserve">Rapid progress in the immunology and genetics of these entities offers the </w:t>
      </w:r>
      <w:r w:rsidR="00D02D90" w:rsidRPr="00416898">
        <w:rPr>
          <w:rFonts w:cs="Arial"/>
          <w:w w:val="105"/>
          <w:sz w:val="22"/>
          <w:szCs w:val="22"/>
          <w:lang w:val="en-US"/>
        </w:rPr>
        <w:t xml:space="preserve">promise of potential amelioration </w:t>
      </w:r>
      <w:r w:rsidR="006D14D5" w:rsidRPr="00416898">
        <w:rPr>
          <w:rFonts w:cs="Arial"/>
          <w:w w:val="105"/>
          <w:sz w:val="22"/>
          <w:szCs w:val="22"/>
          <w:lang w:val="en-US"/>
        </w:rPr>
        <w:t xml:space="preserve">and eventual reversal via genetic manipulation </w:t>
      </w:r>
      <w:r w:rsidR="00D02D90" w:rsidRPr="00416898">
        <w:rPr>
          <w:rFonts w:cs="Arial"/>
          <w:w w:val="105"/>
          <w:sz w:val="22"/>
          <w:szCs w:val="22"/>
          <w:lang w:val="en-US"/>
        </w:rPr>
        <w:t>before</w:t>
      </w:r>
      <w:r w:rsidR="006D14D5" w:rsidRPr="00416898">
        <w:rPr>
          <w:rFonts w:cs="Arial"/>
          <w:w w:val="105"/>
          <w:sz w:val="22"/>
          <w:szCs w:val="22"/>
          <w:lang w:val="en-US"/>
        </w:rPr>
        <w:t xml:space="preserve"> organ damage is established.</w:t>
      </w:r>
    </w:p>
    <w:p w14:paraId="28D66C56" w14:textId="77777777" w:rsidR="00FA4FAC" w:rsidRPr="00416898" w:rsidRDefault="00FA4FAC" w:rsidP="00C84278">
      <w:pPr>
        <w:pStyle w:val="Heading1"/>
        <w:spacing w:line="276" w:lineRule="auto"/>
        <w:ind w:left="0"/>
        <w:rPr>
          <w:rFonts w:cs="Arial"/>
          <w:w w:val="105"/>
          <w:sz w:val="22"/>
          <w:szCs w:val="22"/>
          <w:lang w:val="en-US"/>
        </w:rPr>
      </w:pPr>
    </w:p>
    <w:p w14:paraId="4506FA0E" w14:textId="77777777" w:rsidR="006E097C" w:rsidRPr="00701CD3" w:rsidRDefault="003C420F" w:rsidP="00C84278">
      <w:pPr>
        <w:pStyle w:val="Heading1"/>
        <w:spacing w:line="276" w:lineRule="auto"/>
        <w:ind w:left="0"/>
        <w:rPr>
          <w:rFonts w:cs="Arial"/>
          <w:color w:val="0070C0"/>
          <w:w w:val="105"/>
          <w:sz w:val="22"/>
          <w:szCs w:val="22"/>
          <w:lang w:val="en-US"/>
        </w:rPr>
      </w:pPr>
      <w:r w:rsidRPr="00701CD3">
        <w:rPr>
          <w:rFonts w:cs="Arial"/>
          <w:color w:val="0070C0"/>
          <w:w w:val="105"/>
          <w:sz w:val="22"/>
          <w:szCs w:val="22"/>
          <w:lang w:val="en-US"/>
        </w:rPr>
        <w:t>AUTOIMMUNE POLYGLANDULAR SYNDROMES</w:t>
      </w:r>
    </w:p>
    <w:p w14:paraId="37B3CA9F" w14:textId="77777777" w:rsidR="000B54B0" w:rsidRPr="00416898" w:rsidRDefault="000B54B0" w:rsidP="00C84278">
      <w:pPr>
        <w:pStyle w:val="Heading1"/>
        <w:spacing w:line="276" w:lineRule="auto"/>
        <w:ind w:left="0"/>
        <w:rPr>
          <w:rFonts w:cs="Arial"/>
          <w:sz w:val="22"/>
          <w:szCs w:val="22"/>
          <w:lang w:val="en-US"/>
        </w:rPr>
      </w:pPr>
    </w:p>
    <w:p w14:paraId="0770FFF2" w14:textId="77777777" w:rsidR="00D10AE8" w:rsidRPr="00416898" w:rsidRDefault="003C420F" w:rsidP="00C84278">
      <w:pPr>
        <w:pStyle w:val="BodyText"/>
        <w:spacing w:line="276" w:lineRule="auto"/>
        <w:rPr>
          <w:rFonts w:cs="Arial"/>
          <w:w w:val="105"/>
          <w:sz w:val="22"/>
          <w:szCs w:val="22"/>
          <w:lang w:val="en-US"/>
        </w:rPr>
      </w:pPr>
      <w:r w:rsidRPr="00416898">
        <w:rPr>
          <w:rFonts w:cs="Arial"/>
          <w:w w:val="105"/>
          <w:sz w:val="22"/>
          <w:szCs w:val="22"/>
          <w:lang w:val="en-US"/>
        </w:rPr>
        <w:t xml:space="preserve">The autoimmune polyglandular syndromes are clusters of endocrine abnormalities that occur in discreet patterns in subjects with immune dysregulation and that permit treatment and anticipation of associated systemic or other hormonal deficiencies </w:t>
      </w:r>
      <w:r w:rsidR="00F74248" w:rsidRPr="00416898">
        <w:rPr>
          <w:rFonts w:cs="Arial"/>
          <w:w w:val="105"/>
          <w:sz w:val="22"/>
          <w:szCs w:val="22"/>
          <w:lang w:val="en-US"/>
        </w:rPr>
        <w:t>(</w:t>
      </w:r>
      <w:r w:rsidRPr="00416898">
        <w:rPr>
          <w:rFonts w:cs="Arial"/>
          <w:w w:val="105"/>
          <w:sz w:val="22"/>
          <w:szCs w:val="22"/>
          <w:lang w:val="en-US"/>
        </w:rPr>
        <w:t>1-8</w:t>
      </w:r>
      <w:r w:rsidR="00F74248" w:rsidRPr="00416898">
        <w:rPr>
          <w:rFonts w:cs="Arial"/>
          <w:w w:val="105"/>
          <w:sz w:val="22"/>
          <w:szCs w:val="22"/>
          <w:lang w:val="en-US"/>
        </w:rPr>
        <w:t>)</w:t>
      </w:r>
      <w:r w:rsidR="000079CF" w:rsidRPr="00416898">
        <w:rPr>
          <w:rFonts w:cs="Arial"/>
          <w:w w:val="105"/>
          <w:sz w:val="22"/>
          <w:szCs w:val="22"/>
          <w:lang w:val="en-US"/>
        </w:rPr>
        <w:t>.</w:t>
      </w:r>
      <w:r w:rsidRPr="00416898">
        <w:rPr>
          <w:rFonts w:cs="Arial"/>
          <w:w w:val="105"/>
          <w:sz w:val="22"/>
          <w:szCs w:val="22"/>
          <w:lang w:val="en-US"/>
        </w:rPr>
        <w:t xml:space="preserve"> Three major entities are recognized, APS1, APS2</w:t>
      </w:r>
      <w:r w:rsidR="000079CF" w:rsidRPr="00416898">
        <w:rPr>
          <w:rFonts w:cs="Arial"/>
          <w:w w:val="105"/>
          <w:sz w:val="22"/>
          <w:szCs w:val="22"/>
          <w:lang w:val="en-US"/>
        </w:rPr>
        <w:t>,</w:t>
      </w:r>
      <w:r w:rsidRPr="00416898">
        <w:rPr>
          <w:rFonts w:cs="Arial"/>
          <w:w w:val="105"/>
          <w:sz w:val="22"/>
          <w:szCs w:val="22"/>
          <w:lang w:val="en-US"/>
        </w:rPr>
        <w:t xml:space="preserve"> and APS3</w:t>
      </w:r>
      <w:r w:rsidR="001262F9" w:rsidRPr="00416898">
        <w:rPr>
          <w:rFonts w:cs="Arial"/>
          <w:w w:val="105"/>
          <w:sz w:val="22"/>
          <w:szCs w:val="22"/>
          <w:lang w:val="en-US"/>
        </w:rPr>
        <w:t xml:space="preserve"> </w:t>
      </w:r>
      <w:r w:rsidR="006D14D5" w:rsidRPr="00416898">
        <w:rPr>
          <w:rFonts w:cs="Arial"/>
          <w:w w:val="105"/>
          <w:sz w:val="22"/>
          <w:szCs w:val="22"/>
          <w:lang w:val="en-US"/>
        </w:rPr>
        <w:t xml:space="preserve">as well as </w:t>
      </w:r>
      <w:r w:rsidR="001262F9" w:rsidRPr="00416898">
        <w:rPr>
          <w:rFonts w:cs="Arial"/>
          <w:w w:val="105"/>
          <w:sz w:val="22"/>
          <w:szCs w:val="22"/>
          <w:lang w:val="en-US"/>
        </w:rPr>
        <w:t xml:space="preserve">the extremely rare X-linked </w:t>
      </w:r>
      <w:r w:rsidR="006D14D5" w:rsidRPr="00416898">
        <w:rPr>
          <w:rFonts w:cs="Arial"/>
          <w:w w:val="105"/>
          <w:sz w:val="22"/>
          <w:szCs w:val="22"/>
          <w:lang w:val="en-US"/>
        </w:rPr>
        <w:t xml:space="preserve">syndrome of </w:t>
      </w:r>
      <w:r w:rsidR="001262F9" w:rsidRPr="00416898">
        <w:rPr>
          <w:rFonts w:eastAsia="Calibri" w:cs="Arial"/>
          <w:sz w:val="22"/>
          <w:szCs w:val="22"/>
          <w:lang w:val="en-US" w:eastAsia="en-GB"/>
        </w:rPr>
        <w:t>immunodysregulation, polyendocrinopathy, and enteropathy</w:t>
      </w:r>
      <w:r w:rsidRPr="00416898">
        <w:rPr>
          <w:rFonts w:cs="Arial"/>
          <w:w w:val="105"/>
          <w:sz w:val="22"/>
          <w:szCs w:val="22"/>
          <w:lang w:val="en-US"/>
        </w:rPr>
        <w:t xml:space="preserve">. An additional </w:t>
      </w:r>
      <w:r w:rsidR="006D14D5" w:rsidRPr="00416898">
        <w:rPr>
          <w:rFonts w:cs="Arial"/>
          <w:w w:val="105"/>
          <w:sz w:val="22"/>
          <w:szCs w:val="22"/>
          <w:lang w:val="en-US"/>
        </w:rPr>
        <w:t xml:space="preserve">but increasing </w:t>
      </w:r>
      <w:r w:rsidRPr="00416898">
        <w:rPr>
          <w:rFonts w:cs="Arial"/>
          <w:w w:val="105"/>
          <w:sz w:val="22"/>
          <w:szCs w:val="22"/>
          <w:lang w:val="en-US"/>
        </w:rPr>
        <w:t>category occurs in patients treated with immunoregulatory agents for cancer, by which the tumor’s blockade of immune regul</w:t>
      </w:r>
      <w:r w:rsidR="00D10AE8" w:rsidRPr="00416898">
        <w:rPr>
          <w:rFonts w:cs="Arial"/>
          <w:w w:val="105"/>
          <w:sz w:val="22"/>
          <w:szCs w:val="22"/>
          <w:lang w:val="en-US"/>
        </w:rPr>
        <w:t>ator</w:t>
      </w:r>
      <w:r w:rsidR="001262F9" w:rsidRPr="00416898">
        <w:rPr>
          <w:rFonts w:cs="Arial"/>
          <w:w w:val="105"/>
          <w:sz w:val="22"/>
          <w:szCs w:val="22"/>
          <w:lang w:val="en-US"/>
        </w:rPr>
        <w:t xml:space="preserve">y </w:t>
      </w:r>
      <w:r w:rsidRPr="00416898">
        <w:rPr>
          <w:rFonts w:cs="Arial"/>
          <w:w w:val="105"/>
          <w:sz w:val="22"/>
          <w:szCs w:val="22"/>
          <w:lang w:val="en-US"/>
        </w:rPr>
        <w:t>checkpoints is inhibited, so that tumor antigens that ha</w:t>
      </w:r>
      <w:r w:rsidR="00586674" w:rsidRPr="00416898">
        <w:rPr>
          <w:rFonts w:cs="Arial"/>
          <w:w w:val="105"/>
          <w:sz w:val="22"/>
          <w:szCs w:val="22"/>
          <w:lang w:val="en-US"/>
        </w:rPr>
        <w:t>d</w:t>
      </w:r>
      <w:r w:rsidRPr="00416898">
        <w:rPr>
          <w:rFonts w:cs="Arial"/>
          <w:w w:val="105"/>
          <w:sz w:val="22"/>
          <w:szCs w:val="22"/>
          <w:lang w:val="en-US"/>
        </w:rPr>
        <w:t xml:space="preserve"> evaded recognition can now be </w:t>
      </w:r>
      <w:r w:rsidR="006D14D5" w:rsidRPr="00416898">
        <w:rPr>
          <w:rFonts w:cs="Arial"/>
          <w:w w:val="105"/>
          <w:sz w:val="22"/>
          <w:szCs w:val="22"/>
          <w:lang w:val="en-US"/>
        </w:rPr>
        <w:t>targeted</w:t>
      </w:r>
      <w:r w:rsidRPr="00416898">
        <w:rPr>
          <w:rFonts w:cs="Arial"/>
          <w:w w:val="105"/>
          <w:sz w:val="22"/>
          <w:szCs w:val="22"/>
          <w:lang w:val="en-US"/>
        </w:rPr>
        <w:t>, but at the expense of activating autoimmunity</w:t>
      </w:r>
      <w:r w:rsidR="006D14D5" w:rsidRPr="00416898">
        <w:rPr>
          <w:rFonts w:cs="Arial"/>
          <w:w w:val="105"/>
          <w:sz w:val="22"/>
          <w:szCs w:val="22"/>
          <w:lang w:val="en-US"/>
        </w:rPr>
        <w:t xml:space="preserve"> including </w:t>
      </w:r>
      <w:r w:rsidR="00AA2F90" w:rsidRPr="00416898">
        <w:rPr>
          <w:rFonts w:cs="Arial"/>
          <w:w w:val="105"/>
          <w:sz w:val="22"/>
          <w:szCs w:val="22"/>
          <w:lang w:val="en-US"/>
        </w:rPr>
        <w:t xml:space="preserve">against </w:t>
      </w:r>
      <w:r w:rsidR="006D14D5" w:rsidRPr="00416898">
        <w:rPr>
          <w:rFonts w:cs="Arial"/>
          <w:w w:val="105"/>
          <w:sz w:val="22"/>
          <w:szCs w:val="22"/>
          <w:lang w:val="en-US"/>
        </w:rPr>
        <w:t>endocrine organs</w:t>
      </w:r>
      <w:r w:rsidRPr="00416898">
        <w:rPr>
          <w:rFonts w:cs="Arial"/>
          <w:w w:val="105"/>
          <w:sz w:val="22"/>
          <w:szCs w:val="22"/>
          <w:lang w:val="en-US"/>
        </w:rPr>
        <w:t>.</w:t>
      </w:r>
    </w:p>
    <w:p w14:paraId="151793A6" w14:textId="77777777" w:rsidR="00D10AE8" w:rsidRPr="00416898" w:rsidRDefault="00D10AE8" w:rsidP="00C84278">
      <w:pPr>
        <w:pStyle w:val="BodyText"/>
        <w:spacing w:line="276" w:lineRule="auto"/>
        <w:rPr>
          <w:rFonts w:cs="Arial"/>
          <w:sz w:val="22"/>
          <w:szCs w:val="22"/>
          <w:lang w:val="en-US"/>
        </w:rPr>
      </w:pPr>
    </w:p>
    <w:p w14:paraId="44880BA4" w14:textId="77777777" w:rsidR="00D16133" w:rsidRPr="00416898" w:rsidRDefault="003C420F" w:rsidP="00C84278">
      <w:pPr>
        <w:pStyle w:val="BodyText"/>
        <w:spacing w:line="276" w:lineRule="auto"/>
        <w:rPr>
          <w:rFonts w:cs="Arial"/>
          <w:w w:val="105"/>
          <w:sz w:val="22"/>
          <w:szCs w:val="22"/>
          <w:lang w:val="en-US"/>
        </w:rPr>
      </w:pPr>
      <w:r w:rsidRPr="00416898">
        <w:rPr>
          <w:rFonts w:cs="Arial"/>
          <w:w w:val="105"/>
          <w:sz w:val="22"/>
          <w:szCs w:val="22"/>
          <w:lang w:val="en-US"/>
        </w:rPr>
        <w:t>APS1</w:t>
      </w:r>
      <w:r w:rsidRPr="00416898">
        <w:rPr>
          <w:rFonts w:cs="Arial"/>
          <w:spacing w:val="-4"/>
          <w:w w:val="105"/>
          <w:sz w:val="22"/>
          <w:szCs w:val="22"/>
          <w:lang w:val="en-US"/>
        </w:rPr>
        <w:t xml:space="preserve"> </w:t>
      </w:r>
      <w:r w:rsidRPr="00416898">
        <w:rPr>
          <w:rFonts w:cs="Arial"/>
          <w:w w:val="105"/>
          <w:sz w:val="22"/>
          <w:szCs w:val="22"/>
          <w:lang w:val="en-US"/>
        </w:rPr>
        <w:t>results</w:t>
      </w:r>
      <w:r w:rsidRPr="00416898">
        <w:rPr>
          <w:rFonts w:cs="Arial"/>
          <w:spacing w:val="-3"/>
          <w:w w:val="105"/>
          <w:sz w:val="22"/>
          <w:szCs w:val="22"/>
          <w:lang w:val="en-US"/>
        </w:rPr>
        <w:t xml:space="preserve"> </w:t>
      </w:r>
      <w:r w:rsidRPr="00416898">
        <w:rPr>
          <w:rFonts w:cs="Arial"/>
          <w:w w:val="105"/>
          <w:sz w:val="22"/>
          <w:szCs w:val="22"/>
          <w:lang w:val="en-US"/>
        </w:rPr>
        <w:t>from</w:t>
      </w:r>
      <w:r w:rsidRPr="00416898">
        <w:rPr>
          <w:rFonts w:cs="Arial"/>
          <w:spacing w:val="-3"/>
          <w:w w:val="105"/>
          <w:sz w:val="22"/>
          <w:szCs w:val="22"/>
          <w:lang w:val="en-US"/>
        </w:rPr>
        <w:t xml:space="preserve"> </w:t>
      </w:r>
      <w:r w:rsidRPr="00416898">
        <w:rPr>
          <w:rFonts w:cs="Arial"/>
          <w:w w:val="105"/>
          <w:sz w:val="22"/>
          <w:szCs w:val="22"/>
          <w:lang w:val="en-US"/>
        </w:rPr>
        <w:t>a</w:t>
      </w:r>
      <w:r w:rsidRPr="00416898">
        <w:rPr>
          <w:rFonts w:cs="Arial"/>
          <w:spacing w:val="-3"/>
          <w:w w:val="105"/>
          <w:sz w:val="22"/>
          <w:szCs w:val="22"/>
          <w:lang w:val="en-US"/>
        </w:rPr>
        <w:t xml:space="preserve"> </w:t>
      </w:r>
      <w:r w:rsidRPr="00416898">
        <w:rPr>
          <w:rFonts w:cs="Arial"/>
          <w:w w:val="105"/>
          <w:sz w:val="22"/>
          <w:szCs w:val="22"/>
          <w:lang w:val="en-US"/>
        </w:rPr>
        <w:t>failure</w:t>
      </w:r>
      <w:r w:rsidRPr="00416898">
        <w:rPr>
          <w:rFonts w:cs="Arial"/>
          <w:spacing w:val="-3"/>
          <w:w w:val="105"/>
          <w:sz w:val="22"/>
          <w:szCs w:val="22"/>
          <w:lang w:val="en-US"/>
        </w:rPr>
        <w:t xml:space="preserve"> </w:t>
      </w:r>
      <w:r w:rsidRPr="00416898">
        <w:rPr>
          <w:rFonts w:cs="Arial"/>
          <w:w w:val="105"/>
          <w:sz w:val="22"/>
          <w:szCs w:val="22"/>
          <w:lang w:val="en-US"/>
        </w:rPr>
        <w:t>to</w:t>
      </w:r>
      <w:r w:rsidRPr="00416898">
        <w:rPr>
          <w:rFonts w:cs="Arial"/>
          <w:spacing w:val="-3"/>
          <w:w w:val="105"/>
          <w:sz w:val="22"/>
          <w:szCs w:val="22"/>
          <w:lang w:val="en-US"/>
        </w:rPr>
        <w:t xml:space="preserve"> </w:t>
      </w:r>
      <w:r w:rsidRPr="00416898">
        <w:rPr>
          <w:rFonts w:cs="Arial"/>
          <w:w w:val="105"/>
          <w:sz w:val="22"/>
          <w:szCs w:val="22"/>
          <w:lang w:val="en-US"/>
        </w:rPr>
        <w:t>eliminate</w:t>
      </w:r>
      <w:r w:rsidRPr="00416898">
        <w:rPr>
          <w:rFonts w:cs="Arial"/>
          <w:spacing w:val="-3"/>
          <w:w w:val="105"/>
          <w:sz w:val="22"/>
          <w:szCs w:val="22"/>
          <w:lang w:val="en-US"/>
        </w:rPr>
        <w:t xml:space="preserve"> </w:t>
      </w:r>
      <w:r w:rsidRPr="00416898">
        <w:rPr>
          <w:rFonts w:cs="Arial"/>
          <w:w w:val="105"/>
          <w:sz w:val="22"/>
          <w:szCs w:val="22"/>
          <w:lang w:val="en-US"/>
        </w:rPr>
        <w:t>T-cells</w:t>
      </w:r>
      <w:r w:rsidRPr="00416898">
        <w:rPr>
          <w:rFonts w:cs="Arial"/>
          <w:spacing w:val="-4"/>
          <w:w w:val="105"/>
          <w:sz w:val="22"/>
          <w:szCs w:val="22"/>
          <w:lang w:val="en-US"/>
        </w:rPr>
        <w:t xml:space="preserve"> </w:t>
      </w:r>
      <w:r w:rsidRPr="00416898">
        <w:rPr>
          <w:rFonts w:cs="Arial"/>
          <w:w w:val="105"/>
          <w:sz w:val="22"/>
          <w:szCs w:val="22"/>
          <w:lang w:val="en-US"/>
        </w:rPr>
        <w:t>that</w:t>
      </w:r>
      <w:r w:rsidRPr="00416898">
        <w:rPr>
          <w:rFonts w:cs="Arial"/>
          <w:spacing w:val="-4"/>
          <w:w w:val="105"/>
          <w:sz w:val="22"/>
          <w:szCs w:val="22"/>
          <w:lang w:val="en-US"/>
        </w:rPr>
        <w:t xml:space="preserve"> </w:t>
      </w:r>
      <w:r w:rsidRPr="00416898">
        <w:rPr>
          <w:rFonts w:cs="Arial"/>
          <w:w w:val="105"/>
          <w:sz w:val="22"/>
          <w:szCs w:val="22"/>
          <w:lang w:val="en-US"/>
        </w:rPr>
        <w:t>have</w:t>
      </w:r>
      <w:r w:rsidRPr="00416898">
        <w:rPr>
          <w:rFonts w:cs="Arial"/>
          <w:spacing w:val="-3"/>
          <w:w w:val="105"/>
          <w:sz w:val="22"/>
          <w:szCs w:val="22"/>
          <w:lang w:val="en-US"/>
        </w:rPr>
        <w:t xml:space="preserve"> </w:t>
      </w:r>
      <w:r w:rsidRPr="00416898">
        <w:rPr>
          <w:rFonts w:cs="Arial"/>
          <w:w w:val="105"/>
          <w:sz w:val="22"/>
          <w:szCs w:val="22"/>
          <w:lang w:val="en-US"/>
        </w:rPr>
        <w:t>acquired</w:t>
      </w:r>
      <w:r w:rsidRPr="00416898">
        <w:rPr>
          <w:rFonts w:cs="Arial"/>
          <w:spacing w:val="-3"/>
          <w:w w:val="105"/>
          <w:sz w:val="22"/>
          <w:szCs w:val="22"/>
          <w:lang w:val="en-US"/>
        </w:rPr>
        <w:t xml:space="preserve"> </w:t>
      </w:r>
      <w:r w:rsidRPr="00416898">
        <w:rPr>
          <w:rFonts w:cs="Arial"/>
          <w:w w:val="105"/>
          <w:sz w:val="22"/>
          <w:szCs w:val="22"/>
          <w:lang w:val="en-US"/>
        </w:rPr>
        <w:t>receptors</w:t>
      </w:r>
      <w:r w:rsidRPr="00416898">
        <w:rPr>
          <w:rFonts w:cs="Arial"/>
          <w:spacing w:val="-4"/>
          <w:w w:val="105"/>
          <w:sz w:val="22"/>
          <w:szCs w:val="22"/>
          <w:lang w:val="en-US"/>
        </w:rPr>
        <w:t xml:space="preserve"> </w:t>
      </w:r>
      <w:r w:rsidR="00AA2F90" w:rsidRPr="00416898">
        <w:rPr>
          <w:rFonts w:cs="Arial"/>
          <w:spacing w:val="-4"/>
          <w:w w:val="105"/>
          <w:sz w:val="22"/>
          <w:szCs w:val="22"/>
          <w:lang w:val="en-US"/>
        </w:rPr>
        <w:t xml:space="preserve">with high affinity </w:t>
      </w:r>
      <w:r w:rsidRPr="00416898">
        <w:rPr>
          <w:rFonts w:cs="Arial"/>
          <w:w w:val="105"/>
          <w:sz w:val="22"/>
          <w:szCs w:val="22"/>
          <w:lang w:val="en-US"/>
        </w:rPr>
        <w:t>to</w:t>
      </w:r>
      <w:r w:rsidRPr="00416898">
        <w:rPr>
          <w:rFonts w:cs="Arial"/>
          <w:spacing w:val="-3"/>
          <w:w w:val="105"/>
          <w:sz w:val="22"/>
          <w:szCs w:val="22"/>
          <w:lang w:val="en-US"/>
        </w:rPr>
        <w:t xml:space="preserve"> </w:t>
      </w:r>
      <w:proofErr w:type="gramStart"/>
      <w:r w:rsidRPr="00416898">
        <w:rPr>
          <w:rFonts w:cs="Arial"/>
          <w:w w:val="105"/>
          <w:sz w:val="22"/>
          <w:szCs w:val="22"/>
          <w:lang w:val="en-US"/>
        </w:rPr>
        <w:t>auto-antigens</w:t>
      </w:r>
      <w:proofErr w:type="gramEnd"/>
      <w:r w:rsidRPr="00416898">
        <w:rPr>
          <w:rFonts w:cs="Arial"/>
          <w:w w:val="105"/>
          <w:sz w:val="22"/>
          <w:szCs w:val="22"/>
          <w:lang w:val="en-US"/>
        </w:rPr>
        <w:t>,</w:t>
      </w:r>
      <w:r w:rsidRPr="00416898">
        <w:rPr>
          <w:rFonts w:cs="Arial"/>
          <w:spacing w:val="-5"/>
          <w:w w:val="105"/>
          <w:sz w:val="22"/>
          <w:szCs w:val="22"/>
          <w:lang w:val="en-US"/>
        </w:rPr>
        <w:t xml:space="preserve"> </w:t>
      </w:r>
      <w:r w:rsidRPr="00416898">
        <w:rPr>
          <w:rFonts w:cs="Arial"/>
          <w:w w:val="105"/>
          <w:sz w:val="22"/>
          <w:szCs w:val="22"/>
          <w:lang w:val="en-US"/>
        </w:rPr>
        <w:t xml:space="preserve">as these T-cells mature and traverse the thymic epithelium during their development. Normally, such T-cells are prevented from entering the periphery because of the ectopic expression of multiple antigens within the thymus that usually are expressed only in discrete tissues, </w:t>
      </w:r>
      <w:r w:rsidR="00416898" w:rsidRPr="00416898">
        <w:rPr>
          <w:rFonts w:cs="Arial"/>
          <w:w w:val="105"/>
          <w:sz w:val="22"/>
          <w:szCs w:val="22"/>
          <w:lang w:val="en-US"/>
        </w:rPr>
        <w:t>e.g.,</w:t>
      </w:r>
      <w:r w:rsidRPr="00416898">
        <w:rPr>
          <w:rFonts w:cs="Arial"/>
          <w:w w:val="105"/>
          <w:sz w:val="22"/>
          <w:szCs w:val="22"/>
          <w:lang w:val="en-US"/>
        </w:rPr>
        <w:t xml:space="preserve"> insulin in pancreatic β-cells. A developing T-cell that acquires and expresses a </w:t>
      </w:r>
      <w:r w:rsidR="00AA2F90" w:rsidRPr="00416898">
        <w:rPr>
          <w:rFonts w:cs="Arial"/>
          <w:w w:val="105"/>
          <w:sz w:val="22"/>
          <w:szCs w:val="22"/>
          <w:lang w:val="en-US"/>
        </w:rPr>
        <w:t xml:space="preserve">high affinity </w:t>
      </w:r>
      <w:r w:rsidRPr="00416898">
        <w:rPr>
          <w:rFonts w:cs="Arial"/>
          <w:w w:val="105"/>
          <w:sz w:val="22"/>
          <w:szCs w:val="22"/>
          <w:lang w:val="en-US"/>
        </w:rPr>
        <w:t xml:space="preserve">receptor for insulin will be bound to the ectopically expressed insulin antigen within the thymus, undergo apoptosis and be excluded from entering the periphery to initiate auto-immunity (Fig1). This ectopic expression of antigens within the thymus is mediated by the </w:t>
      </w:r>
      <w:r w:rsidRPr="00416898">
        <w:rPr>
          <w:rFonts w:cs="Arial"/>
          <w:b/>
          <w:w w:val="105"/>
          <w:sz w:val="22"/>
          <w:szCs w:val="22"/>
          <w:lang w:val="en-US"/>
        </w:rPr>
        <w:t>A</w:t>
      </w:r>
      <w:r w:rsidRPr="00416898">
        <w:rPr>
          <w:rFonts w:cs="Arial"/>
          <w:w w:val="105"/>
          <w:sz w:val="22"/>
          <w:szCs w:val="22"/>
          <w:lang w:val="en-US"/>
        </w:rPr>
        <w:t>uto-</w:t>
      </w:r>
      <w:r w:rsidRPr="00416898">
        <w:rPr>
          <w:rFonts w:cs="Arial"/>
          <w:b/>
          <w:w w:val="105"/>
          <w:sz w:val="22"/>
          <w:szCs w:val="22"/>
          <w:lang w:val="en-US"/>
        </w:rPr>
        <w:t>I</w:t>
      </w:r>
      <w:r w:rsidRPr="00416898">
        <w:rPr>
          <w:rFonts w:cs="Arial"/>
          <w:w w:val="105"/>
          <w:sz w:val="22"/>
          <w:szCs w:val="22"/>
          <w:lang w:val="en-US"/>
        </w:rPr>
        <w:t xml:space="preserve">mmune </w:t>
      </w:r>
      <w:r w:rsidRPr="00416898">
        <w:rPr>
          <w:rFonts w:cs="Arial"/>
          <w:b/>
          <w:w w:val="105"/>
          <w:sz w:val="22"/>
          <w:szCs w:val="22"/>
          <w:lang w:val="en-US"/>
        </w:rPr>
        <w:t>RE</w:t>
      </w:r>
      <w:r w:rsidRPr="00416898">
        <w:rPr>
          <w:rFonts w:cs="Arial"/>
          <w:w w:val="105"/>
          <w:sz w:val="22"/>
          <w:szCs w:val="22"/>
          <w:lang w:val="en-US"/>
        </w:rPr>
        <w:t>gulator gene (</w:t>
      </w:r>
      <w:r w:rsidRPr="00416898">
        <w:rPr>
          <w:rFonts w:cs="Arial"/>
          <w:i/>
          <w:w w:val="105"/>
          <w:sz w:val="22"/>
          <w:szCs w:val="22"/>
          <w:lang w:val="en-US"/>
        </w:rPr>
        <w:t>AIRE</w:t>
      </w:r>
      <w:r w:rsidRPr="00416898">
        <w:rPr>
          <w:rFonts w:cs="Arial"/>
          <w:w w:val="105"/>
          <w:sz w:val="22"/>
          <w:szCs w:val="22"/>
          <w:lang w:val="en-US"/>
        </w:rPr>
        <w:t xml:space="preserve">) located on chromosome 21. Discovered in 1997 as the gene whose variable inactivation is responsible for the clinical entity APS1 </w:t>
      </w:r>
      <w:r w:rsidR="00F74248" w:rsidRPr="00416898">
        <w:rPr>
          <w:rFonts w:cs="Arial"/>
          <w:w w:val="105"/>
          <w:sz w:val="22"/>
          <w:szCs w:val="22"/>
          <w:lang w:val="en-US"/>
        </w:rPr>
        <w:t>(</w:t>
      </w:r>
      <w:r w:rsidRPr="00416898">
        <w:rPr>
          <w:rFonts w:cs="Arial"/>
          <w:w w:val="105"/>
          <w:sz w:val="22"/>
          <w:szCs w:val="22"/>
          <w:lang w:val="en-US"/>
        </w:rPr>
        <w:t>1, 2, 4, 6</w:t>
      </w:r>
      <w:r w:rsidR="00F74248" w:rsidRPr="00416898">
        <w:rPr>
          <w:rFonts w:cs="Arial"/>
          <w:w w:val="105"/>
          <w:sz w:val="22"/>
          <w:szCs w:val="22"/>
          <w:lang w:val="en-US"/>
        </w:rPr>
        <w:t>)</w:t>
      </w:r>
      <w:r w:rsidRPr="00416898">
        <w:rPr>
          <w:rFonts w:cs="Arial"/>
          <w:w w:val="105"/>
          <w:sz w:val="22"/>
          <w:szCs w:val="22"/>
          <w:lang w:val="en-US"/>
        </w:rPr>
        <w:t xml:space="preserve">, this gene is now known to be an essential component of the adaptive immune response cascade, and the spectrum of disorders ascribed to mutations in this gene extend beyond the APS1 syndrome </w:t>
      </w:r>
      <w:r w:rsidR="00F74248" w:rsidRPr="00416898">
        <w:rPr>
          <w:rFonts w:cs="Arial"/>
          <w:w w:val="105"/>
          <w:sz w:val="22"/>
          <w:szCs w:val="22"/>
          <w:lang w:val="en-US"/>
        </w:rPr>
        <w:t>(</w:t>
      </w:r>
      <w:r w:rsidRPr="00416898">
        <w:rPr>
          <w:rFonts w:cs="Arial"/>
          <w:w w:val="105"/>
          <w:sz w:val="22"/>
          <w:szCs w:val="22"/>
          <w:lang w:val="en-US"/>
        </w:rPr>
        <w:t>2, 4</w:t>
      </w:r>
      <w:r w:rsidR="00F74248" w:rsidRPr="00416898">
        <w:rPr>
          <w:rFonts w:cs="Arial"/>
          <w:w w:val="105"/>
          <w:sz w:val="22"/>
          <w:szCs w:val="22"/>
          <w:lang w:val="en-US"/>
        </w:rPr>
        <w:t>)</w:t>
      </w:r>
      <w:r w:rsidR="000079CF" w:rsidRPr="00416898">
        <w:rPr>
          <w:rFonts w:cs="Arial"/>
          <w:w w:val="105"/>
          <w:sz w:val="22"/>
          <w:szCs w:val="22"/>
          <w:lang w:val="en-US"/>
        </w:rPr>
        <w:t>.</w:t>
      </w:r>
      <w:r w:rsidRPr="00416898">
        <w:rPr>
          <w:rFonts w:cs="Arial"/>
          <w:w w:val="105"/>
          <w:sz w:val="22"/>
          <w:szCs w:val="22"/>
          <w:lang w:val="en-US"/>
        </w:rPr>
        <w:t xml:space="preserve"> Moreover, although APS1 is a rare entity with predilection for particular populations, the increased incidence of autoimmunity in persons with trisomy 21, a relatively common genetic abnormality, may be due to abnormal function of the AIRE gene </w:t>
      </w:r>
      <w:r w:rsidR="00F74248" w:rsidRPr="00416898">
        <w:rPr>
          <w:rFonts w:cs="Arial"/>
          <w:w w:val="105"/>
          <w:sz w:val="22"/>
          <w:szCs w:val="22"/>
          <w:lang w:val="en-US"/>
        </w:rPr>
        <w:t>(</w:t>
      </w:r>
      <w:r w:rsidRPr="00416898">
        <w:rPr>
          <w:rFonts w:cs="Arial"/>
          <w:w w:val="105"/>
          <w:sz w:val="22"/>
          <w:szCs w:val="22"/>
          <w:lang w:val="en-US"/>
        </w:rPr>
        <w:t>9</w:t>
      </w:r>
      <w:r w:rsidR="00F74248" w:rsidRPr="00416898">
        <w:rPr>
          <w:rFonts w:cs="Arial"/>
          <w:w w:val="105"/>
          <w:sz w:val="22"/>
          <w:szCs w:val="22"/>
          <w:lang w:val="en-US"/>
        </w:rPr>
        <w:t>)</w:t>
      </w:r>
      <w:r w:rsidR="000079CF" w:rsidRPr="00416898">
        <w:rPr>
          <w:rFonts w:cs="Arial"/>
          <w:w w:val="105"/>
          <w:sz w:val="22"/>
          <w:szCs w:val="22"/>
          <w:lang w:val="en-US"/>
        </w:rPr>
        <w:t>.</w:t>
      </w:r>
      <w:r w:rsidRPr="00416898">
        <w:rPr>
          <w:rFonts w:cs="Arial"/>
          <w:w w:val="105"/>
          <w:sz w:val="22"/>
          <w:szCs w:val="22"/>
          <w:lang w:val="en-US"/>
        </w:rPr>
        <w:t xml:space="preserve"> In addition, it is becoming apparent that mutations in AIRE can have autosomal dominant effects and become manifest as autoimmune disorders later in life in patterns that differ from the classical APS1 </w:t>
      </w:r>
      <w:r w:rsidR="000B54B0" w:rsidRPr="00416898">
        <w:rPr>
          <w:rFonts w:cs="Arial"/>
          <w:w w:val="105"/>
          <w:sz w:val="22"/>
          <w:szCs w:val="22"/>
          <w:lang w:val="en-US"/>
        </w:rPr>
        <w:t>(</w:t>
      </w:r>
      <w:r w:rsidRPr="00416898">
        <w:rPr>
          <w:rFonts w:cs="Arial"/>
          <w:w w:val="105"/>
          <w:sz w:val="22"/>
          <w:szCs w:val="22"/>
          <w:lang w:val="en-US"/>
        </w:rPr>
        <w:t>2, 4</w:t>
      </w:r>
      <w:r w:rsidR="000B54B0" w:rsidRPr="00416898">
        <w:rPr>
          <w:rFonts w:cs="Arial"/>
          <w:w w:val="105"/>
          <w:sz w:val="22"/>
          <w:szCs w:val="22"/>
          <w:lang w:val="en-US"/>
        </w:rPr>
        <w:t>)</w:t>
      </w:r>
      <w:r w:rsidR="000079CF" w:rsidRPr="00416898">
        <w:rPr>
          <w:rFonts w:cs="Arial"/>
          <w:w w:val="105"/>
          <w:sz w:val="22"/>
          <w:szCs w:val="22"/>
          <w:lang w:val="en-US"/>
        </w:rPr>
        <w:t>.</w:t>
      </w:r>
      <w:r w:rsidRPr="00416898">
        <w:rPr>
          <w:rFonts w:cs="Arial"/>
          <w:w w:val="105"/>
          <w:sz w:val="22"/>
          <w:szCs w:val="22"/>
          <w:lang w:val="en-US"/>
        </w:rPr>
        <w:t xml:space="preserve"> Since the incidence of such autosomal mutations may be as high as 1:1000, whereas the incidence of APS1 is much rarer (1:9000 in Iranian Jews; 1:14500 in Sardinia; 1:25000 in Finland), the influence of the </w:t>
      </w:r>
      <w:r w:rsidRPr="00416898">
        <w:rPr>
          <w:rFonts w:cs="Arial"/>
          <w:i/>
          <w:w w:val="105"/>
          <w:sz w:val="22"/>
          <w:szCs w:val="22"/>
          <w:lang w:val="en-US"/>
        </w:rPr>
        <w:t xml:space="preserve">AIRE </w:t>
      </w:r>
      <w:r w:rsidRPr="00416898">
        <w:rPr>
          <w:rFonts w:cs="Arial"/>
          <w:w w:val="105"/>
          <w:sz w:val="22"/>
          <w:szCs w:val="22"/>
          <w:lang w:val="en-US"/>
        </w:rPr>
        <w:t xml:space="preserve">gene on autoimmune processes and diseases may be far wider than hitherto appreciated, especially since Treg cells (regulatory T cells) also are now implicated in the abnormalities induced by AIRE deficiency </w:t>
      </w:r>
      <w:r w:rsidR="000B54B0" w:rsidRPr="00416898">
        <w:rPr>
          <w:rFonts w:cs="Arial"/>
          <w:w w:val="105"/>
          <w:sz w:val="22"/>
          <w:szCs w:val="22"/>
          <w:lang w:val="en-US"/>
        </w:rPr>
        <w:t>(</w:t>
      </w:r>
      <w:r w:rsidRPr="00416898">
        <w:rPr>
          <w:rFonts w:cs="Arial"/>
          <w:w w:val="105"/>
          <w:sz w:val="22"/>
          <w:szCs w:val="22"/>
          <w:lang w:val="en-US"/>
        </w:rPr>
        <w:t>2, 4</w:t>
      </w:r>
      <w:r w:rsidR="000B54B0" w:rsidRPr="00416898">
        <w:rPr>
          <w:rFonts w:cs="Arial"/>
          <w:w w:val="105"/>
          <w:sz w:val="22"/>
          <w:szCs w:val="22"/>
          <w:lang w:val="en-US"/>
        </w:rPr>
        <w:t>)</w:t>
      </w:r>
      <w:r w:rsidR="000079CF" w:rsidRPr="00416898">
        <w:rPr>
          <w:rFonts w:cs="Arial"/>
          <w:w w:val="105"/>
          <w:sz w:val="22"/>
          <w:szCs w:val="22"/>
          <w:lang w:val="en-US"/>
        </w:rPr>
        <w:t>.</w:t>
      </w:r>
      <w:r w:rsidRPr="00416898">
        <w:rPr>
          <w:rFonts w:cs="Arial"/>
          <w:w w:val="105"/>
          <w:sz w:val="22"/>
          <w:szCs w:val="22"/>
          <w:lang w:val="en-US"/>
        </w:rPr>
        <w:t xml:space="preserve"> Both T-cell and B-cell abnormalities are observed in APS1, so that circulating antibodies to various hormonal, connective tissues, and protein antigens such as enzymes in the steroidogenic or thyroid synthesis cascades are evident in the serum of affected patients with APS1, and indeed in all forms of the autoimmune polyglandular syndromes.</w:t>
      </w:r>
      <w:r w:rsidR="00FC7F95" w:rsidRPr="00416898">
        <w:rPr>
          <w:rFonts w:cs="Arial"/>
          <w:sz w:val="22"/>
          <w:szCs w:val="22"/>
          <w:lang w:val="en-US"/>
        </w:rPr>
        <w:t xml:space="preserve"> </w:t>
      </w:r>
      <w:r w:rsidR="00D16133" w:rsidRPr="00416898">
        <w:rPr>
          <w:rFonts w:cs="Arial"/>
          <w:w w:val="105"/>
          <w:sz w:val="22"/>
          <w:szCs w:val="22"/>
          <w:lang w:val="en-US"/>
        </w:rPr>
        <w:t>Figure 1 summarizes these</w:t>
      </w:r>
      <w:r w:rsidR="00D16133" w:rsidRPr="00416898">
        <w:rPr>
          <w:rFonts w:cs="Arial"/>
          <w:spacing w:val="1"/>
          <w:w w:val="105"/>
          <w:sz w:val="22"/>
          <w:szCs w:val="22"/>
          <w:lang w:val="en-US"/>
        </w:rPr>
        <w:t xml:space="preserve"> </w:t>
      </w:r>
      <w:r w:rsidR="00D16133" w:rsidRPr="00416898">
        <w:rPr>
          <w:rFonts w:cs="Arial"/>
          <w:w w:val="105"/>
          <w:sz w:val="22"/>
          <w:szCs w:val="22"/>
          <w:lang w:val="en-US"/>
        </w:rPr>
        <w:t>concepts.</w:t>
      </w:r>
    </w:p>
    <w:p w14:paraId="32335F3B" w14:textId="77777777" w:rsidR="000079CF" w:rsidRPr="00416898" w:rsidRDefault="000079CF" w:rsidP="000079CF">
      <w:pPr>
        <w:pStyle w:val="BodyText"/>
        <w:spacing w:line="276" w:lineRule="auto"/>
        <w:rPr>
          <w:rFonts w:cs="Arial"/>
          <w:w w:val="105"/>
          <w:sz w:val="22"/>
          <w:szCs w:val="22"/>
          <w:lang w:val="en-US"/>
        </w:rPr>
      </w:pPr>
    </w:p>
    <w:p w14:paraId="77D92D4D" w14:textId="77777777" w:rsidR="001262F9" w:rsidRPr="00416898" w:rsidRDefault="00FC7F95" w:rsidP="00C84278">
      <w:pPr>
        <w:pStyle w:val="BodyText"/>
        <w:spacing w:line="276" w:lineRule="auto"/>
        <w:rPr>
          <w:rFonts w:cs="Arial"/>
          <w:sz w:val="22"/>
          <w:szCs w:val="22"/>
          <w:lang w:val="en-US"/>
        </w:rPr>
      </w:pPr>
      <w:r w:rsidRPr="00416898">
        <w:rPr>
          <w:rFonts w:cs="Arial"/>
          <w:sz w:val="22"/>
          <w:szCs w:val="22"/>
          <w:lang w:val="en-US"/>
        </w:rPr>
        <w:t>Several recent case series indicate that the phenotypic variation and age of symptom onset vary greatly, even within the same family</w:t>
      </w:r>
      <w:r w:rsidR="00321266" w:rsidRPr="00416898">
        <w:rPr>
          <w:rFonts w:cs="Arial"/>
          <w:sz w:val="22"/>
          <w:szCs w:val="22"/>
          <w:lang w:val="en-US"/>
        </w:rPr>
        <w:t xml:space="preserve"> </w:t>
      </w:r>
      <w:r w:rsidR="000B54B0" w:rsidRPr="00416898">
        <w:rPr>
          <w:rFonts w:cs="Arial"/>
          <w:sz w:val="22"/>
          <w:szCs w:val="22"/>
          <w:lang w:val="en-US"/>
        </w:rPr>
        <w:t>(</w:t>
      </w:r>
      <w:r w:rsidR="0008365F" w:rsidRPr="00416898">
        <w:rPr>
          <w:rFonts w:cs="Arial"/>
          <w:sz w:val="22"/>
          <w:szCs w:val="22"/>
          <w:lang w:val="en-US"/>
        </w:rPr>
        <w:t>10</w:t>
      </w:r>
      <w:r w:rsidR="00AA2F90" w:rsidRPr="00416898">
        <w:rPr>
          <w:rFonts w:cs="Arial"/>
          <w:sz w:val="22"/>
          <w:szCs w:val="22"/>
          <w:lang w:val="en-US"/>
        </w:rPr>
        <w:t>,</w:t>
      </w:r>
      <w:r w:rsidR="005C2A2F" w:rsidRPr="00416898">
        <w:rPr>
          <w:rFonts w:cs="Arial"/>
          <w:sz w:val="22"/>
          <w:szCs w:val="22"/>
          <w:lang w:val="en-US"/>
        </w:rPr>
        <w:t>11</w:t>
      </w:r>
      <w:r w:rsidR="000B54B0" w:rsidRPr="00416898">
        <w:rPr>
          <w:rFonts w:cs="Arial"/>
          <w:sz w:val="22"/>
          <w:szCs w:val="22"/>
          <w:lang w:val="en-US"/>
        </w:rPr>
        <w:t>)</w:t>
      </w:r>
      <w:r w:rsidR="00D16133" w:rsidRPr="00416898">
        <w:rPr>
          <w:rFonts w:cs="Arial"/>
          <w:sz w:val="22"/>
          <w:szCs w:val="22"/>
          <w:lang w:val="en-US"/>
        </w:rPr>
        <w:t>,</w:t>
      </w:r>
      <w:r w:rsidR="0008365F" w:rsidRPr="00416898">
        <w:rPr>
          <w:rFonts w:cs="Arial"/>
          <w:sz w:val="22"/>
          <w:szCs w:val="22"/>
          <w:lang w:val="en-US"/>
        </w:rPr>
        <w:t xml:space="preserve"> </w:t>
      </w:r>
      <w:r w:rsidRPr="00416898">
        <w:rPr>
          <w:rFonts w:cs="Arial"/>
          <w:sz w:val="22"/>
          <w:szCs w:val="22"/>
          <w:lang w:val="en-US"/>
        </w:rPr>
        <w:t>implying that other genes such as major histocompatibility complex genes, or environmental exposures, influence the phenotype and natural course</w:t>
      </w:r>
      <w:r w:rsidR="00321266" w:rsidRPr="00416898">
        <w:rPr>
          <w:rFonts w:cs="Arial"/>
          <w:sz w:val="22"/>
          <w:szCs w:val="22"/>
          <w:lang w:val="en-US"/>
        </w:rPr>
        <w:t xml:space="preserve"> </w:t>
      </w:r>
      <w:r w:rsidR="000B54B0" w:rsidRPr="00416898">
        <w:rPr>
          <w:rFonts w:cs="Arial"/>
          <w:sz w:val="22"/>
          <w:szCs w:val="22"/>
          <w:lang w:val="en-US"/>
        </w:rPr>
        <w:t>(</w:t>
      </w:r>
      <w:r w:rsidR="00E00717" w:rsidRPr="00416898">
        <w:rPr>
          <w:rFonts w:cs="Arial"/>
          <w:sz w:val="22"/>
          <w:szCs w:val="22"/>
          <w:lang w:val="en-US"/>
        </w:rPr>
        <w:t>1,</w:t>
      </w:r>
      <w:r w:rsidR="005C2A2F" w:rsidRPr="00416898">
        <w:rPr>
          <w:rFonts w:cs="Arial"/>
          <w:sz w:val="22"/>
          <w:szCs w:val="22"/>
          <w:lang w:val="en-US"/>
        </w:rPr>
        <w:t>11)</w:t>
      </w:r>
      <w:r w:rsidR="000079CF" w:rsidRPr="00416898">
        <w:rPr>
          <w:rFonts w:cs="Arial"/>
          <w:sz w:val="22"/>
          <w:szCs w:val="22"/>
          <w:lang w:val="en-US"/>
        </w:rPr>
        <w:t>.</w:t>
      </w:r>
      <w:r w:rsidR="000B54B0" w:rsidRPr="00416898">
        <w:rPr>
          <w:rFonts w:cs="Arial"/>
          <w:sz w:val="22"/>
          <w:szCs w:val="22"/>
          <w:lang w:val="en-US"/>
        </w:rPr>
        <w:t xml:space="preserve"> </w:t>
      </w:r>
      <w:r w:rsidR="00455673" w:rsidRPr="00416898">
        <w:rPr>
          <w:rFonts w:cs="Arial"/>
          <w:sz w:val="22"/>
          <w:szCs w:val="22"/>
          <w:lang w:val="en-US"/>
        </w:rPr>
        <w:t>T</w:t>
      </w:r>
      <w:r w:rsidRPr="00416898">
        <w:rPr>
          <w:rFonts w:cs="Arial"/>
          <w:sz w:val="22"/>
          <w:szCs w:val="22"/>
          <w:lang w:val="en-US"/>
        </w:rPr>
        <w:t>his wide variation in presentation and symptomatology makes the diagnosis of APS-1 challenging</w:t>
      </w:r>
      <w:r w:rsidR="00D10AE8" w:rsidRPr="00416898">
        <w:rPr>
          <w:rFonts w:cs="Arial"/>
          <w:sz w:val="22"/>
          <w:szCs w:val="22"/>
          <w:lang w:val="en-US"/>
        </w:rPr>
        <w:t>.</w:t>
      </w:r>
      <w:r w:rsidR="00353463" w:rsidRPr="00416898">
        <w:rPr>
          <w:rFonts w:cs="Arial"/>
          <w:w w:val="105"/>
          <w:sz w:val="22"/>
          <w:szCs w:val="22"/>
          <w:lang w:val="en-US"/>
        </w:rPr>
        <w:t xml:space="preserve"> </w:t>
      </w:r>
    </w:p>
    <w:p w14:paraId="61ABDF21" w14:textId="77777777" w:rsidR="006E097C" w:rsidRPr="00416898" w:rsidRDefault="006E097C" w:rsidP="00C84278">
      <w:pPr>
        <w:pStyle w:val="BodyText"/>
        <w:spacing w:line="276" w:lineRule="auto"/>
        <w:rPr>
          <w:rFonts w:cs="Arial"/>
          <w:sz w:val="22"/>
          <w:szCs w:val="22"/>
          <w:lang w:val="en-US"/>
        </w:rPr>
      </w:pPr>
    </w:p>
    <w:p w14:paraId="199BCE15" w14:textId="77777777" w:rsidR="006E097C" w:rsidRPr="00416898" w:rsidRDefault="006E097C" w:rsidP="00C84278">
      <w:pPr>
        <w:pStyle w:val="BodyText"/>
        <w:spacing w:line="276" w:lineRule="auto"/>
        <w:rPr>
          <w:rFonts w:cs="Arial"/>
          <w:sz w:val="22"/>
          <w:szCs w:val="22"/>
          <w:lang w:val="en-US"/>
        </w:rPr>
      </w:pPr>
    </w:p>
    <w:p w14:paraId="093DADFC" w14:textId="77777777" w:rsidR="006E097C" w:rsidRPr="00416898" w:rsidRDefault="005E7CBF" w:rsidP="00C84278">
      <w:pPr>
        <w:pStyle w:val="BodyText"/>
        <w:spacing w:line="276" w:lineRule="auto"/>
        <w:rPr>
          <w:rFonts w:cs="Arial"/>
          <w:sz w:val="22"/>
          <w:szCs w:val="22"/>
          <w:lang w:val="en-US"/>
        </w:rPr>
      </w:pPr>
      <w:r w:rsidRPr="00416898">
        <w:rPr>
          <w:rFonts w:cs="Arial"/>
          <w:noProof/>
          <w:sz w:val="22"/>
          <w:szCs w:val="22"/>
          <w:lang w:val="en-US"/>
        </w:rPr>
        <w:drawing>
          <wp:inline distT="0" distB="0" distL="0" distR="0" wp14:anchorId="7F75D4B1" wp14:editId="666D8ACD">
            <wp:extent cx="5956300" cy="1816100"/>
            <wp:effectExtent l="0" t="0" r="0" b="0"/>
            <wp:docPr id="1" name="image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e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56300" cy="1816100"/>
                    </a:xfrm>
                    <a:prstGeom prst="rect">
                      <a:avLst/>
                    </a:prstGeom>
                    <a:noFill/>
                    <a:ln>
                      <a:noFill/>
                    </a:ln>
                  </pic:spPr>
                </pic:pic>
              </a:graphicData>
            </a:graphic>
          </wp:inline>
        </w:drawing>
      </w:r>
    </w:p>
    <w:p w14:paraId="1E48526C" w14:textId="77777777" w:rsidR="006E097C" w:rsidRPr="00416898" w:rsidRDefault="003C420F" w:rsidP="000079CF">
      <w:pPr>
        <w:pStyle w:val="Heading1"/>
        <w:spacing w:line="276" w:lineRule="auto"/>
        <w:ind w:left="0"/>
        <w:rPr>
          <w:rFonts w:cs="Arial"/>
          <w:sz w:val="22"/>
          <w:szCs w:val="22"/>
          <w:lang w:val="en-US"/>
        </w:rPr>
      </w:pPr>
      <w:r w:rsidRPr="00416898">
        <w:rPr>
          <w:rFonts w:cs="Arial"/>
          <w:w w:val="105"/>
          <w:sz w:val="22"/>
          <w:szCs w:val="22"/>
          <w:lang w:val="en-US"/>
        </w:rPr>
        <w:t>Figure1.</w:t>
      </w:r>
      <w:r w:rsidR="000079CF" w:rsidRPr="00416898">
        <w:rPr>
          <w:rFonts w:cs="Arial"/>
          <w:w w:val="105"/>
          <w:sz w:val="22"/>
          <w:szCs w:val="22"/>
          <w:lang w:val="en-US"/>
        </w:rPr>
        <w:t xml:space="preserve"> </w:t>
      </w:r>
      <w:r w:rsidRPr="00416898">
        <w:rPr>
          <w:rFonts w:cs="Arial"/>
          <w:w w:val="105"/>
          <w:sz w:val="22"/>
          <w:szCs w:val="22"/>
          <w:lang w:val="en-US"/>
        </w:rPr>
        <w:t xml:space="preserve">Left panel: Modified from </w:t>
      </w:r>
      <w:r w:rsidRPr="00416898">
        <w:rPr>
          <w:rFonts w:cs="Arial"/>
          <w:i/>
          <w:w w:val="105"/>
          <w:sz w:val="22"/>
          <w:szCs w:val="22"/>
          <w:lang w:val="en-US"/>
        </w:rPr>
        <w:t xml:space="preserve">Autoimmune Polyglandular Syndromes </w:t>
      </w:r>
      <w:r w:rsidRPr="00416898">
        <w:rPr>
          <w:rFonts w:cs="Arial"/>
          <w:w w:val="105"/>
          <w:sz w:val="22"/>
          <w:szCs w:val="22"/>
          <w:lang w:val="en-US"/>
        </w:rPr>
        <w:t>in Pediatric Endocrinology 4</w:t>
      </w:r>
      <w:r w:rsidRPr="00416898">
        <w:rPr>
          <w:rFonts w:cs="Arial"/>
          <w:w w:val="105"/>
          <w:sz w:val="22"/>
          <w:szCs w:val="22"/>
          <w:vertAlign w:val="superscript"/>
          <w:lang w:val="en-US"/>
        </w:rPr>
        <w:t>th</w:t>
      </w:r>
      <w:r w:rsidRPr="00416898">
        <w:rPr>
          <w:rFonts w:cs="Arial"/>
          <w:w w:val="105"/>
          <w:sz w:val="22"/>
          <w:szCs w:val="22"/>
          <w:lang w:val="en-US"/>
        </w:rPr>
        <w:t xml:space="preserve"> Edition, Ed. Sperling MA. (with permission of the authors Drs. Michael Haller, William Winter, Desmond Schatz) A developing T-cell migrates from its origins in the bone marrow to the thymus where it acquires its repertoire of receptors. The expression of self-antigens, including ectopic expression of antigens mediated via the </w:t>
      </w:r>
      <w:r w:rsidRPr="00416898">
        <w:rPr>
          <w:rFonts w:cs="Arial"/>
          <w:i/>
          <w:w w:val="105"/>
          <w:sz w:val="22"/>
          <w:szCs w:val="22"/>
          <w:lang w:val="en-US"/>
        </w:rPr>
        <w:t xml:space="preserve">AIRE </w:t>
      </w:r>
      <w:r w:rsidRPr="00416898">
        <w:rPr>
          <w:rFonts w:cs="Arial"/>
          <w:w w:val="105"/>
          <w:sz w:val="22"/>
          <w:szCs w:val="22"/>
          <w:lang w:val="en-US"/>
        </w:rPr>
        <w:t>gene, results in apoptosis of the T-cell possessing the complementary receptor, and prevention of the T-cell entering the periphery, a fate of almost all T-cells. A small fraction of T-</w:t>
      </w:r>
      <w:r w:rsidR="00416898" w:rsidRPr="00416898">
        <w:rPr>
          <w:rFonts w:cs="Arial"/>
          <w:w w:val="105"/>
          <w:sz w:val="22"/>
          <w:szCs w:val="22"/>
          <w:lang w:val="en-US"/>
        </w:rPr>
        <w:t xml:space="preserve">cells </w:t>
      </w:r>
      <w:proofErr w:type="gramStart"/>
      <w:r w:rsidR="00416898" w:rsidRPr="00416898">
        <w:rPr>
          <w:rFonts w:cs="Arial"/>
          <w:w w:val="105"/>
          <w:sz w:val="22"/>
          <w:szCs w:val="22"/>
          <w:lang w:val="en-US"/>
        </w:rPr>
        <w:t>enter</w:t>
      </w:r>
      <w:proofErr w:type="gramEnd"/>
      <w:r w:rsidRPr="00416898">
        <w:rPr>
          <w:rFonts w:cs="Arial"/>
          <w:w w:val="105"/>
          <w:sz w:val="22"/>
          <w:szCs w:val="22"/>
          <w:lang w:val="en-US"/>
        </w:rPr>
        <w:t xml:space="preserve"> the periphery where they remain anergic to self-antigens, but can mount an immune response to non-self-antigens.</w:t>
      </w:r>
      <w:r w:rsidR="000079CF" w:rsidRPr="00416898">
        <w:rPr>
          <w:rFonts w:cs="Arial"/>
          <w:w w:val="105"/>
          <w:sz w:val="22"/>
          <w:szCs w:val="22"/>
          <w:lang w:val="en-US"/>
        </w:rPr>
        <w:t xml:space="preserve"> </w:t>
      </w:r>
      <w:r w:rsidRPr="00416898">
        <w:rPr>
          <w:rFonts w:cs="Arial"/>
          <w:w w:val="105"/>
          <w:sz w:val="22"/>
          <w:szCs w:val="22"/>
          <w:lang w:val="en-US"/>
        </w:rPr>
        <w:t>Right</w:t>
      </w:r>
      <w:r w:rsidRPr="00416898">
        <w:rPr>
          <w:rFonts w:cs="Arial"/>
          <w:spacing w:val="-5"/>
          <w:w w:val="105"/>
          <w:sz w:val="22"/>
          <w:szCs w:val="22"/>
          <w:lang w:val="en-US"/>
        </w:rPr>
        <w:t xml:space="preserve"> </w:t>
      </w:r>
      <w:r w:rsidRPr="00416898">
        <w:rPr>
          <w:rFonts w:cs="Arial"/>
          <w:w w:val="105"/>
          <w:sz w:val="22"/>
          <w:szCs w:val="22"/>
          <w:lang w:val="en-US"/>
        </w:rPr>
        <w:t>panel:</w:t>
      </w:r>
      <w:r w:rsidRPr="00416898">
        <w:rPr>
          <w:rFonts w:cs="Arial"/>
          <w:spacing w:val="-5"/>
          <w:w w:val="105"/>
          <w:sz w:val="22"/>
          <w:szCs w:val="22"/>
          <w:lang w:val="en-US"/>
        </w:rPr>
        <w:t xml:space="preserve"> </w:t>
      </w:r>
      <w:r w:rsidRPr="00416898">
        <w:rPr>
          <w:rFonts w:cs="Arial"/>
          <w:w w:val="105"/>
          <w:sz w:val="22"/>
          <w:szCs w:val="22"/>
          <w:lang w:val="en-US"/>
        </w:rPr>
        <w:t>Failure</w:t>
      </w:r>
      <w:r w:rsidRPr="00416898">
        <w:rPr>
          <w:rFonts w:cs="Arial"/>
          <w:spacing w:val="-4"/>
          <w:w w:val="105"/>
          <w:sz w:val="22"/>
          <w:szCs w:val="22"/>
          <w:lang w:val="en-US"/>
        </w:rPr>
        <w:t xml:space="preserve"> </w:t>
      </w:r>
      <w:r w:rsidRPr="00416898">
        <w:rPr>
          <w:rFonts w:cs="Arial"/>
          <w:w w:val="105"/>
          <w:sz w:val="22"/>
          <w:szCs w:val="22"/>
          <w:lang w:val="en-US"/>
        </w:rPr>
        <w:t>of</w:t>
      </w:r>
      <w:r w:rsidRPr="00416898">
        <w:rPr>
          <w:rFonts w:cs="Arial"/>
          <w:spacing w:val="-5"/>
          <w:w w:val="105"/>
          <w:sz w:val="22"/>
          <w:szCs w:val="22"/>
          <w:lang w:val="en-US"/>
        </w:rPr>
        <w:t xml:space="preserve"> </w:t>
      </w:r>
      <w:r w:rsidRPr="00416898">
        <w:rPr>
          <w:rFonts w:cs="Arial"/>
          <w:w w:val="105"/>
          <w:sz w:val="22"/>
          <w:szCs w:val="22"/>
          <w:lang w:val="en-US"/>
        </w:rPr>
        <w:t>self-tolerance,</w:t>
      </w:r>
      <w:r w:rsidRPr="00416898">
        <w:rPr>
          <w:rFonts w:cs="Arial"/>
          <w:spacing w:val="-4"/>
          <w:w w:val="105"/>
          <w:sz w:val="22"/>
          <w:szCs w:val="22"/>
          <w:lang w:val="en-US"/>
        </w:rPr>
        <w:t xml:space="preserve"> </w:t>
      </w:r>
      <w:r w:rsidRPr="00416898">
        <w:rPr>
          <w:rFonts w:cs="Arial"/>
          <w:w w:val="105"/>
          <w:sz w:val="22"/>
          <w:szCs w:val="22"/>
          <w:lang w:val="en-US"/>
        </w:rPr>
        <w:t>due</w:t>
      </w:r>
      <w:r w:rsidRPr="00416898">
        <w:rPr>
          <w:rFonts w:cs="Arial"/>
          <w:spacing w:val="-4"/>
          <w:w w:val="105"/>
          <w:sz w:val="22"/>
          <w:szCs w:val="22"/>
          <w:lang w:val="en-US"/>
        </w:rPr>
        <w:t xml:space="preserve"> </w:t>
      </w:r>
      <w:r w:rsidRPr="00416898">
        <w:rPr>
          <w:rFonts w:cs="Arial"/>
          <w:w w:val="105"/>
          <w:sz w:val="22"/>
          <w:szCs w:val="22"/>
          <w:lang w:val="en-US"/>
        </w:rPr>
        <w:t>to</w:t>
      </w:r>
      <w:r w:rsidRPr="00416898">
        <w:rPr>
          <w:rFonts w:cs="Arial"/>
          <w:spacing w:val="-4"/>
          <w:w w:val="105"/>
          <w:sz w:val="22"/>
          <w:szCs w:val="22"/>
          <w:lang w:val="en-US"/>
        </w:rPr>
        <w:t xml:space="preserve"> </w:t>
      </w:r>
      <w:r w:rsidRPr="00416898">
        <w:rPr>
          <w:rFonts w:cs="Arial"/>
          <w:w w:val="105"/>
          <w:sz w:val="22"/>
          <w:szCs w:val="22"/>
          <w:lang w:val="en-US"/>
        </w:rPr>
        <w:t>non-expression</w:t>
      </w:r>
      <w:r w:rsidRPr="00416898">
        <w:rPr>
          <w:rFonts w:cs="Arial"/>
          <w:spacing w:val="-4"/>
          <w:w w:val="105"/>
          <w:sz w:val="22"/>
          <w:szCs w:val="22"/>
          <w:lang w:val="en-US"/>
        </w:rPr>
        <w:t xml:space="preserve"> </w:t>
      </w:r>
      <w:r w:rsidRPr="00416898">
        <w:rPr>
          <w:rFonts w:cs="Arial"/>
          <w:w w:val="105"/>
          <w:sz w:val="22"/>
          <w:szCs w:val="22"/>
          <w:lang w:val="en-US"/>
        </w:rPr>
        <w:t>of</w:t>
      </w:r>
      <w:r w:rsidRPr="00416898">
        <w:rPr>
          <w:rFonts w:cs="Arial"/>
          <w:spacing w:val="-5"/>
          <w:w w:val="105"/>
          <w:sz w:val="22"/>
          <w:szCs w:val="22"/>
          <w:lang w:val="en-US"/>
        </w:rPr>
        <w:t xml:space="preserve"> </w:t>
      </w:r>
      <w:r w:rsidRPr="00416898">
        <w:rPr>
          <w:rFonts w:cs="Arial"/>
          <w:w w:val="105"/>
          <w:sz w:val="22"/>
          <w:szCs w:val="22"/>
          <w:lang w:val="en-US"/>
        </w:rPr>
        <w:t>self-antigens</w:t>
      </w:r>
      <w:r w:rsidRPr="00416898">
        <w:rPr>
          <w:rFonts w:cs="Arial"/>
          <w:spacing w:val="-3"/>
          <w:w w:val="105"/>
          <w:sz w:val="22"/>
          <w:szCs w:val="22"/>
          <w:lang w:val="en-US"/>
        </w:rPr>
        <w:t xml:space="preserve"> </w:t>
      </w:r>
      <w:r w:rsidRPr="00416898">
        <w:rPr>
          <w:rFonts w:cs="Arial"/>
          <w:w w:val="105"/>
          <w:sz w:val="22"/>
          <w:szCs w:val="22"/>
          <w:lang w:val="en-US"/>
        </w:rPr>
        <w:t>as</w:t>
      </w:r>
      <w:r w:rsidRPr="00416898">
        <w:rPr>
          <w:rFonts w:cs="Arial"/>
          <w:spacing w:val="-4"/>
          <w:w w:val="105"/>
          <w:sz w:val="22"/>
          <w:szCs w:val="22"/>
          <w:lang w:val="en-US"/>
        </w:rPr>
        <w:t xml:space="preserve"> </w:t>
      </w:r>
      <w:r w:rsidRPr="00416898">
        <w:rPr>
          <w:rFonts w:cs="Arial"/>
          <w:w w:val="105"/>
          <w:sz w:val="22"/>
          <w:szCs w:val="22"/>
          <w:lang w:val="en-US"/>
        </w:rPr>
        <w:t>would</w:t>
      </w:r>
      <w:r w:rsidRPr="00416898">
        <w:rPr>
          <w:rFonts w:cs="Arial"/>
          <w:spacing w:val="-4"/>
          <w:w w:val="105"/>
          <w:sz w:val="22"/>
          <w:szCs w:val="22"/>
          <w:lang w:val="en-US"/>
        </w:rPr>
        <w:t xml:space="preserve"> </w:t>
      </w:r>
      <w:r w:rsidRPr="00416898">
        <w:rPr>
          <w:rFonts w:cs="Arial"/>
          <w:w w:val="105"/>
          <w:sz w:val="22"/>
          <w:szCs w:val="22"/>
          <w:lang w:val="en-US"/>
        </w:rPr>
        <w:t>occur with</w:t>
      </w:r>
      <w:r w:rsidRPr="00416898">
        <w:rPr>
          <w:rFonts w:cs="Arial"/>
          <w:spacing w:val="-4"/>
          <w:w w:val="105"/>
          <w:sz w:val="22"/>
          <w:szCs w:val="22"/>
          <w:lang w:val="en-US"/>
        </w:rPr>
        <w:t xml:space="preserve"> </w:t>
      </w:r>
      <w:r w:rsidRPr="00416898">
        <w:rPr>
          <w:rFonts w:cs="Arial"/>
          <w:w w:val="105"/>
          <w:sz w:val="22"/>
          <w:szCs w:val="22"/>
          <w:lang w:val="en-US"/>
        </w:rPr>
        <w:t>inactivating</w:t>
      </w:r>
      <w:r w:rsidRPr="00416898">
        <w:rPr>
          <w:rFonts w:cs="Arial"/>
          <w:spacing w:val="-3"/>
          <w:w w:val="105"/>
          <w:sz w:val="22"/>
          <w:szCs w:val="22"/>
          <w:lang w:val="en-US"/>
        </w:rPr>
        <w:t xml:space="preserve"> </w:t>
      </w:r>
      <w:r w:rsidRPr="00416898">
        <w:rPr>
          <w:rFonts w:cs="Arial"/>
          <w:w w:val="105"/>
          <w:sz w:val="22"/>
          <w:szCs w:val="22"/>
          <w:lang w:val="en-US"/>
        </w:rPr>
        <w:t>mutations</w:t>
      </w:r>
      <w:r w:rsidRPr="00416898">
        <w:rPr>
          <w:rFonts w:cs="Arial"/>
          <w:spacing w:val="-4"/>
          <w:w w:val="105"/>
          <w:sz w:val="22"/>
          <w:szCs w:val="22"/>
          <w:lang w:val="en-US"/>
        </w:rPr>
        <w:t xml:space="preserve"> </w:t>
      </w:r>
      <w:r w:rsidRPr="00416898">
        <w:rPr>
          <w:rFonts w:cs="Arial"/>
          <w:w w:val="105"/>
          <w:sz w:val="22"/>
          <w:szCs w:val="22"/>
          <w:lang w:val="en-US"/>
        </w:rPr>
        <w:t>of</w:t>
      </w:r>
      <w:r w:rsidRPr="00416898">
        <w:rPr>
          <w:rFonts w:cs="Arial"/>
          <w:spacing w:val="-4"/>
          <w:w w:val="105"/>
          <w:sz w:val="22"/>
          <w:szCs w:val="22"/>
          <w:lang w:val="en-US"/>
        </w:rPr>
        <w:t xml:space="preserve"> </w:t>
      </w:r>
      <w:r w:rsidRPr="00416898">
        <w:rPr>
          <w:rFonts w:cs="Arial"/>
          <w:w w:val="105"/>
          <w:sz w:val="22"/>
          <w:szCs w:val="22"/>
          <w:lang w:val="en-US"/>
        </w:rPr>
        <w:t>the</w:t>
      </w:r>
      <w:r w:rsidRPr="00416898">
        <w:rPr>
          <w:rFonts w:cs="Arial"/>
          <w:spacing w:val="-2"/>
          <w:w w:val="105"/>
          <w:sz w:val="22"/>
          <w:szCs w:val="22"/>
          <w:lang w:val="en-US"/>
        </w:rPr>
        <w:t xml:space="preserve"> </w:t>
      </w:r>
      <w:r w:rsidRPr="00416898">
        <w:rPr>
          <w:rFonts w:cs="Arial"/>
          <w:i/>
          <w:w w:val="105"/>
          <w:sz w:val="22"/>
          <w:szCs w:val="22"/>
          <w:lang w:val="en-US"/>
        </w:rPr>
        <w:t>AIRE</w:t>
      </w:r>
      <w:r w:rsidRPr="00416898">
        <w:rPr>
          <w:rFonts w:cs="Arial"/>
          <w:i/>
          <w:spacing w:val="-3"/>
          <w:w w:val="105"/>
          <w:sz w:val="22"/>
          <w:szCs w:val="22"/>
          <w:lang w:val="en-US"/>
        </w:rPr>
        <w:t xml:space="preserve"> </w:t>
      </w:r>
      <w:r w:rsidRPr="00416898">
        <w:rPr>
          <w:rFonts w:cs="Arial"/>
          <w:w w:val="105"/>
          <w:sz w:val="22"/>
          <w:szCs w:val="22"/>
          <w:lang w:val="en-US"/>
        </w:rPr>
        <w:t>gene,</w:t>
      </w:r>
      <w:r w:rsidRPr="00416898">
        <w:rPr>
          <w:rFonts w:cs="Arial"/>
          <w:spacing w:val="-4"/>
          <w:w w:val="105"/>
          <w:sz w:val="22"/>
          <w:szCs w:val="22"/>
          <w:lang w:val="en-US"/>
        </w:rPr>
        <w:t xml:space="preserve"> </w:t>
      </w:r>
      <w:r w:rsidRPr="00416898">
        <w:rPr>
          <w:rFonts w:cs="Arial"/>
          <w:w w:val="105"/>
          <w:sz w:val="22"/>
          <w:szCs w:val="22"/>
          <w:lang w:val="en-US"/>
        </w:rPr>
        <w:t>results</w:t>
      </w:r>
      <w:r w:rsidRPr="00416898">
        <w:rPr>
          <w:rFonts w:cs="Arial"/>
          <w:spacing w:val="-3"/>
          <w:w w:val="105"/>
          <w:sz w:val="22"/>
          <w:szCs w:val="22"/>
          <w:lang w:val="en-US"/>
        </w:rPr>
        <w:t xml:space="preserve"> </w:t>
      </w:r>
      <w:r w:rsidRPr="00416898">
        <w:rPr>
          <w:rFonts w:cs="Arial"/>
          <w:w w:val="105"/>
          <w:sz w:val="22"/>
          <w:szCs w:val="22"/>
          <w:lang w:val="en-US"/>
        </w:rPr>
        <w:t>in</w:t>
      </w:r>
      <w:r w:rsidRPr="00416898">
        <w:rPr>
          <w:rFonts w:cs="Arial"/>
          <w:spacing w:val="-4"/>
          <w:w w:val="105"/>
          <w:sz w:val="22"/>
          <w:szCs w:val="22"/>
          <w:lang w:val="en-US"/>
        </w:rPr>
        <w:t xml:space="preserve"> </w:t>
      </w:r>
      <w:r w:rsidRPr="00416898">
        <w:rPr>
          <w:rFonts w:cs="Arial"/>
          <w:w w:val="105"/>
          <w:sz w:val="22"/>
          <w:szCs w:val="22"/>
          <w:lang w:val="en-US"/>
        </w:rPr>
        <w:t>failure</w:t>
      </w:r>
      <w:r w:rsidRPr="00416898">
        <w:rPr>
          <w:rFonts w:cs="Arial"/>
          <w:spacing w:val="-3"/>
          <w:w w:val="105"/>
          <w:sz w:val="22"/>
          <w:szCs w:val="22"/>
          <w:lang w:val="en-US"/>
        </w:rPr>
        <w:t xml:space="preserve"> </w:t>
      </w:r>
      <w:r w:rsidRPr="00416898">
        <w:rPr>
          <w:rFonts w:cs="Arial"/>
          <w:w w:val="105"/>
          <w:sz w:val="22"/>
          <w:szCs w:val="22"/>
          <w:lang w:val="en-US"/>
        </w:rPr>
        <w:t>of</w:t>
      </w:r>
      <w:r w:rsidRPr="00416898">
        <w:rPr>
          <w:rFonts w:cs="Arial"/>
          <w:spacing w:val="-4"/>
          <w:w w:val="105"/>
          <w:sz w:val="22"/>
          <w:szCs w:val="22"/>
          <w:lang w:val="en-US"/>
        </w:rPr>
        <w:t xml:space="preserve"> </w:t>
      </w:r>
      <w:r w:rsidRPr="00416898">
        <w:rPr>
          <w:rFonts w:cs="Arial"/>
          <w:w w:val="105"/>
          <w:sz w:val="22"/>
          <w:szCs w:val="22"/>
          <w:lang w:val="en-US"/>
        </w:rPr>
        <w:t>central</w:t>
      </w:r>
      <w:r w:rsidRPr="00416898">
        <w:rPr>
          <w:rFonts w:cs="Arial"/>
          <w:spacing w:val="-4"/>
          <w:w w:val="105"/>
          <w:sz w:val="22"/>
          <w:szCs w:val="22"/>
          <w:lang w:val="en-US"/>
        </w:rPr>
        <w:t xml:space="preserve"> </w:t>
      </w:r>
      <w:r w:rsidRPr="00416898">
        <w:rPr>
          <w:rFonts w:cs="Arial"/>
          <w:w w:val="105"/>
          <w:sz w:val="22"/>
          <w:szCs w:val="22"/>
          <w:lang w:val="en-US"/>
        </w:rPr>
        <w:t>tolerance</w:t>
      </w:r>
      <w:r w:rsidRPr="00416898">
        <w:rPr>
          <w:rFonts w:cs="Arial"/>
          <w:spacing w:val="-4"/>
          <w:w w:val="105"/>
          <w:sz w:val="22"/>
          <w:szCs w:val="22"/>
          <w:lang w:val="en-US"/>
        </w:rPr>
        <w:t xml:space="preserve"> </w:t>
      </w:r>
      <w:r w:rsidRPr="00416898">
        <w:rPr>
          <w:rFonts w:cs="Arial"/>
          <w:w w:val="105"/>
          <w:sz w:val="22"/>
          <w:szCs w:val="22"/>
          <w:lang w:val="en-US"/>
        </w:rPr>
        <w:t>as</w:t>
      </w:r>
      <w:r w:rsidRPr="00416898">
        <w:rPr>
          <w:rFonts w:cs="Arial"/>
          <w:spacing w:val="-3"/>
          <w:w w:val="105"/>
          <w:sz w:val="22"/>
          <w:szCs w:val="22"/>
          <w:lang w:val="en-US"/>
        </w:rPr>
        <w:t xml:space="preserve"> </w:t>
      </w:r>
      <w:r w:rsidRPr="00416898">
        <w:rPr>
          <w:rFonts w:cs="Arial"/>
          <w:w w:val="105"/>
          <w:sz w:val="22"/>
          <w:szCs w:val="22"/>
          <w:lang w:val="en-US"/>
        </w:rPr>
        <w:t>well</w:t>
      </w:r>
      <w:r w:rsidRPr="00416898">
        <w:rPr>
          <w:rFonts w:cs="Arial"/>
          <w:spacing w:val="-4"/>
          <w:w w:val="105"/>
          <w:sz w:val="22"/>
          <w:szCs w:val="22"/>
          <w:lang w:val="en-US"/>
        </w:rPr>
        <w:t xml:space="preserve"> </w:t>
      </w:r>
      <w:r w:rsidRPr="00416898">
        <w:rPr>
          <w:rFonts w:cs="Arial"/>
          <w:w w:val="105"/>
          <w:sz w:val="22"/>
          <w:szCs w:val="22"/>
          <w:lang w:val="en-US"/>
        </w:rPr>
        <w:t>as failure of recognition of self-antigens that leads to an auto-immune</w:t>
      </w:r>
      <w:r w:rsidRPr="00416898">
        <w:rPr>
          <w:rFonts w:cs="Arial"/>
          <w:spacing w:val="-7"/>
          <w:w w:val="105"/>
          <w:sz w:val="22"/>
          <w:szCs w:val="22"/>
          <w:lang w:val="en-US"/>
        </w:rPr>
        <w:t xml:space="preserve"> </w:t>
      </w:r>
      <w:r w:rsidRPr="00416898">
        <w:rPr>
          <w:rFonts w:cs="Arial"/>
          <w:w w:val="105"/>
          <w:sz w:val="22"/>
          <w:szCs w:val="22"/>
          <w:lang w:val="en-US"/>
        </w:rPr>
        <w:t>response.</w:t>
      </w:r>
    </w:p>
    <w:p w14:paraId="578EC3B6" w14:textId="77777777" w:rsidR="006E097C" w:rsidRPr="00416898" w:rsidRDefault="006E097C" w:rsidP="00C84278">
      <w:pPr>
        <w:pStyle w:val="BodyText"/>
        <w:spacing w:line="276" w:lineRule="auto"/>
        <w:rPr>
          <w:rFonts w:cs="Arial"/>
          <w:sz w:val="22"/>
          <w:szCs w:val="22"/>
          <w:lang w:val="en-US"/>
        </w:rPr>
      </w:pPr>
    </w:p>
    <w:p w14:paraId="1AF70C17" w14:textId="77777777" w:rsidR="006E097C" w:rsidRPr="00416898" w:rsidRDefault="003C420F" w:rsidP="00C84278">
      <w:pPr>
        <w:pStyle w:val="BodyText"/>
        <w:spacing w:line="276" w:lineRule="auto"/>
        <w:rPr>
          <w:rFonts w:cs="Arial"/>
          <w:sz w:val="22"/>
          <w:szCs w:val="22"/>
          <w:lang w:val="en-US"/>
        </w:rPr>
      </w:pPr>
      <w:r w:rsidRPr="00416898">
        <w:rPr>
          <w:rFonts w:cs="Arial"/>
          <w:w w:val="105"/>
          <w:sz w:val="22"/>
          <w:szCs w:val="22"/>
          <w:lang w:val="en-US"/>
        </w:rPr>
        <w:t xml:space="preserve">APS2 is characterized by the triad of </w:t>
      </w:r>
      <w:r w:rsidR="00D33FE1" w:rsidRPr="00416898">
        <w:rPr>
          <w:rFonts w:cs="Arial"/>
          <w:w w:val="105"/>
          <w:sz w:val="22"/>
          <w:szCs w:val="22"/>
          <w:lang w:val="en-US"/>
        </w:rPr>
        <w:t>T1DM</w:t>
      </w:r>
      <w:r w:rsidRPr="00416898">
        <w:rPr>
          <w:rFonts w:cs="Arial"/>
          <w:w w:val="105"/>
          <w:sz w:val="22"/>
          <w:szCs w:val="22"/>
          <w:lang w:val="en-US"/>
        </w:rPr>
        <w:t>, adreno-cortical insufficiency, and hypothyroidism as a result of autoimmunity to components of the pancreatic β-cell, adrenal cortex</w:t>
      </w:r>
      <w:r w:rsidR="000079CF" w:rsidRPr="00416898">
        <w:rPr>
          <w:rFonts w:cs="Arial"/>
          <w:w w:val="105"/>
          <w:sz w:val="22"/>
          <w:szCs w:val="22"/>
          <w:lang w:val="en-US"/>
        </w:rPr>
        <w:t>,</w:t>
      </w:r>
      <w:r w:rsidRPr="00416898">
        <w:rPr>
          <w:rFonts w:cs="Arial"/>
          <w:w w:val="105"/>
          <w:sz w:val="22"/>
          <w:szCs w:val="22"/>
          <w:lang w:val="en-US"/>
        </w:rPr>
        <w:t xml:space="preserve"> and thyroid synthesizing machinery. APS3 is essentially identical to APS2 except that adreno-cortical insufficiency is absent. This similarity has led some investigators to label the former as APS2a and the latter as APS2b. Whereas APS2a is rare, APS2b is relatively common, as approximately 20% of patients with T1DM harbor circulating antibodies to thyroid synthesis components, namely thyroid peroxidase (TPO) and thyroglobulin (TGB), markers associated with Hashimoto thyroiditis. Note however that the presence of autoantibodies is not necessarily predictive of glandular failure and its clinical manifestations. The genes responsible for the disordered immunity in APS2 and APS3 are in the DQ and DR regions of the HLA complex on the short arm of chromosome 6; specific alleles or mutations facilitate the presentation of antigens co-expressed with the particular HLA complex by antigen presenting cells such as dendritic cells and macrophages. This facilitated presentation of self-antigens,</w:t>
      </w:r>
      <w:r w:rsidR="00F74248" w:rsidRPr="00416898">
        <w:rPr>
          <w:rFonts w:cs="Arial"/>
          <w:sz w:val="22"/>
          <w:szCs w:val="22"/>
          <w:lang w:val="en-US"/>
        </w:rPr>
        <w:t xml:space="preserve"> </w:t>
      </w:r>
      <w:r w:rsidRPr="00416898">
        <w:rPr>
          <w:rFonts w:cs="Arial"/>
          <w:w w:val="105"/>
          <w:sz w:val="22"/>
          <w:szCs w:val="22"/>
          <w:lang w:val="en-US"/>
        </w:rPr>
        <w:t>along with other regulatory factors such as lower expression of T-regulatory cells, initiate auto- immunity. Consistent with the generally heightened immune responses in females, these forms of autoimmune endocrine disorders are significantly more prevalent in women, whereas in APS1 the sex distribution is equal.</w:t>
      </w:r>
    </w:p>
    <w:p w14:paraId="12978235" w14:textId="77777777" w:rsidR="006E097C" w:rsidRPr="00416898" w:rsidRDefault="006E097C" w:rsidP="00C84278">
      <w:pPr>
        <w:pStyle w:val="BodyText"/>
        <w:spacing w:line="276" w:lineRule="auto"/>
        <w:rPr>
          <w:rFonts w:cs="Arial"/>
          <w:sz w:val="22"/>
          <w:szCs w:val="22"/>
          <w:lang w:val="en-US"/>
        </w:rPr>
      </w:pPr>
    </w:p>
    <w:p w14:paraId="596AF967" w14:textId="77777777" w:rsidR="000B54B0" w:rsidRPr="00701CD3" w:rsidRDefault="003C420F" w:rsidP="00C84278">
      <w:pPr>
        <w:pStyle w:val="Heading1"/>
        <w:spacing w:line="276" w:lineRule="auto"/>
        <w:ind w:left="0"/>
        <w:rPr>
          <w:rFonts w:cs="Arial"/>
          <w:color w:val="0070C0"/>
          <w:w w:val="105"/>
          <w:sz w:val="22"/>
          <w:szCs w:val="22"/>
          <w:lang w:val="en-US"/>
        </w:rPr>
      </w:pPr>
      <w:r w:rsidRPr="00701CD3">
        <w:rPr>
          <w:rFonts w:cs="Arial"/>
          <w:color w:val="0070C0"/>
          <w:w w:val="105"/>
          <w:sz w:val="22"/>
          <w:szCs w:val="22"/>
          <w:lang w:val="en-US"/>
        </w:rPr>
        <w:lastRenderedPageBreak/>
        <w:t>AUTOIMMUNE POLYGLANDULAR SYND</w:t>
      </w:r>
      <w:r w:rsidR="00C437A0" w:rsidRPr="00701CD3">
        <w:rPr>
          <w:rFonts w:cs="Arial"/>
          <w:color w:val="0070C0"/>
          <w:w w:val="105"/>
          <w:sz w:val="22"/>
          <w:szCs w:val="22"/>
          <w:lang w:val="en-US"/>
        </w:rPr>
        <w:t>RO</w:t>
      </w:r>
      <w:r w:rsidRPr="00701CD3">
        <w:rPr>
          <w:rFonts w:cs="Arial"/>
          <w:color w:val="0070C0"/>
          <w:w w:val="105"/>
          <w:sz w:val="22"/>
          <w:szCs w:val="22"/>
          <w:lang w:val="en-US"/>
        </w:rPr>
        <w:t>ME 1 (APS1-APECED)</w:t>
      </w:r>
    </w:p>
    <w:p w14:paraId="77EECF90" w14:textId="77777777" w:rsidR="00F74248" w:rsidRPr="00416898" w:rsidRDefault="00F74248" w:rsidP="00C84278">
      <w:pPr>
        <w:pStyle w:val="Heading1"/>
        <w:spacing w:line="276" w:lineRule="auto"/>
        <w:ind w:left="0"/>
        <w:rPr>
          <w:rFonts w:cs="Arial"/>
          <w:sz w:val="22"/>
          <w:szCs w:val="22"/>
          <w:lang w:val="en-US"/>
        </w:rPr>
      </w:pPr>
    </w:p>
    <w:p w14:paraId="1F9DBDC7" w14:textId="77777777" w:rsidR="006E097C" w:rsidRPr="00416898" w:rsidRDefault="003C420F" w:rsidP="00C84278">
      <w:pPr>
        <w:pStyle w:val="Heading1"/>
        <w:spacing w:line="276" w:lineRule="auto"/>
        <w:ind w:left="0"/>
        <w:rPr>
          <w:rFonts w:cs="Arial"/>
          <w:b w:val="0"/>
          <w:bCs w:val="0"/>
          <w:sz w:val="22"/>
          <w:szCs w:val="22"/>
          <w:lang w:val="en-US"/>
        </w:rPr>
      </w:pPr>
      <w:r w:rsidRPr="00416898">
        <w:rPr>
          <w:rFonts w:cs="Arial"/>
          <w:b w:val="0"/>
          <w:bCs w:val="0"/>
          <w:w w:val="105"/>
          <w:sz w:val="22"/>
          <w:szCs w:val="22"/>
          <w:lang w:val="en-US"/>
        </w:rPr>
        <w:t>APS1</w:t>
      </w:r>
      <w:r w:rsidRPr="00416898">
        <w:rPr>
          <w:rFonts w:cs="Arial"/>
          <w:b w:val="0"/>
          <w:bCs w:val="0"/>
          <w:spacing w:val="-5"/>
          <w:w w:val="105"/>
          <w:sz w:val="22"/>
          <w:szCs w:val="22"/>
          <w:lang w:val="en-US"/>
        </w:rPr>
        <w:t xml:space="preserve"> </w:t>
      </w:r>
      <w:r w:rsidRPr="00416898">
        <w:rPr>
          <w:rFonts w:cs="Arial"/>
          <w:b w:val="0"/>
          <w:bCs w:val="0"/>
          <w:w w:val="105"/>
          <w:sz w:val="22"/>
          <w:szCs w:val="22"/>
          <w:lang w:val="en-US"/>
        </w:rPr>
        <w:t>is</w:t>
      </w:r>
      <w:r w:rsidRPr="00416898">
        <w:rPr>
          <w:rFonts w:cs="Arial"/>
          <w:b w:val="0"/>
          <w:bCs w:val="0"/>
          <w:spacing w:val="-5"/>
          <w:w w:val="105"/>
          <w:sz w:val="22"/>
          <w:szCs w:val="22"/>
          <w:lang w:val="en-US"/>
        </w:rPr>
        <w:t xml:space="preserve"> </w:t>
      </w:r>
      <w:r w:rsidRPr="00416898">
        <w:rPr>
          <w:rFonts w:cs="Arial"/>
          <w:b w:val="0"/>
          <w:bCs w:val="0"/>
          <w:w w:val="105"/>
          <w:sz w:val="22"/>
          <w:szCs w:val="22"/>
          <w:lang w:val="en-US"/>
        </w:rPr>
        <w:t>characterized</w:t>
      </w:r>
      <w:r w:rsidRPr="00416898">
        <w:rPr>
          <w:rFonts w:cs="Arial"/>
          <w:b w:val="0"/>
          <w:bCs w:val="0"/>
          <w:spacing w:val="-5"/>
          <w:w w:val="105"/>
          <w:sz w:val="22"/>
          <w:szCs w:val="22"/>
          <w:lang w:val="en-US"/>
        </w:rPr>
        <w:t xml:space="preserve"> </w:t>
      </w:r>
      <w:r w:rsidRPr="00416898">
        <w:rPr>
          <w:rFonts w:cs="Arial"/>
          <w:b w:val="0"/>
          <w:bCs w:val="0"/>
          <w:w w:val="105"/>
          <w:sz w:val="22"/>
          <w:szCs w:val="22"/>
          <w:lang w:val="en-US"/>
        </w:rPr>
        <w:t>by</w:t>
      </w:r>
      <w:r w:rsidRPr="00416898">
        <w:rPr>
          <w:rFonts w:cs="Arial"/>
          <w:b w:val="0"/>
          <w:bCs w:val="0"/>
          <w:spacing w:val="-5"/>
          <w:w w:val="105"/>
          <w:sz w:val="22"/>
          <w:szCs w:val="22"/>
          <w:lang w:val="en-US"/>
        </w:rPr>
        <w:t xml:space="preserve"> </w:t>
      </w:r>
      <w:r w:rsidRPr="00416898">
        <w:rPr>
          <w:rFonts w:cs="Arial"/>
          <w:b w:val="0"/>
          <w:bCs w:val="0"/>
          <w:w w:val="105"/>
          <w:sz w:val="22"/>
          <w:szCs w:val="22"/>
          <w:lang w:val="en-US"/>
        </w:rPr>
        <w:t>3</w:t>
      </w:r>
      <w:r w:rsidRPr="00416898">
        <w:rPr>
          <w:rFonts w:cs="Arial"/>
          <w:b w:val="0"/>
          <w:bCs w:val="0"/>
          <w:spacing w:val="-6"/>
          <w:w w:val="105"/>
          <w:sz w:val="22"/>
          <w:szCs w:val="22"/>
          <w:lang w:val="en-US"/>
        </w:rPr>
        <w:t xml:space="preserve"> </w:t>
      </w:r>
      <w:r w:rsidRPr="00416898">
        <w:rPr>
          <w:rFonts w:cs="Arial"/>
          <w:b w:val="0"/>
          <w:bCs w:val="0"/>
          <w:w w:val="105"/>
          <w:sz w:val="22"/>
          <w:szCs w:val="22"/>
          <w:lang w:val="en-US"/>
        </w:rPr>
        <w:t>classical</w:t>
      </w:r>
      <w:r w:rsidRPr="00416898">
        <w:rPr>
          <w:rFonts w:cs="Arial"/>
          <w:b w:val="0"/>
          <w:bCs w:val="0"/>
          <w:spacing w:val="-6"/>
          <w:w w:val="105"/>
          <w:sz w:val="22"/>
          <w:szCs w:val="22"/>
          <w:lang w:val="en-US"/>
        </w:rPr>
        <w:t xml:space="preserve"> </w:t>
      </w:r>
      <w:r w:rsidRPr="00416898">
        <w:rPr>
          <w:rFonts w:cs="Arial"/>
          <w:b w:val="0"/>
          <w:bCs w:val="0"/>
          <w:w w:val="105"/>
          <w:sz w:val="22"/>
          <w:szCs w:val="22"/>
          <w:lang w:val="en-US"/>
        </w:rPr>
        <w:t>features;</w:t>
      </w:r>
      <w:r w:rsidRPr="00416898">
        <w:rPr>
          <w:rFonts w:cs="Arial"/>
          <w:b w:val="0"/>
          <w:bCs w:val="0"/>
          <w:spacing w:val="-5"/>
          <w:w w:val="105"/>
          <w:sz w:val="22"/>
          <w:szCs w:val="22"/>
          <w:lang w:val="en-US"/>
        </w:rPr>
        <w:t xml:space="preserve"> </w:t>
      </w:r>
      <w:r w:rsidRPr="00416898">
        <w:rPr>
          <w:rFonts w:cs="Arial"/>
          <w:b w:val="0"/>
          <w:bCs w:val="0"/>
          <w:w w:val="105"/>
          <w:sz w:val="22"/>
          <w:szCs w:val="22"/>
          <w:lang w:val="en-US"/>
        </w:rPr>
        <w:t>muco-cutaneous</w:t>
      </w:r>
      <w:r w:rsidRPr="00416898">
        <w:rPr>
          <w:rFonts w:cs="Arial"/>
          <w:b w:val="0"/>
          <w:bCs w:val="0"/>
          <w:spacing w:val="-5"/>
          <w:w w:val="105"/>
          <w:sz w:val="22"/>
          <w:szCs w:val="22"/>
          <w:lang w:val="en-US"/>
        </w:rPr>
        <w:t xml:space="preserve"> </w:t>
      </w:r>
      <w:r w:rsidRPr="00416898">
        <w:rPr>
          <w:rFonts w:cs="Arial"/>
          <w:b w:val="0"/>
          <w:bCs w:val="0"/>
          <w:w w:val="105"/>
          <w:sz w:val="22"/>
          <w:szCs w:val="22"/>
          <w:lang w:val="en-US"/>
        </w:rPr>
        <w:t>candidiasis,</w:t>
      </w:r>
      <w:r w:rsidRPr="00416898">
        <w:rPr>
          <w:rFonts w:cs="Arial"/>
          <w:b w:val="0"/>
          <w:bCs w:val="0"/>
          <w:spacing w:val="-7"/>
          <w:w w:val="105"/>
          <w:sz w:val="22"/>
          <w:szCs w:val="22"/>
          <w:lang w:val="en-US"/>
        </w:rPr>
        <w:t xml:space="preserve"> </w:t>
      </w:r>
      <w:r w:rsidRPr="00416898">
        <w:rPr>
          <w:rFonts w:cs="Arial"/>
          <w:b w:val="0"/>
          <w:bCs w:val="0"/>
          <w:w w:val="105"/>
          <w:sz w:val="22"/>
          <w:szCs w:val="22"/>
          <w:lang w:val="en-US"/>
        </w:rPr>
        <w:t xml:space="preserve">hypoparathyroidism with hypocalcemia hyperphosphatemia and low PTH concentrations, and Addison disease with cortisol deficiency, occasional aldosterone deficiency, and marked elevations in </w:t>
      </w:r>
      <w:r w:rsidR="000956F7" w:rsidRPr="00416898">
        <w:rPr>
          <w:rFonts w:cs="Arial"/>
          <w:b w:val="0"/>
          <w:bCs w:val="0"/>
          <w:w w:val="105"/>
          <w:sz w:val="22"/>
          <w:szCs w:val="22"/>
          <w:lang w:val="en-US"/>
        </w:rPr>
        <w:t>adrenocorticotropic hormone</w:t>
      </w:r>
      <w:r w:rsidR="000956F7" w:rsidRPr="00416898">
        <w:rPr>
          <w:rFonts w:cs="Arial"/>
          <w:w w:val="105"/>
          <w:sz w:val="22"/>
          <w:szCs w:val="22"/>
          <w:lang w:val="en-US"/>
        </w:rPr>
        <w:t xml:space="preserve"> </w:t>
      </w:r>
      <w:r w:rsidR="000956F7" w:rsidRPr="00416898">
        <w:rPr>
          <w:rFonts w:cs="Arial"/>
          <w:b w:val="0"/>
          <w:bCs w:val="0"/>
          <w:w w:val="105"/>
          <w:sz w:val="22"/>
          <w:szCs w:val="22"/>
          <w:lang w:val="en-US"/>
        </w:rPr>
        <w:t>(</w:t>
      </w:r>
      <w:r w:rsidRPr="00416898">
        <w:rPr>
          <w:rFonts w:cs="Arial"/>
          <w:b w:val="0"/>
          <w:bCs w:val="0"/>
          <w:w w:val="105"/>
          <w:sz w:val="22"/>
          <w:szCs w:val="22"/>
          <w:lang w:val="en-US"/>
        </w:rPr>
        <w:t>ACTH</w:t>
      </w:r>
      <w:r w:rsidR="000956F7" w:rsidRPr="00416898">
        <w:rPr>
          <w:rFonts w:cs="Arial"/>
          <w:b w:val="0"/>
          <w:bCs w:val="0"/>
          <w:w w:val="105"/>
          <w:sz w:val="22"/>
          <w:szCs w:val="22"/>
          <w:lang w:val="en-US"/>
        </w:rPr>
        <w:t>)</w:t>
      </w:r>
      <w:r w:rsidRPr="00416898">
        <w:rPr>
          <w:rFonts w:cs="Arial"/>
          <w:b w:val="0"/>
          <w:bCs w:val="0"/>
          <w:w w:val="105"/>
          <w:sz w:val="22"/>
          <w:szCs w:val="22"/>
          <w:lang w:val="en-US"/>
        </w:rPr>
        <w:t>. Clinical manifestations of primary adrenal insufficiency include hyperpigmentation, abdominal pain, vomiting, weight loss</w:t>
      </w:r>
      <w:r w:rsidR="00B749E1" w:rsidRPr="00416898">
        <w:rPr>
          <w:rFonts w:cs="Arial"/>
          <w:b w:val="0"/>
          <w:bCs w:val="0"/>
          <w:w w:val="105"/>
          <w:sz w:val="22"/>
          <w:szCs w:val="22"/>
          <w:lang w:val="en-US"/>
        </w:rPr>
        <w:t>,</w:t>
      </w:r>
      <w:r w:rsidRPr="00416898">
        <w:rPr>
          <w:rFonts w:cs="Arial"/>
          <w:b w:val="0"/>
          <w:bCs w:val="0"/>
          <w:w w:val="105"/>
          <w:sz w:val="22"/>
          <w:szCs w:val="22"/>
          <w:lang w:val="en-US"/>
        </w:rPr>
        <w:t xml:space="preserve"> and electrolyte disturbances, as well as hypoglycemia with fasting. Two of the 3 classical features are required to make a diagnosis of APS1.</w:t>
      </w:r>
      <w:r w:rsidR="00493A28" w:rsidRPr="00416898">
        <w:rPr>
          <w:rFonts w:cs="Arial"/>
          <w:b w:val="0"/>
          <w:bCs w:val="0"/>
          <w:w w:val="105"/>
          <w:sz w:val="22"/>
          <w:szCs w:val="22"/>
          <w:lang w:val="en-US"/>
        </w:rPr>
        <w:t xml:space="preserve"> </w:t>
      </w:r>
      <w:r w:rsidRPr="00416898">
        <w:rPr>
          <w:rFonts w:cs="Arial"/>
          <w:b w:val="0"/>
          <w:bCs w:val="0"/>
          <w:w w:val="105"/>
          <w:sz w:val="22"/>
          <w:szCs w:val="22"/>
          <w:lang w:val="en-US"/>
        </w:rPr>
        <w:t>Other manifestations include periodic</w:t>
      </w:r>
      <w:r w:rsidRPr="00416898">
        <w:rPr>
          <w:rFonts w:cs="Arial"/>
          <w:b w:val="0"/>
          <w:bCs w:val="0"/>
          <w:spacing w:val="-6"/>
          <w:w w:val="105"/>
          <w:sz w:val="22"/>
          <w:szCs w:val="22"/>
          <w:lang w:val="en-US"/>
        </w:rPr>
        <w:t xml:space="preserve"> </w:t>
      </w:r>
      <w:r w:rsidRPr="00416898">
        <w:rPr>
          <w:rFonts w:cs="Arial"/>
          <w:b w:val="0"/>
          <w:bCs w:val="0"/>
          <w:w w:val="105"/>
          <w:sz w:val="22"/>
          <w:szCs w:val="22"/>
          <w:lang w:val="en-US"/>
        </w:rPr>
        <w:t>rash</w:t>
      </w:r>
      <w:r w:rsidRPr="00416898">
        <w:rPr>
          <w:rFonts w:cs="Arial"/>
          <w:b w:val="0"/>
          <w:bCs w:val="0"/>
          <w:spacing w:val="-5"/>
          <w:w w:val="105"/>
          <w:sz w:val="22"/>
          <w:szCs w:val="22"/>
          <w:lang w:val="en-US"/>
        </w:rPr>
        <w:t xml:space="preserve"> </w:t>
      </w:r>
      <w:r w:rsidRPr="00416898">
        <w:rPr>
          <w:rFonts w:cs="Arial"/>
          <w:b w:val="0"/>
          <w:bCs w:val="0"/>
          <w:w w:val="105"/>
          <w:sz w:val="22"/>
          <w:szCs w:val="22"/>
          <w:lang w:val="en-US"/>
        </w:rPr>
        <w:t>with</w:t>
      </w:r>
      <w:r w:rsidRPr="00416898">
        <w:rPr>
          <w:rFonts w:cs="Arial"/>
          <w:b w:val="0"/>
          <w:bCs w:val="0"/>
          <w:spacing w:val="-5"/>
          <w:w w:val="105"/>
          <w:sz w:val="22"/>
          <w:szCs w:val="22"/>
          <w:lang w:val="en-US"/>
        </w:rPr>
        <w:t xml:space="preserve"> </w:t>
      </w:r>
      <w:r w:rsidRPr="00416898">
        <w:rPr>
          <w:rFonts w:cs="Arial"/>
          <w:b w:val="0"/>
          <w:bCs w:val="0"/>
          <w:w w:val="105"/>
          <w:sz w:val="22"/>
          <w:szCs w:val="22"/>
          <w:lang w:val="en-US"/>
        </w:rPr>
        <w:t>fever,</w:t>
      </w:r>
      <w:r w:rsidRPr="00416898">
        <w:rPr>
          <w:rFonts w:cs="Arial"/>
          <w:b w:val="0"/>
          <w:bCs w:val="0"/>
          <w:spacing w:val="-6"/>
          <w:w w:val="105"/>
          <w:sz w:val="22"/>
          <w:szCs w:val="22"/>
          <w:lang w:val="en-US"/>
        </w:rPr>
        <w:t xml:space="preserve"> </w:t>
      </w:r>
      <w:r w:rsidRPr="00416898">
        <w:rPr>
          <w:rFonts w:cs="Arial"/>
          <w:b w:val="0"/>
          <w:bCs w:val="0"/>
          <w:w w:val="105"/>
          <w:sz w:val="22"/>
          <w:szCs w:val="22"/>
          <w:lang w:val="en-US"/>
        </w:rPr>
        <w:t>kerato-conjunctivitis,</w:t>
      </w:r>
      <w:r w:rsidRPr="00416898">
        <w:rPr>
          <w:rFonts w:cs="Arial"/>
          <w:b w:val="0"/>
          <w:bCs w:val="0"/>
          <w:spacing w:val="-5"/>
          <w:w w:val="105"/>
          <w:sz w:val="22"/>
          <w:szCs w:val="22"/>
          <w:lang w:val="en-US"/>
        </w:rPr>
        <w:t xml:space="preserve"> </w:t>
      </w:r>
      <w:r w:rsidRPr="00416898">
        <w:rPr>
          <w:rFonts w:cs="Arial"/>
          <w:b w:val="0"/>
          <w:bCs w:val="0"/>
          <w:w w:val="105"/>
          <w:sz w:val="22"/>
          <w:szCs w:val="22"/>
          <w:lang w:val="en-US"/>
        </w:rPr>
        <w:t>chronic</w:t>
      </w:r>
      <w:r w:rsidRPr="00416898">
        <w:rPr>
          <w:rFonts w:cs="Arial"/>
          <w:b w:val="0"/>
          <w:bCs w:val="0"/>
          <w:spacing w:val="-5"/>
          <w:w w:val="105"/>
          <w:sz w:val="22"/>
          <w:szCs w:val="22"/>
          <w:lang w:val="en-US"/>
        </w:rPr>
        <w:t xml:space="preserve"> </w:t>
      </w:r>
      <w:r w:rsidRPr="00416898">
        <w:rPr>
          <w:rFonts w:cs="Arial"/>
          <w:b w:val="0"/>
          <w:bCs w:val="0"/>
          <w:w w:val="105"/>
          <w:sz w:val="22"/>
          <w:szCs w:val="22"/>
          <w:lang w:val="en-US"/>
        </w:rPr>
        <w:t>diarrhea,</w:t>
      </w:r>
      <w:r w:rsidRPr="00416898">
        <w:rPr>
          <w:rFonts w:cs="Arial"/>
          <w:b w:val="0"/>
          <w:bCs w:val="0"/>
          <w:spacing w:val="-5"/>
          <w:w w:val="105"/>
          <w:sz w:val="22"/>
          <w:szCs w:val="22"/>
          <w:lang w:val="en-US"/>
        </w:rPr>
        <w:t xml:space="preserve"> </w:t>
      </w:r>
      <w:r w:rsidRPr="00416898">
        <w:rPr>
          <w:rFonts w:cs="Arial"/>
          <w:b w:val="0"/>
          <w:bCs w:val="0"/>
          <w:w w:val="105"/>
          <w:sz w:val="22"/>
          <w:szCs w:val="22"/>
          <w:lang w:val="en-US"/>
        </w:rPr>
        <w:t>primary</w:t>
      </w:r>
      <w:r w:rsidRPr="00416898">
        <w:rPr>
          <w:rFonts w:cs="Arial"/>
          <w:b w:val="0"/>
          <w:bCs w:val="0"/>
          <w:spacing w:val="-5"/>
          <w:w w:val="105"/>
          <w:sz w:val="22"/>
          <w:szCs w:val="22"/>
          <w:lang w:val="en-US"/>
        </w:rPr>
        <w:t xml:space="preserve"> </w:t>
      </w:r>
      <w:r w:rsidRPr="00416898">
        <w:rPr>
          <w:rFonts w:cs="Arial"/>
          <w:b w:val="0"/>
          <w:bCs w:val="0"/>
          <w:w w:val="105"/>
          <w:sz w:val="22"/>
          <w:szCs w:val="22"/>
          <w:lang w:val="en-US"/>
        </w:rPr>
        <w:t>gonadal</w:t>
      </w:r>
      <w:r w:rsidRPr="00416898">
        <w:rPr>
          <w:rFonts w:cs="Arial"/>
          <w:b w:val="0"/>
          <w:bCs w:val="0"/>
          <w:spacing w:val="-6"/>
          <w:w w:val="105"/>
          <w:sz w:val="22"/>
          <w:szCs w:val="22"/>
          <w:lang w:val="en-US"/>
        </w:rPr>
        <w:t xml:space="preserve"> </w:t>
      </w:r>
      <w:r w:rsidRPr="00416898">
        <w:rPr>
          <w:rFonts w:cs="Arial"/>
          <w:b w:val="0"/>
          <w:bCs w:val="0"/>
          <w:w w:val="105"/>
          <w:sz w:val="22"/>
          <w:szCs w:val="22"/>
          <w:lang w:val="en-US"/>
        </w:rPr>
        <w:t>failure</w:t>
      </w:r>
      <w:r w:rsidRPr="00416898">
        <w:rPr>
          <w:rFonts w:cs="Arial"/>
          <w:b w:val="0"/>
          <w:bCs w:val="0"/>
          <w:spacing w:val="-5"/>
          <w:w w:val="105"/>
          <w:sz w:val="22"/>
          <w:szCs w:val="22"/>
          <w:lang w:val="en-US"/>
        </w:rPr>
        <w:t xml:space="preserve"> </w:t>
      </w:r>
      <w:r w:rsidRPr="00416898">
        <w:rPr>
          <w:rFonts w:cs="Arial"/>
          <w:b w:val="0"/>
          <w:bCs w:val="0"/>
          <w:w w:val="105"/>
          <w:sz w:val="22"/>
          <w:szCs w:val="22"/>
          <w:lang w:val="en-US"/>
        </w:rPr>
        <w:t xml:space="preserve">occurring pre-or post-puberty, Hashimoto thyroiditis with hypothyroidism, Vitamin B12 deficiency, chronic active hepatitis, </w:t>
      </w:r>
      <w:r w:rsidR="00D33FE1" w:rsidRPr="00416898">
        <w:rPr>
          <w:rFonts w:cs="Arial"/>
          <w:b w:val="0"/>
          <w:bCs w:val="0"/>
          <w:w w:val="105"/>
          <w:sz w:val="22"/>
          <w:szCs w:val="22"/>
          <w:lang w:val="en-US"/>
        </w:rPr>
        <w:t>(T1DM)</w:t>
      </w:r>
      <w:r w:rsidRPr="00416898">
        <w:rPr>
          <w:rFonts w:cs="Arial"/>
          <w:b w:val="0"/>
          <w:bCs w:val="0"/>
          <w:w w:val="105"/>
          <w:sz w:val="22"/>
          <w:szCs w:val="22"/>
          <w:lang w:val="en-US"/>
        </w:rPr>
        <w:t>, and ectodermal dystrophy-hence the term APECED (Autoimmune Poly Endocrinopathy, Candidiasis, Ectodermal Dystrophy).The features of ectodermal dystrophy include enamel hypoplasia affecting only the permanent teeth, pitted nail dystrophy unrelated to candidiasis of the nails, and visible alterations in the tympanic membranes characterized by calcium deposits. Iritis, optic atrophy</w:t>
      </w:r>
      <w:r w:rsidR="00B749E1" w:rsidRPr="00416898">
        <w:rPr>
          <w:rFonts w:cs="Arial"/>
          <w:b w:val="0"/>
          <w:bCs w:val="0"/>
          <w:w w:val="105"/>
          <w:sz w:val="22"/>
          <w:szCs w:val="22"/>
          <w:lang w:val="en-US"/>
        </w:rPr>
        <w:t>,</w:t>
      </w:r>
      <w:r w:rsidRPr="00416898">
        <w:rPr>
          <w:rFonts w:cs="Arial"/>
          <w:b w:val="0"/>
          <w:bCs w:val="0"/>
          <w:w w:val="105"/>
          <w:sz w:val="22"/>
          <w:szCs w:val="22"/>
          <w:lang w:val="en-US"/>
        </w:rPr>
        <w:t xml:space="preserve"> and skin changes termed keratopathy, as well as alopecia and vitiligo also are reported</w:t>
      </w:r>
      <w:r w:rsidR="00493A28" w:rsidRPr="00416898">
        <w:rPr>
          <w:rFonts w:cs="Arial"/>
          <w:b w:val="0"/>
          <w:bCs w:val="0"/>
          <w:w w:val="105"/>
          <w:sz w:val="22"/>
          <w:szCs w:val="22"/>
          <w:lang w:val="en-US"/>
        </w:rPr>
        <w:t xml:space="preserve"> </w:t>
      </w:r>
      <w:r w:rsidR="000B54B0" w:rsidRPr="00416898">
        <w:rPr>
          <w:rFonts w:cs="Arial"/>
          <w:b w:val="0"/>
          <w:bCs w:val="0"/>
          <w:w w:val="105"/>
          <w:sz w:val="22"/>
          <w:szCs w:val="22"/>
          <w:lang w:val="en-US"/>
        </w:rPr>
        <w:t>(</w:t>
      </w:r>
      <w:r w:rsidRPr="00416898">
        <w:rPr>
          <w:rFonts w:cs="Arial"/>
          <w:b w:val="0"/>
          <w:bCs w:val="0"/>
          <w:w w:val="105"/>
          <w:sz w:val="22"/>
          <w:szCs w:val="22"/>
          <w:lang w:val="en-US"/>
        </w:rPr>
        <w:t>1</w:t>
      </w:r>
      <w:r w:rsidR="000B54B0" w:rsidRPr="00416898">
        <w:rPr>
          <w:rFonts w:cs="Arial"/>
          <w:b w:val="0"/>
          <w:bCs w:val="0"/>
          <w:w w:val="105"/>
          <w:sz w:val="22"/>
          <w:szCs w:val="22"/>
          <w:lang w:val="en-US"/>
        </w:rPr>
        <w:t>)</w:t>
      </w:r>
      <w:r w:rsidR="00B749E1" w:rsidRPr="00416898">
        <w:rPr>
          <w:rFonts w:cs="Arial"/>
          <w:b w:val="0"/>
          <w:bCs w:val="0"/>
          <w:w w:val="105"/>
          <w:sz w:val="22"/>
          <w:szCs w:val="22"/>
          <w:lang w:val="en-US"/>
        </w:rPr>
        <w:t>.</w:t>
      </w:r>
      <w:r w:rsidRPr="00416898">
        <w:rPr>
          <w:rFonts w:cs="Arial"/>
          <w:b w:val="0"/>
          <w:bCs w:val="0"/>
          <w:w w:val="105"/>
          <w:sz w:val="22"/>
          <w:szCs w:val="22"/>
          <w:lang w:val="en-US"/>
        </w:rPr>
        <w:t xml:space="preserve"> Most affected patients manifest their problem(s) by 5 years of age; non-endocrine manifestations precede the endocrine manifestations in about 75% of cases, with mucocutaneous, including oral, candidiasis as the first manifestation in about 60% and malabsorption in about 10%, and vitiligo, alopecia, hepatitis and keratopathy in about 5% of affected subjects (see table</w:t>
      </w:r>
      <w:r w:rsidRPr="00416898">
        <w:rPr>
          <w:rFonts w:cs="Arial"/>
          <w:b w:val="0"/>
          <w:bCs w:val="0"/>
          <w:spacing w:val="-6"/>
          <w:w w:val="105"/>
          <w:sz w:val="22"/>
          <w:szCs w:val="22"/>
          <w:lang w:val="en-US"/>
        </w:rPr>
        <w:t xml:space="preserve"> </w:t>
      </w:r>
      <w:r w:rsidRPr="00416898">
        <w:rPr>
          <w:rFonts w:cs="Arial"/>
          <w:b w:val="0"/>
          <w:bCs w:val="0"/>
          <w:w w:val="105"/>
          <w:sz w:val="22"/>
          <w:szCs w:val="22"/>
          <w:lang w:val="en-US"/>
        </w:rPr>
        <w:t>1).</w:t>
      </w:r>
      <w:r w:rsidR="00F74248" w:rsidRPr="00416898">
        <w:rPr>
          <w:rFonts w:cs="Arial"/>
          <w:b w:val="0"/>
          <w:bCs w:val="0"/>
          <w:w w:val="105"/>
          <w:sz w:val="22"/>
          <w:szCs w:val="22"/>
          <w:lang w:val="en-US"/>
        </w:rPr>
        <w:t xml:space="preserve"> </w:t>
      </w:r>
      <w:r w:rsidRPr="00416898">
        <w:rPr>
          <w:rFonts w:cs="Arial"/>
          <w:b w:val="0"/>
          <w:bCs w:val="0"/>
          <w:w w:val="105"/>
          <w:sz w:val="22"/>
          <w:szCs w:val="22"/>
          <w:lang w:val="en-US"/>
        </w:rPr>
        <w:t>Mucocutaneous candidiasis, the most common nonendocrine manifestation, occurs due to</w:t>
      </w:r>
      <w:r w:rsidR="00F74248" w:rsidRPr="00416898">
        <w:rPr>
          <w:rFonts w:cs="Arial"/>
          <w:b w:val="0"/>
          <w:bCs w:val="0"/>
          <w:w w:val="105"/>
          <w:sz w:val="22"/>
          <w:szCs w:val="22"/>
          <w:lang w:val="en-US"/>
        </w:rPr>
        <w:t xml:space="preserve"> </w:t>
      </w:r>
      <w:r w:rsidRPr="00416898">
        <w:rPr>
          <w:rFonts w:cs="Arial"/>
          <w:b w:val="0"/>
          <w:bCs w:val="0"/>
          <w:w w:val="105"/>
          <w:sz w:val="22"/>
          <w:szCs w:val="22"/>
          <w:lang w:val="en-US"/>
        </w:rPr>
        <w:t>defective receptor- mediated internalization of Candida by monocytes as well as decreased kinase activation</w:t>
      </w:r>
      <w:r w:rsidR="00493A28" w:rsidRPr="00416898">
        <w:rPr>
          <w:rFonts w:cs="Arial"/>
          <w:b w:val="0"/>
          <w:bCs w:val="0"/>
          <w:w w:val="105"/>
          <w:sz w:val="22"/>
          <w:szCs w:val="22"/>
          <w:lang w:val="en-US"/>
        </w:rPr>
        <w:t xml:space="preserve"> </w:t>
      </w:r>
      <w:r w:rsidR="000B54B0" w:rsidRPr="00416898">
        <w:rPr>
          <w:rFonts w:cs="Arial"/>
          <w:b w:val="0"/>
          <w:bCs w:val="0"/>
          <w:w w:val="105"/>
          <w:sz w:val="22"/>
          <w:szCs w:val="22"/>
          <w:lang w:val="en-US"/>
        </w:rPr>
        <w:t>(</w:t>
      </w:r>
      <w:r w:rsidRPr="00416898">
        <w:rPr>
          <w:rFonts w:cs="Arial"/>
          <w:b w:val="0"/>
          <w:bCs w:val="0"/>
          <w:w w:val="105"/>
          <w:sz w:val="22"/>
          <w:szCs w:val="22"/>
          <w:lang w:val="en-US"/>
        </w:rPr>
        <w:t>1</w:t>
      </w:r>
      <w:r w:rsidR="0008365F" w:rsidRPr="00416898">
        <w:rPr>
          <w:rFonts w:cs="Arial"/>
          <w:b w:val="0"/>
          <w:bCs w:val="0"/>
          <w:w w:val="105"/>
          <w:sz w:val="22"/>
          <w:szCs w:val="22"/>
          <w:lang w:val="en-US"/>
        </w:rPr>
        <w:t>2</w:t>
      </w:r>
      <w:r w:rsidR="000B54B0" w:rsidRPr="00416898">
        <w:rPr>
          <w:rFonts w:cs="Arial"/>
          <w:b w:val="0"/>
          <w:bCs w:val="0"/>
          <w:w w:val="105"/>
          <w:sz w:val="22"/>
          <w:szCs w:val="22"/>
          <w:lang w:val="en-US"/>
        </w:rPr>
        <w:t>)</w:t>
      </w:r>
      <w:r w:rsidR="00B749E1" w:rsidRPr="00416898">
        <w:rPr>
          <w:rFonts w:cs="Arial"/>
          <w:b w:val="0"/>
          <w:bCs w:val="0"/>
          <w:w w:val="105"/>
          <w:sz w:val="22"/>
          <w:szCs w:val="22"/>
          <w:lang w:val="en-US"/>
        </w:rPr>
        <w:t>.</w:t>
      </w:r>
      <w:r w:rsidRPr="00416898">
        <w:rPr>
          <w:rFonts w:cs="Arial"/>
          <w:b w:val="0"/>
          <w:bCs w:val="0"/>
          <w:w w:val="105"/>
          <w:sz w:val="22"/>
          <w:szCs w:val="22"/>
          <w:lang w:val="en-US"/>
        </w:rPr>
        <w:t xml:space="preserve"> In these subjects, the median interval to an endocrine manifestation is about 4 years with a range from 0.1-33 years.</w:t>
      </w:r>
    </w:p>
    <w:p w14:paraId="01863584" w14:textId="77777777" w:rsidR="006E097C" w:rsidRPr="00416898" w:rsidRDefault="006E097C" w:rsidP="00C84278">
      <w:pPr>
        <w:pStyle w:val="BodyText"/>
        <w:spacing w:line="276" w:lineRule="auto"/>
        <w:rPr>
          <w:rFonts w:cs="Arial"/>
          <w:sz w:val="22"/>
          <w:szCs w:val="22"/>
          <w:lang w:val="en-US"/>
        </w:rPr>
      </w:pPr>
    </w:p>
    <w:p w14:paraId="14BFC19A" w14:textId="77777777" w:rsidR="0096069F" w:rsidRPr="00416898" w:rsidRDefault="003C420F" w:rsidP="00C84278">
      <w:pPr>
        <w:pStyle w:val="BodyText"/>
        <w:spacing w:line="276" w:lineRule="auto"/>
        <w:rPr>
          <w:rFonts w:cs="Arial"/>
          <w:w w:val="105"/>
          <w:sz w:val="22"/>
          <w:szCs w:val="22"/>
          <w:lang w:val="en-US"/>
        </w:rPr>
      </w:pPr>
      <w:r w:rsidRPr="00416898">
        <w:rPr>
          <w:rFonts w:cs="Arial"/>
          <w:w w:val="105"/>
          <w:sz w:val="22"/>
          <w:szCs w:val="22"/>
          <w:lang w:val="en-US"/>
        </w:rPr>
        <w:t>When an endocrine disorder is the first manifestation it is almost invariably</w:t>
      </w:r>
      <w:r w:rsidR="001262F9" w:rsidRPr="00416898">
        <w:rPr>
          <w:rFonts w:cs="Arial"/>
          <w:w w:val="105"/>
          <w:sz w:val="22"/>
          <w:szCs w:val="22"/>
          <w:lang w:val="en-US"/>
        </w:rPr>
        <w:t xml:space="preserve"> </w:t>
      </w:r>
      <w:r w:rsidRPr="00416898">
        <w:rPr>
          <w:rFonts w:cs="Arial"/>
          <w:w w:val="105"/>
          <w:sz w:val="22"/>
          <w:szCs w:val="22"/>
          <w:lang w:val="en-US"/>
        </w:rPr>
        <w:t>hypoparathyroidism; overall about 70%-80% develop hypoparathyroidism, and in those who develop hypoparathyroidism first, about 60% develop Addison disease. If Addison disease is the first manifestation, about a third also develop hypoparathyroidism. The manifestations vary in sequence and age at onset; the description of all known Finnish cases in 2006 by Peerhentupa</w:t>
      </w:r>
      <w:r w:rsidR="000B54B0" w:rsidRPr="00416898">
        <w:rPr>
          <w:rFonts w:cs="Arial"/>
          <w:w w:val="105"/>
          <w:sz w:val="22"/>
          <w:szCs w:val="22"/>
          <w:lang w:val="en-US"/>
        </w:rPr>
        <w:t xml:space="preserve"> (</w:t>
      </w:r>
      <w:r w:rsidRPr="00416898">
        <w:rPr>
          <w:rFonts w:cs="Arial"/>
          <w:w w:val="105"/>
          <w:sz w:val="22"/>
          <w:szCs w:val="22"/>
          <w:lang w:val="en-US"/>
        </w:rPr>
        <w:t>1</w:t>
      </w:r>
      <w:r w:rsidR="000B54B0" w:rsidRPr="00416898">
        <w:rPr>
          <w:rFonts w:cs="Arial"/>
          <w:w w:val="105"/>
          <w:sz w:val="22"/>
          <w:szCs w:val="22"/>
          <w:lang w:val="en-US"/>
        </w:rPr>
        <w:t>)</w:t>
      </w:r>
      <w:r w:rsidRPr="00416898">
        <w:rPr>
          <w:rFonts w:cs="Arial"/>
          <w:w w:val="105"/>
          <w:sz w:val="22"/>
          <w:szCs w:val="22"/>
          <w:lang w:val="en-US"/>
        </w:rPr>
        <w:t xml:space="preserve"> remains </w:t>
      </w:r>
      <w:r w:rsidR="004828B2" w:rsidRPr="00416898">
        <w:rPr>
          <w:rFonts w:cs="Arial"/>
          <w:w w:val="105"/>
          <w:sz w:val="22"/>
          <w:szCs w:val="22"/>
          <w:lang w:val="en-US"/>
        </w:rPr>
        <w:t xml:space="preserve">one of </w:t>
      </w:r>
      <w:r w:rsidRPr="00416898">
        <w:rPr>
          <w:rFonts w:cs="Arial"/>
          <w:w w:val="105"/>
          <w:sz w:val="22"/>
          <w:szCs w:val="22"/>
          <w:lang w:val="en-US"/>
        </w:rPr>
        <w:t xml:space="preserve">the most detailed series </w:t>
      </w:r>
      <w:proofErr w:type="gramStart"/>
      <w:r w:rsidRPr="00416898">
        <w:rPr>
          <w:rFonts w:cs="Arial"/>
          <w:w w:val="105"/>
          <w:sz w:val="22"/>
          <w:szCs w:val="22"/>
          <w:lang w:val="en-US"/>
        </w:rPr>
        <w:t>description</w:t>
      </w:r>
      <w:proofErr w:type="gramEnd"/>
      <w:r w:rsidRPr="00416898">
        <w:rPr>
          <w:rFonts w:cs="Arial"/>
          <w:w w:val="105"/>
          <w:sz w:val="22"/>
          <w:szCs w:val="22"/>
          <w:lang w:val="en-US"/>
        </w:rPr>
        <w:t xml:space="preserve"> and indicates the remarkable heterogenous pattern with the 3 most common being muco-cutaneous candidiasis</w:t>
      </w:r>
      <w:r w:rsidR="00B749E1" w:rsidRPr="00416898">
        <w:rPr>
          <w:rFonts w:cs="Arial"/>
          <w:w w:val="105"/>
          <w:sz w:val="22"/>
          <w:szCs w:val="22"/>
          <w:lang w:val="en-US"/>
        </w:rPr>
        <w:t xml:space="preserve"> </w:t>
      </w:r>
      <w:r w:rsidRPr="00416898">
        <w:rPr>
          <w:rFonts w:cs="Arial"/>
          <w:w w:val="105"/>
          <w:sz w:val="22"/>
          <w:szCs w:val="22"/>
          <w:lang w:val="en-US"/>
        </w:rPr>
        <w:t>(~80%),</w:t>
      </w:r>
      <w:r w:rsidR="00B749E1" w:rsidRPr="00416898">
        <w:rPr>
          <w:rFonts w:cs="Arial"/>
          <w:w w:val="105"/>
          <w:sz w:val="22"/>
          <w:szCs w:val="22"/>
          <w:lang w:val="en-US"/>
        </w:rPr>
        <w:t xml:space="preserve"> </w:t>
      </w:r>
      <w:r w:rsidRPr="00416898">
        <w:rPr>
          <w:rFonts w:cs="Arial"/>
          <w:w w:val="105"/>
          <w:sz w:val="22"/>
          <w:szCs w:val="22"/>
          <w:lang w:val="en-US"/>
        </w:rPr>
        <w:t>followed</w:t>
      </w:r>
      <w:r w:rsidR="004828B2" w:rsidRPr="00416898">
        <w:rPr>
          <w:rFonts w:cs="Arial"/>
          <w:w w:val="105"/>
          <w:sz w:val="22"/>
          <w:szCs w:val="22"/>
          <w:lang w:val="en-US"/>
        </w:rPr>
        <w:t xml:space="preserve"> </w:t>
      </w:r>
      <w:r w:rsidRPr="00416898">
        <w:rPr>
          <w:rFonts w:cs="Arial"/>
          <w:w w:val="105"/>
          <w:sz w:val="22"/>
          <w:szCs w:val="22"/>
          <w:lang w:val="en-US"/>
        </w:rPr>
        <w:t>by</w:t>
      </w:r>
      <w:r w:rsidR="004828B2" w:rsidRPr="00416898">
        <w:rPr>
          <w:rFonts w:cs="Arial"/>
          <w:w w:val="105"/>
          <w:sz w:val="22"/>
          <w:szCs w:val="22"/>
          <w:lang w:val="en-US"/>
        </w:rPr>
        <w:t xml:space="preserve"> </w:t>
      </w:r>
      <w:r w:rsidRPr="00416898">
        <w:rPr>
          <w:rFonts w:cs="Arial"/>
          <w:w w:val="105"/>
          <w:sz w:val="22"/>
          <w:szCs w:val="22"/>
          <w:lang w:val="en-US"/>
        </w:rPr>
        <w:t>hypoparathyroidism</w:t>
      </w:r>
      <w:r w:rsidR="00C93E8A" w:rsidRPr="00416898">
        <w:rPr>
          <w:rFonts w:cs="Arial"/>
          <w:w w:val="105"/>
          <w:sz w:val="22"/>
          <w:szCs w:val="22"/>
          <w:lang w:val="en-US"/>
        </w:rPr>
        <w:t xml:space="preserve"> </w:t>
      </w:r>
      <w:r w:rsidRPr="00416898">
        <w:rPr>
          <w:rFonts w:cs="Arial"/>
          <w:w w:val="105"/>
          <w:sz w:val="22"/>
          <w:szCs w:val="22"/>
          <w:lang w:val="en-US"/>
        </w:rPr>
        <w:t>(~80%)</w:t>
      </w:r>
      <w:r w:rsidR="00B749E1" w:rsidRPr="00416898">
        <w:rPr>
          <w:rFonts w:cs="Arial"/>
          <w:w w:val="105"/>
          <w:sz w:val="22"/>
          <w:szCs w:val="22"/>
          <w:lang w:val="en-US"/>
        </w:rPr>
        <w:t>,</w:t>
      </w:r>
      <w:r w:rsidR="00C93E8A" w:rsidRPr="00416898">
        <w:rPr>
          <w:rFonts w:cs="Arial"/>
          <w:w w:val="105"/>
          <w:sz w:val="22"/>
          <w:szCs w:val="22"/>
          <w:lang w:val="en-US"/>
        </w:rPr>
        <w:t xml:space="preserve"> </w:t>
      </w:r>
      <w:r w:rsidRPr="00416898">
        <w:rPr>
          <w:rFonts w:cs="Arial"/>
          <w:w w:val="105"/>
          <w:sz w:val="22"/>
          <w:szCs w:val="22"/>
          <w:lang w:val="en-US"/>
        </w:rPr>
        <w:t>and</w:t>
      </w:r>
      <w:r w:rsidR="00C93E8A" w:rsidRPr="00416898">
        <w:rPr>
          <w:rFonts w:cs="Arial"/>
          <w:w w:val="105"/>
          <w:sz w:val="22"/>
          <w:szCs w:val="22"/>
          <w:lang w:val="en-US"/>
        </w:rPr>
        <w:t xml:space="preserve"> </w:t>
      </w:r>
      <w:r w:rsidRPr="00416898">
        <w:rPr>
          <w:rFonts w:cs="Arial"/>
          <w:w w:val="105"/>
          <w:sz w:val="22"/>
          <w:szCs w:val="22"/>
          <w:lang w:val="en-US"/>
        </w:rPr>
        <w:t>Addison</w:t>
      </w:r>
      <w:r w:rsidR="00C93E8A" w:rsidRPr="00416898">
        <w:rPr>
          <w:rFonts w:cs="Arial"/>
          <w:w w:val="105"/>
          <w:sz w:val="22"/>
          <w:szCs w:val="22"/>
          <w:lang w:val="en-US"/>
        </w:rPr>
        <w:t xml:space="preserve"> </w:t>
      </w:r>
      <w:r w:rsidRPr="00416898">
        <w:rPr>
          <w:rFonts w:cs="Arial"/>
          <w:w w:val="105"/>
          <w:sz w:val="22"/>
          <w:szCs w:val="22"/>
          <w:lang w:val="en-US"/>
        </w:rPr>
        <w:t>disease</w:t>
      </w:r>
      <w:r w:rsidR="00B749E1" w:rsidRPr="00416898">
        <w:rPr>
          <w:rFonts w:cs="Arial"/>
          <w:w w:val="105"/>
          <w:sz w:val="22"/>
          <w:szCs w:val="22"/>
          <w:lang w:val="en-US"/>
        </w:rPr>
        <w:t xml:space="preserve"> </w:t>
      </w:r>
      <w:r w:rsidRPr="00416898">
        <w:rPr>
          <w:rFonts w:cs="Arial"/>
          <w:w w:val="105"/>
          <w:sz w:val="22"/>
          <w:szCs w:val="22"/>
          <w:lang w:val="en-US"/>
        </w:rPr>
        <w:t>(~70%).</w:t>
      </w:r>
      <w:r w:rsidR="00C93E8A" w:rsidRPr="00416898">
        <w:rPr>
          <w:rFonts w:cs="Arial"/>
          <w:w w:val="105"/>
          <w:sz w:val="22"/>
          <w:szCs w:val="22"/>
          <w:lang w:val="en-US"/>
        </w:rPr>
        <w:t xml:space="preserve"> </w:t>
      </w:r>
      <w:r w:rsidRPr="00416898">
        <w:rPr>
          <w:rFonts w:cs="Arial"/>
          <w:w w:val="105"/>
          <w:sz w:val="22"/>
          <w:szCs w:val="22"/>
          <w:lang w:val="en-US"/>
        </w:rPr>
        <w:t xml:space="preserve">Ovarian failure occurs in about 60% of affected females but testicular failure only occurs in about 15% of males; parietal cell atrophy with atrophic gastritis and B12 deficiency, and </w:t>
      </w:r>
      <w:r w:rsidR="00D33FE1" w:rsidRPr="00416898">
        <w:rPr>
          <w:rFonts w:cs="Arial"/>
          <w:w w:val="105"/>
          <w:sz w:val="22"/>
          <w:szCs w:val="22"/>
          <w:lang w:val="en-US"/>
        </w:rPr>
        <w:t xml:space="preserve">T1DM </w:t>
      </w:r>
      <w:r w:rsidRPr="00416898">
        <w:rPr>
          <w:rFonts w:cs="Arial"/>
          <w:w w:val="105"/>
          <w:sz w:val="22"/>
          <w:szCs w:val="22"/>
          <w:lang w:val="en-US"/>
        </w:rPr>
        <w:t>occur in only about 12% of patients, with diabetes a late complication in comparison to the early manifestations of parathyroid and adrenal deficiency; although anti-thyroid antibodies are common, hypothyroidism only develops in about 5% of affected patients. Rare manifestations include</w:t>
      </w:r>
      <w:r w:rsidR="001262F9" w:rsidRPr="00416898">
        <w:rPr>
          <w:rFonts w:cs="Arial"/>
          <w:w w:val="105"/>
          <w:sz w:val="22"/>
          <w:szCs w:val="22"/>
          <w:lang w:val="en-US"/>
        </w:rPr>
        <w:t xml:space="preserve"> </w:t>
      </w:r>
      <w:r w:rsidRPr="00416898">
        <w:rPr>
          <w:rFonts w:cs="Arial"/>
          <w:w w:val="105"/>
          <w:sz w:val="22"/>
          <w:szCs w:val="22"/>
          <w:lang w:val="en-US"/>
        </w:rPr>
        <w:t>diabetes insipidus, growth hormone deficiency secondary to hypophysitis, and infertility due to sperm antibodies in males and ovarian failure in females.</w:t>
      </w:r>
      <w:r w:rsidR="005C3294" w:rsidRPr="00416898">
        <w:rPr>
          <w:rFonts w:cs="Arial"/>
          <w:sz w:val="22"/>
          <w:szCs w:val="22"/>
          <w:lang w:val="en-US"/>
        </w:rPr>
        <w:t xml:space="preserve"> </w:t>
      </w:r>
      <w:r w:rsidR="00C11833" w:rsidRPr="00416898">
        <w:rPr>
          <w:rFonts w:cs="Arial"/>
          <w:sz w:val="22"/>
          <w:szCs w:val="22"/>
          <w:lang w:val="en-US"/>
        </w:rPr>
        <w:t>I</w:t>
      </w:r>
      <w:r w:rsidR="005C3294" w:rsidRPr="00416898">
        <w:rPr>
          <w:rFonts w:cs="Arial"/>
          <w:sz w:val="22"/>
          <w:szCs w:val="22"/>
          <w:lang w:val="en-US"/>
        </w:rPr>
        <w:t>n most patients</w:t>
      </w:r>
      <w:r w:rsidR="00C93E8A" w:rsidRPr="00416898">
        <w:rPr>
          <w:rFonts w:cs="Arial"/>
          <w:sz w:val="22"/>
          <w:szCs w:val="22"/>
          <w:lang w:val="en-US"/>
        </w:rPr>
        <w:t xml:space="preserve"> with APS1</w:t>
      </w:r>
      <w:r w:rsidR="005C3294" w:rsidRPr="00416898">
        <w:rPr>
          <w:rFonts w:cs="Arial"/>
          <w:sz w:val="22"/>
          <w:szCs w:val="22"/>
          <w:lang w:val="en-US"/>
        </w:rPr>
        <w:t>,</w:t>
      </w:r>
      <w:r w:rsidR="00C93E8A" w:rsidRPr="00416898">
        <w:rPr>
          <w:rFonts w:cs="Arial"/>
          <w:sz w:val="22"/>
          <w:szCs w:val="22"/>
          <w:lang w:val="en-US"/>
        </w:rPr>
        <w:t xml:space="preserve"> </w:t>
      </w:r>
      <w:r w:rsidR="005C3294" w:rsidRPr="00416898">
        <w:rPr>
          <w:rFonts w:cs="Arial"/>
          <w:sz w:val="22"/>
          <w:szCs w:val="22"/>
          <w:lang w:val="en-US"/>
        </w:rPr>
        <w:t>disease manifestations develop earlier</w:t>
      </w:r>
      <w:r w:rsidR="00C93E8A" w:rsidRPr="00416898">
        <w:rPr>
          <w:rFonts w:cs="Arial"/>
          <w:sz w:val="22"/>
          <w:szCs w:val="22"/>
          <w:lang w:val="en-US"/>
        </w:rPr>
        <w:t xml:space="preserve"> than in APS2,</w:t>
      </w:r>
      <w:r w:rsidR="005C3294" w:rsidRPr="00416898">
        <w:rPr>
          <w:rFonts w:cs="Arial"/>
          <w:sz w:val="22"/>
          <w:szCs w:val="22"/>
          <w:lang w:val="en-US"/>
        </w:rPr>
        <w:t xml:space="preserve"> </w:t>
      </w:r>
      <w:r w:rsidR="00730B5C" w:rsidRPr="00416898">
        <w:rPr>
          <w:rFonts w:cs="Arial"/>
          <w:sz w:val="22"/>
          <w:szCs w:val="22"/>
          <w:lang w:val="en-US"/>
        </w:rPr>
        <w:t>as noted above</w:t>
      </w:r>
      <w:r w:rsidR="00C93E8A" w:rsidRPr="00416898">
        <w:rPr>
          <w:rFonts w:cs="Arial"/>
          <w:sz w:val="22"/>
          <w:szCs w:val="22"/>
          <w:lang w:val="en-US"/>
        </w:rPr>
        <w:t>,</w:t>
      </w:r>
      <w:r w:rsidR="00730B5C" w:rsidRPr="00416898">
        <w:rPr>
          <w:rFonts w:cs="Arial"/>
          <w:sz w:val="22"/>
          <w:szCs w:val="22"/>
          <w:lang w:val="en-US"/>
        </w:rPr>
        <w:t xml:space="preserve"> </w:t>
      </w:r>
      <w:r w:rsidR="005C3294" w:rsidRPr="00416898">
        <w:rPr>
          <w:rFonts w:cs="Arial"/>
          <w:sz w:val="22"/>
          <w:szCs w:val="22"/>
          <w:lang w:val="en-US"/>
        </w:rPr>
        <w:t xml:space="preserve">and are usually more severe than in APS-2. Typically, a given APS-1 patient develops an average of 4–5 manifestations of the </w:t>
      </w:r>
      <w:proofErr w:type="gramStart"/>
      <w:r w:rsidR="005C3294" w:rsidRPr="00416898">
        <w:rPr>
          <w:rFonts w:cs="Arial"/>
          <w:sz w:val="22"/>
          <w:szCs w:val="22"/>
          <w:lang w:val="en-US"/>
        </w:rPr>
        <w:t xml:space="preserve">syndrome, </w:t>
      </w:r>
      <w:r w:rsidR="005C3294" w:rsidRPr="00416898">
        <w:rPr>
          <w:rFonts w:cs="Arial"/>
          <w:sz w:val="22"/>
          <w:szCs w:val="22"/>
          <w:lang w:val="en-US"/>
        </w:rPr>
        <w:lastRenderedPageBreak/>
        <w:t>but</w:t>
      </w:r>
      <w:proofErr w:type="gramEnd"/>
      <w:r w:rsidR="005C3294" w:rsidRPr="00416898">
        <w:rPr>
          <w:rFonts w:cs="Arial"/>
          <w:sz w:val="22"/>
          <w:szCs w:val="22"/>
          <w:lang w:val="en-US"/>
        </w:rPr>
        <w:t xml:space="preserve"> may have as few as one or as many as </w:t>
      </w:r>
      <w:r w:rsidR="00092158" w:rsidRPr="00416898">
        <w:rPr>
          <w:rFonts w:cs="Arial"/>
          <w:sz w:val="22"/>
          <w:szCs w:val="22"/>
          <w:lang w:val="en-US"/>
        </w:rPr>
        <w:t>twenty</w:t>
      </w:r>
      <w:r w:rsidR="005C3294" w:rsidRPr="00416898">
        <w:rPr>
          <w:rFonts w:cs="Arial"/>
          <w:sz w:val="22"/>
          <w:szCs w:val="22"/>
          <w:lang w:val="en-US"/>
        </w:rPr>
        <w:t xml:space="preserve">. Due to chronic mucocutaneous candidiasis, patients are also susceptible to squamous carcinoma of the oral mucosa and esophagus over time. In general, patients with APS-1 have an increased </w:t>
      </w:r>
      <w:r w:rsidR="00092158" w:rsidRPr="00416898">
        <w:rPr>
          <w:rFonts w:cs="Arial"/>
          <w:sz w:val="22"/>
          <w:szCs w:val="22"/>
          <w:lang w:val="en-US"/>
        </w:rPr>
        <w:t xml:space="preserve">mortality </w:t>
      </w:r>
      <w:r w:rsidR="00416898" w:rsidRPr="00416898">
        <w:rPr>
          <w:rFonts w:cs="Arial"/>
          <w:sz w:val="22"/>
          <w:szCs w:val="22"/>
          <w:lang w:val="en-US"/>
        </w:rPr>
        <w:t>risk,</w:t>
      </w:r>
      <w:r w:rsidR="00321266" w:rsidRPr="00416898">
        <w:rPr>
          <w:rFonts w:cs="Arial"/>
          <w:sz w:val="22"/>
          <w:szCs w:val="22"/>
          <w:lang w:val="en-US"/>
        </w:rPr>
        <w:t xml:space="preserve"> </w:t>
      </w:r>
      <w:r w:rsidR="005C3294" w:rsidRPr="00416898">
        <w:rPr>
          <w:rFonts w:cs="Arial"/>
          <w:sz w:val="22"/>
          <w:szCs w:val="22"/>
          <w:lang w:val="en-US"/>
        </w:rPr>
        <w:t>due to cancer, adrenal and hypocalcemic crises, and certain conditions induced by aberrant autoimmune responses, particularly hepatitis, nephritis and pneumonitis</w:t>
      </w:r>
      <w:r w:rsidR="00F74248" w:rsidRPr="00416898">
        <w:rPr>
          <w:rFonts w:cs="Arial"/>
          <w:sz w:val="22"/>
          <w:szCs w:val="22"/>
          <w:lang w:val="en-US"/>
        </w:rPr>
        <w:t xml:space="preserve"> </w:t>
      </w:r>
      <w:r w:rsidR="000B54B0" w:rsidRPr="00416898">
        <w:rPr>
          <w:rFonts w:cs="Arial"/>
          <w:sz w:val="22"/>
          <w:szCs w:val="22"/>
          <w:lang w:val="en-US"/>
        </w:rPr>
        <w:t>(</w:t>
      </w:r>
      <w:r w:rsidR="0008365F" w:rsidRPr="00416898">
        <w:rPr>
          <w:rFonts w:cs="Arial"/>
          <w:sz w:val="22"/>
          <w:szCs w:val="22"/>
          <w:lang w:val="en-US"/>
        </w:rPr>
        <w:t>13</w:t>
      </w:r>
      <w:r w:rsidR="000B54B0" w:rsidRPr="00416898">
        <w:rPr>
          <w:rFonts w:cs="Arial"/>
          <w:sz w:val="22"/>
          <w:szCs w:val="22"/>
          <w:lang w:val="en-US"/>
        </w:rPr>
        <w:t>)</w:t>
      </w:r>
      <w:r w:rsidR="00EA1577" w:rsidRPr="00416898">
        <w:rPr>
          <w:rFonts w:cs="Arial"/>
          <w:sz w:val="22"/>
          <w:szCs w:val="22"/>
          <w:lang w:val="en-US"/>
        </w:rPr>
        <w:t>.</w:t>
      </w:r>
      <w:r w:rsidR="005533E1" w:rsidRPr="00416898">
        <w:rPr>
          <w:rFonts w:cs="Arial"/>
          <w:sz w:val="22"/>
          <w:szCs w:val="22"/>
          <w:lang w:val="en-US"/>
        </w:rPr>
        <w:t xml:space="preserve"> </w:t>
      </w:r>
    </w:p>
    <w:p w14:paraId="1B72F0B7" w14:textId="77777777" w:rsidR="0096069F" w:rsidRPr="00416898" w:rsidRDefault="0096069F" w:rsidP="00C84278">
      <w:pPr>
        <w:pStyle w:val="BodyText"/>
        <w:spacing w:line="276" w:lineRule="auto"/>
        <w:rPr>
          <w:rFonts w:eastAsia="Times New Roman" w:cs="Arial"/>
          <w:sz w:val="22"/>
          <w:szCs w:val="22"/>
          <w:lang w:val="en-US" w:eastAsia="en-GB"/>
        </w:rPr>
      </w:pPr>
    </w:p>
    <w:p w14:paraId="23894B33" w14:textId="77777777" w:rsidR="0096069F" w:rsidRPr="00416898" w:rsidRDefault="003C420F" w:rsidP="00C84278">
      <w:pPr>
        <w:pStyle w:val="BodyText"/>
        <w:spacing w:line="276" w:lineRule="auto"/>
        <w:rPr>
          <w:rFonts w:cs="Arial"/>
          <w:sz w:val="22"/>
          <w:szCs w:val="22"/>
          <w:lang w:val="en-US"/>
        </w:rPr>
      </w:pPr>
      <w:r w:rsidRPr="00416898">
        <w:rPr>
          <w:rFonts w:cs="Arial"/>
          <w:w w:val="105"/>
          <w:sz w:val="22"/>
          <w:szCs w:val="22"/>
          <w:lang w:val="en-US"/>
        </w:rPr>
        <w:t>Circulating</w:t>
      </w:r>
      <w:r w:rsidRPr="00416898">
        <w:rPr>
          <w:rFonts w:cs="Arial"/>
          <w:spacing w:val="-5"/>
          <w:w w:val="105"/>
          <w:sz w:val="22"/>
          <w:szCs w:val="22"/>
          <w:lang w:val="en-US"/>
        </w:rPr>
        <w:t xml:space="preserve"> </w:t>
      </w:r>
      <w:r w:rsidRPr="00416898">
        <w:rPr>
          <w:rFonts w:cs="Arial"/>
          <w:w w:val="105"/>
          <w:sz w:val="22"/>
          <w:szCs w:val="22"/>
          <w:lang w:val="en-US"/>
        </w:rPr>
        <w:t>antibodies</w:t>
      </w:r>
      <w:r w:rsidRPr="00416898">
        <w:rPr>
          <w:rFonts w:cs="Arial"/>
          <w:spacing w:val="-4"/>
          <w:w w:val="105"/>
          <w:sz w:val="22"/>
          <w:szCs w:val="22"/>
          <w:lang w:val="en-US"/>
        </w:rPr>
        <w:t xml:space="preserve"> </w:t>
      </w:r>
      <w:r w:rsidRPr="00416898">
        <w:rPr>
          <w:rFonts w:cs="Arial"/>
          <w:w w:val="105"/>
          <w:sz w:val="22"/>
          <w:szCs w:val="22"/>
          <w:lang w:val="en-US"/>
        </w:rPr>
        <w:t>against</w:t>
      </w:r>
      <w:r w:rsidRPr="00416898">
        <w:rPr>
          <w:rFonts w:cs="Arial"/>
          <w:spacing w:val="-5"/>
          <w:w w:val="105"/>
          <w:sz w:val="22"/>
          <w:szCs w:val="22"/>
          <w:lang w:val="en-US"/>
        </w:rPr>
        <w:t xml:space="preserve"> </w:t>
      </w:r>
      <w:r w:rsidRPr="00416898">
        <w:rPr>
          <w:rFonts w:cs="Arial"/>
          <w:w w:val="105"/>
          <w:sz w:val="22"/>
          <w:szCs w:val="22"/>
          <w:lang w:val="en-US"/>
        </w:rPr>
        <w:t>components</w:t>
      </w:r>
      <w:r w:rsidRPr="00416898">
        <w:rPr>
          <w:rFonts w:cs="Arial"/>
          <w:spacing w:val="-4"/>
          <w:w w:val="105"/>
          <w:sz w:val="22"/>
          <w:szCs w:val="22"/>
          <w:lang w:val="en-US"/>
        </w:rPr>
        <w:t xml:space="preserve"> </w:t>
      </w:r>
      <w:r w:rsidRPr="00416898">
        <w:rPr>
          <w:rFonts w:cs="Arial"/>
          <w:w w:val="105"/>
          <w:sz w:val="22"/>
          <w:szCs w:val="22"/>
          <w:lang w:val="en-US"/>
        </w:rPr>
        <w:t>of</w:t>
      </w:r>
      <w:r w:rsidRPr="00416898">
        <w:rPr>
          <w:rFonts w:cs="Arial"/>
          <w:spacing w:val="-5"/>
          <w:w w:val="105"/>
          <w:sz w:val="22"/>
          <w:szCs w:val="22"/>
          <w:lang w:val="en-US"/>
        </w:rPr>
        <w:t xml:space="preserve"> </w:t>
      </w:r>
      <w:r w:rsidRPr="00416898">
        <w:rPr>
          <w:rFonts w:cs="Arial"/>
          <w:w w:val="105"/>
          <w:sz w:val="22"/>
          <w:szCs w:val="22"/>
          <w:lang w:val="en-US"/>
        </w:rPr>
        <w:t>the</w:t>
      </w:r>
      <w:r w:rsidRPr="00416898">
        <w:rPr>
          <w:rFonts w:cs="Arial"/>
          <w:spacing w:val="-5"/>
          <w:w w:val="105"/>
          <w:sz w:val="22"/>
          <w:szCs w:val="22"/>
          <w:lang w:val="en-US"/>
        </w:rPr>
        <w:t xml:space="preserve"> </w:t>
      </w:r>
      <w:r w:rsidRPr="00416898">
        <w:rPr>
          <w:rFonts w:cs="Arial"/>
          <w:w w:val="105"/>
          <w:sz w:val="22"/>
          <w:szCs w:val="22"/>
          <w:lang w:val="en-US"/>
        </w:rPr>
        <w:t>parathyroid,</w:t>
      </w:r>
      <w:r w:rsidRPr="00416898">
        <w:rPr>
          <w:rFonts w:cs="Arial"/>
          <w:spacing w:val="-5"/>
          <w:w w:val="105"/>
          <w:sz w:val="22"/>
          <w:szCs w:val="22"/>
          <w:lang w:val="en-US"/>
        </w:rPr>
        <w:t xml:space="preserve"> </w:t>
      </w:r>
      <w:r w:rsidRPr="00416898">
        <w:rPr>
          <w:rFonts w:cs="Arial"/>
          <w:w w:val="105"/>
          <w:sz w:val="22"/>
          <w:szCs w:val="22"/>
          <w:lang w:val="en-US"/>
        </w:rPr>
        <w:t>adrenal</w:t>
      </w:r>
      <w:r w:rsidR="00EA1577" w:rsidRPr="00416898">
        <w:rPr>
          <w:rFonts w:cs="Arial"/>
          <w:w w:val="105"/>
          <w:sz w:val="22"/>
          <w:szCs w:val="22"/>
          <w:lang w:val="en-US"/>
        </w:rPr>
        <w:t>,</w:t>
      </w:r>
      <w:r w:rsidRPr="00416898">
        <w:rPr>
          <w:rFonts w:cs="Arial"/>
          <w:spacing w:val="-5"/>
          <w:w w:val="105"/>
          <w:sz w:val="22"/>
          <w:szCs w:val="22"/>
          <w:lang w:val="en-US"/>
        </w:rPr>
        <w:t xml:space="preserve"> </w:t>
      </w:r>
      <w:r w:rsidRPr="00416898">
        <w:rPr>
          <w:rFonts w:cs="Arial"/>
          <w:w w:val="105"/>
          <w:sz w:val="22"/>
          <w:szCs w:val="22"/>
          <w:lang w:val="en-US"/>
        </w:rPr>
        <w:t>and</w:t>
      </w:r>
      <w:r w:rsidRPr="00416898">
        <w:rPr>
          <w:rFonts w:cs="Arial"/>
          <w:spacing w:val="-4"/>
          <w:w w:val="105"/>
          <w:sz w:val="22"/>
          <w:szCs w:val="22"/>
          <w:lang w:val="en-US"/>
        </w:rPr>
        <w:t xml:space="preserve"> </w:t>
      </w:r>
      <w:r w:rsidRPr="00416898">
        <w:rPr>
          <w:rFonts w:cs="Arial"/>
          <w:w w:val="105"/>
          <w:sz w:val="22"/>
          <w:szCs w:val="22"/>
          <w:lang w:val="en-US"/>
        </w:rPr>
        <w:t>thyroid</w:t>
      </w:r>
      <w:r w:rsidRPr="00416898">
        <w:rPr>
          <w:rFonts w:cs="Arial"/>
          <w:spacing w:val="-2"/>
          <w:w w:val="105"/>
          <w:sz w:val="22"/>
          <w:szCs w:val="22"/>
          <w:lang w:val="en-US"/>
        </w:rPr>
        <w:t xml:space="preserve"> </w:t>
      </w:r>
      <w:r w:rsidRPr="00416898">
        <w:rPr>
          <w:rFonts w:cs="Arial"/>
          <w:w w:val="105"/>
          <w:sz w:val="22"/>
          <w:szCs w:val="22"/>
          <w:lang w:val="en-US"/>
        </w:rPr>
        <w:t>glands</w:t>
      </w:r>
      <w:r w:rsidRPr="00416898">
        <w:rPr>
          <w:rFonts w:cs="Arial"/>
          <w:spacing w:val="-5"/>
          <w:w w:val="105"/>
          <w:sz w:val="22"/>
          <w:szCs w:val="22"/>
          <w:lang w:val="en-US"/>
        </w:rPr>
        <w:t xml:space="preserve"> </w:t>
      </w:r>
      <w:r w:rsidRPr="00416898">
        <w:rPr>
          <w:rFonts w:cs="Arial"/>
          <w:w w:val="105"/>
          <w:sz w:val="22"/>
          <w:szCs w:val="22"/>
          <w:lang w:val="en-US"/>
        </w:rPr>
        <w:t>as</w:t>
      </w:r>
      <w:r w:rsidRPr="00416898">
        <w:rPr>
          <w:rFonts w:cs="Arial"/>
          <w:spacing w:val="-4"/>
          <w:w w:val="105"/>
          <w:sz w:val="22"/>
          <w:szCs w:val="22"/>
          <w:lang w:val="en-US"/>
        </w:rPr>
        <w:t xml:space="preserve"> </w:t>
      </w:r>
      <w:r w:rsidRPr="00416898">
        <w:rPr>
          <w:rFonts w:cs="Arial"/>
          <w:w w:val="105"/>
          <w:sz w:val="22"/>
          <w:szCs w:val="22"/>
          <w:lang w:val="en-US"/>
        </w:rPr>
        <w:t xml:space="preserve">well as those of the pancreatic islets are hallmarks of this disease which affects T-cell as well as B- cell function. Although lymphocytic infiltration of the parathyroid glands is frequent, the protein NALP5 that serves as the antigen for the immune response was not discovered until 2008 </w:t>
      </w:r>
      <w:r w:rsidR="000B54B0" w:rsidRPr="00416898">
        <w:rPr>
          <w:rFonts w:cs="Arial"/>
          <w:w w:val="105"/>
          <w:sz w:val="22"/>
          <w:szCs w:val="22"/>
          <w:lang w:val="en-US"/>
        </w:rPr>
        <w:t>(</w:t>
      </w:r>
      <w:r w:rsidRPr="00416898">
        <w:rPr>
          <w:rFonts w:cs="Arial"/>
          <w:w w:val="105"/>
          <w:sz w:val="22"/>
          <w:szCs w:val="22"/>
          <w:lang w:val="en-US"/>
        </w:rPr>
        <w:t>5</w:t>
      </w:r>
      <w:r w:rsidR="000B54B0" w:rsidRPr="00416898">
        <w:rPr>
          <w:rFonts w:cs="Arial"/>
          <w:w w:val="105"/>
          <w:sz w:val="22"/>
          <w:szCs w:val="22"/>
          <w:lang w:val="en-US"/>
        </w:rPr>
        <w:t>)</w:t>
      </w:r>
      <w:r w:rsidR="00EA1577" w:rsidRPr="00416898">
        <w:rPr>
          <w:rFonts w:cs="Arial"/>
          <w:w w:val="105"/>
          <w:sz w:val="22"/>
          <w:szCs w:val="22"/>
          <w:lang w:val="en-US"/>
        </w:rPr>
        <w:t>.</w:t>
      </w:r>
      <w:r w:rsidRPr="00416898">
        <w:rPr>
          <w:rFonts w:cs="Arial"/>
          <w:w w:val="105"/>
          <w:sz w:val="22"/>
          <w:szCs w:val="22"/>
          <w:lang w:val="en-US"/>
        </w:rPr>
        <w:t xml:space="preserve"> Antibodies</w:t>
      </w:r>
      <w:r w:rsidRPr="00416898">
        <w:rPr>
          <w:rFonts w:cs="Arial"/>
          <w:spacing w:val="-5"/>
          <w:w w:val="105"/>
          <w:sz w:val="22"/>
          <w:szCs w:val="22"/>
          <w:lang w:val="en-US"/>
        </w:rPr>
        <w:t xml:space="preserve"> </w:t>
      </w:r>
      <w:r w:rsidRPr="00416898">
        <w:rPr>
          <w:rFonts w:cs="Arial"/>
          <w:w w:val="105"/>
          <w:sz w:val="22"/>
          <w:szCs w:val="22"/>
          <w:lang w:val="en-US"/>
        </w:rPr>
        <w:t>to</w:t>
      </w:r>
      <w:r w:rsidRPr="00416898">
        <w:rPr>
          <w:rFonts w:cs="Arial"/>
          <w:spacing w:val="-4"/>
          <w:w w:val="105"/>
          <w:sz w:val="22"/>
          <w:szCs w:val="22"/>
          <w:lang w:val="en-US"/>
        </w:rPr>
        <w:t xml:space="preserve"> </w:t>
      </w:r>
      <w:r w:rsidRPr="00416898">
        <w:rPr>
          <w:rFonts w:cs="Arial"/>
          <w:w w:val="105"/>
          <w:sz w:val="22"/>
          <w:szCs w:val="22"/>
          <w:lang w:val="en-US"/>
        </w:rPr>
        <w:t>NALP5</w:t>
      </w:r>
      <w:r w:rsidRPr="00416898">
        <w:rPr>
          <w:rFonts w:cs="Arial"/>
          <w:spacing w:val="-3"/>
          <w:w w:val="105"/>
          <w:sz w:val="22"/>
          <w:szCs w:val="22"/>
          <w:lang w:val="en-US"/>
        </w:rPr>
        <w:t xml:space="preserve"> </w:t>
      </w:r>
      <w:r w:rsidRPr="00416898">
        <w:rPr>
          <w:rFonts w:cs="Arial"/>
          <w:w w:val="105"/>
          <w:sz w:val="22"/>
          <w:szCs w:val="22"/>
          <w:lang w:val="en-US"/>
        </w:rPr>
        <w:t>(NACHT</w:t>
      </w:r>
      <w:r w:rsidRPr="00416898">
        <w:rPr>
          <w:rFonts w:cs="Arial"/>
          <w:spacing w:val="-4"/>
          <w:w w:val="105"/>
          <w:sz w:val="22"/>
          <w:szCs w:val="22"/>
          <w:lang w:val="en-US"/>
        </w:rPr>
        <w:t xml:space="preserve"> </w:t>
      </w:r>
      <w:r w:rsidRPr="00416898">
        <w:rPr>
          <w:rFonts w:cs="Arial"/>
          <w:w w:val="105"/>
          <w:sz w:val="22"/>
          <w:szCs w:val="22"/>
          <w:lang w:val="en-US"/>
        </w:rPr>
        <w:t>leucine-rich-repeat</w:t>
      </w:r>
      <w:r w:rsidRPr="00416898">
        <w:rPr>
          <w:rFonts w:cs="Arial"/>
          <w:spacing w:val="-5"/>
          <w:w w:val="105"/>
          <w:sz w:val="22"/>
          <w:szCs w:val="22"/>
          <w:lang w:val="en-US"/>
        </w:rPr>
        <w:t xml:space="preserve"> </w:t>
      </w:r>
      <w:r w:rsidRPr="00416898">
        <w:rPr>
          <w:rFonts w:cs="Arial"/>
          <w:w w:val="105"/>
          <w:sz w:val="22"/>
          <w:szCs w:val="22"/>
          <w:lang w:val="en-US"/>
        </w:rPr>
        <w:t>protein</w:t>
      </w:r>
      <w:r w:rsidRPr="00416898">
        <w:rPr>
          <w:rFonts w:cs="Arial"/>
          <w:spacing w:val="-4"/>
          <w:w w:val="105"/>
          <w:sz w:val="22"/>
          <w:szCs w:val="22"/>
          <w:lang w:val="en-US"/>
        </w:rPr>
        <w:t xml:space="preserve"> </w:t>
      </w:r>
      <w:r w:rsidRPr="00416898">
        <w:rPr>
          <w:rFonts w:cs="Arial"/>
          <w:w w:val="105"/>
          <w:sz w:val="22"/>
          <w:szCs w:val="22"/>
          <w:lang w:val="en-US"/>
        </w:rPr>
        <w:t>5)</w:t>
      </w:r>
      <w:r w:rsidRPr="00416898">
        <w:rPr>
          <w:rFonts w:cs="Arial"/>
          <w:spacing w:val="-5"/>
          <w:w w:val="105"/>
          <w:sz w:val="22"/>
          <w:szCs w:val="22"/>
          <w:lang w:val="en-US"/>
        </w:rPr>
        <w:t xml:space="preserve"> </w:t>
      </w:r>
      <w:r w:rsidRPr="00416898">
        <w:rPr>
          <w:rFonts w:cs="Arial"/>
          <w:w w:val="105"/>
          <w:sz w:val="22"/>
          <w:szCs w:val="22"/>
          <w:lang w:val="en-US"/>
        </w:rPr>
        <w:t>were</w:t>
      </w:r>
      <w:r w:rsidRPr="00416898">
        <w:rPr>
          <w:rFonts w:cs="Arial"/>
          <w:spacing w:val="-3"/>
          <w:w w:val="105"/>
          <w:sz w:val="22"/>
          <w:szCs w:val="22"/>
          <w:lang w:val="en-US"/>
        </w:rPr>
        <w:t xml:space="preserve"> </w:t>
      </w:r>
      <w:r w:rsidRPr="00416898">
        <w:rPr>
          <w:rFonts w:cs="Arial"/>
          <w:w w:val="105"/>
          <w:sz w:val="22"/>
          <w:szCs w:val="22"/>
          <w:lang w:val="en-US"/>
        </w:rPr>
        <w:t>found</w:t>
      </w:r>
      <w:r w:rsidRPr="00416898">
        <w:rPr>
          <w:rFonts w:cs="Arial"/>
          <w:spacing w:val="-4"/>
          <w:w w:val="105"/>
          <w:sz w:val="22"/>
          <w:szCs w:val="22"/>
          <w:lang w:val="en-US"/>
        </w:rPr>
        <w:t xml:space="preserve"> </w:t>
      </w:r>
      <w:r w:rsidRPr="00416898">
        <w:rPr>
          <w:rFonts w:cs="Arial"/>
          <w:w w:val="105"/>
          <w:sz w:val="22"/>
          <w:szCs w:val="22"/>
          <w:lang w:val="en-US"/>
        </w:rPr>
        <w:t>to</w:t>
      </w:r>
      <w:r w:rsidRPr="00416898">
        <w:rPr>
          <w:rFonts w:cs="Arial"/>
          <w:spacing w:val="-3"/>
          <w:w w:val="105"/>
          <w:sz w:val="22"/>
          <w:szCs w:val="22"/>
          <w:lang w:val="en-US"/>
        </w:rPr>
        <w:t xml:space="preserve"> </w:t>
      </w:r>
      <w:r w:rsidRPr="00416898">
        <w:rPr>
          <w:rFonts w:cs="Arial"/>
          <w:w w:val="105"/>
          <w:sz w:val="22"/>
          <w:szCs w:val="22"/>
          <w:lang w:val="en-US"/>
        </w:rPr>
        <w:t>be</w:t>
      </w:r>
      <w:r w:rsidRPr="00416898">
        <w:rPr>
          <w:rFonts w:cs="Arial"/>
          <w:spacing w:val="-4"/>
          <w:w w:val="105"/>
          <w:sz w:val="22"/>
          <w:szCs w:val="22"/>
          <w:lang w:val="en-US"/>
        </w:rPr>
        <w:t xml:space="preserve"> </w:t>
      </w:r>
      <w:r w:rsidRPr="00416898">
        <w:rPr>
          <w:rFonts w:cs="Arial"/>
          <w:w w:val="105"/>
          <w:sz w:val="22"/>
          <w:szCs w:val="22"/>
          <w:lang w:val="en-US"/>
        </w:rPr>
        <w:t>highly</w:t>
      </w:r>
      <w:r w:rsidRPr="00416898">
        <w:rPr>
          <w:rFonts w:cs="Arial"/>
          <w:spacing w:val="-5"/>
          <w:w w:val="105"/>
          <w:sz w:val="22"/>
          <w:szCs w:val="22"/>
          <w:lang w:val="en-US"/>
        </w:rPr>
        <w:t xml:space="preserve"> </w:t>
      </w:r>
      <w:r w:rsidRPr="00416898">
        <w:rPr>
          <w:rFonts w:cs="Arial"/>
          <w:w w:val="105"/>
          <w:sz w:val="22"/>
          <w:szCs w:val="22"/>
          <w:lang w:val="en-US"/>
        </w:rPr>
        <w:t>specific</w:t>
      </w:r>
      <w:r w:rsidRPr="00416898">
        <w:rPr>
          <w:rFonts w:cs="Arial"/>
          <w:spacing w:val="-4"/>
          <w:w w:val="105"/>
          <w:sz w:val="22"/>
          <w:szCs w:val="22"/>
          <w:lang w:val="en-US"/>
        </w:rPr>
        <w:t xml:space="preserve"> </w:t>
      </w:r>
      <w:r w:rsidRPr="00416898">
        <w:rPr>
          <w:rFonts w:cs="Arial"/>
          <w:w w:val="105"/>
          <w:sz w:val="22"/>
          <w:szCs w:val="22"/>
          <w:lang w:val="en-US"/>
        </w:rPr>
        <w:t xml:space="preserve">and present only in those with hypoparathyroidism as part of APS1, but absent in other forms of autoimmune syndromes </w:t>
      </w:r>
      <w:r w:rsidR="000B54B0" w:rsidRPr="00416898">
        <w:rPr>
          <w:rFonts w:cs="Arial"/>
          <w:w w:val="105"/>
          <w:sz w:val="22"/>
          <w:szCs w:val="22"/>
          <w:lang w:val="en-US"/>
        </w:rPr>
        <w:t>(</w:t>
      </w:r>
      <w:r w:rsidRPr="00416898">
        <w:rPr>
          <w:rFonts w:cs="Arial"/>
          <w:w w:val="105"/>
          <w:sz w:val="22"/>
          <w:szCs w:val="22"/>
          <w:lang w:val="en-US"/>
        </w:rPr>
        <w:t>5</w:t>
      </w:r>
      <w:r w:rsidR="000B54B0" w:rsidRPr="00416898">
        <w:rPr>
          <w:rFonts w:cs="Arial"/>
          <w:w w:val="105"/>
          <w:sz w:val="22"/>
          <w:szCs w:val="22"/>
          <w:lang w:val="en-US"/>
        </w:rPr>
        <w:t>)</w:t>
      </w:r>
      <w:r w:rsidRPr="00416898">
        <w:rPr>
          <w:rFonts w:cs="Arial"/>
          <w:w w:val="105"/>
          <w:sz w:val="22"/>
          <w:szCs w:val="22"/>
          <w:lang w:val="en-US"/>
        </w:rPr>
        <w:t xml:space="preserve"> or patients with APS1 but without hypoparathyroidism. Antibodies against adrenal cytochrome P450 enzymes such as Cyp21, Cyp17</w:t>
      </w:r>
      <w:r w:rsidR="00EA1577" w:rsidRPr="00416898">
        <w:rPr>
          <w:rFonts w:cs="Arial"/>
          <w:w w:val="105"/>
          <w:sz w:val="22"/>
          <w:szCs w:val="22"/>
          <w:lang w:val="en-US"/>
        </w:rPr>
        <w:t>,</w:t>
      </w:r>
      <w:r w:rsidRPr="00416898">
        <w:rPr>
          <w:rFonts w:cs="Arial"/>
          <w:w w:val="105"/>
          <w:sz w:val="22"/>
          <w:szCs w:val="22"/>
          <w:lang w:val="en-US"/>
        </w:rPr>
        <w:t xml:space="preserve"> and Cyp11A1 are present in many patients but wane with glucocorticoid treatment. Circulating antibodies to GAD 65 and IA2 may be present but are not strong predictors for the development of T1DM. Thyroid peroxidase and anti-thyroglobulin antibodies also are common but not predictive for development of hypothyroidism. Antibodies against liver microsomal proteins, against parietal cells (</w:t>
      </w:r>
      <w:r w:rsidR="008F2BCD" w:rsidRPr="00416898">
        <w:rPr>
          <w:rFonts w:cs="Arial"/>
          <w:i/>
          <w:w w:val="105"/>
          <w:sz w:val="22"/>
          <w:szCs w:val="22"/>
          <w:lang w:val="en-US"/>
        </w:rPr>
        <w:t>α</w:t>
      </w:r>
      <w:r w:rsidRPr="00416898">
        <w:rPr>
          <w:rFonts w:cs="Arial"/>
          <w:i/>
          <w:w w:val="105"/>
          <w:sz w:val="22"/>
          <w:szCs w:val="22"/>
          <w:lang w:val="en-US"/>
        </w:rPr>
        <w:t xml:space="preserve"> </w:t>
      </w:r>
      <w:r w:rsidRPr="00416898">
        <w:rPr>
          <w:rFonts w:cs="Arial"/>
          <w:w w:val="105"/>
          <w:sz w:val="22"/>
          <w:szCs w:val="22"/>
          <w:lang w:val="en-US"/>
        </w:rPr>
        <w:t xml:space="preserve">&amp; </w:t>
      </w:r>
      <w:r w:rsidR="008F2BCD" w:rsidRPr="00416898">
        <w:rPr>
          <w:rFonts w:cs="Arial"/>
          <w:i/>
          <w:w w:val="105"/>
          <w:sz w:val="22"/>
          <w:szCs w:val="22"/>
          <w:lang w:val="en-US"/>
        </w:rPr>
        <w:t>β</w:t>
      </w:r>
      <w:r w:rsidRPr="00416898">
        <w:rPr>
          <w:rFonts w:cs="Arial"/>
          <w:i/>
          <w:w w:val="105"/>
          <w:sz w:val="22"/>
          <w:szCs w:val="22"/>
          <w:lang w:val="en-US"/>
        </w:rPr>
        <w:t xml:space="preserve"> </w:t>
      </w:r>
      <w:r w:rsidRPr="00416898">
        <w:rPr>
          <w:rFonts w:cs="Arial"/>
          <w:w w:val="105"/>
          <w:sz w:val="22"/>
          <w:szCs w:val="22"/>
          <w:lang w:val="en-US"/>
        </w:rPr>
        <w:t>subunits of H</w:t>
      </w:r>
      <w:r w:rsidRPr="00416898">
        <w:rPr>
          <w:rFonts w:cs="Arial"/>
          <w:w w:val="105"/>
          <w:sz w:val="22"/>
          <w:szCs w:val="22"/>
          <w:vertAlign w:val="superscript"/>
          <w:lang w:val="en-US"/>
        </w:rPr>
        <w:t>+</w:t>
      </w:r>
      <w:r w:rsidRPr="00416898">
        <w:rPr>
          <w:rFonts w:cs="Arial"/>
          <w:w w:val="105"/>
          <w:sz w:val="22"/>
          <w:szCs w:val="22"/>
          <w:lang w:val="en-US"/>
        </w:rPr>
        <w:t>/K</w:t>
      </w:r>
      <w:r w:rsidRPr="00416898">
        <w:rPr>
          <w:rFonts w:cs="Arial"/>
          <w:w w:val="105"/>
          <w:sz w:val="22"/>
          <w:szCs w:val="22"/>
          <w:vertAlign w:val="superscript"/>
          <w:lang w:val="en-US"/>
        </w:rPr>
        <w:t>+</w:t>
      </w:r>
      <w:r w:rsidRPr="00416898">
        <w:rPr>
          <w:rFonts w:cs="Arial"/>
          <w:w w:val="105"/>
          <w:sz w:val="22"/>
          <w:szCs w:val="22"/>
          <w:lang w:val="en-US"/>
        </w:rPr>
        <w:t xml:space="preserve"> ATPase), and against intrinsic factor also are reported.</w:t>
      </w:r>
      <w:r w:rsidR="00A1448E" w:rsidRPr="00416898">
        <w:rPr>
          <w:rFonts w:cs="Arial"/>
          <w:sz w:val="22"/>
          <w:szCs w:val="22"/>
          <w:lang w:val="en-US"/>
        </w:rPr>
        <w:t xml:space="preserve"> </w:t>
      </w:r>
      <w:r w:rsidR="00F15DF1" w:rsidRPr="00416898">
        <w:rPr>
          <w:rFonts w:cs="Arial"/>
          <w:sz w:val="22"/>
          <w:szCs w:val="22"/>
          <w:lang w:val="en-US"/>
        </w:rPr>
        <w:t xml:space="preserve">Other less common autoantibodies observed in APS-1 include </w:t>
      </w:r>
      <w:r w:rsidR="00A1448E" w:rsidRPr="00416898">
        <w:rPr>
          <w:rFonts w:cs="Arial"/>
          <w:sz w:val="22"/>
          <w:szCs w:val="22"/>
          <w:lang w:val="en-US"/>
        </w:rPr>
        <w:t>BPI Fold Containing Family B Member 1 (BPIFB1)</w:t>
      </w:r>
      <w:r w:rsidR="00321266" w:rsidRPr="00416898">
        <w:rPr>
          <w:rFonts w:cs="Arial"/>
          <w:sz w:val="22"/>
          <w:szCs w:val="22"/>
          <w:lang w:val="en-US"/>
        </w:rPr>
        <w:t>,</w:t>
      </w:r>
      <w:r w:rsidR="00A1448E" w:rsidRPr="00416898">
        <w:rPr>
          <w:rFonts w:cs="Arial"/>
          <w:sz w:val="22"/>
          <w:szCs w:val="22"/>
          <w:lang w:val="en-US"/>
        </w:rPr>
        <w:t xml:space="preserve"> the potassium channel regulator KCNRG, expressed in the lung, and transglutaminase-4, expressed solely in the prostate gland</w:t>
      </w:r>
      <w:r w:rsidR="00092158" w:rsidRPr="00416898">
        <w:rPr>
          <w:rFonts w:cs="Arial"/>
          <w:sz w:val="22"/>
          <w:szCs w:val="22"/>
          <w:lang w:val="en-US"/>
        </w:rPr>
        <w:t xml:space="preserve"> </w:t>
      </w:r>
      <w:r w:rsidR="000B54B0" w:rsidRPr="00416898">
        <w:rPr>
          <w:rFonts w:cs="Arial"/>
          <w:sz w:val="22"/>
          <w:szCs w:val="22"/>
          <w:lang w:val="en-US"/>
        </w:rPr>
        <w:t>(</w:t>
      </w:r>
      <w:r w:rsidR="0008365F" w:rsidRPr="00416898">
        <w:rPr>
          <w:rFonts w:cs="Arial"/>
          <w:sz w:val="22"/>
          <w:szCs w:val="22"/>
          <w:lang w:val="en-US"/>
        </w:rPr>
        <w:t>14, 15, 16</w:t>
      </w:r>
      <w:r w:rsidR="000B54B0" w:rsidRPr="00416898">
        <w:rPr>
          <w:rFonts w:cs="Arial"/>
          <w:sz w:val="22"/>
          <w:szCs w:val="22"/>
          <w:lang w:val="en-US"/>
        </w:rPr>
        <w:t>)</w:t>
      </w:r>
      <w:r w:rsidR="00EA1577" w:rsidRPr="00416898">
        <w:rPr>
          <w:rFonts w:cs="Arial"/>
          <w:sz w:val="22"/>
          <w:szCs w:val="22"/>
          <w:lang w:val="en-US"/>
        </w:rPr>
        <w:t>.</w:t>
      </w:r>
      <w:r w:rsidR="0008365F" w:rsidRPr="00416898">
        <w:rPr>
          <w:rFonts w:cs="Arial"/>
          <w:sz w:val="22"/>
          <w:szCs w:val="22"/>
          <w:lang w:val="en-US"/>
        </w:rPr>
        <w:t xml:space="preserve"> </w:t>
      </w:r>
      <w:r w:rsidR="00321266" w:rsidRPr="00416898">
        <w:rPr>
          <w:rFonts w:cs="Arial"/>
          <w:sz w:val="22"/>
          <w:szCs w:val="22"/>
          <w:lang w:val="en-US"/>
        </w:rPr>
        <w:t xml:space="preserve"> </w:t>
      </w:r>
    </w:p>
    <w:p w14:paraId="6516B3E3" w14:textId="77777777" w:rsidR="0096069F" w:rsidRPr="00416898" w:rsidRDefault="0096069F" w:rsidP="00C84278">
      <w:pPr>
        <w:pStyle w:val="BodyText"/>
        <w:spacing w:line="276" w:lineRule="auto"/>
        <w:rPr>
          <w:rFonts w:cs="Arial"/>
          <w:sz w:val="22"/>
          <w:szCs w:val="22"/>
          <w:lang w:val="en-US"/>
        </w:rPr>
      </w:pPr>
    </w:p>
    <w:p w14:paraId="32FFF12E" w14:textId="77777777" w:rsidR="0096069F" w:rsidRPr="00416898" w:rsidRDefault="003C420F" w:rsidP="00C84278">
      <w:pPr>
        <w:pStyle w:val="BodyText"/>
        <w:spacing w:line="276" w:lineRule="auto"/>
        <w:rPr>
          <w:rFonts w:cs="Arial"/>
          <w:sz w:val="22"/>
          <w:szCs w:val="22"/>
          <w:lang w:val="en-US"/>
        </w:rPr>
      </w:pPr>
      <w:r w:rsidRPr="00416898">
        <w:rPr>
          <w:rFonts w:cs="Arial"/>
          <w:w w:val="105"/>
          <w:sz w:val="22"/>
          <w:szCs w:val="22"/>
          <w:lang w:val="en-US"/>
        </w:rPr>
        <w:t>A unique feature is the presence of autoantibodies that neutralize type1 interferon, mostly interferon1α and 1ω; these antibodies appear to be specific for this entity and therefore have clinical diagnostic utility</w:t>
      </w:r>
      <w:r w:rsidR="00092158" w:rsidRPr="00416898">
        <w:rPr>
          <w:rFonts w:cs="Arial"/>
          <w:w w:val="105"/>
          <w:sz w:val="22"/>
          <w:szCs w:val="22"/>
          <w:lang w:val="en-US"/>
        </w:rPr>
        <w:t xml:space="preserve"> </w:t>
      </w:r>
      <w:r w:rsidR="000B54B0" w:rsidRPr="00416898">
        <w:rPr>
          <w:rFonts w:cs="Arial"/>
          <w:w w:val="105"/>
          <w:sz w:val="22"/>
          <w:szCs w:val="22"/>
          <w:lang w:val="en-US"/>
        </w:rPr>
        <w:t>(</w:t>
      </w:r>
      <w:r w:rsidRPr="00416898">
        <w:rPr>
          <w:rFonts w:cs="Arial"/>
          <w:w w:val="105"/>
          <w:sz w:val="22"/>
          <w:szCs w:val="22"/>
          <w:lang w:val="en-US"/>
        </w:rPr>
        <w:t>1</w:t>
      </w:r>
      <w:r w:rsidR="0008365F" w:rsidRPr="00416898">
        <w:rPr>
          <w:rFonts w:cs="Arial"/>
          <w:w w:val="105"/>
          <w:sz w:val="22"/>
          <w:szCs w:val="22"/>
          <w:lang w:val="en-US"/>
        </w:rPr>
        <w:t>7</w:t>
      </w:r>
      <w:r w:rsidR="000B54B0" w:rsidRPr="00416898">
        <w:rPr>
          <w:rFonts w:cs="Arial"/>
          <w:w w:val="105"/>
          <w:sz w:val="22"/>
          <w:szCs w:val="22"/>
          <w:lang w:val="en-US"/>
        </w:rPr>
        <w:t>)</w:t>
      </w:r>
      <w:r w:rsidR="00EA1577" w:rsidRPr="00416898">
        <w:rPr>
          <w:rFonts w:cs="Arial"/>
          <w:w w:val="105"/>
          <w:sz w:val="22"/>
          <w:szCs w:val="22"/>
          <w:lang w:val="en-US"/>
        </w:rPr>
        <w:t>.</w:t>
      </w:r>
      <w:r w:rsidRPr="00416898">
        <w:rPr>
          <w:rFonts w:cs="Arial"/>
          <w:w w:val="105"/>
          <w:sz w:val="22"/>
          <w:szCs w:val="22"/>
          <w:lang w:val="en-US"/>
        </w:rPr>
        <w:t xml:space="preserve"> </w:t>
      </w:r>
      <w:r w:rsidR="0096069F" w:rsidRPr="00416898">
        <w:rPr>
          <w:rFonts w:cs="Arial"/>
          <w:sz w:val="22"/>
          <w:szCs w:val="22"/>
          <w:lang w:val="en-US"/>
        </w:rPr>
        <w:t>Since over 95% of patients with APS-1 have autoantibodies to type 1 interferons</w:t>
      </w:r>
      <w:r w:rsidRPr="00416898">
        <w:rPr>
          <w:rFonts w:cs="Arial"/>
          <w:w w:val="105"/>
          <w:sz w:val="22"/>
          <w:szCs w:val="22"/>
          <w:lang w:val="en-US"/>
        </w:rPr>
        <w:t>, it has been proposed that evaluating the presence of these interferon antibodies should be part of the diagnostic evaluation of patients suspected of harboring APS1.</w:t>
      </w:r>
      <w:r w:rsidR="0096069F" w:rsidRPr="00416898">
        <w:rPr>
          <w:rFonts w:cs="Arial"/>
          <w:w w:val="105"/>
          <w:sz w:val="22"/>
          <w:szCs w:val="22"/>
          <w:lang w:val="en-US"/>
        </w:rPr>
        <w:t xml:space="preserve"> </w:t>
      </w:r>
      <w:r w:rsidRPr="00416898">
        <w:rPr>
          <w:rFonts w:cs="Arial"/>
          <w:w w:val="105"/>
          <w:sz w:val="22"/>
          <w:szCs w:val="22"/>
          <w:lang w:val="en-US"/>
        </w:rPr>
        <w:t xml:space="preserve">In addition, patients with </w:t>
      </w:r>
      <w:r w:rsidRPr="00416898">
        <w:rPr>
          <w:rFonts w:cs="Arial"/>
          <w:i/>
          <w:w w:val="105"/>
          <w:sz w:val="22"/>
          <w:szCs w:val="22"/>
          <w:lang w:val="en-US"/>
        </w:rPr>
        <w:t xml:space="preserve">AIRE </w:t>
      </w:r>
      <w:r w:rsidRPr="00416898">
        <w:rPr>
          <w:rFonts w:cs="Arial"/>
          <w:w w:val="105"/>
          <w:sz w:val="22"/>
          <w:szCs w:val="22"/>
          <w:lang w:val="en-US"/>
        </w:rPr>
        <w:t>mutations possess high-affinity disease-ameliorating autoantibodies, which may explain the low incidence and late appearance of T1</w:t>
      </w:r>
      <w:r w:rsidR="000956F7" w:rsidRPr="00416898">
        <w:rPr>
          <w:rFonts w:cs="Arial"/>
          <w:w w:val="105"/>
          <w:sz w:val="22"/>
          <w:szCs w:val="22"/>
          <w:lang w:val="en-US"/>
        </w:rPr>
        <w:t>DM</w:t>
      </w:r>
      <w:r w:rsidRPr="00416898">
        <w:rPr>
          <w:rFonts w:cs="Arial"/>
          <w:w w:val="105"/>
          <w:sz w:val="22"/>
          <w:szCs w:val="22"/>
          <w:lang w:val="en-US"/>
        </w:rPr>
        <w:t xml:space="preserve"> in patients with APS1 </w:t>
      </w:r>
      <w:r w:rsidR="000B54B0" w:rsidRPr="00416898">
        <w:rPr>
          <w:rFonts w:cs="Arial"/>
          <w:w w:val="105"/>
          <w:sz w:val="22"/>
          <w:szCs w:val="22"/>
          <w:lang w:val="en-US"/>
        </w:rPr>
        <w:t>(</w:t>
      </w:r>
      <w:r w:rsidRPr="00416898">
        <w:rPr>
          <w:rFonts w:cs="Arial"/>
          <w:w w:val="105"/>
          <w:sz w:val="22"/>
          <w:szCs w:val="22"/>
          <w:lang w:val="en-US"/>
        </w:rPr>
        <w:t>1</w:t>
      </w:r>
      <w:r w:rsidR="0008365F" w:rsidRPr="00416898">
        <w:rPr>
          <w:rFonts w:cs="Arial"/>
          <w:w w:val="105"/>
          <w:sz w:val="22"/>
          <w:szCs w:val="22"/>
          <w:lang w:val="en-US"/>
        </w:rPr>
        <w:t>8</w:t>
      </w:r>
      <w:r w:rsidR="000B54B0" w:rsidRPr="00416898">
        <w:rPr>
          <w:rFonts w:cs="Arial"/>
          <w:w w:val="105"/>
          <w:sz w:val="22"/>
          <w:szCs w:val="22"/>
          <w:lang w:val="en-US"/>
        </w:rPr>
        <w:t>)</w:t>
      </w:r>
      <w:r w:rsidR="00EA1577" w:rsidRPr="00416898">
        <w:rPr>
          <w:rFonts w:cs="Arial"/>
          <w:w w:val="105"/>
          <w:sz w:val="22"/>
          <w:szCs w:val="22"/>
          <w:lang w:val="en-US"/>
        </w:rPr>
        <w:t>.</w:t>
      </w:r>
      <w:r w:rsidR="000B54B0" w:rsidRPr="00416898">
        <w:rPr>
          <w:rFonts w:cs="Arial"/>
          <w:w w:val="105"/>
          <w:sz w:val="22"/>
          <w:szCs w:val="22"/>
          <w:lang w:val="en-US"/>
        </w:rPr>
        <w:t xml:space="preserve"> </w:t>
      </w:r>
      <w:r w:rsidR="00A1448E" w:rsidRPr="00416898">
        <w:rPr>
          <w:rFonts w:cs="Arial"/>
          <w:sz w:val="22"/>
          <w:szCs w:val="22"/>
          <w:lang w:val="en-US"/>
        </w:rPr>
        <w:t>In contrast to the autoantibodies mentioned above, systemic autoantibodies to certain cytokines are highly prevalent in many, if not most, APS-1 patients. Autoantibodies to the interleukin (IL) 17 family of cytokines, especially IL</w:t>
      </w:r>
      <w:r w:rsidR="00607C32" w:rsidRPr="00416898">
        <w:rPr>
          <w:rFonts w:cs="Arial"/>
          <w:sz w:val="22"/>
          <w:szCs w:val="22"/>
          <w:lang w:val="en-US"/>
        </w:rPr>
        <w:t>-</w:t>
      </w:r>
      <w:r w:rsidR="00A1448E" w:rsidRPr="00416898">
        <w:rPr>
          <w:rFonts w:cs="Arial"/>
          <w:sz w:val="22"/>
          <w:szCs w:val="22"/>
          <w:lang w:val="en-US"/>
        </w:rPr>
        <w:t>22</w:t>
      </w:r>
      <w:r w:rsidR="00F15DF1" w:rsidRPr="00416898">
        <w:rPr>
          <w:rFonts w:cs="Arial"/>
          <w:sz w:val="22"/>
          <w:szCs w:val="22"/>
          <w:lang w:val="en-US"/>
        </w:rPr>
        <w:t xml:space="preserve"> </w:t>
      </w:r>
      <w:r w:rsidR="00A1448E" w:rsidRPr="00416898">
        <w:rPr>
          <w:rFonts w:cs="Arial"/>
          <w:sz w:val="22"/>
          <w:szCs w:val="22"/>
          <w:lang w:val="en-US"/>
        </w:rPr>
        <w:t xml:space="preserve">are also prevalent in APS-1, </w:t>
      </w:r>
      <w:r w:rsidR="00092158" w:rsidRPr="00416898">
        <w:rPr>
          <w:rFonts w:cs="Arial"/>
          <w:sz w:val="22"/>
          <w:szCs w:val="22"/>
          <w:lang w:val="en-US"/>
        </w:rPr>
        <w:t>exceeding</w:t>
      </w:r>
      <w:r w:rsidR="00A1448E" w:rsidRPr="00416898">
        <w:rPr>
          <w:rFonts w:cs="Arial"/>
          <w:sz w:val="22"/>
          <w:szCs w:val="22"/>
          <w:lang w:val="en-US"/>
        </w:rPr>
        <w:t xml:space="preserve"> 90% in some series</w:t>
      </w:r>
      <w:r w:rsidR="002C75C1" w:rsidRPr="00416898">
        <w:rPr>
          <w:rFonts w:cs="Arial"/>
          <w:sz w:val="22"/>
          <w:szCs w:val="22"/>
          <w:lang w:val="en-US"/>
        </w:rPr>
        <w:t xml:space="preserve"> </w:t>
      </w:r>
      <w:r w:rsidR="000B54B0" w:rsidRPr="00416898">
        <w:rPr>
          <w:rFonts w:cs="Arial"/>
          <w:sz w:val="22"/>
          <w:szCs w:val="22"/>
          <w:lang w:val="en-US"/>
        </w:rPr>
        <w:t>(</w:t>
      </w:r>
      <w:r w:rsidR="005C2A2F" w:rsidRPr="00416898">
        <w:rPr>
          <w:rFonts w:cs="Arial"/>
          <w:sz w:val="22"/>
          <w:szCs w:val="22"/>
          <w:lang w:val="en-US"/>
        </w:rPr>
        <w:t>4)</w:t>
      </w:r>
      <w:r w:rsidR="00EA1577" w:rsidRPr="00416898">
        <w:rPr>
          <w:rFonts w:cs="Arial"/>
          <w:sz w:val="22"/>
          <w:szCs w:val="22"/>
          <w:lang w:val="en-US"/>
        </w:rPr>
        <w:t>.</w:t>
      </w:r>
      <w:r w:rsidR="00C93E8A" w:rsidRPr="00416898">
        <w:rPr>
          <w:rFonts w:cs="Arial"/>
          <w:sz w:val="22"/>
          <w:szCs w:val="22"/>
          <w:lang w:val="en-US"/>
        </w:rPr>
        <w:t xml:space="preserve"> </w:t>
      </w:r>
    </w:p>
    <w:p w14:paraId="1FD44E79" w14:textId="77777777" w:rsidR="0096069F" w:rsidRPr="00416898" w:rsidRDefault="0096069F" w:rsidP="00C84278">
      <w:pPr>
        <w:pStyle w:val="BodyText"/>
        <w:spacing w:line="276" w:lineRule="auto"/>
        <w:rPr>
          <w:rFonts w:eastAsia="Times New Roman" w:cs="Arial"/>
          <w:sz w:val="22"/>
          <w:szCs w:val="22"/>
          <w:lang w:val="en-US" w:eastAsia="en-GB"/>
        </w:rPr>
      </w:pPr>
    </w:p>
    <w:p w14:paraId="2ED34CDA" w14:textId="77777777" w:rsidR="0096069F" w:rsidRPr="00416898" w:rsidRDefault="003C420F" w:rsidP="00C84278">
      <w:pPr>
        <w:pStyle w:val="BodyText"/>
        <w:spacing w:line="276" w:lineRule="auto"/>
        <w:rPr>
          <w:rFonts w:cs="Arial"/>
          <w:w w:val="105"/>
          <w:sz w:val="22"/>
          <w:szCs w:val="22"/>
          <w:lang w:val="en-US"/>
        </w:rPr>
      </w:pPr>
      <w:r w:rsidRPr="00416898">
        <w:rPr>
          <w:rFonts w:cs="Arial"/>
          <w:w w:val="105"/>
          <w:sz w:val="22"/>
          <w:szCs w:val="22"/>
          <w:lang w:val="en-US"/>
        </w:rPr>
        <w:t>The cause of this autoimmunity are inactivating mutations in the autoimmune regulator gene (</w:t>
      </w:r>
      <w:r w:rsidRPr="00416898">
        <w:rPr>
          <w:rFonts w:cs="Arial"/>
          <w:b/>
          <w:i/>
          <w:w w:val="105"/>
          <w:sz w:val="22"/>
          <w:szCs w:val="22"/>
          <w:lang w:val="en-US"/>
        </w:rPr>
        <w:t>AIRE</w:t>
      </w:r>
      <w:r w:rsidRPr="00416898">
        <w:rPr>
          <w:rFonts w:cs="Arial"/>
          <w:w w:val="105"/>
          <w:sz w:val="22"/>
          <w:szCs w:val="22"/>
          <w:lang w:val="en-US"/>
        </w:rPr>
        <w:t xml:space="preserve">) on chromosome 21q22.3, which normally acts to permit ectopic expression in the thymus of numerous tissue restricted hormonal and other peripheral antigens, so that developing T-cells that acquire </w:t>
      </w:r>
      <w:r w:rsidR="00BE7874" w:rsidRPr="00416898">
        <w:rPr>
          <w:rFonts w:cs="Arial"/>
          <w:w w:val="105"/>
          <w:sz w:val="22"/>
          <w:szCs w:val="22"/>
          <w:lang w:val="en-US"/>
        </w:rPr>
        <w:t xml:space="preserve">high affinity </w:t>
      </w:r>
      <w:r w:rsidRPr="00416898">
        <w:rPr>
          <w:rFonts w:cs="Arial"/>
          <w:w w:val="105"/>
          <w:sz w:val="22"/>
          <w:szCs w:val="22"/>
          <w:lang w:val="en-US"/>
        </w:rPr>
        <w:t>receptors for th</w:t>
      </w:r>
      <w:r w:rsidR="000B54B0" w:rsidRPr="00416898">
        <w:rPr>
          <w:rFonts w:cs="Arial"/>
          <w:w w:val="105"/>
          <w:sz w:val="22"/>
          <w:szCs w:val="22"/>
          <w:lang w:val="en-US"/>
        </w:rPr>
        <w:t>e</w:t>
      </w:r>
      <w:r w:rsidRPr="00416898">
        <w:rPr>
          <w:rFonts w:cs="Arial"/>
          <w:w w:val="105"/>
          <w:sz w:val="22"/>
          <w:szCs w:val="22"/>
          <w:lang w:val="en-US"/>
        </w:rPr>
        <w:t>se antigens as the developing T-cell traverses the thymic epithelium are eliminated and do not enter the periphery to cause auto-immunity</w:t>
      </w:r>
      <w:r w:rsidR="000B54B0" w:rsidRPr="00416898">
        <w:rPr>
          <w:rFonts w:cs="Arial"/>
          <w:w w:val="105"/>
          <w:sz w:val="22"/>
          <w:szCs w:val="22"/>
          <w:lang w:val="en-US"/>
        </w:rPr>
        <w:t xml:space="preserve"> (</w:t>
      </w:r>
      <w:r w:rsidRPr="00416898">
        <w:rPr>
          <w:rFonts w:cs="Arial"/>
          <w:w w:val="105"/>
          <w:sz w:val="22"/>
          <w:szCs w:val="22"/>
          <w:lang w:val="en-US"/>
        </w:rPr>
        <w:t>2, 4, 6, 7</w:t>
      </w:r>
      <w:r w:rsidR="000B54B0" w:rsidRPr="00416898">
        <w:rPr>
          <w:rFonts w:cs="Arial"/>
          <w:w w:val="105"/>
          <w:sz w:val="22"/>
          <w:szCs w:val="22"/>
          <w:lang w:val="en-US"/>
        </w:rPr>
        <w:t>)</w:t>
      </w:r>
      <w:r w:rsidR="00EA1577" w:rsidRPr="00416898">
        <w:rPr>
          <w:rFonts w:cs="Arial"/>
          <w:w w:val="105"/>
          <w:sz w:val="22"/>
          <w:szCs w:val="22"/>
          <w:lang w:val="en-US"/>
        </w:rPr>
        <w:t>.</w:t>
      </w:r>
      <w:r w:rsidR="000B54B0" w:rsidRPr="00416898">
        <w:rPr>
          <w:rFonts w:cs="Arial"/>
          <w:w w:val="105"/>
          <w:sz w:val="22"/>
          <w:szCs w:val="22"/>
          <w:lang w:val="en-US"/>
        </w:rPr>
        <w:t xml:space="preserve"> </w:t>
      </w:r>
      <w:r w:rsidRPr="00416898">
        <w:rPr>
          <w:rFonts w:cs="Arial"/>
          <w:w w:val="105"/>
          <w:sz w:val="22"/>
          <w:szCs w:val="22"/>
          <w:lang w:val="en-US"/>
        </w:rPr>
        <w:t xml:space="preserve">For the classic case, this is an autosomal recessive inherited disorder; however, point mutations resulting in an autosomal dominant form have been reported, albeit this autosomal dominant form seems less severe than the classic </w:t>
      </w:r>
      <w:r w:rsidRPr="00416898">
        <w:rPr>
          <w:rFonts w:cs="Arial"/>
          <w:w w:val="105"/>
          <w:sz w:val="22"/>
          <w:szCs w:val="22"/>
          <w:lang w:val="en-US"/>
        </w:rPr>
        <w:lastRenderedPageBreak/>
        <w:t xml:space="preserve">autosomal recessive disease, suggesting that this genetic disorder may be more prevalent in various immune disorders hitherto not considered to be due to </w:t>
      </w:r>
      <w:r w:rsidRPr="00416898">
        <w:rPr>
          <w:rFonts w:cs="Arial"/>
          <w:i/>
          <w:w w:val="105"/>
          <w:sz w:val="22"/>
          <w:szCs w:val="22"/>
          <w:lang w:val="en-US"/>
        </w:rPr>
        <w:t xml:space="preserve">AIRE </w:t>
      </w:r>
      <w:r w:rsidRPr="00416898">
        <w:rPr>
          <w:rFonts w:cs="Arial"/>
          <w:w w:val="105"/>
          <w:sz w:val="22"/>
          <w:szCs w:val="22"/>
          <w:lang w:val="en-US"/>
        </w:rPr>
        <w:t xml:space="preserve">mutations </w:t>
      </w:r>
      <w:r w:rsidR="000B54B0" w:rsidRPr="00416898">
        <w:rPr>
          <w:rFonts w:cs="Arial"/>
          <w:w w:val="105"/>
          <w:sz w:val="22"/>
          <w:szCs w:val="22"/>
          <w:lang w:val="en-US"/>
        </w:rPr>
        <w:t>(</w:t>
      </w:r>
      <w:r w:rsidRPr="00416898">
        <w:rPr>
          <w:rFonts w:cs="Arial"/>
          <w:w w:val="105"/>
          <w:sz w:val="22"/>
          <w:szCs w:val="22"/>
          <w:lang w:val="en-US"/>
        </w:rPr>
        <w:t xml:space="preserve">2, 4, </w:t>
      </w:r>
      <w:r w:rsidR="005C2A2F" w:rsidRPr="00416898">
        <w:rPr>
          <w:rFonts w:cs="Arial"/>
          <w:w w:val="105"/>
          <w:sz w:val="22"/>
          <w:szCs w:val="22"/>
          <w:lang w:val="en-US"/>
        </w:rPr>
        <w:t>19</w:t>
      </w:r>
      <w:r w:rsidR="00BE7874" w:rsidRPr="00416898">
        <w:rPr>
          <w:rFonts w:cs="Arial"/>
          <w:w w:val="105"/>
          <w:sz w:val="22"/>
          <w:szCs w:val="22"/>
          <w:lang w:val="en-US"/>
        </w:rPr>
        <w:t>,</w:t>
      </w:r>
      <w:r w:rsidR="005C2A2F" w:rsidRPr="00416898">
        <w:rPr>
          <w:rFonts w:cs="Arial"/>
          <w:w w:val="105"/>
          <w:sz w:val="22"/>
          <w:szCs w:val="22"/>
          <w:lang w:val="en-US"/>
        </w:rPr>
        <w:t>11</w:t>
      </w:r>
      <w:r w:rsidR="000B54B0" w:rsidRPr="00416898">
        <w:rPr>
          <w:rFonts w:cs="Arial"/>
          <w:w w:val="105"/>
          <w:sz w:val="22"/>
          <w:szCs w:val="22"/>
          <w:lang w:val="en-US"/>
        </w:rPr>
        <w:t>)</w:t>
      </w:r>
      <w:r w:rsidR="00F636D9" w:rsidRPr="00416898">
        <w:rPr>
          <w:rFonts w:cs="Arial"/>
          <w:w w:val="105"/>
          <w:sz w:val="22"/>
          <w:szCs w:val="22"/>
          <w:lang w:val="en-US"/>
        </w:rPr>
        <w:t>.</w:t>
      </w:r>
    </w:p>
    <w:p w14:paraId="7B381950" w14:textId="77777777" w:rsidR="0096069F" w:rsidRPr="00416898" w:rsidRDefault="0096069F" w:rsidP="00C84278">
      <w:pPr>
        <w:pStyle w:val="BodyText"/>
        <w:spacing w:line="276" w:lineRule="auto"/>
        <w:rPr>
          <w:rFonts w:cs="Arial"/>
          <w:w w:val="105"/>
          <w:sz w:val="22"/>
          <w:szCs w:val="22"/>
          <w:lang w:val="en-US"/>
        </w:rPr>
      </w:pPr>
    </w:p>
    <w:p w14:paraId="32301543" w14:textId="77777777" w:rsidR="00915D4C" w:rsidRPr="00416898" w:rsidRDefault="00F636D9" w:rsidP="00C84278">
      <w:pPr>
        <w:pStyle w:val="BodyText"/>
        <w:spacing w:line="276" w:lineRule="auto"/>
        <w:rPr>
          <w:rFonts w:cs="Arial"/>
          <w:w w:val="105"/>
          <w:sz w:val="22"/>
          <w:szCs w:val="22"/>
          <w:lang w:val="en-US"/>
        </w:rPr>
      </w:pPr>
      <w:r w:rsidRPr="00416898">
        <w:rPr>
          <w:rFonts w:cs="Arial"/>
          <w:sz w:val="22"/>
          <w:szCs w:val="22"/>
          <w:lang w:val="en-US"/>
        </w:rPr>
        <w:t xml:space="preserve">The structure of the </w:t>
      </w:r>
      <w:r w:rsidRPr="00416898">
        <w:rPr>
          <w:rFonts w:cs="Arial"/>
          <w:i/>
          <w:iCs/>
          <w:sz w:val="22"/>
          <w:szCs w:val="22"/>
          <w:lang w:val="en-US"/>
        </w:rPr>
        <w:t xml:space="preserve">AIRE </w:t>
      </w:r>
      <w:r w:rsidRPr="00416898">
        <w:rPr>
          <w:rFonts w:cs="Arial"/>
          <w:sz w:val="22"/>
          <w:szCs w:val="22"/>
          <w:lang w:val="en-US"/>
        </w:rPr>
        <w:t>gene, the sites of autosomal dominant and autosomal recessive mutations,</w:t>
      </w:r>
      <w:r w:rsidR="00BE7874" w:rsidRPr="00416898">
        <w:rPr>
          <w:rFonts w:cs="Arial"/>
          <w:sz w:val="22"/>
          <w:szCs w:val="22"/>
          <w:lang w:val="en-US"/>
        </w:rPr>
        <w:t xml:space="preserve"> </w:t>
      </w:r>
      <w:r w:rsidRPr="00416898">
        <w:rPr>
          <w:rFonts w:cs="Arial"/>
          <w:sz w:val="22"/>
          <w:szCs w:val="22"/>
          <w:lang w:val="en-US"/>
        </w:rPr>
        <w:t>their influence on the expression and function of the gene and its consequences</w:t>
      </w:r>
      <w:r w:rsidR="00BE7874" w:rsidRPr="00416898">
        <w:rPr>
          <w:rFonts w:cs="Arial"/>
          <w:sz w:val="22"/>
          <w:szCs w:val="22"/>
          <w:lang w:val="en-US"/>
        </w:rPr>
        <w:t>,</w:t>
      </w:r>
      <w:r w:rsidRPr="00416898">
        <w:rPr>
          <w:rFonts w:cs="Arial"/>
          <w:sz w:val="22"/>
          <w:szCs w:val="22"/>
          <w:lang w:val="en-US"/>
        </w:rPr>
        <w:t xml:space="preserve"> are elegantly discussed in recent reviews (2,4,</w:t>
      </w:r>
      <w:r w:rsidR="005C2A2F" w:rsidRPr="00416898">
        <w:rPr>
          <w:rFonts w:cs="Arial"/>
          <w:sz w:val="22"/>
          <w:szCs w:val="22"/>
          <w:lang w:val="en-US"/>
        </w:rPr>
        <w:t>19</w:t>
      </w:r>
      <w:r w:rsidR="005224DC" w:rsidRPr="00416898">
        <w:rPr>
          <w:rFonts w:cs="Arial"/>
          <w:sz w:val="22"/>
          <w:szCs w:val="22"/>
          <w:lang w:val="en-US"/>
        </w:rPr>
        <w:t>,</w:t>
      </w:r>
      <w:r w:rsidR="00C4216B" w:rsidRPr="00416898">
        <w:rPr>
          <w:rFonts w:cs="Arial"/>
          <w:sz w:val="22"/>
          <w:szCs w:val="22"/>
          <w:lang w:val="en-US"/>
        </w:rPr>
        <w:t>1</w:t>
      </w:r>
      <w:r w:rsidR="005224DC" w:rsidRPr="00416898">
        <w:rPr>
          <w:rFonts w:cs="Arial"/>
          <w:sz w:val="22"/>
          <w:szCs w:val="22"/>
          <w:lang w:val="en-US"/>
        </w:rPr>
        <w:t>1</w:t>
      </w:r>
      <w:r w:rsidRPr="00416898">
        <w:rPr>
          <w:rFonts w:cs="Arial"/>
          <w:sz w:val="22"/>
          <w:szCs w:val="22"/>
          <w:lang w:val="en-US"/>
        </w:rPr>
        <w:t>).</w:t>
      </w:r>
      <w:r w:rsidR="00B83B8B" w:rsidRPr="00416898">
        <w:rPr>
          <w:rFonts w:cs="Arial"/>
          <w:sz w:val="22"/>
          <w:szCs w:val="22"/>
          <w:lang w:val="en-US"/>
        </w:rPr>
        <w:t xml:space="preserve"> </w:t>
      </w:r>
      <w:r w:rsidR="0096069F" w:rsidRPr="00416898">
        <w:rPr>
          <w:rFonts w:cs="Arial"/>
          <w:sz w:val="22"/>
          <w:szCs w:val="22"/>
          <w:lang w:val="en-US"/>
        </w:rPr>
        <w:t>T</w:t>
      </w:r>
      <w:r w:rsidR="00FA615B" w:rsidRPr="00416898">
        <w:rPr>
          <w:rFonts w:cs="Arial"/>
          <w:sz w:val="22"/>
          <w:szCs w:val="22"/>
          <w:lang w:val="en-US"/>
        </w:rPr>
        <w:t xml:space="preserve">o date, over 100 different </w:t>
      </w:r>
      <w:r w:rsidR="0096069F" w:rsidRPr="00416898">
        <w:rPr>
          <w:rFonts w:cs="Arial"/>
          <w:sz w:val="22"/>
          <w:szCs w:val="22"/>
          <w:lang w:val="en-US"/>
        </w:rPr>
        <w:t xml:space="preserve">disease-causing </w:t>
      </w:r>
      <w:r w:rsidR="00FA615B" w:rsidRPr="00416898">
        <w:rPr>
          <w:rFonts w:cs="Arial"/>
          <w:sz w:val="22"/>
          <w:szCs w:val="22"/>
          <w:lang w:val="en-US"/>
        </w:rPr>
        <w:t>mutations have been reported</w:t>
      </w:r>
      <w:r w:rsidR="00092158" w:rsidRPr="00416898">
        <w:rPr>
          <w:rFonts w:cs="Arial"/>
          <w:sz w:val="22"/>
          <w:szCs w:val="22"/>
          <w:lang w:val="en-US"/>
        </w:rPr>
        <w:t>.</w:t>
      </w:r>
      <w:r w:rsidR="0096069F" w:rsidRPr="00416898">
        <w:rPr>
          <w:rFonts w:cs="Arial"/>
          <w:sz w:val="22"/>
          <w:szCs w:val="22"/>
          <w:lang w:val="en-US"/>
        </w:rPr>
        <w:t xml:space="preserve"> </w:t>
      </w:r>
      <w:r w:rsidR="00FA615B" w:rsidRPr="00416898">
        <w:rPr>
          <w:rFonts w:cs="Arial"/>
          <w:sz w:val="22"/>
          <w:szCs w:val="22"/>
          <w:lang w:val="en-US"/>
        </w:rPr>
        <w:t>The most common is the so-called Finnish major mutation p.R257X</w:t>
      </w:r>
      <w:r w:rsidR="00092158" w:rsidRPr="00416898">
        <w:rPr>
          <w:rFonts w:cs="Arial"/>
          <w:sz w:val="22"/>
          <w:szCs w:val="22"/>
          <w:lang w:val="en-US"/>
        </w:rPr>
        <w:t>,</w:t>
      </w:r>
      <w:r w:rsidR="00FA615B" w:rsidRPr="00416898">
        <w:rPr>
          <w:rFonts w:cs="Arial"/>
          <w:sz w:val="22"/>
          <w:szCs w:val="22"/>
          <w:lang w:val="en-US"/>
        </w:rPr>
        <w:t xml:space="preserve"> located in the SAND-domain (named after a range of proteins in the protein family: </w:t>
      </w:r>
      <w:r w:rsidR="00FA615B" w:rsidRPr="00416898">
        <w:rPr>
          <w:rFonts w:cs="Arial"/>
          <w:b/>
          <w:bCs/>
          <w:sz w:val="22"/>
          <w:szCs w:val="22"/>
          <w:lang w:val="en-US"/>
        </w:rPr>
        <w:t>S</w:t>
      </w:r>
      <w:r w:rsidR="00FA615B" w:rsidRPr="00416898">
        <w:rPr>
          <w:rFonts w:cs="Arial"/>
          <w:sz w:val="22"/>
          <w:szCs w:val="22"/>
          <w:lang w:val="en-US"/>
        </w:rPr>
        <w:t xml:space="preserve">p100, </w:t>
      </w:r>
      <w:r w:rsidR="00FA615B" w:rsidRPr="00416898">
        <w:rPr>
          <w:rFonts w:cs="Arial"/>
          <w:b/>
          <w:bCs/>
          <w:sz w:val="22"/>
          <w:szCs w:val="22"/>
          <w:lang w:val="en-US"/>
        </w:rPr>
        <w:t>A</w:t>
      </w:r>
      <w:r w:rsidR="00FA615B" w:rsidRPr="00416898">
        <w:rPr>
          <w:rFonts w:cs="Arial"/>
          <w:sz w:val="22"/>
          <w:szCs w:val="22"/>
          <w:lang w:val="en-US"/>
        </w:rPr>
        <w:t xml:space="preserve">IRE-1, </w:t>
      </w:r>
      <w:r w:rsidR="00FA615B" w:rsidRPr="00416898">
        <w:rPr>
          <w:rFonts w:cs="Arial"/>
          <w:b/>
          <w:bCs/>
          <w:sz w:val="22"/>
          <w:szCs w:val="22"/>
          <w:lang w:val="en-US"/>
        </w:rPr>
        <w:t>N</w:t>
      </w:r>
      <w:r w:rsidR="00FA615B" w:rsidRPr="00416898">
        <w:rPr>
          <w:rFonts w:cs="Arial"/>
          <w:sz w:val="22"/>
          <w:szCs w:val="22"/>
          <w:lang w:val="en-US"/>
        </w:rPr>
        <w:t xml:space="preserve">ucP41/75, </w:t>
      </w:r>
      <w:r w:rsidR="00FA615B" w:rsidRPr="00416898">
        <w:rPr>
          <w:rFonts w:cs="Arial"/>
          <w:b/>
          <w:bCs/>
          <w:sz w:val="22"/>
          <w:szCs w:val="22"/>
          <w:lang w:val="en-US"/>
        </w:rPr>
        <w:t>D</w:t>
      </w:r>
      <w:r w:rsidR="00FA615B" w:rsidRPr="00416898">
        <w:rPr>
          <w:rFonts w:cs="Arial"/>
          <w:sz w:val="22"/>
          <w:szCs w:val="22"/>
          <w:lang w:val="en-US"/>
        </w:rPr>
        <w:t xml:space="preserve">EAF-1). The Finnish major mutation is especially prevalent in people in Finland, Russia, and Eastern Europe </w:t>
      </w:r>
      <w:r w:rsidR="000B54B0" w:rsidRPr="00416898">
        <w:rPr>
          <w:rFonts w:cs="Arial"/>
          <w:sz w:val="22"/>
          <w:szCs w:val="22"/>
          <w:lang w:val="en-US"/>
        </w:rPr>
        <w:t>(</w:t>
      </w:r>
      <w:r w:rsidR="0008365F" w:rsidRPr="00416898">
        <w:rPr>
          <w:rFonts w:cs="Arial"/>
          <w:sz w:val="22"/>
          <w:szCs w:val="22"/>
          <w:lang w:val="en-US"/>
        </w:rPr>
        <w:t>2</w:t>
      </w:r>
      <w:r w:rsidR="00C4216B" w:rsidRPr="00416898">
        <w:rPr>
          <w:rFonts w:cs="Arial"/>
          <w:sz w:val="22"/>
          <w:szCs w:val="22"/>
          <w:lang w:val="en-US"/>
        </w:rPr>
        <w:t>0</w:t>
      </w:r>
      <w:r w:rsidR="000B54B0" w:rsidRPr="00416898">
        <w:rPr>
          <w:rFonts w:cs="Arial"/>
          <w:sz w:val="22"/>
          <w:szCs w:val="22"/>
          <w:lang w:val="en-US"/>
        </w:rPr>
        <w:t>)</w:t>
      </w:r>
      <w:r w:rsidR="000E1384" w:rsidRPr="00416898">
        <w:rPr>
          <w:rFonts w:cs="Arial"/>
          <w:sz w:val="22"/>
          <w:szCs w:val="22"/>
          <w:lang w:val="en-US"/>
        </w:rPr>
        <w:t>.</w:t>
      </w:r>
      <w:r w:rsidR="0008365F" w:rsidRPr="00416898">
        <w:rPr>
          <w:rFonts w:cs="Arial"/>
          <w:sz w:val="22"/>
          <w:szCs w:val="22"/>
          <w:lang w:val="en-US"/>
        </w:rPr>
        <w:t xml:space="preserve"> </w:t>
      </w:r>
      <w:r w:rsidR="00FA615B" w:rsidRPr="00416898">
        <w:rPr>
          <w:rFonts w:cs="Arial"/>
          <w:sz w:val="22"/>
          <w:szCs w:val="22"/>
          <w:lang w:val="en-US"/>
        </w:rPr>
        <w:t xml:space="preserve">Another common mutation is the so-called 13 base pair deletion (p.C322del13) in the histone protein reading region called plant homeodomain 1 (PHD1), prevalent in persons in Norway, the British Isles, France, and </w:t>
      </w:r>
      <w:proofErr w:type="gramStart"/>
      <w:r w:rsidR="00FA615B" w:rsidRPr="00416898">
        <w:rPr>
          <w:rFonts w:cs="Arial"/>
          <w:sz w:val="22"/>
          <w:szCs w:val="22"/>
          <w:lang w:val="en-US"/>
        </w:rPr>
        <w:t>North-America</w:t>
      </w:r>
      <w:proofErr w:type="gramEnd"/>
      <w:r w:rsidR="00092158" w:rsidRPr="00416898">
        <w:rPr>
          <w:rFonts w:cs="Arial"/>
          <w:sz w:val="22"/>
          <w:szCs w:val="22"/>
          <w:lang w:val="en-US"/>
        </w:rPr>
        <w:t xml:space="preserve"> </w:t>
      </w:r>
      <w:r w:rsidR="000B54B0" w:rsidRPr="00416898">
        <w:rPr>
          <w:rFonts w:cs="Arial"/>
          <w:sz w:val="22"/>
          <w:szCs w:val="22"/>
          <w:lang w:val="en-US"/>
        </w:rPr>
        <w:t>(</w:t>
      </w:r>
      <w:r w:rsidR="0008365F" w:rsidRPr="00416898">
        <w:rPr>
          <w:rFonts w:cs="Arial"/>
          <w:sz w:val="22"/>
          <w:szCs w:val="22"/>
          <w:lang w:val="en-US"/>
        </w:rPr>
        <w:t>10, 2</w:t>
      </w:r>
      <w:r w:rsidR="00C4216B" w:rsidRPr="00416898">
        <w:rPr>
          <w:rFonts w:cs="Arial"/>
          <w:sz w:val="22"/>
          <w:szCs w:val="22"/>
          <w:lang w:val="en-US"/>
        </w:rPr>
        <w:t>1</w:t>
      </w:r>
      <w:r w:rsidR="000B54B0" w:rsidRPr="00416898">
        <w:rPr>
          <w:rFonts w:eastAsia="Times New Roman" w:cs="Arial"/>
          <w:sz w:val="22"/>
          <w:szCs w:val="22"/>
          <w:lang w:val="en-US"/>
        </w:rPr>
        <w:t>)</w:t>
      </w:r>
      <w:r w:rsidR="000E1384" w:rsidRPr="00416898">
        <w:rPr>
          <w:rFonts w:eastAsia="Times New Roman" w:cs="Arial"/>
          <w:sz w:val="22"/>
          <w:szCs w:val="22"/>
          <w:lang w:val="en-US"/>
        </w:rPr>
        <w:t>.</w:t>
      </w:r>
      <w:r w:rsidR="00D10AE8" w:rsidRPr="00416898">
        <w:rPr>
          <w:rFonts w:eastAsia="Times New Roman" w:cs="Arial"/>
          <w:sz w:val="22"/>
          <w:szCs w:val="22"/>
          <w:lang w:val="en-US"/>
        </w:rPr>
        <w:t xml:space="preserve"> </w:t>
      </w:r>
      <w:r w:rsidR="00FA615B" w:rsidRPr="00416898">
        <w:rPr>
          <w:rFonts w:cs="Arial"/>
          <w:sz w:val="22"/>
          <w:szCs w:val="22"/>
          <w:lang w:val="en-US"/>
        </w:rPr>
        <w:t xml:space="preserve">Additionally, patients with unique dominant negative mutations in AIRE with autosomal dominant inheritance have recently been identified. These dominant negative mutations are associated with milder disease, often with accompanying pernicious anemia, vitiligo, autoimmune thyroid disease, and </w:t>
      </w:r>
      <w:r w:rsidR="000956F7" w:rsidRPr="00416898">
        <w:rPr>
          <w:rFonts w:cs="Arial"/>
          <w:sz w:val="22"/>
          <w:szCs w:val="22"/>
          <w:lang w:val="en-US"/>
        </w:rPr>
        <w:t>T1DM</w:t>
      </w:r>
      <w:r w:rsidR="00FA615B" w:rsidRPr="00416898">
        <w:rPr>
          <w:rFonts w:cs="Arial"/>
          <w:sz w:val="22"/>
          <w:szCs w:val="22"/>
          <w:lang w:val="en-US"/>
        </w:rPr>
        <w:t>,</w:t>
      </w:r>
      <w:r w:rsidR="003C0263" w:rsidRPr="00416898">
        <w:rPr>
          <w:rFonts w:cs="Arial"/>
          <w:sz w:val="22"/>
          <w:szCs w:val="22"/>
          <w:lang w:val="en-US"/>
        </w:rPr>
        <w:t xml:space="preserve"> </w:t>
      </w:r>
      <w:r w:rsidR="00FA615B" w:rsidRPr="00416898">
        <w:rPr>
          <w:rFonts w:cs="Arial"/>
          <w:sz w:val="22"/>
          <w:szCs w:val="22"/>
          <w:lang w:val="en-US"/>
        </w:rPr>
        <w:t>and can be confused with the much more common condition, APS-2, which has a complex inheritance. The dominant gene variants are located both in the PHD1 and SAND domain</w:t>
      </w:r>
      <w:r w:rsidR="00092158" w:rsidRPr="00416898">
        <w:rPr>
          <w:rFonts w:cs="Arial"/>
          <w:sz w:val="22"/>
          <w:szCs w:val="22"/>
          <w:lang w:val="en-US"/>
        </w:rPr>
        <w:t xml:space="preserve"> </w:t>
      </w:r>
      <w:r w:rsidR="000B54B0" w:rsidRPr="00416898">
        <w:rPr>
          <w:rFonts w:cs="Arial"/>
          <w:sz w:val="22"/>
          <w:szCs w:val="22"/>
          <w:shd w:val="clear" w:color="auto" w:fill="FFFFFF"/>
          <w:lang w:val="en-US"/>
        </w:rPr>
        <w:t>(</w:t>
      </w:r>
      <w:r w:rsidR="0008365F" w:rsidRPr="00416898">
        <w:rPr>
          <w:rFonts w:cs="Arial"/>
          <w:sz w:val="22"/>
          <w:szCs w:val="22"/>
          <w:shd w:val="clear" w:color="auto" w:fill="FFFFFF"/>
          <w:lang w:val="en-US"/>
        </w:rPr>
        <w:t>2</w:t>
      </w:r>
      <w:r w:rsidR="00C4216B" w:rsidRPr="00416898">
        <w:rPr>
          <w:rFonts w:cs="Arial"/>
          <w:sz w:val="22"/>
          <w:szCs w:val="22"/>
          <w:shd w:val="clear" w:color="auto" w:fill="FFFFFF"/>
          <w:lang w:val="en-US"/>
        </w:rPr>
        <w:t>2</w:t>
      </w:r>
      <w:r w:rsidR="0008365F" w:rsidRPr="00416898">
        <w:rPr>
          <w:rFonts w:cs="Arial"/>
          <w:sz w:val="22"/>
          <w:szCs w:val="22"/>
          <w:shd w:val="clear" w:color="auto" w:fill="FFFFFF"/>
          <w:lang w:val="en-US"/>
        </w:rPr>
        <w:t>, 2</w:t>
      </w:r>
      <w:r w:rsidR="00C4216B" w:rsidRPr="00416898">
        <w:rPr>
          <w:rFonts w:cs="Arial"/>
          <w:sz w:val="22"/>
          <w:szCs w:val="22"/>
          <w:shd w:val="clear" w:color="auto" w:fill="FFFFFF"/>
          <w:lang w:val="en-US"/>
        </w:rPr>
        <w:t>3</w:t>
      </w:r>
      <w:r w:rsidR="000B54B0" w:rsidRPr="00416898">
        <w:rPr>
          <w:rFonts w:cs="Arial"/>
          <w:sz w:val="22"/>
          <w:szCs w:val="22"/>
          <w:shd w:val="clear" w:color="auto" w:fill="FFFFFF"/>
          <w:lang w:val="en-US"/>
        </w:rPr>
        <w:t>)</w:t>
      </w:r>
      <w:r w:rsidR="000E1384" w:rsidRPr="00416898">
        <w:rPr>
          <w:rFonts w:cs="Arial"/>
          <w:sz w:val="22"/>
          <w:szCs w:val="22"/>
          <w:shd w:val="clear" w:color="auto" w:fill="FFFFFF"/>
          <w:lang w:val="en-US"/>
        </w:rPr>
        <w:t>.</w:t>
      </w:r>
      <w:r w:rsidR="00D10AE8" w:rsidRPr="00416898">
        <w:rPr>
          <w:rFonts w:cs="Arial"/>
          <w:sz w:val="22"/>
          <w:szCs w:val="22"/>
          <w:lang w:val="en-US"/>
        </w:rPr>
        <w:t xml:space="preserve"> </w:t>
      </w:r>
      <w:r w:rsidR="00FA615B" w:rsidRPr="00416898">
        <w:rPr>
          <w:rFonts w:cs="Arial"/>
          <w:sz w:val="22"/>
          <w:szCs w:val="22"/>
          <w:lang w:val="en-US"/>
        </w:rPr>
        <w:t xml:space="preserve">Recent findings indicate that </w:t>
      </w:r>
      <w:r w:rsidR="00FA615B" w:rsidRPr="00416898">
        <w:rPr>
          <w:rFonts w:cs="Arial"/>
          <w:i/>
          <w:iCs/>
          <w:sz w:val="22"/>
          <w:szCs w:val="22"/>
          <w:lang w:val="en-US"/>
        </w:rPr>
        <w:t>A</w:t>
      </w:r>
      <w:r w:rsidR="00BE7874" w:rsidRPr="00416898">
        <w:rPr>
          <w:rFonts w:cs="Arial"/>
          <w:i/>
          <w:iCs/>
          <w:sz w:val="22"/>
          <w:szCs w:val="22"/>
          <w:lang w:val="en-US"/>
        </w:rPr>
        <w:t>IRE</w:t>
      </w:r>
      <w:r w:rsidR="00FA615B" w:rsidRPr="00416898">
        <w:rPr>
          <w:rFonts w:cs="Arial"/>
          <w:sz w:val="22"/>
          <w:szCs w:val="22"/>
          <w:lang w:val="en-US"/>
        </w:rPr>
        <w:t xml:space="preserve"> controls immune tolerance by an additional mechanism—the induction of a unique population of FOXP3-positive T regulatory cells (Tregs) in the thymus that have the ability to suppress autoreactive cells</w:t>
      </w:r>
      <w:r w:rsidR="00146B2E" w:rsidRPr="00416898">
        <w:rPr>
          <w:rFonts w:cs="Arial"/>
          <w:sz w:val="22"/>
          <w:szCs w:val="22"/>
          <w:lang w:val="en-US"/>
        </w:rPr>
        <w:t xml:space="preserve"> </w:t>
      </w:r>
      <w:r w:rsidR="000B54B0" w:rsidRPr="00416898">
        <w:rPr>
          <w:rFonts w:cs="Arial"/>
          <w:sz w:val="22"/>
          <w:szCs w:val="22"/>
          <w:lang w:val="en-US"/>
        </w:rPr>
        <w:t>(</w:t>
      </w:r>
      <w:r w:rsidR="00146B2E" w:rsidRPr="00416898">
        <w:rPr>
          <w:rFonts w:cs="Arial"/>
          <w:sz w:val="22"/>
          <w:szCs w:val="22"/>
          <w:lang w:val="en-US"/>
        </w:rPr>
        <w:t>2</w:t>
      </w:r>
      <w:r w:rsidR="00C4216B" w:rsidRPr="00416898">
        <w:rPr>
          <w:rFonts w:cs="Arial"/>
          <w:sz w:val="22"/>
          <w:szCs w:val="22"/>
          <w:lang w:val="en-US"/>
        </w:rPr>
        <w:t>4</w:t>
      </w:r>
      <w:r w:rsidR="00146B2E" w:rsidRPr="00416898">
        <w:rPr>
          <w:rFonts w:cs="Arial"/>
          <w:sz w:val="22"/>
          <w:szCs w:val="22"/>
          <w:lang w:val="en-US"/>
        </w:rPr>
        <w:t>, 2</w:t>
      </w:r>
      <w:r w:rsidR="00C4216B" w:rsidRPr="00416898">
        <w:rPr>
          <w:rFonts w:cs="Arial"/>
          <w:sz w:val="22"/>
          <w:szCs w:val="22"/>
          <w:lang w:val="en-US"/>
        </w:rPr>
        <w:t>5</w:t>
      </w:r>
      <w:r w:rsidR="00BE7874" w:rsidRPr="00416898">
        <w:rPr>
          <w:rFonts w:cs="Arial"/>
          <w:sz w:val="22"/>
          <w:szCs w:val="22"/>
          <w:lang w:val="en-US"/>
        </w:rPr>
        <w:t>,</w:t>
      </w:r>
      <w:r w:rsidR="00C4216B" w:rsidRPr="00416898">
        <w:rPr>
          <w:rFonts w:cs="Arial"/>
          <w:sz w:val="22"/>
          <w:szCs w:val="22"/>
          <w:lang w:val="en-US"/>
        </w:rPr>
        <w:t xml:space="preserve"> 11</w:t>
      </w:r>
      <w:r w:rsidR="000B54B0" w:rsidRPr="00416898">
        <w:rPr>
          <w:rFonts w:cs="Arial"/>
          <w:sz w:val="22"/>
          <w:szCs w:val="22"/>
          <w:lang w:val="en-US"/>
        </w:rPr>
        <w:t>)</w:t>
      </w:r>
      <w:r w:rsidR="000E1384" w:rsidRPr="00416898">
        <w:rPr>
          <w:rFonts w:cs="Arial"/>
          <w:sz w:val="22"/>
          <w:szCs w:val="22"/>
          <w:lang w:val="en-US"/>
        </w:rPr>
        <w:t>.</w:t>
      </w:r>
      <w:r w:rsidR="00146B2E" w:rsidRPr="00416898">
        <w:rPr>
          <w:rFonts w:cs="Arial"/>
          <w:sz w:val="22"/>
          <w:szCs w:val="22"/>
          <w:lang w:val="en-US"/>
        </w:rPr>
        <w:t xml:space="preserve"> </w:t>
      </w:r>
      <w:r w:rsidR="00FA615B" w:rsidRPr="00416898">
        <w:rPr>
          <w:rFonts w:cs="Arial"/>
          <w:sz w:val="22"/>
          <w:szCs w:val="22"/>
          <w:lang w:val="en-US"/>
        </w:rPr>
        <w:t>Thus, not only do more autoreactive cells escape deletion, but those Tregs normally in place to limit their activities are either not developed or are dysfunctional.</w:t>
      </w:r>
    </w:p>
    <w:p w14:paraId="79AC8746" w14:textId="77777777" w:rsidR="00915D4C" w:rsidRPr="00416898" w:rsidRDefault="00915D4C" w:rsidP="00C84278">
      <w:pPr>
        <w:pStyle w:val="BodyText"/>
        <w:spacing w:line="276" w:lineRule="auto"/>
        <w:rPr>
          <w:rFonts w:cs="Arial"/>
          <w:w w:val="105"/>
          <w:sz w:val="22"/>
          <w:szCs w:val="22"/>
          <w:lang w:val="en-US"/>
        </w:rPr>
      </w:pPr>
    </w:p>
    <w:p w14:paraId="6ACE83C2" w14:textId="77777777" w:rsidR="000956F7" w:rsidRPr="00416898" w:rsidRDefault="003C420F" w:rsidP="00C84278">
      <w:pPr>
        <w:pStyle w:val="BodyText"/>
        <w:spacing w:line="276" w:lineRule="auto"/>
        <w:rPr>
          <w:rFonts w:cs="Arial"/>
          <w:sz w:val="22"/>
          <w:szCs w:val="22"/>
          <w:lang w:val="en-US"/>
        </w:rPr>
      </w:pPr>
      <w:r w:rsidRPr="00416898">
        <w:rPr>
          <w:rFonts w:cs="Arial"/>
          <w:w w:val="105"/>
          <w:sz w:val="22"/>
          <w:szCs w:val="22"/>
          <w:lang w:val="en-US"/>
        </w:rPr>
        <w:t xml:space="preserve">The peri-post pubertal period is a common time for presentation of some manifestations, although initial presentation may occur as early as the first year of life </w:t>
      </w:r>
      <w:r w:rsidR="000B54B0" w:rsidRPr="00416898">
        <w:rPr>
          <w:rFonts w:cs="Arial"/>
          <w:w w:val="105"/>
          <w:sz w:val="22"/>
          <w:szCs w:val="22"/>
          <w:lang w:val="en-US"/>
        </w:rPr>
        <w:t>(</w:t>
      </w:r>
      <w:r w:rsidRPr="00416898">
        <w:rPr>
          <w:rFonts w:cs="Arial"/>
          <w:w w:val="105"/>
          <w:sz w:val="22"/>
          <w:szCs w:val="22"/>
          <w:lang w:val="en-US"/>
        </w:rPr>
        <w:t>3</w:t>
      </w:r>
      <w:r w:rsidR="000B54B0" w:rsidRPr="00416898">
        <w:rPr>
          <w:rFonts w:cs="Arial"/>
          <w:w w:val="105"/>
          <w:sz w:val="22"/>
          <w:szCs w:val="22"/>
          <w:lang w:val="en-US"/>
        </w:rPr>
        <w:t>)</w:t>
      </w:r>
      <w:r w:rsidR="000E1384" w:rsidRPr="00416898">
        <w:rPr>
          <w:rFonts w:cs="Arial"/>
          <w:w w:val="105"/>
          <w:sz w:val="22"/>
          <w:szCs w:val="22"/>
          <w:lang w:val="en-US"/>
        </w:rPr>
        <w:t>.</w:t>
      </w:r>
      <w:r w:rsidRPr="00416898">
        <w:rPr>
          <w:rFonts w:cs="Arial"/>
          <w:w w:val="105"/>
          <w:sz w:val="22"/>
          <w:szCs w:val="22"/>
          <w:lang w:val="en-US"/>
        </w:rPr>
        <w:t xml:space="preserve"> The classic disorder is rare, and altogether it is estimated that there were only several hundred cases worldwide.</w:t>
      </w:r>
      <w:r w:rsidR="00915D4C" w:rsidRPr="00416898">
        <w:rPr>
          <w:rFonts w:cs="Arial"/>
          <w:w w:val="105"/>
          <w:sz w:val="22"/>
          <w:szCs w:val="22"/>
          <w:lang w:val="en-US"/>
        </w:rPr>
        <w:t xml:space="preserve"> </w:t>
      </w:r>
      <w:r w:rsidRPr="00416898">
        <w:rPr>
          <w:rFonts w:cs="Arial"/>
          <w:w w:val="105"/>
          <w:sz w:val="22"/>
          <w:szCs w:val="22"/>
          <w:lang w:val="en-US"/>
        </w:rPr>
        <w:t>However, the syndrome is more common in certain populations; 1: 25,000 in Finns, 1:14</w:t>
      </w:r>
      <w:r w:rsidR="00BE7874" w:rsidRPr="00416898">
        <w:rPr>
          <w:rFonts w:cs="Arial"/>
          <w:w w:val="105"/>
          <w:sz w:val="22"/>
          <w:szCs w:val="22"/>
          <w:lang w:val="en-US"/>
        </w:rPr>
        <w:t>,</w:t>
      </w:r>
      <w:r w:rsidRPr="00416898">
        <w:rPr>
          <w:rFonts w:cs="Arial"/>
          <w:w w:val="105"/>
          <w:sz w:val="22"/>
          <w:szCs w:val="22"/>
          <w:lang w:val="en-US"/>
        </w:rPr>
        <w:t>500 Sardinians, 1:9000 Iranian Jews, all examples of past “isolated” populations that demonstrate a founder effect. Surprisingly, however, diabetes mellitus is uncommon and generally appears as a</w:t>
      </w:r>
      <w:r w:rsidRPr="00416898">
        <w:rPr>
          <w:rFonts w:cs="Arial"/>
          <w:spacing w:val="-4"/>
          <w:w w:val="105"/>
          <w:sz w:val="22"/>
          <w:szCs w:val="22"/>
          <w:lang w:val="en-US"/>
        </w:rPr>
        <w:t xml:space="preserve"> </w:t>
      </w:r>
      <w:r w:rsidRPr="00416898">
        <w:rPr>
          <w:rFonts w:cs="Arial"/>
          <w:w w:val="105"/>
          <w:sz w:val="22"/>
          <w:szCs w:val="22"/>
          <w:lang w:val="en-US"/>
        </w:rPr>
        <w:t>late</w:t>
      </w:r>
      <w:r w:rsidRPr="00416898">
        <w:rPr>
          <w:rFonts w:cs="Arial"/>
          <w:spacing w:val="-4"/>
          <w:w w:val="105"/>
          <w:sz w:val="22"/>
          <w:szCs w:val="22"/>
          <w:lang w:val="en-US"/>
        </w:rPr>
        <w:t xml:space="preserve"> </w:t>
      </w:r>
      <w:r w:rsidRPr="00416898">
        <w:rPr>
          <w:rFonts w:cs="Arial"/>
          <w:w w:val="105"/>
          <w:sz w:val="22"/>
          <w:szCs w:val="22"/>
          <w:lang w:val="en-US"/>
        </w:rPr>
        <w:t>manifestation</w:t>
      </w:r>
      <w:r w:rsidRPr="00416898">
        <w:rPr>
          <w:rFonts w:cs="Arial"/>
          <w:spacing w:val="-2"/>
          <w:w w:val="105"/>
          <w:sz w:val="22"/>
          <w:szCs w:val="22"/>
          <w:lang w:val="en-US"/>
        </w:rPr>
        <w:t xml:space="preserve"> </w:t>
      </w:r>
      <w:r w:rsidRPr="00416898">
        <w:rPr>
          <w:rFonts w:cs="Arial"/>
          <w:w w:val="105"/>
          <w:sz w:val="22"/>
          <w:szCs w:val="22"/>
          <w:lang w:val="en-US"/>
        </w:rPr>
        <w:t>in</w:t>
      </w:r>
      <w:r w:rsidRPr="00416898">
        <w:rPr>
          <w:rFonts w:cs="Arial"/>
          <w:spacing w:val="-3"/>
          <w:w w:val="105"/>
          <w:sz w:val="22"/>
          <w:szCs w:val="22"/>
          <w:lang w:val="en-US"/>
        </w:rPr>
        <w:t xml:space="preserve"> </w:t>
      </w:r>
      <w:r w:rsidRPr="00416898">
        <w:rPr>
          <w:rFonts w:cs="Arial"/>
          <w:w w:val="105"/>
          <w:sz w:val="22"/>
          <w:szCs w:val="22"/>
          <w:lang w:val="en-US"/>
        </w:rPr>
        <w:t>the</w:t>
      </w:r>
      <w:r w:rsidRPr="00416898">
        <w:rPr>
          <w:rFonts w:cs="Arial"/>
          <w:spacing w:val="-2"/>
          <w:w w:val="105"/>
          <w:sz w:val="22"/>
          <w:szCs w:val="22"/>
          <w:lang w:val="en-US"/>
        </w:rPr>
        <w:t xml:space="preserve"> </w:t>
      </w:r>
      <w:r w:rsidRPr="00416898">
        <w:rPr>
          <w:rFonts w:cs="Arial"/>
          <w:w w:val="105"/>
          <w:sz w:val="22"/>
          <w:szCs w:val="22"/>
          <w:lang w:val="en-US"/>
        </w:rPr>
        <w:t>third</w:t>
      </w:r>
      <w:r w:rsidRPr="00416898">
        <w:rPr>
          <w:rFonts w:cs="Arial"/>
          <w:spacing w:val="-3"/>
          <w:w w:val="105"/>
          <w:sz w:val="22"/>
          <w:szCs w:val="22"/>
          <w:lang w:val="en-US"/>
        </w:rPr>
        <w:t xml:space="preserve"> </w:t>
      </w:r>
      <w:r w:rsidRPr="00416898">
        <w:rPr>
          <w:rFonts w:cs="Arial"/>
          <w:w w:val="105"/>
          <w:sz w:val="22"/>
          <w:szCs w:val="22"/>
          <w:lang w:val="en-US"/>
        </w:rPr>
        <w:t>and</w:t>
      </w:r>
      <w:r w:rsidRPr="00416898">
        <w:rPr>
          <w:rFonts w:cs="Arial"/>
          <w:spacing w:val="-3"/>
          <w:w w:val="105"/>
          <w:sz w:val="22"/>
          <w:szCs w:val="22"/>
          <w:lang w:val="en-US"/>
        </w:rPr>
        <w:t xml:space="preserve"> </w:t>
      </w:r>
      <w:r w:rsidRPr="00416898">
        <w:rPr>
          <w:rFonts w:cs="Arial"/>
          <w:w w:val="105"/>
          <w:sz w:val="22"/>
          <w:szCs w:val="22"/>
          <w:lang w:val="en-US"/>
        </w:rPr>
        <w:t>fourth</w:t>
      </w:r>
      <w:r w:rsidRPr="00416898">
        <w:rPr>
          <w:rFonts w:cs="Arial"/>
          <w:spacing w:val="-2"/>
          <w:w w:val="105"/>
          <w:sz w:val="22"/>
          <w:szCs w:val="22"/>
          <w:lang w:val="en-US"/>
        </w:rPr>
        <w:t xml:space="preserve"> </w:t>
      </w:r>
      <w:r w:rsidRPr="00416898">
        <w:rPr>
          <w:rFonts w:cs="Arial"/>
          <w:w w:val="105"/>
          <w:sz w:val="22"/>
          <w:szCs w:val="22"/>
          <w:lang w:val="en-US"/>
        </w:rPr>
        <w:t>decades</w:t>
      </w:r>
      <w:r w:rsidRPr="00416898">
        <w:rPr>
          <w:rFonts w:cs="Arial"/>
          <w:spacing w:val="-4"/>
          <w:w w:val="105"/>
          <w:sz w:val="22"/>
          <w:szCs w:val="22"/>
          <w:lang w:val="en-US"/>
        </w:rPr>
        <w:t xml:space="preserve"> </w:t>
      </w:r>
      <w:r w:rsidRPr="00416898">
        <w:rPr>
          <w:rFonts w:cs="Arial"/>
          <w:w w:val="105"/>
          <w:sz w:val="22"/>
          <w:szCs w:val="22"/>
          <w:lang w:val="en-US"/>
        </w:rPr>
        <w:t>of</w:t>
      </w:r>
      <w:r w:rsidRPr="00416898">
        <w:rPr>
          <w:rFonts w:cs="Arial"/>
          <w:spacing w:val="-3"/>
          <w:w w:val="105"/>
          <w:sz w:val="22"/>
          <w:szCs w:val="22"/>
          <w:lang w:val="en-US"/>
        </w:rPr>
        <w:t xml:space="preserve"> </w:t>
      </w:r>
      <w:r w:rsidRPr="00416898">
        <w:rPr>
          <w:rFonts w:cs="Arial"/>
          <w:w w:val="105"/>
          <w:sz w:val="22"/>
          <w:szCs w:val="22"/>
          <w:lang w:val="en-US"/>
        </w:rPr>
        <w:t>life</w:t>
      </w:r>
      <w:r w:rsidRPr="00416898">
        <w:rPr>
          <w:rFonts w:cs="Arial"/>
          <w:spacing w:val="-5"/>
          <w:w w:val="105"/>
          <w:sz w:val="22"/>
          <w:szCs w:val="22"/>
          <w:lang w:val="en-US"/>
        </w:rPr>
        <w:t xml:space="preserve"> </w:t>
      </w:r>
      <w:r w:rsidR="000B54B0" w:rsidRPr="00416898">
        <w:rPr>
          <w:rFonts w:cs="Arial"/>
          <w:w w:val="105"/>
          <w:sz w:val="22"/>
          <w:szCs w:val="22"/>
          <w:lang w:val="en-US"/>
        </w:rPr>
        <w:t>(</w:t>
      </w:r>
      <w:r w:rsidRPr="00416898">
        <w:rPr>
          <w:rFonts w:cs="Arial"/>
          <w:w w:val="105"/>
          <w:sz w:val="22"/>
          <w:szCs w:val="22"/>
          <w:lang w:val="en-US"/>
        </w:rPr>
        <w:t>1-4</w:t>
      </w:r>
      <w:r w:rsidR="000B54B0" w:rsidRPr="00416898">
        <w:rPr>
          <w:rFonts w:cs="Arial"/>
          <w:spacing w:val="-4"/>
          <w:w w:val="105"/>
          <w:sz w:val="22"/>
          <w:szCs w:val="22"/>
          <w:lang w:val="en-US"/>
        </w:rPr>
        <w:t>)</w:t>
      </w:r>
      <w:r w:rsidR="000E1384" w:rsidRPr="00416898">
        <w:rPr>
          <w:rFonts w:cs="Arial"/>
          <w:spacing w:val="-4"/>
          <w:w w:val="105"/>
          <w:sz w:val="22"/>
          <w:szCs w:val="22"/>
          <w:lang w:val="en-US"/>
        </w:rPr>
        <w:t>.</w:t>
      </w:r>
      <w:r w:rsidR="00092158" w:rsidRPr="00416898">
        <w:rPr>
          <w:rFonts w:cs="Arial"/>
          <w:spacing w:val="-4"/>
          <w:w w:val="105"/>
          <w:sz w:val="22"/>
          <w:szCs w:val="22"/>
          <w:lang w:val="en-US"/>
        </w:rPr>
        <w:t xml:space="preserve"> </w:t>
      </w:r>
      <w:r w:rsidRPr="00416898">
        <w:rPr>
          <w:rFonts w:cs="Arial"/>
          <w:w w:val="105"/>
          <w:sz w:val="22"/>
          <w:szCs w:val="22"/>
          <w:lang w:val="en-US"/>
        </w:rPr>
        <w:t>Unusual</w:t>
      </w:r>
      <w:r w:rsidRPr="00416898">
        <w:rPr>
          <w:rFonts w:cs="Arial"/>
          <w:spacing w:val="-5"/>
          <w:w w:val="105"/>
          <w:sz w:val="22"/>
          <w:szCs w:val="22"/>
          <w:lang w:val="en-US"/>
        </w:rPr>
        <w:t xml:space="preserve"> </w:t>
      </w:r>
      <w:r w:rsidRPr="00416898">
        <w:rPr>
          <w:rFonts w:cs="Arial"/>
          <w:w w:val="105"/>
          <w:sz w:val="22"/>
          <w:szCs w:val="22"/>
          <w:lang w:val="en-US"/>
        </w:rPr>
        <w:t>features</w:t>
      </w:r>
      <w:r w:rsidRPr="00416898">
        <w:rPr>
          <w:rFonts w:cs="Arial"/>
          <w:spacing w:val="-3"/>
          <w:w w:val="105"/>
          <w:sz w:val="22"/>
          <w:szCs w:val="22"/>
          <w:lang w:val="en-US"/>
        </w:rPr>
        <w:t xml:space="preserve"> </w:t>
      </w:r>
      <w:r w:rsidRPr="00416898">
        <w:rPr>
          <w:rFonts w:cs="Arial"/>
          <w:w w:val="105"/>
          <w:sz w:val="22"/>
          <w:szCs w:val="22"/>
          <w:lang w:val="en-US"/>
        </w:rPr>
        <w:t>include</w:t>
      </w:r>
      <w:r w:rsidRPr="00416898">
        <w:rPr>
          <w:rFonts w:cs="Arial"/>
          <w:spacing w:val="-3"/>
          <w:w w:val="105"/>
          <w:sz w:val="22"/>
          <w:szCs w:val="22"/>
          <w:lang w:val="en-US"/>
        </w:rPr>
        <w:t xml:space="preserve"> </w:t>
      </w:r>
      <w:r w:rsidRPr="00416898">
        <w:rPr>
          <w:rFonts w:cs="Arial"/>
          <w:w w:val="105"/>
          <w:sz w:val="22"/>
          <w:szCs w:val="22"/>
          <w:lang w:val="en-US"/>
        </w:rPr>
        <w:t>chronic kidney disease, apparent mineralocorticoid excess, asplenia</w:t>
      </w:r>
      <w:r w:rsidR="000E1384" w:rsidRPr="00416898">
        <w:rPr>
          <w:rFonts w:cs="Arial"/>
          <w:w w:val="105"/>
          <w:sz w:val="22"/>
          <w:szCs w:val="22"/>
          <w:lang w:val="en-US"/>
        </w:rPr>
        <w:t>,</w:t>
      </w:r>
      <w:r w:rsidRPr="00416898">
        <w:rPr>
          <w:rFonts w:cs="Arial"/>
          <w:w w:val="105"/>
          <w:sz w:val="22"/>
          <w:szCs w:val="22"/>
          <w:lang w:val="en-US"/>
        </w:rPr>
        <w:t xml:space="preserve"> and oral or esophageal malignancy. The frequency, patterns and long-term outcomes of this syndrome vary in different populations that harbor different mutations; recent reviews of the patterns and outcomes</w:t>
      </w:r>
      <w:r w:rsidRPr="00416898">
        <w:rPr>
          <w:rFonts w:cs="Arial"/>
          <w:spacing w:val="-28"/>
          <w:w w:val="105"/>
          <w:sz w:val="22"/>
          <w:szCs w:val="22"/>
          <w:lang w:val="en-US"/>
        </w:rPr>
        <w:t xml:space="preserve"> </w:t>
      </w:r>
      <w:r w:rsidRPr="00416898">
        <w:rPr>
          <w:rFonts w:cs="Arial"/>
          <w:w w:val="105"/>
          <w:sz w:val="22"/>
          <w:szCs w:val="22"/>
          <w:lang w:val="en-US"/>
        </w:rPr>
        <w:t>in</w:t>
      </w:r>
      <w:r w:rsidR="004F0193" w:rsidRPr="00416898">
        <w:rPr>
          <w:rFonts w:cs="Arial"/>
          <w:w w:val="105"/>
          <w:sz w:val="22"/>
          <w:szCs w:val="22"/>
          <w:lang w:val="en-US"/>
        </w:rPr>
        <w:t xml:space="preserve"> cohorts from Sardinia</w:t>
      </w:r>
      <w:r w:rsidR="00092158" w:rsidRPr="00416898">
        <w:rPr>
          <w:rFonts w:cs="Arial"/>
          <w:w w:val="105"/>
          <w:sz w:val="22"/>
          <w:szCs w:val="22"/>
          <w:lang w:val="en-US"/>
        </w:rPr>
        <w:t xml:space="preserve"> </w:t>
      </w:r>
      <w:r w:rsidR="000B54B0" w:rsidRPr="00416898">
        <w:rPr>
          <w:rFonts w:cs="Arial"/>
          <w:w w:val="105"/>
          <w:sz w:val="22"/>
          <w:szCs w:val="22"/>
          <w:lang w:val="en-US"/>
        </w:rPr>
        <w:t>(</w:t>
      </w:r>
      <w:r w:rsidR="004F0193" w:rsidRPr="00416898">
        <w:rPr>
          <w:rFonts w:cs="Arial"/>
          <w:w w:val="105"/>
          <w:sz w:val="22"/>
          <w:szCs w:val="22"/>
          <w:lang w:val="en-US"/>
        </w:rPr>
        <w:t>2</w:t>
      </w:r>
      <w:r w:rsidR="00C4216B" w:rsidRPr="00416898">
        <w:rPr>
          <w:rFonts w:cs="Arial"/>
          <w:w w:val="105"/>
          <w:sz w:val="22"/>
          <w:szCs w:val="22"/>
          <w:lang w:val="en-US"/>
        </w:rPr>
        <w:t>6</w:t>
      </w:r>
      <w:r w:rsidR="000B54B0" w:rsidRPr="00416898">
        <w:rPr>
          <w:rFonts w:cs="Arial"/>
          <w:w w:val="105"/>
          <w:sz w:val="22"/>
          <w:szCs w:val="22"/>
          <w:lang w:val="en-US"/>
        </w:rPr>
        <w:t>)</w:t>
      </w:r>
      <w:r w:rsidR="004F0193" w:rsidRPr="00416898">
        <w:rPr>
          <w:rFonts w:cs="Arial"/>
          <w:w w:val="105"/>
          <w:sz w:val="22"/>
          <w:szCs w:val="22"/>
          <w:lang w:val="en-US"/>
        </w:rPr>
        <w:t>, Norway</w:t>
      </w:r>
      <w:r w:rsidR="000E1384" w:rsidRPr="00416898">
        <w:rPr>
          <w:rFonts w:cs="Arial"/>
          <w:w w:val="105"/>
          <w:sz w:val="22"/>
          <w:szCs w:val="22"/>
          <w:lang w:val="en-US"/>
        </w:rPr>
        <w:t xml:space="preserve"> </w:t>
      </w:r>
      <w:r w:rsidR="000B54B0" w:rsidRPr="00416898">
        <w:rPr>
          <w:rFonts w:cs="Arial"/>
          <w:w w:val="105"/>
          <w:sz w:val="22"/>
          <w:szCs w:val="22"/>
          <w:lang w:val="en-US"/>
        </w:rPr>
        <w:t>(</w:t>
      </w:r>
      <w:r w:rsidR="004F0193" w:rsidRPr="00416898">
        <w:rPr>
          <w:rFonts w:cs="Arial"/>
          <w:w w:val="105"/>
          <w:sz w:val="22"/>
          <w:szCs w:val="22"/>
          <w:lang w:val="en-US"/>
        </w:rPr>
        <w:t>10</w:t>
      </w:r>
      <w:r w:rsidR="000B54B0" w:rsidRPr="00416898">
        <w:rPr>
          <w:rFonts w:cs="Arial"/>
          <w:w w:val="105"/>
          <w:sz w:val="22"/>
          <w:szCs w:val="22"/>
          <w:lang w:val="en-US"/>
        </w:rPr>
        <w:t>)</w:t>
      </w:r>
      <w:r w:rsidR="004F0193" w:rsidRPr="00416898">
        <w:rPr>
          <w:rFonts w:cs="Arial"/>
          <w:w w:val="105"/>
          <w:sz w:val="22"/>
          <w:szCs w:val="22"/>
          <w:lang w:val="en-US"/>
        </w:rPr>
        <w:t xml:space="preserve"> and India</w:t>
      </w:r>
      <w:r w:rsidR="000E1384" w:rsidRPr="00416898">
        <w:rPr>
          <w:rFonts w:cs="Arial"/>
          <w:w w:val="105"/>
          <w:sz w:val="22"/>
          <w:szCs w:val="22"/>
          <w:lang w:val="en-US"/>
        </w:rPr>
        <w:t xml:space="preserve"> </w:t>
      </w:r>
      <w:r w:rsidR="000B54B0" w:rsidRPr="00416898">
        <w:rPr>
          <w:rFonts w:cs="Arial"/>
          <w:w w:val="105"/>
          <w:sz w:val="22"/>
          <w:szCs w:val="22"/>
          <w:lang w:val="en-US"/>
        </w:rPr>
        <w:t>(</w:t>
      </w:r>
      <w:r w:rsidR="004F0193" w:rsidRPr="00416898">
        <w:rPr>
          <w:rFonts w:cs="Arial"/>
          <w:w w:val="105"/>
          <w:sz w:val="22"/>
          <w:szCs w:val="22"/>
          <w:lang w:val="en-US"/>
        </w:rPr>
        <w:t>2</w:t>
      </w:r>
      <w:r w:rsidR="00C4216B" w:rsidRPr="00416898">
        <w:rPr>
          <w:rFonts w:cs="Arial"/>
          <w:w w:val="105"/>
          <w:sz w:val="22"/>
          <w:szCs w:val="22"/>
          <w:lang w:val="en-US"/>
        </w:rPr>
        <w:t>7</w:t>
      </w:r>
      <w:r w:rsidR="000B54B0" w:rsidRPr="00416898">
        <w:rPr>
          <w:rFonts w:cs="Arial"/>
          <w:w w:val="105"/>
          <w:sz w:val="22"/>
          <w:szCs w:val="22"/>
          <w:lang w:val="en-US"/>
        </w:rPr>
        <w:t>)</w:t>
      </w:r>
      <w:r w:rsidR="004F0193" w:rsidRPr="00416898">
        <w:rPr>
          <w:rFonts w:cs="Arial"/>
          <w:w w:val="105"/>
          <w:sz w:val="22"/>
          <w:szCs w:val="22"/>
          <w:lang w:val="en-US"/>
        </w:rPr>
        <w:t xml:space="preserve"> highlight these unique patterns. The classic features based on the Finnish cohort are summarized in Table1</w:t>
      </w:r>
      <w:r w:rsidR="000B54B0" w:rsidRPr="00416898">
        <w:rPr>
          <w:rFonts w:cs="Arial"/>
          <w:sz w:val="22"/>
          <w:szCs w:val="22"/>
          <w:lang w:val="en-US"/>
        </w:rPr>
        <w:t>.</w:t>
      </w:r>
    </w:p>
    <w:p w14:paraId="0FA1A915" w14:textId="77777777" w:rsidR="000E1384" w:rsidRPr="00416898" w:rsidRDefault="000E1384" w:rsidP="00C84278">
      <w:pPr>
        <w:pStyle w:val="BodyText"/>
        <w:spacing w:line="276" w:lineRule="auto"/>
        <w:rPr>
          <w:rFonts w:cs="Arial"/>
          <w:sz w:val="22"/>
          <w:szCs w:val="22"/>
          <w:lang w:val="en-US"/>
        </w:r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30"/>
        <w:gridCol w:w="3330"/>
      </w:tblGrid>
      <w:tr w:rsidR="000E1384" w:rsidRPr="00416898" w14:paraId="02A9CD3E" w14:textId="77777777" w:rsidTr="00222F0C">
        <w:trPr>
          <w:trHeight w:hRule="exact" w:val="288"/>
        </w:trPr>
        <w:tc>
          <w:tcPr>
            <w:tcW w:w="7560" w:type="dxa"/>
            <w:gridSpan w:val="2"/>
            <w:shd w:val="clear" w:color="auto" w:fill="FFFF00"/>
          </w:tcPr>
          <w:p w14:paraId="47E04AFE" w14:textId="77777777" w:rsidR="000E1384" w:rsidRPr="00416898" w:rsidRDefault="000E1384" w:rsidP="00CC4CF5">
            <w:pPr>
              <w:pStyle w:val="TableParagraph"/>
              <w:spacing w:before="0" w:line="276" w:lineRule="auto"/>
              <w:ind w:left="0"/>
              <w:rPr>
                <w:b/>
              </w:rPr>
            </w:pPr>
            <w:r w:rsidRPr="00416898">
              <w:rPr>
                <w:b/>
                <w:w w:val="105"/>
              </w:rPr>
              <w:t>Table 1. Clinical Features of APS1</w:t>
            </w:r>
          </w:p>
        </w:tc>
      </w:tr>
      <w:tr w:rsidR="000E1384" w:rsidRPr="00416898" w14:paraId="5454AA36" w14:textId="77777777" w:rsidTr="00222F0C">
        <w:trPr>
          <w:trHeight w:hRule="exact" w:val="288"/>
        </w:trPr>
        <w:tc>
          <w:tcPr>
            <w:tcW w:w="4230" w:type="dxa"/>
          </w:tcPr>
          <w:p w14:paraId="47336444" w14:textId="77777777" w:rsidR="000E1384" w:rsidRPr="00416898" w:rsidRDefault="000E1384" w:rsidP="00CC4CF5">
            <w:pPr>
              <w:pStyle w:val="TableParagraph"/>
              <w:spacing w:before="0" w:line="276" w:lineRule="auto"/>
              <w:ind w:left="0"/>
              <w:rPr>
                <w:b/>
                <w:bCs/>
              </w:rPr>
            </w:pPr>
            <w:r w:rsidRPr="00416898">
              <w:rPr>
                <w:b/>
                <w:bCs/>
                <w:w w:val="105"/>
              </w:rPr>
              <w:t>Symptom</w:t>
            </w:r>
          </w:p>
        </w:tc>
        <w:tc>
          <w:tcPr>
            <w:tcW w:w="3330" w:type="dxa"/>
          </w:tcPr>
          <w:p w14:paraId="199A6D02" w14:textId="77777777" w:rsidR="000E1384" w:rsidRPr="00416898" w:rsidRDefault="000E1384" w:rsidP="00CC4CF5">
            <w:pPr>
              <w:pStyle w:val="TableParagraph"/>
              <w:spacing w:before="0" w:line="276" w:lineRule="auto"/>
              <w:ind w:left="0"/>
              <w:rPr>
                <w:b/>
                <w:bCs/>
              </w:rPr>
            </w:pPr>
            <w:r w:rsidRPr="00416898">
              <w:rPr>
                <w:b/>
                <w:bCs/>
                <w:w w:val="105"/>
              </w:rPr>
              <w:t>Percentage of patients</w:t>
            </w:r>
          </w:p>
        </w:tc>
      </w:tr>
      <w:tr w:rsidR="000E1384" w:rsidRPr="00416898" w14:paraId="360BF7A5" w14:textId="77777777" w:rsidTr="00222F0C">
        <w:trPr>
          <w:trHeight w:hRule="exact" w:val="288"/>
        </w:trPr>
        <w:tc>
          <w:tcPr>
            <w:tcW w:w="4230" w:type="dxa"/>
          </w:tcPr>
          <w:p w14:paraId="4F12B434" w14:textId="77777777" w:rsidR="000E1384" w:rsidRPr="00416898" w:rsidRDefault="000E1384" w:rsidP="00CC4CF5">
            <w:pPr>
              <w:pStyle w:val="TableParagraph"/>
              <w:spacing w:before="0" w:line="276" w:lineRule="auto"/>
              <w:ind w:left="0"/>
            </w:pPr>
            <w:r w:rsidRPr="00416898">
              <w:rPr>
                <w:w w:val="105"/>
              </w:rPr>
              <w:t>Mucocutaneous candidiasis</w:t>
            </w:r>
          </w:p>
        </w:tc>
        <w:tc>
          <w:tcPr>
            <w:tcW w:w="3330" w:type="dxa"/>
          </w:tcPr>
          <w:p w14:paraId="1B981FE3" w14:textId="77777777" w:rsidR="000E1384" w:rsidRPr="00416898" w:rsidRDefault="000E1384" w:rsidP="00CC4CF5">
            <w:pPr>
              <w:pStyle w:val="TableParagraph"/>
              <w:spacing w:before="0" w:line="276" w:lineRule="auto"/>
              <w:ind w:left="0"/>
            </w:pPr>
            <w:r w:rsidRPr="00416898">
              <w:rPr>
                <w:w w:val="105"/>
              </w:rPr>
              <w:t>80%</w:t>
            </w:r>
          </w:p>
        </w:tc>
      </w:tr>
      <w:tr w:rsidR="000E1384" w:rsidRPr="00416898" w14:paraId="4FFAA163" w14:textId="77777777" w:rsidTr="00222F0C">
        <w:trPr>
          <w:trHeight w:hRule="exact" w:val="288"/>
        </w:trPr>
        <w:tc>
          <w:tcPr>
            <w:tcW w:w="4230" w:type="dxa"/>
          </w:tcPr>
          <w:p w14:paraId="042846EB" w14:textId="77777777" w:rsidR="000E1384" w:rsidRPr="00416898" w:rsidRDefault="000E1384" w:rsidP="00CC4CF5">
            <w:pPr>
              <w:pStyle w:val="TableParagraph"/>
              <w:spacing w:before="0" w:line="276" w:lineRule="auto"/>
              <w:ind w:left="0"/>
            </w:pPr>
            <w:r w:rsidRPr="00416898">
              <w:rPr>
                <w:w w:val="105"/>
              </w:rPr>
              <w:t>Hypoparathyroidism</w:t>
            </w:r>
          </w:p>
        </w:tc>
        <w:tc>
          <w:tcPr>
            <w:tcW w:w="3330" w:type="dxa"/>
          </w:tcPr>
          <w:p w14:paraId="18354DE9" w14:textId="77777777" w:rsidR="000E1384" w:rsidRPr="00416898" w:rsidRDefault="000E1384" w:rsidP="00CC4CF5">
            <w:pPr>
              <w:pStyle w:val="TableParagraph"/>
              <w:spacing w:before="0" w:line="276" w:lineRule="auto"/>
              <w:ind w:left="0"/>
            </w:pPr>
            <w:r w:rsidRPr="00416898">
              <w:rPr>
                <w:w w:val="105"/>
              </w:rPr>
              <w:t>70-80%</w:t>
            </w:r>
          </w:p>
        </w:tc>
      </w:tr>
      <w:tr w:rsidR="000E1384" w:rsidRPr="00416898" w14:paraId="728652FB" w14:textId="77777777" w:rsidTr="00222F0C">
        <w:trPr>
          <w:trHeight w:hRule="exact" w:val="288"/>
        </w:trPr>
        <w:tc>
          <w:tcPr>
            <w:tcW w:w="4230" w:type="dxa"/>
          </w:tcPr>
          <w:p w14:paraId="5D0E2037" w14:textId="77777777" w:rsidR="000E1384" w:rsidRPr="00416898" w:rsidRDefault="000E1384" w:rsidP="00CC4CF5">
            <w:pPr>
              <w:pStyle w:val="TableParagraph"/>
              <w:spacing w:before="0" w:line="276" w:lineRule="auto"/>
              <w:ind w:left="0"/>
            </w:pPr>
            <w:r w:rsidRPr="00416898">
              <w:rPr>
                <w:w w:val="105"/>
              </w:rPr>
              <w:t>Adrenal Insufficiency</w:t>
            </w:r>
          </w:p>
        </w:tc>
        <w:tc>
          <w:tcPr>
            <w:tcW w:w="3330" w:type="dxa"/>
          </w:tcPr>
          <w:p w14:paraId="01F6C23D" w14:textId="77777777" w:rsidR="000E1384" w:rsidRPr="00416898" w:rsidRDefault="000E1384" w:rsidP="00CC4CF5">
            <w:pPr>
              <w:pStyle w:val="TableParagraph"/>
              <w:spacing w:before="0" w:line="276" w:lineRule="auto"/>
              <w:ind w:left="0"/>
            </w:pPr>
            <w:r w:rsidRPr="00416898">
              <w:rPr>
                <w:w w:val="105"/>
              </w:rPr>
              <w:t>60%</w:t>
            </w:r>
          </w:p>
        </w:tc>
      </w:tr>
      <w:tr w:rsidR="000E1384" w:rsidRPr="00416898" w14:paraId="2EC0279A" w14:textId="77777777" w:rsidTr="00222F0C">
        <w:trPr>
          <w:trHeight w:hRule="exact" w:val="288"/>
        </w:trPr>
        <w:tc>
          <w:tcPr>
            <w:tcW w:w="4230" w:type="dxa"/>
          </w:tcPr>
          <w:p w14:paraId="262A6990" w14:textId="77777777" w:rsidR="000E1384" w:rsidRPr="00416898" w:rsidRDefault="000E1384" w:rsidP="00CC4CF5">
            <w:pPr>
              <w:pStyle w:val="TableParagraph"/>
              <w:spacing w:before="0" w:line="276" w:lineRule="auto"/>
              <w:ind w:left="0"/>
            </w:pPr>
            <w:r w:rsidRPr="00416898">
              <w:rPr>
                <w:w w:val="105"/>
              </w:rPr>
              <w:lastRenderedPageBreak/>
              <w:t>Type 1 Diabetes Mellitus</w:t>
            </w:r>
          </w:p>
        </w:tc>
        <w:tc>
          <w:tcPr>
            <w:tcW w:w="3330" w:type="dxa"/>
          </w:tcPr>
          <w:p w14:paraId="442085F7" w14:textId="77777777" w:rsidR="000E1384" w:rsidRPr="00416898" w:rsidRDefault="000E1384" w:rsidP="00CC4CF5">
            <w:pPr>
              <w:pStyle w:val="TableParagraph"/>
              <w:spacing w:before="0" w:line="276" w:lineRule="auto"/>
              <w:ind w:left="0"/>
            </w:pPr>
            <w:r w:rsidRPr="00416898">
              <w:rPr>
                <w:w w:val="105"/>
              </w:rPr>
              <w:t>12%</w:t>
            </w:r>
          </w:p>
        </w:tc>
      </w:tr>
      <w:tr w:rsidR="000E1384" w:rsidRPr="00416898" w14:paraId="6BED1198" w14:textId="77777777" w:rsidTr="00222F0C">
        <w:trPr>
          <w:trHeight w:hRule="exact" w:val="288"/>
        </w:trPr>
        <w:tc>
          <w:tcPr>
            <w:tcW w:w="4230" w:type="dxa"/>
          </w:tcPr>
          <w:p w14:paraId="1CBC14BE" w14:textId="77777777" w:rsidR="000E1384" w:rsidRPr="00416898" w:rsidRDefault="000E1384" w:rsidP="00CC4CF5">
            <w:pPr>
              <w:pStyle w:val="TableParagraph"/>
              <w:spacing w:before="0" w:line="276" w:lineRule="auto"/>
              <w:ind w:left="0"/>
            </w:pPr>
            <w:r w:rsidRPr="00416898">
              <w:rPr>
                <w:w w:val="105"/>
              </w:rPr>
              <w:t>Hypothyroidism</w:t>
            </w:r>
          </w:p>
        </w:tc>
        <w:tc>
          <w:tcPr>
            <w:tcW w:w="3330" w:type="dxa"/>
          </w:tcPr>
          <w:p w14:paraId="76746FAC" w14:textId="77777777" w:rsidR="000E1384" w:rsidRPr="00416898" w:rsidRDefault="000E1384" w:rsidP="00CC4CF5">
            <w:pPr>
              <w:pStyle w:val="TableParagraph"/>
              <w:spacing w:before="0" w:line="276" w:lineRule="auto"/>
              <w:ind w:left="0"/>
            </w:pPr>
            <w:r w:rsidRPr="00416898">
              <w:rPr>
                <w:w w:val="105"/>
              </w:rPr>
              <w:t>4%</w:t>
            </w:r>
          </w:p>
        </w:tc>
      </w:tr>
      <w:tr w:rsidR="000E1384" w:rsidRPr="00416898" w14:paraId="2407AFE7" w14:textId="77777777" w:rsidTr="00222F0C">
        <w:trPr>
          <w:trHeight w:hRule="exact" w:val="288"/>
        </w:trPr>
        <w:tc>
          <w:tcPr>
            <w:tcW w:w="4230" w:type="dxa"/>
          </w:tcPr>
          <w:p w14:paraId="00C8D4A8" w14:textId="77777777" w:rsidR="000E1384" w:rsidRPr="00416898" w:rsidRDefault="000E1384" w:rsidP="00CC4CF5">
            <w:pPr>
              <w:pStyle w:val="TableParagraph"/>
              <w:spacing w:before="0" w:line="276" w:lineRule="auto"/>
              <w:ind w:left="0"/>
            </w:pPr>
            <w:r w:rsidRPr="00416898">
              <w:rPr>
                <w:w w:val="105"/>
              </w:rPr>
              <w:t>Ovarian Failure in Affected Females</w:t>
            </w:r>
          </w:p>
        </w:tc>
        <w:tc>
          <w:tcPr>
            <w:tcW w:w="3330" w:type="dxa"/>
          </w:tcPr>
          <w:p w14:paraId="3392DBD1" w14:textId="77777777" w:rsidR="000E1384" w:rsidRPr="00416898" w:rsidRDefault="000E1384" w:rsidP="00CC4CF5">
            <w:pPr>
              <w:pStyle w:val="TableParagraph"/>
              <w:spacing w:before="0" w:line="276" w:lineRule="auto"/>
              <w:ind w:left="0"/>
            </w:pPr>
            <w:r w:rsidRPr="00416898">
              <w:rPr>
                <w:w w:val="105"/>
              </w:rPr>
              <w:t>60%</w:t>
            </w:r>
          </w:p>
        </w:tc>
      </w:tr>
      <w:tr w:rsidR="000E1384" w:rsidRPr="00416898" w14:paraId="74C81234" w14:textId="77777777" w:rsidTr="00222F0C">
        <w:trPr>
          <w:trHeight w:hRule="exact" w:val="288"/>
        </w:trPr>
        <w:tc>
          <w:tcPr>
            <w:tcW w:w="4230" w:type="dxa"/>
          </w:tcPr>
          <w:p w14:paraId="55F40121" w14:textId="77777777" w:rsidR="000E1384" w:rsidRPr="00416898" w:rsidRDefault="000E1384" w:rsidP="00CC4CF5">
            <w:pPr>
              <w:pStyle w:val="TableParagraph"/>
              <w:spacing w:before="0" w:line="276" w:lineRule="auto"/>
              <w:ind w:left="0"/>
            </w:pPr>
            <w:r w:rsidRPr="00416898">
              <w:rPr>
                <w:w w:val="105"/>
              </w:rPr>
              <w:t>Testicular Failure in Affected Males</w:t>
            </w:r>
          </w:p>
        </w:tc>
        <w:tc>
          <w:tcPr>
            <w:tcW w:w="3330" w:type="dxa"/>
          </w:tcPr>
          <w:p w14:paraId="0CDC26C5" w14:textId="77777777" w:rsidR="000E1384" w:rsidRPr="00416898" w:rsidRDefault="000E1384" w:rsidP="00CC4CF5">
            <w:pPr>
              <w:pStyle w:val="TableParagraph"/>
              <w:spacing w:before="0" w:line="276" w:lineRule="auto"/>
              <w:ind w:left="0"/>
            </w:pPr>
            <w:r w:rsidRPr="00416898">
              <w:rPr>
                <w:w w:val="105"/>
              </w:rPr>
              <w:t>14%</w:t>
            </w:r>
          </w:p>
        </w:tc>
      </w:tr>
      <w:tr w:rsidR="000E1384" w:rsidRPr="00416898" w14:paraId="211484E6" w14:textId="77777777" w:rsidTr="00222F0C">
        <w:trPr>
          <w:trHeight w:hRule="exact" w:val="288"/>
        </w:trPr>
        <w:tc>
          <w:tcPr>
            <w:tcW w:w="4230" w:type="dxa"/>
          </w:tcPr>
          <w:p w14:paraId="3A6F4F66" w14:textId="77777777" w:rsidR="000E1384" w:rsidRPr="00416898" w:rsidRDefault="000E1384" w:rsidP="00CC4CF5">
            <w:pPr>
              <w:pStyle w:val="TableParagraph"/>
              <w:spacing w:before="0" w:line="276" w:lineRule="auto"/>
              <w:ind w:left="0"/>
            </w:pPr>
            <w:r w:rsidRPr="00416898">
              <w:rPr>
                <w:w w:val="105"/>
              </w:rPr>
              <w:t>Gastric Parietal Cell Failure</w:t>
            </w:r>
          </w:p>
        </w:tc>
        <w:tc>
          <w:tcPr>
            <w:tcW w:w="3330" w:type="dxa"/>
          </w:tcPr>
          <w:p w14:paraId="5B45D54B" w14:textId="77777777" w:rsidR="000E1384" w:rsidRPr="00416898" w:rsidRDefault="000E1384" w:rsidP="00CC4CF5">
            <w:pPr>
              <w:pStyle w:val="TableParagraph"/>
              <w:spacing w:before="0" w:line="276" w:lineRule="auto"/>
              <w:ind w:left="0"/>
            </w:pPr>
            <w:r w:rsidRPr="00416898">
              <w:rPr>
                <w:w w:val="105"/>
              </w:rPr>
              <w:t>15%</w:t>
            </w:r>
          </w:p>
        </w:tc>
      </w:tr>
      <w:tr w:rsidR="000E1384" w:rsidRPr="00416898" w14:paraId="2F8056B4" w14:textId="77777777" w:rsidTr="00222F0C">
        <w:trPr>
          <w:trHeight w:hRule="exact" w:val="288"/>
        </w:trPr>
        <w:tc>
          <w:tcPr>
            <w:tcW w:w="4230" w:type="dxa"/>
          </w:tcPr>
          <w:p w14:paraId="2B3B3F8D" w14:textId="77777777" w:rsidR="000E1384" w:rsidRPr="00416898" w:rsidRDefault="000E1384" w:rsidP="00CC4CF5">
            <w:pPr>
              <w:pStyle w:val="TableParagraph"/>
              <w:spacing w:before="0" w:line="276" w:lineRule="auto"/>
              <w:ind w:left="0"/>
            </w:pPr>
            <w:r w:rsidRPr="00416898">
              <w:rPr>
                <w:w w:val="105"/>
              </w:rPr>
              <w:t>Hepatitis</w:t>
            </w:r>
          </w:p>
        </w:tc>
        <w:tc>
          <w:tcPr>
            <w:tcW w:w="3330" w:type="dxa"/>
          </w:tcPr>
          <w:p w14:paraId="1B01CF74" w14:textId="77777777" w:rsidR="000E1384" w:rsidRPr="00416898" w:rsidRDefault="000E1384" w:rsidP="00CC4CF5">
            <w:pPr>
              <w:pStyle w:val="TableParagraph"/>
              <w:spacing w:before="0" w:line="276" w:lineRule="auto"/>
              <w:ind w:left="0"/>
            </w:pPr>
            <w:r w:rsidRPr="00416898">
              <w:rPr>
                <w:w w:val="105"/>
              </w:rPr>
              <w:t>13%</w:t>
            </w:r>
          </w:p>
        </w:tc>
      </w:tr>
      <w:tr w:rsidR="000E1384" w:rsidRPr="00416898" w14:paraId="2AAEFCCF" w14:textId="77777777" w:rsidTr="00222F0C">
        <w:trPr>
          <w:trHeight w:hRule="exact" w:val="288"/>
        </w:trPr>
        <w:tc>
          <w:tcPr>
            <w:tcW w:w="4230" w:type="dxa"/>
          </w:tcPr>
          <w:p w14:paraId="698B0EC1" w14:textId="77777777" w:rsidR="000E1384" w:rsidRPr="00416898" w:rsidRDefault="000E1384" w:rsidP="00CC4CF5">
            <w:pPr>
              <w:pStyle w:val="TableParagraph"/>
              <w:spacing w:before="0" w:line="276" w:lineRule="auto"/>
              <w:ind w:left="0"/>
            </w:pPr>
            <w:r w:rsidRPr="00416898">
              <w:rPr>
                <w:w w:val="105"/>
              </w:rPr>
              <w:t>Ectodermal Dysplasia</w:t>
            </w:r>
          </w:p>
        </w:tc>
        <w:tc>
          <w:tcPr>
            <w:tcW w:w="3330" w:type="dxa"/>
          </w:tcPr>
          <w:p w14:paraId="16C1FA60" w14:textId="77777777" w:rsidR="000E1384" w:rsidRPr="00416898" w:rsidRDefault="000E1384" w:rsidP="00CC4CF5">
            <w:pPr>
              <w:pStyle w:val="TableParagraph"/>
              <w:spacing w:before="0" w:line="276" w:lineRule="auto"/>
              <w:ind w:left="0"/>
            </w:pPr>
            <w:r w:rsidRPr="00416898">
              <w:rPr>
                <w:w w:val="105"/>
              </w:rPr>
              <w:t>33%</w:t>
            </w:r>
          </w:p>
        </w:tc>
      </w:tr>
      <w:tr w:rsidR="000E1384" w:rsidRPr="00416898" w14:paraId="0FAD9CB7" w14:textId="77777777" w:rsidTr="00222F0C">
        <w:trPr>
          <w:trHeight w:hRule="exact" w:val="288"/>
        </w:trPr>
        <w:tc>
          <w:tcPr>
            <w:tcW w:w="4230" w:type="dxa"/>
          </w:tcPr>
          <w:p w14:paraId="16255310" w14:textId="77777777" w:rsidR="000E1384" w:rsidRPr="00416898" w:rsidRDefault="000E1384" w:rsidP="00CC4CF5">
            <w:pPr>
              <w:pStyle w:val="TableParagraph"/>
              <w:spacing w:before="0" w:line="276" w:lineRule="auto"/>
              <w:ind w:left="0"/>
            </w:pPr>
            <w:r w:rsidRPr="00416898">
              <w:rPr>
                <w:w w:val="105"/>
              </w:rPr>
              <w:t>Keratopathy</w:t>
            </w:r>
          </w:p>
        </w:tc>
        <w:tc>
          <w:tcPr>
            <w:tcW w:w="3330" w:type="dxa"/>
          </w:tcPr>
          <w:p w14:paraId="30F059B1" w14:textId="77777777" w:rsidR="000E1384" w:rsidRPr="00416898" w:rsidRDefault="000E1384" w:rsidP="00CC4CF5">
            <w:pPr>
              <w:pStyle w:val="TableParagraph"/>
              <w:spacing w:before="0" w:line="276" w:lineRule="auto"/>
              <w:ind w:left="0"/>
            </w:pPr>
            <w:r w:rsidRPr="00416898">
              <w:rPr>
                <w:w w:val="105"/>
              </w:rPr>
              <w:t>22%</w:t>
            </w:r>
          </w:p>
        </w:tc>
      </w:tr>
      <w:tr w:rsidR="000E1384" w:rsidRPr="00416898" w14:paraId="2393C334" w14:textId="77777777" w:rsidTr="00222F0C">
        <w:trPr>
          <w:trHeight w:hRule="exact" w:val="288"/>
        </w:trPr>
        <w:tc>
          <w:tcPr>
            <w:tcW w:w="4230" w:type="dxa"/>
          </w:tcPr>
          <w:p w14:paraId="1261E1EA" w14:textId="77777777" w:rsidR="000E1384" w:rsidRPr="00416898" w:rsidRDefault="000E1384" w:rsidP="00CC4CF5">
            <w:pPr>
              <w:pStyle w:val="TableParagraph"/>
              <w:spacing w:before="0" w:line="276" w:lineRule="auto"/>
              <w:ind w:left="0"/>
            </w:pPr>
            <w:r w:rsidRPr="00416898">
              <w:rPr>
                <w:w w:val="105"/>
              </w:rPr>
              <w:t>Alopecia</w:t>
            </w:r>
          </w:p>
        </w:tc>
        <w:tc>
          <w:tcPr>
            <w:tcW w:w="3330" w:type="dxa"/>
          </w:tcPr>
          <w:p w14:paraId="502481C8" w14:textId="77777777" w:rsidR="000E1384" w:rsidRPr="00416898" w:rsidRDefault="000E1384" w:rsidP="00CC4CF5">
            <w:pPr>
              <w:pStyle w:val="TableParagraph"/>
              <w:spacing w:before="0" w:line="276" w:lineRule="auto"/>
              <w:ind w:left="0"/>
            </w:pPr>
            <w:r w:rsidRPr="00416898">
              <w:rPr>
                <w:w w:val="105"/>
              </w:rPr>
              <w:t>27%</w:t>
            </w:r>
          </w:p>
        </w:tc>
      </w:tr>
      <w:tr w:rsidR="000E1384" w:rsidRPr="00416898" w14:paraId="663E4668" w14:textId="77777777" w:rsidTr="00222F0C">
        <w:trPr>
          <w:trHeight w:hRule="exact" w:val="288"/>
        </w:trPr>
        <w:tc>
          <w:tcPr>
            <w:tcW w:w="4230" w:type="dxa"/>
          </w:tcPr>
          <w:p w14:paraId="76B46ACB" w14:textId="77777777" w:rsidR="000E1384" w:rsidRPr="00416898" w:rsidRDefault="000E1384" w:rsidP="00CC4CF5">
            <w:pPr>
              <w:pStyle w:val="TableParagraph"/>
              <w:spacing w:before="0" w:line="276" w:lineRule="auto"/>
              <w:ind w:left="0"/>
            </w:pPr>
            <w:r w:rsidRPr="00416898">
              <w:rPr>
                <w:w w:val="105"/>
              </w:rPr>
              <w:t>Vitiligo</w:t>
            </w:r>
          </w:p>
        </w:tc>
        <w:tc>
          <w:tcPr>
            <w:tcW w:w="3330" w:type="dxa"/>
          </w:tcPr>
          <w:p w14:paraId="0271E3D6" w14:textId="77777777" w:rsidR="000E1384" w:rsidRPr="00416898" w:rsidRDefault="000E1384" w:rsidP="00CC4CF5">
            <w:pPr>
              <w:pStyle w:val="TableParagraph"/>
              <w:spacing w:before="0" w:line="276" w:lineRule="auto"/>
              <w:ind w:left="0"/>
            </w:pPr>
            <w:r w:rsidRPr="00416898">
              <w:rPr>
                <w:w w:val="105"/>
              </w:rPr>
              <w:t>13%</w:t>
            </w:r>
          </w:p>
        </w:tc>
      </w:tr>
    </w:tbl>
    <w:p w14:paraId="7E1FF06D" w14:textId="77777777" w:rsidR="009F54E3" w:rsidRPr="00416898" w:rsidRDefault="009F54E3" w:rsidP="009F54E3">
      <w:pPr>
        <w:pStyle w:val="BodyText"/>
        <w:spacing w:line="276" w:lineRule="auto"/>
        <w:rPr>
          <w:rFonts w:cs="Arial"/>
          <w:sz w:val="22"/>
          <w:szCs w:val="22"/>
          <w:lang w:val="en-US"/>
        </w:rPr>
      </w:pPr>
      <w:r w:rsidRPr="00416898">
        <w:rPr>
          <w:rFonts w:cs="Arial"/>
          <w:w w:val="105"/>
          <w:sz w:val="22"/>
          <w:szCs w:val="22"/>
          <w:lang w:val="en-US"/>
        </w:rPr>
        <w:t>Based on references (1-4)</w:t>
      </w:r>
    </w:p>
    <w:p w14:paraId="2A5784FA" w14:textId="77777777" w:rsidR="000E1384" w:rsidRPr="00416898" w:rsidRDefault="000E1384" w:rsidP="00C84278">
      <w:pPr>
        <w:pStyle w:val="BodyText"/>
        <w:spacing w:line="276" w:lineRule="auto"/>
        <w:rPr>
          <w:rFonts w:cs="Arial"/>
          <w:sz w:val="22"/>
          <w:szCs w:val="22"/>
          <w:lang w:val="en-US"/>
        </w:rPr>
      </w:pPr>
    </w:p>
    <w:p w14:paraId="7A953C90" w14:textId="77777777" w:rsidR="000956F7" w:rsidRPr="00701CD3" w:rsidRDefault="003C420F" w:rsidP="00C84278">
      <w:pPr>
        <w:pStyle w:val="BodyText"/>
        <w:spacing w:line="276" w:lineRule="auto"/>
        <w:rPr>
          <w:rFonts w:cs="Arial"/>
          <w:b/>
          <w:bCs/>
          <w:color w:val="0070C0"/>
          <w:w w:val="105"/>
          <w:sz w:val="22"/>
          <w:szCs w:val="22"/>
          <w:lang w:val="en-US"/>
        </w:rPr>
      </w:pPr>
      <w:r w:rsidRPr="00701CD3">
        <w:rPr>
          <w:rFonts w:cs="Arial"/>
          <w:b/>
          <w:bCs/>
          <w:color w:val="0070C0"/>
          <w:w w:val="105"/>
          <w:sz w:val="22"/>
          <w:szCs w:val="22"/>
          <w:lang w:val="en-US"/>
        </w:rPr>
        <w:t>T</w:t>
      </w:r>
      <w:r w:rsidR="00FE2C2E" w:rsidRPr="00701CD3">
        <w:rPr>
          <w:rFonts w:cs="Arial"/>
          <w:b/>
          <w:bCs/>
          <w:color w:val="0070C0"/>
          <w:w w:val="105"/>
          <w:sz w:val="22"/>
          <w:szCs w:val="22"/>
          <w:lang w:val="en-US"/>
        </w:rPr>
        <w:t xml:space="preserve">REATMENT OF </w:t>
      </w:r>
      <w:r w:rsidRPr="00701CD3">
        <w:rPr>
          <w:rFonts w:cs="Arial"/>
          <w:b/>
          <w:bCs/>
          <w:color w:val="0070C0"/>
          <w:w w:val="105"/>
          <w:sz w:val="22"/>
          <w:szCs w:val="22"/>
          <w:lang w:val="en-US"/>
        </w:rPr>
        <w:t>APS1</w:t>
      </w:r>
    </w:p>
    <w:p w14:paraId="4A416709" w14:textId="77777777" w:rsidR="000956F7" w:rsidRPr="00416898" w:rsidRDefault="000956F7" w:rsidP="00C84278">
      <w:pPr>
        <w:pStyle w:val="BodyText"/>
        <w:spacing w:line="276" w:lineRule="auto"/>
        <w:rPr>
          <w:rFonts w:cs="Arial"/>
          <w:sz w:val="22"/>
          <w:szCs w:val="22"/>
          <w:lang w:val="en-US"/>
        </w:rPr>
      </w:pPr>
    </w:p>
    <w:p w14:paraId="4A1A8E86" w14:textId="77777777" w:rsidR="000956F7" w:rsidRPr="00416898" w:rsidRDefault="003C420F" w:rsidP="00C84278">
      <w:pPr>
        <w:pStyle w:val="BodyText"/>
        <w:spacing w:line="276" w:lineRule="auto"/>
        <w:rPr>
          <w:rFonts w:cs="Arial"/>
          <w:w w:val="105"/>
          <w:sz w:val="22"/>
          <w:szCs w:val="22"/>
          <w:lang w:val="en-US"/>
        </w:rPr>
      </w:pPr>
      <w:r w:rsidRPr="00416898">
        <w:rPr>
          <w:rFonts w:cs="Arial"/>
          <w:w w:val="105"/>
          <w:sz w:val="22"/>
          <w:szCs w:val="22"/>
          <w:lang w:val="en-US"/>
        </w:rPr>
        <w:t xml:space="preserve">Treatment guidelines for this condition have been proposed </w:t>
      </w:r>
      <w:r w:rsidR="000B54B0" w:rsidRPr="00416898">
        <w:rPr>
          <w:rFonts w:cs="Arial"/>
          <w:w w:val="105"/>
          <w:sz w:val="22"/>
          <w:szCs w:val="22"/>
          <w:lang w:val="en-US"/>
        </w:rPr>
        <w:t>(</w:t>
      </w:r>
      <w:r w:rsidR="00CF3936" w:rsidRPr="00416898">
        <w:rPr>
          <w:rFonts w:cs="Arial"/>
          <w:w w:val="105"/>
          <w:sz w:val="22"/>
          <w:szCs w:val="22"/>
          <w:lang w:val="en-US"/>
        </w:rPr>
        <w:t>2</w:t>
      </w:r>
      <w:r w:rsidR="00C4216B" w:rsidRPr="00416898">
        <w:rPr>
          <w:rFonts w:cs="Arial"/>
          <w:w w:val="105"/>
          <w:sz w:val="22"/>
          <w:szCs w:val="22"/>
          <w:lang w:val="en-US"/>
        </w:rPr>
        <w:t>8</w:t>
      </w:r>
      <w:r w:rsidR="000B54B0" w:rsidRPr="00416898">
        <w:rPr>
          <w:rFonts w:cs="Arial"/>
          <w:w w:val="105"/>
          <w:sz w:val="22"/>
          <w:szCs w:val="22"/>
          <w:lang w:val="en-US"/>
        </w:rPr>
        <w:t>)</w:t>
      </w:r>
      <w:r w:rsidRPr="00416898">
        <w:rPr>
          <w:rFonts w:cs="Arial"/>
          <w:w w:val="105"/>
          <w:sz w:val="22"/>
          <w:szCs w:val="22"/>
          <w:lang w:val="en-US"/>
        </w:rPr>
        <w:t>; they are based on immune suppression and modulation with agents including glucocorticoids such as prednisone, cyclosporin, the calcineurin inhibitors tacrolimus and sirolimus, methotrexate, mycophenolate mofetil</w:t>
      </w:r>
      <w:r w:rsidR="000E1384" w:rsidRPr="00416898">
        <w:rPr>
          <w:rFonts w:cs="Arial"/>
          <w:w w:val="105"/>
          <w:sz w:val="22"/>
          <w:szCs w:val="22"/>
          <w:lang w:val="en-US"/>
        </w:rPr>
        <w:t>,</w:t>
      </w:r>
      <w:r w:rsidRPr="00416898">
        <w:rPr>
          <w:rFonts w:cs="Arial"/>
          <w:w w:val="105"/>
          <w:sz w:val="22"/>
          <w:szCs w:val="22"/>
          <w:lang w:val="en-US"/>
        </w:rPr>
        <w:t xml:space="preserve"> and rituximab, a CD20 inhibitor; these are especially used for auto-immune hepatitis, enteropathy,</w:t>
      </w:r>
      <w:r w:rsidRPr="00416898">
        <w:rPr>
          <w:rFonts w:cs="Arial"/>
          <w:spacing w:val="-7"/>
          <w:w w:val="105"/>
          <w:sz w:val="22"/>
          <w:szCs w:val="22"/>
          <w:lang w:val="en-US"/>
        </w:rPr>
        <w:t xml:space="preserve"> </w:t>
      </w:r>
      <w:r w:rsidRPr="00416898">
        <w:rPr>
          <w:rFonts w:cs="Arial"/>
          <w:w w:val="105"/>
          <w:sz w:val="22"/>
          <w:szCs w:val="22"/>
          <w:lang w:val="en-US"/>
        </w:rPr>
        <w:t>tubulo-interstitial</w:t>
      </w:r>
      <w:r w:rsidRPr="00416898">
        <w:rPr>
          <w:rFonts w:cs="Arial"/>
          <w:spacing w:val="-7"/>
          <w:w w:val="105"/>
          <w:sz w:val="22"/>
          <w:szCs w:val="22"/>
          <w:lang w:val="en-US"/>
        </w:rPr>
        <w:t xml:space="preserve"> </w:t>
      </w:r>
      <w:r w:rsidRPr="00416898">
        <w:rPr>
          <w:rFonts w:cs="Arial"/>
          <w:w w:val="105"/>
          <w:sz w:val="22"/>
          <w:szCs w:val="22"/>
          <w:lang w:val="en-US"/>
        </w:rPr>
        <w:t>nephritis,</w:t>
      </w:r>
      <w:r w:rsidRPr="00416898">
        <w:rPr>
          <w:rFonts w:cs="Arial"/>
          <w:spacing w:val="-7"/>
          <w:w w:val="105"/>
          <w:sz w:val="22"/>
          <w:szCs w:val="22"/>
          <w:lang w:val="en-US"/>
        </w:rPr>
        <w:t xml:space="preserve"> </w:t>
      </w:r>
      <w:r w:rsidRPr="00416898">
        <w:rPr>
          <w:rFonts w:cs="Arial"/>
          <w:w w:val="105"/>
          <w:sz w:val="22"/>
          <w:szCs w:val="22"/>
          <w:lang w:val="en-US"/>
        </w:rPr>
        <w:t>interstitial</w:t>
      </w:r>
      <w:r w:rsidRPr="00416898">
        <w:rPr>
          <w:rFonts w:cs="Arial"/>
          <w:spacing w:val="-6"/>
          <w:w w:val="105"/>
          <w:sz w:val="22"/>
          <w:szCs w:val="22"/>
          <w:lang w:val="en-US"/>
        </w:rPr>
        <w:t xml:space="preserve"> </w:t>
      </w:r>
      <w:r w:rsidRPr="00416898">
        <w:rPr>
          <w:rFonts w:cs="Arial"/>
          <w:w w:val="105"/>
          <w:sz w:val="22"/>
          <w:szCs w:val="22"/>
          <w:lang w:val="en-US"/>
        </w:rPr>
        <w:t>lung</w:t>
      </w:r>
      <w:r w:rsidRPr="00416898">
        <w:rPr>
          <w:rFonts w:cs="Arial"/>
          <w:spacing w:val="-5"/>
          <w:w w:val="105"/>
          <w:sz w:val="22"/>
          <w:szCs w:val="22"/>
          <w:lang w:val="en-US"/>
        </w:rPr>
        <w:t xml:space="preserve"> </w:t>
      </w:r>
      <w:r w:rsidRPr="00416898">
        <w:rPr>
          <w:rFonts w:cs="Arial"/>
          <w:w w:val="105"/>
          <w:sz w:val="22"/>
          <w:szCs w:val="22"/>
          <w:lang w:val="en-US"/>
        </w:rPr>
        <w:t>disease</w:t>
      </w:r>
      <w:r w:rsidRPr="00416898">
        <w:rPr>
          <w:rFonts w:cs="Arial"/>
          <w:spacing w:val="-5"/>
          <w:w w:val="105"/>
          <w:sz w:val="22"/>
          <w:szCs w:val="22"/>
          <w:lang w:val="en-US"/>
        </w:rPr>
        <w:t xml:space="preserve"> </w:t>
      </w:r>
      <w:r w:rsidRPr="00416898">
        <w:rPr>
          <w:rFonts w:cs="Arial"/>
          <w:w w:val="105"/>
          <w:sz w:val="22"/>
          <w:szCs w:val="22"/>
          <w:lang w:val="en-US"/>
        </w:rPr>
        <w:t>and</w:t>
      </w:r>
      <w:r w:rsidRPr="00416898">
        <w:rPr>
          <w:rFonts w:cs="Arial"/>
          <w:spacing w:val="-6"/>
          <w:w w:val="105"/>
          <w:sz w:val="22"/>
          <w:szCs w:val="22"/>
          <w:lang w:val="en-US"/>
        </w:rPr>
        <w:t xml:space="preserve"> </w:t>
      </w:r>
      <w:r w:rsidRPr="00416898">
        <w:rPr>
          <w:rFonts w:cs="Arial"/>
          <w:w w:val="105"/>
          <w:sz w:val="22"/>
          <w:szCs w:val="22"/>
          <w:lang w:val="en-US"/>
        </w:rPr>
        <w:t>keratoconjunctivitis,</w:t>
      </w:r>
      <w:r w:rsidRPr="00416898">
        <w:rPr>
          <w:rFonts w:cs="Arial"/>
          <w:spacing w:val="-7"/>
          <w:w w:val="105"/>
          <w:sz w:val="22"/>
          <w:szCs w:val="22"/>
          <w:lang w:val="en-US"/>
        </w:rPr>
        <w:t xml:space="preserve"> </w:t>
      </w:r>
      <w:r w:rsidRPr="00416898">
        <w:rPr>
          <w:rFonts w:cs="Arial"/>
          <w:w w:val="105"/>
          <w:sz w:val="22"/>
          <w:szCs w:val="22"/>
          <w:lang w:val="en-US"/>
        </w:rPr>
        <w:t>and</w:t>
      </w:r>
      <w:r w:rsidRPr="00416898">
        <w:rPr>
          <w:rFonts w:cs="Arial"/>
          <w:spacing w:val="-6"/>
          <w:w w:val="105"/>
          <w:sz w:val="22"/>
          <w:szCs w:val="22"/>
          <w:lang w:val="en-US"/>
        </w:rPr>
        <w:t xml:space="preserve"> </w:t>
      </w:r>
      <w:r w:rsidRPr="00416898">
        <w:rPr>
          <w:rFonts w:cs="Arial"/>
          <w:w w:val="105"/>
          <w:sz w:val="22"/>
          <w:szCs w:val="22"/>
          <w:lang w:val="en-US"/>
        </w:rPr>
        <w:t xml:space="preserve">are detailed </w:t>
      </w:r>
      <w:r w:rsidR="001207D1" w:rsidRPr="00416898">
        <w:rPr>
          <w:rFonts w:cs="Arial"/>
          <w:w w:val="105"/>
          <w:sz w:val="22"/>
          <w:szCs w:val="22"/>
          <w:lang w:val="en-US"/>
        </w:rPr>
        <w:t>by Kisand et al</w:t>
      </w:r>
      <w:r w:rsidR="009F54E3" w:rsidRPr="00416898">
        <w:rPr>
          <w:rFonts w:cs="Arial"/>
          <w:w w:val="105"/>
          <w:sz w:val="22"/>
          <w:szCs w:val="22"/>
          <w:lang w:val="en-US"/>
        </w:rPr>
        <w:t xml:space="preserve"> </w:t>
      </w:r>
      <w:r w:rsidR="000B54B0" w:rsidRPr="00416898">
        <w:rPr>
          <w:rFonts w:cs="Arial"/>
          <w:w w:val="105"/>
          <w:sz w:val="22"/>
          <w:szCs w:val="22"/>
          <w:lang w:val="en-US"/>
        </w:rPr>
        <w:t>(</w:t>
      </w:r>
      <w:r w:rsidRPr="00416898">
        <w:rPr>
          <w:rFonts w:cs="Arial"/>
          <w:w w:val="105"/>
          <w:sz w:val="22"/>
          <w:szCs w:val="22"/>
          <w:lang w:val="en-US"/>
        </w:rPr>
        <w:t>4</w:t>
      </w:r>
      <w:r w:rsidR="000B54B0" w:rsidRPr="00416898">
        <w:rPr>
          <w:rFonts w:cs="Arial"/>
          <w:w w:val="105"/>
          <w:sz w:val="22"/>
          <w:szCs w:val="22"/>
          <w:lang w:val="en-US"/>
        </w:rPr>
        <w:t>)</w:t>
      </w:r>
      <w:r w:rsidR="009F54E3" w:rsidRPr="00416898">
        <w:rPr>
          <w:rFonts w:cs="Arial"/>
          <w:w w:val="105"/>
          <w:sz w:val="22"/>
          <w:szCs w:val="22"/>
          <w:lang w:val="en-US"/>
        </w:rPr>
        <w:t>.</w:t>
      </w:r>
    </w:p>
    <w:p w14:paraId="77DA84BE" w14:textId="77777777" w:rsidR="000956F7" w:rsidRPr="00416898" w:rsidRDefault="000956F7" w:rsidP="00C84278">
      <w:pPr>
        <w:pStyle w:val="BodyText"/>
        <w:spacing w:line="276" w:lineRule="auto"/>
        <w:rPr>
          <w:rFonts w:cs="Arial"/>
          <w:sz w:val="22"/>
          <w:szCs w:val="22"/>
          <w:lang w:val="en-US"/>
        </w:rPr>
      </w:pPr>
    </w:p>
    <w:p w14:paraId="1523539A" w14:textId="77777777" w:rsidR="000956F7" w:rsidRPr="00416898" w:rsidRDefault="00FC542E" w:rsidP="00C84278">
      <w:pPr>
        <w:pStyle w:val="BodyText"/>
        <w:spacing w:line="276" w:lineRule="auto"/>
        <w:rPr>
          <w:rFonts w:cs="Arial"/>
          <w:w w:val="105"/>
          <w:sz w:val="22"/>
          <w:szCs w:val="22"/>
          <w:lang w:val="en-US"/>
        </w:rPr>
      </w:pPr>
      <w:r w:rsidRPr="00416898">
        <w:rPr>
          <w:rFonts w:cs="Arial"/>
          <w:sz w:val="22"/>
          <w:szCs w:val="22"/>
          <w:lang w:val="en-US"/>
        </w:rPr>
        <w:t xml:space="preserve">In general, management of autoimmune polyendocrine syndromes includes hormonal replacement therapy as needed and treatment of complications. </w:t>
      </w:r>
    </w:p>
    <w:p w14:paraId="074B080D" w14:textId="77777777" w:rsidR="000956F7" w:rsidRPr="00416898" w:rsidRDefault="000956F7" w:rsidP="00C84278">
      <w:pPr>
        <w:pStyle w:val="BodyText"/>
        <w:spacing w:line="276" w:lineRule="auto"/>
        <w:rPr>
          <w:rFonts w:cs="Arial"/>
          <w:sz w:val="22"/>
          <w:szCs w:val="22"/>
          <w:lang w:val="en-US"/>
        </w:rPr>
      </w:pPr>
    </w:p>
    <w:p w14:paraId="64808AAD" w14:textId="77777777" w:rsidR="000956F7" w:rsidRPr="00416898" w:rsidRDefault="003C420F" w:rsidP="00C84278">
      <w:pPr>
        <w:pStyle w:val="BodyText"/>
        <w:spacing w:line="276" w:lineRule="auto"/>
        <w:rPr>
          <w:rFonts w:cs="Arial"/>
          <w:sz w:val="22"/>
          <w:szCs w:val="22"/>
          <w:lang w:val="en-US"/>
        </w:rPr>
      </w:pPr>
      <w:r w:rsidRPr="00416898">
        <w:rPr>
          <w:rFonts w:cs="Arial"/>
          <w:w w:val="105"/>
          <w:sz w:val="22"/>
          <w:szCs w:val="22"/>
          <w:lang w:val="en-US"/>
        </w:rPr>
        <w:t>Hormonal and vitamin (Vitamin D, B12) replacement should be implemented for the known hormonal deficiencies, and other deficiencies should be anticipated and screened for periodically, especially in those with circulating antibodies for components of adrenal steroidogenesis (21-hydroxyase,</w:t>
      </w:r>
      <w:r w:rsidR="009F54E3" w:rsidRPr="00416898">
        <w:rPr>
          <w:rFonts w:cs="Arial"/>
          <w:w w:val="105"/>
          <w:sz w:val="22"/>
          <w:szCs w:val="22"/>
          <w:lang w:val="en-US"/>
        </w:rPr>
        <w:t xml:space="preserve"> </w:t>
      </w:r>
      <w:r w:rsidRPr="00416898">
        <w:rPr>
          <w:rFonts w:cs="Arial"/>
          <w:w w:val="105"/>
          <w:sz w:val="22"/>
          <w:szCs w:val="22"/>
          <w:lang w:val="en-US"/>
        </w:rPr>
        <w:t>17-hydroxylase), thyroid (TPO, TG antibodies) and calcium,</w:t>
      </w:r>
      <w:r w:rsidRPr="00416898">
        <w:rPr>
          <w:rFonts w:cs="Arial"/>
          <w:spacing w:val="-6"/>
          <w:w w:val="105"/>
          <w:sz w:val="22"/>
          <w:szCs w:val="22"/>
          <w:lang w:val="en-US"/>
        </w:rPr>
        <w:t xml:space="preserve"> </w:t>
      </w:r>
      <w:r w:rsidRPr="00416898">
        <w:rPr>
          <w:rFonts w:cs="Arial"/>
          <w:w w:val="105"/>
          <w:sz w:val="22"/>
          <w:szCs w:val="22"/>
          <w:lang w:val="en-US"/>
        </w:rPr>
        <w:t>phosphate,</w:t>
      </w:r>
      <w:r w:rsidRPr="00416898">
        <w:rPr>
          <w:rFonts w:cs="Arial"/>
          <w:spacing w:val="-5"/>
          <w:w w:val="105"/>
          <w:sz w:val="22"/>
          <w:szCs w:val="22"/>
          <w:lang w:val="en-US"/>
        </w:rPr>
        <w:t xml:space="preserve"> </w:t>
      </w:r>
      <w:r w:rsidRPr="00416898">
        <w:rPr>
          <w:rFonts w:cs="Arial"/>
          <w:w w:val="105"/>
          <w:sz w:val="22"/>
          <w:szCs w:val="22"/>
          <w:lang w:val="en-US"/>
        </w:rPr>
        <w:t>or</w:t>
      </w:r>
      <w:r w:rsidRPr="00416898">
        <w:rPr>
          <w:rFonts w:cs="Arial"/>
          <w:spacing w:val="-4"/>
          <w:w w:val="105"/>
          <w:sz w:val="22"/>
          <w:szCs w:val="22"/>
          <w:lang w:val="en-US"/>
        </w:rPr>
        <w:t xml:space="preserve"> </w:t>
      </w:r>
      <w:r w:rsidRPr="00416898">
        <w:rPr>
          <w:rFonts w:cs="Arial"/>
          <w:w w:val="105"/>
          <w:sz w:val="22"/>
          <w:szCs w:val="22"/>
          <w:lang w:val="en-US"/>
        </w:rPr>
        <w:t>parathyroid</w:t>
      </w:r>
      <w:r w:rsidRPr="00416898">
        <w:rPr>
          <w:rFonts w:cs="Arial"/>
          <w:spacing w:val="-4"/>
          <w:w w:val="105"/>
          <w:sz w:val="22"/>
          <w:szCs w:val="22"/>
          <w:lang w:val="en-US"/>
        </w:rPr>
        <w:t xml:space="preserve"> </w:t>
      </w:r>
      <w:r w:rsidRPr="00416898">
        <w:rPr>
          <w:rFonts w:cs="Arial"/>
          <w:w w:val="105"/>
          <w:sz w:val="22"/>
          <w:szCs w:val="22"/>
          <w:lang w:val="en-US"/>
        </w:rPr>
        <w:t>hormone</w:t>
      </w:r>
      <w:r w:rsidRPr="00416898">
        <w:rPr>
          <w:rFonts w:cs="Arial"/>
          <w:spacing w:val="-5"/>
          <w:w w:val="105"/>
          <w:sz w:val="22"/>
          <w:szCs w:val="22"/>
          <w:lang w:val="en-US"/>
        </w:rPr>
        <w:t xml:space="preserve"> </w:t>
      </w:r>
      <w:r w:rsidRPr="00416898">
        <w:rPr>
          <w:rFonts w:cs="Arial"/>
          <w:w w:val="105"/>
          <w:sz w:val="22"/>
          <w:szCs w:val="22"/>
          <w:lang w:val="en-US"/>
        </w:rPr>
        <w:t>levels</w:t>
      </w:r>
      <w:r w:rsidRPr="00416898">
        <w:rPr>
          <w:rFonts w:cs="Arial"/>
          <w:spacing w:val="-4"/>
          <w:w w:val="105"/>
          <w:sz w:val="22"/>
          <w:szCs w:val="22"/>
          <w:lang w:val="en-US"/>
        </w:rPr>
        <w:t xml:space="preserve"> </w:t>
      </w:r>
      <w:r w:rsidRPr="00416898">
        <w:rPr>
          <w:rFonts w:cs="Arial"/>
          <w:w w:val="105"/>
          <w:sz w:val="22"/>
          <w:szCs w:val="22"/>
          <w:lang w:val="en-US"/>
        </w:rPr>
        <w:t>as</w:t>
      </w:r>
      <w:r w:rsidRPr="00416898">
        <w:rPr>
          <w:rFonts w:cs="Arial"/>
          <w:spacing w:val="-4"/>
          <w:w w:val="105"/>
          <w:sz w:val="22"/>
          <w:szCs w:val="22"/>
          <w:lang w:val="en-US"/>
        </w:rPr>
        <w:t xml:space="preserve"> </w:t>
      </w:r>
      <w:r w:rsidRPr="00416898">
        <w:rPr>
          <w:rFonts w:cs="Arial"/>
          <w:w w:val="105"/>
          <w:sz w:val="22"/>
          <w:szCs w:val="22"/>
          <w:lang w:val="en-US"/>
        </w:rPr>
        <w:t>indicated.</w:t>
      </w:r>
      <w:r w:rsidRPr="00416898">
        <w:rPr>
          <w:rFonts w:cs="Arial"/>
          <w:spacing w:val="-5"/>
          <w:w w:val="105"/>
          <w:sz w:val="22"/>
          <w:szCs w:val="22"/>
          <w:lang w:val="en-US"/>
        </w:rPr>
        <w:t xml:space="preserve"> </w:t>
      </w:r>
      <w:r w:rsidRPr="00416898">
        <w:rPr>
          <w:rFonts w:cs="Arial"/>
          <w:w w:val="105"/>
          <w:sz w:val="22"/>
          <w:szCs w:val="22"/>
          <w:lang w:val="en-US"/>
        </w:rPr>
        <w:t>Periodic</w:t>
      </w:r>
      <w:r w:rsidRPr="00416898">
        <w:rPr>
          <w:rFonts w:cs="Arial"/>
          <w:spacing w:val="-4"/>
          <w:w w:val="105"/>
          <w:sz w:val="22"/>
          <w:szCs w:val="22"/>
          <w:lang w:val="en-US"/>
        </w:rPr>
        <w:t xml:space="preserve"> </w:t>
      </w:r>
      <w:r w:rsidRPr="00416898">
        <w:rPr>
          <w:rFonts w:cs="Arial"/>
          <w:w w:val="105"/>
          <w:sz w:val="22"/>
          <w:szCs w:val="22"/>
          <w:lang w:val="en-US"/>
        </w:rPr>
        <w:t>assessment</w:t>
      </w:r>
      <w:r w:rsidRPr="00416898">
        <w:rPr>
          <w:rFonts w:cs="Arial"/>
          <w:spacing w:val="-5"/>
          <w:w w:val="105"/>
          <w:sz w:val="22"/>
          <w:szCs w:val="22"/>
          <w:lang w:val="en-US"/>
        </w:rPr>
        <w:t xml:space="preserve"> </w:t>
      </w:r>
      <w:r w:rsidRPr="00416898">
        <w:rPr>
          <w:rFonts w:cs="Arial"/>
          <w:w w:val="105"/>
          <w:sz w:val="22"/>
          <w:szCs w:val="22"/>
          <w:lang w:val="en-US"/>
        </w:rPr>
        <w:t>of</w:t>
      </w:r>
      <w:r w:rsidRPr="00416898">
        <w:rPr>
          <w:rFonts w:cs="Arial"/>
          <w:spacing w:val="-4"/>
          <w:w w:val="105"/>
          <w:sz w:val="22"/>
          <w:szCs w:val="22"/>
          <w:lang w:val="en-US"/>
        </w:rPr>
        <w:t xml:space="preserve"> </w:t>
      </w:r>
      <w:r w:rsidRPr="00416898">
        <w:rPr>
          <w:rFonts w:cs="Arial"/>
          <w:w w:val="105"/>
          <w:sz w:val="22"/>
          <w:szCs w:val="22"/>
          <w:lang w:val="en-US"/>
        </w:rPr>
        <w:t>HbA1c, fasting glucose, liver function via ALT and AST should complement careful clinical assessment at 6 month-1year intervals in affected patients. When hypoparathyroidism and chronic mucocutaneous candidiasis are the initial manifestations, screening for primary adrenal insufficiency via an afternoon ACTH concentration is suggested to be performed every 6</w:t>
      </w:r>
      <w:r w:rsidRPr="00416898">
        <w:rPr>
          <w:rFonts w:cs="Arial"/>
          <w:spacing w:val="-43"/>
          <w:w w:val="105"/>
          <w:sz w:val="22"/>
          <w:szCs w:val="22"/>
          <w:lang w:val="en-US"/>
        </w:rPr>
        <w:t xml:space="preserve"> </w:t>
      </w:r>
      <w:r w:rsidRPr="00416898">
        <w:rPr>
          <w:rFonts w:cs="Arial"/>
          <w:w w:val="105"/>
          <w:sz w:val="22"/>
          <w:szCs w:val="22"/>
          <w:lang w:val="en-US"/>
        </w:rPr>
        <w:t xml:space="preserve">months and at least annually. A level of ACTH greater than 80pg/ml is highly suggestive and a level exceeding 100pg/ml is virtually diagnostic. Whereas some recommend performing an ACTH- stimulation test to document adrenal reserve, others recommend starting cortisol replacement therapy and ongoing monitoring of sodium and potassium levels to exclude evolving aldosterone deficiency, as well as checking supine and standing blood pressure. Anti-candida drugs such as ketoconazole when used to treat the candidiasis should alert the treating physicians to exclude </w:t>
      </w:r>
      <w:r w:rsidR="009F54E3" w:rsidRPr="00416898">
        <w:rPr>
          <w:rFonts w:cs="Arial"/>
          <w:w w:val="105"/>
          <w:sz w:val="22"/>
          <w:szCs w:val="22"/>
          <w:lang w:val="en-US"/>
        </w:rPr>
        <w:t xml:space="preserve">the </w:t>
      </w:r>
      <w:r w:rsidRPr="00416898">
        <w:rPr>
          <w:rFonts w:cs="Arial"/>
          <w:w w:val="105"/>
          <w:sz w:val="22"/>
          <w:szCs w:val="22"/>
          <w:lang w:val="en-US"/>
        </w:rPr>
        <w:t>possibility of adrenal insufficiency since these agents are known to interfere with cortisol synthesis and hence may accelerate the appearance of adrenal insufficiency or worsen manifestations of existing adrenal deficiency. Cortisol should initially be given in stress dosage, commonly 2-3 times the daily maintenance of ~10mg/m</w:t>
      </w:r>
      <w:r w:rsidRPr="00416898">
        <w:rPr>
          <w:rFonts w:cs="Arial"/>
          <w:w w:val="105"/>
          <w:sz w:val="22"/>
          <w:szCs w:val="22"/>
          <w:vertAlign w:val="superscript"/>
          <w:lang w:val="en-US"/>
        </w:rPr>
        <w:t>2</w:t>
      </w:r>
      <w:r w:rsidRPr="00416898">
        <w:rPr>
          <w:rFonts w:cs="Arial"/>
          <w:w w:val="105"/>
          <w:sz w:val="22"/>
          <w:szCs w:val="22"/>
          <w:lang w:val="en-US"/>
        </w:rPr>
        <w:t>/d for</w:t>
      </w:r>
      <w:r w:rsidRPr="00416898">
        <w:rPr>
          <w:rFonts w:cs="Arial"/>
          <w:spacing w:val="-37"/>
          <w:w w:val="105"/>
          <w:sz w:val="22"/>
          <w:szCs w:val="22"/>
          <w:lang w:val="en-US"/>
        </w:rPr>
        <w:t xml:space="preserve"> </w:t>
      </w:r>
      <w:r w:rsidRPr="00416898">
        <w:rPr>
          <w:rFonts w:cs="Arial"/>
          <w:w w:val="105"/>
          <w:sz w:val="22"/>
          <w:szCs w:val="22"/>
          <w:lang w:val="en-US"/>
        </w:rPr>
        <w:t>several</w:t>
      </w:r>
      <w:r w:rsidR="00FC542E" w:rsidRPr="00416898">
        <w:rPr>
          <w:rFonts w:cs="Arial"/>
          <w:sz w:val="22"/>
          <w:szCs w:val="22"/>
          <w:lang w:val="en-US"/>
        </w:rPr>
        <w:t xml:space="preserve"> </w:t>
      </w:r>
      <w:r w:rsidRPr="00416898">
        <w:rPr>
          <w:rFonts w:cs="Arial"/>
          <w:w w:val="105"/>
          <w:sz w:val="22"/>
          <w:szCs w:val="22"/>
          <w:lang w:val="en-US"/>
        </w:rPr>
        <w:t xml:space="preserve">days once initial diagnosis is </w:t>
      </w:r>
      <w:r w:rsidRPr="00416898">
        <w:rPr>
          <w:rFonts w:cs="Arial"/>
          <w:w w:val="105"/>
          <w:sz w:val="22"/>
          <w:szCs w:val="22"/>
          <w:lang w:val="en-US"/>
        </w:rPr>
        <w:lastRenderedPageBreak/>
        <w:t>established; thereafter, normal replacement doses of ~8- 10mg/M</w:t>
      </w:r>
      <w:r w:rsidRPr="00416898">
        <w:rPr>
          <w:rFonts w:cs="Arial"/>
          <w:w w:val="105"/>
          <w:sz w:val="22"/>
          <w:szCs w:val="22"/>
          <w:vertAlign w:val="superscript"/>
          <w:lang w:val="en-US"/>
        </w:rPr>
        <w:t>2</w:t>
      </w:r>
      <w:r w:rsidRPr="00416898">
        <w:rPr>
          <w:rFonts w:cs="Arial"/>
          <w:w w:val="105"/>
          <w:sz w:val="22"/>
          <w:szCs w:val="22"/>
          <w:lang w:val="en-US"/>
        </w:rPr>
        <w:t xml:space="preserve">/day may be given in 3 divided oral doses daily. When initial diagnosis is established during an inpatient admission, or at a subsequent hospital stay, consideration should be given to administer the hydrocortisone via parenteral means, intravenously or via intramuscular injection. This precaution is advised as oral medication may be less absorbed due to the concomitant presence of candidiasis of the esophagus and lower GI tract which might impair absorption. Patients should also be advised to wear a Medic-Alert bracelet, necklace or key chain, so that cortisol treatment is not delayed should a patient be involved in a motor vehicle accident or be in coma due to adrenal crisis or hypoglycemia. There is evidence that the predilection for autoimmunity in persons with trisomy 21 (Downs syndrome) may also be due to abnormality in the </w:t>
      </w:r>
      <w:r w:rsidRPr="00416898">
        <w:rPr>
          <w:rFonts w:cs="Arial"/>
          <w:i/>
          <w:w w:val="105"/>
          <w:sz w:val="22"/>
          <w:szCs w:val="22"/>
          <w:lang w:val="en-US"/>
        </w:rPr>
        <w:t xml:space="preserve">AIRE </w:t>
      </w:r>
      <w:r w:rsidRPr="00416898">
        <w:rPr>
          <w:rFonts w:cs="Arial"/>
          <w:w w:val="105"/>
          <w:sz w:val="22"/>
          <w:szCs w:val="22"/>
          <w:lang w:val="en-US"/>
        </w:rPr>
        <w:t xml:space="preserve">gene </w:t>
      </w:r>
      <w:r w:rsidR="000B54B0" w:rsidRPr="00416898">
        <w:rPr>
          <w:rFonts w:cs="Arial"/>
          <w:w w:val="105"/>
          <w:sz w:val="22"/>
          <w:szCs w:val="22"/>
          <w:lang w:val="en-US"/>
        </w:rPr>
        <w:t>(</w:t>
      </w:r>
      <w:r w:rsidRPr="00416898">
        <w:rPr>
          <w:rFonts w:cs="Arial"/>
          <w:w w:val="105"/>
          <w:sz w:val="22"/>
          <w:szCs w:val="22"/>
          <w:lang w:val="en-US"/>
        </w:rPr>
        <w:t>9</w:t>
      </w:r>
      <w:r w:rsidR="000B54B0" w:rsidRPr="00416898">
        <w:rPr>
          <w:rFonts w:cs="Arial"/>
          <w:w w:val="105"/>
          <w:sz w:val="22"/>
          <w:szCs w:val="22"/>
          <w:lang w:val="en-US"/>
        </w:rPr>
        <w:t>)</w:t>
      </w:r>
      <w:r w:rsidR="009F54E3" w:rsidRPr="00416898">
        <w:rPr>
          <w:rFonts w:cs="Arial"/>
          <w:w w:val="105"/>
          <w:sz w:val="22"/>
          <w:szCs w:val="22"/>
          <w:lang w:val="en-US"/>
        </w:rPr>
        <w:t>.</w:t>
      </w:r>
      <w:r w:rsidRPr="00416898">
        <w:rPr>
          <w:rFonts w:cs="Arial"/>
          <w:w w:val="105"/>
          <w:sz w:val="22"/>
          <w:szCs w:val="22"/>
          <w:lang w:val="en-US"/>
        </w:rPr>
        <w:t xml:space="preserve"> Absent the classic triad of hypoparathyroidism, chronic mucocutaneous candidiasis, and primary adrenal insufficiency, or 2 of these three manifestations, it is likely that many cases are missed; the wide spectrum of potential presentations suggest that genetic testing via </w:t>
      </w:r>
      <w:r w:rsidRPr="00416898">
        <w:rPr>
          <w:rFonts w:cs="Arial"/>
          <w:i/>
          <w:w w:val="105"/>
          <w:sz w:val="22"/>
          <w:szCs w:val="22"/>
          <w:lang w:val="en-US"/>
        </w:rPr>
        <w:t xml:space="preserve">AIRE </w:t>
      </w:r>
      <w:r w:rsidRPr="00416898">
        <w:rPr>
          <w:rFonts w:cs="Arial"/>
          <w:w w:val="105"/>
          <w:sz w:val="22"/>
          <w:szCs w:val="22"/>
          <w:lang w:val="en-US"/>
        </w:rPr>
        <w:t>mutational analysis be considered in patients with hepatitis, chronic diarrhea, and periodic rash with fever</w:t>
      </w:r>
      <w:r w:rsidR="000B54B0" w:rsidRPr="00416898">
        <w:rPr>
          <w:rFonts w:cs="Arial"/>
          <w:w w:val="105"/>
          <w:sz w:val="22"/>
          <w:szCs w:val="22"/>
          <w:lang w:val="en-US"/>
        </w:rPr>
        <w:t xml:space="preserve"> (</w:t>
      </w:r>
      <w:r w:rsidRPr="00416898">
        <w:rPr>
          <w:rFonts w:cs="Arial"/>
          <w:w w:val="105"/>
          <w:sz w:val="22"/>
          <w:szCs w:val="22"/>
          <w:lang w:val="en-US"/>
        </w:rPr>
        <w:t>1</w:t>
      </w:r>
      <w:r w:rsidR="000B54B0" w:rsidRPr="00416898">
        <w:rPr>
          <w:rFonts w:cs="Arial"/>
          <w:w w:val="105"/>
          <w:sz w:val="22"/>
          <w:szCs w:val="22"/>
          <w:lang w:val="en-US"/>
        </w:rPr>
        <w:t>)</w:t>
      </w:r>
      <w:r w:rsidR="009F54E3" w:rsidRPr="00416898">
        <w:rPr>
          <w:rFonts w:cs="Arial"/>
          <w:w w:val="105"/>
          <w:sz w:val="22"/>
          <w:szCs w:val="22"/>
          <w:lang w:val="en-US"/>
        </w:rPr>
        <w:t>.</w:t>
      </w:r>
      <w:r w:rsidRPr="00416898">
        <w:rPr>
          <w:rFonts w:cs="Arial"/>
          <w:w w:val="105"/>
          <w:sz w:val="22"/>
          <w:szCs w:val="22"/>
          <w:lang w:val="en-US"/>
        </w:rPr>
        <w:t xml:space="preserve"> Recent reviews also</w:t>
      </w:r>
      <w:r w:rsidR="000B54B0" w:rsidRPr="00416898">
        <w:rPr>
          <w:rFonts w:cs="Arial"/>
          <w:w w:val="105"/>
          <w:sz w:val="22"/>
          <w:szCs w:val="22"/>
          <w:lang w:val="en-US"/>
        </w:rPr>
        <w:t xml:space="preserve"> </w:t>
      </w:r>
      <w:r w:rsidRPr="00416898">
        <w:rPr>
          <w:rFonts w:cs="Arial"/>
          <w:w w:val="105"/>
          <w:sz w:val="22"/>
          <w:szCs w:val="22"/>
          <w:lang w:val="en-US"/>
        </w:rPr>
        <w:t xml:space="preserve">raise the possibility of genetic manipulation of certain mutations to restore thymic surveillance at some future date </w:t>
      </w:r>
      <w:r w:rsidR="000B54B0" w:rsidRPr="00416898">
        <w:rPr>
          <w:rFonts w:cs="Arial"/>
          <w:w w:val="105"/>
          <w:sz w:val="22"/>
          <w:szCs w:val="22"/>
          <w:lang w:val="en-US"/>
        </w:rPr>
        <w:t>(</w:t>
      </w:r>
      <w:r w:rsidRPr="00416898">
        <w:rPr>
          <w:rFonts w:cs="Arial"/>
          <w:w w:val="105"/>
          <w:sz w:val="22"/>
          <w:szCs w:val="22"/>
          <w:lang w:val="en-US"/>
        </w:rPr>
        <w:t>2</w:t>
      </w:r>
      <w:r w:rsidR="000B54B0" w:rsidRPr="00416898">
        <w:rPr>
          <w:rFonts w:cs="Arial"/>
          <w:w w:val="105"/>
          <w:sz w:val="22"/>
          <w:szCs w:val="22"/>
          <w:lang w:val="en-US"/>
        </w:rPr>
        <w:t>)</w:t>
      </w:r>
      <w:r w:rsidR="009F54E3" w:rsidRPr="00416898">
        <w:rPr>
          <w:rFonts w:cs="Arial"/>
          <w:w w:val="105"/>
          <w:sz w:val="22"/>
          <w:szCs w:val="22"/>
          <w:lang w:val="en-US"/>
        </w:rPr>
        <w:t>.</w:t>
      </w:r>
      <w:r w:rsidR="001207D1" w:rsidRPr="00416898">
        <w:rPr>
          <w:rFonts w:cs="Arial"/>
          <w:sz w:val="22"/>
          <w:szCs w:val="22"/>
          <w:lang w:val="en-US"/>
        </w:rPr>
        <w:t xml:space="preserve"> Patients with APS-1 are best followed by a multi-disciplinary team led by a pediatric or adult endocrinologist at a</w:t>
      </w:r>
      <w:r w:rsidR="00ED4DDA" w:rsidRPr="00416898">
        <w:rPr>
          <w:rFonts w:cs="Arial"/>
          <w:sz w:val="22"/>
          <w:szCs w:val="22"/>
          <w:lang w:val="en-US"/>
        </w:rPr>
        <w:t>n</w:t>
      </w:r>
      <w:r w:rsidR="001207D1" w:rsidRPr="00416898">
        <w:rPr>
          <w:rFonts w:cs="Arial"/>
          <w:sz w:val="22"/>
          <w:szCs w:val="22"/>
          <w:lang w:val="en-US"/>
        </w:rPr>
        <w:t xml:space="preserve"> </w:t>
      </w:r>
      <w:r w:rsidR="00ED4DDA" w:rsidRPr="00416898">
        <w:rPr>
          <w:rFonts w:cs="Arial"/>
          <w:sz w:val="22"/>
          <w:szCs w:val="22"/>
          <w:lang w:val="en-US"/>
        </w:rPr>
        <w:t xml:space="preserve">academic medical </w:t>
      </w:r>
      <w:r w:rsidR="001207D1" w:rsidRPr="00416898">
        <w:rPr>
          <w:rFonts w:cs="Arial"/>
          <w:sz w:val="22"/>
          <w:szCs w:val="22"/>
          <w:lang w:val="en-US"/>
        </w:rPr>
        <w:t>center. Patients should have a minimum of two follow-up visits per year due to the complexity of the entity, and asymptomatic mutations carriers should be followed at least annually. It is mandatory to check all sibling</w:t>
      </w:r>
      <w:r w:rsidR="009F54E3" w:rsidRPr="00416898">
        <w:rPr>
          <w:rFonts w:cs="Arial"/>
          <w:sz w:val="22"/>
          <w:szCs w:val="22"/>
          <w:lang w:val="en-US"/>
        </w:rPr>
        <w:t>s</w:t>
      </w:r>
      <w:r w:rsidR="001207D1" w:rsidRPr="00416898">
        <w:rPr>
          <w:rFonts w:cs="Arial"/>
          <w:sz w:val="22"/>
          <w:szCs w:val="22"/>
          <w:lang w:val="en-US"/>
        </w:rPr>
        <w:t xml:space="preserve"> of APS-1 patients even if they are adult</w:t>
      </w:r>
      <w:r w:rsidR="009F54E3" w:rsidRPr="00416898">
        <w:rPr>
          <w:rFonts w:cs="Arial"/>
          <w:sz w:val="22"/>
          <w:szCs w:val="22"/>
          <w:lang w:val="en-US"/>
        </w:rPr>
        <w:t>s</w:t>
      </w:r>
      <w:r w:rsidR="001207D1" w:rsidRPr="00416898">
        <w:rPr>
          <w:rFonts w:cs="Arial"/>
          <w:sz w:val="22"/>
          <w:szCs w:val="22"/>
          <w:lang w:val="en-US"/>
        </w:rPr>
        <w:t xml:space="preserve"> and seemingly well. Screening for 21-hydroxylase and NALP5 antibodies is useful in assessing the risk of development of adrenal insufficiency and hypoparathyroidism, respectively.</w:t>
      </w:r>
    </w:p>
    <w:p w14:paraId="3254F247" w14:textId="77777777" w:rsidR="007E694D" w:rsidRPr="00416898" w:rsidRDefault="007E694D" w:rsidP="00C84278">
      <w:pPr>
        <w:pStyle w:val="Default"/>
        <w:spacing w:line="276" w:lineRule="auto"/>
        <w:rPr>
          <w:rFonts w:ascii="Arial" w:hAnsi="Arial" w:cs="Arial"/>
          <w:color w:val="auto"/>
          <w:sz w:val="22"/>
          <w:szCs w:val="22"/>
          <w:lang w:val="en-US"/>
        </w:rPr>
      </w:pPr>
    </w:p>
    <w:p w14:paraId="7FDF690D" w14:textId="77777777" w:rsidR="006E097C" w:rsidRPr="00701CD3" w:rsidRDefault="003C420F" w:rsidP="00C84278">
      <w:pPr>
        <w:pStyle w:val="Heading1"/>
        <w:spacing w:line="276" w:lineRule="auto"/>
        <w:ind w:left="0"/>
        <w:rPr>
          <w:rFonts w:cs="Arial"/>
          <w:color w:val="0070C0"/>
          <w:sz w:val="22"/>
          <w:szCs w:val="22"/>
          <w:lang w:val="en-US"/>
        </w:rPr>
      </w:pPr>
      <w:r w:rsidRPr="00701CD3">
        <w:rPr>
          <w:rFonts w:cs="Arial"/>
          <w:color w:val="0070C0"/>
          <w:w w:val="105"/>
          <w:sz w:val="22"/>
          <w:szCs w:val="22"/>
          <w:lang w:val="en-US"/>
        </w:rPr>
        <w:t>AUTOIMMUNE POLYGLANDULAR SYNDROME 2 (APS2a; SCHMIDT SYNDROME)</w:t>
      </w:r>
    </w:p>
    <w:p w14:paraId="38CE2111" w14:textId="77777777" w:rsidR="006E097C" w:rsidRPr="00416898" w:rsidRDefault="006E097C" w:rsidP="00C84278">
      <w:pPr>
        <w:pStyle w:val="BodyText"/>
        <w:spacing w:line="276" w:lineRule="auto"/>
        <w:rPr>
          <w:rFonts w:cs="Arial"/>
          <w:b/>
          <w:sz w:val="22"/>
          <w:szCs w:val="22"/>
          <w:lang w:val="en-US"/>
        </w:rPr>
      </w:pPr>
    </w:p>
    <w:p w14:paraId="56D76111" w14:textId="77777777" w:rsidR="00957981" w:rsidRPr="00416898" w:rsidRDefault="003C420F" w:rsidP="00C84278">
      <w:pPr>
        <w:pStyle w:val="BodyText"/>
        <w:spacing w:line="276" w:lineRule="auto"/>
        <w:rPr>
          <w:rFonts w:cs="Arial"/>
          <w:w w:val="105"/>
          <w:sz w:val="22"/>
          <w:szCs w:val="22"/>
          <w:lang w:val="en-US"/>
        </w:rPr>
      </w:pPr>
      <w:r w:rsidRPr="00416898">
        <w:rPr>
          <w:rFonts w:cs="Arial"/>
          <w:w w:val="105"/>
          <w:sz w:val="22"/>
          <w:szCs w:val="22"/>
          <w:lang w:val="en-US"/>
        </w:rPr>
        <w:t xml:space="preserve">APS2 is characterized by the triad of T1DM, Addison disease, and thyroid autoimmunity with hypothyroidism, hyperthyroidism, or Hashimoto thyroiditis; T1DM and Addison disease are obligatory components, but thyroid autoimmunity is </w:t>
      </w:r>
      <w:proofErr w:type="gramStart"/>
      <w:r w:rsidRPr="00416898">
        <w:rPr>
          <w:rFonts w:cs="Arial"/>
          <w:w w:val="105"/>
          <w:sz w:val="22"/>
          <w:szCs w:val="22"/>
          <w:lang w:val="en-US"/>
        </w:rPr>
        <w:t>not</w:t>
      </w:r>
      <w:proofErr w:type="gramEnd"/>
      <w:r w:rsidRPr="00416898">
        <w:rPr>
          <w:rFonts w:cs="Arial"/>
          <w:w w:val="105"/>
          <w:sz w:val="22"/>
          <w:szCs w:val="22"/>
          <w:lang w:val="en-US"/>
        </w:rPr>
        <w:t xml:space="preserve"> and a host of other autoimmune entities can also be associated. These entities include celiac disease, vitiligo, alopecia, myasthenia gravis, pernicious anemia, IgA deficiency, hepatitis</w:t>
      </w:r>
      <w:r w:rsidR="00054FCA" w:rsidRPr="00416898">
        <w:rPr>
          <w:rFonts w:cs="Arial"/>
          <w:w w:val="105"/>
          <w:sz w:val="22"/>
          <w:szCs w:val="22"/>
          <w:lang w:val="en-US"/>
        </w:rPr>
        <w:t>,</w:t>
      </w:r>
      <w:r w:rsidRPr="00416898">
        <w:rPr>
          <w:rFonts w:cs="Arial"/>
          <w:w w:val="105"/>
          <w:sz w:val="22"/>
          <w:szCs w:val="22"/>
          <w:lang w:val="en-US"/>
        </w:rPr>
        <w:t xml:space="preserve"> and hypogonadism. Peak prevalence is in the range of 20-40 years of age. In keeping with an autoimmune basis, the syndrome is more prevalent in females and associated with specific HLA DR3 and DR4 haplotypes and with the class II HLA alleles DQ2 and DQ8, also strongly linked to celiac disease. Autoantibodies to islet cell components (GAD65, IA2, ZnT8), thyroid (anti thyroglobulin TG, anti-thyroid peroxidase TPO), adrenal leading to Addison disease (anti-21-hydroxylase or anti 17-hydroxylase), and</w:t>
      </w:r>
      <w:r w:rsidR="00A70DA0" w:rsidRPr="00416898">
        <w:rPr>
          <w:rFonts w:cs="Arial"/>
          <w:sz w:val="22"/>
          <w:szCs w:val="22"/>
          <w:lang w:val="en-US"/>
        </w:rPr>
        <w:t xml:space="preserve"> </w:t>
      </w:r>
      <w:r w:rsidRPr="00416898">
        <w:rPr>
          <w:rFonts w:cs="Arial"/>
          <w:w w:val="105"/>
          <w:sz w:val="22"/>
          <w:szCs w:val="22"/>
          <w:lang w:val="en-US"/>
        </w:rPr>
        <w:t>celiac disease (tissue transglutaminase and gliadin) are commonly present and should be periodically sought in those with one or more autoimmune endocrinopathies such as Addison disease and T1DM. Specific treatment for each entity should be continued in the hospital, with cortisol dosage adjusted for stress</w:t>
      </w:r>
      <w:r w:rsidR="00940F0B" w:rsidRPr="00416898">
        <w:rPr>
          <w:rFonts w:cs="Arial"/>
          <w:w w:val="105"/>
          <w:sz w:val="22"/>
          <w:szCs w:val="22"/>
          <w:lang w:val="en-US"/>
        </w:rPr>
        <w:t xml:space="preserve"> </w:t>
      </w:r>
      <w:r w:rsidR="0079470F" w:rsidRPr="00416898">
        <w:rPr>
          <w:rFonts w:cs="Arial"/>
          <w:w w:val="105"/>
          <w:sz w:val="22"/>
          <w:szCs w:val="22"/>
          <w:lang w:val="en-US"/>
        </w:rPr>
        <w:t>(</w:t>
      </w:r>
      <w:r w:rsidRPr="00416898">
        <w:rPr>
          <w:rFonts w:cs="Arial"/>
          <w:w w:val="105"/>
          <w:sz w:val="22"/>
          <w:szCs w:val="22"/>
          <w:lang w:val="en-US"/>
        </w:rPr>
        <w:t>8</w:t>
      </w:r>
      <w:r w:rsidR="0079470F" w:rsidRPr="00416898">
        <w:rPr>
          <w:rFonts w:cs="Arial"/>
          <w:w w:val="105"/>
          <w:sz w:val="22"/>
          <w:szCs w:val="22"/>
          <w:lang w:val="en-US"/>
        </w:rPr>
        <w:t>)</w:t>
      </w:r>
      <w:r w:rsidR="00054FCA" w:rsidRPr="00416898">
        <w:rPr>
          <w:rFonts w:cs="Arial"/>
          <w:w w:val="105"/>
          <w:sz w:val="22"/>
          <w:szCs w:val="22"/>
          <w:lang w:val="en-US"/>
        </w:rPr>
        <w:t>.</w:t>
      </w:r>
      <w:r w:rsidRPr="00416898">
        <w:rPr>
          <w:rFonts w:cs="Arial"/>
          <w:w w:val="105"/>
          <w:sz w:val="22"/>
          <w:szCs w:val="22"/>
          <w:lang w:val="en-US"/>
        </w:rPr>
        <w:t xml:space="preserve"> A mechanism by which viral disease may trigger autoimmunity in the gut leading to celiac disease has recently been proposed and may have relevance to the other auto-immune diseases that form this entity</w:t>
      </w:r>
      <w:r w:rsidR="00054FCA" w:rsidRPr="00416898">
        <w:rPr>
          <w:rFonts w:cs="Arial"/>
          <w:w w:val="105"/>
          <w:sz w:val="22"/>
          <w:szCs w:val="22"/>
          <w:lang w:val="en-US"/>
        </w:rPr>
        <w:t xml:space="preserve"> </w:t>
      </w:r>
      <w:r w:rsidR="0079470F" w:rsidRPr="00416898">
        <w:rPr>
          <w:rFonts w:cs="Arial"/>
          <w:w w:val="105"/>
          <w:sz w:val="22"/>
          <w:szCs w:val="22"/>
          <w:lang w:val="en-US"/>
        </w:rPr>
        <w:t>(</w:t>
      </w:r>
      <w:r w:rsidR="00C4216B" w:rsidRPr="00416898">
        <w:rPr>
          <w:rFonts w:cs="Arial"/>
          <w:w w:val="105"/>
          <w:sz w:val="22"/>
          <w:szCs w:val="22"/>
          <w:lang w:val="en-US"/>
        </w:rPr>
        <w:t>29</w:t>
      </w:r>
      <w:r w:rsidR="0079470F" w:rsidRPr="00416898">
        <w:rPr>
          <w:rFonts w:cs="Arial"/>
          <w:w w:val="105"/>
          <w:sz w:val="22"/>
          <w:szCs w:val="22"/>
          <w:lang w:val="en-US"/>
        </w:rPr>
        <w:t>)</w:t>
      </w:r>
      <w:r w:rsidR="00054FCA" w:rsidRPr="00416898">
        <w:rPr>
          <w:rFonts w:cs="Arial"/>
          <w:w w:val="105"/>
          <w:sz w:val="22"/>
          <w:szCs w:val="22"/>
          <w:lang w:val="en-US"/>
        </w:rPr>
        <w:t>.</w:t>
      </w:r>
    </w:p>
    <w:p w14:paraId="1FB3A57D" w14:textId="77777777" w:rsidR="00A70DA0" w:rsidRPr="00416898" w:rsidRDefault="00A70DA0" w:rsidP="00C84278">
      <w:pPr>
        <w:pStyle w:val="BodyText"/>
        <w:spacing w:line="276" w:lineRule="auto"/>
        <w:rPr>
          <w:rFonts w:cs="Arial"/>
          <w:w w:val="105"/>
          <w:sz w:val="22"/>
          <w:szCs w:val="22"/>
          <w:lang w:val="en-US"/>
        </w:rPr>
      </w:pPr>
    </w:p>
    <w:p w14:paraId="49E07DDB" w14:textId="77777777" w:rsidR="001A1887" w:rsidRPr="00416898" w:rsidRDefault="001A1887" w:rsidP="00C84278">
      <w:pPr>
        <w:pStyle w:val="BodyText"/>
        <w:spacing w:line="276" w:lineRule="auto"/>
        <w:rPr>
          <w:rFonts w:eastAsia="Calibri" w:cs="Arial"/>
          <w:sz w:val="22"/>
          <w:szCs w:val="22"/>
          <w:lang w:val="en-US" w:eastAsia="en-GB"/>
        </w:rPr>
      </w:pPr>
      <w:r w:rsidRPr="00416898">
        <w:rPr>
          <w:rFonts w:cs="Arial"/>
          <w:sz w:val="22"/>
          <w:szCs w:val="22"/>
          <w:lang w:val="en-US"/>
        </w:rPr>
        <w:lastRenderedPageBreak/>
        <w:t xml:space="preserve">The onset of APS-2 typically appears later than APS-1, </w:t>
      </w:r>
      <w:r w:rsidR="00ED4DDA" w:rsidRPr="00416898">
        <w:rPr>
          <w:rFonts w:cs="Arial"/>
          <w:sz w:val="22"/>
          <w:szCs w:val="22"/>
          <w:lang w:val="en-US"/>
        </w:rPr>
        <w:t xml:space="preserve">mostly </w:t>
      </w:r>
      <w:r w:rsidRPr="00416898">
        <w:rPr>
          <w:rFonts w:cs="Arial"/>
          <w:sz w:val="22"/>
          <w:szCs w:val="22"/>
          <w:lang w:val="en-US"/>
        </w:rPr>
        <w:t>in young adulthood. Currently, there are no unique tests to detect patients with APS-</w:t>
      </w:r>
      <w:proofErr w:type="gramStart"/>
      <w:r w:rsidRPr="00416898">
        <w:rPr>
          <w:rFonts w:cs="Arial"/>
          <w:sz w:val="22"/>
          <w:szCs w:val="22"/>
          <w:lang w:val="en-US"/>
        </w:rPr>
        <w:t>2, but</w:t>
      </w:r>
      <w:proofErr w:type="gramEnd"/>
      <w:r w:rsidRPr="00416898">
        <w:rPr>
          <w:rFonts w:cs="Arial"/>
          <w:sz w:val="22"/>
          <w:szCs w:val="22"/>
          <w:lang w:val="en-US"/>
        </w:rPr>
        <w:t xml:space="preserve"> testing for autoantibodies may be helpful in assessing disease risk, since the relevant autoantibodies are frequently detectable years before disease onset. </w:t>
      </w:r>
      <w:r w:rsidRPr="00416898">
        <w:rPr>
          <w:rFonts w:eastAsia="Calibri" w:cs="Arial"/>
          <w:sz w:val="22"/>
          <w:szCs w:val="22"/>
          <w:lang w:val="en-US" w:eastAsia="en-GB"/>
        </w:rPr>
        <w:t>Despite the major advancement in identification of disease genes, the heritability of APS-2 is complex.</w:t>
      </w:r>
      <w:r w:rsidR="00B27858" w:rsidRPr="00416898">
        <w:rPr>
          <w:rFonts w:cs="Arial"/>
          <w:sz w:val="22"/>
          <w:szCs w:val="22"/>
          <w:lang w:val="en-US"/>
        </w:rPr>
        <w:t xml:space="preserve"> </w:t>
      </w:r>
      <w:r w:rsidRPr="00416898">
        <w:rPr>
          <w:rFonts w:eastAsia="Calibri" w:cs="Arial"/>
          <w:sz w:val="22"/>
          <w:szCs w:val="22"/>
          <w:lang w:val="en-US" w:eastAsia="en-GB"/>
        </w:rPr>
        <w:t>Some authors propose splitting this syndrome into further subtypes, but there is little evidence for distinct etio</w:t>
      </w:r>
      <w:r w:rsidR="00054FCA" w:rsidRPr="00416898">
        <w:rPr>
          <w:rFonts w:eastAsia="Calibri" w:cs="Arial"/>
          <w:sz w:val="22"/>
          <w:szCs w:val="22"/>
          <w:lang w:val="en-US" w:eastAsia="en-GB"/>
        </w:rPr>
        <w:t>lo</w:t>
      </w:r>
      <w:r w:rsidRPr="00416898">
        <w:rPr>
          <w:rFonts w:eastAsia="Calibri" w:cs="Arial"/>
          <w:sz w:val="22"/>
          <w:szCs w:val="22"/>
          <w:lang w:val="en-US" w:eastAsia="en-GB"/>
        </w:rPr>
        <w:t>g</w:t>
      </w:r>
      <w:r w:rsidR="00054FCA" w:rsidRPr="00416898">
        <w:rPr>
          <w:rFonts w:eastAsia="Calibri" w:cs="Arial"/>
          <w:sz w:val="22"/>
          <w:szCs w:val="22"/>
          <w:lang w:val="en-US" w:eastAsia="en-GB"/>
        </w:rPr>
        <w:t>ies</w:t>
      </w:r>
      <w:r w:rsidRPr="00416898">
        <w:rPr>
          <w:rFonts w:eastAsia="Calibri" w:cs="Arial"/>
          <w:sz w:val="22"/>
          <w:szCs w:val="22"/>
          <w:lang w:val="en-US" w:eastAsia="en-GB"/>
        </w:rPr>
        <w:t xml:space="preserve"> in such subcategories, so the broader term APS-2 for all of these patients seems appropriate</w:t>
      </w:r>
      <w:r w:rsidR="00940F0B" w:rsidRPr="00416898">
        <w:rPr>
          <w:rFonts w:eastAsia="Calibri" w:cs="Arial"/>
          <w:sz w:val="22"/>
          <w:szCs w:val="22"/>
          <w:lang w:val="en-US" w:eastAsia="en-GB"/>
        </w:rPr>
        <w:t xml:space="preserve"> </w:t>
      </w:r>
      <w:r w:rsidR="0079470F" w:rsidRPr="00416898">
        <w:rPr>
          <w:rFonts w:eastAsia="Calibri" w:cs="Arial"/>
          <w:sz w:val="22"/>
          <w:szCs w:val="22"/>
          <w:lang w:val="en-US" w:eastAsia="en-GB"/>
        </w:rPr>
        <w:t>(</w:t>
      </w:r>
      <w:r w:rsidR="00C4216B" w:rsidRPr="00416898">
        <w:rPr>
          <w:rFonts w:eastAsia="Calibri" w:cs="Arial"/>
          <w:sz w:val="22"/>
          <w:szCs w:val="22"/>
          <w:lang w:val="en-US" w:eastAsia="en-GB"/>
        </w:rPr>
        <w:t>1</w:t>
      </w:r>
      <w:r w:rsidR="00F00741" w:rsidRPr="00416898">
        <w:rPr>
          <w:rFonts w:eastAsia="Calibri" w:cs="Arial"/>
          <w:sz w:val="22"/>
          <w:szCs w:val="22"/>
          <w:lang w:val="en-US" w:eastAsia="en-GB"/>
        </w:rPr>
        <w:t>1</w:t>
      </w:r>
      <w:r w:rsidR="0079470F" w:rsidRPr="00416898">
        <w:rPr>
          <w:rFonts w:eastAsia="Calibri" w:cs="Arial"/>
          <w:sz w:val="22"/>
          <w:szCs w:val="22"/>
          <w:lang w:val="en-US" w:eastAsia="en-GB"/>
        </w:rPr>
        <w:t>)</w:t>
      </w:r>
      <w:r w:rsidR="00054FCA" w:rsidRPr="00416898">
        <w:rPr>
          <w:rFonts w:eastAsia="Calibri" w:cs="Arial"/>
          <w:sz w:val="22"/>
          <w:szCs w:val="22"/>
          <w:lang w:val="en-US" w:eastAsia="en-GB"/>
        </w:rPr>
        <w:t>.</w:t>
      </w:r>
    </w:p>
    <w:p w14:paraId="44492568" w14:textId="77777777" w:rsidR="007E694D" w:rsidRPr="00416898" w:rsidRDefault="007E694D" w:rsidP="00C84278">
      <w:pPr>
        <w:pStyle w:val="BodyText"/>
        <w:spacing w:line="276" w:lineRule="auto"/>
        <w:rPr>
          <w:rFonts w:cs="Arial"/>
          <w:w w:val="105"/>
          <w:sz w:val="22"/>
          <w:szCs w:val="22"/>
          <w:lang w:val="en-US"/>
        </w:rPr>
      </w:pPr>
    </w:p>
    <w:p w14:paraId="452CE15F" w14:textId="77777777" w:rsidR="006E097C" w:rsidRPr="00416898" w:rsidRDefault="005E7CBF" w:rsidP="00C84278">
      <w:pPr>
        <w:pStyle w:val="BodyText"/>
        <w:spacing w:line="276" w:lineRule="auto"/>
        <w:rPr>
          <w:rFonts w:cs="Arial"/>
          <w:sz w:val="22"/>
          <w:szCs w:val="22"/>
          <w:lang w:val="en-US"/>
        </w:rPr>
      </w:pPr>
      <w:r w:rsidRPr="00416898">
        <w:rPr>
          <w:rFonts w:cs="Arial"/>
          <w:noProof/>
          <w:sz w:val="22"/>
          <w:szCs w:val="22"/>
          <w:lang w:val="en-US"/>
        </w:rPr>
        <w:drawing>
          <wp:inline distT="0" distB="0" distL="0" distR="0" wp14:anchorId="1372C819" wp14:editId="35731098">
            <wp:extent cx="6146800" cy="22225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46800" cy="2222500"/>
                    </a:xfrm>
                    <a:prstGeom prst="rect">
                      <a:avLst/>
                    </a:prstGeom>
                    <a:noFill/>
                    <a:ln>
                      <a:noFill/>
                    </a:ln>
                  </pic:spPr>
                </pic:pic>
              </a:graphicData>
            </a:graphic>
          </wp:inline>
        </w:drawing>
      </w:r>
    </w:p>
    <w:p w14:paraId="65CEC423" w14:textId="77777777" w:rsidR="006E097C" w:rsidRPr="00416898" w:rsidRDefault="00FE2C2E" w:rsidP="00C84278">
      <w:pPr>
        <w:pStyle w:val="Heading1"/>
        <w:spacing w:line="276" w:lineRule="auto"/>
        <w:ind w:left="0"/>
        <w:rPr>
          <w:rFonts w:cs="Arial"/>
          <w:sz w:val="22"/>
          <w:szCs w:val="22"/>
          <w:lang w:val="en-US"/>
        </w:rPr>
      </w:pPr>
      <w:r w:rsidRPr="00416898">
        <w:rPr>
          <w:rFonts w:cs="Arial"/>
          <w:w w:val="105"/>
          <w:sz w:val="22"/>
          <w:szCs w:val="22"/>
          <w:lang w:val="en-US"/>
        </w:rPr>
        <w:t xml:space="preserve">Figure 2. </w:t>
      </w:r>
      <w:r w:rsidR="003C420F" w:rsidRPr="00416898">
        <w:rPr>
          <w:rFonts w:cs="Arial"/>
          <w:w w:val="105"/>
          <w:sz w:val="22"/>
          <w:szCs w:val="22"/>
          <w:lang w:val="en-US"/>
        </w:rPr>
        <w:t>Illustrative Case</w:t>
      </w:r>
    </w:p>
    <w:p w14:paraId="48476F9F" w14:textId="77777777" w:rsidR="009325E8" w:rsidRPr="00416898" w:rsidRDefault="009325E8" w:rsidP="00C84278">
      <w:pPr>
        <w:tabs>
          <w:tab w:val="left" w:pos="3946"/>
        </w:tabs>
        <w:spacing w:line="276" w:lineRule="auto"/>
        <w:rPr>
          <w:b/>
          <w:w w:val="105"/>
        </w:rPr>
      </w:pPr>
    </w:p>
    <w:p w14:paraId="7791F8BB" w14:textId="77777777" w:rsidR="006E097C" w:rsidRPr="00416898" w:rsidRDefault="003C420F" w:rsidP="00C84278">
      <w:pPr>
        <w:pStyle w:val="BodyText"/>
        <w:spacing w:line="276" w:lineRule="auto"/>
        <w:rPr>
          <w:rFonts w:cs="Arial"/>
          <w:sz w:val="22"/>
          <w:szCs w:val="22"/>
          <w:lang w:val="en-US"/>
        </w:rPr>
      </w:pPr>
      <w:r w:rsidRPr="00416898">
        <w:rPr>
          <w:rFonts w:cs="Arial"/>
          <w:w w:val="105"/>
          <w:sz w:val="22"/>
          <w:szCs w:val="22"/>
          <w:lang w:val="en-US"/>
        </w:rPr>
        <w:t xml:space="preserve">A </w:t>
      </w:r>
      <w:r w:rsidR="00416898" w:rsidRPr="00416898">
        <w:rPr>
          <w:rFonts w:cs="Arial"/>
          <w:w w:val="105"/>
          <w:sz w:val="22"/>
          <w:szCs w:val="22"/>
          <w:lang w:val="en-US"/>
        </w:rPr>
        <w:t>16-year-old</w:t>
      </w:r>
      <w:r w:rsidRPr="00416898">
        <w:rPr>
          <w:rFonts w:cs="Arial"/>
          <w:w w:val="105"/>
          <w:sz w:val="22"/>
          <w:szCs w:val="22"/>
          <w:lang w:val="en-US"/>
        </w:rPr>
        <w:t xml:space="preserve"> girl was admitted to the hospital in coma and found to have profound hypoglycemia. Her physical findings were striking for pigmented patches on her tongue, gums, and lips and her skin was deeply suntanned (see figure 2). The mother related that her daughter has T1DM since age 12 and had been experiencing numerous hypoglycemic episodes unrelated to food intake or exercise. Accordingly, the dose of insulin had been reduced to about 50% of what it had been 3 months previously. She responded to glucose infusion and recovered full consciousness. Laboratory tests documented a marked elevation of ACTH, low morning cortisol, elevated antibodies to 21OH, and markedly elevated TSH with a low T4. Thus, this patient fulfills all </w:t>
      </w:r>
      <w:r w:rsidR="00FE2C2E" w:rsidRPr="00416898">
        <w:rPr>
          <w:rFonts w:cs="Arial"/>
          <w:w w:val="105"/>
          <w:sz w:val="22"/>
          <w:szCs w:val="22"/>
          <w:lang w:val="en-US"/>
        </w:rPr>
        <w:t xml:space="preserve">the </w:t>
      </w:r>
      <w:r w:rsidRPr="00416898">
        <w:rPr>
          <w:rFonts w:cs="Arial"/>
          <w:w w:val="105"/>
          <w:sz w:val="22"/>
          <w:szCs w:val="22"/>
          <w:lang w:val="en-US"/>
        </w:rPr>
        <w:t>criteria for APS2. The hypoglycemia was due to a combination of deficient hormonal counter-regulation (cortisol deficiency) as well as the delayed clearance of insulin as a result of hypothyroidism.</w:t>
      </w:r>
    </w:p>
    <w:p w14:paraId="36001333" w14:textId="77777777" w:rsidR="006E097C" w:rsidRPr="00416898" w:rsidRDefault="006E097C" w:rsidP="00C84278">
      <w:pPr>
        <w:pStyle w:val="BodyText"/>
        <w:spacing w:line="276" w:lineRule="auto"/>
        <w:rPr>
          <w:rFonts w:cs="Arial"/>
          <w:sz w:val="22"/>
          <w:szCs w:val="22"/>
          <w:lang w:val="en-US"/>
        </w:rPr>
      </w:pPr>
    </w:p>
    <w:p w14:paraId="3BED4958" w14:textId="77777777" w:rsidR="006E097C" w:rsidRPr="00701CD3" w:rsidRDefault="003C420F" w:rsidP="00C84278">
      <w:pPr>
        <w:pStyle w:val="Heading1"/>
        <w:spacing w:line="276" w:lineRule="auto"/>
        <w:ind w:left="0"/>
        <w:rPr>
          <w:rFonts w:cs="Arial"/>
          <w:color w:val="0070C0"/>
          <w:sz w:val="22"/>
          <w:szCs w:val="22"/>
          <w:lang w:val="en-US"/>
        </w:rPr>
      </w:pPr>
      <w:r w:rsidRPr="00701CD3">
        <w:rPr>
          <w:rFonts w:cs="Arial"/>
          <w:color w:val="0070C0"/>
          <w:w w:val="105"/>
          <w:sz w:val="22"/>
          <w:szCs w:val="22"/>
          <w:lang w:val="en-US"/>
        </w:rPr>
        <w:t>AUTOIMMUNE POLYGLANDULAR SYNDROME 3 (APS2b)</w:t>
      </w:r>
    </w:p>
    <w:p w14:paraId="19238931" w14:textId="77777777" w:rsidR="006E097C" w:rsidRPr="00416898" w:rsidRDefault="006E097C" w:rsidP="00C84278">
      <w:pPr>
        <w:pStyle w:val="BodyText"/>
        <w:spacing w:line="276" w:lineRule="auto"/>
        <w:rPr>
          <w:rFonts w:cs="Arial"/>
          <w:b/>
          <w:sz w:val="22"/>
          <w:szCs w:val="22"/>
          <w:lang w:val="en-US"/>
        </w:rPr>
      </w:pPr>
    </w:p>
    <w:p w14:paraId="0352D693" w14:textId="77777777" w:rsidR="00E00717" w:rsidRPr="00416898" w:rsidRDefault="003C420F" w:rsidP="00C84278">
      <w:pPr>
        <w:pStyle w:val="BodyText"/>
        <w:spacing w:line="276" w:lineRule="auto"/>
        <w:rPr>
          <w:rFonts w:cs="Arial"/>
          <w:w w:val="105"/>
          <w:sz w:val="22"/>
          <w:szCs w:val="22"/>
          <w:lang w:val="en-US"/>
        </w:rPr>
      </w:pPr>
      <w:r w:rsidRPr="00416898">
        <w:rPr>
          <w:rFonts w:cs="Arial"/>
          <w:w w:val="105"/>
          <w:sz w:val="22"/>
          <w:szCs w:val="22"/>
          <w:lang w:val="en-US"/>
        </w:rPr>
        <w:t xml:space="preserve">APS-3 also known as APS2b, is sometimes referred to as Carpenter’s syndrome, and has the same array of endocrine tissue autoimmune abnormalities as APS2, but without Addison disease. Almost 20% of patients with T1DM have thyroglobulin (TG) and thyroid peroxidase (TPO) antibodies, but only a minority progress to clinical or biochemical hypothyroidism, so APS3 (APS2b) could be considered as a relatively common disorder </w:t>
      </w:r>
      <w:r w:rsidR="0079470F" w:rsidRPr="00416898">
        <w:rPr>
          <w:rFonts w:cs="Arial"/>
          <w:w w:val="105"/>
          <w:sz w:val="22"/>
          <w:szCs w:val="22"/>
          <w:lang w:val="en-US"/>
        </w:rPr>
        <w:t>(</w:t>
      </w:r>
      <w:r w:rsidRPr="00416898">
        <w:rPr>
          <w:rFonts w:cs="Arial"/>
          <w:w w:val="105"/>
          <w:sz w:val="22"/>
          <w:szCs w:val="22"/>
          <w:lang w:val="en-US"/>
        </w:rPr>
        <w:t>9</w:t>
      </w:r>
      <w:r w:rsidR="0079470F" w:rsidRPr="00416898">
        <w:rPr>
          <w:rFonts w:cs="Arial"/>
          <w:w w:val="105"/>
          <w:sz w:val="22"/>
          <w:szCs w:val="22"/>
          <w:lang w:val="en-US"/>
        </w:rPr>
        <w:t>)</w:t>
      </w:r>
      <w:r w:rsidR="00FE2C2E" w:rsidRPr="00416898">
        <w:rPr>
          <w:rFonts w:cs="Arial"/>
          <w:w w:val="105"/>
          <w:sz w:val="22"/>
          <w:szCs w:val="22"/>
          <w:lang w:val="en-US"/>
        </w:rPr>
        <w:t>.</w:t>
      </w:r>
      <w:r w:rsidR="007E694D" w:rsidRPr="00416898">
        <w:rPr>
          <w:rFonts w:cs="Arial"/>
          <w:w w:val="105"/>
          <w:sz w:val="22"/>
          <w:szCs w:val="22"/>
          <w:lang w:val="en-US"/>
        </w:rPr>
        <w:t xml:space="preserve"> </w:t>
      </w:r>
      <w:r w:rsidR="00FE2C2E" w:rsidRPr="00416898">
        <w:rPr>
          <w:rFonts w:cs="Arial"/>
          <w:w w:val="105"/>
          <w:sz w:val="22"/>
          <w:szCs w:val="22"/>
          <w:lang w:val="en-US"/>
        </w:rPr>
        <w:t>The clinical features of APS 2 and 3 are shown in table 2.</w:t>
      </w:r>
    </w:p>
    <w:p w14:paraId="1BFE7A9B" w14:textId="77777777" w:rsidR="00FE2C2E" w:rsidRPr="00416898" w:rsidRDefault="00FE2C2E" w:rsidP="00C84278">
      <w:pPr>
        <w:pStyle w:val="BodyText"/>
        <w:spacing w:line="276" w:lineRule="auto"/>
        <w:rPr>
          <w:rFonts w:cs="Arial"/>
          <w:w w:val="105"/>
          <w:sz w:val="22"/>
          <w:szCs w:val="22"/>
          <w:lang w:val="en-US"/>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FE2C2E" w:rsidRPr="00416898" w14:paraId="2D122D06" w14:textId="77777777" w:rsidTr="00FE2C2E">
        <w:trPr>
          <w:trHeight w:hRule="exact" w:val="288"/>
        </w:trPr>
        <w:tc>
          <w:tcPr>
            <w:tcW w:w="9350" w:type="dxa"/>
            <w:gridSpan w:val="2"/>
            <w:shd w:val="clear" w:color="auto" w:fill="FFFF00"/>
          </w:tcPr>
          <w:p w14:paraId="0CB23E71" w14:textId="77777777" w:rsidR="00FE2C2E" w:rsidRPr="00416898" w:rsidRDefault="00FE2C2E" w:rsidP="00CC4CF5">
            <w:pPr>
              <w:pStyle w:val="TableParagraph"/>
              <w:spacing w:before="0" w:line="276" w:lineRule="auto"/>
              <w:ind w:left="0"/>
              <w:rPr>
                <w:b/>
              </w:rPr>
            </w:pPr>
            <w:r w:rsidRPr="00416898">
              <w:rPr>
                <w:b/>
                <w:w w:val="105"/>
              </w:rPr>
              <w:t>Table 2</w:t>
            </w:r>
            <w:r w:rsidR="008D52E8">
              <w:rPr>
                <w:b/>
                <w:w w:val="105"/>
              </w:rPr>
              <w:t>.</w:t>
            </w:r>
            <w:r w:rsidRPr="00416898">
              <w:rPr>
                <w:b/>
                <w:w w:val="105"/>
              </w:rPr>
              <w:t xml:space="preserve"> Clinical Features of APS2 and APS3</w:t>
            </w:r>
          </w:p>
        </w:tc>
      </w:tr>
      <w:tr w:rsidR="00FE2C2E" w:rsidRPr="00416898" w14:paraId="68594A67" w14:textId="77777777" w:rsidTr="00FE2C2E">
        <w:trPr>
          <w:trHeight w:hRule="exact" w:val="288"/>
        </w:trPr>
        <w:tc>
          <w:tcPr>
            <w:tcW w:w="4675" w:type="dxa"/>
          </w:tcPr>
          <w:p w14:paraId="2D560CF5" w14:textId="77777777" w:rsidR="00FE2C2E" w:rsidRPr="00416898" w:rsidRDefault="00FE2C2E" w:rsidP="00CC4CF5">
            <w:pPr>
              <w:pStyle w:val="TableParagraph"/>
              <w:spacing w:before="0" w:line="276" w:lineRule="auto"/>
              <w:ind w:left="0"/>
              <w:rPr>
                <w:b/>
              </w:rPr>
            </w:pPr>
            <w:r w:rsidRPr="00416898">
              <w:rPr>
                <w:b/>
                <w:w w:val="105"/>
              </w:rPr>
              <w:lastRenderedPageBreak/>
              <w:t>APS2</w:t>
            </w:r>
          </w:p>
        </w:tc>
        <w:tc>
          <w:tcPr>
            <w:tcW w:w="4675" w:type="dxa"/>
          </w:tcPr>
          <w:p w14:paraId="593BDB4F" w14:textId="77777777" w:rsidR="00FE2C2E" w:rsidRPr="00416898" w:rsidRDefault="00FE2C2E" w:rsidP="00CC4CF5">
            <w:pPr>
              <w:pStyle w:val="TableParagraph"/>
              <w:spacing w:before="0" w:line="276" w:lineRule="auto"/>
              <w:ind w:left="0"/>
              <w:rPr>
                <w:b/>
              </w:rPr>
            </w:pPr>
            <w:r w:rsidRPr="00416898">
              <w:rPr>
                <w:b/>
                <w:w w:val="105"/>
              </w:rPr>
              <w:t>APS3</w:t>
            </w:r>
          </w:p>
        </w:tc>
      </w:tr>
      <w:tr w:rsidR="00FE2C2E" w:rsidRPr="00416898" w14:paraId="4E86B6B2" w14:textId="77777777" w:rsidTr="00FE2C2E">
        <w:trPr>
          <w:trHeight w:hRule="exact" w:val="288"/>
        </w:trPr>
        <w:tc>
          <w:tcPr>
            <w:tcW w:w="4675" w:type="dxa"/>
          </w:tcPr>
          <w:p w14:paraId="4488300D" w14:textId="77777777" w:rsidR="00FE2C2E" w:rsidRPr="00416898" w:rsidRDefault="00FE2C2E" w:rsidP="00CC4CF5">
            <w:pPr>
              <w:pStyle w:val="TableParagraph"/>
              <w:spacing w:before="0" w:line="276" w:lineRule="auto"/>
              <w:ind w:left="0"/>
            </w:pPr>
            <w:r w:rsidRPr="00416898">
              <w:rPr>
                <w:w w:val="105"/>
              </w:rPr>
              <w:t>Type 1 Diabetes Mellitus</w:t>
            </w:r>
          </w:p>
        </w:tc>
        <w:tc>
          <w:tcPr>
            <w:tcW w:w="4675" w:type="dxa"/>
          </w:tcPr>
          <w:p w14:paraId="37A84C5F" w14:textId="77777777" w:rsidR="00FE2C2E" w:rsidRPr="00416898" w:rsidRDefault="00FE2C2E" w:rsidP="00CC4CF5">
            <w:pPr>
              <w:pStyle w:val="TableParagraph"/>
              <w:spacing w:before="0" w:line="276" w:lineRule="auto"/>
              <w:ind w:left="0"/>
            </w:pPr>
            <w:r w:rsidRPr="00416898">
              <w:rPr>
                <w:w w:val="105"/>
              </w:rPr>
              <w:t>Type 1 Diabetes Mellitus</w:t>
            </w:r>
          </w:p>
        </w:tc>
      </w:tr>
      <w:tr w:rsidR="00FE2C2E" w:rsidRPr="00416898" w14:paraId="119D331F" w14:textId="77777777" w:rsidTr="00FE2C2E">
        <w:trPr>
          <w:trHeight w:hRule="exact" w:val="288"/>
        </w:trPr>
        <w:tc>
          <w:tcPr>
            <w:tcW w:w="4675" w:type="dxa"/>
          </w:tcPr>
          <w:p w14:paraId="211BB0DE" w14:textId="77777777" w:rsidR="00FE2C2E" w:rsidRPr="00416898" w:rsidRDefault="00FE2C2E" w:rsidP="00CC4CF5">
            <w:pPr>
              <w:pStyle w:val="TableParagraph"/>
              <w:spacing w:before="0" w:line="276" w:lineRule="auto"/>
              <w:ind w:left="0"/>
              <w:rPr>
                <w:w w:val="105"/>
              </w:rPr>
            </w:pPr>
            <w:r w:rsidRPr="00416898">
              <w:rPr>
                <w:w w:val="105"/>
              </w:rPr>
              <w:t>Thyroid autoimmunity</w:t>
            </w:r>
          </w:p>
        </w:tc>
        <w:tc>
          <w:tcPr>
            <w:tcW w:w="4675" w:type="dxa"/>
          </w:tcPr>
          <w:p w14:paraId="3E5D0532" w14:textId="77777777" w:rsidR="00FE2C2E" w:rsidRPr="00416898" w:rsidRDefault="00FE2C2E" w:rsidP="00CC4CF5">
            <w:pPr>
              <w:pStyle w:val="TableParagraph"/>
              <w:spacing w:before="0" w:line="276" w:lineRule="auto"/>
              <w:ind w:left="0"/>
              <w:rPr>
                <w:w w:val="105"/>
              </w:rPr>
            </w:pPr>
            <w:r w:rsidRPr="00416898">
              <w:rPr>
                <w:w w:val="105"/>
              </w:rPr>
              <w:t>Thyroid autoimmunity</w:t>
            </w:r>
          </w:p>
        </w:tc>
      </w:tr>
      <w:tr w:rsidR="00FE2C2E" w:rsidRPr="00416898" w14:paraId="0B591BFF" w14:textId="77777777" w:rsidTr="00FE2C2E">
        <w:trPr>
          <w:trHeight w:hRule="exact" w:val="288"/>
        </w:trPr>
        <w:tc>
          <w:tcPr>
            <w:tcW w:w="4675" w:type="dxa"/>
          </w:tcPr>
          <w:p w14:paraId="56BEEB93" w14:textId="77777777" w:rsidR="00FE2C2E" w:rsidRPr="00416898" w:rsidRDefault="00FE2C2E" w:rsidP="00CC4CF5">
            <w:pPr>
              <w:pStyle w:val="TableParagraph"/>
              <w:spacing w:before="0" w:line="276" w:lineRule="auto"/>
              <w:ind w:left="0"/>
              <w:rPr>
                <w:w w:val="105"/>
              </w:rPr>
            </w:pPr>
            <w:r w:rsidRPr="00416898">
              <w:rPr>
                <w:w w:val="105"/>
              </w:rPr>
              <w:t>Adrenal Insufficiency</w:t>
            </w:r>
          </w:p>
        </w:tc>
        <w:tc>
          <w:tcPr>
            <w:tcW w:w="4675" w:type="dxa"/>
          </w:tcPr>
          <w:p w14:paraId="756052E5" w14:textId="77777777" w:rsidR="00FE2C2E" w:rsidRPr="00416898" w:rsidRDefault="00FE2C2E" w:rsidP="00CC4CF5">
            <w:pPr>
              <w:pStyle w:val="TableParagraph"/>
              <w:spacing w:before="0" w:line="276" w:lineRule="auto"/>
              <w:ind w:left="0"/>
              <w:rPr>
                <w:w w:val="105"/>
              </w:rPr>
            </w:pPr>
          </w:p>
        </w:tc>
      </w:tr>
    </w:tbl>
    <w:p w14:paraId="7493C267" w14:textId="77777777" w:rsidR="00FE2C2E" w:rsidRPr="00416898" w:rsidRDefault="00FE2C2E" w:rsidP="00C84278">
      <w:pPr>
        <w:pStyle w:val="BodyText"/>
        <w:spacing w:line="276" w:lineRule="auto"/>
        <w:rPr>
          <w:rFonts w:cs="Arial"/>
          <w:sz w:val="22"/>
          <w:szCs w:val="22"/>
          <w:lang w:val="en-US"/>
        </w:rPr>
      </w:pPr>
    </w:p>
    <w:p w14:paraId="6395CF2B" w14:textId="77777777" w:rsidR="00E00717" w:rsidRPr="00701CD3" w:rsidRDefault="00FE2C2E" w:rsidP="00C84278">
      <w:pPr>
        <w:pStyle w:val="BodyText"/>
        <w:spacing w:line="276" w:lineRule="auto"/>
        <w:rPr>
          <w:rFonts w:cs="Arial"/>
          <w:b/>
          <w:bCs/>
          <w:color w:val="0070C0"/>
          <w:sz w:val="22"/>
          <w:szCs w:val="22"/>
          <w:lang w:val="en-US"/>
        </w:rPr>
      </w:pPr>
      <w:r w:rsidRPr="00701CD3">
        <w:rPr>
          <w:rFonts w:cs="Arial"/>
          <w:b/>
          <w:bCs/>
          <w:color w:val="0070C0"/>
          <w:sz w:val="22"/>
          <w:szCs w:val="22"/>
          <w:lang w:val="en-US"/>
        </w:rPr>
        <w:t>TREATMENT OF APS2 and APS3</w:t>
      </w:r>
    </w:p>
    <w:p w14:paraId="0539983D" w14:textId="77777777" w:rsidR="00FE2C2E" w:rsidRPr="00416898" w:rsidRDefault="00FE2C2E" w:rsidP="00C84278">
      <w:pPr>
        <w:pStyle w:val="BodyText"/>
        <w:spacing w:line="276" w:lineRule="auto"/>
        <w:rPr>
          <w:rFonts w:cs="Arial"/>
          <w:sz w:val="22"/>
          <w:szCs w:val="22"/>
          <w:lang w:val="en-US"/>
        </w:rPr>
      </w:pPr>
    </w:p>
    <w:p w14:paraId="0D921A0E" w14:textId="77777777" w:rsidR="006E097C" w:rsidRPr="00416898" w:rsidRDefault="007E694D" w:rsidP="00C84278">
      <w:pPr>
        <w:pStyle w:val="BodyText"/>
        <w:spacing w:line="276" w:lineRule="auto"/>
        <w:rPr>
          <w:rFonts w:cs="Arial"/>
          <w:sz w:val="22"/>
          <w:szCs w:val="22"/>
          <w:lang w:val="en-US"/>
        </w:rPr>
      </w:pPr>
      <w:r w:rsidRPr="00416898">
        <w:rPr>
          <w:rFonts w:cs="Arial"/>
          <w:sz w:val="22"/>
          <w:szCs w:val="22"/>
          <w:lang w:val="en-US"/>
        </w:rPr>
        <w:t>Treatment of APS-2 should focus on replacement of missing hormones according to current guidelines for treating the main components of APS-2</w:t>
      </w:r>
      <w:r w:rsidR="00FE2C2E" w:rsidRPr="00416898">
        <w:rPr>
          <w:rFonts w:cs="Arial"/>
          <w:sz w:val="22"/>
          <w:szCs w:val="22"/>
          <w:lang w:val="en-US"/>
        </w:rPr>
        <w:t xml:space="preserve"> and 3</w:t>
      </w:r>
      <w:r w:rsidRPr="00416898">
        <w:rPr>
          <w:rFonts w:cs="Arial"/>
          <w:sz w:val="22"/>
          <w:szCs w:val="22"/>
          <w:lang w:val="en-US"/>
        </w:rPr>
        <w:t>. Physicians should be particularly aware that a patient with APS-2</w:t>
      </w:r>
      <w:r w:rsidR="00FE2C2E" w:rsidRPr="00416898">
        <w:rPr>
          <w:rFonts w:cs="Arial"/>
          <w:sz w:val="22"/>
          <w:szCs w:val="22"/>
          <w:lang w:val="en-US"/>
        </w:rPr>
        <w:t xml:space="preserve"> or 3</w:t>
      </w:r>
      <w:r w:rsidRPr="00416898">
        <w:rPr>
          <w:rFonts w:cs="Arial"/>
          <w:sz w:val="22"/>
          <w:szCs w:val="22"/>
          <w:lang w:val="en-US"/>
        </w:rPr>
        <w:t xml:space="preserve"> has an increased risk of developing another organ-specific autoimmune disease. Massive family accumulation of autoimmune diseases, especially with early debut could indicate a monogenic disease, possibly a “non-classical” APS-1 especially if vitiligo and pernicious anemia is prevalent</w:t>
      </w:r>
      <w:r w:rsidR="00FE2C2E" w:rsidRPr="00416898">
        <w:rPr>
          <w:rFonts w:cs="Arial"/>
          <w:sz w:val="22"/>
          <w:szCs w:val="22"/>
          <w:lang w:val="en-US"/>
        </w:rPr>
        <w:t xml:space="preserve"> </w:t>
      </w:r>
      <w:r w:rsidRPr="00416898">
        <w:rPr>
          <w:rFonts w:cs="Arial"/>
          <w:sz w:val="22"/>
          <w:szCs w:val="22"/>
          <w:lang w:val="en-US"/>
        </w:rPr>
        <w:t>(2)</w:t>
      </w:r>
      <w:r w:rsidR="00FE2C2E" w:rsidRPr="00416898">
        <w:rPr>
          <w:rFonts w:cs="Arial"/>
          <w:sz w:val="22"/>
          <w:szCs w:val="22"/>
          <w:lang w:val="en-US"/>
        </w:rPr>
        <w:t>.</w:t>
      </w:r>
      <w:r w:rsidRPr="00416898">
        <w:rPr>
          <w:rFonts w:cs="Arial"/>
          <w:sz w:val="22"/>
          <w:szCs w:val="22"/>
          <w:lang w:val="en-US"/>
        </w:rPr>
        <w:t xml:space="preserve"> </w:t>
      </w:r>
    </w:p>
    <w:p w14:paraId="38FE3FE9" w14:textId="77777777" w:rsidR="00FE2C2E" w:rsidRPr="00416898" w:rsidRDefault="00FE2C2E" w:rsidP="00C84278">
      <w:pPr>
        <w:pStyle w:val="BodyText"/>
        <w:spacing w:line="276" w:lineRule="auto"/>
        <w:rPr>
          <w:rFonts w:cs="Arial"/>
          <w:sz w:val="22"/>
          <w:szCs w:val="22"/>
          <w:lang w:val="en-US"/>
        </w:rPr>
      </w:pPr>
    </w:p>
    <w:p w14:paraId="0CE6A9A9" w14:textId="77777777" w:rsidR="006E097C" w:rsidRPr="00701CD3" w:rsidRDefault="003C420F" w:rsidP="00C84278">
      <w:pPr>
        <w:pStyle w:val="Heading1"/>
        <w:spacing w:line="276" w:lineRule="auto"/>
        <w:ind w:left="0"/>
        <w:rPr>
          <w:rFonts w:cs="Arial"/>
          <w:color w:val="0070C0"/>
          <w:sz w:val="22"/>
          <w:szCs w:val="22"/>
          <w:lang w:val="en-US"/>
        </w:rPr>
      </w:pPr>
      <w:r w:rsidRPr="00701CD3">
        <w:rPr>
          <w:rFonts w:cs="Arial"/>
          <w:color w:val="0070C0"/>
          <w:w w:val="105"/>
          <w:sz w:val="22"/>
          <w:szCs w:val="22"/>
          <w:lang w:val="en-US"/>
        </w:rPr>
        <w:t>ADRENAL INSUFFICIENCY</w:t>
      </w:r>
    </w:p>
    <w:p w14:paraId="08076DF9" w14:textId="77777777" w:rsidR="006E097C" w:rsidRPr="00416898" w:rsidRDefault="006E097C" w:rsidP="00C84278">
      <w:pPr>
        <w:pStyle w:val="BodyText"/>
        <w:spacing w:line="276" w:lineRule="auto"/>
        <w:rPr>
          <w:rFonts w:cs="Arial"/>
          <w:b/>
          <w:sz w:val="22"/>
          <w:szCs w:val="22"/>
          <w:lang w:val="en-US"/>
        </w:rPr>
      </w:pPr>
    </w:p>
    <w:p w14:paraId="20129811" w14:textId="77777777" w:rsidR="006E097C" w:rsidRPr="00416898" w:rsidRDefault="003C420F" w:rsidP="00C84278">
      <w:pPr>
        <w:pStyle w:val="BodyText"/>
        <w:spacing w:line="276" w:lineRule="auto"/>
        <w:rPr>
          <w:rFonts w:cs="Arial"/>
          <w:w w:val="105"/>
          <w:sz w:val="22"/>
          <w:szCs w:val="22"/>
          <w:lang w:val="en-US"/>
        </w:rPr>
      </w:pPr>
      <w:r w:rsidRPr="00416898">
        <w:rPr>
          <w:rFonts w:cs="Arial"/>
          <w:w w:val="105"/>
          <w:sz w:val="22"/>
          <w:szCs w:val="22"/>
          <w:lang w:val="en-US"/>
        </w:rPr>
        <w:t>Since adrenal insufficiency is a hallmark feature of APS1 and 2a syndromes, and since it is the most life threatening, we briefly review the crucial role of the adrenal in metabolic homeostasis. During stress, cortisol produced by the zona fasciculata of the adrenal gland is required to maintain normoglycemia and hemodynamic stability. Cortisol regulates carbohydrate metabolism to maintain normoglycemia, decreases capillary permeability to maintain a normal blood pressure, and is required for activating enzymatic activity to convert norepinephrine to epinephrine. Cortisol production is under the regulation of the hypothalamus and pituitary. The hypothalamic-pituitary-adrenal (HPA) axis is mediated through the circulating level of plasma cortisol by negative feedback of cortisol on corticotropin releasing factor (CRF) and ACTH secretion. Aldosterone produced by the zona glomerulosa is predominantly regulated by the renin-angiotensin system. Aldosterone stimulates the kidneys to reabsorb sodium and water and excrete potassium. At high concentrations, cortisol can also act on the mineralocorticoid receptor to increase sodium and water retention as the activity of 11β-hydroxysteroid-dehydrogenase 2 which inactivates cortisol to cortisone is overwhelmed.</w:t>
      </w:r>
    </w:p>
    <w:p w14:paraId="046076E8" w14:textId="77777777" w:rsidR="00427F40" w:rsidRPr="00416898" w:rsidRDefault="00427F40" w:rsidP="00C84278">
      <w:pPr>
        <w:pStyle w:val="BodyText"/>
        <w:spacing w:line="276" w:lineRule="auto"/>
        <w:rPr>
          <w:rFonts w:cs="Arial"/>
          <w:sz w:val="22"/>
          <w:szCs w:val="22"/>
          <w:lang w:val="en-US"/>
        </w:rPr>
      </w:pPr>
    </w:p>
    <w:p w14:paraId="03BE54A3" w14:textId="77777777" w:rsidR="006E097C" w:rsidRPr="00416898" w:rsidRDefault="003C420F" w:rsidP="00C84278">
      <w:pPr>
        <w:pStyle w:val="BodyText"/>
        <w:spacing w:line="276" w:lineRule="auto"/>
        <w:rPr>
          <w:rFonts w:cs="Arial"/>
          <w:sz w:val="22"/>
          <w:szCs w:val="22"/>
          <w:lang w:val="en-US"/>
        </w:rPr>
      </w:pPr>
      <w:r w:rsidRPr="00416898">
        <w:rPr>
          <w:rFonts w:cs="Arial"/>
          <w:w w:val="105"/>
          <w:sz w:val="22"/>
          <w:szCs w:val="22"/>
          <w:lang w:val="en-US"/>
        </w:rPr>
        <w:t>Presentation of adrenal insufficiency is often chronic, presenting with fatigue, anorexia</w:t>
      </w:r>
      <w:r w:rsidR="00427F40" w:rsidRPr="00416898">
        <w:rPr>
          <w:rFonts w:cs="Arial"/>
          <w:w w:val="105"/>
          <w:sz w:val="22"/>
          <w:szCs w:val="22"/>
          <w:lang w:val="en-US"/>
        </w:rPr>
        <w:t>,</w:t>
      </w:r>
      <w:r w:rsidRPr="00416898">
        <w:rPr>
          <w:rFonts w:cs="Arial"/>
          <w:w w:val="105"/>
          <w:sz w:val="22"/>
          <w:szCs w:val="22"/>
          <w:lang w:val="en-US"/>
        </w:rPr>
        <w:t xml:space="preserve"> and weight loss; hyperpigmentation of the buccal mucosa and skin creases or generalized tanning of the skin occur with primary adrenal insufficiency from the excess of melanocyte stimulating hormone produced as a byproduct in the formation of excess ACTH.</w:t>
      </w:r>
    </w:p>
    <w:p w14:paraId="37C1A717" w14:textId="77777777" w:rsidR="006E097C" w:rsidRPr="00416898" w:rsidRDefault="006E097C" w:rsidP="00C84278">
      <w:pPr>
        <w:pStyle w:val="BodyText"/>
        <w:spacing w:line="276" w:lineRule="auto"/>
        <w:rPr>
          <w:rFonts w:cs="Arial"/>
          <w:sz w:val="22"/>
          <w:szCs w:val="22"/>
          <w:lang w:val="en-US"/>
        </w:rPr>
      </w:pPr>
    </w:p>
    <w:p w14:paraId="1B33E7D6" w14:textId="77777777" w:rsidR="006E097C" w:rsidRPr="00416898" w:rsidRDefault="003C420F" w:rsidP="00C84278">
      <w:pPr>
        <w:pStyle w:val="BodyText"/>
        <w:spacing w:line="276" w:lineRule="auto"/>
        <w:rPr>
          <w:rFonts w:cs="Arial"/>
          <w:sz w:val="22"/>
          <w:szCs w:val="22"/>
          <w:lang w:val="en-US"/>
        </w:rPr>
      </w:pPr>
      <w:r w:rsidRPr="00416898">
        <w:rPr>
          <w:rFonts w:cs="Arial"/>
          <w:w w:val="105"/>
          <w:sz w:val="22"/>
          <w:szCs w:val="22"/>
          <w:lang w:val="en-US"/>
        </w:rPr>
        <w:t>Adrenal insufficiency can be caused by primary adrenal disease or dysfunction of the HPA axis (secondary adrenal insufficiency). The most common etiologies of primary adrenal disease in children, adolescents and young adults include autoimmune disease, retroperitoneal trauma</w:t>
      </w:r>
      <w:r w:rsidR="00427F40" w:rsidRPr="00416898">
        <w:rPr>
          <w:rFonts w:cs="Arial"/>
          <w:w w:val="105"/>
          <w:sz w:val="22"/>
          <w:szCs w:val="22"/>
          <w:lang w:val="en-US"/>
        </w:rPr>
        <w:t>,</w:t>
      </w:r>
      <w:r w:rsidRPr="00416898">
        <w:rPr>
          <w:rFonts w:cs="Arial"/>
          <w:w w:val="105"/>
          <w:sz w:val="22"/>
          <w:szCs w:val="22"/>
          <w:lang w:val="en-US"/>
        </w:rPr>
        <w:t xml:space="preserve"> and rare genetic syndromes involving the formation of the adrenal gland, the biosynthetic formation of cortisol and the ability of the adrenal gland to respond to ACTH. Severe defects may present in the neonatal period or may be unmasked later in life by the requirement for higher secretion during a physiological stress situation such as </w:t>
      </w:r>
      <w:r w:rsidRPr="00416898">
        <w:rPr>
          <w:rFonts w:cs="Arial"/>
          <w:w w:val="105"/>
          <w:sz w:val="22"/>
          <w:szCs w:val="22"/>
          <w:lang w:val="en-US"/>
        </w:rPr>
        <w:lastRenderedPageBreak/>
        <w:t>sepsis or trauma. Secondary adrenal insufficiency is most commonly caused by damage to the hypothalamus or pituitary gland by trauma or neurological surgery or impingement on these structures by a tumor or mass;</w:t>
      </w:r>
      <w:r w:rsidRPr="00416898">
        <w:rPr>
          <w:rFonts w:cs="Arial"/>
          <w:spacing w:val="-6"/>
          <w:w w:val="105"/>
          <w:sz w:val="22"/>
          <w:szCs w:val="22"/>
          <w:lang w:val="en-US"/>
        </w:rPr>
        <w:t xml:space="preserve"> </w:t>
      </w:r>
      <w:r w:rsidRPr="00416898">
        <w:rPr>
          <w:rFonts w:cs="Arial"/>
          <w:w w:val="105"/>
          <w:sz w:val="22"/>
          <w:szCs w:val="22"/>
          <w:lang w:val="en-US"/>
        </w:rPr>
        <w:t>congenital</w:t>
      </w:r>
      <w:r w:rsidRPr="00416898">
        <w:rPr>
          <w:rFonts w:cs="Arial"/>
          <w:spacing w:val="-5"/>
          <w:w w:val="105"/>
          <w:sz w:val="22"/>
          <w:szCs w:val="22"/>
          <w:lang w:val="en-US"/>
        </w:rPr>
        <w:t xml:space="preserve"> </w:t>
      </w:r>
      <w:r w:rsidRPr="00416898">
        <w:rPr>
          <w:rFonts w:cs="Arial"/>
          <w:w w:val="105"/>
          <w:sz w:val="22"/>
          <w:szCs w:val="22"/>
          <w:lang w:val="en-US"/>
        </w:rPr>
        <w:t>defects</w:t>
      </w:r>
      <w:r w:rsidRPr="00416898">
        <w:rPr>
          <w:rFonts w:cs="Arial"/>
          <w:spacing w:val="-4"/>
          <w:w w:val="105"/>
          <w:sz w:val="22"/>
          <w:szCs w:val="22"/>
          <w:lang w:val="en-US"/>
        </w:rPr>
        <w:t xml:space="preserve"> </w:t>
      </w:r>
      <w:r w:rsidRPr="00416898">
        <w:rPr>
          <w:rFonts w:cs="Arial"/>
          <w:w w:val="105"/>
          <w:sz w:val="22"/>
          <w:szCs w:val="22"/>
          <w:lang w:val="en-US"/>
        </w:rPr>
        <w:t>of</w:t>
      </w:r>
      <w:r w:rsidRPr="00416898">
        <w:rPr>
          <w:rFonts w:cs="Arial"/>
          <w:spacing w:val="-5"/>
          <w:w w:val="105"/>
          <w:sz w:val="22"/>
          <w:szCs w:val="22"/>
          <w:lang w:val="en-US"/>
        </w:rPr>
        <w:t xml:space="preserve"> </w:t>
      </w:r>
      <w:r w:rsidRPr="00416898">
        <w:rPr>
          <w:rFonts w:cs="Arial"/>
          <w:w w:val="105"/>
          <w:sz w:val="22"/>
          <w:szCs w:val="22"/>
          <w:lang w:val="en-US"/>
        </w:rPr>
        <w:t>isolated</w:t>
      </w:r>
      <w:r w:rsidRPr="00416898">
        <w:rPr>
          <w:rFonts w:cs="Arial"/>
          <w:spacing w:val="-3"/>
          <w:w w:val="105"/>
          <w:sz w:val="22"/>
          <w:szCs w:val="22"/>
          <w:lang w:val="en-US"/>
        </w:rPr>
        <w:t xml:space="preserve"> </w:t>
      </w:r>
      <w:r w:rsidRPr="00416898">
        <w:rPr>
          <w:rFonts w:cs="Arial"/>
          <w:w w:val="105"/>
          <w:sz w:val="22"/>
          <w:szCs w:val="22"/>
          <w:lang w:val="en-US"/>
        </w:rPr>
        <w:t>ACTH</w:t>
      </w:r>
      <w:r w:rsidRPr="00416898">
        <w:rPr>
          <w:rFonts w:cs="Arial"/>
          <w:spacing w:val="-4"/>
          <w:w w:val="105"/>
          <w:sz w:val="22"/>
          <w:szCs w:val="22"/>
          <w:lang w:val="en-US"/>
        </w:rPr>
        <w:t xml:space="preserve"> </w:t>
      </w:r>
      <w:r w:rsidRPr="00416898">
        <w:rPr>
          <w:rFonts w:cs="Arial"/>
          <w:w w:val="105"/>
          <w:sz w:val="22"/>
          <w:szCs w:val="22"/>
          <w:lang w:val="en-US"/>
        </w:rPr>
        <w:t>formation</w:t>
      </w:r>
      <w:r w:rsidRPr="00416898">
        <w:rPr>
          <w:rFonts w:cs="Arial"/>
          <w:spacing w:val="-3"/>
          <w:w w:val="105"/>
          <w:sz w:val="22"/>
          <w:szCs w:val="22"/>
          <w:lang w:val="en-US"/>
        </w:rPr>
        <w:t xml:space="preserve"> </w:t>
      </w:r>
      <w:r w:rsidRPr="00416898">
        <w:rPr>
          <w:rFonts w:cs="Arial"/>
          <w:w w:val="105"/>
          <w:sz w:val="22"/>
          <w:szCs w:val="22"/>
          <w:lang w:val="en-US"/>
        </w:rPr>
        <w:t>or</w:t>
      </w:r>
      <w:r w:rsidRPr="00416898">
        <w:rPr>
          <w:rFonts w:cs="Arial"/>
          <w:spacing w:val="-4"/>
          <w:w w:val="105"/>
          <w:sz w:val="22"/>
          <w:szCs w:val="22"/>
          <w:lang w:val="en-US"/>
        </w:rPr>
        <w:t xml:space="preserve"> </w:t>
      </w:r>
      <w:r w:rsidRPr="00416898">
        <w:rPr>
          <w:rFonts w:cs="Arial"/>
          <w:w w:val="105"/>
          <w:sz w:val="22"/>
          <w:szCs w:val="22"/>
          <w:lang w:val="en-US"/>
        </w:rPr>
        <w:t>action</w:t>
      </w:r>
      <w:r w:rsidRPr="00416898">
        <w:rPr>
          <w:rFonts w:cs="Arial"/>
          <w:spacing w:val="-3"/>
          <w:w w:val="105"/>
          <w:sz w:val="22"/>
          <w:szCs w:val="22"/>
          <w:lang w:val="en-US"/>
        </w:rPr>
        <w:t xml:space="preserve"> </w:t>
      </w:r>
      <w:r w:rsidRPr="00416898">
        <w:rPr>
          <w:rFonts w:cs="Arial"/>
          <w:w w:val="105"/>
          <w:sz w:val="22"/>
          <w:szCs w:val="22"/>
          <w:lang w:val="en-US"/>
        </w:rPr>
        <w:t>also</w:t>
      </w:r>
      <w:r w:rsidRPr="00416898">
        <w:rPr>
          <w:rFonts w:cs="Arial"/>
          <w:spacing w:val="-4"/>
          <w:w w:val="105"/>
          <w:sz w:val="22"/>
          <w:szCs w:val="22"/>
          <w:lang w:val="en-US"/>
        </w:rPr>
        <w:t xml:space="preserve"> </w:t>
      </w:r>
      <w:r w:rsidRPr="00416898">
        <w:rPr>
          <w:rFonts w:cs="Arial"/>
          <w:w w:val="105"/>
          <w:sz w:val="22"/>
          <w:szCs w:val="22"/>
          <w:lang w:val="en-US"/>
        </w:rPr>
        <w:t>may</w:t>
      </w:r>
      <w:r w:rsidRPr="00416898">
        <w:rPr>
          <w:rFonts w:cs="Arial"/>
          <w:spacing w:val="-4"/>
          <w:w w:val="105"/>
          <w:sz w:val="22"/>
          <w:szCs w:val="22"/>
          <w:lang w:val="en-US"/>
        </w:rPr>
        <w:t xml:space="preserve"> </w:t>
      </w:r>
      <w:r w:rsidRPr="00416898">
        <w:rPr>
          <w:rFonts w:cs="Arial"/>
          <w:w w:val="105"/>
          <w:sz w:val="22"/>
          <w:szCs w:val="22"/>
          <w:lang w:val="en-US"/>
        </w:rPr>
        <w:t>occur.</w:t>
      </w:r>
      <w:r w:rsidRPr="00416898">
        <w:rPr>
          <w:rFonts w:cs="Arial"/>
          <w:spacing w:val="-5"/>
          <w:w w:val="105"/>
          <w:sz w:val="22"/>
          <w:szCs w:val="22"/>
          <w:lang w:val="en-US"/>
        </w:rPr>
        <w:t xml:space="preserve"> </w:t>
      </w:r>
      <w:r w:rsidRPr="00416898">
        <w:rPr>
          <w:rFonts w:cs="Arial"/>
          <w:w w:val="105"/>
          <w:sz w:val="22"/>
          <w:szCs w:val="22"/>
          <w:lang w:val="en-US"/>
        </w:rPr>
        <w:t>More</w:t>
      </w:r>
      <w:r w:rsidRPr="00416898">
        <w:rPr>
          <w:rFonts w:cs="Arial"/>
          <w:spacing w:val="-3"/>
          <w:w w:val="105"/>
          <w:sz w:val="22"/>
          <w:szCs w:val="22"/>
          <w:lang w:val="en-US"/>
        </w:rPr>
        <w:t xml:space="preserve"> </w:t>
      </w:r>
      <w:r w:rsidRPr="00416898">
        <w:rPr>
          <w:rFonts w:cs="Arial"/>
          <w:w w:val="105"/>
          <w:sz w:val="22"/>
          <w:szCs w:val="22"/>
          <w:lang w:val="en-US"/>
        </w:rPr>
        <w:t>commonly, suppression of the HPA axis can occur in patients chronically treated with potent glucocorticoid steroids.</w:t>
      </w:r>
    </w:p>
    <w:p w14:paraId="3151C559" w14:textId="77777777" w:rsidR="006E097C" w:rsidRPr="00416898" w:rsidRDefault="006E097C" w:rsidP="00C84278">
      <w:pPr>
        <w:pStyle w:val="BodyText"/>
        <w:spacing w:line="276" w:lineRule="auto"/>
        <w:rPr>
          <w:rFonts w:cs="Arial"/>
          <w:sz w:val="22"/>
          <w:szCs w:val="22"/>
          <w:lang w:val="en-US"/>
        </w:rPr>
      </w:pPr>
    </w:p>
    <w:p w14:paraId="290CC18C" w14:textId="77777777" w:rsidR="006E097C" w:rsidRPr="00416898" w:rsidRDefault="003C420F" w:rsidP="00C84278">
      <w:pPr>
        <w:pStyle w:val="BodyText"/>
        <w:spacing w:line="276" w:lineRule="auto"/>
        <w:rPr>
          <w:rFonts w:cs="Arial"/>
          <w:sz w:val="22"/>
          <w:szCs w:val="22"/>
          <w:lang w:val="en-US"/>
        </w:rPr>
      </w:pPr>
      <w:r w:rsidRPr="00416898">
        <w:rPr>
          <w:rFonts w:cs="Arial"/>
          <w:w w:val="105"/>
          <w:sz w:val="22"/>
          <w:szCs w:val="22"/>
          <w:lang w:val="en-US"/>
        </w:rPr>
        <w:t xml:space="preserve">Patients with adrenal insufficiency can present acutely in a severe life-threatening event termed adrenal crisis, particularly if there is an inciting event such as a septic illness, surgical procedure, anesthesia, or trauma. These patients have symptoms of nausea, vomiting, abdominal pain, dehydration, altered mental status, hypotension, hypoglycemia, or shock </w:t>
      </w:r>
      <w:r w:rsidR="0079470F" w:rsidRPr="00416898">
        <w:rPr>
          <w:rFonts w:cs="Arial"/>
          <w:w w:val="105"/>
          <w:sz w:val="22"/>
          <w:szCs w:val="22"/>
          <w:lang w:val="en-US"/>
        </w:rPr>
        <w:t>(</w:t>
      </w:r>
      <w:r w:rsidR="00C81991" w:rsidRPr="00416898">
        <w:rPr>
          <w:rFonts w:cs="Arial"/>
          <w:w w:val="105"/>
          <w:sz w:val="22"/>
          <w:szCs w:val="22"/>
          <w:lang w:val="en-US"/>
        </w:rPr>
        <w:t>32</w:t>
      </w:r>
      <w:r w:rsidR="0079470F" w:rsidRPr="00416898">
        <w:rPr>
          <w:rFonts w:cs="Arial"/>
          <w:w w:val="105"/>
          <w:sz w:val="22"/>
          <w:szCs w:val="22"/>
          <w:lang w:val="en-US"/>
        </w:rPr>
        <w:t>)</w:t>
      </w:r>
      <w:r w:rsidR="00427F40" w:rsidRPr="00416898">
        <w:rPr>
          <w:rFonts w:cs="Arial"/>
          <w:w w:val="105"/>
          <w:sz w:val="22"/>
          <w:szCs w:val="22"/>
          <w:lang w:val="en-US"/>
        </w:rPr>
        <w:t>.</w:t>
      </w:r>
      <w:r w:rsidRPr="00416898">
        <w:rPr>
          <w:rFonts w:cs="Arial"/>
          <w:w w:val="105"/>
          <w:sz w:val="22"/>
          <w:szCs w:val="22"/>
          <w:lang w:val="en-US"/>
        </w:rPr>
        <w:t xml:space="preserve"> Hypotension may be unresponsive to fluid resuscitation alone due to deficiency of cortisol required to activate β-adrenergic receptors and vascular tone. Salt wasting (hyponatremia,</w:t>
      </w:r>
      <w:r w:rsidR="00A70DA0" w:rsidRPr="00416898">
        <w:rPr>
          <w:rFonts w:cs="Arial"/>
          <w:w w:val="105"/>
          <w:sz w:val="22"/>
          <w:szCs w:val="22"/>
          <w:lang w:val="en-US"/>
        </w:rPr>
        <w:t xml:space="preserve"> </w:t>
      </w:r>
      <w:r w:rsidRPr="00416898">
        <w:rPr>
          <w:rFonts w:cs="Arial"/>
          <w:w w:val="105"/>
          <w:sz w:val="22"/>
          <w:szCs w:val="22"/>
          <w:lang w:val="en-US"/>
        </w:rPr>
        <w:t xml:space="preserve">hyperkalemia) results from aldosterone deficiency. A cardinal feature of primary adrenal insufficiency is hyperpigmentation owing to concurrent rise in melanocyte stimulating hormone (MSH) associated with elevated ACTH production. Darkening of the skin is most prominent at the axillae, palmer creases, areolae, genitalia, and pigmentary lines of the gums (see Fig 2 above). This hyperpigmentation does not occur in secondary adrenal insufficiency as there is no </w:t>
      </w:r>
      <w:r w:rsidR="00427F40" w:rsidRPr="00416898">
        <w:rPr>
          <w:rFonts w:cs="Arial"/>
          <w:w w:val="105"/>
          <w:sz w:val="22"/>
          <w:szCs w:val="22"/>
          <w:lang w:val="en-US"/>
        </w:rPr>
        <w:t xml:space="preserve">increase </w:t>
      </w:r>
      <w:r w:rsidRPr="00416898">
        <w:rPr>
          <w:rFonts w:cs="Arial"/>
          <w:w w:val="105"/>
          <w:sz w:val="22"/>
          <w:szCs w:val="22"/>
          <w:lang w:val="en-US"/>
        </w:rPr>
        <w:t>in ACTH. Secondary causes of adrenal insufficiency, and certain forms of primary adrenal insufficiency that do not affect aldosterone production, do not present with salt-wasting and Addisonian crisis.</w:t>
      </w:r>
    </w:p>
    <w:p w14:paraId="6969E602" w14:textId="77777777" w:rsidR="006E097C" w:rsidRPr="00416898" w:rsidRDefault="006E097C" w:rsidP="00C84278">
      <w:pPr>
        <w:pStyle w:val="BodyText"/>
        <w:spacing w:line="276" w:lineRule="auto"/>
        <w:rPr>
          <w:rFonts w:cs="Arial"/>
          <w:sz w:val="22"/>
          <w:szCs w:val="22"/>
          <w:lang w:val="en-US"/>
        </w:rPr>
      </w:pPr>
    </w:p>
    <w:p w14:paraId="1EA9C5E0" w14:textId="77777777" w:rsidR="006E097C" w:rsidRPr="00416898" w:rsidRDefault="003C420F" w:rsidP="00C84278">
      <w:pPr>
        <w:pStyle w:val="BodyText"/>
        <w:spacing w:line="276" w:lineRule="auto"/>
        <w:rPr>
          <w:rFonts w:cs="Arial"/>
          <w:sz w:val="22"/>
          <w:szCs w:val="22"/>
          <w:lang w:val="en-US"/>
        </w:rPr>
      </w:pPr>
      <w:r w:rsidRPr="00416898">
        <w:rPr>
          <w:rFonts w:cs="Arial"/>
          <w:w w:val="105"/>
          <w:sz w:val="22"/>
          <w:szCs w:val="22"/>
          <w:lang w:val="en-US"/>
        </w:rPr>
        <w:t>Because of the circadian rhythm and diurnal variation in ACTH and cortisol production, early morning serum cortisol and ACTH concentrations provide the best assessment of endogenous adrenal function. An early morning serum cortisol of &lt;10 mcg/dl is suspicious for adrenal insufficiency. The corresponding ACTH concentration is elevated in primary adrenal insufficiency; a low ACTH concentration is suspicious for secondary adrenal insufficiency.</w:t>
      </w:r>
      <w:r w:rsidR="00A70DA0" w:rsidRPr="00416898">
        <w:rPr>
          <w:rFonts w:cs="Arial"/>
          <w:w w:val="105"/>
          <w:sz w:val="22"/>
          <w:szCs w:val="22"/>
          <w:lang w:val="en-US"/>
        </w:rPr>
        <w:t xml:space="preserve"> </w:t>
      </w:r>
      <w:r w:rsidRPr="00416898">
        <w:rPr>
          <w:rFonts w:cs="Arial"/>
          <w:w w:val="105"/>
          <w:sz w:val="22"/>
          <w:szCs w:val="22"/>
          <w:lang w:val="en-US"/>
        </w:rPr>
        <w:t xml:space="preserve">However, a randomly timed cortisol measurement of &lt;15 mcg/dl, in the setting of an acute illness has been proposed as concerning for adrenal insufficiency in adults </w:t>
      </w:r>
      <w:r w:rsidR="0079470F" w:rsidRPr="00416898">
        <w:rPr>
          <w:rFonts w:cs="Arial"/>
          <w:w w:val="105"/>
          <w:sz w:val="22"/>
          <w:szCs w:val="22"/>
          <w:lang w:val="en-US"/>
        </w:rPr>
        <w:t>(</w:t>
      </w:r>
      <w:r w:rsidR="00C81991" w:rsidRPr="00416898">
        <w:rPr>
          <w:rFonts w:cs="Arial"/>
          <w:w w:val="105"/>
          <w:sz w:val="22"/>
          <w:szCs w:val="22"/>
          <w:lang w:val="en-US"/>
        </w:rPr>
        <w:t>3</w:t>
      </w:r>
      <w:r w:rsidR="00C4216B" w:rsidRPr="00416898">
        <w:rPr>
          <w:rFonts w:cs="Arial"/>
          <w:w w:val="105"/>
          <w:sz w:val="22"/>
          <w:szCs w:val="22"/>
          <w:lang w:val="en-US"/>
        </w:rPr>
        <w:t>0</w:t>
      </w:r>
      <w:r w:rsidR="0079470F" w:rsidRPr="00416898">
        <w:rPr>
          <w:rFonts w:cs="Arial"/>
          <w:w w:val="105"/>
          <w:sz w:val="22"/>
          <w:szCs w:val="22"/>
          <w:lang w:val="en-US"/>
        </w:rPr>
        <w:t>)</w:t>
      </w:r>
      <w:r w:rsidR="00427F40" w:rsidRPr="00416898">
        <w:rPr>
          <w:rFonts w:cs="Arial"/>
          <w:w w:val="105"/>
          <w:sz w:val="22"/>
          <w:szCs w:val="22"/>
          <w:lang w:val="en-US"/>
        </w:rPr>
        <w:t>.</w:t>
      </w:r>
      <w:r w:rsidR="00A70DA0" w:rsidRPr="00416898">
        <w:rPr>
          <w:rFonts w:cs="Arial"/>
          <w:w w:val="105"/>
          <w:sz w:val="22"/>
          <w:szCs w:val="22"/>
          <w:lang w:val="en-US"/>
        </w:rPr>
        <w:t xml:space="preserve"> </w:t>
      </w:r>
      <w:r w:rsidRPr="00416898">
        <w:rPr>
          <w:rFonts w:cs="Arial"/>
          <w:w w:val="105"/>
          <w:sz w:val="22"/>
          <w:szCs w:val="22"/>
          <w:lang w:val="en-US"/>
        </w:rPr>
        <w:t xml:space="preserve">In the absence of clinical clues suggesting primary adrenal insufficiency, such as hyperpigmentation, stimulation with ACTH is the best diagnostic test for identifying those with adrenal insufficiency. At baseline, ACTH and cortisol blood levels are obtained and 250 mcg of synthetic ACTH (cosyntropin) is administered either via the intravenous (IV) or intramuscular (IM) route. The test is considered diagnostic of adrenal insufficiency if the peak cortisol level is less than 18 mcg/dl, 60 minutes following cosyntropin administration </w:t>
      </w:r>
      <w:r w:rsidR="0079470F" w:rsidRPr="00416898">
        <w:rPr>
          <w:rFonts w:cs="Arial"/>
          <w:w w:val="105"/>
          <w:sz w:val="22"/>
          <w:szCs w:val="22"/>
          <w:lang w:val="en-US"/>
        </w:rPr>
        <w:t>(</w:t>
      </w:r>
      <w:r w:rsidR="00C81991" w:rsidRPr="00416898">
        <w:rPr>
          <w:rFonts w:cs="Arial"/>
          <w:w w:val="105"/>
          <w:sz w:val="22"/>
          <w:szCs w:val="22"/>
          <w:lang w:val="en-US"/>
        </w:rPr>
        <w:t>3</w:t>
      </w:r>
      <w:r w:rsidR="00C4216B" w:rsidRPr="00416898">
        <w:rPr>
          <w:rFonts w:cs="Arial"/>
          <w:w w:val="105"/>
          <w:sz w:val="22"/>
          <w:szCs w:val="22"/>
          <w:lang w:val="en-US"/>
        </w:rPr>
        <w:t>1</w:t>
      </w:r>
      <w:r w:rsidR="0079470F" w:rsidRPr="00416898">
        <w:rPr>
          <w:rFonts w:cs="Arial"/>
          <w:w w:val="105"/>
          <w:sz w:val="22"/>
          <w:szCs w:val="22"/>
          <w:lang w:val="en-US"/>
        </w:rPr>
        <w:t>)</w:t>
      </w:r>
      <w:r w:rsidR="00427F40" w:rsidRPr="00416898">
        <w:rPr>
          <w:rFonts w:cs="Arial"/>
          <w:w w:val="105"/>
          <w:sz w:val="22"/>
          <w:szCs w:val="22"/>
          <w:lang w:val="en-US"/>
        </w:rPr>
        <w:t>.</w:t>
      </w:r>
      <w:r w:rsidRPr="00416898">
        <w:rPr>
          <w:rFonts w:cs="Arial"/>
          <w:w w:val="105"/>
          <w:sz w:val="22"/>
          <w:szCs w:val="22"/>
          <w:lang w:val="en-US"/>
        </w:rPr>
        <w:t xml:space="preserve"> Such a supra- physiologic dose of ACTH may overcome a defect in the hypothalamic-pituitary-adrenal axis to produce </w:t>
      </w:r>
      <w:r w:rsidR="00427F40" w:rsidRPr="00416898">
        <w:rPr>
          <w:rFonts w:cs="Arial"/>
          <w:w w:val="105"/>
          <w:sz w:val="22"/>
          <w:szCs w:val="22"/>
          <w:lang w:val="en-US"/>
        </w:rPr>
        <w:t>a</w:t>
      </w:r>
      <w:r w:rsidRPr="00416898">
        <w:rPr>
          <w:rFonts w:cs="Arial"/>
          <w:w w:val="105"/>
          <w:sz w:val="22"/>
          <w:szCs w:val="22"/>
          <w:lang w:val="en-US"/>
        </w:rPr>
        <w:t xml:space="preserve"> rise in serum cortisol. If there is a high suspicion for secondary adrenal insufficiency in the face of a normal cortisol response to high dose ACTH, early morning serum cortisol</w:t>
      </w:r>
      <w:r w:rsidRPr="00416898">
        <w:rPr>
          <w:rFonts w:cs="Arial"/>
          <w:spacing w:val="-6"/>
          <w:w w:val="105"/>
          <w:sz w:val="22"/>
          <w:szCs w:val="22"/>
          <w:lang w:val="en-US"/>
        </w:rPr>
        <w:t xml:space="preserve"> </w:t>
      </w:r>
      <w:r w:rsidRPr="00416898">
        <w:rPr>
          <w:rFonts w:cs="Arial"/>
          <w:w w:val="105"/>
          <w:sz w:val="22"/>
          <w:szCs w:val="22"/>
          <w:lang w:val="en-US"/>
        </w:rPr>
        <w:t>and</w:t>
      </w:r>
      <w:r w:rsidRPr="00416898">
        <w:rPr>
          <w:rFonts w:cs="Arial"/>
          <w:spacing w:val="-3"/>
          <w:w w:val="105"/>
          <w:sz w:val="22"/>
          <w:szCs w:val="22"/>
          <w:lang w:val="en-US"/>
        </w:rPr>
        <w:t xml:space="preserve"> </w:t>
      </w:r>
      <w:r w:rsidRPr="00416898">
        <w:rPr>
          <w:rFonts w:cs="Arial"/>
          <w:w w:val="105"/>
          <w:sz w:val="22"/>
          <w:szCs w:val="22"/>
          <w:lang w:val="en-US"/>
        </w:rPr>
        <w:t>ACTH</w:t>
      </w:r>
      <w:r w:rsidRPr="00416898">
        <w:rPr>
          <w:rFonts w:cs="Arial"/>
          <w:spacing w:val="-3"/>
          <w:w w:val="105"/>
          <w:sz w:val="22"/>
          <w:szCs w:val="22"/>
          <w:lang w:val="en-US"/>
        </w:rPr>
        <w:t xml:space="preserve"> </w:t>
      </w:r>
      <w:r w:rsidRPr="00416898">
        <w:rPr>
          <w:rFonts w:cs="Arial"/>
          <w:w w:val="105"/>
          <w:sz w:val="22"/>
          <w:szCs w:val="22"/>
          <w:lang w:val="en-US"/>
        </w:rPr>
        <w:t>concentrations</w:t>
      </w:r>
      <w:r w:rsidRPr="00416898">
        <w:rPr>
          <w:rFonts w:cs="Arial"/>
          <w:spacing w:val="-5"/>
          <w:w w:val="105"/>
          <w:sz w:val="22"/>
          <w:szCs w:val="22"/>
          <w:lang w:val="en-US"/>
        </w:rPr>
        <w:t xml:space="preserve"> </w:t>
      </w:r>
      <w:r w:rsidRPr="00416898">
        <w:rPr>
          <w:rFonts w:cs="Arial"/>
          <w:w w:val="105"/>
          <w:sz w:val="22"/>
          <w:szCs w:val="22"/>
          <w:lang w:val="en-US"/>
        </w:rPr>
        <w:t>may</w:t>
      </w:r>
      <w:r w:rsidRPr="00416898">
        <w:rPr>
          <w:rFonts w:cs="Arial"/>
          <w:spacing w:val="-4"/>
          <w:w w:val="105"/>
          <w:sz w:val="22"/>
          <w:szCs w:val="22"/>
          <w:lang w:val="en-US"/>
        </w:rPr>
        <w:t xml:space="preserve"> </w:t>
      </w:r>
      <w:r w:rsidRPr="00416898">
        <w:rPr>
          <w:rFonts w:cs="Arial"/>
          <w:w w:val="105"/>
          <w:sz w:val="22"/>
          <w:szCs w:val="22"/>
          <w:lang w:val="en-US"/>
        </w:rPr>
        <w:t>be</w:t>
      </w:r>
      <w:r w:rsidRPr="00416898">
        <w:rPr>
          <w:rFonts w:cs="Arial"/>
          <w:spacing w:val="-3"/>
          <w:w w:val="105"/>
          <w:sz w:val="22"/>
          <w:szCs w:val="22"/>
          <w:lang w:val="en-US"/>
        </w:rPr>
        <w:t xml:space="preserve"> </w:t>
      </w:r>
      <w:r w:rsidRPr="00416898">
        <w:rPr>
          <w:rFonts w:cs="Arial"/>
          <w:w w:val="105"/>
          <w:sz w:val="22"/>
          <w:szCs w:val="22"/>
          <w:lang w:val="en-US"/>
        </w:rPr>
        <w:t>more</w:t>
      </w:r>
      <w:r w:rsidRPr="00416898">
        <w:rPr>
          <w:rFonts w:cs="Arial"/>
          <w:spacing w:val="-4"/>
          <w:w w:val="105"/>
          <w:sz w:val="22"/>
          <w:szCs w:val="22"/>
          <w:lang w:val="en-US"/>
        </w:rPr>
        <w:t xml:space="preserve"> </w:t>
      </w:r>
      <w:r w:rsidRPr="00416898">
        <w:rPr>
          <w:rFonts w:cs="Arial"/>
          <w:w w:val="105"/>
          <w:sz w:val="22"/>
          <w:szCs w:val="22"/>
          <w:lang w:val="en-US"/>
        </w:rPr>
        <w:t>informative.</w:t>
      </w:r>
      <w:r w:rsidRPr="00416898">
        <w:rPr>
          <w:rFonts w:cs="Arial"/>
          <w:spacing w:val="-5"/>
          <w:w w:val="105"/>
          <w:sz w:val="22"/>
          <w:szCs w:val="22"/>
          <w:lang w:val="en-US"/>
        </w:rPr>
        <w:t xml:space="preserve"> </w:t>
      </w:r>
      <w:r w:rsidRPr="00416898">
        <w:rPr>
          <w:rFonts w:cs="Arial"/>
          <w:w w:val="105"/>
          <w:sz w:val="22"/>
          <w:szCs w:val="22"/>
          <w:lang w:val="en-US"/>
        </w:rPr>
        <w:t>The</w:t>
      </w:r>
      <w:r w:rsidRPr="00416898">
        <w:rPr>
          <w:rFonts w:cs="Arial"/>
          <w:spacing w:val="-3"/>
          <w:w w:val="105"/>
          <w:sz w:val="22"/>
          <w:szCs w:val="22"/>
          <w:lang w:val="en-US"/>
        </w:rPr>
        <w:t xml:space="preserve"> </w:t>
      </w:r>
      <w:r w:rsidRPr="00416898">
        <w:rPr>
          <w:rFonts w:cs="Arial"/>
          <w:w w:val="105"/>
          <w:sz w:val="22"/>
          <w:szCs w:val="22"/>
          <w:lang w:val="en-US"/>
        </w:rPr>
        <w:t>causes</w:t>
      </w:r>
      <w:r w:rsidRPr="00416898">
        <w:rPr>
          <w:rFonts w:cs="Arial"/>
          <w:spacing w:val="-5"/>
          <w:w w:val="105"/>
          <w:sz w:val="22"/>
          <w:szCs w:val="22"/>
          <w:lang w:val="en-US"/>
        </w:rPr>
        <w:t xml:space="preserve"> </w:t>
      </w:r>
      <w:r w:rsidRPr="00416898">
        <w:rPr>
          <w:rFonts w:cs="Arial"/>
          <w:w w:val="105"/>
          <w:sz w:val="22"/>
          <w:szCs w:val="22"/>
          <w:lang w:val="en-US"/>
        </w:rPr>
        <w:t>of</w:t>
      </w:r>
      <w:r w:rsidRPr="00416898">
        <w:rPr>
          <w:rFonts w:cs="Arial"/>
          <w:spacing w:val="-5"/>
          <w:w w:val="105"/>
          <w:sz w:val="22"/>
          <w:szCs w:val="22"/>
          <w:lang w:val="en-US"/>
        </w:rPr>
        <w:t xml:space="preserve"> </w:t>
      </w:r>
      <w:r w:rsidRPr="00416898">
        <w:rPr>
          <w:rFonts w:cs="Arial"/>
          <w:w w:val="105"/>
          <w:sz w:val="22"/>
          <w:szCs w:val="22"/>
          <w:lang w:val="en-US"/>
        </w:rPr>
        <w:t>adrenal</w:t>
      </w:r>
      <w:r w:rsidRPr="00416898">
        <w:rPr>
          <w:rFonts w:cs="Arial"/>
          <w:spacing w:val="-5"/>
          <w:w w:val="105"/>
          <w:sz w:val="22"/>
          <w:szCs w:val="22"/>
          <w:lang w:val="en-US"/>
        </w:rPr>
        <w:t xml:space="preserve"> </w:t>
      </w:r>
      <w:r w:rsidRPr="00416898">
        <w:rPr>
          <w:rFonts w:cs="Arial"/>
          <w:w w:val="105"/>
          <w:sz w:val="22"/>
          <w:szCs w:val="22"/>
          <w:lang w:val="en-US"/>
        </w:rPr>
        <w:t xml:space="preserve">insufficiency as well as that of thyroid dysfunction and their management are described elsewhere in Endotext </w:t>
      </w:r>
      <w:r w:rsidR="0079470F" w:rsidRPr="00416898">
        <w:rPr>
          <w:rFonts w:cs="Arial"/>
          <w:w w:val="105"/>
          <w:sz w:val="22"/>
          <w:szCs w:val="22"/>
          <w:lang w:val="en-US"/>
        </w:rPr>
        <w:t>(</w:t>
      </w:r>
      <w:r w:rsidR="00C81991" w:rsidRPr="00416898">
        <w:rPr>
          <w:rFonts w:cs="Arial"/>
          <w:w w:val="105"/>
          <w:sz w:val="22"/>
          <w:szCs w:val="22"/>
          <w:lang w:val="en-US"/>
        </w:rPr>
        <w:t>3</w:t>
      </w:r>
      <w:r w:rsidR="00C4216B" w:rsidRPr="00416898">
        <w:rPr>
          <w:rFonts w:cs="Arial"/>
          <w:w w:val="105"/>
          <w:sz w:val="22"/>
          <w:szCs w:val="22"/>
          <w:lang w:val="en-US"/>
        </w:rPr>
        <w:t>2</w:t>
      </w:r>
      <w:r w:rsidRPr="00416898">
        <w:rPr>
          <w:rFonts w:cs="Arial"/>
          <w:w w:val="105"/>
          <w:sz w:val="22"/>
          <w:szCs w:val="22"/>
          <w:lang w:val="en-US"/>
        </w:rPr>
        <w:t xml:space="preserve">, </w:t>
      </w:r>
      <w:r w:rsidR="00C81991" w:rsidRPr="00416898">
        <w:rPr>
          <w:rFonts w:cs="Arial"/>
          <w:w w:val="105"/>
          <w:sz w:val="22"/>
          <w:szCs w:val="22"/>
          <w:lang w:val="en-US"/>
        </w:rPr>
        <w:t>3</w:t>
      </w:r>
      <w:r w:rsidR="00C4216B" w:rsidRPr="00416898">
        <w:rPr>
          <w:rFonts w:cs="Arial"/>
          <w:w w:val="105"/>
          <w:sz w:val="22"/>
          <w:szCs w:val="22"/>
          <w:lang w:val="en-US"/>
        </w:rPr>
        <w:t>3</w:t>
      </w:r>
      <w:r w:rsidR="0079470F" w:rsidRPr="00416898">
        <w:rPr>
          <w:rFonts w:cs="Arial"/>
          <w:w w:val="105"/>
          <w:sz w:val="22"/>
          <w:szCs w:val="22"/>
          <w:lang w:val="en-US"/>
        </w:rPr>
        <w:t>)</w:t>
      </w:r>
      <w:r w:rsidR="00427F40" w:rsidRPr="00416898">
        <w:rPr>
          <w:rFonts w:cs="Arial"/>
          <w:w w:val="105"/>
          <w:sz w:val="22"/>
          <w:szCs w:val="22"/>
          <w:lang w:val="en-US"/>
        </w:rPr>
        <w:t>.</w:t>
      </w:r>
    </w:p>
    <w:p w14:paraId="7218F278" w14:textId="77777777" w:rsidR="006E097C" w:rsidRPr="00416898" w:rsidRDefault="006E097C" w:rsidP="00C84278">
      <w:pPr>
        <w:pStyle w:val="BodyText"/>
        <w:spacing w:line="276" w:lineRule="auto"/>
        <w:rPr>
          <w:rFonts w:cs="Arial"/>
          <w:sz w:val="22"/>
          <w:szCs w:val="22"/>
          <w:lang w:val="en-US"/>
        </w:rPr>
      </w:pPr>
    </w:p>
    <w:p w14:paraId="421AEC77" w14:textId="77777777" w:rsidR="006E097C" w:rsidRPr="00701CD3" w:rsidRDefault="003C420F" w:rsidP="00C84278">
      <w:pPr>
        <w:pStyle w:val="Heading1"/>
        <w:spacing w:line="276" w:lineRule="auto"/>
        <w:ind w:left="0"/>
        <w:rPr>
          <w:rFonts w:cs="Arial"/>
          <w:color w:val="0070C0"/>
          <w:sz w:val="22"/>
          <w:szCs w:val="22"/>
          <w:lang w:val="en-US"/>
        </w:rPr>
      </w:pPr>
      <w:r w:rsidRPr="00701CD3">
        <w:rPr>
          <w:rFonts w:cs="Arial"/>
          <w:color w:val="0070C0"/>
          <w:w w:val="105"/>
          <w:sz w:val="22"/>
          <w:szCs w:val="22"/>
          <w:lang w:val="en-US"/>
        </w:rPr>
        <w:t>AUTO-IMMUNITY ASSOCIATED WITH CANCER IMMUNOTHERAPY</w:t>
      </w:r>
    </w:p>
    <w:p w14:paraId="1DEE6946" w14:textId="77777777" w:rsidR="006E097C" w:rsidRPr="00416898" w:rsidRDefault="006E097C" w:rsidP="00C84278">
      <w:pPr>
        <w:pStyle w:val="BodyText"/>
        <w:spacing w:line="276" w:lineRule="auto"/>
        <w:rPr>
          <w:rFonts w:cs="Arial"/>
          <w:b/>
          <w:sz w:val="22"/>
          <w:szCs w:val="22"/>
          <w:lang w:val="en-US"/>
        </w:rPr>
      </w:pPr>
    </w:p>
    <w:p w14:paraId="5E496650" w14:textId="77777777" w:rsidR="00267FE7" w:rsidRPr="00416898" w:rsidRDefault="003C420F" w:rsidP="00C84278">
      <w:pPr>
        <w:pStyle w:val="BodyText"/>
        <w:spacing w:line="276" w:lineRule="auto"/>
        <w:rPr>
          <w:rFonts w:cs="Arial"/>
          <w:w w:val="105"/>
          <w:sz w:val="22"/>
          <w:szCs w:val="22"/>
          <w:lang w:val="en-US"/>
        </w:rPr>
      </w:pPr>
      <w:r w:rsidRPr="00416898">
        <w:rPr>
          <w:rFonts w:cs="Arial"/>
          <w:w w:val="105"/>
          <w:sz w:val="22"/>
          <w:szCs w:val="22"/>
          <w:lang w:val="en-US"/>
        </w:rPr>
        <w:t xml:space="preserve">An increasingly important and frequent cause of endocrine-autoimmune syndromes is their </w:t>
      </w:r>
      <w:r w:rsidRPr="00416898">
        <w:rPr>
          <w:rFonts w:cs="Arial"/>
          <w:w w:val="105"/>
          <w:sz w:val="22"/>
          <w:szCs w:val="22"/>
          <w:lang w:val="en-US"/>
        </w:rPr>
        <w:lastRenderedPageBreak/>
        <w:t xml:space="preserve">appearance in association with the increasing use of immunotherapy as a front line or </w:t>
      </w:r>
      <w:r w:rsidRPr="00416898">
        <w:rPr>
          <w:rFonts w:cs="Arial"/>
          <w:spacing w:val="2"/>
          <w:w w:val="105"/>
          <w:sz w:val="22"/>
          <w:szCs w:val="22"/>
          <w:lang w:val="en-US"/>
        </w:rPr>
        <w:t xml:space="preserve">back-up </w:t>
      </w:r>
      <w:r w:rsidRPr="00416898">
        <w:rPr>
          <w:rFonts w:cs="Arial"/>
          <w:w w:val="105"/>
          <w:sz w:val="22"/>
          <w:szCs w:val="22"/>
          <w:lang w:val="en-US"/>
        </w:rPr>
        <w:t xml:space="preserve">therapy in various cancers. Indeed, the variety and severity of endocrine autoimmune syndromes associated with the use of inhibitors of CTLA4 (cytotoxic T-lymphocyte-associated protein 4) such as ipilimumab, and immune checkpoint blockade of programmed death 1(PD-1) and its ligands PDL1 and PDL2, has recently been termed “the Achilles heel of </w:t>
      </w:r>
      <w:r w:rsidRPr="00416898">
        <w:rPr>
          <w:rFonts w:cs="Arial"/>
          <w:spacing w:val="2"/>
          <w:w w:val="105"/>
          <w:sz w:val="22"/>
          <w:szCs w:val="22"/>
          <w:lang w:val="en-US"/>
        </w:rPr>
        <w:t xml:space="preserve">cancer </w:t>
      </w:r>
      <w:r w:rsidRPr="00416898">
        <w:rPr>
          <w:rFonts w:cs="Arial"/>
          <w:w w:val="105"/>
          <w:sz w:val="22"/>
          <w:szCs w:val="22"/>
          <w:lang w:val="en-US"/>
        </w:rPr>
        <w:t>immunotherapy”</w:t>
      </w:r>
      <w:r w:rsidR="00427F40" w:rsidRPr="00416898">
        <w:rPr>
          <w:rFonts w:cs="Arial"/>
          <w:w w:val="105"/>
          <w:sz w:val="22"/>
          <w:szCs w:val="22"/>
          <w:lang w:val="en-US"/>
        </w:rPr>
        <w:t xml:space="preserve"> </w:t>
      </w:r>
      <w:r w:rsidR="0079470F" w:rsidRPr="00416898">
        <w:rPr>
          <w:rFonts w:cs="Arial"/>
          <w:w w:val="105"/>
          <w:sz w:val="22"/>
          <w:szCs w:val="22"/>
          <w:lang w:val="en-US"/>
        </w:rPr>
        <w:t>(</w:t>
      </w:r>
      <w:r w:rsidR="00C81991" w:rsidRPr="00416898">
        <w:rPr>
          <w:rFonts w:cs="Arial"/>
          <w:w w:val="105"/>
          <w:sz w:val="22"/>
          <w:szCs w:val="22"/>
          <w:lang w:val="en-US"/>
        </w:rPr>
        <w:t>3</w:t>
      </w:r>
      <w:r w:rsidR="00C4216B" w:rsidRPr="00416898">
        <w:rPr>
          <w:rFonts w:cs="Arial"/>
          <w:w w:val="105"/>
          <w:sz w:val="22"/>
          <w:szCs w:val="22"/>
          <w:lang w:val="en-US"/>
        </w:rPr>
        <w:t>4</w:t>
      </w:r>
      <w:r w:rsidR="0079470F" w:rsidRPr="00416898">
        <w:rPr>
          <w:rFonts w:cs="Arial"/>
          <w:w w:val="105"/>
          <w:sz w:val="22"/>
          <w:szCs w:val="22"/>
          <w:lang w:val="en-US"/>
        </w:rPr>
        <w:t>)</w:t>
      </w:r>
      <w:r w:rsidR="00427F40" w:rsidRPr="00416898">
        <w:rPr>
          <w:rFonts w:cs="Arial"/>
          <w:w w:val="105"/>
          <w:sz w:val="22"/>
          <w:szCs w:val="22"/>
          <w:lang w:val="en-US"/>
        </w:rPr>
        <w:t>.</w:t>
      </w:r>
      <w:r w:rsidRPr="00416898">
        <w:rPr>
          <w:rFonts w:cs="Arial"/>
          <w:w w:val="105"/>
          <w:sz w:val="22"/>
          <w:szCs w:val="22"/>
          <w:lang w:val="en-US"/>
        </w:rPr>
        <w:t xml:space="preserve"> </w:t>
      </w:r>
      <w:r w:rsidR="00267FE7" w:rsidRPr="00416898">
        <w:rPr>
          <w:rFonts w:cs="Arial"/>
          <w:w w:val="105"/>
          <w:sz w:val="22"/>
          <w:szCs w:val="22"/>
          <w:lang w:val="en-US"/>
        </w:rPr>
        <w:t>The range of autoimmune endocrine manifestations includes hypophysitis with disturbances in anterior pituitary hormones, hypo-and hyperthyroidism, adrenal insufficiency</w:t>
      </w:r>
      <w:r w:rsidR="00427F40" w:rsidRPr="00416898">
        <w:rPr>
          <w:rFonts w:cs="Arial"/>
          <w:w w:val="105"/>
          <w:sz w:val="22"/>
          <w:szCs w:val="22"/>
          <w:lang w:val="en-US"/>
        </w:rPr>
        <w:t>,</w:t>
      </w:r>
      <w:r w:rsidR="00267FE7" w:rsidRPr="00416898">
        <w:rPr>
          <w:rFonts w:cs="Arial"/>
          <w:w w:val="105"/>
          <w:sz w:val="22"/>
          <w:szCs w:val="22"/>
          <w:lang w:val="en-US"/>
        </w:rPr>
        <w:t xml:space="preserve"> and </w:t>
      </w:r>
      <w:r w:rsidR="000956F7" w:rsidRPr="00416898">
        <w:rPr>
          <w:rFonts w:cs="Arial"/>
          <w:w w:val="105"/>
          <w:sz w:val="22"/>
          <w:szCs w:val="22"/>
          <w:lang w:val="en-US"/>
        </w:rPr>
        <w:t xml:space="preserve">T1DM </w:t>
      </w:r>
      <w:r w:rsidR="0079470F" w:rsidRPr="00416898">
        <w:rPr>
          <w:rFonts w:cs="Arial"/>
          <w:w w:val="105"/>
          <w:sz w:val="22"/>
          <w:szCs w:val="22"/>
          <w:lang w:val="en-US"/>
        </w:rPr>
        <w:t>(</w:t>
      </w:r>
      <w:r w:rsidR="00C81991" w:rsidRPr="00416898">
        <w:rPr>
          <w:rFonts w:cs="Arial"/>
          <w:w w:val="105"/>
          <w:sz w:val="22"/>
          <w:szCs w:val="22"/>
          <w:lang w:val="en-US"/>
        </w:rPr>
        <w:t>3</w:t>
      </w:r>
      <w:r w:rsidR="00C4216B" w:rsidRPr="00416898">
        <w:rPr>
          <w:rFonts w:cs="Arial"/>
          <w:w w:val="105"/>
          <w:sz w:val="22"/>
          <w:szCs w:val="22"/>
          <w:lang w:val="en-US"/>
        </w:rPr>
        <w:t>5</w:t>
      </w:r>
      <w:r w:rsidR="00267FE7" w:rsidRPr="00416898">
        <w:rPr>
          <w:rFonts w:cs="Arial"/>
          <w:w w:val="105"/>
          <w:sz w:val="22"/>
          <w:szCs w:val="22"/>
          <w:lang w:val="en-US"/>
        </w:rPr>
        <w:t>-</w:t>
      </w:r>
      <w:r w:rsidR="00C81991" w:rsidRPr="00416898">
        <w:rPr>
          <w:rFonts w:cs="Arial"/>
          <w:w w:val="105"/>
          <w:sz w:val="22"/>
          <w:szCs w:val="22"/>
          <w:lang w:val="en-US"/>
        </w:rPr>
        <w:t>3</w:t>
      </w:r>
      <w:r w:rsidR="00C4216B" w:rsidRPr="00416898">
        <w:rPr>
          <w:rFonts w:cs="Arial"/>
          <w:w w:val="105"/>
          <w:sz w:val="22"/>
          <w:szCs w:val="22"/>
          <w:lang w:val="en-US"/>
        </w:rPr>
        <w:t>7</w:t>
      </w:r>
      <w:r w:rsidR="0079470F" w:rsidRPr="00416898">
        <w:rPr>
          <w:rFonts w:cs="Arial"/>
          <w:w w:val="105"/>
          <w:sz w:val="22"/>
          <w:szCs w:val="22"/>
          <w:lang w:val="en-US"/>
        </w:rPr>
        <w:t>)</w:t>
      </w:r>
      <w:r w:rsidR="00427F40" w:rsidRPr="00416898">
        <w:rPr>
          <w:rFonts w:cs="Arial"/>
          <w:w w:val="105"/>
          <w:sz w:val="22"/>
          <w:szCs w:val="22"/>
          <w:lang w:val="en-US"/>
        </w:rPr>
        <w:t>.</w:t>
      </w:r>
      <w:r w:rsidR="00267FE7" w:rsidRPr="00416898">
        <w:rPr>
          <w:rFonts w:cs="Arial"/>
          <w:w w:val="105"/>
          <w:sz w:val="22"/>
          <w:szCs w:val="22"/>
          <w:lang w:val="en-US"/>
        </w:rPr>
        <w:t xml:space="preserve"> Key checkpoints by which autoimmunity is regulated in normal individuals are also exploited by tumors to evade recognition and elimination via the immune system; employing immuno-regulatory agents that block these checkpoints facilitates the</w:t>
      </w:r>
      <w:r w:rsidR="00267FE7" w:rsidRPr="00416898">
        <w:rPr>
          <w:rFonts w:cs="Arial"/>
          <w:spacing w:val="-3"/>
          <w:w w:val="105"/>
          <w:sz w:val="22"/>
          <w:szCs w:val="22"/>
          <w:lang w:val="en-US"/>
        </w:rPr>
        <w:t xml:space="preserve"> </w:t>
      </w:r>
      <w:r w:rsidR="00267FE7" w:rsidRPr="00416898">
        <w:rPr>
          <w:rFonts w:cs="Arial"/>
          <w:w w:val="105"/>
          <w:sz w:val="22"/>
          <w:szCs w:val="22"/>
          <w:lang w:val="en-US"/>
        </w:rPr>
        <w:t>recognition</w:t>
      </w:r>
      <w:r w:rsidR="00267FE7" w:rsidRPr="00416898">
        <w:rPr>
          <w:rFonts w:cs="Arial"/>
          <w:spacing w:val="-3"/>
          <w:w w:val="105"/>
          <w:sz w:val="22"/>
          <w:szCs w:val="22"/>
          <w:lang w:val="en-US"/>
        </w:rPr>
        <w:t xml:space="preserve"> </w:t>
      </w:r>
      <w:r w:rsidR="00267FE7" w:rsidRPr="00416898">
        <w:rPr>
          <w:rFonts w:cs="Arial"/>
          <w:w w:val="105"/>
          <w:sz w:val="22"/>
          <w:szCs w:val="22"/>
          <w:lang w:val="en-US"/>
        </w:rPr>
        <w:t>of</w:t>
      </w:r>
      <w:r w:rsidR="00267FE7" w:rsidRPr="00416898">
        <w:rPr>
          <w:rFonts w:cs="Arial"/>
          <w:spacing w:val="-5"/>
          <w:w w:val="105"/>
          <w:sz w:val="22"/>
          <w:szCs w:val="22"/>
          <w:lang w:val="en-US"/>
        </w:rPr>
        <w:t xml:space="preserve"> </w:t>
      </w:r>
      <w:r w:rsidR="00267FE7" w:rsidRPr="00416898">
        <w:rPr>
          <w:rFonts w:cs="Arial"/>
          <w:w w:val="105"/>
          <w:sz w:val="22"/>
          <w:szCs w:val="22"/>
          <w:lang w:val="en-US"/>
        </w:rPr>
        <w:t>tumor</w:t>
      </w:r>
      <w:r w:rsidR="00267FE7" w:rsidRPr="00416898">
        <w:rPr>
          <w:rFonts w:cs="Arial"/>
          <w:spacing w:val="-3"/>
          <w:w w:val="105"/>
          <w:sz w:val="22"/>
          <w:szCs w:val="22"/>
          <w:lang w:val="en-US"/>
        </w:rPr>
        <w:t xml:space="preserve"> </w:t>
      </w:r>
      <w:r w:rsidR="00267FE7" w:rsidRPr="00416898">
        <w:rPr>
          <w:rFonts w:cs="Arial"/>
          <w:w w:val="105"/>
          <w:sz w:val="22"/>
          <w:szCs w:val="22"/>
          <w:lang w:val="en-US"/>
        </w:rPr>
        <w:t>antigens</w:t>
      </w:r>
      <w:r w:rsidR="00267FE7" w:rsidRPr="00416898">
        <w:rPr>
          <w:rFonts w:cs="Arial"/>
          <w:spacing w:val="-4"/>
          <w:w w:val="105"/>
          <w:sz w:val="22"/>
          <w:szCs w:val="22"/>
          <w:lang w:val="en-US"/>
        </w:rPr>
        <w:t xml:space="preserve"> </w:t>
      </w:r>
      <w:r w:rsidR="00267FE7" w:rsidRPr="00416898">
        <w:rPr>
          <w:rFonts w:cs="Arial"/>
          <w:w w:val="105"/>
          <w:sz w:val="22"/>
          <w:szCs w:val="22"/>
          <w:lang w:val="en-US"/>
        </w:rPr>
        <w:t>as</w:t>
      </w:r>
      <w:r w:rsidR="00267FE7" w:rsidRPr="00416898">
        <w:rPr>
          <w:rFonts w:cs="Arial"/>
          <w:spacing w:val="-3"/>
          <w:w w:val="105"/>
          <w:sz w:val="22"/>
          <w:szCs w:val="22"/>
          <w:lang w:val="en-US"/>
        </w:rPr>
        <w:t xml:space="preserve"> </w:t>
      </w:r>
      <w:r w:rsidR="00267FE7" w:rsidRPr="00416898">
        <w:rPr>
          <w:rFonts w:cs="Arial"/>
          <w:w w:val="105"/>
          <w:sz w:val="22"/>
          <w:szCs w:val="22"/>
          <w:lang w:val="en-US"/>
        </w:rPr>
        <w:t>foreign</w:t>
      </w:r>
      <w:r w:rsidR="00267FE7" w:rsidRPr="00416898">
        <w:rPr>
          <w:rFonts w:cs="Arial"/>
          <w:spacing w:val="-3"/>
          <w:w w:val="105"/>
          <w:sz w:val="22"/>
          <w:szCs w:val="22"/>
          <w:lang w:val="en-US"/>
        </w:rPr>
        <w:t xml:space="preserve"> </w:t>
      </w:r>
      <w:r w:rsidR="00267FE7" w:rsidRPr="00416898">
        <w:rPr>
          <w:rFonts w:cs="Arial"/>
          <w:w w:val="105"/>
          <w:sz w:val="22"/>
          <w:szCs w:val="22"/>
          <w:lang w:val="en-US"/>
        </w:rPr>
        <w:t>and</w:t>
      </w:r>
      <w:r w:rsidR="00267FE7" w:rsidRPr="00416898">
        <w:rPr>
          <w:rFonts w:cs="Arial"/>
          <w:spacing w:val="-3"/>
          <w:w w:val="105"/>
          <w:sz w:val="22"/>
          <w:szCs w:val="22"/>
          <w:lang w:val="en-US"/>
        </w:rPr>
        <w:t xml:space="preserve"> </w:t>
      </w:r>
      <w:r w:rsidR="00267FE7" w:rsidRPr="00416898">
        <w:rPr>
          <w:rFonts w:cs="Arial"/>
          <w:w w:val="105"/>
          <w:sz w:val="22"/>
          <w:szCs w:val="22"/>
          <w:lang w:val="en-US"/>
        </w:rPr>
        <w:t>activates</w:t>
      </w:r>
      <w:r w:rsidR="00267FE7" w:rsidRPr="00416898">
        <w:rPr>
          <w:rFonts w:cs="Arial"/>
          <w:spacing w:val="-4"/>
          <w:w w:val="105"/>
          <w:sz w:val="22"/>
          <w:szCs w:val="22"/>
          <w:lang w:val="en-US"/>
        </w:rPr>
        <w:t xml:space="preserve"> </w:t>
      </w:r>
      <w:r w:rsidR="00267FE7" w:rsidRPr="00416898">
        <w:rPr>
          <w:rFonts w:cs="Arial"/>
          <w:w w:val="105"/>
          <w:sz w:val="22"/>
          <w:szCs w:val="22"/>
          <w:lang w:val="en-US"/>
        </w:rPr>
        <w:t>their</w:t>
      </w:r>
      <w:r w:rsidR="00267FE7" w:rsidRPr="00416898">
        <w:rPr>
          <w:rFonts w:cs="Arial"/>
          <w:spacing w:val="-3"/>
          <w:w w:val="105"/>
          <w:sz w:val="22"/>
          <w:szCs w:val="22"/>
          <w:lang w:val="en-US"/>
        </w:rPr>
        <w:t xml:space="preserve"> </w:t>
      </w:r>
      <w:r w:rsidR="00267FE7" w:rsidRPr="00416898">
        <w:rPr>
          <w:rFonts w:cs="Arial"/>
          <w:w w:val="105"/>
          <w:sz w:val="22"/>
          <w:szCs w:val="22"/>
          <w:lang w:val="en-US"/>
        </w:rPr>
        <w:t>destruction,</w:t>
      </w:r>
      <w:r w:rsidR="00267FE7" w:rsidRPr="00416898">
        <w:rPr>
          <w:rFonts w:cs="Arial"/>
          <w:spacing w:val="-5"/>
          <w:w w:val="105"/>
          <w:sz w:val="22"/>
          <w:szCs w:val="22"/>
          <w:lang w:val="en-US"/>
        </w:rPr>
        <w:t xml:space="preserve"> </w:t>
      </w:r>
      <w:r w:rsidR="00267FE7" w:rsidRPr="00416898">
        <w:rPr>
          <w:rFonts w:cs="Arial"/>
          <w:w w:val="105"/>
          <w:sz w:val="22"/>
          <w:szCs w:val="22"/>
          <w:lang w:val="en-US"/>
        </w:rPr>
        <w:t>but</w:t>
      </w:r>
      <w:r w:rsidR="00267FE7" w:rsidRPr="00416898">
        <w:rPr>
          <w:rFonts w:cs="Arial"/>
          <w:spacing w:val="-4"/>
          <w:w w:val="105"/>
          <w:sz w:val="22"/>
          <w:szCs w:val="22"/>
          <w:lang w:val="en-US"/>
        </w:rPr>
        <w:t xml:space="preserve"> </w:t>
      </w:r>
      <w:r w:rsidR="00267FE7" w:rsidRPr="00416898">
        <w:rPr>
          <w:rFonts w:cs="Arial"/>
          <w:w w:val="105"/>
          <w:sz w:val="22"/>
          <w:szCs w:val="22"/>
          <w:lang w:val="en-US"/>
        </w:rPr>
        <w:t>at</w:t>
      </w:r>
      <w:r w:rsidR="00267FE7" w:rsidRPr="00416898">
        <w:rPr>
          <w:rFonts w:cs="Arial"/>
          <w:spacing w:val="-5"/>
          <w:w w:val="105"/>
          <w:sz w:val="22"/>
          <w:szCs w:val="22"/>
          <w:lang w:val="en-US"/>
        </w:rPr>
        <w:t xml:space="preserve"> </w:t>
      </w:r>
      <w:r w:rsidR="00267FE7" w:rsidRPr="00416898">
        <w:rPr>
          <w:rFonts w:cs="Arial"/>
          <w:w w:val="105"/>
          <w:sz w:val="22"/>
          <w:szCs w:val="22"/>
          <w:lang w:val="en-US"/>
        </w:rPr>
        <w:t>the</w:t>
      </w:r>
      <w:r w:rsidR="00267FE7" w:rsidRPr="00416898">
        <w:rPr>
          <w:rFonts w:cs="Arial"/>
          <w:spacing w:val="-3"/>
          <w:w w:val="105"/>
          <w:sz w:val="22"/>
          <w:szCs w:val="22"/>
          <w:lang w:val="en-US"/>
        </w:rPr>
        <w:t xml:space="preserve"> </w:t>
      </w:r>
      <w:r w:rsidR="00267FE7" w:rsidRPr="00416898">
        <w:rPr>
          <w:rFonts w:cs="Arial"/>
          <w:w w:val="105"/>
          <w:sz w:val="22"/>
          <w:szCs w:val="22"/>
          <w:lang w:val="en-US"/>
        </w:rPr>
        <w:t>same</w:t>
      </w:r>
      <w:r w:rsidR="00267FE7" w:rsidRPr="00416898">
        <w:rPr>
          <w:rFonts w:cs="Arial"/>
          <w:spacing w:val="-2"/>
          <w:w w:val="105"/>
          <w:sz w:val="22"/>
          <w:szCs w:val="22"/>
          <w:lang w:val="en-US"/>
        </w:rPr>
        <w:t xml:space="preserve"> </w:t>
      </w:r>
      <w:r w:rsidR="00267FE7" w:rsidRPr="00416898">
        <w:rPr>
          <w:rFonts w:cs="Arial"/>
          <w:w w:val="105"/>
          <w:sz w:val="22"/>
          <w:szCs w:val="22"/>
          <w:lang w:val="en-US"/>
        </w:rPr>
        <w:t>time stimulates autoimmune responses to self-antigens. Clinicians should be aware of</w:t>
      </w:r>
      <w:r w:rsidR="00267FE7" w:rsidRPr="00416898">
        <w:rPr>
          <w:rFonts w:cs="Arial"/>
          <w:spacing w:val="-15"/>
          <w:w w:val="105"/>
          <w:sz w:val="22"/>
          <w:szCs w:val="22"/>
          <w:lang w:val="en-US"/>
        </w:rPr>
        <w:t xml:space="preserve"> </w:t>
      </w:r>
      <w:r w:rsidR="00267FE7" w:rsidRPr="00416898">
        <w:rPr>
          <w:rFonts w:cs="Arial"/>
          <w:w w:val="105"/>
          <w:sz w:val="22"/>
          <w:szCs w:val="22"/>
          <w:lang w:val="en-US"/>
        </w:rPr>
        <w:t>these</w:t>
      </w:r>
      <w:r w:rsidR="0079470F" w:rsidRPr="00416898">
        <w:rPr>
          <w:rFonts w:cs="Arial"/>
          <w:sz w:val="22"/>
          <w:szCs w:val="22"/>
          <w:lang w:val="en-US"/>
        </w:rPr>
        <w:t xml:space="preserve"> </w:t>
      </w:r>
      <w:r w:rsidR="00267FE7" w:rsidRPr="00416898">
        <w:rPr>
          <w:rFonts w:cs="Arial"/>
          <w:w w:val="105"/>
          <w:sz w:val="22"/>
          <w:szCs w:val="22"/>
          <w:lang w:val="en-US"/>
        </w:rPr>
        <w:t xml:space="preserve">autoimmune manifestations and screen for involvement of endocrine tissues or their clinical manifestations. Notably, some of these endocrine autoimmune manifestations may appear months to years after initiation of immune therapy for cancer </w:t>
      </w:r>
      <w:r w:rsidR="0079470F" w:rsidRPr="00416898">
        <w:rPr>
          <w:rFonts w:cs="Arial"/>
          <w:w w:val="105"/>
          <w:sz w:val="22"/>
          <w:szCs w:val="22"/>
          <w:lang w:val="en-US"/>
        </w:rPr>
        <w:t>(</w:t>
      </w:r>
      <w:r w:rsidR="00C81991" w:rsidRPr="00416898">
        <w:rPr>
          <w:rFonts w:cs="Arial"/>
          <w:w w:val="105"/>
          <w:sz w:val="22"/>
          <w:szCs w:val="22"/>
          <w:lang w:val="en-US"/>
        </w:rPr>
        <w:t>3</w:t>
      </w:r>
      <w:r w:rsidR="00C4216B" w:rsidRPr="00416898">
        <w:rPr>
          <w:rFonts w:cs="Arial"/>
          <w:w w:val="105"/>
          <w:sz w:val="22"/>
          <w:szCs w:val="22"/>
          <w:lang w:val="en-US"/>
        </w:rPr>
        <w:t>6</w:t>
      </w:r>
      <w:r w:rsidR="0079470F" w:rsidRPr="00416898">
        <w:rPr>
          <w:rFonts w:cs="Arial"/>
          <w:w w:val="105"/>
          <w:sz w:val="22"/>
          <w:szCs w:val="22"/>
          <w:lang w:val="en-US"/>
        </w:rPr>
        <w:t>)</w:t>
      </w:r>
      <w:r w:rsidR="00427F40" w:rsidRPr="00416898">
        <w:rPr>
          <w:rFonts w:cs="Arial"/>
          <w:w w:val="105"/>
          <w:sz w:val="22"/>
          <w:szCs w:val="22"/>
          <w:lang w:val="en-US"/>
        </w:rPr>
        <w:t>.</w:t>
      </w:r>
    </w:p>
    <w:p w14:paraId="40E6FAA2" w14:textId="77777777" w:rsidR="00267FE7" w:rsidRPr="00416898" w:rsidRDefault="00267FE7" w:rsidP="00C84278">
      <w:pPr>
        <w:pStyle w:val="BodyText"/>
        <w:spacing w:line="276" w:lineRule="auto"/>
        <w:rPr>
          <w:rFonts w:eastAsia="Times New Roman" w:cs="Arial"/>
          <w:sz w:val="22"/>
          <w:szCs w:val="22"/>
          <w:shd w:val="clear" w:color="auto" w:fill="FFFFFF"/>
          <w:lang w:val="en-US" w:eastAsia="en-GB"/>
        </w:rPr>
      </w:pPr>
    </w:p>
    <w:p w14:paraId="7829DE15" w14:textId="77777777" w:rsidR="00267FE7" w:rsidRPr="00416898" w:rsidRDefault="006942AE" w:rsidP="00C84278">
      <w:pPr>
        <w:pStyle w:val="BodyText"/>
        <w:spacing w:line="276" w:lineRule="auto"/>
        <w:rPr>
          <w:rFonts w:eastAsia="Calibri" w:cs="Arial"/>
          <w:sz w:val="22"/>
          <w:szCs w:val="22"/>
          <w:lang w:val="en-US" w:eastAsia="en-GB"/>
        </w:rPr>
      </w:pPr>
      <w:r w:rsidRPr="00416898">
        <w:rPr>
          <w:rFonts w:eastAsia="Times New Roman" w:cs="Arial"/>
          <w:sz w:val="22"/>
          <w:szCs w:val="22"/>
          <w:shd w:val="clear" w:color="auto" w:fill="FFFFFF"/>
          <w:lang w:val="en-US" w:eastAsia="en-GB"/>
        </w:rPr>
        <w:t xml:space="preserve">Thyroid disorders, typically associated with anti-PD-1 antibodies and hypophysitis commonly related to anti-CTLA-4 therapy, are the </w:t>
      </w:r>
      <w:r w:rsidR="007624C6" w:rsidRPr="00416898">
        <w:rPr>
          <w:rFonts w:eastAsia="Times New Roman" w:cs="Arial"/>
          <w:sz w:val="22"/>
          <w:szCs w:val="22"/>
          <w:shd w:val="clear" w:color="auto" w:fill="FFFFFF"/>
          <w:lang w:val="en-US" w:eastAsia="en-GB"/>
        </w:rPr>
        <w:t xml:space="preserve">two </w:t>
      </w:r>
      <w:r w:rsidRPr="00416898">
        <w:rPr>
          <w:rFonts w:eastAsia="Times New Roman" w:cs="Arial"/>
          <w:sz w:val="22"/>
          <w:szCs w:val="22"/>
          <w:shd w:val="clear" w:color="auto" w:fill="FFFFFF"/>
          <w:lang w:val="en-US" w:eastAsia="en-GB"/>
        </w:rPr>
        <w:t xml:space="preserve">most frequent endocrine </w:t>
      </w:r>
      <w:r w:rsidR="00DA71E6" w:rsidRPr="00416898">
        <w:rPr>
          <w:rFonts w:eastAsia="Times New Roman" w:cs="Arial"/>
          <w:sz w:val="22"/>
          <w:szCs w:val="22"/>
          <w:shd w:val="clear" w:color="auto" w:fill="FFFFFF"/>
          <w:lang w:val="en-US" w:eastAsia="en-GB"/>
        </w:rPr>
        <w:t xml:space="preserve">organ </w:t>
      </w:r>
      <w:r w:rsidR="007624C6" w:rsidRPr="00416898">
        <w:rPr>
          <w:rFonts w:eastAsia="Times New Roman" w:cs="Arial"/>
          <w:sz w:val="22"/>
          <w:szCs w:val="22"/>
          <w:shd w:val="clear" w:color="auto" w:fill="FFFFFF"/>
          <w:lang w:val="en-US" w:eastAsia="en-GB"/>
        </w:rPr>
        <w:t>pathologies</w:t>
      </w:r>
      <w:r w:rsidR="0079470F" w:rsidRPr="00416898">
        <w:rPr>
          <w:rFonts w:cs="Arial"/>
          <w:sz w:val="22"/>
          <w:szCs w:val="22"/>
          <w:shd w:val="clear" w:color="auto" w:fill="FFFFFF"/>
          <w:lang w:val="en-US"/>
        </w:rPr>
        <w:t xml:space="preserve"> (</w:t>
      </w:r>
      <w:r w:rsidR="0092130E" w:rsidRPr="00416898">
        <w:rPr>
          <w:rFonts w:cs="Arial"/>
          <w:sz w:val="22"/>
          <w:szCs w:val="22"/>
          <w:shd w:val="clear" w:color="auto" w:fill="FFFFFF"/>
          <w:lang w:val="en-US"/>
        </w:rPr>
        <w:t>3</w:t>
      </w:r>
      <w:r w:rsidR="00C4216B" w:rsidRPr="00416898">
        <w:rPr>
          <w:rFonts w:cs="Arial"/>
          <w:sz w:val="22"/>
          <w:szCs w:val="22"/>
          <w:shd w:val="clear" w:color="auto" w:fill="FFFFFF"/>
          <w:lang w:val="en-US"/>
        </w:rPr>
        <w:t>7</w:t>
      </w:r>
      <w:r w:rsidR="0079470F" w:rsidRPr="00416898">
        <w:rPr>
          <w:rFonts w:cs="Arial"/>
          <w:sz w:val="22"/>
          <w:szCs w:val="22"/>
          <w:shd w:val="clear" w:color="auto" w:fill="FFFFFF"/>
          <w:lang w:val="en-US"/>
        </w:rPr>
        <w:t>)</w:t>
      </w:r>
      <w:r w:rsidR="00427F40" w:rsidRPr="00416898">
        <w:rPr>
          <w:rFonts w:cs="Arial"/>
          <w:sz w:val="22"/>
          <w:szCs w:val="22"/>
          <w:shd w:val="clear" w:color="auto" w:fill="FFFFFF"/>
          <w:lang w:val="en-US"/>
        </w:rPr>
        <w:t>.</w:t>
      </w:r>
      <w:r w:rsidR="00ED4DDA" w:rsidRPr="00416898">
        <w:rPr>
          <w:rFonts w:cs="Arial"/>
          <w:sz w:val="22"/>
          <w:szCs w:val="22"/>
          <w:shd w:val="clear" w:color="auto" w:fill="FFFFFF"/>
          <w:lang w:val="en-US"/>
        </w:rPr>
        <w:t xml:space="preserve"> </w:t>
      </w:r>
      <w:r w:rsidR="00DA71E6" w:rsidRPr="00416898">
        <w:rPr>
          <w:rFonts w:eastAsia="Calibri" w:cs="Arial"/>
          <w:sz w:val="22"/>
          <w:szCs w:val="22"/>
          <w:lang w:val="en-US" w:eastAsia="en-GB"/>
        </w:rPr>
        <w:t>Notably</w:t>
      </w:r>
      <w:r w:rsidR="005B7C54" w:rsidRPr="00416898">
        <w:rPr>
          <w:rFonts w:eastAsia="Calibri" w:cs="Arial"/>
          <w:sz w:val="22"/>
          <w:szCs w:val="22"/>
          <w:lang w:val="en-US" w:eastAsia="en-GB"/>
        </w:rPr>
        <w:t>, in a large cohort</w:t>
      </w:r>
      <w:r w:rsidR="00ED4DDA" w:rsidRPr="00416898">
        <w:rPr>
          <w:rFonts w:eastAsia="Calibri" w:cs="Arial"/>
          <w:sz w:val="22"/>
          <w:szCs w:val="22"/>
          <w:lang w:val="en-US" w:eastAsia="en-GB"/>
        </w:rPr>
        <w:t>,</w:t>
      </w:r>
      <w:r w:rsidR="005B7C54" w:rsidRPr="00416898">
        <w:rPr>
          <w:rFonts w:eastAsia="Calibri" w:cs="Arial"/>
          <w:sz w:val="22"/>
          <w:szCs w:val="22"/>
          <w:lang w:val="en-US" w:eastAsia="en-GB"/>
        </w:rPr>
        <w:t xml:space="preserve"> it was shown that </w:t>
      </w:r>
      <w:r w:rsidR="0088435C" w:rsidRPr="00416898">
        <w:rPr>
          <w:rFonts w:eastAsia="Calibri" w:cs="Arial"/>
          <w:sz w:val="22"/>
          <w:szCs w:val="22"/>
          <w:lang w:val="en-US" w:eastAsia="en-GB"/>
        </w:rPr>
        <w:t>the</w:t>
      </w:r>
      <w:r w:rsidR="005B7C54" w:rsidRPr="00416898">
        <w:rPr>
          <w:rFonts w:eastAsia="Calibri" w:cs="Arial"/>
          <w:sz w:val="22"/>
          <w:szCs w:val="22"/>
          <w:lang w:val="en-US" w:eastAsia="en-GB"/>
        </w:rPr>
        <w:t xml:space="preserve"> </w:t>
      </w:r>
      <w:r w:rsidR="0088435C" w:rsidRPr="00416898">
        <w:rPr>
          <w:rFonts w:eastAsia="Calibri" w:cs="Arial"/>
          <w:sz w:val="22"/>
          <w:szCs w:val="22"/>
          <w:lang w:val="en-US" w:eastAsia="en-GB"/>
        </w:rPr>
        <w:t>incidence of any-grade i</w:t>
      </w:r>
      <w:r w:rsidR="004F0193" w:rsidRPr="00416898">
        <w:rPr>
          <w:rFonts w:eastAsia="Calibri" w:cs="Arial"/>
          <w:sz w:val="22"/>
          <w:szCs w:val="22"/>
          <w:lang w:val="en-US" w:eastAsia="en-GB"/>
        </w:rPr>
        <w:t>mmune-related advers</w:t>
      </w:r>
      <w:r w:rsidR="00ED4DDA" w:rsidRPr="00416898">
        <w:rPr>
          <w:rFonts w:eastAsia="Calibri" w:cs="Arial"/>
          <w:sz w:val="22"/>
          <w:szCs w:val="22"/>
          <w:lang w:val="en-US" w:eastAsia="en-GB"/>
        </w:rPr>
        <w:t>e</w:t>
      </w:r>
      <w:r w:rsidR="004F0193" w:rsidRPr="00416898">
        <w:rPr>
          <w:rFonts w:eastAsia="Calibri" w:cs="Arial"/>
          <w:sz w:val="22"/>
          <w:szCs w:val="22"/>
          <w:lang w:val="en-US" w:eastAsia="en-GB"/>
        </w:rPr>
        <w:t xml:space="preserve"> event</w:t>
      </w:r>
      <w:r w:rsidR="00ED4DDA" w:rsidRPr="00416898">
        <w:rPr>
          <w:rFonts w:eastAsia="Calibri" w:cs="Arial"/>
          <w:sz w:val="22"/>
          <w:szCs w:val="22"/>
          <w:lang w:val="en-US" w:eastAsia="en-GB"/>
        </w:rPr>
        <w:t xml:space="preserve"> </w:t>
      </w:r>
      <w:r w:rsidR="004F0193" w:rsidRPr="00416898">
        <w:rPr>
          <w:rFonts w:eastAsia="Calibri" w:cs="Arial"/>
          <w:sz w:val="22"/>
          <w:szCs w:val="22"/>
          <w:lang w:val="en-US" w:eastAsia="en-GB"/>
        </w:rPr>
        <w:t>(i</w:t>
      </w:r>
      <w:r w:rsidR="0088435C" w:rsidRPr="00416898">
        <w:rPr>
          <w:rFonts w:eastAsia="Calibri" w:cs="Arial"/>
          <w:sz w:val="22"/>
          <w:szCs w:val="22"/>
          <w:lang w:val="en-US" w:eastAsia="en-GB"/>
        </w:rPr>
        <w:t>rAE</w:t>
      </w:r>
      <w:r w:rsidR="004F0193" w:rsidRPr="00416898">
        <w:rPr>
          <w:rFonts w:eastAsia="Calibri" w:cs="Arial"/>
          <w:sz w:val="22"/>
          <w:szCs w:val="22"/>
          <w:lang w:val="en-US" w:eastAsia="en-GB"/>
        </w:rPr>
        <w:t>)</w:t>
      </w:r>
      <w:r w:rsidR="0088435C" w:rsidRPr="00416898">
        <w:rPr>
          <w:rFonts w:eastAsia="Calibri" w:cs="Arial"/>
          <w:sz w:val="22"/>
          <w:szCs w:val="22"/>
          <w:lang w:val="en-US" w:eastAsia="en-GB"/>
        </w:rPr>
        <w:t xml:space="preserve"> is higher with CTLA-4 (53.8%)</w:t>
      </w:r>
      <w:r w:rsidR="005B7C54" w:rsidRPr="00416898">
        <w:rPr>
          <w:rFonts w:eastAsia="Calibri" w:cs="Arial"/>
          <w:sz w:val="22"/>
          <w:szCs w:val="22"/>
          <w:lang w:val="en-US" w:eastAsia="en-GB"/>
        </w:rPr>
        <w:t xml:space="preserve"> </w:t>
      </w:r>
      <w:r w:rsidR="0088435C" w:rsidRPr="00416898">
        <w:rPr>
          <w:rFonts w:eastAsia="Calibri" w:cs="Arial"/>
          <w:sz w:val="22"/>
          <w:szCs w:val="22"/>
          <w:lang w:val="en-US" w:eastAsia="en-GB"/>
        </w:rPr>
        <w:t>than with PD-1 (26.5%) and PD-L1</w:t>
      </w:r>
      <w:r w:rsidR="00A70DA0" w:rsidRPr="00416898">
        <w:rPr>
          <w:rFonts w:eastAsia="Calibri" w:cs="Arial"/>
          <w:sz w:val="22"/>
          <w:szCs w:val="22"/>
          <w:lang w:val="en-US" w:eastAsia="en-GB"/>
        </w:rPr>
        <w:t xml:space="preserve"> </w:t>
      </w:r>
      <w:r w:rsidR="0088435C" w:rsidRPr="00416898">
        <w:rPr>
          <w:rFonts w:eastAsia="Calibri" w:cs="Arial"/>
          <w:sz w:val="22"/>
          <w:szCs w:val="22"/>
          <w:lang w:val="en-US" w:eastAsia="en-GB"/>
        </w:rPr>
        <w:t>(17.1%)</w:t>
      </w:r>
      <w:r w:rsidR="00B93654" w:rsidRPr="00416898">
        <w:rPr>
          <w:rFonts w:eastAsia="Calibri" w:cs="Arial"/>
          <w:sz w:val="22"/>
          <w:szCs w:val="22"/>
          <w:lang w:val="en-US" w:eastAsia="en-GB"/>
        </w:rPr>
        <w:t>.</w:t>
      </w:r>
      <w:r w:rsidR="0088435C" w:rsidRPr="00416898">
        <w:rPr>
          <w:rFonts w:eastAsia="Calibri" w:cs="Arial"/>
          <w:sz w:val="22"/>
          <w:szCs w:val="22"/>
          <w:lang w:val="en-US" w:eastAsia="en-GB"/>
        </w:rPr>
        <w:t xml:space="preserve"> Moreover, the</w:t>
      </w:r>
      <w:r w:rsidR="005B7C54" w:rsidRPr="00416898">
        <w:rPr>
          <w:rFonts w:eastAsia="Calibri" w:cs="Arial"/>
          <w:sz w:val="22"/>
          <w:szCs w:val="22"/>
          <w:lang w:val="en-US" w:eastAsia="en-GB"/>
        </w:rPr>
        <w:t xml:space="preserve"> </w:t>
      </w:r>
      <w:r w:rsidR="0088435C" w:rsidRPr="00416898">
        <w:rPr>
          <w:rFonts w:eastAsia="Calibri" w:cs="Arial"/>
          <w:sz w:val="22"/>
          <w:szCs w:val="22"/>
          <w:lang w:val="en-US" w:eastAsia="en-GB"/>
        </w:rPr>
        <w:t>incidence of any-grade irAE was highest in patients receiving</w:t>
      </w:r>
      <w:r w:rsidR="005B7C54" w:rsidRPr="00416898">
        <w:rPr>
          <w:rFonts w:eastAsia="Calibri" w:cs="Arial"/>
          <w:sz w:val="22"/>
          <w:szCs w:val="22"/>
          <w:lang w:val="en-US" w:eastAsia="en-GB"/>
        </w:rPr>
        <w:t xml:space="preserve"> </w:t>
      </w:r>
      <w:r w:rsidR="0088435C" w:rsidRPr="00416898">
        <w:rPr>
          <w:rFonts w:eastAsia="Calibri" w:cs="Arial"/>
          <w:sz w:val="22"/>
          <w:szCs w:val="22"/>
          <w:lang w:val="en-US" w:eastAsia="en-GB"/>
        </w:rPr>
        <w:t>CTLA-4 plus PD-1/PD-L1 combinations (61.1%)</w:t>
      </w:r>
      <w:r w:rsidR="004F0193" w:rsidRPr="00416898">
        <w:rPr>
          <w:rFonts w:eastAsia="Calibri" w:cs="Arial"/>
          <w:sz w:val="22"/>
          <w:szCs w:val="22"/>
          <w:lang w:val="en-US" w:eastAsia="en-GB"/>
        </w:rPr>
        <w:t xml:space="preserve"> </w:t>
      </w:r>
      <w:r w:rsidR="0079470F" w:rsidRPr="00416898">
        <w:rPr>
          <w:rFonts w:eastAsia="Calibri" w:cs="Arial"/>
          <w:sz w:val="22"/>
          <w:szCs w:val="22"/>
          <w:lang w:val="en-US" w:eastAsia="en-GB"/>
        </w:rPr>
        <w:t>(</w:t>
      </w:r>
      <w:r w:rsidR="00C4216B" w:rsidRPr="00416898">
        <w:rPr>
          <w:rFonts w:eastAsia="Calibri" w:cs="Arial"/>
          <w:sz w:val="22"/>
          <w:szCs w:val="22"/>
          <w:lang w:val="en-US" w:eastAsia="en-GB"/>
        </w:rPr>
        <w:t>38</w:t>
      </w:r>
      <w:r w:rsidR="0079470F" w:rsidRPr="00416898">
        <w:rPr>
          <w:rFonts w:eastAsia="Calibri" w:cs="Arial"/>
          <w:sz w:val="22"/>
          <w:szCs w:val="22"/>
          <w:lang w:val="en-US" w:eastAsia="en-GB"/>
        </w:rPr>
        <w:t>)</w:t>
      </w:r>
      <w:r w:rsidR="00B93654" w:rsidRPr="00416898">
        <w:rPr>
          <w:rFonts w:eastAsia="Calibri" w:cs="Arial"/>
          <w:sz w:val="22"/>
          <w:szCs w:val="22"/>
          <w:lang w:val="en-US" w:eastAsia="en-GB"/>
        </w:rPr>
        <w:t>.</w:t>
      </w:r>
      <w:r w:rsidR="004A02EB" w:rsidRPr="00416898">
        <w:rPr>
          <w:rFonts w:eastAsia="Calibri" w:cs="Arial"/>
          <w:sz w:val="22"/>
          <w:szCs w:val="22"/>
          <w:lang w:val="en-US" w:eastAsia="en-GB"/>
        </w:rPr>
        <w:t xml:space="preserve"> </w:t>
      </w:r>
      <w:r w:rsidR="0081710D" w:rsidRPr="00416898">
        <w:rPr>
          <w:rFonts w:eastAsia="Calibri" w:cs="Arial"/>
          <w:sz w:val="22"/>
          <w:szCs w:val="22"/>
          <w:lang w:val="en-US" w:eastAsia="en-GB"/>
        </w:rPr>
        <w:t>The incidence of endocrine adverse events reported with the</w:t>
      </w:r>
      <w:r w:rsidR="005B7C54" w:rsidRPr="00416898">
        <w:rPr>
          <w:rFonts w:eastAsia="Calibri" w:cs="Arial"/>
          <w:sz w:val="22"/>
          <w:szCs w:val="22"/>
          <w:lang w:val="en-US" w:eastAsia="en-GB"/>
        </w:rPr>
        <w:t xml:space="preserve"> </w:t>
      </w:r>
      <w:r w:rsidR="0081710D" w:rsidRPr="00416898">
        <w:rPr>
          <w:rFonts w:eastAsia="Calibri" w:cs="Arial"/>
          <w:sz w:val="22"/>
          <w:szCs w:val="22"/>
          <w:lang w:val="en-US" w:eastAsia="en-GB"/>
        </w:rPr>
        <w:t xml:space="preserve">use of immune checkpoint inhibitors </w:t>
      </w:r>
      <w:r w:rsidR="004F0193" w:rsidRPr="00416898">
        <w:rPr>
          <w:rFonts w:eastAsia="Calibri" w:cs="Arial"/>
          <w:sz w:val="22"/>
          <w:szCs w:val="22"/>
          <w:lang w:val="en-US" w:eastAsia="en-GB"/>
        </w:rPr>
        <w:t xml:space="preserve">(ICI) </w:t>
      </w:r>
      <w:r w:rsidR="0081710D" w:rsidRPr="00416898">
        <w:rPr>
          <w:rFonts w:eastAsia="Calibri" w:cs="Arial"/>
          <w:sz w:val="22"/>
          <w:szCs w:val="22"/>
          <w:lang w:val="en-US" w:eastAsia="en-GB"/>
        </w:rPr>
        <w:t>ranges from 5% to 20%</w:t>
      </w:r>
      <w:r w:rsidR="005B7C54" w:rsidRPr="00416898">
        <w:rPr>
          <w:rFonts w:eastAsia="Calibri" w:cs="Arial"/>
          <w:sz w:val="22"/>
          <w:szCs w:val="22"/>
          <w:lang w:val="en-US" w:eastAsia="en-GB"/>
        </w:rPr>
        <w:t xml:space="preserve"> </w:t>
      </w:r>
      <w:r w:rsidR="0079470F" w:rsidRPr="00416898">
        <w:rPr>
          <w:rFonts w:eastAsia="Calibri" w:cs="Arial"/>
          <w:sz w:val="22"/>
          <w:szCs w:val="22"/>
          <w:lang w:val="en-US" w:eastAsia="en-GB"/>
        </w:rPr>
        <w:t>(</w:t>
      </w:r>
      <w:r w:rsidR="00C4216B" w:rsidRPr="00416898">
        <w:rPr>
          <w:rFonts w:eastAsia="Calibri" w:cs="Arial"/>
          <w:sz w:val="22"/>
          <w:szCs w:val="22"/>
          <w:lang w:val="en-US" w:eastAsia="en-GB"/>
        </w:rPr>
        <w:t>39</w:t>
      </w:r>
      <w:r w:rsidR="004A02EB" w:rsidRPr="00416898">
        <w:rPr>
          <w:rFonts w:eastAsia="Calibri" w:cs="Arial"/>
          <w:sz w:val="22"/>
          <w:szCs w:val="22"/>
          <w:lang w:val="en-US" w:eastAsia="en-GB"/>
        </w:rPr>
        <w:t>, 4</w:t>
      </w:r>
      <w:r w:rsidR="00C4216B" w:rsidRPr="00416898">
        <w:rPr>
          <w:rFonts w:eastAsia="Calibri" w:cs="Arial"/>
          <w:sz w:val="22"/>
          <w:szCs w:val="22"/>
          <w:lang w:val="en-US" w:eastAsia="en-GB"/>
        </w:rPr>
        <w:t>0</w:t>
      </w:r>
      <w:r w:rsidR="0079470F" w:rsidRPr="00416898">
        <w:rPr>
          <w:rFonts w:eastAsia="Calibri" w:cs="Arial"/>
          <w:sz w:val="22"/>
          <w:szCs w:val="22"/>
          <w:lang w:val="en-US" w:eastAsia="en-GB"/>
        </w:rPr>
        <w:t>)</w:t>
      </w:r>
      <w:r w:rsidR="00DA71E6" w:rsidRPr="00416898">
        <w:rPr>
          <w:rFonts w:eastAsia="Calibri" w:cs="Arial"/>
          <w:sz w:val="22"/>
          <w:szCs w:val="22"/>
          <w:lang w:val="en-US" w:eastAsia="en-GB"/>
        </w:rPr>
        <w:t>,</w:t>
      </w:r>
      <w:r w:rsidR="0081710D" w:rsidRPr="00416898">
        <w:rPr>
          <w:rFonts w:eastAsia="Calibri" w:cs="Arial"/>
          <w:sz w:val="22"/>
          <w:szCs w:val="22"/>
          <w:lang w:val="en-US" w:eastAsia="en-GB"/>
        </w:rPr>
        <w:t xml:space="preserve"> </w:t>
      </w:r>
      <w:r w:rsidR="00DA71E6" w:rsidRPr="00416898">
        <w:rPr>
          <w:rFonts w:eastAsia="Calibri" w:cs="Arial"/>
          <w:sz w:val="22"/>
          <w:szCs w:val="22"/>
          <w:lang w:val="en-US" w:eastAsia="en-GB"/>
        </w:rPr>
        <w:t>with</w:t>
      </w:r>
      <w:r w:rsidR="0081710D" w:rsidRPr="00416898">
        <w:rPr>
          <w:rFonts w:eastAsia="Calibri" w:cs="Arial"/>
          <w:sz w:val="22"/>
          <w:szCs w:val="22"/>
          <w:lang w:val="en-US" w:eastAsia="en-GB"/>
        </w:rPr>
        <w:t xml:space="preserve"> a recent systematic review and meta</w:t>
      </w:r>
      <w:r w:rsidR="005B7C54" w:rsidRPr="00416898">
        <w:rPr>
          <w:rFonts w:eastAsia="Calibri" w:cs="Arial"/>
          <w:sz w:val="22"/>
          <w:szCs w:val="22"/>
          <w:lang w:val="en-US" w:eastAsia="en-GB"/>
        </w:rPr>
        <w:t>-</w:t>
      </w:r>
      <w:r w:rsidR="0081710D" w:rsidRPr="00416898">
        <w:rPr>
          <w:rFonts w:eastAsia="Calibri" w:cs="Arial"/>
          <w:sz w:val="22"/>
          <w:szCs w:val="22"/>
          <w:lang w:val="en-US" w:eastAsia="en-GB"/>
        </w:rPr>
        <w:t>analysis</w:t>
      </w:r>
      <w:r w:rsidR="005B7C54" w:rsidRPr="00416898">
        <w:rPr>
          <w:rFonts w:eastAsia="Calibri" w:cs="Arial"/>
          <w:sz w:val="22"/>
          <w:szCs w:val="22"/>
          <w:lang w:val="en-US" w:eastAsia="en-GB"/>
        </w:rPr>
        <w:t xml:space="preserve"> </w:t>
      </w:r>
      <w:r w:rsidR="0081710D" w:rsidRPr="00416898">
        <w:rPr>
          <w:rFonts w:eastAsia="Calibri" w:cs="Arial"/>
          <w:sz w:val="22"/>
          <w:szCs w:val="22"/>
          <w:lang w:val="en-US" w:eastAsia="en-GB"/>
        </w:rPr>
        <w:t>report</w:t>
      </w:r>
      <w:r w:rsidR="00DA71E6" w:rsidRPr="00416898">
        <w:rPr>
          <w:rFonts w:eastAsia="Calibri" w:cs="Arial"/>
          <w:sz w:val="22"/>
          <w:szCs w:val="22"/>
          <w:lang w:val="en-US" w:eastAsia="en-GB"/>
        </w:rPr>
        <w:t>ing</w:t>
      </w:r>
      <w:r w:rsidR="0081710D" w:rsidRPr="00416898">
        <w:rPr>
          <w:rFonts w:eastAsia="Calibri" w:cs="Arial"/>
          <w:sz w:val="22"/>
          <w:szCs w:val="22"/>
          <w:lang w:val="en-US" w:eastAsia="en-GB"/>
        </w:rPr>
        <w:t xml:space="preserve"> an overall incidence of clinically significant</w:t>
      </w:r>
      <w:r w:rsidR="005B7C54" w:rsidRPr="00416898">
        <w:rPr>
          <w:rFonts w:eastAsia="Calibri" w:cs="Arial"/>
          <w:sz w:val="22"/>
          <w:szCs w:val="22"/>
          <w:lang w:val="en-US" w:eastAsia="en-GB"/>
        </w:rPr>
        <w:t xml:space="preserve"> </w:t>
      </w:r>
      <w:r w:rsidR="0081710D" w:rsidRPr="00416898">
        <w:rPr>
          <w:rFonts w:eastAsia="Calibri" w:cs="Arial"/>
          <w:sz w:val="22"/>
          <w:szCs w:val="22"/>
          <w:lang w:val="en-US" w:eastAsia="en-GB"/>
        </w:rPr>
        <w:t xml:space="preserve">endocrinopathies of </w:t>
      </w:r>
      <w:r w:rsidR="005B7C54" w:rsidRPr="00416898">
        <w:rPr>
          <w:rFonts w:eastAsia="Calibri" w:cs="Arial"/>
          <w:sz w:val="22"/>
          <w:szCs w:val="22"/>
          <w:lang w:val="en-US" w:eastAsia="en-GB"/>
        </w:rPr>
        <w:t xml:space="preserve">approximately </w:t>
      </w:r>
      <w:r w:rsidR="0081710D" w:rsidRPr="00416898">
        <w:rPr>
          <w:rFonts w:eastAsia="Calibri" w:cs="Arial"/>
          <w:sz w:val="22"/>
          <w:szCs w:val="22"/>
          <w:lang w:val="en-US" w:eastAsia="en-GB"/>
        </w:rPr>
        <w:t xml:space="preserve">10% </w:t>
      </w:r>
      <w:r w:rsidR="0079470F" w:rsidRPr="00416898">
        <w:rPr>
          <w:rFonts w:eastAsia="Calibri" w:cs="Arial"/>
          <w:sz w:val="22"/>
          <w:szCs w:val="22"/>
          <w:lang w:val="en-US" w:eastAsia="en-GB"/>
        </w:rPr>
        <w:t>(</w:t>
      </w:r>
      <w:r w:rsidR="00260C44" w:rsidRPr="00416898">
        <w:rPr>
          <w:rFonts w:eastAsia="Calibri" w:cs="Arial"/>
          <w:sz w:val="22"/>
          <w:szCs w:val="22"/>
          <w:lang w:val="en-US" w:eastAsia="en-GB"/>
        </w:rPr>
        <w:t>4</w:t>
      </w:r>
      <w:r w:rsidR="00C4216B" w:rsidRPr="00416898">
        <w:rPr>
          <w:rFonts w:eastAsia="Calibri" w:cs="Arial"/>
          <w:sz w:val="22"/>
          <w:szCs w:val="22"/>
          <w:lang w:val="en-US" w:eastAsia="en-GB"/>
        </w:rPr>
        <w:t>1</w:t>
      </w:r>
      <w:r w:rsidR="0079470F" w:rsidRPr="00416898">
        <w:rPr>
          <w:rFonts w:eastAsia="Calibri" w:cs="Arial"/>
          <w:sz w:val="22"/>
          <w:szCs w:val="22"/>
          <w:lang w:val="en-US" w:eastAsia="en-GB"/>
        </w:rPr>
        <w:t>)</w:t>
      </w:r>
      <w:r w:rsidR="00B93654" w:rsidRPr="00416898">
        <w:rPr>
          <w:rFonts w:eastAsia="Calibri" w:cs="Arial"/>
          <w:sz w:val="22"/>
          <w:szCs w:val="22"/>
          <w:lang w:val="en-US" w:eastAsia="en-GB"/>
        </w:rPr>
        <w:t>.</w:t>
      </w:r>
      <w:r w:rsidR="00260C44" w:rsidRPr="00416898">
        <w:rPr>
          <w:rFonts w:eastAsia="Calibri" w:cs="Arial"/>
          <w:sz w:val="22"/>
          <w:szCs w:val="22"/>
          <w:lang w:val="en-US" w:eastAsia="en-GB"/>
        </w:rPr>
        <w:t xml:space="preserve"> </w:t>
      </w:r>
      <w:r w:rsidR="0081710D" w:rsidRPr="00416898">
        <w:rPr>
          <w:rFonts w:eastAsia="Calibri" w:cs="Arial"/>
          <w:sz w:val="22"/>
          <w:szCs w:val="22"/>
          <w:lang w:val="en-US" w:eastAsia="en-GB"/>
        </w:rPr>
        <w:t>Hypophysitis appears most</w:t>
      </w:r>
      <w:r w:rsidR="005B7C54" w:rsidRPr="00416898">
        <w:rPr>
          <w:rFonts w:eastAsia="Calibri" w:cs="Arial"/>
          <w:sz w:val="22"/>
          <w:szCs w:val="22"/>
          <w:lang w:val="en-US" w:eastAsia="en-GB"/>
        </w:rPr>
        <w:t xml:space="preserve"> </w:t>
      </w:r>
      <w:r w:rsidR="0081710D" w:rsidRPr="00416898">
        <w:rPr>
          <w:rFonts w:eastAsia="Calibri" w:cs="Arial"/>
          <w:sz w:val="22"/>
          <w:szCs w:val="22"/>
          <w:lang w:val="en-US" w:eastAsia="en-GB"/>
        </w:rPr>
        <w:t xml:space="preserve">often in men </w:t>
      </w:r>
      <w:r w:rsidR="00DA71E6" w:rsidRPr="00416898">
        <w:rPr>
          <w:rFonts w:eastAsia="Calibri" w:cs="Arial"/>
          <w:sz w:val="22"/>
          <w:szCs w:val="22"/>
          <w:lang w:val="en-US" w:eastAsia="en-GB"/>
        </w:rPr>
        <w:t xml:space="preserve">older </w:t>
      </w:r>
      <w:r w:rsidR="00633339" w:rsidRPr="00416898">
        <w:rPr>
          <w:rFonts w:eastAsia="Calibri" w:cs="Arial"/>
          <w:sz w:val="22"/>
          <w:szCs w:val="22"/>
          <w:lang w:val="en-US" w:eastAsia="en-GB"/>
        </w:rPr>
        <w:t xml:space="preserve">than </w:t>
      </w:r>
      <w:r w:rsidR="0081710D" w:rsidRPr="00416898">
        <w:rPr>
          <w:rFonts w:eastAsia="Calibri" w:cs="Arial"/>
          <w:sz w:val="22"/>
          <w:szCs w:val="22"/>
          <w:lang w:val="en-US" w:eastAsia="en-GB"/>
        </w:rPr>
        <w:t xml:space="preserve">60 years and </w:t>
      </w:r>
      <w:r w:rsidR="00B93654" w:rsidRPr="00416898">
        <w:rPr>
          <w:rFonts w:eastAsia="Calibri" w:cs="Arial"/>
          <w:sz w:val="22"/>
          <w:szCs w:val="22"/>
          <w:lang w:val="en-US" w:eastAsia="en-GB"/>
        </w:rPr>
        <w:t xml:space="preserve">is </w:t>
      </w:r>
      <w:r w:rsidR="0081710D" w:rsidRPr="00416898">
        <w:rPr>
          <w:rFonts w:eastAsia="Calibri" w:cs="Arial"/>
          <w:sz w:val="22"/>
          <w:szCs w:val="22"/>
          <w:lang w:val="en-US" w:eastAsia="en-GB"/>
        </w:rPr>
        <w:t>2–5 times more frequent than in</w:t>
      </w:r>
      <w:r w:rsidR="005B7C54" w:rsidRPr="00416898">
        <w:rPr>
          <w:rFonts w:eastAsia="Calibri" w:cs="Arial"/>
          <w:sz w:val="22"/>
          <w:szCs w:val="22"/>
          <w:lang w:val="en-US" w:eastAsia="en-GB"/>
        </w:rPr>
        <w:t xml:space="preserve"> </w:t>
      </w:r>
      <w:r w:rsidR="0081710D" w:rsidRPr="00416898">
        <w:rPr>
          <w:rFonts w:eastAsia="Calibri" w:cs="Arial"/>
          <w:sz w:val="22"/>
          <w:szCs w:val="22"/>
          <w:lang w:val="en-US" w:eastAsia="en-GB"/>
        </w:rPr>
        <w:t>women. The incidence reported is 4%–20% with ipilimumab,</w:t>
      </w:r>
      <w:r w:rsidR="005B7C54" w:rsidRPr="00416898">
        <w:rPr>
          <w:rFonts w:eastAsia="Calibri" w:cs="Arial"/>
          <w:sz w:val="22"/>
          <w:szCs w:val="22"/>
          <w:lang w:val="en-US" w:eastAsia="en-GB"/>
        </w:rPr>
        <w:t xml:space="preserve"> </w:t>
      </w:r>
      <w:r w:rsidR="0081710D" w:rsidRPr="00416898">
        <w:rPr>
          <w:rFonts w:eastAsia="Calibri" w:cs="Arial"/>
          <w:sz w:val="22"/>
          <w:szCs w:val="22"/>
          <w:lang w:val="en-US" w:eastAsia="en-GB"/>
        </w:rPr>
        <w:t>8% with the combination ipilimumab plus nivolumab, 0.6% with</w:t>
      </w:r>
      <w:r w:rsidR="005B7C54" w:rsidRPr="00416898">
        <w:rPr>
          <w:rFonts w:eastAsia="Calibri" w:cs="Arial"/>
          <w:sz w:val="22"/>
          <w:szCs w:val="22"/>
          <w:lang w:val="en-US" w:eastAsia="en-GB"/>
        </w:rPr>
        <w:t xml:space="preserve"> </w:t>
      </w:r>
      <w:r w:rsidR="0081710D" w:rsidRPr="00416898">
        <w:rPr>
          <w:rFonts w:eastAsia="Calibri" w:cs="Arial"/>
          <w:sz w:val="22"/>
          <w:szCs w:val="22"/>
          <w:lang w:val="en-US" w:eastAsia="en-GB"/>
        </w:rPr>
        <w:t xml:space="preserve">nivolumab, and 0.7% with pembrolizumab </w:t>
      </w:r>
      <w:r w:rsidR="0079470F" w:rsidRPr="00416898">
        <w:rPr>
          <w:rFonts w:eastAsia="Calibri" w:cs="Arial"/>
          <w:sz w:val="22"/>
          <w:szCs w:val="22"/>
          <w:lang w:val="en-US" w:eastAsia="en-GB"/>
        </w:rPr>
        <w:t>(</w:t>
      </w:r>
      <w:r w:rsidR="00260C44" w:rsidRPr="00416898">
        <w:rPr>
          <w:rFonts w:eastAsia="Calibri" w:cs="Arial"/>
          <w:sz w:val="22"/>
          <w:szCs w:val="22"/>
          <w:lang w:val="en-US" w:eastAsia="en-GB"/>
        </w:rPr>
        <w:t>4</w:t>
      </w:r>
      <w:r w:rsidR="00C4216B" w:rsidRPr="00416898">
        <w:rPr>
          <w:rFonts w:eastAsia="Calibri" w:cs="Arial"/>
          <w:sz w:val="22"/>
          <w:szCs w:val="22"/>
          <w:lang w:val="en-US" w:eastAsia="en-GB"/>
        </w:rPr>
        <w:t>0</w:t>
      </w:r>
      <w:r w:rsidR="0079470F" w:rsidRPr="00416898">
        <w:rPr>
          <w:rFonts w:eastAsia="Calibri" w:cs="Arial"/>
          <w:sz w:val="22"/>
          <w:szCs w:val="22"/>
          <w:lang w:val="en-US" w:eastAsia="en-GB"/>
        </w:rPr>
        <w:t>)</w:t>
      </w:r>
      <w:r w:rsidR="00B93654" w:rsidRPr="00416898">
        <w:rPr>
          <w:rFonts w:eastAsia="Calibri" w:cs="Arial"/>
          <w:sz w:val="22"/>
          <w:szCs w:val="22"/>
          <w:lang w:val="en-US" w:eastAsia="en-GB"/>
        </w:rPr>
        <w:t>.</w:t>
      </w:r>
      <w:r w:rsidR="00260C44" w:rsidRPr="00416898">
        <w:rPr>
          <w:rFonts w:eastAsia="Calibri" w:cs="Arial"/>
          <w:sz w:val="22"/>
          <w:szCs w:val="22"/>
          <w:lang w:val="en-US" w:eastAsia="en-GB"/>
        </w:rPr>
        <w:t xml:space="preserve"> </w:t>
      </w:r>
      <w:r w:rsidR="0081710D" w:rsidRPr="00416898">
        <w:rPr>
          <w:rFonts w:eastAsia="Calibri" w:cs="Arial"/>
          <w:sz w:val="22"/>
          <w:szCs w:val="22"/>
          <w:lang w:val="en-US" w:eastAsia="en-GB"/>
        </w:rPr>
        <w:t>The</w:t>
      </w:r>
      <w:r w:rsidR="005B7C54" w:rsidRPr="00416898">
        <w:rPr>
          <w:rFonts w:eastAsia="Calibri" w:cs="Arial"/>
          <w:sz w:val="22"/>
          <w:szCs w:val="22"/>
          <w:lang w:val="en-US" w:eastAsia="en-GB"/>
        </w:rPr>
        <w:t xml:space="preserve"> </w:t>
      </w:r>
      <w:r w:rsidR="0081710D" w:rsidRPr="00416898">
        <w:rPr>
          <w:rFonts w:eastAsia="Calibri" w:cs="Arial"/>
          <w:sz w:val="22"/>
          <w:szCs w:val="22"/>
          <w:lang w:val="en-US" w:eastAsia="en-GB"/>
        </w:rPr>
        <w:t>incidence of hypothyroidism ranges from 6% to 13% and for</w:t>
      </w:r>
      <w:r w:rsidR="005B7C54" w:rsidRPr="00416898">
        <w:rPr>
          <w:rFonts w:eastAsia="Calibri" w:cs="Arial"/>
          <w:sz w:val="22"/>
          <w:szCs w:val="22"/>
          <w:lang w:val="en-US" w:eastAsia="en-GB"/>
        </w:rPr>
        <w:t xml:space="preserve"> </w:t>
      </w:r>
      <w:r w:rsidR="0081710D" w:rsidRPr="00416898">
        <w:rPr>
          <w:rFonts w:eastAsia="Calibri" w:cs="Arial"/>
          <w:sz w:val="22"/>
          <w:szCs w:val="22"/>
          <w:lang w:val="en-US" w:eastAsia="en-GB"/>
        </w:rPr>
        <w:t>thyrotoxicosis from 3% to 16%. However, when subclinical</w:t>
      </w:r>
      <w:r w:rsidR="005B7C54" w:rsidRPr="00416898">
        <w:rPr>
          <w:rFonts w:eastAsia="Calibri" w:cs="Arial"/>
          <w:sz w:val="22"/>
          <w:szCs w:val="22"/>
          <w:lang w:val="en-US" w:eastAsia="en-GB"/>
        </w:rPr>
        <w:t xml:space="preserve"> </w:t>
      </w:r>
      <w:r w:rsidR="0081710D" w:rsidRPr="00416898">
        <w:rPr>
          <w:rFonts w:eastAsia="Calibri" w:cs="Arial"/>
          <w:sz w:val="22"/>
          <w:szCs w:val="22"/>
          <w:lang w:val="en-US" w:eastAsia="en-GB"/>
        </w:rPr>
        <w:t>hypothyroidism or hyperthyroidism is included, the</w:t>
      </w:r>
      <w:r w:rsidR="005B7C54" w:rsidRPr="00416898">
        <w:rPr>
          <w:rFonts w:eastAsia="Calibri" w:cs="Arial"/>
          <w:sz w:val="22"/>
          <w:szCs w:val="22"/>
          <w:lang w:val="en-US" w:eastAsia="en-GB"/>
        </w:rPr>
        <w:t xml:space="preserve"> </w:t>
      </w:r>
      <w:r w:rsidR="0081710D" w:rsidRPr="00416898">
        <w:rPr>
          <w:rFonts w:eastAsia="Calibri" w:cs="Arial"/>
          <w:sz w:val="22"/>
          <w:szCs w:val="22"/>
          <w:lang w:val="en-US" w:eastAsia="en-GB"/>
        </w:rPr>
        <w:t>incidence can reach 28% and 22%, respectively</w:t>
      </w:r>
      <w:r w:rsidR="0079470F" w:rsidRPr="00416898">
        <w:rPr>
          <w:rFonts w:eastAsia="Calibri" w:cs="Arial"/>
          <w:sz w:val="22"/>
          <w:szCs w:val="22"/>
          <w:lang w:val="en-US" w:eastAsia="en-GB"/>
        </w:rPr>
        <w:t xml:space="preserve"> (</w:t>
      </w:r>
      <w:r w:rsidR="00260C44" w:rsidRPr="00416898">
        <w:rPr>
          <w:rFonts w:eastAsia="Calibri" w:cs="Arial"/>
          <w:sz w:val="22"/>
          <w:szCs w:val="22"/>
          <w:lang w:val="en-US" w:eastAsia="en-GB"/>
        </w:rPr>
        <w:t>4</w:t>
      </w:r>
      <w:r w:rsidR="00C4216B" w:rsidRPr="00416898">
        <w:rPr>
          <w:rFonts w:eastAsia="Calibri" w:cs="Arial"/>
          <w:sz w:val="22"/>
          <w:szCs w:val="22"/>
          <w:lang w:val="en-US" w:eastAsia="en-GB"/>
        </w:rPr>
        <w:t>2</w:t>
      </w:r>
      <w:r w:rsidR="0079470F" w:rsidRPr="00416898">
        <w:rPr>
          <w:rFonts w:eastAsia="Calibri" w:cs="Arial"/>
          <w:sz w:val="22"/>
          <w:szCs w:val="22"/>
          <w:lang w:val="en-US" w:eastAsia="en-GB"/>
        </w:rPr>
        <w:t>)</w:t>
      </w:r>
      <w:r w:rsidR="00B93654" w:rsidRPr="00416898">
        <w:rPr>
          <w:rFonts w:eastAsia="Calibri" w:cs="Arial"/>
          <w:sz w:val="22"/>
          <w:szCs w:val="22"/>
          <w:lang w:val="en-US" w:eastAsia="en-GB"/>
        </w:rPr>
        <w:t>.</w:t>
      </w:r>
      <w:r w:rsidR="00260C44" w:rsidRPr="00416898">
        <w:rPr>
          <w:rFonts w:eastAsia="Calibri" w:cs="Arial"/>
          <w:sz w:val="22"/>
          <w:szCs w:val="22"/>
          <w:lang w:val="en-US" w:eastAsia="en-GB"/>
        </w:rPr>
        <w:t xml:space="preserve"> </w:t>
      </w:r>
      <w:r w:rsidR="00267FE7" w:rsidRPr="00416898">
        <w:rPr>
          <w:rFonts w:eastAsia="Calibri" w:cs="Arial"/>
          <w:sz w:val="22"/>
          <w:szCs w:val="22"/>
          <w:lang w:val="en-US" w:eastAsia="en-GB"/>
        </w:rPr>
        <w:t>The</w:t>
      </w:r>
      <w:r w:rsidR="00DA71E6" w:rsidRPr="00416898">
        <w:rPr>
          <w:rFonts w:eastAsia="Calibri" w:cs="Arial"/>
          <w:sz w:val="22"/>
          <w:szCs w:val="22"/>
          <w:lang w:val="en-US" w:eastAsia="en-GB"/>
        </w:rPr>
        <w:t>se</w:t>
      </w:r>
      <w:r w:rsidR="00267FE7" w:rsidRPr="00416898">
        <w:rPr>
          <w:rFonts w:eastAsia="Calibri" w:cs="Arial"/>
          <w:sz w:val="22"/>
          <w:szCs w:val="22"/>
          <w:lang w:val="en-US" w:eastAsia="en-GB"/>
        </w:rPr>
        <w:t xml:space="preserve"> risk</w:t>
      </w:r>
      <w:r w:rsidR="00DA71E6" w:rsidRPr="00416898">
        <w:rPr>
          <w:rFonts w:eastAsia="Calibri" w:cs="Arial"/>
          <w:sz w:val="22"/>
          <w:szCs w:val="22"/>
          <w:lang w:val="en-US" w:eastAsia="en-GB"/>
        </w:rPr>
        <w:t>s</w:t>
      </w:r>
      <w:r w:rsidR="00267FE7" w:rsidRPr="00416898">
        <w:rPr>
          <w:rFonts w:eastAsia="Calibri" w:cs="Arial"/>
          <w:sz w:val="22"/>
          <w:szCs w:val="22"/>
          <w:lang w:val="en-US" w:eastAsia="en-GB"/>
        </w:rPr>
        <w:t xml:space="preserve"> w</w:t>
      </w:r>
      <w:r w:rsidR="00DA71E6" w:rsidRPr="00416898">
        <w:rPr>
          <w:rFonts w:eastAsia="Calibri" w:cs="Arial"/>
          <w:sz w:val="22"/>
          <w:szCs w:val="22"/>
          <w:lang w:val="en-US" w:eastAsia="en-GB"/>
        </w:rPr>
        <w:t>ere</w:t>
      </w:r>
      <w:r w:rsidR="00267FE7" w:rsidRPr="00416898">
        <w:rPr>
          <w:rFonts w:eastAsia="Calibri" w:cs="Arial"/>
          <w:sz w:val="22"/>
          <w:szCs w:val="22"/>
          <w:lang w:val="en-US" w:eastAsia="en-GB"/>
        </w:rPr>
        <w:t xml:space="preserve"> reported to be dose dependent</w:t>
      </w:r>
      <w:r w:rsidR="00DA71E6" w:rsidRPr="00416898">
        <w:rPr>
          <w:rFonts w:eastAsia="Calibri" w:cs="Arial"/>
          <w:sz w:val="22"/>
          <w:szCs w:val="22"/>
          <w:lang w:val="en-US" w:eastAsia="en-GB"/>
        </w:rPr>
        <w:t>;</w:t>
      </w:r>
      <w:r w:rsidR="00267FE7" w:rsidRPr="00416898">
        <w:rPr>
          <w:rFonts w:eastAsia="Calibri" w:cs="Arial"/>
          <w:sz w:val="22"/>
          <w:szCs w:val="22"/>
          <w:lang w:val="en-US" w:eastAsia="en-GB"/>
        </w:rPr>
        <w:t xml:space="preserve"> in the case of anti-CTLA-4 treatment, the risk was observed </w:t>
      </w:r>
      <w:r w:rsidR="002F4618" w:rsidRPr="00416898">
        <w:rPr>
          <w:rFonts w:eastAsia="Calibri" w:cs="Arial"/>
          <w:sz w:val="22"/>
          <w:szCs w:val="22"/>
          <w:lang w:val="en-US" w:eastAsia="en-GB"/>
        </w:rPr>
        <w:t xml:space="preserve">only </w:t>
      </w:r>
      <w:r w:rsidR="00267FE7" w:rsidRPr="00416898">
        <w:rPr>
          <w:rFonts w:eastAsia="Calibri" w:cs="Arial"/>
          <w:sz w:val="22"/>
          <w:szCs w:val="22"/>
          <w:lang w:val="en-US" w:eastAsia="en-GB"/>
        </w:rPr>
        <w:t xml:space="preserve">above a </w:t>
      </w:r>
      <w:r w:rsidR="002F4618" w:rsidRPr="00416898">
        <w:rPr>
          <w:rFonts w:eastAsia="Calibri" w:cs="Arial"/>
          <w:sz w:val="22"/>
          <w:szCs w:val="22"/>
          <w:lang w:val="en-US" w:eastAsia="en-GB"/>
        </w:rPr>
        <w:t xml:space="preserve">treatment </w:t>
      </w:r>
      <w:r w:rsidR="00267FE7" w:rsidRPr="00416898">
        <w:rPr>
          <w:rFonts w:eastAsia="Calibri" w:cs="Arial"/>
          <w:sz w:val="22"/>
          <w:szCs w:val="22"/>
          <w:lang w:val="en-US" w:eastAsia="en-GB"/>
        </w:rPr>
        <w:t>threshold of 10 mg/kg.</w:t>
      </w:r>
    </w:p>
    <w:p w14:paraId="7939C589" w14:textId="77777777" w:rsidR="00267FE7" w:rsidRPr="00416898" w:rsidRDefault="00267FE7" w:rsidP="00C84278">
      <w:pPr>
        <w:pStyle w:val="BodyText"/>
        <w:spacing w:line="276" w:lineRule="auto"/>
        <w:rPr>
          <w:rFonts w:eastAsia="Calibri" w:cs="Arial"/>
          <w:sz w:val="22"/>
          <w:szCs w:val="22"/>
          <w:lang w:val="en-US" w:eastAsia="en-GB"/>
        </w:rPr>
      </w:pPr>
    </w:p>
    <w:p w14:paraId="385C06FD" w14:textId="77777777" w:rsidR="00D10AE8" w:rsidRPr="00416898" w:rsidRDefault="00267FE7" w:rsidP="00C84278">
      <w:pPr>
        <w:pStyle w:val="BodyText"/>
        <w:spacing w:line="276" w:lineRule="auto"/>
        <w:rPr>
          <w:rFonts w:eastAsia="Calibri" w:cs="Arial"/>
          <w:sz w:val="22"/>
          <w:szCs w:val="22"/>
          <w:lang w:val="en-US" w:eastAsia="en-GB"/>
        </w:rPr>
      </w:pPr>
      <w:r w:rsidRPr="00416898">
        <w:rPr>
          <w:rFonts w:eastAsia="Calibri" w:cs="Arial"/>
          <w:sz w:val="22"/>
          <w:szCs w:val="22"/>
          <w:lang w:val="en-US" w:eastAsia="en-GB"/>
        </w:rPr>
        <w:t xml:space="preserve">Endocrinopathies less often reported include </w:t>
      </w:r>
      <w:r w:rsidR="00165811" w:rsidRPr="00416898">
        <w:rPr>
          <w:rFonts w:eastAsia="Calibri" w:cs="Arial"/>
          <w:sz w:val="22"/>
          <w:szCs w:val="22"/>
          <w:lang w:val="en-US" w:eastAsia="en-GB"/>
        </w:rPr>
        <w:t>T1DM, primary adrenal insufficiency</w:t>
      </w:r>
      <w:r w:rsidR="00B93654" w:rsidRPr="00416898">
        <w:rPr>
          <w:rFonts w:eastAsia="Calibri" w:cs="Arial"/>
          <w:sz w:val="22"/>
          <w:szCs w:val="22"/>
          <w:lang w:val="en-US" w:eastAsia="en-GB"/>
        </w:rPr>
        <w:t>,</w:t>
      </w:r>
      <w:r w:rsidR="00165811" w:rsidRPr="00416898">
        <w:rPr>
          <w:rFonts w:eastAsia="Calibri" w:cs="Arial"/>
          <w:sz w:val="22"/>
          <w:szCs w:val="22"/>
          <w:lang w:val="en-US" w:eastAsia="en-GB"/>
        </w:rPr>
        <w:t xml:space="preserve"> central diabetes insipidus, </w:t>
      </w:r>
      <w:r w:rsidR="00B93654" w:rsidRPr="00416898">
        <w:rPr>
          <w:rFonts w:eastAsia="Calibri" w:cs="Arial"/>
          <w:sz w:val="22"/>
          <w:szCs w:val="22"/>
          <w:lang w:val="en-US" w:eastAsia="en-GB"/>
        </w:rPr>
        <w:t>and</w:t>
      </w:r>
      <w:r w:rsidR="00165811" w:rsidRPr="00416898">
        <w:rPr>
          <w:rFonts w:eastAsia="Calibri" w:cs="Arial"/>
          <w:sz w:val="22"/>
          <w:szCs w:val="22"/>
          <w:lang w:val="en-US" w:eastAsia="en-GB"/>
        </w:rPr>
        <w:t xml:space="preserve"> hypoparathyroidism</w:t>
      </w:r>
      <w:r w:rsidR="007E694D" w:rsidRPr="00416898">
        <w:rPr>
          <w:rFonts w:eastAsia="Calibri" w:cs="Arial"/>
          <w:sz w:val="22"/>
          <w:szCs w:val="22"/>
          <w:lang w:val="en-US" w:eastAsia="en-GB"/>
        </w:rPr>
        <w:t>.</w:t>
      </w:r>
      <w:r w:rsidRPr="00416898">
        <w:rPr>
          <w:rFonts w:eastAsia="Calibri" w:cs="Arial"/>
          <w:sz w:val="22"/>
          <w:szCs w:val="22"/>
          <w:lang w:val="en-US" w:eastAsia="en-GB"/>
        </w:rPr>
        <w:t xml:space="preserve"> In the case of primary </w:t>
      </w:r>
      <w:r w:rsidR="004F0193" w:rsidRPr="00416898">
        <w:rPr>
          <w:rFonts w:eastAsia="Calibri" w:cs="Arial"/>
          <w:sz w:val="22"/>
          <w:szCs w:val="22"/>
          <w:lang w:val="en-US" w:eastAsia="en-GB"/>
        </w:rPr>
        <w:t>adrenal insufficiency</w:t>
      </w:r>
      <w:r w:rsidRPr="00416898">
        <w:rPr>
          <w:rFonts w:eastAsia="Calibri" w:cs="Arial"/>
          <w:sz w:val="22"/>
          <w:szCs w:val="22"/>
          <w:lang w:val="en-US" w:eastAsia="en-GB"/>
        </w:rPr>
        <w:t xml:space="preserve">, an incidence of less than 1% with monotherapy and 4%–8% with combined immunotherapy </w:t>
      </w:r>
      <w:r w:rsidR="002F4618" w:rsidRPr="00416898">
        <w:rPr>
          <w:rFonts w:eastAsia="Calibri" w:cs="Arial"/>
          <w:sz w:val="22"/>
          <w:szCs w:val="22"/>
          <w:lang w:val="en-US" w:eastAsia="en-GB"/>
        </w:rPr>
        <w:t>has been</w:t>
      </w:r>
      <w:r w:rsidRPr="00416898">
        <w:rPr>
          <w:rFonts w:eastAsia="Calibri" w:cs="Arial"/>
          <w:sz w:val="22"/>
          <w:szCs w:val="22"/>
          <w:lang w:val="en-US" w:eastAsia="en-GB"/>
        </w:rPr>
        <w:t xml:space="preserve"> reported </w:t>
      </w:r>
      <w:r w:rsidR="0079470F" w:rsidRPr="00416898">
        <w:rPr>
          <w:rFonts w:eastAsia="Calibri" w:cs="Arial"/>
          <w:sz w:val="22"/>
          <w:szCs w:val="22"/>
          <w:lang w:val="en-US" w:eastAsia="en-GB"/>
        </w:rPr>
        <w:t>(</w:t>
      </w:r>
      <w:r w:rsidR="00260C44" w:rsidRPr="00416898">
        <w:rPr>
          <w:rFonts w:eastAsia="Calibri" w:cs="Arial"/>
          <w:sz w:val="22"/>
          <w:szCs w:val="22"/>
          <w:lang w:val="en-US" w:eastAsia="en-GB"/>
        </w:rPr>
        <w:t>4</w:t>
      </w:r>
      <w:r w:rsidR="00C4216B" w:rsidRPr="00416898">
        <w:rPr>
          <w:rFonts w:eastAsia="Calibri" w:cs="Arial"/>
          <w:sz w:val="22"/>
          <w:szCs w:val="22"/>
          <w:lang w:val="en-US" w:eastAsia="en-GB"/>
        </w:rPr>
        <w:t>1</w:t>
      </w:r>
      <w:r w:rsidR="0079470F" w:rsidRPr="00416898">
        <w:rPr>
          <w:rFonts w:eastAsia="Calibri" w:cs="Arial"/>
          <w:sz w:val="22"/>
          <w:szCs w:val="22"/>
          <w:lang w:val="en-US" w:eastAsia="en-GB"/>
        </w:rPr>
        <w:t>)</w:t>
      </w:r>
      <w:r w:rsidR="00B93654" w:rsidRPr="00416898">
        <w:rPr>
          <w:rFonts w:eastAsia="Calibri" w:cs="Arial"/>
          <w:sz w:val="22"/>
          <w:szCs w:val="22"/>
          <w:lang w:val="en-US" w:eastAsia="en-GB"/>
        </w:rPr>
        <w:t>.</w:t>
      </w:r>
      <w:r w:rsidR="00D10AE8" w:rsidRPr="00416898">
        <w:rPr>
          <w:rFonts w:eastAsia="Calibri" w:cs="Arial"/>
          <w:sz w:val="22"/>
          <w:szCs w:val="22"/>
          <w:lang w:val="en-US" w:eastAsia="en-GB"/>
        </w:rPr>
        <w:t xml:space="preserve"> </w:t>
      </w:r>
      <w:r w:rsidRPr="00416898">
        <w:rPr>
          <w:rFonts w:eastAsia="Calibri" w:cs="Arial"/>
          <w:sz w:val="22"/>
          <w:szCs w:val="22"/>
          <w:lang w:val="en-US" w:eastAsia="en-GB"/>
        </w:rPr>
        <w:t xml:space="preserve">For T1DM </w:t>
      </w:r>
      <w:r w:rsidR="00B93654" w:rsidRPr="00416898">
        <w:rPr>
          <w:rFonts w:eastAsia="Calibri" w:cs="Arial"/>
          <w:sz w:val="22"/>
          <w:szCs w:val="22"/>
          <w:lang w:val="en-US" w:eastAsia="en-GB"/>
        </w:rPr>
        <w:t xml:space="preserve">an </w:t>
      </w:r>
      <w:r w:rsidRPr="00416898">
        <w:rPr>
          <w:rFonts w:eastAsia="Calibri" w:cs="Arial"/>
          <w:sz w:val="22"/>
          <w:szCs w:val="22"/>
          <w:lang w:val="en-US" w:eastAsia="en-GB"/>
        </w:rPr>
        <w:t xml:space="preserve">overall incidence of 0.4% </w:t>
      </w:r>
      <w:r w:rsidR="002F4618" w:rsidRPr="00416898">
        <w:rPr>
          <w:rFonts w:eastAsia="Calibri" w:cs="Arial"/>
          <w:sz w:val="22"/>
          <w:szCs w:val="22"/>
          <w:lang w:val="en-US" w:eastAsia="en-GB"/>
        </w:rPr>
        <w:t>was</w:t>
      </w:r>
      <w:r w:rsidRPr="00416898">
        <w:rPr>
          <w:rFonts w:eastAsia="Calibri" w:cs="Arial"/>
          <w:sz w:val="22"/>
          <w:szCs w:val="22"/>
          <w:lang w:val="en-US" w:eastAsia="en-GB"/>
        </w:rPr>
        <w:t xml:space="preserve"> reported in patients treated with anti-PD-1/PD-L1 but not </w:t>
      </w:r>
      <w:r w:rsidR="002F4618" w:rsidRPr="00416898">
        <w:rPr>
          <w:rFonts w:eastAsia="Calibri" w:cs="Arial"/>
          <w:sz w:val="22"/>
          <w:szCs w:val="22"/>
          <w:lang w:val="en-US" w:eastAsia="en-GB"/>
        </w:rPr>
        <w:t xml:space="preserve">those treated </w:t>
      </w:r>
      <w:r w:rsidRPr="00416898">
        <w:rPr>
          <w:rFonts w:eastAsia="Calibri" w:cs="Arial"/>
          <w:sz w:val="22"/>
          <w:szCs w:val="22"/>
          <w:lang w:val="en-US" w:eastAsia="en-GB"/>
        </w:rPr>
        <w:t xml:space="preserve">with anti-CTLA-4 </w:t>
      </w:r>
      <w:r w:rsidR="0079470F" w:rsidRPr="00416898">
        <w:rPr>
          <w:rFonts w:eastAsia="Calibri" w:cs="Arial"/>
          <w:sz w:val="22"/>
          <w:szCs w:val="22"/>
          <w:lang w:val="en-US" w:eastAsia="en-GB"/>
        </w:rPr>
        <w:t>(</w:t>
      </w:r>
      <w:r w:rsidR="00260C44" w:rsidRPr="00416898">
        <w:rPr>
          <w:rFonts w:eastAsia="Calibri" w:cs="Arial"/>
          <w:sz w:val="22"/>
          <w:szCs w:val="22"/>
          <w:lang w:val="en-US" w:eastAsia="en-GB"/>
        </w:rPr>
        <w:t>4</w:t>
      </w:r>
      <w:r w:rsidR="00C4216B" w:rsidRPr="00416898">
        <w:rPr>
          <w:rFonts w:eastAsia="Calibri" w:cs="Arial"/>
          <w:sz w:val="22"/>
          <w:szCs w:val="22"/>
          <w:lang w:val="en-US" w:eastAsia="en-GB"/>
        </w:rPr>
        <w:t>3</w:t>
      </w:r>
      <w:r w:rsidR="00260C44" w:rsidRPr="00416898">
        <w:rPr>
          <w:rFonts w:eastAsia="Calibri" w:cs="Arial"/>
          <w:sz w:val="22"/>
          <w:szCs w:val="22"/>
          <w:lang w:val="en-US" w:eastAsia="en-GB"/>
        </w:rPr>
        <w:t>, 4</w:t>
      </w:r>
      <w:r w:rsidR="00C4216B" w:rsidRPr="00416898">
        <w:rPr>
          <w:rFonts w:eastAsia="Calibri" w:cs="Arial"/>
          <w:sz w:val="22"/>
          <w:szCs w:val="22"/>
          <w:lang w:val="en-US" w:eastAsia="en-GB"/>
        </w:rPr>
        <w:t>4</w:t>
      </w:r>
      <w:r w:rsidR="0079470F" w:rsidRPr="00416898">
        <w:rPr>
          <w:rFonts w:eastAsia="Calibri" w:cs="Arial"/>
          <w:sz w:val="22"/>
          <w:szCs w:val="22"/>
          <w:lang w:val="en-US" w:eastAsia="en-GB"/>
        </w:rPr>
        <w:t>)</w:t>
      </w:r>
      <w:r w:rsidR="00B93654" w:rsidRPr="00416898">
        <w:rPr>
          <w:rFonts w:eastAsia="Calibri" w:cs="Arial"/>
          <w:sz w:val="22"/>
          <w:szCs w:val="22"/>
          <w:lang w:val="en-US" w:eastAsia="en-GB"/>
        </w:rPr>
        <w:t>.</w:t>
      </w:r>
      <w:r w:rsidR="00260C44" w:rsidRPr="00416898">
        <w:rPr>
          <w:rFonts w:eastAsia="Calibri" w:cs="Arial"/>
          <w:sz w:val="22"/>
          <w:szCs w:val="22"/>
          <w:lang w:val="en-US" w:eastAsia="en-GB"/>
        </w:rPr>
        <w:t xml:space="preserve"> </w:t>
      </w:r>
      <w:r w:rsidRPr="00416898">
        <w:rPr>
          <w:rFonts w:eastAsia="Calibri" w:cs="Arial"/>
          <w:sz w:val="22"/>
          <w:szCs w:val="22"/>
          <w:lang w:val="en-US" w:eastAsia="en-GB"/>
        </w:rPr>
        <w:t xml:space="preserve">However, a recent study reported a prevalence of 0.9% among 2,960 patients treated by </w:t>
      </w:r>
      <w:r w:rsidR="004F0193" w:rsidRPr="00416898">
        <w:rPr>
          <w:rFonts w:eastAsia="Calibri" w:cs="Arial"/>
          <w:sz w:val="22"/>
          <w:szCs w:val="22"/>
          <w:lang w:val="en-US" w:eastAsia="en-GB"/>
        </w:rPr>
        <w:t xml:space="preserve">ICI </w:t>
      </w:r>
      <w:r w:rsidR="0079470F" w:rsidRPr="00416898">
        <w:rPr>
          <w:rFonts w:eastAsia="Calibri" w:cs="Arial"/>
          <w:sz w:val="22"/>
          <w:szCs w:val="22"/>
          <w:lang w:val="en-US" w:eastAsia="en-GB"/>
        </w:rPr>
        <w:t>(</w:t>
      </w:r>
      <w:r w:rsidR="00260C44" w:rsidRPr="00416898">
        <w:rPr>
          <w:rFonts w:eastAsia="Calibri" w:cs="Arial"/>
          <w:sz w:val="22"/>
          <w:szCs w:val="22"/>
          <w:lang w:val="en-US" w:eastAsia="en-GB"/>
        </w:rPr>
        <w:t>4</w:t>
      </w:r>
      <w:r w:rsidR="00C4216B" w:rsidRPr="00416898">
        <w:rPr>
          <w:rFonts w:eastAsia="Calibri" w:cs="Arial"/>
          <w:sz w:val="22"/>
          <w:szCs w:val="22"/>
          <w:lang w:val="en-US" w:eastAsia="en-GB"/>
        </w:rPr>
        <w:t>5</w:t>
      </w:r>
      <w:r w:rsidR="0079470F" w:rsidRPr="00416898">
        <w:rPr>
          <w:rFonts w:eastAsia="Calibri" w:cs="Arial"/>
          <w:sz w:val="22"/>
          <w:szCs w:val="22"/>
          <w:lang w:val="en-US" w:eastAsia="en-GB"/>
        </w:rPr>
        <w:t>)</w:t>
      </w:r>
      <w:r w:rsidR="00B93654" w:rsidRPr="00416898">
        <w:rPr>
          <w:rFonts w:eastAsia="Calibri" w:cs="Arial"/>
          <w:sz w:val="22"/>
          <w:szCs w:val="22"/>
          <w:lang w:val="en-US" w:eastAsia="en-GB"/>
        </w:rPr>
        <w:t>.</w:t>
      </w:r>
      <w:r w:rsidR="004F0193" w:rsidRPr="00416898">
        <w:rPr>
          <w:rFonts w:eastAsia="Calibri" w:cs="Arial"/>
          <w:sz w:val="22"/>
          <w:szCs w:val="22"/>
          <w:lang w:val="en-US" w:eastAsia="en-GB"/>
        </w:rPr>
        <w:t xml:space="preserve"> </w:t>
      </w:r>
      <w:r w:rsidR="005B7C54" w:rsidRPr="00416898">
        <w:rPr>
          <w:rFonts w:eastAsia="Calibri" w:cs="Arial"/>
          <w:sz w:val="22"/>
          <w:szCs w:val="22"/>
          <w:lang w:val="en-US" w:eastAsia="en-GB"/>
        </w:rPr>
        <w:t>In clinical practice, significant irAEs (grade 2 or higher) are managed with systemic</w:t>
      </w:r>
      <w:r w:rsidRPr="00416898">
        <w:rPr>
          <w:rFonts w:eastAsia="Calibri" w:cs="Arial"/>
          <w:sz w:val="22"/>
          <w:szCs w:val="22"/>
          <w:lang w:val="en-US" w:eastAsia="en-GB"/>
        </w:rPr>
        <w:t xml:space="preserve"> </w:t>
      </w:r>
      <w:r w:rsidR="005B7C54" w:rsidRPr="00416898">
        <w:rPr>
          <w:rFonts w:eastAsia="Calibri" w:cs="Arial"/>
          <w:sz w:val="22"/>
          <w:szCs w:val="22"/>
          <w:lang w:val="en-US" w:eastAsia="en-GB"/>
        </w:rPr>
        <w:t>immunosuppression mostly in the form of corticosteroids with methylprednisolone 0.5–1 mg/kg for grade 2 and 1–2 mg/kg for grade 2–3; for grade 4 irAEs, resuming</w:t>
      </w:r>
      <w:r w:rsidRPr="00416898">
        <w:rPr>
          <w:rFonts w:eastAsia="Calibri" w:cs="Arial"/>
          <w:sz w:val="22"/>
          <w:szCs w:val="22"/>
          <w:lang w:val="en-US" w:eastAsia="en-GB"/>
        </w:rPr>
        <w:t xml:space="preserve"> </w:t>
      </w:r>
      <w:r w:rsidR="005B7C54" w:rsidRPr="00416898">
        <w:rPr>
          <w:rFonts w:eastAsia="Calibri" w:cs="Arial"/>
          <w:sz w:val="22"/>
          <w:szCs w:val="22"/>
          <w:lang w:val="en-US" w:eastAsia="en-GB"/>
        </w:rPr>
        <w:t>treatment with the drug is contraindicated. More rarely, anti-tumor necrosis factor-α agents ha</w:t>
      </w:r>
      <w:r w:rsidR="002F4618" w:rsidRPr="00416898">
        <w:rPr>
          <w:rFonts w:eastAsia="Calibri" w:cs="Arial"/>
          <w:sz w:val="22"/>
          <w:szCs w:val="22"/>
          <w:lang w:val="en-US" w:eastAsia="en-GB"/>
        </w:rPr>
        <w:t>ve</w:t>
      </w:r>
      <w:r w:rsidR="005B7C54" w:rsidRPr="00416898">
        <w:rPr>
          <w:rFonts w:eastAsia="Calibri" w:cs="Arial"/>
          <w:sz w:val="22"/>
          <w:szCs w:val="22"/>
          <w:lang w:val="en-US" w:eastAsia="en-GB"/>
        </w:rPr>
        <w:t xml:space="preserve"> been used if steroids</w:t>
      </w:r>
      <w:r w:rsidRPr="00416898">
        <w:rPr>
          <w:rFonts w:eastAsia="Calibri" w:cs="Arial"/>
          <w:sz w:val="22"/>
          <w:szCs w:val="22"/>
          <w:lang w:val="en-US" w:eastAsia="en-GB"/>
        </w:rPr>
        <w:t xml:space="preserve"> </w:t>
      </w:r>
      <w:r w:rsidR="005B7C54" w:rsidRPr="00416898">
        <w:rPr>
          <w:rFonts w:eastAsia="Calibri" w:cs="Arial"/>
          <w:sz w:val="22"/>
          <w:szCs w:val="22"/>
          <w:lang w:val="en-US" w:eastAsia="en-GB"/>
        </w:rPr>
        <w:t xml:space="preserve">are not effective or </w:t>
      </w:r>
      <w:r w:rsidR="005B7C54" w:rsidRPr="00416898">
        <w:rPr>
          <w:rFonts w:eastAsia="Calibri" w:cs="Arial"/>
          <w:sz w:val="22"/>
          <w:szCs w:val="22"/>
          <w:lang w:val="en-US" w:eastAsia="en-GB"/>
        </w:rPr>
        <w:lastRenderedPageBreak/>
        <w:t xml:space="preserve">contraindicated </w:t>
      </w:r>
      <w:r w:rsidR="0079470F" w:rsidRPr="00416898">
        <w:rPr>
          <w:rFonts w:eastAsia="Calibri" w:cs="Arial"/>
          <w:sz w:val="22"/>
          <w:szCs w:val="22"/>
          <w:lang w:val="en-US" w:eastAsia="en-GB"/>
        </w:rPr>
        <w:t>(</w:t>
      </w:r>
      <w:r w:rsidR="00260C44" w:rsidRPr="00416898">
        <w:rPr>
          <w:rFonts w:eastAsia="Calibri" w:cs="Arial"/>
          <w:sz w:val="22"/>
          <w:szCs w:val="22"/>
          <w:lang w:val="en-US" w:eastAsia="en-GB"/>
        </w:rPr>
        <w:t>3</w:t>
      </w:r>
      <w:r w:rsidR="00C4216B" w:rsidRPr="00416898">
        <w:rPr>
          <w:rFonts w:eastAsia="Calibri" w:cs="Arial"/>
          <w:sz w:val="22"/>
          <w:szCs w:val="22"/>
          <w:lang w:val="en-US" w:eastAsia="en-GB"/>
        </w:rPr>
        <w:t>7</w:t>
      </w:r>
      <w:r w:rsidR="0079470F" w:rsidRPr="00416898">
        <w:rPr>
          <w:rFonts w:eastAsia="Calibri" w:cs="Arial"/>
          <w:sz w:val="22"/>
          <w:szCs w:val="22"/>
          <w:lang w:val="en-US" w:eastAsia="en-GB"/>
        </w:rPr>
        <w:t>)</w:t>
      </w:r>
      <w:r w:rsidR="00B93654" w:rsidRPr="00416898">
        <w:rPr>
          <w:rFonts w:eastAsia="Calibri" w:cs="Arial"/>
          <w:sz w:val="22"/>
          <w:szCs w:val="22"/>
          <w:lang w:val="en-US" w:eastAsia="en-GB"/>
        </w:rPr>
        <w:t>.</w:t>
      </w:r>
    </w:p>
    <w:p w14:paraId="3D84F93E" w14:textId="77777777" w:rsidR="0049104C" w:rsidRPr="00416898" w:rsidRDefault="0049104C" w:rsidP="00C84278">
      <w:pPr>
        <w:pStyle w:val="BodyText"/>
        <w:spacing w:line="276" w:lineRule="auto"/>
        <w:rPr>
          <w:rFonts w:eastAsia="Calibri" w:cs="Arial"/>
          <w:sz w:val="22"/>
          <w:szCs w:val="22"/>
          <w:lang w:val="en-US" w:eastAsia="en-GB"/>
        </w:rPr>
      </w:pPr>
    </w:p>
    <w:p w14:paraId="315A977E" w14:textId="77777777" w:rsidR="00A70DA0" w:rsidRPr="00701CD3" w:rsidRDefault="005F5191" w:rsidP="00C84278">
      <w:pPr>
        <w:pStyle w:val="BodyText"/>
        <w:spacing w:line="276" w:lineRule="auto"/>
        <w:rPr>
          <w:rFonts w:eastAsia="Calibri" w:cs="Arial"/>
          <w:b/>
          <w:bCs/>
          <w:color w:val="0070C0"/>
          <w:sz w:val="22"/>
          <w:szCs w:val="22"/>
          <w:lang w:val="en-US" w:eastAsia="en-GB"/>
        </w:rPr>
      </w:pPr>
      <w:r w:rsidRPr="00701CD3">
        <w:rPr>
          <w:rFonts w:eastAsia="Calibri" w:cs="Arial"/>
          <w:b/>
          <w:bCs/>
          <w:color w:val="0070C0"/>
          <w:sz w:val="22"/>
          <w:szCs w:val="22"/>
          <w:lang w:val="en-US" w:eastAsia="en-GB"/>
        </w:rPr>
        <w:t>X-LINKED IMMUNODYSREGULATION, POLYENDOCRINOPATHY, AND ENTEROPATHY (IPEX)</w:t>
      </w:r>
    </w:p>
    <w:p w14:paraId="7B7279B0" w14:textId="77777777" w:rsidR="00A70DA0" w:rsidRPr="00416898" w:rsidRDefault="00A70DA0" w:rsidP="00C84278">
      <w:pPr>
        <w:pStyle w:val="BodyText"/>
        <w:spacing w:line="276" w:lineRule="auto"/>
        <w:rPr>
          <w:rFonts w:eastAsia="Calibri" w:cs="Arial"/>
          <w:b/>
          <w:bCs/>
          <w:sz w:val="22"/>
          <w:szCs w:val="22"/>
          <w:lang w:val="en-US" w:eastAsia="en-GB"/>
        </w:rPr>
      </w:pPr>
    </w:p>
    <w:p w14:paraId="71B348A0" w14:textId="77777777" w:rsidR="00F01F9F" w:rsidRPr="00416898" w:rsidRDefault="005F5191" w:rsidP="00C84278">
      <w:pPr>
        <w:pStyle w:val="BodyText"/>
        <w:spacing w:line="276" w:lineRule="auto"/>
        <w:rPr>
          <w:rFonts w:cs="Arial"/>
          <w:sz w:val="22"/>
          <w:szCs w:val="22"/>
          <w:lang w:val="en-US"/>
        </w:rPr>
      </w:pPr>
      <w:r w:rsidRPr="00416898">
        <w:rPr>
          <w:rFonts w:cs="Arial"/>
          <w:sz w:val="22"/>
          <w:szCs w:val="22"/>
          <w:lang w:val="en-US"/>
        </w:rPr>
        <w:t xml:space="preserve">X-linked </w:t>
      </w:r>
      <w:r w:rsidR="00AF6270" w:rsidRPr="00416898">
        <w:rPr>
          <w:rFonts w:cs="Arial"/>
          <w:sz w:val="22"/>
          <w:szCs w:val="22"/>
          <w:lang w:val="en-US"/>
        </w:rPr>
        <w:t>I</w:t>
      </w:r>
      <w:r w:rsidRPr="00416898">
        <w:rPr>
          <w:rFonts w:cs="Arial"/>
          <w:sz w:val="22"/>
          <w:szCs w:val="22"/>
          <w:lang w:val="en-US"/>
        </w:rPr>
        <w:t xml:space="preserve">mmunodysregulation, </w:t>
      </w:r>
      <w:r w:rsidR="00AF6270" w:rsidRPr="00416898">
        <w:rPr>
          <w:rFonts w:cs="Arial"/>
          <w:sz w:val="22"/>
          <w:szCs w:val="22"/>
          <w:lang w:val="en-US"/>
        </w:rPr>
        <w:t>P</w:t>
      </w:r>
      <w:r w:rsidRPr="00416898">
        <w:rPr>
          <w:rFonts w:cs="Arial"/>
          <w:sz w:val="22"/>
          <w:szCs w:val="22"/>
          <w:lang w:val="en-US"/>
        </w:rPr>
        <w:t xml:space="preserve">olyendocrinopathy and </w:t>
      </w:r>
      <w:r w:rsidR="00AF6270" w:rsidRPr="00416898">
        <w:rPr>
          <w:rFonts w:cs="Arial"/>
          <w:sz w:val="22"/>
          <w:szCs w:val="22"/>
          <w:lang w:val="en-US"/>
        </w:rPr>
        <w:t>E</w:t>
      </w:r>
      <w:r w:rsidRPr="00416898">
        <w:rPr>
          <w:rFonts w:cs="Arial"/>
          <w:sz w:val="22"/>
          <w:szCs w:val="22"/>
          <w:lang w:val="en-US"/>
        </w:rPr>
        <w:t xml:space="preserve">nteropathy - or IPEX- is an extremely rare inherited syndrome characterized by early onset </w:t>
      </w:r>
      <w:r w:rsidR="000956F7" w:rsidRPr="00416898">
        <w:rPr>
          <w:rFonts w:cs="Arial"/>
          <w:sz w:val="22"/>
          <w:szCs w:val="22"/>
          <w:lang w:val="en-US"/>
        </w:rPr>
        <w:t>T1DM</w:t>
      </w:r>
      <w:r w:rsidR="004F0193" w:rsidRPr="00416898">
        <w:rPr>
          <w:rFonts w:cs="Arial"/>
          <w:sz w:val="22"/>
          <w:szCs w:val="22"/>
          <w:lang w:val="en-US"/>
        </w:rPr>
        <w:t xml:space="preserve"> </w:t>
      </w:r>
      <w:r w:rsidR="0079470F" w:rsidRPr="00416898">
        <w:rPr>
          <w:rFonts w:cs="Arial"/>
          <w:sz w:val="22"/>
          <w:szCs w:val="22"/>
          <w:lang w:val="en-US"/>
        </w:rPr>
        <w:t>(</w:t>
      </w:r>
      <w:r w:rsidR="00260C44" w:rsidRPr="00416898">
        <w:rPr>
          <w:rFonts w:cs="Arial"/>
          <w:sz w:val="22"/>
          <w:szCs w:val="22"/>
          <w:lang w:val="en-US"/>
        </w:rPr>
        <w:t>4</w:t>
      </w:r>
      <w:r w:rsidR="00C4216B" w:rsidRPr="00416898">
        <w:rPr>
          <w:rFonts w:cs="Arial"/>
          <w:sz w:val="22"/>
          <w:szCs w:val="22"/>
          <w:lang w:val="en-US"/>
        </w:rPr>
        <w:t>6</w:t>
      </w:r>
      <w:r w:rsidR="0079470F" w:rsidRPr="00416898">
        <w:rPr>
          <w:rFonts w:cs="Arial"/>
          <w:sz w:val="22"/>
          <w:szCs w:val="22"/>
          <w:lang w:val="en-US"/>
        </w:rPr>
        <w:t>)</w:t>
      </w:r>
      <w:r w:rsidR="00B93654" w:rsidRPr="00416898">
        <w:rPr>
          <w:rFonts w:cs="Arial"/>
          <w:sz w:val="22"/>
          <w:szCs w:val="22"/>
          <w:lang w:val="en-US"/>
        </w:rPr>
        <w:t>,</w:t>
      </w:r>
      <w:r w:rsidR="00633339" w:rsidRPr="00416898">
        <w:rPr>
          <w:rFonts w:cs="Arial"/>
          <w:sz w:val="22"/>
          <w:szCs w:val="22"/>
          <w:lang w:val="en-US"/>
        </w:rPr>
        <w:t xml:space="preserve"> </w:t>
      </w:r>
      <w:r w:rsidRPr="00416898">
        <w:rPr>
          <w:rFonts w:cs="Arial"/>
          <w:sz w:val="22"/>
          <w:szCs w:val="22"/>
          <w:lang w:val="en-US"/>
        </w:rPr>
        <w:t>autoimmune enteropathy with intractable diarrhea and malabsorption, and dermatitis that may be eczematiform, ichthyosiform or psoriasiform. Eosinophilia and elevated IgE-levels are frequently present in IPEX. Some patients develop kidney disease, most often membranous glomerulonephritis or interstitial nephritis. Later manifestations may include autoimmune thyroiditis, alopecia, various autoimmune cytopenias, hepatitis</w:t>
      </w:r>
      <w:r w:rsidR="00B93654" w:rsidRPr="00416898">
        <w:rPr>
          <w:rFonts w:cs="Arial"/>
          <w:sz w:val="22"/>
          <w:szCs w:val="22"/>
          <w:lang w:val="en-US"/>
        </w:rPr>
        <w:t>,</w:t>
      </w:r>
      <w:r w:rsidRPr="00416898">
        <w:rPr>
          <w:rFonts w:cs="Arial"/>
          <w:sz w:val="22"/>
          <w:szCs w:val="22"/>
          <w:lang w:val="en-US"/>
        </w:rPr>
        <w:t xml:space="preserve"> and exocrine pancreatitis</w:t>
      </w:r>
      <w:r w:rsidR="004F0193" w:rsidRPr="00416898">
        <w:rPr>
          <w:rFonts w:cs="Arial"/>
          <w:sz w:val="22"/>
          <w:szCs w:val="22"/>
          <w:lang w:val="en-US"/>
        </w:rPr>
        <w:t xml:space="preserve"> </w:t>
      </w:r>
      <w:r w:rsidR="0079470F" w:rsidRPr="00416898">
        <w:rPr>
          <w:rFonts w:cs="Arial"/>
          <w:sz w:val="22"/>
          <w:szCs w:val="22"/>
          <w:lang w:val="en-US"/>
        </w:rPr>
        <w:t>(</w:t>
      </w:r>
      <w:r w:rsidR="00260C44" w:rsidRPr="00416898">
        <w:rPr>
          <w:rFonts w:cs="Arial"/>
          <w:sz w:val="22"/>
          <w:szCs w:val="22"/>
          <w:lang w:val="en-US"/>
        </w:rPr>
        <w:t>4</w:t>
      </w:r>
      <w:r w:rsidR="00C4216B" w:rsidRPr="00416898">
        <w:rPr>
          <w:rFonts w:cs="Arial"/>
          <w:sz w:val="22"/>
          <w:szCs w:val="22"/>
          <w:lang w:val="en-US"/>
        </w:rPr>
        <w:t>7</w:t>
      </w:r>
      <w:r w:rsidR="0079470F" w:rsidRPr="00416898">
        <w:rPr>
          <w:rFonts w:cs="Arial"/>
          <w:sz w:val="22"/>
          <w:szCs w:val="22"/>
          <w:lang w:val="en-US"/>
        </w:rPr>
        <w:t>)</w:t>
      </w:r>
      <w:r w:rsidR="00B93654" w:rsidRPr="00416898">
        <w:rPr>
          <w:rFonts w:cs="Arial"/>
          <w:sz w:val="22"/>
          <w:szCs w:val="22"/>
          <w:lang w:val="en-US"/>
        </w:rPr>
        <w:t>.</w:t>
      </w:r>
      <w:r w:rsidR="00D10AE8" w:rsidRPr="00416898">
        <w:rPr>
          <w:rFonts w:cs="Arial"/>
          <w:sz w:val="22"/>
          <w:szCs w:val="22"/>
          <w:lang w:val="en-US"/>
        </w:rPr>
        <w:t xml:space="preserve"> </w:t>
      </w:r>
      <w:r w:rsidR="00AF6270" w:rsidRPr="00416898">
        <w:rPr>
          <w:rFonts w:cs="Arial"/>
          <w:sz w:val="22"/>
          <w:szCs w:val="22"/>
          <w:lang w:val="en-US"/>
        </w:rPr>
        <w:t>Several of these</w:t>
      </w:r>
      <w:r w:rsidRPr="00416898">
        <w:rPr>
          <w:rFonts w:cs="Arial"/>
          <w:sz w:val="22"/>
          <w:szCs w:val="22"/>
          <w:lang w:val="en-US"/>
        </w:rPr>
        <w:t xml:space="preserve"> features overlap with APS-1, but </w:t>
      </w:r>
      <w:r w:rsidR="00AF6270" w:rsidRPr="00416898">
        <w:rPr>
          <w:rFonts w:cs="Arial"/>
          <w:sz w:val="22"/>
          <w:szCs w:val="22"/>
          <w:lang w:val="en-US"/>
        </w:rPr>
        <w:t xml:space="preserve">in IPEX </w:t>
      </w:r>
      <w:r w:rsidRPr="00416898">
        <w:rPr>
          <w:rFonts w:cs="Arial"/>
          <w:sz w:val="22"/>
          <w:szCs w:val="22"/>
          <w:lang w:val="en-US"/>
        </w:rPr>
        <w:t xml:space="preserve">they usually develop much earlier in life. The disorder is frequently fatal in the first few years of life, unless patients are </w:t>
      </w:r>
      <w:r w:rsidR="00AF6270" w:rsidRPr="00416898">
        <w:rPr>
          <w:rFonts w:cs="Arial"/>
          <w:sz w:val="22"/>
          <w:szCs w:val="22"/>
          <w:lang w:val="en-US"/>
        </w:rPr>
        <w:t xml:space="preserve">diagnosed and </w:t>
      </w:r>
      <w:r w:rsidRPr="00416898">
        <w:rPr>
          <w:rFonts w:cs="Arial"/>
          <w:sz w:val="22"/>
          <w:szCs w:val="22"/>
          <w:lang w:val="en-US"/>
        </w:rPr>
        <w:t>promptly treated with immunosuppressive agents or, if possible, receive an allogenic bone marrow transplant, which can</w:t>
      </w:r>
      <w:r w:rsidR="00AF6270" w:rsidRPr="00416898">
        <w:rPr>
          <w:rFonts w:cs="Arial"/>
          <w:sz w:val="22"/>
          <w:szCs w:val="22"/>
          <w:lang w:val="en-US"/>
        </w:rPr>
        <w:t xml:space="preserve"> be curative</w:t>
      </w:r>
      <w:r w:rsidR="0079470F" w:rsidRPr="00416898">
        <w:rPr>
          <w:rFonts w:cs="Arial"/>
          <w:sz w:val="22"/>
          <w:szCs w:val="22"/>
          <w:lang w:val="en-US"/>
        </w:rPr>
        <w:t xml:space="preserve"> (</w:t>
      </w:r>
      <w:r w:rsidR="00260C44" w:rsidRPr="00416898">
        <w:rPr>
          <w:rFonts w:cs="Arial"/>
          <w:sz w:val="22"/>
          <w:szCs w:val="22"/>
          <w:lang w:val="en-US"/>
        </w:rPr>
        <w:t>4</w:t>
      </w:r>
      <w:r w:rsidR="00C4216B" w:rsidRPr="00416898">
        <w:rPr>
          <w:rFonts w:cs="Arial"/>
          <w:sz w:val="22"/>
          <w:szCs w:val="22"/>
          <w:lang w:val="en-US"/>
        </w:rPr>
        <w:t>7</w:t>
      </w:r>
      <w:r w:rsidR="0079470F" w:rsidRPr="00416898">
        <w:rPr>
          <w:rFonts w:cs="Arial"/>
          <w:sz w:val="22"/>
          <w:szCs w:val="22"/>
          <w:lang w:val="en-US"/>
        </w:rPr>
        <w:t>)</w:t>
      </w:r>
      <w:r w:rsidR="00B93654" w:rsidRPr="00416898">
        <w:rPr>
          <w:rFonts w:cs="Arial"/>
          <w:sz w:val="22"/>
          <w:szCs w:val="22"/>
          <w:lang w:val="en-US"/>
        </w:rPr>
        <w:t>.</w:t>
      </w:r>
    </w:p>
    <w:p w14:paraId="05F60D5A" w14:textId="77777777" w:rsidR="00F01F9F" w:rsidRPr="00416898" w:rsidRDefault="00F01F9F" w:rsidP="00C84278">
      <w:pPr>
        <w:pStyle w:val="BodyText"/>
        <w:spacing w:line="276" w:lineRule="auto"/>
        <w:rPr>
          <w:rFonts w:cs="Arial"/>
          <w:sz w:val="22"/>
          <w:szCs w:val="22"/>
          <w:lang w:val="en-US" w:eastAsia="en-GB"/>
        </w:rPr>
      </w:pPr>
    </w:p>
    <w:p w14:paraId="4B6AE679" w14:textId="77777777" w:rsidR="00F01F9F" w:rsidRPr="00416898" w:rsidRDefault="00566902" w:rsidP="00C84278">
      <w:pPr>
        <w:pStyle w:val="BodyText"/>
        <w:spacing w:line="276" w:lineRule="auto"/>
        <w:rPr>
          <w:rFonts w:cs="Arial"/>
          <w:sz w:val="22"/>
          <w:szCs w:val="22"/>
          <w:lang w:val="en-US"/>
        </w:rPr>
      </w:pPr>
      <w:r w:rsidRPr="00416898">
        <w:rPr>
          <w:rFonts w:cs="Arial"/>
          <w:sz w:val="22"/>
          <w:szCs w:val="22"/>
          <w:lang w:val="en-US" w:eastAsia="en-GB"/>
        </w:rPr>
        <w:t>T</w:t>
      </w:r>
      <w:r w:rsidR="005F5191" w:rsidRPr="00416898">
        <w:rPr>
          <w:rFonts w:cs="Arial"/>
          <w:sz w:val="22"/>
          <w:szCs w:val="22"/>
          <w:lang w:val="en-US" w:eastAsia="en-GB"/>
        </w:rPr>
        <w:t xml:space="preserve">he defective gene was mapped to mutations in the </w:t>
      </w:r>
      <w:r w:rsidR="005F5191" w:rsidRPr="00416898">
        <w:rPr>
          <w:rFonts w:cs="Arial"/>
          <w:i/>
          <w:iCs/>
          <w:sz w:val="22"/>
          <w:szCs w:val="22"/>
          <w:lang w:val="en-US" w:eastAsia="en-GB"/>
        </w:rPr>
        <w:t>FOXP3</w:t>
      </w:r>
      <w:r w:rsidR="005F5191" w:rsidRPr="00416898">
        <w:rPr>
          <w:rFonts w:cs="Arial"/>
          <w:sz w:val="22"/>
          <w:szCs w:val="22"/>
          <w:lang w:val="en-US" w:eastAsia="en-GB"/>
        </w:rPr>
        <w:t xml:space="preserve"> (human) gene</w:t>
      </w:r>
      <w:r w:rsidR="00FF02B4" w:rsidRPr="00416898">
        <w:rPr>
          <w:rFonts w:cs="Arial"/>
          <w:sz w:val="22"/>
          <w:szCs w:val="22"/>
          <w:lang w:val="en-US" w:eastAsia="en-GB"/>
        </w:rPr>
        <w:t xml:space="preserve"> </w:t>
      </w:r>
      <w:r w:rsidR="003E5D59" w:rsidRPr="00416898">
        <w:rPr>
          <w:rFonts w:cs="Arial"/>
          <w:sz w:val="22"/>
          <w:szCs w:val="22"/>
          <w:lang w:val="en-US" w:eastAsia="en-GB"/>
        </w:rPr>
        <w:t>(</w:t>
      </w:r>
      <w:r w:rsidR="00C4216B" w:rsidRPr="00416898">
        <w:rPr>
          <w:rFonts w:cs="Arial"/>
          <w:sz w:val="22"/>
          <w:szCs w:val="22"/>
          <w:lang w:val="en-US" w:eastAsia="en-GB"/>
        </w:rPr>
        <w:t>48</w:t>
      </w:r>
      <w:r w:rsidR="003E5D59" w:rsidRPr="00416898">
        <w:rPr>
          <w:rFonts w:cs="Arial"/>
          <w:sz w:val="22"/>
          <w:szCs w:val="22"/>
          <w:lang w:val="en-US" w:eastAsia="en-GB"/>
        </w:rPr>
        <w:t>)</w:t>
      </w:r>
      <w:r w:rsidR="00B93654" w:rsidRPr="00416898">
        <w:rPr>
          <w:rFonts w:cs="Arial"/>
          <w:sz w:val="22"/>
          <w:szCs w:val="22"/>
          <w:lang w:val="en-US" w:eastAsia="en-GB"/>
        </w:rPr>
        <w:t>.</w:t>
      </w:r>
      <w:r w:rsidR="00F67518" w:rsidRPr="00416898">
        <w:rPr>
          <w:rFonts w:cs="Arial"/>
          <w:sz w:val="22"/>
          <w:szCs w:val="22"/>
          <w:lang w:val="en-US" w:eastAsia="en-GB"/>
        </w:rPr>
        <w:t xml:space="preserve"> </w:t>
      </w:r>
      <w:r w:rsidR="005F5191" w:rsidRPr="00416898">
        <w:rPr>
          <w:rFonts w:cs="Arial"/>
          <w:sz w:val="22"/>
          <w:szCs w:val="22"/>
          <w:lang w:val="en-US" w:eastAsia="en-GB"/>
        </w:rPr>
        <w:t xml:space="preserve">To date, about 70 different mutations have been reported in patients. </w:t>
      </w:r>
      <w:r w:rsidR="005F5191" w:rsidRPr="00416898">
        <w:rPr>
          <w:rFonts w:cs="Arial"/>
          <w:i/>
          <w:iCs/>
          <w:sz w:val="22"/>
          <w:szCs w:val="22"/>
          <w:lang w:val="en-US" w:eastAsia="en-GB"/>
        </w:rPr>
        <w:t>FOXP3</w:t>
      </w:r>
      <w:r w:rsidR="005F5191" w:rsidRPr="00416898">
        <w:rPr>
          <w:rFonts w:cs="Arial"/>
          <w:sz w:val="22"/>
          <w:szCs w:val="22"/>
          <w:lang w:val="en-US" w:eastAsia="en-GB"/>
        </w:rPr>
        <w:t xml:space="preserve"> is currently recognized as a master transcription factor that is highly expressed in Tregs</w:t>
      </w:r>
      <w:r w:rsidR="00906BA7" w:rsidRPr="00416898">
        <w:rPr>
          <w:rFonts w:cs="Arial"/>
          <w:sz w:val="22"/>
          <w:szCs w:val="22"/>
          <w:lang w:val="en-US" w:eastAsia="en-GB"/>
        </w:rPr>
        <w:t xml:space="preserve"> </w:t>
      </w:r>
      <w:r w:rsidR="005F5191" w:rsidRPr="00416898">
        <w:rPr>
          <w:rFonts w:cs="Arial"/>
          <w:sz w:val="22"/>
          <w:szCs w:val="22"/>
          <w:lang w:val="en-US" w:eastAsia="en-GB"/>
        </w:rPr>
        <w:t>in association with other key Treg elements such as CD4, cytotoxic T Lymphocyte-associated protein 4 (CTLA4), and CD25, the high affinity IL-2 receptor</w:t>
      </w:r>
      <w:r w:rsidR="00F67518" w:rsidRPr="00416898">
        <w:rPr>
          <w:rFonts w:cs="Arial"/>
          <w:sz w:val="22"/>
          <w:szCs w:val="22"/>
          <w:lang w:val="en-US" w:eastAsia="en-GB"/>
        </w:rPr>
        <w:t xml:space="preserve"> </w:t>
      </w:r>
      <w:r w:rsidR="003E5D59" w:rsidRPr="00416898">
        <w:rPr>
          <w:rFonts w:cs="Arial"/>
          <w:sz w:val="22"/>
          <w:szCs w:val="22"/>
          <w:lang w:val="en-US" w:eastAsia="en-GB"/>
        </w:rPr>
        <w:t>(</w:t>
      </w:r>
      <w:r w:rsidR="00C4216B" w:rsidRPr="00416898">
        <w:rPr>
          <w:rFonts w:eastAsia="Times New Roman" w:cs="Arial"/>
          <w:sz w:val="22"/>
          <w:szCs w:val="22"/>
          <w:lang w:val="en-US" w:eastAsia="en-GB"/>
        </w:rPr>
        <w:t>11</w:t>
      </w:r>
      <w:r w:rsidR="00DC5CA5" w:rsidRPr="00416898">
        <w:rPr>
          <w:rFonts w:eastAsia="Times New Roman" w:cs="Arial"/>
          <w:sz w:val="22"/>
          <w:szCs w:val="22"/>
          <w:lang w:val="en-US" w:eastAsia="en-GB"/>
        </w:rPr>
        <w:t xml:space="preserve">, </w:t>
      </w:r>
      <w:r w:rsidR="00C4216B" w:rsidRPr="00416898">
        <w:rPr>
          <w:rFonts w:eastAsia="Times New Roman" w:cs="Arial"/>
          <w:sz w:val="22"/>
          <w:szCs w:val="22"/>
          <w:lang w:val="en-US" w:eastAsia="en-GB"/>
        </w:rPr>
        <w:t>49</w:t>
      </w:r>
      <w:r w:rsidR="00F67518" w:rsidRPr="00416898">
        <w:rPr>
          <w:rFonts w:eastAsia="Times New Roman" w:cs="Arial"/>
          <w:sz w:val="22"/>
          <w:szCs w:val="22"/>
          <w:lang w:val="en-US" w:eastAsia="en-GB"/>
        </w:rPr>
        <w:t xml:space="preserve">, </w:t>
      </w:r>
      <w:r w:rsidR="00DC5CA5" w:rsidRPr="00416898">
        <w:rPr>
          <w:rFonts w:eastAsia="Times New Roman" w:cs="Arial"/>
          <w:sz w:val="22"/>
          <w:szCs w:val="22"/>
          <w:lang w:val="en-US" w:eastAsia="en-GB"/>
        </w:rPr>
        <w:t>5</w:t>
      </w:r>
      <w:r w:rsidR="00C4216B" w:rsidRPr="00416898">
        <w:rPr>
          <w:rFonts w:eastAsia="Times New Roman" w:cs="Arial"/>
          <w:sz w:val="22"/>
          <w:szCs w:val="22"/>
          <w:lang w:val="en-US" w:eastAsia="en-GB"/>
        </w:rPr>
        <w:t>0</w:t>
      </w:r>
      <w:r w:rsidR="003E5D59" w:rsidRPr="00416898">
        <w:rPr>
          <w:rFonts w:eastAsia="Times New Roman" w:cs="Arial"/>
          <w:sz w:val="22"/>
          <w:szCs w:val="22"/>
          <w:lang w:val="en-US" w:eastAsia="en-GB"/>
        </w:rPr>
        <w:t>)</w:t>
      </w:r>
      <w:r w:rsidR="00B93654" w:rsidRPr="00416898">
        <w:rPr>
          <w:rFonts w:eastAsia="Times New Roman" w:cs="Arial"/>
          <w:sz w:val="22"/>
          <w:szCs w:val="22"/>
          <w:lang w:val="en-US" w:eastAsia="en-GB"/>
        </w:rPr>
        <w:t>.</w:t>
      </w:r>
    </w:p>
    <w:p w14:paraId="5F18934F" w14:textId="77777777" w:rsidR="00F01F9F" w:rsidRPr="00416898" w:rsidRDefault="00F01F9F" w:rsidP="00C84278">
      <w:pPr>
        <w:pStyle w:val="BodyText"/>
        <w:spacing w:line="276" w:lineRule="auto"/>
        <w:rPr>
          <w:rFonts w:cs="Arial"/>
          <w:sz w:val="22"/>
          <w:szCs w:val="22"/>
          <w:lang w:val="en-US"/>
        </w:rPr>
      </w:pPr>
    </w:p>
    <w:p w14:paraId="4CD8385B" w14:textId="77777777" w:rsidR="00727E2F" w:rsidRPr="00416898" w:rsidRDefault="005F5191" w:rsidP="00C84278">
      <w:pPr>
        <w:pStyle w:val="BodyText"/>
        <w:spacing w:line="276" w:lineRule="auto"/>
        <w:rPr>
          <w:rFonts w:cs="Arial"/>
          <w:sz w:val="22"/>
          <w:szCs w:val="22"/>
          <w:lang w:val="en-US"/>
        </w:rPr>
      </w:pPr>
      <w:r w:rsidRPr="00416898">
        <w:rPr>
          <w:rFonts w:cs="Arial"/>
          <w:sz w:val="22"/>
          <w:szCs w:val="22"/>
          <w:lang w:val="en-US" w:eastAsia="en-GB"/>
        </w:rPr>
        <w:t>Patients with IPEX, like those with APS-1, develop circulating autoantibodies that can be helpful in making the diagnosis. Despite the rarity of IPEX, studies of affected patients have revealed a key pathway for self-tolerance that has aided in the understanding of Tregs and has led to research aimed at the development of methods to enhance Treg function in transplantation and as a treatment for autoimmune disorders</w:t>
      </w:r>
      <w:r w:rsidR="003E5D59" w:rsidRPr="00416898">
        <w:rPr>
          <w:rFonts w:cs="Arial"/>
          <w:sz w:val="22"/>
          <w:szCs w:val="22"/>
          <w:lang w:val="en-US"/>
        </w:rPr>
        <w:t xml:space="preserve"> (</w:t>
      </w:r>
      <w:r w:rsidR="00DC5CA5" w:rsidRPr="00416898">
        <w:rPr>
          <w:rFonts w:cs="Arial"/>
          <w:sz w:val="22"/>
          <w:szCs w:val="22"/>
          <w:lang w:val="en-US"/>
        </w:rPr>
        <w:t>5</w:t>
      </w:r>
      <w:r w:rsidR="00C4216B" w:rsidRPr="00416898">
        <w:rPr>
          <w:rFonts w:cs="Arial"/>
          <w:sz w:val="22"/>
          <w:szCs w:val="22"/>
          <w:lang w:val="en-US"/>
        </w:rPr>
        <w:t>1</w:t>
      </w:r>
      <w:r w:rsidR="003E5D59" w:rsidRPr="00416898">
        <w:rPr>
          <w:rFonts w:cs="Arial"/>
          <w:sz w:val="22"/>
          <w:szCs w:val="22"/>
          <w:lang w:val="en-US"/>
        </w:rPr>
        <w:t>)</w:t>
      </w:r>
      <w:r w:rsidR="00E13D41" w:rsidRPr="00416898">
        <w:rPr>
          <w:rFonts w:cs="Arial"/>
          <w:sz w:val="22"/>
          <w:szCs w:val="22"/>
          <w:lang w:val="en-US"/>
        </w:rPr>
        <w:t>.</w:t>
      </w:r>
    </w:p>
    <w:p w14:paraId="1DF6E22A" w14:textId="77777777" w:rsidR="00727E2F" w:rsidRPr="00416898" w:rsidRDefault="00727E2F" w:rsidP="00C84278">
      <w:pPr>
        <w:pStyle w:val="BodyText"/>
        <w:spacing w:line="276" w:lineRule="auto"/>
        <w:rPr>
          <w:rFonts w:cs="Arial"/>
          <w:sz w:val="22"/>
          <w:szCs w:val="22"/>
          <w:lang w:val="en-US"/>
        </w:rPr>
      </w:pPr>
    </w:p>
    <w:p w14:paraId="234F1657" w14:textId="77777777" w:rsidR="00727E2F" w:rsidRPr="00701CD3" w:rsidRDefault="00FC542E" w:rsidP="00C84278">
      <w:pPr>
        <w:pStyle w:val="BodyText"/>
        <w:spacing w:line="276" w:lineRule="auto"/>
        <w:rPr>
          <w:rFonts w:cs="Arial"/>
          <w:b/>
          <w:bCs/>
          <w:color w:val="0070C0"/>
          <w:sz w:val="22"/>
          <w:szCs w:val="22"/>
          <w:lang w:val="en-US" w:eastAsia="en-GB"/>
        </w:rPr>
      </w:pPr>
      <w:r w:rsidRPr="00701CD3">
        <w:rPr>
          <w:rFonts w:cs="Arial"/>
          <w:b/>
          <w:bCs/>
          <w:color w:val="0070C0"/>
          <w:sz w:val="22"/>
          <w:szCs w:val="22"/>
          <w:lang w:val="en-US" w:eastAsia="en-GB"/>
        </w:rPr>
        <w:t>NEW DIRECTIONS</w:t>
      </w:r>
    </w:p>
    <w:p w14:paraId="2C18BA1C" w14:textId="77777777" w:rsidR="00727E2F" w:rsidRPr="00416898" w:rsidRDefault="00727E2F" w:rsidP="00C84278">
      <w:pPr>
        <w:pStyle w:val="BodyText"/>
        <w:spacing w:line="276" w:lineRule="auto"/>
        <w:rPr>
          <w:rFonts w:cs="Arial"/>
          <w:sz w:val="22"/>
          <w:szCs w:val="22"/>
          <w:lang w:val="en-US" w:eastAsia="en-GB"/>
        </w:rPr>
      </w:pPr>
    </w:p>
    <w:p w14:paraId="4BA887FB" w14:textId="77777777" w:rsidR="005F5191" w:rsidRPr="00416898" w:rsidRDefault="00B95C50" w:rsidP="00C84278">
      <w:pPr>
        <w:pStyle w:val="BodyText"/>
        <w:spacing w:line="276" w:lineRule="auto"/>
        <w:rPr>
          <w:rFonts w:eastAsia="Times New Roman" w:cs="Arial"/>
          <w:sz w:val="22"/>
          <w:szCs w:val="22"/>
          <w:lang w:val="en-US" w:eastAsia="en-GB"/>
        </w:rPr>
      </w:pPr>
      <w:r w:rsidRPr="00416898">
        <w:rPr>
          <w:rFonts w:cs="Arial"/>
          <w:sz w:val="22"/>
          <w:szCs w:val="22"/>
          <w:lang w:val="en-US" w:eastAsia="en-GB"/>
        </w:rPr>
        <w:t>Over the past</w:t>
      </w:r>
      <w:r w:rsidR="00FC542E" w:rsidRPr="00416898">
        <w:rPr>
          <w:rFonts w:cs="Arial"/>
          <w:sz w:val="22"/>
          <w:szCs w:val="22"/>
          <w:lang w:val="en-US" w:eastAsia="en-GB"/>
        </w:rPr>
        <w:t xml:space="preserve"> decad</w:t>
      </w:r>
      <w:r w:rsidR="00633339" w:rsidRPr="00416898">
        <w:rPr>
          <w:rFonts w:cs="Arial"/>
          <w:sz w:val="22"/>
          <w:szCs w:val="22"/>
          <w:lang w:val="en-US" w:eastAsia="en-GB"/>
        </w:rPr>
        <w:t>e</w:t>
      </w:r>
      <w:r w:rsidR="00FC542E" w:rsidRPr="00416898">
        <w:rPr>
          <w:rFonts w:cs="Arial"/>
          <w:sz w:val="22"/>
          <w:szCs w:val="22"/>
          <w:lang w:val="en-US" w:eastAsia="en-GB"/>
        </w:rPr>
        <w:t xml:space="preserve"> better diagnostic tools</w:t>
      </w:r>
      <w:r w:rsidR="00906BA7" w:rsidRPr="00416898">
        <w:rPr>
          <w:rFonts w:cs="Arial"/>
          <w:sz w:val="22"/>
          <w:szCs w:val="22"/>
          <w:lang w:val="en-US" w:eastAsia="en-GB"/>
        </w:rPr>
        <w:t xml:space="preserve"> including </w:t>
      </w:r>
      <w:r w:rsidR="00FC542E" w:rsidRPr="00416898">
        <w:rPr>
          <w:rFonts w:cs="Arial"/>
          <w:sz w:val="22"/>
          <w:szCs w:val="22"/>
          <w:lang w:val="en-US" w:eastAsia="en-GB"/>
        </w:rPr>
        <w:t>genetic tests and autoantibody analyses</w:t>
      </w:r>
      <w:r w:rsidR="00906BA7" w:rsidRPr="00416898">
        <w:rPr>
          <w:rFonts w:cs="Arial"/>
          <w:sz w:val="22"/>
          <w:szCs w:val="22"/>
          <w:lang w:val="en-US" w:eastAsia="en-GB"/>
        </w:rPr>
        <w:t xml:space="preserve"> </w:t>
      </w:r>
      <w:r w:rsidRPr="00416898">
        <w:rPr>
          <w:rFonts w:cs="Arial"/>
          <w:sz w:val="22"/>
          <w:szCs w:val="22"/>
          <w:lang w:val="en-US" w:eastAsia="en-GB"/>
        </w:rPr>
        <w:t xml:space="preserve">have been developed </w:t>
      </w:r>
      <w:r w:rsidR="00906BA7" w:rsidRPr="00416898">
        <w:rPr>
          <w:rFonts w:cs="Arial"/>
          <w:sz w:val="22"/>
          <w:szCs w:val="22"/>
          <w:lang w:val="en-US" w:eastAsia="en-GB"/>
        </w:rPr>
        <w:t xml:space="preserve">for the detection </w:t>
      </w:r>
      <w:r w:rsidR="00B47914" w:rsidRPr="00416898">
        <w:rPr>
          <w:rFonts w:cs="Arial"/>
          <w:sz w:val="22"/>
          <w:szCs w:val="22"/>
          <w:lang w:val="en-US" w:eastAsia="en-GB"/>
        </w:rPr>
        <w:t>and management</w:t>
      </w:r>
      <w:r w:rsidR="00067FAE" w:rsidRPr="00416898">
        <w:rPr>
          <w:rFonts w:cs="Arial"/>
          <w:sz w:val="22"/>
          <w:szCs w:val="22"/>
          <w:lang w:val="en-US" w:eastAsia="en-GB"/>
        </w:rPr>
        <w:t xml:space="preserve"> </w:t>
      </w:r>
      <w:r w:rsidR="00906BA7" w:rsidRPr="00416898">
        <w:rPr>
          <w:rFonts w:cs="Arial"/>
          <w:sz w:val="22"/>
          <w:szCs w:val="22"/>
          <w:lang w:val="en-US" w:eastAsia="en-GB"/>
        </w:rPr>
        <w:t>of APS-related diseases</w:t>
      </w:r>
      <w:r w:rsidR="00FC542E" w:rsidRPr="00416898">
        <w:rPr>
          <w:rFonts w:cs="Arial"/>
          <w:sz w:val="22"/>
          <w:szCs w:val="22"/>
          <w:lang w:val="en-US" w:eastAsia="en-GB"/>
        </w:rPr>
        <w:t xml:space="preserve">. </w:t>
      </w:r>
      <w:r w:rsidR="00906BA7" w:rsidRPr="00416898">
        <w:rPr>
          <w:rFonts w:cs="Arial"/>
          <w:sz w:val="22"/>
          <w:szCs w:val="22"/>
          <w:lang w:val="en-US" w:eastAsia="en-GB"/>
        </w:rPr>
        <w:t>E</w:t>
      </w:r>
      <w:r w:rsidR="00FC542E" w:rsidRPr="00416898">
        <w:rPr>
          <w:rFonts w:cs="Arial"/>
          <w:sz w:val="22"/>
          <w:szCs w:val="22"/>
          <w:lang w:val="en-US" w:eastAsia="en-GB"/>
        </w:rPr>
        <w:t>arly diagnos</w:t>
      </w:r>
      <w:r w:rsidR="00906BA7" w:rsidRPr="00416898">
        <w:rPr>
          <w:rFonts w:cs="Arial"/>
          <w:sz w:val="22"/>
          <w:szCs w:val="22"/>
          <w:lang w:val="en-US" w:eastAsia="en-GB"/>
        </w:rPr>
        <w:t>is</w:t>
      </w:r>
      <w:r w:rsidR="00FC542E" w:rsidRPr="00416898">
        <w:rPr>
          <w:rFonts w:cs="Arial"/>
          <w:sz w:val="22"/>
          <w:szCs w:val="22"/>
          <w:lang w:val="en-US" w:eastAsia="en-GB"/>
        </w:rPr>
        <w:t xml:space="preserve"> </w:t>
      </w:r>
      <w:r w:rsidR="00906BA7" w:rsidRPr="00416898">
        <w:rPr>
          <w:rFonts w:cs="Arial"/>
          <w:sz w:val="22"/>
          <w:szCs w:val="22"/>
          <w:lang w:val="en-US" w:eastAsia="en-GB"/>
        </w:rPr>
        <w:t xml:space="preserve">in association </w:t>
      </w:r>
      <w:r w:rsidR="00FC542E" w:rsidRPr="00416898">
        <w:rPr>
          <w:rFonts w:cs="Arial"/>
          <w:sz w:val="22"/>
          <w:szCs w:val="22"/>
          <w:lang w:val="en-US" w:eastAsia="en-GB"/>
        </w:rPr>
        <w:t xml:space="preserve">with personalized genomics </w:t>
      </w:r>
      <w:r w:rsidR="00B47914" w:rsidRPr="00416898">
        <w:rPr>
          <w:rFonts w:cs="Arial"/>
          <w:sz w:val="22"/>
          <w:szCs w:val="22"/>
          <w:lang w:val="en-US" w:eastAsia="en-GB"/>
        </w:rPr>
        <w:t>might possibly</w:t>
      </w:r>
      <w:r w:rsidR="00FC542E" w:rsidRPr="00416898">
        <w:rPr>
          <w:rFonts w:cs="Arial"/>
          <w:sz w:val="22"/>
          <w:szCs w:val="22"/>
          <w:lang w:val="en-US" w:eastAsia="en-GB"/>
        </w:rPr>
        <w:t xml:space="preserve"> enable physicians to apply early immunomodulatory therapy to </w:t>
      </w:r>
      <w:r w:rsidR="00633339" w:rsidRPr="00416898">
        <w:rPr>
          <w:rFonts w:cs="Arial"/>
          <w:sz w:val="22"/>
          <w:szCs w:val="22"/>
          <w:lang w:val="en-US" w:eastAsia="en-GB"/>
        </w:rPr>
        <w:t>ameliorate</w:t>
      </w:r>
      <w:r w:rsidR="00FC542E" w:rsidRPr="00416898">
        <w:rPr>
          <w:rFonts w:cs="Arial"/>
          <w:sz w:val="22"/>
          <w:szCs w:val="22"/>
          <w:lang w:val="en-US" w:eastAsia="en-GB"/>
        </w:rPr>
        <w:t xml:space="preserve"> the autoimmune process before irreversible organ damage </w:t>
      </w:r>
      <w:r w:rsidR="00B47914" w:rsidRPr="00416898">
        <w:rPr>
          <w:rFonts w:cs="Arial"/>
          <w:sz w:val="22"/>
          <w:szCs w:val="22"/>
          <w:lang w:val="en-US" w:eastAsia="en-GB"/>
        </w:rPr>
        <w:t xml:space="preserve">has </w:t>
      </w:r>
      <w:r w:rsidR="00FC542E" w:rsidRPr="00416898">
        <w:rPr>
          <w:rFonts w:cs="Arial"/>
          <w:sz w:val="22"/>
          <w:szCs w:val="22"/>
          <w:lang w:val="en-US" w:eastAsia="en-GB"/>
        </w:rPr>
        <w:t>occu</w:t>
      </w:r>
      <w:r w:rsidR="002F0423" w:rsidRPr="00416898">
        <w:rPr>
          <w:rFonts w:cs="Arial"/>
          <w:sz w:val="22"/>
          <w:szCs w:val="22"/>
          <w:lang w:val="en-US" w:eastAsia="en-GB"/>
        </w:rPr>
        <w:t>r</w:t>
      </w:r>
      <w:r w:rsidR="00FC542E" w:rsidRPr="00416898">
        <w:rPr>
          <w:rFonts w:cs="Arial"/>
          <w:sz w:val="22"/>
          <w:szCs w:val="22"/>
          <w:lang w:val="en-US" w:eastAsia="en-GB"/>
        </w:rPr>
        <w:t>r</w:t>
      </w:r>
      <w:r w:rsidR="00B47914" w:rsidRPr="00416898">
        <w:rPr>
          <w:rFonts w:cs="Arial"/>
          <w:sz w:val="22"/>
          <w:szCs w:val="22"/>
          <w:lang w:val="en-US" w:eastAsia="en-GB"/>
        </w:rPr>
        <w:t>ed</w:t>
      </w:r>
      <w:r w:rsidR="00FC542E" w:rsidRPr="00416898">
        <w:rPr>
          <w:rFonts w:cs="Arial"/>
          <w:sz w:val="22"/>
          <w:szCs w:val="22"/>
          <w:lang w:val="en-US" w:eastAsia="en-GB"/>
        </w:rPr>
        <w:t>.</w:t>
      </w:r>
      <w:r w:rsidR="006E2425" w:rsidRPr="00416898">
        <w:rPr>
          <w:rFonts w:cs="Arial"/>
          <w:sz w:val="22"/>
          <w:szCs w:val="22"/>
          <w:lang w:val="en-US" w:eastAsia="en-GB"/>
        </w:rPr>
        <w:t xml:space="preserve"> </w:t>
      </w:r>
      <w:r w:rsidR="00067FAE" w:rsidRPr="00416898">
        <w:rPr>
          <w:rFonts w:cs="Arial"/>
          <w:sz w:val="22"/>
          <w:szCs w:val="22"/>
          <w:lang w:val="en-US" w:eastAsia="en-GB"/>
        </w:rPr>
        <w:t xml:space="preserve">Restoration of thymic epithelium with intact immune regulatory function via stem cell engineering to reverse the defective immune system remains a </w:t>
      </w:r>
      <w:proofErr w:type="gramStart"/>
      <w:r w:rsidR="00067FAE" w:rsidRPr="00416898">
        <w:rPr>
          <w:rFonts w:cs="Arial"/>
          <w:sz w:val="22"/>
          <w:szCs w:val="22"/>
          <w:lang w:val="en-US" w:eastAsia="en-GB"/>
        </w:rPr>
        <w:t>long -term</w:t>
      </w:r>
      <w:proofErr w:type="gramEnd"/>
      <w:r w:rsidR="00067FAE" w:rsidRPr="00416898">
        <w:rPr>
          <w:rFonts w:cs="Arial"/>
          <w:sz w:val="22"/>
          <w:szCs w:val="22"/>
          <w:lang w:val="en-US" w:eastAsia="en-GB"/>
        </w:rPr>
        <w:t xml:space="preserve"> goal</w:t>
      </w:r>
      <w:r w:rsidR="009248BB" w:rsidRPr="00416898">
        <w:rPr>
          <w:rFonts w:cs="Arial"/>
          <w:sz w:val="22"/>
          <w:szCs w:val="22"/>
          <w:lang w:val="en-US" w:eastAsia="en-GB"/>
        </w:rPr>
        <w:t>,</w:t>
      </w:r>
      <w:r w:rsidR="00067FAE" w:rsidRPr="00416898">
        <w:rPr>
          <w:rFonts w:cs="Arial"/>
          <w:sz w:val="22"/>
          <w:szCs w:val="22"/>
          <w:lang w:val="en-US" w:eastAsia="en-GB"/>
        </w:rPr>
        <w:t xml:space="preserve"> but</w:t>
      </w:r>
      <w:r w:rsidR="00AF7786" w:rsidRPr="00416898">
        <w:rPr>
          <w:rFonts w:cs="Arial"/>
          <w:sz w:val="22"/>
          <w:szCs w:val="22"/>
          <w:lang w:val="en-US" w:eastAsia="en-GB"/>
        </w:rPr>
        <w:t xml:space="preserve"> is</w:t>
      </w:r>
      <w:r w:rsidR="00067FAE" w:rsidRPr="00416898">
        <w:rPr>
          <w:rFonts w:cs="Arial"/>
          <w:sz w:val="22"/>
          <w:szCs w:val="22"/>
          <w:lang w:val="en-US" w:eastAsia="en-GB"/>
        </w:rPr>
        <w:t xml:space="preserve"> being pursued</w:t>
      </w:r>
      <w:r w:rsidR="00E00717" w:rsidRPr="00416898">
        <w:rPr>
          <w:rFonts w:cs="Arial"/>
          <w:sz w:val="22"/>
          <w:szCs w:val="22"/>
          <w:lang w:val="en-US" w:eastAsia="en-GB"/>
        </w:rPr>
        <w:t xml:space="preserve"> </w:t>
      </w:r>
      <w:r w:rsidR="00E13D41" w:rsidRPr="00416898">
        <w:rPr>
          <w:rFonts w:cs="Arial"/>
          <w:sz w:val="22"/>
          <w:szCs w:val="22"/>
          <w:lang w:val="en-US" w:eastAsia="en-GB"/>
        </w:rPr>
        <w:t>(</w:t>
      </w:r>
      <w:r w:rsidR="00C4216B" w:rsidRPr="00416898">
        <w:rPr>
          <w:rFonts w:cs="Arial"/>
          <w:sz w:val="22"/>
          <w:szCs w:val="22"/>
          <w:lang w:val="en-US" w:eastAsia="en-GB"/>
        </w:rPr>
        <w:t>11</w:t>
      </w:r>
      <w:r w:rsidR="00E13D41" w:rsidRPr="00416898">
        <w:rPr>
          <w:rFonts w:cs="Arial"/>
          <w:sz w:val="22"/>
          <w:szCs w:val="22"/>
          <w:lang w:val="en-US" w:eastAsia="en-GB"/>
        </w:rPr>
        <w:t>)</w:t>
      </w:r>
      <w:r w:rsidR="00067FAE" w:rsidRPr="00416898">
        <w:rPr>
          <w:rFonts w:cs="Arial"/>
          <w:sz w:val="22"/>
          <w:szCs w:val="22"/>
          <w:lang w:val="en-US" w:eastAsia="en-GB"/>
        </w:rPr>
        <w:t>.</w:t>
      </w:r>
    </w:p>
    <w:p w14:paraId="1B7590C9" w14:textId="77777777" w:rsidR="005F5191" w:rsidRPr="00416898" w:rsidRDefault="005F5191" w:rsidP="00C84278">
      <w:pPr>
        <w:pStyle w:val="BodyText"/>
        <w:spacing w:line="276" w:lineRule="auto"/>
        <w:rPr>
          <w:rFonts w:cs="Arial"/>
          <w:sz w:val="22"/>
          <w:szCs w:val="22"/>
          <w:lang w:val="en-US"/>
        </w:rPr>
      </w:pPr>
    </w:p>
    <w:p w14:paraId="08403861" w14:textId="77777777" w:rsidR="00680300" w:rsidRPr="00701CD3" w:rsidRDefault="00680300" w:rsidP="00C84278">
      <w:pPr>
        <w:pStyle w:val="Heading1"/>
        <w:spacing w:line="276" w:lineRule="auto"/>
        <w:ind w:left="0"/>
        <w:rPr>
          <w:rFonts w:cs="Arial"/>
          <w:color w:val="0070C0"/>
          <w:w w:val="105"/>
          <w:sz w:val="22"/>
          <w:szCs w:val="22"/>
          <w:lang w:val="en-US"/>
        </w:rPr>
      </w:pPr>
      <w:r w:rsidRPr="00701CD3">
        <w:rPr>
          <w:rFonts w:cs="Arial"/>
          <w:color w:val="0070C0"/>
          <w:w w:val="105"/>
          <w:sz w:val="22"/>
          <w:szCs w:val="22"/>
          <w:lang w:val="en-US"/>
        </w:rPr>
        <w:t>REFERENCES</w:t>
      </w:r>
    </w:p>
    <w:p w14:paraId="22BF8E0C" w14:textId="77777777" w:rsidR="006F6339" w:rsidRDefault="006F6339" w:rsidP="00C84278">
      <w:pPr>
        <w:pStyle w:val="Heading1"/>
        <w:spacing w:line="276" w:lineRule="auto"/>
        <w:ind w:left="0"/>
        <w:rPr>
          <w:rFonts w:cs="Arial"/>
          <w:w w:val="105"/>
          <w:sz w:val="22"/>
          <w:szCs w:val="22"/>
        </w:rPr>
      </w:pPr>
    </w:p>
    <w:p w14:paraId="29B92DAA" w14:textId="77777777" w:rsidR="006F6339" w:rsidRPr="006F6339" w:rsidRDefault="006F6339" w:rsidP="006F6339">
      <w:pPr>
        <w:widowControl/>
        <w:autoSpaceDE/>
        <w:autoSpaceDN/>
        <w:spacing w:line="276" w:lineRule="auto"/>
        <w:ind w:left="576" w:hanging="576"/>
        <w:rPr>
          <w:rFonts w:eastAsia="Calibri" w:cs="Times New Roman"/>
        </w:rPr>
      </w:pPr>
      <w:bookmarkStart w:id="1" w:name="_Hlk68939304"/>
      <w:r w:rsidRPr="006F6339">
        <w:rPr>
          <w:rFonts w:eastAsia="Calibri" w:cs="Times New Roman"/>
        </w:rPr>
        <w:t>1.</w:t>
      </w:r>
      <w:r w:rsidRPr="006F6339">
        <w:rPr>
          <w:rFonts w:eastAsia="Calibri" w:cs="Times New Roman"/>
        </w:rPr>
        <w:tab/>
      </w:r>
      <w:proofErr w:type="spellStart"/>
      <w:r w:rsidRPr="006F6339">
        <w:rPr>
          <w:rFonts w:eastAsia="Calibri" w:cs="Times New Roman"/>
        </w:rPr>
        <w:t>Perheentupa</w:t>
      </w:r>
      <w:proofErr w:type="spellEnd"/>
      <w:r w:rsidRPr="006F6339">
        <w:rPr>
          <w:rFonts w:eastAsia="Calibri" w:cs="Times New Roman"/>
        </w:rPr>
        <w:t xml:space="preserve">, J. Autoimmune </w:t>
      </w:r>
      <w:proofErr w:type="spellStart"/>
      <w:r w:rsidRPr="006F6339">
        <w:rPr>
          <w:rFonts w:eastAsia="Calibri" w:cs="Times New Roman"/>
        </w:rPr>
        <w:t>polyendocrinopathy</w:t>
      </w:r>
      <w:proofErr w:type="spellEnd"/>
      <w:r w:rsidRPr="006F6339">
        <w:rPr>
          <w:rFonts w:eastAsia="Calibri" w:cs="Times New Roman"/>
        </w:rPr>
        <w:t xml:space="preserve">-candidiasis-ectodermal dystrophy. J Clin Endocrinol </w:t>
      </w:r>
      <w:proofErr w:type="spellStart"/>
      <w:r w:rsidRPr="006F6339">
        <w:rPr>
          <w:rFonts w:eastAsia="Calibri" w:cs="Times New Roman"/>
        </w:rPr>
        <w:t>Metab</w:t>
      </w:r>
      <w:proofErr w:type="spellEnd"/>
      <w:r w:rsidRPr="006F6339">
        <w:rPr>
          <w:rFonts w:eastAsia="Calibri" w:cs="Times New Roman"/>
        </w:rPr>
        <w:t>, 2006; 91(8): 2843-50.</w:t>
      </w:r>
    </w:p>
    <w:p w14:paraId="40199B4A" w14:textId="77777777" w:rsidR="006F6339" w:rsidRPr="006F6339" w:rsidRDefault="006F6339" w:rsidP="006F6339">
      <w:pPr>
        <w:widowControl/>
        <w:autoSpaceDE/>
        <w:autoSpaceDN/>
        <w:spacing w:line="276" w:lineRule="auto"/>
        <w:ind w:left="576" w:hanging="576"/>
        <w:rPr>
          <w:rFonts w:eastAsia="Calibri" w:cs="Times New Roman"/>
        </w:rPr>
      </w:pPr>
      <w:r w:rsidRPr="006F6339">
        <w:rPr>
          <w:rFonts w:eastAsia="Calibri" w:cs="Times New Roman"/>
        </w:rPr>
        <w:lastRenderedPageBreak/>
        <w:t>2.</w:t>
      </w:r>
      <w:r w:rsidRPr="006F6339">
        <w:rPr>
          <w:rFonts w:eastAsia="Calibri" w:cs="Times New Roman"/>
        </w:rPr>
        <w:tab/>
        <w:t xml:space="preserve">Anderson, M.S. and M.A. </w:t>
      </w:r>
      <w:proofErr w:type="spellStart"/>
      <w:r w:rsidRPr="006F6339">
        <w:rPr>
          <w:rFonts w:eastAsia="Calibri" w:cs="Times New Roman"/>
        </w:rPr>
        <w:t>Su</w:t>
      </w:r>
      <w:proofErr w:type="spellEnd"/>
      <w:r w:rsidRPr="006F6339">
        <w:rPr>
          <w:rFonts w:eastAsia="Calibri" w:cs="Times New Roman"/>
        </w:rPr>
        <w:t xml:space="preserve">. AIRE </w:t>
      </w:r>
      <w:proofErr w:type="gramStart"/>
      <w:r w:rsidRPr="006F6339">
        <w:rPr>
          <w:rFonts w:eastAsia="Calibri" w:cs="Times New Roman"/>
        </w:rPr>
        <w:t>expands:</w:t>
      </w:r>
      <w:proofErr w:type="gramEnd"/>
      <w:r w:rsidRPr="006F6339">
        <w:rPr>
          <w:rFonts w:eastAsia="Calibri" w:cs="Times New Roman"/>
        </w:rPr>
        <w:t xml:space="preserve"> new roles in immune tolerance and beyond. Nat Rev Immunol, 2016;16(4): 247-58.</w:t>
      </w:r>
    </w:p>
    <w:p w14:paraId="31673921" w14:textId="77777777" w:rsidR="006F6339" w:rsidRPr="006F6339" w:rsidRDefault="006F6339" w:rsidP="006F6339">
      <w:pPr>
        <w:widowControl/>
        <w:autoSpaceDE/>
        <w:autoSpaceDN/>
        <w:spacing w:line="276" w:lineRule="auto"/>
        <w:ind w:left="576" w:hanging="576"/>
        <w:rPr>
          <w:rFonts w:eastAsia="Calibri" w:cs="Times New Roman"/>
        </w:rPr>
      </w:pPr>
      <w:r w:rsidRPr="006F6339">
        <w:rPr>
          <w:rFonts w:eastAsia="Calibri" w:cs="Times New Roman"/>
        </w:rPr>
        <w:t>3.</w:t>
      </w:r>
      <w:r w:rsidRPr="006F6339">
        <w:rPr>
          <w:rFonts w:eastAsia="Calibri" w:cs="Times New Roman"/>
        </w:rPr>
        <w:tab/>
      </w:r>
      <w:proofErr w:type="spellStart"/>
      <w:r w:rsidRPr="006F6339">
        <w:rPr>
          <w:rFonts w:eastAsia="Calibri" w:cs="Times New Roman"/>
        </w:rPr>
        <w:t>Fierabracci</w:t>
      </w:r>
      <w:proofErr w:type="spellEnd"/>
      <w:r w:rsidRPr="006F6339">
        <w:rPr>
          <w:rFonts w:eastAsia="Calibri" w:cs="Times New Roman"/>
        </w:rPr>
        <w:t>, A. Type 1 Diabetes in Autoimmune Polyendocrinopathy-Candidiasis- Ectodermal Dystrophy Syndrome (APECED): A "Rare" Manifestation in a "Rare" Disease. Int J Mol Sci, 2016;17(7).</w:t>
      </w:r>
    </w:p>
    <w:p w14:paraId="60077942" w14:textId="77777777" w:rsidR="006F6339" w:rsidRPr="006F6339" w:rsidRDefault="006F6339" w:rsidP="006F6339">
      <w:pPr>
        <w:widowControl/>
        <w:autoSpaceDE/>
        <w:autoSpaceDN/>
        <w:spacing w:line="276" w:lineRule="auto"/>
        <w:ind w:left="576" w:hanging="576"/>
        <w:rPr>
          <w:rFonts w:eastAsia="Calibri" w:cs="Times New Roman"/>
        </w:rPr>
      </w:pPr>
      <w:r w:rsidRPr="006F6339">
        <w:rPr>
          <w:rFonts w:eastAsia="Calibri" w:cs="Times New Roman"/>
        </w:rPr>
        <w:t>4.</w:t>
      </w:r>
      <w:r w:rsidRPr="006F6339">
        <w:rPr>
          <w:rFonts w:eastAsia="Calibri" w:cs="Times New Roman"/>
        </w:rPr>
        <w:tab/>
      </w:r>
      <w:proofErr w:type="spellStart"/>
      <w:r w:rsidRPr="006F6339">
        <w:rPr>
          <w:rFonts w:eastAsia="Calibri" w:cs="Times New Roman"/>
        </w:rPr>
        <w:t>Kisand</w:t>
      </w:r>
      <w:proofErr w:type="spellEnd"/>
      <w:r w:rsidRPr="006F6339">
        <w:rPr>
          <w:rFonts w:eastAsia="Calibri" w:cs="Times New Roman"/>
        </w:rPr>
        <w:t xml:space="preserve">, K. and P. Peterson. Autoimmune </w:t>
      </w:r>
      <w:proofErr w:type="spellStart"/>
      <w:r w:rsidRPr="006F6339">
        <w:rPr>
          <w:rFonts w:eastAsia="Calibri" w:cs="Times New Roman"/>
        </w:rPr>
        <w:t>polyendocrinopathy</w:t>
      </w:r>
      <w:proofErr w:type="spellEnd"/>
      <w:r w:rsidRPr="006F6339">
        <w:rPr>
          <w:rFonts w:eastAsia="Calibri" w:cs="Times New Roman"/>
        </w:rPr>
        <w:t xml:space="preserve"> candidiasis ectodermal dystrophy. J Clin Immunol, 2015;35(5): 463-78.</w:t>
      </w:r>
    </w:p>
    <w:p w14:paraId="19C3C3C1" w14:textId="77777777" w:rsidR="006F6339" w:rsidRPr="006F6339" w:rsidRDefault="006F6339" w:rsidP="006F6339">
      <w:pPr>
        <w:widowControl/>
        <w:autoSpaceDE/>
        <w:autoSpaceDN/>
        <w:spacing w:line="276" w:lineRule="auto"/>
        <w:ind w:left="576" w:hanging="576"/>
        <w:rPr>
          <w:rFonts w:eastAsia="Calibri" w:cs="Times New Roman"/>
        </w:rPr>
      </w:pPr>
      <w:r w:rsidRPr="006F6339">
        <w:rPr>
          <w:rFonts w:eastAsia="Calibri" w:cs="Times New Roman"/>
        </w:rPr>
        <w:t>5.</w:t>
      </w:r>
      <w:r w:rsidRPr="006F6339">
        <w:rPr>
          <w:rFonts w:eastAsia="Calibri" w:cs="Times New Roman"/>
        </w:rPr>
        <w:tab/>
      </w:r>
      <w:proofErr w:type="spellStart"/>
      <w:r w:rsidRPr="006F6339">
        <w:rPr>
          <w:rFonts w:eastAsia="Calibri" w:cs="Times New Roman"/>
        </w:rPr>
        <w:t>Alimohammadi</w:t>
      </w:r>
      <w:proofErr w:type="spellEnd"/>
      <w:r w:rsidRPr="006F6339">
        <w:rPr>
          <w:rFonts w:eastAsia="Calibri" w:cs="Times New Roman"/>
        </w:rPr>
        <w:t xml:space="preserve">, M., et al. Autoimmune polyendocrine syndrome type 1 and NALP5, a parathyroid autoantigen. N </w:t>
      </w:r>
      <w:proofErr w:type="spellStart"/>
      <w:r w:rsidRPr="006F6339">
        <w:rPr>
          <w:rFonts w:eastAsia="Calibri" w:cs="Times New Roman"/>
        </w:rPr>
        <w:t>Engl</w:t>
      </w:r>
      <w:proofErr w:type="spellEnd"/>
      <w:r w:rsidRPr="006F6339">
        <w:rPr>
          <w:rFonts w:eastAsia="Calibri" w:cs="Times New Roman"/>
        </w:rPr>
        <w:t xml:space="preserve"> J Med, 2008; 358(10):1018-28.</w:t>
      </w:r>
    </w:p>
    <w:p w14:paraId="06397060" w14:textId="77777777" w:rsidR="006F6339" w:rsidRPr="006F6339" w:rsidRDefault="006F6339" w:rsidP="006F6339">
      <w:pPr>
        <w:widowControl/>
        <w:autoSpaceDE/>
        <w:autoSpaceDN/>
        <w:spacing w:line="276" w:lineRule="auto"/>
        <w:ind w:left="576" w:hanging="576"/>
        <w:rPr>
          <w:rFonts w:eastAsia="Calibri" w:cs="Times New Roman"/>
        </w:rPr>
      </w:pPr>
      <w:r w:rsidRPr="006F6339">
        <w:rPr>
          <w:rFonts w:eastAsia="Calibri" w:cs="Times New Roman"/>
        </w:rPr>
        <w:t>6.</w:t>
      </w:r>
      <w:r w:rsidRPr="006F6339">
        <w:rPr>
          <w:rFonts w:eastAsia="Calibri" w:cs="Times New Roman"/>
        </w:rPr>
        <w:tab/>
        <w:t>Finnish-German, A.C. An autoimmune disease, APECED, caused by mutations in a novel gene featuring two PHD-type zinc-finger domains. Nat Genet, 1997; 17(4): 399-403.</w:t>
      </w:r>
    </w:p>
    <w:p w14:paraId="6498BB42" w14:textId="77777777" w:rsidR="006F6339" w:rsidRPr="006F6339" w:rsidRDefault="006F6339" w:rsidP="006F6339">
      <w:pPr>
        <w:widowControl/>
        <w:autoSpaceDE/>
        <w:autoSpaceDN/>
        <w:spacing w:line="276" w:lineRule="auto"/>
        <w:ind w:left="576" w:hanging="576"/>
        <w:rPr>
          <w:rFonts w:eastAsia="Calibri" w:cs="Times New Roman"/>
        </w:rPr>
      </w:pPr>
      <w:r w:rsidRPr="006F6339">
        <w:rPr>
          <w:rFonts w:eastAsia="Calibri" w:cs="Times New Roman"/>
        </w:rPr>
        <w:t>7.</w:t>
      </w:r>
      <w:r w:rsidRPr="006F6339">
        <w:rPr>
          <w:rFonts w:eastAsia="Calibri" w:cs="Times New Roman"/>
        </w:rPr>
        <w:tab/>
        <w:t xml:space="preserve">Anderson, M.S., et al. Projection of an immunological </w:t>
      </w:r>
      <w:proofErr w:type="spellStart"/>
      <w:r w:rsidRPr="006F6339">
        <w:rPr>
          <w:rFonts w:eastAsia="Calibri" w:cs="Times New Roman"/>
        </w:rPr>
        <w:t>self shadow</w:t>
      </w:r>
      <w:proofErr w:type="spellEnd"/>
      <w:r w:rsidRPr="006F6339">
        <w:rPr>
          <w:rFonts w:eastAsia="Calibri" w:cs="Times New Roman"/>
        </w:rPr>
        <w:t xml:space="preserve"> within the thymus by the </w:t>
      </w:r>
      <w:proofErr w:type="spellStart"/>
      <w:r w:rsidRPr="006F6339">
        <w:rPr>
          <w:rFonts w:eastAsia="Calibri" w:cs="Times New Roman"/>
        </w:rPr>
        <w:t>aire</w:t>
      </w:r>
      <w:proofErr w:type="spellEnd"/>
      <w:r w:rsidRPr="006F6339">
        <w:rPr>
          <w:rFonts w:eastAsia="Calibri" w:cs="Times New Roman"/>
        </w:rPr>
        <w:t xml:space="preserve"> protein. Science, 2002; 298(5597):1395-401.</w:t>
      </w:r>
    </w:p>
    <w:p w14:paraId="5254CF82" w14:textId="77777777" w:rsidR="006F6339" w:rsidRPr="006F6339" w:rsidRDefault="006F6339" w:rsidP="006F6339">
      <w:pPr>
        <w:widowControl/>
        <w:autoSpaceDE/>
        <w:autoSpaceDN/>
        <w:spacing w:line="276" w:lineRule="auto"/>
        <w:ind w:left="576" w:hanging="576"/>
        <w:rPr>
          <w:rFonts w:eastAsia="Calibri" w:cs="Times New Roman"/>
        </w:rPr>
      </w:pPr>
      <w:r w:rsidRPr="006F6339">
        <w:rPr>
          <w:rFonts w:eastAsia="Calibri" w:cs="Times New Roman"/>
        </w:rPr>
        <w:t>8.</w:t>
      </w:r>
      <w:r w:rsidRPr="006F6339">
        <w:rPr>
          <w:rFonts w:eastAsia="Calibri" w:cs="Times New Roman"/>
        </w:rPr>
        <w:tab/>
      </w:r>
      <w:proofErr w:type="spellStart"/>
      <w:r w:rsidRPr="006F6339">
        <w:rPr>
          <w:rFonts w:eastAsia="Calibri" w:cs="Times New Roman"/>
        </w:rPr>
        <w:t>Kakleas</w:t>
      </w:r>
      <w:proofErr w:type="spellEnd"/>
      <w:r w:rsidRPr="006F6339">
        <w:rPr>
          <w:rFonts w:eastAsia="Calibri" w:cs="Times New Roman"/>
        </w:rPr>
        <w:t xml:space="preserve">, K., et al. Associated autoimmune diseases in children and adolescents with type 1 diabetes mellitus (T1DM). </w:t>
      </w:r>
      <w:proofErr w:type="spellStart"/>
      <w:r w:rsidRPr="006F6339">
        <w:rPr>
          <w:rFonts w:eastAsia="Calibri" w:cs="Times New Roman"/>
        </w:rPr>
        <w:t>Autoimmun</w:t>
      </w:r>
      <w:proofErr w:type="spellEnd"/>
      <w:r w:rsidRPr="006F6339">
        <w:rPr>
          <w:rFonts w:eastAsia="Calibri" w:cs="Times New Roman"/>
        </w:rPr>
        <w:t xml:space="preserve"> Rev, 2015; 14(9): 781-97.</w:t>
      </w:r>
    </w:p>
    <w:p w14:paraId="1AA983B9" w14:textId="77777777" w:rsidR="006F6339" w:rsidRPr="006F6339" w:rsidRDefault="006F6339" w:rsidP="006F6339">
      <w:pPr>
        <w:widowControl/>
        <w:autoSpaceDE/>
        <w:autoSpaceDN/>
        <w:spacing w:line="276" w:lineRule="auto"/>
        <w:ind w:left="576" w:hanging="576"/>
        <w:rPr>
          <w:rFonts w:eastAsia="Calibri" w:cs="Times New Roman"/>
        </w:rPr>
      </w:pPr>
      <w:r w:rsidRPr="006F6339">
        <w:rPr>
          <w:rFonts w:eastAsia="Calibri" w:cs="Times New Roman"/>
        </w:rPr>
        <w:t>9.</w:t>
      </w:r>
      <w:r w:rsidRPr="006F6339">
        <w:rPr>
          <w:rFonts w:eastAsia="Calibri" w:cs="Times New Roman"/>
        </w:rPr>
        <w:tab/>
        <w:t>Gimenez-</w:t>
      </w:r>
      <w:proofErr w:type="spellStart"/>
      <w:r w:rsidRPr="006F6339">
        <w:rPr>
          <w:rFonts w:eastAsia="Calibri" w:cs="Times New Roman"/>
        </w:rPr>
        <w:t>Barcons</w:t>
      </w:r>
      <w:proofErr w:type="spellEnd"/>
      <w:r w:rsidRPr="006F6339">
        <w:rPr>
          <w:rFonts w:eastAsia="Calibri" w:cs="Times New Roman"/>
        </w:rPr>
        <w:t xml:space="preserve">, M., et al. Autoimmune predisposition in Down syndrome may result from a partial central tolerance failure due to insufficient </w:t>
      </w:r>
      <w:proofErr w:type="spellStart"/>
      <w:r w:rsidRPr="006F6339">
        <w:rPr>
          <w:rFonts w:eastAsia="Calibri" w:cs="Times New Roman"/>
        </w:rPr>
        <w:t>intrathymic</w:t>
      </w:r>
      <w:proofErr w:type="spellEnd"/>
      <w:r w:rsidRPr="006F6339">
        <w:rPr>
          <w:rFonts w:eastAsia="Calibri" w:cs="Times New Roman"/>
        </w:rPr>
        <w:t xml:space="preserve"> expression of AIRE and peripheral antigens. J Immunol, 2014;193(8): 3872-9.</w:t>
      </w:r>
    </w:p>
    <w:p w14:paraId="742F0D58" w14:textId="77777777" w:rsidR="006F6339" w:rsidRPr="006F6339" w:rsidRDefault="006F6339" w:rsidP="006F6339">
      <w:pPr>
        <w:widowControl/>
        <w:autoSpaceDE/>
        <w:autoSpaceDN/>
        <w:spacing w:line="276" w:lineRule="auto"/>
        <w:ind w:left="576" w:hanging="576"/>
        <w:rPr>
          <w:rFonts w:eastAsia="Calibri" w:cs="Times New Roman"/>
        </w:rPr>
      </w:pPr>
      <w:r w:rsidRPr="006F6339">
        <w:rPr>
          <w:rFonts w:eastAsia="Calibri" w:cs="Times New Roman"/>
        </w:rPr>
        <w:t>10.</w:t>
      </w:r>
      <w:r w:rsidRPr="006F6339">
        <w:rPr>
          <w:rFonts w:eastAsia="Calibri" w:cs="Times New Roman"/>
        </w:rPr>
        <w:tab/>
      </w:r>
      <w:proofErr w:type="spellStart"/>
      <w:r w:rsidRPr="006F6339">
        <w:rPr>
          <w:rFonts w:eastAsia="Calibri" w:cs="Times New Roman"/>
        </w:rPr>
        <w:t>Bruserud</w:t>
      </w:r>
      <w:proofErr w:type="spellEnd"/>
      <w:r w:rsidRPr="006F6339">
        <w:rPr>
          <w:rFonts w:eastAsia="Calibri" w:cs="Times New Roman"/>
        </w:rPr>
        <w:t xml:space="preserve"> Ø, </w:t>
      </w:r>
      <w:proofErr w:type="spellStart"/>
      <w:r w:rsidRPr="006F6339">
        <w:rPr>
          <w:rFonts w:eastAsia="Calibri" w:cs="Times New Roman"/>
        </w:rPr>
        <w:t>Oftedal</w:t>
      </w:r>
      <w:proofErr w:type="spellEnd"/>
      <w:r w:rsidRPr="006F6339">
        <w:rPr>
          <w:rFonts w:eastAsia="Calibri" w:cs="Times New Roman"/>
        </w:rPr>
        <w:t xml:space="preserve"> BE, </w:t>
      </w:r>
      <w:proofErr w:type="spellStart"/>
      <w:r w:rsidRPr="006F6339">
        <w:rPr>
          <w:rFonts w:eastAsia="Calibri" w:cs="Times New Roman"/>
        </w:rPr>
        <w:t>Landegren</w:t>
      </w:r>
      <w:proofErr w:type="spellEnd"/>
      <w:r w:rsidRPr="006F6339">
        <w:rPr>
          <w:rFonts w:eastAsia="Calibri" w:cs="Times New Roman"/>
        </w:rPr>
        <w:t xml:space="preserve"> N, </w:t>
      </w:r>
      <w:proofErr w:type="spellStart"/>
      <w:r w:rsidRPr="006F6339">
        <w:rPr>
          <w:rFonts w:eastAsia="Calibri" w:cs="Times New Roman"/>
        </w:rPr>
        <w:t>Erichsen</w:t>
      </w:r>
      <w:proofErr w:type="spellEnd"/>
      <w:r w:rsidRPr="006F6339">
        <w:rPr>
          <w:rFonts w:eastAsia="Calibri" w:cs="Times New Roman"/>
        </w:rPr>
        <w:t xml:space="preserve"> MM, Bratland E, Lima K, </w:t>
      </w:r>
      <w:proofErr w:type="spellStart"/>
      <w:r w:rsidRPr="006F6339">
        <w:rPr>
          <w:rFonts w:eastAsia="Calibri" w:cs="Times New Roman"/>
        </w:rPr>
        <w:t>Jørgensen</w:t>
      </w:r>
      <w:proofErr w:type="spellEnd"/>
      <w:r w:rsidRPr="006F6339">
        <w:rPr>
          <w:rFonts w:eastAsia="Calibri" w:cs="Times New Roman"/>
        </w:rPr>
        <w:t xml:space="preserve"> AP, Myhre AG, </w:t>
      </w:r>
      <w:proofErr w:type="spellStart"/>
      <w:r w:rsidRPr="006F6339">
        <w:rPr>
          <w:rFonts w:eastAsia="Calibri" w:cs="Times New Roman"/>
        </w:rPr>
        <w:t>Svartberg</w:t>
      </w:r>
      <w:proofErr w:type="spellEnd"/>
      <w:r w:rsidRPr="006F6339">
        <w:rPr>
          <w:rFonts w:eastAsia="Calibri" w:cs="Times New Roman"/>
        </w:rPr>
        <w:t xml:space="preserve"> J, </w:t>
      </w:r>
      <w:proofErr w:type="spellStart"/>
      <w:r w:rsidRPr="006F6339">
        <w:rPr>
          <w:rFonts w:eastAsia="Calibri" w:cs="Times New Roman"/>
        </w:rPr>
        <w:t>Fougner</w:t>
      </w:r>
      <w:proofErr w:type="spellEnd"/>
      <w:r w:rsidRPr="006F6339">
        <w:rPr>
          <w:rFonts w:eastAsia="Calibri" w:cs="Times New Roman"/>
        </w:rPr>
        <w:t xml:space="preserve"> KJ, Bakke Å, </w:t>
      </w:r>
      <w:proofErr w:type="spellStart"/>
      <w:r w:rsidRPr="006F6339">
        <w:rPr>
          <w:rFonts w:eastAsia="Calibri" w:cs="Times New Roman"/>
        </w:rPr>
        <w:t>Nedrebø</w:t>
      </w:r>
      <w:proofErr w:type="spellEnd"/>
      <w:r w:rsidRPr="006F6339">
        <w:rPr>
          <w:rFonts w:eastAsia="Calibri" w:cs="Times New Roman"/>
        </w:rPr>
        <w:t xml:space="preserve"> BG, </w:t>
      </w:r>
      <w:proofErr w:type="spellStart"/>
      <w:r w:rsidRPr="006F6339">
        <w:rPr>
          <w:rFonts w:eastAsia="Calibri" w:cs="Times New Roman"/>
        </w:rPr>
        <w:t>Mella</w:t>
      </w:r>
      <w:proofErr w:type="spellEnd"/>
      <w:r w:rsidRPr="006F6339">
        <w:rPr>
          <w:rFonts w:eastAsia="Calibri" w:cs="Times New Roman"/>
        </w:rPr>
        <w:t xml:space="preserve"> B, Breivik L, </w:t>
      </w:r>
      <w:proofErr w:type="spellStart"/>
      <w:r w:rsidRPr="006F6339">
        <w:rPr>
          <w:rFonts w:eastAsia="Calibri" w:cs="Times New Roman"/>
        </w:rPr>
        <w:t>Viken</w:t>
      </w:r>
      <w:proofErr w:type="spellEnd"/>
      <w:r w:rsidRPr="006F6339">
        <w:rPr>
          <w:rFonts w:eastAsia="Calibri" w:cs="Times New Roman"/>
        </w:rPr>
        <w:t xml:space="preserve"> MK, </w:t>
      </w:r>
      <w:proofErr w:type="spellStart"/>
      <w:r w:rsidRPr="006F6339">
        <w:rPr>
          <w:rFonts w:eastAsia="Calibri" w:cs="Times New Roman"/>
        </w:rPr>
        <w:t>Knappskog</w:t>
      </w:r>
      <w:proofErr w:type="spellEnd"/>
      <w:r w:rsidRPr="006F6339">
        <w:rPr>
          <w:rFonts w:eastAsia="Calibri" w:cs="Times New Roman"/>
        </w:rPr>
        <w:t xml:space="preserve"> PM, </w:t>
      </w:r>
      <w:proofErr w:type="spellStart"/>
      <w:r w:rsidRPr="006F6339">
        <w:rPr>
          <w:rFonts w:eastAsia="Calibri" w:cs="Times New Roman"/>
        </w:rPr>
        <w:t>Marthinussen</w:t>
      </w:r>
      <w:proofErr w:type="spellEnd"/>
      <w:r w:rsidRPr="006F6339">
        <w:rPr>
          <w:rFonts w:eastAsia="Calibri" w:cs="Times New Roman"/>
        </w:rPr>
        <w:t xml:space="preserve"> MC, </w:t>
      </w:r>
      <w:proofErr w:type="spellStart"/>
      <w:r w:rsidRPr="006F6339">
        <w:rPr>
          <w:rFonts w:eastAsia="Calibri" w:cs="Times New Roman"/>
        </w:rPr>
        <w:t>Løvås</w:t>
      </w:r>
      <w:proofErr w:type="spellEnd"/>
      <w:r w:rsidRPr="006F6339">
        <w:rPr>
          <w:rFonts w:eastAsia="Calibri" w:cs="Times New Roman"/>
        </w:rPr>
        <w:t xml:space="preserve"> K, </w:t>
      </w:r>
      <w:proofErr w:type="spellStart"/>
      <w:r w:rsidRPr="006F6339">
        <w:rPr>
          <w:rFonts w:eastAsia="Calibri" w:cs="Times New Roman"/>
        </w:rPr>
        <w:t>Kämpe</w:t>
      </w:r>
      <w:proofErr w:type="spellEnd"/>
      <w:r w:rsidRPr="006F6339">
        <w:rPr>
          <w:rFonts w:eastAsia="Calibri" w:cs="Times New Roman"/>
        </w:rPr>
        <w:t xml:space="preserve"> O, Wolff AB, </w:t>
      </w:r>
      <w:proofErr w:type="spellStart"/>
      <w:r w:rsidRPr="006F6339">
        <w:rPr>
          <w:rFonts w:eastAsia="Calibri" w:cs="Times New Roman"/>
        </w:rPr>
        <w:t>Husebye</w:t>
      </w:r>
      <w:proofErr w:type="spellEnd"/>
      <w:r w:rsidRPr="006F6339">
        <w:rPr>
          <w:rFonts w:eastAsia="Calibri" w:cs="Times New Roman"/>
        </w:rPr>
        <w:t xml:space="preserve"> ES. A Longitudinal Follow-up of Autoimmune Polyendocrine Syndrome Type 1. J Clin Endocrinol </w:t>
      </w:r>
      <w:proofErr w:type="spellStart"/>
      <w:r w:rsidRPr="006F6339">
        <w:rPr>
          <w:rFonts w:eastAsia="Calibri" w:cs="Times New Roman"/>
        </w:rPr>
        <w:t>Metab</w:t>
      </w:r>
      <w:proofErr w:type="spellEnd"/>
      <w:r w:rsidRPr="006F6339">
        <w:rPr>
          <w:rFonts w:eastAsia="Calibri" w:cs="Times New Roman"/>
        </w:rPr>
        <w:t xml:space="preserve">. 2016;101(8):2975-83 </w:t>
      </w:r>
    </w:p>
    <w:p w14:paraId="4C1FF190" w14:textId="77777777" w:rsidR="006F6339" w:rsidRPr="006F6339" w:rsidRDefault="006F6339" w:rsidP="006F6339">
      <w:pPr>
        <w:widowControl/>
        <w:autoSpaceDE/>
        <w:autoSpaceDN/>
        <w:spacing w:line="276" w:lineRule="auto"/>
        <w:ind w:left="576" w:hanging="576"/>
        <w:rPr>
          <w:rFonts w:eastAsia="Calibri" w:cs="Times New Roman"/>
        </w:rPr>
      </w:pPr>
      <w:r w:rsidRPr="006F6339">
        <w:rPr>
          <w:rFonts w:eastAsia="Calibri" w:cs="Times New Roman"/>
        </w:rPr>
        <w:t>11.</w:t>
      </w:r>
      <w:r w:rsidRPr="006F6339">
        <w:rPr>
          <w:rFonts w:eastAsia="Calibri" w:cs="Times New Roman"/>
        </w:rPr>
        <w:tab/>
      </w:r>
      <w:proofErr w:type="spellStart"/>
      <w:r w:rsidRPr="006F6339">
        <w:rPr>
          <w:rFonts w:eastAsia="Calibri" w:cs="Times New Roman"/>
        </w:rPr>
        <w:t>Husebye</w:t>
      </w:r>
      <w:proofErr w:type="spellEnd"/>
      <w:r w:rsidRPr="006F6339">
        <w:rPr>
          <w:rFonts w:eastAsia="Calibri" w:cs="Times New Roman"/>
        </w:rPr>
        <w:t xml:space="preserve"> ES, Anderson MS, </w:t>
      </w:r>
      <w:proofErr w:type="spellStart"/>
      <w:r w:rsidRPr="006F6339">
        <w:rPr>
          <w:rFonts w:eastAsia="Calibri" w:cs="Times New Roman"/>
        </w:rPr>
        <w:t>Kämpe</w:t>
      </w:r>
      <w:proofErr w:type="spellEnd"/>
      <w:r w:rsidRPr="006F6339">
        <w:rPr>
          <w:rFonts w:eastAsia="Calibri" w:cs="Times New Roman"/>
        </w:rPr>
        <w:t xml:space="preserve"> O. Autoimmune Polyendocrine Syndromes. N </w:t>
      </w:r>
      <w:proofErr w:type="spellStart"/>
      <w:r w:rsidRPr="006F6339">
        <w:rPr>
          <w:rFonts w:eastAsia="Calibri" w:cs="Times New Roman"/>
        </w:rPr>
        <w:t>Engl</w:t>
      </w:r>
      <w:proofErr w:type="spellEnd"/>
      <w:r w:rsidRPr="006F6339">
        <w:rPr>
          <w:rFonts w:eastAsia="Calibri" w:cs="Times New Roman"/>
        </w:rPr>
        <w:t xml:space="preserve"> J Med. 2018; 22;378(12):1132-1141</w:t>
      </w:r>
    </w:p>
    <w:p w14:paraId="00830040" w14:textId="77777777" w:rsidR="006F6339" w:rsidRPr="006F6339" w:rsidRDefault="006F6339" w:rsidP="006F6339">
      <w:pPr>
        <w:widowControl/>
        <w:autoSpaceDE/>
        <w:autoSpaceDN/>
        <w:spacing w:line="276" w:lineRule="auto"/>
        <w:ind w:left="576" w:hanging="576"/>
        <w:rPr>
          <w:rFonts w:eastAsia="Calibri" w:cs="Times New Roman"/>
        </w:rPr>
      </w:pPr>
      <w:r w:rsidRPr="006F6339">
        <w:rPr>
          <w:rFonts w:eastAsia="Calibri" w:cs="Times New Roman"/>
        </w:rPr>
        <w:t>12.</w:t>
      </w:r>
      <w:r w:rsidRPr="006F6339">
        <w:rPr>
          <w:rFonts w:eastAsia="Calibri" w:cs="Times New Roman"/>
        </w:rPr>
        <w:tab/>
      </w:r>
      <w:proofErr w:type="spellStart"/>
      <w:r w:rsidRPr="006F6339">
        <w:rPr>
          <w:rFonts w:eastAsia="Calibri" w:cs="Times New Roman"/>
        </w:rPr>
        <w:t>Brannstrom</w:t>
      </w:r>
      <w:proofErr w:type="spellEnd"/>
      <w:r w:rsidRPr="006F6339">
        <w:rPr>
          <w:rFonts w:eastAsia="Calibri" w:cs="Times New Roman"/>
        </w:rPr>
        <w:t>, J., et al. Defect internalization and tyrosine kinase activation in Aire deficient antigen presenting cells exposed to Candida albicans antigens. Clin Immunol, 2006; 121(3): 265-73.</w:t>
      </w:r>
    </w:p>
    <w:p w14:paraId="3CAD500C" w14:textId="77777777" w:rsidR="006F6339" w:rsidRPr="006F6339" w:rsidRDefault="006F6339" w:rsidP="006F6339">
      <w:pPr>
        <w:widowControl/>
        <w:autoSpaceDE/>
        <w:autoSpaceDN/>
        <w:spacing w:line="276" w:lineRule="auto"/>
        <w:ind w:left="576" w:hanging="576"/>
        <w:rPr>
          <w:rFonts w:eastAsia="Calibri" w:cs="Times New Roman"/>
        </w:rPr>
      </w:pPr>
      <w:r w:rsidRPr="006F6339">
        <w:rPr>
          <w:rFonts w:eastAsia="Calibri" w:cs="Times New Roman"/>
        </w:rPr>
        <w:t>13.</w:t>
      </w:r>
      <w:r w:rsidRPr="006F6339">
        <w:rPr>
          <w:rFonts w:eastAsia="Calibri" w:cs="Times New Roman"/>
        </w:rPr>
        <w:tab/>
      </w:r>
      <w:proofErr w:type="spellStart"/>
      <w:r w:rsidRPr="006F6339">
        <w:rPr>
          <w:rFonts w:eastAsia="Calibri" w:cs="Times New Roman"/>
        </w:rPr>
        <w:t>Bensing</w:t>
      </w:r>
      <w:proofErr w:type="spellEnd"/>
      <w:r w:rsidRPr="006F6339">
        <w:rPr>
          <w:rFonts w:eastAsia="Calibri" w:cs="Times New Roman"/>
        </w:rPr>
        <w:t xml:space="preserve"> S, Brandt L, </w:t>
      </w:r>
      <w:proofErr w:type="spellStart"/>
      <w:r w:rsidRPr="006F6339">
        <w:rPr>
          <w:rFonts w:eastAsia="Calibri" w:cs="Times New Roman"/>
        </w:rPr>
        <w:t>Tabaroj</w:t>
      </w:r>
      <w:proofErr w:type="spellEnd"/>
      <w:r w:rsidRPr="006F6339">
        <w:rPr>
          <w:rFonts w:eastAsia="Calibri" w:cs="Times New Roman"/>
        </w:rPr>
        <w:t xml:space="preserve"> F, </w:t>
      </w:r>
      <w:proofErr w:type="spellStart"/>
      <w:r w:rsidRPr="006F6339">
        <w:rPr>
          <w:rFonts w:eastAsia="Calibri" w:cs="Times New Roman"/>
        </w:rPr>
        <w:t>Sjöberg</w:t>
      </w:r>
      <w:proofErr w:type="spellEnd"/>
      <w:r w:rsidRPr="006F6339">
        <w:rPr>
          <w:rFonts w:eastAsia="Calibri" w:cs="Times New Roman"/>
        </w:rPr>
        <w:t xml:space="preserve"> O, Nilsson B, Ekbom A, </w:t>
      </w:r>
      <w:proofErr w:type="spellStart"/>
      <w:r w:rsidRPr="006F6339">
        <w:rPr>
          <w:rFonts w:eastAsia="Calibri" w:cs="Times New Roman"/>
        </w:rPr>
        <w:t>Blomqvist</w:t>
      </w:r>
      <w:proofErr w:type="spellEnd"/>
      <w:r w:rsidRPr="006F6339">
        <w:rPr>
          <w:rFonts w:eastAsia="Calibri" w:cs="Times New Roman"/>
        </w:rPr>
        <w:t xml:space="preserve"> P, </w:t>
      </w:r>
      <w:proofErr w:type="spellStart"/>
      <w:r w:rsidRPr="006F6339">
        <w:rPr>
          <w:rFonts w:eastAsia="Calibri" w:cs="Times New Roman"/>
        </w:rPr>
        <w:t>Kämpe</w:t>
      </w:r>
      <w:proofErr w:type="spellEnd"/>
      <w:r w:rsidRPr="006F6339">
        <w:rPr>
          <w:rFonts w:eastAsia="Calibri" w:cs="Times New Roman"/>
        </w:rPr>
        <w:t xml:space="preserve"> O. Increased death risk and altered cancer incidence pattern in patients with isolated or combined autoimmune primary adrenocortical insufficiency. Clin Endocrinol (</w:t>
      </w:r>
      <w:proofErr w:type="spellStart"/>
      <w:r w:rsidRPr="006F6339">
        <w:rPr>
          <w:rFonts w:eastAsia="Calibri" w:cs="Times New Roman"/>
        </w:rPr>
        <w:t>Oxf</w:t>
      </w:r>
      <w:proofErr w:type="spellEnd"/>
      <w:r w:rsidRPr="006F6339">
        <w:rPr>
          <w:rFonts w:eastAsia="Calibri" w:cs="Times New Roman"/>
        </w:rPr>
        <w:t xml:space="preserve">). </w:t>
      </w:r>
      <w:proofErr w:type="gramStart"/>
      <w:r w:rsidRPr="006F6339">
        <w:rPr>
          <w:rFonts w:eastAsia="Calibri" w:cs="Times New Roman"/>
        </w:rPr>
        <w:t>2008;69:697</w:t>
      </w:r>
      <w:proofErr w:type="gramEnd"/>
      <w:r w:rsidRPr="006F6339">
        <w:rPr>
          <w:rFonts w:eastAsia="Calibri" w:cs="Times New Roman"/>
        </w:rPr>
        <w:t>-704</w:t>
      </w:r>
    </w:p>
    <w:p w14:paraId="5FE4AA0F" w14:textId="77777777" w:rsidR="006F6339" w:rsidRPr="006F6339" w:rsidRDefault="006F6339" w:rsidP="006F6339">
      <w:pPr>
        <w:widowControl/>
        <w:autoSpaceDE/>
        <w:autoSpaceDN/>
        <w:spacing w:line="276" w:lineRule="auto"/>
        <w:ind w:left="576" w:hanging="576"/>
        <w:rPr>
          <w:rFonts w:eastAsia="Calibri" w:cs="Times New Roman"/>
        </w:rPr>
      </w:pPr>
      <w:r w:rsidRPr="006F6339">
        <w:rPr>
          <w:rFonts w:eastAsia="Calibri" w:cs="Times New Roman"/>
        </w:rPr>
        <w:t>14.</w:t>
      </w:r>
      <w:r w:rsidRPr="006F6339">
        <w:rPr>
          <w:rFonts w:eastAsia="Calibri" w:cs="Times New Roman"/>
        </w:rPr>
        <w:tab/>
        <w:t xml:space="preserve">Shum AK, </w:t>
      </w:r>
      <w:proofErr w:type="spellStart"/>
      <w:r w:rsidRPr="006F6339">
        <w:rPr>
          <w:rFonts w:eastAsia="Calibri" w:cs="Times New Roman"/>
        </w:rPr>
        <w:t>Alimohammadi</w:t>
      </w:r>
      <w:proofErr w:type="spellEnd"/>
      <w:r w:rsidRPr="006F6339">
        <w:rPr>
          <w:rFonts w:eastAsia="Calibri" w:cs="Times New Roman"/>
        </w:rPr>
        <w:t xml:space="preserve"> M, Tan CL, et al. BPIFB1 is a lung-specific autoantigen associated with interstitial lung disease. Science translational medicine. 2013; 5:206ra139.</w:t>
      </w:r>
    </w:p>
    <w:p w14:paraId="625CF49D" w14:textId="77777777" w:rsidR="006F6339" w:rsidRPr="006F6339" w:rsidRDefault="006F6339" w:rsidP="006F6339">
      <w:pPr>
        <w:widowControl/>
        <w:autoSpaceDE/>
        <w:autoSpaceDN/>
        <w:spacing w:line="276" w:lineRule="auto"/>
        <w:ind w:left="576" w:hanging="576"/>
        <w:rPr>
          <w:rFonts w:eastAsia="Calibri" w:cs="Times New Roman"/>
        </w:rPr>
      </w:pPr>
      <w:r w:rsidRPr="006F6339">
        <w:rPr>
          <w:rFonts w:eastAsia="Calibri" w:cs="Times New Roman"/>
        </w:rPr>
        <w:t>15.</w:t>
      </w:r>
      <w:r w:rsidRPr="006F6339">
        <w:rPr>
          <w:rFonts w:eastAsia="Calibri" w:cs="Times New Roman"/>
        </w:rPr>
        <w:tab/>
      </w:r>
      <w:proofErr w:type="spellStart"/>
      <w:r w:rsidRPr="006F6339">
        <w:rPr>
          <w:rFonts w:eastAsia="Calibri" w:cs="Times New Roman"/>
        </w:rPr>
        <w:t>Alimohammadi</w:t>
      </w:r>
      <w:proofErr w:type="spellEnd"/>
      <w:r w:rsidRPr="006F6339">
        <w:rPr>
          <w:rFonts w:eastAsia="Calibri" w:cs="Times New Roman"/>
        </w:rPr>
        <w:t xml:space="preserve"> M, Dubois N, </w:t>
      </w:r>
      <w:proofErr w:type="spellStart"/>
      <w:r w:rsidRPr="006F6339">
        <w:rPr>
          <w:rFonts w:eastAsia="Calibri" w:cs="Times New Roman"/>
        </w:rPr>
        <w:t>Skoldberg</w:t>
      </w:r>
      <w:proofErr w:type="spellEnd"/>
      <w:r w:rsidRPr="006F6339">
        <w:rPr>
          <w:rFonts w:eastAsia="Calibri" w:cs="Times New Roman"/>
        </w:rPr>
        <w:t xml:space="preserve"> F, et al. Pulmonary autoimmunity as a feature of autoimmune polyendocrine syndrome type 1 and identification of KCNRG as a bronchial autoantigen. Proc Natl </w:t>
      </w:r>
      <w:proofErr w:type="spellStart"/>
      <w:r w:rsidRPr="006F6339">
        <w:rPr>
          <w:rFonts w:eastAsia="Calibri" w:cs="Times New Roman"/>
        </w:rPr>
        <w:t>Acad</w:t>
      </w:r>
      <w:proofErr w:type="spellEnd"/>
      <w:r w:rsidRPr="006F6339">
        <w:rPr>
          <w:rFonts w:eastAsia="Calibri" w:cs="Times New Roman"/>
        </w:rPr>
        <w:t xml:space="preserve"> Sci U S A. </w:t>
      </w:r>
      <w:proofErr w:type="gramStart"/>
      <w:r w:rsidRPr="006F6339">
        <w:rPr>
          <w:rFonts w:eastAsia="Calibri" w:cs="Times New Roman"/>
        </w:rPr>
        <w:t>2009;106:4396</w:t>
      </w:r>
      <w:proofErr w:type="gramEnd"/>
      <w:r w:rsidRPr="006F6339">
        <w:rPr>
          <w:rFonts w:eastAsia="Calibri" w:cs="Times New Roman"/>
        </w:rPr>
        <w:t xml:space="preserve">–401. </w:t>
      </w:r>
    </w:p>
    <w:p w14:paraId="23210BD8" w14:textId="77777777" w:rsidR="006F6339" w:rsidRPr="006F6339" w:rsidRDefault="006F6339" w:rsidP="006F6339">
      <w:pPr>
        <w:widowControl/>
        <w:autoSpaceDE/>
        <w:autoSpaceDN/>
        <w:spacing w:line="276" w:lineRule="auto"/>
        <w:ind w:left="576" w:hanging="576"/>
        <w:rPr>
          <w:rFonts w:eastAsia="Calibri" w:cs="Times New Roman"/>
        </w:rPr>
      </w:pPr>
      <w:r w:rsidRPr="006F6339">
        <w:rPr>
          <w:rFonts w:eastAsia="Calibri" w:cs="Times New Roman"/>
        </w:rPr>
        <w:t>16.</w:t>
      </w:r>
      <w:r w:rsidRPr="006F6339">
        <w:rPr>
          <w:rFonts w:eastAsia="Calibri" w:cs="Times New Roman"/>
        </w:rPr>
        <w:tab/>
      </w:r>
      <w:proofErr w:type="spellStart"/>
      <w:r w:rsidRPr="006F6339">
        <w:rPr>
          <w:rFonts w:eastAsia="Calibri" w:cs="Times New Roman"/>
        </w:rPr>
        <w:t>Landegren</w:t>
      </w:r>
      <w:proofErr w:type="spellEnd"/>
      <w:r w:rsidRPr="006F6339">
        <w:rPr>
          <w:rFonts w:eastAsia="Calibri" w:cs="Times New Roman"/>
        </w:rPr>
        <w:t xml:space="preserve"> N, Sharon D, Shum AK, et al. Transglutaminase 4 as a prostate autoantigen in male subfertility. Science translational medicine. 2015; 7:292.</w:t>
      </w:r>
    </w:p>
    <w:p w14:paraId="45D02B05" w14:textId="77777777" w:rsidR="006F6339" w:rsidRPr="006F6339" w:rsidRDefault="006F6339" w:rsidP="006F6339">
      <w:pPr>
        <w:widowControl/>
        <w:autoSpaceDE/>
        <w:autoSpaceDN/>
        <w:spacing w:line="276" w:lineRule="auto"/>
        <w:ind w:left="576" w:hanging="576"/>
        <w:rPr>
          <w:rFonts w:eastAsia="Calibri" w:cs="Times New Roman"/>
        </w:rPr>
      </w:pPr>
      <w:r w:rsidRPr="006F6339">
        <w:rPr>
          <w:rFonts w:eastAsia="Calibri" w:cs="Times New Roman"/>
        </w:rPr>
        <w:t>17.</w:t>
      </w:r>
      <w:r w:rsidRPr="006F6339">
        <w:rPr>
          <w:rFonts w:eastAsia="Calibri" w:cs="Times New Roman"/>
        </w:rPr>
        <w:tab/>
        <w:t xml:space="preserve">Meager, A., et al. Anti-interferon autoantibodies in autoimmune </w:t>
      </w:r>
      <w:proofErr w:type="spellStart"/>
      <w:r w:rsidRPr="006F6339">
        <w:rPr>
          <w:rFonts w:eastAsia="Calibri" w:cs="Times New Roman"/>
        </w:rPr>
        <w:t>polyendocrinopathy</w:t>
      </w:r>
      <w:proofErr w:type="spellEnd"/>
      <w:r w:rsidRPr="006F6339">
        <w:rPr>
          <w:rFonts w:eastAsia="Calibri" w:cs="Times New Roman"/>
        </w:rPr>
        <w:t xml:space="preserve"> syndrome type 1. </w:t>
      </w:r>
      <w:proofErr w:type="spellStart"/>
      <w:r w:rsidRPr="006F6339">
        <w:rPr>
          <w:rFonts w:eastAsia="Calibri" w:cs="Times New Roman"/>
        </w:rPr>
        <w:t>PLoS</w:t>
      </w:r>
      <w:proofErr w:type="spellEnd"/>
      <w:r w:rsidRPr="006F6339">
        <w:rPr>
          <w:rFonts w:eastAsia="Calibri" w:cs="Times New Roman"/>
        </w:rPr>
        <w:t xml:space="preserve"> Med, 2006;3(7):289.</w:t>
      </w:r>
    </w:p>
    <w:p w14:paraId="5E0F3894" w14:textId="77777777" w:rsidR="006F6339" w:rsidRPr="006F6339" w:rsidRDefault="006F6339" w:rsidP="006F6339">
      <w:pPr>
        <w:widowControl/>
        <w:autoSpaceDE/>
        <w:autoSpaceDN/>
        <w:spacing w:line="276" w:lineRule="auto"/>
        <w:ind w:left="576" w:hanging="576"/>
        <w:rPr>
          <w:rFonts w:eastAsia="Calibri" w:cs="Times New Roman"/>
        </w:rPr>
      </w:pPr>
      <w:r w:rsidRPr="006F6339">
        <w:rPr>
          <w:rFonts w:eastAsia="Calibri" w:cs="Times New Roman"/>
        </w:rPr>
        <w:t>18.</w:t>
      </w:r>
      <w:r w:rsidRPr="006F6339">
        <w:rPr>
          <w:rFonts w:eastAsia="Calibri" w:cs="Times New Roman"/>
        </w:rPr>
        <w:tab/>
        <w:t>Meyer, S., et al., AIRE-Deficient Patients Harbor Unique High-Affinity Disease-Ameliorating Autoantibodies. Cell, 2016;166(3): 582-595.</w:t>
      </w:r>
    </w:p>
    <w:p w14:paraId="08FA76D6" w14:textId="77777777" w:rsidR="006F6339" w:rsidRPr="006F6339" w:rsidRDefault="006F6339" w:rsidP="006F6339">
      <w:pPr>
        <w:widowControl/>
        <w:autoSpaceDE/>
        <w:autoSpaceDN/>
        <w:spacing w:line="276" w:lineRule="auto"/>
        <w:ind w:left="576" w:hanging="576"/>
        <w:rPr>
          <w:rFonts w:eastAsia="Calibri" w:cs="Times New Roman"/>
        </w:rPr>
      </w:pPr>
      <w:r w:rsidRPr="006F6339">
        <w:rPr>
          <w:rFonts w:eastAsia="Calibri" w:cs="Times New Roman"/>
        </w:rPr>
        <w:lastRenderedPageBreak/>
        <w:t>19.</w:t>
      </w:r>
      <w:r w:rsidRPr="006F6339">
        <w:rPr>
          <w:rFonts w:eastAsia="Calibri" w:cs="Times New Roman"/>
        </w:rPr>
        <w:tab/>
      </w:r>
      <w:proofErr w:type="spellStart"/>
      <w:r w:rsidRPr="006F6339">
        <w:rPr>
          <w:rFonts w:eastAsia="Calibri" w:cs="Times New Roman"/>
        </w:rPr>
        <w:t>Kisand</w:t>
      </w:r>
      <w:proofErr w:type="spellEnd"/>
      <w:r w:rsidRPr="006F6339">
        <w:rPr>
          <w:rFonts w:eastAsia="Calibri" w:cs="Times New Roman"/>
        </w:rPr>
        <w:t xml:space="preserve"> K, </w:t>
      </w:r>
      <w:proofErr w:type="spellStart"/>
      <w:r w:rsidRPr="006F6339">
        <w:rPr>
          <w:rFonts w:eastAsia="Calibri" w:cs="Times New Roman"/>
        </w:rPr>
        <w:t>Bøe</w:t>
      </w:r>
      <w:proofErr w:type="spellEnd"/>
      <w:r w:rsidRPr="006F6339">
        <w:rPr>
          <w:rFonts w:eastAsia="Calibri" w:cs="Times New Roman"/>
        </w:rPr>
        <w:t xml:space="preserve"> Wolff AS, </w:t>
      </w:r>
      <w:proofErr w:type="spellStart"/>
      <w:r w:rsidRPr="006F6339">
        <w:rPr>
          <w:rFonts w:eastAsia="Calibri" w:cs="Times New Roman"/>
        </w:rPr>
        <w:t>Podkrajsek</w:t>
      </w:r>
      <w:proofErr w:type="spellEnd"/>
      <w:r w:rsidRPr="006F6339">
        <w:rPr>
          <w:rFonts w:eastAsia="Calibri" w:cs="Times New Roman"/>
        </w:rPr>
        <w:t xml:space="preserve"> KT, </w:t>
      </w:r>
      <w:proofErr w:type="spellStart"/>
      <w:r w:rsidRPr="006F6339">
        <w:rPr>
          <w:rFonts w:eastAsia="Calibri" w:cs="Times New Roman"/>
        </w:rPr>
        <w:t>Tserel</w:t>
      </w:r>
      <w:proofErr w:type="spellEnd"/>
      <w:r w:rsidRPr="006F6339">
        <w:rPr>
          <w:rFonts w:eastAsia="Calibri" w:cs="Times New Roman"/>
        </w:rPr>
        <w:t xml:space="preserve"> L, Link M, </w:t>
      </w:r>
      <w:proofErr w:type="spellStart"/>
      <w:r w:rsidRPr="006F6339">
        <w:rPr>
          <w:rFonts w:eastAsia="Calibri" w:cs="Times New Roman"/>
        </w:rPr>
        <w:t>Kisand</w:t>
      </w:r>
      <w:proofErr w:type="spellEnd"/>
      <w:r w:rsidRPr="006F6339">
        <w:rPr>
          <w:rFonts w:eastAsia="Calibri" w:cs="Times New Roman"/>
        </w:rPr>
        <w:t xml:space="preserve"> KV, </w:t>
      </w:r>
      <w:proofErr w:type="spellStart"/>
      <w:r w:rsidRPr="006F6339">
        <w:rPr>
          <w:rFonts w:eastAsia="Calibri" w:cs="Times New Roman"/>
        </w:rPr>
        <w:t>Ersvaer</w:t>
      </w:r>
      <w:proofErr w:type="spellEnd"/>
      <w:r w:rsidRPr="006F6339">
        <w:rPr>
          <w:rFonts w:eastAsia="Calibri" w:cs="Times New Roman"/>
        </w:rPr>
        <w:t xml:space="preserve"> E, </w:t>
      </w:r>
      <w:proofErr w:type="spellStart"/>
      <w:r w:rsidRPr="006F6339">
        <w:rPr>
          <w:rFonts w:eastAsia="Calibri" w:cs="Times New Roman"/>
        </w:rPr>
        <w:t>Perheentupa</w:t>
      </w:r>
      <w:proofErr w:type="spellEnd"/>
      <w:r w:rsidRPr="006F6339">
        <w:rPr>
          <w:rFonts w:eastAsia="Calibri" w:cs="Times New Roman"/>
        </w:rPr>
        <w:t xml:space="preserve"> J, </w:t>
      </w:r>
      <w:proofErr w:type="spellStart"/>
      <w:r w:rsidRPr="006F6339">
        <w:rPr>
          <w:rFonts w:eastAsia="Calibri" w:cs="Times New Roman"/>
        </w:rPr>
        <w:t>Erichsen</w:t>
      </w:r>
      <w:proofErr w:type="spellEnd"/>
      <w:r w:rsidRPr="006F6339">
        <w:rPr>
          <w:rFonts w:eastAsia="Calibri" w:cs="Times New Roman"/>
        </w:rPr>
        <w:t xml:space="preserve"> MM, </w:t>
      </w:r>
      <w:proofErr w:type="spellStart"/>
      <w:r w:rsidRPr="006F6339">
        <w:rPr>
          <w:rFonts w:eastAsia="Calibri" w:cs="Times New Roman"/>
        </w:rPr>
        <w:t>Bratanic</w:t>
      </w:r>
      <w:proofErr w:type="spellEnd"/>
      <w:r w:rsidRPr="006F6339">
        <w:rPr>
          <w:rFonts w:eastAsia="Calibri" w:cs="Times New Roman"/>
        </w:rPr>
        <w:t xml:space="preserve"> N, </w:t>
      </w:r>
      <w:proofErr w:type="spellStart"/>
      <w:r w:rsidRPr="006F6339">
        <w:rPr>
          <w:rFonts w:eastAsia="Calibri" w:cs="Times New Roman"/>
        </w:rPr>
        <w:t>Meloni</w:t>
      </w:r>
      <w:proofErr w:type="spellEnd"/>
      <w:r w:rsidRPr="006F6339">
        <w:rPr>
          <w:rFonts w:eastAsia="Calibri" w:cs="Times New Roman"/>
        </w:rPr>
        <w:t xml:space="preserve"> A, </w:t>
      </w:r>
      <w:proofErr w:type="spellStart"/>
      <w:r w:rsidRPr="006F6339">
        <w:rPr>
          <w:rFonts w:eastAsia="Calibri" w:cs="Times New Roman"/>
        </w:rPr>
        <w:t>Cetani</w:t>
      </w:r>
      <w:proofErr w:type="spellEnd"/>
      <w:r w:rsidRPr="006F6339">
        <w:rPr>
          <w:rFonts w:eastAsia="Calibri" w:cs="Times New Roman"/>
        </w:rPr>
        <w:t xml:space="preserve"> F, </w:t>
      </w:r>
      <w:proofErr w:type="spellStart"/>
      <w:r w:rsidRPr="006F6339">
        <w:rPr>
          <w:rFonts w:eastAsia="Calibri" w:cs="Times New Roman"/>
        </w:rPr>
        <w:t>Perniola</w:t>
      </w:r>
      <w:proofErr w:type="spellEnd"/>
      <w:r w:rsidRPr="006F6339">
        <w:rPr>
          <w:rFonts w:eastAsia="Calibri" w:cs="Times New Roman"/>
        </w:rPr>
        <w:t xml:space="preserve"> R, Ergun-Longmire B, Maclaren N, </w:t>
      </w:r>
      <w:proofErr w:type="spellStart"/>
      <w:r w:rsidRPr="006F6339">
        <w:rPr>
          <w:rFonts w:eastAsia="Calibri" w:cs="Times New Roman"/>
        </w:rPr>
        <w:t>Krohn</w:t>
      </w:r>
      <w:proofErr w:type="spellEnd"/>
      <w:r w:rsidRPr="006F6339">
        <w:rPr>
          <w:rFonts w:eastAsia="Calibri" w:cs="Times New Roman"/>
        </w:rPr>
        <w:t xml:space="preserve"> KJ, Pura M, Schalke B, </w:t>
      </w:r>
      <w:proofErr w:type="spellStart"/>
      <w:r w:rsidRPr="006F6339">
        <w:rPr>
          <w:rFonts w:eastAsia="Calibri" w:cs="Times New Roman"/>
        </w:rPr>
        <w:t>Ströbel</w:t>
      </w:r>
      <w:proofErr w:type="spellEnd"/>
      <w:r w:rsidRPr="006F6339">
        <w:rPr>
          <w:rFonts w:eastAsia="Calibri" w:cs="Times New Roman"/>
        </w:rPr>
        <w:t xml:space="preserve"> P, </w:t>
      </w:r>
      <w:proofErr w:type="spellStart"/>
      <w:r w:rsidRPr="006F6339">
        <w:rPr>
          <w:rFonts w:eastAsia="Calibri" w:cs="Times New Roman"/>
        </w:rPr>
        <w:t>Leite</w:t>
      </w:r>
      <w:proofErr w:type="spellEnd"/>
      <w:r w:rsidRPr="006F6339">
        <w:rPr>
          <w:rFonts w:eastAsia="Calibri" w:cs="Times New Roman"/>
        </w:rPr>
        <w:t xml:space="preserve"> MI, </w:t>
      </w:r>
      <w:proofErr w:type="spellStart"/>
      <w:r w:rsidRPr="006F6339">
        <w:rPr>
          <w:rFonts w:eastAsia="Calibri" w:cs="Times New Roman"/>
        </w:rPr>
        <w:t>Battelino</w:t>
      </w:r>
      <w:proofErr w:type="spellEnd"/>
      <w:r w:rsidRPr="006F6339">
        <w:rPr>
          <w:rFonts w:eastAsia="Calibri" w:cs="Times New Roman"/>
        </w:rPr>
        <w:t xml:space="preserve"> T, </w:t>
      </w:r>
      <w:proofErr w:type="spellStart"/>
      <w:r w:rsidRPr="006F6339">
        <w:rPr>
          <w:rFonts w:eastAsia="Calibri" w:cs="Times New Roman"/>
        </w:rPr>
        <w:t>Husebye</w:t>
      </w:r>
      <w:proofErr w:type="spellEnd"/>
      <w:r w:rsidRPr="006F6339">
        <w:rPr>
          <w:rFonts w:eastAsia="Calibri" w:cs="Times New Roman"/>
        </w:rPr>
        <w:t xml:space="preserve"> ES, Peterson P, Willcox N, Meager A. Chronic mucocutaneous candidiasis in APECED or thymoma patients correlates with </w:t>
      </w:r>
    </w:p>
    <w:p w14:paraId="0BADA6E5" w14:textId="77777777" w:rsidR="006F6339" w:rsidRPr="006F6339" w:rsidRDefault="006F6339" w:rsidP="006F6339">
      <w:pPr>
        <w:widowControl/>
        <w:autoSpaceDE/>
        <w:autoSpaceDN/>
        <w:spacing w:line="276" w:lineRule="auto"/>
        <w:ind w:left="576" w:hanging="576"/>
        <w:rPr>
          <w:rFonts w:eastAsia="Calibri" w:cs="Times New Roman"/>
        </w:rPr>
      </w:pPr>
      <w:r w:rsidRPr="006F6339">
        <w:rPr>
          <w:rFonts w:eastAsia="Calibri" w:cs="Times New Roman"/>
        </w:rPr>
        <w:t>20.</w:t>
      </w:r>
      <w:r w:rsidRPr="006F6339">
        <w:rPr>
          <w:rFonts w:eastAsia="Calibri" w:cs="Times New Roman"/>
        </w:rPr>
        <w:tab/>
      </w:r>
      <w:proofErr w:type="spellStart"/>
      <w:r w:rsidRPr="006F6339">
        <w:rPr>
          <w:rFonts w:eastAsia="Calibri" w:cs="Times New Roman"/>
        </w:rPr>
        <w:t>Orlova</w:t>
      </w:r>
      <w:proofErr w:type="spellEnd"/>
      <w:r w:rsidRPr="006F6339">
        <w:rPr>
          <w:rFonts w:eastAsia="Calibri" w:cs="Times New Roman"/>
        </w:rPr>
        <w:t xml:space="preserve"> EM, </w:t>
      </w:r>
      <w:proofErr w:type="spellStart"/>
      <w:r w:rsidRPr="006F6339">
        <w:rPr>
          <w:rFonts w:eastAsia="Calibri" w:cs="Times New Roman"/>
        </w:rPr>
        <w:t>Sozaeva</w:t>
      </w:r>
      <w:proofErr w:type="spellEnd"/>
      <w:r w:rsidRPr="006F6339">
        <w:rPr>
          <w:rFonts w:eastAsia="Calibri" w:cs="Times New Roman"/>
        </w:rPr>
        <w:t xml:space="preserve"> LS, </w:t>
      </w:r>
      <w:proofErr w:type="spellStart"/>
      <w:r w:rsidRPr="006F6339">
        <w:rPr>
          <w:rFonts w:eastAsia="Calibri" w:cs="Times New Roman"/>
        </w:rPr>
        <w:t>Kareva</w:t>
      </w:r>
      <w:proofErr w:type="spellEnd"/>
      <w:r w:rsidRPr="006F6339">
        <w:rPr>
          <w:rFonts w:eastAsia="Calibri" w:cs="Times New Roman"/>
        </w:rPr>
        <w:t xml:space="preserve"> MA, </w:t>
      </w:r>
      <w:proofErr w:type="spellStart"/>
      <w:r w:rsidRPr="006F6339">
        <w:rPr>
          <w:rFonts w:eastAsia="Calibri" w:cs="Times New Roman"/>
        </w:rPr>
        <w:t>Oftedal</w:t>
      </w:r>
      <w:proofErr w:type="spellEnd"/>
      <w:r w:rsidRPr="006F6339">
        <w:rPr>
          <w:rFonts w:eastAsia="Calibri" w:cs="Times New Roman"/>
        </w:rPr>
        <w:t xml:space="preserve"> BE, Wolff ASB, Breivik L, Zakharova EY, Ivanova ON, </w:t>
      </w:r>
      <w:proofErr w:type="spellStart"/>
      <w:r w:rsidRPr="006F6339">
        <w:rPr>
          <w:rFonts w:eastAsia="Calibri" w:cs="Times New Roman"/>
        </w:rPr>
        <w:t>Kämpe</w:t>
      </w:r>
      <w:proofErr w:type="spellEnd"/>
      <w:r w:rsidRPr="006F6339">
        <w:rPr>
          <w:rFonts w:eastAsia="Calibri" w:cs="Times New Roman"/>
        </w:rPr>
        <w:t xml:space="preserve"> O, </w:t>
      </w:r>
      <w:proofErr w:type="spellStart"/>
      <w:r w:rsidRPr="006F6339">
        <w:rPr>
          <w:rFonts w:eastAsia="Calibri" w:cs="Times New Roman"/>
        </w:rPr>
        <w:t>Dedov</w:t>
      </w:r>
      <w:proofErr w:type="spellEnd"/>
      <w:r w:rsidRPr="006F6339">
        <w:rPr>
          <w:rFonts w:eastAsia="Calibri" w:cs="Times New Roman"/>
        </w:rPr>
        <w:t xml:space="preserve"> II, </w:t>
      </w:r>
      <w:proofErr w:type="spellStart"/>
      <w:r w:rsidRPr="006F6339">
        <w:rPr>
          <w:rFonts w:eastAsia="Calibri" w:cs="Times New Roman"/>
        </w:rPr>
        <w:t>Knappskog</w:t>
      </w:r>
      <w:proofErr w:type="spellEnd"/>
      <w:r w:rsidRPr="006F6339">
        <w:rPr>
          <w:rFonts w:eastAsia="Calibri" w:cs="Times New Roman"/>
        </w:rPr>
        <w:t xml:space="preserve"> PM, </w:t>
      </w:r>
      <w:proofErr w:type="spellStart"/>
      <w:r w:rsidRPr="006F6339">
        <w:rPr>
          <w:rFonts w:eastAsia="Calibri" w:cs="Times New Roman"/>
        </w:rPr>
        <w:t>Peterkova</w:t>
      </w:r>
      <w:proofErr w:type="spellEnd"/>
      <w:r w:rsidRPr="006F6339">
        <w:rPr>
          <w:rFonts w:eastAsia="Calibri" w:cs="Times New Roman"/>
        </w:rPr>
        <w:t xml:space="preserve"> VA, </w:t>
      </w:r>
      <w:proofErr w:type="spellStart"/>
      <w:r w:rsidRPr="006F6339">
        <w:rPr>
          <w:rFonts w:eastAsia="Calibri" w:cs="Times New Roman"/>
        </w:rPr>
        <w:t>Husebye</w:t>
      </w:r>
      <w:proofErr w:type="spellEnd"/>
      <w:r w:rsidRPr="006F6339">
        <w:rPr>
          <w:rFonts w:eastAsia="Calibri" w:cs="Times New Roman"/>
        </w:rPr>
        <w:t xml:space="preserve"> ES. Expanding the Phenotypic and Genotypic Landscape of Autoimmune Polyendocrine Syndrome Type 1. J Clin Endocrinol </w:t>
      </w:r>
      <w:proofErr w:type="spellStart"/>
      <w:r w:rsidRPr="006F6339">
        <w:rPr>
          <w:rFonts w:eastAsia="Calibri" w:cs="Times New Roman"/>
        </w:rPr>
        <w:t>Metab</w:t>
      </w:r>
      <w:proofErr w:type="spellEnd"/>
      <w:r w:rsidRPr="006F6339">
        <w:rPr>
          <w:rFonts w:eastAsia="Calibri" w:cs="Times New Roman"/>
        </w:rPr>
        <w:t>. 2017;102(9):3546-3556.</w:t>
      </w:r>
    </w:p>
    <w:p w14:paraId="1FE846AE" w14:textId="77777777" w:rsidR="006F6339" w:rsidRPr="006F6339" w:rsidRDefault="006F6339" w:rsidP="006F6339">
      <w:pPr>
        <w:widowControl/>
        <w:autoSpaceDE/>
        <w:autoSpaceDN/>
        <w:spacing w:line="276" w:lineRule="auto"/>
        <w:ind w:left="576" w:hanging="576"/>
        <w:rPr>
          <w:rFonts w:eastAsia="Calibri" w:cs="Times New Roman"/>
        </w:rPr>
      </w:pPr>
      <w:r w:rsidRPr="006F6339">
        <w:rPr>
          <w:rFonts w:eastAsia="Calibri" w:cs="Times New Roman"/>
        </w:rPr>
        <w:t>21.</w:t>
      </w:r>
      <w:r w:rsidRPr="006F6339">
        <w:rPr>
          <w:rFonts w:eastAsia="Calibri" w:cs="Times New Roman"/>
        </w:rPr>
        <w:tab/>
        <w:t xml:space="preserve">Proust-Lemoine E, </w:t>
      </w:r>
      <w:proofErr w:type="spellStart"/>
      <w:r w:rsidRPr="006F6339">
        <w:rPr>
          <w:rFonts w:eastAsia="Calibri" w:cs="Times New Roman"/>
        </w:rPr>
        <w:t>Saugier-Véber</w:t>
      </w:r>
      <w:proofErr w:type="spellEnd"/>
      <w:r w:rsidRPr="006F6339">
        <w:rPr>
          <w:rFonts w:eastAsia="Calibri" w:cs="Times New Roman"/>
        </w:rPr>
        <w:t xml:space="preserve"> P, </w:t>
      </w:r>
      <w:proofErr w:type="spellStart"/>
      <w:r w:rsidRPr="006F6339">
        <w:rPr>
          <w:rFonts w:eastAsia="Calibri" w:cs="Times New Roman"/>
        </w:rPr>
        <w:t>Lefranc</w:t>
      </w:r>
      <w:proofErr w:type="spellEnd"/>
      <w:r w:rsidRPr="006F6339">
        <w:rPr>
          <w:rFonts w:eastAsia="Calibri" w:cs="Times New Roman"/>
        </w:rPr>
        <w:t xml:space="preserve"> D, </w:t>
      </w:r>
      <w:proofErr w:type="spellStart"/>
      <w:r w:rsidRPr="006F6339">
        <w:rPr>
          <w:rFonts w:eastAsia="Calibri" w:cs="Times New Roman"/>
        </w:rPr>
        <w:t>Dubucquoi</w:t>
      </w:r>
      <w:proofErr w:type="spellEnd"/>
      <w:r w:rsidRPr="006F6339">
        <w:rPr>
          <w:rFonts w:eastAsia="Calibri" w:cs="Times New Roman"/>
        </w:rPr>
        <w:t xml:space="preserve"> S, </w:t>
      </w:r>
      <w:proofErr w:type="spellStart"/>
      <w:r w:rsidRPr="006F6339">
        <w:rPr>
          <w:rFonts w:eastAsia="Calibri" w:cs="Times New Roman"/>
        </w:rPr>
        <w:t>Ryndak</w:t>
      </w:r>
      <w:proofErr w:type="spellEnd"/>
      <w:r w:rsidRPr="006F6339">
        <w:rPr>
          <w:rFonts w:eastAsia="Calibri" w:cs="Times New Roman"/>
        </w:rPr>
        <w:t xml:space="preserve"> A, </w:t>
      </w:r>
      <w:proofErr w:type="spellStart"/>
      <w:r w:rsidRPr="006F6339">
        <w:rPr>
          <w:rFonts w:eastAsia="Calibri" w:cs="Times New Roman"/>
        </w:rPr>
        <w:t>Buob</w:t>
      </w:r>
      <w:proofErr w:type="spellEnd"/>
      <w:r w:rsidRPr="006F6339">
        <w:rPr>
          <w:rFonts w:eastAsia="Calibri" w:cs="Times New Roman"/>
        </w:rPr>
        <w:t xml:space="preserve"> D, </w:t>
      </w:r>
      <w:proofErr w:type="spellStart"/>
      <w:r w:rsidRPr="006F6339">
        <w:rPr>
          <w:rFonts w:eastAsia="Calibri" w:cs="Times New Roman"/>
        </w:rPr>
        <w:t>Lalau</w:t>
      </w:r>
      <w:proofErr w:type="spellEnd"/>
      <w:r w:rsidRPr="006F6339">
        <w:rPr>
          <w:rFonts w:eastAsia="Calibri" w:cs="Times New Roman"/>
        </w:rPr>
        <w:t xml:space="preserve"> JD, </w:t>
      </w:r>
      <w:proofErr w:type="spellStart"/>
      <w:r w:rsidRPr="006F6339">
        <w:rPr>
          <w:rFonts w:eastAsia="Calibri" w:cs="Times New Roman"/>
        </w:rPr>
        <w:t>Desailloud</w:t>
      </w:r>
      <w:proofErr w:type="spellEnd"/>
      <w:r w:rsidRPr="006F6339">
        <w:rPr>
          <w:rFonts w:eastAsia="Calibri" w:cs="Times New Roman"/>
        </w:rPr>
        <w:t xml:space="preserve"> R, Weill J, </w:t>
      </w:r>
      <w:proofErr w:type="spellStart"/>
      <w:r w:rsidRPr="006F6339">
        <w:rPr>
          <w:rFonts w:eastAsia="Calibri" w:cs="Times New Roman"/>
        </w:rPr>
        <w:t>Prin</w:t>
      </w:r>
      <w:proofErr w:type="spellEnd"/>
      <w:r w:rsidRPr="006F6339">
        <w:rPr>
          <w:rFonts w:eastAsia="Calibri" w:cs="Times New Roman"/>
        </w:rPr>
        <w:t xml:space="preserve"> L, Lefebvre H, </w:t>
      </w:r>
      <w:proofErr w:type="spellStart"/>
      <w:r w:rsidRPr="006F6339">
        <w:rPr>
          <w:rFonts w:eastAsia="Calibri" w:cs="Times New Roman"/>
        </w:rPr>
        <w:t>Wémeau</w:t>
      </w:r>
      <w:proofErr w:type="spellEnd"/>
      <w:r w:rsidRPr="006F6339">
        <w:rPr>
          <w:rFonts w:eastAsia="Calibri" w:cs="Times New Roman"/>
        </w:rPr>
        <w:t xml:space="preserve"> JL. Autoimmune polyendocrine syndrome type 1 in north-western France: AIRE gene mutation specificities and severe forms needing immunosuppressive therapies. </w:t>
      </w:r>
      <w:proofErr w:type="spellStart"/>
      <w:r w:rsidRPr="006F6339">
        <w:rPr>
          <w:rFonts w:eastAsia="Calibri" w:cs="Times New Roman"/>
        </w:rPr>
        <w:t>Horm</w:t>
      </w:r>
      <w:proofErr w:type="spellEnd"/>
      <w:r w:rsidRPr="006F6339">
        <w:rPr>
          <w:rFonts w:eastAsia="Calibri" w:cs="Times New Roman"/>
        </w:rPr>
        <w:t xml:space="preserve"> Res </w:t>
      </w:r>
      <w:proofErr w:type="spellStart"/>
      <w:r w:rsidRPr="006F6339">
        <w:rPr>
          <w:rFonts w:eastAsia="Calibri" w:cs="Times New Roman"/>
        </w:rPr>
        <w:t>Paediatr</w:t>
      </w:r>
      <w:proofErr w:type="spellEnd"/>
      <w:r w:rsidRPr="006F6339">
        <w:rPr>
          <w:rFonts w:eastAsia="Calibri" w:cs="Times New Roman"/>
        </w:rPr>
        <w:t>. 2010;74(4):275-84.</w:t>
      </w:r>
    </w:p>
    <w:p w14:paraId="2CEC507D" w14:textId="77777777" w:rsidR="006F6339" w:rsidRPr="006F6339" w:rsidRDefault="006F6339" w:rsidP="006F6339">
      <w:pPr>
        <w:widowControl/>
        <w:autoSpaceDE/>
        <w:autoSpaceDN/>
        <w:spacing w:line="276" w:lineRule="auto"/>
        <w:ind w:left="576" w:hanging="576"/>
        <w:rPr>
          <w:rFonts w:eastAsia="Calibri" w:cs="Times New Roman"/>
        </w:rPr>
      </w:pPr>
      <w:r w:rsidRPr="006F6339">
        <w:rPr>
          <w:rFonts w:eastAsia="Calibri" w:cs="Times New Roman"/>
        </w:rPr>
        <w:t>22.</w:t>
      </w:r>
      <w:r w:rsidRPr="006F6339">
        <w:rPr>
          <w:rFonts w:eastAsia="Calibri" w:cs="Times New Roman"/>
        </w:rPr>
        <w:tab/>
      </w:r>
      <w:proofErr w:type="spellStart"/>
      <w:r w:rsidRPr="006F6339">
        <w:rPr>
          <w:rFonts w:eastAsia="Calibri" w:cs="Times New Roman"/>
        </w:rPr>
        <w:t>Cetani</w:t>
      </w:r>
      <w:proofErr w:type="spellEnd"/>
      <w:r w:rsidRPr="006F6339">
        <w:rPr>
          <w:rFonts w:eastAsia="Calibri" w:cs="Times New Roman"/>
        </w:rPr>
        <w:t xml:space="preserve"> F, </w:t>
      </w:r>
      <w:proofErr w:type="spellStart"/>
      <w:r w:rsidRPr="006F6339">
        <w:rPr>
          <w:rFonts w:eastAsia="Calibri" w:cs="Times New Roman"/>
        </w:rPr>
        <w:t>Barbesino</w:t>
      </w:r>
      <w:proofErr w:type="spellEnd"/>
      <w:r w:rsidRPr="006F6339">
        <w:rPr>
          <w:rFonts w:eastAsia="Calibri" w:cs="Times New Roman"/>
        </w:rPr>
        <w:t xml:space="preserve"> G, </w:t>
      </w:r>
      <w:proofErr w:type="spellStart"/>
      <w:r w:rsidRPr="006F6339">
        <w:rPr>
          <w:rFonts w:eastAsia="Calibri" w:cs="Times New Roman"/>
        </w:rPr>
        <w:t>Borsari</w:t>
      </w:r>
      <w:proofErr w:type="spellEnd"/>
      <w:r w:rsidRPr="006F6339">
        <w:rPr>
          <w:rFonts w:eastAsia="Calibri" w:cs="Times New Roman"/>
        </w:rPr>
        <w:t xml:space="preserve"> S, </w:t>
      </w:r>
      <w:proofErr w:type="spellStart"/>
      <w:r w:rsidRPr="006F6339">
        <w:rPr>
          <w:rFonts w:eastAsia="Calibri" w:cs="Times New Roman"/>
        </w:rPr>
        <w:t>Pardi</w:t>
      </w:r>
      <w:proofErr w:type="spellEnd"/>
      <w:r w:rsidRPr="006F6339">
        <w:rPr>
          <w:rFonts w:eastAsia="Calibri" w:cs="Times New Roman"/>
        </w:rPr>
        <w:t xml:space="preserve"> E, </w:t>
      </w:r>
      <w:proofErr w:type="spellStart"/>
      <w:r w:rsidRPr="006F6339">
        <w:rPr>
          <w:rFonts w:eastAsia="Calibri" w:cs="Times New Roman"/>
        </w:rPr>
        <w:t>Cianferotti</w:t>
      </w:r>
      <w:proofErr w:type="spellEnd"/>
      <w:r w:rsidRPr="006F6339">
        <w:rPr>
          <w:rFonts w:eastAsia="Calibri" w:cs="Times New Roman"/>
        </w:rPr>
        <w:t xml:space="preserve"> L, </w:t>
      </w:r>
      <w:proofErr w:type="spellStart"/>
      <w:r w:rsidRPr="006F6339">
        <w:rPr>
          <w:rFonts w:eastAsia="Calibri" w:cs="Times New Roman"/>
        </w:rPr>
        <w:t>Pinchera</w:t>
      </w:r>
      <w:proofErr w:type="spellEnd"/>
      <w:r w:rsidRPr="006F6339">
        <w:rPr>
          <w:rFonts w:eastAsia="Calibri" w:cs="Times New Roman"/>
        </w:rPr>
        <w:t xml:space="preserve"> A, </w:t>
      </w:r>
      <w:proofErr w:type="spellStart"/>
      <w:r w:rsidRPr="006F6339">
        <w:rPr>
          <w:rFonts w:eastAsia="Calibri" w:cs="Times New Roman"/>
        </w:rPr>
        <w:t>Marcocci</w:t>
      </w:r>
      <w:proofErr w:type="spellEnd"/>
      <w:r w:rsidRPr="006F6339">
        <w:rPr>
          <w:rFonts w:eastAsia="Calibri" w:cs="Times New Roman"/>
        </w:rPr>
        <w:t xml:space="preserve"> C. A novel mutation of the autoimmune regulator gene in </w:t>
      </w:r>
      <w:proofErr w:type="gramStart"/>
      <w:r w:rsidRPr="006F6339">
        <w:rPr>
          <w:rFonts w:eastAsia="Calibri" w:cs="Times New Roman"/>
        </w:rPr>
        <w:t>an Italian kindred</w:t>
      </w:r>
      <w:proofErr w:type="gramEnd"/>
      <w:r w:rsidRPr="006F6339">
        <w:rPr>
          <w:rFonts w:eastAsia="Calibri" w:cs="Times New Roman"/>
        </w:rPr>
        <w:t xml:space="preserve"> with autoimmune </w:t>
      </w:r>
      <w:proofErr w:type="spellStart"/>
      <w:r w:rsidRPr="006F6339">
        <w:rPr>
          <w:rFonts w:eastAsia="Calibri" w:cs="Times New Roman"/>
        </w:rPr>
        <w:t>polyendocrinopathy</w:t>
      </w:r>
      <w:proofErr w:type="spellEnd"/>
      <w:r w:rsidRPr="006F6339">
        <w:rPr>
          <w:rFonts w:eastAsia="Calibri" w:cs="Times New Roman"/>
        </w:rPr>
        <w:t xml:space="preserve">-candidiasis-ectodermal dystrophy, acting in a dominant fashion and strongly </w:t>
      </w:r>
      <w:proofErr w:type="spellStart"/>
      <w:r w:rsidRPr="006F6339">
        <w:rPr>
          <w:rFonts w:eastAsia="Calibri" w:cs="Times New Roman"/>
        </w:rPr>
        <w:t>cosegregating</w:t>
      </w:r>
      <w:proofErr w:type="spellEnd"/>
      <w:r w:rsidRPr="006F6339">
        <w:rPr>
          <w:rFonts w:eastAsia="Calibri" w:cs="Times New Roman"/>
        </w:rPr>
        <w:t xml:space="preserve"> with hypothyroid autoimmune thyroiditis. J Clin Endocrinol </w:t>
      </w:r>
      <w:proofErr w:type="spellStart"/>
      <w:r w:rsidRPr="006F6339">
        <w:rPr>
          <w:rFonts w:eastAsia="Calibri" w:cs="Times New Roman"/>
        </w:rPr>
        <w:t>Metab</w:t>
      </w:r>
      <w:proofErr w:type="spellEnd"/>
      <w:r w:rsidRPr="006F6339">
        <w:rPr>
          <w:rFonts w:eastAsia="Calibri" w:cs="Times New Roman"/>
        </w:rPr>
        <w:t xml:space="preserve">. 2001;86(10):4747-52. </w:t>
      </w:r>
    </w:p>
    <w:p w14:paraId="00D885A2" w14:textId="77777777" w:rsidR="006F6339" w:rsidRPr="006F6339" w:rsidRDefault="006F6339" w:rsidP="006F6339">
      <w:pPr>
        <w:widowControl/>
        <w:autoSpaceDE/>
        <w:autoSpaceDN/>
        <w:spacing w:line="276" w:lineRule="auto"/>
        <w:ind w:left="576" w:hanging="576"/>
        <w:rPr>
          <w:rFonts w:eastAsia="Calibri" w:cs="Times New Roman"/>
        </w:rPr>
      </w:pPr>
      <w:r w:rsidRPr="006F6339">
        <w:rPr>
          <w:rFonts w:eastAsia="Calibri" w:cs="Times New Roman"/>
        </w:rPr>
        <w:t>23.</w:t>
      </w:r>
      <w:r w:rsidRPr="006F6339">
        <w:rPr>
          <w:rFonts w:eastAsia="Calibri" w:cs="Times New Roman"/>
        </w:rPr>
        <w:tab/>
        <w:t xml:space="preserve">Abbott JK, </w:t>
      </w:r>
      <w:proofErr w:type="spellStart"/>
      <w:r w:rsidRPr="006F6339">
        <w:rPr>
          <w:rFonts w:eastAsia="Calibri" w:cs="Times New Roman"/>
        </w:rPr>
        <w:t>Huoh</w:t>
      </w:r>
      <w:proofErr w:type="spellEnd"/>
      <w:r w:rsidRPr="006F6339">
        <w:rPr>
          <w:rFonts w:eastAsia="Calibri" w:cs="Times New Roman"/>
        </w:rPr>
        <w:t xml:space="preserve"> YS, Reynolds PR, et al. Dominant-negative loss of function arises from a second, more frequent variant within the SAND domain of autoimmune regulator (AIRE). J </w:t>
      </w:r>
      <w:proofErr w:type="spellStart"/>
      <w:r w:rsidRPr="006F6339">
        <w:rPr>
          <w:rFonts w:eastAsia="Calibri" w:cs="Times New Roman"/>
        </w:rPr>
        <w:t>Autoimmun</w:t>
      </w:r>
      <w:proofErr w:type="spellEnd"/>
      <w:r w:rsidRPr="006F6339">
        <w:rPr>
          <w:rFonts w:eastAsia="Calibri" w:cs="Times New Roman"/>
        </w:rPr>
        <w:t>. 2017</w:t>
      </w:r>
    </w:p>
    <w:p w14:paraId="0D8B5080" w14:textId="77777777" w:rsidR="006F6339" w:rsidRPr="006F6339" w:rsidRDefault="006F6339" w:rsidP="006F6339">
      <w:pPr>
        <w:widowControl/>
        <w:autoSpaceDE/>
        <w:autoSpaceDN/>
        <w:spacing w:line="276" w:lineRule="auto"/>
        <w:ind w:left="576" w:hanging="576"/>
        <w:rPr>
          <w:rFonts w:eastAsia="Calibri" w:cs="Times New Roman"/>
        </w:rPr>
      </w:pPr>
      <w:r w:rsidRPr="006F6339">
        <w:rPr>
          <w:rFonts w:eastAsia="Calibri" w:cs="Times New Roman"/>
        </w:rPr>
        <w:t>24.</w:t>
      </w:r>
      <w:r w:rsidRPr="006F6339">
        <w:rPr>
          <w:rFonts w:eastAsia="Calibri" w:cs="Times New Roman"/>
        </w:rPr>
        <w:tab/>
      </w:r>
      <w:proofErr w:type="spellStart"/>
      <w:r w:rsidRPr="006F6339">
        <w:rPr>
          <w:rFonts w:eastAsia="Calibri" w:cs="Times New Roman"/>
        </w:rPr>
        <w:t>Malchow</w:t>
      </w:r>
      <w:proofErr w:type="spellEnd"/>
      <w:r w:rsidRPr="006F6339">
        <w:rPr>
          <w:rFonts w:eastAsia="Calibri" w:cs="Times New Roman"/>
        </w:rPr>
        <w:t xml:space="preserve"> S, Leventhal DS, Nishi S, Fischer BI, Shen L, </w:t>
      </w:r>
      <w:proofErr w:type="spellStart"/>
      <w:r w:rsidRPr="006F6339">
        <w:rPr>
          <w:rFonts w:eastAsia="Calibri" w:cs="Times New Roman"/>
        </w:rPr>
        <w:t>Paner</w:t>
      </w:r>
      <w:proofErr w:type="spellEnd"/>
      <w:r w:rsidRPr="006F6339">
        <w:rPr>
          <w:rFonts w:eastAsia="Calibri" w:cs="Times New Roman"/>
        </w:rPr>
        <w:t xml:space="preserve"> GP, Amit AS, Kang C, Geddes JE, Allison JP, </w:t>
      </w:r>
      <w:proofErr w:type="spellStart"/>
      <w:r w:rsidRPr="006F6339">
        <w:rPr>
          <w:rFonts w:eastAsia="Calibri" w:cs="Times New Roman"/>
        </w:rPr>
        <w:t>Socci</w:t>
      </w:r>
      <w:proofErr w:type="spellEnd"/>
      <w:r w:rsidRPr="006F6339">
        <w:rPr>
          <w:rFonts w:eastAsia="Calibri" w:cs="Times New Roman"/>
        </w:rPr>
        <w:t xml:space="preserve"> ND, Savage PA. Aire-dependent thymic development of tumor-associated regulatory T cells. Science. 2013;339(6124):1219-24.</w:t>
      </w:r>
    </w:p>
    <w:p w14:paraId="349BFE44" w14:textId="77777777" w:rsidR="006F6339" w:rsidRPr="006F6339" w:rsidRDefault="006F6339" w:rsidP="006F6339">
      <w:pPr>
        <w:widowControl/>
        <w:autoSpaceDE/>
        <w:autoSpaceDN/>
        <w:spacing w:line="276" w:lineRule="auto"/>
        <w:ind w:left="576" w:hanging="576"/>
        <w:rPr>
          <w:rFonts w:eastAsia="Calibri" w:cs="Times New Roman"/>
        </w:rPr>
      </w:pPr>
      <w:r w:rsidRPr="006F6339">
        <w:rPr>
          <w:rFonts w:eastAsia="Calibri" w:cs="Times New Roman"/>
        </w:rPr>
        <w:t>25.</w:t>
      </w:r>
      <w:r w:rsidRPr="006F6339">
        <w:rPr>
          <w:rFonts w:eastAsia="Calibri" w:cs="Times New Roman"/>
        </w:rPr>
        <w:tab/>
        <w:t xml:space="preserve">Leonard JD, Gilmore DC, </w:t>
      </w:r>
      <w:proofErr w:type="spellStart"/>
      <w:r w:rsidRPr="006F6339">
        <w:rPr>
          <w:rFonts w:eastAsia="Calibri" w:cs="Times New Roman"/>
        </w:rPr>
        <w:t>Dileepan</w:t>
      </w:r>
      <w:proofErr w:type="spellEnd"/>
      <w:r w:rsidRPr="006F6339">
        <w:rPr>
          <w:rFonts w:eastAsia="Calibri" w:cs="Times New Roman"/>
        </w:rPr>
        <w:t xml:space="preserve"> T, </w:t>
      </w:r>
      <w:proofErr w:type="spellStart"/>
      <w:r w:rsidRPr="006F6339">
        <w:rPr>
          <w:rFonts w:eastAsia="Calibri" w:cs="Times New Roman"/>
        </w:rPr>
        <w:t>Nawrocka</w:t>
      </w:r>
      <w:proofErr w:type="spellEnd"/>
      <w:r w:rsidRPr="006F6339">
        <w:rPr>
          <w:rFonts w:eastAsia="Calibri" w:cs="Times New Roman"/>
        </w:rPr>
        <w:t xml:space="preserve"> WI, Chao JL, </w:t>
      </w:r>
      <w:proofErr w:type="spellStart"/>
      <w:r w:rsidRPr="006F6339">
        <w:rPr>
          <w:rFonts w:eastAsia="Calibri" w:cs="Times New Roman"/>
        </w:rPr>
        <w:t>Schoenbach</w:t>
      </w:r>
      <w:proofErr w:type="spellEnd"/>
      <w:r w:rsidRPr="006F6339">
        <w:rPr>
          <w:rFonts w:eastAsia="Calibri" w:cs="Times New Roman"/>
        </w:rPr>
        <w:t xml:space="preserve"> MH, Jenkins MK, Adams EJ, Savage PA. Identification of Natural Regulatory T Cell Epitopes Reveals Convergence on a Dominant Autoantigen. Immunity. 2017;47(1):107-117</w:t>
      </w:r>
    </w:p>
    <w:p w14:paraId="5F764BC8" w14:textId="77777777" w:rsidR="006F6339" w:rsidRPr="006F6339" w:rsidRDefault="006F6339" w:rsidP="006F6339">
      <w:pPr>
        <w:widowControl/>
        <w:autoSpaceDE/>
        <w:autoSpaceDN/>
        <w:spacing w:line="276" w:lineRule="auto"/>
        <w:ind w:left="576" w:hanging="576"/>
        <w:rPr>
          <w:rFonts w:eastAsia="Calibri" w:cs="Times New Roman"/>
        </w:rPr>
      </w:pPr>
      <w:r w:rsidRPr="006F6339">
        <w:rPr>
          <w:rFonts w:eastAsia="Calibri" w:cs="Times New Roman"/>
        </w:rPr>
        <w:t>26.</w:t>
      </w:r>
      <w:r w:rsidRPr="006F6339">
        <w:rPr>
          <w:rFonts w:eastAsia="Calibri" w:cs="Times New Roman"/>
        </w:rPr>
        <w:tab/>
      </w:r>
      <w:proofErr w:type="spellStart"/>
      <w:r w:rsidRPr="006F6339">
        <w:rPr>
          <w:rFonts w:eastAsia="Calibri" w:cs="Times New Roman"/>
        </w:rPr>
        <w:t>Meloni</w:t>
      </w:r>
      <w:proofErr w:type="spellEnd"/>
      <w:r w:rsidRPr="006F6339">
        <w:rPr>
          <w:rFonts w:eastAsia="Calibri" w:cs="Times New Roman"/>
        </w:rPr>
        <w:t xml:space="preserve">, A., et al. Autoimmune polyendocrine syndrome type 1: an extensive longitudinal study in Sardinian patients. J Clin Endocrinol </w:t>
      </w:r>
      <w:proofErr w:type="spellStart"/>
      <w:r w:rsidRPr="006F6339">
        <w:rPr>
          <w:rFonts w:eastAsia="Calibri" w:cs="Times New Roman"/>
        </w:rPr>
        <w:t>Metab</w:t>
      </w:r>
      <w:proofErr w:type="spellEnd"/>
      <w:r w:rsidRPr="006F6339">
        <w:rPr>
          <w:rFonts w:eastAsia="Calibri" w:cs="Times New Roman"/>
        </w:rPr>
        <w:t>, 2012;97(4):1114-24.</w:t>
      </w:r>
    </w:p>
    <w:p w14:paraId="58462E61" w14:textId="77777777" w:rsidR="006F6339" w:rsidRPr="006F6339" w:rsidRDefault="006F6339" w:rsidP="006F6339">
      <w:pPr>
        <w:widowControl/>
        <w:autoSpaceDE/>
        <w:autoSpaceDN/>
        <w:spacing w:line="276" w:lineRule="auto"/>
        <w:ind w:left="576" w:hanging="576"/>
        <w:rPr>
          <w:rFonts w:eastAsia="Calibri" w:cs="Times New Roman"/>
        </w:rPr>
      </w:pPr>
      <w:r w:rsidRPr="006F6339">
        <w:rPr>
          <w:rFonts w:eastAsia="Calibri" w:cs="Times New Roman"/>
        </w:rPr>
        <w:t>27.</w:t>
      </w:r>
      <w:r w:rsidRPr="006F6339">
        <w:rPr>
          <w:rFonts w:eastAsia="Calibri" w:cs="Times New Roman"/>
        </w:rPr>
        <w:tab/>
        <w:t xml:space="preserve">Zaidi, G., et al. Autoimmune polyendocrine syndrome type 1 in an Indian cohort: a longitudinal study. </w:t>
      </w:r>
      <w:proofErr w:type="spellStart"/>
      <w:r w:rsidRPr="006F6339">
        <w:rPr>
          <w:rFonts w:eastAsia="Calibri" w:cs="Times New Roman"/>
        </w:rPr>
        <w:t>Endocr</w:t>
      </w:r>
      <w:proofErr w:type="spellEnd"/>
      <w:r w:rsidRPr="006F6339">
        <w:rPr>
          <w:rFonts w:eastAsia="Calibri" w:cs="Times New Roman"/>
        </w:rPr>
        <w:t xml:space="preserve"> Connect, 2017;6(5):289-296.</w:t>
      </w:r>
    </w:p>
    <w:p w14:paraId="176E24FE" w14:textId="77777777" w:rsidR="006F6339" w:rsidRPr="006F6339" w:rsidRDefault="006F6339" w:rsidP="006F6339">
      <w:pPr>
        <w:widowControl/>
        <w:autoSpaceDE/>
        <w:autoSpaceDN/>
        <w:spacing w:line="276" w:lineRule="auto"/>
        <w:ind w:left="576" w:hanging="576"/>
        <w:rPr>
          <w:rFonts w:eastAsia="Calibri" w:cs="Times New Roman"/>
        </w:rPr>
      </w:pPr>
      <w:r w:rsidRPr="006F6339">
        <w:rPr>
          <w:rFonts w:eastAsia="Calibri" w:cs="Times New Roman"/>
        </w:rPr>
        <w:t>28.</w:t>
      </w:r>
      <w:r w:rsidRPr="006F6339">
        <w:rPr>
          <w:rFonts w:eastAsia="Calibri" w:cs="Times New Roman"/>
        </w:rPr>
        <w:tab/>
      </w:r>
      <w:proofErr w:type="spellStart"/>
      <w:r w:rsidRPr="006F6339">
        <w:rPr>
          <w:rFonts w:eastAsia="Calibri" w:cs="Times New Roman"/>
        </w:rPr>
        <w:t>Husebye</w:t>
      </w:r>
      <w:proofErr w:type="spellEnd"/>
      <w:r w:rsidRPr="006F6339">
        <w:rPr>
          <w:rFonts w:eastAsia="Calibri" w:cs="Times New Roman"/>
        </w:rPr>
        <w:t>, E.S., et al. Clinical manifestations and management of patients with autoimmune polyendocrine syndrome type I. J Intern Med, 2009; 265(5): 514-29.</w:t>
      </w:r>
    </w:p>
    <w:p w14:paraId="778DF15F" w14:textId="77777777" w:rsidR="006F6339" w:rsidRPr="006F6339" w:rsidRDefault="006F6339" w:rsidP="006F6339">
      <w:pPr>
        <w:widowControl/>
        <w:autoSpaceDE/>
        <w:autoSpaceDN/>
        <w:spacing w:line="276" w:lineRule="auto"/>
        <w:ind w:left="576" w:hanging="576"/>
        <w:rPr>
          <w:rFonts w:eastAsia="Calibri" w:cs="Times New Roman"/>
        </w:rPr>
      </w:pPr>
      <w:r w:rsidRPr="006F6339">
        <w:rPr>
          <w:rFonts w:eastAsia="Calibri" w:cs="Times New Roman"/>
        </w:rPr>
        <w:t>29.</w:t>
      </w:r>
      <w:r w:rsidRPr="006F6339">
        <w:rPr>
          <w:rFonts w:eastAsia="Calibri" w:cs="Times New Roman"/>
        </w:rPr>
        <w:tab/>
      </w:r>
      <w:proofErr w:type="spellStart"/>
      <w:r w:rsidRPr="006F6339">
        <w:rPr>
          <w:rFonts w:eastAsia="Calibri" w:cs="Times New Roman"/>
        </w:rPr>
        <w:t>Verdu</w:t>
      </w:r>
      <w:proofErr w:type="spellEnd"/>
      <w:r w:rsidRPr="006F6339">
        <w:rPr>
          <w:rFonts w:eastAsia="Calibri" w:cs="Times New Roman"/>
        </w:rPr>
        <w:t xml:space="preserve">, E.F. and A. </w:t>
      </w:r>
      <w:proofErr w:type="spellStart"/>
      <w:r w:rsidRPr="006F6339">
        <w:rPr>
          <w:rFonts w:eastAsia="Calibri" w:cs="Times New Roman"/>
        </w:rPr>
        <w:t>Caminero</w:t>
      </w:r>
      <w:proofErr w:type="spellEnd"/>
      <w:r w:rsidRPr="006F6339">
        <w:rPr>
          <w:rFonts w:eastAsia="Calibri" w:cs="Times New Roman"/>
        </w:rPr>
        <w:t xml:space="preserve">. How infection can incite sensitivity to food. Science, </w:t>
      </w:r>
      <w:proofErr w:type="gramStart"/>
      <w:r w:rsidRPr="006F6339">
        <w:rPr>
          <w:rFonts w:eastAsia="Calibri" w:cs="Times New Roman"/>
        </w:rPr>
        <w:t>2017;</w:t>
      </w:r>
      <w:proofErr w:type="gramEnd"/>
    </w:p>
    <w:p w14:paraId="1B71C632" w14:textId="77777777" w:rsidR="006F6339" w:rsidRPr="006F6339" w:rsidRDefault="006F6339" w:rsidP="006F6339">
      <w:pPr>
        <w:widowControl/>
        <w:autoSpaceDE/>
        <w:autoSpaceDN/>
        <w:spacing w:line="276" w:lineRule="auto"/>
        <w:ind w:left="576" w:hanging="576"/>
        <w:rPr>
          <w:rFonts w:eastAsia="Calibri" w:cs="Times New Roman"/>
        </w:rPr>
      </w:pPr>
      <w:r w:rsidRPr="006F6339">
        <w:rPr>
          <w:rFonts w:eastAsia="Calibri" w:cs="Times New Roman"/>
        </w:rPr>
        <w:t xml:space="preserve">         356(6333):29-30.</w:t>
      </w:r>
    </w:p>
    <w:p w14:paraId="76CD293A" w14:textId="77777777" w:rsidR="006F6339" w:rsidRPr="006F6339" w:rsidRDefault="006F6339" w:rsidP="006F6339">
      <w:pPr>
        <w:widowControl/>
        <w:autoSpaceDE/>
        <w:autoSpaceDN/>
        <w:spacing w:line="276" w:lineRule="auto"/>
        <w:ind w:left="576" w:hanging="576"/>
        <w:rPr>
          <w:rFonts w:eastAsia="Calibri" w:cs="Times New Roman"/>
        </w:rPr>
      </w:pPr>
      <w:r w:rsidRPr="006F6339">
        <w:rPr>
          <w:rFonts w:eastAsia="Calibri" w:cs="Times New Roman"/>
        </w:rPr>
        <w:t>30.</w:t>
      </w:r>
      <w:r w:rsidRPr="006F6339">
        <w:rPr>
          <w:rFonts w:eastAsia="Calibri" w:cs="Times New Roman"/>
        </w:rPr>
        <w:tab/>
        <w:t xml:space="preserve">Cooper, M.S. and P.M. Stewart. Corticosteroid insufficiency in acutely ill patients. N </w:t>
      </w:r>
      <w:proofErr w:type="spellStart"/>
      <w:r w:rsidRPr="006F6339">
        <w:rPr>
          <w:rFonts w:eastAsia="Calibri" w:cs="Times New Roman"/>
        </w:rPr>
        <w:t>Engl</w:t>
      </w:r>
      <w:proofErr w:type="spellEnd"/>
      <w:r w:rsidRPr="006F6339">
        <w:rPr>
          <w:rFonts w:eastAsia="Calibri" w:cs="Times New Roman"/>
        </w:rPr>
        <w:t xml:space="preserve"> J Med, 2003; 348(8):727-34.</w:t>
      </w:r>
    </w:p>
    <w:p w14:paraId="37B397B2" w14:textId="77777777" w:rsidR="006F6339" w:rsidRPr="006F6339" w:rsidRDefault="006F6339" w:rsidP="006F6339">
      <w:pPr>
        <w:widowControl/>
        <w:autoSpaceDE/>
        <w:autoSpaceDN/>
        <w:spacing w:line="276" w:lineRule="auto"/>
        <w:ind w:left="576" w:hanging="576"/>
        <w:rPr>
          <w:rFonts w:eastAsia="Calibri" w:cs="Times New Roman"/>
        </w:rPr>
      </w:pPr>
      <w:r w:rsidRPr="006F6339">
        <w:rPr>
          <w:rFonts w:eastAsia="Calibri" w:cs="Times New Roman"/>
        </w:rPr>
        <w:t>31.</w:t>
      </w:r>
      <w:r w:rsidRPr="006F6339">
        <w:rPr>
          <w:rFonts w:eastAsia="Calibri" w:cs="Times New Roman"/>
        </w:rPr>
        <w:tab/>
        <w:t xml:space="preserve">Bornstein, S.R., et al. Diagnosis and Treatment of Primary Adrenal Insufficiency: An Endocrine Society Clinical Practice Guideline. J Clin Endocrinol </w:t>
      </w:r>
      <w:proofErr w:type="spellStart"/>
      <w:r w:rsidRPr="006F6339">
        <w:rPr>
          <w:rFonts w:eastAsia="Calibri" w:cs="Times New Roman"/>
        </w:rPr>
        <w:t>Metab</w:t>
      </w:r>
      <w:proofErr w:type="spellEnd"/>
      <w:r w:rsidRPr="006F6339">
        <w:rPr>
          <w:rFonts w:eastAsia="Calibri" w:cs="Times New Roman"/>
        </w:rPr>
        <w:t>, 2016; 101(2): 364-89.</w:t>
      </w:r>
    </w:p>
    <w:p w14:paraId="7FCF6ACA" w14:textId="77777777" w:rsidR="006F6339" w:rsidRPr="006F6339" w:rsidRDefault="006F6339" w:rsidP="006F6339">
      <w:pPr>
        <w:widowControl/>
        <w:autoSpaceDE/>
        <w:autoSpaceDN/>
        <w:spacing w:line="276" w:lineRule="auto"/>
        <w:ind w:left="576" w:hanging="576"/>
        <w:rPr>
          <w:rFonts w:eastAsia="Calibri" w:cs="Times New Roman"/>
        </w:rPr>
      </w:pPr>
      <w:r w:rsidRPr="006F6339">
        <w:rPr>
          <w:rFonts w:eastAsia="Calibri" w:cs="Times New Roman"/>
        </w:rPr>
        <w:t>32.</w:t>
      </w:r>
      <w:r w:rsidRPr="006F6339">
        <w:rPr>
          <w:rFonts w:eastAsia="Calibri" w:cs="Times New Roman"/>
        </w:rPr>
        <w:tab/>
      </w:r>
      <w:proofErr w:type="spellStart"/>
      <w:r w:rsidRPr="006F6339">
        <w:rPr>
          <w:rFonts w:eastAsia="Calibri" w:cs="Times New Roman"/>
        </w:rPr>
        <w:t>Weetman</w:t>
      </w:r>
      <w:proofErr w:type="spellEnd"/>
      <w:r w:rsidRPr="006F6339">
        <w:rPr>
          <w:rFonts w:eastAsia="Calibri" w:cs="Times New Roman"/>
        </w:rPr>
        <w:t>, A. and L.J. DeGroot. Autoimmunity to the Thyroid Gland, in Endotext, L.J. De Groot, et al., Editors. 2000: South Dartmouth (MA).</w:t>
      </w:r>
    </w:p>
    <w:p w14:paraId="5340D37F" w14:textId="77777777" w:rsidR="006F6339" w:rsidRPr="006F6339" w:rsidRDefault="006F6339" w:rsidP="006F6339">
      <w:pPr>
        <w:widowControl/>
        <w:autoSpaceDE/>
        <w:autoSpaceDN/>
        <w:spacing w:line="276" w:lineRule="auto"/>
        <w:ind w:left="576" w:hanging="576"/>
        <w:rPr>
          <w:rFonts w:eastAsia="Calibri" w:cs="Times New Roman"/>
        </w:rPr>
      </w:pPr>
      <w:r w:rsidRPr="006F6339">
        <w:rPr>
          <w:rFonts w:eastAsia="Calibri" w:cs="Times New Roman"/>
        </w:rPr>
        <w:t>33.</w:t>
      </w:r>
      <w:r w:rsidRPr="006F6339">
        <w:rPr>
          <w:rFonts w:eastAsia="Calibri" w:cs="Times New Roman"/>
        </w:rPr>
        <w:tab/>
        <w:t xml:space="preserve">Nicolaides, N.C., </w:t>
      </w:r>
      <w:proofErr w:type="spellStart"/>
      <w:r w:rsidRPr="006F6339">
        <w:rPr>
          <w:rFonts w:eastAsia="Calibri" w:cs="Times New Roman"/>
        </w:rPr>
        <w:t>Chrousos</w:t>
      </w:r>
      <w:proofErr w:type="spellEnd"/>
      <w:r w:rsidRPr="006F6339">
        <w:rPr>
          <w:rFonts w:eastAsia="Calibri" w:cs="Times New Roman"/>
        </w:rPr>
        <w:t xml:space="preserve">, and E. </w:t>
      </w:r>
      <w:proofErr w:type="spellStart"/>
      <w:r w:rsidRPr="006F6339">
        <w:rPr>
          <w:rFonts w:eastAsia="Calibri" w:cs="Times New Roman"/>
        </w:rPr>
        <w:t>Charmandari</w:t>
      </w:r>
      <w:proofErr w:type="spellEnd"/>
      <w:r w:rsidRPr="006F6339">
        <w:rPr>
          <w:rFonts w:eastAsia="Calibri" w:cs="Times New Roman"/>
        </w:rPr>
        <w:t>. Adrenal Insufficiency, in Endotext, L.J. De Groot, et al., Editors. 2000: South Dartmouth (MA).</w:t>
      </w:r>
    </w:p>
    <w:p w14:paraId="78FEA2BF" w14:textId="77777777" w:rsidR="006F6339" w:rsidRPr="006F6339" w:rsidRDefault="006F6339" w:rsidP="006F6339">
      <w:pPr>
        <w:widowControl/>
        <w:autoSpaceDE/>
        <w:autoSpaceDN/>
        <w:spacing w:line="276" w:lineRule="auto"/>
        <w:ind w:left="576" w:hanging="576"/>
        <w:rPr>
          <w:rFonts w:eastAsia="Calibri" w:cs="Times New Roman"/>
        </w:rPr>
      </w:pPr>
      <w:r w:rsidRPr="006F6339">
        <w:rPr>
          <w:rFonts w:eastAsia="Calibri" w:cs="Times New Roman"/>
        </w:rPr>
        <w:lastRenderedPageBreak/>
        <w:t>34.</w:t>
      </w:r>
      <w:r w:rsidRPr="006F6339">
        <w:rPr>
          <w:rFonts w:eastAsia="Calibri" w:cs="Times New Roman"/>
        </w:rPr>
        <w:tab/>
        <w:t xml:space="preserve">June, C.H., J.T. </w:t>
      </w:r>
      <w:proofErr w:type="spellStart"/>
      <w:r w:rsidRPr="006F6339">
        <w:rPr>
          <w:rFonts w:eastAsia="Calibri" w:cs="Times New Roman"/>
        </w:rPr>
        <w:t>Warshauer</w:t>
      </w:r>
      <w:proofErr w:type="spellEnd"/>
      <w:r w:rsidRPr="006F6339">
        <w:rPr>
          <w:rFonts w:eastAsia="Calibri" w:cs="Times New Roman"/>
        </w:rPr>
        <w:t>, and J.A. Bluestone. Is autoimmunity the Achilles' heel of cancer immunotherapy? Nat Med, 2017; 23(5): 540-547.</w:t>
      </w:r>
    </w:p>
    <w:p w14:paraId="5BB68401" w14:textId="77777777" w:rsidR="006F6339" w:rsidRPr="006F6339" w:rsidRDefault="006F6339" w:rsidP="006F6339">
      <w:pPr>
        <w:widowControl/>
        <w:autoSpaceDE/>
        <w:autoSpaceDN/>
        <w:spacing w:line="276" w:lineRule="auto"/>
        <w:ind w:left="576" w:hanging="576"/>
        <w:rPr>
          <w:rFonts w:eastAsia="Calibri" w:cs="Times New Roman"/>
        </w:rPr>
      </w:pPr>
      <w:r w:rsidRPr="006F6339">
        <w:rPr>
          <w:rFonts w:eastAsia="Calibri" w:cs="Times New Roman"/>
        </w:rPr>
        <w:t>35.</w:t>
      </w:r>
      <w:r w:rsidRPr="006F6339">
        <w:rPr>
          <w:rFonts w:eastAsia="Calibri" w:cs="Times New Roman"/>
        </w:rPr>
        <w:tab/>
        <w:t xml:space="preserve">Ryder, M., et al. Endocrine-related adverse events following ipilimumab in patients with advanced melanoma: a comprehensive retrospective review from a single institution. </w:t>
      </w:r>
      <w:proofErr w:type="spellStart"/>
      <w:r w:rsidRPr="006F6339">
        <w:rPr>
          <w:rFonts w:eastAsia="Calibri" w:cs="Times New Roman"/>
        </w:rPr>
        <w:t>Endocr</w:t>
      </w:r>
      <w:proofErr w:type="spellEnd"/>
      <w:r w:rsidRPr="006F6339">
        <w:rPr>
          <w:rFonts w:eastAsia="Calibri" w:cs="Times New Roman"/>
        </w:rPr>
        <w:t xml:space="preserve"> </w:t>
      </w:r>
      <w:proofErr w:type="spellStart"/>
      <w:r w:rsidRPr="006F6339">
        <w:rPr>
          <w:rFonts w:eastAsia="Calibri" w:cs="Times New Roman"/>
        </w:rPr>
        <w:t>Relat</w:t>
      </w:r>
      <w:proofErr w:type="spellEnd"/>
      <w:r w:rsidRPr="006F6339">
        <w:rPr>
          <w:rFonts w:eastAsia="Calibri" w:cs="Times New Roman"/>
        </w:rPr>
        <w:t xml:space="preserve"> Cancer, 2014;21(2): 371-81.</w:t>
      </w:r>
    </w:p>
    <w:p w14:paraId="03F2F5B4" w14:textId="77777777" w:rsidR="006F6339" w:rsidRPr="006F6339" w:rsidRDefault="006F6339" w:rsidP="006F6339">
      <w:pPr>
        <w:widowControl/>
        <w:autoSpaceDE/>
        <w:autoSpaceDN/>
        <w:spacing w:line="276" w:lineRule="auto"/>
        <w:ind w:left="576" w:hanging="576"/>
        <w:rPr>
          <w:rFonts w:eastAsia="Calibri" w:cs="Times New Roman"/>
        </w:rPr>
      </w:pPr>
      <w:r w:rsidRPr="006F6339">
        <w:rPr>
          <w:rFonts w:eastAsia="Calibri" w:cs="Times New Roman"/>
        </w:rPr>
        <w:t>36.</w:t>
      </w:r>
      <w:r w:rsidRPr="006F6339">
        <w:rPr>
          <w:rFonts w:eastAsia="Calibri" w:cs="Times New Roman"/>
        </w:rPr>
        <w:tab/>
      </w:r>
      <w:proofErr w:type="spellStart"/>
      <w:r w:rsidRPr="006F6339">
        <w:rPr>
          <w:rFonts w:eastAsia="Calibri" w:cs="Times New Roman"/>
        </w:rPr>
        <w:t>Pedoeem</w:t>
      </w:r>
      <w:proofErr w:type="spellEnd"/>
      <w:r w:rsidRPr="006F6339">
        <w:rPr>
          <w:rFonts w:eastAsia="Calibri" w:cs="Times New Roman"/>
        </w:rPr>
        <w:t>, A., et al. Programmed death-1 pathway in cancer and autoimmunity. Clin Immunol, 2014;153(1): 145-52.</w:t>
      </w:r>
    </w:p>
    <w:p w14:paraId="1AC8BDFB" w14:textId="77777777" w:rsidR="006F6339" w:rsidRPr="006F6339" w:rsidRDefault="006F6339" w:rsidP="006F6339">
      <w:pPr>
        <w:widowControl/>
        <w:autoSpaceDE/>
        <w:autoSpaceDN/>
        <w:spacing w:line="276" w:lineRule="auto"/>
        <w:ind w:left="576" w:hanging="576"/>
        <w:rPr>
          <w:rFonts w:eastAsia="Calibri" w:cs="Times New Roman"/>
        </w:rPr>
      </w:pPr>
      <w:r w:rsidRPr="006F6339">
        <w:rPr>
          <w:rFonts w:eastAsia="Calibri" w:cs="Times New Roman"/>
        </w:rPr>
        <w:t>37.</w:t>
      </w:r>
      <w:r w:rsidRPr="006F6339">
        <w:rPr>
          <w:rFonts w:eastAsia="Calibri" w:cs="Times New Roman"/>
        </w:rPr>
        <w:tab/>
        <w:t xml:space="preserve">Del Rivero J, Cordes LM, </w:t>
      </w:r>
      <w:proofErr w:type="spellStart"/>
      <w:r w:rsidRPr="006F6339">
        <w:rPr>
          <w:rFonts w:eastAsia="Calibri" w:cs="Times New Roman"/>
        </w:rPr>
        <w:t>Klubo-Gwiezdzinska</w:t>
      </w:r>
      <w:proofErr w:type="spellEnd"/>
      <w:r w:rsidRPr="006F6339">
        <w:rPr>
          <w:rFonts w:eastAsia="Calibri" w:cs="Times New Roman"/>
        </w:rPr>
        <w:t xml:space="preserve"> J, Madan RA, Nieman LK, Gulley JL. Endocrine-Related Adverse Events Related to Immune Checkpoint Inhibitors: Proposed Algorithms for Management. Oncologist, 2020;25(4):290-300.</w:t>
      </w:r>
    </w:p>
    <w:p w14:paraId="222CF384" w14:textId="77777777" w:rsidR="006F6339" w:rsidRPr="006F6339" w:rsidRDefault="006F6339" w:rsidP="006F6339">
      <w:pPr>
        <w:widowControl/>
        <w:autoSpaceDE/>
        <w:autoSpaceDN/>
        <w:spacing w:line="276" w:lineRule="auto"/>
        <w:ind w:left="576" w:hanging="576"/>
        <w:rPr>
          <w:rFonts w:eastAsia="Calibri" w:cs="Times New Roman"/>
        </w:rPr>
      </w:pPr>
      <w:r w:rsidRPr="006F6339">
        <w:rPr>
          <w:rFonts w:eastAsia="Calibri" w:cs="Times New Roman"/>
        </w:rPr>
        <w:t>38.</w:t>
      </w:r>
      <w:r w:rsidRPr="006F6339">
        <w:rPr>
          <w:rFonts w:eastAsia="Calibri" w:cs="Times New Roman"/>
        </w:rPr>
        <w:tab/>
      </w:r>
      <w:proofErr w:type="spellStart"/>
      <w:r w:rsidRPr="006F6339">
        <w:rPr>
          <w:rFonts w:eastAsia="Calibri" w:cs="Times New Roman"/>
        </w:rPr>
        <w:t>Faje</w:t>
      </w:r>
      <w:proofErr w:type="spellEnd"/>
      <w:r w:rsidRPr="006F6339">
        <w:rPr>
          <w:rFonts w:eastAsia="Calibri" w:cs="Times New Roman"/>
        </w:rPr>
        <w:t xml:space="preserve"> AT, Sullivan R, Lawrence D et al. Ipilimumab-induced hypophysitis: A detailed longitudinal analysis in a large cohort of patients with metastatic melanoma. J Clin Endocrinol </w:t>
      </w:r>
      <w:proofErr w:type="spellStart"/>
      <w:r w:rsidRPr="006F6339">
        <w:rPr>
          <w:rFonts w:eastAsia="Calibri" w:cs="Times New Roman"/>
        </w:rPr>
        <w:t>Metab</w:t>
      </w:r>
      <w:proofErr w:type="spellEnd"/>
      <w:r w:rsidRPr="006F6339">
        <w:rPr>
          <w:rFonts w:eastAsia="Calibri" w:cs="Times New Roman"/>
        </w:rPr>
        <w:t>, 2014;99:4078–4085.</w:t>
      </w:r>
    </w:p>
    <w:p w14:paraId="3186E4AC" w14:textId="77777777" w:rsidR="006F6339" w:rsidRPr="006F6339" w:rsidRDefault="006F6339" w:rsidP="006F6339">
      <w:pPr>
        <w:widowControl/>
        <w:autoSpaceDE/>
        <w:autoSpaceDN/>
        <w:spacing w:line="276" w:lineRule="auto"/>
        <w:ind w:left="576" w:hanging="576"/>
        <w:rPr>
          <w:rFonts w:eastAsia="Calibri" w:cs="Times New Roman"/>
        </w:rPr>
      </w:pPr>
      <w:r w:rsidRPr="006F6339">
        <w:rPr>
          <w:rFonts w:eastAsia="Calibri" w:cs="Times New Roman"/>
        </w:rPr>
        <w:t>39.</w:t>
      </w:r>
      <w:r w:rsidRPr="006F6339">
        <w:rPr>
          <w:rFonts w:eastAsia="Calibri" w:cs="Times New Roman"/>
        </w:rPr>
        <w:tab/>
      </w:r>
      <w:proofErr w:type="spellStart"/>
      <w:r w:rsidRPr="006F6339">
        <w:rPr>
          <w:rFonts w:eastAsia="Calibri" w:cs="Times New Roman"/>
        </w:rPr>
        <w:t>Corsello</w:t>
      </w:r>
      <w:proofErr w:type="spellEnd"/>
      <w:r w:rsidRPr="006F6339">
        <w:rPr>
          <w:rFonts w:eastAsia="Calibri" w:cs="Times New Roman"/>
        </w:rPr>
        <w:t xml:space="preserve"> SM, </w:t>
      </w:r>
      <w:proofErr w:type="spellStart"/>
      <w:r w:rsidRPr="006F6339">
        <w:rPr>
          <w:rFonts w:eastAsia="Calibri" w:cs="Times New Roman"/>
        </w:rPr>
        <w:t>Barnabei</w:t>
      </w:r>
      <w:proofErr w:type="spellEnd"/>
      <w:r w:rsidRPr="006F6339">
        <w:rPr>
          <w:rFonts w:eastAsia="Calibri" w:cs="Times New Roman"/>
        </w:rPr>
        <w:t xml:space="preserve"> A, Marchetti P et al. Endocrine side effects induced by immune checkpoint inhibitors. J Clin Endocrinol </w:t>
      </w:r>
      <w:proofErr w:type="spellStart"/>
      <w:r w:rsidRPr="006F6339">
        <w:rPr>
          <w:rFonts w:eastAsia="Calibri" w:cs="Times New Roman"/>
        </w:rPr>
        <w:t>Metab</w:t>
      </w:r>
      <w:proofErr w:type="spellEnd"/>
      <w:r w:rsidRPr="006F6339">
        <w:rPr>
          <w:rFonts w:eastAsia="Calibri" w:cs="Times New Roman"/>
        </w:rPr>
        <w:t>, 2013;98:1361–1375.</w:t>
      </w:r>
    </w:p>
    <w:p w14:paraId="1EFF6C88" w14:textId="77777777" w:rsidR="006F6339" w:rsidRPr="006F6339" w:rsidRDefault="006F6339" w:rsidP="006F6339">
      <w:pPr>
        <w:widowControl/>
        <w:autoSpaceDE/>
        <w:autoSpaceDN/>
        <w:spacing w:line="276" w:lineRule="auto"/>
        <w:ind w:left="576" w:hanging="576"/>
        <w:rPr>
          <w:rFonts w:eastAsia="Calibri" w:cs="Times New Roman"/>
        </w:rPr>
      </w:pPr>
      <w:r w:rsidRPr="006F6339">
        <w:rPr>
          <w:rFonts w:eastAsia="Calibri" w:cs="Times New Roman"/>
        </w:rPr>
        <w:t>40.</w:t>
      </w:r>
      <w:r w:rsidRPr="006F6339">
        <w:rPr>
          <w:rFonts w:eastAsia="Calibri" w:cs="Times New Roman"/>
        </w:rPr>
        <w:tab/>
        <w:t xml:space="preserve">Torino F, </w:t>
      </w:r>
      <w:proofErr w:type="spellStart"/>
      <w:r w:rsidRPr="006F6339">
        <w:rPr>
          <w:rFonts w:eastAsia="Calibri" w:cs="Times New Roman"/>
        </w:rPr>
        <w:t>Barnabei</w:t>
      </w:r>
      <w:proofErr w:type="spellEnd"/>
      <w:r w:rsidRPr="006F6339">
        <w:rPr>
          <w:rFonts w:eastAsia="Calibri" w:cs="Times New Roman"/>
        </w:rPr>
        <w:t xml:space="preserve"> A, </w:t>
      </w:r>
      <w:proofErr w:type="spellStart"/>
      <w:r w:rsidRPr="006F6339">
        <w:rPr>
          <w:rFonts w:eastAsia="Calibri" w:cs="Times New Roman"/>
        </w:rPr>
        <w:t>Paragliola</w:t>
      </w:r>
      <w:proofErr w:type="spellEnd"/>
      <w:r w:rsidRPr="006F6339">
        <w:rPr>
          <w:rFonts w:eastAsia="Calibri" w:cs="Times New Roman"/>
        </w:rPr>
        <w:t xml:space="preserve"> RM et al. Endocrine side-effects of anti-cancer drugs: </w:t>
      </w:r>
      <w:proofErr w:type="spellStart"/>
      <w:r w:rsidRPr="006F6339">
        <w:rPr>
          <w:rFonts w:eastAsia="Calibri" w:cs="Times New Roman"/>
        </w:rPr>
        <w:t>mAbs</w:t>
      </w:r>
      <w:proofErr w:type="spellEnd"/>
      <w:r w:rsidRPr="006F6339">
        <w:rPr>
          <w:rFonts w:eastAsia="Calibri" w:cs="Times New Roman"/>
        </w:rPr>
        <w:t xml:space="preserve"> and pituitary dysfunction: Clinical evidence and pathogenic hypotheses. Eur J Endocrinol, 2013;169:153–164</w:t>
      </w:r>
    </w:p>
    <w:p w14:paraId="47F37346" w14:textId="77777777" w:rsidR="006F6339" w:rsidRPr="006F6339" w:rsidRDefault="006F6339" w:rsidP="006F6339">
      <w:pPr>
        <w:widowControl/>
        <w:autoSpaceDE/>
        <w:autoSpaceDN/>
        <w:spacing w:line="276" w:lineRule="auto"/>
        <w:ind w:left="576" w:hanging="576"/>
        <w:rPr>
          <w:rFonts w:eastAsia="Calibri" w:cs="Times New Roman"/>
        </w:rPr>
      </w:pPr>
      <w:r w:rsidRPr="006F6339">
        <w:rPr>
          <w:rFonts w:eastAsia="Calibri" w:cs="Times New Roman"/>
        </w:rPr>
        <w:t>41.</w:t>
      </w:r>
      <w:r w:rsidRPr="006F6339">
        <w:rPr>
          <w:rFonts w:eastAsia="Calibri" w:cs="Times New Roman"/>
        </w:rPr>
        <w:tab/>
        <w:t>Barroso-Sousa R, Barry WT, Garrido-Castro AC et al. Incidence of endocrine dysfunction following the use of different immune checkpoint inhibitor regimens: A systematic review and meta-analysis. JAMA Oncol, 2018;4:173–182</w:t>
      </w:r>
    </w:p>
    <w:p w14:paraId="619A2469" w14:textId="77777777" w:rsidR="006F6339" w:rsidRPr="006F6339" w:rsidRDefault="006F6339" w:rsidP="006F6339">
      <w:pPr>
        <w:widowControl/>
        <w:autoSpaceDE/>
        <w:autoSpaceDN/>
        <w:spacing w:line="276" w:lineRule="auto"/>
        <w:ind w:left="576" w:hanging="576"/>
        <w:rPr>
          <w:rFonts w:eastAsia="Calibri" w:cs="Times New Roman"/>
        </w:rPr>
      </w:pPr>
      <w:r w:rsidRPr="006F6339">
        <w:rPr>
          <w:rFonts w:eastAsia="Calibri" w:cs="Times New Roman"/>
        </w:rPr>
        <w:t>42.</w:t>
      </w:r>
      <w:r w:rsidRPr="006F6339">
        <w:rPr>
          <w:rFonts w:eastAsia="Calibri" w:cs="Times New Roman"/>
        </w:rPr>
        <w:tab/>
      </w:r>
      <w:proofErr w:type="spellStart"/>
      <w:r w:rsidRPr="006F6339">
        <w:rPr>
          <w:rFonts w:eastAsia="Calibri" w:cs="Times New Roman"/>
        </w:rPr>
        <w:t>Illouz</w:t>
      </w:r>
      <w:proofErr w:type="spellEnd"/>
      <w:r w:rsidRPr="006F6339">
        <w:rPr>
          <w:rFonts w:eastAsia="Calibri" w:cs="Times New Roman"/>
        </w:rPr>
        <w:t xml:space="preserve"> F, </w:t>
      </w:r>
      <w:proofErr w:type="spellStart"/>
      <w:r w:rsidRPr="006F6339">
        <w:rPr>
          <w:rFonts w:eastAsia="Calibri" w:cs="Times New Roman"/>
        </w:rPr>
        <w:t>Drui</w:t>
      </w:r>
      <w:proofErr w:type="spellEnd"/>
      <w:r w:rsidRPr="006F6339">
        <w:rPr>
          <w:rFonts w:eastAsia="Calibri" w:cs="Times New Roman"/>
        </w:rPr>
        <w:t xml:space="preserve"> D, Caron P et al. Expert opinion on thyroid complications in immunotherapy. Ann Endocrinol (Paris) </w:t>
      </w:r>
      <w:proofErr w:type="gramStart"/>
      <w:r w:rsidRPr="006F6339">
        <w:rPr>
          <w:rFonts w:eastAsia="Calibri" w:cs="Times New Roman"/>
        </w:rPr>
        <w:t>2018;79:555</w:t>
      </w:r>
      <w:proofErr w:type="gramEnd"/>
      <w:r w:rsidRPr="006F6339">
        <w:rPr>
          <w:rFonts w:eastAsia="Calibri" w:cs="Times New Roman"/>
        </w:rPr>
        <w:t>–561.</w:t>
      </w:r>
    </w:p>
    <w:p w14:paraId="7173C421" w14:textId="77777777" w:rsidR="006F6339" w:rsidRPr="006F6339" w:rsidRDefault="006F6339" w:rsidP="006F6339">
      <w:pPr>
        <w:widowControl/>
        <w:autoSpaceDE/>
        <w:autoSpaceDN/>
        <w:spacing w:line="276" w:lineRule="auto"/>
        <w:ind w:left="576" w:hanging="576"/>
        <w:rPr>
          <w:rFonts w:eastAsia="Calibri" w:cs="Times New Roman"/>
        </w:rPr>
      </w:pPr>
      <w:r w:rsidRPr="006F6339">
        <w:rPr>
          <w:rFonts w:eastAsia="Calibri" w:cs="Times New Roman"/>
        </w:rPr>
        <w:t>43.</w:t>
      </w:r>
      <w:r w:rsidRPr="006F6339">
        <w:rPr>
          <w:rFonts w:eastAsia="Calibri" w:cs="Times New Roman"/>
        </w:rPr>
        <w:tab/>
        <w:t xml:space="preserve">Byun DJ, </w:t>
      </w:r>
      <w:proofErr w:type="spellStart"/>
      <w:r w:rsidRPr="006F6339">
        <w:rPr>
          <w:rFonts w:eastAsia="Calibri" w:cs="Times New Roman"/>
        </w:rPr>
        <w:t>Wolchok</w:t>
      </w:r>
      <w:proofErr w:type="spellEnd"/>
      <w:r w:rsidRPr="006F6339">
        <w:rPr>
          <w:rFonts w:eastAsia="Calibri" w:cs="Times New Roman"/>
        </w:rPr>
        <w:t xml:space="preserve"> JD, Rosenberg LM et al. Cancer immunotherapy - Immune checkpoint blockade and associated endocrinopathies. Nat Rev Endocrinol, 2017;13:195–207</w:t>
      </w:r>
    </w:p>
    <w:p w14:paraId="01382D17" w14:textId="77777777" w:rsidR="006F6339" w:rsidRPr="006F6339" w:rsidRDefault="006F6339" w:rsidP="006F6339">
      <w:pPr>
        <w:widowControl/>
        <w:autoSpaceDE/>
        <w:autoSpaceDN/>
        <w:spacing w:line="276" w:lineRule="auto"/>
        <w:ind w:left="576" w:hanging="576"/>
        <w:rPr>
          <w:rFonts w:eastAsia="Calibri" w:cs="Times New Roman"/>
        </w:rPr>
      </w:pPr>
      <w:r w:rsidRPr="006F6339">
        <w:rPr>
          <w:rFonts w:eastAsia="Calibri" w:cs="Times New Roman"/>
        </w:rPr>
        <w:t>44.</w:t>
      </w:r>
      <w:r w:rsidRPr="006F6339">
        <w:rPr>
          <w:rFonts w:eastAsia="Calibri" w:cs="Times New Roman"/>
        </w:rPr>
        <w:tab/>
      </w:r>
      <w:proofErr w:type="spellStart"/>
      <w:r w:rsidRPr="006F6339">
        <w:rPr>
          <w:rFonts w:eastAsia="Calibri" w:cs="Times New Roman"/>
        </w:rPr>
        <w:t>Sznol</w:t>
      </w:r>
      <w:proofErr w:type="spellEnd"/>
      <w:r w:rsidRPr="006F6339">
        <w:rPr>
          <w:rFonts w:eastAsia="Calibri" w:cs="Times New Roman"/>
        </w:rPr>
        <w:t xml:space="preserve"> M, </w:t>
      </w:r>
      <w:proofErr w:type="spellStart"/>
      <w:r w:rsidRPr="006F6339">
        <w:rPr>
          <w:rFonts w:eastAsia="Calibri" w:cs="Times New Roman"/>
        </w:rPr>
        <w:t>Postow</w:t>
      </w:r>
      <w:proofErr w:type="spellEnd"/>
      <w:r w:rsidRPr="006F6339">
        <w:rPr>
          <w:rFonts w:eastAsia="Calibri" w:cs="Times New Roman"/>
        </w:rPr>
        <w:t xml:space="preserve"> MA, Davies MJ et al. Endocrine- related adverse events associated with immune checkpoint blockade and expert insights on their management. Cancer Treat Rev, 2017;58:70–76</w:t>
      </w:r>
    </w:p>
    <w:p w14:paraId="63266BA6" w14:textId="77777777" w:rsidR="006F6339" w:rsidRPr="006F6339" w:rsidRDefault="006F6339" w:rsidP="006F6339">
      <w:pPr>
        <w:widowControl/>
        <w:autoSpaceDE/>
        <w:autoSpaceDN/>
        <w:spacing w:line="276" w:lineRule="auto"/>
        <w:ind w:left="576" w:hanging="576"/>
        <w:rPr>
          <w:rFonts w:eastAsia="Calibri" w:cs="Times New Roman"/>
        </w:rPr>
      </w:pPr>
      <w:r w:rsidRPr="006F6339">
        <w:rPr>
          <w:rFonts w:eastAsia="Calibri" w:cs="Times New Roman"/>
        </w:rPr>
        <w:t>45.</w:t>
      </w:r>
      <w:r w:rsidRPr="006F6339">
        <w:rPr>
          <w:rFonts w:eastAsia="Calibri" w:cs="Times New Roman"/>
        </w:rPr>
        <w:tab/>
      </w:r>
      <w:proofErr w:type="spellStart"/>
      <w:r w:rsidRPr="006F6339">
        <w:rPr>
          <w:rFonts w:eastAsia="Calibri" w:cs="Times New Roman"/>
        </w:rPr>
        <w:t>Stamatouli</w:t>
      </w:r>
      <w:proofErr w:type="spellEnd"/>
      <w:r w:rsidRPr="006F6339">
        <w:rPr>
          <w:rFonts w:eastAsia="Calibri" w:cs="Times New Roman"/>
        </w:rPr>
        <w:t xml:space="preserve"> AM, </w:t>
      </w:r>
      <w:proofErr w:type="spellStart"/>
      <w:r w:rsidRPr="006F6339">
        <w:rPr>
          <w:rFonts w:eastAsia="Calibri" w:cs="Times New Roman"/>
        </w:rPr>
        <w:t>Quandt</w:t>
      </w:r>
      <w:proofErr w:type="spellEnd"/>
      <w:r w:rsidRPr="006F6339">
        <w:rPr>
          <w:rFonts w:eastAsia="Calibri" w:cs="Times New Roman"/>
        </w:rPr>
        <w:t xml:space="preserve"> Z, </w:t>
      </w:r>
      <w:proofErr w:type="spellStart"/>
      <w:r w:rsidRPr="006F6339">
        <w:rPr>
          <w:rFonts w:eastAsia="Calibri" w:cs="Times New Roman"/>
        </w:rPr>
        <w:t>Perdigoto</w:t>
      </w:r>
      <w:proofErr w:type="spellEnd"/>
      <w:r w:rsidRPr="006F6339">
        <w:rPr>
          <w:rFonts w:eastAsia="Calibri" w:cs="Times New Roman"/>
        </w:rPr>
        <w:t xml:space="preserve"> AL et al. Collateral damage: Insulin-dependent diabetes induced with checkpoint inhibitors. Diabetes, 2018;67:1471–1480.</w:t>
      </w:r>
    </w:p>
    <w:p w14:paraId="53FCA429" w14:textId="77777777" w:rsidR="006F6339" w:rsidRPr="006F6339" w:rsidRDefault="006F6339" w:rsidP="006F6339">
      <w:pPr>
        <w:widowControl/>
        <w:autoSpaceDE/>
        <w:autoSpaceDN/>
        <w:spacing w:line="276" w:lineRule="auto"/>
        <w:ind w:left="576" w:hanging="576"/>
        <w:rPr>
          <w:rFonts w:eastAsia="Calibri" w:cs="Times New Roman"/>
        </w:rPr>
      </w:pPr>
      <w:r w:rsidRPr="006F6339">
        <w:rPr>
          <w:rFonts w:eastAsia="Calibri" w:cs="Times New Roman"/>
        </w:rPr>
        <w:t>46.</w:t>
      </w:r>
      <w:r w:rsidRPr="006F6339">
        <w:rPr>
          <w:rFonts w:eastAsia="Calibri" w:cs="Times New Roman"/>
        </w:rPr>
        <w:tab/>
      </w:r>
      <w:proofErr w:type="spellStart"/>
      <w:r w:rsidRPr="006F6339">
        <w:rPr>
          <w:rFonts w:eastAsia="Calibri" w:cs="Times New Roman"/>
        </w:rPr>
        <w:t>Wildin</w:t>
      </w:r>
      <w:proofErr w:type="spellEnd"/>
      <w:r w:rsidRPr="006F6339">
        <w:rPr>
          <w:rFonts w:eastAsia="Calibri" w:cs="Times New Roman"/>
        </w:rPr>
        <w:t xml:space="preserve"> RS, </w:t>
      </w:r>
      <w:proofErr w:type="spellStart"/>
      <w:r w:rsidRPr="006F6339">
        <w:rPr>
          <w:rFonts w:eastAsia="Calibri" w:cs="Times New Roman"/>
        </w:rPr>
        <w:t>Smyk</w:t>
      </w:r>
      <w:proofErr w:type="spellEnd"/>
      <w:r w:rsidRPr="006F6339">
        <w:rPr>
          <w:rFonts w:eastAsia="Calibri" w:cs="Times New Roman"/>
        </w:rPr>
        <w:t xml:space="preserve">-Pearson S, </w:t>
      </w:r>
      <w:proofErr w:type="spellStart"/>
      <w:r w:rsidRPr="006F6339">
        <w:rPr>
          <w:rFonts w:eastAsia="Calibri" w:cs="Times New Roman"/>
        </w:rPr>
        <w:t>Filipovich</w:t>
      </w:r>
      <w:proofErr w:type="spellEnd"/>
      <w:r w:rsidRPr="006F6339">
        <w:rPr>
          <w:rFonts w:eastAsia="Calibri" w:cs="Times New Roman"/>
        </w:rPr>
        <w:t xml:space="preserve"> AH. Clinical and molecular features of the </w:t>
      </w:r>
      <w:proofErr w:type="spellStart"/>
      <w:r w:rsidRPr="006F6339">
        <w:rPr>
          <w:rFonts w:eastAsia="Calibri" w:cs="Times New Roman"/>
        </w:rPr>
        <w:t>immunodysregulation</w:t>
      </w:r>
      <w:proofErr w:type="spellEnd"/>
      <w:r w:rsidRPr="006F6339">
        <w:rPr>
          <w:rFonts w:eastAsia="Calibri" w:cs="Times New Roman"/>
        </w:rPr>
        <w:t xml:space="preserve">, </w:t>
      </w:r>
      <w:proofErr w:type="spellStart"/>
      <w:r w:rsidRPr="006F6339">
        <w:rPr>
          <w:rFonts w:eastAsia="Calibri" w:cs="Times New Roman"/>
        </w:rPr>
        <w:t>polyendocrinopathy</w:t>
      </w:r>
      <w:proofErr w:type="spellEnd"/>
      <w:r w:rsidRPr="006F6339">
        <w:rPr>
          <w:rFonts w:eastAsia="Calibri" w:cs="Times New Roman"/>
        </w:rPr>
        <w:t>, enteropathy, X linked (IPEX) syndrome. J Med Genet, 2002;39(8):537-45.</w:t>
      </w:r>
    </w:p>
    <w:p w14:paraId="1E328A92" w14:textId="77777777" w:rsidR="006F6339" w:rsidRPr="006F6339" w:rsidRDefault="006F6339" w:rsidP="006F6339">
      <w:pPr>
        <w:widowControl/>
        <w:autoSpaceDE/>
        <w:autoSpaceDN/>
        <w:spacing w:line="276" w:lineRule="auto"/>
        <w:ind w:left="576" w:hanging="576"/>
        <w:rPr>
          <w:rFonts w:eastAsia="Calibri" w:cs="Times New Roman"/>
        </w:rPr>
      </w:pPr>
      <w:r w:rsidRPr="006F6339">
        <w:rPr>
          <w:rFonts w:eastAsia="Calibri" w:cs="Times New Roman"/>
        </w:rPr>
        <w:t>47.</w:t>
      </w:r>
      <w:r w:rsidRPr="006F6339">
        <w:rPr>
          <w:rFonts w:eastAsia="Calibri" w:cs="Times New Roman"/>
        </w:rPr>
        <w:tab/>
      </w:r>
      <w:proofErr w:type="spellStart"/>
      <w:r w:rsidRPr="006F6339">
        <w:rPr>
          <w:rFonts w:eastAsia="Calibri" w:cs="Times New Roman"/>
        </w:rPr>
        <w:t>Barzaghi</w:t>
      </w:r>
      <w:proofErr w:type="spellEnd"/>
      <w:r w:rsidRPr="006F6339">
        <w:rPr>
          <w:rFonts w:eastAsia="Calibri" w:cs="Times New Roman"/>
        </w:rPr>
        <w:t xml:space="preserve"> F, Amaya Hernandez LC, Neven B, et al. Long-term follow up of IPEX syndrome patients after different therapeutic strategies: an international multicenter retrospective study. The Journal of allergy and clinical immunology, 2017</w:t>
      </w:r>
    </w:p>
    <w:p w14:paraId="13FAB611" w14:textId="77777777" w:rsidR="006F6339" w:rsidRPr="006F6339" w:rsidRDefault="006F6339" w:rsidP="006F6339">
      <w:pPr>
        <w:widowControl/>
        <w:autoSpaceDE/>
        <w:autoSpaceDN/>
        <w:spacing w:line="276" w:lineRule="auto"/>
        <w:ind w:left="576" w:hanging="576"/>
        <w:rPr>
          <w:rFonts w:eastAsia="Calibri" w:cs="Times New Roman"/>
        </w:rPr>
      </w:pPr>
      <w:r w:rsidRPr="006F6339">
        <w:rPr>
          <w:rFonts w:eastAsia="Calibri" w:cs="Times New Roman"/>
        </w:rPr>
        <w:t>48.</w:t>
      </w:r>
      <w:r w:rsidRPr="006F6339">
        <w:rPr>
          <w:rFonts w:eastAsia="Calibri" w:cs="Times New Roman"/>
        </w:rPr>
        <w:tab/>
        <w:t xml:space="preserve">Bennett CL, Christie J, Ramsdell F, </w:t>
      </w:r>
      <w:proofErr w:type="spellStart"/>
      <w:r w:rsidRPr="006F6339">
        <w:rPr>
          <w:rFonts w:eastAsia="Calibri" w:cs="Times New Roman"/>
        </w:rPr>
        <w:t>Brunkow</w:t>
      </w:r>
      <w:proofErr w:type="spellEnd"/>
      <w:r w:rsidRPr="006F6339">
        <w:rPr>
          <w:rFonts w:eastAsia="Calibri" w:cs="Times New Roman"/>
        </w:rPr>
        <w:t xml:space="preserve"> ME, Ferguson PJ, Whitesell L, Kelly TE, Saulsbury FT, Chance PF, Ochs HD. The immune dysregulation, </w:t>
      </w:r>
      <w:proofErr w:type="spellStart"/>
      <w:r w:rsidRPr="006F6339">
        <w:rPr>
          <w:rFonts w:eastAsia="Calibri" w:cs="Times New Roman"/>
        </w:rPr>
        <w:t>polyendocrinopathy</w:t>
      </w:r>
      <w:proofErr w:type="spellEnd"/>
      <w:r w:rsidRPr="006F6339">
        <w:rPr>
          <w:rFonts w:eastAsia="Calibri" w:cs="Times New Roman"/>
        </w:rPr>
        <w:t>, enteropathy, X-linked syndrome (IPEX) is caused by mutations of FOXP3. Nat Genet, 2001;27(1):20-1.</w:t>
      </w:r>
    </w:p>
    <w:p w14:paraId="14277867" w14:textId="77777777" w:rsidR="006F6339" w:rsidRPr="006F6339" w:rsidRDefault="006F6339" w:rsidP="006F6339">
      <w:pPr>
        <w:widowControl/>
        <w:autoSpaceDE/>
        <w:autoSpaceDN/>
        <w:spacing w:line="276" w:lineRule="auto"/>
        <w:ind w:left="576" w:hanging="576"/>
        <w:rPr>
          <w:rFonts w:eastAsia="Calibri" w:cs="Times New Roman"/>
        </w:rPr>
      </w:pPr>
      <w:r w:rsidRPr="006F6339">
        <w:rPr>
          <w:rFonts w:eastAsia="Calibri" w:cs="Times New Roman"/>
        </w:rPr>
        <w:t>49.</w:t>
      </w:r>
      <w:r w:rsidRPr="006F6339">
        <w:rPr>
          <w:rFonts w:eastAsia="Calibri" w:cs="Times New Roman"/>
        </w:rPr>
        <w:tab/>
      </w:r>
      <w:proofErr w:type="spellStart"/>
      <w:r w:rsidRPr="006F6339">
        <w:rPr>
          <w:rFonts w:eastAsia="Calibri" w:cs="Times New Roman"/>
        </w:rPr>
        <w:t>Sakaguchi</w:t>
      </w:r>
      <w:proofErr w:type="spellEnd"/>
      <w:r w:rsidRPr="006F6339">
        <w:rPr>
          <w:rFonts w:eastAsia="Calibri" w:cs="Times New Roman"/>
        </w:rPr>
        <w:t xml:space="preserve"> S, Yamaguchi T, Nomura T, Ono M. Regulatory T cells and immune tolerance. Cell, 2008;133(5):775-87.</w:t>
      </w:r>
    </w:p>
    <w:p w14:paraId="4942D32C" w14:textId="77777777" w:rsidR="006F6339" w:rsidRPr="006F6339" w:rsidRDefault="006F6339" w:rsidP="006F6339">
      <w:pPr>
        <w:widowControl/>
        <w:autoSpaceDE/>
        <w:autoSpaceDN/>
        <w:spacing w:line="276" w:lineRule="auto"/>
        <w:ind w:left="576" w:hanging="576"/>
        <w:rPr>
          <w:rFonts w:eastAsia="Calibri" w:cs="Times New Roman"/>
        </w:rPr>
      </w:pPr>
      <w:r w:rsidRPr="006F6339">
        <w:rPr>
          <w:rFonts w:eastAsia="Calibri" w:cs="Times New Roman"/>
        </w:rPr>
        <w:t>50.</w:t>
      </w:r>
      <w:r w:rsidRPr="006F6339">
        <w:rPr>
          <w:rFonts w:eastAsia="Calibri" w:cs="Times New Roman"/>
        </w:rPr>
        <w:tab/>
      </w:r>
      <w:proofErr w:type="spellStart"/>
      <w:r w:rsidRPr="006F6339">
        <w:rPr>
          <w:rFonts w:eastAsia="Calibri" w:cs="Times New Roman"/>
        </w:rPr>
        <w:t>Caudy</w:t>
      </w:r>
      <w:proofErr w:type="spellEnd"/>
      <w:r w:rsidRPr="006F6339">
        <w:rPr>
          <w:rFonts w:eastAsia="Calibri" w:cs="Times New Roman"/>
        </w:rPr>
        <w:t xml:space="preserve"> AA, Reddy ST, </w:t>
      </w:r>
      <w:proofErr w:type="spellStart"/>
      <w:r w:rsidRPr="006F6339">
        <w:rPr>
          <w:rFonts w:eastAsia="Calibri" w:cs="Times New Roman"/>
        </w:rPr>
        <w:t>Chatila</w:t>
      </w:r>
      <w:proofErr w:type="spellEnd"/>
      <w:r w:rsidRPr="006F6339">
        <w:rPr>
          <w:rFonts w:eastAsia="Calibri" w:cs="Times New Roman"/>
        </w:rPr>
        <w:t xml:space="preserve"> T, Atkinson JP, </w:t>
      </w:r>
      <w:proofErr w:type="spellStart"/>
      <w:r w:rsidRPr="006F6339">
        <w:rPr>
          <w:rFonts w:eastAsia="Calibri" w:cs="Times New Roman"/>
        </w:rPr>
        <w:t>Verbsky</w:t>
      </w:r>
      <w:proofErr w:type="spellEnd"/>
      <w:r w:rsidRPr="006F6339">
        <w:rPr>
          <w:rFonts w:eastAsia="Calibri" w:cs="Times New Roman"/>
        </w:rPr>
        <w:t xml:space="preserve"> JW. CD25 deficiency causes an immune dysregulation, </w:t>
      </w:r>
      <w:proofErr w:type="spellStart"/>
      <w:r w:rsidRPr="006F6339">
        <w:rPr>
          <w:rFonts w:eastAsia="Calibri" w:cs="Times New Roman"/>
        </w:rPr>
        <w:t>polyendocrinopathy</w:t>
      </w:r>
      <w:proofErr w:type="spellEnd"/>
      <w:r w:rsidRPr="006F6339">
        <w:rPr>
          <w:rFonts w:eastAsia="Calibri" w:cs="Times New Roman"/>
        </w:rPr>
        <w:t xml:space="preserve">, enteropathy, X-linked-like syndrome, and </w:t>
      </w:r>
      <w:r w:rsidRPr="006F6339">
        <w:rPr>
          <w:rFonts w:eastAsia="Calibri" w:cs="Times New Roman"/>
        </w:rPr>
        <w:lastRenderedPageBreak/>
        <w:t>defective IL-10 expression from CD4 lymphocytes. J Allergy Clin Immunol, 2007;119(2):482-7.</w:t>
      </w:r>
    </w:p>
    <w:p w14:paraId="23AC0AF7" w14:textId="77777777" w:rsidR="006F6339" w:rsidRPr="006F6339" w:rsidRDefault="006F6339" w:rsidP="006F6339">
      <w:pPr>
        <w:widowControl/>
        <w:autoSpaceDE/>
        <w:autoSpaceDN/>
        <w:spacing w:line="276" w:lineRule="auto"/>
        <w:ind w:left="576" w:hanging="576"/>
        <w:rPr>
          <w:rFonts w:eastAsia="Calibri" w:cs="Times New Roman"/>
        </w:rPr>
      </w:pPr>
      <w:r w:rsidRPr="006F6339">
        <w:rPr>
          <w:rFonts w:eastAsia="Calibri" w:cs="Times New Roman"/>
        </w:rPr>
        <w:t>51.</w:t>
      </w:r>
      <w:r w:rsidRPr="006F6339">
        <w:rPr>
          <w:rFonts w:eastAsia="Calibri" w:cs="Times New Roman"/>
        </w:rPr>
        <w:tab/>
        <w:t>Bluestone JA, Buckner JH, Fitch M, et al. Type 1 diabetes immunotherapy using polyclonal regulatory T cells. Science translational medicine. 2015; 7:315ra189</w:t>
      </w:r>
    </w:p>
    <w:p w14:paraId="1A2D6041" w14:textId="77777777" w:rsidR="006F6339" w:rsidRPr="00C84278" w:rsidRDefault="006F6339" w:rsidP="00C84278">
      <w:pPr>
        <w:pStyle w:val="Heading1"/>
        <w:spacing w:line="276" w:lineRule="auto"/>
        <w:ind w:left="0"/>
        <w:rPr>
          <w:rFonts w:cs="Arial"/>
          <w:sz w:val="22"/>
          <w:szCs w:val="22"/>
        </w:rPr>
      </w:pPr>
    </w:p>
    <w:p w14:paraId="59D24BC5" w14:textId="77777777" w:rsidR="00680300" w:rsidRPr="005C2A2F" w:rsidRDefault="00680300" w:rsidP="00C37548">
      <w:pPr>
        <w:pStyle w:val="BodyText"/>
        <w:spacing w:before="10"/>
        <w:jc w:val="both"/>
        <w:rPr>
          <w:rFonts w:ascii="Times New Roman" w:hAnsi="Times New Roman"/>
          <w:b/>
          <w:sz w:val="22"/>
          <w:szCs w:val="22"/>
        </w:rPr>
      </w:pPr>
    </w:p>
    <w:bookmarkEnd w:id="1"/>
    <w:p w14:paraId="73B19A35" w14:textId="77777777" w:rsidR="00680300" w:rsidRPr="00E13D41" w:rsidRDefault="00680300" w:rsidP="00E13D41">
      <w:pPr>
        <w:pStyle w:val="ListParagraph"/>
        <w:tabs>
          <w:tab w:val="left" w:pos="650"/>
        </w:tabs>
        <w:spacing w:before="1" w:line="276" w:lineRule="auto"/>
        <w:ind w:right="824"/>
      </w:pPr>
    </w:p>
    <w:sectPr w:rsidR="00680300" w:rsidRPr="00E13D41" w:rsidSect="00C84278">
      <w:footerReference w:type="default" r:id="rId9"/>
      <w:pgSz w:w="12240" w:h="15840"/>
      <w:pgMar w:top="1440" w:right="1440" w:bottom="1440" w:left="1440" w:header="0" w:footer="104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5A0FC8" w14:textId="77777777" w:rsidR="00B2642D" w:rsidRDefault="00B2642D">
      <w:r>
        <w:separator/>
      </w:r>
    </w:p>
  </w:endnote>
  <w:endnote w:type="continuationSeparator" w:id="0">
    <w:p w14:paraId="534E0AC5" w14:textId="77777777" w:rsidR="00B2642D" w:rsidRDefault="00B26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AF96B" w14:textId="77777777" w:rsidR="006E097C" w:rsidRDefault="006E097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D67E31" w14:textId="77777777" w:rsidR="00B2642D" w:rsidRDefault="00B2642D">
      <w:r>
        <w:separator/>
      </w:r>
    </w:p>
  </w:footnote>
  <w:footnote w:type="continuationSeparator" w:id="0">
    <w:p w14:paraId="5713618B" w14:textId="77777777" w:rsidR="00B2642D" w:rsidRDefault="00B264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B026A"/>
    <w:multiLevelType w:val="hybridMultilevel"/>
    <w:tmpl w:val="AF281BFE"/>
    <w:lvl w:ilvl="0" w:tplc="379E174C">
      <w:start w:val="1"/>
      <w:numFmt w:val="decimal"/>
      <w:lvlText w:val="%1."/>
      <w:lvlJc w:val="left"/>
      <w:pPr>
        <w:ind w:left="612" w:hanging="432"/>
      </w:pPr>
      <w:rPr>
        <w:rFonts w:ascii="Arial" w:eastAsia="Arial" w:hAnsi="Arial" w:cs="Arial" w:hint="default"/>
        <w:spacing w:val="0"/>
        <w:w w:val="102"/>
        <w:sz w:val="21"/>
        <w:szCs w:val="21"/>
        <w:lang w:val="en-US" w:eastAsia="en-US" w:bidi="ar-SA"/>
      </w:rPr>
    </w:lvl>
    <w:lvl w:ilvl="1" w:tplc="1EBA2662">
      <w:numFmt w:val="bullet"/>
      <w:lvlText w:val="•"/>
      <w:lvlJc w:val="left"/>
      <w:pPr>
        <w:ind w:left="1507" w:hanging="432"/>
      </w:pPr>
      <w:rPr>
        <w:rFonts w:hint="default"/>
        <w:lang w:val="en-US" w:eastAsia="en-US" w:bidi="ar-SA"/>
      </w:rPr>
    </w:lvl>
    <w:lvl w:ilvl="2" w:tplc="C6D2D918">
      <w:numFmt w:val="bullet"/>
      <w:lvlText w:val="•"/>
      <w:lvlJc w:val="left"/>
      <w:pPr>
        <w:ind w:left="2411" w:hanging="432"/>
      </w:pPr>
      <w:rPr>
        <w:rFonts w:hint="default"/>
        <w:lang w:val="en-US" w:eastAsia="en-US" w:bidi="ar-SA"/>
      </w:rPr>
    </w:lvl>
    <w:lvl w:ilvl="3" w:tplc="15E08A1E">
      <w:numFmt w:val="bullet"/>
      <w:lvlText w:val="•"/>
      <w:lvlJc w:val="left"/>
      <w:pPr>
        <w:ind w:left="3315" w:hanging="432"/>
      </w:pPr>
      <w:rPr>
        <w:rFonts w:hint="default"/>
        <w:lang w:val="en-US" w:eastAsia="en-US" w:bidi="ar-SA"/>
      </w:rPr>
    </w:lvl>
    <w:lvl w:ilvl="4" w:tplc="014052BE">
      <w:numFmt w:val="bullet"/>
      <w:lvlText w:val="•"/>
      <w:lvlJc w:val="left"/>
      <w:pPr>
        <w:ind w:left="4219" w:hanging="432"/>
      </w:pPr>
      <w:rPr>
        <w:rFonts w:hint="default"/>
        <w:lang w:val="en-US" w:eastAsia="en-US" w:bidi="ar-SA"/>
      </w:rPr>
    </w:lvl>
    <w:lvl w:ilvl="5" w:tplc="D1146E32">
      <w:numFmt w:val="bullet"/>
      <w:lvlText w:val="•"/>
      <w:lvlJc w:val="left"/>
      <w:pPr>
        <w:ind w:left="5123" w:hanging="432"/>
      </w:pPr>
      <w:rPr>
        <w:rFonts w:hint="default"/>
        <w:lang w:val="en-US" w:eastAsia="en-US" w:bidi="ar-SA"/>
      </w:rPr>
    </w:lvl>
    <w:lvl w:ilvl="6" w:tplc="FC7A5C2A">
      <w:numFmt w:val="bullet"/>
      <w:lvlText w:val="•"/>
      <w:lvlJc w:val="left"/>
      <w:pPr>
        <w:ind w:left="6027" w:hanging="432"/>
      </w:pPr>
      <w:rPr>
        <w:rFonts w:hint="default"/>
        <w:lang w:val="en-US" w:eastAsia="en-US" w:bidi="ar-SA"/>
      </w:rPr>
    </w:lvl>
    <w:lvl w:ilvl="7" w:tplc="26EA603E">
      <w:numFmt w:val="bullet"/>
      <w:lvlText w:val="•"/>
      <w:lvlJc w:val="left"/>
      <w:pPr>
        <w:ind w:left="6931" w:hanging="432"/>
      </w:pPr>
      <w:rPr>
        <w:rFonts w:hint="default"/>
        <w:lang w:val="en-US" w:eastAsia="en-US" w:bidi="ar-SA"/>
      </w:rPr>
    </w:lvl>
    <w:lvl w:ilvl="8" w:tplc="9B52305A">
      <w:numFmt w:val="bullet"/>
      <w:lvlText w:val="•"/>
      <w:lvlJc w:val="left"/>
      <w:pPr>
        <w:ind w:left="7835" w:hanging="432"/>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97C"/>
    <w:rsid w:val="000079CF"/>
    <w:rsid w:val="00007A43"/>
    <w:rsid w:val="00030700"/>
    <w:rsid w:val="00054FCA"/>
    <w:rsid w:val="00063CB6"/>
    <w:rsid w:val="00067FAE"/>
    <w:rsid w:val="0008365F"/>
    <w:rsid w:val="00092158"/>
    <w:rsid w:val="000956F7"/>
    <w:rsid w:val="000B0BA9"/>
    <w:rsid w:val="000B54B0"/>
    <w:rsid w:val="000E1384"/>
    <w:rsid w:val="000F4C70"/>
    <w:rsid w:val="00101FE8"/>
    <w:rsid w:val="001207D1"/>
    <w:rsid w:val="001262F9"/>
    <w:rsid w:val="00146B2E"/>
    <w:rsid w:val="00157634"/>
    <w:rsid w:val="00165811"/>
    <w:rsid w:val="00194384"/>
    <w:rsid w:val="001A1887"/>
    <w:rsid w:val="001B07C0"/>
    <w:rsid w:val="001C2EA2"/>
    <w:rsid w:val="0020545B"/>
    <w:rsid w:val="002143D3"/>
    <w:rsid w:val="00222F0C"/>
    <w:rsid w:val="00260C44"/>
    <w:rsid w:val="00267FE7"/>
    <w:rsid w:val="002739AB"/>
    <w:rsid w:val="002966E7"/>
    <w:rsid w:val="002A3B51"/>
    <w:rsid w:val="002C75C1"/>
    <w:rsid w:val="002E2C30"/>
    <w:rsid w:val="002F0423"/>
    <w:rsid w:val="002F4618"/>
    <w:rsid w:val="002F678D"/>
    <w:rsid w:val="00310108"/>
    <w:rsid w:val="00321266"/>
    <w:rsid w:val="003249E8"/>
    <w:rsid w:val="00345D64"/>
    <w:rsid w:val="00353463"/>
    <w:rsid w:val="00353DA8"/>
    <w:rsid w:val="003607DD"/>
    <w:rsid w:val="00365AD9"/>
    <w:rsid w:val="0039115B"/>
    <w:rsid w:val="003A6930"/>
    <w:rsid w:val="003C0263"/>
    <w:rsid w:val="003C420F"/>
    <w:rsid w:val="003E5D59"/>
    <w:rsid w:val="003F324D"/>
    <w:rsid w:val="00416898"/>
    <w:rsid w:val="00427F40"/>
    <w:rsid w:val="00443AF9"/>
    <w:rsid w:val="004469F7"/>
    <w:rsid w:val="00455673"/>
    <w:rsid w:val="00467CE9"/>
    <w:rsid w:val="004828B2"/>
    <w:rsid w:val="0049104C"/>
    <w:rsid w:val="00493A28"/>
    <w:rsid w:val="004A02EB"/>
    <w:rsid w:val="004C0E6A"/>
    <w:rsid w:val="004F0193"/>
    <w:rsid w:val="005224DC"/>
    <w:rsid w:val="00534760"/>
    <w:rsid w:val="005533E1"/>
    <w:rsid w:val="00564CB9"/>
    <w:rsid w:val="00566902"/>
    <w:rsid w:val="00586674"/>
    <w:rsid w:val="005B7C54"/>
    <w:rsid w:val="005C2A2F"/>
    <w:rsid w:val="005C3294"/>
    <w:rsid w:val="005E7CBF"/>
    <w:rsid w:val="005F5191"/>
    <w:rsid w:val="00607C32"/>
    <w:rsid w:val="00631855"/>
    <w:rsid w:val="00633339"/>
    <w:rsid w:val="00636AF2"/>
    <w:rsid w:val="0064408E"/>
    <w:rsid w:val="00680300"/>
    <w:rsid w:val="006942AE"/>
    <w:rsid w:val="006C1F28"/>
    <w:rsid w:val="006D14D5"/>
    <w:rsid w:val="006D2218"/>
    <w:rsid w:val="006D532B"/>
    <w:rsid w:val="006E097C"/>
    <w:rsid w:val="006E2425"/>
    <w:rsid w:val="006F6339"/>
    <w:rsid w:val="00701CD3"/>
    <w:rsid w:val="00727E2F"/>
    <w:rsid w:val="00730B5C"/>
    <w:rsid w:val="0074154B"/>
    <w:rsid w:val="007624C6"/>
    <w:rsid w:val="0078740A"/>
    <w:rsid w:val="0079470F"/>
    <w:rsid w:val="007A0933"/>
    <w:rsid w:val="007A10C8"/>
    <w:rsid w:val="007D3126"/>
    <w:rsid w:val="007E694D"/>
    <w:rsid w:val="007F204B"/>
    <w:rsid w:val="00801B79"/>
    <w:rsid w:val="00806CF9"/>
    <w:rsid w:val="0081710D"/>
    <w:rsid w:val="00822377"/>
    <w:rsid w:val="0084730D"/>
    <w:rsid w:val="008557E7"/>
    <w:rsid w:val="00880BCD"/>
    <w:rsid w:val="00880FEF"/>
    <w:rsid w:val="0088435C"/>
    <w:rsid w:val="0089727F"/>
    <w:rsid w:val="008D3FDF"/>
    <w:rsid w:val="008D52E8"/>
    <w:rsid w:val="008F2BCD"/>
    <w:rsid w:val="008F685B"/>
    <w:rsid w:val="00906BA7"/>
    <w:rsid w:val="00907338"/>
    <w:rsid w:val="00915D4C"/>
    <w:rsid w:val="0092130E"/>
    <w:rsid w:val="009248BB"/>
    <w:rsid w:val="009325E8"/>
    <w:rsid w:val="009348CF"/>
    <w:rsid w:val="00940F0B"/>
    <w:rsid w:val="00945950"/>
    <w:rsid w:val="00957178"/>
    <w:rsid w:val="00957981"/>
    <w:rsid w:val="0096069F"/>
    <w:rsid w:val="009B0194"/>
    <w:rsid w:val="009C2D88"/>
    <w:rsid w:val="009F54E3"/>
    <w:rsid w:val="009F5705"/>
    <w:rsid w:val="009F59DF"/>
    <w:rsid w:val="00A1448E"/>
    <w:rsid w:val="00A1560B"/>
    <w:rsid w:val="00A20E10"/>
    <w:rsid w:val="00A43E65"/>
    <w:rsid w:val="00A44DA5"/>
    <w:rsid w:val="00A45F86"/>
    <w:rsid w:val="00A70DA0"/>
    <w:rsid w:val="00A75A98"/>
    <w:rsid w:val="00A96FBA"/>
    <w:rsid w:val="00A97091"/>
    <w:rsid w:val="00AA2F90"/>
    <w:rsid w:val="00AF6270"/>
    <w:rsid w:val="00AF7786"/>
    <w:rsid w:val="00B2642D"/>
    <w:rsid w:val="00B27858"/>
    <w:rsid w:val="00B31B33"/>
    <w:rsid w:val="00B337F8"/>
    <w:rsid w:val="00B379CC"/>
    <w:rsid w:val="00B47914"/>
    <w:rsid w:val="00B679C3"/>
    <w:rsid w:val="00B749E1"/>
    <w:rsid w:val="00B83B8B"/>
    <w:rsid w:val="00B93654"/>
    <w:rsid w:val="00B95C50"/>
    <w:rsid w:val="00BB6E1C"/>
    <w:rsid w:val="00BD3482"/>
    <w:rsid w:val="00BE7874"/>
    <w:rsid w:val="00BF0597"/>
    <w:rsid w:val="00BF3AFE"/>
    <w:rsid w:val="00C11833"/>
    <w:rsid w:val="00C13B12"/>
    <w:rsid w:val="00C37548"/>
    <w:rsid w:val="00C4216B"/>
    <w:rsid w:val="00C437A0"/>
    <w:rsid w:val="00C71278"/>
    <w:rsid w:val="00C81991"/>
    <w:rsid w:val="00C84278"/>
    <w:rsid w:val="00C93E8A"/>
    <w:rsid w:val="00CB5A17"/>
    <w:rsid w:val="00CC4235"/>
    <w:rsid w:val="00CC4CF5"/>
    <w:rsid w:val="00CC767A"/>
    <w:rsid w:val="00CD4E41"/>
    <w:rsid w:val="00CF1DA7"/>
    <w:rsid w:val="00CF3936"/>
    <w:rsid w:val="00D02D90"/>
    <w:rsid w:val="00D10AE8"/>
    <w:rsid w:val="00D12EFB"/>
    <w:rsid w:val="00D16133"/>
    <w:rsid w:val="00D33FE1"/>
    <w:rsid w:val="00D65028"/>
    <w:rsid w:val="00DA71E6"/>
    <w:rsid w:val="00DC2781"/>
    <w:rsid w:val="00DC5CA5"/>
    <w:rsid w:val="00DE6D28"/>
    <w:rsid w:val="00E00717"/>
    <w:rsid w:val="00E11ACC"/>
    <w:rsid w:val="00E13D41"/>
    <w:rsid w:val="00EA1577"/>
    <w:rsid w:val="00EA5ED6"/>
    <w:rsid w:val="00EC6F9C"/>
    <w:rsid w:val="00ED1C3A"/>
    <w:rsid w:val="00ED3C38"/>
    <w:rsid w:val="00ED4DDA"/>
    <w:rsid w:val="00EF4D5E"/>
    <w:rsid w:val="00EF5F43"/>
    <w:rsid w:val="00F00741"/>
    <w:rsid w:val="00F01F9F"/>
    <w:rsid w:val="00F06B53"/>
    <w:rsid w:val="00F15DF1"/>
    <w:rsid w:val="00F22BB1"/>
    <w:rsid w:val="00F324D1"/>
    <w:rsid w:val="00F32A1F"/>
    <w:rsid w:val="00F40609"/>
    <w:rsid w:val="00F50EA1"/>
    <w:rsid w:val="00F636D9"/>
    <w:rsid w:val="00F67518"/>
    <w:rsid w:val="00F74248"/>
    <w:rsid w:val="00F838D0"/>
    <w:rsid w:val="00FA0B47"/>
    <w:rsid w:val="00FA4FAC"/>
    <w:rsid w:val="00FA615B"/>
    <w:rsid w:val="00FC542E"/>
    <w:rsid w:val="00FC666B"/>
    <w:rsid w:val="00FC7F95"/>
    <w:rsid w:val="00FD12EF"/>
    <w:rsid w:val="00FE2C2E"/>
    <w:rsid w:val="00FF0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950F97"/>
  <w15:chartTrackingRefBased/>
  <w15:docId w15:val="{5EA6C6F3-5EE6-0B45-A1A1-2251D893F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Arial" w:eastAsia="Arial" w:hAnsi="Arial" w:cs="Arial"/>
      <w:sz w:val="22"/>
      <w:szCs w:val="22"/>
    </w:rPr>
  </w:style>
  <w:style w:type="paragraph" w:styleId="Heading1">
    <w:name w:val="heading 1"/>
    <w:basedOn w:val="Normal"/>
    <w:link w:val="Heading1Char"/>
    <w:uiPriority w:val="9"/>
    <w:qFormat/>
    <w:pPr>
      <w:ind w:left="217"/>
      <w:outlineLvl w:val="0"/>
    </w:pPr>
    <w:rPr>
      <w:rFonts w:cs="Times New Roman"/>
      <w:b/>
      <w:bCs/>
      <w:sz w:val="21"/>
      <w:szCs w:val="21"/>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cs="Times New Roman"/>
      <w:sz w:val="21"/>
      <w:szCs w:val="21"/>
      <w:lang w:val="x-none"/>
    </w:rPr>
  </w:style>
  <w:style w:type="paragraph" w:styleId="Title">
    <w:name w:val="Title"/>
    <w:basedOn w:val="Normal"/>
    <w:uiPriority w:val="10"/>
    <w:qFormat/>
    <w:pPr>
      <w:spacing w:before="73"/>
      <w:ind w:left="217"/>
    </w:pPr>
    <w:rPr>
      <w:b/>
      <w:bCs/>
      <w:sz w:val="28"/>
      <w:szCs w:val="28"/>
    </w:rPr>
  </w:style>
  <w:style w:type="paragraph" w:styleId="ListParagraph">
    <w:name w:val="List Paragraph"/>
    <w:basedOn w:val="Normal"/>
    <w:uiPriority w:val="1"/>
    <w:qFormat/>
    <w:pPr>
      <w:ind w:left="649" w:hanging="432"/>
    </w:pPr>
  </w:style>
  <w:style w:type="paragraph" w:customStyle="1" w:styleId="TableParagraph">
    <w:name w:val="Table Paragraph"/>
    <w:basedOn w:val="Normal"/>
    <w:uiPriority w:val="1"/>
    <w:qFormat/>
    <w:pPr>
      <w:spacing w:before="4"/>
      <w:ind w:left="110"/>
    </w:pPr>
  </w:style>
  <w:style w:type="paragraph" w:customStyle="1" w:styleId="Default">
    <w:name w:val="Default"/>
    <w:rsid w:val="005533E1"/>
    <w:pPr>
      <w:autoSpaceDE w:val="0"/>
      <w:autoSpaceDN w:val="0"/>
      <w:adjustRightInd w:val="0"/>
    </w:pPr>
    <w:rPr>
      <w:rFonts w:ascii="Times New Roman" w:hAnsi="Times New Roman"/>
      <w:color w:val="000000"/>
      <w:sz w:val="24"/>
      <w:szCs w:val="24"/>
      <w:lang w:val="en-GB" w:eastAsia="en-GB"/>
    </w:rPr>
  </w:style>
  <w:style w:type="character" w:customStyle="1" w:styleId="apple-converted-space">
    <w:name w:val="apple-converted-space"/>
    <w:rsid w:val="006942AE"/>
  </w:style>
  <w:style w:type="paragraph" w:styleId="BalloonText">
    <w:name w:val="Balloon Text"/>
    <w:basedOn w:val="Normal"/>
    <w:link w:val="BalloonTextChar"/>
    <w:uiPriority w:val="99"/>
    <w:semiHidden/>
    <w:unhideWhenUsed/>
    <w:rsid w:val="0008365F"/>
    <w:rPr>
      <w:rFonts w:ascii="Times New Roman" w:hAnsi="Times New Roman" w:cs="Times New Roman"/>
      <w:sz w:val="18"/>
      <w:szCs w:val="18"/>
      <w:lang w:val="x-none"/>
    </w:rPr>
  </w:style>
  <w:style w:type="character" w:customStyle="1" w:styleId="BalloonTextChar">
    <w:name w:val="Balloon Text Char"/>
    <w:link w:val="BalloonText"/>
    <w:uiPriority w:val="99"/>
    <w:semiHidden/>
    <w:rsid w:val="0008365F"/>
    <w:rPr>
      <w:rFonts w:ascii="Times New Roman" w:eastAsia="Arial" w:hAnsi="Times New Roman"/>
      <w:sz w:val="18"/>
      <w:szCs w:val="18"/>
      <w:lang w:eastAsia="en-US"/>
    </w:rPr>
  </w:style>
  <w:style w:type="character" w:customStyle="1" w:styleId="Heading1Char">
    <w:name w:val="Heading 1 Char"/>
    <w:link w:val="Heading1"/>
    <w:uiPriority w:val="9"/>
    <w:rsid w:val="00680300"/>
    <w:rPr>
      <w:rFonts w:ascii="Arial" w:eastAsia="Arial" w:hAnsi="Arial" w:cs="Arial"/>
      <w:b/>
      <w:bCs/>
      <w:sz w:val="21"/>
      <w:szCs w:val="21"/>
      <w:lang w:eastAsia="en-US"/>
    </w:rPr>
  </w:style>
  <w:style w:type="character" w:customStyle="1" w:styleId="BodyTextChar">
    <w:name w:val="Body Text Char"/>
    <w:link w:val="BodyText"/>
    <w:uiPriority w:val="1"/>
    <w:rsid w:val="00680300"/>
    <w:rPr>
      <w:rFonts w:ascii="Arial" w:eastAsia="Arial" w:hAnsi="Arial" w:cs="Arial"/>
      <w:sz w:val="21"/>
      <w:szCs w:val="21"/>
      <w:lang w:eastAsia="en-US"/>
    </w:rPr>
  </w:style>
  <w:style w:type="paragraph" w:styleId="Revision">
    <w:name w:val="Revision"/>
    <w:hidden/>
    <w:uiPriority w:val="99"/>
    <w:semiHidden/>
    <w:rsid w:val="00194384"/>
    <w:rPr>
      <w:rFonts w:ascii="Arial" w:eastAsia="Arial" w:hAnsi="Arial" w:cs="Arial"/>
      <w:sz w:val="22"/>
      <w:szCs w:val="22"/>
    </w:rPr>
  </w:style>
  <w:style w:type="character" w:styleId="CommentReference">
    <w:name w:val="annotation reference"/>
    <w:uiPriority w:val="99"/>
    <w:semiHidden/>
    <w:unhideWhenUsed/>
    <w:rsid w:val="00ED3C38"/>
    <w:rPr>
      <w:sz w:val="16"/>
      <w:szCs w:val="16"/>
    </w:rPr>
  </w:style>
  <w:style w:type="paragraph" w:styleId="CommentText">
    <w:name w:val="annotation text"/>
    <w:basedOn w:val="Normal"/>
    <w:link w:val="CommentTextChar"/>
    <w:uiPriority w:val="99"/>
    <w:unhideWhenUsed/>
    <w:rsid w:val="00ED3C38"/>
    <w:rPr>
      <w:rFonts w:cs="Times New Roman"/>
      <w:sz w:val="20"/>
      <w:szCs w:val="20"/>
    </w:rPr>
  </w:style>
  <w:style w:type="character" w:customStyle="1" w:styleId="CommentTextChar">
    <w:name w:val="Comment Text Char"/>
    <w:link w:val="CommentText"/>
    <w:uiPriority w:val="99"/>
    <w:rsid w:val="00ED3C38"/>
    <w:rPr>
      <w:rFonts w:ascii="Arial" w:eastAsia="Arial" w:hAnsi="Arial" w:cs="Arial"/>
      <w:lang w:val="en-US" w:eastAsia="en-US"/>
    </w:rPr>
  </w:style>
  <w:style w:type="paragraph" w:styleId="CommentSubject">
    <w:name w:val="annotation subject"/>
    <w:basedOn w:val="CommentText"/>
    <w:next w:val="CommentText"/>
    <w:link w:val="CommentSubjectChar"/>
    <w:uiPriority w:val="99"/>
    <w:semiHidden/>
    <w:unhideWhenUsed/>
    <w:rsid w:val="00ED3C38"/>
    <w:rPr>
      <w:b/>
      <w:bCs/>
    </w:rPr>
  </w:style>
  <w:style w:type="character" w:customStyle="1" w:styleId="CommentSubjectChar">
    <w:name w:val="Comment Subject Char"/>
    <w:link w:val="CommentSubject"/>
    <w:uiPriority w:val="99"/>
    <w:semiHidden/>
    <w:rsid w:val="00ED3C38"/>
    <w:rPr>
      <w:rFonts w:ascii="Arial" w:eastAsia="Arial" w:hAnsi="Arial" w:cs="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68368">
      <w:bodyDiv w:val="1"/>
      <w:marLeft w:val="0"/>
      <w:marRight w:val="0"/>
      <w:marTop w:val="0"/>
      <w:marBottom w:val="0"/>
      <w:divBdr>
        <w:top w:val="none" w:sz="0" w:space="0" w:color="auto"/>
        <w:left w:val="none" w:sz="0" w:space="0" w:color="auto"/>
        <w:bottom w:val="none" w:sz="0" w:space="0" w:color="auto"/>
        <w:right w:val="none" w:sz="0" w:space="0" w:color="auto"/>
      </w:divBdr>
    </w:div>
    <w:div w:id="238515733">
      <w:bodyDiv w:val="1"/>
      <w:marLeft w:val="0"/>
      <w:marRight w:val="0"/>
      <w:marTop w:val="0"/>
      <w:marBottom w:val="0"/>
      <w:divBdr>
        <w:top w:val="none" w:sz="0" w:space="0" w:color="auto"/>
        <w:left w:val="none" w:sz="0" w:space="0" w:color="auto"/>
        <w:bottom w:val="none" w:sz="0" w:space="0" w:color="auto"/>
        <w:right w:val="none" w:sz="0" w:space="0" w:color="auto"/>
      </w:divBdr>
    </w:div>
    <w:div w:id="369575911">
      <w:bodyDiv w:val="1"/>
      <w:marLeft w:val="0"/>
      <w:marRight w:val="0"/>
      <w:marTop w:val="0"/>
      <w:marBottom w:val="0"/>
      <w:divBdr>
        <w:top w:val="none" w:sz="0" w:space="0" w:color="auto"/>
        <w:left w:val="none" w:sz="0" w:space="0" w:color="auto"/>
        <w:bottom w:val="none" w:sz="0" w:space="0" w:color="auto"/>
        <w:right w:val="none" w:sz="0" w:space="0" w:color="auto"/>
      </w:divBdr>
    </w:div>
    <w:div w:id="491259357">
      <w:bodyDiv w:val="1"/>
      <w:marLeft w:val="0"/>
      <w:marRight w:val="0"/>
      <w:marTop w:val="0"/>
      <w:marBottom w:val="0"/>
      <w:divBdr>
        <w:top w:val="none" w:sz="0" w:space="0" w:color="auto"/>
        <w:left w:val="none" w:sz="0" w:space="0" w:color="auto"/>
        <w:bottom w:val="none" w:sz="0" w:space="0" w:color="auto"/>
        <w:right w:val="none" w:sz="0" w:space="0" w:color="auto"/>
      </w:divBdr>
    </w:div>
    <w:div w:id="651449360">
      <w:bodyDiv w:val="1"/>
      <w:marLeft w:val="0"/>
      <w:marRight w:val="0"/>
      <w:marTop w:val="0"/>
      <w:marBottom w:val="0"/>
      <w:divBdr>
        <w:top w:val="none" w:sz="0" w:space="0" w:color="auto"/>
        <w:left w:val="none" w:sz="0" w:space="0" w:color="auto"/>
        <w:bottom w:val="none" w:sz="0" w:space="0" w:color="auto"/>
        <w:right w:val="none" w:sz="0" w:space="0" w:color="auto"/>
      </w:divBdr>
    </w:div>
    <w:div w:id="788743746">
      <w:bodyDiv w:val="1"/>
      <w:marLeft w:val="0"/>
      <w:marRight w:val="0"/>
      <w:marTop w:val="0"/>
      <w:marBottom w:val="0"/>
      <w:divBdr>
        <w:top w:val="none" w:sz="0" w:space="0" w:color="auto"/>
        <w:left w:val="none" w:sz="0" w:space="0" w:color="auto"/>
        <w:bottom w:val="none" w:sz="0" w:space="0" w:color="auto"/>
        <w:right w:val="none" w:sz="0" w:space="0" w:color="auto"/>
      </w:divBdr>
    </w:div>
    <w:div w:id="848568871">
      <w:bodyDiv w:val="1"/>
      <w:marLeft w:val="0"/>
      <w:marRight w:val="0"/>
      <w:marTop w:val="0"/>
      <w:marBottom w:val="0"/>
      <w:divBdr>
        <w:top w:val="none" w:sz="0" w:space="0" w:color="auto"/>
        <w:left w:val="none" w:sz="0" w:space="0" w:color="auto"/>
        <w:bottom w:val="none" w:sz="0" w:space="0" w:color="auto"/>
        <w:right w:val="none" w:sz="0" w:space="0" w:color="auto"/>
      </w:divBdr>
    </w:div>
    <w:div w:id="884103320">
      <w:bodyDiv w:val="1"/>
      <w:marLeft w:val="0"/>
      <w:marRight w:val="0"/>
      <w:marTop w:val="0"/>
      <w:marBottom w:val="0"/>
      <w:divBdr>
        <w:top w:val="none" w:sz="0" w:space="0" w:color="auto"/>
        <w:left w:val="none" w:sz="0" w:space="0" w:color="auto"/>
        <w:bottom w:val="none" w:sz="0" w:space="0" w:color="auto"/>
        <w:right w:val="none" w:sz="0" w:space="0" w:color="auto"/>
      </w:divBdr>
    </w:div>
    <w:div w:id="893152264">
      <w:bodyDiv w:val="1"/>
      <w:marLeft w:val="0"/>
      <w:marRight w:val="0"/>
      <w:marTop w:val="0"/>
      <w:marBottom w:val="0"/>
      <w:divBdr>
        <w:top w:val="none" w:sz="0" w:space="0" w:color="auto"/>
        <w:left w:val="none" w:sz="0" w:space="0" w:color="auto"/>
        <w:bottom w:val="none" w:sz="0" w:space="0" w:color="auto"/>
        <w:right w:val="none" w:sz="0" w:space="0" w:color="auto"/>
      </w:divBdr>
    </w:div>
    <w:div w:id="906259399">
      <w:bodyDiv w:val="1"/>
      <w:marLeft w:val="0"/>
      <w:marRight w:val="0"/>
      <w:marTop w:val="0"/>
      <w:marBottom w:val="0"/>
      <w:divBdr>
        <w:top w:val="none" w:sz="0" w:space="0" w:color="auto"/>
        <w:left w:val="none" w:sz="0" w:space="0" w:color="auto"/>
        <w:bottom w:val="none" w:sz="0" w:space="0" w:color="auto"/>
        <w:right w:val="none" w:sz="0" w:space="0" w:color="auto"/>
      </w:divBdr>
    </w:div>
    <w:div w:id="1057172002">
      <w:bodyDiv w:val="1"/>
      <w:marLeft w:val="0"/>
      <w:marRight w:val="0"/>
      <w:marTop w:val="0"/>
      <w:marBottom w:val="0"/>
      <w:divBdr>
        <w:top w:val="none" w:sz="0" w:space="0" w:color="auto"/>
        <w:left w:val="none" w:sz="0" w:space="0" w:color="auto"/>
        <w:bottom w:val="none" w:sz="0" w:space="0" w:color="auto"/>
        <w:right w:val="none" w:sz="0" w:space="0" w:color="auto"/>
      </w:divBdr>
    </w:div>
    <w:div w:id="1484077499">
      <w:bodyDiv w:val="1"/>
      <w:marLeft w:val="0"/>
      <w:marRight w:val="0"/>
      <w:marTop w:val="0"/>
      <w:marBottom w:val="0"/>
      <w:divBdr>
        <w:top w:val="none" w:sz="0" w:space="0" w:color="auto"/>
        <w:left w:val="none" w:sz="0" w:space="0" w:color="auto"/>
        <w:bottom w:val="none" w:sz="0" w:space="0" w:color="auto"/>
        <w:right w:val="none" w:sz="0" w:space="0" w:color="auto"/>
      </w:divBdr>
    </w:div>
    <w:div w:id="1595673440">
      <w:bodyDiv w:val="1"/>
      <w:marLeft w:val="0"/>
      <w:marRight w:val="0"/>
      <w:marTop w:val="0"/>
      <w:marBottom w:val="0"/>
      <w:divBdr>
        <w:top w:val="none" w:sz="0" w:space="0" w:color="auto"/>
        <w:left w:val="none" w:sz="0" w:space="0" w:color="auto"/>
        <w:bottom w:val="none" w:sz="0" w:space="0" w:color="auto"/>
        <w:right w:val="none" w:sz="0" w:space="0" w:color="auto"/>
      </w:divBdr>
    </w:div>
    <w:div w:id="1705595391">
      <w:bodyDiv w:val="1"/>
      <w:marLeft w:val="0"/>
      <w:marRight w:val="0"/>
      <w:marTop w:val="0"/>
      <w:marBottom w:val="0"/>
      <w:divBdr>
        <w:top w:val="none" w:sz="0" w:space="0" w:color="auto"/>
        <w:left w:val="none" w:sz="0" w:space="0" w:color="auto"/>
        <w:bottom w:val="none" w:sz="0" w:space="0" w:color="auto"/>
        <w:right w:val="none" w:sz="0" w:space="0" w:color="auto"/>
      </w:divBdr>
    </w:div>
    <w:div w:id="1749500865">
      <w:bodyDiv w:val="1"/>
      <w:marLeft w:val="0"/>
      <w:marRight w:val="0"/>
      <w:marTop w:val="0"/>
      <w:marBottom w:val="0"/>
      <w:divBdr>
        <w:top w:val="none" w:sz="0" w:space="0" w:color="auto"/>
        <w:left w:val="none" w:sz="0" w:space="0" w:color="auto"/>
        <w:bottom w:val="none" w:sz="0" w:space="0" w:color="auto"/>
        <w:right w:val="none" w:sz="0" w:space="0" w:color="auto"/>
      </w:divBdr>
    </w:div>
    <w:div w:id="1787578411">
      <w:bodyDiv w:val="1"/>
      <w:marLeft w:val="0"/>
      <w:marRight w:val="0"/>
      <w:marTop w:val="0"/>
      <w:marBottom w:val="0"/>
      <w:divBdr>
        <w:top w:val="none" w:sz="0" w:space="0" w:color="auto"/>
        <w:left w:val="none" w:sz="0" w:space="0" w:color="auto"/>
        <w:bottom w:val="none" w:sz="0" w:space="0" w:color="auto"/>
        <w:right w:val="none" w:sz="0" w:space="0" w:color="auto"/>
      </w:divBdr>
    </w:div>
    <w:div w:id="1898200327">
      <w:bodyDiv w:val="1"/>
      <w:marLeft w:val="0"/>
      <w:marRight w:val="0"/>
      <w:marTop w:val="0"/>
      <w:marBottom w:val="0"/>
      <w:divBdr>
        <w:top w:val="none" w:sz="0" w:space="0" w:color="auto"/>
        <w:left w:val="none" w:sz="0" w:space="0" w:color="auto"/>
        <w:bottom w:val="none" w:sz="0" w:space="0" w:color="auto"/>
        <w:right w:val="none" w:sz="0" w:space="0" w:color="auto"/>
      </w:divBdr>
    </w:div>
    <w:div w:id="1943952330">
      <w:bodyDiv w:val="1"/>
      <w:marLeft w:val="0"/>
      <w:marRight w:val="0"/>
      <w:marTop w:val="0"/>
      <w:marBottom w:val="0"/>
      <w:divBdr>
        <w:top w:val="none" w:sz="0" w:space="0" w:color="auto"/>
        <w:left w:val="none" w:sz="0" w:space="0" w:color="auto"/>
        <w:bottom w:val="none" w:sz="0" w:space="0" w:color="auto"/>
        <w:right w:val="none" w:sz="0" w:space="0" w:color="auto"/>
      </w:divBdr>
    </w:div>
    <w:div w:id="2056658190">
      <w:bodyDiv w:val="1"/>
      <w:marLeft w:val="0"/>
      <w:marRight w:val="0"/>
      <w:marTop w:val="0"/>
      <w:marBottom w:val="0"/>
      <w:divBdr>
        <w:top w:val="none" w:sz="0" w:space="0" w:color="auto"/>
        <w:left w:val="none" w:sz="0" w:space="0" w:color="auto"/>
        <w:bottom w:val="none" w:sz="0" w:space="0" w:color="auto"/>
        <w:right w:val="none" w:sz="0" w:space="0" w:color="auto"/>
      </w:divBdr>
    </w:div>
    <w:div w:id="2087847599">
      <w:bodyDiv w:val="1"/>
      <w:marLeft w:val="0"/>
      <w:marRight w:val="0"/>
      <w:marTop w:val="0"/>
      <w:marBottom w:val="0"/>
      <w:divBdr>
        <w:top w:val="none" w:sz="0" w:space="0" w:color="auto"/>
        <w:left w:val="none" w:sz="0" w:space="0" w:color="auto"/>
        <w:bottom w:val="none" w:sz="0" w:space="0" w:color="auto"/>
        <w:right w:val="none" w:sz="0" w:space="0" w:color="auto"/>
      </w:divBdr>
    </w:div>
    <w:div w:id="2099709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7491</Words>
  <Characters>42704</Characters>
  <Application>Microsoft Office Word</Application>
  <DocSecurity>0</DocSecurity>
  <Lines>355</Lines>
  <Paragraphs>100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dsy</dc:creator>
  <cp:keywords/>
  <cp:lastModifiedBy>James Delgrande</cp:lastModifiedBy>
  <cp:revision>2</cp:revision>
  <dcterms:created xsi:type="dcterms:W3CDTF">2021-04-10T21:48:00Z</dcterms:created>
  <dcterms:modified xsi:type="dcterms:W3CDTF">2021-04-10T21:48:00Z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2020-12-11T00:00:00Z</vt:filetime>
  </property>
</Properties>
</file>