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37EA3" w14:textId="4076DAA4" w:rsidR="00BC410F" w:rsidRDefault="005049B5" w:rsidP="005F1576">
      <w:pPr>
        <w:spacing w:before="0" w:line="276" w:lineRule="auto"/>
        <w:jc w:val="left"/>
        <w:rPr>
          <w:b/>
          <w:bCs/>
          <w:sz w:val="28"/>
          <w:szCs w:val="28"/>
        </w:rPr>
      </w:pPr>
      <w:bookmarkStart w:id="0" w:name="_Hlk140073848"/>
      <w:r w:rsidRPr="00BE1434">
        <w:rPr>
          <w:b/>
          <w:bCs/>
          <w:sz w:val="28"/>
          <w:szCs w:val="28"/>
        </w:rPr>
        <w:t>CARNEY COMPLEX</w:t>
      </w:r>
      <w:r w:rsidR="009A1C9C">
        <w:rPr>
          <w:b/>
          <w:bCs/>
          <w:sz w:val="28"/>
          <w:szCs w:val="28"/>
        </w:rPr>
        <w:t xml:space="preserve"> </w:t>
      </w:r>
      <w:bookmarkEnd w:id="0"/>
    </w:p>
    <w:p w14:paraId="3F429FF0" w14:textId="77777777" w:rsidR="005F1576" w:rsidRPr="000A68CB" w:rsidRDefault="005F1576" w:rsidP="005F1576">
      <w:pPr>
        <w:spacing w:before="0" w:line="276" w:lineRule="auto"/>
        <w:jc w:val="left"/>
        <w:rPr>
          <w:b/>
          <w:bCs/>
          <w:sz w:val="28"/>
          <w:szCs w:val="28"/>
          <w:lang w:val="el-GR"/>
        </w:rPr>
      </w:pPr>
    </w:p>
    <w:p w14:paraId="0C3AA4BD" w14:textId="5B84E4BE" w:rsidR="00BC410F" w:rsidRPr="005F1576" w:rsidRDefault="005049B5" w:rsidP="005F1576">
      <w:pPr>
        <w:spacing w:before="0" w:line="276" w:lineRule="auto"/>
        <w:jc w:val="left"/>
        <w:rPr>
          <w:color w:val="0000FF"/>
          <w:sz w:val="20"/>
          <w:szCs w:val="20"/>
        </w:rPr>
      </w:pPr>
      <w:r w:rsidRPr="00BE1434">
        <w:rPr>
          <w:b/>
          <w:bCs/>
          <w:szCs w:val="24"/>
        </w:rPr>
        <w:t>Gregory Kaltsas, MD, FRCP</w:t>
      </w:r>
      <w:r w:rsidR="005F1576">
        <w:rPr>
          <w:b/>
          <w:bCs/>
          <w:szCs w:val="24"/>
        </w:rPr>
        <w:t>,</w:t>
      </w:r>
      <w:r w:rsidR="009A1C9C">
        <w:rPr>
          <w:b/>
          <w:bCs/>
          <w:szCs w:val="24"/>
        </w:rPr>
        <w:t xml:space="preserve"> </w:t>
      </w:r>
      <w:r w:rsidR="000A68CB" w:rsidRPr="005F1576">
        <w:rPr>
          <w:sz w:val="20"/>
          <w:szCs w:val="20"/>
        </w:rPr>
        <w:t>1st Department of</w:t>
      </w:r>
      <w:r w:rsidR="000A68CB" w:rsidRPr="005F1576">
        <w:rPr>
          <w:sz w:val="20"/>
          <w:szCs w:val="20"/>
          <w:lang w:val="el-GR"/>
        </w:rPr>
        <w:t xml:space="preserve"> </w:t>
      </w:r>
      <w:r w:rsidR="000A68CB" w:rsidRPr="005F1576">
        <w:rPr>
          <w:sz w:val="20"/>
          <w:szCs w:val="20"/>
        </w:rPr>
        <w:t>Propaedeutic Internal Medicine</w:t>
      </w:r>
      <w:r w:rsidRPr="005F1576">
        <w:rPr>
          <w:sz w:val="20"/>
          <w:szCs w:val="20"/>
        </w:rPr>
        <w:t xml:space="preserve">, National University of Athens, </w:t>
      </w:r>
      <w:proofErr w:type="spellStart"/>
      <w:r w:rsidRPr="005F1576">
        <w:rPr>
          <w:sz w:val="20"/>
          <w:szCs w:val="20"/>
        </w:rPr>
        <w:t>Mikras</w:t>
      </w:r>
      <w:proofErr w:type="spellEnd"/>
      <w:r w:rsidRPr="005F1576">
        <w:rPr>
          <w:sz w:val="20"/>
          <w:szCs w:val="20"/>
        </w:rPr>
        <w:t xml:space="preserve"> Asias 75, 115 27, Athens, Greece</w:t>
      </w:r>
      <w:r w:rsidR="002B67A6" w:rsidRPr="002B67A6">
        <w:rPr>
          <w:color w:val="auto"/>
          <w:sz w:val="20"/>
          <w:szCs w:val="20"/>
        </w:rPr>
        <w:t>.</w:t>
      </w:r>
      <w:r w:rsidR="009A1C9C" w:rsidRPr="002B67A6">
        <w:rPr>
          <w:color w:val="auto"/>
          <w:sz w:val="20"/>
          <w:szCs w:val="20"/>
        </w:rPr>
        <w:t xml:space="preserve"> </w:t>
      </w:r>
      <w:hyperlink r:id="rId6" w:history="1">
        <w:r w:rsidR="00BC410F" w:rsidRPr="002B67A6">
          <w:rPr>
            <w:rStyle w:val="Hyperlink"/>
            <w:color w:val="auto"/>
            <w:sz w:val="20"/>
            <w:szCs w:val="20"/>
            <w:u w:val="none"/>
          </w:rPr>
          <w:t>gkaltsas@endo.gr</w:t>
        </w:r>
      </w:hyperlink>
      <w:r w:rsidR="009A1C9C" w:rsidRPr="005F1576">
        <w:rPr>
          <w:color w:val="0000FF"/>
          <w:sz w:val="20"/>
          <w:szCs w:val="20"/>
        </w:rPr>
        <w:t xml:space="preserve"> </w:t>
      </w:r>
    </w:p>
    <w:p w14:paraId="788DED15" w14:textId="4F51DE27" w:rsidR="00BC410F" w:rsidRPr="005F1576" w:rsidRDefault="005049B5" w:rsidP="005F1576">
      <w:pPr>
        <w:spacing w:before="0" w:line="276" w:lineRule="auto"/>
        <w:jc w:val="left"/>
        <w:rPr>
          <w:sz w:val="20"/>
          <w:szCs w:val="20"/>
        </w:rPr>
      </w:pPr>
      <w:r w:rsidRPr="00BE1434">
        <w:rPr>
          <w:b/>
          <w:bCs/>
          <w:szCs w:val="24"/>
        </w:rPr>
        <w:t>George Kanakis, MD, PhD</w:t>
      </w:r>
      <w:r w:rsidR="005F1576">
        <w:rPr>
          <w:b/>
          <w:bCs/>
          <w:szCs w:val="24"/>
        </w:rPr>
        <w:t>,</w:t>
      </w:r>
      <w:r w:rsidR="009A1C9C">
        <w:rPr>
          <w:b/>
          <w:bCs/>
          <w:szCs w:val="24"/>
        </w:rPr>
        <w:t xml:space="preserve"> </w:t>
      </w:r>
      <w:r w:rsidRPr="005F1576">
        <w:rPr>
          <w:sz w:val="20"/>
          <w:szCs w:val="20"/>
        </w:rPr>
        <w:t>Athens Naval &amp; VA Hospital, Department of Endocrinology, Athens, Greece</w:t>
      </w:r>
      <w:r w:rsidR="00585CC8">
        <w:rPr>
          <w:sz w:val="20"/>
          <w:szCs w:val="20"/>
        </w:rPr>
        <w:t xml:space="preserve">. </w:t>
      </w:r>
      <w:r w:rsidR="009A1C9C" w:rsidRPr="005F1576">
        <w:rPr>
          <w:sz w:val="20"/>
          <w:szCs w:val="20"/>
        </w:rPr>
        <w:t xml:space="preserve"> </w:t>
      </w:r>
    </w:p>
    <w:p w14:paraId="30274E0D" w14:textId="3CAA3A73" w:rsidR="005F1576" w:rsidRDefault="005049B5" w:rsidP="005F1576">
      <w:pPr>
        <w:spacing w:before="0" w:line="276" w:lineRule="auto"/>
        <w:jc w:val="left"/>
        <w:rPr>
          <w:sz w:val="20"/>
          <w:szCs w:val="20"/>
        </w:rPr>
      </w:pPr>
      <w:r w:rsidRPr="00BE1434">
        <w:rPr>
          <w:b/>
          <w:bCs/>
          <w:szCs w:val="24"/>
        </w:rPr>
        <w:t xml:space="preserve">George </w:t>
      </w:r>
      <w:proofErr w:type="spellStart"/>
      <w:r w:rsidRPr="00BE1434">
        <w:rPr>
          <w:b/>
          <w:bCs/>
          <w:szCs w:val="24"/>
        </w:rPr>
        <w:t>Chrousos</w:t>
      </w:r>
      <w:proofErr w:type="spellEnd"/>
      <w:r w:rsidRPr="00BE1434">
        <w:rPr>
          <w:b/>
          <w:bCs/>
          <w:szCs w:val="24"/>
        </w:rPr>
        <w:t>, MD, MACE, MACP, FRCP</w:t>
      </w:r>
      <w:r w:rsidR="005F1576">
        <w:rPr>
          <w:b/>
          <w:bCs/>
          <w:szCs w:val="24"/>
        </w:rPr>
        <w:t>,</w:t>
      </w:r>
      <w:r w:rsidR="009A1C9C">
        <w:rPr>
          <w:b/>
          <w:bCs/>
          <w:szCs w:val="24"/>
        </w:rPr>
        <w:t xml:space="preserve"> </w:t>
      </w:r>
      <w:r w:rsidRPr="005F1576">
        <w:rPr>
          <w:sz w:val="20"/>
          <w:szCs w:val="20"/>
        </w:rPr>
        <w:t>Department of Pediatrics, National University of Athens, Athens, Greece</w:t>
      </w:r>
      <w:r w:rsidR="002B67A6">
        <w:rPr>
          <w:sz w:val="20"/>
          <w:szCs w:val="20"/>
        </w:rPr>
        <w:t xml:space="preserve">. </w:t>
      </w:r>
      <w:r w:rsidR="002B67A6" w:rsidRPr="002B67A6">
        <w:rPr>
          <w:sz w:val="20"/>
          <w:szCs w:val="20"/>
        </w:rPr>
        <w:t>chrousos@gmail.com</w:t>
      </w:r>
      <w:r w:rsidR="009A1C9C" w:rsidRPr="005F1576">
        <w:rPr>
          <w:sz w:val="20"/>
          <w:szCs w:val="20"/>
        </w:rPr>
        <w:t xml:space="preserve"> </w:t>
      </w:r>
    </w:p>
    <w:p w14:paraId="375C1863" w14:textId="77777777" w:rsidR="005F1576" w:rsidRDefault="005F1576" w:rsidP="005F1576">
      <w:pPr>
        <w:spacing w:before="0" w:line="276" w:lineRule="auto"/>
        <w:jc w:val="left"/>
        <w:rPr>
          <w:b/>
          <w:bCs/>
        </w:rPr>
      </w:pPr>
    </w:p>
    <w:p w14:paraId="56BE1DE7" w14:textId="24B75475" w:rsidR="00BE1434" w:rsidRDefault="005049B5" w:rsidP="005F1576">
      <w:pPr>
        <w:spacing w:before="0" w:line="276" w:lineRule="auto"/>
        <w:jc w:val="left"/>
        <w:rPr>
          <w:b/>
          <w:bCs/>
        </w:rPr>
      </w:pPr>
      <w:r w:rsidRPr="00BE1434">
        <w:rPr>
          <w:b/>
          <w:bCs/>
        </w:rPr>
        <w:t xml:space="preserve">Updated </w:t>
      </w:r>
      <w:r w:rsidR="00EC2EA6">
        <w:rPr>
          <w:b/>
          <w:bCs/>
        </w:rPr>
        <w:t>July 12, 2023</w:t>
      </w:r>
    </w:p>
    <w:p w14:paraId="54E99C93" w14:textId="77777777" w:rsidR="00D42F24" w:rsidRDefault="00D42F24" w:rsidP="005F1576">
      <w:pPr>
        <w:spacing w:before="0" w:line="276" w:lineRule="auto"/>
        <w:jc w:val="left"/>
        <w:rPr>
          <w:b/>
          <w:bCs/>
        </w:rPr>
      </w:pPr>
    </w:p>
    <w:p w14:paraId="1B0E1300" w14:textId="362C7359" w:rsidR="00BE1434" w:rsidRPr="005F1576" w:rsidRDefault="005049B5" w:rsidP="005F1576">
      <w:pPr>
        <w:spacing w:before="0" w:line="276" w:lineRule="auto"/>
        <w:jc w:val="left"/>
        <w:rPr>
          <w:rStyle w:val="Heading1Char"/>
          <w:b w:val="0"/>
          <w:bCs w:val="0"/>
          <w:color w:val="0070C0"/>
          <w:sz w:val="22"/>
        </w:rPr>
      </w:pPr>
      <w:bookmarkStart w:id="1" w:name="_Hlk140073955"/>
      <w:r w:rsidRPr="005F1576">
        <w:rPr>
          <w:rStyle w:val="Heading1Char"/>
          <w:color w:val="0070C0"/>
          <w:sz w:val="22"/>
        </w:rPr>
        <w:t>ABSTRACT</w:t>
      </w:r>
    </w:p>
    <w:p w14:paraId="6C3E26E3" w14:textId="77777777" w:rsidR="005F1576" w:rsidRPr="005F1576" w:rsidRDefault="005F1576" w:rsidP="005F1576">
      <w:pPr>
        <w:spacing w:before="0" w:line="276" w:lineRule="auto"/>
        <w:jc w:val="left"/>
        <w:rPr>
          <w:sz w:val="22"/>
        </w:rPr>
      </w:pPr>
    </w:p>
    <w:p w14:paraId="32ECA438" w14:textId="155D9030" w:rsidR="00BE1434" w:rsidRDefault="005049B5" w:rsidP="005F1576">
      <w:pPr>
        <w:spacing w:before="0" w:line="276" w:lineRule="auto"/>
        <w:jc w:val="left"/>
        <w:rPr>
          <w:sz w:val="22"/>
        </w:rPr>
      </w:pPr>
      <w:r w:rsidRPr="005F1576">
        <w:rPr>
          <w:sz w:val="22"/>
        </w:rPr>
        <w:t xml:space="preserve">Carney complex (CNC) is a rare dominantly inherited syndrome of multiple </w:t>
      </w:r>
      <w:proofErr w:type="spellStart"/>
      <w:r w:rsidRPr="005F1576">
        <w:rPr>
          <w:sz w:val="22"/>
        </w:rPr>
        <w:t>neoplasias</w:t>
      </w:r>
      <w:proofErr w:type="spellEnd"/>
      <w:r w:rsidR="009A1C9C" w:rsidRPr="005F1576">
        <w:rPr>
          <w:sz w:val="22"/>
        </w:rPr>
        <w:t xml:space="preserve"> </w:t>
      </w:r>
      <w:r w:rsidRPr="005F1576">
        <w:rPr>
          <w:sz w:val="22"/>
        </w:rPr>
        <w:t>combined with cardio-cutaneous manifestations. Approximately 70% of index cases have a</w:t>
      </w:r>
      <w:r w:rsidR="009A1C9C" w:rsidRPr="005F1576">
        <w:rPr>
          <w:sz w:val="22"/>
        </w:rPr>
        <w:t xml:space="preserve"> </w:t>
      </w:r>
      <w:r w:rsidRPr="005F1576">
        <w:rPr>
          <w:sz w:val="22"/>
        </w:rPr>
        <w:t xml:space="preserve">familial history, while the remaining 30% have a </w:t>
      </w:r>
      <w:r w:rsidRPr="005F1576">
        <w:rPr>
          <w:i/>
          <w:iCs/>
          <w:sz w:val="22"/>
        </w:rPr>
        <w:t xml:space="preserve">de novo </w:t>
      </w:r>
      <w:r w:rsidRPr="005F1576">
        <w:rPr>
          <w:sz w:val="22"/>
        </w:rPr>
        <w:t>germline mutation. Hitherto, two loci</w:t>
      </w:r>
      <w:r w:rsidR="009A1C9C" w:rsidRPr="005F1576">
        <w:rPr>
          <w:sz w:val="22"/>
        </w:rPr>
        <w:t xml:space="preserve"> </w:t>
      </w:r>
      <w:r w:rsidRPr="005F1576">
        <w:rPr>
          <w:sz w:val="22"/>
        </w:rPr>
        <w:t>have been principally involved in the genetics of CNC: the CNC1 gene, located on 17q22-24,</w:t>
      </w:r>
      <w:r w:rsidR="009A1C9C" w:rsidRPr="005F1576">
        <w:rPr>
          <w:sz w:val="22"/>
        </w:rPr>
        <w:t xml:space="preserve"> </w:t>
      </w:r>
      <w:r w:rsidRPr="005F1576">
        <w:rPr>
          <w:sz w:val="22"/>
        </w:rPr>
        <w:t>which is coding the regulatory subunit (R1a) of the protein kinase A (PRKAR1A) and is</w:t>
      </w:r>
      <w:r w:rsidR="009A1C9C" w:rsidRPr="005F1576">
        <w:rPr>
          <w:sz w:val="22"/>
        </w:rPr>
        <w:t xml:space="preserve"> </w:t>
      </w:r>
      <w:r w:rsidRPr="005F1576">
        <w:rPr>
          <w:sz w:val="22"/>
        </w:rPr>
        <w:t xml:space="preserve">responsible for 2/3 of cases, </w:t>
      </w:r>
      <w:r w:rsidR="00131BE6" w:rsidRPr="005F1576">
        <w:rPr>
          <w:sz w:val="22"/>
        </w:rPr>
        <w:t>whereas</w:t>
      </w:r>
      <w:r w:rsidRPr="005F1576">
        <w:rPr>
          <w:sz w:val="22"/>
        </w:rPr>
        <w:t xml:space="preserve"> the putative “CNC2” gene at the 2p16 locus has not been</w:t>
      </w:r>
      <w:r w:rsidR="009A1C9C" w:rsidRPr="005F1576">
        <w:rPr>
          <w:sz w:val="22"/>
        </w:rPr>
        <w:t xml:space="preserve"> </w:t>
      </w:r>
      <w:r w:rsidRPr="005F1576">
        <w:rPr>
          <w:sz w:val="22"/>
        </w:rPr>
        <w:t>identified as yet. As most of the identified PRKAR1A mutations are nonsense and lead to a lack</w:t>
      </w:r>
      <w:r w:rsidR="009A1C9C" w:rsidRPr="005F1576">
        <w:rPr>
          <w:sz w:val="22"/>
        </w:rPr>
        <w:t xml:space="preserve"> </w:t>
      </w:r>
      <w:r w:rsidRPr="005F1576">
        <w:rPr>
          <w:sz w:val="22"/>
        </w:rPr>
        <w:t>of detectable mutant protein, no genotype-phenotype correlations are generally observed.</w:t>
      </w:r>
      <w:r w:rsidR="009A1C9C" w:rsidRPr="005F1576">
        <w:rPr>
          <w:sz w:val="22"/>
        </w:rPr>
        <w:t xml:space="preserve"> </w:t>
      </w:r>
      <w:r w:rsidRPr="005F1576">
        <w:rPr>
          <w:sz w:val="22"/>
        </w:rPr>
        <w:t>Cutaneous lesions (lentigines, nevi</w:t>
      </w:r>
      <w:r w:rsidR="006644FA">
        <w:rPr>
          <w:sz w:val="22"/>
        </w:rPr>
        <w:t>,</w:t>
      </w:r>
      <w:r w:rsidRPr="005F1576">
        <w:rPr>
          <w:sz w:val="22"/>
        </w:rPr>
        <w:t xml:space="preserve"> and myxomas), although with minimal clinical impact, are</w:t>
      </w:r>
      <w:r w:rsidR="009A1C9C" w:rsidRPr="005F1576">
        <w:rPr>
          <w:sz w:val="22"/>
        </w:rPr>
        <w:t xml:space="preserve"> </w:t>
      </w:r>
      <w:r w:rsidRPr="005F1576">
        <w:rPr>
          <w:sz w:val="22"/>
        </w:rPr>
        <w:t>the most common and occasionally specific findings, assisting early diagnosis. Cardiac</w:t>
      </w:r>
      <w:r w:rsidR="009A1C9C" w:rsidRPr="005F1576">
        <w:rPr>
          <w:sz w:val="22"/>
        </w:rPr>
        <w:t xml:space="preserve"> </w:t>
      </w:r>
      <w:r w:rsidRPr="005F1576">
        <w:rPr>
          <w:sz w:val="22"/>
        </w:rPr>
        <w:t>myxomas show an atypical presentation and contribute substantially to mortality. Among several</w:t>
      </w:r>
      <w:r w:rsidR="009A1C9C" w:rsidRPr="005F1576">
        <w:rPr>
          <w:sz w:val="22"/>
        </w:rPr>
        <w:t xml:space="preserve"> </w:t>
      </w:r>
      <w:r w:rsidRPr="005F1576">
        <w:rPr>
          <w:sz w:val="22"/>
        </w:rPr>
        <w:t xml:space="preserve">associated endocrine </w:t>
      </w:r>
      <w:proofErr w:type="spellStart"/>
      <w:r w:rsidRPr="005F1576">
        <w:rPr>
          <w:sz w:val="22"/>
        </w:rPr>
        <w:t>neoplasias</w:t>
      </w:r>
      <w:proofErr w:type="spellEnd"/>
      <w:r w:rsidRPr="005F1576">
        <w:rPr>
          <w:sz w:val="22"/>
        </w:rPr>
        <w:t>, Primary Pigmented Nodular Adrenal Dysplasia is the one</w:t>
      </w:r>
      <w:r w:rsidR="009A1C9C" w:rsidRPr="005F1576">
        <w:rPr>
          <w:sz w:val="22"/>
        </w:rPr>
        <w:t xml:space="preserve"> </w:t>
      </w:r>
      <w:r w:rsidRPr="005F1576">
        <w:rPr>
          <w:sz w:val="22"/>
        </w:rPr>
        <w:t>most frequently observed, followed by thyroid nodules, somatomammotrope adenomas</w:t>
      </w:r>
      <w:r w:rsidR="002F52E3">
        <w:rPr>
          <w:sz w:val="22"/>
        </w:rPr>
        <w:t>,</w:t>
      </w:r>
      <w:r w:rsidRPr="005F1576">
        <w:rPr>
          <w:sz w:val="22"/>
        </w:rPr>
        <w:t xml:space="preserve"> and</w:t>
      </w:r>
      <w:r w:rsidR="009A1C9C" w:rsidRPr="005F1576">
        <w:rPr>
          <w:sz w:val="22"/>
        </w:rPr>
        <w:t xml:space="preserve"> </w:t>
      </w:r>
      <w:r w:rsidRPr="005F1576">
        <w:rPr>
          <w:sz w:val="22"/>
        </w:rPr>
        <w:t>testicular tumors. The diagnosis is principally set by 12 major clinical criteria and 2 supplemental</w:t>
      </w:r>
      <w:r w:rsidR="009A1C9C" w:rsidRPr="005F1576">
        <w:rPr>
          <w:sz w:val="22"/>
        </w:rPr>
        <w:t xml:space="preserve"> </w:t>
      </w:r>
      <w:r w:rsidRPr="005F1576">
        <w:rPr>
          <w:sz w:val="22"/>
        </w:rPr>
        <w:t xml:space="preserve">criteria, </w:t>
      </w:r>
      <w:r w:rsidR="00454D16" w:rsidRPr="005F1576">
        <w:rPr>
          <w:sz w:val="22"/>
        </w:rPr>
        <w:t xml:space="preserve">including </w:t>
      </w:r>
      <w:r w:rsidRPr="005F1576">
        <w:rPr>
          <w:sz w:val="22"/>
        </w:rPr>
        <w:t>molecular testing and family history. Molecular testing, which has a mutation</w:t>
      </w:r>
      <w:r w:rsidR="00454D16" w:rsidRPr="005F1576">
        <w:rPr>
          <w:sz w:val="22"/>
        </w:rPr>
        <w:t xml:space="preserve"> </w:t>
      </w:r>
      <w:r w:rsidRPr="005F1576">
        <w:rPr>
          <w:sz w:val="22"/>
        </w:rPr>
        <w:t>detection rate of approximately 60%, cannot currently be recommended for all patients. If testing</w:t>
      </w:r>
      <w:r w:rsidR="00A83A08" w:rsidRPr="005F1576">
        <w:rPr>
          <w:sz w:val="22"/>
        </w:rPr>
        <w:t xml:space="preserve"> </w:t>
      </w:r>
      <w:r w:rsidRPr="005F1576">
        <w:rPr>
          <w:sz w:val="22"/>
        </w:rPr>
        <w:t>is performed and a mutation is detected, genetic screening is recommended for first</w:t>
      </w:r>
      <w:r w:rsidR="006644FA">
        <w:rPr>
          <w:sz w:val="22"/>
        </w:rPr>
        <w:t>-</w:t>
      </w:r>
      <w:r w:rsidRPr="005F1576">
        <w:rPr>
          <w:sz w:val="22"/>
        </w:rPr>
        <w:t>degree</w:t>
      </w:r>
      <w:r w:rsidR="00A83A08" w:rsidRPr="005F1576">
        <w:rPr>
          <w:sz w:val="22"/>
        </w:rPr>
        <w:t xml:space="preserve"> </w:t>
      </w:r>
      <w:r w:rsidRPr="005F1576">
        <w:rPr>
          <w:sz w:val="22"/>
        </w:rPr>
        <w:t>relatives. Surveillance for all the manifestations of CNC should be performed at least annually,</w:t>
      </w:r>
      <w:r w:rsidR="00A83A08" w:rsidRPr="005F1576">
        <w:rPr>
          <w:sz w:val="22"/>
        </w:rPr>
        <w:t xml:space="preserve"> </w:t>
      </w:r>
      <w:r w:rsidRPr="005F1576">
        <w:rPr>
          <w:sz w:val="22"/>
        </w:rPr>
        <w:t>starting in infancy. As CNC is generated by a constitutional genetic defect, no etiologic therapy</w:t>
      </w:r>
      <w:r w:rsidR="00A83A08" w:rsidRPr="005F1576">
        <w:rPr>
          <w:sz w:val="22"/>
        </w:rPr>
        <w:t xml:space="preserve"> </w:t>
      </w:r>
      <w:r w:rsidRPr="005F1576">
        <w:rPr>
          <w:sz w:val="22"/>
        </w:rPr>
        <w:t>is available yet. T</w:t>
      </w:r>
      <w:r w:rsidR="006644FA">
        <w:rPr>
          <w:sz w:val="22"/>
        </w:rPr>
        <w:t>he t</w:t>
      </w:r>
      <w:r w:rsidRPr="005F1576">
        <w:rPr>
          <w:sz w:val="22"/>
        </w:rPr>
        <w:t>herapeutic approach should target each clinical manifestation and treat</w:t>
      </w:r>
      <w:r w:rsidR="009A1C9C" w:rsidRPr="005F1576">
        <w:rPr>
          <w:sz w:val="22"/>
        </w:rPr>
        <w:t xml:space="preserve"> </w:t>
      </w:r>
      <w:r w:rsidRPr="005F1576">
        <w:rPr>
          <w:sz w:val="22"/>
        </w:rPr>
        <w:t>accordingly.</w:t>
      </w:r>
    </w:p>
    <w:bookmarkEnd w:id="1"/>
    <w:p w14:paraId="50C80838" w14:textId="77777777" w:rsidR="005F1576" w:rsidRPr="005F1576" w:rsidRDefault="005F1576" w:rsidP="005F1576">
      <w:pPr>
        <w:spacing w:before="0" w:line="276" w:lineRule="auto"/>
        <w:jc w:val="left"/>
        <w:rPr>
          <w:sz w:val="22"/>
        </w:rPr>
      </w:pPr>
    </w:p>
    <w:p w14:paraId="708AD27E" w14:textId="51D933E4" w:rsidR="00BE1434" w:rsidRPr="005F1576" w:rsidRDefault="005049B5" w:rsidP="005F1576">
      <w:pPr>
        <w:pStyle w:val="Heading1"/>
        <w:spacing w:before="0" w:line="276" w:lineRule="auto"/>
        <w:jc w:val="left"/>
        <w:rPr>
          <w:color w:val="0070C0"/>
          <w:sz w:val="22"/>
        </w:rPr>
      </w:pPr>
      <w:bookmarkStart w:id="2" w:name="_Hlk140074039"/>
      <w:r w:rsidRPr="005F1576">
        <w:rPr>
          <w:color w:val="0070C0"/>
          <w:sz w:val="22"/>
        </w:rPr>
        <w:t>INTRODUCTION - HISTORICAL OVERVIEW</w:t>
      </w:r>
    </w:p>
    <w:p w14:paraId="7EBE6DF6" w14:textId="77777777" w:rsidR="005F1576" w:rsidRDefault="005F1576" w:rsidP="005F1576">
      <w:pPr>
        <w:spacing w:before="0" w:line="276" w:lineRule="auto"/>
        <w:jc w:val="left"/>
        <w:rPr>
          <w:sz w:val="22"/>
        </w:rPr>
      </w:pPr>
    </w:p>
    <w:p w14:paraId="795C88B0" w14:textId="0A72F151" w:rsidR="00CF4BBE" w:rsidRDefault="005049B5" w:rsidP="005F1576">
      <w:pPr>
        <w:spacing w:before="0" w:line="276" w:lineRule="auto"/>
        <w:jc w:val="left"/>
        <w:rPr>
          <w:sz w:val="22"/>
        </w:rPr>
      </w:pPr>
      <w:r w:rsidRPr="005F1576">
        <w:rPr>
          <w:sz w:val="22"/>
        </w:rPr>
        <w:t>Carney complex (CNC - Online Mendelian Inheritance in Man 160980, 608837) is a dominantly</w:t>
      </w:r>
      <w:r w:rsidR="009A1C9C" w:rsidRPr="005F1576">
        <w:rPr>
          <w:sz w:val="22"/>
        </w:rPr>
        <w:t xml:space="preserve"> </w:t>
      </w:r>
      <w:r w:rsidRPr="005F1576">
        <w:rPr>
          <w:sz w:val="22"/>
        </w:rPr>
        <w:t xml:space="preserve">inherited syndrome of multiple </w:t>
      </w:r>
      <w:proofErr w:type="spellStart"/>
      <w:r w:rsidRPr="005F1576">
        <w:rPr>
          <w:sz w:val="22"/>
        </w:rPr>
        <w:t>neoplasias</w:t>
      </w:r>
      <w:proofErr w:type="spellEnd"/>
      <w:r w:rsidRPr="005F1576">
        <w:rPr>
          <w:sz w:val="22"/>
        </w:rPr>
        <w:t xml:space="preserve"> combined with </w:t>
      </w:r>
      <w:proofErr w:type="spellStart"/>
      <w:r w:rsidRPr="005F1576">
        <w:rPr>
          <w:sz w:val="22"/>
        </w:rPr>
        <w:t>cardiocutaneous</w:t>
      </w:r>
      <w:proofErr w:type="spellEnd"/>
      <w:r w:rsidRPr="005F1576">
        <w:rPr>
          <w:sz w:val="22"/>
        </w:rPr>
        <w:t xml:space="preserve"> manifestations. The</w:t>
      </w:r>
      <w:r w:rsidR="009A1C9C" w:rsidRPr="005F1576">
        <w:rPr>
          <w:sz w:val="22"/>
        </w:rPr>
        <w:t xml:space="preserve"> </w:t>
      </w:r>
      <w:r w:rsidRPr="005F1576">
        <w:rPr>
          <w:sz w:val="22"/>
        </w:rPr>
        <w:t>neoplastic lesions are both endocrine (adrenal, pituitary</w:t>
      </w:r>
      <w:r w:rsidR="00574962" w:rsidRPr="005F1576">
        <w:rPr>
          <w:sz w:val="22"/>
        </w:rPr>
        <w:t>,</w:t>
      </w:r>
      <w:r w:rsidRPr="005F1576">
        <w:rPr>
          <w:sz w:val="22"/>
        </w:rPr>
        <w:t xml:space="preserve"> thyroid</w:t>
      </w:r>
      <w:r w:rsidR="00574962" w:rsidRPr="005F1576">
        <w:rPr>
          <w:sz w:val="22"/>
        </w:rPr>
        <w:t>, testicular</w:t>
      </w:r>
      <w:r w:rsidRPr="005F1576">
        <w:rPr>
          <w:sz w:val="22"/>
        </w:rPr>
        <w:t xml:space="preserve"> tumors) and non</w:t>
      </w:r>
      <w:r w:rsidR="00574962" w:rsidRPr="005F1576">
        <w:rPr>
          <w:sz w:val="22"/>
        </w:rPr>
        <w:t>-</w:t>
      </w:r>
      <w:r w:rsidRPr="005F1576">
        <w:rPr>
          <w:sz w:val="22"/>
        </w:rPr>
        <w:t xml:space="preserve">endocrine (myxomas, schwannomas). The skin lesions are divided </w:t>
      </w:r>
      <w:r w:rsidR="00131BE6" w:rsidRPr="005F1576">
        <w:rPr>
          <w:sz w:val="22"/>
        </w:rPr>
        <w:t>into</w:t>
      </w:r>
      <w:r w:rsidRPr="005F1576">
        <w:rPr>
          <w:sz w:val="22"/>
        </w:rPr>
        <w:t xml:space="preserve"> two major types: a)</w:t>
      </w:r>
      <w:r w:rsidR="00CF4BBE" w:rsidRPr="005F1576">
        <w:rPr>
          <w:sz w:val="22"/>
        </w:rPr>
        <w:t xml:space="preserve"> </w:t>
      </w:r>
      <w:r w:rsidRPr="005F1576">
        <w:rPr>
          <w:sz w:val="22"/>
        </w:rPr>
        <w:t>pigmented such as lentigines and blue nevi that can be observed on the face, neck</w:t>
      </w:r>
      <w:r w:rsidR="006644FA">
        <w:rPr>
          <w:sz w:val="22"/>
        </w:rPr>
        <w:t>,</w:t>
      </w:r>
      <w:r w:rsidRPr="005F1576">
        <w:rPr>
          <w:sz w:val="22"/>
        </w:rPr>
        <w:t xml:space="preserve"> and trunk</w:t>
      </w:r>
      <w:r w:rsidR="009A1C9C" w:rsidRPr="005F1576">
        <w:rPr>
          <w:sz w:val="22"/>
        </w:rPr>
        <w:t xml:space="preserve"> </w:t>
      </w:r>
      <w:r w:rsidRPr="005F1576">
        <w:rPr>
          <w:sz w:val="22"/>
        </w:rPr>
        <w:t>and b) not pigmented such as cutaneous my</w:t>
      </w:r>
      <w:r w:rsidRPr="00EC2EA6">
        <w:rPr>
          <w:color w:val="auto"/>
          <w:sz w:val="22"/>
        </w:rPr>
        <w:t xml:space="preserve">xomas </w:t>
      </w:r>
      <w:r w:rsidR="00131BE6" w:rsidRPr="00EC2EA6">
        <w:rPr>
          <w:color w:val="auto"/>
          <w:sz w:val="22"/>
        </w:rPr>
        <w:fldChar w:fldCharType="begin" w:fldLock="1"/>
      </w:r>
      <w:r w:rsidR="006644FA" w:rsidRPr="00EC2EA6">
        <w:rPr>
          <w:color w:val="auto"/>
          <w:sz w:val="22"/>
        </w:rPr>
        <w:instrText>ADDIN CSL_CITATION {"citationItems":[{"id":"ITEM-1","itemData":{"DOI":"10.1530/EJE-20-1120","ISSN":"0804-4643","abstract":"Described for the first time in 1985, Carney complex (CNC) is a rare dominantly inherited multiple neoplasia syndrome with almost full penetrance and characterized by both endocrine – primary pigmented nodular adrenocortical disease with Cushing’s syndrome, acromegaly and thyroid tumors – and non-endocrine manifestations such as cardiac, cutaneous and mucosal myxomas, pigmented cutaneous lesions, psammomatous melanotic schwannoma, osteochondromyxoma and a wide range of other tumours with potential malignancy. The pathophysiology of CNC is a model of dysregulation of the cAMP/PKA signalling in human diseases. As described 20 years ago, inactivating heterozygous mutations of PRKAR1A formerly known as CNC1 , encoding the regulatory subunit 1α of protein kinase A, are identified in more than 70% of the index cases, while inactivating mutations of genes encoding phosphodiesterases are found in rare and particular forms of the complex. There is at present no medical specific treatment for CNC, every confirmed or suspected CNC patient should be managed by a multi-disciplinary team according to each manifestation of the disease and offered a long-term follow-up and genetic counselling. The better knowledge that we have now of this fascinating rare disease and its genetics will help to improve patients outcome.","author":[{"dropping-particle":"","family":"Bouys","given":"Lucas","non-dropping-particle":"","parse-names":false,"suffix":""},{"dropping-particle":"","family":"Bertherat","given":"Jérôme","non-dropping-particle":"","parse-names":false,"suffix":""}],"container-title":"European Journal of Endocrinology","id":"ITEM-1","issue":"3","issued":{"date-parts":[["2021","3"]]},"page":"R99-R109","title":"MANAGEMENT OF ENDOCRINE DISEASE: Carney complex: clinical and genetic update 20 years after the identification of the CNC1 (PRKAR1A) gene","type":"article-journal","volume":"184"},"uris":["http://www.mendeley.com/documents/?uuid=753753d2-d62d-3abb-a7d0-95d6f8c284c7"]}],"mendeley":{"formattedCitation":"(1)","plainTextFormattedCitation":"(1)","previouslyFormattedCitation":"(1)"},"properties":{"noteIndex":0},"schema":"https://github.com/citation-style-language/schema/raw/master/csl-citation.json"}</w:instrText>
      </w:r>
      <w:r w:rsidR="00131BE6" w:rsidRPr="00EC2EA6">
        <w:rPr>
          <w:color w:val="auto"/>
          <w:sz w:val="22"/>
        </w:rPr>
        <w:fldChar w:fldCharType="separate"/>
      </w:r>
      <w:r w:rsidR="006644FA" w:rsidRPr="00EC2EA6">
        <w:rPr>
          <w:noProof/>
          <w:color w:val="auto"/>
          <w:sz w:val="22"/>
        </w:rPr>
        <w:t>(1)</w:t>
      </w:r>
      <w:r w:rsidR="00131BE6" w:rsidRPr="00EC2EA6">
        <w:rPr>
          <w:color w:val="auto"/>
          <w:sz w:val="22"/>
        </w:rPr>
        <w:fldChar w:fldCharType="end"/>
      </w:r>
      <w:r w:rsidRPr="005F1576">
        <w:rPr>
          <w:sz w:val="22"/>
        </w:rPr>
        <w:t xml:space="preserve"> </w:t>
      </w:r>
      <w:r w:rsidRPr="005A6109">
        <w:rPr>
          <w:color w:val="auto"/>
          <w:sz w:val="22"/>
        </w:rPr>
        <w:t>(Figure 1).</w:t>
      </w:r>
    </w:p>
    <w:p w14:paraId="48AC8433" w14:textId="77777777" w:rsidR="00717D10" w:rsidRDefault="00717D10" w:rsidP="005F1576">
      <w:pPr>
        <w:spacing w:before="0" w:line="276" w:lineRule="auto"/>
        <w:jc w:val="left"/>
        <w:rPr>
          <w:sz w:val="22"/>
        </w:rPr>
      </w:pPr>
    </w:p>
    <w:p w14:paraId="72D24307" w14:textId="6403EEDB" w:rsidR="00717D10" w:rsidRDefault="00717D10" w:rsidP="005F1576">
      <w:pPr>
        <w:spacing w:before="0" w:line="276" w:lineRule="auto"/>
        <w:jc w:val="left"/>
        <w:rPr>
          <w:sz w:val="22"/>
        </w:rPr>
      </w:pPr>
      <w:r>
        <w:rPr>
          <w:noProof/>
          <w:sz w:val="22"/>
        </w:rPr>
        <w:drawing>
          <wp:inline distT="0" distB="0" distL="0" distR="0" wp14:anchorId="05EF3E66" wp14:editId="27CA27A6">
            <wp:extent cx="3238952" cy="4401164"/>
            <wp:effectExtent l="0" t="0" r="0" b="0"/>
            <wp:docPr id="1159407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07111" name="Picture 1159407111"/>
                    <pic:cNvPicPr/>
                  </pic:nvPicPr>
                  <pic:blipFill>
                    <a:blip r:embed="rId7">
                      <a:extLst>
                        <a:ext uri="{28A0092B-C50C-407E-A947-70E740481C1C}">
                          <a14:useLocalDpi xmlns:a14="http://schemas.microsoft.com/office/drawing/2010/main" val="0"/>
                        </a:ext>
                      </a:extLst>
                    </a:blip>
                    <a:stretch>
                      <a:fillRect/>
                    </a:stretch>
                  </pic:blipFill>
                  <pic:spPr>
                    <a:xfrm>
                      <a:off x="0" y="0"/>
                      <a:ext cx="3238952" cy="4401164"/>
                    </a:xfrm>
                    <a:prstGeom prst="rect">
                      <a:avLst/>
                    </a:prstGeom>
                  </pic:spPr>
                </pic:pic>
              </a:graphicData>
            </a:graphic>
          </wp:inline>
        </w:drawing>
      </w:r>
    </w:p>
    <w:p w14:paraId="50C5684E" w14:textId="33DBAF93" w:rsidR="005F1576" w:rsidRPr="00717D10" w:rsidRDefault="00717D10" w:rsidP="005F1576">
      <w:pPr>
        <w:spacing w:before="0" w:line="276" w:lineRule="auto"/>
        <w:jc w:val="left"/>
        <w:rPr>
          <w:b/>
          <w:bCs/>
          <w:sz w:val="22"/>
        </w:rPr>
      </w:pPr>
      <w:r w:rsidRPr="00717D10">
        <w:rPr>
          <w:b/>
          <w:bCs/>
          <w:sz w:val="22"/>
        </w:rPr>
        <w:t>Figure 1. Spotty pigmentation of the face. With permission http://ugen.nichd.nih.gov</w:t>
      </w:r>
      <w:r w:rsidR="001A69FB">
        <w:rPr>
          <w:b/>
          <w:bCs/>
          <w:sz w:val="22"/>
        </w:rPr>
        <w:t>.</w:t>
      </w:r>
    </w:p>
    <w:p w14:paraId="23E430C6" w14:textId="77777777" w:rsidR="00717D10" w:rsidRPr="005F1576" w:rsidRDefault="00717D10" w:rsidP="005F1576">
      <w:pPr>
        <w:spacing w:before="0" w:line="276" w:lineRule="auto"/>
        <w:jc w:val="left"/>
        <w:rPr>
          <w:sz w:val="22"/>
        </w:rPr>
      </w:pPr>
    </w:p>
    <w:p w14:paraId="75D473C2" w14:textId="67088F6F" w:rsidR="00A80385" w:rsidRPr="00EC2EA6" w:rsidRDefault="005049B5" w:rsidP="005F1576">
      <w:pPr>
        <w:spacing w:before="0" w:line="276" w:lineRule="auto"/>
        <w:jc w:val="left"/>
        <w:rPr>
          <w:color w:val="auto"/>
          <w:sz w:val="22"/>
        </w:rPr>
      </w:pPr>
      <w:r w:rsidRPr="005F1576">
        <w:rPr>
          <w:sz w:val="22"/>
        </w:rPr>
        <w:t>This syndrome was first described by J. Carney in 1985, as “the complex of myxomas,</w:t>
      </w:r>
      <w:r w:rsidR="009A1C9C" w:rsidRPr="005F1576">
        <w:rPr>
          <w:sz w:val="22"/>
        </w:rPr>
        <w:t xml:space="preserve"> </w:t>
      </w:r>
      <w:r w:rsidRPr="005F1576">
        <w:rPr>
          <w:sz w:val="22"/>
        </w:rPr>
        <w:t>spotty pigmentation</w:t>
      </w:r>
      <w:r w:rsidR="002F52E3">
        <w:rPr>
          <w:sz w:val="22"/>
        </w:rPr>
        <w:t>,</w:t>
      </w:r>
      <w:r w:rsidRPr="005F1576">
        <w:rPr>
          <w:sz w:val="22"/>
        </w:rPr>
        <w:t xml:space="preserve"> and endocrine overactivity”. In the original study, 40 patients were </w:t>
      </w:r>
      <w:r w:rsidR="00A07042" w:rsidRPr="005F1576">
        <w:rPr>
          <w:sz w:val="22"/>
        </w:rPr>
        <w:t>included,</w:t>
      </w:r>
      <w:r w:rsidR="009A1C9C" w:rsidRPr="005F1576">
        <w:rPr>
          <w:sz w:val="22"/>
        </w:rPr>
        <w:t xml:space="preserve"> </w:t>
      </w:r>
      <w:r w:rsidRPr="005F1576">
        <w:rPr>
          <w:sz w:val="22"/>
        </w:rPr>
        <w:t>and a familial distribution was reported in 10 of them. Additional evidence for unifying this</w:t>
      </w:r>
      <w:r w:rsidR="009A1C9C" w:rsidRPr="005F1576">
        <w:rPr>
          <w:sz w:val="22"/>
        </w:rPr>
        <w:t xml:space="preserve"> </w:t>
      </w:r>
      <w:r w:rsidRPr="005F1576">
        <w:rPr>
          <w:sz w:val="22"/>
        </w:rPr>
        <w:t>coexistence of otherwise rare conditions in an inherited clinical entity was the young age at</w:t>
      </w:r>
      <w:r w:rsidR="009A1C9C" w:rsidRPr="005F1576">
        <w:rPr>
          <w:sz w:val="22"/>
        </w:rPr>
        <w:t xml:space="preserve"> </w:t>
      </w:r>
      <w:r w:rsidRPr="005F1576">
        <w:rPr>
          <w:sz w:val="22"/>
        </w:rPr>
        <w:t xml:space="preserve">presentation and the unusual type of involvement of most affected sites, </w:t>
      </w:r>
      <w:r w:rsidR="006644FA">
        <w:rPr>
          <w:sz w:val="22"/>
        </w:rPr>
        <w:t>which</w:t>
      </w:r>
      <w:r w:rsidRPr="005F1576">
        <w:rPr>
          <w:sz w:val="22"/>
        </w:rPr>
        <w:t xml:space="preserve"> tended to be</w:t>
      </w:r>
      <w:r w:rsidR="009A1C9C" w:rsidRPr="005F1576">
        <w:rPr>
          <w:sz w:val="22"/>
        </w:rPr>
        <w:t xml:space="preserve"> </w:t>
      </w:r>
      <w:r w:rsidRPr="005F1576">
        <w:rPr>
          <w:sz w:val="22"/>
        </w:rPr>
        <w:t xml:space="preserve">multicentric (heart and skin) and bilateral in paired organs (adrenal, breast, and </w:t>
      </w:r>
      <w:r w:rsidRPr="00EC2EA6">
        <w:rPr>
          <w:color w:val="auto"/>
          <w:sz w:val="22"/>
        </w:rPr>
        <w:t xml:space="preserve">testis) </w:t>
      </w:r>
      <w:r w:rsidR="00BD6A9E" w:rsidRPr="00EC2EA6">
        <w:rPr>
          <w:color w:val="auto"/>
          <w:sz w:val="22"/>
        </w:rPr>
        <w:fldChar w:fldCharType="begin" w:fldLock="1"/>
      </w:r>
      <w:r w:rsidR="006644FA" w:rsidRPr="00EC2EA6">
        <w:rPr>
          <w:color w:val="auto"/>
          <w:sz w:val="22"/>
        </w:rPr>
        <w:instrText>ADDIN CSL_CITATION {"citationItems":[{"id":"ITEM-1","itemData":{"ISSN":"0025-7974 (Print) 0025-7974 (Linking)","author":[{"dropping-particle":"","family":"Carney","given":"J A","non-dropping-particle":"","parse-names":false,"suffix":""},{"dropping-particle":"","family":"Gordon","given":"H","non-dropping-particle":"","parse-names":false,"suffix":""},{"dropping-particle":"","family":"Carpenter","given":"P C","non-dropping-particle":"","parse-names":false,"suffix":""},{"dropping-particle":"V","family":"Shenoy","given":"B","non-dropping-particle":"","parse-names":false,"suffix":""},{"dropping-particle":"","family":"Go","given":"V L","non-dropping-particle":"","parse-names":false,"suffix":""}],"container-title":"Medicine (Baltimore)","id":"ITEM-1","issue":"4","issued":{"date-parts":[["1985"]]},"page":"270-283","title":"The complex of myxomas, spotty pigmentation, and endocrine overactivity","type":"article-journal","volume":"64"},"uris":["http://www.mendeley.com/documents/?uuid=a1e4890e-1045-4b74-bb02-7201736ee4d5"]}],"mendeley":{"formattedCitation":"(2)","plainTextFormattedCitation":"(2)","previouslyFormattedCitation":"(2)"},"properties":{"noteIndex":0},"schema":"https://github.com/citation-style-language/schema/raw/master/csl-citation.json"}</w:instrText>
      </w:r>
      <w:r w:rsidR="00BD6A9E" w:rsidRPr="00EC2EA6">
        <w:rPr>
          <w:color w:val="auto"/>
          <w:sz w:val="22"/>
        </w:rPr>
        <w:fldChar w:fldCharType="separate"/>
      </w:r>
      <w:r w:rsidR="006644FA" w:rsidRPr="00EC2EA6">
        <w:rPr>
          <w:noProof/>
          <w:color w:val="auto"/>
          <w:sz w:val="22"/>
        </w:rPr>
        <w:t>(2)</w:t>
      </w:r>
      <w:r w:rsidR="00BD6A9E" w:rsidRPr="00EC2EA6">
        <w:rPr>
          <w:color w:val="auto"/>
          <w:sz w:val="22"/>
        </w:rPr>
        <w:fldChar w:fldCharType="end"/>
      </w:r>
      <w:r w:rsidRPr="00EC2EA6">
        <w:rPr>
          <w:color w:val="auto"/>
          <w:sz w:val="22"/>
        </w:rPr>
        <w:t>.</w:t>
      </w:r>
      <w:r w:rsidR="009A1C9C" w:rsidRPr="00EC2EA6">
        <w:rPr>
          <w:color w:val="auto"/>
          <w:sz w:val="22"/>
        </w:rPr>
        <w:t xml:space="preserve"> </w:t>
      </w:r>
      <w:r w:rsidRPr="00EC2EA6">
        <w:rPr>
          <w:color w:val="auto"/>
          <w:sz w:val="22"/>
        </w:rPr>
        <w:t>One year later Carney reported observations consistent with Mendelian dominant inheritance</w:t>
      </w:r>
      <w:r w:rsidR="009A1C9C" w:rsidRPr="00EC2EA6">
        <w:rPr>
          <w:color w:val="auto"/>
          <w:sz w:val="22"/>
        </w:rPr>
        <w:t xml:space="preserve"> </w:t>
      </w:r>
      <w:r w:rsidRPr="00EC2EA6">
        <w:rPr>
          <w:color w:val="auto"/>
          <w:sz w:val="22"/>
        </w:rPr>
        <w:t xml:space="preserve">of the syndrome </w:t>
      </w:r>
      <w:r w:rsidR="00BD6A9E" w:rsidRPr="00EC2EA6">
        <w:rPr>
          <w:color w:val="auto"/>
          <w:sz w:val="22"/>
        </w:rPr>
        <w:fldChar w:fldCharType="begin" w:fldLock="1"/>
      </w:r>
      <w:r w:rsidR="006644FA" w:rsidRPr="00EC2EA6">
        <w:rPr>
          <w:color w:val="auto"/>
          <w:sz w:val="22"/>
        </w:rPr>
        <w:instrText>ADDIN CSL_CITATION {"citationItems":[{"id":"ITEM-1","itemData":{"ISSN":"0025-6196 (Print) 0025-6196 (Linking)","author":[{"dropping-particle":"","family":"Carney","given":"J A","non-dropping-particle":"","parse-names":false,"suffix":""},{"dropping-particle":"","family":"Hruska","given":"L S","non-dropping-particle":"","parse-names":false,"suffix":""},{"dropping-particle":"","family":"Beauchamp","given":"G D","non-dropping-particle":"","parse-names":false,"suffix":""},{"dropping-particle":"","family":"Gordon","given":"H","non-dropping-particle":"","parse-names":false,"suffix":""}],"container-title":"Mayo Clin Proc","id":"ITEM-1","issue":"3","issued":{"date-parts":[["1986"]]},"page":"165-172","title":"Dominant inheritance of the complex of myxomas, spotty pigmentation, and endocrine overactivity","type":"article-journal","volume":"61"},"uris":["http://www.mendeley.com/documents/?uuid=2b6de6ff-71f3-4ad1-b76e-805055acc138"]}],"mendeley":{"formattedCitation":"(3)","plainTextFormattedCitation":"(3)","previouslyFormattedCitation":"(3)"},"properties":{"noteIndex":0},"schema":"https://github.com/citation-style-language/schema/raw/master/csl-citation.json"}</w:instrText>
      </w:r>
      <w:r w:rsidR="00BD6A9E" w:rsidRPr="00EC2EA6">
        <w:rPr>
          <w:color w:val="auto"/>
          <w:sz w:val="22"/>
        </w:rPr>
        <w:fldChar w:fldCharType="separate"/>
      </w:r>
      <w:r w:rsidR="006644FA" w:rsidRPr="00EC2EA6">
        <w:rPr>
          <w:noProof/>
          <w:color w:val="auto"/>
          <w:sz w:val="22"/>
        </w:rPr>
        <w:t>(3)</w:t>
      </w:r>
      <w:r w:rsidR="00BD6A9E" w:rsidRPr="00EC2EA6">
        <w:rPr>
          <w:color w:val="auto"/>
          <w:sz w:val="22"/>
        </w:rPr>
        <w:fldChar w:fldCharType="end"/>
      </w:r>
      <w:r w:rsidRPr="00EC2EA6">
        <w:rPr>
          <w:color w:val="auto"/>
          <w:sz w:val="22"/>
        </w:rPr>
        <w:t xml:space="preserve"> that in the meanwhile was designated as “Carney complex” (CNC) by Bain</w:t>
      </w:r>
      <w:r w:rsidR="009A1C9C" w:rsidRPr="00EC2EA6">
        <w:rPr>
          <w:color w:val="auto"/>
          <w:sz w:val="22"/>
        </w:rPr>
        <w:t xml:space="preserve"> </w:t>
      </w:r>
      <w:r w:rsidR="00BD6A9E" w:rsidRPr="00EC2EA6">
        <w:rPr>
          <w:color w:val="auto"/>
          <w:sz w:val="22"/>
        </w:rPr>
        <w:fldChar w:fldCharType="begin" w:fldLock="1"/>
      </w:r>
      <w:r w:rsidR="006644FA" w:rsidRPr="00EC2EA6">
        <w:rPr>
          <w:color w:val="auto"/>
          <w:sz w:val="22"/>
        </w:rPr>
        <w:instrText>ADDIN CSL_CITATION {"citationItems":[{"id":"ITEM-1","itemData":{"ISSN":"0025-6196 (Print) 0025-6196 (Linking)","author":[{"dropping-particle":"","family":"Bain","given":"J","non-dropping-particle":"","parse-names":false,"suffix":""}],"container-title":"Mayo Clin Proc","id":"ITEM-1","issue":"6","issued":{"date-parts":[["1986"]]},"page":"508","title":"\"Carney's complex\"","type":"article-journal","volume":"61"},"uris":["http://www.mendeley.com/documents/?uuid=1f8d10b7-9952-4af9-bf94-0b44f20d3f0c"]}],"mendeley":{"formattedCitation":"(4)","plainTextFormattedCitation":"(4)","previouslyFormattedCitation":"(4)"},"properties":{"noteIndex":0},"schema":"https://github.com/citation-style-language/schema/raw/master/csl-citation.json"}</w:instrText>
      </w:r>
      <w:r w:rsidR="00BD6A9E" w:rsidRPr="00EC2EA6">
        <w:rPr>
          <w:color w:val="auto"/>
          <w:sz w:val="22"/>
        </w:rPr>
        <w:fldChar w:fldCharType="separate"/>
      </w:r>
      <w:r w:rsidR="006644FA" w:rsidRPr="00EC2EA6">
        <w:rPr>
          <w:noProof/>
          <w:color w:val="auto"/>
          <w:sz w:val="22"/>
        </w:rPr>
        <w:t>(4)</w:t>
      </w:r>
      <w:r w:rsidR="00BD6A9E" w:rsidRPr="00EC2EA6">
        <w:rPr>
          <w:color w:val="auto"/>
          <w:sz w:val="22"/>
        </w:rPr>
        <w:fldChar w:fldCharType="end"/>
      </w:r>
      <w:r w:rsidRPr="00EC2EA6">
        <w:rPr>
          <w:color w:val="auto"/>
          <w:sz w:val="22"/>
        </w:rPr>
        <w:t xml:space="preserve">. This new entity included patients manifesting </w:t>
      </w:r>
      <w:proofErr w:type="spellStart"/>
      <w:r w:rsidRPr="00EC2EA6">
        <w:rPr>
          <w:color w:val="auto"/>
          <w:sz w:val="22"/>
        </w:rPr>
        <w:t>cardiocutaneous</w:t>
      </w:r>
      <w:proofErr w:type="spellEnd"/>
      <w:r w:rsidRPr="00EC2EA6">
        <w:rPr>
          <w:color w:val="auto"/>
          <w:sz w:val="22"/>
        </w:rPr>
        <w:t xml:space="preserve"> lesions, previously</w:t>
      </w:r>
      <w:r w:rsidR="009A1C9C" w:rsidRPr="00EC2EA6">
        <w:rPr>
          <w:color w:val="auto"/>
          <w:sz w:val="22"/>
        </w:rPr>
        <w:t xml:space="preserve"> </w:t>
      </w:r>
      <w:r w:rsidRPr="00EC2EA6">
        <w:rPr>
          <w:color w:val="auto"/>
          <w:sz w:val="22"/>
        </w:rPr>
        <w:t xml:space="preserve">diagnosed as LAMB (lentigines, atrial myxoma, mucocutaneous myxoma, blue nevi) </w:t>
      </w:r>
      <w:r w:rsidR="00BD6A9E" w:rsidRPr="00EC2EA6">
        <w:rPr>
          <w:color w:val="auto"/>
          <w:sz w:val="22"/>
        </w:rPr>
        <w:fldChar w:fldCharType="begin" w:fldLock="1"/>
      </w:r>
      <w:r w:rsidR="006644FA" w:rsidRPr="00EC2EA6">
        <w:rPr>
          <w:color w:val="auto"/>
          <w:sz w:val="22"/>
        </w:rPr>
        <w:instrText>ADDIN CSL_CITATION {"citationItems":[{"id":"ITEM-1","itemData":{"ISSN":"0190-9622 (Print) 0190-9622 (Linking)","author":[{"dropping-particle":"","family":"Rhodes","given":"A R","non-dropping-particle":"","parse-names":false,"suffix":""},{"dropping-particle":"","family":"Silverman","given":"R A","non-dropping-particle":"","parse-names":false,"suffix":""},{"dropping-particle":"","family":"Harrist","given":"T J","non-dropping-particle":"","parse-names":false,"suffix":""},{"dropping-particle":"","family":"Perez-Atayde","given":"A R","non-dropping-particle":"","parse-names":false,"suffix":""}],"container-title":"J Am Acad Dermatol","id":"ITEM-1","issue":"1","issued":{"date-parts":[["1984"]]},"page":"72-82","title":"Mucocutaneous lentigines, cardiomucocutaneous myxomas, and multiple blue nevi: the \"LAMB\" syndrome","type":"article-journal","volume":"10"},"uris":["http://www.mendeley.com/documents/?uuid=e96e1678-0a20-4aac-aa4d-3f7856044108"]}],"mendeley":{"formattedCitation":"(5)","plainTextFormattedCitation":"(5)","previouslyFormattedCitation":"(5)"},"properties":{"noteIndex":0},"schema":"https://github.com/citation-style-language/schema/raw/master/csl-citation.json"}</w:instrText>
      </w:r>
      <w:r w:rsidR="00BD6A9E" w:rsidRPr="00EC2EA6">
        <w:rPr>
          <w:color w:val="auto"/>
          <w:sz w:val="22"/>
        </w:rPr>
        <w:fldChar w:fldCharType="separate"/>
      </w:r>
      <w:r w:rsidR="006644FA" w:rsidRPr="00EC2EA6">
        <w:rPr>
          <w:noProof/>
          <w:color w:val="auto"/>
          <w:sz w:val="22"/>
        </w:rPr>
        <w:t>(5)</w:t>
      </w:r>
      <w:r w:rsidR="00BD6A9E" w:rsidRPr="00EC2EA6">
        <w:rPr>
          <w:color w:val="auto"/>
          <w:sz w:val="22"/>
        </w:rPr>
        <w:fldChar w:fldCharType="end"/>
      </w:r>
      <w:r w:rsidRPr="00EC2EA6">
        <w:rPr>
          <w:color w:val="auto"/>
          <w:sz w:val="22"/>
        </w:rPr>
        <w:t xml:space="preserve"> and</w:t>
      </w:r>
      <w:r w:rsidR="009A1C9C" w:rsidRPr="00EC2EA6">
        <w:rPr>
          <w:color w:val="auto"/>
          <w:sz w:val="22"/>
        </w:rPr>
        <w:t xml:space="preserve"> </w:t>
      </w:r>
      <w:r w:rsidRPr="00EC2EA6">
        <w:rPr>
          <w:color w:val="auto"/>
          <w:sz w:val="22"/>
        </w:rPr>
        <w:t>NAME (nevi, atrial myxoma, myxoid neurofibroma, ephelide</w:t>
      </w:r>
      <w:r w:rsidR="006644FA" w:rsidRPr="00EC2EA6">
        <w:rPr>
          <w:color w:val="auto"/>
          <w:sz w:val="22"/>
        </w:rPr>
        <w:t>s</w:t>
      </w:r>
      <w:r w:rsidRPr="00EC2EA6">
        <w:rPr>
          <w:color w:val="auto"/>
          <w:sz w:val="22"/>
        </w:rPr>
        <w:t xml:space="preserve">) </w:t>
      </w:r>
      <w:r w:rsidR="00BD6A9E" w:rsidRPr="00EC2EA6">
        <w:rPr>
          <w:color w:val="auto"/>
          <w:sz w:val="22"/>
        </w:rPr>
        <w:fldChar w:fldCharType="begin" w:fldLock="1"/>
      </w:r>
      <w:r w:rsidR="006644FA" w:rsidRPr="00EC2EA6">
        <w:rPr>
          <w:color w:val="auto"/>
          <w:sz w:val="22"/>
        </w:rPr>
        <w:instrText>ADDIN CSL_CITATION {"citationItems":[{"id":"ITEM-1","itemData":{"ISSN":"0007-0963 (Print) 0007-0963 (Linking)","author":[{"dropping-particle":"","family":"Atherton","given":"D J","non-dropping-particle":"","parse-names":false,"suffix":""},{"dropping-particle":"","family":"Pitcher","given":"D W","non-dropping-particle":"","parse-names":false,"suffix":""},{"dropping-particle":"","family":"Wells","given":"R S","non-dropping-particle":"","parse-names":false,"suffix":""},{"dropping-particle":"","family":"MacDonald","given":"D M","non-dropping-particle":"","parse-names":false,"suffix":""}],"container-title":"Br J Dermatol","id":"ITEM-1","issue":"4","issued":{"date-parts":[["1980"]]},"page":"421-429","title":"A syndrome of various cutaneous pigmented lesions, myxoid neurofibromata and atrial myxoma: the NAME syndrome","type":"article-journal","volume":"103"},"uris":["http://www.mendeley.com/documents/?uuid=1cc1b37c-8e50-4baa-9991-674702214a9b"]}],"mendeley":{"formattedCitation":"(6)","plainTextFormattedCitation":"(6)","previouslyFormattedCitation":"(6)"},"properties":{"noteIndex":0},"schema":"https://github.com/citation-style-language/schema/raw/master/csl-citation.json"}</w:instrText>
      </w:r>
      <w:r w:rsidR="00BD6A9E" w:rsidRPr="00EC2EA6">
        <w:rPr>
          <w:color w:val="auto"/>
          <w:sz w:val="22"/>
        </w:rPr>
        <w:fldChar w:fldCharType="separate"/>
      </w:r>
      <w:r w:rsidR="006644FA" w:rsidRPr="00EC2EA6">
        <w:rPr>
          <w:noProof/>
          <w:color w:val="auto"/>
          <w:sz w:val="22"/>
        </w:rPr>
        <w:t>(6)</w:t>
      </w:r>
      <w:r w:rsidR="00BD6A9E" w:rsidRPr="00EC2EA6">
        <w:rPr>
          <w:color w:val="auto"/>
          <w:sz w:val="22"/>
        </w:rPr>
        <w:fldChar w:fldCharType="end"/>
      </w:r>
      <w:r w:rsidRPr="00EC2EA6">
        <w:rPr>
          <w:color w:val="auto"/>
          <w:sz w:val="22"/>
        </w:rPr>
        <w:t>.</w:t>
      </w:r>
    </w:p>
    <w:p w14:paraId="5848F9A1" w14:textId="77777777" w:rsidR="005F1576" w:rsidRPr="005F1576" w:rsidRDefault="005F1576" w:rsidP="005F1576">
      <w:pPr>
        <w:spacing w:before="0" w:line="276" w:lineRule="auto"/>
        <w:jc w:val="left"/>
        <w:rPr>
          <w:sz w:val="22"/>
        </w:rPr>
      </w:pPr>
    </w:p>
    <w:p w14:paraId="7E916E04" w14:textId="0A56720B" w:rsidR="002F52E3" w:rsidRPr="00EC2EA6" w:rsidRDefault="005049B5" w:rsidP="005F1576">
      <w:pPr>
        <w:spacing w:before="0" w:line="276" w:lineRule="auto"/>
        <w:jc w:val="left"/>
        <w:rPr>
          <w:color w:val="auto"/>
          <w:sz w:val="22"/>
        </w:rPr>
      </w:pPr>
      <w:r w:rsidRPr="005F1576">
        <w:rPr>
          <w:sz w:val="22"/>
        </w:rPr>
        <w:t xml:space="preserve">In 1996, linkage analysis </w:t>
      </w:r>
      <w:r w:rsidRPr="00EC2EA6">
        <w:rPr>
          <w:color w:val="auto"/>
          <w:sz w:val="22"/>
        </w:rPr>
        <w:t xml:space="preserve">studies by Stratakis et al. </w:t>
      </w:r>
      <w:r w:rsidR="00BD6A9E" w:rsidRPr="00EC2EA6">
        <w:rPr>
          <w:color w:val="auto"/>
          <w:sz w:val="22"/>
        </w:rPr>
        <w:fldChar w:fldCharType="begin" w:fldLock="1"/>
      </w:r>
      <w:r w:rsidR="006644FA" w:rsidRPr="00EC2EA6">
        <w:rPr>
          <w:color w:val="auto"/>
          <w:sz w:val="22"/>
        </w:rPr>
        <w:instrText>ADDIN CSL_CITATION {"citationItems":[{"id":"ITEM-1","itemData":{"DOI":"10.1172/JCI118467","ISSN":"0021-9738 (Print) 0021-9738 (Linking)","author":[{"dropping-particle":"","family":"Stratakis","given":"C A","non-dropping-particle":"","parse-names":false,"suffix":""},{"dropping-particle":"","family":"Carney","given":"J A","non-dropping-particle":"","parse-names":false,"suffix":""},{"dropping-particle":"","family":"Lin","given":"J P","non-dropping-particle":"","parse-names":false,"suffix":""},{"dropping-particle":"","family":"Papanicolaou","given":"D A","non-dropping-particle":"","parse-names":false,"suffix":""},{"dropping-particle":"","family":"Karl","given":"M","non-dropping-particle":"","parse-names":false,"suffix":""},{"dropping-particle":"","family":"Kastner","given":"D L","non-dropping-particle":"","parse-names":false,"suffix":""},{"dropping-particle":"","family":"Pras","given":"E","non-dropping-particle":"","parse-names":false,"suffix":""},{"dropping-particle":"","family":"Chrousos","given":"G P","non-dropping-particle":"","parse-names":false,"suffix":""}],"container-title":"J Clin Invest","id":"ITEM-1","issue":"3","issued":{"date-parts":[["1996"]]},"page":"699-705","title":"Carney complex, a familial multiple neoplasia and lentiginosis syndrome. Analysis of 11 kindreds and linkage to the short arm of chromosome 2","type":"article-journal","volume":"97"},"uris":["http://www.mendeley.com/documents/?uuid=fa6df345-4949-49ff-be40-64e1b75b0089"]}],"mendeley":{"formattedCitation":"(7)","plainTextFormattedCitation":"(7)","previouslyFormattedCitation":"(7)"},"properties":{"noteIndex":0},"schema":"https://github.com/citation-style-language/schema/raw/master/csl-citation.json"}</w:instrText>
      </w:r>
      <w:r w:rsidR="00BD6A9E" w:rsidRPr="00EC2EA6">
        <w:rPr>
          <w:color w:val="auto"/>
          <w:sz w:val="22"/>
        </w:rPr>
        <w:fldChar w:fldCharType="separate"/>
      </w:r>
      <w:r w:rsidR="006644FA" w:rsidRPr="00EC2EA6">
        <w:rPr>
          <w:noProof/>
          <w:color w:val="auto"/>
          <w:sz w:val="22"/>
        </w:rPr>
        <w:t>(7)</w:t>
      </w:r>
      <w:r w:rsidR="00BD6A9E" w:rsidRPr="00EC2EA6">
        <w:rPr>
          <w:color w:val="auto"/>
          <w:sz w:val="22"/>
        </w:rPr>
        <w:fldChar w:fldCharType="end"/>
      </w:r>
      <w:r w:rsidRPr="00EC2EA6">
        <w:rPr>
          <w:color w:val="auto"/>
          <w:sz w:val="22"/>
        </w:rPr>
        <w:t xml:space="preserve"> demonstrated a locus potentially linked to</w:t>
      </w:r>
      <w:r w:rsidR="009A1C9C" w:rsidRPr="00EC2EA6">
        <w:rPr>
          <w:color w:val="auto"/>
          <w:sz w:val="22"/>
        </w:rPr>
        <w:t xml:space="preserve"> </w:t>
      </w:r>
      <w:r w:rsidRPr="00EC2EA6">
        <w:rPr>
          <w:color w:val="auto"/>
          <w:sz w:val="22"/>
        </w:rPr>
        <w:t>CNC on chromosome 2p16, in proximity to the gene encoding proopiomelanocortin and the</w:t>
      </w:r>
      <w:r w:rsidR="009A1C9C" w:rsidRPr="00EC2EA6">
        <w:rPr>
          <w:color w:val="auto"/>
          <w:sz w:val="22"/>
        </w:rPr>
        <w:t xml:space="preserve"> </w:t>
      </w:r>
      <w:r w:rsidRPr="00EC2EA6">
        <w:rPr>
          <w:color w:val="auto"/>
          <w:sz w:val="22"/>
        </w:rPr>
        <w:t xml:space="preserve">DNA-mismatch repair genes </w:t>
      </w:r>
      <w:r w:rsidRPr="00EC2EA6">
        <w:rPr>
          <w:i/>
          <w:iCs/>
          <w:color w:val="auto"/>
          <w:sz w:val="22"/>
        </w:rPr>
        <w:t xml:space="preserve">hMSH2 </w:t>
      </w:r>
      <w:r w:rsidRPr="00EC2EA6">
        <w:rPr>
          <w:color w:val="auto"/>
          <w:sz w:val="22"/>
        </w:rPr>
        <w:t xml:space="preserve">and </w:t>
      </w:r>
      <w:r w:rsidRPr="00EC2EA6">
        <w:rPr>
          <w:i/>
          <w:iCs/>
          <w:color w:val="auto"/>
          <w:sz w:val="22"/>
        </w:rPr>
        <w:t>hMSH6</w:t>
      </w:r>
      <w:r w:rsidRPr="00EC2EA6">
        <w:rPr>
          <w:color w:val="auto"/>
          <w:sz w:val="22"/>
        </w:rPr>
        <w:t>. However, the syndrome was later shown to</w:t>
      </w:r>
      <w:r w:rsidR="009A1C9C" w:rsidRPr="00EC2EA6">
        <w:rPr>
          <w:color w:val="auto"/>
          <w:sz w:val="22"/>
        </w:rPr>
        <w:t xml:space="preserve"> </w:t>
      </w:r>
      <w:r w:rsidRPr="00EC2EA6">
        <w:rPr>
          <w:color w:val="auto"/>
          <w:sz w:val="22"/>
        </w:rPr>
        <w:t xml:space="preserve">be genetically heterogeneous </w:t>
      </w:r>
      <w:r w:rsidR="00BD6A9E" w:rsidRPr="00EC2EA6">
        <w:rPr>
          <w:color w:val="auto"/>
          <w:sz w:val="22"/>
        </w:rPr>
        <w:fldChar w:fldCharType="begin" w:fldLock="1"/>
      </w:r>
      <w:r w:rsidR="006644FA" w:rsidRPr="00EC2EA6">
        <w:rPr>
          <w:color w:val="auto"/>
          <w:sz w:val="22"/>
        </w:rPr>
        <w:instrText>ADDIN CSL_CITATION {"citationItems":[{"id":"ITEM-1","itemData":{"DOI":"S0002914997000337 [pii]","ISSN":"0002-9149 (Print) 0002-9149 (Linking)","author":[{"dropping-particle":"","family":"Basson","given":"C T","non-dropping-particle":"","parse-names":false,"suffix":""},{"dropping-particle":"","family":"MacRae","given":"C A","non-dropping-particle":"","parse-names":false,"suffix":""},{"dropping-particle":"","family":"Korf","given":"B","non-dropping-particle":"","parse-names":false,"suffix":""},{"dropping-particle":"","family":"Merliss","given":"A","non-dropping-particle":"","parse-names":false,"suffix":""}],"container-title":"Am J Cardiol","id":"ITEM-1","issue":"7","issued":{"date-parts":[["1997"]]},"page":"994-995","title":"Genetic heterogeneity of familial atrial myxoma syndromes (Carney complex)","type":"article-journal","volume":"79"},"uris":["http://www.mendeley.com/documents/?uuid=2ec154af-569c-4e13-ad1c-f0ffe2b1ecb7"]}],"mendeley":{"formattedCitation":"(8)","plainTextFormattedCitation":"(8)","previouslyFormattedCitation":"(8)"},"properties":{"noteIndex":0},"schema":"https://github.com/citation-style-language/schema/raw/master/csl-citation.json"}</w:instrText>
      </w:r>
      <w:r w:rsidR="00BD6A9E" w:rsidRPr="00EC2EA6">
        <w:rPr>
          <w:color w:val="auto"/>
          <w:sz w:val="22"/>
        </w:rPr>
        <w:fldChar w:fldCharType="separate"/>
      </w:r>
      <w:r w:rsidR="006644FA" w:rsidRPr="00EC2EA6">
        <w:rPr>
          <w:noProof/>
          <w:color w:val="auto"/>
          <w:sz w:val="22"/>
        </w:rPr>
        <w:t>(8)</w:t>
      </w:r>
      <w:r w:rsidR="00BD6A9E" w:rsidRPr="00EC2EA6">
        <w:rPr>
          <w:color w:val="auto"/>
          <w:sz w:val="22"/>
        </w:rPr>
        <w:fldChar w:fldCharType="end"/>
      </w:r>
      <w:r w:rsidRPr="00EC2EA6">
        <w:rPr>
          <w:color w:val="auto"/>
          <w:sz w:val="22"/>
        </w:rPr>
        <w:t>, and in 1998, a second possible locus located on chromosome</w:t>
      </w:r>
      <w:r w:rsidR="009A1C9C" w:rsidRPr="00EC2EA6">
        <w:rPr>
          <w:color w:val="auto"/>
          <w:sz w:val="22"/>
        </w:rPr>
        <w:t xml:space="preserve"> </w:t>
      </w:r>
      <w:r w:rsidRPr="00EC2EA6">
        <w:rPr>
          <w:color w:val="auto"/>
          <w:sz w:val="22"/>
        </w:rPr>
        <w:t xml:space="preserve">17q2 was detected </w:t>
      </w:r>
      <w:r w:rsidR="00BD6A9E" w:rsidRPr="00EC2EA6">
        <w:rPr>
          <w:color w:val="auto"/>
          <w:sz w:val="22"/>
        </w:rPr>
        <w:fldChar w:fldCharType="begin" w:fldLock="1"/>
      </w:r>
      <w:r w:rsidR="006644FA" w:rsidRPr="00EC2EA6">
        <w:rPr>
          <w:color w:val="auto"/>
          <w:sz w:val="22"/>
        </w:rPr>
        <w:instrText>ADDIN CSL_CITATION {"citationItems":[{"id":"ITEM-1","itemData":{"ISSN":"0009-7322 (Print) 0009-7322 (Linking)","author":[{"dropping-particle":"","family":"Casey","given":"M","non-dropping-particle":"","parse-names":false,"suffix":""},{"dropping-particle":"","family":"Mah","given":"C","non-dropping-particle":"","parse-names":false,"suffix":""},{"dropping-particle":"","family":"Merliss","given":"A D","non-dropping-particle":"","parse-names":false,"suffix":""},{"dropping-particle":"","family":"Kirschner","given":"L S","non-dropping-particle":"","parse-names":false,"suffix":""},{"dropping-particle":"","family":"Taymans","given":"S E","non-dropping-particle":"","parse-names":false,"suffix":""},{"dropping-particle":"","family":"Denio","given":"A E","non-dropping-particle":"","parse-names":false,"suffix":""},{"dropping-particle":"","family":"Korf","given":"B","non-dropping-particle":"","parse-names":false,"suffix":""},{"dropping-particle":"","family":"Irvine","given":"A D","non-dropping-particle":"","parse-names":false,"suffix":""},{"dropping-particle":"","family":"Hughes","given":"A","non-dropping-particle":"","parse-names":false,"suffix":""},{"dropping-particle":"","family":"Carney","given":"J A","non-dropping-particle":"","parse-names":false,"suffix":""},{"dropping-particle":"","family":"Stratakis","given":"C A","non-dropping-particle":"","parse-names":false,"suffix":""},{"dropping-particle":"","family":"Basson","given":"C T","non-dropping-particle":"","parse-names":false,"suffix":""}],"container-title":"Circulation","id":"ITEM-1","issue":"23","issued":{"date-parts":[["1998"]]},"page":"2560-2566","title":"Identification of a novel genetic locus for familial cardiac myxomas and Carney complex","type":"article-journal","volume":"98"},"uris":["http://www.mendeley.com/documents/?uuid=b81fe08e-b76c-4251-85f2-b405da33fb2e"]}],"mendeley":{"formattedCitation":"(9)","plainTextFormattedCitation":"(9)","previouslyFormattedCitation":"(9)"},"properties":{"noteIndex":0},"schema":"https://github.com/citation-style-language/schema/raw/master/csl-citation.json"}</w:instrText>
      </w:r>
      <w:r w:rsidR="00BD6A9E" w:rsidRPr="00EC2EA6">
        <w:rPr>
          <w:color w:val="auto"/>
          <w:sz w:val="22"/>
        </w:rPr>
        <w:fldChar w:fldCharType="separate"/>
      </w:r>
      <w:r w:rsidR="006644FA" w:rsidRPr="00EC2EA6">
        <w:rPr>
          <w:noProof/>
          <w:color w:val="auto"/>
          <w:sz w:val="22"/>
        </w:rPr>
        <w:t>(9)</w:t>
      </w:r>
      <w:r w:rsidR="00BD6A9E" w:rsidRPr="00EC2EA6">
        <w:rPr>
          <w:color w:val="auto"/>
          <w:sz w:val="22"/>
        </w:rPr>
        <w:fldChar w:fldCharType="end"/>
      </w:r>
      <w:r w:rsidRPr="00EC2EA6">
        <w:rPr>
          <w:color w:val="auto"/>
          <w:sz w:val="22"/>
        </w:rPr>
        <w:t xml:space="preserve">. In 2000, two </w:t>
      </w:r>
      <w:r w:rsidRPr="005F1576">
        <w:rPr>
          <w:sz w:val="22"/>
        </w:rPr>
        <w:t>different research teams demonstrated that germline</w:t>
      </w:r>
      <w:r w:rsidR="009A1C9C" w:rsidRPr="005F1576">
        <w:rPr>
          <w:sz w:val="22"/>
        </w:rPr>
        <w:t xml:space="preserve"> </w:t>
      </w:r>
      <w:r w:rsidRPr="005F1576">
        <w:rPr>
          <w:sz w:val="22"/>
        </w:rPr>
        <w:lastRenderedPageBreak/>
        <w:t>mutations in the gene coding the alpha regulatory subunit (R1a) of protein kinase A (PKAR1A)</w:t>
      </w:r>
      <w:r w:rsidR="009A1C9C" w:rsidRPr="005F1576">
        <w:rPr>
          <w:sz w:val="22"/>
        </w:rPr>
        <w:t xml:space="preserve"> </w:t>
      </w:r>
      <w:r w:rsidRPr="005F1576">
        <w:rPr>
          <w:sz w:val="22"/>
        </w:rPr>
        <w:t xml:space="preserve">located on the locus 17q22-24 were responsible for </w:t>
      </w:r>
      <w:r w:rsidRPr="00EC2EA6">
        <w:rPr>
          <w:color w:val="auto"/>
          <w:sz w:val="22"/>
        </w:rPr>
        <w:t xml:space="preserve">several phenotypes of CNC </w:t>
      </w:r>
      <w:r w:rsidR="0059062A" w:rsidRPr="00EC2EA6">
        <w:rPr>
          <w:color w:val="auto"/>
          <w:sz w:val="22"/>
        </w:rPr>
        <w:fldChar w:fldCharType="begin" w:fldLock="1"/>
      </w:r>
      <w:r w:rsidR="006644FA" w:rsidRPr="00EC2EA6">
        <w:rPr>
          <w:color w:val="auto"/>
          <w:sz w:val="22"/>
        </w:rPr>
        <w:instrText>ADDIN CSL_CITATION {"citationItems":[{"id":"ITEM-1","itemData":{"DOI":"10.1172/JCI10841","ISSN":"0021-9738 (Print) 0021-9738 (Linking)","author":[{"dropping-particle":"","family":"Casey","given":"M","non-dropping-particle":"","parse-names":false,"suffix":""},{"dropping-particle":"","family":"Vaughan","given":"C J","non-dropping-particle":"","parse-names":false,"suffix":""},{"dropping-particle":"","family":"He","given":"J","non-dropping-particle":"","parse-names":false,"suffix":""},{"dropping-particle":"","family":"Hatcher","given":"C J","non-dropping-particle":"","parse-names":false,"suffix":""},{"dropping-particle":"","family":"Winter","given":"J M","non-dropping-particle":"","parse-names":false,"suffix":""},{"dropping-particle":"","family":"Weremowicz","given":"S","non-dropping-particle":"","parse-names":false,"suffix":""},{"dropping-particle":"","family":"Montgomery","given":"K","non-dropping-particle":"","parse-names":false,"suffix":""},{"dropping-particle":"","family":"Kucherlapati","given":"R","non-dropping-particle":"","parse-names":false,"suffix":""},{"dropping-particle":"","family":"Morton","given":"C C","non-dropping-particle":"","parse-names":false,"suffix":""},{"dropping-particle":"","family":"Basson","given":"C T","non-dropping-particle":"","parse-names":false,"suffix":""}],"container-title":"J Clin Invest","id":"ITEM-1","issue":"5","issued":{"date-parts":[["2000"]]},"page":"R31-8","title":"Mutations in the protein kinase A R1alpha regulatory subunit cause familial cardiac myxomas and Carney complex","type":"article-journal","volume":"106"},"uris":["http://www.mendeley.com/documents/?uuid=7e7b33bf-c861-45ca-8745-4f07cb8fdece"]},{"id":"ITEM-2","itemData":{"DOI":"10.1038/79238","ISSN":"1061-4036 (Print) 1061-4036 (Linking)","author":[{"dropping-particle":"","family":"Kirschner","given":"L S","non-dropping-particle":"","parse-names":false,"suffix":""},{"dropping-particle":"","family":"Carney","given":"J A","non-dropping-particle":"","parse-names":false,"suffix":""},{"dropping-particle":"","family":"Pack","given":"S D","non-dropping-particle":"","parse-names":false,"suffix":""},{"dropping-particle":"","family":"Taymans","given":"S E","non-dropping-particle":"","parse-names":false,"suffix":""},{"dropping-particle":"","family":"Giatzakis","given":"C","non-dropping-particle":"","parse-names":false,"suffix":""},{"dropping-particle":"","family":"Cho","given":"Y S","non-dropping-particle":"","parse-names":false,"suffix":""},{"dropping-particle":"","family":"Cho-Chung","given":"Y S","non-dropping-particle":"","parse-names":false,"suffix":""},{"dropping-particle":"","family":"Stratakis","given":"C A","non-dropping-particle":"","parse-names":false,"suffix":""}],"container-title":"Nat Genet","id":"ITEM-2","issue":"1","issued":{"date-parts":[["2000"]]},"page":"89-92","title":"Mutations of the gene encoding the protein kinase A type I-alpha regulatory subunit in patients with the Carney complex","type":"article-journal","volume":"26"},"uris":["http://www.mendeley.com/documents/?uuid=111629c6-6420-4418-b13b-9ec2988dcbf7"]}],"mendeley":{"formattedCitation":"(10,11)","plainTextFormattedCitation":"(10,11)","previouslyFormattedCitation":"(10,11)"},"properties":{"noteIndex":0},"schema":"https://github.com/citation-style-language/schema/raw/master/csl-citation.json"}</w:instrText>
      </w:r>
      <w:r w:rsidR="0059062A" w:rsidRPr="00EC2EA6">
        <w:rPr>
          <w:color w:val="auto"/>
          <w:sz w:val="22"/>
        </w:rPr>
        <w:fldChar w:fldCharType="separate"/>
      </w:r>
      <w:r w:rsidR="006644FA" w:rsidRPr="00EC2EA6">
        <w:rPr>
          <w:noProof/>
          <w:color w:val="auto"/>
          <w:sz w:val="22"/>
        </w:rPr>
        <w:t>(10,11)</w:t>
      </w:r>
      <w:r w:rsidR="0059062A" w:rsidRPr="00EC2EA6">
        <w:rPr>
          <w:color w:val="auto"/>
          <w:sz w:val="22"/>
        </w:rPr>
        <w:fldChar w:fldCharType="end"/>
      </w:r>
      <w:r w:rsidRPr="00EC2EA6">
        <w:rPr>
          <w:color w:val="auto"/>
          <w:sz w:val="22"/>
        </w:rPr>
        <w:t>.</w:t>
      </w:r>
      <w:r w:rsidR="00FA6602" w:rsidRPr="00EC2EA6">
        <w:rPr>
          <w:color w:val="auto"/>
          <w:sz w:val="22"/>
        </w:rPr>
        <w:t xml:space="preserve"> </w:t>
      </w:r>
      <w:r w:rsidR="00EC3292" w:rsidRPr="00EC2EA6">
        <w:rPr>
          <w:color w:val="auto"/>
          <w:sz w:val="22"/>
        </w:rPr>
        <w:t xml:space="preserve">More recently, mutations of other genes, which encode the catalytic subunit </w:t>
      </w:r>
      <w:r w:rsidR="00EC3292" w:rsidRPr="00EC2EA6">
        <w:rPr>
          <w:color w:val="auto"/>
          <w:sz w:val="22"/>
          <w:lang w:val="el-GR"/>
        </w:rPr>
        <w:t>α</w:t>
      </w:r>
      <w:r w:rsidR="00EC3292" w:rsidRPr="00EC2EA6">
        <w:rPr>
          <w:color w:val="auto"/>
          <w:sz w:val="22"/>
        </w:rPr>
        <w:t xml:space="preserve"> or β of the PKA, and </w:t>
      </w:r>
      <w:proofErr w:type="spellStart"/>
      <w:r w:rsidR="00EC3292" w:rsidRPr="00EC2EA6">
        <w:rPr>
          <w:color w:val="auto"/>
          <w:sz w:val="22"/>
        </w:rPr>
        <w:t>phosphodiesterases</w:t>
      </w:r>
      <w:proofErr w:type="spellEnd"/>
      <w:r w:rsidR="00EC3292" w:rsidRPr="00EC2EA6">
        <w:rPr>
          <w:color w:val="auto"/>
          <w:sz w:val="22"/>
        </w:rPr>
        <w:t xml:space="preserve"> 11A and 8B have been reported in CNC patients </w:t>
      </w:r>
      <w:r w:rsidR="00BC410F" w:rsidRPr="00EC2EA6">
        <w:rPr>
          <w:color w:val="auto"/>
          <w:sz w:val="22"/>
        </w:rPr>
        <w:fldChar w:fldCharType="begin" w:fldLock="1"/>
      </w:r>
      <w:r w:rsidR="006644FA" w:rsidRPr="00EC2EA6">
        <w:rPr>
          <w:color w:val="auto"/>
          <w:sz w:val="22"/>
        </w:rPr>
        <w:instrText>ADDIN CSL_CITATION {"citationItems":[{"id":"ITEM-1","itemData":{"DOI":"10.1530/EJE-20-1120","ISSN":"0804-4643","abstract":"Described for the first time in 1985, Carney complex (CNC) is a rare dominantly inherited multiple neoplasia syndrome with almost full penetrance and characterized by both endocrine – primary pigmented nodular adrenocortical disease with Cushing’s syndrome, acromegaly and thyroid tumors – and non-endocrine manifestations such as cardiac, cutaneous and mucosal myxomas, pigmented cutaneous lesions, psammomatous melanotic schwannoma, osteochondromyxoma and a wide range of other tumours with potential malignancy. The pathophysiology of CNC is a model of dysregulation of the cAMP/PKA signalling in human diseases. As described 20 years ago, inactivating heterozygous mutations of PRKAR1A formerly known as CNC1 , encoding the regulatory subunit 1α of protein kinase A, are identified in more than 70% of the index cases, while inactivating mutations of genes encoding phosphodiesterases are found in rare and particular forms of the complex. There is at present no medical specific treatment for CNC, every confirmed or suspected CNC patient should be managed by a multi-disciplinary team according to each manifestation of the disease and offered a long-term follow-up and genetic counselling. The better knowledge that we have now of this fascinating rare disease and its genetics will help to improve patients outcome.","author":[{"dropping-particle":"","family":"Bouys","given":"Lucas","non-dropping-particle":"","parse-names":false,"suffix":""},{"dropping-particle":"","family":"Bertherat","given":"Jérôme","non-dropping-particle":"","parse-names":false,"suffix":""}],"container-title":"European Journal of Endocrinology","id":"ITEM-1","issue":"3","issued":{"date-parts":[["2021","3"]]},"page":"R99-R109","title":"MANAGEMENT OF ENDOCRINE DISEASE: Carney complex: clinical and genetic update 20 years after the identification of the CNC1 (PRKAR1A) gene","type":"article-journal","volume":"184"},"uris":["http://www.mendeley.com/documents/?uuid=753753d2-d62d-3abb-a7d0-95d6f8c284c7"]}],"mendeley":{"formattedCitation":"(1)","plainTextFormattedCitation":"(1)","previouslyFormattedCitation":"(1)"},"properties":{"noteIndex":0},"schema":"https://github.com/citation-style-language/schema/raw/master/csl-citation.json"}</w:instrText>
      </w:r>
      <w:r w:rsidR="00BC410F" w:rsidRPr="00EC2EA6">
        <w:rPr>
          <w:color w:val="auto"/>
          <w:sz w:val="22"/>
        </w:rPr>
        <w:fldChar w:fldCharType="separate"/>
      </w:r>
      <w:r w:rsidR="006644FA" w:rsidRPr="00EC2EA6">
        <w:rPr>
          <w:noProof/>
          <w:color w:val="auto"/>
          <w:sz w:val="22"/>
        </w:rPr>
        <w:t>(1)</w:t>
      </w:r>
      <w:r w:rsidR="00BC410F" w:rsidRPr="00EC2EA6">
        <w:rPr>
          <w:color w:val="auto"/>
          <w:sz w:val="22"/>
        </w:rPr>
        <w:fldChar w:fldCharType="end"/>
      </w:r>
      <w:r w:rsidR="00770200" w:rsidRPr="00EC2EA6">
        <w:rPr>
          <w:color w:val="auto"/>
          <w:sz w:val="22"/>
        </w:rPr>
        <w:t xml:space="preserve">. </w:t>
      </w:r>
    </w:p>
    <w:p w14:paraId="290D1B83" w14:textId="1FBBB167" w:rsidR="00BC410F" w:rsidRPr="005F1576" w:rsidRDefault="009A1C9C" w:rsidP="005F1576">
      <w:pPr>
        <w:spacing w:before="0" w:line="276" w:lineRule="auto"/>
        <w:jc w:val="left"/>
        <w:rPr>
          <w:sz w:val="22"/>
        </w:rPr>
      </w:pPr>
      <w:r w:rsidRPr="005F1576">
        <w:rPr>
          <w:sz w:val="22"/>
        </w:rPr>
        <w:t xml:space="preserve"> </w:t>
      </w:r>
    </w:p>
    <w:p w14:paraId="6B7DA3E4" w14:textId="6CD456A6" w:rsidR="00BE1434" w:rsidRDefault="005049B5" w:rsidP="005F1576">
      <w:pPr>
        <w:spacing w:before="0" w:line="276" w:lineRule="auto"/>
        <w:jc w:val="left"/>
        <w:rPr>
          <w:sz w:val="22"/>
        </w:rPr>
      </w:pPr>
      <w:r w:rsidRPr="005F1576">
        <w:rPr>
          <w:sz w:val="22"/>
        </w:rPr>
        <w:t>Nowadays, diagnosis of the syndrome is feasible in clinically asymptomatic patients by</w:t>
      </w:r>
      <w:r w:rsidR="009A1C9C" w:rsidRPr="005F1576">
        <w:rPr>
          <w:sz w:val="22"/>
        </w:rPr>
        <w:t xml:space="preserve"> </w:t>
      </w:r>
      <w:r w:rsidRPr="005F1576">
        <w:rPr>
          <w:sz w:val="22"/>
        </w:rPr>
        <w:t>commercially available molecular genetic assays</w:t>
      </w:r>
      <w:r w:rsidR="00CF4BBE" w:rsidRPr="005F1576">
        <w:rPr>
          <w:sz w:val="22"/>
        </w:rPr>
        <w:t xml:space="preserve"> </w:t>
      </w:r>
      <w:r w:rsidR="00CF4BBE" w:rsidRPr="002F52E3">
        <w:rPr>
          <w:sz w:val="22"/>
        </w:rPr>
        <w:t>and next-generation sequencing techniques</w:t>
      </w:r>
      <w:r w:rsidRPr="002F52E3">
        <w:rPr>
          <w:sz w:val="22"/>
        </w:rPr>
        <w:t>.</w:t>
      </w:r>
      <w:r w:rsidR="000128BD" w:rsidRPr="005F1576">
        <w:rPr>
          <w:sz w:val="22"/>
        </w:rPr>
        <w:t xml:space="preserve"> </w:t>
      </w:r>
      <w:r w:rsidRPr="005F1576">
        <w:rPr>
          <w:sz w:val="22"/>
        </w:rPr>
        <w:t>Notably, Carney’s complex should not be</w:t>
      </w:r>
      <w:r w:rsidR="00CF4BBE" w:rsidRPr="005F1576">
        <w:rPr>
          <w:sz w:val="22"/>
        </w:rPr>
        <w:t xml:space="preserve"> </w:t>
      </w:r>
      <w:r w:rsidRPr="005F1576">
        <w:rPr>
          <w:sz w:val="22"/>
        </w:rPr>
        <w:t>confused with Carney’s triad, a completely different</w:t>
      </w:r>
      <w:r w:rsidR="000128BD" w:rsidRPr="005F1576">
        <w:rPr>
          <w:sz w:val="22"/>
        </w:rPr>
        <w:t xml:space="preserve"> </w:t>
      </w:r>
      <w:r w:rsidRPr="005F1576">
        <w:rPr>
          <w:sz w:val="22"/>
        </w:rPr>
        <w:t>entity consisting of the triad of gastric</w:t>
      </w:r>
      <w:r w:rsidR="00CF4BBE" w:rsidRPr="005F1576">
        <w:rPr>
          <w:sz w:val="22"/>
        </w:rPr>
        <w:t xml:space="preserve"> </w:t>
      </w:r>
      <w:r w:rsidRPr="005F1576">
        <w:rPr>
          <w:sz w:val="22"/>
        </w:rPr>
        <w:t>leiomyosarcoma, pulmonary chondroma, and extra-adrenal paraganglioma.</w:t>
      </w:r>
    </w:p>
    <w:p w14:paraId="7098EF16" w14:textId="77777777" w:rsidR="005F1576" w:rsidRPr="005F1576" w:rsidRDefault="005F1576" w:rsidP="005F1576">
      <w:pPr>
        <w:spacing w:before="0" w:line="276" w:lineRule="auto"/>
        <w:jc w:val="left"/>
        <w:rPr>
          <w:sz w:val="22"/>
        </w:rPr>
      </w:pPr>
    </w:p>
    <w:p w14:paraId="4FAC1583" w14:textId="4CF3E292" w:rsidR="00BE1434" w:rsidRPr="005F1576" w:rsidRDefault="005049B5" w:rsidP="005F1576">
      <w:pPr>
        <w:pStyle w:val="Heading1"/>
        <w:spacing w:before="0" w:line="276" w:lineRule="auto"/>
        <w:jc w:val="left"/>
        <w:rPr>
          <w:color w:val="0070C0"/>
          <w:sz w:val="22"/>
        </w:rPr>
      </w:pPr>
      <w:r w:rsidRPr="005F1576">
        <w:rPr>
          <w:color w:val="0070C0"/>
          <w:sz w:val="22"/>
        </w:rPr>
        <w:t xml:space="preserve">EPIDEMIOLOGY </w:t>
      </w:r>
      <w:r w:rsidR="005F1576">
        <w:rPr>
          <w:color w:val="0070C0"/>
          <w:sz w:val="22"/>
        </w:rPr>
        <w:t>AND IN</w:t>
      </w:r>
      <w:r w:rsidRPr="005F1576">
        <w:rPr>
          <w:color w:val="0070C0"/>
          <w:sz w:val="22"/>
        </w:rPr>
        <w:t>HERITANCE</w:t>
      </w:r>
    </w:p>
    <w:p w14:paraId="791CF475" w14:textId="77777777" w:rsidR="005F1576" w:rsidRDefault="005F1576" w:rsidP="005F1576">
      <w:pPr>
        <w:spacing w:before="0" w:line="276" w:lineRule="auto"/>
        <w:jc w:val="left"/>
        <w:rPr>
          <w:sz w:val="22"/>
        </w:rPr>
      </w:pPr>
    </w:p>
    <w:p w14:paraId="67B2052C" w14:textId="54C48DC8" w:rsidR="00DA5874" w:rsidRPr="00EC2EA6" w:rsidRDefault="005049B5" w:rsidP="005F1576">
      <w:pPr>
        <w:spacing w:before="0" w:line="276" w:lineRule="auto"/>
        <w:jc w:val="left"/>
        <w:rPr>
          <w:color w:val="auto"/>
          <w:sz w:val="22"/>
        </w:rPr>
      </w:pPr>
      <w:r w:rsidRPr="00EC2EA6">
        <w:rPr>
          <w:color w:val="auto"/>
          <w:sz w:val="22"/>
        </w:rPr>
        <w:t xml:space="preserve">Carney’s complex is a rare disease </w:t>
      </w:r>
      <w:r w:rsidR="006903B9" w:rsidRPr="00EC2EA6">
        <w:rPr>
          <w:color w:val="auto"/>
          <w:sz w:val="22"/>
        </w:rPr>
        <w:t>and</w:t>
      </w:r>
      <w:r w:rsidRPr="00EC2EA6">
        <w:rPr>
          <w:color w:val="auto"/>
          <w:sz w:val="22"/>
        </w:rPr>
        <w:t xml:space="preserve"> the majority </w:t>
      </w:r>
      <w:r w:rsidR="006903B9" w:rsidRPr="00EC2EA6">
        <w:rPr>
          <w:color w:val="auto"/>
          <w:sz w:val="22"/>
        </w:rPr>
        <w:t xml:space="preserve">of cases have been registered </w:t>
      </w:r>
      <w:r w:rsidRPr="00EC2EA6">
        <w:rPr>
          <w:color w:val="auto"/>
          <w:sz w:val="22"/>
        </w:rPr>
        <w:t>by the NIH-Mayo Clinic (USA) and the Cochin</w:t>
      </w:r>
      <w:r w:rsidR="009A1C9C" w:rsidRPr="00EC2EA6">
        <w:rPr>
          <w:color w:val="auto"/>
          <w:sz w:val="22"/>
        </w:rPr>
        <w:t xml:space="preserve"> </w:t>
      </w:r>
      <w:r w:rsidR="006644FA" w:rsidRPr="00EC2EA6">
        <w:rPr>
          <w:color w:val="auto"/>
          <w:sz w:val="22"/>
        </w:rPr>
        <w:t>C</w:t>
      </w:r>
      <w:r w:rsidRPr="00EC2EA6">
        <w:rPr>
          <w:color w:val="auto"/>
          <w:sz w:val="22"/>
        </w:rPr>
        <w:t xml:space="preserve">enter (Paris, France) consortium </w:t>
      </w:r>
      <w:r w:rsidR="004C2CA5" w:rsidRPr="00EC2EA6">
        <w:rPr>
          <w:color w:val="auto"/>
          <w:sz w:val="22"/>
        </w:rPr>
        <w:fldChar w:fldCharType="begin" w:fldLock="1"/>
      </w:r>
      <w:r w:rsidR="006644FA" w:rsidRPr="00EC2EA6">
        <w:rPr>
          <w:color w:val="auto"/>
          <w:sz w:val="22"/>
        </w:rPr>
        <w:instrText>ADDIN CSL_CITATION {"citationItems":[{"id":"ITEM-1","itemData":{"DOI":"10.1002/humu.21178","ISSN":"1098-1004","PMID":"20358582","abstract":"PRKAR1A encodes the regulatory subunit type 1-alpha (RIalpha) of the cyclic adenosine monophosphate (cAMP)-dependent protein kinase (PKA). Inactivating PRKAR1A mutations are known to be responsible for the multiple neoplasia and lentiginosis syndrome Carney complex (CNC). To date, at least 117 pathogenic variants in PRKAR1A have been identified (online database: http://prkar1a.nichd.nih.gov). The majority are subject to nonsense mediated mRNA decay (NMD), leading to RIalpha haploinsufficiency and, as a result, activated cAMP signaling. Recently, it became apparent that CNC may be caused not only by RIalpha haploinsufficiency, but also by the expression of altered RIalpha protein, as proven by analysis of expressed mutations in the gene, consisting of amino acid substitutions and in-frame genetic alterations. In addition, a new subgroup of mutations that potentially escape NMD and result in CNC through altered (rather than missing) protein has been analyzed-these are frame-shifts in the 3' end of the coding sequence that shift the stop codon downstream of the normal one. The mutation detection rate in CNC patients is recently estimated at above 60%; PRKAR1A mutation-negative CNC patients are characterized by significant phenotypic heterogeneity. In this report, we present a comprehensive analysis of all presently known PRKAR1A sequence variations and discuss their molecular context and clinical phenotype.","author":[{"dropping-particle":"","family":"Horvath","given":"A","non-dropping-particle":"","parse-names":false,"suffix":""},{"dropping-particle":"","family":"Bertherat","given":"Jérôme","non-dropping-particle":"","parse-names":false,"suffix":""},{"dropping-particle":"","family":"Groussin","given":"Lionel","non-dropping-particle":"","parse-names":false,"suffix":""},{"dropping-particle":"","family":"Guillaud-Bataille","given":"Marine","non-dropping-particle":"","parse-names":false,"suffix":""},{"dropping-particle":"","family":"Tsang","given":"Kitman","non-dropping-particle":"","parse-names":false,"suffix":""},{"dropping-particle":"","family":"Cazabat","given":"Laure","non-dropping-particle":"","parse-names":false,"suffix":""},{"dropping-particle":"","family":"Libé","given":"Rosella","non-dropping-particle":"","parse-names":false,"suffix":""},{"dropping-particle":"","family":"Remmers","given":"Elaine","non-dropping-particle":"","parse-names":false,"suffix":""},{"dropping-particle":"","family":"René-Corail","given":"Fernande","non-dropping-particle":"","parse-names":false,"suffix":""},{"dropping-particle":"","family":"Faucz","given":"Fabio Rueda","non-dropping-particle":"","parse-names":false,"suffix":""},{"dropping-particle":"","family":"Clauser","given":"Eric","non-dropping-particle":"","parse-names":false,"suffix":""},{"dropping-particle":"","family":"Calender","given":"Alain","non-dropping-particle":"","parse-names":false,"suffix":""},{"dropping-particle":"","family":"Bertagna","given":"Xavier","non-dropping-particle":"","parse-names":false,"suffix":""},{"dropping-particle":"","family":"Carney","given":"J Aidan","non-dropping-particle":"","parse-names":false,"suffix":""},{"dropping-particle":"","family":"Stratakis","given":"Constantine A","non-dropping-particle":"","parse-names":false,"suffix":""}],"container-title":"Human mutation","id":"ITEM-1","issue":"4","issued":{"date-parts":[["2010","4"]]},"page":"369-79","title":"Mutations and polymorphisms in the gene encoding regulatory subunit type 1-alpha of protein kinase A (PRKAR1A): an update.","type":"article-journal","volume":"31"},"uris":["http://www.mendeley.com/documents/?uuid=e02a7a30-cc7e-42ff-b3de-6132c3c1cd22"]},{"id":"ITEM-2","itemData":{"DOI":"10.1007/s11154-016-9400-1","ISBN":"0000000000000","ISSN":"1389-9155","PMID":"26928661","abstract":"Mitochondria are cellular organelles that harvest energy in the form of ATP through a process termed oxidative phosphorylation (OXPHOS), which occurs via the protein complexes of the electron transport chain (ETC). In recent years it has become unequivocally clear that mitochondrial complexes of the ETC are not static entities in the inner mitochondrial membrane. These complexes are dynamic and in mammals they aggregate in different stoichiometric combinations to form supercomplexes (SCs) or respirasomes. It has been proposed that the net respiration is more efficient via SCs than via isolated complexes. However, it still needs to be determined whether the activity of a particular SC is associated with a disease etiology. Here we describe a simplified method to visualize and assess in-gel activity of SCs and the individual complexes with good resolution using blue native polyacrylamide gel electrophoresis (BN-PAGE).","author":[{"dropping-particle":"","family":"Stratakis","given":"Constantine A.","non-dropping-particle":"","parse-names":false,"suffix":""}],"container-title":"Reviews in Endocrine and Metabolic Disorders","id":"ITEM-2","issue":"3","issued":{"date-parts":[["2016","9","10"]]},"page":"367-371","title":"Carney complex: A familial lentiginosis predisposing to a variety of tumors","type":"article-journal","volume":"17"},"uris":["http://www.mendeley.com/documents/?uuid=5ab83e28-4f56-45e8-ae26-6c0c8051df8b"]}],"mendeley":{"formattedCitation":"(12,13)","plainTextFormattedCitation":"(12,13)","previouslyFormattedCitation":"(12,13)"},"properties":{"noteIndex":0},"schema":"https://github.com/citation-style-language/schema/raw/master/csl-citation.json"}</w:instrText>
      </w:r>
      <w:r w:rsidR="004C2CA5" w:rsidRPr="00EC2EA6">
        <w:rPr>
          <w:color w:val="auto"/>
          <w:sz w:val="22"/>
        </w:rPr>
        <w:fldChar w:fldCharType="separate"/>
      </w:r>
      <w:r w:rsidR="006644FA" w:rsidRPr="00EC2EA6">
        <w:rPr>
          <w:noProof/>
          <w:color w:val="auto"/>
          <w:sz w:val="22"/>
        </w:rPr>
        <w:t>(12,13)</w:t>
      </w:r>
      <w:r w:rsidR="004C2CA5" w:rsidRPr="00EC2EA6">
        <w:rPr>
          <w:color w:val="auto"/>
          <w:sz w:val="22"/>
        </w:rPr>
        <w:fldChar w:fldCharType="end"/>
      </w:r>
      <w:r w:rsidRPr="00EC2EA6">
        <w:rPr>
          <w:color w:val="auto"/>
          <w:sz w:val="22"/>
        </w:rPr>
        <w:t>. Approximately 70% of individuals diagnosed with</w:t>
      </w:r>
      <w:r w:rsidR="009A1C9C" w:rsidRPr="00EC2EA6">
        <w:rPr>
          <w:color w:val="auto"/>
          <w:sz w:val="22"/>
        </w:rPr>
        <w:t xml:space="preserve"> </w:t>
      </w:r>
      <w:r w:rsidRPr="00EC2EA6">
        <w:rPr>
          <w:color w:val="auto"/>
          <w:sz w:val="22"/>
        </w:rPr>
        <w:t xml:space="preserve">CNC have a familial history, while the remaining 30% present as a </w:t>
      </w:r>
      <w:r w:rsidRPr="00EC2EA6">
        <w:rPr>
          <w:i/>
          <w:iCs/>
          <w:color w:val="auto"/>
          <w:sz w:val="22"/>
        </w:rPr>
        <w:t xml:space="preserve">de novo </w:t>
      </w:r>
      <w:r w:rsidRPr="00EC2EA6">
        <w:rPr>
          <w:color w:val="auto"/>
          <w:sz w:val="22"/>
        </w:rPr>
        <w:t>germline mutation.</w:t>
      </w:r>
      <w:r w:rsidR="009A1C9C" w:rsidRPr="00EC2EA6">
        <w:rPr>
          <w:color w:val="auto"/>
          <w:sz w:val="22"/>
        </w:rPr>
        <w:t xml:space="preserve"> </w:t>
      </w:r>
      <w:r w:rsidRPr="00EC2EA6">
        <w:rPr>
          <w:color w:val="auto"/>
          <w:sz w:val="22"/>
        </w:rPr>
        <w:t>In large series, a predilection of female over male gender has been observed (63% vs. 37%</w:t>
      </w:r>
      <w:r w:rsidR="009A1C9C" w:rsidRPr="00EC2EA6">
        <w:rPr>
          <w:color w:val="auto"/>
          <w:sz w:val="22"/>
        </w:rPr>
        <w:t xml:space="preserve"> </w:t>
      </w:r>
      <w:r w:rsidRPr="00EC2EA6">
        <w:rPr>
          <w:color w:val="auto"/>
          <w:sz w:val="22"/>
        </w:rPr>
        <w:t xml:space="preserve">respectively), </w:t>
      </w:r>
      <w:r w:rsidR="00DA5874" w:rsidRPr="00EC2EA6">
        <w:rPr>
          <w:color w:val="auto"/>
          <w:sz w:val="22"/>
        </w:rPr>
        <w:t>whereas</w:t>
      </w:r>
      <w:r w:rsidRPr="00EC2EA6">
        <w:rPr>
          <w:color w:val="auto"/>
          <w:sz w:val="22"/>
        </w:rPr>
        <w:t xml:space="preserve"> there is no apparent predilection concerning ethnicity </w:t>
      </w:r>
      <w:r w:rsidR="004C2CA5" w:rsidRPr="00EC2EA6">
        <w:rPr>
          <w:color w:val="auto"/>
          <w:sz w:val="22"/>
        </w:rPr>
        <w:fldChar w:fldCharType="begin" w:fldLock="1"/>
      </w:r>
      <w:r w:rsidR="006644FA" w:rsidRPr="00EC2EA6">
        <w:rPr>
          <w:color w:val="auto"/>
          <w:sz w:val="22"/>
        </w:rPr>
        <w:instrText>ADDIN CSL_CITATION {"citationItems":[{"id":"ITEM-1","itemData":{"DOI":"000345669 [pii] 10.1159/000345669","ISSN":"1662-3762 (Electronic) 0301-3073 (Linking)","author":[{"dropping-particle":"","family":"Espiard","given":"S","non-dropping-particle":"","parse-names":false,"suffix":""},{"dropping-particle":"","family":"Bertherat","given":"J","non-dropping-particle":"","parse-names":false,"suffix":""}],"container-title":"Front Horm Res","id":"ITEM-1","issued":{"date-parts":[["2013"]]},"page":"50-62","title":"Carney complex","type":"article-journal","volume":"41"},"uris":["http://www.mendeley.com/documents/?uuid=07a4e275-1be7-4c76-bd75-b43a0982b241"]}],"mendeley":{"formattedCitation":"(14)","plainTextFormattedCitation":"(14)","previouslyFormattedCitation":"(14)"},"properties":{"noteIndex":0},"schema":"https://github.com/citation-style-language/schema/raw/master/csl-citation.json"}</w:instrText>
      </w:r>
      <w:r w:rsidR="004C2CA5" w:rsidRPr="00EC2EA6">
        <w:rPr>
          <w:color w:val="auto"/>
          <w:sz w:val="22"/>
        </w:rPr>
        <w:fldChar w:fldCharType="separate"/>
      </w:r>
      <w:r w:rsidR="006644FA" w:rsidRPr="00EC2EA6">
        <w:rPr>
          <w:noProof/>
          <w:color w:val="auto"/>
          <w:sz w:val="22"/>
        </w:rPr>
        <w:t>(14)</w:t>
      </w:r>
      <w:r w:rsidR="004C2CA5" w:rsidRPr="00EC2EA6">
        <w:rPr>
          <w:color w:val="auto"/>
          <w:sz w:val="22"/>
        </w:rPr>
        <w:fldChar w:fldCharType="end"/>
      </w:r>
      <w:r w:rsidRPr="00EC2EA6">
        <w:rPr>
          <w:color w:val="auto"/>
          <w:sz w:val="22"/>
        </w:rPr>
        <w:t>.</w:t>
      </w:r>
    </w:p>
    <w:p w14:paraId="3D93EBAB" w14:textId="77777777" w:rsidR="009F0D82" w:rsidRPr="00EC2EA6" w:rsidRDefault="009F0D82" w:rsidP="005F1576">
      <w:pPr>
        <w:spacing w:before="0" w:line="276" w:lineRule="auto"/>
        <w:jc w:val="left"/>
        <w:rPr>
          <w:color w:val="auto"/>
          <w:sz w:val="22"/>
        </w:rPr>
      </w:pPr>
    </w:p>
    <w:p w14:paraId="23FCC3E6" w14:textId="48D60B9F" w:rsidR="00BE1434" w:rsidRPr="00EC2EA6" w:rsidRDefault="005049B5" w:rsidP="005F1576">
      <w:pPr>
        <w:spacing w:before="0" w:line="276" w:lineRule="auto"/>
        <w:jc w:val="left"/>
        <w:rPr>
          <w:color w:val="auto"/>
          <w:sz w:val="22"/>
        </w:rPr>
      </w:pPr>
      <w:r w:rsidRPr="00EC2EA6">
        <w:rPr>
          <w:color w:val="auto"/>
          <w:sz w:val="22"/>
        </w:rPr>
        <w:t>CNC is inherited as a dominant trait, although transmission through a female affected parent is</w:t>
      </w:r>
      <w:r w:rsidR="009A1C9C" w:rsidRPr="00EC2EA6">
        <w:rPr>
          <w:color w:val="auto"/>
          <w:sz w:val="22"/>
        </w:rPr>
        <w:t xml:space="preserve"> </w:t>
      </w:r>
      <w:r w:rsidRPr="00EC2EA6">
        <w:rPr>
          <w:color w:val="auto"/>
          <w:sz w:val="22"/>
        </w:rPr>
        <w:t>almost 5-fold more frequent than the male. A possible explanation for this discrepancy might be</w:t>
      </w:r>
      <w:r w:rsidR="009A1C9C" w:rsidRPr="00EC2EA6">
        <w:rPr>
          <w:color w:val="auto"/>
          <w:sz w:val="22"/>
        </w:rPr>
        <w:t xml:space="preserve"> </w:t>
      </w:r>
      <w:r w:rsidRPr="00EC2EA6">
        <w:rPr>
          <w:color w:val="auto"/>
          <w:sz w:val="22"/>
        </w:rPr>
        <w:t xml:space="preserve">the fact that male patients often harbor Large Cell Calcified Sertoli Cell Tumors (LCCSCT), </w:t>
      </w:r>
      <w:r w:rsidR="006644FA" w:rsidRPr="00EC2EA6">
        <w:rPr>
          <w:color w:val="auto"/>
          <w:sz w:val="22"/>
        </w:rPr>
        <w:t>which</w:t>
      </w:r>
      <w:r w:rsidR="009A1C9C" w:rsidRPr="00EC2EA6">
        <w:rPr>
          <w:color w:val="auto"/>
          <w:sz w:val="22"/>
        </w:rPr>
        <w:t xml:space="preserve"> </w:t>
      </w:r>
      <w:r w:rsidRPr="00EC2EA6">
        <w:rPr>
          <w:color w:val="auto"/>
          <w:sz w:val="22"/>
        </w:rPr>
        <w:t xml:space="preserve">may </w:t>
      </w:r>
      <w:r w:rsidR="00CF4BBE" w:rsidRPr="00EC2EA6">
        <w:rPr>
          <w:color w:val="auto"/>
          <w:sz w:val="22"/>
        </w:rPr>
        <w:t xml:space="preserve">hamper </w:t>
      </w:r>
      <w:r w:rsidRPr="00EC2EA6">
        <w:rPr>
          <w:color w:val="auto"/>
          <w:sz w:val="22"/>
        </w:rPr>
        <w:t xml:space="preserve">fertility </w:t>
      </w:r>
      <w:r w:rsidR="007B1CD2" w:rsidRPr="00EC2EA6">
        <w:rPr>
          <w:color w:val="auto"/>
          <w:sz w:val="22"/>
        </w:rPr>
        <w:fldChar w:fldCharType="begin" w:fldLock="1"/>
      </w:r>
      <w:r w:rsidR="006644FA" w:rsidRPr="00EC2EA6">
        <w:rPr>
          <w:color w:val="auto"/>
          <w:sz w:val="22"/>
        </w:rPr>
        <w:instrText>ADDIN CSL_CITATION {"citationItems":[{"id":"ITEM-1","itemData":{"DOI":"10.1002/(SICI)1097-0096(199705)25:4&lt;211::AID-JCU10&gt;3.0.CO;2-N [pii]","ISSN":"0091-2751 (Print) 0091-2751 (Linking)","author":[{"dropping-particle":"","family":"Premkumar","given":"A","non-dropping-particle":"","parse-names":false,"suffix":""},{"dropping-particle":"","family":"Stratakis","given":"C A","non-dropping-particle":"","parse-names":false,"suffix":""},{"dropping-particle":"","family":"Shawker","given":"T H","non-dropping-particle":"","parse-names":false,"suffix":""},{"dropping-particle":"","family":"Papanicolaou","given":"D A","non-dropping-particle":"","parse-names":false,"suffix":""},{"dropping-particle":"","family":"Chrousos","given":"G P","non-dropping-particle":"","parse-names":false,"suffix":""}],"container-title":"J Clin Ultrasound","id":"ITEM-1","issue":"4","issued":{"date-parts":[["1997"]]},"page":"211-214","title":"Testicular ultrasound in Carney complex: report of three cases","type":"article-journal","volume":"25"},"uris":["http://www.mendeley.com/documents/?uuid=1aea286a-e528-4662-9cb6-04805ad59b51"]}],"mendeley":{"formattedCitation":"(15)","plainTextFormattedCitation":"(15)","previouslyFormattedCitation":"(15)"},"properties":{"noteIndex":0},"schema":"https://github.com/citation-style-language/schema/raw/master/csl-citation.json"}</w:instrText>
      </w:r>
      <w:r w:rsidR="007B1CD2" w:rsidRPr="00EC2EA6">
        <w:rPr>
          <w:color w:val="auto"/>
          <w:sz w:val="22"/>
        </w:rPr>
        <w:fldChar w:fldCharType="separate"/>
      </w:r>
      <w:r w:rsidR="006644FA" w:rsidRPr="00EC2EA6">
        <w:rPr>
          <w:noProof/>
          <w:color w:val="auto"/>
          <w:sz w:val="22"/>
        </w:rPr>
        <w:t>(15)</w:t>
      </w:r>
      <w:r w:rsidR="007B1CD2" w:rsidRPr="00EC2EA6">
        <w:rPr>
          <w:color w:val="auto"/>
          <w:sz w:val="22"/>
        </w:rPr>
        <w:fldChar w:fldCharType="end"/>
      </w:r>
      <w:r w:rsidRPr="00EC2EA6">
        <w:rPr>
          <w:color w:val="auto"/>
          <w:sz w:val="22"/>
        </w:rPr>
        <w:t xml:space="preserve">. </w:t>
      </w:r>
      <w:r w:rsidR="00CF4BBE" w:rsidRPr="00EC2EA6">
        <w:rPr>
          <w:color w:val="auto"/>
          <w:sz w:val="22"/>
        </w:rPr>
        <w:t xml:space="preserve">Moreover, </w:t>
      </w:r>
      <w:r w:rsidRPr="00EC2EA6">
        <w:rPr>
          <w:color w:val="auto"/>
          <w:sz w:val="22"/>
        </w:rPr>
        <w:t>data from animal models correlate haploinsufficiency at</w:t>
      </w:r>
      <w:r w:rsidR="00CF4BBE" w:rsidRPr="00EC2EA6">
        <w:rPr>
          <w:color w:val="auto"/>
          <w:sz w:val="22"/>
        </w:rPr>
        <w:t xml:space="preserve"> </w:t>
      </w:r>
      <w:r w:rsidRPr="00EC2EA6">
        <w:rPr>
          <w:color w:val="auto"/>
          <w:sz w:val="22"/>
        </w:rPr>
        <w:t>the</w:t>
      </w:r>
      <w:r w:rsidR="00CF4BBE" w:rsidRPr="00EC2EA6">
        <w:rPr>
          <w:color w:val="auto"/>
          <w:sz w:val="22"/>
        </w:rPr>
        <w:t xml:space="preserve"> </w:t>
      </w:r>
      <w:r w:rsidRPr="00EC2EA6">
        <w:rPr>
          <w:color w:val="auto"/>
          <w:sz w:val="22"/>
        </w:rPr>
        <w:t xml:space="preserve">PRKR1A gene locus with male infertility, independently of LCCSCT </w:t>
      </w:r>
      <w:r w:rsidR="004C2CA5" w:rsidRPr="00EC2EA6">
        <w:rPr>
          <w:color w:val="auto"/>
          <w:sz w:val="22"/>
        </w:rPr>
        <w:fldChar w:fldCharType="begin" w:fldLock="1"/>
      </w:r>
      <w:r w:rsidR="006644FA" w:rsidRPr="00EC2EA6">
        <w:rPr>
          <w:color w:val="auto"/>
          <w:sz w:val="22"/>
        </w:rPr>
        <w:instrText>ADDIN CSL_CITATION {"citationItems":[{"id":"ITEM-1","itemData":{"DOI":"me.2006-0060 [pii] 10.1210/me.2006-0060","ISSN":"0888-8809 (Print) 0888-8809 (Linking)","author":[{"dropping-particle":"","family":"Burton","given":"K A","non-dropping-particle":"","parse-names":false,"suffix":""},{"dropping-particle":"","family":"McDermott","given":"D A","non-dropping-particle":"","parse-names":false,"suffix":""},{"dropping-particle":"","family":"Wilkes","given":"D","non-dropping-particle":"","parse-names":false,"suffix":""},{"dropping-particle":"","family":"Poulsen","given":"M N","non-dropping-particle":"","parse-names":false,"suffix":""},{"dropping-particle":"","family":"Nolan","given":"M A","non-dropping-particle":"","parse-names":false,"suffix":""},{"dropping-particle":"","family":"Goldstein","given":"M","non-dropping-particle":"","parse-names":false,"suffix":""},{"dropping-particle":"","family":"Basson","given":"C T","non-dropping-particle":"","parse-names":false,"suffix":""},{"dropping-particle":"","family":"McKnight","given":"G S","non-dropping-particle":"","parse-names":false,"suffix":""}],"container-title":"Mol Endocrinol","id":"ITEM-1","issue":"10","issued":{"date-parts":[["2006"]]},"page":"2504-2513","title":"Haploinsufficiency at the protein kinase A RI alpha gene locus leads to fertility defects in male mice and men","type":"article-journal","volume":"20"},"uris":["http://www.mendeley.com/documents/?uuid=9b289a43-2348-4cc6-9d18-be48e75f83f6"]}],"mendeley":{"formattedCitation":"(16)","plainTextFormattedCitation":"(16)","previouslyFormattedCitation":"(16)"},"properties":{"noteIndex":0},"schema":"https://github.com/citation-style-language/schema/raw/master/csl-citation.json"}</w:instrText>
      </w:r>
      <w:r w:rsidR="004C2CA5" w:rsidRPr="00EC2EA6">
        <w:rPr>
          <w:color w:val="auto"/>
          <w:sz w:val="22"/>
        </w:rPr>
        <w:fldChar w:fldCharType="separate"/>
      </w:r>
      <w:r w:rsidR="006644FA" w:rsidRPr="00EC2EA6">
        <w:rPr>
          <w:noProof/>
          <w:color w:val="auto"/>
          <w:sz w:val="22"/>
        </w:rPr>
        <w:t>(16)</w:t>
      </w:r>
      <w:r w:rsidR="004C2CA5" w:rsidRPr="00EC2EA6">
        <w:rPr>
          <w:color w:val="auto"/>
          <w:sz w:val="22"/>
        </w:rPr>
        <w:fldChar w:fldCharType="end"/>
      </w:r>
      <w:r w:rsidRPr="00EC2EA6">
        <w:rPr>
          <w:color w:val="auto"/>
          <w:sz w:val="22"/>
        </w:rPr>
        <w:t>. The median age of</w:t>
      </w:r>
      <w:r w:rsidR="00CF4BBE" w:rsidRPr="00EC2EA6">
        <w:rPr>
          <w:color w:val="auto"/>
          <w:sz w:val="22"/>
        </w:rPr>
        <w:t xml:space="preserve"> </w:t>
      </w:r>
      <w:r w:rsidRPr="00EC2EA6">
        <w:rPr>
          <w:color w:val="auto"/>
          <w:sz w:val="22"/>
        </w:rPr>
        <w:t xml:space="preserve">diagnosis is 20 years; </w:t>
      </w:r>
      <w:r w:rsidR="00983D6F" w:rsidRPr="00EC2EA6">
        <w:rPr>
          <w:color w:val="auto"/>
          <w:sz w:val="22"/>
        </w:rPr>
        <w:t>however, in many cases</w:t>
      </w:r>
      <w:r w:rsidR="006644FA" w:rsidRPr="00EC2EA6">
        <w:rPr>
          <w:color w:val="auto"/>
          <w:sz w:val="22"/>
        </w:rPr>
        <w:t>,</w:t>
      </w:r>
      <w:r w:rsidR="00983D6F" w:rsidRPr="00EC2EA6">
        <w:rPr>
          <w:color w:val="auto"/>
          <w:sz w:val="22"/>
        </w:rPr>
        <w:t xml:space="preserve"> a diagnostic delay of decades is reported. In general, t</w:t>
      </w:r>
      <w:r w:rsidRPr="00EC2EA6">
        <w:rPr>
          <w:color w:val="auto"/>
          <w:sz w:val="22"/>
        </w:rPr>
        <w:t>he penetrance of CNC is 70%-80% by the age of 40 years, as</w:t>
      </w:r>
      <w:r w:rsidR="00CF4BBE" w:rsidRPr="00EC2EA6">
        <w:rPr>
          <w:color w:val="auto"/>
          <w:sz w:val="22"/>
        </w:rPr>
        <w:t xml:space="preserve"> </w:t>
      </w:r>
      <w:r w:rsidRPr="00EC2EA6">
        <w:rPr>
          <w:color w:val="auto"/>
          <w:sz w:val="22"/>
        </w:rPr>
        <w:t xml:space="preserve">clinical manifestations accumulate during </w:t>
      </w:r>
      <w:r w:rsidR="006644FA" w:rsidRPr="00EC2EA6">
        <w:rPr>
          <w:color w:val="auto"/>
          <w:sz w:val="22"/>
        </w:rPr>
        <w:t xml:space="preserve">the </w:t>
      </w:r>
      <w:r w:rsidRPr="00EC2EA6">
        <w:rPr>
          <w:color w:val="auto"/>
          <w:sz w:val="22"/>
        </w:rPr>
        <w:t>lifespan. The maximum number of affected</w:t>
      </w:r>
      <w:r w:rsidR="00CF4BBE" w:rsidRPr="00EC2EA6">
        <w:rPr>
          <w:color w:val="auto"/>
          <w:sz w:val="22"/>
        </w:rPr>
        <w:t xml:space="preserve"> </w:t>
      </w:r>
      <w:r w:rsidRPr="00EC2EA6">
        <w:rPr>
          <w:color w:val="auto"/>
          <w:sz w:val="22"/>
        </w:rPr>
        <w:t xml:space="preserve">generations reported in one kindred is 5 </w:t>
      </w:r>
      <w:r w:rsidR="004C2CA5" w:rsidRPr="00EC2EA6">
        <w:rPr>
          <w:color w:val="auto"/>
          <w:sz w:val="22"/>
        </w:rPr>
        <w:fldChar w:fldCharType="begin" w:fldLock="1"/>
      </w:r>
      <w:r w:rsidR="006644FA" w:rsidRPr="00EC2EA6">
        <w:rPr>
          <w:color w:val="auto"/>
          <w:sz w:val="22"/>
        </w:rPr>
        <w:instrText>ADDIN CSL_CITATION {"citationItems":[{"id":"ITEM-1","itemData":{"ISSN":"0009-7322 (Print) 0009-7322 (Linking)","author":[{"dropping-particle":"","family":"Casey","given":"M","non-dropping-particle":"","parse-names":false,"suffix":""},{"dropping-particle":"","family":"Mah","given":"C","non-dropping-particle":"","parse-names":false,"suffix":""},{"dropping-particle":"","family":"Merliss","given":"A D","non-dropping-particle":"","parse-names":false,"suffix":""},{"dropping-particle":"","family":"Kirschner","given":"L S","non-dropping-particle":"","parse-names":false,"suffix":""},{"dropping-particle":"","family":"Taymans","given":"S E","non-dropping-particle":"","parse-names":false,"suffix":""},{"dropping-particle":"","family":"Denio","given":"A E","non-dropping-particle":"","parse-names":false,"suffix":""},{"dropping-particle":"","family":"Korf","given":"B","non-dropping-particle":"","parse-names":false,"suffix":""},{"dropping-particle":"","family":"Irvine","given":"A D","non-dropping-particle":"","parse-names":false,"suffix":""},{"dropping-particle":"","family":"Hughes","given":"A","non-dropping-particle":"","parse-names":false,"suffix":""},{"dropping-particle":"","family":"Carney","given":"J A","non-dropping-particle":"","parse-names":false,"suffix":""},{"dropping-particle":"","family":"Stratakis","given":"C A","non-dropping-particle":"","parse-names":false,"suffix":""},{"dropping-particle":"","family":"Basson","given":"C T","non-dropping-particle":"","parse-names":false,"suffix":""}],"container-title":"Circulation","id":"ITEM-1","issue":"23","issued":{"date-parts":[["1998"]]},"page":"2560-2566","title":"Identification of a novel genetic locus for familial cardiac myxomas and Carney complex","type":"article-journal","volume":"98"},"uris":["http://www.mendeley.com/documents/?uuid=b81fe08e-b76c-4251-85f2-b405da33fb2e"]}],"mendeley":{"formattedCitation":"(9)","plainTextFormattedCitation":"(9)","previouslyFormattedCitation":"(9)"},"properties":{"noteIndex":0},"schema":"https://github.com/citation-style-language/schema/raw/master/csl-citation.json"}</w:instrText>
      </w:r>
      <w:r w:rsidR="004C2CA5" w:rsidRPr="00EC2EA6">
        <w:rPr>
          <w:color w:val="auto"/>
          <w:sz w:val="22"/>
        </w:rPr>
        <w:fldChar w:fldCharType="separate"/>
      </w:r>
      <w:r w:rsidR="006644FA" w:rsidRPr="00EC2EA6">
        <w:rPr>
          <w:noProof/>
          <w:color w:val="auto"/>
          <w:sz w:val="22"/>
        </w:rPr>
        <w:t>(9)</w:t>
      </w:r>
      <w:r w:rsidR="004C2CA5" w:rsidRPr="00EC2EA6">
        <w:rPr>
          <w:color w:val="auto"/>
          <w:sz w:val="22"/>
        </w:rPr>
        <w:fldChar w:fldCharType="end"/>
      </w:r>
      <w:r w:rsidRPr="00EC2EA6">
        <w:rPr>
          <w:color w:val="auto"/>
          <w:sz w:val="22"/>
        </w:rPr>
        <w:t>.</w:t>
      </w:r>
    </w:p>
    <w:p w14:paraId="0F99347E" w14:textId="77777777" w:rsidR="009F0D82" w:rsidRPr="005F1576" w:rsidRDefault="009F0D82" w:rsidP="005F1576">
      <w:pPr>
        <w:spacing w:before="0" w:line="276" w:lineRule="auto"/>
        <w:jc w:val="left"/>
        <w:rPr>
          <w:sz w:val="22"/>
        </w:rPr>
      </w:pPr>
    </w:p>
    <w:p w14:paraId="5D0E4273" w14:textId="4855BAE0" w:rsidR="00BE1434" w:rsidRPr="005F1576" w:rsidRDefault="009A1C9C" w:rsidP="005F1576">
      <w:pPr>
        <w:pStyle w:val="Heading1"/>
        <w:spacing w:before="0" w:line="276" w:lineRule="auto"/>
        <w:jc w:val="left"/>
        <w:rPr>
          <w:sz w:val="22"/>
        </w:rPr>
      </w:pPr>
      <w:r w:rsidRPr="005F1576">
        <w:rPr>
          <w:sz w:val="22"/>
        </w:rPr>
        <w:t xml:space="preserve"> </w:t>
      </w:r>
      <w:r w:rsidR="005049B5" w:rsidRPr="009F0D82">
        <w:rPr>
          <w:color w:val="0070C0"/>
          <w:sz w:val="22"/>
        </w:rPr>
        <w:t>MOLECULAR GENETICS</w:t>
      </w:r>
      <w:r w:rsidR="009F0D82" w:rsidRPr="009F0D82">
        <w:rPr>
          <w:color w:val="0070C0"/>
          <w:sz w:val="22"/>
        </w:rPr>
        <w:t xml:space="preserve"> AND</w:t>
      </w:r>
      <w:r w:rsidR="005049B5" w:rsidRPr="009F0D82">
        <w:rPr>
          <w:color w:val="0070C0"/>
          <w:sz w:val="22"/>
        </w:rPr>
        <w:t xml:space="preserve"> PATHOPHYSIOLOGY</w:t>
      </w:r>
    </w:p>
    <w:p w14:paraId="4D4CD30F" w14:textId="77777777" w:rsidR="009F0D82" w:rsidRDefault="009F0D82" w:rsidP="005F1576">
      <w:pPr>
        <w:spacing w:before="0" w:line="276" w:lineRule="auto"/>
        <w:jc w:val="left"/>
        <w:rPr>
          <w:b/>
          <w:bCs/>
          <w:sz w:val="22"/>
        </w:rPr>
      </w:pPr>
    </w:p>
    <w:p w14:paraId="67CD9CDB" w14:textId="037F7F8C" w:rsidR="00020D97" w:rsidRPr="005F1576" w:rsidRDefault="009A1C9C" w:rsidP="005F1576">
      <w:pPr>
        <w:spacing w:before="0" w:line="276" w:lineRule="auto"/>
        <w:jc w:val="left"/>
        <w:rPr>
          <w:sz w:val="22"/>
        </w:rPr>
      </w:pPr>
      <w:r w:rsidRPr="005F1576">
        <w:rPr>
          <w:b/>
          <w:bCs/>
          <w:sz w:val="22"/>
        </w:rPr>
        <w:t xml:space="preserve"> </w:t>
      </w:r>
      <w:r w:rsidR="005049B5" w:rsidRPr="005F1576">
        <w:rPr>
          <w:sz w:val="22"/>
        </w:rPr>
        <w:t xml:space="preserve">Hitherto, two loci have been </w:t>
      </w:r>
      <w:r w:rsidR="000128BD" w:rsidRPr="005F1576">
        <w:rPr>
          <w:sz w:val="22"/>
        </w:rPr>
        <w:t xml:space="preserve">principally </w:t>
      </w:r>
      <w:r w:rsidR="005049B5" w:rsidRPr="005F1576">
        <w:rPr>
          <w:sz w:val="22"/>
        </w:rPr>
        <w:t>involved in the genetics of CNC: 17q22-24 and 2p16.</w:t>
      </w:r>
    </w:p>
    <w:p w14:paraId="032EEAE3" w14:textId="77777777" w:rsidR="009F0D82" w:rsidRDefault="009F0D82" w:rsidP="005F1576">
      <w:pPr>
        <w:pStyle w:val="Heading2"/>
        <w:spacing w:before="0" w:line="276" w:lineRule="auto"/>
        <w:jc w:val="left"/>
        <w:rPr>
          <w:rStyle w:val="Heading2Char"/>
          <w:b/>
          <w:bCs/>
          <w:sz w:val="22"/>
        </w:rPr>
      </w:pPr>
    </w:p>
    <w:p w14:paraId="12E1A43F" w14:textId="1749BEF1" w:rsidR="00895121" w:rsidRPr="009F0D82" w:rsidRDefault="005049B5" w:rsidP="005F1576">
      <w:pPr>
        <w:pStyle w:val="Heading2"/>
        <w:spacing w:before="0" w:line="276" w:lineRule="auto"/>
        <w:jc w:val="left"/>
        <w:rPr>
          <w:rStyle w:val="Heading2Char"/>
          <w:b/>
          <w:bCs/>
          <w:color w:val="00B050"/>
          <w:sz w:val="22"/>
        </w:rPr>
      </w:pPr>
      <w:r w:rsidRPr="009F0D82">
        <w:rPr>
          <w:rStyle w:val="Heading2Char"/>
          <w:b/>
          <w:bCs/>
          <w:color w:val="00B050"/>
          <w:sz w:val="22"/>
        </w:rPr>
        <w:t>CNC1 Gene</w:t>
      </w:r>
      <w:r w:rsidR="009A1C9C" w:rsidRPr="009F0D82">
        <w:rPr>
          <w:rStyle w:val="Heading2Char"/>
          <w:b/>
          <w:bCs/>
          <w:color w:val="00B050"/>
          <w:sz w:val="22"/>
        </w:rPr>
        <w:t xml:space="preserve"> </w:t>
      </w:r>
    </w:p>
    <w:p w14:paraId="22782966" w14:textId="77777777" w:rsidR="009F0D82" w:rsidRDefault="009F0D82" w:rsidP="005F1576">
      <w:pPr>
        <w:spacing w:before="0" w:line="276" w:lineRule="auto"/>
        <w:jc w:val="left"/>
        <w:rPr>
          <w:sz w:val="22"/>
        </w:rPr>
      </w:pPr>
    </w:p>
    <w:p w14:paraId="03139862" w14:textId="46E78881" w:rsidR="00907168" w:rsidRPr="005A6109" w:rsidRDefault="005049B5" w:rsidP="005F1576">
      <w:pPr>
        <w:spacing w:before="0" w:line="276" w:lineRule="auto"/>
        <w:jc w:val="left"/>
        <w:rPr>
          <w:color w:val="auto"/>
          <w:sz w:val="22"/>
        </w:rPr>
      </w:pPr>
      <w:r w:rsidRPr="005F1576">
        <w:rPr>
          <w:sz w:val="22"/>
        </w:rPr>
        <w:t xml:space="preserve">The </w:t>
      </w:r>
      <w:r w:rsidRPr="005F1576">
        <w:rPr>
          <w:i/>
          <w:iCs/>
          <w:sz w:val="22"/>
        </w:rPr>
        <w:t xml:space="preserve">CNC1 </w:t>
      </w:r>
      <w:r w:rsidRPr="005F1576">
        <w:rPr>
          <w:sz w:val="22"/>
        </w:rPr>
        <w:t xml:space="preserve">gene, located on </w:t>
      </w:r>
      <w:r w:rsidRPr="00EC2EA6">
        <w:rPr>
          <w:color w:val="auto"/>
          <w:sz w:val="22"/>
        </w:rPr>
        <w:t>17q22-24, is 21 kb</w:t>
      </w:r>
      <w:r w:rsidR="006644FA" w:rsidRPr="00EC2EA6">
        <w:rPr>
          <w:color w:val="auto"/>
          <w:sz w:val="22"/>
        </w:rPr>
        <w:t xml:space="preserve"> </w:t>
      </w:r>
      <w:r w:rsidRPr="00EC2EA6">
        <w:rPr>
          <w:color w:val="auto"/>
          <w:sz w:val="22"/>
        </w:rPr>
        <w:t>long and contains 11 exons, coding the</w:t>
      </w:r>
      <w:r w:rsidR="009A1C9C" w:rsidRPr="00EC2EA6">
        <w:rPr>
          <w:color w:val="auto"/>
          <w:sz w:val="22"/>
        </w:rPr>
        <w:t xml:space="preserve"> </w:t>
      </w:r>
      <w:r w:rsidRPr="00EC2EA6">
        <w:rPr>
          <w:color w:val="auto"/>
          <w:sz w:val="22"/>
        </w:rPr>
        <w:t>regulatory subunit (R1a) of the protein kinase A (</w:t>
      </w:r>
      <w:r w:rsidRPr="00EC2EA6">
        <w:rPr>
          <w:i/>
          <w:iCs/>
          <w:color w:val="auto"/>
          <w:sz w:val="22"/>
        </w:rPr>
        <w:t>PRKAR1A</w:t>
      </w:r>
      <w:r w:rsidRPr="00EC2EA6">
        <w:rPr>
          <w:color w:val="auto"/>
          <w:sz w:val="22"/>
        </w:rPr>
        <w:t xml:space="preserve">), a protein of 384 amino acids </w:t>
      </w:r>
      <w:r w:rsidR="00CD06D9" w:rsidRPr="00EC2EA6">
        <w:rPr>
          <w:color w:val="auto"/>
          <w:sz w:val="22"/>
        </w:rPr>
        <w:fldChar w:fldCharType="begin" w:fldLock="1"/>
      </w:r>
      <w:r w:rsidR="006644FA" w:rsidRPr="00EC2EA6">
        <w:rPr>
          <w:color w:val="auto"/>
          <w:sz w:val="22"/>
        </w:rPr>
        <w:instrText>ADDIN CSL_CITATION {"citationItems":[{"id":"ITEM-1","itemData":{"DOI":"S1521-690X(10)00030-8 [pii] 10.1016/j.beem.2010.03.003","ISSN":"1878-1594 (Electronic) 1521-690X (Linking)","author":[{"dropping-particle":"","family":"Rothenbuhler","given":"A","non-dropping-particle":"","parse-names":false,"suffix":""},{"dropping-particle":"","family":"Stratakis","given":"C A","non-dropping-particle":"","parse-names":false,"suffix":""}],"container-title":"Best Pract Res Clin Endocrinol Metab","id":"ITEM-1","issue":"3","issued":{"date-parts":[["2011"]]},"page":"389-399","title":"Clinical and molecular genetics of Carney complex","type":"article-journal","volume":"24"},"uris":["http://www.mendeley.com/documents/?uuid=b31921ad-e7f5-44bb-a4cc-2c1b861451be"]}],"mendeley":{"formattedCitation":"(17)","plainTextFormattedCitation":"(17)","previouslyFormattedCitation":"(17)"},"properties":{"noteIndex":0},"schema":"https://github.com/citation-style-language/schema/raw/master/csl-citation.json"}</w:instrText>
      </w:r>
      <w:r w:rsidR="00CD06D9" w:rsidRPr="00EC2EA6">
        <w:rPr>
          <w:color w:val="auto"/>
          <w:sz w:val="22"/>
        </w:rPr>
        <w:fldChar w:fldCharType="separate"/>
      </w:r>
      <w:r w:rsidR="006644FA" w:rsidRPr="00EC2EA6">
        <w:rPr>
          <w:noProof/>
          <w:color w:val="auto"/>
          <w:sz w:val="22"/>
        </w:rPr>
        <w:t>(17)</w:t>
      </w:r>
      <w:r w:rsidR="00CD06D9" w:rsidRPr="00EC2EA6">
        <w:rPr>
          <w:color w:val="auto"/>
          <w:sz w:val="22"/>
        </w:rPr>
        <w:fldChar w:fldCharType="end"/>
      </w:r>
      <w:r w:rsidRPr="00EC2EA6">
        <w:rPr>
          <w:color w:val="auto"/>
          <w:sz w:val="22"/>
        </w:rPr>
        <w:t>.</w:t>
      </w:r>
      <w:r w:rsidR="009A1C9C" w:rsidRPr="00EC2EA6">
        <w:rPr>
          <w:color w:val="auto"/>
          <w:sz w:val="22"/>
        </w:rPr>
        <w:t xml:space="preserve"> </w:t>
      </w:r>
      <w:r w:rsidR="001C0F7A" w:rsidRPr="00EC2EA6">
        <w:rPr>
          <w:color w:val="auto"/>
          <w:sz w:val="22"/>
        </w:rPr>
        <w:t>Protein Kinase A (PKA)</w:t>
      </w:r>
      <w:r w:rsidRPr="00EC2EA6">
        <w:rPr>
          <w:color w:val="auto"/>
          <w:sz w:val="22"/>
        </w:rPr>
        <w:t xml:space="preserve"> is </w:t>
      </w:r>
      <w:r w:rsidR="00547671" w:rsidRPr="00EC2EA6">
        <w:rPr>
          <w:color w:val="auto"/>
          <w:sz w:val="22"/>
        </w:rPr>
        <w:t>an</w:t>
      </w:r>
      <w:r w:rsidRPr="00EC2EA6">
        <w:rPr>
          <w:color w:val="auto"/>
          <w:sz w:val="22"/>
        </w:rPr>
        <w:t xml:space="preserve"> enzyme involved in G protein</w:t>
      </w:r>
      <w:r w:rsidR="00547671" w:rsidRPr="00EC2EA6">
        <w:rPr>
          <w:color w:val="auto"/>
          <w:sz w:val="22"/>
        </w:rPr>
        <w:t>-</w:t>
      </w:r>
      <w:r w:rsidRPr="00EC2EA6">
        <w:rPr>
          <w:color w:val="auto"/>
          <w:sz w:val="22"/>
        </w:rPr>
        <w:t xml:space="preserve">coupled intracellular pathways and serves as a mediator of c-AMP actions </w:t>
      </w:r>
      <w:r w:rsidR="00197612" w:rsidRPr="00EC2EA6">
        <w:rPr>
          <w:color w:val="auto"/>
          <w:sz w:val="22"/>
        </w:rPr>
        <w:t xml:space="preserve">promoting </w:t>
      </w:r>
      <w:r w:rsidRPr="00EC2EA6">
        <w:rPr>
          <w:color w:val="auto"/>
          <w:sz w:val="22"/>
        </w:rPr>
        <w:t>cell metabolism,</w:t>
      </w:r>
      <w:r w:rsidR="000128BD" w:rsidRPr="00EC2EA6">
        <w:rPr>
          <w:color w:val="auto"/>
          <w:sz w:val="22"/>
        </w:rPr>
        <w:t xml:space="preserve"> </w:t>
      </w:r>
      <w:r w:rsidR="001C0F7A" w:rsidRPr="00EC2EA6">
        <w:rPr>
          <w:color w:val="auto"/>
          <w:sz w:val="22"/>
        </w:rPr>
        <w:t>proliferation,</w:t>
      </w:r>
      <w:r w:rsidRPr="00EC2EA6">
        <w:rPr>
          <w:color w:val="auto"/>
          <w:sz w:val="22"/>
        </w:rPr>
        <w:t xml:space="preserve"> and apoptosis. Its quaternary structure consists of 4 peptide chains that form a</w:t>
      </w:r>
      <w:r w:rsidR="000128BD" w:rsidRPr="00EC2EA6">
        <w:rPr>
          <w:color w:val="auto"/>
          <w:sz w:val="22"/>
        </w:rPr>
        <w:t xml:space="preserve"> </w:t>
      </w:r>
      <w:r w:rsidRPr="00EC2EA6">
        <w:rPr>
          <w:color w:val="auto"/>
          <w:sz w:val="22"/>
        </w:rPr>
        <w:t xml:space="preserve">tetramer of two regulatory (R) subunits, each bound to one catalytic (C) subunit </w:t>
      </w:r>
      <w:r w:rsidR="00CD06D9" w:rsidRPr="00EC2EA6">
        <w:rPr>
          <w:color w:val="auto"/>
          <w:sz w:val="22"/>
        </w:rPr>
        <w:fldChar w:fldCharType="begin" w:fldLock="1"/>
      </w:r>
      <w:r w:rsidR="006644FA" w:rsidRPr="00EC2EA6">
        <w:rPr>
          <w:color w:val="auto"/>
          <w:sz w:val="22"/>
        </w:rPr>
        <w:instrText>ADDIN CSL_CITATION {"citationItems":[{"id":"ITEM-1","itemData":{"DOI":"0163-7258(91)90075-W [pii]","ISSN":"0163-7258 (Print) 0163-7258 (Linking)","author":[{"dropping-particle":"","family":"Scott","given":"J D","non-dropping-particle":"","parse-names":false,"suffix":""}],"container-title":"Pharmacol Ther","id":"ITEM-1","issue":"1","issued":{"date-parts":[["1991"]]},"page":"123-145","title":"Cyclic nucleotide-dependent protein kinases","type":"article-journal","volume":"50"},"uris":["http://www.mendeley.com/documents/?uuid=c895c12a-b827-4e34-9559-3abf702b53d3"]}],"mendeley":{"formattedCitation":"(18)","plainTextFormattedCitation":"(18)","previouslyFormattedCitation":"(18)"},"properties":{"noteIndex":0},"schema":"https://github.com/citation-style-language/schema/raw/master/csl-citation.json"}</w:instrText>
      </w:r>
      <w:r w:rsidR="00CD06D9" w:rsidRPr="00EC2EA6">
        <w:rPr>
          <w:color w:val="auto"/>
          <w:sz w:val="22"/>
        </w:rPr>
        <w:fldChar w:fldCharType="separate"/>
      </w:r>
      <w:r w:rsidR="006644FA" w:rsidRPr="00EC2EA6">
        <w:rPr>
          <w:noProof/>
          <w:color w:val="auto"/>
          <w:sz w:val="22"/>
        </w:rPr>
        <w:t>(18)</w:t>
      </w:r>
      <w:r w:rsidR="00CD06D9" w:rsidRPr="00EC2EA6">
        <w:rPr>
          <w:color w:val="auto"/>
          <w:sz w:val="22"/>
        </w:rPr>
        <w:fldChar w:fldCharType="end"/>
      </w:r>
      <w:r w:rsidRPr="00EC2EA6">
        <w:rPr>
          <w:color w:val="auto"/>
          <w:sz w:val="22"/>
        </w:rPr>
        <w:t>. So far four</w:t>
      </w:r>
      <w:r w:rsidR="000128BD" w:rsidRPr="00EC2EA6">
        <w:rPr>
          <w:color w:val="auto"/>
          <w:sz w:val="22"/>
        </w:rPr>
        <w:t xml:space="preserve"> </w:t>
      </w:r>
      <w:r w:rsidRPr="00EC2EA6">
        <w:rPr>
          <w:color w:val="auto"/>
          <w:sz w:val="22"/>
        </w:rPr>
        <w:t>subtypes of regulatory (RIα, RIβ, RIIα</w:t>
      </w:r>
      <w:r w:rsidR="006644FA" w:rsidRPr="00EC2EA6">
        <w:rPr>
          <w:color w:val="auto"/>
          <w:sz w:val="22"/>
        </w:rPr>
        <w:t>,</w:t>
      </w:r>
      <w:r w:rsidRPr="00EC2EA6">
        <w:rPr>
          <w:color w:val="auto"/>
          <w:sz w:val="22"/>
        </w:rPr>
        <w:t xml:space="preserve"> and RIIβ) and four subtypes of catalytic subunits (</w:t>
      </w:r>
      <w:r w:rsidRPr="005F1576">
        <w:rPr>
          <w:sz w:val="22"/>
        </w:rPr>
        <w:t>Cα, Cβ,</w:t>
      </w:r>
      <w:r w:rsidR="000128BD" w:rsidRPr="005F1576">
        <w:rPr>
          <w:sz w:val="22"/>
        </w:rPr>
        <w:t xml:space="preserve"> </w:t>
      </w:r>
      <w:proofErr w:type="spellStart"/>
      <w:r w:rsidRPr="005F1576">
        <w:rPr>
          <w:sz w:val="22"/>
        </w:rPr>
        <w:t>Cγ</w:t>
      </w:r>
      <w:proofErr w:type="spellEnd"/>
      <w:r w:rsidR="006644FA">
        <w:rPr>
          <w:sz w:val="22"/>
        </w:rPr>
        <w:t>,</w:t>
      </w:r>
      <w:r w:rsidRPr="005F1576">
        <w:rPr>
          <w:sz w:val="22"/>
        </w:rPr>
        <w:t xml:space="preserve"> and </w:t>
      </w:r>
      <w:proofErr w:type="spellStart"/>
      <w:r w:rsidRPr="005F1576">
        <w:rPr>
          <w:sz w:val="22"/>
        </w:rPr>
        <w:t>Prkx</w:t>
      </w:r>
      <w:proofErr w:type="spellEnd"/>
      <w:r w:rsidRPr="005F1576">
        <w:rPr>
          <w:sz w:val="22"/>
        </w:rPr>
        <w:t>) have been identified. A corresponding gene is coding each R (PRKR1A, PRKR1B,</w:t>
      </w:r>
      <w:r w:rsidR="009A1C9C" w:rsidRPr="005F1576">
        <w:rPr>
          <w:sz w:val="22"/>
        </w:rPr>
        <w:t xml:space="preserve"> </w:t>
      </w:r>
      <w:r w:rsidRPr="005F1576">
        <w:rPr>
          <w:sz w:val="22"/>
        </w:rPr>
        <w:t xml:space="preserve">PRKR2A, PRKR2B) </w:t>
      </w:r>
      <w:r w:rsidRPr="005F1576">
        <w:rPr>
          <w:sz w:val="22"/>
        </w:rPr>
        <w:lastRenderedPageBreak/>
        <w:t xml:space="preserve">and each C subunit (PRKACA, PRKACB, PRKACG, PRKX) </w:t>
      </w:r>
      <w:r w:rsidRPr="00EC2EA6">
        <w:rPr>
          <w:color w:val="auto"/>
          <w:sz w:val="22"/>
        </w:rPr>
        <w:t>respectively</w:t>
      </w:r>
      <w:r w:rsidR="009A1C9C" w:rsidRPr="00EC2EA6">
        <w:rPr>
          <w:color w:val="auto"/>
          <w:sz w:val="22"/>
        </w:rPr>
        <w:t xml:space="preserve"> </w:t>
      </w:r>
      <w:r w:rsidR="00CD06D9" w:rsidRPr="00EC2EA6">
        <w:rPr>
          <w:color w:val="auto"/>
          <w:sz w:val="22"/>
        </w:rPr>
        <w:fldChar w:fldCharType="begin" w:fldLock="1"/>
      </w:r>
      <w:r w:rsidR="006644FA" w:rsidRPr="00EC2EA6">
        <w:rPr>
          <w:color w:val="auto"/>
          <w:sz w:val="22"/>
        </w:rPr>
        <w:instrText>ADDIN CSL_CITATION {"citationItems":[{"id":"ITEM-1","itemData":{"DOI":"10.1016/j.mce.2010.11.018","ISSN":"1872-8057","PMID":"21111774","abstract":"The overwhelming majority of benign lesions of the adrenal cortex leading to Cushing syndrome are linked to one or another abnormality of the cAMP signaling pathway. A small number of both massive macronodular adrenocortical disease and cortisol-producing adenomas harbor somatic GNAS mutations. Micronodular adrenocortical hyperplasias are either pigmented (the classic form being that of primary pigmented nodular adrenocortical disease) or non-pigmented; micronodular adrenocortical hyperplasias can be seen in the context of other conditions or isolated; for example, primary pigmented nodular adrenocortical disease usually occurs in the context of Carney complex, but isolated primary pigmented nodular adrenocortical disease has also been described. Both Carney complex and isolated primary pigmented nodular adrenocortical disease are caused by germline PRKAR1A mutations; somatic mutations of this gene that regulates cAMP-dependent protein kinase are also found in cortisol-producing adenomas, and abnormalities of PKA are present in most cases of massive macronodular adrenocortical disease. Micronodular adrenocortical hyperplasias and some cortisol-producing adenomas are associated with phosphodiesterase 11A and 8B defects, coded, respectively, by the PDE11A and PDE8B genes. Mouse models of Prkar1a deficiency also show that increased cAMP signaling leads to tumors in adrenal cortex and other tissues. In this review, we summarize all recent data from ours and other laboratories, supporting the view that Wnt-signaling acts as an important mediator of tumorigenicity induced by abnormal PRKAR1A function and aberrant cAMP signaling.","author":[{"dropping-particle":"","family":"Almeida","given":"MQ","non-dropping-particle":"","parse-names":false,"suffix":""},{"dropping-particle":"","family":"Stratakis","given":"Constantine A","non-dropping-particle":"","parse-names":false,"suffix":""}],"container-title":"Molecular and cellular endocrinology","id":"ITEM-1","issue":"1-2","issued":{"date-parts":[["2011","4","10"]]},"page":"162-8","title":"How does cAMP/protein kinase A signaling lead to tumors in the adrenal cortex and other tissues?","type":"article-journal","volume":"336"},"uris":["http://www.mendeley.com/documents/?uuid=d70a53d2-b7c0-4eee-ab2c-12559259a93d"]}],"mendeley":{"formattedCitation":"(19)","plainTextFormattedCitation":"(19)","previouslyFormattedCitation":"(19)"},"properties":{"noteIndex":0},"schema":"https://github.com/citation-style-language/schema/raw/master/csl-citation.json"}</w:instrText>
      </w:r>
      <w:r w:rsidR="00CD06D9" w:rsidRPr="00EC2EA6">
        <w:rPr>
          <w:color w:val="auto"/>
          <w:sz w:val="22"/>
        </w:rPr>
        <w:fldChar w:fldCharType="separate"/>
      </w:r>
      <w:r w:rsidR="006644FA" w:rsidRPr="00EC2EA6">
        <w:rPr>
          <w:noProof/>
          <w:color w:val="auto"/>
          <w:sz w:val="22"/>
        </w:rPr>
        <w:t>(19)</w:t>
      </w:r>
      <w:r w:rsidR="00CD06D9" w:rsidRPr="00EC2EA6">
        <w:rPr>
          <w:color w:val="auto"/>
          <w:sz w:val="22"/>
        </w:rPr>
        <w:fldChar w:fldCharType="end"/>
      </w:r>
      <w:r w:rsidRPr="00EC2EA6">
        <w:rPr>
          <w:color w:val="auto"/>
          <w:sz w:val="22"/>
        </w:rPr>
        <w:t xml:space="preserve">. When </w:t>
      </w:r>
      <w:r w:rsidRPr="005F1576">
        <w:rPr>
          <w:sz w:val="22"/>
        </w:rPr>
        <w:t>c-AMP binds to the regulatory subunits, their conformation is altered, causing the</w:t>
      </w:r>
      <w:r w:rsidR="009A1C9C" w:rsidRPr="005F1576">
        <w:rPr>
          <w:sz w:val="22"/>
        </w:rPr>
        <w:t xml:space="preserve"> </w:t>
      </w:r>
      <w:r w:rsidRPr="005F1576">
        <w:rPr>
          <w:sz w:val="22"/>
        </w:rPr>
        <w:t>dissociation of each active C subunit from the dimer with the corresponding R subunit. The free</w:t>
      </w:r>
      <w:r w:rsidR="009A1C9C" w:rsidRPr="005F1576">
        <w:rPr>
          <w:sz w:val="22"/>
        </w:rPr>
        <w:t xml:space="preserve"> </w:t>
      </w:r>
      <w:r w:rsidRPr="005F1576">
        <w:rPr>
          <w:sz w:val="22"/>
        </w:rPr>
        <w:t>catalytic subunits then phosphorylate serine and threonine residues of proteins critical to the</w:t>
      </w:r>
      <w:r w:rsidR="009A1C9C" w:rsidRPr="005F1576">
        <w:rPr>
          <w:sz w:val="22"/>
        </w:rPr>
        <w:t xml:space="preserve"> </w:t>
      </w:r>
      <w:r w:rsidRPr="005F1576">
        <w:rPr>
          <w:sz w:val="22"/>
        </w:rPr>
        <w:t xml:space="preserve">activation of downstream processes, such as cAMP response-binding protein (CREB) </w:t>
      </w:r>
      <w:r w:rsidRPr="005A6109">
        <w:rPr>
          <w:color w:val="auto"/>
          <w:sz w:val="22"/>
        </w:rPr>
        <w:t>(Fig</w:t>
      </w:r>
      <w:r w:rsidR="001C0F7A" w:rsidRPr="005A6109">
        <w:rPr>
          <w:color w:val="auto"/>
          <w:sz w:val="22"/>
        </w:rPr>
        <w:t>ure</w:t>
      </w:r>
      <w:r w:rsidR="009A1C9C" w:rsidRPr="005A6109">
        <w:rPr>
          <w:color w:val="auto"/>
          <w:sz w:val="22"/>
        </w:rPr>
        <w:t xml:space="preserve"> </w:t>
      </w:r>
      <w:r w:rsidRPr="005A6109">
        <w:rPr>
          <w:color w:val="auto"/>
          <w:sz w:val="22"/>
        </w:rPr>
        <w:t>2).</w:t>
      </w:r>
    </w:p>
    <w:p w14:paraId="5BCDF217" w14:textId="77777777" w:rsidR="00717D10" w:rsidRDefault="00717D10" w:rsidP="005F1576">
      <w:pPr>
        <w:spacing w:before="0" w:line="276" w:lineRule="auto"/>
        <w:jc w:val="left"/>
        <w:rPr>
          <w:sz w:val="22"/>
        </w:rPr>
      </w:pPr>
    </w:p>
    <w:p w14:paraId="0B1A9D07" w14:textId="7A7D14EF" w:rsidR="00717D10" w:rsidRDefault="00717D10" w:rsidP="005F1576">
      <w:pPr>
        <w:spacing w:before="0" w:line="276" w:lineRule="auto"/>
        <w:jc w:val="left"/>
        <w:rPr>
          <w:sz w:val="22"/>
        </w:rPr>
      </w:pPr>
      <w:r>
        <w:rPr>
          <w:noProof/>
          <w:sz w:val="22"/>
        </w:rPr>
        <w:drawing>
          <wp:inline distT="0" distB="0" distL="0" distR="0" wp14:anchorId="2B99097D" wp14:editId="63BB4766">
            <wp:extent cx="5943600" cy="4443095"/>
            <wp:effectExtent l="0" t="0" r="0" b="0"/>
            <wp:docPr id="1722318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18483" name="Picture 1722318483"/>
                    <pic:cNvPicPr/>
                  </pic:nvPicPr>
                  <pic:blipFill>
                    <a:blip r:embed="rId8">
                      <a:extLst>
                        <a:ext uri="{28A0092B-C50C-407E-A947-70E740481C1C}">
                          <a14:useLocalDpi xmlns:a14="http://schemas.microsoft.com/office/drawing/2010/main" val="0"/>
                        </a:ext>
                      </a:extLst>
                    </a:blip>
                    <a:stretch>
                      <a:fillRect/>
                    </a:stretch>
                  </pic:blipFill>
                  <pic:spPr>
                    <a:xfrm>
                      <a:off x="0" y="0"/>
                      <a:ext cx="5943600" cy="4443095"/>
                    </a:xfrm>
                    <a:prstGeom prst="rect">
                      <a:avLst/>
                    </a:prstGeom>
                  </pic:spPr>
                </pic:pic>
              </a:graphicData>
            </a:graphic>
          </wp:inline>
        </w:drawing>
      </w:r>
    </w:p>
    <w:p w14:paraId="619F212D" w14:textId="7FF3272D" w:rsidR="009F0D82" w:rsidRPr="00717D10" w:rsidRDefault="00717D10" w:rsidP="005F1576">
      <w:pPr>
        <w:spacing w:before="0" w:line="276" w:lineRule="auto"/>
        <w:jc w:val="left"/>
        <w:rPr>
          <w:b/>
          <w:bCs/>
          <w:sz w:val="22"/>
        </w:rPr>
      </w:pPr>
      <w:r w:rsidRPr="00717D10">
        <w:rPr>
          <w:b/>
          <w:bCs/>
          <w:sz w:val="22"/>
        </w:rPr>
        <w:t>Figure 2. The G protein-coupled intracellular pathways and the defect in CNC patients: PRKAR1A mutations result in deficient / inefficient regulatory subunits, resulting in constitutional activation of C subunits (http://prkar1a.nichd.nih.gov).</w:t>
      </w:r>
    </w:p>
    <w:p w14:paraId="30642843" w14:textId="77777777" w:rsidR="00717D10" w:rsidRPr="005F1576" w:rsidRDefault="00717D10" w:rsidP="005F1576">
      <w:pPr>
        <w:spacing w:before="0" w:line="276" w:lineRule="auto"/>
        <w:jc w:val="left"/>
        <w:rPr>
          <w:sz w:val="22"/>
        </w:rPr>
      </w:pPr>
    </w:p>
    <w:p w14:paraId="5AFF282F" w14:textId="61A4CAB9" w:rsidR="00EE23F3" w:rsidRDefault="005049B5" w:rsidP="005F1576">
      <w:pPr>
        <w:spacing w:before="0" w:line="276" w:lineRule="auto"/>
        <w:jc w:val="left"/>
        <w:rPr>
          <w:sz w:val="22"/>
        </w:rPr>
      </w:pPr>
      <w:r w:rsidRPr="005F1576">
        <w:rPr>
          <w:sz w:val="22"/>
        </w:rPr>
        <w:t>Heterozygous inactivating mutations of PRKAR1A have been detected in more than 70% of</w:t>
      </w:r>
      <w:r w:rsidR="009A1C9C" w:rsidRPr="005F1576">
        <w:rPr>
          <w:sz w:val="22"/>
        </w:rPr>
        <w:t xml:space="preserve"> </w:t>
      </w:r>
      <w:r w:rsidRPr="005F1576">
        <w:rPr>
          <w:sz w:val="22"/>
        </w:rPr>
        <w:t>affected individuals. Interestingly, in patients presenting with Cushing's syndrome (CS) this</w:t>
      </w:r>
      <w:r w:rsidR="009A1C9C" w:rsidRPr="005F1576">
        <w:rPr>
          <w:sz w:val="22"/>
        </w:rPr>
        <w:t xml:space="preserve"> </w:t>
      </w:r>
      <w:r w:rsidRPr="005F1576">
        <w:rPr>
          <w:sz w:val="22"/>
        </w:rPr>
        <w:t>frequency rises to about 80</w:t>
      </w:r>
      <w:r w:rsidRPr="00EC2EA6">
        <w:rPr>
          <w:color w:val="auto"/>
          <w:sz w:val="22"/>
        </w:rPr>
        <w:t xml:space="preserve">%. </w:t>
      </w:r>
      <w:r w:rsidR="00712D6E" w:rsidRPr="00EC2EA6">
        <w:rPr>
          <w:color w:val="auto"/>
          <w:sz w:val="22"/>
        </w:rPr>
        <w:fldChar w:fldCharType="begin" w:fldLock="1"/>
      </w:r>
      <w:r w:rsidR="006644FA" w:rsidRPr="00EC2EA6">
        <w:rPr>
          <w:color w:val="auto"/>
          <w:sz w:val="22"/>
        </w:rPr>
        <w:instrText>ADDIN CSL_CITATION {"citationItems":[{"id":"ITEM-1","itemData":{"DOI":"10.1007/s11102-006-0266-1","ISSN":"1573-7403","PMID":"17036196","abstract":"Primary Pigmented Nodular Adrenocortical Disease (PPNAD) is a rare primary bilateral adrenal defect causing corticotropin-independent Cushing's syndrome. It occurs mainly in children and young adults. Macroscopic appearance of the adrenals is characteristic with small pigmented micronodules observed in the cortex. PPNAD is most often diagnosed in patients with Carney complex (CNC), but it can also be observed in patients without other manifestations or familial history (isolated PPNAD). The CNC is an autosomal dominant multiple neoplasia syndrome characterized by the association of myxoma, spotty skin pigmentation and endocrine overactivity. One of the putative CNC genes has been identified as the gene of the regulatory R1A subunit of protein kinase A (PRKAR1A), located at 17q22-24. Germline heterozygous inactivating mutations of PRKAR1A have been reported in about 45% of patients with CNC, and up to 80% of CNC patients with Cushing's syndrome due to PPNAD. Interestingly, such inactivating germline PRKAR1A mutations have also been found in patients with isolated PPNAD. The hot spot PRKAR1A mutation termed c.709[-7-2]del6 predisposes mostly to isolated PPNAD, and is the first clear genotype/phenotype correlation described for this gene. Somatic inactivating mutations of PRKAR1A have been observed in macronodules of PPNAD and in sporadic cortisol secreting adrenal adenomas. Isolated PPNAD is a genetic heterogenous disease, and recently inactivating mutations of the gene of the phosphodiesterase 11A4 (PDE11A4) located at 2q31-2q35 have been identified in patients without PRKAR1A mutations. Interestingly, both PRKAR1A and PDE11A gene products control the cAMP signaling pathway, which can be altered at various levels in endocrine tumors.","author":[{"dropping-particle":"","family":"Cazabat","given":"Laure","non-dropping-particle":"","parse-names":false,"suffix":""},{"dropping-particle":"","family":"Ragazzon","given":"Bruno","non-dropping-particle":"","parse-names":false,"suffix":""},{"dropping-particle":"","family":"Groussin","given":"Lionel","non-dropping-particle":"","parse-names":false,"suffix":""},{"dropping-particle":"","family":"Bertherat","given":"Jérôme","non-dropping-particle":"","parse-names":false,"suffix":""}],"container-title":"Pituitary","id":"ITEM-1","issue":"3","issued":{"date-parts":[["2006"]]},"page":"211-9","title":"PRKAR1A mutations in primary pigmented nodular adrenocortical disease.","type":"article-journal","volume":"9"},"uris":["http://www.mendeley.com/documents/?uuid=2955f1d8-716b-4ffa-ac14-1a7fbfcef320"]}],"mendeley":{"formattedCitation":"(20)","plainTextFormattedCitation":"(20)","previouslyFormattedCitation":"(20)"},"properties":{"noteIndex":0},"schema":"https://github.com/citation-style-language/schema/raw/master/csl-citation.json"}</w:instrText>
      </w:r>
      <w:r w:rsidR="00712D6E" w:rsidRPr="00EC2EA6">
        <w:rPr>
          <w:color w:val="auto"/>
          <w:sz w:val="22"/>
        </w:rPr>
        <w:fldChar w:fldCharType="separate"/>
      </w:r>
      <w:r w:rsidR="006644FA" w:rsidRPr="00EC2EA6">
        <w:rPr>
          <w:noProof/>
          <w:color w:val="auto"/>
          <w:sz w:val="22"/>
        </w:rPr>
        <w:t>(20)</w:t>
      </w:r>
      <w:r w:rsidR="00712D6E" w:rsidRPr="00EC2EA6">
        <w:rPr>
          <w:color w:val="auto"/>
          <w:sz w:val="22"/>
        </w:rPr>
        <w:fldChar w:fldCharType="end"/>
      </w:r>
      <w:r w:rsidRPr="00EC2EA6">
        <w:rPr>
          <w:color w:val="auto"/>
          <w:sz w:val="22"/>
        </w:rPr>
        <w:t xml:space="preserve">. Up </w:t>
      </w:r>
      <w:r w:rsidRPr="005F1576">
        <w:rPr>
          <w:sz w:val="22"/>
        </w:rPr>
        <w:t>to date</w:t>
      </w:r>
      <w:r w:rsidR="006644FA">
        <w:rPr>
          <w:sz w:val="22"/>
        </w:rPr>
        <w:t>,</w:t>
      </w:r>
      <w:r w:rsidRPr="005F1576">
        <w:rPr>
          <w:sz w:val="22"/>
        </w:rPr>
        <w:t xml:space="preserve"> 140</w:t>
      </w:r>
      <w:r w:rsidR="009A1C9C" w:rsidRPr="005F1576">
        <w:rPr>
          <w:sz w:val="22"/>
        </w:rPr>
        <w:t xml:space="preserve"> </w:t>
      </w:r>
      <w:r w:rsidRPr="005F1576">
        <w:rPr>
          <w:sz w:val="22"/>
        </w:rPr>
        <w:t>different PRKAR1A mutations have been registered at the CNC consortium database</w:t>
      </w:r>
      <w:r w:rsidR="009A1C9C" w:rsidRPr="005F1576">
        <w:rPr>
          <w:sz w:val="22"/>
        </w:rPr>
        <w:t xml:space="preserve"> </w:t>
      </w:r>
      <w:r w:rsidRPr="005F1576">
        <w:rPr>
          <w:sz w:val="22"/>
        </w:rPr>
        <w:t>(</w:t>
      </w:r>
      <w:hyperlink r:id="rId9" w:history="1">
        <w:r w:rsidR="005928CE" w:rsidRPr="005F1576">
          <w:rPr>
            <w:rStyle w:val="Hyperlink"/>
            <w:sz w:val="22"/>
          </w:rPr>
          <w:t>http://prkar1a.nichd.nih.gov</w:t>
        </w:r>
      </w:hyperlink>
      <w:r w:rsidRPr="005F1576">
        <w:rPr>
          <w:sz w:val="22"/>
        </w:rPr>
        <w:t>)</w:t>
      </w:r>
      <w:r w:rsidR="005928CE" w:rsidRPr="005F1576">
        <w:rPr>
          <w:sz w:val="22"/>
        </w:rPr>
        <w:t>, and t</w:t>
      </w:r>
      <w:r w:rsidRPr="005F1576">
        <w:rPr>
          <w:sz w:val="22"/>
        </w:rPr>
        <w:t xml:space="preserve">hey are distributed among the </w:t>
      </w:r>
      <w:r w:rsidR="00197612" w:rsidRPr="005F1576">
        <w:rPr>
          <w:sz w:val="22"/>
        </w:rPr>
        <w:t xml:space="preserve">11 exons of the </w:t>
      </w:r>
      <w:r w:rsidRPr="005F1576">
        <w:rPr>
          <w:sz w:val="22"/>
        </w:rPr>
        <w:t>PRKAR1A gene</w:t>
      </w:r>
      <w:r w:rsidR="00197612" w:rsidRPr="005F1576">
        <w:rPr>
          <w:sz w:val="22"/>
        </w:rPr>
        <w:t xml:space="preserve">, </w:t>
      </w:r>
      <w:r w:rsidR="00EE23F3" w:rsidRPr="002F52E3">
        <w:rPr>
          <w:sz w:val="22"/>
        </w:rPr>
        <w:t xml:space="preserve">showing a predilection for exons 2, 3, 5 and 7, which are more often mutated, whereas </w:t>
      </w:r>
      <w:r w:rsidR="00197612" w:rsidRPr="002F52E3">
        <w:rPr>
          <w:sz w:val="22"/>
        </w:rPr>
        <w:t>exon 1, is non-coding and rarely mutated</w:t>
      </w:r>
      <w:r w:rsidR="005928CE" w:rsidRPr="002F52E3">
        <w:rPr>
          <w:sz w:val="22"/>
        </w:rPr>
        <w:t>.</w:t>
      </w:r>
      <w:r w:rsidRPr="002F52E3">
        <w:rPr>
          <w:sz w:val="22"/>
        </w:rPr>
        <w:t xml:space="preserve">  </w:t>
      </w:r>
      <w:r w:rsidR="005928CE" w:rsidRPr="002F52E3">
        <w:rPr>
          <w:sz w:val="22"/>
        </w:rPr>
        <w:t xml:space="preserve">Most </w:t>
      </w:r>
      <w:r w:rsidRPr="002F52E3">
        <w:rPr>
          <w:sz w:val="22"/>
        </w:rPr>
        <w:t>of them are family or patient</w:t>
      </w:r>
      <w:r w:rsidR="006644FA">
        <w:rPr>
          <w:sz w:val="22"/>
        </w:rPr>
        <w:t>-</w:t>
      </w:r>
      <w:r w:rsidRPr="002F52E3">
        <w:rPr>
          <w:sz w:val="22"/>
        </w:rPr>
        <w:t>specific</w:t>
      </w:r>
      <w:r w:rsidR="00EE23F3" w:rsidRPr="002F52E3">
        <w:rPr>
          <w:sz w:val="22"/>
        </w:rPr>
        <w:t xml:space="preserve">; however, certain hot-spot mutations have been identified such as the  c.709- 7del6 in intron 7, c.491-492delTG in exon 5, and c.82C &gt; T in </w:t>
      </w:r>
      <w:r w:rsidR="00EE23F3" w:rsidRPr="00EC2EA6">
        <w:rPr>
          <w:color w:val="auto"/>
          <w:sz w:val="22"/>
        </w:rPr>
        <w:t xml:space="preserve">exon 2 </w:t>
      </w:r>
      <w:r w:rsidR="00EE23F3" w:rsidRPr="00EC2EA6">
        <w:rPr>
          <w:color w:val="auto"/>
          <w:sz w:val="22"/>
        </w:rPr>
        <w:fldChar w:fldCharType="begin" w:fldLock="1"/>
      </w:r>
      <w:r w:rsidR="006644FA" w:rsidRPr="00EC2EA6">
        <w:rPr>
          <w:color w:val="auto"/>
          <w:sz w:val="22"/>
        </w:rPr>
        <w:instrText>ADDIN CSL_CITATION {"citationItems":[{"id":"ITEM-1","itemData":{"DOI":"jc.2008-2333 [pii] 10.1210/jc.2008-2333","ISSN":"1945-7197 (Electronic) 0021-972X (Linking)","author":[{"dropping-particle":"","family":"Bertherat","given":"J","non-dropping-particle":"","parse-names":false,"suffix":""},{"dropping-particle":"","family":"Horvath","given":"A","non-dropping-particle":"","parse-names":false,"suffix":""},{"dropping-particle":"","family":"Groussin","given":"L","non-dropping-particle":"","parse-names":false,"suffix":""},{"dropping-particle":"","family":"Grabar","given":"S","non-dropping-particle":"","parse-names":false,"suffix":""},{"dropping-particle":"","family":"Boikos","given":"S","non-dropping-particle":"","parse-names":false,"suffix":""},{"dropping-particle":"","family":"Cazabat","given":"L","non-dropping-particle":"","parse-names":false,"suffix":""},{"dropping-particle":"","family":"Libe","given":"R","non-dropping-particle":"","parse-names":false,"suffix":""},{"dropping-particle":"","family":"Rene-Corail","given":"F","non-dropping-particle":"","parse-names":false,"suffix":""},{"dropping-particle":"","family":"Stergiopoulos","given":"S","non-dropping-particle":"","parse-names":false,"suffix":""},{"dropping-particle":"","family":"Bourdeau","given":"I","non-dropping-particle":"","parse-names":false,"suffix":""},{"dropping-particle":"","family":"Bei","given":"T","non-dropping-particle":"","parse-names":false,"suffix":""},{"dropping-particle":"","family":"Clauser","given":"E","non-dropping-particle":"","parse-names":false,"suffix":""},{"dropping-particle":"","family":"Calender","given":"A","non-dropping-particle":"","parse-names":false,"suffix":""},{"dropping-particle":"","family":"Kirschner","given":"L S","non-dropping-particle":"","parse-names":false,"suffix":""},{"dropping-particle":"","family":"Bertagna","given":"X","non-dropping-particle":"","parse-names":false,"suffix":""},{"dropping-particle":"","family":"Carney","given":"J A","non-dropping-particle":"","parse-names":false,"suffix":""},{"dropping-particle":"","family":"Stratakis","given":"C A","non-dropping-particle":"","parse-names":false,"suffix":""}],"container-title":"J Clin Endocrinol Metab","id":"ITEM-1","issue":"6","issued":{"date-parts":[["2009"]]},"page":"2085-2091","title":"Mutations in regulatory subunit type 1A of cyclic adenosine 5'-monophosphate-dependent protein kinase (PRKAR1A): phenotype analysis in 353 patients and 80 different genotypes","type":"article-journal","volume":"94"},"uris":["http://www.mendeley.com/documents/?uuid=844a962d-086b-4fd7-ab0a-e49883de0d85"]}],"mendeley":{"formattedCitation":"(21)","plainTextFormattedCitation":"(21)","previouslyFormattedCitation":"(21)"},"properties":{"noteIndex":0},"schema":"https://github.com/citation-style-language/schema/raw/master/csl-citation.json"}</w:instrText>
      </w:r>
      <w:r w:rsidR="00EE23F3" w:rsidRPr="00EC2EA6">
        <w:rPr>
          <w:color w:val="auto"/>
          <w:sz w:val="22"/>
        </w:rPr>
        <w:fldChar w:fldCharType="separate"/>
      </w:r>
      <w:r w:rsidR="006644FA" w:rsidRPr="00EC2EA6">
        <w:rPr>
          <w:noProof/>
          <w:color w:val="auto"/>
          <w:sz w:val="22"/>
        </w:rPr>
        <w:t>(21)</w:t>
      </w:r>
      <w:r w:rsidR="00EE23F3" w:rsidRPr="00EC2EA6">
        <w:rPr>
          <w:color w:val="auto"/>
          <w:sz w:val="22"/>
        </w:rPr>
        <w:fldChar w:fldCharType="end"/>
      </w:r>
      <w:r w:rsidR="00EE23F3" w:rsidRPr="002F52E3">
        <w:rPr>
          <w:sz w:val="22"/>
        </w:rPr>
        <w:t>.</w:t>
      </w:r>
    </w:p>
    <w:p w14:paraId="1F45E81B" w14:textId="77777777" w:rsidR="009F0D82" w:rsidRPr="005F1576" w:rsidRDefault="009F0D82" w:rsidP="005F1576">
      <w:pPr>
        <w:spacing w:before="0" w:line="276" w:lineRule="auto"/>
        <w:jc w:val="left"/>
        <w:rPr>
          <w:sz w:val="22"/>
        </w:rPr>
      </w:pPr>
    </w:p>
    <w:p w14:paraId="741C6209" w14:textId="150A88A0" w:rsidR="00717D10" w:rsidRDefault="005049B5" w:rsidP="005F1576">
      <w:pPr>
        <w:spacing w:before="0" w:line="276" w:lineRule="auto"/>
        <w:jc w:val="left"/>
        <w:rPr>
          <w:sz w:val="22"/>
        </w:rPr>
      </w:pPr>
      <w:r w:rsidRPr="005F1576">
        <w:rPr>
          <w:sz w:val="22"/>
        </w:rPr>
        <w:lastRenderedPageBreak/>
        <w:t>The penetrance for CNC due to PRKAR1A mutations is higher</w:t>
      </w:r>
      <w:r w:rsidR="009A1C9C" w:rsidRPr="005F1576">
        <w:rPr>
          <w:sz w:val="22"/>
        </w:rPr>
        <w:t xml:space="preserve"> </w:t>
      </w:r>
      <w:r w:rsidRPr="005F1576">
        <w:rPr>
          <w:sz w:val="22"/>
        </w:rPr>
        <w:t>than that encountered in CNC due to other genetic defects, reaching 98</w:t>
      </w:r>
      <w:r w:rsidRPr="00EC2EA6">
        <w:rPr>
          <w:color w:val="auto"/>
          <w:sz w:val="22"/>
        </w:rPr>
        <w:t xml:space="preserve">% </w:t>
      </w:r>
      <w:r w:rsidR="00712D6E" w:rsidRPr="00EC2EA6">
        <w:rPr>
          <w:color w:val="auto"/>
          <w:sz w:val="22"/>
        </w:rPr>
        <w:fldChar w:fldCharType="begin" w:fldLock="1"/>
      </w:r>
      <w:r w:rsidR="006644FA" w:rsidRPr="00EC2EA6">
        <w:rPr>
          <w:color w:val="auto"/>
          <w:sz w:val="22"/>
        </w:rPr>
        <w:instrText>ADDIN CSL_CITATION {"citationItems":[{"id":"ITEM-1","itemData":{"DOI":"10.1002/humu.21178","ISSN":"1098-1004","PMID":"20358582","abstract":"PRKAR1A encodes the regulatory subunit type 1-alpha (RIalpha) of the cyclic adenosine monophosphate (cAMP)-dependent protein kinase (PKA). Inactivating PRKAR1A mutations are known to be responsible for the multiple neoplasia and lentiginosis syndrome Carney complex (CNC). To date, at least 117 pathogenic variants in PRKAR1A have been identified (online database: http://prkar1a.nichd.nih.gov). The majority are subject to nonsense mediated mRNA decay (NMD), leading to RIalpha haploinsufficiency and, as a result, activated cAMP signaling. Recently, it became apparent that CNC may be caused not only by RIalpha haploinsufficiency, but also by the expression of altered RIalpha protein, as proven by analysis of expressed mutations in the gene, consisting of amino acid substitutions and in-frame genetic alterations. In addition, a new subgroup of mutations that potentially escape NMD and result in CNC through altered (rather than missing) protein has been analyzed-these are frame-shifts in the 3' end of the coding sequence that shift the stop codon downstream of the normal one. The mutation detection rate in CNC patients is recently estimated at above 60%; PRKAR1A mutation-negative CNC patients are characterized by significant phenotypic heterogeneity. In this report, we present a comprehensive analysis of all presently known PRKAR1A sequence variations and discuss their molecular context and clinical phenotype.","author":[{"dropping-particle":"","family":"Horvath","given":"A","non-dropping-particle":"","parse-names":false,"suffix":""},{"dropping-particle":"","family":"Bertherat","given":"Jérôme","non-dropping-particle":"","parse-names":false,"suffix":""},{"dropping-particle":"","family":"Groussin","given":"Lionel","non-dropping-particle":"","parse-names":false,"suffix":""},{"dropping-particle":"","family":"Guillaud-Bataille","given":"Marine","non-dropping-particle":"","parse-names":false,"suffix":""},{"dropping-particle":"","family":"Tsang","given":"Kitman","non-dropping-particle":"","parse-names":false,"suffix":""},{"dropping-particle":"","family":"Cazabat","given":"Laure","non-dropping-particle":"","parse-names":false,"suffix":""},{"dropping-particle":"","family":"Libé","given":"Rosella","non-dropping-particle":"","parse-names":false,"suffix":""},{"dropping-particle":"","family":"Remmers","given":"Elaine","non-dropping-particle":"","parse-names":false,"suffix":""},{"dropping-particle":"","family":"René-Corail","given":"Fernande","non-dropping-particle":"","parse-names":false,"suffix":""},{"dropping-particle":"","family":"Faucz","given":"Fabio Rueda","non-dropping-particle":"","parse-names":false,"suffix":""},{"dropping-particle":"","family":"Clauser","given":"Eric","non-dropping-particle":"","parse-names":false,"suffix":""},{"dropping-particle":"","family":"Calender","given":"Alain","non-dropping-particle":"","parse-names":false,"suffix":""},{"dropping-particle":"","family":"Bertagna","given":"Xavier","non-dropping-particle":"","parse-names":false,"suffix":""},{"dropping-particle":"","family":"Carney","given":"J Aidan","non-dropping-particle":"","parse-names":false,"suffix":""},{"dropping-particle":"","family":"Stratakis","given":"Constantine A","non-dropping-particle":"","parse-names":false,"suffix":""}],"container-title":"Human mutation","id":"ITEM-1","issue":"4","issued":{"date-parts":[["2010","4"]]},"page":"369-79","title":"Mutations and polymorphisms in the gene encoding regulatory subunit type 1-alpha of protein kinase A (PRKAR1A): an update.","type":"article-journal","volume":"31"},"uris":["http://www.mendeley.com/documents/?uuid=e02a7a30-cc7e-42ff-b3de-6132c3c1cd22"]}],"mendeley":{"formattedCitation":"(12)","plainTextFormattedCitation":"(12)","previouslyFormattedCitation":"(12)"},"properties":{"noteIndex":0},"schema":"https://github.com/citation-style-language/schema/raw/master/csl-citation.json"}</w:instrText>
      </w:r>
      <w:r w:rsidR="00712D6E" w:rsidRPr="00EC2EA6">
        <w:rPr>
          <w:color w:val="auto"/>
          <w:sz w:val="22"/>
        </w:rPr>
        <w:fldChar w:fldCharType="separate"/>
      </w:r>
      <w:r w:rsidR="006644FA" w:rsidRPr="00EC2EA6">
        <w:rPr>
          <w:noProof/>
          <w:color w:val="auto"/>
          <w:sz w:val="22"/>
        </w:rPr>
        <w:t>(12)</w:t>
      </w:r>
      <w:r w:rsidR="00712D6E" w:rsidRPr="00EC2EA6">
        <w:rPr>
          <w:color w:val="auto"/>
          <w:sz w:val="22"/>
        </w:rPr>
        <w:fldChar w:fldCharType="end"/>
      </w:r>
      <w:r w:rsidRPr="00EC2EA6">
        <w:rPr>
          <w:color w:val="auto"/>
          <w:sz w:val="22"/>
        </w:rPr>
        <w:t>. The vast</w:t>
      </w:r>
      <w:r w:rsidR="009A1C9C" w:rsidRPr="00EC2EA6">
        <w:rPr>
          <w:color w:val="auto"/>
          <w:sz w:val="22"/>
        </w:rPr>
        <w:t xml:space="preserve"> </w:t>
      </w:r>
      <w:r w:rsidRPr="00EC2EA6">
        <w:rPr>
          <w:color w:val="auto"/>
          <w:sz w:val="22"/>
        </w:rPr>
        <w:t>majority of mutations (83%) lead to a premature stop codon (nonsense) and thus, short mutant</w:t>
      </w:r>
      <w:r w:rsidR="009A1C9C" w:rsidRPr="00EC2EA6">
        <w:rPr>
          <w:color w:val="auto"/>
          <w:sz w:val="22"/>
        </w:rPr>
        <w:t xml:space="preserve"> </w:t>
      </w:r>
      <w:r w:rsidRPr="00EC2EA6">
        <w:rPr>
          <w:color w:val="auto"/>
          <w:sz w:val="22"/>
        </w:rPr>
        <w:t xml:space="preserve">mRNAs that are eliminated by selective degradation, a phenomenon known as </w:t>
      </w:r>
      <w:r w:rsidR="00131BE6" w:rsidRPr="00EC2EA6">
        <w:rPr>
          <w:color w:val="auto"/>
          <w:sz w:val="22"/>
        </w:rPr>
        <w:t>nonsense</w:t>
      </w:r>
      <w:r w:rsidR="006644FA" w:rsidRPr="00EC2EA6">
        <w:rPr>
          <w:color w:val="auto"/>
          <w:sz w:val="22"/>
        </w:rPr>
        <w:t>-</w:t>
      </w:r>
      <w:r w:rsidR="00131BE6" w:rsidRPr="00EC2EA6">
        <w:rPr>
          <w:color w:val="auto"/>
          <w:sz w:val="22"/>
        </w:rPr>
        <w:t>mediated</w:t>
      </w:r>
      <w:r w:rsidRPr="00EC2EA6">
        <w:rPr>
          <w:color w:val="auto"/>
          <w:sz w:val="22"/>
        </w:rPr>
        <w:t xml:space="preserve"> mRNA decay (NMD) </w:t>
      </w:r>
      <w:r w:rsidR="00712D6E" w:rsidRPr="00EC2EA6">
        <w:rPr>
          <w:color w:val="auto"/>
          <w:sz w:val="22"/>
        </w:rPr>
        <w:fldChar w:fldCharType="begin" w:fldLock="1"/>
      </w:r>
      <w:r w:rsidR="006644FA" w:rsidRPr="00EC2EA6">
        <w:rPr>
          <w:color w:val="auto"/>
          <w:sz w:val="22"/>
        </w:rPr>
        <w:instrText>ADDIN CSL_CITATION {"citationItems":[{"id":"ITEM-1","itemData":{"DOI":"S1521-690X(10)00030-8 [pii] 10.1016/j.beem.2010.03.003","ISSN":"1878-1594 (Electronic) 1521-690X (Linking)","author":[{"dropping-particle":"","family":"Rothenbuhler","given":"A","non-dropping-particle":"","parse-names":false,"suffix":""},{"dropping-particle":"","family":"Stratakis","given":"C A","non-dropping-particle":"","parse-names":false,"suffix":""}],"container-title":"Best Pract Res Clin Endocrinol Metab","id":"ITEM-1","issue":"3","issued":{"date-parts":[["2011"]]},"page":"389-399","title":"Clinical and molecular genetics of Carney complex","type":"article-journal","volume":"24"},"uris":["http://www.mendeley.com/documents/?uuid=b31921ad-e7f5-44bb-a4cc-2c1b861451be"]}],"mendeley":{"formattedCitation":"(17)","plainTextFormattedCitation":"(17)","previouslyFormattedCitation":"(17)"},"properties":{"noteIndex":0},"schema":"https://github.com/citation-style-language/schema/raw/master/csl-citation.json"}</w:instrText>
      </w:r>
      <w:r w:rsidR="00712D6E" w:rsidRPr="00EC2EA6">
        <w:rPr>
          <w:color w:val="auto"/>
          <w:sz w:val="22"/>
        </w:rPr>
        <w:fldChar w:fldCharType="separate"/>
      </w:r>
      <w:r w:rsidR="006644FA" w:rsidRPr="00EC2EA6">
        <w:rPr>
          <w:noProof/>
          <w:color w:val="auto"/>
          <w:sz w:val="22"/>
        </w:rPr>
        <w:t>(17)</w:t>
      </w:r>
      <w:r w:rsidR="00712D6E" w:rsidRPr="00EC2EA6">
        <w:rPr>
          <w:color w:val="auto"/>
          <w:sz w:val="22"/>
        </w:rPr>
        <w:fldChar w:fldCharType="end"/>
      </w:r>
      <w:r w:rsidRPr="00EC2EA6">
        <w:rPr>
          <w:color w:val="auto"/>
          <w:sz w:val="22"/>
        </w:rPr>
        <w:t xml:space="preserve">. The result is </w:t>
      </w:r>
      <w:r w:rsidR="006644FA" w:rsidRPr="00EC2EA6">
        <w:rPr>
          <w:color w:val="auto"/>
          <w:sz w:val="22"/>
        </w:rPr>
        <w:t xml:space="preserve">a </w:t>
      </w:r>
      <w:r w:rsidRPr="00EC2EA6">
        <w:rPr>
          <w:color w:val="auto"/>
          <w:sz w:val="22"/>
        </w:rPr>
        <w:t>lack of detectable mutant protein and</w:t>
      </w:r>
      <w:r w:rsidR="009A1C9C" w:rsidRPr="00EC2EA6">
        <w:rPr>
          <w:color w:val="auto"/>
          <w:sz w:val="22"/>
        </w:rPr>
        <w:t xml:space="preserve"> </w:t>
      </w:r>
      <w:r w:rsidR="006644FA" w:rsidRPr="00EC2EA6">
        <w:rPr>
          <w:color w:val="auto"/>
          <w:sz w:val="22"/>
        </w:rPr>
        <w:t xml:space="preserve">a </w:t>
      </w:r>
      <w:r w:rsidRPr="00EC2EA6">
        <w:rPr>
          <w:color w:val="auto"/>
          <w:sz w:val="22"/>
        </w:rPr>
        <w:t>reduction of RIα protein levels by 50%. The rest of the mutations (17%) result in the expression</w:t>
      </w:r>
      <w:r w:rsidR="009A1C9C" w:rsidRPr="00EC2EA6">
        <w:rPr>
          <w:color w:val="auto"/>
          <w:sz w:val="22"/>
        </w:rPr>
        <w:t xml:space="preserve"> </w:t>
      </w:r>
      <w:r w:rsidRPr="00EC2EA6">
        <w:rPr>
          <w:color w:val="auto"/>
          <w:sz w:val="22"/>
        </w:rPr>
        <w:t xml:space="preserve">of an altered protein (missense) that may be associated with more </w:t>
      </w:r>
      <w:r w:rsidR="005928CE" w:rsidRPr="00EC2EA6">
        <w:rPr>
          <w:color w:val="auto"/>
          <w:sz w:val="22"/>
        </w:rPr>
        <w:t>severe phenotypes</w:t>
      </w:r>
      <w:r w:rsidRPr="00EC2EA6">
        <w:rPr>
          <w:color w:val="auto"/>
          <w:sz w:val="22"/>
        </w:rPr>
        <w:t xml:space="preserve"> </w:t>
      </w:r>
      <w:r w:rsidR="00712D6E" w:rsidRPr="00EC2EA6">
        <w:rPr>
          <w:color w:val="auto"/>
          <w:sz w:val="22"/>
        </w:rPr>
        <w:fldChar w:fldCharType="begin" w:fldLock="1"/>
      </w:r>
      <w:r w:rsidR="006644FA" w:rsidRPr="00EC2EA6">
        <w:rPr>
          <w:color w:val="auto"/>
          <w:sz w:val="22"/>
        </w:rPr>
        <w:instrText>ADDIN CSL_CITATION {"citationItems":[{"id":"ITEM-1","itemData":{"DOI":"S0002-9297(07)60864-7 [pii] 10.1086/344579","ISSN":"0002-9297 (Print) 0002-9297 (Linking)","author":[{"dropping-particle":"","family":"Groussin","given":"L","non-dropping-particle":"","parse-names":false,"suffix":""},{"dropping-particle":"","family":"Kirschner","given":"L S","non-dropping-particle":"","parse-names":false,"suffix":""},{"dropping-particle":"","family":"Vincent-Dejean","given":"C","non-dropping-particle":"","parse-names":false,"suffix":""},{"dropping-particle":"","family":"Perlemoine","given":"K","non-dropping-particle":"","parse-names":false,"suffix":""},{"dropping-particle":"","family":"Jullian","given":"E","non-dropping-particle":"","parse-names":false,"suffix":""},{"dropping-particle":"","family":"Delemer","given":"B","non-dropping-particle":"","parse-names":false,"suffix":""},{"dropping-particle":"","family":"Zacharieva","given":"S","non-dropping-particle":"","parse-names":false,"suffix":""},{"dropping-particle":"","family":"Pignatelli","given":"D","non-dropping-particle":"","parse-names":false,"suffix":""},{"dropping-particle":"","family":"Carney","given":"J A","non-dropping-particle":"","parse-names":false,"suffix":""},{"dropping-particle":"","family":"Luton","given":"J P","non-dropping-particle":"","parse-names":false,"suffix":""},{"dropping-particle":"","family":"Bertagna","given":"X","non-dropping-particle":"","parse-names":false,"suffix":""},{"dropping-particle":"","family":"Stratakis","given":"C A","non-dropping-particle":"","parse-names":false,"suffix":""},{"dropping-particle":"","family":"Bertherat","given":"J","non-dropping-particle":"","parse-names":false,"suffix":""}],"container-title":"Am J Hum Genet","id":"ITEM-1","issue":"6","issued":{"date-parts":[["2002"]]},"page":"1433-1442","title":"Molecular analysis of the cyclic AMP-dependent protein kinase A (PKA) regulatory subunit 1A (PRKAR1A) gene in patients with Carney complex and primary pigmented nodular adrenocortical disease (PPNAD) reveals novel mutations and clues for pathophysiology: ","type":"article-journal","volume":"71"},"uris":["http://www.mendeley.com/documents/?uuid=88542606-1807-4d92-9e01-6bdfbc2559e6"]}],"mendeley":{"formattedCitation":"(22)","plainTextFormattedCitation":"(22)","previouslyFormattedCitation":"(22)"},"properties":{"noteIndex":0},"schema":"https://github.com/citation-style-language/schema/raw/master/csl-citation.json"}</w:instrText>
      </w:r>
      <w:r w:rsidR="00712D6E" w:rsidRPr="00EC2EA6">
        <w:rPr>
          <w:color w:val="auto"/>
          <w:sz w:val="22"/>
        </w:rPr>
        <w:fldChar w:fldCharType="separate"/>
      </w:r>
      <w:r w:rsidR="006644FA" w:rsidRPr="00EC2EA6">
        <w:rPr>
          <w:noProof/>
          <w:color w:val="auto"/>
          <w:sz w:val="22"/>
        </w:rPr>
        <w:t>(22)</w:t>
      </w:r>
      <w:r w:rsidR="00712D6E" w:rsidRPr="00EC2EA6">
        <w:rPr>
          <w:color w:val="auto"/>
          <w:sz w:val="22"/>
        </w:rPr>
        <w:fldChar w:fldCharType="end"/>
      </w:r>
      <w:r w:rsidRPr="00EC2EA6">
        <w:rPr>
          <w:color w:val="auto"/>
          <w:sz w:val="22"/>
        </w:rPr>
        <w:t>.</w:t>
      </w:r>
      <w:r w:rsidR="009A1C9C" w:rsidRPr="00EC2EA6">
        <w:rPr>
          <w:color w:val="auto"/>
          <w:sz w:val="22"/>
        </w:rPr>
        <w:t xml:space="preserve"> </w:t>
      </w:r>
      <w:r w:rsidRPr="00EC2EA6">
        <w:rPr>
          <w:color w:val="auto"/>
          <w:sz w:val="22"/>
        </w:rPr>
        <w:t>Large PRKAR1A deletions have also been detected in a proportion of CNC patients, who also</w:t>
      </w:r>
      <w:r w:rsidR="009A1C9C" w:rsidRPr="00EC2EA6">
        <w:rPr>
          <w:color w:val="auto"/>
          <w:sz w:val="22"/>
        </w:rPr>
        <w:t xml:space="preserve"> </w:t>
      </w:r>
      <w:r w:rsidRPr="00EC2EA6">
        <w:rPr>
          <w:color w:val="auto"/>
          <w:sz w:val="22"/>
        </w:rPr>
        <w:t>express a more severe phenotype with unusual features. These deletions are more prominent</w:t>
      </w:r>
      <w:r w:rsidR="009A1C9C" w:rsidRPr="00EC2EA6">
        <w:rPr>
          <w:color w:val="auto"/>
          <w:sz w:val="22"/>
        </w:rPr>
        <w:t xml:space="preserve"> </w:t>
      </w:r>
      <w:r w:rsidRPr="00EC2EA6">
        <w:rPr>
          <w:color w:val="auto"/>
          <w:sz w:val="22"/>
        </w:rPr>
        <w:t>(21.6%) among patients negative by conventional Sanger sequencing, rendering array-based</w:t>
      </w:r>
      <w:r w:rsidR="009A1C9C" w:rsidRPr="00EC2EA6">
        <w:rPr>
          <w:color w:val="auto"/>
          <w:sz w:val="22"/>
        </w:rPr>
        <w:t xml:space="preserve"> </w:t>
      </w:r>
      <w:r w:rsidRPr="00EC2EA6">
        <w:rPr>
          <w:color w:val="auto"/>
          <w:sz w:val="22"/>
        </w:rPr>
        <w:t xml:space="preserve">studies necessary for diagnostic confirmation of such cases </w:t>
      </w:r>
      <w:r w:rsidR="00712D6E" w:rsidRPr="00EC2EA6">
        <w:rPr>
          <w:color w:val="auto"/>
          <w:sz w:val="22"/>
        </w:rPr>
        <w:fldChar w:fldCharType="begin" w:fldLock="1"/>
      </w:r>
      <w:r w:rsidR="006644FA" w:rsidRPr="00EC2EA6">
        <w:rPr>
          <w:color w:val="auto"/>
          <w:sz w:val="22"/>
        </w:rPr>
        <w:instrText>ADDIN CSL_CITATION {"citationItems":[{"id":"ITEM-1","itemData":{"DOI":"10.1210/jc.2013-3159","ISSN":"1945-7197","PMID":"24170103","abstract":"BACKGROUND Carney complex (CNC) is a multiple neoplasia syndrome caused by PRKAR1A-inactivating mutations. One-third of the patients, however, have no detectable PRKAR1A coding sequence defects. Small deletions of the gene were previously reported in few patients, but large deletions of the chromosomal PRKAR1A locus have not been studied systematically in a large cohort of patients with CNC. SETTING A tertiary care referral center was the setting for analysis of an international cohort of patients with CNC. METHODS Methods included genome-wide array analysis followed by fluorescent in situ hybridization, mRNA, and other studies as well as a retrospective analysis of clinical information and phenotype-genotype correlation. RESULTS We detected 17q24.2-q24.3 deletions of varying size that included the PRKAR1A gene in 11 CNC patients (of 51 tested). Quantitative PCR showed that these patients had significantly lower PRKAR1A mRNA levels. Phenotype varied but was generally severe and included manifestations that are not commonly associated with CNC, presumably due to haploinsufficiency of other genes in addition to PRKAR1A. CONCLUSIONS A significant number (21.6%) of patients with CNC that are negative in currently available testing may have PRKAR1A haploinsufficiency due to genomic defects that are not detected by Sanger sequencing. Array-based studies are necessary for diagnostic confirmation of these defects and should be done in patients with unusual and severe phenotypes who are PRKAR1A mutation-negative.","author":[{"dropping-particle":"","family":"Salpea","given":"Paraskevi","non-dropping-particle":"","parse-names":false,"suffix":""},{"dropping-particle":"","family":"Horvath","given":"Anelia","non-dropping-particle":"","parse-names":false,"suffix":""},{"dropping-particle":"","family":"London","given":"Edra","non-dropping-particle":"","parse-names":false,"suffix":""},{"dropping-particle":"","family":"Faucz","given":"Fabio R","non-dropping-particle":"","parse-names":false,"suffix":""},{"dropping-particle":"","family":"Vetro","given":"Annalisa","non-dropping-particle":"","parse-names":false,"suffix":""},{"dropping-particle":"","family":"Levy","given":"Isaac","non-dropping-particle":"","parse-names":false,"suffix":""},{"dropping-particle":"","family":"Gourgari","given":"Evgenia","non-dropping-particle":"","parse-names":false,"suffix":""},{"dropping-particle":"","family":"Dauber","given":"Andrew","non-dropping-particle":"","parse-names":false,"suffix":""},{"dropping-particle":"","family":"Holm","given":"Ingrid A","non-dropping-particle":"","parse-names":false,"suffix":""},{"dropping-particle":"","family":"Morrison","given":"Patrick J","non-dropping-particle":"","parse-names":false,"suffix":""},{"dropping-particle":"","family":"Keil","given":"Margaret F","non-dropping-particle":"","parse-names":false,"suffix":""},{"dropping-particle":"","family":"Lyssikatos","given":"Charalampos","non-dropping-particle":"","parse-names":false,"suffix":""},{"dropping-particle":"","family":"Smith","given":"Eric D","non-dropping-particle":"","parse-names":false,"suffix":""},{"dropping-particle":"","family":"Sanidad","given":"Marc A","non-dropping-particle":"","parse-names":false,"suffix":""},{"dropping-particle":"","family":"Kelly","given":"JoAnn C","non-dropping-particle":"","parse-names":false,"suffix":""},{"dropping-particle":"","family":"Dai","given":"Zunyan","non-dropping-particle":"","parse-names":false,"suffix":""},{"dropping-particle":"","family":"Mowrey","given":"Philip","non-dropping-particle":"","parse-names":false,"suffix":""},{"dropping-particle":"","family":"Forlino","given":"Antonella","non-dropping-particle":"","parse-names":false,"suffix":""},{"dropping-particle":"","family":"Zuffardi","given":"Orsetta","non-dropping-particle":"","parse-names":false,"suffix":""},{"dropping-particle":"","family":"Stratakis","given":"Constantine A","non-dropping-particle":"","parse-names":false,"suffix":""}],"container-title":"The Journal of clinical endocrinology and metabolism","id":"ITEM-1","issue":"1","issued":{"date-parts":[["2014","1"]]},"page":"E183-8","title":"Deletions of the PRKAR1A locus at 17q24.2-q24.3 in Carney complex: genotype-phenotype correlations and implications for genetic testing.","type":"article-journal","volume":"99"},"uris":["http://www.mendeley.com/documents/?uuid=548cab66-3a94-4570-9b5f-57083268a1b3"]}],"mendeley":{"formattedCitation":"(23)","plainTextFormattedCitation":"(23)","previouslyFormattedCitation":"(23)"},"properties":{"noteIndex":0},"schema":"https://github.com/citation-style-language/schema/raw/master/csl-citation.json"}</w:instrText>
      </w:r>
      <w:r w:rsidR="00712D6E" w:rsidRPr="00EC2EA6">
        <w:rPr>
          <w:color w:val="auto"/>
          <w:sz w:val="22"/>
        </w:rPr>
        <w:fldChar w:fldCharType="separate"/>
      </w:r>
      <w:r w:rsidR="006644FA" w:rsidRPr="00EC2EA6">
        <w:rPr>
          <w:noProof/>
          <w:color w:val="auto"/>
          <w:sz w:val="22"/>
        </w:rPr>
        <w:t>(23)</w:t>
      </w:r>
      <w:r w:rsidR="00712D6E" w:rsidRPr="00EC2EA6">
        <w:rPr>
          <w:color w:val="auto"/>
          <w:sz w:val="22"/>
        </w:rPr>
        <w:fldChar w:fldCharType="end"/>
      </w:r>
      <w:r w:rsidRPr="00EC2EA6">
        <w:rPr>
          <w:color w:val="auto"/>
          <w:sz w:val="22"/>
        </w:rPr>
        <w:t xml:space="preserve">. </w:t>
      </w:r>
      <w:r w:rsidR="00725F05" w:rsidRPr="00EC2EA6">
        <w:rPr>
          <w:color w:val="auto"/>
          <w:sz w:val="22"/>
        </w:rPr>
        <w:t>The structure</w:t>
      </w:r>
      <w:r w:rsidRPr="00EC2EA6">
        <w:rPr>
          <w:color w:val="auto"/>
          <w:sz w:val="22"/>
        </w:rPr>
        <w:t xml:space="preserve"> </w:t>
      </w:r>
      <w:r w:rsidRPr="005F1576">
        <w:rPr>
          <w:sz w:val="22"/>
        </w:rPr>
        <w:t>of the PRKR1A</w:t>
      </w:r>
      <w:r w:rsidR="009A1C9C" w:rsidRPr="005F1576">
        <w:rPr>
          <w:sz w:val="22"/>
        </w:rPr>
        <w:t xml:space="preserve"> </w:t>
      </w:r>
      <w:r w:rsidRPr="005F1576">
        <w:rPr>
          <w:sz w:val="22"/>
        </w:rPr>
        <w:t xml:space="preserve">gene and </w:t>
      </w:r>
      <w:r w:rsidR="006644FA">
        <w:rPr>
          <w:sz w:val="22"/>
        </w:rPr>
        <w:t xml:space="preserve">the </w:t>
      </w:r>
      <w:r w:rsidRPr="005F1576">
        <w:rPr>
          <w:sz w:val="22"/>
        </w:rPr>
        <w:t xml:space="preserve">location of detected mutations are shown in </w:t>
      </w:r>
      <w:r w:rsidRPr="005A6109">
        <w:rPr>
          <w:color w:val="auto"/>
          <w:sz w:val="22"/>
        </w:rPr>
        <w:t>Figure 3.</w:t>
      </w:r>
    </w:p>
    <w:p w14:paraId="4C39E5C5" w14:textId="77777777" w:rsidR="00717D10" w:rsidRDefault="00717D10" w:rsidP="005F1576">
      <w:pPr>
        <w:spacing w:before="0" w:line="276" w:lineRule="auto"/>
        <w:jc w:val="left"/>
        <w:rPr>
          <w:sz w:val="22"/>
        </w:rPr>
      </w:pPr>
    </w:p>
    <w:p w14:paraId="6A86822C" w14:textId="38E99762" w:rsidR="00907168" w:rsidRDefault="00717D10" w:rsidP="005F1576">
      <w:pPr>
        <w:spacing w:before="0" w:line="276" w:lineRule="auto"/>
        <w:jc w:val="left"/>
        <w:rPr>
          <w:sz w:val="22"/>
        </w:rPr>
      </w:pPr>
      <w:r>
        <w:rPr>
          <w:noProof/>
          <w:sz w:val="22"/>
        </w:rPr>
        <w:drawing>
          <wp:inline distT="0" distB="0" distL="0" distR="0" wp14:anchorId="74614B69" wp14:editId="0C07C8B6">
            <wp:extent cx="5943600" cy="1991360"/>
            <wp:effectExtent l="0" t="0" r="0" b="8890"/>
            <wp:docPr id="3851504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50440" name="Picture 385150440"/>
                    <pic:cNvPicPr/>
                  </pic:nvPicPr>
                  <pic:blipFill>
                    <a:blip r:embed="rId10">
                      <a:extLst>
                        <a:ext uri="{28A0092B-C50C-407E-A947-70E740481C1C}">
                          <a14:useLocalDpi xmlns:a14="http://schemas.microsoft.com/office/drawing/2010/main" val="0"/>
                        </a:ext>
                      </a:extLst>
                    </a:blip>
                    <a:stretch>
                      <a:fillRect/>
                    </a:stretch>
                  </pic:blipFill>
                  <pic:spPr>
                    <a:xfrm>
                      <a:off x="0" y="0"/>
                      <a:ext cx="5943600" cy="1991360"/>
                    </a:xfrm>
                    <a:prstGeom prst="rect">
                      <a:avLst/>
                    </a:prstGeom>
                  </pic:spPr>
                </pic:pic>
              </a:graphicData>
            </a:graphic>
          </wp:inline>
        </w:drawing>
      </w:r>
      <w:r w:rsidR="009A1C9C" w:rsidRPr="005F1576">
        <w:rPr>
          <w:sz w:val="22"/>
        </w:rPr>
        <w:t xml:space="preserve"> </w:t>
      </w:r>
    </w:p>
    <w:p w14:paraId="2F87039F" w14:textId="07DADC88" w:rsidR="009F0D82" w:rsidRPr="00717D10" w:rsidRDefault="00717D10" w:rsidP="005F1576">
      <w:pPr>
        <w:spacing w:before="0" w:line="276" w:lineRule="auto"/>
        <w:jc w:val="left"/>
        <w:rPr>
          <w:b/>
          <w:bCs/>
          <w:sz w:val="22"/>
        </w:rPr>
      </w:pPr>
      <w:r w:rsidRPr="00717D10">
        <w:rPr>
          <w:b/>
          <w:bCs/>
          <w:sz w:val="22"/>
        </w:rPr>
        <w:t>Figure 3. Schematic presentation of the PRKR1A gene and detected mutations in relation to their exon location.</w:t>
      </w:r>
    </w:p>
    <w:p w14:paraId="5096D390" w14:textId="77777777" w:rsidR="00717D10" w:rsidRPr="005F1576" w:rsidRDefault="00717D10" w:rsidP="005F1576">
      <w:pPr>
        <w:spacing w:before="0" w:line="276" w:lineRule="auto"/>
        <w:jc w:val="left"/>
        <w:rPr>
          <w:sz w:val="22"/>
        </w:rPr>
      </w:pPr>
    </w:p>
    <w:p w14:paraId="6F1AA79F" w14:textId="5D9C900E" w:rsidR="00A86F5B" w:rsidRPr="00EC2EA6" w:rsidRDefault="005049B5" w:rsidP="005F1576">
      <w:pPr>
        <w:spacing w:before="0" w:line="276" w:lineRule="auto"/>
        <w:jc w:val="left"/>
        <w:rPr>
          <w:color w:val="auto"/>
          <w:sz w:val="22"/>
        </w:rPr>
      </w:pPr>
      <w:r w:rsidRPr="005F1576">
        <w:rPr>
          <w:sz w:val="22"/>
        </w:rPr>
        <w:t>Germline haploinsufficiency of PRKAR1A leads to a deficiency of the R1a subunits, which in</w:t>
      </w:r>
      <w:r w:rsidR="009A1C9C" w:rsidRPr="005F1576">
        <w:rPr>
          <w:sz w:val="22"/>
        </w:rPr>
        <w:t xml:space="preserve"> </w:t>
      </w:r>
      <w:r w:rsidRPr="005F1576">
        <w:rPr>
          <w:sz w:val="22"/>
        </w:rPr>
        <w:t>turn results in enhanced intracellular signaling by PKA due to unhindered activation of the</w:t>
      </w:r>
      <w:r w:rsidR="009A1C9C" w:rsidRPr="005F1576">
        <w:rPr>
          <w:sz w:val="22"/>
        </w:rPr>
        <w:t xml:space="preserve"> </w:t>
      </w:r>
      <w:r w:rsidRPr="005F1576">
        <w:rPr>
          <w:sz w:val="22"/>
        </w:rPr>
        <w:t xml:space="preserve">catalytic (C) </w:t>
      </w:r>
      <w:r w:rsidRPr="00EC2EA6">
        <w:rPr>
          <w:color w:val="auto"/>
          <w:sz w:val="22"/>
        </w:rPr>
        <w:t>subunits, as evidenced by an almost 2-fold greater response to c-AMP in CNC</w:t>
      </w:r>
      <w:r w:rsidR="009A1C9C" w:rsidRPr="00EC2EA6">
        <w:rPr>
          <w:color w:val="auto"/>
          <w:sz w:val="22"/>
        </w:rPr>
        <w:t xml:space="preserve"> </w:t>
      </w:r>
      <w:r w:rsidRPr="00EC2EA6">
        <w:rPr>
          <w:color w:val="auto"/>
          <w:sz w:val="22"/>
        </w:rPr>
        <w:t xml:space="preserve">tumors and cell lines </w:t>
      </w:r>
      <w:r w:rsidR="00EE23F3" w:rsidRPr="00EC2EA6">
        <w:rPr>
          <w:color w:val="auto"/>
          <w:sz w:val="22"/>
        </w:rPr>
        <w:fldChar w:fldCharType="begin" w:fldLock="1"/>
      </w:r>
      <w:r w:rsidR="006644FA" w:rsidRPr="00EC2EA6">
        <w:rPr>
          <w:color w:val="auto"/>
          <w:sz w:val="22"/>
        </w:rPr>
        <w:instrText>ADDIN CSL_CITATION {"citationItems":[{"id":"ITEM-1","itemData":{"DOI":"S0014579303004526 [pii]","ISSN":"0014-5793 (Print) 0014-5793 (Linking)","author":[{"dropping-particle":"","family":"Stergiopoulos","given":"S G","non-dropping-particle":"","parse-names":false,"suffix":""},{"dropping-particle":"","family":"Stratakis","given":"C A","non-dropping-particle":"","parse-names":false,"suffix":""}],"container-title":"FEBS Lett","id":"ITEM-1","issue":"1","issued":{"date-parts":[["2003"]]},"page":"59-64","title":"Human tumors associated with Carney complex and germline PRKAR1A mutations: a protein kinase A disease!","type":"article-journal","volume":"546"},"uris":["http://www.mendeley.com/documents/?uuid=0923446a-7bb8-4d41-a0ba-ed99e9107e88"]},{"id":"ITEM-2","itemData":{"DOI":"10.1093/hmg/ddt510","ISSN":"1460-2083","PMID":"24122441","abstract":"Carney complex (CNC) is a hereditary disease associating cardiac myxoma, spotty skin pigmentation and endocrine overactivity. CNC is caused by inactivating mutations in the PRKAR1A gene encoding PKA type I alpha regulatory subunit (RIα). Although PKA activity is enhanced in CNC, the mechanisms linking PKA dysregulation to endocrine tumorigenesis are poorly understood. In this study, we used Förster resonance energy transfer (FRET)-based sensors for cAMP and PKA activity to define the role of RIα in the spatiotemporal organization of the cAMP/PKA pathway. RIα knockdown in HEK293 cells increased basal as well as forskolin or prostaglandin E1 (PGE1)-stimulated total cellular PKA activity as reported by western blots of endogenous PKA targets and the FRET-based global PKA activity reporter, AKAR3. Using variants of AKAR3 targeted to subcellular compartments, we identified similar increases in the response to PGE1 in the cytoplasm and at the outer mitochondrial membrane. In contrast, at the plasma membrane, the response to PGE1 was decreased along with an increase in basal FRET ratio. These results were confirmed by western blot analysis of basal and PGE1-induced phosphorylation of membrane-associated vasodilator-stimulated phosphoprotein. Similar differences were observed between the cytoplasm and the plasma membrane in human adrenal cells carrying a RIα inactivating mutation. RIα inactivation also increased cAMP in the cytoplasm, at the outer mitochondrial membrane and at the plasma membrane, as reported by targeted versions of the cAMP indicator Epac1-camps. These results show that RIα inactivation leads to multiple, compartment-specific alterations of the cAMP/PKA pathway revealing new aspects of signaling dysregulation in tumorigenesis.","author":[{"dropping-particle":"","family":"Cazabat","given":"Laure","non-dropping-particle":"","parse-names":false,"suffix":""},{"dropping-particle":"","family":"Ragazzon","given":"Bruno","non-dropping-particle":"","parse-names":false,"suffix":""},{"dropping-particle":"","family":"Varin","given":"Audrey","non-dropping-particle":"","parse-names":false,"suffix":""},{"dropping-particle":"","family":"Potier-Cartereau","given":"Marie","non-dropping-particle":"","parse-names":false,"suffix":""},{"dropping-particle":"","family":"Vandier","given":"Christophe","non-dropping-particle":"","parse-names":false,"suffix":""},{"dropping-particle":"","family":"Vezzosi","given":"Delphine","non-dropping-particle":"","parse-names":false,"suffix":""},{"dropping-particle":"","family":"Risk-Rabin","given":"Marthe","non-dropping-particle":"","parse-names":false,"suffix":""},{"dropping-particle":"","family":"Guellich","given":"Aziz","non-dropping-particle":"","parse-names":false,"suffix":""},{"dropping-particle":"","family":"Schittl","given":"Julia","non-dropping-particle":"","parse-names":false,"suffix":""},{"dropping-particle":"","family":"Lechêne","given":"Patrick","non-dropping-particle":"","parse-names":false,"suffix":""},{"dropping-particle":"","family":"Richter","given":"Wito","non-dropping-particle":"","parse-names":false,"suffix":""},{"dropping-particle":"","family":"Nikolaev","given":"Viacheslav O","non-dropping-particle":"","parse-names":false,"suffix":""},{"dropping-particle":"","family":"Zhang","given":"Jin","non-dropping-particle":"","parse-names":false,"suffix":""},{"dropping-particle":"","family":"Bertherat","given":"Jérôme","non-dropping-particle":"","parse-names":false,"suffix":""},{"dropping-particle":"","family":"Vandecasteele","given":"Grégoire","non-dropping-particle":"","parse-names":false,"suffix":""}],"container-title":"Human molecular genetics","id":"ITEM-2","issue":"5","issued":{"date-parts":[["2014","3","1"]]},"page":"1163-74","title":"Inactivation of the Carney complex gene 1 (PRKAR1A) alters spatiotemporal regulation of cAMP and cAMP-dependent protein kinase: a study using genetically encoded FRET-based reporters.","type":"article-journal","volume":"23"},"uris":["http://www.mendeley.com/documents/?uuid=fc004aeb-3fae-4123-b895-9f592d244381"]}],"mendeley":{"formattedCitation":"(24,25)","plainTextFormattedCitation":"(24,25)","previouslyFormattedCitation":"(24,25)"},"properties":{"noteIndex":0},"schema":"https://github.com/citation-style-language/schema/raw/master/csl-citation.json"}</w:instrText>
      </w:r>
      <w:r w:rsidR="00EE23F3" w:rsidRPr="00EC2EA6">
        <w:rPr>
          <w:color w:val="auto"/>
          <w:sz w:val="22"/>
        </w:rPr>
        <w:fldChar w:fldCharType="separate"/>
      </w:r>
      <w:r w:rsidR="006644FA" w:rsidRPr="00EC2EA6">
        <w:rPr>
          <w:noProof/>
          <w:color w:val="auto"/>
          <w:sz w:val="22"/>
        </w:rPr>
        <w:t>(24,25)</w:t>
      </w:r>
      <w:r w:rsidR="00EE23F3" w:rsidRPr="00EC2EA6">
        <w:rPr>
          <w:color w:val="auto"/>
          <w:sz w:val="22"/>
        </w:rPr>
        <w:fldChar w:fldCharType="end"/>
      </w:r>
      <w:r w:rsidRPr="00EC2EA6">
        <w:rPr>
          <w:color w:val="auto"/>
          <w:sz w:val="22"/>
        </w:rPr>
        <w:t>. How this PKA overactivity leads to tumor development has not</w:t>
      </w:r>
      <w:r w:rsidR="009A1C9C" w:rsidRPr="00EC2EA6">
        <w:rPr>
          <w:color w:val="auto"/>
          <w:sz w:val="22"/>
        </w:rPr>
        <w:t xml:space="preserve"> </w:t>
      </w:r>
      <w:r w:rsidRPr="00EC2EA6">
        <w:rPr>
          <w:color w:val="auto"/>
          <w:sz w:val="22"/>
        </w:rPr>
        <w:t>been fully elucidated. According to previous studies, PKA</w:t>
      </w:r>
      <w:r w:rsidR="006644FA" w:rsidRPr="00EC2EA6">
        <w:rPr>
          <w:color w:val="auto"/>
          <w:sz w:val="22"/>
        </w:rPr>
        <w:t>-</w:t>
      </w:r>
      <w:r w:rsidRPr="00EC2EA6">
        <w:rPr>
          <w:color w:val="auto"/>
          <w:sz w:val="22"/>
        </w:rPr>
        <w:t>enhanced activity may trigger</w:t>
      </w:r>
      <w:r w:rsidR="009A1C9C" w:rsidRPr="00EC2EA6">
        <w:rPr>
          <w:color w:val="auto"/>
          <w:sz w:val="22"/>
        </w:rPr>
        <w:t xml:space="preserve"> </w:t>
      </w:r>
      <w:r w:rsidRPr="00EC2EA6">
        <w:rPr>
          <w:color w:val="auto"/>
          <w:sz w:val="22"/>
        </w:rPr>
        <w:t xml:space="preserve">pathways that favor cell proliferation as the upregulation of D-type cyclins </w:t>
      </w:r>
      <w:r w:rsidR="00EE23F3" w:rsidRPr="00EC2EA6">
        <w:rPr>
          <w:color w:val="auto"/>
          <w:sz w:val="22"/>
        </w:rPr>
        <w:fldChar w:fldCharType="begin" w:fldLock="1"/>
      </w:r>
      <w:r w:rsidR="006644FA" w:rsidRPr="00EC2EA6">
        <w:rPr>
          <w:color w:val="auto"/>
          <w:sz w:val="22"/>
        </w:rPr>
        <w:instrText>ADDIN CSL_CITATION {"citationItems":[{"id":"ITEM-1","itemData":{"DOI":"65/22/10307 [pii] 10.1158/0008-5472.CAN-05-3183","ISSN":"0008-5472 (Print) 0008-5472 (Linking)","author":[{"dropping-particle":"","family":"Nadella","given":"K S","non-dropping-particle":"","parse-names":false,"suffix":""},{"dropping-particle":"","family":"Kirschner","given":"L S","non-dropping-particle":"","parse-names":false,"suffix":""}],"container-title":"Cancer Res","id":"ITEM-1","issue":"22","issued":{"date-parts":[["2005"]]},"page":"10307-10315","title":"Disruption of protein kinase a regulation causes immortalization and dysregulation of D-type cyclins","type":"article-journal","volume":"65"},"uris":["http://www.mendeley.com/documents/?uuid=754b993c-7df4-47d9-964b-c188d127c3e0"]}],"mendeley":{"formattedCitation":"(26)","plainTextFormattedCitation":"(26)","previouslyFormattedCitation":"(26)"},"properties":{"noteIndex":0},"schema":"https://github.com/citation-style-language/schema/raw/master/csl-citation.json"}</w:instrText>
      </w:r>
      <w:r w:rsidR="00EE23F3" w:rsidRPr="00EC2EA6">
        <w:rPr>
          <w:color w:val="auto"/>
          <w:sz w:val="22"/>
        </w:rPr>
        <w:fldChar w:fldCharType="separate"/>
      </w:r>
      <w:r w:rsidR="006644FA" w:rsidRPr="00EC2EA6">
        <w:rPr>
          <w:noProof/>
          <w:color w:val="auto"/>
          <w:sz w:val="22"/>
        </w:rPr>
        <w:t>(26)</w:t>
      </w:r>
      <w:r w:rsidR="00EE23F3" w:rsidRPr="00EC2EA6">
        <w:rPr>
          <w:color w:val="auto"/>
          <w:sz w:val="22"/>
        </w:rPr>
        <w:fldChar w:fldCharType="end"/>
      </w:r>
      <w:r w:rsidRPr="00EC2EA6">
        <w:rPr>
          <w:color w:val="auto"/>
          <w:sz w:val="22"/>
        </w:rPr>
        <w:t xml:space="preserve"> or activation of</w:t>
      </w:r>
      <w:r w:rsidR="009A1C9C" w:rsidRPr="00EC2EA6">
        <w:rPr>
          <w:color w:val="auto"/>
          <w:sz w:val="22"/>
        </w:rPr>
        <w:t xml:space="preserve"> </w:t>
      </w:r>
      <w:r w:rsidRPr="00EC2EA6">
        <w:rPr>
          <w:color w:val="auto"/>
          <w:sz w:val="22"/>
        </w:rPr>
        <w:t xml:space="preserve">the mTOR pathway </w:t>
      </w:r>
      <w:r w:rsidR="00EE23F3" w:rsidRPr="00EC2EA6">
        <w:rPr>
          <w:color w:val="auto"/>
          <w:sz w:val="22"/>
        </w:rPr>
        <w:fldChar w:fldCharType="begin" w:fldLock="1"/>
      </w:r>
      <w:r w:rsidR="006644FA" w:rsidRPr="00EC2EA6">
        <w:rPr>
          <w:color w:val="auto"/>
          <w:sz w:val="22"/>
        </w:rPr>
        <w:instrText>ADDIN CSL_CITATION {"citationItems":[{"id":"ITEM-1","itemData":{"DOI":"ddl239 [pii] 10.1093/hmg/ddl239","ISSN":"0964-6906 (Print) 0964-6906 (Linking)","author":[{"dropping-particle":"","family":"Mavrakis","given":"M","non-dropping-particle":"","parse-names":false,"suffix":""},{"dropping-particle":"","family":"Lippincott-Schwartz","given":"J","non-dropping-particle":"","parse-names":false,"suffix":""},{"dropping-particle":"","family":"Stratakis","given":"C A","non-dropping-particle":"","parse-names":false,"suffix":""},{"dropping-particle":"","family":"Bossis","given":"I","non-dropping-particle":"","parse-names":false,"suffix":""}],"container-title":"Hum Mol Genet","id":"ITEM-1","issue":"19","issued":{"date-parts":[["2006"]]},"page":"2962-2971","title":"Depletion of type IA regulatory subunit (RIalpha) of protein kinase A (PKA) in mammalian cells and tissues activates mTOR and causes autophagic deficiency","type":"article-journal","volume":"15"},"uris":["http://www.mendeley.com/documents/?uuid=b63a9e33-ffbb-42ac-934f-516906fafa8b"]}],"mendeley":{"formattedCitation":"(27)","plainTextFormattedCitation":"(27)","previouslyFormattedCitation":"(27)"},"properties":{"noteIndex":0},"schema":"https://github.com/citation-style-language/schema/raw/master/csl-citation.json"}</w:instrText>
      </w:r>
      <w:r w:rsidR="00EE23F3" w:rsidRPr="00EC2EA6">
        <w:rPr>
          <w:color w:val="auto"/>
          <w:sz w:val="22"/>
        </w:rPr>
        <w:fldChar w:fldCharType="separate"/>
      </w:r>
      <w:r w:rsidR="006644FA" w:rsidRPr="00EC2EA6">
        <w:rPr>
          <w:noProof/>
          <w:color w:val="auto"/>
          <w:sz w:val="22"/>
        </w:rPr>
        <w:t>(27)</w:t>
      </w:r>
      <w:r w:rsidR="00EE23F3" w:rsidRPr="00EC2EA6">
        <w:rPr>
          <w:color w:val="auto"/>
          <w:sz w:val="22"/>
        </w:rPr>
        <w:fldChar w:fldCharType="end"/>
      </w:r>
      <w:r w:rsidRPr="00EC2EA6">
        <w:rPr>
          <w:color w:val="auto"/>
          <w:sz w:val="22"/>
        </w:rPr>
        <w:t xml:space="preserve">. Recent studies </w:t>
      </w:r>
      <w:r w:rsidR="005A6109" w:rsidRPr="00EC2EA6">
        <w:rPr>
          <w:color w:val="auto"/>
          <w:sz w:val="22"/>
        </w:rPr>
        <w:t>i</w:t>
      </w:r>
      <w:r w:rsidRPr="00EC2EA6">
        <w:rPr>
          <w:color w:val="auto"/>
          <w:sz w:val="22"/>
        </w:rPr>
        <w:t>n adrenocortical cell lines have confirmed the</w:t>
      </w:r>
      <w:r w:rsidR="009A1C9C" w:rsidRPr="00EC2EA6">
        <w:rPr>
          <w:color w:val="auto"/>
          <w:sz w:val="22"/>
        </w:rPr>
        <w:t xml:space="preserve"> </w:t>
      </w:r>
      <w:r w:rsidRPr="00EC2EA6">
        <w:rPr>
          <w:color w:val="auto"/>
          <w:sz w:val="22"/>
        </w:rPr>
        <w:t xml:space="preserve">accumulation of cyclin D1 and further suggest </w:t>
      </w:r>
      <w:proofErr w:type="spellStart"/>
      <w:r w:rsidRPr="00EC2EA6">
        <w:rPr>
          <w:color w:val="auto"/>
          <w:sz w:val="22"/>
        </w:rPr>
        <w:t>Bcl-xL</w:t>
      </w:r>
      <w:proofErr w:type="spellEnd"/>
      <w:r w:rsidRPr="00EC2EA6">
        <w:rPr>
          <w:color w:val="auto"/>
          <w:sz w:val="22"/>
        </w:rPr>
        <w:t xml:space="preserve"> upregulation, which is associated with</w:t>
      </w:r>
      <w:r w:rsidR="009A1C9C" w:rsidRPr="00EC2EA6">
        <w:rPr>
          <w:color w:val="auto"/>
          <w:sz w:val="22"/>
        </w:rPr>
        <w:t xml:space="preserve"> </w:t>
      </w:r>
      <w:r w:rsidRPr="00EC2EA6">
        <w:rPr>
          <w:color w:val="auto"/>
          <w:sz w:val="22"/>
        </w:rPr>
        <w:t xml:space="preserve">resistance to apoptosis </w:t>
      </w:r>
      <w:r w:rsidR="00EE23F3" w:rsidRPr="00EC2EA6">
        <w:rPr>
          <w:color w:val="auto"/>
          <w:sz w:val="22"/>
        </w:rPr>
        <w:fldChar w:fldCharType="begin" w:fldLock="1"/>
      </w:r>
      <w:r w:rsidR="006644FA" w:rsidRPr="00EC2EA6">
        <w:rPr>
          <w:color w:val="auto"/>
          <w:sz w:val="22"/>
        </w:rPr>
        <w:instrText>ADDIN CSL_CITATION {"citationItems":[{"id":"ITEM-1","itemData":{"DOI":"10.1055/s-0034-1389951","ISSN":"1439-4286","PMID":"25268545","abstract":"The cyclic AMP/protein kinase A signaling cascade is one of the main pathways involved in the pathogenesis of adrenocortical tumors. The PKA R1A and R2B proteins are the most abundant regulatory subunits in endocrine tissues. Inactivating mutations of PRKAR1A are associated with Carney complex and a subset of sporadic tumors and the abundance of R2B protein is low in a subset of secreting adrenocortical adenomas. We previously showed that PRKAR1A and PRKAR2B inactivation have anti-apoptotic effects on the adrenocortical carcinoma cell line H295R. The aim of this study was to compare the effects of PRKAR1A and PRKAR2B depletion on cell proliferation, apoptosis, cell signaling pathways, and cell cycle regulation. We found that PRKAR2B depletion is compensated by an upregulation of R1A protein, whereas PRKAR1A depletion has no effect on the production of R2B. The depletion of either PRKAR1A or PRKAR2B promotes the expression of Bcl-xL and resistance to apoptosis; and is associated with a high percentage of cells in S and G2 phase, activates PKA and MEK/ERK pathways, and impairs the expression of IkB leading to activate the NF-κB pathway. However, we observed differences in the regulation of cyclins. The depletion of PRKAR1A leads to the accumulation of cyclin D1 and p27kip, whereas the depletion of PRKAR2B promotes the accumulation of cyclin A, B, cdk1, cdc2, and p21Cip. In conclusion, although the depletion of PRKAR1A and PRKAR2B in adrenocortical cells has similar effects on cell proliferation and apoptosis; loss of these PKA subunits differentially affects cyclin expression.","author":[{"dropping-particle":"","family":"Basso","given":"F","non-dropping-particle":"","parse-names":false,"suffix":""},{"dropping-particle":"","family":"Rocchetti","given":"F","non-dropping-particle":"","parse-names":false,"suffix":""},{"dropping-particle":"","family":"Rodriguez","given":"S","non-dropping-particle":"","parse-names":false,"suffix":""},{"dropping-particle":"","family":"Nesterova","given":"M","non-dropping-particle":"","parse-names":false,"suffix":""},{"dropping-particle":"","family":"Cormier","given":"F","non-dropping-particle":"","parse-names":false,"suffix":""},{"dropping-particle":"","family":"Stratakis","given":"C A","non-dropping-particle":"","parse-names":false,"suffix":""},{"dropping-particle":"","family":"Ragazzon","given":"B","non-dropping-particle":"","parse-names":false,"suffix":""},{"dropping-particle":"","family":"Bertherat","given":"J","non-dropping-particle":"","parse-names":false,"suffix":""},{"dropping-particle":"","family":"Rizk-Rabin","given":"M","non-dropping-particle":"","parse-names":false,"suffix":""}],"container-title":"Hormone and metabolic research = Hormon- und Stoffwechselforschung = Hormones et metabolisme","id":"ITEM-1","issue":"12","issued":{"date-parts":[["2014","11"]]},"page":"883-8","title":"Comparison of the effects of PRKAR1A and PRKAR2B depletion on signaling pathways, cell growth, and cell cycle control of adrenocortical cells.","type":"article-journal","volume":"46"},"uris":["http://www.mendeley.com/documents/?uuid=bf09b7be-530d-4d78-a3ee-4fd0d21ca2b5"]}],"mendeley":{"formattedCitation":"(28)","plainTextFormattedCitation":"(28)","previouslyFormattedCitation":"(28)"},"properties":{"noteIndex":0},"schema":"https://github.com/citation-style-language/schema/raw/master/csl-citation.json"}</w:instrText>
      </w:r>
      <w:r w:rsidR="00EE23F3" w:rsidRPr="00EC2EA6">
        <w:rPr>
          <w:color w:val="auto"/>
          <w:sz w:val="22"/>
        </w:rPr>
        <w:fldChar w:fldCharType="separate"/>
      </w:r>
      <w:r w:rsidR="006644FA" w:rsidRPr="00EC2EA6">
        <w:rPr>
          <w:noProof/>
          <w:color w:val="auto"/>
          <w:sz w:val="22"/>
        </w:rPr>
        <w:t>(28)</w:t>
      </w:r>
      <w:r w:rsidR="00EE23F3" w:rsidRPr="00EC2EA6">
        <w:rPr>
          <w:color w:val="auto"/>
          <w:sz w:val="22"/>
        </w:rPr>
        <w:fldChar w:fldCharType="end"/>
      </w:r>
      <w:r w:rsidRPr="00EC2EA6">
        <w:rPr>
          <w:color w:val="auto"/>
          <w:sz w:val="22"/>
        </w:rPr>
        <w:t>.</w:t>
      </w:r>
      <w:r w:rsidR="009A1C9C" w:rsidRPr="00EC2EA6">
        <w:rPr>
          <w:color w:val="auto"/>
          <w:sz w:val="22"/>
        </w:rPr>
        <w:t xml:space="preserve"> </w:t>
      </w:r>
      <w:r w:rsidRPr="00EC2EA6">
        <w:rPr>
          <w:color w:val="auto"/>
          <w:sz w:val="22"/>
        </w:rPr>
        <w:t>Consistent with the Knudson two-hit model of hereditary tumorigenesis, PRKAR1A</w:t>
      </w:r>
      <w:r w:rsidR="009A1C9C" w:rsidRPr="00EC2EA6">
        <w:rPr>
          <w:color w:val="auto"/>
          <w:sz w:val="22"/>
        </w:rPr>
        <w:t xml:space="preserve"> </w:t>
      </w:r>
      <w:r w:rsidRPr="00EC2EA6">
        <w:rPr>
          <w:color w:val="auto"/>
          <w:sz w:val="22"/>
        </w:rPr>
        <w:t>haploinsufficiency (first hit) has been considered as a predisposition for tumorigenesis, which</w:t>
      </w:r>
      <w:r w:rsidR="009A1C9C" w:rsidRPr="00EC2EA6">
        <w:rPr>
          <w:color w:val="auto"/>
          <w:sz w:val="22"/>
        </w:rPr>
        <w:t xml:space="preserve"> </w:t>
      </w:r>
      <w:r w:rsidRPr="00EC2EA6">
        <w:rPr>
          <w:color w:val="auto"/>
          <w:sz w:val="22"/>
        </w:rPr>
        <w:t>when combined with loss of heterozygosity (LOH) at 17q22- 24 (second hit), may lead to the</w:t>
      </w:r>
      <w:r w:rsidR="009A1C9C" w:rsidRPr="00EC2EA6">
        <w:rPr>
          <w:color w:val="auto"/>
          <w:sz w:val="22"/>
        </w:rPr>
        <w:t xml:space="preserve"> </w:t>
      </w:r>
      <w:r w:rsidRPr="00EC2EA6">
        <w:rPr>
          <w:color w:val="auto"/>
          <w:sz w:val="22"/>
        </w:rPr>
        <w:t xml:space="preserve">development of tumors in CNC patients </w:t>
      </w:r>
      <w:r w:rsidR="00EE23F3" w:rsidRPr="00EC2EA6">
        <w:rPr>
          <w:color w:val="auto"/>
          <w:sz w:val="22"/>
        </w:rPr>
        <w:fldChar w:fldCharType="begin" w:fldLock="1"/>
      </w:r>
      <w:r w:rsidR="006644FA" w:rsidRPr="00EC2EA6">
        <w:rPr>
          <w:color w:val="auto"/>
          <w:sz w:val="22"/>
        </w:rPr>
        <w:instrText>ADDIN CSL_CITATION {"citationItems":[{"id":"ITEM-1","itemData":{"ISSN":"0171-5216 (Print) 0171-5216 (Linking)","author":[{"dropping-particle":"","family":"Knudson","given":"A G","non-dropping-particle":"","parse-names":false,"suffix":""}],"container-title":"J Cancer Res Clin Oncol","id":"ITEM-1","issue":"3","issued":{"date-parts":[["1996"]]},"page":"135-140","title":"Hereditary cancer: two hits revisited","type":"article-journal","volume":"122"},"uris":["http://www.mendeley.com/documents/?uuid=e0dda1b5-5688-42a4-a17e-8cb2cfcf648c"]}],"mendeley":{"formattedCitation":"(29)","plainTextFormattedCitation":"(29)","previouslyFormattedCitation":"(29)"},"properties":{"noteIndex":0},"schema":"https://github.com/citation-style-language/schema/raw/master/csl-citation.json"}</w:instrText>
      </w:r>
      <w:r w:rsidR="00EE23F3" w:rsidRPr="00EC2EA6">
        <w:rPr>
          <w:color w:val="auto"/>
          <w:sz w:val="22"/>
        </w:rPr>
        <w:fldChar w:fldCharType="separate"/>
      </w:r>
      <w:r w:rsidR="006644FA" w:rsidRPr="00EC2EA6">
        <w:rPr>
          <w:noProof/>
          <w:color w:val="auto"/>
          <w:sz w:val="22"/>
        </w:rPr>
        <w:t>(29)</w:t>
      </w:r>
      <w:r w:rsidR="00EE23F3" w:rsidRPr="00EC2EA6">
        <w:rPr>
          <w:color w:val="auto"/>
          <w:sz w:val="22"/>
        </w:rPr>
        <w:fldChar w:fldCharType="end"/>
      </w:r>
      <w:r w:rsidRPr="00EC2EA6">
        <w:rPr>
          <w:color w:val="auto"/>
          <w:sz w:val="22"/>
        </w:rPr>
        <w:t xml:space="preserve">. Interestingly, tumors </w:t>
      </w:r>
      <w:r w:rsidR="006644FA" w:rsidRPr="00EC2EA6">
        <w:rPr>
          <w:color w:val="auto"/>
          <w:sz w:val="22"/>
        </w:rPr>
        <w:t>that</w:t>
      </w:r>
      <w:r w:rsidRPr="00EC2EA6">
        <w:rPr>
          <w:color w:val="auto"/>
          <w:sz w:val="22"/>
        </w:rPr>
        <w:t xml:space="preserve"> do not present</w:t>
      </w:r>
      <w:r w:rsidR="009A1C9C" w:rsidRPr="00EC2EA6">
        <w:rPr>
          <w:color w:val="auto"/>
          <w:sz w:val="22"/>
        </w:rPr>
        <w:t xml:space="preserve"> </w:t>
      </w:r>
      <w:r w:rsidRPr="00EC2EA6">
        <w:rPr>
          <w:color w:val="auto"/>
          <w:sz w:val="22"/>
        </w:rPr>
        <w:t>inactivation of the remaining wild</w:t>
      </w:r>
      <w:r w:rsidR="006644FA" w:rsidRPr="00EC2EA6">
        <w:rPr>
          <w:color w:val="auto"/>
          <w:sz w:val="22"/>
        </w:rPr>
        <w:t>-</w:t>
      </w:r>
      <w:r w:rsidRPr="00EC2EA6">
        <w:rPr>
          <w:color w:val="auto"/>
          <w:sz w:val="22"/>
        </w:rPr>
        <w:t>type allele have also been described, implying that</w:t>
      </w:r>
      <w:r w:rsidR="009A1C9C" w:rsidRPr="00EC2EA6">
        <w:rPr>
          <w:color w:val="auto"/>
          <w:sz w:val="22"/>
        </w:rPr>
        <w:t xml:space="preserve"> </w:t>
      </w:r>
      <w:r w:rsidR="006644FA" w:rsidRPr="00EC2EA6">
        <w:rPr>
          <w:color w:val="auto"/>
          <w:sz w:val="22"/>
        </w:rPr>
        <w:t xml:space="preserve">the </w:t>
      </w:r>
      <w:r w:rsidRPr="00EC2EA6">
        <w:rPr>
          <w:color w:val="auto"/>
          <w:sz w:val="22"/>
        </w:rPr>
        <w:t>coexistence of PRKAR1A haploinsufficiency with defects of other tumor suppressor genes or</w:t>
      </w:r>
      <w:r w:rsidR="009A1C9C" w:rsidRPr="00EC2EA6">
        <w:rPr>
          <w:color w:val="auto"/>
          <w:sz w:val="22"/>
        </w:rPr>
        <w:t xml:space="preserve"> </w:t>
      </w:r>
      <w:r w:rsidRPr="00EC2EA6">
        <w:rPr>
          <w:color w:val="auto"/>
          <w:sz w:val="22"/>
        </w:rPr>
        <w:t xml:space="preserve">proto-oncogenes may act synergistic for tumorigenesis </w:t>
      </w:r>
      <w:r w:rsidR="00A86F5B" w:rsidRPr="00EC2EA6">
        <w:rPr>
          <w:color w:val="auto"/>
          <w:sz w:val="22"/>
        </w:rPr>
        <w:fldChar w:fldCharType="begin" w:fldLock="1"/>
      </w:r>
      <w:r w:rsidR="006644FA" w:rsidRPr="00EC2EA6">
        <w:rPr>
          <w:color w:val="auto"/>
          <w:sz w:val="22"/>
        </w:rPr>
        <w:instrText>ADDIN CSL_CITATION {"citationItems":[{"id":"ITEM-1","itemData":{"DOI":"10.1002/ajmg.a.30279","ISSN":"1552-4825","PMID":"15368482","abstract":"Eyelid nodules were investigated in a patient with Carney complex who was heterozygous for the most commonly known PRKAR1A-inactivating mutation, c.578delTG. Immunohistochemical studies confirmed the diagnosis of myxoma. Loss of heterozygosity was not present, suggesting that haploinsufficiency alone was responsible for tumorigenesis of this eyelid lesion.","author":[{"dropping-particle":"","family":"Tsilou","given":"Ekaterini T","non-dropping-particle":"","parse-names":false,"suffix":""},{"dropping-particle":"","family":"Chan","given":"Chi-Chao","non-dropping-particle":"","parse-names":false,"suffix":""},{"dropping-particle":"","family":"Sandrini","given":"Fabiano","non-dropping-particle":"","parse-names":false,"suffix":""},{"dropping-particle":"","family":"Rubin","given":"Benjamin I","non-dropping-particle":"","parse-names":false,"suffix":""},{"dropping-particle":"","family":"Shen","given":"De Fen","non-dropping-particle":"","parse-names":false,"suffix":""},{"dropping-particle":"","family":"Carney","given":"J Aidan","non-dropping-particle":"","parse-names":false,"suffix":""},{"dropping-particle":"","family":"Kaiser-Kupfer","given":"Muriel","non-dropping-particle":"","parse-names":false,"suffix":""},{"dropping-particle":"","family":"Stratakis","given":"Constantine A","non-dropping-particle":"","parse-names":false,"suffix":""}],"container-title":"American journal of medical genetics. Part A","id":"ITEM-1","issue":"4","issued":{"date-parts":[["2004","11","1"]]},"page":"395-7","title":"Eyelid myxoma in Carney complex without PRKAR1A allelic loss.","type":"article-journal","volume":"130A"},"uris":["http://www.mendeley.com/documents/?uuid=ce37b03c-a59c-4427-819e-021c469a8696"]}],"mendeley":{"formattedCitation":"(30)","plainTextFormattedCitation":"(30)","previouslyFormattedCitation":"(30)"},"properties":{"noteIndex":0},"schema":"https://github.com/citation-style-language/schema/raw/master/csl-citation.json"}</w:instrText>
      </w:r>
      <w:r w:rsidR="00A86F5B" w:rsidRPr="00EC2EA6">
        <w:rPr>
          <w:color w:val="auto"/>
          <w:sz w:val="22"/>
        </w:rPr>
        <w:fldChar w:fldCharType="separate"/>
      </w:r>
      <w:r w:rsidR="006644FA" w:rsidRPr="00EC2EA6">
        <w:rPr>
          <w:noProof/>
          <w:color w:val="auto"/>
          <w:sz w:val="22"/>
        </w:rPr>
        <w:t>(30)</w:t>
      </w:r>
      <w:r w:rsidR="00A86F5B" w:rsidRPr="00EC2EA6">
        <w:rPr>
          <w:color w:val="auto"/>
          <w:sz w:val="22"/>
        </w:rPr>
        <w:fldChar w:fldCharType="end"/>
      </w:r>
      <w:r w:rsidRPr="00EC2EA6">
        <w:rPr>
          <w:color w:val="auto"/>
          <w:sz w:val="22"/>
        </w:rPr>
        <w:t>. Accordingly, activating somatic</w:t>
      </w:r>
      <w:r w:rsidR="009A1C9C" w:rsidRPr="00EC2EA6">
        <w:rPr>
          <w:color w:val="auto"/>
          <w:sz w:val="22"/>
        </w:rPr>
        <w:t xml:space="preserve"> </w:t>
      </w:r>
      <w:r w:rsidRPr="00EC2EA6">
        <w:rPr>
          <w:color w:val="auto"/>
          <w:sz w:val="22"/>
        </w:rPr>
        <w:t>mutations of the beta-catenin gene (CTNNB1) have been detected in adrenocortical tumors of</w:t>
      </w:r>
      <w:r w:rsidR="009A1C9C" w:rsidRPr="00EC2EA6">
        <w:rPr>
          <w:color w:val="auto"/>
          <w:sz w:val="22"/>
        </w:rPr>
        <w:t xml:space="preserve"> </w:t>
      </w:r>
      <w:r w:rsidRPr="00EC2EA6">
        <w:rPr>
          <w:color w:val="auto"/>
          <w:sz w:val="22"/>
        </w:rPr>
        <w:t xml:space="preserve">CNC patients, carriers of a PRKAR1A mutation </w:t>
      </w:r>
      <w:r w:rsidR="00A86F5B" w:rsidRPr="00EC2EA6">
        <w:rPr>
          <w:color w:val="auto"/>
          <w:sz w:val="22"/>
        </w:rPr>
        <w:fldChar w:fldCharType="begin" w:fldLock="1"/>
      </w:r>
      <w:r w:rsidR="006644FA" w:rsidRPr="00EC2EA6">
        <w:rPr>
          <w:color w:val="auto"/>
          <w:sz w:val="22"/>
        </w:rPr>
        <w:instrText>ADDIN CSL_CITATION {"citationItems":[{"id":"ITEM-1","itemData":{"DOI":"10.1210/jc.2008-0631","ISSN":"0021-972X","PMID":"18647815","abstract":"BACKGROUND The Wnt/beta-catenin and cAMP signaling pathways play an important role in adrenal cortex tumorigenesis. Somatic activating mutations of the beta-catenin gene (CTNNB1) are the most frequent genetic defects identified both in adrenocortical adenomas (ACAs) and adrenocortical cancers (ACCs). PRKAR1A mutations leading to cAMP pathway dysregulation are observed in primary pigmented nodular adrenocortical diseases (PPNADs) and some sporadic ACAs. OBJECTIVE The objective of the investigation was to study Wnt/beta-catenin dysregulation in adrenocortical tumors (ACTs) with cAMP pathway genetic alteration and search for secondary CTNNB1 somatic mutations in heterogeneous tumors. PATIENTS AND METHODS Nine PPNADs, including five with macronodules, three ACAs with PRKAR1A somatic mutations, and one heterogeneous tumor with ACC developed within an ACA, were studied by immunohistochemistry and DNA sequencing. RESULTS beta-Catenin accumulation was observed in all PPNADs, ACAs with PRKAR1A mutations, and the ACC component of the heterogeneous tumor. CTNNB1 somatic activating mutations were found in the macronodule of two of the five macronodular PPNADs, in one ACA with a PRKAR1A somatic mutation, and in the malignant part of the heterogeneous ACT. CONCLUSIONS The Wnt/beta-catenin pathway is activated in PPNADs and ACAs with PRKAR1A mutations, suggesting a cross talk between the cAMP and Wnt/beta-catenin pathways in ACT development. In addition, the occurrence as an additional hit of a CTNNB1 somatic mutation is associated with larger or more aggressive ACTs. This underlines the importance of the Wnt/beta-catenin pathway in adrenal cortex tumorigenesis and the importance of genetic accumulation in the progression of ACTs.","author":[{"dropping-particle":"","family":"Gaujoux","given":"Sébastien","non-dropping-particle":"","parse-names":false,"suffix":""},{"dropping-particle":"","family":"Tissier","given":"Frédérique","non-dropping-particle":"","parse-names":false,"suffix":""},{"dropping-particle":"","family":"Groussin","given":"Lionel","non-dropping-particle":"","parse-names":false,"suffix":""},{"dropping-particle":"","family":"Libé","given":"Rossella","non-dropping-particle":"","parse-names":false,"suffix":""},{"dropping-particle":"","family":"Ragazzon","given":"Bruno","non-dropping-particle":"","parse-names":false,"suffix":""},{"dropping-particle":"","family":"Launay","given":"Pierre","non-dropping-particle":"","parse-names":false,"suffix":""},{"dropping-particle":"","family":"Audebourg","given":"Anne","non-dropping-particle":"","parse-names":false,"suffix":""},{"dropping-particle":"","family":"Dousset","given":"Bertrand","non-dropping-particle":"","parse-names":false,"suffix":""},{"dropping-particle":"","family":"Bertagna","given":"Xavier","non-dropping-particle":"","parse-names":false,"suffix":""},{"dropping-particle":"","family":"Bertherat","given":"Jérôme","non-dropping-particle":"","parse-names":false,"suffix":""}],"container-title":"The Journal of clinical endocrinology and metabolism","id":"ITEM-1","issue":"10","issued":{"date-parts":[["2008","10"]]},"page":"4135-40","title":"Wnt/beta-catenin and 3',5'-cyclic adenosine 5'-monophosphate/protein kinase A signaling pathways alterations and somatic beta-catenin gene mutations in the progression of adrenocortical tumors.","type":"article-journal","volume":"93"},"uris":["http://www.mendeley.com/documents/?uuid=54c9f581-783b-4253-a5f9-abf04f4cfe94"]}],"mendeley":{"formattedCitation":"(31)","plainTextFormattedCitation":"(31)","previouslyFormattedCitation":"(31)"},"properties":{"noteIndex":0},"schema":"https://github.com/citation-style-language/schema/raw/master/csl-citation.json"}</w:instrText>
      </w:r>
      <w:r w:rsidR="00A86F5B" w:rsidRPr="00EC2EA6">
        <w:rPr>
          <w:color w:val="auto"/>
          <w:sz w:val="22"/>
        </w:rPr>
        <w:fldChar w:fldCharType="separate"/>
      </w:r>
      <w:r w:rsidR="006644FA" w:rsidRPr="00EC2EA6">
        <w:rPr>
          <w:noProof/>
          <w:color w:val="auto"/>
          <w:sz w:val="22"/>
        </w:rPr>
        <w:t>(31)</w:t>
      </w:r>
      <w:r w:rsidR="00A86F5B" w:rsidRPr="00EC2EA6">
        <w:rPr>
          <w:color w:val="auto"/>
          <w:sz w:val="22"/>
        </w:rPr>
        <w:fldChar w:fldCharType="end"/>
      </w:r>
      <w:r w:rsidRPr="00EC2EA6">
        <w:rPr>
          <w:color w:val="auto"/>
          <w:sz w:val="22"/>
        </w:rPr>
        <w:t>.</w:t>
      </w:r>
      <w:r w:rsidR="009A1C9C" w:rsidRPr="00EC2EA6">
        <w:rPr>
          <w:color w:val="auto"/>
          <w:sz w:val="22"/>
        </w:rPr>
        <w:t xml:space="preserve"> </w:t>
      </w:r>
    </w:p>
    <w:p w14:paraId="24969708" w14:textId="77777777" w:rsidR="009F0D82" w:rsidRPr="005F1576" w:rsidRDefault="009F0D82" w:rsidP="005F1576">
      <w:pPr>
        <w:spacing w:before="0" w:line="276" w:lineRule="auto"/>
        <w:jc w:val="left"/>
        <w:rPr>
          <w:sz w:val="22"/>
        </w:rPr>
      </w:pPr>
    </w:p>
    <w:p w14:paraId="2C10B09A" w14:textId="1E0B81DB" w:rsidR="00020D97" w:rsidRPr="00EC2EA6" w:rsidRDefault="005049B5" w:rsidP="005F1576">
      <w:pPr>
        <w:spacing w:before="0" w:line="276" w:lineRule="auto"/>
        <w:jc w:val="left"/>
        <w:rPr>
          <w:color w:val="auto"/>
          <w:sz w:val="22"/>
        </w:rPr>
      </w:pPr>
      <w:r w:rsidRPr="005F1576">
        <w:rPr>
          <w:sz w:val="22"/>
        </w:rPr>
        <w:t>These findings were supported by experiments on Prkar1a +/- knockout mice, the genotypic</w:t>
      </w:r>
      <w:r w:rsidR="009A1C9C" w:rsidRPr="005F1576">
        <w:rPr>
          <w:sz w:val="22"/>
        </w:rPr>
        <w:t xml:space="preserve"> </w:t>
      </w:r>
      <w:r w:rsidRPr="005F1576">
        <w:rPr>
          <w:sz w:val="22"/>
        </w:rPr>
        <w:t xml:space="preserve">animal model of </w:t>
      </w:r>
      <w:r w:rsidRPr="00EC2EA6">
        <w:rPr>
          <w:color w:val="auto"/>
          <w:sz w:val="22"/>
        </w:rPr>
        <w:t xml:space="preserve">Carney’s complex. These mice </w:t>
      </w:r>
      <w:r w:rsidR="0096254C" w:rsidRPr="00EC2EA6">
        <w:rPr>
          <w:color w:val="auto"/>
          <w:sz w:val="22"/>
        </w:rPr>
        <w:t xml:space="preserve">were </w:t>
      </w:r>
      <w:r w:rsidRPr="00EC2EA6">
        <w:rPr>
          <w:color w:val="auto"/>
          <w:sz w:val="22"/>
        </w:rPr>
        <w:t xml:space="preserve">developed </w:t>
      </w:r>
      <w:r w:rsidR="0092319E" w:rsidRPr="00EC2EA6">
        <w:rPr>
          <w:color w:val="auto"/>
          <w:sz w:val="22"/>
        </w:rPr>
        <w:t>by inserting an antisense transgene for Prkar1a exon 2 and present</w:t>
      </w:r>
      <w:r w:rsidR="005A6109" w:rsidRPr="00EC2EA6">
        <w:rPr>
          <w:color w:val="auto"/>
          <w:sz w:val="22"/>
        </w:rPr>
        <w:t xml:space="preserve"> with</w:t>
      </w:r>
      <w:r w:rsidRPr="00EC2EA6">
        <w:rPr>
          <w:color w:val="auto"/>
          <w:sz w:val="22"/>
        </w:rPr>
        <w:t xml:space="preserve"> many of the</w:t>
      </w:r>
      <w:r w:rsidR="009A1C9C" w:rsidRPr="00EC2EA6">
        <w:rPr>
          <w:color w:val="auto"/>
          <w:sz w:val="22"/>
        </w:rPr>
        <w:t xml:space="preserve"> </w:t>
      </w:r>
      <w:r w:rsidRPr="00EC2EA6">
        <w:rPr>
          <w:color w:val="auto"/>
          <w:sz w:val="22"/>
        </w:rPr>
        <w:t>manifestations of CNC</w:t>
      </w:r>
      <w:r w:rsidR="0092319E" w:rsidRPr="00EC2EA6">
        <w:rPr>
          <w:color w:val="auto"/>
          <w:sz w:val="22"/>
        </w:rPr>
        <w:t>, such as</w:t>
      </w:r>
      <w:r w:rsidRPr="00EC2EA6">
        <w:rPr>
          <w:color w:val="auto"/>
          <w:sz w:val="22"/>
        </w:rPr>
        <w:t xml:space="preserve"> </w:t>
      </w:r>
      <w:r w:rsidR="0092319E" w:rsidRPr="00EC2EA6">
        <w:rPr>
          <w:color w:val="auto"/>
          <w:sz w:val="22"/>
        </w:rPr>
        <w:t xml:space="preserve">adrenocortical hyperplasia with cortisol </w:t>
      </w:r>
      <w:r w:rsidR="007B1CD2" w:rsidRPr="00EC2EA6">
        <w:rPr>
          <w:color w:val="auto"/>
          <w:sz w:val="22"/>
        </w:rPr>
        <w:t>hypersecretion, thyroid</w:t>
      </w:r>
      <w:r w:rsidRPr="00EC2EA6">
        <w:rPr>
          <w:color w:val="auto"/>
          <w:sz w:val="22"/>
        </w:rPr>
        <w:t xml:space="preserve"> </w:t>
      </w:r>
      <w:r w:rsidR="0092319E" w:rsidRPr="00EC2EA6">
        <w:rPr>
          <w:color w:val="auto"/>
          <w:sz w:val="22"/>
        </w:rPr>
        <w:t xml:space="preserve">follicular </w:t>
      </w:r>
      <w:r w:rsidRPr="00EC2EA6">
        <w:rPr>
          <w:color w:val="auto"/>
          <w:sz w:val="22"/>
        </w:rPr>
        <w:t>neoplasia</w:t>
      </w:r>
      <w:r w:rsidR="0092319E" w:rsidRPr="00EC2EA6">
        <w:rPr>
          <w:color w:val="auto"/>
          <w:sz w:val="22"/>
        </w:rPr>
        <w:t xml:space="preserve"> non-pigmented schwannomas and bone lesions</w:t>
      </w:r>
      <w:r w:rsidR="007B1CD2" w:rsidRPr="00EC2EA6">
        <w:rPr>
          <w:color w:val="auto"/>
          <w:sz w:val="22"/>
        </w:rPr>
        <w:t xml:space="preserve"> </w:t>
      </w:r>
      <w:r w:rsidR="0092319E" w:rsidRPr="00EC2EA6">
        <w:rPr>
          <w:color w:val="auto"/>
          <w:sz w:val="22"/>
        </w:rPr>
        <w:fldChar w:fldCharType="begin" w:fldLock="1"/>
      </w:r>
      <w:r w:rsidR="006644FA" w:rsidRPr="00EC2EA6">
        <w:rPr>
          <w:color w:val="auto"/>
          <w:sz w:val="22"/>
        </w:rPr>
        <w:instrText>ADDIN CSL_CITATION {"citationItems":[{"id":"ITEM-1","itemData":{"ISSN":"0743-5800 (Print) 0743-5800 (Linking)","author":[{"dropping-particle":"","family":"Griffin","given":"K J","non-dropping-particle":"","parse-names":false,"suffix":""},{"dropping-particle":"","family":"Kirschner","given":"L S","non-dropping-particle":"","parse-names":false,"suffix":""},{"dropping-particle":"","family":"Matyakhina","given":"L","non-dropping-particle":"","parse-names":false,"suffix":""},{"dropping-particle":"","family":"Stergiopoulos","given":"S","non-dropping-particle":"","parse-names":false,"suffix":""},{"dropping-particle":"","family":"Robinson-White","given":"A","non-dropping-particle":"","parse-names":false,"suffix":""},{"dropping-particle":"","family":"Weinberg","given":"F","non-dropping-particle":"","parse-names":false,"suffix":""},{"dropping-particle":"","family":"Meoli","given":"E","non-dropping-particle":"","parse-names":false,"suffix":""},{"dropping-particle":"","family":"Bornstein","given":"S R","non-dropping-particle":"","parse-names":false,"suffix":""},{"dropping-particle":"","family":"Stratakis","given":"C A","non-dropping-particle":"","parse-names":false,"suffix":""}],"container-title":"Endocr Res","id":"ITEM-1","issue":"4","issued":{"date-parts":[["2004"]]},"page":"903-911","title":"A mouse model for Carney complex","type":"article-journal","volume":"30"},"uris":["http://www.mendeley.com/documents/?uuid=f529fc4a-99de-41ac-8353-0ab64067f3f6"]}],"mendeley":{"formattedCitation":"(32)","plainTextFormattedCitation":"(32)","previouslyFormattedCitation":"(32)"},"properties":{"noteIndex":0},"schema":"https://github.com/citation-style-language/schema/raw/master/csl-citation.json"}</w:instrText>
      </w:r>
      <w:r w:rsidR="0092319E" w:rsidRPr="00EC2EA6">
        <w:rPr>
          <w:color w:val="auto"/>
          <w:sz w:val="22"/>
        </w:rPr>
        <w:fldChar w:fldCharType="separate"/>
      </w:r>
      <w:r w:rsidR="006644FA" w:rsidRPr="00EC2EA6">
        <w:rPr>
          <w:noProof/>
          <w:color w:val="auto"/>
          <w:sz w:val="22"/>
        </w:rPr>
        <w:t>(32)</w:t>
      </w:r>
      <w:r w:rsidR="0092319E" w:rsidRPr="00EC2EA6">
        <w:rPr>
          <w:color w:val="auto"/>
          <w:sz w:val="22"/>
        </w:rPr>
        <w:fldChar w:fldCharType="end"/>
      </w:r>
      <w:r w:rsidRPr="00EC2EA6">
        <w:rPr>
          <w:color w:val="auto"/>
          <w:sz w:val="22"/>
        </w:rPr>
        <w:t>. On the contrary, mice with complete loss of Prkar1a were not</w:t>
      </w:r>
      <w:r w:rsidR="009A1C9C" w:rsidRPr="00EC2EA6">
        <w:rPr>
          <w:color w:val="auto"/>
          <w:sz w:val="22"/>
        </w:rPr>
        <w:t xml:space="preserve"> </w:t>
      </w:r>
      <w:r w:rsidRPr="00EC2EA6">
        <w:rPr>
          <w:color w:val="auto"/>
          <w:sz w:val="22"/>
        </w:rPr>
        <w:t>viable as this genotype leads to early embryonic demise</w:t>
      </w:r>
      <w:r w:rsidR="00725F05" w:rsidRPr="00EC2EA6">
        <w:rPr>
          <w:color w:val="auto"/>
          <w:sz w:val="22"/>
        </w:rPr>
        <w:t xml:space="preserve"> due to fail</w:t>
      </w:r>
      <w:r w:rsidR="00365A05" w:rsidRPr="00EC2EA6">
        <w:rPr>
          <w:color w:val="auto"/>
          <w:sz w:val="22"/>
        </w:rPr>
        <w:t xml:space="preserve">ure of </w:t>
      </w:r>
      <w:r w:rsidR="00725F05" w:rsidRPr="00EC2EA6">
        <w:rPr>
          <w:color w:val="auto"/>
          <w:sz w:val="22"/>
        </w:rPr>
        <w:t>heart tube</w:t>
      </w:r>
      <w:r w:rsidR="00365A05" w:rsidRPr="00EC2EA6">
        <w:rPr>
          <w:color w:val="auto"/>
          <w:sz w:val="22"/>
        </w:rPr>
        <w:t xml:space="preserve"> development</w:t>
      </w:r>
      <w:r w:rsidRPr="00EC2EA6">
        <w:rPr>
          <w:color w:val="auto"/>
          <w:sz w:val="22"/>
        </w:rPr>
        <w:t xml:space="preserve"> </w:t>
      </w:r>
      <w:r w:rsidR="00365A05" w:rsidRPr="00EC2EA6">
        <w:rPr>
          <w:color w:val="auto"/>
          <w:sz w:val="22"/>
        </w:rPr>
        <w:fldChar w:fldCharType="begin" w:fldLock="1"/>
      </w:r>
      <w:r w:rsidR="006644FA" w:rsidRPr="00EC2EA6">
        <w:rPr>
          <w:color w:val="auto"/>
          <w:sz w:val="22"/>
        </w:rPr>
        <w:instrText>ADDIN CSL_CITATION {"citationItems":[{"id":"ITEM-1","itemData":{"DOI":"10.1074/jbc.M200302200","ISSN":"00219258","PMID":"12004056","abstract":"A targeted disruption of the RIα isoform of protein kinase A (PKA) was created by using homologous recombination in embryonic stem cells. Unlike the other regulatory and catalytic subunits of PKA, RIα is the only isoform that is essential for early embryonic development. RIα homozygous mutant embryos fail to develop a functional heart tube at E8.5 and are resorbed at approximately E10.5. Mutant embryos show significant growth retardation and developmental delay compared with wild type littermates from E7.5 to E10.5. The anterior-posterior axis of RIα mutants is well developed, with a prominent head structure but a reduced trunk. PKA activity measurements reveal an increased basal PKA activity in these embryos. Brachyury mRNA expression in the primitive streak of RIα mutants is significantly reduced, consistent with later deficits in axial, paraxial, and lateral plate mesodermal derivatives. This defect in the production and migration of mesoderm can be completely rescued by crossing RIα mutants to mice carrying a targeted disruption in the Cα catalytic sub-unit, demonstrating that unregulated PKA activity rather than a specific loss of RIα is responsible for the phenotype. Primary embryonic fibroblasts from RIα mutant embryos display an abnormal cytoskeleton and an altered ability to migrate in cell culture. Our results demonstrate that unregulated PKA activity negatively affects growth factor-mediated mesoderm formation during early mouse development.","author":[{"dropping-particle":"","family":"Amieux","given":"Paul S.","non-dropping-particle":"","parse-names":false,"suffix":""},{"dropping-particle":"","family":"Howe","given":"Douglas G.","non-dropping-particle":"","parse-names":false,"suffix":""},{"dropping-particle":"","family":"Knickerbocker","given":"Heidi","non-dropping-particle":"","parse-names":false,"suffix":""},{"dropping-particle":"","family":"Lee","given":"David C.","non-dropping-particle":"","parse-names":false,"suffix":""},{"dropping-particle":"","family":"Su","given":"Thomas","non-dropping-particle":"","parse-names":false,"suffix":""},{"dropping-particle":"","family":"Laszlo","given":"George S.","non-dropping-particle":"","parse-names":false,"suffix":""},{"dropping-particle":"","family":"Idzerda","given":"Rejean L.","non-dropping-particle":"","parse-names":false,"suffix":""},{"dropping-particle":"","family":"Stanley McKnight","given":"G.","non-dropping-particle":"","parse-names":false,"suffix":""}],"container-title":"Journal of Biological Chemistry","id":"ITEM-1","issue":"30","issued":{"date-parts":[["2002","7","26"]]},"page":"27294-27304","publisher":"Elsevier","title":"Increased basal cAMP-dependent protein kinase activity inhibits the formation of mesoderm-derived structures in the developing mouse embryo","type":"article-journal","volume":"277"},"uris":["http://www.mendeley.com/documents/?uuid=a21b2b7e-cbe1-32ed-b404-9ef9c892a1e1"]}],"mendeley":{"formattedCitation":"(33)","plainTextFormattedCitation":"(33)","previouslyFormattedCitation":"(33)"},"properties":{"noteIndex":0},"schema":"https://github.com/citation-style-language/schema/raw/master/csl-citation.json"}</w:instrText>
      </w:r>
      <w:r w:rsidR="00365A05" w:rsidRPr="00EC2EA6">
        <w:rPr>
          <w:color w:val="auto"/>
          <w:sz w:val="22"/>
        </w:rPr>
        <w:fldChar w:fldCharType="separate"/>
      </w:r>
      <w:r w:rsidR="006644FA" w:rsidRPr="00EC2EA6">
        <w:rPr>
          <w:noProof/>
          <w:color w:val="auto"/>
          <w:sz w:val="22"/>
        </w:rPr>
        <w:t>(33)</w:t>
      </w:r>
      <w:r w:rsidR="00365A05" w:rsidRPr="00EC2EA6">
        <w:rPr>
          <w:color w:val="auto"/>
          <w:sz w:val="22"/>
        </w:rPr>
        <w:fldChar w:fldCharType="end"/>
      </w:r>
      <w:r w:rsidRPr="00EC2EA6">
        <w:rPr>
          <w:color w:val="auto"/>
          <w:sz w:val="22"/>
        </w:rPr>
        <w:t>. Eventually, the development of</w:t>
      </w:r>
      <w:r w:rsidR="009A1C9C" w:rsidRPr="00EC2EA6">
        <w:rPr>
          <w:color w:val="auto"/>
          <w:sz w:val="22"/>
        </w:rPr>
        <w:t xml:space="preserve"> </w:t>
      </w:r>
      <w:r w:rsidR="00FE3E65" w:rsidRPr="00EC2EA6">
        <w:rPr>
          <w:color w:val="auto"/>
          <w:sz w:val="22"/>
        </w:rPr>
        <w:t xml:space="preserve">thyroid and </w:t>
      </w:r>
      <w:r w:rsidRPr="00EC2EA6">
        <w:rPr>
          <w:color w:val="auto"/>
          <w:sz w:val="22"/>
        </w:rPr>
        <w:t>pituitary cell tumors as well as heart myxomas was achieved by inducing tissue</w:t>
      </w:r>
      <w:r w:rsidR="006644FA" w:rsidRPr="00EC2EA6">
        <w:rPr>
          <w:color w:val="auto"/>
          <w:sz w:val="22"/>
        </w:rPr>
        <w:t>-</w:t>
      </w:r>
      <w:r w:rsidRPr="00EC2EA6">
        <w:rPr>
          <w:color w:val="auto"/>
          <w:sz w:val="22"/>
        </w:rPr>
        <w:t>specific</w:t>
      </w:r>
      <w:r w:rsidR="009A1C9C" w:rsidRPr="00EC2EA6">
        <w:rPr>
          <w:color w:val="auto"/>
          <w:sz w:val="22"/>
        </w:rPr>
        <w:t xml:space="preserve"> </w:t>
      </w:r>
      <w:r w:rsidRPr="00EC2EA6">
        <w:rPr>
          <w:color w:val="auto"/>
          <w:sz w:val="22"/>
        </w:rPr>
        <w:t xml:space="preserve">complete ablation of Prkar1a </w:t>
      </w:r>
      <w:r w:rsidR="0092319E" w:rsidRPr="00EC2EA6">
        <w:rPr>
          <w:color w:val="auto"/>
          <w:sz w:val="22"/>
        </w:rPr>
        <w:fldChar w:fldCharType="begin" w:fldLock="1"/>
      </w:r>
      <w:r w:rsidR="006644FA" w:rsidRPr="00EC2EA6">
        <w:rPr>
          <w:color w:val="auto"/>
          <w:sz w:val="22"/>
        </w:rPr>
        <w:instrText>ADDIN CSL_CITATION {"citationItems":[{"id":"ITEM-1","itemData":{"DOI":"ERC-11-0306 [pii] 10.1530/ERC-11-0306","ISSN":"1479-6821 (Electronic) 1351-0088 (Linking)","author":[{"dropping-particle":"","family":"Pringle","given":"D R","non-dropping-particle":"","parse-names":false,"suffix":""},{"dropping-particle":"","family":"Yin","given":"Z","non-dropping-particle":"","parse-names":false,"suffix":""},{"dropping-particle":"","family":"Lee","given":"A A","non-dropping-particle":"","parse-names":false,"suffix":""},{"dropping-particle":"","family":"Manchanda","given":"P K","non-dropping-particle":"","parse-names":false,"suffix":""},{"dropping-particle":"","family":"Yu","given":"L","non-dropping-particle":"","parse-names":false,"suffix":""},{"dropping-particle":"","family":"Parlow","given":"A F","non-dropping-particle":"","parse-names":false,"suffix":""},{"dropping-particle":"","family":"Jarjoura","given":"D","non-dropping-particle":"","parse-names":false,"suffix":""},{"dropping-particle":"","family":"Perle","given":"K M","non-dropping-particle":"La","parse-names":false,"suffix":""},{"dropping-particle":"","family":"Kirschner","given":"L S","non-dropping-particle":"","parse-names":false,"suffix":""}],"container-title":"Endocr Relat Cancer","id":"ITEM-1","issue":"3","issued":{"date-parts":[["2012"]]},"page":"435-446","title":"Thyroid-specific ablation of the Carney complex gene, PRKAR1A, results in hyperthyroidism and follicular thyroid cancer","type":"article-journal","volume":"19"},"uris":["http://www.mendeley.com/documents/?uuid=320dfb14-228f-43c5-93cf-8d39639499a4"]},{"id":"ITEM-2","itemData":{"DOI":"JIM2114 [pii] 10.1111/j.1365-2796.2009.02114.x","ISSN":"1365-2796 (Electronic) 0954-6820 (Linking)","author":[{"dropping-particle":"","family":"Kirschner","given":"L S","non-dropping-particle":"","parse-names":false,"suffix":""}],"container-title":"J Intern Med","id":"ITEM-2","issue":"1","issued":{"date-parts":[["2009"]]},"page":"60-68","title":"Use of mouse models to understand the molecular basis of tissue-specific tumorigenesis in the Carney complex","type":"article-journal","volume":"266"},"uris":["http://www.mendeley.com/documents/?uuid=fd1e796e-1635-4266-9508-b29cf8549da9"]}],"mendeley":{"formattedCitation":"(34,35)","plainTextFormattedCitation":"(34,35)","previouslyFormattedCitation":"(34,35)"},"properties":{"noteIndex":0},"schema":"https://github.com/citation-style-language/schema/raw/master/csl-citation.json"}</w:instrText>
      </w:r>
      <w:r w:rsidR="0092319E" w:rsidRPr="00EC2EA6">
        <w:rPr>
          <w:color w:val="auto"/>
          <w:sz w:val="22"/>
        </w:rPr>
        <w:fldChar w:fldCharType="separate"/>
      </w:r>
      <w:r w:rsidR="006644FA" w:rsidRPr="00EC2EA6">
        <w:rPr>
          <w:noProof/>
          <w:color w:val="auto"/>
          <w:sz w:val="22"/>
        </w:rPr>
        <w:t>(34,35)</w:t>
      </w:r>
      <w:r w:rsidR="0092319E" w:rsidRPr="00EC2EA6">
        <w:rPr>
          <w:color w:val="auto"/>
          <w:sz w:val="22"/>
        </w:rPr>
        <w:fldChar w:fldCharType="end"/>
      </w:r>
      <w:r w:rsidRPr="00EC2EA6">
        <w:rPr>
          <w:color w:val="auto"/>
          <w:sz w:val="22"/>
        </w:rPr>
        <w:t>. Moreover, mice double heterozygote for Prkar1a and Trp53</w:t>
      </w:r>
      <w:r w:rsidR="009A1C9C" w:rsidRPr="00EC2EA6">
        <w:rPr>
          <w:color w:val="auto"/>
          <w:sz w:val="22"/>
        </w:rPr>
        <w:t xml:space="preserve"> </w:t>
      </w:r>
      <w:r w:rsidRPr="00EC2EA6">
        <w:rPr>
          <w:color w:val="auto"/>
          <w:sz w:val="22"/>
        </w:rPr>
        <w:t xml:space="preserve">or Rb1 developed more sarcomas and grew </w:t>
      </w:r>
      <w:r w:rsidR="001C0F7A" w:rsidRPr="00EC2EA6">
        <w:rPr>
          <w:color w:val="auto"/>
          <w:sz w:val="22"/>
        </w:rPr>
        <w:t>more,</w:t>
      </w:r>
      <w:r w:rsidRPr="00EC2EA6">
        <w:rPr>
          <w:color w:val="auto"/>
          <w:sz w:val="22"/>
        </w:rPr>
        <w:t xml:space="preserve"> and larger pituitary and thyroid tumors</w:t>
      </w:r>
      <w:r w:rsidR="009A1C9C" w:rsidRPr="00EC2EA6">
        <w:rPr>
          <w:color w:val="auto"/>
          <w:sz w:val="22"/>
        </w:rPr>
        <w:t xml:space="preserve"> </w:t>
      </w:r>
      <w:r w:rsidRPr="00EC2EA6">
        <w:rPr>
          <w:color w:val="auto"/>
          <w:sz w:val="22"/>
        </w:rPr>
        <w:t xml:space="preserve">compared to the single Prkar1a heterozygotes </w:t>
      </w:r>
      <w:r w:rsidR="00365A05" w:rsidRPr="00EC2EA6">
        <w:rPr>
          <w:color w:val="auto"/>
          <w:sz w:val="22"/>
        </w:rPr>
        <w:fldChar w:fldCharType="begin" w:fldLock="1"/>
      </w:r>
      <w:r w:rsidR="006644FA" w:rsidRPr="00EC2EA6">
        <w:rPr>
          <w:color w:val="auto"/>
          <w:sz w:val="22"/>
        </w:rPr>
        <w:instrText>ADDIN CSL_CITATION {"citationItems":[{"id":"ITEM-1","itemData":{"DOI":"10.1093/hmg/ddq014","ISSN":"1460-2083","PMID":"20080939","abstract":"PRKAR1A inactivation leads to dysregulated cAMP signaling and Carney complex (CNC) in humans, a syndrome associated with skin, endocrine and other tumors. The CNC phenotype is not easily explained by the ubiquitous cAMP signaling defect; furthermore, Prkar1a(+/-) mice did not develop skin and other CNC tumors. To identify whether a Prkar1a defect is truly a generic but weak tumorigenic signal that depends on tissue-specific or other factors, we investigated Prkar1a(+/-) mice when bred within the Rb1(+/-) or Trp53(+/-) backgrounds, or treated with a two-step skin carcinogenesis protocol. Prkar1a(+/-) Trp53(+/-) mice developed more sarcomas than Trp53(+/-) mice (P &lt; 0.05) and Prkar1a(+/-) Rb1(+/-) mice grew more (and larger) pituitary and thyroid tumors than Rb1(+/-) mice. All mice with double heterozygosity had significantly reduced life-spans compared with their single-heterozygous counterparts. Prkar1a(+/-) mice also developed more papillomas than wild-type animals. A whole-genome transcriptome profiling of tumors produced by all three models identified Wnt signaling as the main pathway activated by abnormal cAMP signaling, along with cell cycle abnormalities; all changes were confirmed by qRT-PCR array and immunohistochemistry. siRNA down-regulation of Ctnnb1, E2f1 or Cdk4 inhibited proliferation of human adrenal cells bearing a PRKAR1A-inactivating mutation and Prkar1a(+/-) mouse embryonic fibroblasts and arrested both cell lines at the G0/G1 phase of the cell cycle. In conclusion, Prkar1a haploinsufficiency is a relatively weak tumorigenic signal that can act synergistically with other tumor suppressor gene defects or chemicals to induce tumors, mostly through Wnt-signaling activation and cell cycle dysregulation, consistent with studies in human neoplasms carrying PRKAR1A defects.","author":[{"dropping-particle":"","family":"Almeida","given":"Madson Q.","non-dropping-particle":"","parse-names":false,"suffix":""},{"dropping-particle":"","family":"Muchow","given":"Michael","non-dropping-particle":"","parse-names":false,"suffix":""},{"dropping-particle":"","family":"Boikos","given":"Sosipatros","non-dropping-particle":"","parse-names":false,"suffix":""},{"dropping-particle":"","family":"Bauer","given":"Andrew J","non-dropping-particle":"","parse-names":false,"suffix":""},{"dropping-particle":"","family":"Griffin","given":"Kurt J","non-dropping-particle":"","parse-names":false,"suffix":""},{"dropping-particle":"","family":"Tsang","given":"Kit Man","non-dropping-particle":"","parse-names":false,"suffix":""},{"dropping-particle":"","family":"Cheadle","given":"Chris","non-dropping-particle":"","parse-names":false,"suffix":""},{"dropping-particle":"","family":"Watkins","given":"Tonya","non-dropping-particle":"","parse-names":false,"suffix":""},{"dropping-particle":"","family":"Wen","given":"Feng","non-dropping-particle":"","parse-names":false,"suffix":""},{"dropping-particle":"","family":"Starost","given":"Matthew F","non-dropping-particle":"","parse-names":false,"suffix":""},{"dropping-particle":"","family":"Bossis","given":"Ioannis","non-dropping-particle":"","parse-names":false,"suffix":""},{"dropping-particle":"","family":"Nesterova","given":"Maria","non-dropping-particle":"","parse-names":false,"suffix":""},{"dropping-particle":"","family":"Stratakis","given":"Constantine A","non-dropping-particle":"","parse-names":false,"suffix":""}],"container-title":"Human molecular genetics","id":"ITEM-1","issue":"8","issued":{"date-parts":[["2010","4","15"]]},"page":"1387-98","title":"Mouse Prkar1a haploinsufficiency leads to an increase in tumors in the Trp53+/- or Rb1+/- backgrounds and chemically induced skin papillomas by dysregulation of the cell cycle and Wnt signaling.","type":"article-journal","volume":"19"},"uris":["http://www.mendeley.com/documents/?uuid=141fe172-8181-4f92-a754-3b2ef49eb35b"]}],"mendeley":{"formattedCitation":"(36)","plainTextFormattedCitation":"(36)","previouslyFormattedCitation":"(36)"},"properties":{"noteIndex":0},"schema":"https://github.com/citation-style-language/schema/raw/master/csl-citation.json"}</w:instrText>
      </w:r>
      <w:r w:rsidR="00365A05" w:rsidRPr="00EC2EA6">
        <w:rPr>
          <w:color w:val="auto"/>
          <w:sz w:val="22"/>
        </w:rPr>
        <w:fldChar w:fldCharType="separate"/>
      </w:r>
      <w:r w:rsidR="006644FA" w:rsidRPr="00EC2EA6">
        <w:rPr>
          <w:noProof/>
          <w:color w:val="auto"/>
          <w:sz w:val="22"/>
        </w:rPr>
        <w:t>(36)</w:t>
      </w:r>
      <w:r w:rsidR="00365A05" w:rsidRPr="00EC2EA6">
        <w:rPr>
          <w:color w:val="auto"/>
          <w:sz w:val="22"/>
        </w:rPr>
        <w:fldChar w:fldCharType="end"/>
      </w:r>
      <w:r w:rsidRPr="00EC2EA6">
        <w:rPr>
          <w:color w:val="auto"/>
          <w:sz w:val="22"/>
        </w:rPr>
        <w:t>.</w:t>
      </w:r>
    </w:p>
    <w:p w14:paraId="14D7A6AB" w14:textId="77777777" w:rsidR="009F0D82" w:rsidRPr="005F1576" w:rsidRDefault="009F0D82" w:rsidP="005F1576">
      <w:pPr>
        <w:spacing w:before="0" w:line="276" w:lineRule="auto"/>
        <w:jc w:val="left"/>
        <w:rPr>
          <w:sz w:val="22"/>
        </w:rPr>
      </w:pPr>
    </w:p>
    <w:p w14:paraId="54705AFE" w14:textId="77777777" w:rsidR="00895121" w:rsidRPr="009F0D82" w:rsidRDefault="005049B5" w:rsidP="005F1576">
      <w:pPr>
        <w:pStyle w:val="Heading2"/>
        <w:spacing w:before="0" w:line="276" w:lineRule="auto"/>
        <w:jc w:val="left"/>
        <w:rPr>
          <w:rStyle w:val="Heading2Char"/>
          <w:b/>
          <w:bCs/>
          <w:color w:val="00B050"/>
          <w:sz w:val="22"/>
        </w:rPr>
      </w:pPr>
      <w:r w:rsidRPr="009F0D82">
        <w:rPr>
          <w:rStyle w:val="Heading2Char"/>
          <w:b/>
          <w:bCs/>
          <w:color w:val="00B050"/>
          <w:sz w:val="22"/>
        </w:rPr>
        <w:t>Other Loci</w:t>
      </w:r>
      <w:r w:rsidR="009A1C9C" w:rsidRPr="009F0D82">
        <w:rPr>
          <w:rStyle w:val="Heading2Char"/>
          <w:b/>
          <w:bCs/>
          <w:color w:val="00B050"/>
          <w:sz w:val="22"/>
        </w:rPr>
        <w:t xml:space="preserve"> </w:t>
      </w:r>
    </w:p>
    <w:p w14:paraId="141649B5" w14:textId="77777777" w:rsidR="009F0D82" w:rsidRDefault="009F0D82" w:rsidP="005F1576">
      <w:pPr>
        <w:spacing w:before="0" w:line="276" w:lineRule="auto"/>
        <w:jc w:val="left"/>
        <w:rPr>
          <w:sz w:val="22"/>
        </w:rPr>
      </w:pPr>
    </w:p>
    <w:p w14:paraId="7B0A639F" w14:textId="089A48D1" w:rsidR="00FE3E65" w:rsidRPr="00EC2EA6" w:rsidRDefault="005049B5" w:rsidP="005F1576">
      <w:pPr>
        <w:spacing w:before="0" w:line="276" w:lineRule="auto"/>
        <w:jc w:val="left"/>
        <w:rPr>
          <w:color w:val="auto"/>
          <w:sz w:val="22"/>
        </w:rPr>
      </w:pPr>
      <w:r w:rsidRPr="005F1576">
        <w:rPr>
          <w:sz w:val="22"/>
        </w:rPr>
        <w:t>Approximately 30% of the families affected with CNC are not related to defective PRKAR1A.</w:t>
      </w:r>
      <w:r w:rsidR="009A1C9C" w:rsidRPr="005F1576">
        <w:rPr>
          <w:sz w:val="22"/>
        </w:rPr>
        <w:t xml:space="preserve"> </w:t>
      </w:r>
      <w:r w:rsidRPr="005F1576">
        <w:rPr>
          <w:sz w:val="22"/>
        </w:rPr>
        <w:t>The putative “CNC2” gene located at the 2p16 locus is linked to the majority of them;</w:t>
      </w:r>
      <w:r w:rsidR="009A1C9C" w:rsidRPr="005F1576">
        <w:rPr>
          <w:sz w:val="22"/>
        </w:rPr>
        <w:t xml:space="preserve"> </w:t>
      </w:r>
      <w:r w:rsidRPr="005F1576">
        <w:rPr>
          <w:sz w:val="22"/>
        </w:rPr>
        <w:t>nevertheless, it has not yet been identified. These patients present with a milder phenotype,</w:t>
      </w:r>
      <w:r w:rsidR="009A1C9C" w:rsidRPr="005F1576">
        <w:rPr>
          <w:sz w:val="22"/>
        </w:rPr>
        <w:t xml:space="preserve"> </w:t>
      </w:r>
      <w:r w:rsidRPr="005F1576">
        <w:rPr>
          <w:sz w:val="22"/>
        </w:rPr>
        <w:t>they are diagnosed later in life and are usually sporadic cases. Initial studies demonstrated</w:t>
      </w:r>
      <w:r w:rsidR="009A1C9C" w:rsidRPr="005F1576">
        <w:rPr>
          <w:sz w:val="22"/>
        </w:rPr>
        <w:t xml:space="preserve"> </w:t>
      </w:r>
      <w:r w:rsidRPr="005F1576">
        <w:rPr>
          <w:sz w:val="22"/>
        </w:rPr>
        <w:t>amplification of a 10 Mb region at the 2p16–23 locus in PRKAR1A-negative CNC patients.</w:t>
      </w:r>
      <w:r w:rsidR="009A1C9C" w:rsidRPr="005F1576">
        <w:rPr>
          <w:sz w:val="22"/>
        </w:rPr>
        <w:t xml:space="preserve"> </w:t>
      </w:r>
      <w:r w:rsidRPr="005F1576">
        <w:rPr>
          <w:sz w:val="22"/>
        </w:rPr>
        <w:t>Moreover, somatic alterations of the 2p16 region have been reported in CNC tumors which are</w:t>
      </w:r>
      <w:r w:rsidR="009A1C9C" w:rsidRPr="005F1576">
        <w:rPr>
          <w:sz w:val="22"/>
        </w:rPr>
        <w:t xml:space="preserve"> </w:t>
      </w:r>
      <w:r w:rsidRPr="005F1576">
        <w:rPr>
          <w:sz w:val="22"/>
        </w:rPr>
        <w:t>usually gene amplifications, whereas, tumor-specific LOH has not been a consistent feature of</w:t>
      </w:r>
      <w:r w:rsidR="009A1C9C" w:rsidRPr="005F1576">
        <w:rPr>
          <w:sz w:val="22"/>
        </w:rPr>
        <w:t xml:space="preserve"> </w:t>
      </w:r>
      <w:r w:rsidRPr="00EC2EA6">
        <w:rPr>
          <w:color w:val="auto"/>
          <w:sz w:val="22"/>
        </w:rPr>
        <w:t xml:space="preserve">CNC2 </w:t>
      </w:r>
      <w:r w:rsidR="00FE3E65" w:rsidRPr="00EC2EA6">
        <w:rPr>
          <w:color w:val="auto"/>
          <w:sz w:val="22"/>
        </w:rPr>
        <w:fldChar w:fldCharType="begin" w:fldLock="1"/>
      </w:r>
      <w:r w:rsidR="006644FA" w:rsidRPr="00EC2EA6">
        <w:rPr>
          <w:color w:val="auto"/>
          <w:sz w:val="22"/>
        </w:rPr>
        <w:instrText>ADDIN CSL_CITATION {"citationItems":[{"id":"ITEM-1","itemData":{"ISSN":"1468-6244","PMID":"12676898","abstract":"Carney complex (CNC) is an autosomal dominant multiple endocrine neoplasia and lentiginosis syndrome characterised by spotty skin pigmentation, cardiac, skin, and breast myxomas, and a variety of endocrine and other tumours. The disease is genetically heterogeneous; two loci have been mapped to chromosomes 17q22-24 (the CNC1 locus) and 2p16 (CNC2). Mutations in the PRKAR1A tumour suppressor gene were recently found in CNC1 mapping kindreds, while the CNC2 and perhaps other genes remain unidentified. Analysis of tumour chromosome rearrangements is a useful tool for uncovering genes with a role in tumorigenesis and/or tumour progression. CGH analysis showed a low level 2p amplification recurrently in four of eight CNC tumours; one tumour showed specific amplification of the 2p16-p23 region only. To define more precisely the 2p amplicon in these and other tumours, we completed the genomic mapping of the CNC2 region, and analysed 46 tumour samples from CNC patients with and without PRKAR1A mutations by fluorescence in situ hybridisation (FISH) using bacterial artificial chromosomes (BACs). Consistent cytogenetic changes of the region were detected in 40 (87%) of the samples analysed. Twenty-four samples (60%) showed amplification of the region represented as homogeneously stained regions (HSRs). The size of the amplicon varied from case to case, and frequently from cell to cell in the same tumour. Three tumours (8%) showed both amplification and deletion of the region in their cells. Thirteen tumours (32%) showed deletions only. These molecular cytogenetic changes included the region that is covered by BACs 400-P-14 and 514-O-11 and, in the genetic map, corresponds to an area flanked by polymorphic markers D2S2251 and D2S2292; other BACs on the centromeric and telomeric end of this region were included in varying degrees. We conclude that cytogenetic changes of the 2p16 chromosomal region that harbours the CNC2 locus are frequently observed in tumours from CNC patients, including those with germline, inactivating PRKAR1A mutations. These changes are mostly amplifications of the 2p16 region, that overlap with a previously identified amplicon in sporadic thyroid cancer, and an area often deleted in sporadic adrenal tumours. Both thyroid and adrenal tumours constitute part of CNC indicating that the responsible gene(s) in this area may indeed be involved in both inherited and sporadic endocrine tumour pathogenesis and/or progression.","author":[{"dropping-particle":"","family":"Matyakhina","given":"L","non-dropping-particle":"","parse-names":false,"suffix":""},{"dropping-particle":"","family":"Pack","given":"S","non-dropping-particle":"","parse-names":false,"suffix":""},{"dropping-particle":"","family":"Kirschner","given":"L S","non-dropping-particle":"","parse-names":false,"suffix":""},{"dropping-particle":"","family":"Pak","given":"E","non-dropping-particle":"","parse-names":false,"suffix":""},{"dropping-particle":"","family":"Mannan","given":"P","non-dropping-particle":"","parse-names":false,"suffix":""},{"dropping-particle":"","family":"Jaikumar","given":"J","non-dropping-particle":"","parse-names":false,"suffix":""},{"dropping-particle":"","family":"Taymans","given":"S E","non-dropping-particle":"","parse-names":false,"suffix":""},{"dropping-particle":"","family":"Sandrini","given":"F","non-dropping-particle":"","parse-names":false,"suffix":""},{"dropping-particle":"","family":"Carney","given":"J A","non-dropping-particle":"","parse-names":false,"suffix":""},{"dropping-particle":"","family":"Stratakis","given":"C A","non-dropping-particle":"","parse-names":false,"suffix":""}],"container-title":"Journal of medical genetics","id":"ITEM-1","issue":"4","issued":{"date-parts":[["2003","4"]]},"page":"268-77","title":"Chromosome 2 (2p16) abnormalities in Carney complex tumours.","type":"article-journal","volume":"40"},"uris":["http://www.mendeley.com/documents/?uuid=b16c41f4-210c-4386-9358-5568d3a118b2"]}],"mendeley":{"formattedCitation":"(37)","plainTextFormattedCitation":"(37)","previouslyFormattedCitation":"(37)"},"properties":{"noteIndex":0},"schema":"https://github.com/citation-style-language/schema/raw/master/csl-citation.json"}</w:instrText>
      </w:r>
      <w:r w:rsidR="00FE3E65" w:rsidRPr="00EC2EA6">
        <w:rPr>
          <w:color w:val="auto"/>
          <w:sz w:val="22"/>
        </w:rPr>
        <w:fldChar w:fldCharType="separate"/>
      </w:r>
      <w:r w:rsidR="006644FA" w:rsidRPr="00EC2EA6">
        <w:rPr>
          <w:noProof/>
          <w:color w:val="auto"/>
          <w:sz w:val="22"/>
        </w:rPr>
        <w:t>(37)</w:t>
      </w:r>
      <w:r w:rsidR="00FE3E65" w:rsidRPr="00EC2EA6">
        <w:rPr>
          <w:color w:val="auto"/>
          <w:sz w:val="22"/>
        </w:rPr>
        <w:fldChar w:fldCharType="end"/>
      </w:r>
      <w:r w:rsidRPr="00EC2EA6">
        <w:rPr>
          <w:color w:val="auto"/>
          <w:sz w:val="22"/>
        </w:rPr>
        <w:t>. These data suggested that the gene located at 2p16 is a potential oncogene that</w:t>
      </w:r>
      <w:r w:rsidR="009A1C9C" w:rsidRPr="00EC2EA6">
        <w:rPr>
          <w:color w:val="auto"/>
          <w:sz w:val="22"/>
        </w:rPr>
        <w:t xml:space="preserve"> </w:t>
      </w:r>
      <w:r w:rsidRPr="00EC2EA6">
        <w:rPr>
          <w:color w:val="auto"/>
          <w:sz w:val="22"/>
        </w:rPr>
        <w:t>may code a PKA catalytic subunit.</w:t>
      </w:r>
    </w:p>
    <w:p w14:paraId="132F5681" w14:textId="77777777" w:rsidR="009F0D82" w:rsidRPr="00EC2EA6" w:rsidRDefault="009F0D82" w:rsidP="005F1576">
      <w:pPr>
        <w:spacing w:before="0" w:line="276" w:lineRule="auto"/>
        <w:jc w:val="left"/>
        <w:rPr>
          <w:color w:val="auto"/>
          <w:sz w:val="22"/>
        </w:rPr>
      </w:pPr>
    </w:p>
    <w:p w14:paraId="150F4761" w14:textId="73BC663A" w:rsidR="00BE1434" w:rsidRPr="00EC2EA6" w:rsidRDefault="00FE3E65" w:rsidP="005F1576">
      <w:pPr>
        <w:spacing w:before="0" w:line="276" w:lineRule="auto"/>
        <w:jc w:val="left"/>
        <w:rPr>
          <w:color w:val="auto"/>
          <w:sz w:val="22"/>
        </w:rPr>
      </w:pPr>
      <w:r w:rsidRPr="00EC2EA6">
        <w:rPr>
          <w:color w:val="auto"/>
          <w:sz w:val="22"/>
        </w:rPr>
        <w:t>Recently</w:t>
      </w:r>
      <w:r w:rsidR="005049B5" w:rsidRPr="00EC2EA6">
        <w:rPr>
          <w:color w:val="auto"/>
          <w:sz w:val="22"/>
        </w:rPr>
        <w:t>, alterations</w:t>
      </w:r>
      <w:r w:rsidRPr="00EC2EA6">
        <w:rPr>
          <w:color w:val="auto"/>
          <w:sz w:val="22"/>
        </w:rPr>
        <w:t xml:space="preserve"> </w:t>
      </w:r>
      <w:r w:rsidR="005049B5" w:rsidRPr="00EC2EA6">
        <w:rPr>
          <w:color w:val="auto"/>
          <w:sz w:val="22"/>
        </w:rPr>
        <w:t>of PRKACA and PRKACB</w:t>
      </w:r>
      <w:r w:rsidRPr="00EC2EA6">
        <w:rPr>
          <w:color w:val="auto"/>
          <w:sz w:val="22"/>
        </w:rPr>
        <w:t xml:space="preserve"> resulting in </w:t>
      </w:r>
      <w:r w:rsidR="006644FA" w:rsidRPr="00EC2EA6">
        <w:rPr>
          <w:color w:val="auto"/>
          <w:sz w:val="22"/>
        </w:rPr>
        <w:t xml:space="preserve">a </w:t>
      </w:r>
      <w:r w:rsidRPr="00EC2EA6">
        <w:rPr>
          <w:color w:val="auto"/>
          <w:sz w:val="22"/>
        </w:rPr>
        <w:t xml:space="preserve">gain of function of the catalytic subunits α and </w:t>
      </w:r>
      <w:r w:rsidRPr="00EC2EA6">
        <w:rPr>
          <w:color w:val="auto"/>
          <w:sz w:val="22"/>
          <w:lang w:val="el-GR"/>
        </w:rPr>
        <w:t xml:space="preserve">β </w:t>
      </w:r>
      <w:r w:rsidRPr="00EC2EA6">
        <w:rPr>
          <w:color w:val="auto"/>
          <w:sz w:val="22"/>
        </w:rPr>
        <w:t>of PKA</w:t>
      </w:r>
      <w:r w:rsidR="005049B5" w:rsidRPr="00EC2EA6">
        <w:rPr>
          <w:color w:val="auto"/>
          <w:sz w:val="22"/>
        </w:rPr>
        <w:t xml:space="preserve"> </w:t>
      </w:r>
      <w:r w:rsidRPr="00EC2EA6">
        <w:rPr>
          <w:color w:val="auto"/>
          <w:sz w:val="22"/>
        </w:rPr>
        <w:t xml:space="preserve">respectively, </w:t>
      </w:r>
      <w:r w:rsidR="005049B5" w:rsidRPr="00EC2EA6">
        <w:rPr>
          <w:color w:val="auto"/>
          <w:sz w:val="22"/>
        </w:rPr>
        <w:t>have</w:t>
      </w:r>
      <w:r w:rsidR="009A1C9C" w:rsidRPr="00EC2EA6">
        <w:rPr>
          <w:color w:val="auto"/>
          <w:sz w:val="22"/>
        </w:rPr>
        <w:t xml:space="preserve"> </w:t>
      </w:r>
      <w:r w:rsidR="005049B5" w:rsidRPr="00EC2EA6">
        <w:rPr>
          <w:color w:val="auto"/>
          <w:sz w:val="22"/>
        </w:rPr>
        <w:t xml:space="preserve">been associated with components of CNC </w:t>
      </w:r>
      <w:r w:rsidR="00C102DE" w:rsidRPr="00EC2EA6">
        <w:rPr>
          <w:color w:val="auto"/>
          <w:sz w:val="22"/>
        </w:rPr>
        <w:fldChar w:fldCharType="begin" w:fldLock="1"/>
      </w:r>
      <w:r w:rsidR="006644FA" w:rsidRPr="00EC2EA6">
        <w:rPr>
          <w:color w:val="auto"/>
          <w:sz w:val="22"/>
        </w:rPr>
        <w:instrText>ADDIN CSL_CITATION {"citationItems":[{"id":"ITEM-1","itemData":{"DOI":"10.3389/fcell.2015.00026","ISSN":"2296-634X","PMID":"26042218","abstract":"Cyclic-AMP (cAMP)-dependent protein kinase (PKA) is the main effector of cAMP signaling in all tissues. Inactivating mutations of the PRKAR1A gene, coding for the type 1A regulatory subunit of PKA, are responsible for Carney complex and primary pigmented nodular adrenocortical disease (PPNAD). PRKAR1A inactivation and PKA dysregulation have been implicated in various types of adrenocortical pathologies associated with ACTH-independent Cushing syndrome (AICS) from PPNAD to adrenocortical adenomas and cancer, and other forms of bilateral adrenocortical hyperplasias (BAH). More recently, mutations of PRKACA, the gene coding for the catalytic subunit C alpha (Cα), were also identified in the pathogenesis of adrenocortical tumors. PRKACA copy number gain was found in the germline of several patients with cortisol-producing BAH, whereas the somatic Leu206Arg (c.617A&gt;C) recurrent PRKACA mutation was found in as many as half of all adrenocortical adenomas associated with AICS. In vitro analysis demonstrated that this mutation led to constitutive Cα activity, unregulated by its main partners, the PKA regulatory subunits. In this review, we summarize the current understanding of the involvement of PRKACA in adrenocortical tumorigenesis, and our understanding of PKA's role in adrenocortical lesions. We also discuss potential therapeutic advances that can be made through targeting of PRKACA and the PKA pathway.","author":[{"dropping-particle":"","family":"Berthon","given":"Annabel S","non-dropping-particle":"","parse-names":false,"suffix":""},{"dropping-particle":"","family":"Szarek","given":"Eva","non-dropping-particle":"","parse-names":false,"suffix":""},{"dropping-particle":"","family":"Stratakis","given":"Constantine A","non-dropping-particle":"","parse-names":false,"suffix":""}],"container-title":"Frontiers in cell and developmental biology","id":"ITEM-1","issued":{"date-parts":[["2015"]]},"page":"26","title":"PRKACA: the catalytic subunit of protein kinase A and adrenocortical tumors.","type":"article-journal","volume":"3"},"uris":["http://www.mendeley.com/documents/?uuid=5fc6a0f3-0d53-4097-a4a8-39d9630b4622"]},{"id":"ITEM-2","itemData":{"DOI":"10.1056/NEJMC1309730/SUPPL_FILE/NEJMC1309730_DISCLOSURES.PDF","ISSN":"0028-4793","PMID":"24571725","abstract":"To the Editor: Beuschlein et al. report a gain of function in PRKACA, the catalytic subunit alpha (Cα) of the cyclic AMP (cAMP)-dependent protein kinase (protein kinase A [PKA]) in cortisol-producing adenomas and micronodular adrenocortical hyperplasia.(1) Micronodular adrenocortical hyperplasia is also associated with Carney complex and inactivating mutations of the PKA regulatory subunit RIα (encoded by PRKAR1A).(2),(3) We report the case of a young woman with Carney complex who presented at 19 years of age with acromegaly, pigmented spots, and myxomas (Figure 1A); she did not have Cushing's syndrome (see the Supplementary Appendix, available with the full text of . . .","author":[{"dropping-particle":"","family":"Forlino","given":"Antonella","non-dropping-particle":"","parse-names":false,"suffix":""},{"dropping-particle":"","family":"Vetro","given":"Annalisa","non-dropping-particle":"","parse-names":false,"suffix":""},{"dropping-particle":"","family":"Garavelli","given":"Livia","non-dropping-particle":"","parse-names":false,"suffix":""},{"dropping-particle":"","family":"Ciccone","given":"Roberto","non-dropping-particle":"","parse-names":false,"suffix":""},{"dropping-particle":"","family":"London","given":"Edra","non-dropping-particle":"","parse-names":false,"suffix":""},{"dropping-particle":"","family":"Stratakis","given":"Constantine A.","non-dropping-particle":"","parse-names":false,"suffix":""},{"dropping-particle":"","family":"Zuffardi","given":"Orsetta","non-dropping-particle":"","parse-names":false,"suffix":""}],"container-title":"New England Journal of Medicine","id":"ITEM-2","issue":"11","issued":{"date-parts":[["2014","3","13"]]},"page":"1065-1067","publisher":"New England Journal of Medicine (NEJM/MMS)","title":"PRKACB and Carney Complex ","type":"article-journal","volume":"370"},"uris":["http://www.mendeley.com/documents/?uuid=ca1047b0-d6ee-3e2b-8da6-d38ecdbc72a6"]}],"mendeley":{"formattedCitation":"(38,39)","plainTextFormattedCitation":"(38,39)","previouslyFormattedCitation":"(38,39)"},"properties":{"noteIndex":0},"schema":"https://github.com/citation-style-language/schema/raw/master/csl-citation.json"}</w:instrText>
      </w:r>
      <w:r w:rsidR="00C102DE" w:rsidRPr="00EC2EA6">
        <w:rPr>
          <w:color w:val="auto"/>
          <w:sz w:val="22"/>
        </w:rPr>
        <w:fldChar w:fldCharType="separate"/>
      </w:r>
      <w:r w:rsidR="006644FA" w:rsidRPr="00EC2EA6">
        <w:rPr>
          <w:noProof/>
          <w:color w:val="auto"/>
          <w:sz w:val="22"/>
        </w:rPr>
        <w:t>(38,39)</w:t>
      </w:r>
      <w:r w:rsidR="00C102DE" w:rsidRPr="00EC2EA6">
        <w:rPr>
          <w:color w:val="auto"/>
          <w:sz w:val="22"/>
        </w:rPr>
        <w:fldChar w:fldCharType="end"/>
      </w:r>
      <w:r w:rsidR="005049B5" w:rsidRPr="00EC2EA6">
        <w:rPr>
          <w:color w:val="auto"/>
          <w:sz w:val="22"/>
        </w:rPr>
        <w:t xml:space="preserve">. </w:t>
      </w:r>
      <w:r w:rsidR="00C102DE" w:rsidRPr="00EC2EA6">
        <w:rPr>
          <w:color w:val="auto"/>
          <w:sz w:val="22"/>
        </w:rPr>
        <w:t>Similarly</w:t>
      </w:r>
      <w:r w:rsidR="005049B5" w:rsidRPr="00EC2EA6">
        <w:rPr>
          <w:color w:val="auto"/>
          <w:sz w:val="22"/>
        </w:rPr>
        <w:t>, inactivating mutations of the</w:t>
      </w:r>
      <w:r w:rsidR="009A1C9C" w:rsidRPr="00EC2EA6">
        <w:rPr>
          <w:color w:val="auto"/>
          <w:sz w:val="22"/>
        </w:rPr>
        <w:t xml:space="preserve"> </w:t>
      </w:r>
      <w:r w:rsidR="005049B5" w:rsidRPr="00EC2EA6">
        <w:rPr>
          <w:color w:val="auto"/>
          <w:sz w:val="22"/>
        </w:rPr>
        <w:t>phosphodiesterase 11A (PDE11A) gene (located at 2q31.2) and PDE8B</w:t>
      </w:r>
      <w:r w:rsidR="00C102DE" w:rsidRPr="00EC2EA6">
        <w:rPr>
          <w:color w:val="auto"/>
          <w:sz w:val="22"/>
        </w:rPr>
        <w:t>, which result in augmented cAMP signaling,</w:t>
      </w:r>
      <w:r w:rsidR="005049B5" w:rsidRPr="00EC2EA6">
        <w:rPr>
          <w:color w:val="auto"/>
          <w:sz w:val="22"/>
        </w:rPr>
        <w:t xml:space="preserve"> have been</w:t>
      </w:r>
      <w:r w:rsidR="009A1C9C" w:rsidRPr="00EC2EA6">
        <w:rPr>
          <w:color w:val="auto"/>
          <w:sz w:val="22"/>
        </w:rPr>
        <w:t xml:space="preserve"> </w:t>
      </w:r>
      <w:r w:rsidR="005049B5" w:rsidRPr="00EC2EA6">
        <w:rPr>
          <w:color w:val="auto"/>
          <w:sz w:val="22"/>
        </w:rPr>
        <w:t xml:space="preserve">demonstrated in isolated PPNAD patients </w:t>
      </w:r>
      <w:r w:rsidR="00C102DE" w:rsidRPr="00EC2EA6">
        <w:rPr>
          <w:color w:val="auto"/>
          <w:sz w:val="22"/>
        </w:rPr>
        <w:fldChar w:fldCharType="begin" w:fldLock="1"/>
      </w:r>
      <w:r w:rsidR="006644FA" w:rsidRPr="00EC2EA6">
        <w:rPr>
          <w:color w:val="auto"/>
          <w:sz w:val="22"/>
        </w:rPr>
        <w:instrText>ADDIN CSL_CITATION {"citationItems":[{"id":"ITEM-1","itemData":{"DOI":"66/24/11571 [pii] 10.1158/0008-5472.CAN-06-2914","ISSN":"0008-5472 (Print) 0008-5472 (Linking)","author":[{"dropping-particle":"","family":"Horvath","given":"A","non-dropping-particle":"","parse-names":false,"suffix":""},{"dropping-particle":"","family":"Giatzakis","given":"C","non-dropping-particle":"","parse-names":false,"suffix":""},{"dropping-particle":"","family":"Robinson-White","given":"A","non-dropping-particle":"","parse-names":false,"suffix":""},{"dropping-particle":"","family":"Boikos","given":"S","non-dropping-particle":"","parse-names":false,"suffix":""},{"dropping-particle":"","family":"Levine","given":"E","non-dropping-particle":"","parse-names":false,"suffix":""},{"dropping-particle":"","family":"Griffin","given":"K","non-dropping-particle":"","parse-names":false,"suffix":""},{"dropping-particle":"","family":"Stein","given":"E","non-dropping-particle":"","parse-names":false,"suffix":""},{"dropping-particle":"","family":"Kamvissi","given":"V","non-dropping-particle":"","parse-names":false,"suffix":""},{"dropping-particle":"","family":"Soni","given":"P","non-dropping-particle":"","parse-names":false,"suffix":""},{"dropping-particle":"","family":"Bossis","given":"I","non-dropping-particle":"","parse-names":false,"suffix":""},{"dropping-particle":"","family":"Herder","given":"W","non-dropping-particle":"de","parse-names":false,"suffix":""},{"dropping-particle":"","family":"Carney","given":"J A","non-dropping-particle":"","parse-names":false,"suffix":""},{"dropping-particle":"","family":"Bertherat","given":"J","non-dropping-particle":"","parse-names":false,"suffix":""},{"dropping-particle":"","family":"Gregersen","given":"P K","non-dropping-particle":"","parse-names":false,"suffix":""},{"dropping-particle":"","family":"Remmers","given":"E F","non-dropping-particle":"","parse-names":false,"suffix":""},{"dropping-particle":"","family":"Stratakis","given":"C A","non-dropping-particle":"","parse-names":false,"suffix":""}],"container-title":"Cancer Res","id":"ITEM-1","issue":"24","issued":{"date-parts":[["2006"]]},"page":"11571-11575","title":"Adrenal hyperplasia and adenomas are associated with inhibition of phosphodiesterase 11A in carriers of PDE11A sequence variants that are frequent in the population","type":"article-journal","volume":"66"},"uris":["http://www.mendeley.com/documents/?uuid=27b16464-34f2-47cd-a342-96b922c77e2b"]},{"id":"ITEM-2","itemData":{"DOI":"10.1038/ejhg.2008.85","ISSN":"1018-4813","PMID":"18431404","abstract":"Bilateral adrenocortical hyperplasia (BAH) is the second most common cause of corticotropin-independent Cushing syndrome (CS). Genetic forms of BAH have been associated with complex syndromes such as Carney Complex and McCune-Albright syndrome or may present as isolated micronodular adrenocortical disease (iMAD) usually in children and young adults with CS. A genome-wide association study identified inactivating phosphodiesterase (PDE) 11A (PDE11A)-sequencing defects as low-penetrance predisposing factors for iMAD and related abnormalities; we also described a mutation (c.914A &gt; C/H305P) in cyclic AMP (cAMP)-specific PDE8B, in a patient with iMAD. In this study we further characterize this mutation; we also found a novel PDE8B isoform that is highly expressed in the adrenal gland. This mutation is shown to significantly affect the ability of the protein to degrade cAMP in vitro. Tumor tissues from patients with iMAD and no mutations in the coding PDE8B sequence or any other related genes (PRKAR1A, PDE11A) showed downregulated PDE8B expression (compared to normal adrenal cortex). Pde8b is detectable in the adrenal gland of newborn mice and is widely expressed in other mouse tissues. We conclude that PDE8B is another PDE gene linked to iMAD; it is a candidate causative gene for other adrenocortical lesions linked to the cAMP signaling pathway and possibly for tumors in other tissues.","author":[{"dropping-particle":"","family":"Horvath","given":"A","non-dropping-particle":"","parse-names":false,"suffix":""},{"dropping-particle":"","family":"Giatzakis","given":"Christoforos","non-dropping-particle":"","parse-names":false,"suffix":""},{"dropping-particle":"","family":"Tsang","given":"Kitman","non-dropping-particle":"","parse-names":false,"suffix":""},{"dropping-particle":"","family":"Greene","given":"Elizabeth","non-dropping-particle":"","parse-names":false,"suffix":""},{"dropping-particle":"","family":"Osorio","given":"Paulo","non-dropping-particle":"","parse-names":false,"suffix":""},{"dropping-particle":"","family":"Boikos","given":"Sosipatros","non-dropping-particle":"","parse-names":false,"suffix":""},{"dropping-particle":"","family":"Libè","given":"Rossella","non-dropping-particle":"","parse-names":false,"suffix":""},{"dropping-particle":"","family":"Patronas","given":"Yianna","non-dropping-particle":"","parse-names":false,"suffix":""},{"dropping-particle":"","family":"Robinson-White","given":"Audrey","non-dropping-particle":"","parse-names":false,"suffix":""},{"dropping-particle":"","family":"Remmers","given":"Elaine","non-dropping-particle":"","parse-names":false,"suffix":""},{"dropping-particle":"","family":"Bertherat","given":"Jerôme","non-dropping-particle":"","parse-names":false,"suffix":""},{"dropping-particle":"","family":"Nesterova","given":"Maria","non-dropping-particle":"","parse-names":false,"suffix":""},{"dropping-particle":"","family":"Stratakis","given":"Constantine A","non-dropping-particle":"","parse-names":false,"suffix":""}],"container-title":"European journal of human genetics : EJHG","id":"ITEM-2","issue":"10","issued":{"date-parts":[["2008","10"]]},"page":"1245-53","title":"A cAMP-specific phosphodiesterase (PDE8B) that is mutated in adrenal hyperplasia is expressed widely in human and mouse tissues: a novel PDE8B isoform in human adrenal cortex.","type":"article-journal","volume":"16"},"uris":["http://www.mendeley.com/documents/?uuid=2ced080e-97bd-483e-8359-6dfadab94549"]}],"mendeley":{"formattedCitation":"(40,41)","plainTextFormattedCitation":"(40,41)","previouslyFormattedCitation":"(40,41)"},"properties":{"noteIndex":0},"schema":"https://github.com/citation-style-language/schema/raw/master/csl-citation.json"}</w:instrText>
      </w:r>
      <w:r w:rsidR="00C102DE" w:rsidRPr="00EC2EA6">
        <w:rPr>
          <w:color w:val="auto"/>
          <w:sz w:val="22"/>
        </w:rPr>
        <w:fldChar w:fldCharType="separate"/>
      </w:r>
      <w:r w:rsidR="006644FA" w:rsidRPr="00EC2EA6">
        <w:rPr>
          <w:noProof/>
          <w:color w:val="auto"/>
          <w:sz w:val="22"/>
        </w:rPr>
        <w:t>(40,41)</w:t>
      </w:r>
      <w:r w:rsidR="00C102DE" w:rsidRPr="00EC2EA6">
        <w:rPr>
          <w:color w:val="auto"/>
          <w:sz w:val="22"/>
        </w:rPr>
        <w:fldChar w:fldCharType="end"/>
      </w:r>
      <w:r w:rsidR="005049B5" w:rsidRPr="00EC2EA6">
        <w:rPr>
          <w:color w:val="auto"/>
          <w:sz w:val="22"/>
        </w:rPr>
        <w:t xml:space="preserve">, </w:t>
      </w:r>
      <w:r w:rsidR="001C0F7A" w:rsidRPr="00EC2EA6">
        <w:rPr>
          <w:color w:val="auto"/>
          <w:sz w:val="22"/>
        </w:rPr>
        <w:t>while</w:t>
      </w:r>
      <w:r w:rsidR="005049B5" w:rsidRPr="00EC2EA6">
        <w:rPr>
          <w:color w:val="auto"/>
          <w:sz w:val="22"/>
        </w:rPr>
        <w:t xml:space="preserve"> CNC patients present a high frequency</w:t>
      </w:r>
      <w:r w:rsidR="009A1C9C" w:rsidRPr="00EC2EA6">
        <w:rPr>
          <w:color w:val="auto"/>
          <w:sz w:val="22"/>
        </w:rPr>
        <w:t xml:space="preserve"> </w:t>
      </w:r>
      <w:r w:rsidR="005049B5" w:rsidRPr="00EC2EA6">
        <w:rPr>
          <w:color w:val="auto"/>
          <w:sz w:val="22"/>
        </w:rPr>
        <w:t xml:space="preserve">of PDE11A sequence variants </w:t>
      </w:r>
      <w:r w:rsidR="00C102DE" w:rsidRPr="00EC2EA6">
        <w:rPr>
          <w:color w:val="auto"/>
          <w:sz w:val="22"/>
        </w:rPr>
        <w:fldChar w:fldCharType="begin" w:fldLock="1"/>
      </w:r>
      <w:r w:rsidR="006644FA" w:rsidRPr="00EC2EA6">
        <w:rPr>
          <w:color w:val="auto"/>
          <w:sz w:val="22"/>
        </w:rPr>
        <w:instrText>ADDIN CSL_CITATION {"citationItems":[{"id":"ITEM-1","itemData":{"DOI":"jc.2010-1704 [pii] 10.1210/jc.2010-1704","ISSN":"1945-7197 (Electronic) 0021-972X (Linking)","author":[{"dropping-particle":"","family":"Libe","given":"R","non-dropping-particle":"","parse-names":false,"suffix":""},{"dropping-particle":"","family":"Horvath","given":"A","non-dropping-particle":"","parse-names":false,"suffix":""},{"dropping-particle":"","family":"Vezzosi","given":"D","non-dropping-particle":"","parse-names":false,"suffix":""},{"dropping-particle":"","family":"Fratticci","given":"A","non-dropping-particle":"","parse-names":false,"suffix":""},{"dropping-particle":"","family":"Coste","given":"J","non-dropping-particle":"","parse-names":false,"suffix":""},{"dropping-particle":"","family":"Perlemoine","given":"K","non-dropping-particle":"","parse-names":false,"suffix":""},{"dropping-particle":"","family":"Ragazzon","given":"B","non-dropping-particle":"","parse-names":false,"suffix":""},{"dropping-particle":"","family":"Guillaud-Bataille","given":"M","non-dropping-particle":"","parse-names":false,"suffix":""},{"dropping-particle":"","family":"Groussin","given":"L","non-dropping-particle":"","parse-names":false,"suffix":""},{"dropping-particle":"","family":"Clauser","given":"E","non-dropping-particle":"","parse-names":false,"suffix":""},{"dropping-particle":"","family":"Raffin-Sanson","given":"M L","non-dropping-particle":"","parse-names":false,"suffix":""},{"dropping-particle":"","family":"Siegel","given":"J","non-dropping-particle":"","parse-names":false,"suffix":""},{"dropping-particle":"","family":"Moran","given":"J","non-dropping-particle":"","parse-names":false,"suffix":""},{"dropping-particle":"","family":"Drori-Herishanu","given":"L","non-dropping-particle":"","parse-names":false,"suffix":""},{"dropping-particle":"","family":"Faucz","given":"F R","non-dropping-particle":"","parse-names":false,"suffix":""},{"dropping-particle":"","family":"Lodish","given":"M","non-dropping-particle":"","parse-names":false,"suffix":""},{"dropping-particle":"","family":"Nesterova","given":"M","non-dropping-particle":"","parse-names":false,"suffix":""},{"dropping-particle":"","family":"Bertagna","given":"X","non-dropping-particle":"","parse-names":false,"suffix":""},{"dropping-particle":"","family":"Bertherat","given":"J","non-dropping-particle":"","parse-names":false,"suffix":""},{"dropping-particle":"","family":"Stratakis","given":"C A","non-dropping-particle":"","parse-names":false,"suffix":""}],"container-title":"J Clin Endocrinol Metab","id":"ITEM-1","issue":"1","issued":{"date-parts":[["2010"]]},"page":"E208-14","title":"Frequent phosphodiesterase 11A gene (PDE11A) defects in patients with Carney complex (CNC) caused by PRKAR1A mutations: PDE11A may contribute to adrenal and testicular tumors in CNC as a modifier of the phenotype","type":"article-journal","volume":"96"},"uris":["http://www.mendeley.com/documents/?uuid=8be7b88d-b3f7-49ac-9b29-edb7510d1de1"]}],"mendeley":{"formattedCitation":"(42)","plainTextFormattedCitation":"(42)","previouslyFormattedCitation":"(42)"},"properties":{"noteIndex":0},"schema":"https://github.com/citation-style-language/schema/raw/master/csl-citation.json"}</w:instrText>
      </w:r>
      <w:r w:rsidR="00C102DE" w:rsidRPr="00EC2EA6">
        <w:rPr>
          <w:color w:val="auto"/>
          <w:sz w:val="22"/>
        </w:rPr>
        <w:fldChar w:fldCharType="separate"/>
      </w:r>
      <w:r w:rsidR="006644FA" w:rsidRPr="00EC2EA6">
        <w:rPr>
          <w:noProof/>
          <w:color w:val="auto"/>
          <w:sz w:val="22"/>
        </w:rPr>
        <w:t>(42)</w:t>
      </w:r>
      <w:r w:rsidR="00C102DE" w:rsidRPr="00EC2EA6">
        <w:rPr>
          <w:color w:val="auto"/>
          <w:sz w:val="22"/>
        </w:rPr>
        <w:fldChar w:fldCharType="end"/>
      </w:r>
      <w:r w:rsidR="005049B5" w:rsidRPr="00EC2EA6">
        <w:rPr>
          <w:color w:val="auto"/>
          <w:sz w:val="22"/>
        </w:rPr>
        <w:t>.</w:t>
      </w:r>
    </w:p>
    <w:p w14:paraId="649DBD61" w14:textId="77777777" w:rsidR="009F0D82" w:rsidRPr="005F1576" w:rsidRDefault="009F0D82" w:rsidP="005F1576">
      <w:pPr>
        <w:spacing w:before="0" w:line="276" w:lineRule="auto"/>
        <w:jc w:val="left"/>
        <w:rPr>
          <w:sz w:val="22"/>
        </w:rPr>
      </w:pPr>
    </w:p>
    <w:p w14:paraId="48CC043D" w14:textId="34608822" w:rsidR="00BE1434" w:rsidRPr="005F1576" w:rsidRDefault="005049B5" w:rsidP="005F1576">
      <w:pPr>
        <w:pStyle w:val="Heading1"/>
        <w:spacing w:before="0" w:line="276" w:lineRule="auto"/>
        <w:jc w:val="left"/>
        <w:rPr>
          <w:sz w:val="22"/>
        </w:rPr>
      </w:pPr>
      <w:r w:rsidRPr="009F0D82">
        <w:rPr>
          <w:color w:val="0070C0"/>
          <w:sz w:val="22"/>
        </w:rPr>
        <w:t>GENOTYPE</w:t>
      </w:r>
      <w:r w:rsidR="009F0D82" w:rsidRPr="009F0D82">
        <w:rPr>
          <w:color w:val="0070C0"/>
          <w:sz w:val="22"/>
        </w:rPr>
        <w:t xml:space="preserve"> AND</w:t>
      </w:r>
      <w:r w:rsidRPr="009F0D82">
        <w:rPr>
          <w:color w:val="0070C0"/>
          <w:sz w:val="22"/>
        </w:rPr>
        <w:t xml:space="preserve"> PHENOTYPE CORRELATIONS</w:t>
      </w:r>
    </w:p>
    <w:p w14:paraId="7CB265F3" w14:textId="77777777" w:rsidR="009F0D82" w:rsidRDefault="009F0D82" w:rsidP="005F1576">
      <w:pPr>
        <w:spacing w:before="0" w:line="276" w:lineRule="auto"/>
        <w:jc w:val="left"/>
        <w:rPr>
          <w:b/>
          <w:bCs/>
          <w:sz w:val="22"/>
        </w:rPr>
      </w:pPr>
    </w:p>
    <w:p w14:paraId="09865D64" w14:textId="3ACD3505" w:rsidR="00BE1434" w:rsidRPr="00EC2EA6" w:rsidRDefault="009A1C9C" w:rsidP="005F1576">
      <w:pPr>
        <w:spacing w:before="0" w:line="276" w:lineRule="auto"/>
        <w:jc w:val="left"/>
        <w:rPr>
          <w:color w:val="auto"/>
          <w:sz w:val="22"/>
        </w:rPr>
      </w:pPr>
      <w:r w:rsidRPr="005F1576">
        <w:rPr>
          <w:b/>
          <w:bCs/>
          <w:sz w:val="22"/>
        </w:rPr>
        <w:t xml:space="preserve"> </w:t>
      </w:r>
      <w:r w:rsidR="005049B5" w:rsidRPr="005F1576">
        <w:rPr>
          <w:sz w:val="22"/>
        </w:rPr>
        <w:t>Efforts have been made to relate specific phenotypes to corresponding genotypes. A study analyzing 353 patients and 80 different genotypes demonstrated that individuals carrying</w:t>
      </w:r>
      <w:r w:rsidRPr="005F1576">
        <w:rPr>
          <w:sz w:val="22"/>
        </w:rPr>
        <w:t xml:space="preserve"> </w:t>
      </w:r>
      <w:r w:rsidR="005049B5" w:rsidRPr="005F1576">
        <w:rPr>
          <w:sz w:val="22"/>
        </w:rPr>
        <w:t>a PRKAR1A mutation tended to present manifestations earlier and were more likely to have</w:t>
      </w:r>
      <w:r w:rsidRPr="005F1576">
        <w:rPr>
          <w:sz w:val="22"/>
        </w:rPr>
        <w:t xml:space="preserve"> </w:t>
      </w:r>
      <w:r w:rsidR="005049B5" w:rsidRPr="005F1576">
        <w:rPr>
          <w:sz w:val="22"/>
        </w:rPr>
        <w:t>pigmentary disorders, myxomas, and thyroid as well as gonadal tumors. Mutations located in</w:t>
      </w:r>
      <w:r w:rsidRPr="005F1576">
        <w:rPr>
          <w:sz w:val="22"/>
        </w:rPr>
        <w:t xml:space="preserve"> </w:t>
      </w:r>
      <w:r w:rsidR="005049B5" w:rsidRPr="005F1576">
        <w:rPr>
          <w:sz w:val="22"/>
        </w:rPr>
        <w:t>exons were more often associated with acromegaly, myxomas, lentigines, and schwannomas</w:t>
      </w:r>
      <w:r w:rsidR="00A30ADA" w:rsidRPr="005F1576">
        <w:rPr>
          <w:sz w:val="22"/>
        </w:rPr>
        <w:t xml:space="preserve">, </w:t>
      </w:r>
      <w:r w:rsidR="00A30ADA" w:rsidRPr="005A6109">
        <w:rPr>
          <w:sz w:val="22"/>
        </w:rPr>
        <w:t>while intronic mu</w:t>
      </w:r>
      <w:r w:rsidR="00E863F2" w:rsidRPr="005A6109">
        <w:rPr>
          <w:sz w:val="22"/>
        </w:rPr>
        <w:t xml:space="preserve">tations had a less serious </w:t>
      </w:r>
      <w:r w:rsidR="00E863F2" w:rsidRPr="00EC2EA6">
        <w:rPr>
          <w:color w:val="auto"/>
          <w:sz w:val="22"/>
        </w:rPr>
        <w:t xml:space="preserve">phenotype </w:t>
      </w:r>
      <w:r w:rsidRPr="00EC2EA6">
        <w:rPr>
          <w:color w:val="auto"/>
          <w:sz w:val="22"/>
        </w:rPr>
        <w:t xml:space="preserve"> </w:t>
      </w:r>
      <w:r w:rsidR="00A30ADA" w:rsidRPr="00EC2EA6">
        <w:rPr>
          <w:color w:val="auto"/>
          <w:sz w:val="22"/>
        </w:rPr>
        <w:fldChar w:fldCharType="begin" w:fldLock="1"/>
      </w:r>
      <w:r w:rsidR="006644FA" w:rsidRPr="00EC2EA6">
        <w:rPr>
          <w:color w:val="auto"/>
          <w:sz w:val="22"/>
        </w:rPr>
        <w:instrText>ADDIN CSL_CITATION {"citationItems":[{"id":"ITEM-1","itemData":{"DOI":"jc.2008-2333 [pii] 10.1210/jc.2008-2333","ISSN":"1945-7197 (Electronic) 0021-972X (Linking)","author":[{"dropping-particle":"","family":"Bertherat","given":"J","non-dropping-particle":"","parse-names":false,"suffix":""},{"dropping-particle":"","family":"Horvath","given":"A","non-dropping-particle":"","parse-names":false,"suffix":""},{"dropping-particle":"","family":"Groussin","given":"L","non-dropping-particle":"","parse-names":false,"suffix":""},{"dropping-particle":"","family":"Grabar","given":"S","non-dropping-particle":"","parse-names":false,"suffix":""},{"dropping-particle":"","family":"Boikos","given":"S","non-dropping-particle":"","parse-names":false,"suffix":""},{"dropping-particle":"","family":"Cazabat","given":"L","non-dropping-particle":"","parse-names":false,"suffix":""},{"dropping-particle":"","family":"Libe","given":"R","non-dropping-particle":"","parse-names":false,"suffix":""},{"dropping-particle":"","family":"Rene-Corail","given":"F","non-dropping-particle":"","parse-names":false,"suffix":""},{"dropping-particle":"","family":"Stergiopoulos","given":"S","non-dropping-particle":"","parse-names":false,"suffix":""},{"dropping-particle":"","family":"Bourdeau","given":"I","non-dropping-particle":"","parse-names":false,"suffix":""},{"dropping-particle":"","family":"Bei","given":"T","non-dropping-particle":"","parse-names":false,"suffix":""},{"dropping-particle":"","family":"Clauser","given":"E","non-dropping-particle":"","parse-names":false,"suffix":""},{"dropping-particle":"","family":"Calender","given":"A","non-dropping-particle":"","parse-names":false,"suffix":""},{"dropping-particle":"","family":"Kirschner","given":"L S","non-dropping-particle":"","parse-names":false,"suffix":""},{"dropping-particle":"","family":"Bertagna","given":"X","non-dropping-particle":"","parse-names":false,"suffix":""},{"dropping-particle":"","family":"Carney","given":"J A","non-dropping-particle":"","parse-names":false,"suffix":""},{"dropping-particle":"","family":"Stratakis","given":"C A","non-dropping-particle":"","parse-names":false,"suffix":""}],"container-title":"J Clin Endocrinol Metab","id":"ITEM-1","issue":"6","issued":{"date-parts":[["2009"]]},"page":"2085-2091","title":"Mutations in regulatory subunit type 1A of cyclic adenosine 5'-monophosphate-dependent protein kinase (PRKAR1A): phenotype analysis in 353 patients and 80 different genotypes","type":"article-journal","volume":"94"},"uris":["http://www.mendeley.com/documents/?uuid=844a962d-086b-4fd7-ab0a-e49883de0d85"]}],"mendeley":{"formattedCitation":"(21)","plainTextFormattedCitation":"(21)","previouslyFormattedCitation":"(21)"},"properties":{"noteIndex":0},"schema":"https://github.com/citation-style-language/schema/raw/master/csl-citation.json"}</w:instrText>
      </w:r>
      <w:r w:rsidR="00A30ADA" w:rsidRPr="00EC2EA6">
        <w:rPr>
          <w:color w:val="auto"/>
          <w:sz w:val="22"/>
        </w:rPr>
        <w:fldChar w:fldCharType="separate"/>
      </w:r>
      <w:r w:rsidR="006644FA" w:rsidRPr="00EC2EA6">
        <w:rPr>
          <w:noProof/>
          <w:color w:val="auto"/>
          <w:sz w:val="22"/>
        </w:rPr>
        <w:t>(21)</w:t>
      </w:r>
      <w:r w:rsidR="00A30ADA" w:rsidRPr="00EC2EA6">
        <w:rPr>
          <w:color w:val="auto"/>
          <w:sz w:val="22"/>
        </w:rPr>
        <w:fldChar w:fldCharType="end"/>
      </w:r>
      <w:r w:rsidR="005049B5" w:rsidRPr="00EC2EA6">
        <w:rPr>
          <w:color w:val="auto"/>
          <w:sz w:val="22"/>
        </w:rPr>
        <w:t>.</w:t>
      </w:r>
      <w:r w:rsidRPr="00EC2EA6">
        <w:rPr>
          <w:color w:val="auto"/>
          <w:sz w:val="22"/>
        </w:rPr>
        <w:t xml:space="preserve"> </w:t>
      </w:r>
      <w:r w:rsidR="005049B5" w:rsidRPr="00EC2EA6">
        <w:rPr>
          <w:color w:val="auto"/>
          <w:sz w:val="22"/>
        </w:rPr>
        <w:t xml:space="preserve">As most </w:t>
      </w:r>
      <w:r w:rsidR="005049B5" w:rsidRPr="005F1576">
        <w:rPr>
          <w:sz w:val="22"/>
        </w:rPr>
        <w:t>of the identified PRKAR1A mutations are nonsense and lead to a lack of detectable</w:t>
      </w:r>
      <w:r w:rsidRPr="005F1576">
        <w:rPr>
          <w:sz w:val="22"/>
        </w:rPr>
        <w:t xml:space="preserve"> </w:t>
      </w:r>
      <w:r w:rsidR="005049B5" w:rsidRPr="005F1576">
        <w:rPr>
          <w:sz w:val="22"/>
        </w:rPr>
        <w:t>mutant protein due to NMD, no genotype-phenotype correlations are expected to be seen.</w:t>
      </w:r>
      <w:r w:rsidRPr="005F1576">
        <w:rPr>
          <w:sz w:val="22"/>
        </w:rPr>
        <w:t xml:space="preserve"> </w:t>
      </w:r>
      <w:r w:rsidR="005049B5" w:rsidRPr="005F1576">
        <w:rPr>
          <w:sz w:val="22"/>
        </w:rPr>
        <w:t xml:space="preserve">However, specific hot-spot mutations show some genotype-phenotype correlation, </w:t>
      </w:r>
      <w:r w:rsidR="00A30ADA" w:rsidRPr="005A6109">
        <w:rPr>
          <w:sz w:val="22"/>
        </w:rPr>
        <w:t xml:space="preserve">such as c.709-7del6, which is associated </w:t>
      </w:r>
      <w:r w:rsidR="005049B5" w:rsidRPr="005A6109">
        <w:rPr>
          <w:sz w:val="22"/>
        </w:rPr>
        <w:t xml:space="preserve">with the development of PPNAD </w:t>
      </w:r>
      <w:r w:rsidR="00A30ADA" w:rsidRPr="005A6109">
        <w:rPr>
          <w:sz w:val="22"/>
        </w:rPr>
        <w:t xml:space="preserve">and c.491-492del, which is frequently associated with cardiac </w:t>
      </w:r>
      <w:r w:rsidR="00A30ADA" w:rsidRPr="005A6109">
        <w:rPr>
          <w:sz w:val="22"/>
        </w:rPr>
        <w:lastRenderedPageBreak/>
        <w:t>myxomas, lentigines</w:t>
      </w:r>
      <w:r w:rsidR="006644FA">
        <w:rPr>
          <w:sz w:val="22"/>
        </w:rPr>
        <w:t>,</w:t>
      </w:r>
      <w:r w:rsidR="00A30ADA" w:rsidRPr="005A6109">
        <w:rPr>
          <w:sz w:val="22"/>
        </w:rPr>
        <w:t xml:space="preserve"> and thyroid </w:t>
      </w:r>
      <w:r w:rsidR="007B1CD2" w:rsidRPr="005A6109">
        <w:rPr>
          <w:sz w:val="22"/>
        </w:rPr>
        <w:t>tumors</w:t>
      </w:r>
      <w:r w:rsidR="005049B5" w:rsidRPr="005A6109">
        <w:rPr>
          <w:sz w:val="22"/>
        </w:rPr>
        <w:t>. Regarding</w:t>
      </w:r>
      <w:r w:rsidR="005049B5" w:rsidRPr="005F1576">
        <w:rPr>
          <w:sz w:val="22"/>
        </w:rPr>
        <w:t xml:space="preserve"> those few missense mutations that lead to the</w:t>
      </w:r>
      <w:r w:rsidRPr="005F1576">
        <w:rPr>
          <w:sz w:val="22"/>
        </w:rPr>
        <w:t xml:space="preserve"> </w:t>
      </w:r>
      <w:r w:rsidR="005049B5" w:rsidRPr="005F1576">
        <w:rPr>
          <w:sz w:val="22"/>
        </w:rPr>
        <w:t>expression of a mutant protein, they are related to more severe forms of CNC syndrome,</w:t>
      </w:r>
      <w:r w:rsidRPr="005F1576">
        <w:rPr>
          <w:sz w:val="22"/>
        </w:rPr>
        <w:t xml:space="preserve"> </w:t>
      </w:r>
      <w:r w:rsidR="005049B5" w:rsidRPr="005F1576">
        <w:rPr>
          <w:sz w:val="22"/>
        </w:rPr>
        <w:t>suggesting that NMD may play a protective role against the deleterious effects of mutant</w:t>
      </w:r>
      <w:r w:rsidRPr="005F1576">
        <w:rPr>
          <w:sz w:val="22"/>
        </w:rPr>
        <w:t xml:space="preserve"> </w:t>
      </w:r>
      <w:r w:rsidR="005049B5" w:rsidRPr="00EC2EA6">
        <w:rPr>
          <w:color w:val="auto"/>
          <w:sz w:val="22"/>
        </w:rPr>
        <w:t xml:space="preserve">products </w:t>
      </w:r>
      <w:r w:rsidR="00E55701" w:rsidRPr="00EC2EA6">
        <w:rPr>
          <w:color w:val="auto"/>
          <w:sz w:val="22"/>
        </w:rPr>
        <w:fldChar w:fldCharType="begin" w:fldLock="1"/>
      </w:r>
      <w:r w:rsidR="006644FA" w:rsidRPr="00EC2EA6">
        <w:rPr>
          <w:color w:val="auto"/>
          <w:sz w:val="22"/>
        </w:rPr>
        <w:instrText>ADDIN CSL_CITATION {"citationItems":[{"id":"ITEM-1","itemData":{"DOI":"10.1530/EJE-15-0209","ISBN":"0000000000000","ISSN":"0804-4643","PMID":"26928661","author":[{"dropping-particle":"","family":"Correa","given":"Ricardo","non-dropping-particle":"","parse-names":false,"suffix":""},{"dropping-particle":"","family":"Salpea","given":"Paraskevi","non-dropping-particle":"","parse-names":false,"suffix":""},{"dropping-particle":"","family":"Stratakis","given":"Constantine A","non-dropping-particle":"","parse-names":false,"suffix":""}],"container-title":"European Journal of Endocrinology","id":"ITEM-1","issue":"4","issued":{"date-parts":[["2015","10"]]},"page":"M85-M97","title":"Carney complex: an update","type":"article-journal","volume":"173"},"uris":["http://www.mendeley.com/documents/?uuid=21b7fbd1-433e-4a1b-b735-5a91fc52ff66"]}],"mendeley":{"formattedCitation":"(43)","plainTextFormattedCitation":"(43)","previouslyFormattedCitation":"(43)"},"properties":{"noteIndex":0},"schema":"https://github.com/citation-style-language/schema/raw/master/csl-citation.json"}</w:instrText>
      </w:r>
      <w:r w:rsidR="00E55701" w:rsidRPr="00EC2EA6">
        <w:rPr>
          <w:color w:val="auto"/>
          <w:sz w:val="22"/>
        </w:rPr>
        <w:fldChar w:fldCharType="separate"/>
      </w:r>
      <w:r w:rsidR="006644FA" w:rsidRPr="00EC2EA6">
        <w:rPr>
          <w:noProof/>
          <w:color w:val="auto"/>
          <w:sz w:val="22"/>
        </w:rPr>
        <w:t>(43)</w:t>
      </w:r>
      <w:r w:rsidR="00E55701" w:rsidRPr="00EC2EA6">
        <w:rPr>
          <w:color w:val="auto"/>
          <w:sz w:val="22"/>
        </w:rPr>
        <w:fldChar w:fldCharType="end"/>
      </w:r>
      <w:r w:rsidR="005049B5" w:rsidRPr="00EC2EA6">
        <w:rPr>
          <w:color w:val="auto"/>
          <w:sz w:val="22"/>
        </w:rPr>
        <w:t>.</w:t>
      </w:r>
    </w:p>
    <w:p w14:paraId="477C4086" w14:textId="77777777" w:rsidR="009F0D82" w:rsidRDefault="009F0D82" w:rsidP="005F1576">
      <w:pPr>
        <w:pStyle w:val="Heading1"/>
        <w:spacing w:before="0" w:line="276" w:lineRule="auto"/>
        <w:jc w:val="left"/>
        <w:rPr>
          <w:sz w:val="22"/>
        </w:rPr>
      </w:pPr>
    </w:p>
    <w:p w14:paraId="1F7EF278" w14:textId="07905792" w:rsidR="00BE1434" w:rsidRPr="005F1576" w:rsidRDefault="005049B5" w:rsidP="005F1576">
      <w:pPr>
        <w:pStyle w:val="Heading1"/>
        <w:spacing w:before="0" w:line="276" w:lineRule="auto"/>
        <w:jc w:val="left"/>
        <w:rPr>
          <w:sz w:val="22"/>
        </w:rPr>
      </w:pPr>
      <w:r w:rsidRPr="009F0D82">
        <w:rPr>
          <w:color w:val="0070C0"/>
          <w:sz w:val="22"/>
        </w:rPr>
        <w:t>CLINICAL MANIFESTATIONS</w:t>
      </w:r>
    </w:p>
    <w:p w14:paraId="755634B1" w14:textId="77777777" w:rsidR="009F0D82" w:rsidRDefault="009F0D82" w:rsidP="005F1576">
      <w:pPr>
        <w:spacing w:before="0" w:line="276" w:lineRule="auto"/>
        <w:jc w:val="left"/>
        <w:rPr>
          <w:b/>
          <w:bCs/>
          <w:sz w:val="22"/>
        </w:rPr>
      </w:pPr>
    </w:p>
    <w:p w14:paraId="45F80282" w14:textId="16F61B59" w:rsidR="005049B5" w:rsidRPr="005A6109" w:rsidRDefault="009A1C9C" w:rsidP="005F1576">
      <w:pPr>
        <w:spacing w:before="0" w:line="276" w:lineRule="auto"/>
        <w:jc w:val="left"/>
        <w:rPr>
          <w:color w:val="auto"/>
          <w:sz w:val="22"/>
        </w:rPr>
      </w:pPr>
      <w:r w:rsidRPr="005F1576">
        <w:rPr>
          <w:b/>
          <w:bCs/>
          <w:sz w:val="22"/>
        </w:rPr>
        <w:t xml:space="preserve"> </w:t>
      </w:r>
      <w:r w:rsidR="005049B5" w:rsidRPr="005F1576">
        <w:rPr>
          <w:sz w:val="22"/>
        </w:rPr>
        <w:t>Carney’s complex is a constellation of clinical manifestations that shows significant variability</w:t>
      </w:r>
      <w:r w:rsidRPr="005F1576">
        <w:rPr>
          <w:sz w:val="22"/>
        </w:rPr>
        <w:t xml:space="preserve"> </w:t>
      </w:r>
      <w:r w:rsidR="005049B5" w:rsidRPr="005F1576">
        <w:rPr>
          <w:sz w:val="22"/>
        </w:rPr>
        <w:t>between patients, even among members of the same family. Some of these features are quite</w:t>
      </w:r>
      <w:r w:rsidRPr="005F1576">
        <w:rPr>
          <w:sz w:val="22"/>
        </w:rPr>
        <w:t xml:space="preserve"> </w:t>
      </w:r>
      <w:r w:rsidR="005049B5" w:rsidRPr="005F1576">
        <w:rPr>
          <w:sz w:val="22"/>
        </w:rPr>
        <w:t xml:space="preserve">specific, like PPNAD, while others are not, such as thyroid nodules </w:t>
      </w:r>
      <w:r w:rsidR="005049B5" w:rsidRPr="00EC2EA6">
        <w:rPr>
          <w:color w:val="auto"/>
          <w:sz w:val="22"/>
        </w:rPr>
        <w:t xml:space="preserve">or blue nevi </w:t>
      </w:r>
      <w:r w:rsidR="00E55701" w:rsidRPr="00EC2EA6">
        <w:rPr>
          <w:color w:val="auto"/>
          <w:sz w:val="22"/>
        </w:rPr>
        <w:fldChar w:fldCharType="begin" w:fldLock="1"/>
      </w:r>
      <w:r w:rsidR="006644FA" w:rsidRPr="00EC2EA6">
        <w:rPr>
          <w:color w:val="auto"/>
          <w:sz w:val="22"/>
        </w:rPr>
        <w:instrText>ADDIN CSL_CITATION {"citationItems":[{"id":"ITEM-1","itemData":{"DOI":"10.1530/EJE-20-1120","ISSN":"0804-4643","abstract":"Described for the first time in 1985, Carney complex (CNC) is a rare dominantly inherited multiple neoplasia syndrome with almost full penetrance and characterized by both endocrine – primary pigmented nodular adrenocortical disease with Cushing’s syndrome, acromegaly and thyroid tumors – and non-endocrine manifestations such as cardiac, cutaneous and mucosal myxomas, pigmented cutaneous lesions, psammomatous melanotic schwannoma, osteochondromyxoma and a wide range of other tumours with potential malignancy. The pathophysiology of CNC is a model of dysregulation of the cAMP/PKA signalling in human diseases. As described 20 years ago, inactivating heterozygous mutations of PRKAR1A formerly known as CNC1 , encoding the regulatory subunit 1α of protein kinase A, are identified in more than 70% of the index cases, while inactivating mutations of genes encoding phosphodiesterases are found in rare and particular forms of the complex. There is at present no medical specific treatment for CNC, every confirmed or suspected CNC patient should be managed by a multi-disciplinary team according to each manifestation of the disease and offered a long-term follow-up and genetic counselling. The better knowledge that we have now of this fascinating rare disease and its genetics will help to improve patients outcome.","author":[{"dropping-particle":"","family":"Bouys","given":"Lucas","non-dropping-particle":"","parse-names":false,"suffix":""},{"dropping-particle":"","family":"Bertherat","given":"Jérôme","non-dropping-particle":"","parse-names":false,"suffix":""}],"container-title":"European Journal of Endocrinology","id":"ITEM-1","issue":"3","issued":{"date-parts":[["2021","3"]]},"page":"R99-R109","title":"MANAGEMENT OF ENDOCRINE DISEASE: Carney complex: clinical and genetic update 20 years after the identification of the CNC1 (PRKAR1A) gene","type":"article-journal","volume":"184"},"uris":["http://www.mendeley.com/documents/?uuid=753753d2-d62d-3abb-a7d0-95d6f8c284c7"]}],"mendeley":{"formattedCitation":"(1)","plainTextFormattedCitation":"(1)","previouslyFormattedCitation":"(1)"},"properties":{"noteIndex":0},"schema":"https://github.com/citation-style-language/schema/raw/master/csl-citation.json"}</w:instrText>
      </w:r>
      <w:r w:rsidR="00E55701" w:rsidRPr="00EC2EA6">
        <w:rPr>
          <w:color w:val="auto"/>
          <w:sz w:val="22"/>
        </w:rPr>
        <w:fldChar w:fldCharType="separate"/>
      </w:r>
      <w:r w:rsidR="006644FA" w:rsidRPr="00EC2EA6">
        <w:rPr>
          <w:noProof/>
          <w:color w:val="auto"/>
          <w:sz w:val="22"/>
        </w:rPr>
        <w:t>(1)</w:t>
      </w:r>
      <w:r w:rsidR="00E55701" w:rsidRPr="00EC2EA6">
        <w:rPr>
          <w:color w:val="auto"/>
          <w:sz w:val="22"/>
        </w:rPr>
        <w:fldChar w:fldCharType="end"/>
      </w:r>
      <w:r w:rsidR="005049B5" w:rsidRPr="00EC2EA6">
        <w:rPr>
          <w:color w:val="auto"/>
          <w:sz w:val="22"/>
        </w:rPr>
        <w:t>. The</w:t>
      </w:r>
      <w:r w:rsidRPr="00EC2EA6">
        <w:rPr>
          <w:color w:val="auto"/>
          <w:sz w:val="22"/>
        </w:rPr>
        <w:t xml:space="preserve"> </w:t>
      </w:r>
      <w:r w:rsidR="005049B5" w:rsidRPr="00EC2EA6">
        <w:rPr>
          <w:color w:val="auto"/>
          <w:sz w:val="22"/>
        </w:rPr>
        <w:t>maximum number of conditions reported to be present together in a single patient is five. Skin</w:t>
      </w:r>
      <w:r w:rsidRPr="00EC2EA6">
        <w:rPr>
          <w:color w:val="auto"/>
          <w:sz w:val="22"/>
        </w:rPr>
        <w:t xml:space="preserve"> </w:t>
      </w:r>
      <w:r w:rsidR="005049B5" w:rsidRPr="00EC2EA6">
        <w:rPr>
          <w:color w:val="auto"/>
          <w:sz w:val="22"/>
        </w:rPr>
        <w:t>disorders are the most common, followed by cardiac myxomas and PPNAD</w:t>
      </w:r>
      <w:r w:rsidR="00D03D68" w:rsidRPr="00EC2EA6">
        <w:rPr>
          <w:color w:val="auto"/>
          <w:sz w:val="22"/>
        </w:rPr>
        <w:t xml:space="preserve"> </w:t>
      </w:r>
      <w:r w:rsidR="00D03D68" w:rsidRPr="00EC2EA6">
        <w:rPr>
          <w:color w:val="auto"/>
          <w:sz w:val="22"/>
        </w:rPr>
        <w:fldChar w:fldCharType="begin" w:fldLock="1"/>
      </w:r>
      <w:r w:rsidR="006644FA" w:rsidRPr="00EC2EA6">
        <w:rPr>
          <w:color w:val="auto"/>
          <w:sz w:val="22"/>
        </w:rPr>
        <w:instrText>ADDIN CSL_CITATION {"citationItems":[{"id":"ITEM-1","itemData":{"ISSN":"0021-972X (Print) 0021-972X (Linking)","author":[{"dropping-particle":"","family":"Stratakis","given":"C A","non-dropping-particle":"","parse-names":false,"suffix":""},{"dropping-particle":"","family":"Kirschner","given":"L S","non-dropping-particle":"","parse-names":false,"suffix":""},{"dropping-particle":"","family":"Carney","given":"J A","non-dropping-particle":"","parse-names":false,"suffix":""}],"container-title":"J Clin Endocrinol Metab","id":"ITEM-1","issue":"9","issued":{"date-parts":[["2001"]]},"page":"4041-4046","title":"Clinical and molecular features of the Carney complex: diagnostic criteria and recommendations for patient evaluation","type":"article-journal","volume":"86"},"uris":["http://www.mendeley.com/documents/?uuid=19410673-9d33-4124-bcb6-d75d5991d45b"]},{"id":"ITEM-2","itemData":{"DOI":"10.1210/clinem/dgaa002","ISSN":"1945-7197","PMID":"31912137","abstract":"INTRODUCTION Carney Complex (CNC) is a rare multiple endocrine and nonendocrine neoplasia syndrome. Manifestations and genotype-phenotype correlations have been described by retrospective studies, but no prospective study evaluating the occurrence of the different manifestations has been available so far. METHODS This multicenter national prospective study included patients with CNC, primary pigmented nodular adrenal disease (PPNAD), or a pathogenic PRKAR1A mutation; after a full initial workup, participants were followed for 3 years with annual standardized evaluation. RESULTS The cohort included 70 patients (50 female/20 male, mean age 35.4 ± 16.7 years, 81% carrying PRKAR1A mutation). The initial investigations allowed identification of several manifestations. At the end of the 3-year follow-up, the newly diagnosed manifestations of the disease were subclinical acromegaly in 6 patients, bilateral testicular calcifications in 1 patient, and cardiac myxomas in 2 patients. Recurrences of cardiac myxomas were diagnosed in 4 patients during the 3-year follow-up study period. Asymptomatic abnormalities of the corticotroph and somatotroph axis that did not meet criteria of PPNAD and acromegaly were observed in 11.4% and 30% of the patients, respectively. Patients carrying the PRKAR1A c.709-7del6 mutation had a mild phenotype. CONCLUSION This study underlines the importance of a systematic follow-up of the CNC manifestations, especially a biannual screening for cardiac myxoma. By contrast, regular screening for the other manifestations after a first extensive workup could be spread out, leading to a lighter and more acceptable follow-up schedule for patients. These are important results for recommendations for long-term management of CNC patients.","author":[{"dropping-particle":"","family":"Espiard","given":"Stéphanie","non-dropping-particle":"","parse-names":false,"suffix":""},{"dropping-particle":"","family":"Vantyghem","given":"Marie-Christine","non-dropping-particle":"","parse-names":false,"suffix":""},{"dropping-particle":"","family":"Assié","given":"Guillaume","non-dropping-particle":"","parse-names":false,"suffix":""},{"dropping-particle":"","family":"Cardot-Bauters","given":"Catherine","non-dropping-particle":"","parse-names":false,"suffix":""},{"dropping-particle":"","family":"Raverot","given":"Gerald","non-dropping-particle":"","parse-names":false,"suffix":""},{"dropping-particle":"","family":"Brucker-Davis","given":"Françoise","non-dropping-particle":"","parse-names":false,"suffix":""},{"dropping-particle":"","family":"Archambeaud-Mouveroux","given":"Françoise","non-dropping-particle":"","parse-names":false,"suffix":""},{"dropping-particle":"","family":"Lefebvre","given":"Hervé","non-dropping-particle":"","parse-names":false,"suffix":""},{"dropping-particle":"","family":"Nunes","given":"Marie-Laure","non-dropping-particle":"","parse-names":false,"suffix":""},{"dropping-particle":"","family":"Tabarin","given":"Antoine","non-dropping-particle":"","parse-names":false,"suffix":""},{"dropping-particle":"","family":"Lienhardt","given":"Anne","non-dropping-particle":"","parse-names":false,"suffix":""},{"dropping-particle":"","family":"Chabre","given":"Olivier","non-dropping-particle":"","parse-names":false,"suffix":""},{"dropping-particle":"","family":"Houang","given":"Muriel","non-dropping-particle":"","parse-names":false,"suffix":""},{"dropping-particle":"","family":"Bottineau","given":"Muriel","non-dropping-particle":"","parse-names":false,"suffix":""},{"dropping-particle":"","family":"Stroër","given":"Sebastian","non-dropping-particle":"","parse-names":false,"suffix":""},{"dropping-particle":"","family":"Groussin","given":"Lionel","non-dropping-particle":"","parse-names":false,"suffix":""},{"dropping-particle":"","family":"Guignat","given":"Laurence","non-dropping-particle":"","parse-names":false,"suffix":""},{"dropping-particle":"","family":"Cabanes","given":"Laure","non-dropping-particle":"","parse-names":false,"suffix":""},{"dropping-particle":"","family":"Feydy","given":"Antoine","non-dropping-particle":"","parse-names":false,"suffix":""},{"dropping-particle":"","family":"Bonnet","given":"Fidéline","non-dropping-particle":"","parse-names":false,"suffix":""},{"dropping-particle":"","family":"North","given":"Marie Odile","non-dropping-particle":"","parse-names":false,"suffix":""},{"dropping-particle":"","family":"Dupin","given":"Nicolas","non-dropping-particle":"","parse-names":false,"suffix":""},{"dropping-particle":"","family":"Grabar","given":"Sophie","non-dropping-particle":"","parse-names":false,"suffix":""},{"dropping-particle":"","family":"Duboc","given":"Denis","non-dropping-particle":"","parse-names":false,"suffix":""},{"dropping-particle":"","family":"Bertherat","given":"Jérôme","non-dropping-particle":"","parse-names":false,"suffix":""}],"container-title":"The Journal of clinical endocrinology and metabolism","id":"ITEM-2","issue":"3","issued":{"date-parts":[["2020","3","1"]]},"page":"e436–e446","publisher":"Endocrine Society","title":"Frequency and Incidence of Carney Complex Manifestations: A Prospective Multicenter Study With a Three-Year Follow-Up.","type":"article-journal","volume":"105"},"uris":["http://www.mendeley.com/documents/?uuid=0d5189bf-fd56-3ff4-88e4-25934f1a6bfb"]}],"mendeley":{"formattedCitation":"(44,45)","plainTextFormattedCitation":"(44,45)","previouslyFormattedCitation":"(44,45)"},"properties":{"noteIndex":0},"schema":"https://github.com/citation-style-language/schema/raw/master/csl-citation.json"}</w:instrText>
      </w:r>
      <w:r w:rsidR="00D03D68" w:rsidRPr="00EC2EA6">
        <w:rPr>
          <w:color w:val="auto"/>
          <w:sz w:val="22"/>
        </w:rPr>
        <w:fldChar w:fldCharType="separate"/>
      </w:r>
      <w:r w:rsidR="006644FA" w:rsidRPr="00EC2EA6">
        <w:rPr>
          <w:noProof/>
          <w:color w:val="auto"/>
          <w:sz w:val="22"/>
        </w:rPr>
        <w:t>(44,45)</w:t>
      </w:r>
      <w:r w:rsidR="00D03D68" w:rsidRPr="00EC2EA6">
        <w:rPr>
          <w:color w:val="auto"/>
          <w:sz w:val="22"/>
        </w:rPr>
        <w:fldChar w:fldCharType="end"/>
      </w:r>
      <w:r w:rsidR="005049B5" w:rsidRPr="00EC2EA6">
        <w:rPr>
          <w:color w:val="auto"/>
          <w:sz w:val="22"/>
        </w:rPr>
        <w:t xml:space="preserve">. These </w:t>
      </w:r>
      <w:r w:rsidR="005049B5" w:rsidRPr="005F1576">
        <w:rPr>
          <w:sz w:val="22"/>
        </w:rPr>
        <w:t>data are</w:t>
      </w:r>
      <w:r w:rsidRPr="005F1576">
        <w:rPr>
          <w:sz w:val="22"/>
        </w:rPr>
        <w:t xml:space="preserve"> </w:t>
      </w:r>
      <w:r w:rsidR="005049B5" w:rsidRPr="005F1576">
        <w:rPr>
          <w:sz w:val="22"/>
        </w:rPr>
        <w:t xml:space="preserve">summarized in </w:t>
      </w:r>
      <w:r w:rsidR="005049B5" w:rsidRPr="005A6109">
        <w:rPr>
          <w:color w:val="auto"/>
          <w:sz w:val="22"/>
        </w:rPr>
        <w:t>Table 1.</w:t>
      </w:r>
    </w:p>
    <w:p w14:paraId="0691622D" w14:textId="77777777" w:rsidR="002422C3" w:rsidRDefault="002422C3" w:rsidP="005F1576">
      <w:pPr>
        <w:spacing w:before="0" w:line="276" w:lineRule="auto"/>
        <w:jc w:val="left"/>
        <w:rPr>
          <w:sz w:val="22"/>
        </w:rPr>
      </w:pPr>
    </w:p>
    <w:tbl>
      <w:tblPr>
        <w:tblStyle w:val="TableGrid"/>
        <w:tblW w:w="7015" w:type="dxa"/>
        <w:tblLook w:val="04A0" w:firstRow="1" w:lastRow="0" w:firstColumn="1" w:lastColumn="0" w:noHBand="0" w:noVBand="1"/>
      </w:tblPr>
      <w:tblGrid>
        <w:gridCol w:w="4045"/>
        <w:gridCol w:w="1080"/>
        <w:gridCol w:w="990"/>
        <w:gridCol w:w="900"/>
      </w:tblGrid>
      <w:tr w:rsidR="002422C3" w:rsidRPr="00D87D85" w14:paraId="5286E876" w14:textId="77777777" w:rsidTr="002422C3">
        <w:tc>
          <w:tcPr>
            <w:tcW w:w="7015" w:type="dxa"/>
            <w:gridSpan w:val="4"/>
            <w:shd w:val="clear" w:color="auto" w:fill="FFFF00"/>
          </w:tcPr>
          <w:p w14:paraId="530DC68D" w14:textId="77777777" w:rsidR="002422C3" w:rsidRPr="00D87D85" w:rsidRDefault="002422C3" w:rsidP="004369EF">
            <w:pPr>
              <w:spacing w:before="0" w:line="276" w:lineRule="auto"/>
              <w:jc w:val="left"/>
              <w:rPr>
                <w:b/>
                <w:bCs/>
                <w:sz w:val="22"/>
                <w:highlight w:val="yellow"/>
              </w:rPr>
            </w:pPr>
            <w:r w:rsidRPr="00D87D85">
              <w:rPr>
                <w:b/>
                <w:bCs/>
                <w:sz w:val="22"/>
              </w:rPr>
              <w:t>Table 1. Clinical Manifestations of CNC</w:t>
            </w:r>
          </w:p>
        </w:tc>
      </w:tr>
      <w:tr w:rsidR="002422C3" w:rsidRPr="00D87D85" w14:paraId="0D176192" w14:textId="77777777" w:rsidTr="002422C3">
        <w:tc>
          <w:tcPr>
            <w:tcW w:w="4045" w:type="dxa"/>
          </w:tcPr>
          <w:p w14:paraId="1C90DD85" w14:textId="77777777" w:rsidR="002422C3" w:rsidRPr="005A6109" w:rsidRDefault="002422C3" w:rsidP="004369EF">
            <w:pPr>
              <w:spacing w:before="0" w:line="276" w:lineRule="auto"/>
              <w:jc w:val="left"/>
              <w:rPr>
                <w:b/>
                <w:bCs/>
                <w:sz w:val="22"/>
              </w:rPr>
            </w:pPr>
          </w:p>
        </w:tc>
        <w:tc>
          <w:tcPr>
            <w:tcW w:w="1080" w:type="dxa"/>
          </w:tcPr>
          <w:p w14:paraId="7C8F0B4F" w14:textId="77777777" w:rsidR="002422C3" w:rsidRPr="005A6109" w:rsidRDefault="002422C3" w:rsidP="00983011">
            <w:pPr>
              <w:spacing w:before="0" w:line="276" w:lineRule="auto"/>
              <w:jc w:val="center"/>
              <w:rPr>
                <w:b/>
                <w:bCs/>
                <w:sz w:val="22"/>
              </w:rPr>
            </w:pPr>
            <w:r w:rsidRPr="005A6109">
              <w:rPr>
                <w:b/>
                <w:bCs/>
                <w:sz w:val="22"/>
              </w:rPr>
              <w:t>A</w:t>
            </w:r>
          </w:p>
        </w:tc>
        <w:tc>
          <w:tcPr>
            <w:tcW w:w="990" w:type="dxa"/>
          </w:tcPr>
          <w:p w14:paraId="16B1C74B" w14:textId="77777777" w:rsidR="002422C3" w:rsidRPr="005A6109" w:rsidRDefault="002422C3" w:rsidP="00983011">
            <w:pPr>
              <w:spacing w:before="0" w:line="276" w:lineRule="auto"/>
              <w:jc w:val="center"/>
              <w:rPr>
                <w:b/>
                <w:bCs/>
                <w:sz w:val="22"/>
              </w:rPr>
            </w:pPr>
            <w:r w:rsidRPr="005A6109">
              <w:rPr>
                <w:b/>
                <w:bCs/>
                <w:sz w:val="22"/>
              </w:rPr>
              <w:t>B1</w:t>
            </w:r>
          </w:p>
        </w:tc>
        <w:tc>
          <w:tcPr>
            <w:tcW w:w="900" w:type="dxa"/>
          </w:tcPr>
          <w:p w14:paraId="3D3749CF" w14:textId="77777777" w:rsidR="002422C3" w:rsidRPr="005A6109" w:rsidRDefault="002422C3" w:rsidP="00983011">
            <w:pPr>
              <w:spacing w:before="0" w:line="276" w:lineRule="auto"/>
              <w:jc w:val="center"/>
              <w:rPr>
                <w:b/>
                <w:bCs/>
                <w:sz w:val="22"/>
              </w:rPr>
            </w:pPr>
            <w:r w:rsidRPr="005A6109">
              <w:rPr>
                <w:b/>
                <w:bCs/>
                <w:sz w:val="22"/>
              </w:rPr>
              <w:t>B2</w:t>
            </w:r>
          </w:p>
        </w:tc>
      </w:tr>
      <w:tr w:rsidR="002422C3" w:rsidRPr="00D87D85" w14:paraId="5D1855D0" w14:textId="77777777" w:rsidTr="002422C3">
        <w:tc>
          <w:tcPr>
            <w:tcW w:w="4045" w:type="dxa"/>
          </w:tcPr>
          <w:p w14:paraId="5506C992" w14:textId="77777777" w:rsidR="002422C3" w:rsidRPr="005A6109" w:rsidRDefault="002422C3" w:rsidP="004369EF">
            <w:pPr>
              <w:spacing w:before="0" w:line="276" w:lineRule="auto"/>
              <w:jc w:val="left"/>
              <w:rPr>
                <w:sz w:val="22"/>
              </w:rPr>
            </w:pPr>
            <w:r w:rsidRPr="005A6109">
              <w:rPr>
                <w:sz w:val="22"/>
              </w:rPr>
              <w:t xml:space="preserve">Adrenal </w:t>
            </w:r>
          </w:p>
        </w:tc>
        <w:tc>
          <w:tcPr>
            <w:tcW w:w="1080" w:type="dxa"/>
          </w:tcPr>
          <w:p w14:paraId="006FD456" w14:textId="77777777" w:rsidR="002422C3" w:rsidRPr="005A6109" w:rsidRDefault="002422C3" w:rsidP="00983011">
            <w:pPr>
              <w:spacing w:before="0" w:line="276" w:lineRule="auto"/>
              <w:jc w:val="center"/>
              <w:rPr>
                <w:sz w:val="22"/>
              </w:rPr>
            </w:pPr>
          </w:p>
        </w:tc>
        <w:tc>
          <w:tcPr>
            <w:tcW w:w="990" w:type="dxa"/>
          </w:tcPr>
          <w:p w14:paraId="5D31A91A" w14:textId="77777777" w:rsidR="002422C3" w:rsidRPr="005A6109" w:rsidRDefault="002422C3" w:rsidP="00983011">
            <w:pPr>
              <w:spacing w:before="0" w:line="276" w:lineRule="auto"/>
              <w:jc w:val="center"/>
              <w:rPr>
                <w:sz w:val="22"/>
              </w:rPr>
            </w:pPr>
          </w:p>
        </w:tc>
        <w:tc>
          <w:tcPr>
            <w:tcW w:w="900" w:type="dxa"/>
          </w:tcPr>
          <w:p w14:paraId="55313DAF" w14:textId="77777777" w:rsidR="002422C3" w:rsidRPr="005A6109" w:rsidRDefault="002422C3" w:rsidP="00983011">
            <w:pPr>
              <w:spacing w:before="0" w:line="276" w:lineRule="auto"/>
              <w:jc w:val="center"/>
              <w:rPr>
                <w:sz w:val="22"/>
              </w:rPr>
            </w:pPr>
          </w:p>
        </w:tc>
      </w:tr>
      <w:tr w:rsidR="002422C3" w:rsidRPr="00D87D85" w14:paraId="32A3344B" w14:textId="77777777" w:rsidTr="002422C3">
        <w:tc>
          <w:tcPr>
            <w:tcW w:w="4045" w:type="dxa"/>
          </w:tcPr>
          <w:p w14:paraId="09A0F458" w14:textId="77777777" w:rsidR="002422C3" w:rsidRPr="005A6109" w:rsidRDefault="002422C3" w:rsidP="004369EF">
            <w:pPr>
              <w:pStyle w:val="ListParagraph"/>
              <w:numPr>
                <w:ilvl w:val="0"/>
                <w:numId w:val="1"/>
              </w:numPr>
              <w:spacing w:before="0" w:line="276" w:lineRule="auto"/>
              <w:ind w:left="0"/>
              <w:jc w:val="left"/>
              <w:rPr>
                <w:sz w:val="22"/>
              </w:rPr>
            </w:pPr>
            <w:r w:rsidRPr="005A6109">
              <w:rPr>
                <w:sz w:val="22"/>
              </w:rPr>
              <w:t>PPNAD</w:t>
            </w:r>
          </w:p>
        </w:tc>
        <w:tc>
          <w:tcPr>
            <w:tcW w:w="1080" w:type="dxa"/>
          </w:tcPr>
          <w:p w14:paraId="7ECA7708" w14:textId="77777777" w:rsidR="002422C3" w:rsidRPr="005A6109" w:rsidRDefault="002422C3" w:rsidP="00983011">
            <w:pPr>
              <w:spacing w:before="0" w:line="276" w:lineRule="auto"/>
              <w:jc w:val="center"/>
              <w:rPr>
                <w:sz w:val="22"/>
              </w:rPr>
            </w:pPr>
            <w:r w:rsidRPr="005A6109">
              <w:rPr>
                <w:sz w:val="22"/>
              </w:rPr>
              <w:t>26.0</w:t>
            </w:r>
          </w:p>
        </w:tc>
        <w:tc>
          <w:tcPr>
            <w:tcW w:w="990" w:type="dxa"/>
          </w:tcPr>
          <w:p w14:paraId="38456E69" w14:textId="77777777" w:rsidR="002422C3" w:rsidRPr="005A6109" w:rsidRDefault="002422C3" w:rsidP="00983011">
            <w:pPr>
              <w:spacing w:before="0" w:line="276" w:lineRule="auto"/>
              <w:jc w:val="center"/>
              <w:rPr>
                <w:sz w:val="22"/>
              </w:rPr>
            </w:pPr>
            <w:r w:rsidRPr="005A6109">
              <w:rPr>
                <w:sz w:val="22"/>
              </w:rPr>
              <w:t>54.3</w:t>
            </w:r>
          </w:p>
        </w:tc>
        <w:tc>
          <w:tcPr>
            <w:tcW w:w="900" w:type="dxa"/>
          </w:tcPr>
          <w:p w14:paraId="5AA97966" w14:textId="77777777" w:rsidR="002422C3" w:rsidRPr="005A6109" w:rsidRDefault="002422C3" w:rsidP="00983011">
            <w:pPr>
              <w:spacing w:before="0" w:line="276" w:lineRule="auto"/>
              <w:jc w:val="center"/>
              <w:rPr>
                <w:sz w:val="22"/>
              </w:rPr>
            </w:pPr>
            <w:r w:rsidRPr="005A6109">
              <w:rPr>
                <w:sz w:val="22"/>
              </w:rPr>
              <w:t>57.1</w:t>
            </w:r>
          </w:p>
        </w:tc>
      </w:tr>
      <w:tr w:rsidR="002422C3" w:rsidRPr="00D87D85" w14:paraId="15F04D8D" w14:textId="77777777" w:rsidTr="002422C3">
        <w:tc>
          <w:tcPr>
            <w:tcW w:w="4045" w:type="dxa"/>
          </w:tcPr>
          <w:p w14:paraId="3A19ECD9" w14:textId="77777777" w:rsidR="002422C3" w:rsidRPr="005A6109" w:rsidRDefault="002422C3" w:rsidP="004369EF">
            <w:pPr>
              <w:pStyle w:val="ListParagraph"/>
              <w:numPr>
                <w:ilvl w:val="0"/>
                <w:numId w:val="1"/>
              </w:numPr>
              <w:spacing w:before="0" w:line="276" w:lineRule="auto"/>
              <w:ind w:left="0"/>
              <w:jc w:val="left"/>
              <w:rPr>
                <w:sz w:val="22"/>
              </w:rPr>
            </w:pPr>
            <w:r w:rsidRPr="005A6109">
              <w:rPr>
                <w:sz w:val="22"/>
              </w:rPr>
              <w:t xml:space="preserve">Possible PPNAD </w:t>
            </w:r>
          </w:p>
        </w:tc>
        <w:tc>
          <w:tcPr>
            <w:tcW w:w="1080" w:type="dxa"/>
          </w:tcPr>
          <w:p w14:paraId="0FA0253D" w14:textId="77777777" w:rsidR="002422C3" w:rsidRPr="005A6109" w:rsidRDefault="002422C3" w:rsidP="00983011">
            <w:pPr>
              <w:spacing w:before="0" w:line="276" w:lineRule="auto"/>
              <w:jc w:val="center"/>
              <w:rPr>
                <w:sz w:val="22"/>
              </w:rPr>
            </w:pPr>
          </w:p>
        </w:tc>
        <w:tc>
          <w:tcPr>
            <w:tcW w:w="990" w:type="dxa"/>
          </w:tcPr>
          <w:p w14:paraId="0DC157ED" w14:textId="77777777" w:rsidR="002422C3" w:rsidRPr="005A6109" w:rsidRDefault="002422C3" w:rsidP="00983011">
            <w:pPr>
              <w:spacing w:before="0" w:line="276" w:lineRule="auto"/>
              <w:jc w:val="center"/>
              <w:rPr>
                <w:sz w:val="22"/>
              </w:rPr>
            </w:pPr>
          </w:p>
        </w:tc>
        <w:tc>
          <w:tcPr>
            <w:tcW w:w="900" w:type="dxa"/>
          </w:tcPr>
          <w:p w14:paraId="4D56CC81" w14:textId="77777777" w:rsidR="002422C3" w:rsidRPr="005A6109" w:rsidRDefault="002422C3" w:rsidP="00983011">
            <w:pPr>
              <w:spacing w:before="0" w:line="276" w:lineRule="auto"/>
              <w:jc w:val="center"/>
              <w:rPr>
                <w:sz w:val="22"/>
              </w:rPr>
            </w:pPr>
            <w:r w:rsidRPr="005A6109">
              <w:rPr>
                <w:sz w:val="22"/>
              </w:rPr>
              <w:t>11.4</w:t>
            </w:r>
          </w:p>
        </w:tc>
      </w:tr>
      <w:tr w:rsidR="002422C3" w:rsidRPr="00D87D85" w14:paraId="5D333C2A" w14:textId="77777777" w:rsidTr="002422C3">
        <w:tc>
          <w:tcPr>
            <w:tcW w:w="4045" w:type="dxa"/>
          </w:tcPr>
          <w:p w14:paraId="3EDBE826" w14:textId="77777777" w:rsidR="002422C3" w:rsidRPr="005A6109" w:rsidRDefault="002422C3" w:rsidP="004369EF">
            <w:pPr>
              <w:spacing w:before="0" w:line="276" w:lineRule="auto"/>
              <w:jc w:val="left"/>
              <w:rPr>
                <w:sz w:val="22"/>
              </w:rPr>
            </w:pPr>
            <w:r w:rsidRPr="005A6109">
              <w:rPr>
                <w:sz w:val="22"/>
              </w:rPr>
              <w:t>Cardiac myxoma</w:t>
            </w:r>
          </w:p>
        </w:tc>
        <w:tc>
          <w:tcPr>
            <w:tcW w:w="1080" w:type="dxa"/>
          </w:tcPr>
          <w:p w14:paraId="1565D00D" w14:textId="77777777" w:rsidR="002422C3" w:rsidRPr="005A6109" w:rsidRDefault="002422C3" w:rsidP="00983011">
            <w:pPr>
              <w:spacing w:before="0" w:line="276" w:lineRule="auto"/>
              <w:jc w:val="center"/>
              <w:rPr>
                <w:sz w:val="22"/>
              </w:rPr>
            </w:pPr>
            <w:r w:rsidRPr="005A6109">
              <w:rPr>
                <w:sz w:val="22"/>
              </w:rPr>
              <w:t>53.0</w:t>
            </w:r>
          </w:p>
        </w:tc>
        <w:tc>
          <w:tcPr>
            <w:tcW w:w="990" w:type="dxa"/>
          </w:tcPr>
          <w:p w14:paraId="7DEB38D1" w14:textId="77777777" w:rsidR="002422C3" w:rsidRPr="005A6109" w:rsidRDefault="002422C3" w:rsidP="00983011">
            <w:pPr>
              <w:spacing w:before="0" w:line="276" w:lineRule="auto"/>
              <w:jc w:val="center"/>
              <w:rPr>
                <w:sz w:val="22"/>
              </w:rPr>
            </w:pPr>
            <w:r w:rsidRPr="005A6109">
              <w:rPr>
                <w:sz w:val="22"/>
              </w:rPr>
              <w:t>18.6</w:t>
            </w:r>
          </w:p>
        </w:tc>
        <w:tc>
          <w:tcPr>
            <w:tcW w:w="900" w:type="dxa"/>
          </w:tcPr>
          <w:p w14:paraId="43EFAFAC" w14:textId="77777777" w:rsidR="002422C3" w:rsidRPr="005A6109" w:rsidRDefault="002422C3" w:rsidP="00983011">
            <w:pPr>
              <w:spacing w:before="0" w:line="276" w:lineRule="auto"/>
              <w:jc w:val="center"/>
              <w:rPr>
                <w:sz w:val="22"/>
              </w:rPr>
            </w:pPr>
            <w:r w:rsidRPr="005A6109">
              <w:rPr>
                <w:sz w:val="22"/>
              </w:rPr>
              <w:t>22.9</w:t>
            </w:r>
          </w:p>
        </w:tc>
      </w:tr>
      <w:tr w:rsidR="002422C3" w:rsidRPr="00D87D85" w14:paraId="140043CF" w14:textId="77777777" w:rsidTr="002422C3">
        <w:tc>
          <w:tcPr>
            <w:tcW w:w="4045" w:type="dxa"/>
          </w:tcPr>
          <w:p w14:paraId="1197F991" w14:textId="77777777" w:rsidR="002422C3" w:rsidRPr="005A6109" w:rsidRDefault="002422C3" w:rsidP="004369EF">
            <w:pPr>
              <w:spacing w:before="0" w:line="276" w:lineRule="auto"/>
              <w:jc w:val="left"/>
              <w:rPr>
                <w:sz w:val="22"/>
              </w:rPr>
            </w:pPr>
            <w:r w:rsidRPr="005A6109">
              <w:rPr>
                <w:sz w:val="22"/>
              </w:rPr>
              <w:t xml:space="preserve">Skin </w:t>
            </w:r>
          </w:p>
        </w:tc>
        <w:tc>
          <w:tcPr>
            <w:tcW w:w="1080" w:type="dxa"/>
          </w:tcPr>
          <w:p w14:paraId="0E4DEF25" w14:textId="77777777" w:rsidR="002422C3" w:rsidRPr="005A6109" w:rsidRDefault="002422C3" w:rsidP="00983011">
            <w:pPr>
              <w:spacing w:before="0" w:line="276" w:lineRule="auto"/>
              <w:jc w:val="center"/>
              <w:rPr>
                <w:sz w:val="22"/>
              </w:rPr>
            </w:pPr>
          </w:p>
        </w:tc>
        <w:tc>
          <w:tcPr>
            <w:tcW w:w="990" w:type="dxa"/>
          </w:tcPr>
          <w:p w14:paraId="5EDC0C25" w14:textId="77777777" w:rsidR="002422C3" w:rsidRPr="005A6109" w:rsidRDefault="002422C3" w:rsidP="00983011">
            <w:pPr>
              <w:spacing w:before="0" w:line="276" w:lineRule="auto"/>
              <w:jc w:val="center"/>
              <w:rPr>
                <w:sz w:val="22"/>
              </w:rPr>
            </w:pPr>
            <w:r w:rsidRPr="005A6109">
              <w:rPr>
                <w:sz w:val="22"/>
              </w:rPr>
              <w:t>37.1</w:t>
            </w:r>
          </w:p>
        </w:tc>
        <w:tc>
          <w:tcPr>
            <w:tcW w:w="900" w:type="dxa"/>
          </w:tcPr>
          <w:p w14:paraId="3ACAE000" w14:textId="77777777" w:rsidR="002422C3" w:rsidRPr="005A6109" w:rsidRDefault="002422C3" w:rsidP="00983011">
            <w:pPr>
              <w:spacing w:before="0" w:line="276" w:lineRule="auto"/>
              <w:jc w:val="center"/>
              <w:rPr>
                <w:sz w:val="22"/>
              </w:rPr>
            </w:pPr>
            <w:r w:rsidRPr="005A6109">
              <w:rPr>
                <w:sz w:val="22"/>
              </w:rPr>
              <w:t>60.0</w:t>
            </w:r>
          </w:p>
        </w:tc>
      </w:tr>
      <w:tr w:rsidR="002422C3" w:rsidRPr="00D87D85" w14:paraId="104E279C" w14:textId="77777777" w:rsidTr="002422C3">
        <w:tc>
          <w:tcPr>
            <w:tcW w:w="4045" w:type="dxa"/>
          </w:tcPr>
          <w:p w14:paraId="69360D93" w14:textId="77777777" w:rsidR="002422C3" w:rsidRPr="005A6109" w:rsidRDefault="002422C3" w:rsidP="004369EF">
            <w:pPr>
              <w:pStyle w:val="ListParagraph"/>
              <w:numPr>
                <w:ilvl w:val="0"/>
                <w:numId w:val="1"/>
              </w:numPr>
              <w:spacing w:before="0" w:line="276" w:lineRule="auto"/>
              <w:ind w:left="0"/>
              <w:jc w:val="left"/>
              <w:rPr>
                <w:sz w:val="22"/>
              </w:rPr>
            </w:pPr>
            <w:r w:rsidRPr="005A6109">
              <w:rPr>
                <w:sz w:val="22"/>
              </w:rPr>
              <w:t>Lentigines</w:t>
            </w:r>
          </w:p>
        </w:tc>
        <w:tc>
          <w:tcPr>
            <w:tcW w:w="1080" w:type="dxa"/>
          </w:tcPr>
          <w:p w14:paraId="59B3B524" w14:textId="77777777" w:rsidR="002422C3" w:rsidRPr="005A6109" w:rsidRDefault="002422C3" w:rsidP="00983011">
            <w:pPr>
              <w:spacing w:before="0" w:line="276" w:lineRule="auto"/>
              <w:jc w:val="center"/>
              <w:rPr>
                <w:sz w:val="22"/>
              </w:rPr>
            </w:pPr>
            <w:r w:rsidRPr="005A6109">
              <w:rPr>
                <w:sz w:val="22"/>
              </w:rPr>
              <w:t>77.0</w:t>
            </w:r>
          </w:p>
        </w:tc>
        <w:tc>
          <w:tcPr>
            <w:tcW w:w="990" w:type="dxa"/>
          </w:tcPr>
          <w:p w14:paraId="5E38FFC4" w14:textId="77777777" w:rsidR="002422C3" w:rsidRPr="005A6109" w:rsidRDefault="002422C3" w:rsidP="00983011">
            <w:pPr>
              <w:spacing w:before="0" w:line="276" w:lineRule="auto"/>
              <w:jc w:val="center"/>
              <w:rPr>
                <w:sz w:val="22"/>
              </w:rPr>
            </w:pPr>
            <w:r w:rsidRPr="005A6109">
              <w:rPr>
                <w:sz w:val="22"/>
              </w:rPr>
              <w:t>30.0</w:t>
            </w:r>
          </w:p>
        </w:tc>
        <w:tc>
          <w:tcPr>
            <w:tcW w:w="900" w:type="dxa"/>
          </w:tcPr>
          <w:p w14:paraId="4BB8EC4D" w14:textId="77777777" w:rsidR="002422C3" w:rsidRPr="005A6109" w:rsidRDefault="002422C3" w:rsidP="00983011">
            <w:pPr>
              <w:spacing w:before="0" w:line="276" w:lineRule="auto"/>
              <w:jc w:val="center"/>
              <w:rPr>
                <w:sz w:val="22"/>
              </w:rPr>
            </w:pPr>
            <w:r w:rsidRPr="005A6109">
              <w:rPr>
                <w:sz w:val="22"/>
              </w:rPr>
              <w:t>55.7</w:t>
            </w:r>
          </w:p>
        </w:tc>
      </w:tr>
      <w:tr w:rsidR="002422C3" w:rsidRPr="00D87D85" w14:paraId="2DF756EA" w14:textId="77777777" w:rsidTr="002422C3">
        <w:tc>
          <w:tcPr>
            <w:tcW w:w="4045" w:type="dxa"/>
          </w:tcPr>
          <w:p w14:paraId="215232C9" w14:textId="77777777" w:rsidR="002422C3" w:rsidRPr="005A6109" w:rsidRDefault="002422C3" w:rsidP="004369EF">
            <w:pPr>
              <w:pStyle w:val="ListParagraph"/>
              <w:numPr>
                <w:ilvl w:val="0"/>
                <w:numId w:val="1"/>
              </w:numPr>
              <w:spacing w:before="0" w:line="276" w:lineRule="auto"/>
              <w:ind w:left="0"/>
              <w:jc w:val="left"/>
              <w:rPr>
                <w:sz w:val="22"/>
              </w:rPr>
            </w:pPr>
            <w:r w:rsidRPr="005A6109">
              <w:rPr>
                <w:sz w:val="22"/>
              </w:rPr>
              <w:t xml:space="preserve">Skin myxomas </w:t>
            </w:r>
          </w:p>
        </w:tc>
        <w:tc>
          <w:tcPr>
            <w:tcW w:w="1080" w:type="dxa"/>
          </w:tcPr>
          <w:p w14:paraId="69731BD0" w14:textId="77777777" w:rsidR="002422C3" w:rsidRPr="005A6109" w:rsidRDefault="002422C3" w:rsidP="00983011">
            <w:pPr>
              <w:spacing w:before="0" w:line="276" w:lineRule="auto"/>
              <w:jc w:val="center"/>
              <w:rPr>
                <w:sz w:val="22"/>
              </w:rPr>
            </w:pPr>
            <w:r w:rsidRPr="005A6109">
              <w:rPr>
                <w:sz w:val="22"/>
              </w:rPr>
              <w:t>33.0</w:t>
            </w:r>
          </w:p>
        </w:tc>
        <w:tc>
          <w:tcPr>
            <w:tcW w:w="990" w:type="dxa"/>
          </w:tcPr>
          <w:p w14:paraId="7FFEEFBF" w14:textId="77777777" w:rsidR="002422C3" w:rsidRPr="005A6109" w:rsidRDefault="002422C3" w:rsidP="00983011">
            <w:pPr>
              <w:spacing w:before="0" w:line="276" w:lineRule="auto"/>
              <w:jc w:val="center"/>
              <w:rPr>
                <w:sz w:val="22"/>
              </w:rPr>
            </w:pPr>
            <w:r w:rsidRPr="005A6109">
              <w:rPr>
                <w:sz w:val="22"/>
              </w:rPr>
              <w:t>14.3</w:t>
            </w:r>
          </w:p>
        </w:tc>
        <w:tc>
          <w:tcPr>
            <w:tcW w:w="900" w:type="dxa"/>
          </w:tcPr>
          <w:p w14:paraId="724075E2" w14:textId="77777777" w:rsidR="002422C3" w:rsidRPr="005A6109" w:rsidRDefault="002422C3" w:rsidP="00983011">
            <w:pPr>
              <w:spacing w:before="0" w:line="276" w:lineRule="auto"/>
              <w:jc w:val="center"/>
              <w:rPr>
                <w:sz w:val="22"/>
              </w:rPr>
            </w:pPr>
            <w:r w:rsidRPr="005A6109">
              <w:rPr>
                <w:sz w:val="22"/>
              </w:rPr>
              <w:t>20.0</w:t>
            </w:r>
          </w:p>
        </w:tc>
      </w:tr>
      <w:tr w:rsidR="002422C3" w:rsidRPr="00D87D85" w14:paraId="0446E9F0" w14:textId="77777777" w:rsidTr="002422C3">
        <w:tc>
          <w:tcPr>
            <w:tcW w:w="4045" w:type="dxa"/>
          </w:tcPr>
          <w:p w14:paraId="04CE1392" w14:textId="77777777" w:rsidR="002422C3" w:rsidRPr="005A6109" w:rsidRDefault="002422C3" w:rsidP="004369EF">
            <w:pPr>
              <w:pStyle w:val="ListParagraph"/>
              <w:numPr>
                <w:ilvl w:val="0"/>
                <w:numId w:val="1"/>
              </w:numPr>
              <w:spacing w:before="0" w:line="276" w:lineRule="auto"/>
              <w:ind w:left="0"/>
              <w:jc w:val="left"/>
              <w:rPr>
                <w:sz w:val="22"/>
              </w:rPr>
            </w:pPr>
            <w:r w:rsidRPr="005A6109">
              <w:rPr>
                <w:sz w:val="22"/>
              </w:rPr>
              <w:t>Blue nevi</w:t>
            </w:r>
          </w:p>
        </w:tc>
        <w:tc>
          <w:tcPr>
            <w:tcW w:w="1080" w:type="dxa"/>
          </w:tcPr>
          <w:p w14:paraId="70D1833B" w14:textId="77777777" w:rsidR="002422C3" w:rsidRPr="005A6109" w:rsidRDefault="002422C3" w:rsidP="00983011">
            <w:pPr>
              <w:spacing w:before="0" w:line="276" w:lineRule="auto"/>
              <w:jc w:val="center"/>
              <w:rPr>
                <w:sz w:val="22"/>
              </w:rPr>
            </w:pPr>
          </w:p>
        </w:tc>
        <w:tc>
          <w:tcPr>
            <w:tcW w:w="990" w:type="dxa"/>
          </w:tcPr>
          <w:p w14:paraId="30A45B4E" w14:textId="77777777" w:rsidR="002422C3" w:rsidRPr="005A6109" w:rsidRDefault="002422C3" w:rsidP="00983011">
            <w:pPr>
              <w:spacing w:before="0" w:line="276" w:lineRule="auto"/>
              <w:jc w:val="center"/>
              <w:rPr>
                <w:sz w:val="22"/>
              </w:rPr>
            </w:pPr>
            <w:r w:rsidRPr="005A6109">
              <w:rPr>
                <w:sz w:val="22"/>
              </w:rPr>
              <w:t>11.4</w:t>
            </w:r>
          </w:p>
        </w:tc>
        <w:tc>
          <w:tcPr>
            <w:tcW w:w="900" w:type="dxa"/>
          </w:tcPr>
          <w:p w14:paraId="2C4F9654" w14:textId="77777777" w:rsidR="002422C3" w:rsidRPr="005A6109" w:rsidRDefault="002422C3" w:rsidP="00983011">
            <w:pPr>
              <w:spacing w:before="0" w:line="276" w:lineRule="auto"/>
              <w:jc w:val="center"/>
              <w:rPr>
                <w:sz w:val="22"/>
              </w:rPr>
            </w:pPr>
            <w:r w:rsidRPr="005A6109">
              <w:rPr>
                <w:sz w:val="22"/>
              </w:rPr>
              <w:t>17.1</w:t>
            </w:r>
          </w:p>
        </w:tc>
      </w:tr>
      <w:tr w:rsidR="002422C3" w:rsidRPr="00D87D85" w14:paraId="575A07C5" w14:textId="77777777" w:rsidTr="002422C3">
        <w:tc>
          <w:tcPr>
            <w:tcW w:w="4045" w:type="dxa"/>
          </w:tcPr>
          <w:p w14:paraId="2F89525D" w14:textId="77777777" w:rsidR="002422C3" w:rsidRPr="005A6109" w:rsidRDefault="002422C3" w:rsidP="004369EF">
            <w:pPr>
              <w:spacing w:before="0" w:line="276" w:lineRule="auto"/>
              <w:jc w:val="left"/>
              <w:rPr>
                <w:sz w:val="22"/>
              </w:rPr>
            </w:pPr>
            <w:r w:rsidRPr="005A6109">
              <w:rPr>
                <w:sz w:val="22"/>
              </w:rPr>
              <w:t>Pituitary</w:t>
            </w:r>
          </w:p>
        </w:tc>
        <w:tc>
          <w:tcPr>
            <w:tcW w:w="1080" w:type="dxa"/>
          </w:tcPr>
          <w:p w14:paraId="422979C6" w14:textId="77777777" w:rsidR="002422C3" w:rsidRPr="005A6109" w:rsidRDefault="002422C3" w:rsidP="00983011">
            <w:pPr>
              <w:spacing w:before="0" w:line="276" w:lineRule="auto"/>
              <w:jc w:val="center"/>
              <w:rPr>
                <w:sz w:val="22"/>
              </w:rPr>
            </w:pPr>
          </w:p>
        </w:tc>
        <w:tc>
          <w:tcPr>
            <w:tcW w:w="990" w:type="dxa"/>
          </w:tcPr>
          <w:p w14:paraId="4C317F6A" w14:textId="77777777" w:rsidR="002422C3" w:rsidRPr="005A6109" w:rsidRDefault="002422C3" w:rsidP="00983011">
            <w:pPr>
              <w:spacing w:before="0" w:line="276" w:lineRule="auto"/>
              <w:jc w:val="center"/>
              <w:rPr>
                <w:sz w:val="22"/>
              </w:rPr>
            </w:pPr>
          </w:p>
        </w:tc>
        <w:tc>
          <w:tcPr>
            <w:tcW w:w="900" w:type="dxa"/>
          </w:tcPr>
          <w:p w14:paraId="21F1E139" w14:textId="77777777" w:rsidR="002422C3" w:rsidRPr="005A6109" w:rsidRDefault="002422C3" w:rsidP="00983011">
            <w:pPr>
              <w:spacing w:before="0" w:line="276" w:lineRule="auto"/>
              <w:jc w:val="center"/>
              <w:rPr>
                <w:sz w:val="22"/>
              </w:rPr>
            </w:pPr>
          </w:p>
        </w:tc>
      </w:tr>
      <w:tr w:rsidR="002422C3" w:rsidRPr="00D87D85" w14:paraId="7C2DEBCC" w14:textId="77777777" w:rsidTr="002422C3">
        <w:tc>
          <w:tcPr>
            <w:tcW w:w="4045" w:type="dxa"/>
          </w:tcPr>
          <w:p w14:paraId="33E8F605" w14:textId="77777777" w:rsidR="002422C3" w:rsidRPr="005A6109" w:rsidRDefault="002422C3" w:rsidP="004369EF">
            <w:pPr>
              <w:pStyle w:val="ListParagraph"/>
              <w:numPr>
                <w:ilvl w:val="0"/>
                <w:numId w:val="1"/>
              </w:numPr>
              <w:spacing w:before="0" w:line="276" w:lineRule="auto"/>
              <w:ind w:left="0"/>
              <w:jc w:val="left"/>
              <w:rPr>
                <w:sz w:val="22"/>
              </w:rPr>
            </w:pPr>
            <w:r w:rsidRPr="005A6109">
              <w:rPr>
                <w:sz w:val="22"/>
              </w:rPr>
              <w:t xml:space="preserve">Certain </w:t>
            </w:r>
            <w:proofErr w:type="spellStart"/>
            <w:r w:rsidRPr="005A6109">
              <w:rPr>
                <w:sz w:val="22"/>
              </w:rPr>
              <w:t>hypersomatotropism</w:t>
            </w:r>
            <w:proofErr w:type="spellEnd"/>
            <w:r w:rsidRPr="005A6109">
              <w:rPr>
                <w:sz w:val="22"/>
              </w:rPr>
              <w:t xml:space="preserve"> </w:t>
            </w:r>
          </w:p>
        </w:tc>
        <w:tc>
          <w:tcPr>
            <w:tcW w:w="1080" w:type="dxa"/>
          </w:tcPr>
          <w:p w14:paraId="0B32F569" w14:textId="77777777" w:rsidR="002422C3" w:rsidRPr="005A6109" w:rsidRDefault="002422C3" w:rsidP="00983011">
            <w:pPr>
              <w:spacing w:before="0" w:line="276" w:lineRule="auto"/>
              <w:jc w:val="center"/>
              <w:rPr>
                <w:sz w:val="22"/>
              </w:rPr>
            </w:pPr>
            <w:r w:rsidRPr="005A6109">
              <w:rPr>
                <w:sz w:val="22"/>
              </w:rPr>
              <w:t>10.0</w:t>
            </w:r>
          </w:p>
        </w:tc>
        <w:tc>
          <w:tcPr>
            <w:tcW w:w="990" w:type="dxa"/>
          </w:tcPr>
          <w:p w14:paraId="3CFD7D95" w14:textId="77777777" w:rsidR="002422C3" w:rsidRPr="005A6109" w:rsidRDefault="002422C3" w:rsidP="00983011">
            <w:pPr>
              <w:spacing w:before="0" w:line="276" w:lineRule="auto"/>
              <w:jc w:val="center"/>
              <w:rPr>
                <w:sz w:val="22"/>
              </w:rPr>
            </w:pPr>
            <w:r w:rsidRPr="005A6109">
              <w:rPr>
                <w:sz w:val="22"/>
              </w:rPr>
              <w:t>8.6</w:t>
            </w:r>
          </w:p>
        </w:tc>
        <w:tc>
          <w:tcPr>
            <w:tcW w:w="900" w:type="dxa"/>
          </w:tcPr>
          <w:p w14:paraId="63C79F0F" w14:textId="77777777" w:rsidR="002422C3" w:rsidRPr="005A6109" w:rsidRDefault="002422C3" w:rsidP="00983011">
            <w:pPr>
              <w:spacing w:before="0" w:line="276" w:lineRule="auto"/>
              <w:jc w:val="center"/>
              <w:rPr>
                <w:sz w:val="22"/>
              </w:rPr>
            </w:pPr>
            <w:r w:rsidRPr="005A6109">
              <w:rPr>
                <w:sz w:val="22"/>
              </w:rPr>
              <w:t>18.6</w:t>
            </w:r>
          </w:p>
        </w:tc>
      </w:tr>
      <w:tr w:rsidR="002422C3" w:rsidRPr="00D87D85" w14:paraId="13DFA75A" w14:textId="77777777" w:rsidTr="002422C3">
        <w:tc>
          <w:tcPr>
            <w:tcW w:w="4045" w:type="dxa"/>
          </w:tcPr>
          <w:p w14:paraId="08BBD9CA" w14:textId="77777777" w:rsidR="002422C3" w:rsidRPr="005A6109" w:rsidRDefault="002422C3" w:rsidP="004369EF">
            <w:pPr>
              <w:pStyle w:val="ListParagraph"/>
              <w:numPr>
                <w:ilvl w:val="0"/>
                <w:numId w:val="1"/>
              </w:numPr>
              <w:spacing w:before="0" w:line="276" w:lineRule="auto"/>
              <w:ind w:left="0"/>
              <w:jc w:val="left"/>
              <w:rPr>
                <w:sz w:val="22"/>
              </w:rPr>
            </w:pPr>
            <w:r w:rsidRPr="005A6109">
              <w:rPr>
                <w:sz w:val="22"/>
              </w:rPr>
              <w:t xml:space="preserve">Possible </w:t>
            </w:r>
            <w:proofErr w:type="spellStart"/>
            <w:r w:rsidRPr="005A6109">
              <w:rPr>
                <w:sz w:val="22"/>
              </w:rPr>
              <w:t>hypersomatotropism</w:t>
            </w:r>
            <w:proofErr w:type="spellEnd"/>
          </w:p>
        </w:tc>
        <w:tc>
          <w:tcPr>
            <w:tcW w:w="1080" w:type="dxa"/>
          </w:tcPr>
          <w:p w14:paraId="299EC46B" w14:textId="77777777" w:rsidR="002422C3" w:rsidRPr="005A6109" w:rsidRDefault="002422C3" w:rsidP="00983011">
            <w:pPr>
              <w:spacing w:before="0" w:line="276" w:lineRule="auto"/>
              <w:jc w:val="center"/>
              <w:rPr>
                <w:sz w:val="22"/>
              </w:rPr>
            </w:pPr>
          </w:p>
        </w:tc>
        <w:tc>
          <w:tcPr>
            <w:tcW w:w="990" w:type="dxa"/>
          </w:tcPr>
          <w:p w14:paraId="4AE212E3" w14:textId="77777777" w:rsidR="002422C3" w:rsidRPr="005A6109" w:rsidRDefault="002422C3" w:rsidP="00983011">
            <w:pPr>
              <w:spacing w:before="0" w:line="276" w:lineRule="auto"/>
              <w:jc w:val="center"/>
              <w:rPr>
                <w:sz w:val="22"/>
              </w:rPr>
            </w:pPr>
            <w:r w:rsidRPr="005A6109">
              <w:rPr>
                <w:sz w:val="22"/>
              </w:rPr>
              <w:t>-</w:t>
            </w:r>
          </w:p>
        </w:tc>
        <w:tc>
          <w:tcPr>
            <w:tcW w:w="900" w:type="dxa"/>
          </w:tcPr>
          <w:p w14:paraId="5DFB7C62" w14:textId="77777777" w:rsidR="002422C3" w:rsidRPr="005A6109" w:rsidRDefault="002422C3" w:rsidP="00983011">
            <w:pPr>
              <w:spacing w:before="0" w:line="276" w:lineRule="auto"/>
              <w:jc w:val="center"/>
              <w:rPr>
                <w:sz w:val="22"/>
              </w:rPr>
            </w:pPr>
            <w:r w:rsidRPr="005A6109">
              <w:rPr>
                <w:sz w:val="22"/>
              </w:rPr>
              <w:t>30.0</w:t>
            </w:r>
          </w:p>
        </w:tc>
      </w:tr>
      <w:tr w:rsidR="002422C3" w:rsidRPr="00D87D85" w14:paraId="505EC168" w14:textId="77777777" w:rsidTr="002422C3">
        <w:tc>
          <w:tcPr>
            <w:tcW w:w="4045" w:type="dxa"/>
          </w:tcPr>
          <w:p w14:paraId="0623E2D1" w14:textId="77777777" w:rsidR="002422C3" w:rsidRPr="005A6109" w:rsidRDefault="002422C3" w:rsidP="004369EF">
            <w:pPr>
              <w:spacing w:before="0" w:line="276" w:lineRule="auto"/>
              <w:jc w:val="left"/>
              <w:rPr>
                <w:sz w:val="22"/>
              </w:rPr>
            </w:pPr>
            <w:r w:rsidRPr="005A6109">
              <w:rPr>
                <w:sz w:val="22"/>
              </w:rPr>
              <w:t xml:space="preserve">Multiple thyroid nodules or carcinoma </w:t>
            </w:r>
          </w:p>
        </w:tc>
        <w:tc>
          <w:tcPr>
            <w:tcW w:w="1080" w:type="dxa"/>
          </w:tcPr>
          <w:p w14:paraId="29C12B77" w14:textId="77777777" w:rsidR="002422C3" w:rsidRPr="005A6109" w:rsidRDefault="002422C3" w:rsidP="00983011">
            <w:pPr>
              <w:spacing w:before="0" w:line="276" w:lineRule="auto"/>
              <w:jc w:val="center"/>
              <w:rPr>
                <w:sz w:val="22"/>
              </w:rPr>
            </w:pPr>
            <w:r w:rsidRPr="005A6109">
              <w:rPr>
                <w:sz w:val="22"/>
              </w:rPr>
              <w:t>5.0</w:t>
            </w:r>
          </w:p>
        </w:tc>
        <w:tc>
          <w:tcPr>
            <w:tcW w:w="990" w:type="dxa"/>
          </w:tcPr>
          <w:p w14:paraId="72AD4F44" w14:textId="77777777" w:rsidR="002422C3" w:rsidRPr="005A6109" w:rsidRDefault="002422C3" w:rsidP="00983011">
            <w:pPr>
              <w:spacing w:before="0" w:line="276" w:lineRule="auto"/>
              <w:jc w:val="center"/>
              <w:rPr>
                <w:sz w:val="22"/>
              </w:rPr>
            </w:pPr>
            <w:r w:rsidRPr="005A6109">
              <w:rPr>
                <w:sz w:val="22"/>
              </w:rPr>
              <w:t>7.1</w:t>
            </w:r>
          </w:p>
        </w:tc>
        <w:tc>
          <w:tcPr>
            <w:tcW w:w="900" w:type="dxa"/>
          </w:tcPr>
          <w:p w14:paraId="7DC6D823" w14:textId="77777777" w:rsidR="002422C3" w:rsidRPr="005A6109" w:rsidRDefault="002422C3" w:rsidP="00983011">
            <w:pPr>
              <w:spacing w:before="0" w:line="276" w:lineRule="auto"/>
              <w:jc w:val="center"/>
              <w:rPr>
                <w:sz w:val="22"/>
              </w:rPr>
            </w:pPr>
            <w:r w:rsidRPr="005A6109">
              <w:rPr>
                <w:sz w:val="22"/>
              </w:rPr>
              <w:t>11.4</w:t>
            </w:r>
          </w:p>
        </w:tc>
      </w:tr>
      <w:tr w:rsidR="002422C3" w:rsidRPr="00D87D85" w14:paraId="70A74ED5" w14:textId="77777777" w:rsidTr="002422C3">
        <w:tc>
          <w:tcPr>
            <w:tcW w:w="4045" w:type="dxa"/>
          </w:tcPr>
          <w:p w14:paraId="5E2E9503" w14:textId="77777777" w:rsidR="002422C3" w:rsidRPr="005A6109" w:rsidRDefault="002422C3" w:rsidP="004369EF">
            <w:pPr>
              <w:spacing w:before="0" w:line="276" w:lineRule="auto"/>
              <w:jc w:val="left"/>
              <w:rPr>
                <w:sz w:val="22"/>
              </w:rPr>
            </w:pPr>
            <w:r w:rsidRPr="005A6109">
              <w:rPr>
                <w:sz w:val="22"/>
              </w:rPr>
              <w:t>Testicular calcifications/LCCST</w:t>
            </w:r>
          </w:p>
        </w:tc>
        <w:tc>
          <w:tcPr>
            <w:tcW w:w="1080" w:type="dxa"/>
          </w:tcPr>
          <w:p w14:paraId="3C1772F3" w14:textId="77777777" w:rsidR="002422C3" w:rsidRPr="005A6109" w:rsidRDefault="002422C3" w:rsidP="00983011">
            <w:pPr>
              <w:spacing w:before="0" w:line="276" w:lineRule="auto"/>
              <w:jc w:val="center"/>
              <w:rPr>
                <w:sz w:val="22"/>
              </w:rPr>
            </w:pPr>
            <w:r w:rsidRPr="005A6109">
              <w:rPr>
                <w:sz w:val="22"/>
              </w:rPr>
              <w:t>33.0</w:t>
            </w:r>
          </w:p>
        </w:tc>
        <w:tc>
          <w:tcPr>
            <w:tcW w:w="990" w:type="dxa"/>
          </w:tcPr>
          <w:p w14:paraId="6AA1AC77" w14:textId="77777777" w:rsidR="002422C3" w:rsidRPr="005A6109" w:rsidRDefault="002422C3" w:rsidP="00983011">
            <w:pPr>
              <w:spacing w:before="0" w:line="276" w:lineRule="auto"/>
              <w:jc w:val="center"/>
              <w:rPr>
                <w:sz w:val="22"/>
              </w:rPr>
            </w:pPr>
            <w:r w:rsidRPr="005A6109">
              <w:rPr>
                <w:sz w:val="22"/>
              </w:rPr>
              <w:t>20.0</w:t>
            </w:r>
          </w:p>
        </w:tc>
        <w:tc>
          <w:tcPr>
            <w:tcW w:w="900" w:type="dxa"/>
          </w:tcPr>
          <w:p w14:paraId="5762496A" w14:textId="77777777" w:rsidR="002422C3" w:rsidRPr="005A6109" w:rsidRDefault="002422C3" w:rsidP="00983011">
            <w:pPr>
              <w:spacing w:before="0" w:line="276" w:lineRule="auto"/>
              <w:jc w:val="center"/>
              <w:rPr>
                <w:sz w:val="22"/>
              </w:rPr>
            </w:pPr>
            <w:r w:rsidRPr="005A6109">
              <w:rPr>
                <w:sz w:val="22"/>
              </w:rPr>
              <w:t>35.0</w:t>
            </w:r>
          </w:p>
        </w:tc>
      </w:tr>
      <w:tr w:rsidR="002422C3" w:rsidRPr="00D87D85" w14:paraId="6E2E7BF6" w14:textId="77777777" w:rsidTr="002422C3">
        <w:tc>
          <w:tcPr>
            <w:tcW w:w="4045" w:type="dxa"/>
          </w:tcPr>
          <w:p w14:paraId="5D882DB9" w14:textId="77777777" w:rsidR="002422C3" w:rsidRPr="005A6109" w:rsidRDefault="002422C3" w:rsidP="004369EF">
            <w:pPr>
              <w:spacing w:before="0" w:line="276" w:lineRule="auto"/>
              <w:jc w:val="left"/>
              <w:rPr>
                <w:sz w:val="22"/>
              </w:rPr>
            </w:pPr>
            <w:r w:rsidRPr="005A6109">
              <w:rPr>
                <w:sz w:val="22"/>
              </w:rPr>
              <w:t>Breast</w:t>
            </w:r>
          </w:p>
        </w:tc>
        <w:tc>
          <w:tcPr>
            <w:tcW w:w="1080" w:type="dxa"/>
          </w:tcPr>
          <w:p w14:paraId="4C4F0539" w14:textId="77777777" w:rsidR="002422C3" w:rsidRPr="005A6109" w:rsidRDefault="002422C3" w:rsidP="00983011">
            <w:pPr>
              <w:spacing w:before="0" w:line="276" w:lineRule="auto"/>
              <w:jc w:val="center"/>
              <w:rPr>
                <w:sz w:val="22"/>
              </w:rPr>
            </w:pPr>
          </w:p>
        </w:tc>
        <w:tc>
          <w:tcPr>
            <w:tcW w:w="990" w:type="dxa"/>
          </w:tcPr>
          <w:p w14:paraId="0E882E95" w14:textId="77777777" w:rsidR="002422C3" w:rsidRPr="005A6109" w:rsidRDefault="002422C3" w:rsidP="00983011">
            <w:pPr>
              <w:spacing w:before="0" w:line="276" w:lineRule="auto"/>
              <w:jc w:val="center"/>
              <w:rPr>
                <w:sz w:val="22"/>
              </w:rPr>
            </w:pPr>
          </w:p>
        </w:tc>
        <w:tc>
          <w:tcPr>
            <w:tcW w:w="900" w:type="dxa"/>
          </w:tcPr>
          <w:p w14:paraId="196FB990" w14:textId="77777777" w:rsidR="002422C3" w:rsidRPr="005A6109" w:rsidRDefault="002422C3" w:rsidP="00983011">
            <w:pPr>
              <w:spacing w:before="0" w:line="276" w:lineRule="auto"/>
              <w:jc w:val="center"/>
              <w:rPr>
                <w:sz w:val="22"/>
              </w:rPr>
            </w:pPr>
          </w:p>
        </w:tc>
      </w:tr>
      <w:tr w:rsidR="002422C3" w:rsidRPr="00D87D85" w14:paraId="04430411" w14:textId="77777777" w:rsidTr="002422C3">
        <w:tc>
          <w:tcPr>
            <w:tcW w:w="4045" w:type="dxa"/>
          </w:tcPr>
          <w:p w14:paraId="0856847B" w14:textId="77777777" w:rsidR="002422C3" w:rsidRPr="005A6109" w:rsidRDefault="002422C3" w:rsidP="004369EF">
            <w:pPr>
              <w:pStyle w:val="ListParagraph"/>
              <w:numPr>
                <w:ilvl w:val="0"/>
                <w:numId w:val="1"/>
              </w:numPr>
              <w:spacing w:before="0" w:line="276" w:lineRule="auto"/>
              <w:ind w:left="0"/>
              <w:jc w:val="left"/>
              <w:rPr>
                <w:sz w:val="22"/>
              </w:rPr>
            </w:pPr>
            <w:r w:rsidRPr="005A6109">
              <w:rPr>
                <w:sz w:val="22"/>
              </w:rPr>
              <w:t xml:space="preserve">Benign lesions </w:t>
            </w:r>
          </w:p>
        </w:tc>
        <w:tc>
          <w:tcPr>
            <w:tcW w:w="1080" w:type="dxa"/>
          </w:tcPr>
          <w:p w14:paraId="7A251CC0" w14:textId="77777777" w:rsidR="002422C3" w:rsidRPr="005A6109" w:rsidRDefault="002422C3" w:rsidP="00983011">
            <w:pPr>
              <w:spacing w:before="0" w:line="276" w:lineRule="auto"/>
              <w:jc w:val="center"/>
              <w:rPr>
                <w:sz w:val="22"/>
              </w:rPr>
            </w:pPr>
            <w:r w:rsidRPr="005A6109">
              <w:rPr>
                <w:sz w:val="22"/>
              </w:rPr>
              <w:t>3.0</w:t>
            </w:r>
          </w:p>
        </w:tc>
        <w:tc>
          <w:tcPr>
            <w:tcW w:w="990" w:type="dxa"/>
          </w:tcPr>
          <w:p w14:paraId="7CCCE92F" w14:textId="77777777" w:rsidR="002422C3" w:rsidRPr="005A6109" w:rsidRDefault="002422C3" w:rsidP="00983011">
            <w:pPr>
              <w:spacing w:before="0" w:line="276" w:lineRule="auto"/>
              <w:jc w:val="center"/>
              <w:rPr>
                <w:sz w:val="22"/>
              </w:rPr>
            </w:pPr>
          </w:p>
        </w:tc>
        <w:tc>
          <w:tcPr>
            <w:tcW w:w="900" w:type="dxa"/>
          </w:tcPr>
          <w:p w14:paraId="5C1A9E98" w14:textId="77777777" w:rsidR="002422C3" w:rsidRPr="005A6109" w:rsidRDefault="002422C3" w:rsidP="00983011">
            <w:pPr>
              <w:spacing w:before="0" w:line="276" w:lineRule="auto"/>
              <w:jc w:val="center"/>
              <w:rPr>
                <w:sz w:val="22"/>
              </w:rPr>
            </w:pPr>
            <w:r w:rsidRPr="005A6109">
              <w:rPr>
                <w:sz w:val="22"/>
              </w:rPr>
              <w:t>42.0</w:t>
            </w:r>
          </w:p>
        </w:tc>
      </w:tr>
      <w:tr w:rsidR="002422C3" w:rsidRPr="00D87D85" w14:paraId="53D00DA2" w14:textId="77777777" w:rsidTr="002422C3">
        <w:tc>
          <w:tcPr>
            <w:tcW w:w="4045" w:type="dxa"/>
          </w:tcPr>
          <w:p w14:paraId="19FFA14C" w14:textId="77777777" w:rsidR="002422C3" w:rsidRPr="005A6109" w:rsidRDefault="002422C3" w:rsidP="004369EF">
            <w:pPr>
              <w:pStyle w:val="ListParagraph"/>
              <w:numPr>
                <w:ilvl w:val="0"/>
                <w:numId w:val="1"/>
              </w:numPr>
              <w:spacing w:before="0" w:line="276" w:lineRule="auto"/>
              <w:ind w:left="0"/>
              <w:jc w:val="left"/>
              <w:rPr>
                <w:sz w:val="22"/>
              </w:rPr>
            </w:pPr>
            <w:r w:rsidRPr="005A6109">
              <w:rPr>
                <w:sz w:val="22"/>
              </w:rPr>
              <w:t>Myxomatosis</w:t>
            </w:r>
          </w:p>
        </w:tc>
        <w:tc>
          <w:tcPr>
            <w:tcW w:w="1080" w:type="dxa"/>
          </w:tcPr>
          <w:p w14:paraId="7EDB9F05" w14:textId="77777777" w:rsidR="002422C3" w:rsidRPr="005A6109" w:rsidRDefault="002422C3" w:rsidP="00983011">
            <w:pPr>
              <w:spacing w:before="0" w:line="276" w:lineRule="auto"/>
              <w:jc w:val="center"/>
              <w:rPr>
                <w:sz w:val="22"/>
              </w:rPr>
            </w:pPr>
          </w:p>
        </w:tc>
        <w:tc>
          <w:tcPr>
            <w:tcW w:w="990" w:type="dxa"/>
          </w:tcPr>
          <w:p w14:paraId="4A708EC8" w14:textId="77777777" w:rsidR="002422C3" w:rsidRPr="005A6109" w:rsidRDefault="002422C3" w:rsidP="00983011">
            <w:pPr>
              <w:spacing w:before="0" w:line="276" w:lineRule="auto"/>
              <w:jc w:val="center"/>
              <w:rPr>
                <w:sz w:val="22"/>
              </w:rPr>
            </w:pPr>
            <w:r w:rsidRPr="005A6109">
              <w:rPr>
                <w:sz w:val="22"/>
              </w:rPr>
              <w:t>2.0</w:t>
            </w:r>
          </w:p>
        </w:tc>
        <w:tc>
          <w:tcPr>
            <w:tcW w:w="900" w:type="dxa"/>
          </w:tcPr>
          <w:p w14:paraId="5B22742F" w14:textId="77777777" w:rsidR="002422C3" w:rsidRPr="005A6109" w:rsidRDefault="002422C3" w:rsidP="00983011">
            <w:pPr>
              <w:spacing w:before="0" w:line="276" w:lineRule="auto"/>
              <w:jc w:val="center"/>
              <w:rPr>
                <w:sz w:val="22"/>
              </w:rPr>
            </w:pPr>
            <w:r w:rsidRPr="005A6109">
              <w:rPr>
                <w:sz w:val="22"/>
              </w:rPr>
              <w:t>0</w:t>
            </w:r>
          </w:p>
        </w:tc>
      </w:tr>
      <w:tr w:rsidR="002422C3" w:rsidRPr="00D87D85" w14:paraId="05B684BF" w14:textId="77777777" w:rsidTr="002422C3">
        <w:tc>
          <w:tcPr>
            <w:tcW w:w="4045" w:type="dxa"/>
          </w:tcPr>
          <w:p w14:paraId="6FA7E288" w14:textId="77777777" w:rsidR="002422C3" w:rsidRPr="005A6109" w:rsidRDefault="002422C3" w:rsidP="004369EF">
            <w:pPr>
              <w:pStyle w:val="ListParagraph"/>
              <w:numPr>
                <w:ilvl w:val="0"/>
                <w:numId w:val="1"/>
              </w:numPr>
              <w:spacing w:before="0" w:line="276" w:lineRule="auto"/>
              <w:ind w:left="0"/>
              <w:jc w:val="left"/>
              <w:rPr>
                <w:sz w:val="22"/>
              </w:rPr>
            </w:pPr>
            <w:r w:rsidRPr="005A6109">
              <w:rPr>
                <w:sz w:val="22"/>
              </w:rPr>
              <w:t>Adenoma</w:t>
            </w:r>
          </w:p>
        </w:tc>
        <w:tc>
          <w:tcPr>
            <w:tcW w:w="1080" w:type="dxa"/>
          </w:tcPr>
          <w:p w14:paraId="16AA5DB7" w14:textId="77777777" w:rsidR="002422C3" w:rsidRPr="005A6109" w:rsidRDefault="002422C3" w:rsidP="00983011">
            <w:pPr>
              <w:spacing w:before="0" w:line="276" w:lineRule="auto"/>
              <w:jc w:val="center"/>
              <w:rPr>
                <w:sz w:val="22"/>
              </w:rPr>
            </w:pPr>
          </w:p>
        </w:tc>
        <w:tc>
          <w:tcPr>
            <w:tcW w:w="990" w:type="dxa"/>
          </w:tcPr>
          <w:p w14:paraId="20D9F4F2" w14:textId="77777777" w:rsidR="002422C3" w:rsidRPr="005A6109" w:rsidRDefault="002422C3" w:rsidP="00983011">
            <w:pPr>
              <w:spacing w:before="0" w:line="276" w:lineRule="auto"/>
              <w:jc w:val="center"/>
              <w:rPr>
                <w:sz w:val="22"/>
              </w:rPr>
            </w:pPr>
            <w:r w:rsidRPr="005A6109">
              <w:rPr>
                <w:sz w:val="22"/>
              </w:rPr>
              <w:t>4.0</w:t>
            </w:r>
          </w:p>
        </w:tc>
        <w:tc>
          <w:tcPr>
            <w:tcW w:w="900" w:type="dxa"/>
          </w:tcPr>
          <w:p w14:paraId="6496BBFB" w14:textId="77777777" w:rsidR="002422C3" w:rsidRPr="005A6109" w:rsidRDefault="002422C3" w:rsidP="00983011">
            <w:pPr>
              <w:spacing w:before="0" w:line="276" w:lineRule="auto"/>
              <w:jc w:val="center"/>
              <w:rPr>
                <w:sz w:val="22"/>
              </w:rPr>
            </w:pPr>
            <w:r w:rsidRPr="005A6109">
              <w:rPr>
                <w:sz w:val="22"/>
              </w:rPr>
              <w:t>0</w:t>
            </w:r>
          </w:p>
        </w:tc>
      </w:tr>
      <w:tr w:rsidR="002422C3" w:rsidRPr="00D87D85" w14:paraId="6BFFF833" w14:textId="77777777" w:rsidTr="002422C3">
        <w:tc>
          <w:tcPr>
            <w:tcW w:w="4045" w:type="dxa"/>
          </w:tcPr>
          <w:p w14:paraId="460F50D4" w14:textId="77777777" w:rsidR="002422C3" w:rsidRPr="005A6109" w:rsidRDefault="002422C3" w:rsidP="004369EF">
            <w:pPr>
              <w:pStyle w:val="ListParagraph"/>
              <w:numPr>
                <w:ilvl w:val="0"/>
                <w:numId w:val="1"/>
              </w:numPr>
              <w:spacing w:before="0" w:line="276" w:lineRule="auto"/>
              <w:ind w:left="0"/>
              <w:jc w:val="left"/>
              <w:rPr>
                <w:sz w:val="22"/>
              </w:rPr>
            </w:pPr>
            <w:r w:rsidRPr="005A6109">
              <w:rPr>
                <w:sz w:val="22"/>
              </w:rPr>
              <w:t>ACR 2-3</w:t>
            </w:r>
          </w:p>
        </w:tc>
        <w:tc>
          <w:tcPr>
            <w:tcW w:w="1080" w:type="dxa"/>
          </w:tcPr>
          <w:p w14:paraId="549CACC1" w14:textId="77777777" w:rsidR="002422C3" w:rsidRPr="005A6109" w:rsidRDefault="002422C3" w:rsidP="00983011">
            <w:pPr>
              <w:spacing w:before="0" w:line="276" w:lineRule="auto"/>
              <w:jc w:val="center"/>
              <w:rPr>
                <w:sz w:val="22"/>
              </w:rPr>
            </w:pPr>
          </w:p>
        </w:tc>
        <w:tc>
          <w:tcPr>
            <w:tcW w:w="990" w:type="dxa"/>
          </w:tcPr>
          <w:p w14:paraId="199C5CDB" w14:textId="77777777" w:rsidR="002422C3" w:rsidRPr="005A6109" w:rsidRDefault="002422C3" w:rsidP="00983011">
            <w:pPr>
              <w:spacing w:before="0" w:line="276" w:lineRule="auto"/>
              <w:jc w:val="center"/>
              <w:rPr>
                <w:sz w:val="22"/>
              </w:rPr>
            </w:pPr>
            <w:r w:rsidRPr="005A6109">
              <w:rPr>
                <w:sz w:val="22"/>
              </w:rPr>
              <w:t>n/a</w:t>
            </w:r>
          </w:p>
        </w:tc>
        <w:tc>
          <w:tcPr>
            <w:tcW w:w="900" w:type="dxa"/>
          </w:tcPr>
          <w:p w14:paraId="1EA2F0E3" w14:textId="77777777" w:rsidR="002422C3" w:rsidRPr="005A6109" w:rsidRDefault="002422C3" w:rsidP="00983011">
            <w:pPr>
              <w:spacing w:before="0" w:line="276" w:lineRule="auto"/>
              <w:jc w:val="center"/>
              <w:rPr>
                <w:sz w:val="22"/>
              </w:rPr>
            </w:pPr>
            <w:r w:rsidRPr="005A6109">
              <w:rPr>
                <w:sz w:val="22"/>
              </w:rPr>
              <w:t>0</w:t>
            </w:r>
          </w:p>
        </w:tc>
      </w:tr>
      <w:tr w:rsidR="002422C3" w:rsidRPr="00D87D85" w14:paraId="0063B206" w14:textId="77777777" w:rsidTr="002422C3">
        <w:tc>
          <w:tcPr>
            <w:tcW w:w="4045" w:type="dxa"/>
          </w:tcPr>
          <w:p w14:paraId="55E19E28" w14:textId="77777777" w:rsidR="002422C3" w:rsidRPr="005A6109" w:rsidRDefault="002422C3" w:rsidP="004369EF">
            <w:pPr>
              <w:pStyle w:val="ListParagraph"/>
              <w:numPr>
                <w:ilvl w:val="0"/>
                <w:numId w:val="1"/>
              </w:numPr>
              <w:spacing w:before="0" w:line="276" w:lineRule="auto"/>
              <w:ind w:left="0"/>
              <w:jc w:val="left"/>
              <w:rPr>
                <w:sz w:val="22"/>
              </w:rPr>
            </w:pPr>
            <w:r w:rsidRPr="005A6109">
              <w:rPr>
                <w:sz w:val="22"/>
              </w:rPr>
              <w:t xml:space="preserve">Carcinoma </w:t>
            </w:r>
          </w:p>
        </w:tc>
        <w:tc>
          <w:tcPr>
            <w:tcW w:w="1080" w:type="dxa"/>
          </w:tcPr>
          <w:p w14:paraId="4B7D5872" w14:textId="77777777" w:rsidR="002422C3" w:rsidRPr="005A6109" w:rsidRDefault="002422C3" w:rsidP="00983011">
            <w:pPr>
              <w:spacing w:before="0" w:line="276" w:lineRule="auto"/>
              <w:jc w:val="center"/>
              <w:rPr>
                <w:sz w:val="22"/>
              </w:rPr>
            </w:pPr>
          </w:p>
        </w:tc>
        <w:tc>
          <w:tcPr>
            <w:tcW w:w="990" w:type="dxa"/>
          </w:tcPr>
          <w:p w14:paraId="22B6E72E" w14:textId="77777777" w:rsidR="002422C3" w:rsidRPr="005A6109" w:rsidRDefault="002422C3" w:rsidP="00983011">
            <w:pPr>
              <w:spacing w:before="0" w:line="276" w:lineRule="auto"/>
              <w:jc w:val="center"/>
              <w:rPr>
                <w:sz w:val="22"/>
              </w:rPr>
            </w:pPr>
            <w:r w:rsidRPr="005A6109">
              <w:rPr>
                <w:sz w:val="22"/>
              </w:rPr>
              <w:t>6.0</w:t>
            </w:r>
          </w:p>
        </w:tc>
        <w:tc>
          <w:tcPr>
            <w:tcW w:w="900" w:type="dxa"/>
          </w:tcPr>
          <w:p w14:paraId="5DCF9A6A" w14:textId="77777777" w:rsidR="002422C3" w:rsidRPr="005A6109" w:rsidRDefault="002422C3" w:rsidP="00983011">
            <w:pPr>
              <w:spacing w:before="0" w:line="276" w:lineRule="auto"/>
              <w:jc w:val="center"/>
              <w:rPr>
                <w:sz w:val="22"/>
              </w:rPr>
            </w:pPr>
            <w:r w:rsidRPr="005A6109">
              <w:rPr>
                <w:sz w:val="22"/>
              </w:rPr>
              <w:t>10.0</w:t>
            </w:r>
          </w:p>
        </w:tc>
      </w:tr>
      <w:tr w:rsidR="002422C3" w:rsidRPr="00D87D85" w14:paraId="09C5819C" w14:textId="77777777" w:rsidTr="002422C3">
        <w:tc>
          <w:tcPr>
            <w:tcW w:w="4045" w:type="dxa"/>
          </w:tcPr>
          <w:p w14:paraId="0BB137AC" w14:textId="77777777" w:rsidR="002422C3" w:rsidRPr="005A6109" w:rsidRDefault="002422C3" w:rsidP="004369EF">
            <w:pPr>
              <w:spacing w:before="0" w:line="276" w:lineRule="auto"/>
              <w:jc w:val="left"/>
              <w:rPr>
                <w:sz w:val="22"/>
              </w:rPr>
            </w:pPr>
            <w:r w:rsidRPr="005A6109">
              <w:rPr>
                <w:sz w:val="22"/>
              </w:rPr>
              <w:t>Schwannomas</w:t>
            </w:r>
          </w:p>
        </w:tc>
        <w:tc>
          <w:tcPr>
            <w:tcW w:w="1080" w:type="dxa"/>
          </w:tcPr>
          <w:p w14:paraId="28B16A66" w14:textId="77777777" w:rsidR="002422C3" w:rsidRPr="005A6109" w:rsidRDefault="002422C3" w:rsidP="00983011">
            <w:pPr>
              <w:spacing w:before="0" w:line="276" w:lineRule="auto"/>
              <w:jc w:val="center"/>
              <w:rPr>
                <w:sz w:val="22"/>
              </w:rPr>
            </w:pPr>
            <w:r w:rsidRPr="005A6109">
              <w:rPr>
                <w:sz w:val="22"/>
              </w:rPr>
              <w:t>10.0</w:t>
            </w:r>
          </w:p>
        </w:tc>
        <w:tc>
          <w:tcPr>
            <w:tcW w:w="990" w:type="dxa"/>
          </w:tcPr>
          <w:p w14:paraId="394B93A7" w14:textId="77777777" w:rsidR="002422C3" w:rsidRPr="005A6109" w:rsidRDefault="002422C3" w:rsidP="00983011">
            <w:pPr>
              <w:spacing w:before="0" w:line="276" w:lineRule="auto"/>
              <w:jc w:val="center"/>
              <w:rPr>
                <w:sz w:val="22"/>
              </w:rPr>
            </w:pPr>
          </w:p>
        </w:tc>
        <w:tc>
          <w:tcPr>
            <w:tcW w:w="900" w:type="dxa"/>
          </w:tcPr>
          <w:p w14:paraId="236C38A3" w14:textId="77777777" w:rsidR="002422C3" w:rsidRPr="005A6109" w:rsidRDefault="002422C3" w:rsidP="00983011">
            <w:pPr>
              <w:spacing w:before="0" w:line="276" w:lineRule="auto"/>
              <w:jc w:val="center"/>
              <w:rPr>
                <w:sz w:val="22"/>
              </w:rPr>
            </w:pPr>
          </w:p>
        </w:tc>
      </w:tr>
      <w:tr w:rsidR="002422C3" w:rsidRPr="00D87D85" w14:paraId="0EA5C6BD" w14:textId="77777777" w:rsidTr="002422C3">
        <w:tc>
          <w:tcPr>
            <w:tcW w:w="4045" w:type="dxa"/>
          </w:tcPr>
          <w:p w14:paraId="790A0094" w14:textId="77777777" w:rsidR="002422C3" w:rsidRPr="005A6109" w:rsidRDefault="002422C3" w:rsidP="004369EF">
            <w:pPr>
              <w:pStyle w:val="ListParagraph"/>
              <w:numPr>
                <w:ilvl w:val="0"/>
                <w:numId w:val="1"/>
              </w:numPr>
              <w:spacing w:before="0" w:line="276" w:lineRule="auto"/>
              <w:ind w:left="0"/>
              <w:jc w:val="left"/>
              <w:rPr>
                <w:sz w:val="22"/>
              </w:rPr>
            </w:pPr>
            <w:r w:rsidRPr="005A6109">
              <w:rPr>
                <w:sz w:val="22"/>
              </w:rPr>
              <w:t xml:space="preserve">Confirmed by histology </w:t>
            </w:r>
          </w:p>
        </w:tc>
        <w:tc>
          <w:tcPr>
            <w:tcW w:w="1080" w:type="dxa"/>
          </w:tcPr>
          <w:p w14:paraId="0FC535D7" w14:textId="77777777" w:rsidR="002422C3" w:rsidRPr="005A6109" w:rsidRDefault="002422C3" w:rsidP="00983011">
            <w:pPr>
              <w:spacing w:before="0" w:line="276" w:lineRule="auto"/>
              <w:jc w:val="center"/>
              <w:rPr>
                <w:sz w:val="22"/>
              </w:rPr>
            </w:pPr>
          </w:p>
        </w:tc>
        <w:tc>
          <w:tcPr>
            <w:tcW w:w="990" w:type="dxa"/>
          </w:tcPr>
          <w:p w14:paraId="1BAF2730" w14:textId="77777777" w:rsidR="002422C3" w:rsidRPr="005A6109" w:rsidRDefault="002422C3" w:rsidP="00983011">
            <w:pPr>
              <w:spacing w:before="0" w:line="276" w:lineRule="auto"/>
              <w:jc w:val="center"/>
              <w:rPr>
                <w:sz w:val="22"/>
              </w:rPr>
            </w:pPr>
            <w:r w:rsidRPr="005A6109">
              <w:rPr>
                <w:sz w:val="22"/>
              </w:rPr>
              <w:t>4.3</w:t>
            </w:r>
          </w:p>
        </w:tc>
        <w:tc>
          <w:tcPr>
            <w:tcW w:w="900" w:type="dxa"/>
          </w:tcPr>
          <w:p w14:paraId="297F2B1D" w14:textId="77777777" w:rsidR="002422C3" w:rsidRPr="005A6109" w:rsidRDefault="002422C3" w:rsidP="00983011">
            <w:pPr>
              <w:spacing w:before="0" w:line="276" w:lineRule="auto"/>
              <w:jc w:val="center"/>
              <w:rPr>
                <w:sz w:val="22"/>
              </w:rPr>
            </w:pPr>
            <w:r w:rsidRPr="005A6109">
              <w:rPr>
                <w:sz w:val="22"/>
              </w:rPr>
              <w:t>4.3</w:t>
            </w:r>
          </w:p>
        </w:tc>
      </w:tr>
      <w:tr w:rsidR="002422C3" w:rsidRPr="00D87D85" w14:paraId="39282E2A" w14:textId="77777777" w:rsidTr="002422C3">
        <w:tc>
          <w:tcPr>
            <w:tcW w:w="4045" w:type="dxa"/>
          </w:tcPr>
          <w:p w14:paraId="08C5F3EA" w14:textId="77777777" w:rsidR="002422C3" w:rsidRPr="005A6109" w:rsidRDefault="002422C3" w:rsidP="004369EF">
            <w:pPr>
              <w:pStyle w:val="ListParagraph"/>
              <w:numPr>
                <w:ilvl w:val="0"/>
                <w:numId w:val="1"/>
              </w:numPr>
              <w:spacing w:before="0" w:line="276" w:lineRule="auto"/>
              <w:ind w:left="0"/>
              <w:jc w:val="left"/>
              <w:rPr>
                <w:sz w:val="22"/>
              </w:rPr>
            </w:pPr>
            <w:r w:rsidRPr="005A6109">
              <w:rPr>
                <w:sz w:val="22"/>
              </w:rPr>
              <w:t>Suspected</w:t>
            </w:r>
          </w:p>
        </w:tc>
        <w:tc>
          <w:tcPr>
            <w:tcW w:w="1080" w:type="dxa"/>
          </w:tcPr>
          <w:p w14:paraId="2D2B14C7" w14:textId="77777777" w:rsidR="002422C3" w:rsidRPr="005A6109" w:rsidRDefault="002422C3" w:rsidP="00983011">
            <w:pPr>
              <w:spacing w:before="0" w:line="276" w:lineRule="auto"/>
              <w:jc w:val="center"/>
              <w:rPr>
                <w:sz w:val="22"/>
              </w:rPr>
            </w:pPr>
          </w:p>
        </w:tc>
        <w:tc>
          <w:tcPr>
            <w:tcW w:w="990" w:type="dxa"/>
          </w:tcPr>
          <w:p w14:paraId="68C8D5AE" w14:textId="77777777" w:rsidR="002422C3" w:rsidRPr="005A6109" w:rsidRDefault="002422C3" w:rsidP="00983011">
            <w:pPr>
              <w:spacing w:before="0" w:line="276" w:lineRule="auto"/>
              <w:jc w:val="center"/>
              <w:rPr>
                <w:sz w:val="22"/>
              </w:rPr>
            </w:pPr>
            <w:r w:rsidRPr="005A6109">
              <w:rPr>
                <w:sz w:val="22"/>
              </w:rPr>
              <w:t>0</w:t>
            </w:r>
          </w:p>
        </w:tc>
        <w:tc>
          <w:tcPr>
            <w:tcW w:w="900" w:type="dxa"/>
          </w:tcPr>
          <w:p w14:paraId="7BBA67AC" w14:textId="77777777" w:rsidR="002422C3" w:rsidRPr="005A6109" w:rsidRDefault="002422C3" w:rsidP="00983011">
            <w:pPr>
              <w:spacing w:before="0" w:line="276" w:lineRule="auto"/>
              <w:jc w:val="center"/>
              <w:rPr>
                <w:sz w:val="22"/>
              </w:rPr>
            </w:pPr>
            <w:r w:rsidRPr="005A6109">
              <w:rPr>
                <w:sz w:val="22"/>
              </w:rPr>
              <w:t>5.7</w:t>
            </w:r>
          </w:p>
        </w:tc>
      </w:tr>
      <w:tr w:rsidR="002422C3" w:rsidRPr="00D87D85" w14:paraId="76E8EC56" w14:textId="77777777" w:rsidTr="002422C3">
        <w:tc>
          <w:tcPr>
            <w:tcW w:w="4045" w:type="dxa"/>
          </w:tcPr>
          <w:p w14:paraId="557FE4B0" w14:textId="77777777" w:rsidR="002422C3" w:rsidRPr="005A6109" w:rsidRDefault="002422C3" w:rsidP="004369EF">
            <w:pPr>
              <w:spacing w:before="0" w:line="276" w:lineRule="auto"/>
              <w:jc w:val="left"/>
              <w:rPr>
                <w:sz w:val="22"/>
              </w:rPr>
            </w:pPr>
            <w:r w:rsidRPr="005A6109">
              <w:rPr>
                <w:sz w:val="22"/>
              </w:rPr>
              <w:t xml:space="preserve">Osteochondromyxomas </w:t>
            </w:r>
          </w:p>
        </w:tc>
        <w:tc>
          <w:tcPr>
            <w:tcW w:w="1080" w:type="dxa"/>
          </w:tcPr>
          <w:p w14:paraId="26750F34" w14:textId="77777777" w:rsidR="002422C3" w:rsidRPr="005A6109" w:rsidRDefault="002422C3" w:rsidP="00983011">
            <w:pPr>
              <w:spacing w:before="0" w:line="276" w:lineRule="auto"/>
              <w:jc w:val="center"/>
              <w:rPr>
                <w:sz w:val="22"/>
              </w:rPr>
            </w:pPr>
          </w:p>
        </w:tc>
        <w:tc>
          <w:tcPr>
            <w:tcW w:w="990" w:type="dxa"/>
          </w:tcPr>
          <w:p w14:paraId="73D4FA81" w14:textId="77777777" w:rsidR="002422C3" w:rsidRPr="005A6109" w:rsidRDefault="002422C3" w:rsidP="00983011">
            <w:pPr>
              <w:spacing w:before="0" w:line="276" w:lineRule="auto"/>
              <w:jc w:val="center"/>
              <w:rPr>
                <w:sz w:val="22"/>
              </w:rPr>
            </w:pPr>
          </w:p>
        </w:tc>
        <w:tc>
          <w:tcPr>
            <w:tcW w:w="900" w:type="dxa"/>
          </w:tcPr>
          <w:p w14:paraId="4C9B250B" w14:textId="77777777" w:rsidR="002422C3" w:rsidRPr="005A6109" w:rsidRDefault="002422C3" w:rsidP="00983011">
            <w:pPr>
              <w:spacing w:before="0" w:line="276" w:lineRule="auto"/>
              <w:jc w:val="center"/>
              <w:rPr>
                <w:sz w:val="22"/>
              </w:rPr>
            </w:pPr>
          </w:p>
        </w:tc>
      </w:tr>
      <w:tr w:rsidR="002422C3" w:rsidRPr="00D87D85" w14:paraId="19F50525" w14:textId="77777777" w:rsidTr="002422C3">
        <w:tc>
          <w:tcPr>
            <w:tcW w:w="4045" w:type="dxa"/>
          </w:tcPr>
          <w:p w14:paraId="60BF9B2C" w14:textId="77777777" w:rsidR="002422C3" w:rsidRPr="005A6109" w:rsidRDefault="002422C3" w:rsidP="004369EF">
            <w:pPr>
              <w:pStyle w:val="ListParagraph"/>
              <w:numPr>
                <w:ilvl w:val="0"/>
                <w:numId w:val="1"/>
              </w:numPr>
              <w:spacing w:before="0" w:line="276" w:lineRule="auto"/>
              <w:ind w:left="0"/>
              <w:jc w:val="left"/>
              <w:rPr>
                <w:sz w:val="22"/>
              </w:rPr>
            </w:pPr>
            <w:r w:rsidRPr="005A6109">
              <w:rPr>
                <w:sz w:val="22"/>
              </w:rPr>
              <w:t xml:space="preserve">Confirmed by histology </w:t>
            </w:r>
          </w:p>
        </w:tc>
        <w:tc>
          <w:tcPr>
            <w:tcW w:w="1080" w:type="dxa"/>
          </w:tcPr>
          <w:p w14:paraId="31B0D19C" w14:textId="77777777" w:rsidR="002422C3" w:rsidRPr="005A6109" w:rsidRDefault="002422C3" w:rsidP="00983011">
            <w:pPr>
              <w:spacing w:before="0" w:line="276" w:lineRule="auto"/>
              <w:jc w:val="center"/>
              <w:rPr>
                <w:sz w:val="22"/>
              </w:rPr>
            </w:pPr>
          </w:p>
        </w:tc>
        <w:tc>
          <w:tcPr>
            <w:tcW w:w="990" w:type="dxa"/>
          </w:tcPr>
          <w:p w14:paraId="6766135A" w14:textId="77777777" w:rsidR="002422C3" w:rsidRPr="005A6109" w:rsidRDefault="002422C3" w:rsidP="00983011">
            <w:pPr>
              <w:spacing w:before="0" w:line="276" w:lineRule="auto"/>
              <w:jc w:val="center"/>
              <w:rPr>
                <w:sz w:val="22"/>
              </w:rPr>
            </w:pPr>
            <w:r w:rsidRPr="005A6109">
              <w:rPr>
                <w:sz w:val="22"/>
              </w:rPr>
              <w:t>2.9</w:t>
            </w:r>
          </w:p>
        </w:tc>
        <w:tc>
          <w:tcPr>
            <w:tcW w:w="900" w:type="dxa"/>
          </w:tcPr>
          <w:p w14:paraId="5201610D" w14:textId="77777777" w:rsidR="002422C3" w:rsidRPr="005A6109" w:rsidRDefault="002422C3" w:rsidP="00983011">
            <w:pPr>
              <w:spacing w:before="0" w:line="276" w:lineRule="auto"/>
              <w:jc w:val="center"/>
              <w:rPr>
                <w:sz w:val="22"/>
              </w:rPr>
            </w:pPr>
            <w:r w:rsidRPr="005A6109">
              <w:rPr>
                <w:sz w:val="22"/>
              </w:rPr>
              <w:t>2.9</w:t>
            </w:r>
          </w:p>
        </w:tc>
      </w:tr>
      <w:tr w:rsidR="002422C3" w:rsidRPr="00D87D85" w14:paraId="388A23D7" w14:textId="77777777" w:rsidTr="002422C3">
        <w:tc>
          <w:tcPr>
            <w:tcW w:w="4045" w:type="dxa"/>
          </w:tcPr>
          <w:p w14:paraId="67D3129D" w14:textId="77777777" w:rsidR="002422C3" w:rsidRPr="005A6109" w:rsidRDefault="002422C3" w:rsidP="004369EF">
            <w:pPr>
              <w:pStyle w:val="ListParagraph"/>
              <w:numPr>
                <w:ilvl w:val="0"/>
                <w:numId w:val="1"/>
              </w:numPr>
              <w:spacing w:before="0" w:line="276" w:lineRule="auto"/>
              <w:ind w:left="0"/>
              <w:jc w:val="left"/>
              <w:rPr>
                <w:sz w:val="22"/>
              </w:rPr>
            </w:pPr>
            <w:r w:rsidRPr="005A6109">
              <w:rPr>
                <w:sz w:val="22"/>
              </w:rPr>
              <w:t>Suspected</w:t>
            </w:r>
          </w:p>
        </w:tc>
        <w:tc>
          <w:tcPr>
            <w:tcW w:w="1080" w:type="dxa"/>
          </w:tcPr>
          <w:p w14:paraId="277DF764" w14:textId="77777777" w:rsidR="002422C3" w:rsidRPr="005A6109" w:rsidRDefault="002422C3" w:rsidP="00983011">
            <w:pPr>
              <w:spacing w:before="0" w:line="276" w:lineRule="auto"/>
              <w:jc w:val="center"/>
              <w:rPr>
                <w:sz w:val="22"/>
              </w:rPr>
            </w:pPr>
          </w:p>
        </w:tc>
        <w:tc>
          <w:tcPr>
            <w:tcW w:w="990" w:type="dxa"/>
          </w:tcPr>
          <w:p w14:paraId="26886F74" w14:textId="77777777" w:rsidR="002422C3" w:rsidRPr="005A6109" w:rsidRDefault="002422C3" w:rsidP="00983011">
            <w:pPr>
              <w:spacing w:before="0" w:line="276" w:lineRule="auto"/>
              <w:jc w:val="center"/>
              <w:rPr>
                <w:sz w:val="22"/>
              </w:rPr>
            </w:pPr>
            <w:r w:rsidRPr="005A6109">
              <w:rPr>
                <w:sz w:val="22"/>
              </w:rPr>
              <w:t>0</w:t>
            </w:r>
          </w:p>
        </w:tc>
        <w:tc>
          <w:tcPr>
            <w:tcW w:w="900" w:type="dxa"/>
          </w:tcPr>
          <w:p w14:paraId="5B286A7D" w14:textId="77777777" w:rsidR="002422C3" w:rsidRPr="005A6109" w:rsidRDefault="002422C3" w:rsidP="00983011">
            <w:pPr>
              <w:spacing w:before="0" w:line="276" w:lineRule="auto"/>
              <w:jc w:val="center"/>
              <w:rPr>
                <w:sz w:val="22"/>
              </w:rPr>
            </w:pPr>
            <w:r w:rsidRPr="005A6109">
              <w:rPr>
                <w:sz w:val="22"/>
              </w:rPr>
              <w:t>2.9</w:t>
            </w:r>
          </w:p>
        </w:tc>
      </w:tr>
    </w:tbl>
    <w:p w14:paraId="268DAE32" w14:textId="65798CFA" w:rsidR="002422C3" w:rsidRPr="00D87D85" w:rsidRDefault="002422C3" w:rsidP="002422C3">
      <w:pPr>
        <w:spacing w:before="0" w:line="276" w:lineRule="auto"/>
        <w:jc w:val="left"/>
        <w:rPr>
          <w:sz w:val="22"/>
        </w:rPr>
      </w:pPr>
      <w:bookmarkStart w:id="3" w:name="_Hlk140072524"/>
      <w:r w:rsidRPr="00D87D85">
        <w:rPr>
          <w:sz w:val="22"/>
        </w:rPr>
        <w:lastRenderedPageBreak/>
        <w:t>A) at the time of presentation among 338 patients from an older study (</w:t>
      </w:r>
      <w:r w:rsidR="0093075E">
        <w:rPr>
          <w:sz w:val="22"/>
        </w:rPr>
        <w:t>44</w:t>
      </w:r>
      <w:r w:rsidRPr="00D87D85">
        <w:rPr>
          <w:sz w:val="22"/>
        </w:rPr>
        <w:t xml:space="preserve">) and B) from a recent </w:t>
      </w:r>
      <w:proofErr w:type="gramStart"/>
      <w:r w:rsidRPr="00D87D85">
        <w:rPr>
          <w:sz w:val="22"/>
        </w:rPr>
        <w:t>prospective</w:t>
      </w:r>
      <w:proofErr w:type="gramEnd"/>
      <w:r w:rsidRPr="00D87D85">
        <w:rPr>
          <w:sz w:val="22"/>
        </w:rPr>
        <w:t xml:space="preserve"> study including 70 patients at the time of presentation (B1), and after three years of follow-up (B2); (</w:t>
      </w:r>
      <w:r w:rsidR="0093075E">
        <w:rPr>
          <w:sz w:val="22"/>
        </w:rPr>
        <w:t>45</w:t>
      </w:r>
      <w:r w:rsidRPr="00D87D85">
        <w:rPr>
          <w:sz w:val="22"/>
        </w:rPr>
        <w:t>)</w:t>
      </w:r>
    </w:p>
    <w:bookmarkEnd w:id="3"/>
    <w:p w14:paraId="6E297ED7" w14:textId="77777777" w:rsidR="002422C3" w:rsidRDefault="002422C3" w:rsidP="005F1576">
      <w:pPr>
        <w:spacing w:before="0" w:line="276" w:lineRule="auto"/>
        <w:jc w:val="left"/>
        <w:rPr>
          <w:sz w:val="22"/>
        </w:rPr>
      </w:pPr>
    </w:p>
    <w:p w14:paraId="752245C6" w14:textId="4803B0B5" w:rsidR="008F556E" w:rsidRPr="00EC2EA6" w:rsidRDefault="005049B5" w:rsidP="005F1576">
      <w:pPr>
        <w:spacing w:before="0" w:line="276" w:lineRule="auto"/>
        <w:jc w:val="left"/>
        <w:rPr>
          <w:color w:val="auto"/>
          <w:sz w:val="22"/>
        </w:rPr>
      </w:pPr>
      <w:r w:rsidRPr="005F1576">
        <w:rPr>
          <w:sz w:val="22"/>
        </w:rPr>
        <w:t>Most often clinical signs appear in the teen years and early adulthood, with a median age of</w:t>
      </w:r>
      <w:r w:rsidR="009A1C9C" w:rsidRPr="005F1576">
        <w:rPr>
          <w:sz w:val="22"/>
        </w:rPr>
        <w:t xml:space="preserve"> </w:t>
      </w:r>
      <w:r w:rsidRPr="005F1576">
        <w:rPr>
          <w:sz w:val="22"/>
        </w:rPr>
        <w:t>diagnosis at 20 years of age</w:t>
      </w:r>
      <w:r w:rsidR="007B1CD2" w:rsidRPr="005F1576">
        <w:rPr>
          <w:sz w:val="22"/>
        </w:rPr>
        <w:t>,</w:t>
      </w:r>
      <w:r w:rsidRPr="005F1576">
        <w:rPr>
          <w:sz w:val="22"/>
        </w:rPr>
        <w:t xml:space="preserve"> </w:t>
      </w:r>
      <w:r w:rsidR="005E3633" w:rsidRPr="005F1576">
        <w:rPr>
          <w:sz w:val="22"/>
        </w:rPr>
        <w:t>while</w:t>
      </w:r>
      <w:r w:rsidRPr="005F1576">
        <w:rPr>
          <w:sz w:val="22"/>
        </w:rPr>
        <w:t>, evidence of the disease, especially cutaneous lesions,</w:t>
      </w:r>
      <w:r w:rsidR="009A1C9C" w:rsidRPr="005F1576">
        <w:rPr>
          <w:sz w:val="22"/>
        </w:rPr>
        <w:t xml:space="preserve"> </w:t>
      </w:r>
      <w:r w:rsidRPr="005F1576">
        <w:rPr>
          <w:sz w:val="22"/>
        </w:rPr>
        <w:t xml:space="preserve">can be found even </w:t>
      </w:r>
      <w:r w:rsidR="00D03D68" w:rsidRPr="005F1576">
        <w:rPr>
          <w:sz w:val="22"/>
        </w:rPr>
        <w:t>in</w:t>
      </w:r>
      <w:r w:rsidRPr="005F1576">
        <w:rPr>
          <w:sz w:val="22"/>
        </w:rPr>
        <w:t xml:space="preserve"> newborns. During infancy, the most common tumors encountered are</w:t>
      </w:r>
      <w:r w:rsidR="009A1C9C" w:rsidRPr="005F1576">
        <w:rPr>
          <w:sz w:val="22"/>
        </w:rPr>
        <w:t xml:space="preserve"> </w:t>
      </w:r>
      <w:r w:rsidRPr="005F1576">
        <w:rPr>
          <w:sz w:val="22"/>
        </w:rPr>
        <w:t>cardiac and cutaneous myxomas, as well as PPNAD, while LCCSCT and thyroid nodules</w:t>
      </w:r>
      <w:r w:rsidR="009A1C9C" w:rsidRPr="005F1576">
        <w:rPr>
          <w:sz w:val="22"/>
        </w:rPr>
        <w:t xml:space="preserve"> </w:t>
      </w:r>
      <w:r w:rsidRPr="005F1576">
        <w:rPr>
          <w:sz w:val="22"/>
        </w:rPr>
        <w:t>appear somewhat later. Acromegaly is clinically evident during the third and fourth decade of</w:t>
      </w:r>
      <w:r w:rsidR="009A1C9C" w:rsidRPr="005F1576">
        <w:rPr>
          <w:sz w:val="22"/>
        </w:rPr>
        <w:t xml:space="preserve"> </w:t>
      </w:r>
      <w:r w:rsidRPr="005F1576">
        <w:rPr>
          <w:sz w:val="22"/>
        </w:rPr>
        <w:t xml:space="preserve">life, while cardiac myxomas are equally distributed during the life </w:t>
      </w:r>
      <w:r w:rsidRPr="00EC2EA6">
        <w:rPr>
          <w:color w:val="auto"/>
          <w:sz w:val="22"/>
        </w:rPr>
        <w:t xml:space="preserve">span </w:t>
      </w:r>
      <w:r w:rsidR="00D03D68" w:rsidRPr="00EC2EA6">
        <w:rPr>
          <w:color w:val="auto"/>
          <w:sz w:val="22"/>
        </w:rPr>
        <w:fldChar w:fldCharType="begin" w:fldLock="1"/>
      </w:r>
      <w:r w:rsidR="006644FA" w:rsidRPr="00EC2EA6">
        <w:rPr>
          <w:color w:val="auto"/>
          <w:sz w:val="22"/>
        </w:rPr>
        <w:instrText>ADDIN CSL_CITATION {"citationItems":[{"id":"ITEM-1","itemData":{"DOI":"S1470-2045(05)70244-8 [pii] 10.1016/S1470-2045(05)70244-8","ISSN":"1470-2045 (Print) 1470-2045 (Linking)","author":[{"dropping-particle":"","family":"Wilkes","given":"D","non-dropping-particle":"","parse-names":false,"suffix":""},{"dropping-particle":"","family":"McDermott","given":"D A","non-dropping-particle":"","parse-names":false,"suffix":""},{"dropping-particle":"","family":"Basson","given":"C T","non-dropping-particle":"","parse-names":false,"suffix":""}],"container-title":"Lancet Oncol","id":"ITEM-1","issue":"7","issued":{"date-parts":[["2005"]]},"page":"501-508","title":"Clinical phenotypes and molecular genetic mechanisms of Carney complex","type":"article-journal","volume":"6"},"uris":["http://www.mendeley.com/documents/?uuid=1e8adb5d-bb33-4aee-9d81-16e7fe78702b"]}],"mendeley":{"formattedCitation":"(46)","plainTextFormattedCitation":"(46)","previouslyFormattedCitation":"(46)"},"properties":{"noteIndex":0},"schema":"https://github.com/citation-style-language/schema/raw/master/csl-citation.json"}</w:instrText>
      </w:r>
      <w:r w:rsidR="00D03D68" w:rsidRPr="00EC2EA6">
        <w:rPr>
          <w:color w:val="auto"/>
          <w:sz w:val="22"/>
        </w:rPr>
        <w:fldChar w:fldCharType="separate"/>
      </w:r>
      <w:r w:rsidR="006644FA" w:rsidRPr="00EC2EA6">
        <w:rPr>
          <w:noProof/>
          <w:color w:val="auto"/>
          <w:sz w:val="22"/>
        </w:rPr>
        <w:t>(46)</w:t>
      </w:r>
      <w:r w:rsidR="00D03D68" w:rsidRPr="00EC2EA6">
        <w:rPr>
          <w:color w:val="auto"/>
          <w:sz w:val="22"/>
        </w:rPr>
        <w:fldChar w:fldCharType="end"/>
      </w:r>
      <w:r w:rsidRPr="00EC2EA6">
        <w:rPr>
          <w:color w:val="auto"/>
          <w:sz w:val="22"/>
        </w:rPr>
        <w:t xml:space="preserve">. </w:t>
      </w:r>
    </w:p>
    <w:p w14:paraId="66F42E4C" w14:textId="77777777" w:rsidR="009F0D82" w:rsidRDefault="009F0D82" w:rsidP="005F1576">
      <w:pPr>
        <w:spacing w:before="0" w:line="276" w:lineRule="auto"/>
        <w:jc w:val="left"/>
        <w:rPr>
          <w:sz w:val="22"/>
        </w:rPr>
      </w:pPr>
    </w:p>
    <w:p w14:paraId="6D875A46" w14:textId="639CD6AB" w:rsidR="008F556E" w:rsidRPr="00EC2EA6" w:rsidRDefault="005049B5" w:rsidP="005F1576">
      <w:pPr>
        <w:spacing w:before="0" w:line="276" w:lineRule="auto"/>
        <w:jc w:val="left"/>
        <w:rPr>
          <w:color w:val="auto"/>
          <w:sz w:val="22"/>
        </w:rPr>
      </w:pPr>
      <w:r w:rsidRPr="005F1576">
        <w:rPr>
          <w:sz w:val="22"/>
        </w:rPr>
        <w:t>The average</w:t>
      </w:r>
      <w:r w:rsidR="009A1C9C" w:rsidRPr="005F1576">
        <w:rPr>
          <w:sz w:val="22"/>
        </w:rPr>
        <w:t xml:space="preserve"> </w:t>
      </w:r>
      <w:r w:rsidRPr="005F1576">
        <w:rPr>
          <w:sz w:val="22"/>
        </w:rPr>
        <w:t>historic adjusted life expectancy of CNC patients has been reported to be 50-55 years,</w:t>
      </w:r>
      <w:r w:rsidR="009A1C9C" w:rsidRPr="005F1576">
        <w:rPr>
          <w:sz w:val="22"/>
        </w:rPr>
        <w:t xml:space="preserve"> </w:t>
      </w:r>
      <w:r w:rsidRPr="005F1576">
        <w:rPr>
          <w:sz w:val="22"/>
        </w:rPr>
        <w:t>principally due to individuals who succumb from early cardiovascular sudden death</w:t>
      </w:r>
      <w:r w:rsidR="00D03D68" w:rsidRPr="005F1576">
        <w:rPr>
          <w:sz w:val="22"/>
        </w:rPr>
        <w:t>: c</w:t>
      </w:r>
      <w:r w:rsidRPr="005F1576">
        <w:rPr>
          <w:sz w:val="22"/>
        </w:rPr>
        <w:t>omplications due to cardiac myxoma (myxoma emboli, cardiomyopathy, cardiac arrhythmia,</w:t>
      </w:r>
      <w:r w:rsidR="009A1C9C" w:rsidRPr="005F1576">
        <w:rPr>
          <w:sz w:val="22"/>
        </w:rPr>
        <w:t xml:space="preserve"> </w:t>
      </w:r>
      <w:r w:rsidRPr="005F1576">
        <w:rPr>
          <w:sz w:val="22"/>
        </w:rPr>
        <w:t xml:space="preserve">surgical intervention) comprise the major factor of mortality for </w:t>
      </w:r>
      <w:r w:rsidRPr="00EC2EA6">
        <w:rPr>
          <w:color w:val="auto"/>
          <w:sz w:val="22"/>
        </w:rPr>
        <w:t>CNC patients</w:t>
      </w:r>
      <w:r w:rsidR="005A6109" w:rsidRPr="00EC2EA6">
        <w:rPr>
          <w:color w:val="auto"/>
          <w:sz w:val="22"/>
        </w:rPr>
        <w:t xml:space="preserve"> </w:t>
      </w:r>
      <w:r w:rsidR="00D03D68" w:rsidRPr="00EC2EA6">
        <w:rPr>
          <w:color w:val="auto"/>
          <w:sz w:val="22"/>
        </w:rPr>
        <w:fldChar w:fldCharType="begin" w:fldLock="1"/>
      </w:r>
      <w:r w:rsidR="006644FA" w:rsidRPr="00EC2EA6">
        <w:rPr>
          <w:color w:val="auto"/>
          <w:sz w:val="22"/>
        </w:rPr>
        <w:instrText>ADDIN CSL_CITATION {"citationItems":[{"id":"ITEM-1","itemData":{"DOI":"10.1530/EJE-15-0209","ISBN":"0000000000000","ISSN":"0804-4643","PMID":"26928661","author":[{"dropping-particle":"","family":"Correa","given":"Ricardo","non-dropping-particle":"","parse-names":false,"suffix":""},{"dropping-particle":"","family":"Salpea","given":"Paraskevi","non-dropping-particle":"","parse-names":false,"suffix":""},{"dropping-particle":"","family":"Stratakis","given":"Constantine A","non-dropping-particle":"","parse-names":false,"suffix":""}],"container-title":"European Journal of Endocrinology","id":"ITEM-1","issue":"4","issued":{"date-parts":[["2015","10"]]},"page":"M85-M97","title":"Carney complex: an update","type":"article-journal","volume":"173"},"uris":["http://www.mendeley.com/documents/?uuid=21b7fbd1-433e-4a1b-b735-5a91fc52ff66"]}],"mendeley":{"formattedCitation":"(43)","plainTextFormattedCitation":"(43)","previouslyFormattedCitation":"(43)"},"properties":{"noteIndex":0},"schema":"https://github.com/citation-style-language/schema/raw/master/csl-citation.json"}</w:instrText>
      </w:r>
      <w:r w:rsidR="00D03D68" w:rsidRPr="00EC2EA6">
        <w:rPr>
          <w:color w:val="auto"/>
          <w:sz w:val="22"/>
        </w:rPr>
        <w:fldChar w:fldCharType="separate"/>
      </w:r>
      <w:r w:rsidR="006644FA" w:rsidRPr="00EC2EA6">
        <w:rPr>
          <w:noProof/>
          <w:color w:val="auto"/>
          <w:sz w:val="22"/>
        </w:rPr>
        <w:t>(43)</w:t>
      </w:r>
      <w:r w:rsidR="00D03D68" w:rsidRPr="00EC2EA6">
        <w:rPr>
          <w:color w:val="auto"/>
          <w:sz w:val="22"/>
        </w:rPr>
        <w:fldChar w:fldCharType="end"/>
      </w:r>
      <w:r w:rsidRPr="00EC2EA6">
        <w:rPr>
          <w:color w:val="auto"/>
          <w:sz w:val="22"/>
        </w:rPr>
        <w:t>. Other less</w:t>
      </w:r>
      <w:r w:rsidR="009A1C9C" w:rsidRPr="00EC2EA6">
        <w:rPr>
          <w:color w:val="auto"/>
          <w:sz w:val="22"/>
        </w:rPr>
        <w:t xml:space="preserve"> </w:t>
      </w:r>
      <w:r w:rsidRPr="00EC2EA6">
        <w:rPr>
          <w:color w:val="auto"/>
          <w:sz w:val="22"/>
        </w:rPr>
        <w:t>important factors are metastatic or intracranial PMS, thyroid carcinomas, and metastatic</w:t>
      </w:r>
      <w:r w:rsidR="009A1C9C" w:rsidRPr="00EC2EA6">
        <w:rPr>
          <w:color w:val="auto"/>
          <w:sz w:val="22"/>
        </w:rPr>
        <w:t xml:space="preserve"> </w:t>
      </w:r>
      <w:r w:rsidRPr="00EC2EA6">
        <w:rPr>
          <w:color w:val="auto"/>
          <w:sz w:val="22"/>
        </w:rPr>
        <w:t xml:space="preserve">pancreatic and testicular tumors </w:t>
      </w:r>
      <w:r w:rsidR="00D03D68" w:rsidRPr="00EC2EA6">
        <w:rPr>
          <w:color w:val="auto"/>
          <w:sz w:val="22"/>
        </w:rPr>
        <w:fldChar w:fldCharType="begin" w:fldLock="1"/>
      </w:r>
      <w:r w:rsidR="006644FA" w:rsidRPr="00EC2EA6">
        <w:rPr>
          <w:color w:val="auto"/>
          <w:sz w:val="22"/>
        </w:rPr>
        <w:instrText>ADDIN CSL_CITATION {"citationItems":[{"id":"ITEM-1","itemData":{"ISSN":"0021-972X (Print) 0021-972X (Linking)","author":[{"dropping-particle":"","family":"Stratakis","given":"C A","non-dropping-particle":"","parse-names":false,"suffix":""},{"dropping-particle":"","family":"Kirschner","given":"L S","non-dropping-particle":"","parse-names":false,"suffix":""},{"dropping-particle":"","family":"Carney","given":"J A","non-dropping-particle":"","parse-names":false,"suffix":""}],"container-title":"J Clin Endocrinol Metab","id":"ITEM-1","issue":"9","issued":{"date-parts":[["2001"]]},"page":"4041-4046","title":"Clinical and molecular features of the Carney complex: diagnostic criteria and recommendations for patient evaluation","type":"article-journal","volume":"86"},"uris":["http://www.mendeley.com/documents/?uuid=19410673-9d33-4124-bcb6-d75d5991d45b"]},{"id":"ITEM-2","itemData":{"DOI":"10.1530/EJE-20-1120","ISSN":"0804-4643","abstract":"Described for the first time in 1985, Carney complex (CNC) is a rare dominantly inherited multiple neoplasia syndrome with almost full penetrance and characterized by both endocrine – primary pigmented nodular adrenocortical disease with Cushing’s syndrome, acromegaly and thyroid tumors – and non-endocrine manifestations such as cardiac, cutaneous and mucosal myxomas, pigmented cutaneous lesions, psammomatous melanotic schwannoma, osteochondromyxoma and a wide range of other tumours with potential malignancy. The pathophysiology of CNC is a model of dysregulation of the cAMP/PKA signalling in human diseases. As described 20 years ago, inactivating heterozygous mutations of PRKAR1A formerly known as CNC1 , encoding the regulatory subunit 1α of protein kinase A, are identified in more than 70% of the index cases, while inactivating mutations of genes encoding phosphodiesterases are found in rare and particular forms of the complex. There is at present no medical specific treatment for CNC, every confirmed or suspected CNC patient should be managed by a multi-disciplinary team according to each manifestation of the disease and offered a long-term follow-up and genetic counselling. The better knowledge that we have now of this fascinating rare disease and its genetics will help to improve patients outcome.","author":[{"dropping-particle":"","family":"Bouys","given":"Lucas","non-dropping-particle":"","parse-names":false,"suffix":""},{"dropping-particle":"","family":"Bertherat","given":"Jérôme","non-dropping-particle":"","parse-names":false,"suffix":""}],"container-title":"European Journal of Endocrinology","id":"ITEM-2","issue":"3","issued":{"date-parts":[["2021","3"]]},"page":"R99-R109","title":"MANAGEMENT OF ENDOCRINE DISEASE: Carney complex: clinical and genetic update 20 years after the identification of the CNC1 (PRKAR1A) gene","type":"article-journal","volume":"184"},"uris":["http://www.mendeley.com/documents/?uuid=753753d2-d62d-3abb-a7d0-95d6f8c284c7"]}],"mendeley":{"formattedCitation":"(1,44)","plainTextFormattedCitation":"(1,44)","previouslyFormattedCitation":"(1,44)"},"properties":{"noteIndex":0},"schema":"https://github.com/citation-style-language/schema/raw/master/csl-citation.json"}</w:instrText>
      </w:r>
      <w:r w:rsidR="00D03D68" w:rsidRPr="00EC2EA6">
        <w:rPr>
          <w:color w:val="auto"/>
          <w:sz w:val="22"/>
        </w:rPr>
        <w:fldChar w:fldCharType="separate"/>
      </w:r>
      <w:r w:rsidR="006644FA" w:rsidRPr="00EC2EA6">
        <w:rPr>
          <w:noProof/>
          <w:color w:val="auto"/>
          <w:sz w:val="22"/>
        </w:rPr>
        <w:t>(1,44)</w:t>
      </w:r>
      <w:r w:rsidR="00D03D68" w:rsidRPr="00EC2EA6">
        <w:rPr>
          <w:color w:val="auto"/>
          <w:sz w:val="22"/>
        </w:rPr>
        <w:fldChar w:fldCharType="end"/>
      </w:r>
      <w:r w:rsidRPr="00EC2EA6">
        <w:rPr>
          <w:color w:val="auto"/>
          <w:sz w:val="22"/>
        </w:rPr>
        <w:t>.</w:t>
      </w:r>
      <w:r w:rsidR="009A1C9C" w:rsidRPr="00EC2EA6">
        <w:rPr>
          <w:color w:val="auto"/>
          <w:sz w:val="22"/>
        </w:rPr>
        <w:t xml:space="preserve"> </w:t>
      </w:r>
    </w:p>
    <w:p w14:paraId="0C0CAD66" w14:textId="77777777" w:rsidR="005E3633" w:rsidRPr="005F1576" w:rsidRDefault="005E3633" w:rsidP="005F1576">
      <w:pPr>
        <w:spacing w:before="0" w:line="276" w:lineRule="auto"/>
        <w:jc w:val="left"/>
        <w:rPr>
          <w:sz w:val="22"/>
        </w:rPr>
      </w:pPr>
    </w:p>
    <w:p w14:paraId="742FFE5D" w14:textId="77777777" w:rsidR="00AD2941" w:rsidRPr="009F0D82" w:rsidRDefault="005049B5" w:rsidP="005F1576">
      <w:pPr>
        <w:pStyle w:val="Heading2"/>
        <w:spacing w:before="0" w:line="276" w:lineRule="auto"/>
        <w:jc w:val="left"/>
        <w:rPr>
          <w:color w:val="00B050"/>
          <w:sz w:val="22"/>
        </w:rPr>
      </w:pPr>
      <w:r w:rsidRPr="009F0D82">
        <w:rPr>
          <w:color w:val="00B050"/>
          <w:sz w:val="22"/>
        </w:rPr>
        <w:t>Cutaneous Pigmentary Disorders</w:t>
      </w:r>
      <w:r w:rsidR="009A1C9C" w:rsidRPr="009F0D82">
        <w:rPr>
          <w:color w:val="00B050"/>
          <w:sz w:val="22"/>
        </w:rPr>
        <w:t xml:space="preserve"> </w:t>
      </w:r>
    </w:p>
    <w:p w14:paraId="7ECFB916" w14:textId="77777777" w:rsidR="009F0D82" w:rsidRDefault="009F0D82" w:rsidP="005F1576">
      <w:pPr>
        <w:spacing w:before="0" w:line="276" w:lineRule="auto"/>
        <w:jc w:val="left"/>
        <w:rPr>
          <w:sz w:val="22"/>
        </w:rPr>
      </w:pPr>
    </w:p>
    <w:p w14:paraId="74E8F433" w14:textId="7126F627" w:rsidR="00AD2941" w:rsidRPr="00EC2EA6" w:rsidRDefault="005049B5" w:rsidP="005F1576">
      <w:pPr>
        <w:spacing w:before="0" w:line="276" w:lineRule="auto"/>
        <w:jc w:val="left"/>
        <w:rPr>
          <w:color w:val="auto"/>
          <w:sz w:val="22"/>
        </w:rPr>
      </w:pPr>
      <w:r w:rsidRPr="005F1576">
        <w:rPr>
          <w:sz w:val="22"/>
        </w:rPr>
        <w:t>These lesions may appear either as multiple lentigines or as blue nevi. They may be present at</w:t>
      </w:r>
      <w:r w:rsidR="009A1C9C" w:rsidRPr="005F1576">
        <w:rPr>
          <w:sz w:val="22"/>
        </w:rPr>
        <w:t xml:space="preserve"> </w:t>
      </w:r>
      <w:r w:rsidR="00851D41" w:rsidRPr="005F1576">
        <w:rPr>
          <w:sz w:val="22"/>
        </w:rPr>
        <w:t>birth; however,</w:t>
      </w:r>
      <w:r w:rsidRPr="005F1576">
        <w:rPr>
          <w:sz w:val="22"/>
        </w:rPr>
        <w:t xml:space="preserve"> they acquire their typical intensity and distribution around puberty when they</w:t>
      </w:r>
      <w:r w:rsidR="009A1C9C" w:rsidRPr="005F1576">
        <w:rPr>
          <w:sz w:val="22"/>
        </w:rPr>
        <w:t xml:space="preserve"> </w:t>
      </w:r>
      <w:r w:rsidRPr="005F1576">
        <w:rPr>
          <w:sz w:val="22"/>
        </w:rPr>
        <w:t>increase in number and appear anywhere on the body. Typically, they fade after the fourth</w:t>
      </w:r>
      <w:r w:rsidR="009A1C9C" w:rsidRPr="005F1576">
        <w:rPr>
          <w:sz w:val="22"/>
        </w:rPr>
        <w:t xml:space="preserve"> </w:t>
      </w:r>
      <w:r w:rsidRPr="005F1576">
        <w:rPr>
          <w:sz w:val="22"/>
        </w:rPr>
        <w:t>decade, although they have been reported in individuals as old as 70 years. Occasionally café</w:t>
      </w:r>
      <w:r w:rsidR="009A1C9C" w:rsidRPr="005F1576">
        <w:rPr>
          <w:sz w:val="22"/>
        </w:rPr>
        <w:t xml:space="preserve"> </w:t>
      </w:r>
      <w:r w:rsidRPr="005F1576">
        <w:rPr>
          <w:sz w:val="22"/>
        </w:rPr>
        <w:t xml:space="preserve">au lait spots and depigmented lesions may also be </w:t>
      </w:r>
      <w:r w:rsidRPr="00EC2EA6">
        <w:rPr>
          <w:color w:val="auto"/>
          <w:sz w:val="22"/>
        </w:rPr>
        <w:t xml:space="preserve">observed </w:t>
      </w:r>
      <w:r w:rsidR="005E3633" w:rsidRPr="00EC2EA6">
        <w:rPr>
          <w:color w:val="auto"/>
          <w:sz w:val="22"/>
        </w:rPr>
        <w:fldChar w:fldCharType="begin" w:fldLock="1"/>
      </w:r>
      <w:r w:rsidR="006644FA" w:rsidRPr="00EC2EA6">
        <w:rPr>
          <w:color w:val="auto"/>
          <w:sz w:val="22"/>
        </w:rPr>
        <w:instrText>ADDIN CSL_CITATION {"citationItems":[{"id":"ITEM-1","itemData":{"DOI":"S0190-9622(08)00922-5 [pii] 10.1016/j.jaad.2008.07.032","ISSN":"1097-6787 (Electronic) 0190-9622 (Linking)","author":[{"dropping-particle":"","family":"Mateus","given":"C","non-dropping-particle":"","parse-names":false,"suffix":""},{"dropping-particle":"","family":"Palangie","given":"A","non-dropping-particle":"","parse-names":false,"suffix":""},{"dropping-particle":"","family":"Franck","given":"N","non-dropping-particle":"","parse-names":false,"suffix":""},{"dropping-particle":"","family":"Groussin","given":"L","non-dropping-particle":"","parse-names":false,"suffix":""},{"dropping-particle":"","family":"Bertagna","given":"X","non-dropping-particle":"","parse-names":false,"suffix":""},{"dropping-particle":"","family":"Avril","given":"M F","non-dropping-particle":"","parse-names":false,"suffix":""},{"dropping-particle":"","family":"Bertherat","given":"J","non-dropping-particle":"","parse-names":false,"suffix":""},{"dropping-particle":"","family":"Dupin","given":"N","non-dropping-particle":"","parse-names":false,"suffix":""}],"container-title":"J Am Acad Dermatol","id":"ITEM-1","issue":"5","issued":{"date-parts":[["2008"]]},"page":"801-810","title":"Heterogeneity of skin manifestations in patients with Carney complex","type":"article-journal","volume":"59"},"uris":["http://www.mendeley.com/documents/?uuid=b19c89e7-3731-4eba-893f-7c133bb749ed"]}],"mendeley":{"formattedCitation":"(47)","plainTextFormattedCitation":"(47)","previouslyFormattedCitation":"(47)"},"properties":{"noteIndex":0},"schema":"https://github.com/citation-style-language/schema/raw/master/csl-citation.json"}</w:instrText>
      </w:r>
      <w:r w:rsidR="005E3633" w:rsidRPr="00EC2EA6">
        <w:rPr>
          <w:color w:val="auto"/>
          <w:sz w:val="22"/>
        </w:rPr>
        <w:fldChar w:fldCharType="separate"/>
      </w:r>
      <w:r w:rsidR="006644FA" w:rsidRPr="00EC2EA6">
        <w:rPr>
          <w:noProof/>
          <w:color w:val="auto"/>
          <w:sz w:val="22"/>
        </w:rPr>
        <w:t>(47)</w:t>
      </w:r>
      <w:r w:rsidR="005E3633" w:rsidRPr="00EC2EA6">
        <w:rPr>
          <w:color w:val="auto"/>
          <w:sz w:val="22"/>
        </w:rPr>
        <w:fldChar w:fldCharType="end"/>
      </w:r>
      <w:r w:rsidRPr="00EC2EA6">
        <w:rPr>
          <w:color w:val="auto"/>
          <w:sz w:val="22"/>
        </w:rPr>
        <w:t>.</w:t>
      </w:r>
      <w:r w:rsidR="009A1C9C" w:rsidRPr="00EC2EA6">
        <w:rPr>
          <w:color w:val="auto"/>
          <w:sz w:val="22"/>
        </w:rPr>
        <w:t xml:space="preserve"> </w:t>
      </w:r>
    </w:p>
    <w:p w14:paraId="3E8E99C9" w14:textId="77777777" w:rsidR="009F0D82" w:rsidRPr="00EC2EA6" w:rsidRDefault="009F0D82" w:rsidP="005F1576">
      <w:pPr>
        <w:pStyle w:val="Heading3"/>
        <w:spacing w:before="0" w:line="276" w:lineRule="auto"/>
        <w:jc w:val="left"/>
        <w:rPr>
          <w:color w:val="auto"/>
          <w:sz w:val="22"/>
        </w:rPr>
      </w:pPr>
    </w:p>
    <w:p w14:paraId="6FB8A560" w14:textId="4C2EE832" w:rsidR="00AD2941" w:rsidRPr="005F1576" w:rsidRDefault="005049B5" w:rsidP="005F1576">
      <w:pPr>
        <w:pStyle w:val="Heading3"/>
        <w:spacing w:before="0" w:line="276" w:lineRule="auto"/>
        <w:jc w:val="left"/>
        <w:rPr>
          <w:sz w:val="22"/>
        </w:rPr>
      </w:pPr>
      <w:r w:rsidRPr="00547ED8">
        <w:rPr>
          <w:color w:val="FF0000"/>
          <w:sz w:val="22"/>
        </w:rPr>
        <w:t>LENTIGINES</w:t>
      </w:r>
      <w:r w:rsidR="009A1C9C" w:rsidRPr="005F1576">
        <w:rPr>
          <w:sz w:val="22"/>
        </w:rPr>
        <w:t xml:space="preserve"> </w:t>
      </w:r>
    </w:p>
    <w:p w14:paraId="64DB95BB" w14:textId="77777777" w:rsidR="009F0D82" w:rsidRDefault="009F0D82" w:rsidP="005F1576">
      <w:pPr>
        <w:spacing w:before="0" w:line="276" w:lineRule="auto"/>
        <w:jc w:val="left"/>
        <w:rPr>
          <w:sz w:val="22"/>
        </w:rPr>
      </w:pPr>
    </w:p>
    <w:p w14:paraId="0976056D" w14:textId="4ED4F3A5" w:rsidR="00AD2941" w:rsidRPr="00EC2EA6" w:rsidRDefault="005049B5" w:rsidP="005F1576">
      <w:pPr>
        <w:spacing w:before="0" w:line="276" w:lineRule="auto"/>
        <w:jc w:val="left"/>
        <w:rPr>
          <w:color w:val="auto"/>
          <w:sz w:val="22"/>
        </w:rPr>
      </w:pPr>
      <w:r w:rsidRPr="005F1576">
        <w:rPr>
          <w:sz w:val="22"/>
        </w:rPr>
        <w:t>They are the most common cutaneous manifestation of CNC patients (70-75%) and usually</w:t>
      </w:r>
      <w:r w:rsidR="009A1C9C" w:rsidRPr="005F1576">
        <w:rPr>
          <w:sz w:val="22"/>
        </w:rPr>
        <w:t xml:space="preserve"> </w:t>
      </w:r>
      <w:r w:rsidRPr="005F1576">
        <w:rPr>
          <w:sz w:val="22"/>
        </w:rPr>
        <w:t>present as multiple small (0.2 to 2 mm) brown to black macules that can practically appear on</w:t>
      </w:r>
      <w:r w:rsidR="009A1C9C" w:rsidRPr="005F1576">
        <w:rPr>
          <w:sz w:val="22"/>
        </w:rPr>
        <w:t xml:space="preserve"> </w:t>
      </w:r>
      <w:r w:rsidRPr="005F1576">
        <w:rPr>
          <w:sz w:val="22"/>
        </w:rPr>
        <w:t>any part of the body with areas of confluence and foci of deeper pigmentation. They are typically</w:t>
      </w:r>
      <w:r w:rsidR="009A1C9C" w:rsidRPr="005F1576">
        <w:rPr>
          <w:sz w:val="22"/>
        </w:rPr>
        <w:t xml:space="preserve"> </w:t>
      </w:r>
      <w:r w:rsidRPr="005F1576">
        <w:rPr>
          <w:sz w:val="22"/>
        </w:rPr>
        <w:t xml:space="preserve">located </w:t>
      </w:r>
      <w:r w:rsidRPr="00D041F5">
        <w:rPr>
          <w:sz w:val="22"/>
        </w:rPr>
        <w:t xml:space="preserve">around </w:t>
      </w:r>
      <w:r w:rsidR="005E3633" w:rsidRPr="00D041F5">
        <w:rPr>
          <w:sz w:val="22"/>
        </w:rPr>
        <w:t>the orifices of the body</w:t>
      </w:r>
      <w:r w:rsidR="005E3633" w:rsidRPr="005F1576">
        <w:rPr>
          <w:sz w:val="22"/>
        </w:rPr>
        <w:t xml:space="preserve">, such as </w:t>
      </w:r>
      <w:r w:rsidR="00D607CC" w:rsidRPr="005F1576">
        <w:rPr>
          <w:sz w:val="22"/>
        </w:rPr>
        <w:t xml:space="preserve">on </w:t>
      </w:r>
      <w:r w:rsidRPr="005F1576">
        <w:rPr>
          <w:sz w:val="22"/>
        </w:rPr>
        <w:t>the vermilion border of the lips, on the eyelids, ears</w:t>
      </w:r>
      <w:r w:rsidR="006644FA">
        <w:rPr>
          <w:sz w:val="22"/>
        </w:rPr>
        <w:t>,</w:t>
      </w:r>
      <w:r w:rsidRPr="005F1576">
        <w:rPr>
          <w:sz w:val="22"/>
        </w:rPr>
        <w:t xml:space="preserve"> and the genital </w:t>
      </w:r>
      <w:r w:rsidRPr="00EC2EA6">
        <w:rPr>
          <w:color w:val="auto"/>
          <w:sz w:val="22"/>
        </w:rPr>
        <w:t>area (Figure</w:t>
      </w:r>
      <w:r w:rsidR="009A1C9C" w:rsidRPr="00EC2EA6">
        <w:rPr>
          <w:color w:val="auto"/>
          <w:sz w:val="22"/>
        </w:rPr>
        <w:t xml:space="preserve"> </w:t>
      </w:r>
      <w:r w:rsidRPr="00EC2EA6">
        <w:rPr>
          <w:color w:val="auto"/>
          <w:sz w:val="22"/>
        </w:rPr>
        <w:t>1). Macroscopically</w:t>
      </w:r>
      <w:r w:rsidRPr="005F1576">
        <w:rPr>
          <w:sz w:val="22"/>
        </w:rPr>
        <w:t>, lentigines are flat, poorly circumcised macules, though in African-</w:t>
      </w:r>
      <w:r w:rsidR="009A1C9C" w:rsidRPr="005F1576">
        <w:rPr>
          <w:sz w:val="22"/>
        </w:rPr>
        <w:t xml:space="preserve"> </w:t>
      </w:r>
      <w:r w:rsidRPr="005F1576">
        <w:rPr>
          <w:sz w:val="22"/>
        </w:rPr>
        <w:t>Americans, they may be slightly raised, similar to nevi. They may look like solar lentigines;</w:t>
      </w:r>
      <w:r w:rsidR="009A1C9C" w:rsidRPr="005F1576">
        <w:rPr>
          <w:sz w:val="22"/>
        </w:rPr>
        <w:t xml:space="preserve"> </w:t>
      </w:r>
      <w:r w:rsidRPr="005F1576">
        <w:rPr>
          <w:sz w:val="22"/>
        </w:rPr>
        <w:t>however, they differ as they develop predominantly in areas that have not been exposed to</w:t>
      </w:r>
      <w:r w:rsidR="009A1C9C" w:rsidRPr="005F1576">
        <w:rPr>
          <w:sz w:val="22"/>
        </w:rPr>
        <w:t xml:space="preserve"> </w:t>
      </w:r>
      <w:r w:rsidRPr="005F1576">
        <w:rPr>
          <w:sz w:val="22"/>
        </w:rPr>
        <w:t>sunlight (</w:t>
      </w:r>
      <w:r w:rsidR="005E3633" w:rsidRPr="005F1576">
        <w:rPr>
          <w:sz w:val="22"/>
        </w:rPr>
        <w:t>e.g.,</w:t>
      </w:r>
      <w:r w:rsidRPr="005F1576">
        <w:rPr>
          <w:sz w:val="22"/>
        </w:rPr>
        <w:t xml:space="preserve"> genitalia)</w:t>
      </w:r>
      <w:r w:rsidR="00D607CC" w:rsidRPr="005F1576">
        <w:rPr>
          <w:sz w:val="22"/>
        </w:rPr>
        <w:t xml:space="preserve"> and do not change with sun exposure</w:t>
      </w:r>
      <w:r w:rsidRPr="005F1576">
        <w:rPr>
          <w:sz w:val="22"/>
        </w:rPr>
        <w:t>. Histologically, the hyperpigmentation of CNC lesions is associated with</w:t>
      </w:r>
      <w:r w:rsidR="009A1C9C" w:rsidRPr="005F1576">
        <w:rPr>
          <w:sz w:val="22"/>
        </w:rPr>
        <w:t xml:space="preserve"> </w:t>
      </w:r>
      <w:r w:rsidRPr="005F1576">
        <w:rPr>
          <w:sz w:val="22"/>
        </w:rPr>
        <w:t>melanocytic hyperplasia and hypertrophy, rather than increased melanin production</w:t>
      </w:r>
      <w:r w:rsidR="005E3633" w:rsidRPr="005F1576">
        <w:rPr>
          <w:sz w:val="22"/>
        </w:rPr>
        <w:t xml:space="preserve"> as</w:t>
      </w:r>
      <w:r w:rsidRPr="005F1576">
        <w:rPr>
          <w:sz w:val="22"/>
        </w:rPr>
        <w:t xml:space="preserve"> observed in</w:t>
      </w:r>
      <w:r w:rsidR="009A1C9C" w:rsidRPr="005F1576">
        <w:rPr>
          <w:sz w:val="22"/>
        </w:rPr>
        <w:t xml:space="preserve"> </w:t>
      </w:r>
      <w:r w:rsidRPr="005F1576">
        <w:rPr>
          <w:sz w:val="22"/>
        </w:rPr>
        <w:t xml:space="preserve">solar </w:t>
      </w:r>
      <w:r w:rsidRPr="00EC2EA6">
        <w:rPr>
          <w:color w:val="auto"/>
          <w:sz w:val="22"/>
        </w:rPr>
        <w:t xml:space="preserve">lentigines </w:t>
      </w:r>
      <w:r w:rsidR="005E3633" w:rsidRPr="00EC2EA6">
        <w:rPr>
          <w:color w:val="auto"/>
          <w:sz w:val="22"/>
        </w:rPr>
        <w:fldChar w:fldCharType="begin" w:fldLock="1"/>
      </w:r>
      <w:r w:rsidR="006644FA" w:rsidRPr="00EC2EA6">
        <w:rPr>
          <w:color w:val="auto"/>
          <w:sz w:val="22"/>
        </w:rPr>
        <w:instrText>ADDIN CSL_CITATION {"citationItems":[{"id":"ITEM-1","itemData":{"DOI":"S0190-9622(08)00922-5 [pii] 10.1016/j.jaad.2008.07.032","ISSN":"1097-6787 (Electronic) 0190-9622 (Linking)","author":[{"dropping-particle":"","family":"Mateus","given":"C","non-dropping-particle":"","parse-names":false,"suffix":""},{"dropping-particle":"","family":"Palangie","given":"A","non-dropping-particle":"","parse-names":false,"suffix":""},{"dropping-particle":"","family":"Franck","given":"N","non-dropping-particle":"","parse-names":false,"suffix":""},{"dropping-particle":"","family":"Groussin","given":"L","non-dropping-particle":"","parse-names":false,"suffix":""},{"dropping-particle":"","family":"Bertagna","given":"X","non-dropping-particle":"","parse-names":false,"suffix":""},{"dropping-particle":"","family":"Avril","given":"M F","non-dropping-particle":"","parse-names":false,"suffix":""},{"dropping-particle":"","family":"Bertherat","given":"J","non-dropping-particle":"","parse-names":false,"suffix":""},{"dropping-particle":"","family":"Dupin","given":"N","non-dropping-particle":"","parse-names":false,"suffix":""}],"container-title":"J Am Acad Dermatol","id":"ITEM-1","issue":"5","issued":{"date-parts":[["2008"]]},"page":"801-810","title":"Heterogeneity of skin manifestations in patients with Carney complex","type":"article-journal","volume":"59"},"uris":["http://www.mendeley.com/documents/?uuid=b19c89e7-3731-4eba-893f-7c133bb749ed"]}],"mendeley":{"formattedCitation":"(47)","plainTextFormattedCitation":"(47)","previouslyFormattedCitation":"(47)"},"properties":{"noteIndex":0},"schema":"https://github.com/citation-style-language/schema/raw/master/csl-citation.json"}</w:instrText>
      </w:r>
      <w:r w:rsidR="005E3633" w:rsidRPr="00EC2EA6">
        <w:rPr>
          <w:color w:val="auto"/>
          <w:sz w:val="22"/>
        </w:rPr>
        <w:fldChar w:fldCharType="separate"/>
      </w:r>
      <w:r w:rsidR="006644FA" w:rsidRPr="00EC2EA6">
        <w:rPr>
          <w:noProof/>
          <w:color w:val="auto"/>
          <w:sz w:val="22"/>
        </w:rPr>
        <w:t>(47)</w:t>
      </w:r>
      <w:r w:rsidR="005E3633" w:rsidRPr="00EC2EA6">
        <w:rPr>
          <w:color w:val="auto"/>
          <w:sz w:val="22"/>
        </w:rPr>
        <w:fldChar w:fldCharType="end"/>
      </w:r>
      <w:r w:rsidRPr="00EC2EA6">
        <w:rPr>
          <w:color w:val="auto"/>
          <w:sz w:val="22"/>
        </w:rPr>
        <w:t>.</w:t>
      </w:r>
      <w:r w:rsidR="009A1C9C" w:rsidRPr="00EC2EA6">
        <w:rPr>
          <w:color w:val="auto"/>
          <w:sz w:val="22"/>
        </w:rPr>
        <w:t xml:space="preserve"> </w:t>
      </w:r>
    </w:p>
    <w:p w14:paraId="04D5E32F" w14:textId="77777777" w:rsidR="00547ED8" w:rsidRDefault="00547ED8" w:rsidP="005F1576">
      <w:pPr>
        <w:pStyle w:val="Heading3"/>
        <w:spacing w:before="0" w:line="276" w:lineRule="auto"/>
        <w:jc w:val="left"/>
        <w:rPr>
          <w:sz w:val="22"/>
        </w:rPr>
      </w:pPr>
    </w:p>
    <w:p w14:paraId="68F1AE93" w14:textId="4F68DC3D" w:rsidR="00AD2941" w:rsidRPr="00547ED8" w:rsidRDefault="005049B5" w:rsidP="005F1576">
      <w:pPr>
        <w:pStyle w:val="Heading3"/>
        <w:spacing w:before="0" w:line="276" w:lineRule="auto"/>
        <w:jc w:val="left"/>
        <w:rPr>
          <w:color w:val="FF0000"/>
          <w:sz w:val="22"/>
        </w:rPr>
      </w:pPr>
      <w:r w:rsidRPr="00547ED8">
        <w:rPr>
          <w:color w:val="FF0000"/>
          <w:sz w:val="22"/>
        </w:rPr>
        <w:t>BLUE NEVI</w:t>
      </w:r>
      <w:r w:rsidR="009A1C9C" w:rsidRPr="00547ED8">
        <w:rPr>
          <w:color w:val="FF0000"/>
          <w:sz w:val="22"/>
        </w:rPr>
        <w:t xml:space="preserve"> </w:t>
      </w:r>
    </w:p>
    <w:p w14:paraId="7283A2D2" w14:textId="77777777" w:rsidR="00547ED8" w:rsidRDefault="00547ED8" w:rsidP="005F1576">
      <w:pPr>
        <w:spacing w:before="0" w:line="276" w:lineRule="auto"/>
        <w:jc w:val="left"/>
        <w:rPr>
          <w:sz w:val="22"/>
        </w:rPr>
      </w:pPr>
    </w:p>
    <w:p w14:paraId="13F687F7" w14:textId="285B5F03" w:rsidR="00AD2941" w:rsidRPr="00EC2EA6" w:rsidRDefault="005049B5" w:rsidP="005F1576">
      <w:pPr>
        <w:spacing w:before="0" w:line="276" w:lineRule="auto"/>
        <w:jc w:val="left"/>
        <w:rPr>
          <w:color w:val="auto"/>
          <w:sz w:val="22"/>
        </w:rPr>
      </w:pPr>
      <w:r w:rsidRPr="005F1576">
        <w:rPr>
          <w:sz w:val="22"/>
        </w:rPr>
        <w:t>These are larger lesions (up to 8 mm), blue to black, and dome-shaped. They are less common</w:t>
      </w:r>
      <w:r w:rsidR="009A1C9C" w:rsidRPr="005F1576">
        <w:rPr>
          <w:sz w:val="22"/>
        </w:rPr>
        <w:t xml:space="preserve"> </w:t>
      </w:r>
      <w:r w:rsidR="00D607CC" w:rsidRPr="005F1576">
        <w:rPr>
          <w:sz w:val="22"/>
        </w:rPr>
        <w:t xml:space="preserve">than lentigines </w:t>
      </w:r>
      <w:r w:rsidR="00D607CC" w:rsidRPr="00D041F5">
        <w:rPr>
          <w:sz w:val="22"/>
        </w:rPr>
        <w:t>but still represent the second most frequent skin manifestation</w:t>
      </w:r>
      <w:r w:rsidR="00D607CC" w:rsidRPr="005F1576">
        <w:rPr>
          <w:sz w:val="22"/>
        </w:rPr>
        <w:t xml:space="preserve"> in CNC. They </w:t>
      </w:r>
      <w:r w:rsidRPr="005F1576">
        <w:rPr>
          <w:sz w:val="22"/>
        </w:rPr>
        <w:t>may be multiple with a variable distribution. Histologically, they may present features of</w:t>
      </w:r>
      <w:r w:rsidR="009A1C9C" w:rsidRPr="005F1576">
        <w:rPr>
          <w:sz w:val="22"/>
        </w:rPr>
        <w:t xml:space="preserve"> </w:t>
      </w:r>
      <w:r w:rsidRPr="005F1576">
        <w:rPr>
          <w:sz w:val="22"/>
        </w:rPr>
        <w:lastRenderedPageBreak/>
        <w:t>epithelioid, junctional</w:t>
      </w:r>
      <w:r w:rsidR="006644FA">
        <w:rPr>
          <w:sz w:val="22"/>
        </w:rPr>
        <w:t>,</w:t>
      </w:r>
      <w:r w:rsidRPr="005F1576">
        <w:rPr>
          <w:sz w:val="22"/>
        </w:rPr>
        <w:t xml:space="preserve"> or even compound nevi. Epithelioid blue nevi, currently known as</w:t>
      </w:r>
      <w:r w:rsidR="009A1C9C" w:rsidRPr="005F1576">
        <w:rPr>
          <w:sz w:val="22"/>
        </w:rPr>
        <w:t xml:space="preserve"> </w:t>
      </w:r>
      <w:r w:rsidRPr="005F1576">
        <w:rPr>
          <w:sz w:val="22"/>
        </w:rPr>
        <w:t xml:space="preserve">Pigmented Epithelioid Melanocytomas, comprise a class of </w:t>
      </w:r>
      <w:r w:rsidR="00697876" w:rsidRPr="005F1576">
        <w:rPr>
          <w:sz w:val="22"/>
        </w:rPr>
        <w:t xml:space="preserve">uncommon </w:t>
      </w:r>
      <w:r w:rsidRPr="005F1576">
        <w:rPr>
          <w:sz w:val="22"/>
        </w:rPr>
        <w:t>melanocytic tumors of intermediate</w:t>
      </w:r>
      <w:r w:rsidR="009A1C9C" w:rsidRPr="005F1576">
        <w:rPr>
          <w:sz w:val="22"/>
        </w:rPr>
        <w:t xml:space="preserve"> </w:t>
      </w:r>
      <w:r w:rsidRPr="005F1576">
        <w:rPr>
          <w:sz w:val="22"/>
        </w:rPr>
        <w:t>malignancy, which may frequently present lymph nodes metastasis but rarely disseminate to</w:t>
      </w:r>
      <w:r w:rsidR="009A1C9C" w:rsidRPr="005F1576">
        <w:rPr>
          <w:sz w:val="22"/>
        </w:rPr>
        <w:t xml:space="preserve"> </w:t>
      </w:r>
      <w:r w:rsidRPr="005F1576">
        <w:rPr>
          <w:sz w:val="22"/>
        </w:rPr>
        <w:t xml:space="preserve">distant </w:t>
      </w:r>
      <w:r w:rsidRPr="00EC2EA6">
        <w:rPr>
          <w:color w:val="auto"/>
          <w:sz w:val="22"/>
        </w:rPr>
        <w:t xml:space="preserve">organs </w:t>
      </w:r>
      <w:r w:rsidR="009328A6" w:rsidRPr="00EC2EA6">
        <w:rPr>
          <w:color w:val="auto"/>
          <w:sz w:val="22"/>
        </w:rPr>
        <w:fldChar w:fldCharType="begin" w:fldLock="1"/>
      </w:r>
      <w:r w:rsidR="006644FA" w:rsidRPr="00EC2EA6">
        <w:rPr>
          <w:color w:val="auto"/>
          <w:sz w:val="22"/>
        </w:rPr>
        <w:instrText>ADDIN CSL_CITATION {"citationItems":[{"id":"ITEM-1","itemData":{"DOI":"10.3389/FENDO.2019.00916/BIBTEX","ISSN":"16642392","abstract":"Male hypogonadism, the clinical syndrome with variable symptoms associated with gonadal dysfunction, can affect men of all ages. In older males, physiologic changes of the aging testis, account for the majority of decreased testosterone levels in this population. For younger males and adolescents, the etiology of hypogonadism is commonly due to congenital or acquired conditions that disrupt the testis production of testosterone or signaling from the hypothalamic-pituitary-gonadal axis. Diagnosis of hypogonadism in younger males can be a challenge, as symptoms such as decreased libido or erectile dysfunction, common in the older men, are not usually present, and young men instead commonly complain of low energy. While an underlying congenital cause should always be considered in young men with hypogonadism, acquired conditions such as obesity, diabetes, anabolic steroid or illicit drug use have all been associated with low testosterone levels. Outside of modifying identifiable risk factors for hypogonadism, pharmacologic testosterone therapy can also lead to therapeutic dilemmas in young men who desire paternity. Topical or injectable administration of testosterone, through negative feedback on the hypothalamus and pituitary, can decrease spermatogenesis, posing an infertility risk. Other agents that can replace testosterone or increase the body's natural production of testosterone without decreasing spermatogenesis are preferred, such as intranasal testosterone, selective estrogen modulators, aromatase inhibitors or human-chorionic gonadotrophin, often used in combination. Clinicians must maintain a high level of suspicion to properly diagnose young men with hypogonadism and tailor treatment based on both the underlying etiology and fertility goals.","author":[{"dropping-particle":"","family":"Cohen","given":"Jordan","non-dropping-particle":"","parse-names":false,"suffix":""},{"dropping-particle":"","family":"Nassau","given":"Daniel E.","non-dropping-particle":"","parse-names":false,"suffix":""},{"dropping-particle":"","family":"Patel","given":"Premal","non-dropping-particle":"","parse-names":false,"suffix":""},{"dropping-particle":"","family":"Ramasamy","given":"Ranjith","non-dropping-particle":"","parse-names":false,"suffix":""}],"container-title":"Frontiers in Endocrinology","id":"ITEM-1","issued":{"date-parts":[["2020","1","10"]]},"page":"916","publisher":"Frontiers Media S.A.","title":"Low Testosterone in Adolescents &amp; Young Adults","type":"article-journal","volume":"10"},"uris":["http://www.mendeley.com/documents/?uuid=f7dcb8e3-2218-33ea-a466-d99feacb52dd"]}],"mendeley":{"formattedCitation":"(48)","plainTextFormattedCitation":"(48)","previouslyFormattedCitation":"(48)"},"properties":{"noteIndex":0},"schema":"https://github.com/citation-style-language/schema/raw/master/csl-citation.json"}</w:instrText>
      </w:r>
      <w:r w:rsidR="009328A6" w:rsidRPr="00EC2EA6">
        <w:rPr>
          <w:color w:val="auto"/>
          <w:sz w:val="22"/>
        </w:rPr>
        <w:fldChar w:fldCharType="separate"/>
      </w:r>
      <w:r w:rsidR="006644FA" w:rsidRPr="00EC2EA6">
        <w:rPr>
          <w:noProof/>
          <w:color w:val="auto"/>
          <w:sz w:val="22"/>
        </w:rPr>
        <w:t>(48)</w:t>
      </w:r>
      <w:r w:rsidR="009328A6" w:rsidRPr="00EC2EA6">
        <w:rPr>
          <w:color w:val="auto"/>
          <w:sz w:val="22"/>
        </w:rPr>
        <w:fldChar w:fldCharType="end"/>
      </w:r>
      <w:r w:rsidRPr="00EC2EA6">
        <w:rPr>
          <w:color w:val="auto"/>
          <w:sz w:val="22"/>
        </w:rPr>
        <w:t>.</w:t>
      </w:r>
      <w:r w:rsidR="009A1C9C" w:rsidRPr="00EC2EA6">
        <w:rPr>
          <w:color w:val="auto"/>
          <w:sz w:val="22"/>
        </w:rPr>
        <w:t xml:space="preserve"> </w:t>
      </w:r>
    </w:p>
    <w:p w14:paraId="283C6E1D" w14:textId="77777777" w:rsidR="00F83385" w:rsidRPr="005F1576" w:rsidRDefault="00F83385" w:rsidP="005F1576">
      <w:pPr>
        <w:spacing w:before="0" w:line="276" w:lineRule="auto"/>
        <w:jc w:val="left"/>
        <w:rPr>
          <w:sz w:val="22"/>
        </w:rPr>
      </w:pPr>
    </w:p>
    <w:p w14:paraId="798FFAC3" w14:textId="77777777" w:rsidR="00AD2941" w:rsidRPr="005F1576" w:rsidRDefault="005049B5" w:rsidP="005F1576">
      <w:pPr>
        <w:pStyle w:val="Heading2"/>
        <w:spacing w:before="0" w:line="276" w:lineRule="auto"/>
        <w:jc w:val="left"/>
        <w:rPr>
          <w:sz w:val="22"/>
        </w:rPr>
      </w:pPr>
      <w:r w:rsidRPr="00547ED8">
        <w:rPr>
          <w:color w:val="00B050"/>
          <w:sz w:val="22"/>
        </w:rPr>
        <w:t>Myxomas</w:t>
      </w:r>
      <w:r w:rsidR="009A1C9C" w:rsidRPr="005F1576">
        <w:rPr>
          <w:sz w:val="22"/>
        </w:rPr>
        <w:t xml:space="preserve"> </w:t>
      </w:r>
    </w:p>
    <w:p w14:paraId="08F1CA33" w14:textId="77777777" w:rsidR="00547ED8" w:rsidRDefault="00547ED8" w:rsidP="005F1576">
      <w:pPr>
        <w:pStyle w:val="Heading3"/>
        <w:spacing w:before="0" w:line="276" w:lineRule="auto"/>
        <w:jc w:val="left"/>
        <w:rPr>
          <w:sz w:val="22"/>
        </w:rPr>
      </w:pPr>
    </w:p>
    <w:p w14:paraId="54523E54" w14:textId="3F0A4B26" w:rsidR="00AD2941" w:rsidRPr="00547ED8" w:rsidRDefault="005049B5" w:rsidP="005F1576">
      <w:pPr>
        <w:pStyle w:val="Heading3"/>
        <w:spacing w:before="0" w:line="276" w:lineRule="auto"/>
        <w:jc w:val="left"/>
        <w:rPr>
          <w:color w:val="FF0000"/>
          <w:sz w:val="22"/>
        </w:rPr>
      </w:pPr>
      <w:r w:rsidRPr="00547ED8">
        <w:rPr>
          <w:color w:val="FF0000"/>
          <w:sz w:val="22"/>
        </w:rPr>
        <w:t>CUTANEOUS MYXOMAS</w:t>
      </w:r>
      <w:r w:rsidR="009A1C9C" w:rsidRPr="00547ED8">
        <w:rPr>
          <w:color w:val="FF0000"/>
          <w:sz w:val="22"/>
        </w:rPr>
        <w:t xml:space="preserve"> </w:t>
      </w:r>
    </w:p>
    <w:p w14:paraId="32BCFE15" w14:textId="77777777" w:rsidR="00547ED8" w:rsidRPr="00547ED8" w:rsidRDefault="00547ED8" w:rsidP="005F1576">
      <w:pPr>
        <w:spacing w:before="0" w:line="276" w:lineRule="auto"/>
        <w:jc w:val="left"/>
        <w:rPr>
          <w:color w:val="FF0000"/>
          <w:sz w:val="22"/>
        </w:rPr>
      </w:pPr>
    </w:p>
    <w:p w14:paraId="4DD95B4F" w14:textId="716E607C" w:rsidR="00907168" w:rsidRPr="00EC2EA6" w:rsidRDefault="005049B5" w:rsidP="005F1576">
      <w:pPr>
        <w:spacing w:before="0" w:line="276" w:lineRule="auto"/>
        <w:jc w:val="left"/>
        <w:rPr>
          <w:color w:val="auto"/>
          <w:sz w:val="22"/>
        </w:rPr>
      </w:pPr>
      <w:r w:rsidRPr="005F1576">
        <w:rPr>
          <w:sz w:val="22"/>
        </w:rPr>
        <w:t>The skin myxomas present as non-pigmented subcutaneous nodules with a smooth surface and</w:t>
      </w:r>
      <w:r w:rsidR="009A1C9C" w:rsidRPr="005F1576">
        <w:rPr>
          <w:sz w:val="22"/>
        </w:rPr>
        <w:t xml:space="preserve"> </w:t>
      </w:r>
      <w:r w:rsidRPr="005F1576">
        <w:rPr>
          <w:sz w:val="22"/>
        </w:rPr>
        <w:t xml:space="preserve">may look white, flesh-colored, opalescent, or pink </w:t>
      </w:r>
      <w:r w:rsidRPr="00D041F5">
        <w:rPr>
          <w:color w:val="auto"/>
          <w:sz w:val="22"/>
        </w:rPr>
        <w:t xml:space="preserve">(Figure 4). They </w:t>
      </w:r>
      <w:r w:rsidRPr="005F1576">
        <w:rPr>
          <w:sz w:val="22"/>
        </w:rPr>
        <w:t>are generally</w:t>
      </w:r>
      <w:r w:rsidR="009A1C9C" w:rsidRPr="005F1576">
        <w:rPr>
          <w:sz w:val="22"/>
        </w:rPr>
        <w:t xml:space="preserve"> </w:t>
      </w:r>
      <w:r w:rsidRPr="005F1576">
        <w:rPr>
          <w:sz w:val="22"/>
        </w:rPr>
        <w:t>asymptomatic and appear up to the fourth decade. Myxomas can emerge on the face and trunk,</w:t>
      </w:r>
      <w:r w:rsidR="009A1C9C" w:rsidRPr="005F1576">
        <w:rPr>
          <w:sz w:val="22"/>
        </w:rPr>
        <w:t xml:space="preserve"> </w:t>
      </w:r>
      <w:r w:rsidRPr="005F1576">
        <w:rPr>
          <w:sz w:val="22"/>
        </w:rPr>
        <w:t>while typical sights in CNC are the eyelids (the most common site), external ear canal, and</w:t>
      </w:r>
      <w:r w:rsidR="009A1C9C" w:rsidRPr="005F1576">
        <w:rPr>
          <w:sz w:val="22"/>
        </w:rPr>
        <w:t xml:space="preserve"> </w:t>
      </w:r>
      <w:r w:rsidRPr="005F1576">
        <w:rPr>
          <w:sz w:val="22"/>
        </w:rPr>
        <w:t xml:space="preserve">nipples. </w:t>
      </w:r>
      <w:r w:rsidR="00F83385" w:rsidRPr="005F1576">
        <w:rPr>
          <w:sz w:val="22"/>
        </w:rPr>
        <w:t>Less common sites of myxoma formation include the oropharynx (tongue, hard palate, and pharynx) and the female genital tract (uterus, cervix</w:t>
      </w:r>
      <w:r w:rsidR="006644FA">
        <w:rPr>
          <w:sz w:val="22"/>
        </w:rPr>
        <w:t>,</w:t>
      </w:r>
      <w:r w:rsidR="00F83385" w:rsidRPr="005F1576">
        <w:rPr>
          <w:sz w:val="22"/>
        </w:rPr>
        <w:t xml:space="preserve"> and vagina). </w:t>
      </w:r>
      <w:r w:rsidRPr="005F1576">
        <w:rPr>
          <w:sz w:val="22"/>
        </w:rPr>
        <w:t xml:space="preserve">Interestingly, hands and feet are </w:t>
      </w:r>
      <w:r w:rsidRPr="00EC2EA6">
        <w:rPr>
          <w:color w:val="auto"/>
          <w:sz w:val="22"/>
        </w:rPr>
        <w:t xml:space="preserve">preserved </w:t>
      </w:r>
      <w:r w:rsidR="004D4A33" w:rsidRPr="00EC2EA6">
        <w:rPr>
          <w:color w:val="auto"/>
          <w:sz w:val="22"/>
        </w:rPr>
        <w:fldChar w:fldCharType="begin" w:fldLock="1"/>
      </w:r>
      <w:r w:rsidR="006644FA" w:rsidRPr="00EC2EA6">
        <w:rPr>
          <w:color w:val="auto"/>
          <w:sz w:val="22"/>
        </w:rPr>
        <w:instrText>ADDIN CSL_CITATION {"citationItems":[{"id":"ITEM-1","itemData":{"DOI":"S0190-9622(08)00922-5 [pii] 10.1016/j.jaad.2008.07.032","ISSN":"1097-6787 (Electronic) 0190-9622 (Linking)","author":[{"dropping-particle":"","family":"Mateus","given":"C","non-dropping-particle":"","parse-names":false,"suffix":""},{"dropping-particle":"","family":"Palangie","given":"A","non-dropping-particle":"","parse-names":false,"suffix":""},{"dropping-particle":"","family":"Franck","given":"N","non-dropping-particle":"","parse-names":false,"suffix":""},{"dropping-particle":"","family":"Groussin","given":"L","non-dropping-particle":"","parse-names":false,"suffix":""},{"dropping-particle":"","family":"Bertagna","given":"X","non-dropping-particle":"","parse-names":false,"suffix":""},{"dropping-particle":"","family":"Avril","given":"M F","non-dropping-particle":"","parse-names":false,"suffix":""},{"dropping-particle":"","family":"Bertherat","given":"J","non-dropping-particle":"","parse-names":false,"suffix":""},{"dropping-particle":"","family":"Dupin","given":"N","non-dropping-particle":"","parse-names":false,"suffix":""}],"container-title":"J Am Acad Dermatol","id":"ITEM-1","issue":"5","issued":{"date-parts":[["2008"]]},"page":"801-810","title":"Heterogeneity of skin manifestations in patients with Carney complex","type":"article-journal","volume":"59"},"uris":["http://www.mendeley.com/documents/?uuid=b19c89e7-3731-4eba-893f-7c133bb749ed"]}],"mendeley":{"formattedCitation":"(47)","plainTextFormattedCitation":"(47)","previouslyFormattedCitation":"(47)"},"properties":{"noteIndex":0},"schema":"https://github.com/citation-style-language/schema/raw/master/csl-citation.json"}</w:instrText>
      </w:r>
      <w:r w:rsidR="004D4A33" w:rsidRPr="00EC2EA6">
        <w:rPr>
          <w:color w:val="auto"/>
          <w:sz w:val="22"/>
        </w:rPr>
        <w:fldChar w:fldCharType="separate"/>
      </w:r>
      <w:r w:rsidR="006644FA" w:rsidRPr="00EC2EA6">
        <w:rPr>
          <w:noProof/>
          <w:color w:val="auto"/>
          <w:sz w:val="22"/>
        </w:rPr>
        <w:t>(47)</w:t>
      </w:r>
      <w:r w:rsidR="004D4A33" w:rsidRPr="00EC2EA6">
        <w:rPr>
          <w:color w:val="auto"/>
          <w:sz w:val="22"/>
        </w:rPr>
        <w:fldChar w:fldCharType="end"/>
      </w:r>
      <w:r w:rsidRPr="00EC2EA6">
        <w:rPr>
          <w:color w:val="auto"/>
          <w:sz w:val="22"/>
        </w:rPr>
        <w:t>. Clinical diagnosis is quite difficult as</w:t>
      </w:r>
      <w:r w:rsidR="009A1C9C" w:rsidRPr="00EC2EA6">
        <w:rPr>
          <w:color w:val="auto"/>
          <w:sz w:val="22"/>
        </w:rPr>
        <w:t xml:space="preserve"> </w:t>
      </w:r>
      <w:r w:rsidRPr="00EC2EA6">
        <w:rPr>
          <w:color w:val="auto"/>
          <w:sz w:val="22"/>
        </w:rPr>
        <w:t>they are often confused with common “skin tags” and other overgrowths, thus histological</w:t>
      </w:r>
      <w:r w:rsidR="009A1C9C" w:rsidRPr="00EC2EA6">
        <w:rPr>
          <w:color w:val="auto"/>
          <w:sz w:val="22"/>
        </w:rPr>
        <w:t xml:space="preserve"> </w:t>
      </w:r>
      <w:r w:rsidRPr="00EC2EA6">
        <w:rPr>
          <w:color w:val="auto"/>
          <w:sz w:val="22"/>
        </w:rPr>
        <w:t>confirmation is usually required. Lesions can be localized to the upper dermis and subcutis and</w:t>
      </w:r>
      <w:r w:rsidR="009A1C9C" w:rsidRPr="00EC2EA6">
        <w:rPr>
          <w:color w:val="auto"/>
          <w:sz w:val="22"/>
        </w:rPr>
        <w:t xml:space="preserve"> </w:t>
      </w:r>
      <w:r w:rsidRPr="00EC2EA6">
        <w:rPr>
          <w:color w:val="auto"/>
          <w:sz w:val="22"/>
        </w:rPr>
        <w:t xml:space="preserve">consist of polygonal to stellate </w:t>
      </w:r>
      <w:r w:rsidR="004D4A33" w:rsidRPr="00EC2EA6">
        <w:rPr>
          <w:color w:val="auto"/>
          <w:sz w:val="22"/>
        </w:rPr>
        <w:t xml:space="preserve">dermal fibroblasts </w:t>
      </w:r>
      <w:r w:rsidRPr="00EC2EA6">
        <w:rPr>
          <w:color w:val="auto"/>
          <w:sz w:val="22"/>
        </w:rPr>
        <w:t xml:space="preserve">scattered singly or in </w:t>
      </w:r>
      <w:r w:rsidR="004D4A33" w:rsidRPr="00EC2EA6">
        <w:rPr>
          <w:color w:val="auto"/>
          <w:sz w:val="22"/>
        </w:rPr>
        <w:t xml:space="preserve">non-encapsulated </w:t>
      </w:r>
      <w:r w:rsidRPr="00EC2EA6">
        <w:rPr>
          <w:color w:val="auto"/>
          <w:sz w:val="22"/>
        </w:rPr>
        <w:t>clusters against an abundant</w:t>
      </w:r>
      <w:r w:rsidR="009A1C9C" w:rsidRPr="00EC2EA6">
        <w:rPr>
          <w:color w:val="auto"/>
          <w:sz w:val="22"/>
        </w:rPr>
        <w:t xml:space="preserve"> </w:t>
      </w:r>
      <w:r w:rsidRPr="00EC2EA6">
        <w:rPr>
          <w:color w:val="auto"/>
          <w:sz w:val="22"/>
        </w:rPr>
        <w:t xml:space="preserve">basophilic myxoid matrix </w:t>
      </w:r>
      <w:r w:rsidR="004D4A33" w:rsidRPr="00EC2EA6">
        <w:rPr>
          <w:color w:val="auto"/>
          <w:sz w:val="22"/>
        </w:rPr>
        <w:fldChar w:fldCharType="begin" w:fldLock="1"/>
      </w:r>
      <w:r w:rsidR="006644FA" w:rsidRPr="00EC2EA6">
        <w:rPr>
          <w:color w:val="auto"/>
          <w:sz w:val="22"/>
        </w:rPr>
        <w:instrText>ADDIN CSL_CITATION {"citationItems":[{"id":"ITEM-1","itemData":{"ISSN":"0025-7974 (Print) 0025-7974 (Linking)","author":[{"dropping-particle":"","family":"Carney","given":"J A","non-dropping-particle":"","parse-names":false,"suffix":""},{"dropping-particle":"","family":"Gordon","given":"H","non-dropping-particle":"","parse-names":false,"suffix":""},{"dropping-particle":"","family":"Carpenter","given":"P C","non-dropping-particle":"","parse-names":false,"suffix":""},{"dropping-particle":"V","family":"Shenoy","given":"B","non-dropping-particle":"","parse-names":false,"suffix":""},{"dropping-particle":"","family":"Go","given":"V L","non-dropping-particle":"","parse-names":false,"suffix":""}],"container-title":"Medicine (Baltimore)","id":"ITEM-1","issue":"4","issued":{"date-parts":[["1985"]]},"page":"270-283","title":"The complex of myxomas, spotty pigmentation, and endocrine overactivity","type":"article-journal","volume":"64"},"uris":["http://www.mendeley.com/documents/?uuid=a1e4890e-1045-4b74-bb02-7201736ee4d5"]}],"mendeley":{"formattedCitation":"(2)","plainTextFormattedCitation":"(2)","previouslyFormattedCitation":"(2)"},"properties":{"noteIndex":0},"schema":"https://github.com/citation-style-language/schema/raw/master/csl-citation.json"}</w:instrText>
      </w:r>
      <w:r w:rsidR="004D4A33" w:rsidRPr="00EC2EA6">
        <w:rPr>
          <w:color w:val="auto"/>
          <w:sz w:val="22"/>
        </w:rPr>
        <w:fldChar w:fldCharType="separate"/>
      </w:r>
      <w:r w:rsidR="006644FA" w:rsidRPr="00EC2EA6">
        <w:rPr>
          <w:noProof/>
          <w:color w:val="auto"/>
          <w:sz w:val="22"/>
        </w:rPr>
        <w:t>(2)</w:t>
      </w:r>
      <w:r w:rsidR="004D4A33" w:rsidRPr="00EC2EA6">
        <w:rPr>
          <w:color w:val="auto"/>
          <w:sz w:val="22"/>
        </w:rPr>
        <w:fldChar w:fldCharType="end"/>
      </w:r>
      <w:r w:rsidRPr="00EC2EA6">
        <w:rPr>
          <w:color w:val="auto"/>
          <w:sz w:val="22"/>
        </w:rPr>
        <w:t xml:space="preserve">. Although cutaneous myxomas have minimal impact </w:t>
      </w:r>
      <w:r w:rsidR="006644FA" w:rsidRPr="00EC2EA6">
        <w:rPr>
          <w:color w:val="auto"/>
          <w:sz w:val="22"/>
        </w:rPr>
        <w:t>o</w:t>
      </w:r>
      <w:r w:rsidRPr="00EC2EA6">
        <w:rPr>
          <w:color w:val="auto"/>
          <w:sz w:val="22"/>
        </w:rPr>
        <w:t>n the clinical</w:t>
      </w:r>
      <w:r w:rsidR="009A1C9C" w:rsidRPr="00EC2EA6">
        <w:rPr>
          <w:color w:val="auto"/>
          <w:sz w:val="22"/>
        </w:rPr>
        <w:t xml:space="preserve"> </w:t>
      </w:r>
      <w:r w:rsidRPr="00EC2EA6">
        <w:rPr>
          <w:color w:val="auto"/>
          <w:sz w:val="22"/>
        </w:rPr>
        <w:t xml:space="preserve">course of CNC, their recognition is crucial since they </w:t>
      </w:r>
      <w:r w:rsidR="004D4A33" w:rsidRPr="00EC2EA6">
        <w:rPr>
          <w:color w:val="auto"/>
          <w:sz w:val="22"/>
        </w:rPr>
        <w:t xml:space="preserve">are the </w:t>
      </w:r>
      <w:r w:rsidR="00F83385" w:rsidRPr="00EC2EA6">
        <w:rPr>
          <w:color w:val="auto"/>
          <w:sz w:val="22"/>
        </w:rPr>
        <w:t xml:space="preserve">most specific manifestation of CNC and </w:t>
      </w:r>
      <w:r w:rsidRPr="00EC2EA6">
        <w:rPr>
          <w:color w:val="auto"/>
          <w:sz w:val="22"/>
        </w:rPr>
        <w:t>may herald the presence of a potentially</w:t>
      </w:r>
      <w:r w:rsidR="009A1C9C" w:rsidRPr="00EC2EA6">
        <w:rPr>
          <w:color w:val="auto"/>
          <w:sz w:val="22"/>
        </w:rPr>
        <w:t xml:space="preserve"> </w:t>
      </w:r>
      <w:r w:rsidRPr="00EC2EA6">
        <w:rPr>
          <w:color w:val="auto"/>
          <w:sz w:val="22"/>
        </w:rPr>
        <w:t xml:space="preserve">fatal cardiac myxoma </w:t>
      </w:r>
      <w:r w:rsidR="004D4A33" w:rsidRPr="00EC2EA6">
        <w:rPr>
          <w:color w:val="auto"/>
          <w:sz w:val="22"/>
        </w:rPr>
        <w:fldChar w:fldCharType="begin" w:fldLock="1"/>
      </w:r>
      <w:r w:rsidR="006644FA" w:rsidRPr="00EC2EA6">
        <w:rPr>
          <w:color w:val="auto"/>
          <w:sz w:val="22"/>
        </w:rPr>
        <w:instrText>ADDIN CSL_CITATION {"citationItems":[{"id":"ITEM-1","itemData":{"DOI":"10.1038/s41436-020-00956-3","ISSN":"15300366","PMID":"32893266","abstract":"Purpose: Carney complex (CNC), is an autosomal dominant multiple neoplasia and lentiginosis syndrome. We aimed to identify risk factors associated with the occurrence and recurrence of cardiac myxomas, the predominant cause of death in CNC patients. Methods: Patients with CNC were monitored prospectively between 1995 and 2020 for the development of cardiac myxomas. Results: Of the 319 patients studied, 136 (42.6%) developed myxomas. The mean age at diagnosis was 28.7 ± 16.6 years in females and 25.0 ± 16.4 years in males. By age 30, 35% of females and 45% of males had at least one myxoma. The CNC-related lesions, lentigines, cutaneous, mucosal, or breast myxomas, thyroid nodules, pituitary adenoma, and schwannoma were significantly more frequent (all p &lt; 0.05) among patients with myxomas. Forty-four percent of patients had recurrences; nearly all within the first 8 and 16 years for males and females, respectively. Recurrences were more common in females. Conclusion: This is the largest study to date and provides the first-time risk estimates by age and gender for cardiac myxomas in CNC patients. Cardiac myxomas are common by age 30 and often recur, especially in women, but the risk drops in 10 to 20 years. These findings may guide patient counseling, screening intervals, and surgical approaches. Clinical Trial Registration: Clinical Trial Registration: Defining the Genetic Basis for the Development of Primary Pigmented Nodular Adrenocortical Disease and the Carney complex, Registration number: NCT00001452 URL: https://clinicaltrials.gov/ct2/show/NCT00001452.","author":[{"dropping-particle":"","family":"Pitsava","given":"Georgia","non-dropping-particle":"","parse-names":false,"suffix":""},{"dropping-particle":"","family":"Zhu","given":"Chunming","non-dropping-particle":"","parse-names":false,"suffix":""},{"dropping-particle":"","family":"Sundaram","given":"Rajeshwari","non-dropping-particle":"","parse-names":false,"suffix":""},{"dropping-particle":"","family":"Mills","given":"James L.","non-dropping-particle":"","parse-names":false,"suffix":""},{"dropping-particle":"","family":"Stratakis","given":"Constantine A.","non-dropping-particle":"","parse-names":false,"suffix":""}],"container-title":"Genetics in Medicine","id":"ITEM-1","issue":"1","issued":{"date-parts":[["2021","1","1"]]},"page":"80-85","publisher":"Springer Nature","title":"Predicting the risk of cardiac myxoma in Carney complex","type":"article-journal","volume":"23"},"uris":["http://www.mendeley.com/documents/?uuid=311b878b-e909-3ea8-b6b9-98cb35ebe34b"]}],"mendeley":{"formattedCitation":"(49)","plainTextFormattedCitation":"(49)","previouslyFormattedCitation":"(49)"},"properties":{"noteIndex":0},"schema":"https://github.com/citation-style-language/schema/raw/master/csl-citation.json"}</w:instrText>
      </w:r>
      <w:r w:rsidR="004D4A33" w:rsidRPr="00EC2EA6">
        <w:rPr>
          <w:color w:val="auto"/>
          <w:sz w:val="22"/>
        </w:rPr>
        <w:fldChar w:fldCharType="separate"/>
      </w:r>
      <w:r w:rsidR="006644FA" w:rsidRPr="00EC2EA6">
        <w:rPr>
          <w:noProof/>
          <w:color w:val="auto"/>
          <w:sz w:val="22"/>
        </w:rPr>
        <w:t>(49)</w:t>
      </w:r>
      <w:r w:rsidR="004D4A33" w:rsidRPr="00EC2EA6">
        <w:rPr>
          <w:color w:val="auto"/>
          <w:sz w:val="22"/>
        </w:rPr>
        <w:fldChar w:fldCharType="end"/>
      </w:r>
    </w:p>
    <w:p w14:paraId="41B897EC" w14:textId="77777777" w:rsidR="00717D10" w:rsidRDefault="00717D10" w:rsidP="005F1576">
      <w:pPr>
        <w:spacing w:before="0" w:line="276" w:lineRule="auto"/>
        <w:jc w:val="left"/>
        <w:rPr>
          <w:color w:val="4472C4" w:themeColor="accent1"/>
          <w:sz w:val="22"/>
        </w:rPr>
      </w:pPr>
    </w:p>
    <w:p w14:paraId="2CD5F31D" w14:textId="6F2F9753" w:rsidR="00717D10" w:rsidRPr="005F1576" w:rsidRDefault="00717D10" w:rsidP="005F1576">
      <w:pPr>
        <w:spacing w:before="0" w:line="276" w:lineRule="auto"/>
        <w:jc w:val="left"/>
        <w:rPr>
          <w:color w:val="4472C4" w:themeColor="accent1"/>
          <w:sz w:val="22"/>
        </w:rPr>
      </w:pPr>
      <w:r>
        <w:rPr>
          <w:noProof/>
          <w:color w:val="4472C4" w:themeColor="accent1"/>
          <w:sz w:val="22"/>
        </w:rPr>
        <w:lastRenderedPageBreak/>
        <w:drawing>
          <wp:inline distT="0" distB="0" distL="0" distR="0" wp14:anchorId="0FCD4BF5" wp14:editId="70B8B7E3">
            <wp:extent cx="5943600" cy="4440555"/>
            <wp:effectExtent l="0" t="0" r="0" b="0"/>
            <wp:docPr id="1898524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24534" name="Picture 1898524534"/>
                    <pic:cNvPicPr/>
                  </pic:nvPicPr>
                  <pic:blipFill>
                    <a:blip r:embed="rId11">
                      <a:extLst>
                        <a:ext uri="{28A0092B-C50C-407E-A947-70E740481C1C}">
                          <a14:useLocalDpi xmlns:a14="http://schemas.microsoft.com/office/drawing/2010/main" val="0"/>
                        </a:ext>
                      </a:extLst>
                    </a:blip>
                    <a:stretch>
                      <a:fillRect/>
                    </a:stretch>
                  </pic:blipFill>
                  <pic:spPr>
                    <a:xfrm>
                      <a:off x="0" y="0"/>
                      <a:ext cx="5943600" cy="4440555"/>
                    </a:xfrm>
                    <a:prstGeom prst="rect">
                      <a:avLst/>
                    </a:prstGeom>
                  </pic:spPr>
                </pic:pic>
              </a:graphicData>
            </a:graphic>
          </wp:inline>
        </w:drawing>
      </w:r>
    </w:p>
    <w:p w14:paraId="28434200" w14:textId="5E148A20" w:rsidR="00547ED8" w:rsidRPr="001A69FB" w:rsidRDefault="001A69FB" w:rsidP="005F1576">
      <w:pPr>
        <w:pStyle w:val="Heading3"/>
        <w:spacing w:before="0" w:line="276" w:lineRule="auto"/>
        <w:jc w:val="left"/>
        <w:rPr>
          <w:b/>
          <w:bCs/>
          <w:sz w:val="22"/>
        </w:rPr>
      </w:pPr>
      <w:r w:rsidRPr="001A69FB">
        <w:rPr>
          <w:b/>
          <w:bCs/>
          <w:sz w:val="22"/>
        </w:rPr>
        <w:t>Figure 4. Cutaneous myxoma on the right flank of a CNC patient. With permission from Dermatology Online Journal 2004; 10 (3): 11.</w:t>
      </w:r>
    </w:p>
    <w:p w14:paraId="5E6E7ADF" w14:textId="77777777" w:rsidR="00717D10" w:rsidRPr="00717D10" w:rsidRDefault="00717D10" w:rsidP="00717D10"/>
    <w:p w14:paraId="551CFCA6" w14:textId="71215EEB" w:rsidR="00AD2941" w:rsidRPr="005F1576" w:rsidRDefault="005049B5" w:rsidP="005F1576">
      <w:pPr>
        <w:pStyle w:val="Heading3"/>
        <w:spacing w:before="0" w:line="276" w:lineRule="auto"/>
        <w:jc w:val="left"/>
        <w:rPr>
          <w:sz w:val="22"/>
        </w:rPr>
      </w:pPr>
      <w:r w:rsidRPr="00547ED8">
        <w:rPr>
          <w:color w:val="FF0000"/>
          <w:sz w:val="22"/>
        </w:rPr>
        <w:t>CARDIAC MYXOMAS</w:t>
      </w:r>
      <w:r w:rsidR="009A1C9C" w:rsidRPr="00547ED8">
        <w:rPr>
          <w:color w:val="FF0000"/>
          <w:sz w:val="22"/>
        </w:rPr>
        <w:t xml:space="preserve"> </w:t>
      </w:r>
    </w:p>
    <w:p w14:paraId="59463466" w14:textId="77777777" w:rsidR="00547ED8" w:rsidRDefault="00547ED8" w:rsidP="005F1576">
      <w:pPr>
        <w:spacing w:before="0" w:line="276" w:lineRule="auto"/>
        <w:jc w:val="left"/>
        <w:rPr>
          <w:sz w:val="22"/>
        </w:rPr>
      </w:pPr>
    </w:p>
    <w:p w14:paraId="49E4055E" w14:textId="159693D7" w:rsidR="00C32426" w:rsidRPr="00EC2EA6" w:rsidRDefault="005049B5" w:rsidP="005F1576">
      <w:pPr>
        <w:spacing w:before="0" w:line="276" w:lineRule="auto"/>
        <w:jc w:val="left"/>
        <w:rPr>
          <w:color w:val="auto"/>
          <w:sz w:val="22"/>
        </w:rPr>
      </w:pPr>
      <w:r w:rsidRPr="005F1576">
        <w:rPr>
          <w:sz w:val="22"/>
        </w:rPr>
        <w:t>Although these tumors are benign, they are responsible for the majority of deaths (&gt;50%)</w:t>
      </w:r>
      <w:r w:rsidR="009A1C9C" w:rsidRPr="005F1576">
        <w:rPr>
          <w:sz w:val="22"/>
        </w:rPr>
        <w:t xml:space="preserve"> </w:t>
      </w:r>
      <w:r w:rsidRPr="005F1576">
        <w:rPr>
          <w:sz w:val="22"/>
        </w:rPr>
        <w:t xml:space="preserve">related to CNC mainly due to cardiovascular </w:t>
      </w:r>
      <w:r w:rsidRPr="00D041F5">
        <w:rPr>
          <w:sz w:val="22"/>
        </w:rPr>
        <w:t>complications</w:t>
      </w:r>
      <w:r w:rsidR="000A38D5" w:rsidRPr="00D041F5">
        <w:rPr>
          <w:sz w:val="22"/>
        </w:rPr>
        <w:t>. In a recent prospective study of 319 CNC patients, 42</w:t>
      </w:r>
      <w:r w:rsidR="00D041F5" w:rsidRPr="00D041F5">
        <w:rPr>
          <w:sz w:val="22"/>
        </w:rPr>
        <w:t>.</w:t>
      </w:r>
      <w:r w:rsidR="000A38D5" w:rsidRPr="00D041F5">
        <w:rPr>
          <w:sz w:val="22"/>
        </w:rPr>
        <w:t xml:space="preserve">6% developed cardiac myxomas and the mean age at diagnosis was </w:t>
      </w:r>
      <w:r w:rsidR="006644FA">
        <w:rPr>
          <w:sz w:val="22"/>
        </w:rPr>
        <w:t>in</w:t>
      </w:r>
      <w:r w:rsidR="000A38D5" w:rsidRPr="00D041F5">
        <w:rPr>
          <w:sz w:val="22"/>
        </w:rPr>
        <w:t xml:space="preserve"> the 3</w:t>
      </w:r>
      <w:r w:rsidR="000A38D5" w:rsidRPr="00D041F5">
        <w:rPr>
          <w:sz w:val="22"/>
          <w:vertAlign w:val="superscript"/>
        </w:rPr>
        <w:t>rd</w:t>
      </w:r>
      <w:r w:rsidR="000A38D5" w:rsidRPr="00D041F5">
        <w:rPr>
          <w:sz w:val="22"/>
        </w:rPr>
        <w:t xml:space="preserve"> decade of life</w:t>
      </w:r>
      <w:r w:rsidR="00851D41" w:rsidRPr="00D041F5">
        <w:rPr>
          <w:sz w:val="22"/>
        </w:rPr>
        <w:t>, occasionally presenting as early as at 4 years</w:t>
      </w:r>
      <w:r w:rsidR="00522FC8" w:rsidRPr="00D041F5">
        <w:rPr>
          <w:sz w:val="22"/>
        </w:rPr>
        <w:t>.</w:t>
      </w:r>
      <w:r w:rsidR="00851D41" w:rsidRPr="00D041F5">
        <w:rPr>
          <w:sz w:val="22"/>
        </w:rPr>
        <w:t xml:space="preserve"> </w:t>
      </w:r>
      <w:r w:rsidR="00AC306B" w:rsidRPr="00D041F5">
        <w:rPr>
          <w:sz w:val="22"/>
        </w:rPr>
        <w:t xml:space="preserve">The risk of developing cardiac myxomas was elevated among patients already presenting thyroid lesions or breast myxomas. </w:t>
      </w:r>
      <w:r w:rsidR="00522FC8" w:rsidRPr="00D041F5">
        <w:rPr>
          <w:sz w:val="22"/>
        </w:rPr>
        <w:t xml:space="preserve">They can develop in any cardiac chamber, with a predilection in the left atrial septum, while they may be multiple and recurrent, therefore, their resection cannot guarantee </w:t>
      </w:r>
      <w:r w:rsidR="006644FA">
        <w:rPr>
          <w:sz w:val="22"/>
        </w:rPr>
        <w:t xml:space="preserve">a </w:t>
      </w:r>
      <w:r w:rsidR="00522FC8" w:rsidRPr="00D041F5">
        <w:rPr>
          <w:sz w:val="22"/>
        </w:rPr>
        <w:t xml:space="preserve">permanent cure. Almost half of the patients harboring a cardiac myxoma will experience recurrence, and the risk is increased among women, </w:t>
      </w:r>
      <w:r w:rsidR="00AC306B" w:rsidRPr="00D041F5">
        <w:rPr>
          <w:sz w:val="22"/>
        </w:rPr>
        <w:t xml:space="preserve">lasting </w:t>
      </w:r>
      <w:r w:rsidR="00522FC8" w:rsidRPr="00D041F5">
        <w:rPr>
          <w:sz w:val="22"/>
        </w:rPr>
        <w:t xml:space="preserve">up to 20 years after the initial </w:t>
      </w:r>
      <w:r w:rsidR="00522FC8" w:rsidRPr="00EC2EA6">
        <w:rPr>
          <w:color w:val="auto"/>
          <w:sz w:val="22"/>
        </w:rPr>
        <w:t xml:space="preserve">detection </w:t>
      </w:r>
      <w:r w:rsidR="00851D41" w:rsidRPr="00EC2EA6">
        <w:rPr>
          <w:color w:val="auto"/>
          <w:sz w:val="22"/>
        </w:rPr>
        <w:fldChar w:fldCharType="begin" w:fldLock="1"/>
      </w:r>
      <w:r w:rsidR="006644FA" w:rsidRPr="00EC2EA6">
        <w:rPr>
          <w:color w:val="auto"/>
          <w:sz w:val="22"/>
        </w:rPr>
        <w:instrText>ADDIN CSL_CITATION {"citationItems":[{"id":"ITEM-1","itemData":{"DOI":"10.1038/s41436-020-00956-3","ISSN":"15300366","PMID":"32893266","abstract":"Purpose: Carney complex (CNC), is an autosomal dominant multiple neoplasia and lentiginosis syndrome. We aimed to identify risk factors associated with the occurrence and recurrence of cardiac myxomas, the predominant cause of death in CNC patients. Methods: Patients with CNC were monitored prospectively between 1995 and 2020 for the development of cardiac myxomas. Results: Of the 319 patients studied, 136 (42.6%) developed myxomas. The mean age at diagnosis was 28.7 ± 16.6 years in females and 25.0 ± 16.4 years in males. By age 30, 35% of females and 45% of males had at least one myxoma. The CNC-related lesions, lentigines, cutaneous, mucosal, or breast myxomas, thyroid nodules, pituitary adenoma, and schwannoma were significantly more frequent (all p &lt; 0.05) among patients with myxomas. Forty-four percent of patients had recurrences; nearly all within the first 8 and 16 years for males and females, respectively. Recurrences were more common in females. Conclusion: This is the largest study to date and provides the first-time risk estimates by age and gender for cardiac myxomas in CNC patients. Cardiac myxomas are common by age 30 and often recur, especially in women, but the risk drops in 10 to 20 years. These findings may guide patient counseling, screening intervals, and surgical approaches. Clinical Trial Registration: Clinical Trial Registration: Defining the Genetic Basis for the Development of Primary Pigmented Nodular Adrenocortical Disease and the Carney complex, Registration number: NCT00001452 URL: https://clinicaltrials.gov/ct2/show/NCT00001452.","author":[{"dropping-particle":"","family":"Pitsava","given":"Georgia","non-dropping-particle":"","parse-names":false,"suffix":""},{"dropping-particle":"","family":"Zhu","given":"Chunming","non-dropping-particle":"","parse-names":false,"suffix":""},{"dropping-particle":"","family":"Sundaram","given":"Rajeshwari","non-dropping-particle":"","parse-names":false,"suffix":""},{"dropping-particle":"","family":"Mills","given":"James L.","non-dropping-particle":"","parse-names":false,"suffix":""},{"dropping-particle":"","family":"Stratakis","given":"Constantine A.","non-dropping-particle":"","parse-names":false,"suffix":""}],"container-title":"Genetics in Medicine","id":"ITEM-1","issue":"1","issued":{"date-parts":[["2021","1","1"]]},"page":"80-85","publisher":"Springer Nature","title":"Predicting the risk of cardiac myxoma in Carney complex","type":"article-journal","volume":"23"},"uris":["http://www.mendeley.com/documents/?uuid=311b878b-e909-3ea8-b6b9-98cb35ebe34b"]}],"mendeley":{"formattedCitation":"(49)","plainTextFormattedCitation":"(49)","previouslyFormattedCitation":"(49)"},"properties":{"noteIndex":0},"schema":"https://github.com/citation-style-language/schema/raw/master/csl-citation.json"}</w:instrText>
      </w:r>
      <w:r w:rsidR="00851D41" w:rsidRPr="00EC2EA6">
        <w:rPr>
          <w:color w:val="auto"/>
          <w:sz w:val="22"/>
        </w:rPr>
        <w:fldChar w:fldCharType="separate"/>
      </w:r>
      <w:r w:rsidR="006644FA" w:rsidRPr="00EC2EA6">
        <w:rPr>
          <w:noProof/>
          <w:color w:val="auto"/>
          <w:sz w:val="22"/>
        </w:rPr>
        <w:t>(49)</w:t>
      </w:r>
      <w:r w:rsidR="00851D41" w:rsidRPr="00EC2EA6">
        <w:rPr>
          <w:color w:val="auto"/>
          <w:sz w:val="22"/>
        </w:rPr>
        <w:fldChar w:fldCharType="end"/>
      </w:r>
      <w:r w:rsidR="000A38D5" w:rsidRPr="00EC2EA6">
        <w:rPr>
          <w:color w:val="auto"/>
          <w:sz w:val="22"/>
        </w:rPr>
        <w:t xml:space="preserve">. </w:t>
      </w:r>
      <w:r w:rsidR="00522FC8" w:rsidRPr="00EC2EA6">
        <w:rPr>
          <w:color w:val="auto"/>
          <w:sz w:val="22"/>
        </w:rPr>
        <w:t xml:space="preserve">Of </w:t>
      </w:r>
      <w:r w:rsidR="00522FC8" w:rsidRPr="00D041F5">
        <w:rPr>
          <w:sz w:val="22"/>
        </w:rPr>
        <w:t>notice</w:t>
      </w:r>
      <w:r w:rsidRPr="00D041F5">
        <w:rPr>
          <w:sz w:val="22"/>
        </w:rPr>
        <w:t>, the detection of a</w:t>
      </w:r>
      <w:r w:rsidR="00FC6293" w:rsidRPr="00D041F5">
        <w:rPr>
          <w:sz w:val="22"/>
        </w:rPr>
        <w:t>n apparently sporadic</w:t>
      </w:r>
      <w:r w:rsidRPr="00D041F5">
        <w:rPr>
          <w:sz w:val="22"/>
        </w:rPr>
        <w:t xml:space="preserve"> cardiac</w:t>
      </w:r>
      <w:r w:rsidR="009A1C9C" w:rsidRPr="00D041F5">
        <w:rPr>
          <w:sz w:val="22"/>
        </w:rPr>
        <w:t xml:space="preserve"> </w:t>
      </w:r>
      <w:r w:rsidRPr="00D041F5">
        <w:rPr>
          <w:sz w:val="22"/>
        </w:rPr>
        <w:t>myxoma should alert the physician</w:t>
      </w:r>
      <w:r w:rsidR="00FC6293" w:rsidRPr="00D041F5">
        <w:rPr>
          <w:sz w:val="22"/>
        </w:rPr>
        <w:t>,</w:t>
      </w:r>
      <w:r w:rsidRPr="00D041F5">
        <w:rPr>
          <w:sz w:val="22"/>
        </w:rPr>
        <w:t xml:space="preserve"> as CNC-associated myxomas represent a significant</w:t>
      </w:r>
      <w:r w:rsidR="009A1C9C" w:rsidRPr="005F1576">
        <w:rPr>
          <w:sz w:val="22"/>
        </w:rPr>
        <w:t xml:space="preserve"> </w:t>
      </w:r>
      <w:r w:rsidRPr="005F1576">
        <w:rPr>
          <w:sz w:val="22"/>
        </w:rPr>
        <w:t xml:space="preserve">proportion (7%) of these rare tumors. However, </w:t>
      </w:r>
      <w:r w:rsidR="00DF3FF4" w:rsidRPr="005F1576">
        <w:rPr>
          <w:sz w:val="22"/>
        </w:rPr>
        <w:t xml:space="preserve">there are </w:t>
      </w:r>
      <w:r w:rsidR="008F11D0" w:rsidRPr="005F1576">
        <w:rPr>
          <w:sz w:val="22"/>
        </w:rPr>
        <w:t xml:space="preserve">significant differences between cardiac myxomas in CNC and </w:t>
      </w:r>
      <w:r w:rsidRPr="005F1576">
        <w:rPr>
          <w:sz w:val="22"/>
        </w:rPr>
        <w:t xml:space="preserve">their sporadic counterparts </w:t>
      </w:r>
      <w:r w:rsidR="008F11D0" w:rsidRPr="005F1576">
        <w:rPr>
          <w:sz w:val="22"/>
        </w:rPr>
        <w:t>regarding their epidemiology</w:t>
      </w:r>
      <w:r w:rsidR="00C32426" w:rsidRPr="005F1576">
        <w:rPr>
          <w:sz w:val="22"/>
        </w:rPr>
        <w:t>,</w:t>
      </w:r>
      <w:r w:rsidR="008F11D0" w:rsidRPr="005F1576">
        <w:rPr>
          <w:sz w:val="22"/>
        </w:rPr>
        <w:t xml:space="preserve"> distribution</w:t>
      </w:r>
      <w:r w:rsidR="00D041F5">
        <w:rPr>
          <w:sz w:val="22"/>
        </w:rPr>
        <w:t>,</w:t>
      </w:r>
      <w:r w:rsidR="00C32426" w:rsidRPr="005F1576">
        <w:rPr>
          <w:sz w:val="22"/>
        </w:rPr>
        <w:t xml:space="preserve"> and biological behavior</w:t>
      </w:r>
      <w:r w:rsidR="008F11D0" w:rsidRPr="005F1576">
        <w:rPr>
          <w:sz w:val="22"/>
        </w:rPr>
        <w:t xml:space="preserve">. </w:t>
      </w:r>
      <w:r w:rsidR="00C32426" w:rsidRPr="005F1576">
        <w:rPr>
          <w:sz w:val="22"/>
        </w:rPr>
        <w:t xml:space="preserve">Sporadic myxomas </w:t>
      </w:r>
      <w:r w:rsidRPr="005F1576">
        <w:rPr>
          <w:sz w:val="22"/>
        </w:rPr>
        <w:t>emerge most</w:t>
      </w:r>
      <w:r w:rsidR="009A1C9C" w:rsidRPr="005F1576">
        <w:rPr>
          <w:sz w:val="22"/>
        </w:rPr>
        <w:t xml:space="preserve"> </w:t>
      </w:r>
      <w:r w:rsidRPr="005F1576">
        <w:rPr>
          <w:sz w:val="22"/>
        </w:rPr>
        <w:t>commonly in middle</w:t>
      </w:r>
      <w:r w:rsidR="006644FA">
        <w:rPr>
          <w:sz w:val="22"/>
        </w:rPr>
        <w:t>-</w:t>
      </w:r>
      <w:r w:rsidRPr="005F1576">
        <w:rPr>
          <w:sz w:val="22"/>
        </w:rPr>
        <w:t xml:space="preserve">aged women and are </w:t>
      </w:r>
      <w:r w:rsidR="00AC306B" w:rsidRPr="005F1576">
        <w:rPr>
          <w:sz w:val="22"/>
        </w:rPr>
        <w:t xml:space="preserve">almost exclusively </w:t>
      </w:r>
      <w:r w:rsidRPr="005F1576">
        <w:rPr>
          <w:sz w:val="22"/>
        </w:rPr>
        <w:t xml:space="preserve">localized </w:t>
      </w:r>
      <w:r w:rsidRPr="005F1576">
        <w:rPr>
          <w:sz w:val="22"/>
        </w:rPr>
        <w:lastRenderedPageBreak/>
        <w:t>at the left atrial aspect of the</w:t>
      </w:r>
      <w:r w:rsidR="009A1C9C" w:rsidRPr="005F1576">
        <w:rPr>
          <w:sz w:val="22"/>
        </w:rPr>
        <w:t xml:space="preserve"> </w:t>
      </w:r>
      <w:r w:rsidRPr="005F1576">
        <w:rPr>
          <w:sz w:val="22"/>
        </w:rPr>
        <w:t>interatrial septum</w:t>
      </w:r>
      <w:r w:rsidR="00AC306B" w:rsidRPr="005F1576">
        <w:rPr>
          <w:sz w:val="22"/>
        </w:rPr>
        <w:t>,</w:t>
      </w:r>
      <w:r w:rsidRPr="005F1576">
        <w:rPr>
          <w:sz w:val="22"/>
        </w:rPr>
        <w:t xml:space="preserve"> at the fossa ovalis</w:t>
      </w:r>
      <w:r w:rsidR="0084727C" w:rsidRPr="005F1576">
        <w:rPr>
          <w:sz w:val="22"/>
        </w:rPr>
        <w:t>. In addition,</w:t>
      </w:r>
      <w:r w:rsidR="00C32426" w:rsidRPr="005F1576">
        <w:rPr>
          <w:sz w:val="22"/>
        </w:rPr>
        <w:t xml:space="preserve"> m</w:t>
      </w:r>
      <w:r w:rsidRPr="005F1576">
        <w:rPr>
          <w:sz w:val="22"/>
        </w:rPr>
        <w:t>ost of them are cured by surgical resection and do not</w:t>
      </w:r>
      <w:r w:rsidR="009A1C9C" w:rsidRPr="005F1576">
        <w:rPr>
          <w:sz w:val="22"/>
        </w:rPr>
        <w:t xml:space="preserve"> </w:t>
      </w:r>
      <w:r w:rsidRPr="00EC2EA6">
        <w:rPr>
          <w:color w:val="auto"/>
          <w:sz w:val="22"/>
        </w:rPr>
        <w:t>recur</w:t>
      </w:r>
      <w:r w:rsidR="00AC306B" w:rsidRPr="00EC2EA6">
        <w:rPr>
          <w:color w:val="auto"/>
          <w:sz w:val="22"/>
        </w:rPr>
        <w:t xml:space="preserve"> </w:t>
      </w:r>
      <w:r w:rsidR="00AC306B" w:rsidRPr="00EC2EA6">
        <w:rPr>
          <w:color w:val="auto"/>
          <w:sz w:val="22"/>
        </w:rPr>
        <w:fldChar w:fldCharType="begin" w:fldLock="1"/>
      </w:r>
      <w:r w:rsidR="006644FA" w:rsidRPr="00EC2EA6">
        <w:rPr>
          <w:color w:val="auto"/>
          <w:sz w:val="22"/>
        </w:rPr>
        <w:instrText>ADDIN CSL_CITATION {"citationItems":[{"id":"ITEM-1","itemData":{"ISSN":"0028-4793 (Print) 0028-4793 (Linking)","author":[{"dropping-particle":"","family":"Reynen","given":"K","non-dropping-particle":"","parse-names":false,"suffix":""}],"container-title":"N Engl J Med","id":"ITEM-1","issue":"24","issued":{"date-parts":[["1995"]]},"page":"1610-1617","title":"Cardiac myxomas","type":"article-journal","volume":"333"},"uris":["http://www.mendeley.com/documents/?uuid=6e53cab0-3517-44cf-8a45-d207393ee0f0"]}],"mendeley":{"formattedCitation":"(50)","plainTextFormattedCitation":"(50)","previouslyFormattedCitation":"(50)"},"properties":{"noteIndex":0},"schema":"https://github.com/citation-style-language/schema/raw/master/csl-citation.json"}</w:instrText>
      </w:r>
      <w:r w:rsidR="00AC306B" w:rsidRPr="00EC2EA6">
        <w:rPr>
          <w:color w:val="auto"/>
          <w:sz w:val="22"/>
        </w:rPr>
        <w:fldChar w:fldCharType="separate"/>
      </w:r>
      <w:r w:rsidR="006644FA" w:rsidRPr="00EC2EA6">
        <w:rPr>
          <w:noProof/>
          <w:color w:val="auto"/>
          <w:sz w:val="22"/>
        </w:rPr>
        <w:t>(50)</w:t>
      </w:r>
      <w:r w:rsidR="00AC306B" w:rsidRPr="00EC2EA6">
        <w:rPr>
          <w:color w:val="auto"/>
          <w:sz w:val="22"/>
        </w:rPr>
        <w:fldChar w:fldCharType="end"/>
      </w:r>
      <w:r w:rsidRPr="00EC2EA6">
        <w:rPr>
          <w:color w:val="auto"/>
          <w:sz w:val="22"/>
        </w:rPr>
        <w:t xml:space="preserve">. </w:t>
      </w:r>
    </w:p>
    <w:p w14:paraId="0FAE81A0" w14:textId="77777777" w:rsidR="00547ED8" w:rsidRPr="00EC2EA6" w:rsidRDefault="00547ED8" w:rsidP="005F1576">
      <w:pPr>
        <w:spacing w:before="0" w:line="276" w:lineRule="auto"/>
        <w:jc w:val="left"/>
        <w:rPr>
          <w:color w:val="auto"/>
          <w:sz w:val="22"/>
        </w:rPr>
      </w:pPr>
    </w:p>
    <w:p w14:paraId="3EA3522C" w14:textId="4353C123" w:rsidR="00AD2941" w:rsidRPr="00EC2EA6" w:rsidRDefault="005049B5" w:rsidP="005F1576">
      <w:pPr>
        <w:spacing w:before="0" w:line="276" w:lineRule="auto"/>
        <w:jc w:val="left"/>
        <w:rPr>
          <w:color w:val="auto"/>
          <w:sz w:val="22"/>
        </w:rPr>
      </w:pPr>
      <w:r w:rsidRPr="00EC2EA6">
        <w:rPr>
          <w:color w:val="auto"/>
          <w:sz w:val="22"/>
        </w:rPr>
        <w:t>Heart myxomas typically present with a triad of symptoms:</w:t>
      </w:r>
      <w:r w:rsidR="009A1C9C" w:rsidRPr="00EC2EA6">
        <w:rPr>
          <w:color w:val="auto"/>
          <w:sz w:val="22"/>
        </w:rPr>
        <w:t xml:space="preserve"> </w:t>
      </w:r>
      <w:r w:rsidRPr="00EC2EA6">
        <w:rPr>
          <w:color w:val="auto"/>
          <w:sz w:val="22"/>
        </w:rPr>
        <w:t>a) Symptoms related to myxoma embolization (</w:t>
      </w:r>
      <w:r w:rsidR="00C32426" w:rsidRPr="00EC2EA6">
        <w:rPr>
          <w:color w:val="auto"/>
          <w:sz w:val="22"/>
        </w:rPr>
        <w:t>e.g.,</w:t>
      </w:r>
      <w:r w:rsidRPr="00EC2EA6">
        <w:rPr>
          <w:color w:val="auto"/>
          <w:sz w:val="22"/>
        </w:rPr>
        <w:t xml:space="preserve"> stroke, peripheral artery occlusions),</w:t>
      </w:r>
      <w:r w:rsidR="009A1C9C" w:rsidRPr="00EC2EA6">
        <w:rPr>
          <w:color w:val="auto"/>
          <w:sz w:val="22"/>
        </w:rPr>
        <w:t xml:space="preserve"> </w:t>
      </w:r>
      <w:r w:rsidRPr="00EC2EA6">
        <w:rPr>
          <w:color w:val="auto"/>
          <w:sz w:val="22"/>
        </w:rPr>
        <w:t>b) Heart failure due to reduced cardiac output (complete occlusion of a valvular orifice can lead</w:t>
      </w:r>
      <w:r w:rsidR="009A1C9C" w:rsidRPr="00EC2EA6">
        <w:rPr>
          <w:color w:val="auto"/>
          <w:sz w:val="22"/>
        </w:rPr>
        <w:t xml:space="preserve"> </w:t>
      </w:r>
      <w:r w:rsidRPr="00EC2EA6">
        <w:rPr>
          <w:color w:val="auto"/>
          <w:sz w:val="22"/>
        </w:rPr>
        <w:t>to sudden death)</w:t>
      </w:r>
      <w:r w:rsidR="009A1C9C" w:rsidRPr="00EC2EA6">
        <w:rPr>
          <w:color w:val="auto"/>
          <w:sz w:val="22"/>
        </w:rPr>
        <w:t xml:space="preserve"> </w:t>
      </w:r>
      <w:r w:rsidRPr="00EC2EA6">
        <w:rPr>
          <w:color w:val="auto"/>
          <w:sz w:val="22"/>
        </w:rPr>
        <w:t>c) Constitutional symptoms (emaciation, recurrent fevers) probably related to production of</w:t>
      </w:r>
      <w:r w:rsidR="009A1C9C" w:rsidRPr="00EC2EA6">
        <w:rPr>
          <w:color w:val="auto"/>
          <w:sz w:val="22"/>
        </w:rPr>
        <w:t xml:space="preserve"> </w:t>
      </w:r>
      <w:r w:rsidRPr="00EC2EA6">
        <w:rPr>
          <w:color w:val="auto"/>
          <w:sz w:val="22"/>
        </w:rPr>
        <w:t>cytokines [</w:t>
      </w:r>
      <w:r w:rsidR="00C32426" w:rsidRPr="00EC2EA6">
        <w:rPr>
          <w:color w:val="auto"/>
          <w:sz w:val="22"/>
        </w:rPr>
        <w:t>e.g.,</w:t>
      </w:r>
      <w:r w:rsidRPr="00EC2EA6">
        <w:rPr>
          <w:color w:val="auto"/>
          <w:sz w:val="22"/>
        </w:rPr>
        <w:t xml:space="preserve"> interleukin (IL-6)], by the tumor </w:t>
      </w:r>
      <w:r w:rsidR="00AC306B" w:rsidRPr="00EC2EA6">
        <w:rPr>
          <w:color w:val="auto"/>
          <w:sz w:val="22"/>
        </w:rPr>
        <w:fldChar w:fldCharType="begin" w:fldLock="1"/>
      </w:r>
      <w:r w:rsidR="006644FA" w:rsidRPr="00EC2EA6">
        <w:rPr>
          <w:color w:val="auto"/>
          <w:sz w:val="22"/>
        </w:rPr>
        <w:instrText>ADDIN CSL_CITATION {"citationItems":[{"id":"ITEM-1","itemData":{"DOI":"10.1055/a-0753-4943","ISSN":"14393646","PMID":"30428497","abstract":"Carney complex is a rare, autosomal dominant, multiple endocrine neoplasia and lentiginosis syndrome, caused in most patients by defects in the PRKAR1A gene, which encodes the regulatory subunit type 1α of protein kinase A. Inactivating defects of PRKAR1A lead to aberrant cyclic-AMP-protein kinase A signaling. Patients may develop multiple skin abnormalities and a variety of endocrine and non-endocrine tumors. Endocrine manifestations include primary pigmented nodular adrenocortical disease, that may cause Cushing syndrome, growth-hormone secreting pituitary adenoma or pituitary somatotropic hyperplasia which can result in acromegaly, as well as gonadal and thyroid tumors. Non-endocrine tumors associated with Carney complex include myxomas of the heart, breast, and other sites, psamommatous melanotic schwannomas, breast ductal adenomas, osteochondromyxomas, and a predisposition to a number of malignancies from adrenal to pancreatic and liver cancer.","author":[{"dropping-particle":"","family":"Kamilaris","given":"Crystal D.C.","non-dropping-particle":"","parse-names":false,"suffix":""},{"dropping-particle":"","family":"Faucz","given":"Fabio Rueda","non-dropping-particle":"","parse-names":false,"suffix":""},{"dropping-particle":"","family":"Voutetakis","given":"Antonis","non-dropping-particle":"","parse-names":false,"suffix":""},{"dropping-particle":"","family":"Stratakis","given":"Constantine A.","non-dropping-particle":"","parse-names":false,"suffix":""}],"container-title":"Experimental and Clinical Endocrinology and Diabetes","id":"ITEM-1","issue":"2-3","issued":{"date-parts":[["2019"]]},"page":"156-164","publisher":"Georg Thieme Verlag","title":"Carney Complex","type":"article-journal","volume":"127"},"uris":["http://www.mendeley.com/documents/?uuid=5cdad05b-a867-3d2f-8930-a114812d94df"]}],"mendeley":{"formattedCitation":"(51)","plainTextFormattedCitation":"(51)","previouslyFormattedCitation":"(51)"},"properties":{"noteIndex":0},"schema":"https://github.com/citation-style-language/schema/raw/master/csl-citation.json"}</w:instrText>
      </w:r>
      <w:r w:rsidR="00AC306B" w:rsidRPr="00EC2EA6">
        <w:rPr>
          <w:color w:val="auto"/>
          <w:sz w:val="22"/>
        </w:rPr>
        <w:fldChar w:fldCharType="separate"/>
      </w:r>
      <w:r w:rsidR="006644FA" w:rsidRPr="00EC2EA6">
        <w:rPr>
          <w:noProof/>
          <w:color w:val="auto"/>
          <w:sz w:val="22"/>
        </w:rPr>
        <w:t>(51)</w:t>
      </w:r>
      <w:r w:rsidR="00AC306B" w:rsidRPr="00EC2EA6">
        <w:rPr>
          <w:color w:val="auto"/>
          <w:sz w:val="22"/>
        </w:rPr>
        <w:fldChar w:fldCharType="end"/>
      </w:r>
      <w:r w:rsidRPr="00EC2EA6">
        <w:rPr>
          <w:color w:val="auto"/>
          <w:sz w:val="22"/>
        </w:rPr>
        <w:t>.</w:t>
      </w:r>
      <w:r w:rsidR="009A1C9C" w:rsidRPr="00EC2EA6">
        <w:rPr>
          <w:color w:val="auto"/>
          <w:sz w:val="22"/>
        </w:rPr>
        <w:t xml:space="preserve"> </w:t>
      </w:r>
      <w:r w:rsidRPr="00EC2EA6">
        <w:rPr>
          <w:color w:val="auto"/>
          <w:sz w:val="22"/>
        </w:rPr>
        <w:t>T</w:t>
      </w:r>
      <w:r w:rsidRPr="005F1576">
        <w:rPr>
          <w:sz w:val="22"/>
        </w:rPr>
        <w:t>heir size ranges from a few millimeters to 8 cm in diameter and can be partially calcified. They</w:t>
      </w:r>
      <w:r w:rsidR="009A1C9C" w:rsidRPr="005F1576">
        <w:rPr>
          <w:sz w:val="22"/>
        </w:rPr>
        <w:t xml:space="preserve"> </w:t>
      </w:r>
      <w:r w:rsidRPr="005F1576">
        <w:rPr>
          <w:sz w:val="22"/>
        </w:rPr>
        <w:t xml:space="preserve">can be depicted </w:t>
      </w:r>
      <w:proofErr w:type="spellStart"/>
      <w:r w:rsidRPr="005F1576">
        <w:rPr>
          <w:sz w:val="22"/>
        </w:rPr>
        <w:t>sonographically</w:t>
      </w:r>
      <w:proofErr w:type="spellEnd"/>
      <w:r w:rsidRPr="005F1576">
        <w:rPr>
          <w:sz w:val="22"/>
        </w:rPr>
        <w:t xml:space="preserve"> as isoechoic (compared with the heart wall) masses inside the</w:t>
      </w:r>
      <w:r w:rsidR="009A1C9C" w:rsidRPr="005F1576">
        <w:rPr>
          <w:sz w:val="22"/>
        </w:rPr>
        <w:t xml:space="preserve"> </w:t>
      </w:r>
      <w:r w:rsidRPr="005F1576">
        <w:rPr>
          <w:sz w:val="22"/>
        </w:rPr>
        <w:t>cardiac chambers. They can be studied further with magnetic resonance imaging (MRI), where</w:t>
      </w:r>
      <w:r w:rsidR="009A1C9C" w:rsidRPr="005F1576">
        <w:rPr>
          <w:sz w:val="22"/>
        </w:rPr>
        <w:t xml:space="preserve"> </w:t>
      </w:r>
      <w:r w:rsidRPr="005F1576">
        <w:rPr>
          <w:sz w:val="22"/>
        </w:rPr>
        <w:t xml:space="preserve">they appear as hyperintense lesions on T2-weighted </w:t>
      </w:r>
      <w:r w:rsidRPr="00EC2EA6">
        <w:rPr>
          <w:color w:val="auto"/>
          <w:sz w:val="22"/>
        </w:rPr>
        <w:t xml:space="preserve">images </w:t>
      </w:r>
      <w:r w:rsidR="00AC306B" w:rsidRPr="00EC2EA6">
        <w:rPr>
          <w:color w:val="auto"/>
          <w:sz w:val="22"/>
        </w:rPr>
        <w:fldChar w:fldCharType="begin" w:fldLock="1"/>
      </w:r>
      <w:r w:rsidR="006644FA" w:rsidRPr="00EC2EA6">
        <w:rPr>
          <w:color w:val="auto"/>
          <w:sz w:val="22"/>
        </w:rPr>
        <w:instrText>ADDIN CSL_CITATION {"citationItems":[{"id":"ITEM-1","itemData":{"DOI":"10.1007/s13244-012-0208-6","ISSN":"1869-4101 (Electronic) 1869-4101 (Linking)","author":[{"dropping-particle":"","family":"Courcoutsakis","given":"N A","non-dropping-particle":"","parse-names":false,"suffix":""},{"dropping-particle":"","family":"Tatsi","given":"C","non-dropping-particle":"","parse-names":false,"suffix":""},{"dropping-particle":"","family":"Patronas","given":"N J","non-dropping-particle":"","parse-names":false,"suffix":""},{"dropping-particle":"","family":"Lee","given":"C C","non-dropping-particle":"","parse-names":false,"suffix":""},{"dropping-particle":"","family":"Prassopoulos","given":"P K","non-dropping-particle":"","parse-names":false,"suffix":""},{"dropping-particle":"","family":"Stratakis","given":"C A","non-dropping-particle":"","parse-names":false,"suffix":""}],"container-title":"Insights Imaging","id":"ITEM-1","issue":"1","issued":{"date-parts":[["2013"]]},"page":"119-133","title":"The complex of myxomas, spotty skin pigmentation and endocrine overactivity (Carney complex): imaging findings with clinical and pathological correlation","type":"article-journal","volume":"4"},"uris":["http://www.mendeley.com/documents/?uuid=7fbb92a4-384d-4c6e-90ba-43ff0314ded4"]}],"mendeley":{"formattedCitation":"(52)","plainTextFormattedCitation":"(52)","previouslyFormattedCitation":"(52)"},"properties":{"noteIndex":0},"schema":"https://github.com/citation-style-language/schema/raw/master/csl-citation.json"}</w:instrText>
      </w:r>
      <w:r w:rsidR="00AC306B" w:rsidRPr="00EC2EA6">
        <w:rPr>
          <w:color w:val="auto"/>
          <w:sz w:val="22"/>
        </w:rPr>
        <w:fldChar w:fldCharType="separate"/>
      </w:r>
      <w:r w:rsidR="006644FA" w:rsidRPr="00EC2EA6">
        <w:rPr>
          <w:noProof/>
          <w:color w:val="auto"/>
          <w:sz w:val="22"/>
        </w:rPr>
        <w:t>(52)</w:t>
      </w:r>
      <w:r w:rsidR="00AC306B" w:rsidRPr="00EC2EA6">
        <w:rPr>
          <w:color w:val="auto"/>
          <w:sz w:val="22"/>
        </w:rPr>
        <w:fldChar w:fldCharType="end"/>
      </w:r>
      <w:r w:rsidRPr="00EC2EA6">
        <w:rPr>
          <w:color w:val="auto"/>
          <w:sz w:val="22"/>
        </w:rPr>
        <w:t>. Histologically, the tumors</w:t>
      </w:r>
      <w:r w:rsidR="009A1C9C" w:rsidRPr="00EC2EA6">
        <w:rPr>
          <w:color w:val="auto"/>
          <w:sz w:val="22"/>
        </w:rPr>
        <w:t xml:space="preserve"> </w:t>
      </w:r>
      <w:r w:rsidRPr="00EC2EA6">
        <w:rPr>
          <w:color w:val="auto"/>
          <w:sz w:val="22"/>
        </w:rPr>
        <w:t>have a gelatinous or hemorrhagic appearance and arise from a population of multipotent</w:t>
      </w:r>
      <w:r w:rsidR="009A1C9C" w:rsidRPr="00EC2EA6">
        <w:rPr>
          <w:color w:val="auto"/>
          <w:sz w:val="22"/>
        </w:rPr>
        <w:t xml:space="preserve"> </w:t>
      </w:r>
      <w:r w:rsidRPr="00EC2EA6">
        <w:rPr>
          <w:color w:val="auto"/>
          <w:sz w:val="22"/>
        </w:rPr>
        <w:t xml:space="preserve">subendocardial mesenchymal precursor cells </w:t>
      </w:r>
      <w:r w:rsidR="00AC306B" w:rsidRPr="00EC2EA6">
        <w:rPr>
          <w:color w:val="auto"/>
          <w:sz w:val="22"/>
        </w:rPr>
        <w:fldChar w:fldCharType="begin" w:fldLock="1"/>
      </w:r>
      <w:r w:rsidR="006644FA" w:rsidRPr="00EC2EA6">
        <w:rPr>
          <w:color w:val="auto"/>
          <w:sz w:val="22"/>
        </w:rPr>
        <w:instrText>ADDIN CSL_CITATION {"citationItems":[{"id":"ITEM-1","itemData":{"ISSN":"0003-9985 (Print) 0003-9985 (Linking)","author":[{"dropping-particle":"","family":"Lie","given":"J T","non-dropping-particle":"","parse-names":false,"suffix":""}],"container-title":"Arch Pathol Lab Med","id":"ITEM-1","issue":"7","issued":{"date-parts":[["1989"]]},"page":"724-726","title":"The identity and histogenesis of cardiac myxomas. A controversy put to rest","type":"article-journal","volume":"113"},"uris":["http://www.mendeley.com/documents/?uuid=94017b4e-b22e-4926-a1a7-bb1e0fdb1e8a"]}],"mendeley":{"formattedCitation":"(53)","plainTextFormattedCitation":"(53)","previouslyFormattedCitation":"(53)"},"properties":{"noteIndex":0},"schema":"https://github.com/citation-style-language/schema/raw/master/csl-citation.json"}</w:instrText>
      </w:r>
      <w:r w:rsidR="00AC306B" w:rsidRPr="00EC2EA6">
        <w:rPr>
          <w:color w:val="auto"/>
          <w:sz w:val="22"/>
        </w:rPr>
        <w:fldChar w:fldCharType="separate"/>
      </w:r>
      <w:r w:rsidR="006644FA" w:rsidRPr="00EC2EA6">
        <w:rPr>
          <w:noProof/>
          <w:color w:val="auto"/>
          <w:sz w:val="22"/>
        </w:rPr>
        <w:t>(53)</w:t>
      </w:r>
      <w:r w:rsidR="00AC306B" w:rsidRPr="00EC2EA6">
        <w:rPr>
          <w:color w:val="auto"/>
          <w:sz w:val="22"/>
        </w:rPr>
        <w:fldChar w:fldCharType="end"/>
      </w:r>
    </w:p>
    <w:p w14:paraId="4D65079E" w14:textId="77777777" w:rsidR="00547ED8" w:rsidRDefault="00547ED8" w:rsidP="005F1576">
      <w:pPr>
        <w:pStyle w:val="Heading3"/>
        <w:spacing w:before="0" w:line="276" w:lineRule="auto"/>
        <w:jc w:val="left"/>
        <w:rPr>
          <w:sz w:val="22"/>
        </w:rPr>
      </w:pPr>
    </w:p>
    <w:p w14:paraId="677D7313" w14:textId="34AF8A9A" w:rsidR="00AD2941" w:rsidRPr="00547ED8" w:rsidRDefault="005049B5" w:rsidP="005F1576">
      <w:pPr>
        <w:pStyle w:val="Heading3"/>
        <w:spacing w:before="0" w:line="276" w:lineRule="auto"/>
        <w:jc w:val="left"/>
        <w:rPr>
          <w:color w:val="FF0000"/>
          <w:sz w:val="22"/>
        </w:rPr>
      </w:pPr>
      <w:r w:rsidRPr="00547ED8">
        <w:rPr>
          <w:color w:val="FF0000"/>
          <w:sz w:val="22"/>
        </w:rPr>
        <w:t>BREAST MYXOMAS (MYXOID FIBROADENOMAS)</w:t>
      </w:r>
      <w:r w:rsidR="009A1C9C" w:rsidRPr="00547ED8">
        <w:rPr>
          <w:color w:val="FF0000"/>
          <w:sz w:val="22"/>
        </w:rPr>
        <w:t xml:space="preserve"> </w:t>
      </w:r>
    </w:p>
    <w:p w14:paraId="76D1409B" w14:textId="77777777" w:rsidR="00547ED8" w:rsidRDefault="00547ED8" w:rsidP="005F1576">
      <w:pPr>
        <w:spacing w:before="0" w:line="276" w:lineRule="auto"/>
        <w:jc w:val="left"/>
        <w:rPr>
          <w:sz w:val="22"/>
        </w:rPr>
      </w:pPr>
    </w:p>
    <w:p w14:paraId="27E959A6" w14:textId="0A346994" w:rsidR="00412023" w:rsidRPr="00EC2EA6" w:rsidRDefault="005049B5" w:rsidP="005F1576">
      <w:pPr>
        <w:spacing w:before="0" w:line="276" w:lineRule="auto"/>
        <w:jc w:val="left"/>
        <w:rPr>
          <w:color w:val="auto"/>
          <w:sz w:val="22"/>
        </w:rPr>
      </w:pPr>
      <w:r w:rsidRPr="005F1576">
        <w:rPr>
          <w:sz w:val="22"/>
        </w:rPr>
        <w:t>These lesions are observed in about a fifth of women with Carney complex and are generally</w:t>
      </w:r>
      <w:r w:rsidR="009A1C9C" w:rsidRPr="005F1576">
        <w:rPr>
          <w:sz w:val="22"/>
        </w:rPr>
        <w:t xml:space="preserve"> </w:t>
      </w:r>
      <w:r w:rsidRPr="005F1576">
        <w:rPr>
          <w:sz w:val="22"/>
        </w:rPr>
        <w:t>considered benign breast tumors. They usually occur in females after puberty and can be</w:t>
      </w:r>
      <w:r w:rsidR="009A1C9C" w:rsidRPr="005F1576">
        <w:rPr>
          <w:sz w:val="22"/>
        </w:rPr>
        <w:t xml:space="preserve"> </w:t>
      </w:r>
      <w:r w:rsidRPr="005F1576">
        <w:rPr>
          <w:sz w:val="22"/>
        </w:rPr>
        <w:t xml:space="preserve">multicentric as well as bilateral </w:t>
      </w:r>
      <w:r w:rsidRPr="00D041F5">
        <w:rPr>
          <w:color w:val="auto"/>
          <w:sz w:val="22"/>
        </w:rPr>
        <w:t xml:space="preserve">(Figure 5). </w:t>
      </w:r>
      <w:r w:rsidRPr="005F1576">
        <w:rPr>
          <w:sz w:val="22"/>
        </w:rPr>
        <w:t>Their size ranges from 2mm to 2cm in diameter</w:t>
      </w:r>
      <w:r w:rsidR="009A1C9C" w:rsidRPr="005F1576">
        <w:rPr>
          <w:sz w:val="22"/>
        </w:rPr>
        <w:t xml:space="preserve"> </w:t>
      </w:r>
      <w:r w:rsidRPr="005F1576">
        <w:rPr>
          <w:sz w:val="22"/>
        </w:rPr>
        <w:t>and may be pink or white with a mucoid appearance. Physical examination of the breast is</w:t>
      </w:r>
      <w:r w:rsidR="009A1C9C" w:rsidRPr="005F1576">
        <w:rPr>
          <w:sz w:val="22"/>
        </w:rPr>
        <w:t xml:space="preserve"> </w:t>
      </w:r>
      <w:r w:rsidRPr="005F1576">
        <w:rPr>
          <w:sz w:val="22"/>
        </w:rPr>
        <w:t xml:space="preserve">indicative </w:t>
      </w:r>
      <w:r w:rsidR="006644FA">
        <w:rPr>
          <w:sz w:val="22"/>
        </w:rPr>
        <w:t>of</w:t>
      </w:r>
      <w:r w:rsidRPr="005F1576">
        <w:rPr>
          <w:sz w:val="22"/>
        </w:rPr>
        <w:t xml:space="preserve"> diffuse nodularity without dominant masses. Nipple discharge, breast skin</w:t>
      </w:r>
      <w:r w:rsidR="009A1C9C" w:rsidRPr="005F1576">
        <w:rPr>
          <w:sz w:val="22"/>
        </w:rPr>
        <w:t xml:space="preserve"> </w:t>
      </w:r>
      <w:r w:rsidRPr="005F1576">
        <w:rPr>
          <w:sz w:val="22"/>
        </w:rPr>
        <w:t>abnormalities</w:t>
      </w:r>
      <w:r w:rsidR="00D041F5">
        <w:rPr>
          <w:sz w:val="22"/>
        </w:rPr>
        <w:t>,</w:t>
      </w:r>
      <w:r w:rsidRPr="005F1576">
        <w:rPr>
          <w:sz w:val="22"/>
        </w:rPr>
        <w:t xml:space="preserve"> or sentinel lymphadenopathy </w:t>
      </w:r>
      <w:r w:rsidR="00412023" w:rsidRPr="005F1576">
        <w:rPr>
          <w:sz w:val="22"/>
        </w:rPr>
        <w:t xml:space="preserve">are not features of breast </w:t>
      </w:r>
      <w:r w:rsidR="00412023" w:rsidRPr="00EC2EA6">
        <w:rPr>
          <w:color w:val="auto"/>
          <w:sz w:val="22"/>
        </w:rPr>
        <w:t>myxomas</w:t>
      </w:r>
      <w:r w:rsidRPr="00EC2EA6">
        <w:rPr>
          <w:color w:val="auto"/>
          <w:sz w:val="22"/>
        </w:rPr>
        <w:t xml:space="preserve"> </w:t>
      </w:r>
      <w:r w:rsidR="00412023" w:rsidRPr="00EC2EA6">
        <w:rPr>
          <w:color w:val="auto"/>
          <w:sz w:val="22"/>
        </w:rPr>
        <w:fldChar w:fldCharType="begin" w:fldLock="1"/>
      </w:r>
      <w:r w:rsidR="006644FA" w:rsidRPr="00EC2EA6">
        <w:rPr>
          <w:color w:val="auto"/>
          <w:sz w:val="22"/>
        </w:rPr>
        <w:instrText>ADDIN CSL_CITATION {"citationItems":[{"id":"ITEM-1","itemData":{"ISSN":"0147-5185 (Print) 0147-5185 (Linking)","author":[{"dropping-particle":"","family":"Carney","given":"J A","non-dropping-particle":"","parse-names":false,"suffix":""},{"dropping-particle":"","family":"Toorkey","given":"B C","non-dropping-particle":"","parse-names":false,"suffix":""}],"container-title":"Am J Surg Pathol","id":"ITEM-1","issue":"8","issued":{"date-parts":[["1991"]]},"page":"722-731","title":"Ductal adenoma of the breast with tubular features. A probable component of the complex of myxomas, spotty pigmentation, endocrine overactivity, and schwannomas","type":"article-journal","volume":"15"},"uris":["http://www.mendeley.com/documents/?uuid=92c780bb-7ee4-48f8-89d6-67b3975f41b1"]}],"mendeley":{"formattedCitation":"(54)","plainTextFormattedCitation":"(54)","previouslyFormattedCitation":"(54)"},"properties":{"noteIndex":0},"schema":"https://github.com/citation-style-language/schema/raw/master/csl-citation.json"}</w:instrText>
      </w:r>
      <w:r w:rsidR="00412023" w:rsidRPr="00EC2EA6">
        <w:rPr>
          <w:color w:val="auto"/>
          <w:sz w:val="22"/>
        </w:rPr>
        <w:fldChar w:fldCharType="separate"/>
      </w:r>
      <w:r w:rsidR="006644FA" w:rsidRPr="00EC2EA6">
        <w:rPr>
          <w:noProof/>
          <w:color w:val="auto"/>
          <w:sz w:val="22"/>
        </w:rPr>
        <w:t>(54)</w:t>
      </w:r>
      <w:r w:rsidR="00412023" w:rsidRPr="00EC2EA6">
        <w:rPr>
          <w:color w:val="auto"/>
          <w:sz w:val="22"/>
        </w:rPr>
        <w:fldChar w:fldCharType="end"/>
      </w:r>
      <w:r w:rsidR="00412023" w:rsidRPr="00EC2EA6">
        <w:rPr>
          <w:color w:val="auto"/>
          <w:sz w:val="22"/>
        </w:rPr>
        <w:t xml:space="preserve">. </w:t>
      </w:r>
      <w:r w:rsidRPr="00EC2EA6">
        <w:rPr>
          <w:color w:val="auto"/>
          <w:sz w:val="22"/>
        </w:rPr>
        <w:t>Histologically, breast myxomas appear as lobulated mesenchymal lesions, characterized by</w:t>
      </w:r>
      <w:r w:rsidR="009A1C9C" w:rsidRPr="00EC2EA6">
        <w:rPr>
          <w:color w:val="auto"/>
          <w:sz w:val="22"/>
        </w:rPr>
        <w:t xml:space="preserve"> </w:t>
      </w:r>
      <w:r w:rsidRPr="00EC2EA6">
        <w:rPr>
          <w:color w:val="auto"/>
          <w:sz w:val="22"/>
        </w:rPr>
        <w:t>accumulations of large amounts of ground substance in the lobules, as well as in the interlobular</w:t>
      </w:r>
      <w:r w:rsidR="009A1C9C" w:rsidRPr="00EC2EA6">
        <w:rPr>
          <w:color w:val="auto"/>
          <w:sz w:val="22"/>
        </w:rPr>
        <w:t xml:space="preserve"> </w:t>
      </w:r>
      <w:r w:rsidRPr="00EC2EA6">
        <w:rPr>
          <w:color w:val="auto"/>
          <w:sz w:val="22"/>
        </w:rPr>
        <w:t>stroma. The tumors may or may not be encapsulated</w:t>
      </w:r>
      <w:r w:rsidR="00EC2EA6">
        <w:rPr>
          <w:color w:val="auto"/>
          <w:sz w:val="22"/>
        </w:rPr>
        <w:t xml:space="preserve"> </w:t>
      </w:r>
      <w:r w:rsidR="00412023" w:rsidRPr="00EC2EA6">
        <w:rPr>
          <w:color w:val="auto"/>
          <w:sz w:val="22"/>
        </w:rPr>
        <w:fldChar w:fldCharType="begin" w:fldLock="1"/>
      </w:r>
      <w:r w:rsidR="006644FA" w:rsidRPr="00EC2EA6">
        <w:rPr>
          <w:color w:val="auto"/>
          <w:sz w:val="22"/>
        </w:rPr>
        <w:instrText>ADDIN CSL_CITATION {"citationItems":[{"id":"ITEM-1","itemData":{"ISSN":"0025-7974 (Print) 0025-7974 (Linking)","author":[{"dropping-particle":"","family":"Carney","given":"J A","non-dropping-particle":"","parse-names":false,"suffix":""},{"dropping-particle":"","family":"Gordon","given":"H","non-dropping-particle":"","parse-names":false,"suffix":""},{"dropping-particle":"","family":"Carpenter","given":"P C","non-dropping-particle":"","parse-names":false,"suffix":""},{"dropping-particle":"V","family":"Shenoy","given":"B","non-dropping-particle":"","parse-names":false,"suffix":""},{"dropping-particle":"","family":"Go","given":"V L","non-dropping-particle":"","parse-names":false,"suffix":""}],"container-title":"Medicine (Baltimore)","id":"ITEM-1","issue":"4","issued":{"date-parts":[["1985"]]},"page":"270-283","title":"The complex of myxomas, spotty pigmentation, and endocrine overactivity","type":"article-journal","volume":"64"},"uris":["http://www.mendeley.com/documents/?uuid=a1e4890e-1045-4b74-bb02-7201736ee4d5"]}],"mendeley":{"formattedCitation":"(2)","plainTextFormattedCitation":"(2)","previouslyFormattedCitation":"(2)"},"properties":{"noteIndex":0},"schema":"https://github.com/citation-style-language/schema/raw/master/csl-citation.json"}</w:instrText>
      </w:r>
      <w:r w:rsidR="00412023" w:rsidRPr="00EC2EA6">
        <w:rPr>
          <w:color w:val="auto"/>
          <w:sz w:val="22"/>
        </w:rPr>
        <w:fldChar w:fldCharType="separate"/>
      </w:r>
      <w:r w:rsidR="006644FA" w:rsidRPr="00EC2EA6">
        <w:rPr>
          <w:noProof/>
          <w:color w:val="auto"/>
          <w:sz w:val="22"/>
        </w:rPr>
        <w:t>(2)</w:t>
      </w:r>
      <w:r w:rsidR="00412023" w:rsidRPr="00EC2EA6">
        <w:rPr>
          <w:color w:val="auto"/>
          <w:sz w:val="22"/>
        </w:rPr>
        <w:fldChar w:fldCharType="end"/>
      </w:r>
      <w:r w:rsidRPr="00EC2EA6">
        <w:rPr>
          <w:color w:val="auto"/>
          <w:sz w:val="22"/>
        </w:rPr>
        <w:t xml:space="preserve">. </w:t>
      </w:r>
    </w:p>
    <w:p w14:paraId="42C1B95C" w14:textId="77777777" w:rsidR="001A69FB" w:rsidRDefault="001A69FB" w:rsidP="005F1576">
      <w:pPr>
        <w:spacing w:before="0" w:line="276" w:lineRule="auto"/>
        <w:jc w:val="left"/>
        <w:rPr>
          <w:sz w:val="22"/>
        </w:rPr>
      </w:pPr>
    </w:p>
    <w:p w14:paraId="5E017B62" w14:textId="3710F15A" w:rsidR="001A69FB" w:rsidRPr="005F1576" w:rsidRDefault="001A69FB" w:rsidP="005F1576">
      <w:pPr>
        <w:spacing w:before="0" w:line="276" w:lineRule="auto"/>
        <w:jc w:val="left"/>
        <w:rPr>
          <w:sz w:val="22"/>
        </w:rPr>
      </w:pPr>
      <w:r>
        <w:rPr>
          <w:noProof/>
          <w:sz w:val="22"/>
        </w:rPr>
        <w:lastRenderedPageBreak/>
        <w:drawing>
          <wp:inline distT="0" distB="0" distL="0" distR="0" wp14:anchorId="2007DE71" wp14:editId="3E37FB74">
            <wp:extent cx="5943600" cy="4488180"/>
            <wp:effectExtent l="0" t="0" r="0" b="7620"/>
            <wp:docPr id="13857238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23890" name="Picture 1385723890"/>
                    <pic:cNvPicPr/>
                  </pic:nvPicPr>
                  <pic:blipFill>
                    <a:blip r:embed="rId12">
                      <a:extLst>
                        <a:ext uri="{28A0092B-C50C-407E-A947-70E740481C1C}">
                          <a14:useLocalDpi xmlns:a14="http://schemas.microsoft.com/office/drawing/2010/main" val="0"/>
                        </a:ext>
                      </a:extLst>
                    </a:blip>
                    <a:stretch>
                      <a:fillRect/>
                    </a:stretch>
                  </pic:blipFill>
                  <pic:spPr>
                    <a:xfrm>
                      <a:off x="0" y="0"/>
                      <a:ext cx="5943600" cy="4488180"/>
                    </a:xfrm>
                    <a:prstGeom prst="rect">
                      <a:avLst/>
                    </a:prstGeom>
                  </pic:spPr>
                </pic:pic>
              </a:graphicData>
            </a:graphic>
          </wp:inline>
        </w:drawing>
      </w:r>
    </w:p>
    <w:p w14:paraId="5C545DA6" w14:textId="238A6F7E" w:rsidR="00547ED8" w:rsidRPr="001A69FB" w:rsidRDefault="001A69FB" w:rsidP="005F1576">
      <w:pPr>
        <w:spacing w:before="0" w:line="276" w:lineRule="auto"/>
        <w:jc w:val="left"/>
        <w:rPr>
          <w:b/>
          <w:bCs/>
          <w:sz w:val="22"/>
        </w:rPr>
      </w:pPr>
      <w:r w:rsidRPr="001A69FB">
        <w:rPr>
          <w:b/>
          <w:bCs/>
          <w:sz w:val="22"/>
        </w:rPr>
        <w:t>Figure 5. Breast multiple myxomas in a patient with Carney complex. Mammogram (A), show</w:t>
      </w:r>
      <w:r w:rsidR="006644FA">
        <w:rPr>
          <w:b/>
          <w:bCs/>
          <w:sz w:val="22"/>
        </w:rPr>
        <w:t>s</w:t>
      </w:r>
      <w:r w:rsidRPr="001A69FB">
        <w:rPr>
          <w:b/>
          <w:bCs/>
          <w:sz w:val="22"/>
        </w:rPr>
        <w:t xml:space="preserve"> typical dense breasts in a younger woman with no evidence of tumor. However, in the fat-suppressed magnetic resonance image (B) shown on the right, the presence of multiple small myxomas is clearly seen. With permission http://ugen.nichd.nih.gov.</w:t>
      </w:r>
    </w:p>
    <w:p w14:paraId="6621861F" w14:textId="77777777" w:rsidR="001A69FB" w:rsidRDefault="001A69FB" w:rsidP="005F1576">
      <w:pPr>
        <w:spacing w:before="0" w:line="276" w:lineRule="auto"/>
        <w:jc w:val="left"/>
        <w:rPr>
          <w:sz w:val="22"/>
        </w:rPr>
      </w:pPr>
    </w:p>
    <w:p w14:paraId="76A5EA31" w14:textId="237ED9DF" w:rsidR="00AD2941" w:rsidRPr="00EC2EA6" w:rsidRDefault="005049B5" w:rsidP="005F1576">
      <w:pPr>
        <w:spacing w:before="0" w:line="276" w:lineRule="auto"/>
        <w:jc w:val="left"/>
        <w:rPr>
          <w:color w:val="auto"/>
          <w:sz w:val="22"/>
        </w:rPr>
      </w:pPr>
      <w:r w:rsidRPr="005F1576">
        <w:rPr>
          <w:sz w:val="22"/>
        </w:rPr>
        <w:t>When detected in mammography,</w:t>
      </w:r>
      <w:r w:rsidR="009A1C9C" w:rsidRPr="005F1576">
        <w:rPr>
          <w:sz w:val="22"/>
        </w:rPr>
        <w:t xml:space="preserve"> </w:t>
      </w:r>
      <w:r w:rsidRPr="005F1576">
        <w:rPr>
          <w:sz w:val="22"/>
        </w:rPr>
        <w:t>they appear as well</w:t>
      </w:r>
      <w:r w:rsidR="006644FA">
        <w:rPr>
          <w:sz w:val="22"/>
        </w:rPr>
        <w:t>-</w:t>
      </w:r>
      <w:r w:rsidRPr="005F1576">
        <w:rPr>
          <w:sz w:val="22"/>
        </w:rPr>
        <w:t>defined, non-calcified, isodense</w:t>
      </w:r>
      <w:r w:rsidR="006644FA">
        <w:rPr>
          <w:sz w:val="22"/>
        </w:rPr>
        <w:t>,</w:t>
      </w:r>
      <w:r w:rsidRPr="005F1576">
        <w:rPr>
          <w:sz w:val="22"/>
        </w:rPr>
        <w:t xml:space="preserve"> or hypodense lesions. Occasionally, they</w:t>
      </w:r>
      <w:r w:rsidR="009A1C9C" w:rsidRPr="005F1576">
        <w:rPr>
          <w:sz w:val="22"/>
        </w:rPr>
        <w:t xml:space="preserve"> </w:t>
      </w:r>
      <w:r w:rsidRPr="005F1576">
        <w:rPr>
          <w:sz w:val="22"/>
        </w:rPr>
        <w:t>may have an irregular contour, a worrisome finding that warrants fine-needle aspiration (FNA),</w:t>
      </w:r>
      <w:r w:rsidR="009A1C9C" w:rsidRPr="005F1576">
        <w:rPr>
          <w:sz w:val="22"/>
        </w:rPr>
        <w:t xml:space="preserve"> </w:t>
      </w:r>
      <w:r w:rsidRPr="005F1576">
        <w:rPr>
          <w:sz w:val="22"/>
        </w:rPr>
        <w:t>even in proven CNC patients. However, the imaging modality of choice is MR mammography as</w:t>
      </w:r>
      <w:r w:rsidR="009A1C9C" w:rsidRPr="005F1576">
        <w:rPr>
          <w:sz w:val="22"/>
        </w:rPr>
        <w:t xml:space="preserve"> </w:t>
      </w:r>
      <w:r w:rsidRPr="005F1576">
        <w:rPr>
          <w:sz w:val="22"/>
        </w:rPr>
        <w:t>it has greater sensitivity compared to ultrasonography or conventional mammography. The</w:t>
      </w:r>
      <w:r w:rsidR="009A1C9C" w:rsidRPr="005F1576">
        <w:rPr>
          <w:sz w:val="22"/>
        </w:rPr>
        <w:t xml:space="preserve"> </w:t>
      </w:r>
      <w:r w:rsidRPr="005F1576">
        <w:rPr>
          <w:sz w:val="22"/>
        </w:rPr>
        <w:t xml:space="preserve">number of myxoid lesions depicted with this technique </w:t>
      </w:r>
      <w:r w:rsidR="006644FA">
        <w:rPr>
          <w:sz w:val="22"/>
        </w:rPr>
        <w:t>is</w:t>
      </w:r>
      <w:r w:rsidRPr="005F1576">
        <w:rPr>
          <w:sz w:val="22"/>
        </w:rPr>
        <w:t xml:space="preserve"> usually numerous (more than 58 per</w:t>
      </w:r>
      <w:r w:rsidR="009A1C9C" w:rsidRPr="005F1576">
        <w:rPr>
          <w:sz w:val="22"/>
        </w:rPr>
        <w:t xml:space="preserve"> </w:t>
      </w:r>
      <w:r w:rsidRPr="005F1576">
        <w:rPr>
          <w:sz w:val="22"/>
        </w:rPr>
        <w:t>breast in a case) and show</w:t>
      </w:r>
      <w:r w:rsidR="006644FA">
        <w:rPr>
          <w:sz w:val="22"/>
        </w:rPr>
        <w:t>s</w:t>
      </w:r>
      <w:r w:rsidRPr="005F1576">
        <w:rPr>
          <w:sz w:val="22"/>
        </w:rPr>
        <w:t xml:space="preserve"> </w:t>
      </w:r>
      <w:r w:rsidR="006644FA">
        <w:rPr>
          <w:sz w:val="22"/>
        </w:rPr>
        <w:t xml:space="preserve">a </w:t>
      </w:r>
      <w:r w:rsidRPr="005F1576">
        <w:rPr>
          <w:sz w:val="22"/>
        </w:rPr>
        <w:t>homogeneous increase of the signal intensity, a situation</w:t>
      </w:r>
      <w:r w:rsidR="009A1C9C" w:rsidRPr="005F1576">
        <w:rPr>
          <w:sz w:val="22"/>
        </w:rPr>
        <w:t xml:space="preserve"> </w:t>
      </w:r>
      <w:r w:rsidRPr="005F1576">
        <w:rPr>
          <w:sz w:val="22"/>
        </w:rPr>
        <w:t xml:space="preserve">characteristic of CNC, also referred to as “breast </w:t>
      </w:r>
      <w:r w:rsidRPr="00EC2EA6">
        <w:rPr>
          <w:color w:val="auto"/>
          <w:sz w:val="22"/>
        </w:rPr>
        <w:t xml:space="preserve">myxomatosis” </w:t>
      </w:r>
      <w:r w:rsidR="00412023" w:rsidRPr="00EC2EA6">
        <w:rPr>
          <w:color w:val="auto"/>
          <w:sz w:val="22"/>
        </w:rPr>
        <w:fldChar w:fldCharType="begin" w:fldLock="1"/>
      </w:r>
      <w:r w:rsidR="006644FA" w:rsidRPr="00EC2EA6">
        <w:rPr>
          <w:color w:val="auto"/>
          <w:sz w:val="22"/>
        </w:rPr>
        <w:instrText>ADDIN CSL_CITATION {"citationItems":[{"id":"ITEM-1","itemData":{"DOI":"10.1007/s13244-012-0208-6","ISSN":"1869-4101 (Electronic) 1869-4101 (Linking)","author":[{"dropping-particle":"","family":"Courcoutsakis","given":"N A","non-dropping-particle":"","parse-names":false,"suffix":""},{"dropping-particle":"","family":"Tatsi","given":"C","non-dropping-particle":"","parse-names":false,"suffix":""},{"dropping-particle":"","family":"Patronas","given":"N J","non-dropping-particle":"","parse-names":false,"suffix":""},{"dropping-particle":"","family":"Lee","given":"C C","non-dropping-particle":"","parse-names":false,"suffix":""},{"dropping-particle":"","family":"Prassopoulos","given":"P K","non-dropping-particle":"","parse-names":false,"suffix":""},{"dropping-particle":"","family":"Stratakis","given":"C A","non-dropping-particle":"","parse-names":false,"suffix":""}],"container-title":"Insights Imaging","id":"ITEM-1","issue":"1","issued":{"date-parts":[["2013"]]},"page":"119-133","title":"The complex of myxomas, spotty skin pigmentation and endocrine overactivity (Carney complex): imaging findings with clinical and pathological correlation","type":"article-journal","volume":"4"},"uris":["http://www.mendeley.com/documents/?uuid=7fbb92a4-384d-4c6e-90ba-43ff0314ded4"]}],"mendeley":{"formattedCitation":"(52)","plainTextFormattedCitation":"(52)","previouslyFormattedCitation":"(52)"},"properties":{"noteIndex":0},"schema":"https://github.com/citation-style-language/schema/raw/master/csl-citation.json"}</w:instrText>
      </w:r>
      <w:r w:rsidR="00412023" w:rsidRPr="00EC2EA6">
        <w:rPr>
          <w:color w:val="auto"/>
          <w:sz w:val="22"/>
        </w:rPr>
        <w:fldChar w:fldCharType="separate"/>
      </w:r>
      <w:r w:rsidR="006644FA" w:rsidRPr="00EC2EA6">
        <w:rPr>
          <w:noProof/>
          <w:color w:val="auto"/>
          <w:sz w:val="22"/>
        </w:rPr>
        <w:t>(52)</w:t>
      </w:r>
      <w:r w:rsidR="00412023" w:rsidRPr="00EC2EA6">
        <w:rPr>
          <w:color w:val="auto"/>
          <w:sz w:val="22"/>
        </w:rPr>
        <w:fldChar w:fldCharType="end"/>
      </w:r>
      <w:r w:rsidRPr="00EC2EA6">
        <w:rPr>
          <w:color w:val="auto"/>
          <w:sz w:val="22"/>
        </w:rPr>
        <w:t>.</w:t>
      </w:r>
      <w:r w:rsidR="009A1C9C" w:rsidRPr="00EC2EA6">
        <w:rPr>
          <w:color w:val="auto"/>
          <w:sz w:val="22"/>
        </w:rPr>
        <w:t xml:space="preserve"> </w:t>
      </w:r>
    </w:p>
    <w:p w14:paraId="3D627BEE" w14:textId="77777777" w:rsidR="00547ED8" w:rsidRDefault="00547ED8" w:rsidP="005F1576">
      <w:pPr>
        <w:pStyle w:val="Heading3"/>
        <w:spacing w:before="0" w:line="276" w:lineRule="auto"/>
        <w:jc w:val="left"/>
        <w:rPr>
          <w:rStyle w:val="Heading3Char"/>
          <w:sz w:val="22"/>
        </w:rPr>
      </w:pPr>
    </w:p>
    <w:p w14:paraId="572F664C" w14:textId="2B999128" w:rsidR="00AD2941" w:rsidRPr="00547ED8" w:rsidRDefault="005049B5" w:rsidP="005F1576">
      <w:pPr>
        <w:pStyle w:val="Heading3"/>
        <w:spacing w:before="0" w:line="276" w:lineRule="auto"/>
        <w:jc w:val="left"/>
        <w:rPr>
          <w:rStyle w:val="Heading3Char"/>
          <w:color w:val="FF0000"/>
          <w:sz w:val="22"/>
        </w:rPr>
      </w:pPr>
      <w:r w:rsidRPr="00547ED8">
        <w:rPr>
          <w:rStyle w:val="Heading3Char"/>
          <w:color w:val="FF0000"/>
          <w:sz w:val="22"/>
        </w:rPr>
        <w:t>OSTEOCHONDROMYXOMAS</w:t>
      </w:r>
      <w:r w:rsidR="009A1C9C" w:rsidRPr="00547ED8">
        <w:rPr>
          <w:rStyle w:val="Heading3Char"/>
          <w:color w:val="FF0000"/>
          <w:sz w:val="22"/>
        </w:rPr>
        <w:t xml:space="preserve"> </w:t>
      </w:r>
    </w:p>
    <w:p w14:paraId="5ADF493D" w14:textId="77777777" w:rsidR="00547ED8" w:rsidRDefault="00547ED8" w:rsidP="005F1576">
      <w:pPr>
        <w:spacing w:before="0" w:line="276" w:lineRule="auto"/>
        <w:jc w:val="left"/>
        <w:rPr>
          <w:sz w:val="22"/>
        </w:rPr>
      </w:pPr>
    </w:p>
    <w:p w14:paraId="24B6B93A" w14:textId="1D55E7BF" w:rsidR="00AD2941" w:rsidRPr="00EC2EA6" w:rsidRDefault="005049B5" w:rsidP="001A69FB">
      <w:pPr>
        <w:spacing w:before="0" w:line="276" w:lineRule="auto"/>
        <w:jc w:val="left"/>
        <w:rPr>
          <w:color w:val="auto"/>
          <w:sz w:val="22"/>
        </w:rPr>
      </w:pPr>
      <w:r w:rsidRPr="005F1576">
        <w:rPr>
          <w:sz w:val="22"/>
        </w:rPr>
        <w:t xml:space="preserve">Osteochondromyxomas or Carney bone tumors are </w:t>
      </w:r>
      <w:r w:rsidR="00EC217E" w:rsidRPr="005F1576">
        <w:rPr>
          <w:sz w:val="22"/>
        </w:rPr>
        <w:t xml:space="preserve">rare </w:t>
      </w:r>
      <w:r w:rsidRPr="005F1576">
        <w:rPr>
          <w:sz w:val="22"/>
        </w:rPr>
        <w:t>myxomatous tumors of the bone that</w:t>
      </w:r>
      <w:r w:rsidR="009A1C9C" w:rsidRPr="005F1576">
        <w:rPr>
          <w:sz w:val="22"/>
        </w:rPr>
        <w:t xml:space="preserve"> </w:t>
      </w:r>
      <w:r w:rsidRPr="005F1576">
        <w:rPr>
          <w:sz w:val="22"/>
        </w:rPr>
        <w:t xml:space="preserve">principally affect nasal sinuses and long bones. They have been described in a few cases </w:t>
      </w:r>
      <w:r w:rsidR="00EC217E" w:rsidRPr="005F1576">
        <w:rPr>
          <w:sz w:val="22"/>
        </w:rPr>
        <w:t xml:space="preserve">(1-5%) </w:t>
      </w:r>
      <w:r w:rsidRPr="005F1576">
        <w:rPr>
          <w:sz w:val="22"/>
        </w:rPr>
        <w:t>and</w:t>
      </w:r>
      <w:r w:rsidR="009A1C9C" w:rsidRPr="005F1576">
        <w:rPr>
          <w:sz w:val="22"/>
        </w:rPr>
        <w:t xml:space="preserve"> </w:t>
      </w:r>
      <w:r w:rsidRPr="005F1576">
        <w:rPr>
          <w:sz w:val="22"/>
        </w:rPr>
        <w:t xml:space="preserve">exhibit benign </w:t>
      </w:r>
      <w:r w:rsidR="00EC217E" w:rsidRPr="005F1576">
        <w:rPr>
          <w:sz w:val="22"/>
        </w:rPr>
        <w:t>behavior;</w:t>
      </w:r>
      <w:r w:rsidRPr="005F1576">
        <w:rPr>
          <w:sz w:val="22"/>
        </w:rPr>
        <w:t xml:space="preserve"> </w:t>
      </w:r>
      <w:r w:rsidR="00EC217E" w:rsidRPr="005F1576">
        <w:rPr>
          <w:sz w:val="22"/>
        </w:rPr>
        <w:t>however,</w:t>
      </w:r>
      <w:r w:rsidRPr="005F1576">
        <w:rPr>
          <w:sz w:val="22"/>
        </w:rPr>
        <w:t xml:space="preserve"> they </w:t>
      </w:r>
      <w:r w:rsidR="00EC217E" w:rsidRPr="005F1576">
        <w:rPr>
          <w:sz w:val="22"/>
        </w:rPr>
        <w:t xml:space="preserve">can occasionally </w:t>
      </w:r>
      <w:r w:rsidRPr="005F1576">
        <w:rPr>
          <w:sz w:val="22"/>
        </w:rPr>
        <w:t xml:space="preserve">cause bone erosion and extend into soft </w:t>
      </w:r>
      <w:r w:rsidRPr="00EC2EA6">
        <w:rPr>
          <w:color w:val="auto"/>
          <w:sz w:val="22"/>
        </w:rPr>
        <w:t>tissues</w:t>
      </w:r>
      <w:r w:rsidR="0001613A" w:rsidRPr="00EC2EA6">
        <w:rPr>
          <w:color w:val="auto"/>
          <w:sz w:val="22"/>
        </w:rPr>
        <w:t xml:space="preserve"> </w:t>
      </w:r>
      <w:r w:rsidR="0001613A" w:rsidRPr="00EC2EA6">
        <w:rPr>
          <w:color w:val="auto"/>
          <w:sz w:val="22"/>
        </w:rPr>
        <w:fldChar w:fldCharType="begin" w:fldLock="1"/>
      </w:r>
      <w:r w:rsidR="006644FA" w:rsidRPr="00EC2EA6">
        <w:rPr>
          <w:color w:val="auto"/>
          <w:sz w:val="22"/>
        </w:rPr>
        <w:instrText>ADDIN CSL_CITATION {"citationItems":[{"id":"ITEM-1","itemData":{"ISSN":"0147-5185 (Print) 0147-5185 (Linking)","author":[{"dropping-particle":"","family":"Carney","given":"J A","non-dropping-particle":"","parse-names":false,"suffix":""},{"dropping-particle":"","family":"Boccon-Gibod","given":"L","non-dropping-particle":"","parse-names":false,"suffix":""},{"dropping-particle":"","family":"Jarka","given":"D E","non-dropping-particle":"","parse-names":false,"suffix":""},{"dropping-particle":"","family":"Tanaka","given":"Y","non-dropping-particle":"","parse-names":false,"suffix":""},{"dropping-particle":"","family":"Swee","given":"R G","non-dropping-particle":"","parse-names":false,"suffix":""},{"dropping-particle":"","family":"Unni","given":"K K","non-dropping-particle":"","parse-names":false,"suffix":""},{"dropping-particle":"","family":"Stratakis","given":"C A","non-dropping-particle":"","parse-names":false,"suffix":""}],"container-title":"Am J Surg Pathol","id":"ITEM-1","issue":"2","issued":{"date-parts":[["2001"]]},"page":"164-176","title":"Osteochondromyxoma of bone: a congenital tumor associated with lentigines and other unusual disorders","type":"article-journal","volume":"25"},"uris":["http://www.mendeley.com/documents/?uuid=8fdf931e-d1c5-4101-8434-6ad6bc3b3fc1"]}],"mendeley":{"formattedCitation":"(55)","plainTextFormattedCitation":"(55)","previouslyFormattedCitation":"(55)"},"properties":{"noteIndex":0},"schema":"https://github.com/citation-style-language/schema/raw/master/csl-citation.json"}</w:instrText>
      </w:r>
      <w:r w:rsidR="0001613A" w:rsidRPr="00EC2EA6">
        <w:rPr>
          <w:color w:val="auto"/>
          <w:sz w:val="22"/>
        </w:rPr>
        <w:fldChar w:fldCharType="separate"/>
      </w:r>
      <w:r w:rsidR="006644FA" w:rsidRPr="00EC2EA6">
        <w:rPr>
          <w:noProof/>
          <w:color w:val="auto"/>
          <w:sz w:val="22"/>
        </w:rPr>
        <w:t>(55)</w:t>
      </w:r>
      <w:r w:rsidR="0001613A" w:rsidRPr="00EC2EA6">
        <w:rPr>
          <w:color w:val="auto"/>
          <w:sz w:val="22"/>
        </w:rPr>
        <w:fldChar w:fldCharType="end"/>
      </w:r>
      <w:r w:rsidRPr="00EC2EA6">
        <w:rPr>
          <w:color w:val="auto"/>
          <w:sz w:val="22"/>
        </w:rPr>
        <w:t>.</w:t>
      </w:r>
      <w:r w:rsidR="009A1C9C" w:rsidRPr="00EC2EA6">
        <w:rPr>
          <w:color w:val="auto"/>
          <w:sz w:val="22"/>
        </w:rPr>
        <w:t xml:space="preserve"> </w:t>
      </w:r>
      <w:r w:rsidRPr="00EC2EA6">
        <w:rPr>
          <w:color w:val="auto"/>
          <w:sz w:val="22"/>
        </w:rPr>
        <w:t xml:space="preserve">Radiologically </w:t>
      </w:r>
      <w:r w:rsidRPr="005F1576">
        <w:rPr>
          <w:sz w:val="22"/>
        </w:rPr>
        <w:t xml:space="preserve">they can present as osteolytic lesions with </w:t>
      </w:r>
      <w:r w:rsidRPr="005F1576">
        <w:rPr>
          <w:sz w:val="22"/>
        </w:rPr>
        <w:lastRenderedPageBreak/>
        <w:t>aggressive periosteal new bone</w:t>
      </w:r>
      <w:r w:rsidR="009A1C9C" w:rsidRPr="005F1576">
        <w:rPr>
          <w:sz w:val="22"/>
        </w:rPr>
        <w:t xml:space="preserve"> </w:t>
      </w:r>
      <w:r w:rsidRPr="005F1576">
        <w:rPr>
          <w:sz w:val="22"/>
        </w:rPr>
        <w:t xml:space="preserve">formation or as an expansive bone area with mixed sclerotic and lucent regions). </w:t>
      </w:r>
      <w:r w:rsidR="00EC217E" w:rsidRPr="00E36FA0">
        <w:rPr>
          <w:sz w:val="22"/>
        </w:rPr>
        <w:t>These lesions often get the characteristic appearance of “ring sign”, which is evident in plain radiographs, computed tomography</w:t>
      </w:r>
      <w:r w:rsidR="006644FA">
        <w:rPr>
          <w:sz w:val="22"/>
        </w:rPr>
        <w:t>,</w:t>
      </w:r>
      <w:r w:rsidR="00EC217E" w:rsidRPr="00E36FA0">
        <w:rPr>
          <w:sz w:val="22"/>
        </w:rPr>
        <w:t xml:space="preserve"> and MRI and are quite specific for CNC</w:t>
      </w:r>
      <w:r w:rsidR="00EC217E" w:rsidRPr="005F1576">
        <w:rPr>
          <w:sz w:val="22"/>
        </w:rPr>
        <w:t xml:space="preserve"> </w:t>
      </w:r>
      <w:r w:rsidR="00EC217E" w:rsidRPr="00EC2EA6">
        <w:rPr>
          <w:color w:val="auto"/>
          <w:sz w:val="22"/>
        </w:rPr>
        <w:fldChar w:fldCharType="begin" w:fldLock="1"/>
      </w:r>
      <w:r w:rsidR="006644FA" w:rsidRPr="00EC2EA6">
        <w:rPr>
          <w:color w:val="auto"/>
          <w:sz w:val="22"/>
        </w:rPr>
        <w:instrText>ADDIN CSL_CITATION {"citationItems":[{"id":"ITEM-1","itemData":{"DOI":"10.21037/qims.2019.11.14","ISSN":"2223-4292","PMID":"31929968","abstract":"BACKGROUND To introduce the concept of \"ring sign\" and to evaluate its role in the diagnostic imaging of osteochondromyxoma in patients with Carney complex (CNC). METHODS Three patients presenting osteochondromyxoma with CNC were included for evaluation of the ring sign on different imaging modalities, including radiographs, computed tomography, and magnetic resonance imaging. The literature was reviewed for further discussion. RESULTS The ring sign in osteochondromyxoma could be seen on radiographs, computed tomography, and magnetic resonance images in all three patients at each of the involved sites. The morphological patterns and the number of ring signs varied by case, site, and imaging method. Some previous reports have shown images that contain ring signs, but do not identify them as such. CONCLUSIONS Ring sign can be considered as a relatively specific sign, helpful for the imaging diagnosis of osteochondromyxoma in the CNC.","author":[{"dropping-particle":"","family":"Yu","given":"Wei","non-dropping-particle":"","parse-names":false,"suffix":""},{"dropping-particle":"","family":"Zhang","given":"Zai-Zhu","non-dropping-particle":"","parse-names":false,"suffix":""},{"dropping-particle":"","family":"Wang","given":"Ou","non-dropping-particle":"","parse-names":false,"suffix":""},{"dropping-particle":"","family":"Huang","given":"Ming-Qian","non-dropping-particle":"","parse-names":false,"suffix":""},{"dropping-particle":"","family":"Xia","given":"Wei-Bo","non-dropping-particle":"","parse-names":false,"suffix":""},{"dropping-particle":"","family":"Guermazi","given":"Ali","non-dropping-particle":"","parse-names":false,"suffix":""}],"container-title":"Quantitative imaging in medicine and surgery","id":"ITEM-1","issue":"12","issued":{"date-parts":[["2019","12"]]},"page":"1958-1965","publisher":"AME Publishing Company","title":"Ring sign: an imaging sign for osteochondromyxoma in Carney complex.","type":"article-journal","volume":"9"},"uris":["http://www.mendeley.com/documents/?uuid=54c939d3-2f06-309d-aa67-0ac4dd6d5be4"]}],"mendeley":{"formattedCitation":"(56)","plainTextFormattedCitation":"(56)","previouslyFormattedCitation":"(56)"},"properties":{"noteIndex":0},"schema":"https://github.com/citation-style-language/schema/raw/master/csl-citation.json"}</w:instrText>
      </w:r>
      <w:r w:rsidR="00EC217E" w:rsidRPr="00EC2EA6">
        <w:rPr>
          <w:color w:val="auto"/>
          <w:sz w:val="22"/>
        </w:rPr>
        <w:fldChar w:fldCharType="separate"/>
      </w:r>
      <w:r w:rsidR="006644FA" w:rsidRPr="00EC2EA6">
        <w:rPr>
          <w:noProof/>
          <w:color w:val="auto"/>
          <w:sz w:val="22"/>
        </w:rPr>
        <w:t>(56)</w:t>
      </w:r>
      <w:r w:rsidR="00EC217E" w:rsidRPr="00EC2EA6">
        <w:rPr>
          <w:color w:val="auto"/>
          <w:sz w:val="22"/>
        </w:rPr>
        <w:fldChar w:fldCharType="end"/>
      </w:r>
      <w:r w:rsidR="00EC217E" w:rsidRPr="00EC2EA6">
        <w:rPr>
          <w:color w:val="auto"/>
          <w:sz w:val="22"/>
        </w:rPr>
        <w:t xml:space="preserve">. </w:t>
      </w:r>
      <w:r w:rsidRPr="00EC2EA6">
        <w:rPr>
          <w:color w:val="auto"/>
          <w:sz w:val="22"/>
        </w:rPr>
        <w:t>Complete</w:t>
      </w:r>
      <w:r w:rsidR="009A1C9C" w:rsidRPr="00EC2EA6">
        <w:rPr>
          <w:color w:val="auto"/>
          <w:sz w:val="22"/>
        </w:rPr>
        <w:t xml:space="preserve"> </w:t>
      </w:r>
      <w:r w:rsidRPr="00EC2EA6">
        <w:rPr>
          <w:color w:val="auto"/>
          <w:sz w:val="22"/>
        </w:rPr>
        <w:t>resection of the tumor is usually curative. Experiments in rodents demonstrated the osteoblastic</w:t>
      </w:r>
      <w:r w:rsidR="009A1C9C" w:rsidRPr="00EC2EA6">
        <w:rPr>
          <w:color w:val="auto"/>
          <w:sz w:val="22"/>
        </w:rPr>
        <w:t xml:space="preserve"> </w:t>
      </w:r>
      <w:r w:rsidRPr="00EC2EA6">
        <w:rPr>
          <w:color w:val="auto"/>
          <w:sz w:val="22"/>
        </w:rPr>
        <w:t xml:space="preserve">origin of the lesion and that </w:t>
      </w:r>
      <w:r w:rsidR="006644FA" w:rsidRPr="00EC2EA6">
        <w:rPr>
          <w:color w:val="auto"/>
          <w:sz w:val="22"/>
        </w:rPr>
        <w:t xml:space="preserve">the </w:t>
      </w:r>
      <w:r w:rsidRPr="00EC2EA6">
        <w:rPr>
          <w:color w:val="auto"/>
          <w:sz w:val="22"/>
        </w:rPr>
        <w:t>knockdown of PRKAR1A disrupts the differentiation of osteoblasts</w:t>
      </w:r>
      <w:r w:rsidR="009A1C9C" w:rsidRPr="00EC2EA6">
        <w:rPr>
          <w:color w:val="auto"/>
          <w:sz w:val="22"/>
        </w:rPr>
        <w:t xml:space="preserve"> </w:t>
      </w:r>
      <w:r w:rsidR="00EC217E" w:rsidRPr="00EC2EA6">
        <w:rPr>
          <w:color w:val="auto"/>
          <w:sz w:val="22"/>
        </w:rPr>
        <w:fldChar w:fldCharType="begin" w:fldLock="1"/>
      </w:r>
      <w:r w:rsidR="006644FA" w:rsidRPr="00EC2EA6">
        <w:rPr>
          <w:color w:val="auto"/>
          <w:sz w:val="22"/>
        </w:rPr>
        <w:instrText>ADDIN CSL_CITATION {"citationItems":[{"id":"ITEM-1","itemData":{"DOI":"10.21037/qims.2019.11.14","ISSN":"2223-4292","PMID":"31929968","abstract":"BACKGROUND To introduce the concept of \"ring sign\" and to evaluate its role in the diagnostic imaging of osteochondromyxoma in patients with Carney complex (CNC). METHODS Three patients presenting osteochondromyxoma with CNC were included for evaluation of the ring sign on different imaging modalities, including radiographs, computed tomography, and magnetic resonance imaging. The literature was reviewed for further discussion. RESULTS The ring sign in osteochondromyxoma could be seen on radiographs, computed tomography, and magnetic resonance images in all three patients at each of the involved sites. The morphological patterns and the number of ring signs varied by case, site, and imaging method. Some previous reports have shown images that contain ring signs, but do not identify them as such. CONCLUSIONS Ring sign can be considered as a relatively specific sign, helpful for the imaging diagnosis of osteochondromyxoma in the CNC.","author":[{"dropping-particle":"","family":"Yu","given":"Wei","non-dropping-particle":"","parse-names":false,"suffix":""},{"dropping-particle":"","family":"Zhang","given":"Zai-Zhu","non-dropping-particle":"","parse-names":false,"suffix":""},{"dropping-particle":"","family":"Wang","given":"Ou","non-dropping-particle":"","parse-names":false,"suffix":""},{"dropping-particle":"","family":"Huang","given":"Ming-Qian","non-dropping-particle":"","parse-names":false,"suffix":""},{"dropping-particle":"","family":"Xia","given":"Wei-Bo","non-dropping-particle":"","parse-names":false,"suffix":""},{"dropping-particle":"","family":"Guermazi","given":"Ali","non-dropping-particle":"","parse-names":false,"suffix":""}],"container-title":"Quantitative imaging in medicine and surgery","id":"ITEM-1","issue":"12","issued":{"date-parts":[["2019","12"]]},"page":"1958-1965","publisher":"AME Publishing Company","title":"Ring sign: an imaging sign for osteochondromyxoma in Carney complex.","type":"article-journal","volume":"9"},"uris":["http://www.mendeley.com/documents/?uuid=54c939d3-2f06-309d-aa67-0ac4dd6d5be4"]},{"id":"ITEM-2","itemData":{"DOI":"me.2007-0369 [pii] 10.1210/me.2007-0369","ISSN":"0888-8809 (Print) 0888-8809 (Linking)","author":[{"dropping-particle":"","family":"Pavel","given":"E","non-dropping-particle":"","parse-names":false,"suffix":""},{"dropping-particle":"","family":"Nadella","given":"K","non-dropping-particle":"","parse-names":false,"suffix":""},{"dropping-particle":"","family":"Towns W. H.","given":"2nd","non-dropping-particle":"","parse-names":false,"suffix":""},{"dropping-particle":"","family":"Kirschner","given":"L S","non-dropping-particle":"","parse-names":false,"suffix":""}],"container-title":"Mol Endocrinol","id":"ITEM-2","issue":"2","issued":{"date-parts":[["2008"]]},"page":"430-440","title":"Mutation of Prkar1a causes osteoblast neoplasia driven by dysregulation of protein kinase A","type":"article-journal","volume":"22"},"uris":["http://www.mendeley.com/documents/?uuid=cb64ca65-14d7-4beb-b15b-11b98d7cb87d"]}],"mendeley":{"formattedCitation":"(56,57)","plainTextFormattedCitation":"(56,57)","previouslyFormattedCitation":"(56,57)"},"properties":{"noteIndex":0},"schema":"https://github.com/citation-style-language/schema/raw/master/csl-citation.json"}</w:instrText>
      </w:r>
      <w:r w:rsidR="00EC217E" w:rsidRPr="00EC2EA6">
        <w:rPr>
          <w:color w:val="auto"/>
          <w:sz w:val="22"/>
        </w:rPr>
        <w:fldChar w:fldCharType="separate"/>
      </w:r>
      <w:r w:rsidR="006644FA" w:rsidRPr="00EC2EA6">
        <w:rPr>
          <w:noProof/>
          <w:color w:val="auto"/>
          <w:sz w:val="22"/>
        </w:rPr>
        <w:t>(56,57)</w:t>
      </w:r>
      <w:r w:rsidR="00EC217E" w:rsidRPr="00EC2EA6">
        <w:rPr>
          <w:color w:val="auto"/>
          <w:sz w:val="22"/>
        </w:rPr>
        <w:fldChar w:fldCharType="end"/>
      </w:r>
      <w:r w:rsidRPr="00EC2EA6">
        <w:rPr>
          <w:color w:val="auto"/>
          <w:sz w:val="22"/>
        </w:rPr>
        <w:t>.</w:t>
      </w:r>
      <w:r w:rsidR="009A1C9C" w:rsidRPr="00EC2EA6">
        <w:rPr>
          <w:color w:val="auto"/>
          <w:sz w:val="22"/>
        </w:rPr>
        <w:t xml:space="preserve"> </w:t>
      </w:r>
    </w:p>
    <w:p w14:paraId="49C94378" w14:textId="77777777" w:rsidR="00AD2941" w:rsidRPr="005F1576" w:rsidRDefault="00AD2941" w:rsidP="001A69FB">
      <w:pPr>
        <w:spacing w:before="0" w:line="276" w:lineRule="auto"/>
        <w:jc w:val="left"/>
        <w:rPr>
          <w:sz w:val="22"/>
        </w:rPr>
      </w:pPr>
    </w:p>
    <w:p w14:paraId="71B31ADA" w14:textId="77777777" w:rsidR="00AD2941" w:rsidRDefault="005049B5" w:rsidP="001A69FB">
      <w:pPr>
        <w:pStyle w:val="Heading2"/>
        <w:spacing w:before="0" w:line="276" w:lineRule="auto"/>
        <w:jc w:val="left"/>
        <w:rPr>
          <w:sz w:val="22"/>
        </w:rPr>
      </w:pPr>
      <w:r w:rsidRPr="00547ED8">
        <w:rPr>
          <w:color w:val="00B050"/>
          <w:sz w:val="22"/>
        </w:rPr>
        <w:t>Endocrine Tumors and Overactivity</w:t>
      </w:r>
      <w:r w:rsidR="009A1C9C" w:rsidRPr="005F1576">
        <w:rPr>
          <w:sz w:val="22"/>
        </w:rPr>
        <w:t xml:space="preserve"> </w:t>
      </w:r>
    </w:p>
    <w:p w14:paraId="0D894C16" w14:textId="77777777" w:rsidR="001A69FB" w:rsidRPr="001A69FB" w:rsidRDefault="001A69FB" w:rsidP="001A69FB">
      <w:pPr>
        <w:spacing w:before="0" w:line="276" w:lineRule="auto"/>
        <w:jc w:val="left"/>
      </w:pPr>
    </w:p>
    <w:p w14:paraId="4061711E" w14:textId="77777777" w:rsidR="00AD2941" w:rsidRPr="00547ED8" w:rsidRDefault="005049B5" w:rsidP="001A69FB">
      <w:pPr>
        <w:pStyle w:val="Heading3"/>
        <w:spacing w:before="0" w:line="276" w:lineRule="auto"/>
        <w:jc w:val="left"/>
        <w:rPr>
          <w:rStyle w:val="Heading3Char"/>
          <w:color w:val="FF0000"/>
          <w:sz w:val="22"/>
        </w:rPr>
      </w:pPr>
      <w:r w:rsidRPr="00547ED8">
        <w:rPr>
          <w:rStyle w:val="Heading3Char"/>
          <w:color w:val="FF0000"/>
          <w:sz w:val="22"/>
        </w:rPr>
        <w:t>PPNAD (PRIMARY PIGMENTED NODULAR ADRENAL DYSPLASIA)</w:t>
      </w:r>
      <w:r w:rsidR="009A1C9C" w:rsidRPr="00547ED8">
        <w:rPr>
          <w:rStyle w:val="Heading3Char"/>
          <w:color w:val="FF0000"/>
          <w:sz w:val="22"/>
        </w:rPr>
        <w:t xml:space="preserve"> </w:t>
      </w:r>
      <w:r w:rsidRPr="00547ED8">
        <w:rPr>
          <w:rStyle w:val="Heading3Char"/>
          <w:color w:val="FF0000"/>
          <w:sz w:val="22"/>
        </w:rPr>
        <w:t xml:space="preserve">PPNAD </w:t>
      </w:r>
    </w:p>
    <w:p w14:paraId="378FCEE2" w14:textId="77777777" w:rsidR="00547ED8" w:rsidRDefault="00547ED8" w:rsidP="001A69FB">
      <w:pPr>
        <w:spacing w:before="0" w:line="276" w:lineRule="auto"/>
        <w:jc w:val="left"/>
        <w:rPr>
          <w:rStyle w:val="Heading3Char"/>
          <w:sz w:val="22"/>
        </w:rPr>
      </w:pPr>
    </w:p>
    <w:p w14:paraId="4DA5F464" w14:textId="142B4239" w:rsidR="00D536E1" w:rsidRPr="00EC2EA6" w:rsidRDefault="003A50FF" w:rsidP="001A69FB">
      <w:pPr>
        <w:spacing w:before="0" w:line="276" w:lineRule="auto"/>
        <w:jc w:val="left"/>
        <w:rPr>
          <w:color w:val="auto"/>
          <w:sz w:val="22"/>
        </w:rPr>
      </w:pPr>
      <w:r w:rsidRPr="005F1576">
        <w:rPr>
          <w:rStyle w:val="Heading3Char"/>
          <w:sz w:val="22"/>
        </w:rPr>
        <w:t xml:space="preserve">This </w:t>
      </w:r>
      <w:r w:rsidR="005049B5" w:rsidRPr="005F1576">
        <w:rPr>
          <w:rStyle w:val="Heading3Char"/>
          <w:sz w:val="22"/>
        </w:rPr>
        <w:t>is the</w:t>
      </w:r>
      <w:r w:rsidR="005049B5" w:rsidRPr="005F1576">
        <w:rPr>
          <w:sz w:val="22"/>
        </w:rPr>
        <w:t xml:space="preserve"> endocrine </w:t>
      </w:r>
      <w:r w:rsidRPr="005F1576">
        <w:rPr>
          <w:sz w:val="22"/>
        </w:rPr>
        <w:t xml:space="preserve">disorder </w:t>
      </w:r>
      <w:r w:rsidR="005049B5" w:rsidRPr="005F1576">
        <w:rPr>
          <w:sz w:val="22"/>
        </w:rPr>
        <w:t xml:space="preserve">most frequently observed in individuals with CNC. It </w:t>
      </w:r>
      <w:r w:rsidR="00567C55" w:rsidRPr="005F1576">
        <w:rPr>
          <w:sz w:val="22"/>
        </w:rPr>
        <w:t>bilaterally affects</w:t>
      </w:r>
      <w:r w:rsidR="005049B5" w:rsidRPr="005F1576">
        <w:rPr>
          <w:sz w:val="22"/>
        </w:rPr>
        <w:t xml:space="preserve"> the adrenal glands and</w:t>
      </w:r>
      <w:r w:rsidR="00567C55" w:rsidRPr="005F1576">
        <w:rPr>
          <w:sz w:val="22"/>
        </w:rPr>
        <w:t>,</w:t>
      </w:r>
      <w:r w:rsidR="005049B5" w:rsidRPr="005F1576">
        <w:rPr>
          <w:sz w:val="22"/>
        </w:rPr>
        <w:t xml:space="preserve"> </w:t>
      </w:r>
      <w:r w:rsidR="00567C55" w:rsidRPr="00E36FA0">
        <w:rPr>
          <w:sz w:val="22"/>
        </w:rPr>
        <w:t xml:space="preserve">according to recent data, </w:t>
      </w:r>
      <w:r w:rsidR="005049B5" w:rsidRPr="00E36FA0">
        <w:rPr>
          <w:sz w:val="22"/>
        </w:rPr>
        <w:t>can cause clinically overt Cushing’s Syndrome in</w:t>
      </w:r>
      <w:r w:rsidR="009A1C9C" w:rsidRPr="00E36FA0">
        <w:rPr>
          <w:sz w:val="22"/>
        </w:rPr>
        <w:t xml:space="preserve"> </w:t>
      </w:r>
      <w:r w:rsidR="00567C55" w:rsidRPr="00E36FA0">
        <w:rPr>
          <w:sz w:val="22"/>
        </w:rPr>
        <w:t>more than 50</w:t>
      </w:r>
      <w:r w:rsidR="005049B5" w:rsidRPr="00E36FA0">
        <w:rPr>
          <w:sz w:val="22"/>
        </w:rPr>
        <w:t xml:space="preserve">% of patients with </w:t>
      </w:r>
      <w:r w:rsidR="005049B5" w:rsidRPr="00EC2EA6">
        <w:rPr>
          <w:color w:val="auto"/>
          <w:sz w:val="22"/>
        </w:rPr>
        <w:t>CNC</w:t>
      </w:r>
      <w:r w:rsidR="00567C55" w:rsidRPr="00EC2EA6">
        <w:rPr>
          <w:color w:val="auto"/>
          <w:sz w:val="22"/>
        </w:rPr>
        <w:t xml:space="preserve"> </w:t>
      </w:r>
      <w:r w:rsidR="00567C55" w:rsidRPr="00EC2EA6">
        <w:rPr>
          <w:color w:val="auto"/>
          <w:sz w:val="22"/>
        </w:rPr>
        <w:fldChar w:fldCharType="begin" w:fldLock="1"/>
      </w:r>
      <w:r w:rsidR="006644FA" w:rsidRPr="00EC2EA6">
        <w:rPr>
          <w:color w:val="auto"/>
          <w:sz w:val="22"/>
        </w:rPr>
        <w:instrText>ADDIN CSL_CITATION {"citationItems":[{"id":"ITEM-1","itemData":{"DOI":"10.1210/clinem/dgaa002","ISSN":"1945-7197","PMID":"31912137","abstract":"INTRODUCTION Carney Complex (CNC) is a rare multiple endocrine and nonendocrine neoplasia syndrome. Manifestations and genotype-phenotype correlations have been described by retrospective studies, but no prospective study evaluating the occurrence of the different manifestations has been available so far. METHODS This multicenter national prospective study included patients with CNC, primary pigmented nodular adrenal disease (PPNAD), or a pathogenic PRKAR1A mutation; after a full initial workup, participants were followed for 3 years with annual standardized evaluation. RESULTS The cohort included 70 patients (50 female/20 male, mean age 35.4 ± 16.7 years, 81% carrying PRKAR1A mutation). The initial investigations allowed identification of several manifestations. At the end of the 3-year follow-up, the newly diagnosed manifestations of the disease were subclinical acromegaly in 6 patients, bilateral testicular calcifications in 1 patient, and cardiac myxomas in 2 patients. Recurrences of cardiac myxomas were diagnosed in 4 patients during the 3-year follow-up study period. Asymptomatic abnormalities of the corticotroph and somatotroph axis that did not meet criteria of PPNAD and acromegaly were observed in 11.4% and 30% of the patients, respectively. Patients carrying the PRKAR1A c.709-7del6 mutation had a mild phenotype. CONCLUSION This study underlines the importance of a systematic follow-up of the CNC manifestations, especially a biannual screening for cardiac myxoma. By contrast, regular screening for the other manifestations after a first extensive workup could be spread out, leading to a lighter and more acceptable follow-up schedule for patients. These are important results for recommendations for long-term management of CNC patients.","author":[{"dropping-particle":"","family":"Espiard","given":"Stéphanie","non-dropping-particle":"","parse-names":false,"suffix":""},{"dropping-particle":"","family":"Vantyghem","given":"Marie-Christine","non-dropping-particle":"","parse-names":false,"suffix":""},{"dropping-particle":"","family":"Assié","given":"Guillaume","non-dropping-particle":"","parse-names":false,"suffix":""},{"dropping-particle":"","family":"Cardot-Bauters","given":"Catherine","non-dropping-particle":"","parse-names":false,"suffix":""},{"dropping-particle":"","family":"Raverot","given":"Gerald","non-dropping-particle":"","parse-names":false,"suffix":""},{"dropping-particle":"","family":"Brucker-Davis","given":"Françoise","non-dropping-particle":"","parse-names":false,"suffix":""},{"dropping-particle":"","family":"Archambeaud-Mouveroux","given":"Françoise","non-dropping-particle":"","parse-names":false,"suffix":""},{"dropping-particle":"","family":"Lefebvre","given":"Hervé","non-dropping-particle":"","parse-names":false,"suffix":""},{"dropping-particle":"","family":"Nunes","given":"Marie-Laure","non-dropping-particle":"","parse-names":false,"suffix":""},{"dropping-particle":"","family":"Tabarin","given":"Antoine","non-dropping-particle":"","parse-names":false,"suffix":""},{"dropping-particle":"","family":"Lienhardt","given":"Anne","non-dropping-particle":"","parse-names":false,"suffix":""},{"dropping-particle":"","family":"Chabre","given":"Olivier","non-dropping-particle":"","parse-names":false,"suffix":""},{"dropping-particle":"","family":"Houang","given":"Muriel","non-dropping-particle":"","parse-names":false,"suffix":""},{"dropping-particle":"","family":"Bottineau","given":"Muriel","non-dropping-particle":"","parse-names":false,"suffix":""},{"dropping-particle":"","family":"Stroër","given":"Sebastian","non-dropping-particle":"","parse-names":false,"suffix":""},{"dropping-particle":"","family":"Groussin","given":"Lionel","non-dropping-particle":"","parse-names":false,"suffix":""},{"dropping-particle":"","family":"Guignat","given":"Laurence","non-dropping-particle":"","parse-names":false,"suffix":""},{"dropping-particle":"","family":"Cabanes","given":"Laure","non-dropping-particle":"","parse-names":false,"suffix":""},{"dropping-particle":"","family":"Feydy","given":"Antoine","non-dropping-particle":"","parse-names":false,"suffix":""},{"dropping-particle":"","family":"Bonnet","given":"Fidéline","non-dropping-particle":"","parse-names":false,"suffix":""},{"dropping-particle":"","family":"North","given":"Marie Odile","non-dropping-particle":"","parse-names":false,"suffix":""},{"dropping-particle":"","family":"Dupin","given":"Nicolas","non-dropping-particle":"","parse-names":false,"suffix":""},{"dropping-particle":"","family":"Grabar","given":"Sophie","non-dropping-particle":"","parse-names":false,"suffix":""},{"dropping-particle":"","family":"Duboc","given":"Denis","non-dropping-particle":"","parse-names":false,"suffix":""},{"dropping-particle":"","family":"Bertherat","given":"Jérôme","non-dropping-particle":"","parse-names":false,"suffix":""}],"container-title":"The Journal of clinical endocrinology and metabolism","id":"ITEM-1","issue":"3","issued":{"date-parts":[["2020","3","1"]]},"page":"e436–e446","publisher":"Endocrine Society","title":"Frequency and Incidence of Carney Complex Manifestations: A Prospective Multicenter Study With a Three-Year Follow-Up.","type":"article-journal","volume":"105"},"uris":["http://www.mendeley.com/documents/?uuid=0d5189bf-fd56-3ff4-88e4-25934f1a6bfb"]}],"mendeley":{"formattedCitation":"(45)","plainTextFormattedCitation":"(45)","previouslyFormattedCitation":"(45)"},"properties":{"noteIndex":0},"schema":"https://github.com/citation-style-language/schema/raw/master/csl-citation.json"}</w:instrText>
      </w:r>
      <w:r w:rsidR="00567C55" w:rsidRPr="00EC2EA6">
        <w:rPr>
          <w:color w:val="auto"/>
          <w:sz w:val="22"/>
        </w:rPr>
        <w:fldChar w:fldCharType="separate"/>
      </w:r>
      <w:r w:rsidR="006644FA" w:rsidRPr="00EC2EA6">
        <w:rPr>
          <w:noProof/>
          <w:color w:val="auto"/>
          <w:sz w:val="22"/>
        </w:rPr>
        <w:t>(45)</w:t>
      </w:r>
      <w:r w:rsidR="00567C55" w:rsidRPr="00EC2EA6">
        <w:rPr>
          <w:color w:val="auto"/>
          <w:sz w:val="22"/>
        </w:rPr>
        <w:fldChar w:fldCharType="end"/>
      </w:r>
      <w:r w:rsidR="005049B5" w:rsidRPr="00EC2EA6">
        <w:rPr>
          <w:color w:val="auto"/>
          <w:sz w:val="22"/>
        </w:rPr>
        <w:t xml:space="preserve">. However, </w:t>
      </w:r>
      <w:r w:rsidR="00567C55" w:rsidRPr="00EC2EA6">
        <w:rPr>
          <w:color w:val="auto"/>
          <w:sz w:val="22"/>
        </w:rPr>
        <w:t xml:space="preserve">autopsy studies have provided </w:t>
      </w:r>
      <w:r w:rsidR="005049B5" w:rsidRPr="00EC2EA6">
        <w:rPr>
          <w:color w:val="auto"/>
          <w:sz w:val="22"/>
        </w:rPr>
        <w:t xml:space="preserve">histological evidence </w:t>
      </w:r>
      <w:r w:rsidR="00567C55" w:rsidRPr="00EC2EA6">
        <w:rPr>
          <w:color w:val="auto"/>
          <w:sz w:val="22"/>
        </w:rPr>
        <w:t xml:space="preserve">that </w:t>
      </w:r>
      <w:r w:rsidR="005049B5" w:rsidRPr="00EC2EA6">
        <w:rPr>
          <w:color w:val="auto"/>
          <w:sz w:val="22"/>
        </w:rPr>
        <w:t>PPNAD is</w:t>
      </w:r>
      <w:r w:rsidR="009A1C9C" w:rsidRPr="00EC2EA6">
        <w:rPr>
          <w:color w:val="auto"/>
          <w:sz w:val="22"/>
        </w:rPr>
        <w:t xml:space="preserve"> </w:t>
      </w:r>
      <w:r w:rsidR="005049B5" w:rsidRPr="00EC2EA6">
        <w:rPr>
          <w:color w:val="auto"/>
          <w:sz w:val="22"/>
        </w:rPr>
        <w:t xml:space="preserve">present in almost every CNC individual </w:t>
      </w:r>
      <w:r w:rsidR="00D536E1" w:rsidRPr="00EC2EA6">
        <w:rPr>
          <w:color w:val="auto"/>
          <w:sz w:val="22"/>
        </w:rPr>
        <w:fldChar w:fldCharType="begin" w:fldLock="1"/>
      </w:r>
      <w:r w:rsidR="006644FA" w:rsidRPr="00EC2EA6">
        <w:rPr>
          <w:color w:val="auto"/>
          <w:sz w:val="22"/>
        </w:rPr>
        <w:instrText>ADDIN CSL_CITATION {"citationItems":[{"id":"ITEM-1","itemData":{"ISSN":"0025-7974 (Print) 0025-7974 (Linking)","author":[{"dropping-particle":"","family":"Carney","given":"J A","non-dropping-particle":"","parse-names":false,"suffix":""},{"dropping-particle":"","family":"Gordon","given":"H","non-dropping-particle":"","parse-names":false,"suffix":""},{"dropping-particle":"","family":"Carpenter","given":"P C","non-dropping-particle":"","parse-names":false,"suffix":""},{"dropping-particle":"V","family":"Shenoy","given":"B","non-dropping-particle":"","parse-names":false,"suffix":""},{"dropping-particle":"","family":"Go","given":"V L","non-dropping-particle":"","parse-names":false,"suffix":""}],"container-title":"Medicine (Baltimore)","id":"ITEM-1","issue":"4","issued":{"date-parts":[["1985"]]},"page":"270-283","title":"The complex of myxomas, spotty pigmentation, and endocrine overactivity","type":"article-journal","volume":"64"},"uris":["http://www.mendeley.com/documents/?uuid=a1e4890e-1045-4b74-bb02-7201736ee4d5"]}],"mendeley":{"formattedCitation":"(2)","plainTextFormattedCitation":"(2)","previouslyFormattedCitation":"(2)"},"properties":{"noteIndex":0},"schema":"https://github.com/citation-style-language/schema/raw/master/csl-citation.json"}</w:instrText>
      </w:r>
      <w:r w:rsidR="00D536E1" w:rsidRPr="00EC2EA6">
        <w:rPr>
          <w:color w:val="auto"/>
          <w:sz w:val="22"/>
        </w:rPr>
        <w:fldChar w:fldCharType="separate"/>
      </w:r>
      <w:r w:rsidR="006644FA" w:rsidRPr="00EC2EA6">
        <w:rPr>
          <w:noProof/>
          <w:color w:val="auto"/>
          <w:sz w:val="22"/>
        </w:rPr>
        <w:t>(2)</w:t>
      </w:r>
      <w:r w:rsidR="00D536E1" w:rsidRPr="00EC2EA6">
        <w:rPr>
          <w:color w:val="auto"/>
          <w:sz w:val="22"/>
        </w:rPr>
        <w:fldChar w:fldCharType="end"/>
      </w:r>
      <w:r w:rsidR="005049B5" w:rsidRPr="00EC2EA6">
        <w:rPr>
          <w:color w:val="auto"/>
          <w:sz w:val="22"/>
        </w:rPr>
        <w:t>. In 12%</w:t>
      </w:r>
      <w:r w:rsidR="009A1C9C" w:rsidRPr="00EC2EA6">
        <w:rPr>
          <w:color w:val="auto"/>
          <w:sz w:val="22"/>
        </w:rPr>
        <w:t xml:space="preserve"> </w:t>
      </w:r>
      <w:r w:rsidR="005049B5" w:rsidRPr="00EC2EA6">
        <w:rPr>
          <w:color w:val="auto"/>
          <w:sz w:val="22"/>
        </w:rPr>
        <w:t>of the CNC patients, isolated PPNAD is the only manifestation. A bimodal age distribution is</w:t>
      </w:r>
      <w:r w:rsidR="009A1C9C" w:rsidRPr="00EC2EA6">
        <w:rPr>
          <w:color w:val="auto"/>
          <w:sz w:val="22"/>
        </w:rPr>
        <w:t xml:space="preserve"> </w:t>
      </w:r>
      <w:r w:rsidR="005049B5" w:rsidRPr="00EC2EA6">
        <w:rPr>
          <w:color w:val="auto"/>
          <w:sz w:val="22"/>
        </w:rPr>
        <w:t>observed: a first peak occurs during infancy, while a second one that includes the majority of</w:t>
      </w:r>
      <w:r w:rsidR="009A1C9C" w:rsidRPr="00EC2EA6">
        <w:rPr>
          <w:color w:val="auto"/>
          <w:sz w:val="22"/>
        </w:rPr>
        <w:t xml:space="preserve"> </w:t>
      </w:r>
      <w:r w:rsidR="005049B5" w:rsidRPr="00EC2EA6">
        <w:rPr>
          <w:color w:val="auto"/>
          <w:sz w:val="22"/>
        </w:rPr>
        <w:t>cases takes place between the second and third decade of life. The median age at diagnosis is</w:t>
      </w:r>
      <w:r w:rsidR="009A1C9C" w:rsidRPr="00EC2EA6">
        <w:rPr>
          <w:color w:val="auto"/>
          <w:sz w:val="22"/>
        </w:rPr>
        <w:t xml:space="preserve"> </w:t>
      </w:r>
      <w:r w:rsidR="005049B5" w:rsidRPr="00EC2EA6">
        <w:rPr>
          <w:color w:val="auto"/>
          <w:sz w:val="22"/>
        </w:rPr>
        <w:t xml:space="preserve">34 years and it is predominantly observed in females (sex ratio 2.4:1) </w:t>
      </w:r>
      <w:r w:rsidR="00D536E1" w:rsidRPr="00EC2EA6">
        <w:rPr>
          <w:color w:val="auto"/>
          <w:sz w:val="22"/>
        </w:rPr>
        <w:fldChar w:fldCharType="begin" w:fldLock="1"/>
      </w:r>
      <w:r w:rsidR="006644FA" w:rsidRPr="00EC2EA6">
        <w:rPr>
          <w:color w:val="auto"/>
          <w:sz w:val="22"/>
        </w:rPr>
        <w:instrText>ADDIN CSL_CITATION {"citationItems":[{"id":"ITEM-1","itemData":{"ISSN":"0021-972X (Print) 0021-972X (Linking)","author":[{"dropping-particle":"","family":"Stratakis","given":"C A","non-dropping-particle":"","parse-names":false,"suffix":""},{"dropping-particle":"","family":"Kirschner","given":"L S","non-dropping-particle":"","parse-names":false,"suffix":""},{"dropping-particle":"","family":"Carney","given":"J A","non-dropping-particle":"","parse-names":false,"suffix":""}],"container-title":"J Clin Endocrinol Metab","id":"ITEM-1","issue":"9","issued":{"date-parts":[["2001"]]},"page":"4041-4046","title":"Clinical and molecular features of the Carney complex: diagnostic criteria and recommendations for patient evaluation","type":"article-journal","volume":"86"},"uris":["http://www.mendeley.com/documents/?uuid=19410673-9d33-4124-bcb6-d75d5991d45b"]}],"mendeley":{"formattedCitation":"(44)","plainTextFormattedCitation":"(44)","previouslyFormattedCitation":"(44)"},"properties":{"noteIndex":0},"schema":"https://github.com/citation-style-language/schema/raw/master/csl-citation.json"}</w:instrText>
      </w:r>
      <w:r w:rsidR="00D536E1" w:rsidRPr="00EC2EA6">
        <w:rPr>
          <w:color w:val="auto"/>
          <w:sz w:val="22"/>
        </w:rPr>
        <w:fldChar w:fldCharType="separate"/>
      </w:r>
      <w:r w:rsidR="006644FA" w:rsidRPr="00EC2EA6">
        <w:rPr>
          <w:noProof/>
          <w:color w:val="auto"/>
          <w:sz w:val="22"/>
        </w:rPr>
        <w:t>(44)</w:t>
      </w:r>
      <w:r w:rsidR="00D536E1" w:rsidRPr="00EC2EA6">
        <w:rPr>
          <w:color w:val="auto"/>
          <w:sz w:val="22"/>
        </w:rPr>
        <w:fldChar w:fldCharType="end"/>
      </w:r>
      <w:r w:rsidR="005049B5" w:rsidRPr="00EC2EA6">
        <w:rPr>
          <w:color w:val="auto"/>
          <w:sz w:val="22"/>
        </w:rPr>
        <w:t>.</w:t>
      </w:r>
      <w:r w:rsidR="009A1C9C" w:rsidRPr="00EC2EA6">
        <w:rPr>
          <w:color w:val="auto"/>
          <w:sz w:val="22"/>
        </w:rPr>
        <w:t xml:space="preserve"> </w:t>
      </w:r>
      <w:r w:rsidR="005049B5" w:rsidRPr="00EC2EA6">
        <w:rPr>
          <w:color w:val="auto"/>
          <w:sz w:val="22"/>
        </w:rPr>
        <w:t>Histologically, the adrenal cortex is dominated by small pigmented micronodules with an</w:t>
      </w:r>
      <w:r w:rsidR="009A1C9C" w:rsidRPr="00EC2EA6">
        <w:rPr>
          <w:color w:val="auto"/>
          <w:sz w:val="22"/>
        </w:rPr>
        <w:t xml:space="preserve"> </w:t>
      </w:r>
      <w:r w:rsidR="005049B5" w:rsidRPr="00EC2EA6">
        <w:rPr>
          <w:color w:val="auto"/>
          <w:sz w:val="22"/>
        </w:rPr>
        <w:t xml:space="preserve">average size </w:t>
      </w:r>
      <w:r w:rsidR="006644FA" w:rsidRPr="00EC2EA6">
        <w:rPr>
          <w:color w:val="auto"/>
          <w:sz w:val="22"/>
        </w:rPr>
        <w:t xml:space="preserve">of </w:t>
      </w:r>
      <w:r w:rsidR="005049B5" w:rsidRPr="00EC2EA6">
        <w:rPr>
          <w:color w:val="auto"/>
          <w:sz w:val="22"/>
        </w:rPr>
        <w:t xml:space="preserve">less than 10mm (Figure 6). Although </w:t>
      </w:r>
      <w:r w:rsidR="00547671" w:rsidRPr="00EC2EA6">
        <w:rPr>
          <w:color w:val="auto"/>
          <w:sz w:val="22"/>
        </w:rPr>
        <w:t>not encapsulated</w:t>
      </w:r>
      <w:r w:rsidR="005049B5" w:rsidRPr="00EC2EA6">
        <w:rPr>
          <w:color w:val="auto"/>
          <w:sz w:val="22"/>
        </w:rPr>
        <w:t>, the nodules are sharply</w:t>
      </w:r>
      <w:r w:rsidR="009A1C9C" w:rsidRPr="00EC2EA6">
        <w:rPr>
          <w:color w:val="auto"/>
          <w:sz w:val="22"/>
        </w:rPr>
        <w:t xml:space="preserve"> </w:t>
      </w:r>
      <w:r w:rsidR="005049B5" w:rsidRPr="00EC2EA6">
        <w:rPr>
          <w:color w:val="auto"/>
          <w:sz w:val="22"/>
        </w:rPr>
        <w:t>demarcated from the remainder of the cortex and most of them appear to originate deep in the</w:t>
      </w:r>
      <w:r w:rsidR="009A1C9C" w:rsidRPr="00EC2EA6">
        <w:rPr>
          <w:color w:val="auto"/>
          <w:sz w:val="22"/>
        </w:rPr>
        <w:t xml:space="preserve"> </w:t>
      </w:r>
      <w:r w:rsidR="005049B5" w:rsidRPr="00EC2EA6">
        <w:rPr>
          <w:color w:val="auto"/>
          <w:sz w:val="22"/>
        </w:rPr>
        <w:t>cortex almost at the level of the medulla. A brown</w:t>
      </w:r>
      <w:r w:rsidR="006644FA" w:rsidRPr="00EC2EA6">
        <w:rPr>
          <w:color w:val="auto"/>
          <w:sz w:val="22"/>
        </w:rPr>
        <w:t>-</w:t>
      </w:r>
      <w:r w:rsidR="005049B5" w:rsidRPr="00EC2EA6">
        <w:rPr>
          <w:color w:val="auto"/>
          <w:sz w:val="22"/>
        </w:rPr>
        <w:t>pigmented substance, lipofuscin, is contained</w:t>
      </w:r>
      <w:r w:rsidR="009A1C9C" w:rsidRPr="00EC2EA6">
        <w:rPr>
          <w:color w:val="auto"/>
          <w:sz w:val="22"/>
        </w:rPr>
        <w:t xml:space="preserve"> </w:t>
      </w:r>
      <w:r w:rsidR="005049B5" w:rsidRPr="00EC2EA6">
        <w:rPr>
          <w:color w:val="auto"/>
          <w:sz w:val="22"/>
        </w:rPr>
        <w:t>in many of the tumor cells and is responsible for the characteristic color of the lesions.</w:t>
      </w:r>
      <w:r w:rsidR="009A1C9C" w:rsidRPr="00EC2EA6">
        <w:rPr>
          <w:color w:val="auto"/>
          <w:sz w:val="22"/>
        </w:rPr>
        <w:t xml:space="preserve"> </w:t>
      </w:r>
      <w:r w:rsidR="005049B5" w:rsidRPr="00EC2EA6">
        <w:rPr>
          <w:color w:val="auto"/>
          <w:sz w:val="22"/>
        </w:rPr>
        <w:t>Interestingly, tumor cells stain positively for neuroendocrine markers (</w:t>
      </w:r>
      <w:r w:rsidR="00D536E1" w:rsidRPr="00EC2EA6">
        <w:rPr>
          <w:color w:val="auto"/>
          <w:sz w:val="22"/>
        </w:rPr>
        <w:t>e.g.,</w:t>
      </w:r>
      <w:r w:rsidR="005049B5" w:rsidRPr="00EC2EA6">
        <w:rPr>
          <w:color w:val="auto"/>
          <w:sz w:val="22"/>
        </w:rPr>
        <w:t xml:space="preserve"> Synaptophysin), while</w:t>
      </w:r>
      <w:r w:rsidR="009A1C9C" w:rsidRPr="00EC2EA6">
        <w:rPr>
          <w:color w:val="auto"/>
          <w:sz w:val="22"/>
        </w:rPr>
        <w:t xml:space="preserve"> </w:t>
      </w:r>
      <w:r w:rsidR="005049B5" w:rsidRPr="00EC2EA6">
        <w:rPr>
          <w:color w:val="auto"/>
          <w:sz w:val="22"/>
        </w:rPr>
        <w:t xml:space="preserve">normal cortical cells don’t </w:t>
      </w:r>
      <w:r w:rsidR="00D536E1" w:rsidRPr="00EC2EA6">
        <w:rPr>
          <w:color w:val="auto"/>
          <w:sz w:val="22"/>
        </w:rPr>
        <w:fldChar w:fldCharType="begin" w:fldLock="1"/>
      </w:r>
      <w:r w:rsidR="006644FA" w:rsidRPr="00EC2EA6">
        <w:rPr>
          <w:color w:val="auto"/>
          <w:sz w:val="22"/>
        </w:rPr>
        <w:instrText>ADDIN CSL_CITATION {"citationItems":[{"id":"ITEM-1","itemData":{"ISSN":"0021-972X (Print) 0021-972X (Linking)","author":[{"dropping-particle":"","family":"Stratakis","given":"C A","non-dropping-particle":"","parse-names":false,"suffix":""},{"dropping-particle":"","family":"Carney","given":"J A","non-dropping-particle":"","parse-names":false,"suffix":""},{"dropping-particle":"","family":"Kirschner","given":"L S","non-dropping-particle":"","parse-names":false,"suffix":""},{"dropping-particle":"","family":"Willenberg","given":"H S","non-dropping-particle":"","parse-names":false,"suffix":""},{"dropping-particle":"","family":"Brauer","given":"S","non-dropping-particle":"","parse-names":false,"suffix":""},{"dropping-particle":"","family":"Ehrhart-Bornstein","given":"M","non-dropping-particle":"","parse-names":false,"suffix":""},{"dropping-particle":"","family":"Bornstein","given":"S R","non-dropping-particle":"","parse-names":false,"suffix":""}],"container-title":"J Clin Endocrinol Metab","id":"ITEM-1","issue":"3","issued":{"date-parts":[["1999"]]},"page":"1122-1128","title":"Synaptophysin immunoreactivity in primary pigmented nodular adrenocortical disease: neuroendocrine properties of tumors associated with Carney complex","type":"article-journal","volume":"84"},"uris":["http://www.mendeley.com/documents/?uuid=ff284f8b-354e-424c-aa5b-c64a5c7e9832"]}],"mendeley":{"formattedCitation":"(58)","plainTextFormattedCitation":"(58)","previouslyFormattedCitation":"(58)"},"properties":{"noteIndex":0},"schema":"https://github.com/citation-style-language/schema/raw/master/csl-citation.json"}</w:instrText>
      </w:r>
      <w:r w:rsidR="00D536E1" w:rsidRPr="00EC2EA6">
        <w:rPr>
          <w:color w:val="auto"/>
          <w:sz w:val="22"/>
        </w:rPr>
        <w:fldChar w:fldCharType="separate"/>
      </w:r>
      <w:r w:rsidR="006644FA" w:rsidRPr="00EC2EA6">
        <w:rPr>
          <w:noProof/>
          <w:color w:val="auto"/>
          <w:sz w:val="22"/>
        </w:rPr>
        <w:t>(58)</w:t>
      </w:r>
      <w:r w:rsidR="00D536E1" w:rsidRPr="00EC2EA6">
        <w:rPr>
          <w:color w:val="auto"/>
          <w:sz w:val="22"/>
        </w:rPr>
        <w:fldChar w:fldCharType="end"/>
      </w:r>
      <w:r w:rsidR="005049B5" w:rsidRPr="00EC2EA6">
        <w:rPr>
          <w:color w:val="auto"/>
          <w:sz w:val="22"/>
        </w:rPr>
        <w:t>. Internodular cortical atrophy is typical, thus the overall weight of</w:t>
      </w:r>
      <w:r w:rsidR="009A1C9C" w:rsidRPr="00EC2EA6">
        <w:rPr>
          <w:color w:val="auto"/>
          <w:sz w:val="22"/>
        </w:rPr>
        <w:t xml:space="preserve"> </w:t>
      </w:r>
      <w:r w:rsidR="005049B5" w:rsidRPr="00EC2EA6">
        <w:rPr>
          <w:color w:val="auto"/>
          <w:sz w:val="22"/>
        </w:rPr>
        <w:t xml:space="preserve">the adrenal gland remains more or less normal </w:t>
      </w:r>
      <w:r w:rsidR="00D536E1" w:rsidRPr="00EC2EA6">
        <w:rPr>
          <w:color w:val="auto"/>
          <w:sz w:val="22"/>
        </w:rPr>
        <w:fldChar w:fldCharType="begin" w:fldLock="1"/>
      </w:r>
      <w:r w:rsidR="006644FA" w:rsidRPr="00EC2EA6">
        <w:rPr>
          <w:color w:val="auto"/>
          <w:sz w:val="22"/>
        </w:rPr>
        <w:instrText>ADDIN CSL_CITATION {"citationItems":[{"id":"ITEM-1","itemData":{"ISSN":"0025-7974 (Print) 0025-7974 (Linking)","author":[{"dropping-particle":"","family":"Carney","given":"J A","non-dropping-particle":"","parse-names":false,"suffix":""},{"dropping-particle":"","family":"Gordon","given":"H","non-dropping-particle":"","parse-names":false,"suffix":""},{"dropping-particle":"","family":"Carpenter","given":"P C","non-dropping-particle":"","parse-names":false,"suffix":""},{"dropping-particle":"V","family":"Shenoy","given":"B","non-dropping-particle":"","parse-names":false,"suffix":""},{"dropping-particle":"","family":"Go","given":"V L","non-dropping-particle":"","parse-names":false,"suffix":""}],"container-title":"Medicine (Baltimore)","id":"ITEM-1","issue":"4","issued":{"date-parts":[["1985"]]},"page":"270-283","title":"The complex of myxomas, spotty pigmentation, and endocrine overactivity","type":"article-journal","volume":"64"},"uris":["http://www.mendeley.com/documents/?uuid=a1e4890e-1045-4b74-bb02-7201736ee4d5"]}],"mendeley":{"formattedCitation":"(2)","plainTextFormattedCitation":"(2)","previouslyFormattedCitation":"(2)"},"properties":{"noteIndex":0},"schema":"https://github.com/citation-style-language/schema/raw/master/csl-citation.json"}</w:instrText>
      </w:r>
      <w:r w:rsidR="00D536E1" w:rsidRPr="00EC2EA6">
        <w:rPr>
          <w:color w:val="auto"/>
          <w:sz w:val="22"/>
        </w:rPr>
        <w:fldChar w:fldCharType="separate"/>
      </w:r>
      <w:r w:rsidR="006644FA" w:rsidRPr="00EC2EA6">
        <w:rPr>
          <w:noProof/>
          <w:color w:val="auto"/>
          <w:sz w:val="22"/>
        </w:rPr>
        <w:t>(2)</w:t>
      </w:r>
      <w:r w:rsidR="00D536E1" w:rsidRPr="00EC2EA6">
        <w:rPr>
          <w:color w:val="auto"/>
          <w:sz w:val="22"/>
        </w:rPr>
        <w:fldChar w:fldCharType="end"/>
      </w:r>
      <w:r w:rsidR="005049B5" w:rsidRPr="00EC2EA6">
        <w:rPr>
          <w:color w:val="auto"/>
          <w:sz w:val="22"/>
        </w:rPr>
        <w:t>.</w:t>
      </w:r>
      <w:r w:rsidR="009A1C9C" w:rsidRPr="00EC2EA6">
        <w:rPr>
          <w:color w:val="auto"/>
          <w:sz w:val="22"/>
        </w:rPr>
        <w:t xml:space="preserve"> </w:t>
      </w:r>
    </w:p>
    <w:p w14:paraId="5D8DEC80" w14:textId="77777777" w:rsidR="001A69FB" w:rsidRDefault="001A69FB" w:rsidP="001A69FB">
      <w:pPr>
        <w:spacing w:before="0" w:line="276" w:lineRule="auto"/>
        <w:jc w:val="left"/>
        <w:rPr>
          <w:sz w:val="22"/>
        </w:rPr>
      </w:pPr>
    </w:p>
    <w:p w14:paraId="09EFA8BE" w14:textId="29AD65BA" w:rsidR="001A69FB" w:rsidRPr="005F1576" w:rsidRDefault="001A69FB" w:rsidP="001A69FB">
      <w:pPr>
        <w:spacing w:before="0" w:line="276" w:lineRule="auto"/>
        <w:jc w:val="left"/>
        <w:rPr>
          <w:sz w:val="22"/>
        </w:rPr>
      </w:pPr>
      <w:r>
        <w:rPr>
          <w:noProof/>
          <w:sz w:val="22"/>
        </w:rPr>
        <w:drawing>
          <wp:inline distT="0" distB="0" distL="0" distR="0" wp14:anchorId="7C244EAF" wp14:editId="660826E4">
            <wp:extent cx="5943600" cy="2487295"/>
            <wp:effectExtent l="0" t="0" r="0" b="8255"/>
            <wp:docPr id="13203518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51865" name="Picture 1320351865"/>
                    <pic:cNvPicPr/>
                  </pic:nvPicPr>
                  <pic:blipFill>
                    <a:blip r:embed="rId13">
                      <a:extLst>
                        <a:ext uri="{28A0092B-C50C-407E-A947-70E740481C1C}">
                          <a14:useLocalDpi xmlns:a14="http://schemas.microsoft.com/office/drawing/2010/main" val="0"/>
                        </a:ext>
                      </a:extLst>
                    </a:blip>
                    <a:stretch>
                      <a:fillRect/>
                    </a:stretch>
                  </pic:blipFill>
                  <pic:spPr>
                    <a:xfrm>
                      <a:off x="0" y="0"/>
                      <a:ext cx="5943600" cy="2487295"/>
                    </a:xfrm>
                    <a:prstGeom prst="rect">
                      <a:avLst/>
                    </a:prstGeom>
                  </pic:spPr>
                </pic:pic>
              </a:graphicData>
            </a:graphic>
          </wp:inline>
        </w:drawing>
      </w:r>
    </w:p>
    <w:p w14:paraId="66DE3AF0" w14:textId="5FD07DDF" w:rsidR="00547ED8" w:rsidRPr="001A69FB" w:rsidRDefault="001A69FB" w:rsidP="005F1576">
      <w:pPr>
        <w:spacing w:before="0" w:line="276" w:lineRule="auto"/>
        <w:jc w:val="left"/>
        <w:rPr>
          <w:b/>
          <w:bCs/>
          <w:sz w:val="22"/>
        </w:rPr>
      </w:pPr>
      <w:r w:rsidRPr="001A69FB">
        <w:rPr>
          <w:b/>
          <w:bCs/>
          <w:sz w:val="22"/>
        </w:rPr>
        <w:t xml:space="preserve">Figure 6. Macroscopic and CT-scan findings in primary pigmented nodular adrenocortical disease (PPNAD). A: Macroscopic appearance of the adrenal gland where </w:t>
      </w:r>
      <w:r w:rsidRPr="001A69FB">
        <w:rPr>
          <w:b/>
          <w:bCs/>
          <w:sz w:val="22"/>
        </w:rPr>
        <w:lastRenderedPageBreak/>
        <w:t xml:space="preserve">multiple pigmented micronodules are evident at the cut surface. B: Adrenal CT scan revealed a micronodule on the external limb of the left adrenal (see red arrow). Copyright © 2006 </w:t>
      </w:r>
      <w:proofErr w:type="spellStart"/>
      <w:r w:rsidRPr="001A69FB">
        <w:rPr>
          <w:b/>
          <w:bCs/>
          <w:sz w:val="22"/>
        </w:rPr>
        <w:t>Bertherat</w:t>
      </w:r>
      <w:proofErr w:type="spellEnd"/>
      <w:r w:rsidRPr="001A69FB">
        <w:rPr>
          <w:b/>
          <w:bCs/>
          <w:sz w:val="22"/>
        </w:rPr>
        <w:t>; licensee BioMed Central Ltd.</w:t>
      </w:r>
    </w:p>
    <w:p w14:paraId="72660359" w14:textId="77777777" w:rsidR="001A69FB" w:rsidRDefault="001A69FB" w:rsidP="005F1576">
      <w:pPr>
        <w:spacing w:before="0" w:line="276" w:lineRule="auto"/>
        <w:jc w:val="left"/>
        <w:rPr>
          <w:sz w:val="22"/>
        </w:rPr>
      </w:pPr>
    </w:p>
    <w:p w14:paraId="589BA235" w14:textId="2ED12508" w:rsidR="00822667" w:rsidRPr="005F1576" w:rsidRDefault="005049B5" w:rsidP="005F1576">
      <w:pPr>
        <w:spacing w:before="0" w:line="276" w:lineRule="auto"/>
        <w:jc w:val="left"/>
        <w:rPr>
          <w:sz w:val="22"/>
        </w:rPr>
      </w:pPr>
      <w:r w:rsidRPr="005F1576">
        <w:rPr>
          <w:sz w:val="22"/>
        </w:rPr>
        <w:t>Radiological and scintigraphic findings are not specific, since the adrenals may appear</w:t>
      </w:r>
      <w:r w:rsidR="009A1C9C" w:rsidRPr="005F1576">
        <w:rPr>
          <w:sz w:val="22"/>
        </w:rPr>
        <w:t xml:space="preserve"> </w:t>
      </w:r>
      <w:r w:rsidRPr="005F1576">
        <w:rPr>
          <w:sz w:val="22"/>
        </w:rPr>
        <w:t xml:space="preserve">bilaterally or unilaterally enlarged but in most </w:t>
      </w:r>
      <w:r w:rsidR="00D536E1" w:rsidRPr="005F1576">
        <w:rPr>
          <w:sz w:val="22"/>
        </w:rPr>
        <w:t>cases,</w:t>
      </w:r>
      <w:r w:rsidRPr="005F1576">
        <w:rPr>
          <w:sz w:val="22"/>
        </w:rPr>
        <w:t xml:space="preserve"> they </w:t>
      </w:r>
      <w:r w:rsidRPr="00EC2EA6">
        <w:rPr>
          <w:color w:val="auto"/>
          <w:sz w:val="22"/>
        </w:rPr>
        <w:t xml:space="preserve">appear normal </w:t>
      </w:r>
      <w:r w:rsidR="00D536E1" w:rsidRPr="00EC2EA6">
        <w:rPr>
          <w:color w:val="auto"/>
          <w:sz w:val="22"/>
        </w:rPr>
        <w:fldChar w:fldCharType="begin" w:fldLock="1"/>
      </w:r>
      <w:r w:rsidR="006644FA" w:rsidRPr="00EC2EA6">
        <w:rPr>
          <w:color w:val="auto"/>
          <w:sz w:val="22"/>
        </w:rPr>
        <w:instrText>ADDIN CSL_CITATION {"citationItems":[{"id":"ITEM-1","itemData":{"DOI":"10.1210/jc.2015-2174","ISSN":"1945-7197","PMID":"26390100","abstract":"CONTEXT Primary pigmented nodular adrenocortical disease (PPNAD) is a rare cause of ACTH-independent Cushing's syndrome that may occur in an isolated form or as part of Carney complex. The diagnosis of this disease can be difficult preoperatively because computed tomography (CT) scan can be normal or suggest unilateral adrenal lesion, which can impede the correct diagnosis of bilateral adrenal disease. OBJECTIVE The aim of our study was to describe the results of preoperative imaging (adrenal [6β-(131)I]iodomethyl-19-norcholesterol] [NP-59] scintigraphy and standard adrenal CT scan) and their correlations with clinical, pathological, and genetics investigations in patients with PPNAD. PATIENTS AND METHODS Seventeen patients with ACTH-independent syndrome due to PPNAD were investigated with a standard adrenal CT scan and NP-59 scintigraphy. Hormonal, pathological, and genetics data were analyzed. RESULTS Four males and 13 females (median age, 27 y) were included. PPNAD was isolated in 11 patients (with PRKAR1A mutation, n = 7; and without PRKAR1A mutation, n = 4) and was associated with extra-adrenal manifestations of Carney complex in six patients (with PRKAR1A mutation, n = 4; and without PRKAR1A mutation, n = 2). Standard adrenal CT scan revealed micronodules in 11 patients, macronodules in three patients, and was normal in three patients. All patients demonstrated bilateral adrenal radiocholesterol uptake. Adrenal uptake was asymmetrical in 10 of 17 patients (59%). Asymmetrical uptake correlated with the presence of macronodules at pathological analysis (P = .03). CONCLUSION Standard adrenal CT scan most often reveals micronodules but there is no specific CT imaging. NP-59 scintigraphy always shows a bilateral adrenal uptake confirming the bilateral nature of the disease, but asymmetrical scintigraphic uptake can be observed in patients with macronodules.","author":[{"dropping-particle":"","family":"Vezzosi","given":"Delphine","non-dropping-particle":"","parse-names":false,"suffix":""},{"dropping-particle":"","family":"Tenenbaum","given":"Florence","non-dropping-particle":"","parse-names":false,"suffix":""},{"dropping-particle":"","family":"Cazabat","given":"Laure","non-dropping-particle":"","parse-names":false,"suffix":""},{"dropping-particle":"","family":"Tissier","given":"Frédérique","non-dropping-particle":"","parse-names":false,"suffix":""},{"dropping-particle":"","family":"Bienvenu","given":"Marie","non-dropping-particle":"","parse-names":false,"suffix":""},{"dropping-particle":"","family":"Carrasco","given":"Carmen A","non-dropping-particle":"","parse-names":false,"suffix":""},{"dropping-particle":"","family":"Laloi-Michelin","given":"Marie","non-dropping-particle":"","parse-names":false,"suffix":""},{"dropping-particle":"","family":"Barrande","given":"Gaëlle","non-dropping-particle":"","parse-names":false,"suffix":""},{"dropping-particle":"","family":"Lefebvre","given":"Hervé","non-dropping-particle":"","parse-names":false,"suffix":""},{"dropping-particle":"","family":"Hiéronimus","given":"Sylvie","non-dropping-particle":"","parse-names":false,"suffix":""},{"dropping-particle":"","family":"Tabarin","given":"Antoine","non-dropping-particle":"","parse-names":false,"suffix":""},{"dropping-particle":"","family":"Bertagna","given":"Xavier","non-dropping-particle":"","parse-names":false,"suffix":""},{"dropping-particle":"","family":"Legmann","given":"Paul","non-dropping-particle":"","parse-names":false,"suffix":""},{"dropping-particle":"","family":"Vantyghem","given":"Marie-Christine","non-dropping-particle":"","parse-names":false,"suffix":""},{"dropping-particle":"","family":"Bertherat","given":"Jérôme","non-dropping-particle":"","parse-names":false,"suffix":""}],"container-title":"The Journal of clinical endocrinology and metabolism","id":"ITEM-1","issue":"11","issued":{"date-parts":[["2015","11"]]},"page":"4332-8","title":"Hormonal, Radiological, NP-59 Scintigraphy, and Pathological Correlations in Patients With Cushing's Syndrome Due to Primary Pigmented Nodular Adrenocortical Disease (PPNAD).","type":"article-journal","volume":"100"},"uris":["http://www.mendeley.com/documents/?uuid=7f09f022-7a2d-4994-9097-5b32d4821675"]}],"mendeley":{"formattedCitation":"(59)","plainTextFormattedCitation":"(59)","previouslyFormattedCitation":"(59)"},"properties":{"noteIndex":0},"schema":"https://github.com/citation-style-language/schema/raw/master/csl-citation.json"}</w:instrText>
      </w:r>
      <w:r w:rsidR="00D536E1" w:rsidRPr="00EC2EA6">
        <w:rPr>
          <w:color w:val="auto"/>
          <w:sz w:val="22"/>
        </w:rPr>
        <w:fldChar w:fldCharType="separate"/>
      </w:r>
      <w:r w:rsidR="006644FA" w:rsidRPr="00EC2EA6">
        <w:rPr>
          <w:noProof/>
          <w:color w:val="auto"/>
          <w:sz w:val="22"/>
        </w:rPr>
        <w:t>(59)</w:t>
      </w:r>
      <w:r w:rsidR="00D536E1" w:rsidRPr="00EC2EA6">
        <w:rPr>
          <w:color w:val="auto"/>
          <w:sz w:val="22"/>
        </w:rPr>
        <w:fldChar w:fldCharType="end"/>
      </w:r>
      <w:r w:rsidRPr="00EC2EA6">
        <w:rPr>
          <w:color w:val="auto"/>
          <w:sz w:val="22"/>
        </w:rPr>
        <w:t>. Computed</w:t>
      </w:r>
      <w:r w:rsidR="009A1C9C" w:rsidRPr="00EC2EA6">
        <w:rPr>
          <w:color w:val="auto"/>
          <w:sz w:val="22"/>
        </w:rPr>
        <w:t xml:space="preserve"> </w:t>
      </w:r>
      <w:r w:rsidRPr="00EC2EA6">
        <w:rPr>
          <w:color w:val="auto"/>
          <w:sz w:val="22"/>
        </w:rPr>
        <w:t>Tomography (CT) is the most appropriate examination for depicting adrenal lesions in PPNAD.</w:t>
      </w:r>
      <w:r w:rsidR="009A1C9C" w:rsidRPr="00EC2EA6">
        <w:rPr>
          <w:color w:val="auto"/>
          <w:sz w:val="22"/>
        </w:rPr>
        <w:t xml:space="preserve"> </w:t>
      </w:r>
      <w:r w:rsidRPr="00EC2EA6">
        <w:rPr>
          <w:color w:val="auto"/>
          <w:sz w:val="22"/>
        </w:rPr>
        <w:t xml:space="preserve">Particularly, images obtained with </w:t>
      </w:r>
      <w:r w:rsidR="006644FA" w:rsidRPr="00EC2EA6">
        <w:rPr>
          <w:color w:val="auto"/>
          <w:sz w:val="22"/>
        </w:rPr>
        <w:t xml:space="preserve">a </w:t>
      </w:r>
      <w:r w:rsidRPr="00EC2EA6">
        <w:rPr>
          <w:color w:val="auto"/>
          <w:sz w:val="22"/>
        </w:rPr>
        <w:t>slice thickness of 3 mm or less, before and after intravenous</w:t>
      </w:r>
      <w:r w:rsidR="009A1C9C" w:rsidRPr="00EC2EA6">
        <w:rPr>
          <w:color w:val="auto"/>
          <w:sz w:val="22"/>
        </w:rPr>
        <w:t xml:space="preserve"> </w:t>
      </w:r>
      <w:r w:rsidRPr="00EC2EA6">
        <w:rPr>
          <w:color w:val="auto"/>
          <w:sz w:val="22"/>
        </w:rPr>
        <w:t>(IV) injection of contrast are preferable as they might reveal subtle contour irregularities and the</w:t>
      </w:r>
      <w:r w:rsidR="009A1C9C" w:rsidRPr="00EC2EA6">
        <w:rPr>
          <w:color w:val="auto"/>
          <w:sz w:val="22"/>
        </w:rPr>
        <w:t xml:space="preserve"> </w:t>
      </w:r>
      <w:r w:rsidRPr="00EC2EA6">
        <w:rPr>
          <w:color w:val="auto"/>
          <w:sz w:val="22"/>
        </w:rPr>
        <w:t xml:space="preserve">presence of hypodense spots that correspond to </w:t>
      </w:r>
      <w:r w:rsidR="00907168" w:rsidRPr="00EC2EA6">
        <w:rPr>
          <w:color w:val="auto"/>
          <w:sz w:val="22"/>
        </w:rPr>
        <w:t>small, pigmented</w:t>
      </w:r>
      <w:r w:rsidRPr="00EC2EA6">
        <w:rPr>
          <w:color w:val="auto"/>
          <w:sz w:val="22"/>
        </w:rPr>
        <w:t xml:space="preserve"> nodules. The characteristic</w:t>
      </w:r>
      <w:r w:rsidR="009A1C9C" w:rsidRPr="00EC2EA6">
        <w:rPr>
          <w:color w:val="auto"/>
          <w:sz w:val="22"/>
        </w:rPr>
        <w:t xml:space="preserve"> </w:t>
      </w:r>
      <w:r w:rsidRPr="00EC2EA6">
        <w:rPr>
          <w:color w:val="auto"/>
          <w:sz w:val="22"/>
        </w:rPr>
        <w:t xml:space="preserve">picture is that of “beads on a string” </w:t>
      </w:r>
      <w:r w:rsidR="00D536E1" w:rsidRPr="00EC2EA6">
        <w:rPr>
          <w:color w:val="auto"/>
          <w:sz w:val="22"/>
        </w:rPr>
        <w:fldChar w:fldCharType="begin" w:fldLock="1"/>
      </w:r>
      <w:r w:rsidR="006644FA" w:rsidRPr="00EC2EA6">
        <w:rPr>
          <w:color w:val="auto"/>
          <w:sz w:val="22"/>
        </w:rPr>
        <w:instrText>ADDIN CSL_CITATION {"citationItems":[{"id":"ITEM-1","itemData":{"DOI":"10.1007/s13244-012-0208-6","ISSN":"1869-4101 (Electronic) 1869-4101 (Linking)","author":[{"dropping-particle":"","family":"Courcoutsakis","given":"N A","non-dropping-particle":"","parse-names":false,"suffix":""},{"dropping-particle":"","family":"Tatsi","given":"C","non-dropping-particle":"","parse-names":false,"suffix":""},{"dropping-particle":"","family":"Patronas","given":"N J","non-dropping-particle":"","parse-names":false,"suffix":""},{"dropping-particle":"","family":"Lee","given":"C C","non-dropping-particle":"","parse-names":false,"suffix":""},{"dropping-particle":"","family":"Prassopoulos","given":"P K","non-dropping-particle":"","parse-names":false,"suffix":""},{"dropping-particle":"","family":"Stratakis","given":"C A","non-dropping-particle":"","parse-names":false,"suffix":""}],"container-title":"Insights Imaging","id":"ITEM-1","issue":"1","issued":{"date-parts":[["2013"]]},"page":"119-133","title":"The complex of myxomas, spotty skin pigmentation and endocrine overactivity (Carney complex): imaging findings with clinical and pathological correlation","type":"article-journal","volume":"4"},"uris":["http://www.mendeley.com/documents/?uuid=7fbb92a4-384d-4c6e-90ba-43ff0314ded4"]}],"mendeley":{"formattedCitation":"(52)","plainTextFormattedCitation":"(52)","previouslyFormattedCitation":"(52)"},"properties":{"noteIndex":0},"schema":"https://github.com/citation-style-language/schema/raw/master/csl-citation.json"}</w:instrText>
      </w:r>
      <w:r w:rsidR="00D536E1" w:rsidRPr="00EC2EA6">
        <w:rPr>
          <w:color w:val="auto"/>
          <w:sz w:val="22"/>
        </w:rPr>
        <w:fldChar w:fldCharType="separate"/>
      </w:r>
      <w:r w:rsidR="006644FA" w:rsidRPr="00EC2EA6">
        <w:rPr>
          <w:noProof/>
          <w:color w:val="auto"/>
          <w:sz w:val="22"/>
        </w:rPr>
        <w:t>(52)</w:t>
      </w:r>
      <w:r w:rsidR="00D536E1" w:rsidRPr="00EC2EA6">
        <w:rPr>
          <w:color w:val="auto"/>
          <w:sz w:val="22"/>
        </w:rPr>
        <w:fldChar w:fldCharType="end"/>
      </w:r>
      <w:r w:rsidRPr="00EC2EA6">
        <w:rPr>
          <w:color w:val="auto"/>
          <w:sz w:val="22"/>
        </w:rPr>
        <w:t>.</w:t>
      </w:r>
      <w:r w:rsidR="009A1C9C" w:rsidRPr="00EC2EA6">
        <w:rPr>
          <w:color w:val="auto"/>
          <w:sz w:val="22"/>
        </w:rPr>
        <w:t xml:space="preserve"> </w:t>
      </w:r>
      <w:r w:rsidRPr="00EC2EA6">
        <w:rPr>
          <w:color w:val="auto"/>
          <w:sz w:val="22"/>
        </w:rPr>
        <w:t>The type of hypercortisolism observed in this disorder is that of ACTH-independent adrenal</w:t>
      </w:r>
      <w:r w:rsidR="009A1C9C" w:rsidRPr="00EC2EA6">
        <w:rPr>
          <w:color w:val="auto"/>
          <w:sz w:val="22"/>
        </w:rPr>
        <w:t xml:space="preserve"> </w:t>
      </w:r>
      <w:r w:rsidRPr="00EC2EA6">
        <w:rPr>
          <w:color w:val="auto"/>
          <w:sz w:val="22"/>
        </w:rPr>
        <w:t xml:space="preserve">hyperfunction. However, demonstrating cortisol overproduction can be </w:t>
      </w:r>
      <w:r w:rsidR="00822667" w:rsidRPr="00EC2EA6">
        <w:rPr>
          <w:color w:val="auto"/>
          <w:sz w:val="22"/>
        </w:rPr>
        <w:t>challenging because</w:t>
      </w:r>
      <w:r w:rsidRPr="00EC2EA6">
        <w:rPr>
          <w:color w:val="auto"/>
          <w:sz w:val="22"/>
        </w:rPr>
        <w:t xml:space="preserve"> it </w:t>
      </w:r>
      <w:r w:rsidR="00727D49" w:rsidRPr="00EC2EA6">
        <w:rPr>
          <w:color w:val="auto"/>
          <w:sz w:val="22"/>
        </w:rPr>
        <w:t xml:space="preserve">may </w:t>
      </w:r>
      <w:r w:rsidRPr="00EC2EA6">
        <w:rPr>
          <w:color w:val="auto"/>
          <w:sz w:val="22"/>
        </w:rPr>
        <w:t xml:space="preserve">develop progressively over </w:t>
      </w:r>
      <w:r w:rsidR="006644FA" w:rsidRPr="00EC2EA6">
        <w:rPr>
          <w:color w:val="auto"/>
          <w:sz w:val="22"/>
        </w:rPr>
        <w:t xml:space="preserve">the </w:t>
      </w:r>
      <w:r w:rsidRPr="00EC2EA6">
        <w:rPr>
          <w:color w:val="auto"/>
          <w:sz w:val="22"/>
        </w:rPr>
        <w:t xml:space="preserve">years. Moreover, </w:t>
      </w:r>
      <w:r w:rsidR="00907168" w:rsidRPr="00EC2EA6">
        <w:rPr>
          <w:color w:val="auto"/>
          <w:sz w:val="22"/>
        </w:rPr>
        <w:t>intermittent,</w:t>
      </w:r>
      <w:r w:rsidRPr="00EC2EA6">
        <w:rPr>
          <w:color w:val="auto"/>
          <w:sz w:val="22"/>
        </w:rPr>
        <w:t xml:space="preserve"> or cyclic forms of hypercortisolism</w:t>
      </w:r>
      <w:r w:rsidR="009A1C9C" w:rsidRPr="00EC2EA6">
        <w:rPr>
          <w:color w:val="auto"/>
          <w:sz w:val="22"/>
        </w:rPr>
        <w:t xml:space="preserve"> </w:t>
      </w:r>
      <w:r w:rsidRPr="00EC2EA6">
        <w:rPr>
          <w:color w:val="auto"/>
          <w:sz w:val="22"/>
        </w:rPr>
        <w:t xml:space="preserve">have been reported </w:t>
      </w:r>
      <w:r w:rsidR="00727D49" w:rsidRPr="00EC2EA6">
        <w:rPr>
          <w:color w:val="auto"/>
          <w:sz w:val="22"/>
        </w:rPr>
        <w:fldChar w:fldCharType="begin" w:fldLock="1"/>
      </w:r>
      <w:r w:rsidR="006644FA" w:rsidRPr="00EC2EA6">
        <w:rPr>
          <w:color w:val="auto"/>
          <w:sz w:val="22"/>
        </w:rPr>
        <w:instrText>ADDIN CSL_CITATION {"citationItems":[{"id":"ITEM-1","itemData":{"DOI":"10.1210/jc.2003-032247 89/7/3173 [pii]","ISSN":"0021-972X (Print) 0021-972X (Linking)","author":[{"dropping-particle":"","family":"Gunther","given":"D F","non-dropping-particle":"","parse-names":false,"suffix":""},{"dropping-particle":"","family":"Bourdeau","given":"I","non-dropping-particle":"","parse-names":false,"suffix":""},{"dropping-particle":"","family":"Matyakhina","given":"L","non-dropping-particle":"","parse-names":false,"suffix":""},{"dropping-particle":"","family":"Cassarino","given":"D","non-dropping-particle":"","parse-names":false,"suffix":""},{"dropping-particle":"","family":"Kleiner","given":"D E","non-dropping-particle":"","parse-names":false,"suffix":""},{"dropping-particle":"","family":"Griffin","given":"K","non-dropping-particle":"","parse-names":false,"suffix":""},{"dropping-particle":"","family":"Courkoutsakis","given":"N","non-dropping-particle":"","parse-names":false,"suffix":""},{"dropping-particle":"","family":"Abu-Asab","given":"M","non-dropping-particle":"","parse-names":false,"suffix":""},{"dropping-particle":"","family":"Tsokos","given":"M","non-dropping-particle":"","parse-names":false,"suffix":""},{"dropping-particle":"","family":"Keil","given":"M","non-dropping-particle":"","parse-names":false,"suffix":""},{"dropping-particle":"","family":"Carney","given":"J A","non-dropping-particle":"","parse-names":false,"suffix":""},{"dropping-particle":"","family":"Stratakis","given":"C A","non-dropping-particle":"","parse-names":false,"suffix":""}],"container-title":"J Clin Endocrinol Metab","id":"ITEM-1","issue":"7","issued":{"date-parts":[["2004"]]},"page":"3173-3182","title":"Cyclical Cushing syndrome presenting in infancy: an early form of primary pigmented nodular adrenocortical disease, or a new entity?","type":"article-journal","volume":"89"},"uris":["http://www.mendeley.com/documents/?uuid=fa90fb02-6a4c-44bd-8eea-611eb8e0f00e"]}],"mendeley":{"formattedCitation":"(60)","plainTextFormattedCitation":"(60)","previouslyFormattedCitation":"(60)"},"properties":{"noteIndex":0},"schema":"https://github.com/citation-style-language/schema/raw/master/csl-citation.json"}</w:instrText>
      </w:r>
      <w:r w:rsidR="00727D49" w:rsidRPr="00EC2EA6">
        <w:rPr>
          <w:color w:val="auto"/>
          <w:sz w:val="22"/>
        </w:rPr>
        <w:fldChar w:fldCharType="separate"/>
      </w:r>
      <w:r w:rsidR="006644FA" w:rsidRPr="00EC2EA6">
        <w:rPr>
          <w:noProof/>
          <w:color w:val="auto"/>
          <w:sz w:val="22"/>
        </w:rPr>
        <w:t>(60)</w:t>
      </w:r>
      <w:r w:rsidR="00727D49" w:rsidRPr="00EC2EA6">
        <w:rPr>
          <w:color w:val="auto"/>
          <w:sz w:val="22"/>
        </w:rPr>
        <w:fldChar w:fldCharType="end"/>
      </w:r>
      <w:r w:rsidRPr="00EC2EA6">
        <w:rPr>
          <w:color w:val="auto"/>
          <w:sz w:val="22"/>
        </w:rPr>
        <w:t>. Clinical manifestations are non-specific and similar to those</w:t>
      </w:r>
      <w:r w:rsidR="009A1C9C" w:rsidRPr="00EC2EA6">
        <w:rPr>
          <w:color w:val="auto"/>
          <w:sz w:val="22"/>
        </w:rPr>
        <w:t xml:space="preserve"> </w:t>
      </w:r>
      <w:r w:rsidRPr="00EC2EA6">
        <w:rPr>
          <w:color w:val="auto"/>
          <w:sz w:val="22"/>
        </w:rPr>
        <w:t>observed in patients with Cushing syndrome (CS) of other etiolog</w:t>
      </w:r>
      <w:r w:rsidR="00B96445" w:rsidRPr="00EC2EA6">
        <w:rPr>
          <w:color w:val="auto"/>
          <w:sz w:val="22"/>
        </w:rPr>
        <w:t>ies</w:t>
      </w:r>
      <w:r w:rsidRPr="00EC2EA6">
        <w:rPr>
          <w:color w:val="auto"/>
          <w:sz w:val="22"/>
        </w:rPr>
        <w:t xml:space="preserve"> (central obesity,</w:t>
      </w:r>
      <w:r w:rsidR="009A1C9C" w:rsidRPr="00EC2EA6">
        <w:rPr>
          <w:color w:val="auto"/>
          <w:sz w:val="22"/>
        </w:rPr>
        <w:t xml:space="preserve"> </w:t>
      </w:r>
      <w:r w:rsidRPr="00EC2EA6">
        <w:rPr>
          <w:color w:val="auto"/>
          <w:sz w:val="22"/>
        </w:rPr>
        <w:t>hypertension, myopathy), with a predisposition to osteoporosis. A 6-day Liddle’s test (low dose</w:t>
      </w:r>
      <w:r w:rsidR="009A1C9C" w:rsidRPr="00EC2EA6">
        <w:rPr>
          <w:color w:val="auto"/>
          <w:sz w:val="22"/>
        </w:rPr>
        <w:t xml:space="preserve"> </w:t>
      </w:r>
      <w:r w:rsidRPr="00EC2EA6">
        <w:rPr>
          <w:color w:val="auto"/>
          <w:sz w:val="22"/>
        </w:rPr>
        <w:t>dexamethasone for 2 days followed by high dose dexamethasone for 2 days) has been used for</w:t>
      </w:r>
      <w:r w:rsidR="009A1C9C" w:rsidRPr="00EC2EA6">
        <w:rPr>
          <w:color w:val="auto"/>
          <w:sz w:val="22"/>
        </w:rPr>
        <w:t xml:space="preserve"> </w:t>
      </w:r>
      <w:r w:rsidRPr="00EC2EA6">
        <w:rPr>
          <w:color w:val="auto"/>
          <w:sz w:val="22"/>
        </w:rPr>
        <w:t>the distinction of PPNAD from CS caused by other primary adrenal disorders</w:t>
      </w:r>
      <w:r w:rsidR="00822667" w:rsidRPr="00EC2EA6">
        <w:rPr>
          <w:color w:val="auto"/>
          <w:sz w:val="22"/>
        </w:rPr>
        <w:t xml:space="preserve"> </w:t>
      </w:r>
      <w:r w:rsidR="00822667" w:rsidRPr="00EC2EA6">
        <w:rPr>
          <w:color w:val="auto"/>
          <w:sz w:val="22"/>
        </w:rPr>
        <w:fldChar w:fldCharType="begin" w:fldLock="1"/>
      </w:r>
      <w:r w:rsidR="006644FA" w:rsidRPr="00EC2EA6">
        <w:rPr>
          <w:color w:val="auto"/>
          <w:sz w:val="22"/>
        </w:rPr>
        <w:instrText>ADDIN CSL_CITATION {"citationItems":[{"id":"ITEM-1","itemData":{"DOI":"199910190-00006 [pii]","ISSN":"0003-4819 (Print) 0003-4819 (Linking)","author":[{"dropping-particle":"","family":"Stratakis","given":"C A","non-dropping-particle":"","parse-names":false,"suffix":""},{"dropping-particle":"","family":"Sarlis","given":"N","non-dropping-particle":"","parse-names":false,"suffix":""},{"dropping-particle":"","family":"Kirschner","given":"L S","non-dropping-particle":"","parse-names":false,"suffix":""},{"dropping-particle":"","family":"Carney","given":"J A","non-dropping-particle":"","parse-names":false,"suffix":""},{"dropping-particle":"","family":"Doppman","given":"J L","non-dropping-particle":"","parse-names":false,"suffix":""},{"dropping-particle":"","family":"Nieman","given":"L K","non-dropping-particle":"","parse-names":false,"suffix":""},{"dropping-particle":"","family":"Chrousos","given":"G P","non-dropping-particle":"","parse-names":false,"suffix":""},{"dropping-particle":"","family":"Papanicolaou","given":"D A","non-dropping-particle":"","parse-names":false,"suffix":""}],"container-title":"Ann Intern Med","id":"ITEM-1","issue":"8","issued":{"date-parts":[["1999"]]},"page":"585-591","title":"Paradoxical response to dexamethasone in the diagnosis of primary pigmented nodular adrenocortical disease","type":"article-journal","volume":"131"},"uris":["http://www.mendeley.com/documents/?uuid=fb0f9d38-a63c-42f6-b6dc-0a1a87d18ede"]}],"mendeley":{"formattedCitation":"(61)","plainTextFormattedCitation":"(61)","previouslyFormattedCitation":"(61)"},"properties":{"noteIndex":0},"schema":"https://github.com/citation-style-language/schema/raw/master/csl-citation.json"}</w:instrText>
      </w:r>
      <w:r w:rsidR="00822667" w:rsidRPr="00EC2EA6">
        <w:rPr>
          <w:color w:val="auto"/>
          <w:sz w:val="22"/>
        </w:rPr>
        <w:fldChar w:fldCharType="separate"/>
      </w:r>
      <w:r w:rsidR="006644FA" w:rsidRPr="00EC2EA6">
        <w:rPr>
          <w:noProof/>
          <w:color w:val="auto"/>
          <w:sz w:val="22"/>
        </w:rPr>
        <w:t>(61)</w:t>
      </w:r>
      <w:r w:rsidR="00822667" w:rsidRPr="00EC2EA6">
        <w:rPr>
          <w:color w:val="auto"/>
          <w:sz w:val="22"/>
        </w:rPr>
        <w:fldChar w:fldCharType="end"/>
      </w:r>
      <w:r w:rsidRPr="00EC2EA6">
        <w:rPr>
          <w:color w:val="auto"/>
          <w:sz w:val="22"/>
        </w:rPr>
        <w:t>. A paradoxical</w:t>
      </w:r>
      <w:r w:rsidR="009A1C9C" w:rsidRPr="00EC2EA6">
        <w:rPr>
          <w:color w:val="auto"/>
          <w:sz w:val="22"/>
        </w:rPr>
        <w:t xml:space="preserve"> </w:t>
      </w:r>
      <w:r w:rsidRPr="00EC2EA6">
        <w:rPr>
          <w:color w:val="auto"/>
          <w:sz w:val="22"/>
        </w:rPr>
        <w:t>increase of UFC and/or 17-hydroxysteroids of more than 50% on the second day after high</w:t>
      </w:r>
      <w:r w:rsidR="006644FA" w:rsidRPr="00EC2EA6">
        <w:rPr>
          <w:color w:val="auto"/>
          <w:sz w:val="22"/>
        </w:rPr>
        <w:t>-</w:t>
      </w:r>
      <w:r w:rsidRPr="00EC2EA6">
        <w:rPr>
          <w:color w:val="auto"/>
          <w:sz w:val="22"/>
        </w:rPr>
        <w:t>dose dexamethasone administration is indicative of PPNAD.</w:t>
      </w:r>
      <w:r w:rsidR="009A1C9C" w:rsidRPr="00EC2EA6">
        <w:rPr>
          <w:color w:val="auto"/>
          <w:sz w:val="22"/>
        </w:rPr>
        <w:t xml:space="preserve"> </w:t>
      </w:r>
      <w:r w:rsidR="00822667" w:rsidRPr="00EC2EA6">
        <w:rPr>
          <w:color w:val="auto"/>
          <w:sz w:val="22"/>
        </w:rPr>
        <w:t xml:space="preserve">However, recent reports have argued against the utility of Liddle’s test </w:t>
      </w:r>
      <w:r w:rsidR="00015469" w:rsidRPr="00EC2EA6">
        <w:rPr>
          <w:color w:val="auto"/>
          <w:sz w:val="22"/>
        </w:rPr>
        <w:t xml:space="preserve">by demonstrating low sensitivity (39%) and specificity </w:t>
      </w:r>
      <w:r w:rsidR="00015469" w:rsidRPr="00EC2EA6">
        <w:rPr>
          <w:color w:val="auto"/>
          <w:sz w:val="22"/>
        </w:rPr>
        <w:fldChar w:fldCharType="begin" w:fldLock="1"/>
      </w:r>
      <w:r w:rsidR="006644FA" w:rsidRPr="00EC2EA6">
        <w:rPr>
          <w:color w:val="auto"/>
          <w:sz w:val="22"/>
        </w:rPr>
        <w:instrText>ADDIN CSL_CITATION {"citationItems":[{"id":"ITEM-1","itemData":{"DOI":"10.1210/clinem/dgaa002","ISSN":"1945-7197","PMID":"31912137","abstract":"INTRODUCTION Carney Complex (CNC) is a rare multiple endocrine and nonendocrine neoplasia syndrome. Manifestations and genotype-phenotype correlations have been described by retrospective studies, but no prospective study evaluating the occurrence of the different manifestations has been available so far. METHODS This multicenter national prospective study included patients with CNC, primary pigmented nodular adrenal disease (PPNAD), or a pathogenic PRKAR1A mutation; after a full initial workup, participants were followed for 3 years with annual standardized evaluation. RESULTS The cohort included 70 patients (50 female/20 male, mean age 35.4 ± 16.7 years, 81% carrying PRKAR1A mutation). The initial investigations allowed identification of several manifestations. At the end of the 3-year follow-up, the newly diagnosed manifestations of the disease were subclinical acromegaly in 6 patients, bilateral testicular calcifications in 1 patient, and cardiac myxomas in 2 patients. Recurrences of cardiac myxomas were diagnosed in 4 patients during the 3-year follow-up study period. Asymptomatic abnormalities of the corticotroph and somatotroph axis that did not meet criteria of PPNAD and acromegaly were observed in 11.4% and 30% of the patients, respectively. Patients carrying the PRKAR1A c.709-7del6 mutation had a mild phenotype. CONCLUSION This study underlines the importance of a systematic follow-up of the CNC manifestations, especially a biannual screening for cardiac myxoma. By contrast, regular screening for the other manifestations after a first extensive workup could be spread out, leading to a lighter and more acceptable follow-up schedule for patients. These are important results for recommendations for long-term management of CNC patients.","author":[{"dropping-particle":"","family":"Espiard","given":"Stéphanie","non-dropping-particle":"","parse-names":false,"suffix":""},{"dropping-particle":"","family":"Vantyghem","given":"Marie-Christine","non-dropping-particle":"","parse-names":false,"suffix":""},{"dropping-particle":"","family":"Assié","given":"Guillaume","non-dropping-particle":"","parse-names":false,"suffix":""},{"dropping-particle":"","family":"Cardot-Bauters","given":"Catherine","non-dropping-particle":"","parse-names":false,"suffix":""},{"dropping-particle":"","family":"Raverot","given":"Gerald","non-dropping-particle":"","parse-names":false,"suffix":""},{"dropping-particle":"","family":"Brucker-Davis","given":"Françoise","non-dropping-particle":"","parse-names":false,"suffix":""},{"dropping-particle":"","family":"Archambeaud-Mouveroux","given":"Françoise","non-dropping-particle":"","parse-names":false,"suffix":""},{"dropping-particle":"","family":"Lefebvre","given":"Hervé","non-dropping-particle":"","parse-names":false,"suffix":""},{"dropping-particle":"","family":"Nunes","given":"Marie-Laure","non-dropping-particle":"","parse-names":false,"suffix":""},{"dropping-particle":"","family":"Tabarin","given":"Antoine","non-dropping-particle":"","parse-names":false,"suffix":""},{"dropping-particle":"","family":"Lienhardt","given":"Anne","non-dropping-particle":"","parse-names":false,"suffix":""},{"dropping-particle":"","family":"Chabre","given":"Olivier","non-dropping-particle":"","parse-names":false,"suffix":""},{"dropping-particle":"","family":"Houang","given":"Muriel","non-dropping-particle":"","parse-names":false,"suffix":""},{"dropping-particle":"","family":"Bottineau","given":"Muriel","non-dropping-particle":"","parse-names":false,"suffix":""},{"dropping-particle":"","family":"Stroër","given":"Sebastian","non-dropping-particle":"","parse-names":false,"suffix":""},{"dropping-particle":"","family":"Groussin","given":"Lionel","non-dropping-particle":"","parse-names":false,"suffix":""},{"dropping-particle":"","family":"Guignat","given":"Laurence","non-dropping-particle":"","parse-names":false,"suffix":""},{"dropping-particle":"","family":"Cabanes","given":"Laure","non-dropping-particle":"","parse-names":false,"suffix":""},{"dropping-particle":"","family":"Feydy","given":"Antoine","non-dropping-particle":"","parse-names":false,"suffix":""},{"dropping-particle":"","family":"Bonnet","given":"Fidéline","non-dropping-particle":"","parse-names":false,"suffix":""},{"dropping-particle":"","family":"North","given":"Marie Odile","non-dropping-particle":"","parse-names":false,"suffix":""},{"dropping-particle":"","family":"Dupin","given":"Nicolas","non-dropping-particle":"","parse-names":false,"suffix":""},{"dropping-particle":"","family":"Grabar","given":"Sophie","non-dropping-particle":"","parse-names":false,"suffix":""},{"dropping-particle":"","family":"Duboc","given":"Denis","non-dropping-particle":"","parse-names":false,"suffix":""},{"dropping-particle":"","family":"Bertherat","given":"Jérôme","non-dropping-particle":"","parse-names":false,"suffix":""}],"container-title":"The Journal of clinical endocrinology and metabolism","id":"ITEM-1","issue":"3","issued":{"date-parts":[["2020","3","1"]]},"page":"e436–e446","publisher":"Endocrine Society","title":"Frequency and Incidence of Carney Complex Manifestations: A Prospective Multicenter Study With a Three-Year Follow-Up.","type":"article-journal","volume":"105"},"uris":["http://www.mendeley.com/documents/?uuid=0d5189bf-fd56-3ff4-88e4-25934f1a6bfb"]}],"mendeley":{"formattedCitation":"(45)","plainTextFormattedCitation":"(45)","previouslyFormattedCitation":"(45)"},"properties":{"noteIndex":0},"schema":"https://github.com/citation-style-language/schema/raw/master/csl-citation.json"}</w:instrText>
      </w:r>
      <w:r w:rsidR="00015469" w:rsidRPr="00EC2EA6">
        <w:rPr>
          <w:color w:val="auto"/>
          <w:sz w:val="22"/>
        </w:rPr>
        <w:fldChar w:fldCharType="separate"/>
      </w:r>
      <w:r w:rsidR="006644FA" w:rsidRPr="00EC2EA6">
        <w:rPr>
          <w:noProof/>
          <w:color w:val="auto"/>
          <w:sz w:val="22"/>
        </w:rPr>
        <w:t>(45)</w:t>
      </w:r>
      <w:r w:rsidR="00015469" w:rsidRPr="00EC2EA6">
        <w:rPr>
          <w:color w:val="auto"/>
          <w:sz w:val="22"/>
        </w:rPr>
        <w:fldChar w:fldCharType="end"/>
      </w:r>
      <w:r w:rsidR="00015469" w:rsidRPr="00EC2EA6">
        <w:rPr>
          <w:color w:val="auto"/>
          <w:sz w:val="22"/>
        </w:rPr>
        <w:t>. Initial screening with overnight dexam</w:t>
      </w:r>
      <w:r w:rsidR="00015469" w:rsidRPr="00B96445">
        <w:rPr>
          <w:sz w:val="22"/>
        </w:rPr>
        <w:t>ethasone suppression test and urine free cortisol is suggested instead.</w:t>
      </w:r>
    </w:p>
    <w:p w14:paraId="5690500A" w14:textId="77777777" w:rsidR="00547ED8" w:rsidRDefault="00547ED8" w:rsidP="005F1576">
      <w:pPr>
        <w:spacing w:before="0" w:line="276" w:lineRule="auto"/>
        <w:jc w:val="left"/>
        <w:rPr>
          <w:sz w:val="22"/>
        </w:rPr>
      </w:pPr>
    </w:p>
    <w:p w14:paraId="615A3EF6" w14:textId="00D33B09" w:rsidR="00AD2941" w:rsidRPr="00EC2EA6" w:rsidRDefault="00015469" w:rsidP="005F1576">
      <w:pPr>
        <w:spacing w:before="0" w:line="276" w:lineRule="auto"/>
        <w:jc w:val="left"/>
        <w:rPr>
          <w:color w:val="auto"/>
          <w:sz w:val="22"/>
        </w:rPr>
      </w:pPr>
      <w:r w:rsidRPr="005F1576">
        <w:rPr>
          <w:sz w:val="22"/>
        </w:rPr>
        <w:t xml:space="preserve">Notably, </w:t>
      </w:r>
      <w:r w:rsidR="005049B5" w:rsidRPr="005F1576">
        <w:rPr>
          <w:sz w:val="22"/>
        </w:rPr>
        <w:t xml:space="preserve">reports </w:t>
      </w:r>
      <w:r w:rsidRPr="005F1576">
        <w:rPr>
          <w:sz w:val="22"/>
        </w:rPr>
        <w:t xml:space="preserve">from independent groups </w:t>
      </w:r>
      <w:r w:rsidR="005049B5" w:rsidRPr="005F1576">
        <w:rPr>
          <w:sz w:val="22"/>
        </w:rPr>
        <w:t xml:space="preserve">describe the development of adrenocortical cancer (ACC) in the context of </w:t>
      </w:r>
      <w:r w:rsidR="005049B5" w:rsidRPr="00EC2EA6">
        <w:rPr>
          <w:color w:val="auto"/>
          <w:sz w:val="22"/>
        </w:rPr>
        <w:t>CNC</w:t>
      </w:r>
      <w:r w:rsidR="009A1C9C" w:rsidRPr="00EC2EA6">
        <w:rPr>
          <w:color w:val="auto"/>
          <w:sz w:val="22"/>
        </w:rPr>
        <w:t xml:space="preserve"> </w:t>
      </w:r>
      <w:r w:rsidRPr="00EC2EA6">
        <w:rPr>
          <w:color w:val="auto"/>
          <w:sz w:val="22"/>
        </w:rPr>
        <w:fldChar w:fldCharType="begin" w:fldLock="1"/>
      </w:r>
      <w:r w:rsidR="006644FA" w:rsidRPr="00EC2EA6">
        <w:rPr>
          <w:color w:val="auto"/>
          <w:sz w:val="22"/>
        </w:rPr>
        <w:instrText>ADDIN CSL_CITATION {"citationItems":[{"id":"ITEM-1","itemData":{"DOI":"jc.2011-2244 [pii] 10.1210/jc.2011-2244","ISSN":"1945-7197 (Electronic) 0021-972X (Linking)","author":[{"dropping-particle":"","family":"Anselmo","given":"J","non-dropping-particle":"","parse-names":false,"suffix":""},{"dropping-particle":"","family":"Medeiros","given":"S","non-dropping-particle":"","parse-names":false,"suffix":""},{"dropping-particle":"","family":"Carneiro","given":"V","non-dropping-particle":"","parse-names":false,"suffix":""},{"dropping-particle":"","family":"Greene","given":"E","non-dropping-particle":"","parse-names":false,"suffix":""},{"dropping-particle":"","family":"Levy","given":"I","non-dropping-particle":"","parse-names":false,"suffix":""},{"dropping-particle":"","family":"Nesterova","given":"M","non-dropping-particle":"","parse-names":false,"suffix":""},{"dropping-particle":"","family":"Lyssikatos","given":"C","non-dropping-particle":"","parse-names":false,"suffix":""},{"dropping-particle":"","family":"Horvath","given":"A","non-dropping-particle":"","parse-names":false,"suffix":""},{"dropping-particle":"","family":"Carney","given":"J A","non-dropping-particle":"","parse-names":false,"suffix":""},{"dropping-particle":"","family":"Stratakis","given":"C A","non-dropping-particle":"","parse-names":false,"suffix":""}],"container-title":"J Clin Endocrinol Metab","id":"ITEM-1","issue":"2","issued":{"date-parts":[["2012"]]},"page":"351-359","title":"A large family with Carney complex caused by the S147G PRKAR1A mutation shows a unique spectrum of disease including adrenocortical cancer","type":"article-journal","volume":"97"},"uris":["http://www.mendeley.com/documents/?uuid=ae833ef8-0033-45af-8a8e-23a6392f8510"]},{"id":"ITEM-2","itemData":{"DOI":"jc.2011-2321 [pii] 10.1210/jc.2011-2321","ISSN":"1945-7197 (Electronic) 0021-972X (Linking)","author":[{"dropping-particle":"","family":"Morin","given":"E","non-dropping-particle":"","parse-names":false,"suffix":""},{"dropping-particle":"","family":"Mete","given":"O","non-dropping-particle":"","parse-names":false,"suffix":""},{"dropping-particle":"","family":"Wasserman","given":"J D","non-dropping-particle":"","parse-names":false,"suffix":""},{"dropping-particle":"","family":"Joshua","given":"A M","non-dropping-particle":"","parse-names":false,"suffix":""},{"dropping-particle":"","family":"Asa","given":"S L","non-dropping-particle":"","parse-names":false,"suffix":""},{"dropping-particle":"","family":"Ezzat","given":"S","non-dropping-particle":"","parse-names":false,"suffix":""}],"container-title":"J Clin Endocrinol Metab","id":"ITEM-2","issue":"2","issued":{"date-parts":[["2011"]]},"page":"E202-6","title":"Carney complex with adrenal cortical carcinoma","type":"article-journal","volume":"97"},"uris":["http://www.mendeley.com/documents/?uuid=7ab463b5-1e63-42df-aafa-52026acbbf43"]}],"mendeley":{"formattedCitation":"(62,63)","plainTextFormattedCitation":"(62,63)","previouslyFormattedCitation":"(62,63)"},"properties":{"noteIndex":0},"schema":"https://github.com/citation-style-language/schema/raw/master/csl-citation.json"}</w:instrText>
      </w:r>
      <w:r w:rsidRPr="00EC2EA6">
        <w:rPr>
          <w:color w:val="auto"/>
          <w:sz w:val="22"/>
        </w:rPr>
        <w:fldChar w:fldCharType="separate"/>
      </w:r>
      <w:r w:rsidR="006644FA" w:rsidRPr="00EC2EA6">
        <w:rPr>
          <w:noProof/>
          <w:color w:val="auto"/>
          <w:sz w:val="22"/>
        </w:rPr>
        <w:t>(62,63)</w:t>
      </w:r>
      <w:r w:rsidRPr="00EC2EA6">
        <w:rPr>
          <w:color w:val="auto"/>
          <w:sz w:val="22"/>
        </w:rPr>
        <w:fldChar w:fldCharType="end"/>
      </w:r>
      <w:r w:rsidR="005049B5" w:rsidRPr="00EC2EA6">
        <w:rPr>
          <w:color w:val="auto"/>
          <w:sz w:val="22"/>
        </w:rPr>
        <w:t>. In both reports</w:t>
      </w:r>
      <w:r w:rsidR="006644FA" w:rsidRPr="00EC2EA6">
        <w:rPr>
          <w:color w:val="auto"/>
          <w:sz w:val="22"/>
        </w:rPr>
        <w:t>,</w:t>
      </w:r>
      <w:r w:rsidR="005049B5" w:rsidRPr="00EC2EA6">
        <w:rPr>
          <w:color w:val="auto"/>
          <w:sz w:val="22"/>
        </w:rPr>
        <w:t xml:space="preserve"> the patients carried PRKAR1A mutations and ACC developed on the</w:t>
      </w:r>
      <w:r w:rsidR="009A1C9C" w:rsidRPr="00EC2EA6">
        <w:rPr>
          <w:color w:val="auto"/>
          <w:sz w:val="22"/>
        </w:rPr>
        <w:t xml:space="preserve"> </w:t>
      </w:r>
      <w:r w:rsidR="005049B5" w:rsidRPr="00EC2EA6">
        <w:rPr>
          <w:color w:val="auto"/>
          <w:sz w:val="22"/>
        </w:rPr>
        <w:t xml:space="preserve">background of PPNAD. This observation together with previous reports of benign </w:t>
      </w:r>
      <w:proofErr w:type="spellStart"/>
      <w:r w:rsidR="005049B5" w:rsidRPr="00EC2EA6">
        <w:rPr>
          <w:color w:val="auto"/>
          <w:sz w:val="22"/>
        </w:rPr>
        <w:t>macronodules</w:t>
      </w:r>
      <w:proofErr w:type="spellEnd"/>
      <w:r w:rsidR="009A1C9C" w:rsidRPr="00EC2EA6">
        <w:rPr>
          <w:color w:val="auto"/>
          <w:sz w:val="22"/>
        </w:rPr>
        <w:t xml:space="preserve"> </w:t>
      </w:r>
      <w:r w:rsidR="005049B5" w:rsidRPr="00EC2EA6">
        <w:rPr>
          <w:color w:val="auto"/>
          <w:sz w:val="22"/>
        </w:rPr>
        <w:t>(between 1 and 3.5 cm) in adrenal glands affected with PPNAD implies a continuum of</w:t>
      </w:r>
      <w:r w:rsidR="009A1C9C" w:rsidRPr="00EC2EA6">
        <w:rPr>
          <w:color w:val="auto"/>
          <w:sz w:val="22"/>
        </w:rPr>
        <w:t xml:space="preserve"> </w:t>
      </w:r>
      <w:r w:rsidR="005049B5" w:rsidRPr="00EC2EA6">
        <w:rPr>
          <w:color w:val="auto"/>
          <w:sz w:val="22"/>
        </w:rPr>
        <w:t>tumorigenesis from adrenal hyperplasia to benign nodules, and then cancer, associated with</w:t>
      </w:r>
      <w:r w:rsidR="009A1C9C" w:rsidRPr="00EC2EA6">
        <w:rPr>
          <w:color w:val="auto"/>
          <w:sz w:val="22"/>
        </w:rPr>
        <w:t xml:space="preserve"> </w:t>
      </w:r>
      <w:r w:rsidR="005049B5" w:rsidRPr="00EC2EA6">
        <w:rPr>
          <w:color w:val="auto"/>
          <w:sz w:val="22"/>
        </w:rPr>
        <w:t xml:space="preserve">alterations in other tumor suppressor genes apart from PRKAR1A </w:t>
      </w:r>
      <w:r w:rsidR="003D0AFA" w:rsidRPr="00EC2EA6">
        <w:rPr>
          <w:color w:val="auto"/>
          <w:sz w:val="22"/>
        </w:rPr>
        <w:fldChar w:fldCharType="begin" w:fldLock="1"/>
      </w:r>
      <w:r w:rsidR="006644FA" w:rsidRPr="00EC2EA6">
        <w:rPr>
          <w:color w:val="auto"/>
          <w:sz w:val="22"/>
        </w:rPr>
        <w:instrText>ADDIN CSL_CITATION {"citationItems":[{"id":"ITEM-1","itemData":{"DOI":"97/2/387 [pii] 10.1210/jc.2011-3327","ISSN":"1945-7197 (Electronic) 0021-972X (Linking)","author":[{"dropping-particle":"","family":"Bertherat","given":"J","non-dropping-particle":"","parse-names":false,"suffix":""}],"container-title":"J Clin Endocrinol Metab","id":"ITEM-1","issue":"2","issued":{"date-parts":[["2012"]]},"page":"387-390","title":"Adrenocortical cancer in Carney complex: a paradigm of endocrine tumor progression or an association of genetic predisposing factors?","type":"article-journal","volume":"97"},"uris":["http://www.mendeley.com/documents/?uuid=6f53c9a4-5bed-4598-8116-d51473e51dff"]}],"mendeley":{"formattedCitation":"(64)","plainTextFormattedCitation":"(64)","previouslyFormattedCitation":"(64)"},"properties":{"noteIndex":0},"schema":"https://github.com/citation-style-language/schema/raw/master/csl-citation.json"}</w:instrText>
      </w:r>
      <w:r w:rsidR="003D0AFA" w:rsidRPr="00EC2EA6">
        <w:rPr>
          <w:color w:val="auto"/>
          <w:sz w:val="22"/>
        </w:rPr>
        <w:fldChar w:fldCharType="separate"/>
      </w:r>
      <w:r w:rsidR="006644FA" w:rsidRPr="00EC2EA6">
        <w:rPr>
          <w:noProof/>
          <w:color w:val="auto"/>
          <w:sz w:val="22"/>
        </w:rPr>
        <w:t>(64)</w:t>
      </w:r>
      <w:r w:rsidR="003D0AFA" w:rsidRPr="00EC2EA6">
        <w:rPr>
          <w:color w:val="auto"/>
          <w:sz w:val="22"/>
        </w:rPr>
        <w:fldChar w:fldCharType="end"/>
      </w:r>
      <w:r w:rsidR="005049B5" w:rsidRPr="00EC2EA6">
        <w:rPr>
          <w:color w:val="auto"/>
          <w:sz w:val="22"/>
        </w:rPr>
        <w:t>.</w:t>
      </w:r>
      <w:r w:rsidR="009A1C9C" w:rsidRPr="00EC2EA6">
        <w:rPr>
          <w:color w:val="auto"/>
          <w:sz w:val="22"/>
        </w:rPr>
        <w:t xml:space="preserve"> </w:t>
      </w:r>
    </w:p>
    <w:p w14:paraId="46E96A97" w14:textId="77777777" w:rsidR="00547ED8" w:rsidRDefault="00547ED8" w:rsidP="005F1576">
      <w:pPr>
        <w:pStyle w:val="Heading3"/>
        <w:spacing w:before="0" w:line="276" w:lineRule="auto"/>
        <w:jc w:val="left"/>
        <w:rPr>
          <w:sz w:val="22"/>
        </w:rPr>
      </w:pPr>
    </w:p>
    <w:p w14:paraId="18ACDB9D" w14:textId="795B8425" w:rsidR="00AD2941" w:rsidRPr="00547ED8" w:rsidRDefault="005049B5" w:rsidP="005F1576">
      <w:pPr>
        <w:pStyle w:val="Heading3"/>
        <w:spacing w:before="0" w:line="276" w:lineRule="auto"/>
        <w:jc w:val="left"/>
        <w:rPr>
          <w:color w:val="FF0000"/>
          <w:sz w:val="22"/>
        </w:rPr>
      </w:pPr>
      <w:r w:rsidRPr="00547ED8">
        <w:rPr>
          <w:color w:val="FF0000"/>
          <w:sz w:val="22"/>
        </w:rPr>
        <w:t>GROWTH HORMONE (GH)-SECRETING PITUITARY ADENOMAS (ACROMEGALY)</w:t>
      </w:r>
      <w:r w:rsidR="009A1C9C" w:rsidRPr="00547ED8">
        <w:rPr>
          <w:color w:val="FF0000"/>
          <w:sz w:val="22"/>
        </w:rPr>
        <w:t xml:space="preserve"> </w:t>
      </w:r>
    </w:p>
    <w:bookmarkEnd w:id="2"/>
    <w:p w14:paraId="503D1AE4" w14:textId="77777777" w:rsidR="00547ED8" w:rsidRPr="00547ED8" w:rsidRDefault="00547ED8" w:rsidP="005F1576">
      <w:pPr>
        <w:spacing w:before="0" w:line="276" w:lineRule="auto"/>
        <w:jc w:val="left"/>
        <w:rPr>
          <w:color w:val="FF0000"/>
          <w:sz w:val="22"/>
        </w:rPr>
      </w:pPr>
    </w:p>
    <w:p w14:paraId="28DF70D7" w14:textId="50A04E23" w:rsidR="003D0AFA" w:rsidRPr="00EC2EA6" w:rsidRDefault="005049B5" w:rsidP="005F1576">
      <w:pPr>
        <w:spacing w:before="0" w:line="276" w:lineRule="auto"/>
        <w:jc w:val="left"/>
        <w:rPr>
          <w:color w:val="auto"/>
          <w:sz w:val="22"/>
        </w:rPr>
      </w:pPr>
      <w:bookmarkStart w:id="4" w:name="_Hlk140074092"/>
      <w:r w:rsidRPr="005F1576">
        <w:rPr>
          <w:sz w:val="22"/>
        </w:rPr>
        <w:t xml:space="preserve">Clinically evident acromegaly due to a pituitary GH-secreting tumor </w:t>
      </w:r>
      <w:r w:rsidR="003D0AFA" w:rsidRPr="005F1576">
        <w:rPr>
          <w:sz w:val="22"/>
        </w:rPr>
        <w:t xml:space="preserve">has been observed </w:t>
      </w:r>
      <w:r w:rsidRPr="005F1576">
        <w:rPr>
          <w:sz w:val="22"/>
        </w:rPr>
        <w:t>in approximately 10-12% of patients with CNC, whereas, gigantism, resulting from excessive GH secretion prior to</w:t>
      </w:r>
      <w:r w:rsidR="009A1C9C" w:rsidRPr="005F1576">
        <w:rPr>
          <w:sz w:val="22"/>
        </w:rPr>
        <w:t xml:space="preserve"> </w:t>
      </w:r>
      <w:r w:rsidRPr="005F1576">
        <w:rPr>
          <w:sz w:val="22"/>
        </w:rPr>
        <w:t xml:space="preserve">puberty, is quite </w:t>
      </w:r>
      <w:r w:rsidRPr="00EC2EA6">
        <w:rPr>
          <w:color w:val="auto"/>
          <w:sz w:val="22"/>
        </w:rPr>
        <w:t>rare</w:t>
      </w:r>
      <w:r w:rsidR="003D0AFA" w:rsidRPr="00EC2EA6">
        <w:rPr>
          <w:color w:val="auto"/>
          <w:sz w:val="22"/>
        </w:rPr>
        <w:t xml:space="preserve"> </w:t>
      </w:r>
      <w:r w:rsidR="003D0AFA" w:rsidRPr="00EC2EA6">
        <w:rPr>
          <w:color w:val="auto"/>
          <w:sz w:val="22"/>
        </w:rPr>
        <w:fldChar w:fldCharType="begin" w:fldLock="1"/>
      </w:r>
      <w:r w:rsidR="006644FA" w:rsidRPr="00EC2EA6">
        <w:rPr>
          <w:color w:val="auto"/>
          <w:sz w:val="22"/>
        </w:rPr>
        <w:instrText>ADDIN CSL_CITATION {"citationItems":[{"id":"ITEM-1","itemData":{"ISSN":"0021-972X (Print) 0021-972X (Linking)","author":[{"dropping-particle":"","family":"Stratakis","given":"C A","non-dropping-particle":"","parse-names":false,"suffix":""},{"dropping-particle":"","family":"Kirschner","given":"L S","non-dropping-particle":"","parse-names":false,"suffix":""},{"dropping-particle":"","family":"Carney","given":"J A","non-dropping-particle":"","parse-names":false,"suffix":""}],"container-title":"J Clin Endocrinol Metab","id":"ITEM-1","issue":"9","issued":{"date-parts":[["2001"]]},"page":"4041-4046","title":"Clinical and molecular features of the Carney complex: diagnostic criteria and recommendations for patient evaluation","type":"article-journal","volume":"86"},"uris":["http://www.mendeley.com/documents/?uuid=19410673-9d33-4124-bcb6-d75d5991d45b"]}],"mendeley":{"formattedCitation":"(44)","plainTextFormattedCitation":"(44)","previouslyFormattedCitation":"(44)"},"properties":{"noteIndex":0},"schema":"https://github.com/citation-style-language/schema/raw/master/csl-citation.json"}</w:instrText>
      </w:r>
      <w:r w:rsidR="003D0AFA" w:rsidRPr="00EC2EA6">
        <w:rPr>
          <w:color w:val="auto"/>
          <w:sz w:val="22"/>
        </w:rPr>
        <w:fldChar w:fldCharType="separate"/>
      </w:r>
      <w:r w:rsidR="006644FA" w:rsidRPr="00EC2EA6">
        <w:rPr>
          <w:noProof/>
          <w:color w:val="auto"/>
          <w:sz w:val="22"/>
        </w:rPr>
        <w:t>(44)</w:t>
      </w:r>
      <w:r w:rsidR="003D0AFA" w:rsidRPr="00EC2EA6">
        <w:rPr>
          <w:color w:val="auto"/>
          <w:sz w:val="22"/>
        </w:rPr>
        <w:fldChar w:fldCharType="end"/>
      </w:r>
      <w:r w:rsidRPr="00EC2EA6">
        <w:rPr>
          <w:color w:val="auto"/>
          <w:sz w:val="22"/>
        </w:rPr>
        <w:t xml:space="preserve">. </w:t>
      </w:r>
      <w:r w:rsidR="005F19CC" w:rsidRPr="00EC2EA6">
        <w:rPr>
          <w:color w:val="auto"/>
          <w:sz w:val="22"/>
        </w:rPr>
        <w:t>D</w:t>
      </w:r>
      <w:r w:rsidR="003D0AFA" w:rsidRPr="00EC2EA6">
        <w:rPr>
          <w:color w:val="auto"/>
          <w:sz w:val="22"/>
        </w:rPr>
        <w:t>ata from a recent prospective study, raise this figure to 18</w:t>
      </w:r>
      <w:r w:rsidR="005F19CC" w:rsidRPr="00EC2EA6">
        <w:rPr>
          <w:color w:val="auto"/>
          <w:sz w:val="22"/>
        </w:rPr>
        <w:t>%, with a median age at diagnosis 34.5 years</w:t>
      </w:r>
      <w:r w:rsidR="003D0AFA" w:rsidRPr="00EC2EA6">
        <w:rPr>
          <w:color w:val="auto"/>
          <w:sz w:val="22"/>
        </w:rPr>
        <w:t xml:space="preserve"> </w:t>
      </w:r>
      <w:r w:rsidR="003D0AFA" w:rsidRPr="00EC2EA6">
        <w:rPr>
          <w:color w:val="auto"/>
          <w:sz w:val="22"/>
        </w:rPr>
        <w:fldChar w:fldCharType="begin" w:fldLock="1"/>
      </w:r>
      <w:r w:rsidR="006644FA" w:rsidRPr="00EC2EA6">
        <w:rPr>
          <w:color w:val="auto"/>
          <w:sz w:val="22"/>
        </w:rPr>
        <w:instrText>ADDIN CSL_CITATION {"citationItems":[{"id":"ITEM-1","itemData":{"DOI":"10.1210/clinem/dgaa002","ISSN":"1945-7197","PMID":"31912137","abstract":"INTRODUCTION Carney Complex (CNC) is a rare multiple endocrine and nonendocrine neoplasia syndrome. Manifestations and genotype-phenotype correlations have been described by retrospective studies, but no prospective study evaluating the occurrence of the different manifestations has been available so far. METHODS This multicenter national prospective study included patients with CNC, primary pigmented nodular adrenal disease (PPNAD), or a pathogenic PRKAR1A mutation; after a full initial workup, participants were followed for 3 years with annual standardized evaluation. RESULTS The cohort included 70 patients (50 female/20 male, mean age 35.4 ± 16.7 years, 81% carrying PRKAR1A mutation). The initial investigations allowed identification of several manifestations. At the end of the 3-year follow-up, the newly diagnosed manifestations of the disease were subclinical acromegaly in 6 patients, bilateral testicular calcifications in 1 patient, and cardiac myxomas in 2 patients. Recurrences of cardiac myxomas were diagnosed in 4 patients during the 3-year follow-up study period. Asymptomatic abnormalities of the corticotroph and somatotroph axis that did not meet criteria of PPNAD and acromegaly were observed in 11.4% and 30% of the patients, respectively. Patients carrying the PRKAR1A c.709-7del6 mutation had a mild phenotype. CONCLUSION This study underlines the importance of a systematic follow-up of the CNC manifestations, especially a biannual screening for cardiac myxoma. By contrast, regular screening for the other manifestations after a first extensive workup could be spread out, leading to a lighter and more acceptable follow-up schedule for patients. These are important results for recommendations for long-term management of CNC patients.","author":[{"dropping-particle":"","family":"Espiard","given":"Stéphanie","non-dropping-particle":"","parse-names":false,"suffix":""},{"dropping-particle":"","family":"Vantyghem","given":"Marie-Christine","non-dropping-particle":"","parse-names":false,"suffix":""},{"dropping-particle":"","family":"Assié","given":"Guillaume","non-dropping-particle":"","parse-names":false,"suffix":""},{"dropping-particle":"","family":"Cardot-Bauters","given":"Catherine","non-dropping-particle":"","parse-names":false,"suffix":""},{"dropping-particle":"","family":"Raverot","given":"Gerald","non-dropping-particle":"","parse-names":false,"suffix":""},{"dropping-particle":"","family":"Brucker-Davis","given":"Françoise","non-dropping-particle":"","parse-names":false,"suffix":""},{"dropping-particle":"","family":"Archambeaud-Mouveroux","given":"Françoise","non-dropping-particle":"","parse-names":false,"suffix":""},{"dropping-particle":"","family":"Lefebvre","given":"Hervé","non-dropping-particle":"","parse-names":false,"suffix":""},{"dropping-particle":"","family":"Nunes","given":"Marie-Laure","non-dropping-particle":"","parse-names":false,"suffix":""},{"dropping-particle":"","family":"Tabarin","given":"Antoine","non-dropping-particle":"","parse-names":false,"suffix":""},{"dropping-particle":"","family":"Lienhardt","given":"Anne","non-dropping-particle":"","parse-names":false,"suffix":""},{"dropping-particle":"","family":"Chabre","given":"Olivier","non-dropping-particle":"","parse-names":false,"suffix":""},{"dropping-particle":"","family":"Houang","given":"Muriel","non-dropping-particle":"","parse-names":false,"suffix":""},{"dropping-particle":"","family":"Bottineau","given":"Muriel","non-dropping-particle":"","parse-names":false,"suffix":""},{"dropping-particle":"","family":"Stroër","given":"Sebastian","non-dropping-particle":"","parse-names":false,"suffix":""},{"dropping-particle":"","family":"Groussin","given":"Lionel","non-dropping-particle":"","parse-names":false,"suffix":""},{"dropping-particle":"","family":"Guignat","given":"Laurence","non-dropping-particle":"","parse-names":false,"suffix":""},{"dropping-particle":"","family":"Cabanes","given":"Laure","non-dropping-particle":"","parse-names":false,"suffix":""},{"dropping-particle":"","family":"Feydy","given":"Antoine","non-dropping-particle":"","parse-names":false,"suffix":""},{"dropping-particle":"","family":"Bonnet","given":"Fidéline","non-dropping-particle":"","parse-names":false,"suffix":""},{"dropping-particle":"","family":"North","given":"Marie Odile","non-dropping-particle":"","parse-names":false,"suffix":""},{"dropping-particle":"","family":"Dupin","given":"Nicolas","non-dropping-particle":"","parse-names":false,"suffix":""},{"dropping-particle":"","family":"Grabar","given":"Sophie","non-dropping-particle":"","parse-names":false,"suffix":""},{"dropping-particle":"","family":"Duboc","given":"Denis","non-dropping-particle":"","parse-names":false,"suffix":""},{"dropping-particle":"","family":"Bertherat","given":"Jérôme","non-dropping-particle":"","parse-names":false,"suffix":""}],"container-title":"The Journal of clinical endocrinology and metabolism","id":"ITEM-1","issue":"3","issued":{"date-parts":[["2020","3","1"]]},"page":"e436–e446","publisher":"Endocrine Society","title":"Frequency and Incidence of Carney Complex Manifestations: A Prospective Multicenter Study With a Three-Year Follow-Up.","type":"article-journal","volume":"105"},"uris":["http://www.mendeley.com/documents/?uuid=0d5189bf-fd56-3ff4-88e4-25934f1a6bfb"]}],"mendeley":{"formattedCitation":"(45)","plainTextFormattedCitation":"(45)","previouslyFormattedCitation":"(45)"},"properties":{"noteIndex":0},"schema":"https://github.com/citation-style-language/schema/raw/master/csl-citation.json"}</w:instrText>
      </w:r>
      <w:r w:rsidR="003D0AFA" w:rsidRPr="00EC2EA6">
        <w:rPr>
          <w:color w:val="auto"/>
          <w:sz w:val="22"/>
        </w:rPr>
        <w:fldChar w:fldCharType="separate"/>
      </w:r>
      <w:r w:rsidR="006644FA" w:rsidRPr="00EC2EA6">
        <w:rPr>
          <w:noProof/>
          <w:color w:val="auto"/>
          <w:sz w:val="22"/>
        </w:rPr>
        <w:t>(45)</w:t>
      </w:r>
      <w:r w:rsidR="003D0AFA" w:rsidRPr="00EC2EA6">
        <w:rPr>
          <w:color w:val="auto"/>
          <w:sz w:val="22"/>
        </w:rPr>
        <w:fldChar w:fldCharType="end"/>
      </w:r>
      <w:r w:rsidR="003D0AFA" w:rsidRPr="00EC2EA6">
        <w:rPr>
          <w:color w:val="auto"/>
          <w:sz w:val="22"/>
        </w:rPr>
        <w:t>.</w:t>
      </w:r>
    </w:p>
    <w:p w14:paraId="767D211F" w14:textId="77777777" w:rsidR="00547ED8" w:rsidRDefault="00547ED8" w:rsidP="005F1576">
      <w:pPr>
        <w:spacing w:before="0" w:line="276" w:lineRule="auto"/>
        <w:jc w:val="left"/>
        <w:rPr>
          <w:sz w:val="22"/>
        </w:rPr>
      </w:pPr>
    </w:p>
    <w:p w14:paraId="446668CE" w14:textId="05EC090A" w:rsidR="00AD2941" w:rsidRPr="005F1576" w:rsidRDefault="005049B5" w:rsidP="005F1576">
      <w:pPr>
        <w:spacing w:before="0" w:line="276" w:lineRule="auto"/>
        <w:jc w:val="left"/>
        <w:rPr>
          <w:sz w:val="22"/>
        </w:rPr>
      </w:pPr>
      <w:r w:rsidRPr="005F1576">
        <w:rPr>
          <w:sz w:val="22"/>
        </w:rPr>
        <w:t>The usual underlying pathology is a solitary pituitary adenoma, while</w:t>
      </w:r>
      <w:r w:rsidR="009A1C9C" w:rsidRPr="005F1576">
        <w:rPr>
          <w:sz w:val="22"/>
        </w:rPr>
        <w:t xml:space="preserve"> </w:t>
      </w:r>
      <w:r w:rsidRPr="005F1576">
        <w:rPr>
          <w:sz w:val="22"/>
        </w:rPr>
        <w:t>cases of multiple adenomas or even diffuse somatomammotrop</w:t>
      </w:r>
      <w:r w:rsidR="006644FA">
        <w:rPr>
          <w:sz w:val="22"/>
        </w:rPr>
        <w:t>e</w:t>
      </w:r>
      <w:r w:rsidRPr="005F1576">
        <w:rPr>
          <w:sz w:val="22"/>
        </w:rPr>
        <w:t xml:space="preserve"> hyperplasia, a possible</w:t>
      </w:r>
      <w:r w:rsidR="009A1C9C" w:rsidRPr="005F1576">
        <w:rPr>
          <w:sz w:val="22"/>
        </w:rPr>
        <w:t xml:space="preserve"> </w:t>
      </w:r>
      <w:r w:rsidRPr="005F1576">
        <w:rPr>
          <w:sz w:val="22"/>
        </w:rPr>
        <w:t xml:space="preserve">precursor of GH-producing adenomas, have been demonstrated in CNC </w:t>
      </w:r>
      <w:r w:rsidRPr="00EC2EA6">
        <w:rPr>
          <w:color w:val="auto"/>
          <w:sz w:val="22"/>
        </w:rPr>
        <w:t xml:space="preserve">patients </w:t>
      </w:r>
      <w:r w:rsidR="003D0AFA" w:rsidRPr="00EC2EA6">
        <w:rPr>
          <w:color w:val="auto"/>
          <w:sz w:val="22"/>
        </w:rPr>
        <w:fldChar w:fldCharType="begin" w:fldLock="1"/>
      </w:r>
      <w:r w:rsidR="006644FA" w:rsidRPr="00EC2EA6">
        <w:rPr>
          <w:color w:val="auto"/>
          <w:sz w:val="22"/>
        </w:rPr>
        <w:instrText>ADDIN CSL_CITATION {"citationItems":[{"id":"ITEM-1","itemData":{"DOI":"10.1227/NEU.0000000000001384","ISSN":"1524-4040","PMID":"27509071","abstract":"BACKGROUND Carney complex (CNC) is a familial neoplasia syndrome that is associated with pituitary-associated hypersecretion of growth hormone (GH) (acromegaly). The underlying cause of pituitary GH hypersecretion and its management have been incompletely defined. OBJECTIVE To provide biological insight into CNC-associated pituitary pathology and improve management, we analyzed findings in CNC patients who underwent transsphenoidal surgery. METHODS Consecutive CNC patients at the National Institutes of Health with acromegaly and imaging evidence of a pituitary adenoma(s) who underwent transsphenoidal resection of tumor(s) were included. Prospectively acquired magnetic resonance imaging and biochemical, surgical, and histological data were analyzed. RESULTS Seven acromegalic CNC patients (2 male, 5 female) were included. The mean age at surgery was 29.7 years (range, 18-44 years). The mean follow-up was 4.7 years (range, 0.2-129 months). Magnetic resonance imaging revealed a single pituitary adenoma in 4 patients and multiple pituitary adenomas in 3 patients. Whereas patients with single discrete pituitary adenomas underwent selective adenomectomy, patients with multiple adenomas underwent selective adenomectomy of multiple tumors, as well as partial or total hypophysectomy. All adenomas were either GH and prolactin positive or exclusively prolactin positive. Pituitary tissue surrounding the adenomas in patients with multiple adenomas revealed hyperplastic GH- and prolactin-positive tissue. CONCLUSION CNC-associated acromegaly results from variable pituitary pathology, including a single GH-secreting adenoma or multiple GH-secreting adenomas and/or GH hypersecretion of the pituitary gland surrounding multiple adenomas. Although selective adenomectomy is the preferred treatment for cases of GH-secreting adenomas, multiple adenomas with associated pituitary gland GH hypersecretion may require partial or complete hypophysectomy to achieve biochemical remission.","author":[{"dropping-particle":"","family":"Lonser","given":"Russell R","non-dropping-particle":"","parse-names":false,"suffix":""},{"dropping-particle":"","family":"Mehta","given":"Gautam U","non-dropping-particle":"","parse-names":false,"suffix":""},{"dropping-particle":"","family":"Kindzelski","given":"Bogdan A","non-dropping-particle":"","parse-names":false,"suffix":""},{"dropping-particle":"","family":"Ray-Chaudhury","given":"Abhik","non-dropping-particle":"","parse-names":false,"suffix":""},{"dropping-particle":"","family":"Vortmeyer","given":"Alexander O","non-dropping-particle":"","parse-names":false,"suffix":""},{"dropping-particle":"","family":"Dickerman","given":"Robert","non-dropping-particle":"","parse-names":false,"suffix":""},{"dropping-particle":"","family":"Oldfield","given":"Edward H","non-dropping-particle":"","parse-names":false,"suffix":""}],"container-title":"Neurosurgery","id":"ITEM-1","issue":"5","issued":{"date-parts":[["2017","5","1"]]},"page":"780-786","title":"Surgical Management of Carney Complex-Associated Pituitary Pathology.","type":"article-journal","volume":"80"},"uris":["http://www.mendeley.com/documents/?uuid=e3ff5332-d31a-48af-869d-3172ad82957c"]}],"mendeley":{"formattedCitation":"(65)","plainTextFormattedCitation":"(65)","previouslyFormattedCitation":"(65)"},"properties":{"noteIndex":0},"schema":"https://github.com/citation-style-language/schema/raw/master/csl-citation.json"}</w:instrText>
      </w:r>
      <w:r w:rsidR="003D0AFA" w:rsidRPr="00EC2EA6">
        <w:rPr>
          <w:color w:val="auto"/>
          <w:sz w:val="22"/>
        </w:rPr>
        <w:fldChar w:fldCharType="separate"/>
      </w:r>
      <w:r w:rsidR="006644FA" w:rsidRPr="00EC2EA6">
        <w:rPr>
          <w:noProof/>
          <w:color w:val="auto"/>
          <w:sz w:val="22"/>
        </w:rPr>
        <w:t>(65)</w:t>
      </w:r>
      <w:r w:rsidR="003D0AFA" w:rsidRPr="00EC2EA6">
        <w:rPr>
          <w:color w:val="auto"/>
          <w:sz w:val="22"/>
        </w:rPr>
        <w:fldChar w:fldCharType="end"/>
      </w:r>
      <w:r w:rsidR="003D0AFA" w:rsidRPr="00EC2EA6">
        <w:rPr>
          <w:color w:val="auto"/>
          <w:sz w:val="22"/>
        </w:rPr>
        <w:t xml:space="preserve"> </w:t>
      </w:r>
      <w:r w:rsidRPr="00EC2EA6">
        <w:rPr>
          <w:color w:val="auto"/>
          <w:sz w:val="22"/>
        </w:rPr>
        <w:t>as well as</w:t>
      </w:r>
      <w:r w:rsidR="009A1C9C" w:rsidRPr="00EC2EA6">
        <w:rPr>
          <w:color w:val="auto"/>
          <w:sz w:val="22"/>
        </w:rPr>
        <w:t xml:space="preserve"> </w:t>
      </w:r>
      <w:r w:rsidRPr="00EC2EA6">
        <w:rPr>
          <w:color w:val="auto"/>
          <w:sz w:val="22"/>
        </w:rPr>
        <w:t xml:space="preserve">in specific Prkr1a knockout mice </w:t>
      </w:r>
      <w:r w:rsidR="003D0AFA" w:rsidRPr="00EC2EA6">
        <w:rPr>
          <w:color w:val="auto"/>
          <w:sz w:val="22"/>
        </w:rPr>
        <w:fldChar w:fldCharType="begin" w:fldLock="1"/>
      </w:r>
      <w:r w:rsidR="006644FA" w:rsidRPr="00EC2EA6">
        <w:rPr>
          <w:color w:val="auto"/>
          <w:sz w:val="22"/>
        </w:rPr>
        <w:instrText>ADDIN CSL_CITATION {"citationItems":[{"id":"ITEM-1","itemData":{"DOI":"me.2006-0428 [pii] 10.1210/me.2006-0428","ISSN":"0888-8809 (Print) 0888-8809 (Linking)","author":[{"dropping-particle":"","family":"Yin","given":"Z","non-dropping-particle":"","parse-names":false,"suffix":""},{"dropping-particle":"","family":"Williams-Simons","given":"L","non-dropping-particle":"","parse-names":false,"suffix":""},{"dropping-particle":"","family":"Parlow","given":"A F","non-dropping-particle":"","parse-names":false,"suffix":""},{"dropping-particle":"","family":"Asa","given":"S","non-dropping-particle":"","parse-names":false,"suffix":""},{"dropping-particle":"","family":"Kirschner","given":"L S","non-dropping-particle":"","parse-names":false,"suffix":""}],"container-title":"Mol Endocrinol","id":"ITEM-1","issue":"2","issued":{"date-parts":[["2008"]]},"page":"380-387","title":"Pituitary-specific knockout of the Carney complex gene Prkar1a leads to pituitary tumorigenesis","type":"article-journal","volume":"22"},"uris":["http://www.mendeley.com/documents/?uuid=540dc1cf-a3bd-4703-96d7-37701555253e"]}],"mendeley":{"formattedCitation":"(66)","plainTextFormattedCitation":"(66)","previouslyFormattedCitation":"(66)"},"properties":{"noteIndex":0},"schema":"https://github.com/citation-style-language/schema/raw/master/csl-citation.json"}</w:instrText>
      </w:r>
      <w:r w:rsidR="003D0AFA" w:rsidRPr="00EC2EA6">
        <w:rPr>
          <w:color w:val="auto"/>
          <w:sz w:val="22"/>
        </w:rPr>
        <w:fldChar w:fldCharType="separate"/>
      </w:r>
      <w:r w:rsidR="006644FA" w:rsidRPr="00EC2EA6">
        <w:rPr>
          <w:noProof/>
          <w:color w:val="auto"/>
          <w:sz w:val="22"/>
        </w:rPr>
        <w:t>(66)</w:t>
      </w:r>
      <w:r w:rsidR="003D0AFA" w:rsidRPr="00EC2EA6">
        <w:rPr>
          <w:color w:val="auto"/>
          <w:sz w:val="22"/>
        </w:rPr>
        <w:fldChar w:fldCharType="end"/>
      </w:r>
      <w:r w:rsidRPr="00EC2EA6">
        <w:rPr>
          <w:color w:val="auto"/>
          <w:sz w:val="22"/>
        </w:rPr>
        <w:t>. Pituitary adenomas usually stain</w:t>
      </w:r>
      <w:r w:rsidR="009A1C9C" w:rsidRPr="00EC2EA6">
        <w:rPr>
          <w:color w:val="auto"/>
          <w:sz w:val="22"/>
        </w:rPr>
        <w:t xml:space="preserve"> </w:t>
      </w:r>
      <w:r w:rsidRPr="00EC2EA6">
        <w:rPr>
          <w:color w:val="auto"/>
          <w:sz w:val="22"/>
        </w:rPr>
        <w:t xml:space="preserve">positively for both GH and PRL and are occasionally </w:t>
      </w:r>
      <w:r w:rsidR="005F19CC" w:rsidRPr="00EC2EA6">
        <w:rPr>
          <w:color w:val="auto"/>
          <w:sz w:val="22"/>
        </w:rPr>
        <w:t xml:space="preserve">accompanied </w:t>
      </w:r>
      <w:r w:rsidRPr="00EC2EA6">
        <w:rPr>
          <w:color w:val="auto"/>
          <w:sz w:val="22"/>
        </w:rPr>
        <w:t>by mild hyperprolactinemia</w:t>
      </w:r>
      <w:r w:rsidR="005F19CC" w:rsidRPr="00EC2EA6">
        <w:rPr>
          <w:color w:val="auto"/>
          <w:sz w:val="22"/>
        </w:rPr>
        <w:t xml:space="preserve"> </w:t>
      </w:r>
      <w:r w:rsidR="005F19CC" w:rsidRPr="00EC2EA6">
        <w:rPr>
          <w:color w:val="auto"/>
          <w:sz w:val="22"/>
        </w:rPr>
        <w:fldChar w:fldCharType="begin" w:fldLock="1"/>
      </w:r>
      <w:r w:rsidR="006644FA" w:rsidRPr="00EC2EA6">
        <w:rPr>
          <w:color w:val="auto"/>
          <w:sz w:val="22"/>
        </w:rPr>
        <w:instrText>ADDIN CSL_CITATION {"citationItems":[{"id":"ITEM-1","itemData":{"ISSN":"0334-018X (Print) 0334-018X (Linking)","author":[{"dropping-particle":"","family":"Raff","given":"S B","non-dropping-particle":"","parse-names":false,"suffix":""},{"dropping-particle":"","family":"Carney","given":"J A","non-dropping-particle":"","parse-names":false,"suffix":""},{"dropping-particle":"","family":"Krugman","given":"D","non-dropping-particle":"","parse-names":false,"suffix":""},{"dropping-particle":"","family":"Doppman","given":"J L","non-dropping-particle":"","parse-names":false,"suffix":""},{"dropping-particle":"","family":"Stratakis","given":"C A","non-dropping-particle":"","parse-names":false,"suffix":""}],"container-title":"J Pediatr Endocrinol Metab","id":"ITEM-1","issue":"4","issued":{"date-parts":[["2000"]]},"page":"373-379","title":"Prolactin secretion abnormalities in patients with the \"syndrome of spotty skin pigmentation, myxomas, endocrine overactivity and schwannomas\" (Carney complex)","type":"article-journal","volume":"13"},"uris":["http://www.mendeley.com/documents/?uuid=419687ee-5179-4209-8c46-80a0a39a418d"]}],"mendeley":{"formattedCitation":"(67)","plainTextFormattedCitation":"(67)","previouslyFormattedCitation":"(67)"},"properties":{"noteIndex":0},"schema":"https://github.com/citation-style-language/schema/raw/master/csl-citation.json"}</w:instrText>
      </w:r>
      <w:r w:rsidR="005F19CC" w:rsidRPr="00EC2EA6">
        <w:rPr>
          <w:color w:val="auto"/>
          <w:sz w:val="22"/>
        </w:rPr>
        <w:fldChar w:fldCharType="separate"/>
      </w:r>
      <w:r w:rsidR="006644FA" w:rsidRPr="00EC2EA6">
        <w:rPr>
          <w:noProof/>
          <w:color w:val="auto"/>
          <w:sz w:val="22"/>
        </w:rPr>
        <w:t>(67)</w:t>
      </w:r>
      <w:r w:rsidR="005F19CC" w:rsidRPr="00EC2EA6">
        <w:rPr>
          <w:color w:val="auto"/>
          <w:sz w:val="22"/>
        </w:rPr>
        <w:fldChar w:fldCharType="end"/>
      </w:r>
      <w:r w:rsidRPr="00EC2EA6">
        <w:rPr>
          <w:color w:val="auto"/>
          <w:sz w:val="22"/>
        </w:rPr>
        <w:t>.</w:t>
      </w:r>
      <w:r w:rsidR="009A1C9C" w:rsidRPr="00EC2EA6">
        <w:rPr>
          <w:color w:val="auto"/>
          <w:sz w:val="22"/>
        </w:rPr>
        <w:t xml:space="preserve"> </w:t>
      </w:r>
      <w:r w:rsidRPr="00765350">
        <w:rPr>
          <w:sz w:val="22"/>
        </w:rPr>
        <w:t xml:space="preserve">However, </w:t>
      </w:r>
      <w:r w:rsidR="005F19CC" w:rsidRPr="00765350">
        <w:rPr>
          <w:sz w:val="22"/>
        </w:rPr>
        <w:t xml:space="preserve">almost a third of CNC </w:t>
      </w:r>
      <w:r w:rsidR="005F19CC" w:rsidRPr="00765350">
        <w:rPr>
          <w:sz w:val="22"/>
        </w:rPr>
        <w:lastRenderedPageBreak/>
        <w:t>patients</w:t>
      </w:r>
      <w:r w:rsidRPr="00765350">
        <w:rPr>
          <w:sz w:val="22"/>
        </w:rPr>
        <w:t xml:space="preserve"> present asymptomatic </w:t>
      </w:r>
      <w:r w:rsidR="005F19CC" w:rsidRPr="00765350">
        <w:rPr>
          <w:sz w:val="22"/>
        </w:rPr>
        <w:t>disturbances of the somatotroph axis, without meeting the diagnostic criteria of acromegaly</w:t>
      </w:r>
      <w:r w:rsidRPr="00765350">
        <w:rPr>
          <w:sz w:val="22"/>
        </w:rPr>
        <w:t>, even</w:t>
      </w:r>
      <w:r w:rsidR="009A1C9C" w:rsidRPr="00765350">
        <w:rPr>
          <w:sz w:val="22"/>
        </w:rPr>
        <w:t xml:space="preserve"> </w:t>
      </w:r>
      <w:r w:rsidR="005F19CC" w:rsidRPr="00765350">
        <w:rPr>
          <w:sz w:val="22"/>
        </w:rPr>
        <w:t>without</w:t>
      </w:r>
      <w:r w:rsidRPr="00765350">
        <w:rPr>
          <w:sz w:val="22"/>
        </w:rPr>
        <w:t xml:space="preserve"> pituitary MRI </w:t>
      </w:r>
      <w:r w:rsidRPr="00EC2EA6">
        <w:rPr>
          <w:color w:val="auto"/>
          <w:sz w:val="22"/>
        </w:rPr>
        <w:t xml:space="preserve">findings </w:t>
      </w:r>
      <w:r w:rsidR="005F19CC" w:rsidRPr="00EC2EA6">
        <w:rPr>
          <w:color w:val="auto"/>
          <w:sz w:val="22"/>
        </w:rPr>
        <w:fldChar w:fldCharType="begin" w:fldLock="1"/>
      </w:r>
      <w:r w:rsidR="006644FA" w:rsidRPr="00EC2EA6">
        <w:rPr>
          <w:color w:val="auto"/>
          <w:sz w:val="22"/>
        </w:rPr>
        <w:instrText>ADDIN CSL_CITATION {"citationItems":[{"id":"ITEM-1","itemData":{"DOI":"10.1210/clinem/dgaa002","ISSN":"1945-7197","PMID":"31912137","abstract":"INTRODUCTION Carney Complex (CNC) is a rare multiple endocrine and nonendocrine neoplasia syndrome. Manifestations and genotype-phenotype correlations have been described by retrospective studies, but no prospective study evaluating the occurrence of the different manifestations has been available so far. METHODS This multicenter national prospective study included patients with CNC, primary pigmented nodular adrenal disease (PPNAD), or a pathogenic PRKAR1A mutation; after a full initial workup, participants were followed for 3 years with annual standardized evaluation. RESULTS The cohort included 70 patients (50 female/20 male, mean age 35.4 ± 16.7 years, 81% carrying PRKAR1A mutation). The initial investigations allowed identification of several manifestations. At the end of the 3-year follow-up, the newly diagnosed manifestations of the disease were subclinical acromegaly in 6 patients, bilateral testicular calcifications in 1 patient, and cardiac myxomas in 2 patients. Recurrences of cardiac myxomas were diagnosed in 4 patients during the 3-year follow-up study period. Asymptomatic abnormalities of the corticotroph and somatotroph axis that did not meet criteria of PPNAD and acromegaly were observed in 11.4% and 30% of the patients, respectively. Patients carrying the PRKAR1A c.709-7del6 mutation had a mild phenotype. CONCLUSION This study underlines the importance of a systematic follow-up of the CNC manifestations, especially a biannual screening for cardiac myxoma. By contrast, regular screening for the other manifestations after a first extensive workup could be spread out, leading to a lighter and more acceptable follow-up schedule for patients. These are important results for recommendations for long-term management of CNC patients.","author":[{"dropping-particle":"","family":"Espiard","given":"Stéphanie","non-dropping-particle":"","parse-names":false,"suffix":""},{"dropping-particle":"","family":"Vantyghem","given":"Marie-Christine","non-dropping-particle":"","parse-names":false,"suffix":""},{"dropping-particle":"","family":"Assié","given":"Guillaume","non-dropping-particle":"","parse-names":false,"suffix":""},{"dropping-particle":"","family":"Cardot-Bauters","given":"Catherine","non-dropping-particle":"","parse-names":false,"suffix":""},{"dropping-particle":"","family":"Raverot","given":"Gerald","non-dropping-particle":"","parse-names":false,"suffix":""},{"dropping-particle":"","family":"Brucker-Davis","given":"Françoise","non-dropping-particle":"","parse-names":false,"suffix":""},{"dropping-particle":"","family":"Archambeaud-Mouveroux","given":"Françoise","non-dropping-particle":"","parse-names":false,"suffix":""},{"dropping-particle":"","family":"Lefebvre","given":"Hervé","non-dropping-particle":"","parse-names":false,"suffix":""},{"dropping-particle":"","family":"Nunes","given":"Marie-Laure","non-dropping-particle":"","parse-names":false,"suffix":""},{"dropping-particle":"","family":"Tabarin","given":"Antoine","non-dropping-particle":"","parse-names":false,"suffix":""},{"dropping-particle":"","family":"Lienhardt","given":"Anne","non-dropping-particle":"","parse-names":false,"suffix":""},{"dropping-particle":"","family":"Chabre","given":"Olivier","non-dropping-particle":"","parse-names":false,"suffix":""},{"dropping-particle":"","family":"Houang","given":"Muriel","non-dropping-particle":"","parse-names":false,"suffix":""},{"dropping-particle":"","family":"Bottineau","given":"Muriel","non-dropping-particle":"","parse-names":false,"suffix":""},{"dropping-particle":"","family":"Stroër","given":"Sebastian","non-dropping-particle":"","parse-names":false,"suffix":""},{"dropping-particle":"","family":"Groussin","given":"Lionel","non-dropping-particle":"","parse-names":false,"suffix":""},{"dropping-particle":"","family":"Guignat","given":"Laurence","non-dropping-particle":"","parse-names":false,"suffix":""},{"dropping-particle":"","family":"Cabanes","given":"Laure","non-dropping-particle":"","parse-names":false,"suffix":""},{"dropping-particle":"","family":"Feydy","given":"Antoine","non-dropping-particle":"","parse-names":false,"suffix":""},{"dropping-particle":"","family":"Bonnet","given":"Fidéline","non-dropping-particle":"","parse-names":false,"suffix":""},{"dropping-particle":"","family":"North","given":"Marie Odile","non-dropping-particle":"","parse-names":false,"suffix":""},{"dropping-particle":"","family":"Dupin","given":"Nicolas","non-dropping-particle":"","parse-names":false,"suffix":""},{"dropping-particle":"","family":"Grabar","given":"Sophie","non-dropping-particle":"","parse-names":false,"suffix":""},{"dropping-particle":"","family":"Duboc","given":"Denis","non-dropping-particle":"","parse-names":false,"suffix":""},{"dropping-particle":"","family":"Bertherat","given":"Jérôme","non-dropping-particle":"","parse-names":false,"suffix":""}],"container-title":"The Journal of clinical endocrinology and metabolism","id":"ITEM-1","issue":"3","issued":{"date-parts":[["2020","3","1"]]},"page":"e436–e446","publisher":"Endocrine Society","title":"Frequency and Incidence of Carney Complex Manifestations: A Prospective Multicenter Study With a Three-Year Follow-Up.","type":"article-journal","volume":"105"},"uris":["http://www.mendeley.com/documents/?uuid=0d5189bf-fd56-3ff4-88e4-25934f1a6bfb"]}],"mendeley":{"formattedCitation":"(45)","plainTextFormattedCitation":"(45)","previouslyFormattedCitation":"(45)"},"properties":{"noteIndex":0},"schema":"https://github.com/citation-style-language/schema/raw/master/csl-citation.json"}</w:instrText>
      </w:r>
      <w:r w:rsidR="005F19CC" w:rsidRPr="00EC2EA6">
        <w:rPr>
          <w:color w:val="auto"/>
          <w:sz w:val="22"/>
        </w:rPr>
        <w:fldChar w:fldCharType="separate"/>
      </w:r>
      <w:r w:rsidR="006644FA" w:rsidRPr="00EC2EA6">
        <w:rPr>
          <w:noProof/>
          <w:color w:val="auto"/>
          <w:sz w:val="22"/>
        </w:rPr>
        <w:t>(45)</w:t>
      </w:r>
      <w:r w:rsidR="005F19CC" w:rsidRPr="00EC2EA6">
        <w:rPr>
          <w:color w:val="auto"/>
          <w:sz w:val="22"/>
        </w:rPr>
        <w:fldChar w:fldCharType="end"/>
      </w:r>
      <w:r w:rsidRPr="00EC2EA6">
        <w:rPr>
          <w:color w:val="auto"/>
          <w:sz w:val="22"/>
        </w:rPr>
        <w:t>.</w:t>
      </w:r>
      <w:r w:rsidR="009A1C9C" w:rsidRPr="00EC2EA6">
        <w:rPr>
          <w:color w:val="auto"/>
          <w:sz w:val="22"/>
        </w:rPr>
        <w:t xml:space="preserve"> </w:t>
      </w:r>
    </w:p>
    <w:p w14:paraId="141529D9" w14:textId="77777777" w:rsidR="00547ED8" w:rsidRDefault="00547ED8" w:rsidP="005F1576">
      <w:pPr>
        <w:pStyle w:val="Heading3"/>
        <w:spacing w:before="0" w:line="276" w:lineRule="auto"/>
        <w:jc w:val="left"/>
        <w:rPr>
          <w:sz w:val="22"/>
        </w:rPr>
      </w:pPr>
    </w:p>
    <w:p w14:paraId="1A1240E3" w14:textId="396C8ACA" w:rsidR="00AD2941" w:rsidRPr="00547ED8" w:rsidRDefault="005049B5" w:rsidP="005F1576">
      <w:pPr>
        <w:pStyle w:val="Heading3"/>
        <w:spacing w:before="0" w:line="276" w:lineRule="auto"/>
        <w:jc w:val="left"/>
        <w:rPr>
          <w:color w:val="FF0000"/>
          <w:sz w:val="22"/>
        </w:rPr>
      </w:pPr>
      <w:r w:rsidRPr="00547ED8">
        <w:rPr>
          <w:color w:val="FF0000"/>
          <w:sz w:val="22"/>
        </w:rPr>
        <w:t>THYROID NODULES</w:t>
      </w:r>
      <w:r w:rsidR="009A1C9C" w:rsidRPr="00547ED8">
        <w:rPr>
          <w:color w:val="FF0000"/>
          <w:sz w:val="22"/>
        </w:rPr>
        <w:t xml:space="preserve"> </w:t>
      </w:r>
    </w:p>
    <w:p w14:paraId="2C61C9BE" w14:textId="77777777" w:rsidR="00547ED8" w:rsidRDefault="00547ED8" w:rsidP="005F1576">
      <w:pPr>
        <w:spacing w:before="0" w:line="276" w:lineRule="auto"/>
        <w:jc w:val="left"/>
        <w:rPr>
          <w:sz w:val="22"/>
        </w:rPr>
      </w:pPr>
    </w:p>
    <w:p w14:paraId="2C9BFE23" w14:textId="7B026075" w:rsidR="00765350" w:rsidRPr="00EC2EA6" w:rsidRDefault="005049B5" w:rsidP="005F1576">
      <w:pPr>
        <w:spacing w:before="0" w:line="276" w:lineRule="auto"/>
        <w:jc w:val="left"/>
        <w:rPr>
          <w:color w:val="auto"/>
          <w:sz w:val="22"/>
        </w:rPr>
      </w:pPr>
      <w:r w:rsidRPr="005F1576">
        <w:rPr>
          <w:sz w:val="22"/>
        </w:rPr>
        <w:t>Seventy</w:t>
      </w:r>
      <w:r w:rsidR="006644FA">
        <w:rPr>
          <w:sz w:val="22"/>
        </w:rPr>
        <w:t>-</w:t>
      </w:r>
      <w:r w:rsidRPr="005F1576">
        <w:rPr>
          <w:sz w:val="22"/>
        </w:rPr>
        <w:t>five percent of CNC patients present with thyroid nodules, most of them being benign,</w:t>
      </w:r>
      <w:r w:rsidR="009A1C9C" w:rsidRPr="005F1576">
        <w:rPr>
          <w:sz w:val="22"/>
        </w:rPr>
        <w:t xml:space="preserve"> </w:t>
      </w:r>
      <w:r w:rsidRPr="005F1576">
        <w:rPr>
          <w:sz w:val="22"/>
        </w:rPr>
        <w:t>non-toxic follicular adenomas. Thyroid nodules usually appear during the first ten years of life in</w:t>
      </w:r>
      <w:r w:rsidR="009A1C9C" w:rsidRPr="005F1576">
        <w:rPr>
          <w:sz w:val="22"/>
        </w:rPr>
        <w:t xml:space="preserve"> </w:t>
      </w:r>
      <w:r w:rsidRPr="005F1576">
        <w:rPr>
          <w:sz w:val="22"/>
        </w:rPr>
        <w:t xml:space="preserve">CNC patients. Occasionally, </w:t>
      </w:r>
      <w:r w:rsidRPr="00765350">
        <w:rPr>
          <w:sz w:val="22"/>
        </w:rPr>
        <w:t>patients (~</w:t>
      </w:r>
      <w:r w:rsidR="009B5A7E" w:rsidRPr="00765350">
        <w:rPr>
          <w:sz w:val="22"/>
        </w:rPr>
        <w:t>3</w:t>
      </w:r>
      <w:r w:rsidRPr="00765350">
        <w:rPr>
          <w:sz w:val="22"/>
        </w:rPr>
        <w:t>%) present</w:t>
      </w:r>
      <w:r w:rsidRPr="005F1576">
        <w:rPr>
          <w:sz w:val="22"/>
        </w:rPr>
        <w:t xml:space="preserve"> with papillary or follicular carcinoma,</w:t>
      </w:r>
      <w:r w:rsidR="009A1C9C" w:rsidRPr="005F1576">
        <w:rPr>
          <w:sz w:val="22"/>
        </w:rPr>
        <w:t xml:space="preserve"> </w:t>
      </w:r>
      <w:r w:rsidRPr="005F1576">
        <w:rPr>
          <w:sz w:val="22"/>
        </w:rPr>
        <w:t xml:space="preserve">particularly after a long history of multiple thyroid </w:t>
      </w:r>
      <w:r w:rsidRPr="00EC2EA6">
        <w:rPr>
          <w:color w:val="auto"/>
          <w:sz w:val="22"/>
        </w:rPr>
        <w:t>adenomas</w:t>
      </w:r>
      <w:r w:rsidR="009B5A7E" w:rsidRPr="00EC2EA6">
        <w:rPr>
          <w:color w:val="auto"/>
          <w:sz w:val="22"/>
        </w:rPr>
        <w:t xml:space="preserve"> </w:t>
      </w:r>
      <w:r w:rsidR="009B5A7E" w:rsidRPr="00EC2EA6">
        <w:rPr>
          <w:color w:val="auto"/>
          <w:sz w:val="22"/>
        </w:rPr>
        <w:fldChar w:fldCharType="begin" w:fldLock="1"/>
      </w:r>
      <w:r w:rsidR="006644FA" w:rsidRPr="00EC2EA6">
        <w:rPr>
          <w:color w:val="auto"/>
          <w:sz w:val="22"/>
        </w:rPr>
        <w:instrText>ADDIN CSL_CITATION {"citationItems":[{"id":"ITEM-1","itemData":{"DOI":"jc.2008-2333 [pii] 10.1210/jc.2008-2333","ISSN":"1945-7197 (Electronic) 0021-972X (Linking)","author":[{"dropping-particle":"","family":"Bertherat","given":"J","non-dropping-particle":"","parse-names":false,"suffix":""},{"dropping-particle":"","family":"Horvath","given":"A","non-dropping-particle":"","parse-names":false,"suffix":""},{"dropping-particle":"","family":"Groussin","given":"L","non-dropping-particle":"","parse-names":false,"suffix":""},{"dropping-particle":"","family":"Grabar","given":"S","non-dropping-particle":"","parse-names":false,"suffix":""},{"dropping-particle":"","family":"Boikos","given":"S","non-dropping-particle":"","parse-names":false,"suffix":""},{"dropping-particle":"","family":"Cazabat","given":"L","non-dropping-particle":"","parse-names":false,"suffix":""},{"dropping-particle":"","family":"Libe","given":"R","non-dropping-particle":"","parse-names":false,"suffix":""},{"dropping-particle":"","family":"Rene-Corail","given":"F","non-dropping-particle":"","parse-names":false,"suffix":""},{"dropping-particle":"","family":"Stergiopoulos","given":"S","non-dropping-particle":"","parse-names":false,"suffix":""},{"dropping-particle":"","family":"Bourdeau","given":"I","non-dropping-particle":"","parse-names":false,"suffix":""},{"dropping-particle":"","family":"Bei","given":"T","non-dropping-particle":"","parse-names":false,"suffix":""},{"dropping-particle":"","family":"Clauser","given":"E","non-dropping-particle":"","parse-names":false,"suffix":""},{"dropping-particle":"","family":"Calender","given":"A","non-dropping-particle":"","parse-names":false,"suffix":""},{"dropping-particle":"","family":"Kirschner","given":"L S","non-dropping-particle":"","parse-names":false,"suffix":""},{"dropping-particle":"","family":"Bertagna","given":"X","non-dropping-particle":"","parse-names":false,"suffix":""},{"dropping-particle":"","family":"Carney","given":"J A","non-dropping-particle":"","parse-names":false,"suffix":""},{"dropping-particle":"","family":"Stratakis","given":"C A","non-dropping-particle":"","parse-names":false,"suffix":""}],"container-title":"J Clin Endocrinol Metab","id":"ITEM-1","issue":"6","issued":{"date-parts":[["2009"]]},"page":"2085-2091","title":"Mutations in regulatory subunit type 1A of cyclic adenosine 5'-monophosphate-dependent protein kinase (PRKAR1A): phenotype analysis in 353 patients and 80 different genotypes","type":"article-journal","volume":"94"},"uris":["http://www.mendeley.com/documents/?uuid=844a962d-086b-4fd7-ab0a-e49883de0d85"]}],"mendeley":{"formattedCitation":"(21)","plainTextFormattedCitation":"(21)","previouslyFormattedCitation":"(21)"},"properties":{"noteIndex":0},"schema":"https://github.com/citation-style-language/schema/raw/master/csl-citation.json"}</w:instrText>
      </w:r>
      <w:r w:rsidR="009B5A7E" w:rsidRPr="00EC2EA6">
        <w:rPr>
          <w:color w:val="auto"/>
          <w:sz w:val="22"/>
        </w:rPr>
        <w:fldChar w:fldCharType="separate"/>
      </w:r>
      <w:r w:rsidR="006644FA" w:rsidRPr="00EC2EA6">
        <w:rPr>
          <w:noProof/>
          <w:color w:val="auto"/>
          <w:sz w:val="22"/>
        </w:rPr>
        <w:t>(21)</w:t>
      </w:r>
      <w:r w:rsidR="009B5A7E" w:rsidRPr="00EC2EA6">
        <w:rPr>
          <w:color w:val="auto"/>
          <w:sz w:val="22"/>
        </w:rPr>
        <w:fldChar w:fldCharType="end"/>
      </w:r>
      <w:r w:rsidRPr="00EC2EA6">
        <w:rPr>
          <w:color w:val="auto"/>
          <w:sz w:val="22"/>
        </w:rPr>
        <w:t>. In contrast to experimental data</w:t>
      </w:r>
      <w:r w:rsidR="009A1C9C" w:rsidRPr="00EC2EA6">
        <w:rPr>
          <w:color w:val="auto"/>
          <w:sz w:val="22"/>
        </w:rPr>
        <w:t xml:space="preserve"> </w:t>
      </w:r>
      <w:r w:rsidRPr="00EC2EA6">
        <w:rPr>
          <w:color w:val="auto"/>
          <w:sz w:val="22"/>
        </w:rPr>
        <w:t>and what is observed in CNC patients with adrenal and pituitary tumors, thyroid nodules do not</w:t>
      </w:r>
      <w:r w:rsidR="009A1C9C" w:rsidRPr="00EC2EA6">
        <w:rPr>
          <w:color w:val="auto"/>
          <w:sz w:val="22"/>
        </w:rPr>
        <w:t xml:space="preserve"> </w:t>
      </w:r>
      <w:r w:rsidRPr="00EC2EA6">
        <w:rPr>
          <w:color w:val="auto"/>
          <w:sz w:val="22"/>
        </w:rPr>
        <w:t xml:space="preserve">appear to have a predilection for hyperfunction </w:t>
      </w:r>
      <w:r w:rsidR="009B5A7E" w:rsidRPr="00EC2EA6">
        <w:rPr>
          <w:color w:val="auto"/>
          <w:sz w:val="22"/>
        </w:rPr>
        <w:fldChar w:fldCharType="begin" w:fldLock="1"/>
      </w:r>
      <w:r w:rsidR="006644FA" w:rsidRPr="00EC2EA6">
        <w:rPr>
          <w:color w:val="auto"/>
          <w:sz w:val="22"/>
        </w:rPr>
        <w:instrText>ADDIN CSL_CITATION {"citationItems":[{"id":"ITEM-1","itemData":{"ISSN":"0021-972X (Print) 0021-972X (Linking)","author":[{"dropping-particle":"","family":"Stratakis","given":"C A","non-dropping-particle":"","parse-names":false,"suffix":""},{"dropping-particle":"","family":"Courcoutsakis","given":"N A","non-dropping-particle":"","parse-names":false,"suffix":""},{"dropping-particle":"","family":"Abati","given":"A","non-dropping-particle":"","parse-names":false,"suffix":""},{"dropping-particle":"","family":"Filie","given":"A","non-dropping-particle":"","parse-names":false,"suffix":""},{"dropping-particle":"","family":"Doppman","given":"J L","non-dropping-particle":"","parse-names":false,"suffix":""},{"dropping-particle":"","family":"Carney","given":"J A","non-dropping-particle":"","parse-names":false,"suffix":""},{"dropping-particle":"","family":"Shawker","given":"T","non-dropping-particle":"","parse-names":false,"suffix":""}],"container-title":"J Clin Endocrinol Metab","id":"ITEM-1","issue":"7","issued":{"date-parts":[["1997"]]},"page":"2037-2043","title":"Thyroid gland abnormalities in patients with the syndrome of spotty skin pigmentation, myxomas, endocrine overactivity, and schwannomas (Carney complex)","type":"article-journal","volume":"82"},"uris":["http://www.mendeley.com/documents/?uuid=077dee9a-9afb-4ec3-9ba5-5c2a59d6bd0a"]}],"mendeley":{"formattedCitation":"(68)","plainTextFormattedCitation":"(68)","previouslyFormattedCitation":"(68)"},"properties":{"noteIndex":0},"schema":"https://github.com/citation-style-language/schema/raw/master/csl-citation.json"}</w:instrText>
      </w:r>
      <w:r w:rsidR="009B5A7E" w:rsidRPr="00EC2EA6">
        <w:rPr>
          <w:color w:val="auto"/>
          <w:sz w:val="22"/>
        </w:rPr>
        <w:fldChar w:fldCharType="separate"/>
      </w:r>
      <w:r w:rsidR="006644FA" w:rsidRPr="00EC2EA6">
        <w:rPr>
          <w:noProof/>
          <w:color w:val="auto"/>
          <w:sz w:val="22"/>
        </w:rPr>
        <w:t>(68)</w:t>
      </w:r>
      <w:r w:rsidR="009B5A7E" w:rsidRPr="00EC2EA6">
        <w:rPr>
          <w:color w:val="auto"/>
          <w:sz w:val="22"/>
        </w:rPr>
        <w:fldChar w:fldCharType="end"/>
      </w:r>
      <w:r w:rsidRPr="00EC2EA6">
        <w:rPr>
          <w:color w:val="auto"/>
          <w:sz w:val="22"/>
        </w:rPr>
        <w:t>.</w:t>
      </w:r>
    </w:p>
    <w:p w14:paraId="0F4A1B76" w14:textId="6995A306" w:rsidR="00AD2941" w:rsidRPr="005F1576" w:rsidRDefault="009A1C9C" w:rsidP="005F1576">
      <w:pPr>
        <w:spacing w:before="0" w:line="276" w:lineRule="auto"/>
        <w:jc w:val="left"/>
        <w:rPr>
          <w:sz w:val="22"/>
        </w:rPr>
      </w:pPr>
      <w:r w:rsidRPr="005F1576">
        <w:rPr>
          <w:sz w:val="22"/>
        </w:rPr>
        <w:t xml:space="preserve"> </w:t>
      </w:r>
    </w:p>
    <w:p w14:paraId="0179AC4D" w14:textId="77777777" w:rsidR="00AD2941" w:rsidRPr="00547ED8" w:rsidRDefault="005049B5" w:rsidP="005F1576">
      <w:pPr>
        <w:pStyle w:val="Heading3"/>
        <w:spacing w:before="0" w:line="276" w:lineRule="auto"/>
        <w:jc w:val="left"/>
        <w:rPr>
          <w:color w:val="FF0000"/>
          <w:sz w:val="22"/>
        </w:rPr>
      </w:pPr>
      <w:r w:rsidRPr="00547ED8">
        <w:rPr>
          <w:color w:val="FF0000"/>
          <w:sz w:val="22"/>
        </w:rPr>
        <w:t>TESTICULAR TUMORS</w:t>
      </w:r>
      <w:r w:rsidR="009A1C9C" w:rsidRPr="00547ED8">
        <w:rPr>
          <w:color w:val="FF0000"/>
          <w:sz w:val="22"/>
        </w:rPr>
        <w:t xml:space="preserve"> </w:t>
      </w:r>
    </w:p>
    <w:p w14:paraId="1A86021C" w14:textId="77777777" w:rsidR="00547ED8" w:rsidRDefault="00547ED8" w:rsidP="005F1576">
      <w:pPr>
        <w:spacing w:before="0" w:line="276" w:lineRule="auto"/>
        <w:jc w:val="left"/>
        <w:rPr>
          <w:sz w:val="22"/>
        </w:rPr>
      </w:pPr>
    </w:p>
    <w:p w14:paraId="786C70B0" w14:textId="731CA763" w:rsidR="000B3EA4" w:rsidRDefault="005049B5" w:rsidP="005F1576">
      <w:pPr>
        <w:spacing w:before="0" w:line="276" w:lineRule="auto"/>
        <w:jc w:val="left"/>
        <w:rPr>
          <w:sz w:val="22"/>
        </w:rPr>
      </w:pPr>
      <w:r w:rsidRPr="005F1576">
        <w:rPr>
          <w:sz w:val="22"/>
        </w:rPr>
        <w:t>These tumors are of three types: A) Large Cell Calcifying Sertoli Cell Tumors (LCCSCT), B)</w:t>
      </w:r>
      <w:r w:rsidR="009A1C9C" w:rsidRPr="005F1576">
        <w:rPr>
          <w:sz w:val="22"/>
        </w:rPr>
        <w:t xml:space="preserve"> </w:t>
      </w:r>
      <w:r w:rsidRPr="005F1576">
        <w:rPr>
          <w:sz w:val="22"/>
        </w:rPr>
        <w:t>Leydig cell</w:t>
      </w:r>
      <w:r w:rsidR="006644FA">
        <w:rPr>
          <w:sz w:val="22"/>
        </w:rPr>
        <w:t xml:space="preserve"> tumors</w:t>
      </w:r>
      <w:r w:rsidR="009B5A7E" w:rsidRPr="005F1576">
        <w:rPr>
          <w:sz w:val="22"/>
        </w:rPr>
        <w:t>,</w:t>
      </w:r>
      <w:r w:rsidRPr="005F1576">
        <w:rPr>
          <w:sz w:val="22"/>
        </w:rPr>
        <w:t xml:space="preserve"> and C) adrenocortical rest tumors. So far, the two latter types have been observed</w:t>
      </w:r>
      <w:r w:rsidR="009A1C9C" w:rsidRPr="005F1576">
        <w:rPr>
          <w:sz w:val="22"/>
        </w:rPr>
        <w:t xml:space="preserve"> </w:t>
      </w:r>
      <w:r w:rsidRPr="005F1576">
        <w:rPr>
          <w:sz w:val="22"/>
        </w:rPr>
        <w:t>only in patients in whom LCCSCT had already been diagnosed.</w:t>
      </w:r>
      <w:r w:rsidR="009A1C9C" w:rsidRPr="005F1576">
        <w:rPr>
          <w:sz w:val="22"/>
        </w:rPr>
        <w:t xml:space="preserve"> </w:t>
      </w:r>
    </w:p>
    <w:p w14:paraId="3437869F" w14:textId="77777777" w:rsidR="00547ED8" w:rsidRPr="005F1576" w:rsidRDefault="00547ED8" w:rsidP="005F1576">
      <w:pPr>
        <w:spacing w:before="0" w:line="276" w:lineRule="auto"/>
        <w:jc w:val="left"/>
        <w:rPr>
          <w:sz w:val="22"/>
        </w:rPr>
      </w:pPr>
    </w:p>
    <w:p w14:paraId="1B7E4ACF" w14:textId="78FD8A1F" w:rsidR="009B5A7E" w:rsidRPr="00EC2EA6" w:rsidRDefault="005049B5" w:rsidP="005F1576">
      <w:pPr>
        <w:spacing w:before="0" w:line="276" w:lineRule="auto"/>
        <w:jc w:val="left"/>
        <w:rPr>
          <w:color w:val="auto"/>
          <w:sz w:val="22"/>
        </w:rPr>
      </w:pPr>
      <w:r w:rsidRPr="005F1576">
        <w:rPr>
          <w:sz w:val="22"/>
        </w:rPr>
        <w:t>LCCSCT</w:t>
      </w:r>
      <w:r w:rsidR="006644FA">
        <w:rPr>
          <w:sz w:val="22"/>
        </w:rPr>
        <w:t>s</w:t>
      </w:r>
      <w:r w:rsidRPr="005F1576">
        <w:rPr>
          <w:sz w:val="22"/>
        </w:rPr>
        <w:t xml:space="preserve"> are observed in </w:t>
      </w:r>
      <w:r w:rsidR="009B5A7E" w:rsidRPr="00765350">
        <w:rPr>
          <w:sz w:val="22"/>
        </w:rPr>
        <w:t>20-50%</w:t>
      </w:r>
      <w:r w:rsidRPr="005F1576">
        <w:rPr>
          <w:sz w:val="22"/>
        </w:rPr>
        <w:t xml:space="preserve"> of affected CNC males at the time of presentation, however</w:t>
      </w:r>
      <w:r w:rsidR="006644FA">
        <w:rPr>
          <w:sz w:val="22"/>
        </w:rPr>
        <w:t>,</w:t>
      </w:r>
      <w:r w:rsidR="009A1C9C" w:rsidRPr="005F1576">
        <w:rPr>
          <w:sz w:val="22"/>
        </w:rPr>
        <w:t xml:space="preserve"> </w:t>
      </w:r>
      <w:r w:rsidRPr="005F1576">
        <w:rPr>
          <w:sz w:val="22"/>
        </w:rPr>
        <w:t xml:space="preserve">most males will develop such tumors in their </w:t>
      </w:r>
      <w:r w:rsidRPr="00EC2EA6">
        <w:rPr>
          <w:color w:val="auto"/>
          <w:sz w:val="22"/>
        </w:rPr>
        <w:t>adult life</w:t>
      </w:r>
      <w:r w:rsidR="009B5A7E" w:rsidRPr="00EC2EA6">
        <w:rPr>
          <w:color w:val="auto"/>
          <w:sz w:val="22"/>
        </w:rPr>
        <w:t xml:space="preserve"> </w:t>
      </w:r>
      <w:r w:rsidR="009B5A7E" w:rsidRPr="00EC2EA6">
        <w:rPr>
          <w:color w:val="auto"/>
          <w:sz w:val="22"/>
        </w:rPr>
        <w:fldChar w:fldCharType="begin" w:fldLock="1"/>
      </w:r>
      <w:r w:rsidR="006644FA" w:rsidRPr="00EC2EA6">
        <w:rPr>
          <w:color w:val="auto"/>
          <w:sz w:val="22"/>
        </w:rPr>
        <w:instrText>ADDIN CSL_CITATION {"citationItems":[{"id":"ITEM-1","itemData":{"DOI":"jc.2008-2333 [pii] 10.1210/jc.2008-2333","ISSN":"1945-7197 (Electronic) 0021-972X (Linking)","author":[{"dropping-particle":"","family":"Bertherat","given":"J","non-dropping-particle":"","parse-names":false,"suffix":""},{"dropping-particle":"","family":"Horvath","given":"A","non-dropping-particle":"","parse-names":false,"suffix":""},{"dropping-particle":"","family":"Groussin","given":"L","non-dropping-particle":"","parse-names":false,"suffix":""},{"dropping-particle":"","family":"Grabar","given":"S","non-dropping-particle":"","parse-names":false,"suffix":""},{"dropping-particle":"","family":"Boikos","given":"S","non-dropping-particle":"","parse-names":false,"suffix":""},{"dropping-particle":"","family":"Cazabat","given":"L","non-dropping-particle":"","parse-names":false,"suffix":""},{"dropping-particle":"","family":"Libe","given":"R","non-dropping-particle":"","parse-names":false,"suffix":""},{"dropping-particle":"","family":"Rene-Corail","given":"F","non-dropping-particle":"","parse-names":false,"suffix":""},{"dropping-particle":"","family":"Stergiopoulos","given":"S","non-dropping-particle":"","parse-names":false,"suffix":""},{"dropping-particle":"","family":"Bourdeau","given":"I","non-dropping-particle":"","parse-names":false,"suffix":""},{"dropping-particle":"","family":"Bei","given":"T","non-dropping-particle":"","parse-names":false,"suffix":""},{"dropping-particle":"","family":"Clauser","given":"E","non-dropping-particle":"","parse-names":false,"suffix":""},{"dropping-particle":"","family":"Calender","given":"A","non-dropping-particle":"","parse-names":false,"suffix":""},{"dropping-particle":"","family":"Kirschner","given":"L S","non-dropping-particle":"","parse-names":false,"suffix":""},{"dropping-particle":"","family":"Bertagna","given":"X","non-dropping-particle":"","parse-names":false,"suffix":""},{"dropping-particle":"","family":"Carney","given":"J A","non-dropping-particle":"","parse-names":false,"suffix":""},{"dropping-particle":"","family":"Stratakis","given":"C A","non-dropping-particle":"","parse-names":false,"suffix":""}],"container-title":"J Clin Endocrinol Metab","id":"ITEM-1","issue":"6","issued":{"date-parts":[["2009"]]},"page":"2085-2091","title":"Mutations in regulatory subunit type 1A of cyclic adenosine 5'-monophosphate-dependent protein kinase (PRKAR1A): phenotype analysis in 353 patients and 80 different genotypes","type":"article-journal","volume":"94"},"uris":["http://www.mendeley.com/documents/?uuid=844a962d-086b-4fd7-ab0a-e49883de0d85"]},{"id":"ITEM-2","itemData":{"DOI":"10.1210/clinem/dgaa002","ISSN":"1945-7197","PMID":"31912137","abstract":"INTRODUCTION Carney Complex (CNC) is a rare multiple endocrine and nonendocrine neoplasia syndrome. Manifestations and genotype-phenotype correlations have been described by retrospective studies, but no prospective study evaluating the occurrence of the different manifestations has been available so far. METHODS This multicenter national prospective study included patients with CNC, primary pigmented nodular adrenal disease (PPNAD), or a pathogenic PRKAR1A mutation; after a full initial workup, participants were followed for 3 years with annual standardized evaluation. RESULTS The cohort included 70 patients (50 female/20 male, mean age 35.4 ± 16.7 years, 81% carrying PRKAR1A mutation). The initial investigations allowed identification of several manifestations. At the end of the 3-year follow-up, the newly diagnosed manifestations of the disease were subclinical acromegaly in 6 patients, bilateral testicular calcifications in 1 patient, and cardiac myxomas in 2 patients. Recurrences of cardiac myxomas were diagnosed in 4 patients during the 3-year follow-up study period. Asymptomatic abnormalities of the corticotroph and somatotroph axis that did not meet criteria of PPNAD and acromegaly were observed in 11.4% and 30% of the patients, respectively. Patients carrying the PRKAR1A c.709-7del6 mutation had a mild phenotype. CONCLUSION This study underlines the importance of a systematic follow-up of the CNC manifestations, especially a biannual screening for cardiac myxoma. By contrast, regular screening for the other manifestations after a first extensive workup could be spread out, leading to a lighter and more acceptable follow-up schedule for patients. These are important results for recommendations for long-term management of CNC patients.","author":[{"dropping-particle":"","family":"Espiard","given":"Stéphanie","non-dropping-particle":"","parse-names":false,"suffix":""},{"dropping-particle":"","family":"Vantyghem","given":"Marie-Christine","non-dropping-particle":"","parse-names":false,"suffix":""},{"dropping-particle":"","family":"Assié","given":"Guillaume","non-dropping-particle":"","parse-names":false,"suffix":""},{"dropping-particle":"","family":"Cardot-Bauters","given":"Catherine","non-dropping-particle":"","parse-names":false,"suffix":""},{"dropping-particle":"","family":"Raverot","given":"Gerald","non-dropping-particle":"","parse-names":false,"suffix":""},{"dropping-particle":"","family":"Brucker-Davis","given":"Françoise","non-dropping-particle":"","parse-names":false,"suffix":""},{"dropping-particle":"","family":"Archambeaud-Mouveroux","given":"Françoise","non-dropping-particle":"","parse-names":false,"suffix":""},{"dropping-particle":"","family":"Lefebvre","given":"Hervé","non-dropping-particle":"","parse-names":false,"suffix":""},{"dropping-particle":"","family":"Nunes","given":"Marie-Laure","non-dropping-particle":"","parse-names":false,"suffix":""},{"dropping-particle":"","family":"Tabarin","given":"Antoine","non-dropping-particle":"","parse-names":false,"suffix":""},{"dropping-particle":"","family":"Lienhardt","given":"Anne","non-dropping-particle":"","parse-names":false,"suffix":""},{"dropping-particle":"","family":"Chabre","given":"Olivier","non-dropping-particle":"","parse-names":false,"suffix":""},{"dropping-particle":"","family":"Houang","given":"Muriel","non-dropping-particle":"","parse-names":false,"suffix":""},{"dropping-particle":"","family":"Bottineau","given":"Muriel","non-dropping-particle":"","parse-names":false,"suffix":""},{"dropping-particle":"","family":"Stroër","given":"Sebastian","non-dropping-particle":"","parse-names":false,"suffix":""},{"dropping-particle":"","family":"Groussin","given":"Lionel","non-dropping-particle":"","parse-names":false,"suffix":""},{"dropping-particle":"","family":"Guignat","given":"Laurence","non-dropping-particle":"","parse-names":false,"suffix":""},{"dropping-particle":"","family":"Cabanes","given":"Laure","non-dropping-particle":"","parse-names":false,"suffix":""},{"dropping-particle":"","family":"Feydy","given":"Antoine","non-dropping-particle":"","parse-names":false,"suffix":""},{"dropping-particle":"","family":"Bonnet","given":"Fidéline","non-dropping-particle":"","parse-names":false,"suffix":""},{"dropping-particle":"","family":"North","given":"Marie Odile","non-dropping-particle":"","parse-names":false,"suffix":""},{"dropping-particle":"","family":"Dupin","given":"Nicolas","non-dropping-particle":"","parse-names":false,"suffix":""},{"dropping-particle":"","family":"Grabar","given":"Sophie","non-dropping-particle":"","parse-names":false,"suffix":""},{"dropping-particle":"","family":"Duboc","given":"Denis","non-dropping-particle":"","parse-names":false,"suffix":""},{"dropping-particle":"","family":"Bertherat","given":"Jérôme","non-dropping-particle":"","parse-names":false,"suffix":""}],"container-title":"The Journal of clinical endocrinology and metabolism","id":"ITEM-2","issue":"3","issued":{"date-parts":[["2020","3","1"]]},"page":"e436–e446","publisher":"Endocrine Society","title":"Frequency and Incidence of Carney Complex Manifestations: A Prospective Multicenter Study With a Three-Year Follow-Up.","type":"article-journal","volume":"105"},"uris":["http://www.mendeley.com/documents/?uuid=0d5189bf-fd56-3ff4-88e4-25934f1a6bfb"]}],"mendeley":{"formattedCitation":"(21,45)","plainTextFormattedCitation":"(21,45)","previouslyFormattedCitation":"(21,45)"},"properties":{"noteIndex":0},"schema":"https://github.com/citation-style-language/schema/raw/master/csl-citation.json"}</w:instrText>
      </w:r>
      <w:r w:rsidR="009B5A7E" w:rsidRPr="00EC2EA6">
        <w:rPr>
          <w:color w:val="auto"/>
          <w:sz w:val="22"/>
        </w:rPr>
        <w:fldChar w:fldCharType="separate"/>
      </w:r>
      <w:r w:rsidR="006644FA" w:rsidRPr="00EC2EA6">
        <w:rPr>
          <w:noProof/>
          <w:color w:val="auto"/>
          <w:sz w:val="22"/>
        </w:rPr>
        <w:t>(21,45)</w:t>
      </w:r>
      <w:r w:rsidR="009B5A7E" w:rsidRPr="00EC2EA6">
        <w:rPr>
          <w:color w:val="auto"/>
          <w:sz w:val="22"/>
        </w:rPr>
        <w:fldChar w:fldCharType="end"/>
      </w:r>
      <w:r w:rsidRPr="00EC2EA6">
        <w:rPr>
          <w:color w:val="auto"/>
          <w:sz w:val="22"/>
        </w:rPr>
        <w:t>. These tumors are rarely observed in</w:t>
      </w:r>
      <w:r w:rsidR="009A1C9C" w:rsidRPr="00EC2EA6">
        <w:rPr>
          <w:color w:val="auto"/>
          <w:sz w:val="22"/>
        </w:rPr>
        <w:t xml:space="preserve"> </w:t>
      </w:r>
      <w:r w:rsidRPr="00EC2EA6">
        <w:rPr>
          <w:color w:val="auto"/>
          <w:sz w:val="22"/>
        </w:rPr>
        <w:t>sporadic forms (&lt;1% of testicular tumors), however</w:t>
      </w:r>
      <w:r w:rsidR="006644FA" w:rsidRPr="00EC2EA6">
        <w:rPr>
          <w:color w:val="auto"/>
          <w:sz w:val="22"/>
        </w:rPr>
        <w:t>,</w:t>
      </w:r>
      <w:r w:rsidRPr="00EC2EA6">
        <w:rPr>
          <w:color w:val="auto"/>
          <w:sz w:val="22"/>
        </w:rPr>
        <w:t xml:space="preserve"> they are common in syndromes such as</w:t>
      </w:r>
      <w:r w:rsidR="009A1C9C" w:rsidRPr="00EC2EA6">
        <w:rPr>
          <w:color w:val="auto"/>
          <w:sz w:val="22"/>
        </w:rPr>
        <w:t xml:space="preserve"> </w:t>
      </w:r>
      <w:r w:rsidRPr="00EC2EA6">
        <w:rPr>
          <w:color w:val="auto"/>
          <w:sz w:val="22"/>
        </w:rPr>
        <w:t>CNC and Peutz-Jeghers, where they are often multicentric and bilateral. They are almost</w:t>
      </w:r>
      <w:r w:rsidR="009A1C9C" w:rsidRPr="00EC2EA6">
        <w:rPr>
          <w:color w:val="auto"/>
          <w:sz w:val="22"/>
        </w:rPr>
        <w:t xml:space="preserve"> </w:t>
      </w:r>
      <w:r w:rsidRPr="00EC2EA6">
        <w:rPr>
          <w:color w:val="auto"/>
          <w:sz w:val="22"/>
        </w:rPr>
        <w:t>always benign; malignancy has been</w:t>
      </w:r>
      <w:r w:rsidR="005B40C2" w:rsidRPr="00EC2EA6">
        <w:rPr>
          <w:color w:val="auto"/>
          <w:sz w:val="22"/>
        </w:rPr>
        <w:t xml:space="preserve"> rarely</w:t>
      </w:r>
      <w:r w:rsidRPr="00EC2EA6">
        <w:rPr>
          <w:color w:val="auto"/>
          <w:sz w:val="22"/>
        </w:rPr>
        <w:t xml:space="preserve"> reported, </w:t>
      </w:r>
      <w:r w:rsidR="000B3EA4" w:rsidRPr="00EC2EA6">
        <w:rPr>
          <w:color w:val="auto"/>
          <w:sz w:val="22"/>
        </w:rPr>
        <w:t xml:space="preserve">particularly in tumors exceeding 6 cm in diameter. Nevertheless, their local expansion results in </w:t>
      </w:r>
      <w:r w:rsidR="006644FA" w:rsidRPr="00EC2EA6">
        <w:rPr>
          <w:color w:val="auto"/>
          <w:sz w:val="22"/>
        </w:rPr>
        <w:t xml:space="preserve">the </w:t>
      </w:r>
      <w:r w:rsidR="000B3EA4" w:rsidRPr="00EC2EA6">
        <w:rPr>
          <w:color w:val="auto"/>
          <w:sz w:val="22"/>
        </w:rPr>
        <w:t>replacement and compression of the normal testicular tissue</w:t>
      </w:r>
      <w:r w:rsidR="005B40C2" w:rsidRPr="00EC2EA6">
        <w:rPr>
          <w:color w:val="auto"/>
          <w:sz w:val="22"/>
        </w:rPr>
        <w:t xml:space="preserve"> </w:t>
      </w:r>
      <w:r w:rsidR="005B40C2" w:rsidRPr="00EC2EA6">
        <w:rPr>
          <w:color w:val="auto"/>
          <w:sz w:val="22"/>
        </w:rPr>
        <w:fldChar w:fldCharType="begin" w:fldLock="1"/>
      </w:r>
      <w:r w:rsidR="006644FA" w:rsidRPr="00EC2EA6">
        <w:rPr>
          <w:color w:val="auto"/>
          <w:sz w:val="22"/>
        </w:rPr>
        <w:instrText>ADDIN CSL_CITATION {"citationItems":[{"id":"ITEM-1","itemData":{"DOI":"10.1016/S0022-5347(01)67361-0","ISSN":"0022-5347","author":[{"dropping-particle":"","family":"Nogales","given":"Francisco F.","non-dropping-particle":"","parse-names":false,"suffix":""},{"dropping-particle":"","family":"Andujar","given":"Miguel","non-dropping-particle":"","parse-names":false,"suffix":""},{"dropping-particle":"","family":"Zuluaga","given":"Armando","non-dropping-particle":"","parse-names":false,"suffix":""},{"dropping-particle":"","family":"Garcia-Puche","given":"Jose L.","non-dropping-particle":"","parse-names":false,"suffix":""}],"container-title":"Journal of Urology","id":"ITEM-1","issue":"6","issued":{"date-parts":[["1995","6"]]},"page":"1935-1937","title":"Malignant Large Cell Calcifying Sertoli Cell Tumor of the Testis","type":"article-journal","volume":"153"},"uris":["http://www.mendeley.com/documents/?uuid=888eb1ec-aacf-42d9-881d-9515017f19d7"]}],"mendeley":{"formattedCitation":"(69)","plainTextFormattedCitation":"(69)","previouslyFormattedCitation":"(69)"},"properties":{"noteIndex":0},"schema":"https://github.com/citation-style-language/schema/raw/master/csl-citation.json"}</w:instrText>
      </w:r>
      <w:r w:rsidR="005B40C2" w:rsidRPr="00EC2EA6">
        <w:rPr>
          <w:color w:val="auto"/>
          <w:sz w:val="22"/>
        </w:rPr>
        <w:fldChar w:fldCharType="separate"/>
      </w:r>
      <w:r w:rsidR="006644FA" w:rsidRPr="00EC2EA6">
        <w:rPr>
          <w:noProof/>
          <w:color w:val="auto"/>
          <w:sz w:val="22"/>
        </w:rPr>
        <w:t>(69)</w:t>
      </w:r>
      <w:r w:rsidR="005B40C2" w:rsidRPr="00EC2EA6">
        <w:rPr>
          <w:color w:val="auto"/>
          <w:sz w:val="22"/>
        </w:rPr>
        <w:fldChar w:fldCharType="end"/>
      </w:r>
      <w:r w:rsidR="000B3EA4" w:rsidRPr="00EC2EA6">
        <w:rPr>
          <w:color w:val="auto"/>
          <w:sz w:val="22"/>
        </w:rPr>
        <w:t>. O</w:t>
      </w:r>
      <w:r w:rsidRPr="00EC2EA6">
        <w:rPr>
          <w:color w:val="auto"/>
          <w:sz w:val="22"/>
        </w:rPr>
        <w:t>ccasionally (25%)</w:t>
      </w:r>
      <w:r w:rsidR="000B3EA4" w:rsidRPr="00EC2EA6">
        <w:rPr>
          <w:color w:val="auto"/>
          <w:sz w:val="22"/>
        </w:rPr>
        <w:t>, LCCSCT</w:t>
      </w:r>
      <w:r w:rsidRPr="00EC2EA6">
        <w:rPr>
          <w:color w:val="auto"/>
          <w:sz w:val="22"/>
        </w:rPr>
        <w:t xml:space="preserve"> may be</w:t>
      </w:r>
      <w:r w:rsidR="009A1C9C" w:rsidRPr="00EC2EA6">
        <w:rPr>
          <w:color w:val="auto"/>
          <w:sz w:val="22"/>
        </w:rPr>
        <w:t xml:space="preserve"> </w:t>
      </w:r>
      <w:r w:rsidRPr="00EC2EA6">
        <w:rPr>
          <w:color w:val="auto"/>
          <w:sz w:val="22"/>
        </w:rPr>
        <w:t>hormone</w:t>
      </w:r>
      <w:r w:rsidR="006644FA" w:rsidRPr="00EC2EA6">
        <w:rPr>
          <w:color w:val="auto"/>
          <w:sz w:val="22"/>
        </w:rPr>
        <w:t>-</w:t>
      </w:r>
      <w:r w:rsidRPr="00EC2EA6">
        <w:rPr>
          <w:color w:val="auto"/>
          <w:sz w:val="22"/>
        </w:rPr>
        <w:t xml:space="preserve">producing and demonstrate increased P-450 aromatase expression </w:t>
      </w:r>
      <w:r w:rsidR="0084727C" w:rsidRPr="00EC2EA6">
        <w:rPr>
          <w:color w:val="auto"/>
          <w:sz w:val="22"/>
        </w:rPr>
        <w:fldChar w:fldCharType="begin" w:fldLock="1"/>
      </w:r>
      <w:r w:rsidR="006644FA" w:rsidRPr="00EC2EA6">
        <w:rPr>
          <w:color w:val="auto"/>
          <w:sz w:val="22"/>
        </w:rPr>
        <w:instrText>ADDIN CSL_CITATION {"citationItems":[{"id":"ITEM-1","itemData":{"DOI":"10.1002/(SICI)1097-0096(199705)25:4&lt;211::AID-JCU10&gt;3.0.CO;2-N [pii]","ISSN":"0091-2751 (Print) 0091-2751 (Linking)","author":[{"dropping-particle":"","family":"Premkumar","given":"A","non-dropping-particle":"","parse-names":false,"suffix":""},{"dropping-particle":"","family":"Stratakis","given":"C A","non-dropping-particle":"","parse-names":false,"suffix":""},{"dropping-particle":"","family":"Shawker","given":"T H","non-dropping-particle":"","parse-names":false,"suffix":""},{"dropping-particle":"","family":"Papanicolaou","given":"D A","non-dropping-particle":"","parse-names":false,"suffix":""},{"dropping-particle":"","family":"Chrousos","given":"G P","non-dropping-particle":"","parse-names":false,"suffix":""}],"container-title":"J Clin Ultrasound","id":"ITEM-1","issue":"4","issued":{"date-parts":[["1997"]]},"page":"211-214","title":"Testicular ultrasound in Carney complex: report of three cases","type":"article-journal","volume":"25"},"uris":["http://www.mendeley.com/documents/?uuid=1aea286a-e528-4662-9cb6-04805ad59b51"]}],"mendeley":{"formattedCitation":"(15)","plainTextFormattedCitation":"(15)","previouslyFormattedCitation":"(15)"},"properties":{"noteIndex":0},"schema":"https://github.com/citation-style-language/schema/raw/master/csl-citation.json"}</w:instrText>
      </w:r>
      <w:r w:rsidR="0084727C" w:rsidRPr="00EC2EA6">
        <w:rPr>
          <w:color w:val="auto"/>
          <w:sz w:val="22"/>
        </w:rPr>
        <w:fldChar w:fldCharType="separate"/>
      </w:r>
      <w:r w:rsidR="006644FA" w:rsidRPr="00EC2EA6">
        <w:rPr>
          <w:noProof/>
          <w:color w:val="auto"/>
          <w:sz w:val="22"/>
        </w:rPr>
        <w:t>(15)</w:t>
      </w:r>
      <w:r w:rsidR="0084727C" w:rsidRPr="00EC2EA6">
        <w:rPr>
          <w:color w:val="auto"/>
          <w:sz w:val="22"/>
        </w:rPr>
        <w:fldChar w:fldCharType="end"/>
      </w:r>
      <w:r w:rsidRPr="00EC2EA6">
        <w:rPr>
          <w:color w:val="auto"/>
          <w:sz w:val="22"/>
        </w:rPr>
        <w:t>. LCCSCT</w:t>
      </w:r>
      <w:r w:rsidR="009A1C9C" w:rsidRPr="00EC2EA6">
        <w:rPr>
          <w:color w:val="auto"/>
          <w:sz w:val="22"/>
        </w:rPr>
        <w:t xml:space="preserve"> </w:t>
      </w:r>
      <w:r w:rsidRPr="00EC2EA6">
        <w:rPr>
          <w:color w:val="auto"/>
          <w:sz w:val="22"/>
        </w:rPr>
        <w:t>often present</w:t>
      </w:r>
      <w:r w:rsidR="006644FA" w:rsidRPr="00EC2EA6">
        <w:rPr>
          <w:color w:val="auto"/>
          <w:sz w:val="22"/>
        </w:rPr>
        <w:t>s</w:t>
      </w:r>
      <w:r w:rsidRPr="00EC2EA6">
        <w:rPr>
          <w:color w:val="auto"/>
          <w:sz w:val="22"/>
        </w:rPr>
        <w:t xml:space="preserve"> as rock-hard and non-tender testicular masses and in ultrasonography</w:t>
      </w:r>
      <w:r w:rsidR="006644FA" w:rsidRPr="00EC2EA6">
        <w:rPr>
          <w:color w:val="auto"/>
          <w:sz w:val="22"/>
        </w:rPr>
        <w:t>,</w:t>
      </w:r>
      <w:r w:rsidRPr="00EC2EA6">
        <w:rPr>
          <w:color w:val="auto"/>
          <w:sz w:val="22"/>
        </w:rPr>
        <w:t xml:space="preserve"> they</w:t>
      </w:r>
      <w:r w:rsidR="009A1C9C" w:rsidRPr="00EC2EA6">
        <w:rPr>
          <w:color w:val="auto"/>
          <w:sz w:val="22"/>
        </w:rPr>
        <w:t xml:space="preserve"> </w:t>
      </w:r>
      <w:r w:rsidRPr="00EC2EA6">
        <w:rPr>
          <w:color w:val="auto"/>
          <w:sz w:val="22"/>
        </w:rPr>
        <w:t>appear as heterogeneous lesions of increased echogenicity with large areas of calcification</w:t>
      </w:r>
      <w:r w:rsidR="009A1C9C" w:rsidRPr="00EC2EA6">
        <w:rPr>
          <w:color w:val="auto"/>
          <w:sz w:val="22"/>
        </w:rPr>
        <w:t xml:space="preserve"> </w:t>
      </w:r>
      <w:r w:rsidR="005B40C2" w:rsidRPr="00EC2EA6">
        <w:rPr>
          <w:color w:val="auto"/>
          <w:sz w:val="22"/>
        </w:rPr>
        <w:fldChar w:fldCharType="begin" w:fldLock="1"/>
      </w:r>
      <w:r w:rsidR="006644FA" w:rsidRPr="00EC2EA6">
        <w:rPr>
          <w:color w:val="auto"/>
          <w:sz w:val="22"/>
        </w:rPr>
        <w:instrText>ADDIN CSL_CITATION {"citationItems":[{"id":"ITEM-1","itemData":{"ISBN":"978-88-89620-46-5","author":[{"dropping-particle":"","family":"Isidori","given":"Andrea M.","non-dropping-particle":"","parse-names":false,"suffix":""},{"dropping-particle":"","family":"Lenzi","given":"Andrea","non-dropping-particle":"","parse-names":false,"suffix":""}],"id":"ITEM-1","issued":{"date-parts":[["2008"]]},"number-of-pages":"70-71","publisher":"Accademia Nazionale di Medicina","publisher-place":"Genova","title":"Scrotal Ultrasound: Morphological and Functional Atlas","type":"book"},"uris":["http://www.mendeley.com/documents/?uuid=354b096f-1687-4de2-8d22-d44208bc5ff9"]}],"mendeley":{"formattedCitation":"(70)","plainTextFormattedCitation":"(70)","previouslyFormattedCitation":"(70)"},"properties":{"noteIndex":0},"schema":"https://github.com/citation-style-language/schema/raw/master/csl-citation.json"}</w:instrText>
      </w:r>
      <w:r w:rsidR="005B40C2" w:rsidRPr="00EC2EA6">
        <w:rPr>
          <w:color w:val="auto"/>
          <w:sz w:val="22"/>
        </w:rPr>
        <w:fldChar w:fldCharType="separate"/>
      </w:r>
      <w:r w:rsidR="006644FA" w:rsidRPr="00EC2EA6">
        <w:rPr>
          <w:noProof/>
          <w:color w:val="auto"/>
          <w:sz w:val="22"/>
        </w:rPr>
        <w:t>(70)</w:t>
      </w:r>
      <w:r w:rsidR="005B40C2" w:rsidRPr="00EC2EA6">
        <w:rPr>
          <w:color w:val="auto"/>
          <w:sz w:val="22"/>
        </w:rPr>
        <w:fldChar w:fldCharType="end"/>
      </w:r>
      <w:r w:rsidRPr="00EC2EA6">
        <w:rPr>
          <w:color w:val="auto"/>
          <w:sz w:val="22"/>
        </w:rPr>
        <w:t>. Macroscopically they are well-demarcated, yellow</w:t>
      </w:r>
      <w:r w:rsidR="006644FA" w:rsidRPr="00EC2EA6">
        <w:rPr>
          <w:color w:val="auto"/>
          <w:sz w:val="22"/>
        </w:rPr>
        <w:t>,</w:t>
      </w:r>
      <w:r w:rsidRPr="00EC2EA6">
        <w:rPr>
          <w:color w:val="auto"/>
          <w:sz w:val="22"/>
        </w:rPr>
        <w:t xml:space="preserve"> and calcified tumors. Clinically, these</w:t>
      </w:r>
      <w:r w:rsidR="009A1C9C" w:rsidRPr="00EC2EA6">
        <w:rPr>
          <w:color w:val="auto"/>
          <w:sz w:val="22"/>
        </w:rPr>
        <w:t xml:space="preserve"> </w:t>
      </w:r>
      <w:r w:rsidRPr="00EC2EA6">
        <w:rPr>
          <w:color w:val="auto"/>
          <w:sz w:val="22"/>
        </w:rPr>
        <w:t>hormone</w:t>
      </w:r>
      <w:r w:rsidR="006644FA" w:rsidRPr="00EC2EA6">
        <w:rPr>
          <w:color w:val="auto"/>
          <w:sz w:val="22"/>
        </w:rPr>
        <w:t>-</w:t>
      </w:r>
      <w:r w:rsidRPr="00EC2EA6">
        <w:rPr>
          <w:color w:val="auto"/>
          <w:sz w:val="22"/>
        </w:rPr>
        <w:t>producing tumors may cause sexual precocity in young males with low gonadotropin</w:t>
      </w:r>
      <w:r w:rsidR="009A1C9C" w:rsidRPr="00EC2EA6">
        <w:rPr>
          <w:color w:val="auto"/>
          <w:sz w:val="22"/>
        </w:rPr>
        <w:t xml:space="preserve"> </w:t>
      </w:r>
      <w:r w:rsidRPr="00EC2EA6">
        <w:rPr>
          <w:color w:val="auto"/>
          <w:sz w:val="22"/>
        </w:rPr>
        <w:t>levels, as well as gynecomastia that may result from aromatase overactivity.</w:t>
      </w:r>
      <w:r w:rsidR="005B40C2" w:rsidRPr="00EC2EA6">
        <w:rPr>
          <w:color w:val="auto"/>
          <w:sz w:val="22"/>
        </w:rPr>
        <w:t xml:space="preserve"> Typically, fertility is impaired due to obstruction of the seminiferous tubules</w:t>
      </w:r>
      <w:r w:rsidR="000F0DCB" w:rsidRPr="00EC2EA6">
        <w:rPr>
          <w:color w:val="auto"/>
          <w:sz w:val="22"/>
        </w:rPr>
        <w:t xml:space="preserve"> </w:t>
      </w:r>
      <w:r w:rsidR="000F0DCB" w:rsidRPr="00EC2EA6">
        <w:rPr>
          <w:color w:val="auto"/>
          <w:sz w:val="22"/>
        </w:rPr>
        <w:fldChar w:fldCharType="begin" w:fldLock="1"/>
      </w:r>
      <w:r w:rsidR="006644FA" w:rsidRPr="00EC2EA6">
        <w:rPr>
          <w:color w:val="auto"/>
          <w:sz w:val="22"/>
        </w:rPr>
        <w:instrText>ADDIN CSL_CITATION {"citationItems":[{"id":"ITEM-1","itemData":{"DOI":"me.2006-0060 [pii] 10.1210/me.2006-0060","ISSN":"0888-8809 (Print) 0888-8809 (Linking)","author":[{"dropping-particle":"","family":"Burton","given":"K A","non-dropping-particle":"","parse-names":false,"suffix":""},{"dropping-particle":"","family":"McDermott","given":"D A","non-dropping-particle":"","parse-names":false,"suffix":""},{"dropping-particle":"","family":"Wilkes","given":"D","non-dropping-particle":"","parse-names":false,"suffix":""},{"dropping-particle":"","family":"Poulsen","given":"M N","non-dropping-particle":"","parse-names":false,"suffix":""},{"dropping-particle":"","family":"Nolan","given":"M A","non-dropping-particle":"","parse-names":false,"suffix":""},{"dropping-particle":"","family":"Goldstein","given":"M","non-dropping-particle":"","parse-names":false,"suffix":""},{"dropping-particle":"","family":"Basson","given":"C T","non-dropping-particle":"","parse-names":false,"suffix":""},{"dropping-particle":"","family":"McKnight","given":"G S","non-dropping-particle":"","parse-names":false,"suffix":""}],"container-title":"Mol Endocrinol","id":"ITEM-1","issue":"10","issued":{"date-parts":[["2006"]]},"page":"2504-2513","title":"Haploinsufficiency at the protein kinase A RI alpha gene locus leads to fertility defects in male mice and men","type":"article-journal","volume":"20"},"uris":["http://www.mendeley.com/documents/?uuid=9b289a43-2348-4cc6-9d18-be48e75f83f6"]}],"mendeley":{"formattedCitation":"(16)","plainTextFormattedCitation":"(16)","previouslyFormattedCitation":"(16)"},"properties":{"noteIndex":0},"schema":"https://github.com/citation-style-language/schema/raw/master/csl-citation.json"}</w:instrText>
      </w:r>
      <w:r w:rsidR="000F0DCB" w:rsidRPr="00EC2EA6">
        <w:rPr>
          <w:color w:val="auto"/>
          <w:sz w:val="22"/>
        </w:rPr>
        <w:fldChar w:fldCharType="separate"/>
      </w:r>
      <w:r w:rsidR="006644FA" w:rsidRPr="00EC2EA6">
        <w:rPr>
          <w:noProof/>
          <w:color w:val="auto"/>
          <w:sz w:val="22"/>
        </w:rPr>
        <w:t>(16)</w:t>
      </w:r>
      <w:r w:rsidR="000F0DCB" w:rsidRPr="00EC2EA6">
        <w:rPr>
          <w:color w:val="auto"/>
          <w:sz w:val="22"/>
        </w:rPr>
        <w:fldChar w:fldCharType="end"/>
      </w:r>
      <w:r w:rsidR="005B40C2" w:rsidRPr="00EC2EA6">
        <w:rPr>
          <w:color w:val="auto"/>
          <w:sz w:val="22"/>
        </w:rPr>
        <w:t>.</w:t>
      </w:r>
      <w:r w:rsidR="009A1C9C" w:rsidRPr="00EC2EA6">
        <w:rPr>
          <w:color w:val="auto"/>
          <w:sz w:val="22"/>
        </w:rPr>
        <w:t xml:space="preserve"> </w:t>
      </w:r>
    </w:p>
    <w:p w14:paraId="6109D059" w14:textId="77777777" w:rsidR="00547ED8" w:rsidRPr="005F1576" w:rsidRDefault="00547ED8" w:rsidP="005F1576">
      <w:pPr>
        <w:spacing w:before="0" w:line="276" w:lineRule="auto"/>
        <w:jc w:val="left"/>
        <w:rPr>
          <w:sz w:val="22"/>
        </w:rPr>
      </w:pPr>
    </w:p>
    <w:p w14:paraId="16A063A3" w14:textId="5C16C05D" w:rsidR="00547671" w:rsidRPr="005F1576" w:rsidRDefault="005049B5" w:rsidP="005F1576">
      <w:pPr>
        <w:spacing w:before="0" w:line="276" w:lineRule="auto"/>
        <w:jc w:val="left"/>
        <w:rPr>
          <w:sz w:val="22"/>
        </w:rPr>
      </w:pPr>
      <w:r w:rsidRPr="005F1576">
        <w:rPr>
          <w:sz w:val="22"/>
        </w:rPr>
        <w:t>Leydig cell tumors and adrenocortical rests are both steroid</w:t>
      </w:r>
      <w:r w:rsidR="006644FA">
        <w:rPr>
          <w:sz w:val="22"/>
        </w:rPr>
        <w:t>-</w:t>
      </w:r>
      <w:r w:rsidRPr="005F1576">
        <w:rPr>
          <w:sz w:val="22"/>
        </w:rPr>
        <w:t>producing tumors and</w:t>
      </w:r>
      <w:r w:rsidR="009A1C9C" w:rsidRPr="005F1576">
        <w:rPr>
          <w:sz w:val="22"/>
        </w:rPr>
        <w:t xml:space="preserve"> </w:t>
      </w:r>
      <w:r w:rsidRPr="005F1576">
        <w:rPr>
          <w:sz w:val="22"/>
        </w:rPr>
        <w:t>macroscopically are quite similar, characterized by a brownish hue and relatively soft texture.</w:t>
      </w:r>
      <w:r w:rsidR="009A1C9C" w:rsidRPr="005F1576">
        <w:rPr>
          <w:sz w:val="22"/>
        </w:rPr>
        <w:t xml:space="preserve"> </w:t>
      </w:r>
      <w:r w:rsidRPr="005F1576">
        <w:rPr>
          <w:sz w:val="22"/>
        </w:rPr>
        <w:t>Leydig cell tumors may show malignant behavior, thus radical resection has been typically</w:t>
      </w:r>
      <w:r w:rsidR="009A1C9C" w:rsidRPr="005F1576">
        <w:rPr>
          <w:sz w:val="22"/>
        </w:rPr>
        <w:t xml:space="preserve"> </w:t>
      </w:r>
      <w:r w:rsidRPr="005F1576">
        <w:rPr>
          <w:sz w:val="22"/>
        </w:rPr>
        <w:t xml:space="preserve">recommended. On the contrary, adrenal rests are benign lesions </w:t>
      </w:r>
      <w:r w:rsidR="006644FA">
        <w:rPr>
          <w:sz w:val="22"/>
        </w:rPr>
        <w:t>that</w:t>
      </w:r>
      <w:r w:rsidRPr="005F1576">
        <w:rPr>
          <w:sz w:val="22"/>
        </w:rPr>
        <w:t xml:space="preserve"> do not require resection</w:t>
      </w:r>
      <w:r w:rsidR="009A1C9C" w:rsidRPr="005F1576">
        <w:rPr>
          <w:sz w:val="22"/>
        </w:rPr>
        <w:t xml:space="preserve"> </w:t>
      </w:r>
      <w:r w:rsidRPr="005F1576">
        <w:rPr>
          <w:sz w:val="22"/>
        </w:rPr>
        <w:t xml:space="preserve">but can lead to recurrent Cushing’s syndrome after </w:t>
      </w:r>
      <w:r w:rsidRPr="00EC2EA6">
        <w:rPr>
          <w:color w:val="auto"/>
          <w:sz w:val="22"/>
        </w:rPr>
        <w:t>adrenalectomy</w:t>
      </w:r>
      <w:r w:rsidR="006842B2" w:rsidRPr="00EC2EA6">
        <w:rPr>
          <w:color w:val="auto"/>
          <w:sz w:val="22"/>
        </w:rPr>
        <w:t xml:space="preserve"> </w:t>
      </w:r>
      <w:r w:rsidR="006842B2" w:rsidRPr="00EC2EA6">
        <w:rPr>
          <w:color w:val="auto"/>
          <w:sz w:val="22"/>
        </w:rPr>
        <w:fldChar w:fldCharType="begin" w:fldLock="1"/>
      </w:r>
      <w:r w:rsidR="006644FA" w:rsidRPr="00EC2EA6">
        <w:rPr>
          <w:color w:val="auto"/>
          <w:sz w:val="22"/>
        </w:rPr>
        <w:instrText>ADDIN CSL_CITATION {"citationItems":[{"id":"ITEM-1","itemData":{"ISSN":"0091-2751 (Print) 0091-2751 (Linking)","author":[{"dropping-particle":"","family":"Shawker","given":"T H","non-dropping-particle":"","parse-names":false,"suffix":""},{"dropping-particle":"","family":"Doppman","given":"J L","non-dropping-particle":"","parse-names":false,"suffix":""},{"dropping-particle":"","family":"Choyke","given":"P L","non-dropping-particle":"","parse-names":false,"suffix":""},{"dropping-particle":"","family":"Feuerstein","given":"I M","non-dropping-particle":"","parse-names":false,"suffix":""},{"dropping-particle":"","family":"Nieman","given":"L K","non-dropping-particle":"","parse-names":false,"suffix":""}],"container-title":"J Clin Ultrasound","id":"ITEM-1","issue":"1","issued":{"date-parts":[["1992"]]},"page":"51-58","title":"Intratesticular masses associated with abnormally functioning adrenal glands","type":"article-journal","volume":"20"},"uris":["http://www.mendeley.com/documents/?uuid=a58ae09d-3631-4c26-b3fd-5dfd3cd5bb7d"]}],"mendeley":{"formattedCitation":"(71)","plainTextFormattedCitation":"(71)","previouslyFormattedCitation":"(71)"},"properties":{"noteIndex":0},"schema":"https://github.com/citation-style-language/schema/raw/master/csl-citation.json"}</w:instrText>
      </w:r>
      <w:r w:rsidR="006842B2" w:rsidRPr="00EC2EA6">
        <w:rPr>
          <w:color w:val="auto"/>
          <w:sz w:val="22"/>
        </w:rPr>
        <w:fldChar w:fldCharType="separate"/>
      </w:r>
      <w:r w:rsidR="006644FA" w:rsidRPr="00EC2EA6">
        <w:rPr>
          <w:noProof/>
          <w:color w:val="auto"/>
          <w:sz w:val="22"/>
        </w:rPr>
        <w:t>(71)</w:t>
      </w:r>
      <w:r w:rsidR="006842B2" w:rsidRPr="00EC2EA6">
        <w:rPr>
          <w:color w:val="auto"/>
          <w:sz w:val="22"/>
        </w:rPr>
        <w:fldChar w:fldCharType="end"/>
      </w:r>
      <w:r w:rsidRPr="00EC2EA6">
        <w:rPr>
          <w:color w:val="auto"/>
          <w:sz w:val="22"/>
        </w:rPr>
        <w:t>. The histological distinction</w:t>
      </w:r>
      <w:r w:rsidR="009A1C9C" w:rsidRPr="00EC2EA6">
        <w:rPr>
          <w:color w:val="auto"/>
          <w:sz w:val="22"/>
        </w:rPr>
        <w:t xml:space="preserve"> </w:t>
      </w:r>
      <w:r w:rsidRPr="00EC2EA6">
        <w:rPr>
          <w:color w:val="auto"/>
          <w:sz w:val="22"/>
        </w:rPr>
        <w:t xml:space="preserve">between these two types of tumors can be difficult and a useful feature </w:t>
      </w:r>
      <w:r w:rsidRPr="005F1576">
        <w:rPr>
          <w:sz w:val="22"/>
        </w:rPr>
        <w:t>is the detection of</w:t>
      </w:r>
      <w:r w:rsidR="009A1C9C" w:rsidRPr="005F1576">
        <w:rPr>
          <w:sz w:val="22"/>
        </w:rPr>
        <w:t xml:space="preserve"> </w:t>
      </w:r>
      <w:r w:rsidRPr="005F1576">
        <w:rPr>
          <w:sz w:val="22"/>
        </w:rPr>
        <w:t>crystalloids of Reinke that are present solely in Leydig cell tumors. However, these crystalloids</w:t>
      </w:r>
      <w:r w:rsidR="009A1C9C" w:rsidRPr="005F1576">
        <w:rPr>
          <w:sz w:val="22"/>
        </w:rPr>
        <w:t xml:space="preserve"> </w:t>
      </w:r>
      <w:r w:rsidRPr="005F1576">
        <w:rPr>
          <w:sz w:val="22"/>
        </w:rPr>
        <w:t xml:space="preserve">are not a constant finding. </w:t>
      </w:r>
      <w:r w:rsidR="00547671" w:rsidRPr="005F1576">
        <w:rPr>
          <w:sz w:val="22"/>
        </w:rPr>
        <w:t xml:space="preserve">In such </w:t>
      </w:r>
      <w:r w:rsidRPr="005F1576">
        <w:rPr>
          <w:sz w:val="22"/>
        </w:rPr>
        <w:t>case</w:t>
      </w:r>
      <w:r w:rsidR="006644FA">
        <w:rPr>
          <w:sz w:val="22"/>
        </w:rPr>
        <w:t>,</w:t>
      </w:r>
      <w:r w:rsidRPr="005F1576">
        <w:rPr>
          <w:sz w:val="22"/>
        </w:rPr>
        <w:t xml:space="preserve"> testicular vein sampling </w:t>
      </w:r>
      <w:r w:rsidR="00547671" w:rsidRPr="005F1576">
        <w:rPr>
          <w:sz w:val="22"/>
        </w:rPr>
        <w:t xml:space="preserve">can be helpful, as it </w:t>
      </w:r>
      <w:r w:rsidRPr="005F1576">
        <w:rPr>
          <w:sz w:val="22"/>
        </w:rPr>
        <w:t>may</w:t>
      </w:r>
      <w:r w:rsidR="00A83A08" w:rsidRPr="005F1576">
        <w:rPr>
          <w:sz w:val="22"/>
        </w:rPr>
        <w:t xml:space="preserve"> </w:t>
      </w:r>
      <w:r w:rsidRPr="005F1576">
        <w:rPr>
          <w:sz w:val="22"/>
        </w:rPr>
        <w:t>demonstrate cortisol gradient between peripheral and testicular venous blood.</w:t>
      </w:r>
    </w:p>
    <w:p w14:paraId="7887AC4C" w14:textId="77777777" w:rsidR="00547ED8" w:rsidRDefault="00547ED8" w:rsidP="005F1576">
      <w:pPr>
        <w:pStyle w:val="Heading3"/>
        <w:spacing w:before="0" w:line="276" w:lineRule="auto"/>
        <w:jc w:val="left"/>
        <w:rPr>
          <w:sz w:val="22"/>
          <w:highlight w:val="yellow"/>
        </w:rPr>
      </w:pPr>
    </w:p>
    <w:p w14:paraId="78C568F9" w14:textId="508AD12E" w:rsidR="00B1720D" w:rsidRPr="00765350" w:rsidRDefault="00B1720D" w:rsidP="005F1576">
      <w:pPr>
        <w:pStyle w:val="Heading3"/>
        <w:spacing w:before="0" w:line="276" w:lineRule="auto"/>
        <w:jc w:val="left"/>
        <w:rPr>
          <w:color w:val="FF0000"/>
          <w:sz w:val="22"/>
        </w:rPr>
      </w:pPr>
      <w:r w:rsidRPr="00765350">
        <w:rPr>
          <w:color w:val="FF0000"/>
          <w:sz w:val="22"/>
        </w:rPr>
        <w:t>OVARIAN LESIONS</w:t>
      </w:r>
    </w:p>
    <w:p w14:paraId="2FF47A7D" w14:textId="77777777" w:rsidR="00547ED8" w:rsidRPr="00765350" w:rsidRDefault="00547ED8" w:rsidP="005F1576">
      <w:pPr>
        <w:spacing w:before="0" w:line="276" w:lineRule="auto"/>
        <w:jc w:val="left"/>
        <w:rPr>
          <w:sz w:val="22"/>
        </w:rPr>
      </w:pPr>
    </w:p>
    <w:p w14:paraId="33BC71DC" w14:textId="46C41FF9" w:rsidR="00B1720D" w:rsidRPr="005F1576" w:rsidRDefault="00FC0C24" w:rsidP="005F1576">
      <w:pPr>
        <w:spacing w:before="0" w:line="276" w:lineRule="auto"/>
        <w:jc w:val="left"/>
        <w:rPr>
          <w:sz w:val="22"/>
        </w:rPr>
      </w:pPr>
      <w:r w:rsidRPr="00765350">
        <w:rPr>
          <w:sz w:val="22"/>
        </w:rPr>
        <w:t>Eight to 14% of f</w:t>
      </w:r>
      <w:r w:rsidR="00B1720D" w:rsidRPr="00765350">
        <w:rPr>
          <w:sz w:val="22"/>
        </w:rPr>
        <w:t>emale patients with CNC may present with ovarian lesions, either cystic or solid</w:t>
      </w:r>
      <w:r w:rsidRPr="00765350">
        <w:rPr>
          <w:sz w:val="22"/>
        </w:rPr>
        <w:t xml:space="preserve"> tumors of the ovarian surface epithelium</w:t>
      </w:r>
      <w:r w:rsidR="00B1720D" w:rsidRPr="00765350">
        <w:rPr>
          <w:sz w:val="22"/>
        </w:rPr>
        <w:t>, such as serous cystadenomas and teratomas</w:t>
      </w:r>
      <w:r w:rsidRPr="00765350">
        <w:rPr>
          <w:sz w:val="22"/>
        </w:rPr>
        <w:t xml:space="preserve">. The percentage of ovarian lesions rises up to 60% in autopsy </w:t>
      </w:r>
      <w:r w:rsidRPr="00EC2EA6">
        <w:rPr>
          <w:color w:val="auto"/>
          <w:sz w:val="22"/>
        </w:rPr>
        <w:t xml:space="preserve">series </w:t>
      </w:r>
      <w:r w:rsidRPr="00EC2EA6">
        <w:rPr>
          <w:color w:val="auto"/>
          <w:sz w:val="22"/>
        </w:rPr>
        <w:fldChar w:fldCharType="begin" w:fldLock="1"/>
      </w:r>
      <w:r w:rsidR="006644FA" w:rsidRPr="00EC2EA6">
        <w:rPr>
          <w:color w:val="auto"/>
          <w:sz w:val="22"/>
        </w:rPr>
        <w:instrText>ADDIN CSL_CITATION {"citationItems":[{"id":"ITEM-1","itemData":{"DOI":"10.1210/jcem.85.11.6921","ISSN":"0021-972X","PMID":"11095480","abstract":"Carney complex (CNC) is a familial multiple neoplasia and lentiginosis syndrome (OMIM 160980, http://www.ncbi.nlm.nih.gov/omim) with features overlapping those of other multiple endocrine neoplasias and hamartomatoses, Peutz-Jeghers syndrome (PJS) in particular. Although a number of patients with CNC and ovarian tumors have been described in individual patient reports, it is unclear whether ovarian lesions constitute a component of the syndrome or are coincidental events. We investigated 18 women with CNC [age at first evaluation, 31.3+/-12.1 yr (mean +/- SD)] prospectively for the development of ovarian tumors over a period of 35.7+/-30.6 months by physical examination and pelvic ultrasonography. They were compared with 11 women (age at first evaluation, 32.9+/-17 yr) who were enrolled under the same protocol (follow up, 32.3+/-25.1 months) and served as a control group. In addition, a registry of 178 women from among a total of 309 patients with CNC was searched retrospectively for any having ovarian tumors. Seven available histological specimens were rereviewed. None of the CNC patients had ovarian tumors analogous to those of PJS. Two patients with CNC in the prospective group developed ovarian tumors and were operated upon. One had bilateral oophorectomy for asynchronous serous cystadenomas. The second patient had a unilateral serous cystadenoma. Resected tumor tissue from both patients was tested for genetic abnormalities of the chromosomal regions to which CNC genetic loci have been mapped. Both showed genomic amplification of chromosomal region 2p16. An additional 10 patients had at least 1 sonogram positive for ovarian cysts. Only 1 of the patients in the control group was found to have a persistent, simple ovarian cyst by ultrasonography. The registry of 178 CNC patients included 4 who had undergone surgery for ovarian tumors. The diagnoses included endometrioid adenocarcinoma (1 patient) and metastatic mucinous adenocarcinoma (the primary site was probably ovarian; 1 patient). In addition, 7 of 12 patients (58%) with CNC, who died of other causes, had ovarian lesions at autopsy. In conclusion, although the same stromal tumor, large-cell calcifying Sertoli cell tumor, affects the testes in CNC and PJS, we did not find such tumors in a small population of CNC patients that was studied prospectively or a larger group of CNC patients that was studied retrospectively. The results of our study also suggested that women with CNC commonly develop ova…","author":[{"dropping-particle":"","family":"Stratakis","given":"C A","non-dropping-particle":"","parse-names":false,"suffix":""},{"dropping-particle":"","family":"Papageorgiou","given":"T","non-dropping-particle":"","parse-names":false,"suffix":""},{"dropping-particle":"","family":"Premkumar","given":"A","non-dropping-particle":"","parse-names":false,"suffix":""},{"dropping-particle":"","family":"Pack","given":"S","non-dropping-particle":"","parse-names":false,"suffix":""},{"dropping-particle":"","family":"Kirschner","given":"L S","non-dropping-particle":"","parse-names":false,"suffix":""},{"dropping-particle":"","family":"Taymans","given":"S E","non-dropping-particle":"","parse-names":false,"suffix":""},{"dropping-particle":"","family":"Zhuang","given":"Z","non-dropping-particle":"","parse-names":false,"suffix":""},{"dropping-particle":"","family":"Oelkers","given":"W H","non-dropping-particle":"","parse-names":false,"suffix":""},{"dropping-particle":"","family":"Carney","given":"J A","non-dropping-particle":"","parse-names":false,"suffix":""}],"container-title":"The Journal of clinical endocrinology and metabolism","id":"ITEM-1","issue":"11","issued":{"date-parts":[["2000","11"]]},"page":"4359-66","title":"Ovarian lesions in Carney complex: clinical genetics and possible predisposition to malignancy.","type":"article-journal","volume":"85"},"uris":["http://www.mendeley.com/documents/?uuid=305643d3-7c27-4f31-8743-9bb1d7fd85e6"]}],"mendeley":{"formattedCitation":"(72)","plainTextFormattedCitation":"(72)","previouslyFormattedCitation":"(72)"},"properties":{"noteIndex":0},"schema":"https://github.com/citation-style-language/schema/raw/master/csl-citation.json"}</w:instrText>
      </w:r>
      <w:r w:rsidRPr="00EC2EA6">
        <w:rPr>
          <w:color w:val="auto"/>
          <w:sz w:val="22"/>
        </w:rPr>
        <w:fldChar w:fldCharType="separate"/>
      </w:r>
      <w:r w:rsidR="006644FA" w:rsidRPr="00EC2EA6">
        <w:rPr>
          <w:noProof/>
          <w:color w:val="auto"/>
          <w:sz w:val="22"/>
        </w:rPr>
        <w:t>(72)</w:t>
      </w:r>
      <w:r w:rsidRPr="00EC2EA6">
        <w:rPr>
          <w:color w:val="auto"/>
          <w:sz w:val="22"/>
        </w:rPr>
        <w:fldChar w:fldCharType="end"/>
      </w:r>
      <w:r w:rsidRPr="00EC2EA6">
        <w:rPr>
          <w:color w:val="auto"/>
          <w:sz w:val="22"/>
        </w:rPr>
        <w:t>.</w:t>
      </w:r>
      <w:r w:rsidR="00B1720D" w:rsidRPr="00EC2EA6">
        <w:rPr>
          <w:color w:val="auto"/>
          <w:sz w:val="22"/>
        </w:rPr>
        <w:t xml:space="preserve"> </w:t>
      </w:r>
      <w:r w:rsidRPr="00EC2EA6">
        <w:rPr>
          <w:color w:val="auto"/>
          <w:sz w:val="22"/>
        </w:rPr>
        <w:t xml:space="preserve">Ovarian </w:t>
      </w:r>
      <w:r w:rsidRPr="00765350">
        <w:rPr>
          <w:sz w:val="22"/>
        </w:rPr>
        <w:t xml:space="preserve">cysts </w:t>
      </w:r>
      <w:r w:rsidR="00B1720D" w:rsidRPr="00765350">
        <w:rPr>
          <w:sz w:val="22"/>
        </w:rPr>
        <w:t xml:space="preserve">are usually clinically insignificant, </w:t>
      </w:r>
      <w:r w:rsidRPr="00765350">
        <w:rPr>
          <w:sz w:val="22"/>
        </w:rPr>
        <w:t xml:space="preserve">whereas, tumors may </w:t>
      </w:r>
      <w:r w:rsidR="00B1720D" w:rsidRPr="00765350">
        <w:rPr>
          <w:sz w:val="22"/>
        </w:rPr>
        <w:t>progress, occasionally, to ovarian carcinoma</w:t>
      </w:r>
      <w:r w:rsidRPr="00765350">
        <w:rPr>
          <w:sz w:val="22"/>
        </w:rPr>
        <w:t>, particularly in the elderly</w:t>
      </w:r>
      <w:r w:rsidR="00B1720D" w:rsidRPr="00765350">
        <w:rPr>
          <w:sz w:val="22"/>
        </w:rPr>
        <w:t>.</w:t>
      </w:r>
    </w:p>
    <w:p w14:paraId="4F858180" w14:textId="77777777" w:rsidR="00547ED8" w:rsidRDefault="00547ED8" w:rsidP="005F1576">
      <w:pPr>
        <w:pStyle w:val="Heading2"/>
        <w:spacing w:before="0" w:line="276" w:lineRule="auto"/>
        <w:jc w:val="left"/>
        <w:rPr>
          <w:sz w:val="22"/>
        </w:rPr>
      </w:pPr>
    </w:p>
    <w:p w14:paraId="79381843" w14:textId="4FC5EF9B" w:rsidR="00A83A08" w:rsidRPr="00547ED8" w:rsidRDefault="003E2B96" w:rsidP="005F1576">
      <w:pPr>
        <w:pStyle w:val="Heading2"/>
        <w:spacing w:before="0" w:line="276" w:lineRule="auto"/>
        <w:jc w:val="left"/>
        <w:rPr>
          <w:color w:val="00B050"/>
          <w:sz w:val="22"/>
        </w:rPr>
      </w:pPr>
      <w:r w:rsidRPr="00547ED8">
        <w:rPr>
          <w:color w:val="00B050"/>
          <w:sz w:val="22"/>
        </w:rPr>
        <w:t>Psammomatous</w:t>
      </w:r>
      <w:r w:rsidR="005049B5" w:rsidRPr="00547ED8">
        <w:rPr>
          <w:color w:val="00B050"/>
          <w:sz w:val="22"/>
        </w:rPr>
        <w:t xml:space="preserve"> Melanotic Schwannomas</w:t>
      </w:r>
    </w:p>
    <w:p w14:paraId="651E8434" w14:textId="77777777" w:rsidR="00547ED8" w:rsidRDefault="00547ED8" w:rsidP="005F1576">
      <w:pPr>
        <w:spacing w:before="0" w:line="276" w:lineRule="auto"/>
        <w:jc w:val="left"/>
        <w:rPr>
          <w:sz w:val="22"/>
        </w:rPr>
      </w:pPr>
    </w:p>
    <w:p w14:paraId="54F3A944" w14:textId="2A2B5E33" w:rsidR="00963971" w:rsidRPr="00EC2EA6" w:rsidRDefault="003E2B96" w:rsidP="005F1576">
      <w:pPr>
        <w:spacing w:before="0" w:line="276" w:lineRule="auto"/>
        <w:jc w:val="left"/>
        <w:rPr>
          <w:color w:val="auto"/>
          <w:sz w:val="22"/>
        </w:rPr>
      </w:pPr>
      <w:r w:rsidRPr="005F1576">
        <w:rPr>
          <w:sz w:val="22"/>
        </w:rPr>
        <w:t>Psammomatous</w:t>
      </w:r>
      <w:r w:rsidR="005049B5" w:rsidRPr="005F1576">
        <w:rPr>
          <w:sz w:val="22"/>
        </w:rPr>
        <w:t xml:space="preserve"> Melanotic Schwannomas (PMS) are</w:t>
      </w:r>
      <w:r w:rsidR="00963971" w:rsidRPr="005F1576">
        <w:rPr>
          <w:sz w:val="22"/>
        </w:rPr>
        <w:t xml:space="preserve"> encapsulated tumors of the peripheral nerve sheath and are </w:t>
      </w:r>
      <w:r w:rsidR="005049B5" w:rsidRPr="005F1576">
        <w:rPr>
          <w:sz w:val="22"/>
        </w:rPr>
        <w:t>observed in less than 10% of individuals</w:t>
      </w:r>
      <w:r w:rsidR="009A1C9C" w:rsidRPr="005F1576">
        <w:rPr>
          <w:sz w:val="22"/>
        </w:rPr>
        <w:t xml:space="preserve"> </w:t>
      </w:r>
      <w:r w:rsidR="005049B5" w:rsidRPr="005F1576">
        <w:rPr>
          <w:sz w:val="22"/>
        </w:rPr>
        <w:t>with CNC</w:t>
      </w:r>
      <w:r w:rsidR="00963971" w:rsidRPr="005F1576">
        <w:rPr>
          <w:sz w:val="22"/>
        </w:rPr>
        <w:t xml:space="preserve">, usually in the fourth decade of </w:t>
      </w:r>
      <w:r w:rsidR="00963971" w:rsidRPr="00EC2EA6">
        <w:rPr>
          <w:color w:val="auto"/>
          <w:sz w:val="22"/>
        </w:rPr>
        <w:t xml:space="preserve">life </w:t>
      </w:r>
      <w:r w:rsidR="00963971" w:rsidRPr="00EC2EA6">
        <w:rPr>
          <w:color w:val="auto"/>
          <w:sz w:val="22"/>
        </w:rPr>
        <w:fldChar w:fldCharType="begin" w:fldLock="1"/>
      </w:r>
      <w:r w:rsidR="006644FA" w:rsidRPr="00EC2EA6">
        <w:rPr>
          <w:color w:val="auto"/>
          <w:sz w:val="22"/>
        </w:rPr>
        <w:instrText>ADDIN CSL_CITATION {"citationItems":[{"id":"ITEM-1","itemData":{"DOI":"jc.2008-2333 [pii] 10.1210/jc.2008-2333","ISSN":"1945-7197 (Electronic) 0021-972X (Linking)","author":[{"dropping-particle":"","family":"Bertherat","given":"J","non-dropping-particle":"","parse-names":false,"suffix":""},{"dropping-particle":"","family":"Horvath","given":"A","non-dropping-particle":"","parse-names":false,"suffix":""},{"dropping-particle":"","family":"Groussin","given":"L","non-dropping-particle":"","parse-names":false,"suffix":""},{"dropping-particle":"","family":"Grabar","given":"S","non-dropping-particle":"","parse-names":false,"suffix":""},{"dropping-particle":"","family":"Boikos","given":"S","non-dropping-particle":"","parse-names":false,"suffix":""},{"dropping-particle":"","family":"Cazabat","given":"L","non-dropping-particle":"","parse-names":false,"suffix":""},{"dropping-particle":"","family":"Libe","given":"R","non-dropping-particle":"","parse-names":false,"suffix":""},{"dropping-particle":"","family":"Rene-Corail","given":"F","non-dropping-particle":"","parse-names":false,"suffix":""},{"dropping-particle":"","family":"Stergiopoulos","given":"S","non-dropping-particle":"","parse-names":false,"suffix":""},{"dropping-particle":"","family":"Bourdeau","given":"I","non-dropping-particle":"","parse-names":false,"suffix":""},{"dropping-particle":"","family":"Bei","given":"T","non-dropping-particle":"","parse-names":false,"suffix":""},{"dropping-particle":"","family":"Clauser","given":"E","non-dropping-particle":"","parse-names":false,"suffix":""},{"dropping-particle":"","family":"Calender","given":"A","non-dropping-particle":"","parse-names":false,"suffix":""},{"dropping-particle":"","family":"Kirschner","given":"L S","non-dropping-particle":"","parse-names":false,"suffix":""},{"dropping-particle":"","family":"Bertagna","given":"X","non-dropping-particle":"","parse-names":false,"suffix":""},{"dropping-particle":"","family":"Carney","given":"J A","non-dropping-particle":"","parse-names":false,"suffix":""},{"dropping-particle":"","family":"Stratakis","given":"C A","non-dropping-particle":"","parse-names":false,"suffix":""}],"container-title":"J Clin Endocrinol Metab","id":"ITEM-1","issue":"6","issued":{"date-parts":[["2009"]]},"page":"2085-2091","title":"Mutations in regulatory subunit type 1A of cyclic adenosine 5'-monophosphate-dependent protein kinase (PRKAR1A): phenotype analysis in 353 patients and 80 different genotypes","type":"article-journal","volume":"94"},"uris":["http://www.mendeley.com/documents/?uuid=844a962d-086b-4fd7-ab0a-e49883de0d85"]}],"mendeley":{"formattedCitation":"(21)","plainTextFormattedCitation":"(21)","previouslyFormattedCitation":"(21)"},"properties":{"noteIndex":0},"schema":"https://github.com/citation-style-language/schema/raw/master/csl-citation.json"}</w:instrText>
      </w:r>
      <w:r w:rsidR="00963971" w:rsidRPr="00EC2EA6">
        <w:rPr>
          <w:color w:val="auto"/>
          <w:sz w:val="22"/>
        </w:rPr>
        <w:fldChar w:fldCharType="separate"/>
      </w:r>
      <w:r w:rsidR="006644FA" w:rsidRPr="00EC2EA6">
        <w:rPr>
          <w:noProof/>
          <w:color w:val="auto"/>
          <w:sz w:val="22"/>
        </w:rPr>
        <w:t>(21)</w:t>
      </w:r>
      <w:r w:rsidR="00963971" w:rsidRPr="00EC2EA6">
        <w:rPr>
          <w:color w:val="auto"/>
          <w:sz w:val="22"/>
        </w:rPr>
        <w:fldChar w:fldCharType="end"/>
      </w:r>
      <w:r w:rsidR="005049B5" w:rsidRPr="00EC2EA6">
        <w:rPr>
          <w:color w:val="auto"/>
          <w:sz w:val="22"/>
        </w:rPr>
        <w:t xml:space="preserve">. Other </w:t>
      </w:r>
      <w:r w:rsidR="005049B5" w:rsidRPr="005F1576">
        <w:rPr>
          <w:sz w:val="22"/>
        </w:rPr>
        <w:t>hereditary syndromes that may present with PMS are neurofibromatosis and</w:t>
      </w:r>
      <w:r w:rsidR="009A1C9C" w:rsidRPr="005F1576">
        <w:rPr>
          <w:sz w:val="22"/>
        </w:rPr>
        <w:t xml:space="preserve"> </w:t>
      </w:r>
      <w:r w:rsidR="005049B5" w:rsidRPr="005F1576">
        <w:rPr>
          <w:sz w:val="22"/>
        </w:rPr>
        <w:t>isolated familial schwannomatosis. Schwannomas in CNC are heavily pigmented and present</w:t>
      </w:r>
      <w:r w:rsidR="009A1C9C" w:rsidRPr="005F1576">
        <w:rPr>
          <w:sz w:val="22"/>
        </w:rPr>
        <w:t xml:space="preserve"> </w:t>
      </w:r>
      <w:r w:rsidR="005049B5" w:rsidRPr="005F1576">
        <w:rPr>
          <w:sz w:val="22"/>
        </w:rPr>
        <w:t xml:space="preserve">frequently with calcifications and multicentricity. </w:t>
      </w:r>
      <w:r w:rsidR="00963971" w:rsidRPr="005F1576">
        <w:rPr>
          <w:sz w:val="22"/>
        </w:rPr>
        <w:t>T</w:t>
      </w:r>
      <w:r w:rsidR="005049B5" w:rsidRPr="005F1576">
        <w:rPr>
          <w:sz w:val="22"/>
        </w:rPr>
        <w:t>heir dark</w:t>
      </w:r>
      <w:r w:rsidR="00963971" w:rsidRPr="005F1576">
        <w:rPr>
          <w:sz w:val="22"/>
        </w:rPr>
        <w:t>, brownish</w:t>
      </w:r>
      <w:r w:rsidR="005049B5" w:rsidRPr="005F1576">
        <w:rPr>
          <w:sz w:val="22"/>
        </w:rPr>
        <w:t xml:space="preserve"> pigmentation is attributed to elongated spindle-shaped Schwann</w:t>
      </w:r>
      <w:r w:rsidR="009A1C9C" w:rsidRPr="005F1576">
        <w:rPr>
          <w:sz w:val="22"/>
        </w:rPr>
        <w:t xml:space="preserve"> </w:t>
      </w:r>
      <w:r w:rsidR="005049B5" w:rsidRPr="005F1576">
        <w:rPr>
          <w:sz w:val="22"/>
        </w:rPr>
        <w:t>cells with melanogenic potential. Calcifications are encountered in a laminated form called</w:t>
      </w:r>
      <w:r w:rsidR="009A1C9C" w:rsidRPr="005F1576">
        <w:rPr>
          <w:sz w:val="22"/>
        </w:rPr>
        <w:t xml:space="preserve"> </w:t>
      </w:r>
      <w:r w:rsidR="005049B5" w:rsidRPr="005F1576">
        <w:rPr>
          <w:sz w:val="22"/>
        </w:rPr>
        <w:t xml:space="preserve">psammomas and may be accompanied by hemorrhage and </w:t>
      </w:r>
      <w:r w:rsidR="005049B5" w:rsidRPr="00EC2EA6">
        <w:rPr>
          <w:color w:val="auto"/>
          <w:sz w:val="22"/>
        </w:rPr>
        <w:t xml:space="preserve">necrosis </w:t>
      </w:r>
      <w:r w:rsidR="00963971" w:rsidRPr="00EC2EA6">
        <w:rPr>
          <w:color w:val="auto"/>
          <w:sz w:val="22"/>
        </w:rPr>
        <w:fldChar w:fldCharType="begin" w:fldLock="1"/>
      </w:r>
      <w:r w:rsidR="006644FA" w:rsidRPr="00EC2EA6">
        <w:rPr>
          <w:color w:val="auto"/>
          <w:sz w:val="22"/>
        </w:rPr>
        <w:instrText>ADDIN CSL_CITATION {"citationItems":[{"id":"ITEM-1","itemData":{"ISSN":"0147-5185 (Print) 0147-5185 (Linking)","author":[{"dropping-particle":"","family":"Carney","given":"J A","non-dropping-particle":"","parse-names":false,"suffix":""}],"container-title":"Am J Surg Pathol","id":"ITEM-1","issue":"3","issued":{"date-parts":[["1990"]]},"page":"206-222","title":"Psammomatous melanotic schwannoma. A distinctive, heritable tumor with special associations, including cardiac myxoma and the Cushing syndrome","type":"article-journal","volume":"14"},"uris":["http://www.mendeley.com/documents/?uuid=ea9a290b-2ebf-43c9-8833-040e87d68891"]}],"mendeley":{"formattedCitation":"(73)","plainTextFormattedCitation":"(73)","previouslyFormattedCitation":"(73)"},"properties":{"noteIndex":0},"schema":"https://github.com/citation-style-language/schema/raw/master/csl-citation.json"}</w:instrText>
      </w:r>
      <w:r w:rsidR="00963971" w:rsidRPr="00EC2EA6">
        <w:rPr>
          <w:color w:val="auto"/>
          <w:sz w:val="22"/>
        </w:rPr>
        <w:fldChar w:fldCharType="separate"/>
      </w:r>
      <w:r w:rsidR="006644FA" w:rsidRPr="00EC2EA6">
        <w:rPr>
          <w:noProof/>
          <w:color w:val="auto"/>
          <w:sz w:val="22"/>
        </w:rPr>
        <w:t>(73)</w:t>
      </w:r>
      <w:r w:rsidR="00963971" w:rsidRPr="00EC2EA6">
        <w:rPr>
          <w:color w:val="auto"/>
          <w:sz w:val="22"/>
        </w:rPr>
        <w:fldChar w:fldCharType="end"/>
      </w:r>
      <w:r w:rsidR="00963971" w:rsidRPr="00EC2EA6">
        <w:rPr>
          <w:color w:val="auto"/>
          <w:sz w:val="22"/>
        </w:rPr>
        <w:t>.</w:t>
      </w:r>
      <w:r w:rsidR="005049B5" w:rsidRPr="00EC2EA6">
        <w:rPr>
          <w:color w:val="auto"/>
          <w:sz w:val="22"/>
        </w:rPr>
        <w:t xml:space="preserve"> PMS can develop</w:t>
      </w:r>
      <w:r w:rsidR="009A1C9C" w:rsidRPr="00EC2EA6">
        <w:rPr>
          <w:color w:val="auto"/>
          <w:sz w:val="22"/>
        </w:rPr>
        <w:t xml:space="preserve"> </w:t>
      </w:r>
      <w:r w:rsidR="005049B5" w:rsidRPr="00EC2EA6">
        <w:rPr>
          <w:color w:val="auto"/>
          <w:sz w:val="22"/>
        </w:rPr>
        <w:t xml:space="preserve">anywhere in the central and peripheral nervous </w:t>
      </w:r>
      <w:r w:rsidRPr="00EC2EA6">
        <w:rPr>
          <w:color w:val="auto"/>
          <w:sz w:val="22"/>
        </w:rPr>
        <w:t>system;</w:t>
      </w:r>
      <w:r w:rsidR="005049B5" w:rsidRPr="00EC2EA6">
        <w:rPr>
          <w:color w:val="auto"/>
          <w:sz w:val="22"/>
        </w:rPr>
        <w:t xml:space="preserve"> however</w:t>
      </w:r>
      <w:r w:rsidR="002422C3" w:rsidRPr="00EC2EA6">
        <w:rPr>
          <w:color w:val="auto"/>
          <w:sz w:val="22"/>
        </w:rPr>
        <w:t>.</w:t>
      </w:r>
      <w:r w:rsidR="005049B5" w:rsidRPr="00EC2EA6">
        <w:rPr>
          <w:color w:val="auto"/>
          <w:sz w:val="22"/>
        </w:rPr>
        <w:t xml:space="preserve"> the most frequent locations</w:t>
      </w:r>
      <w:r w:rsidR="009A1C9C" w:rsidRPr="00EC2EA6">
        <w:rPr>
          <w:color w:val="auto"/>
          <w:sz w:val="22"/>
        </w:rPr>
        <w:t xml:space="preserve"> </w:t>
      </w:r>
      <w:r w:rsidR="005049B5" w:rsidRPr="00EC2EA6">
        <w:rPr>
          <w:color w:val="auto"/>
          <w:sz w:val="22"/>
        </w:rPr>
        <w:t>are the nerves of the gastrointestinal tract and the paraspinal sympathetic chain (28% of cases).</w:t>
      </w:r>
      <w:r w:rsidR="009A1C9C" w:rsidRPr="00EC2EA6">
        <w:rPr>
          <w:color w:val="auto"/>
          <w:sz w:val="22"/>
        </w:rPr>
        <w:t xml:space="preserve"> </w:t>
      </w:r>
      <w:r w:rsidR="005049B5" w:rsidRPr="00EC2EA6">
        <w:rPr>
          <w:color w:val="auto"/>
          <w:sz w:val="22"/>
        </w:rPr>
        <w:t xml:space="preserve">Other sights involved are the chest wall with involvement of </w:t>
      </w:r>
      <w:r w:rsidR="006644FA" w:rsidRPr="00EC2EA6">
        <w:rPr>
          <w:color w:val="auto"/>
          <w:sz w:val="22"/>
        </w:rPr>
        <w:t xml:space="preserve">the </w:t>
      </w:r>
      <w:r w:rsidR="005049B5" w:rsidRPr="00EC2EA6">
        <w:rPr>
          <w:color w:val="auto"/>
          <w:sz w:val="22"/>
        </w:rPr>
        <w:t>adjacent ribs and the trigeminal</w:t>
      </w:r>
      <w:r w:rsidR="009A1C9C" w:rsidRPr="00EC2EA6">
        <w:rPr>
          <w:color w:val="auto"/>
          <w:sz w:val="22"/>
        </w:rPr>
        <w:t xml:space="preserve"> </w:t>
      </w:r>
      <w:r w:rsidR="005049B5" w:rsidRPr="00EC2EA6">
        <w:rPr>
          <w:color w:val="auto"/>
          <w:sz w:val="22"/>
        </w:rPr>
        <w:t xml:space="preserve">ganglion. </w:t>
      </w:r>
    </w:p>
    <w:p w14:paraId="3411FFCE" w14:textId="77777777" w:rsidR="00547ED8" w:rsidRPr="00EC2EA6" w:rsidRDefault="00547ED8" w:rsidP="005F1576">
      <w:pPr>
        <w:spacing w:before="0" w:line="276" w:lineRule="auto"/>
        <w:jc w:val="left"/>
        <w:rPr>
          <w:color w:val="auto"/>
          <w:sz w:val="22"/>
        </w:rPr>
      </w:pPr>
    </w:p>
    <w:p w14:paraId="42DEAC8E" w14:textId="4E259464" w:rsidR="00092D1B" w:rsidRPr="00EC2EA6" w:rsidRDefault="005049B5" w:rsidP="005F1576">
      <w:pPr>
        <w:spacing w:before="0" w:line="276" w:lineRule="auto"/>
        <w:jc w:val="left"/>
        <w:rPr>
          <w:color w:val="auto"/>
          <w:sz w:val="22"/>
        </w:rPr>
      </w:pPr>
      <w:r w:rsidRPr="00EC2EA6">
        <w:rPr>
          <w:color w:val="auto"/>
          <w:sz w:val="22"/>
        </w:rPr>
        <w:t>The initial presentation is usually characterized by local compression; whenever</w:t>
      </w:r>
      <w:r w:rsidR="009A1C9C" w:rsidRPr="00EC2EA6">
        <w:rPr>
          <w:color w:val="auto"/>
          <w:sz w:val="22"/>
        </w:rPr>
        <w:t xml:space="preserve"> </w:t>
      </w:r>
      <w:r w:rsidRPr="00EC2EA6">
        <w:rPr>
          <w:color w:val="auto"/>
          <w:sz w:val="22"/>
        </w:rPr>
        <w:t>located in the gastrointestinal tract or within soft tissues they may evoke pain and discomfort. If</w:t>
      </w:r>
      <w:r w:rsidR="009A1C9C" w:rsidRPr="00EC2EA6">
        <w:rPr>
          <w:color w:val="auto"/>
          <w:sz w:val="22"/>
        </w:rPr>
        <w:t xml:space="preserve"> </w:t>
      </w:r>
      <w:r w:rsidRPr="00EC2EA6">
        <w:rPr>
          <w:color w:val="auto"/>
          <w:sz w:val="22"/>
        </w:rPr>
        <w:t>they develop in the spine they may present as radiculopathy. Schwannomas are among the</w:t>
      </w:r>
      <w:r w:rsidR="009A1C9C" w:rsidRPr="00EC2EA6">
        <w:rPr>
          <w:color w:val="auto"/>
          <w:sz w:val="22"/>
        </w:rPr>
        <w:t xml:space="preserve"> </w:t>
      </w:r>
      <w:r w:rsidRPr="00EC2EA6">
        <w:rPr>
          <w:color w:val="auto"/>
          <w:sz w:val="22"/>
        </w:rPr>
        <w:t>most difficult tumors to treat, especially when they emerge around nerve roots along the spine,</w:t>
      </w:r>
      <w:r w:rsidR="009A1C9C" w:rsidRPr="00EC2EA6">
        <w:rPr>
          <w:color w:val="auto"/>
          <w:sz w:val="22"/>
        </w:rPr>
        <w:t xml:space="preserve"> </w:t>
      </w:r>
      <w:r w:rsidRPr="00EC2EA6">
        <w:rPr>
          <w:color w:val="auto"/>
          <w:sz w:val="22"/>
        </w:rPr>
        <w:t>a location that makes excision not feasible. In addition, in rare cases (10%), they can be</w:t>
      </w:r>
      <w:r w:rsidR="009A1C9C" w:rsidRPr="00EC2EA6">
        <w:rPr>
          <w:color w:val="auto"/>
          <w:sz w:val="22"/>
        </w:rPr>
        <w:t xml:space="preserve"> </w:t>
      </w:r>
      <w:r w:rsidRPr="00EC2EA6">
        <w:rPr>
          <w:color w:val="auto"/>
          <w:sz w:val="22"/>
        </w:rPr>
        <w:t>malignant and then often metastasize to the lungs, liver</w:t>
      </w:r>
      <w:r w:rsidR="006644FA" w:rsidRPr="00EC2EA6">
        <w:rPr>
          <w:color w:val="auto"/>
          <w:sz w:val="22"/>
        </w:rPr>
        <w:t>,</w:t>
      </w:r>
      <w:r w:rsidRPr="00EC2EA6">
        <w:rPr>
          <w:color w:val="auto"/>
          <w:sz w:val="22"/>
        </w:rPr>
        <w:t xml:space="preserve"> or brain</w:t>
      </w:r>
      <w:r w:rsidR="00963971" w:rsidRPr="00EC2EA6">
        <w:rPr>
          <w:color w:val="auto"/>
          <w:sz w:val="22"/>
        </w:rPr>
        <w:t xml:space="preserve"> </w:t>
      </w:r>
      <w:r w:rsidR="004C2A48" w:rsidRPr="00EC2EA6">
        <w:rPr>
          <w:color w:val="auto"/>
          <w:sz w:val="22"/>
        </w:rPr>
        <w:fldChar w:fldCharType="begin" w:fldLock="1"/>
      </w:r>
      <w:r w:rsidR="006644FA" w:rsidRPr="00EC2EA6">
        <w:rPr>
          <w:color w:val="auto"/>
          <w:sz w:val="22"/>
        </w:rPr>
        <w:instrText>ADDIN CSL_CITATION {"citationItems":[{"id":"ITEM-1","itemData":{"DOI":"10.4103/2152-7806.85609","ISSN":"2152-7806","PMID":"22059131","abstract":"Background: Psammomatous melanotic schwannomas (PMS) of the spine may be a component of the Carney complex in 50% of cases and is inherited in an autosomal dominant manner. Most PMS are benign and frequently associated with lentiginous pigmentation; cardiac, cutaneous, or breast myxomas; endocrine overactivity; and cutaneous blue nevi. These tumors are characterized by melanin containing cells having ultrastructural characteristics of Schwann cells. Case Description: Two patients had spinal PMS that were surgically resected with adjacent local radiotherapy, followed by local recurrence and metastasis. The aggressive nature of this tumor is reported. Conclusion: Spinal PMS are rarely malignant with local recurrence and distal metastases. Inquiry into the patient's and family members’ hereditary background for the Carney complex is important to avoid overlooking potential lethal associated abnormalities.","author":[{"dropping-particle":"","family":"Shields","given":"Lisa B. E.","non-dropping-particle":"","parse-names":false,"suffix":""},{"dropping-particle":"","family":"Glassman","given":"Steven D.","non-dropping-particle":"","parse-names":false,"suffix":""},{"dropping-particle":"","family":"Raque","given":"George H.","non-dropping-particle":"","parse-names":false,"suffix":""},{"dropping-particle":"","family":"Shields","given":"Christopher B.","non-dropping-particle":"","parse-names":false,"suffix":""}],"container-title":"Surgical Neurology International","id":"ITEM-1","issue":"1","issued":{"date-parts":[["2011"]]},"page":"136","publisher":"Scientific Scholar","title":"Malignant psammomatous melanotic schwannoma of the spine: A component of Carney complex","type":"article-journal","volume":"2"},"uris":["http://www.mendeley.com/documents/?uuid=d56d38eb-24b7-30e9-bf94-fa7f0376e4a2"]}],"mendeley":{"formattedCitation":"(74)","plainTextFormattedCitation":"(74)","previouslyFormattedCitation":"(74)"},"properties":{"noteIndex":0},"schema":"https://github.com/citation-style-language/schema/raw/master/csl-citation.json"}</w:instrText>
      </w:r>
      <w:r w:rsidR="004C2A48" w:rsidRPr="00EC2EA6">
        <w:rPr>
          <w:color w:val="auto"/>
          <w:sz w:val="22"/>
        </w:rPr>
        <w:fldChar w:fldCharType="separate"/>
      </w:r>
      <w:r w:rsidR="006644FA" w:rsidRPr="00EC2EA6">
        <w:rPr>
          <w:noProof/>
          <w:color w:val="auto"/>
          <w:sz w:val="22"/>
        </w:rPr>
        <w:t>(74)</w:t>
      </w:r>
      <w:r w:rsidR="004C2A48" w:rsidRPr="00EC2EA6">
        <w:rPr>
          <w:color w:val="auto"/>
          <w:sz w:val="22"/>
        </w:rPr>
        <w:fldChar w:fldCharType="end"/>
      </w:r>
      <w:r w:rsidRPr="00EC2EA6">
        <w:rPr>
          <w:color w:val="auto"/>
          <w:sz w:val="22"/>
        </w:rPr>
        <w:t>. Unfortunately, there is</w:t>
      </w:r>
      <w:r w:rsidR="009A1C9C" w:rsidRPr="00EC2EA6">
        <w:rPr>
          <w:color w:val="auto"/>
          <w:sz w:val="22"/>
        </w:rPr>
        <w:t xml:space="preserve"> </w:t>
      </w:r>
      <w:r w:rsidR="004C2A48" w:rsidRPr="00EC2EA6">
        <w:rPr>
          <w:color w:val="auto"/>
          <w:sz w:val="22"/>
        </w:rPr>
        <w:t>a paucity of effective</w:t>
      </w:r>
      <w:r w:rsidRPr="00EC2EA6">
        <w:rPr>
          <w:color w:val="auto"/>
          <w:sz w:val="22"/>
        </w:rPr>
        <w:t xml:space="preserve"> treatment</w:t>
      </w:r>
      <w:r w:rsidR="004C2A48" w:rsidRPr="00EC2EA6">
        <w:rPr>
          <w:color w:val="auto"/>
          <w:sz w:val="22"/>
        </w:rPr>
        <w:t>s</w:t>
      </w:r>
      <w:r w:rsidRPr="00EC2EA6">
        <w:rPr>
          <w:color w:val="auto"/>
          <w:sz w:val="22"/>
        </w:rPr>
        <w:t xml:space="preserve"> for metastatic PMS.</w:t>
      </w:r>
      <w:r w:rsidR="004C2A48" w:rsidRPr="00EC2EA6">
        <w:rPr>
          <w:color w:val="auto"/>
          <w:sz w:val="22"/>
        </w:rPr>
        <w:t xml:space="preserve"> Promising results have been recently published for the </w:t>
      </w:r>
      <w:r w:rsidR="003E2B96" w:rsidRPr="00EC2EA6">
        <w:rPr>
          <w:color w:val="auto"/>
          <w:sz w:val="22"/>
        </w:rPr>
        <w:t>combination</w:t>
      </w:r>
      <w:r w:rsidR="004C2A48" w:rsidRPr="00EC2EA6">
        <w:rPr>
          <w:color w:val="auto"/>
          <w:sz w:val="22"/>
        </w:rPr>
        <w:t xml:space="preserve"> of </w:t>
      </w:r>
      <w:r w:rsidR="003E2B96" w:rsidRPr="00EC2EA6">
        <w:rPr>
          <w:color w:val="auto"/>
          <w:sz w:val="22"/>
        </w:rPr>
        <w:t xml:space="preserve">the </w:t>
      </w:r>
      <w:r w:rsidR="004C2A48" w:rsidRPr="00EC2EA6">
        <w:rPr>
          <w:color w:val="auto"/>
          <w:sz w:val="22"/>
        </w:rPr>
        <w:t xml:space="preserve">check-point inhibitor Nivolumab along with concurrent external beam radiotherapy </w:t>
      </w:r>
      <w:r w:rsidR="004C2A48" w:rsidRPr="00EC2EA6">
        <w:rPr>
          <w:color w:val="auto"/>
          <w:sz w:val="22"/>
        </w:rPr>
        <w:fldChar w:fldCharType="begin" w:fldLock="1"/>
      </w:r>
      <w:r w:rsidR="006644FA" w:rsidRPr="00EC2EA6">
        <w:rPr>
          <w:color w:val="auto"/>
          <w:sz w:val="22"/>
        </w:rPr>
        <w:instrText>ADDIN CSL_CITATION {"citationItems":[{"id":"ITEM-1","itemData":{"DOI":"10.1136/bcr-2020-240296","ISSN":"1757-790X","PMID":"34049890","abstract":"Melanocytic schwannoma (MS) is a rare nerve sheath tumour characterised by melanin-producing neoplastic schwann cells that typically affects the posterior spinal nerve roots. We report an ultrarare case of recurrent/metastatic MS associated with Carney complex in a young woman with family history of breast cancer. This highlights the novel approach of combined checkpoint inhibitors (CPI) and radiotherapy. The patient was initially treated with Nivolumab along with concurrent external beam radiotherapy. There was sustained clinical benefit achieved for over 15 months with preserved quality of life. Addition of Ipilimumab, which she tolerated reasonably well, helped to control the progressive disease again for another 12 months. She harboured a rare PRKAR1A R228 mutation (Carney complex) and received appropriate targeted therapy. She survived for 51 and 35 months from her initial diagnosis and start of CPI, respectively, which to the best of our knowledge is the longest documented survival in this rare entity.","author":[{"dropping-particle":"","family":"Bajpai","given":"Jyoti","non-dropping-particle":"","parse-names":false,"suffix":""},{"dropping-particle":"","family":"Kapoor","given":"Akhil","non-dropping-particle":"","parse-names":false,"suffix":""},{"dropping-particle":"","family":"Jalali","given":"Rakesh","non-dropping-particle":"","parse-names":false,"suffix":""},{"dropping-particle":"","family":"Gounder","given":"Mrinal M.","non-dropping-particle":"","parse-names":false,"suffix":""}],"container-title":"BMJ case reports","id":"ITEM-1","issue":"5","issued":{"date-parts":[["2021","5","28"]]},"page":"e240-296","publisher":"BMJ Publishing Group","title":"Checkpoint inhibitors and radiotherapy in refractory malignant melanocytic schwannoma with Carney complex: first evidence of efficacy.","type":"article-journal","volume":"14"},"uris":["http://www.mendeley.com/documents/?uuid=0bf81308-6e46-310d-ab23-7b0b4b711262"]}],"mendeley":{"formattedCitation":"(75)","plainTextFormattedCitation":"(75)","previouslyFormattedCitation":"(75)"},"properties":{"noteIndex":0},"schema":"https://github.com/citation-style-language/schema/raw/master/csl-citation.json"}</w:instrText>
      </w:r>
      <w:r w:rsidR="004C2A48" w:rsidRPr="00EC2EA6">
        <w:rPr>
          <w:color w:val="auto"/>
          <w:sz w:val="22"/>
        </w:rPr>
        <w:fldChar w:fldCharType="separate"/>
      </w:r>
      <w:r w:rsidR="006644FA" w:rsidRPr="00EC2EA6">
        <w:rPr>
          <w:noProof/>
          <w:color w:val="auto"/>
          <w:sz w:val="22"/>
        </w:rPr>
        <w:t>(75)</w:t>
      </w:r>
      <w:r w:rsidR="004C2A48" w:rsidRPr="00EC2EA6">
        <w:rPr>
          <w:color w:val="auto"/>
          <w:sz w:val="22"/>
        </w:rPr>
        <w:fldChar w:fldCharType="end"/>
      </w:r>
      <w:r w:rsidR="004C2A48" w:rsidRPr="00EC2EA6">
        <w:rPr>
          <w:color w:val="auto"/>
          <w:sz w:val="22"/>
        </w:rPr>
        <w:t>.</w:t>
      </w:r>
    </w:p>
    <w:p w14:paraId="33A010FA" w14:textId="77777777" w:rsidR="00547ED8" w:rsidRDefault="00547ED8" w:rsidP="005F1576">
      <w:pPr>
        <w:pStyle w:val="Heading2"/>
        <w:spacing w:before="0" w:line="276" w:lineRule="auto"/>
        <w:jc w:val="left"/>
        <w:rPr>
          <w:sz w:val="22"/>
        </w:rPr>
      </w:pPr>
    </w:p>
    <w:p w14:paraId="2020F6AC" w14:textId="64BCA202" w:rsidR="00092D1B" w:rsidRPr="00547ED8" w:rsidRDefault="005049B5" w:rsidP="005F1576">
      <w:pPr>
        <w:pStyle w:val="Heading2"/>
        <w:spacing w:before="0" w:line="276" w:lineRule="auto"/>
        <w:jc w:val="left"/>
        <w:rPr>
          <w:color w:val="00B050"/>
          <w:sz w:val="22"/>
        </w:rPr>
      </w:pPr>
      <w:r w:rsidRPr="00547ED8">
        <w:rPr>
          <w:color w:val="00B050"/>
          <w:sz w:val="22"/>
        </w:rPr>
        <w:t>Other Manifestations</w:t>
      </w:r>
    </w:p>
    <w:p w14:paraId="164BA1C8" w14:textId="77777777" w:rsidR="00547ED8" w:rsidRDefault="00547ED8" w:rsidP="005F1576">
      <w:pPr>
        <w:spacing w:before="0" w:line="276" w:lineRule="auto"/>
        <w:jc w:val="left"/>
        <w:rPr>
          <w:sz w:val="22"/>
        </w:rPr>
      </w:pPr>
    </w:p>
    <w:p w14:paraId="236814A6" w14:textId="6133F0BC" w:rsidR="00A83A08" w:rsidRDefault="005049B5" w:rsidP="005F1576">
      <w:pPr>
        <w:spacing w:before="0" w:line="276" w:lineRule="auto"/>
        <w:jc w:val="left"/>
        <w:rPr>
          <w:sz w:val="22"/>
        </w:rPr>
      </w:pPr>
      <w:r w:rsidRPr="005F1576">
        <w:rPr>
          <w:sz w:val="22"/>
        </w:rPr>
        <w:t>Apart from the major clinical manifestations</w:t>
      </w:r>
      <w:r w:rsidR="006644FA">
        <w:rPr>
          <w:sz w:val="22"/>
        </w:rPr>
        <w:t>,</w:t>
      </w:r>
      <w:r w:rsidRPr="005F1576">
        <w:rPr>
          <w:sz w:val="22"/>
        </w:rPr>
        <w:t xml:space="preserve"> there are many other features suggestive of</w:t>
      </w:r>
      <w:r w:rsidR="009A1C9C" w:rsidRPr="005F1576">
        <w:rPr>
          <w:sz w:val="22"/>
        </w:rPr>
        <w:t xml:space="preserve"> </w:t>
      </w:r>
      <w:r w:rsidRPr="005F1576">
        <w:rPr>
          <w:sz w:val="22"/>
        </w:rPr>
        <w:t>CNC, however</w:t>
      </w:r>
      <w:r w:rsidR="006644FA">
        <w:rPr>
          <w:sz w:val="22"/>
        </w:rPr>
        <w:t>,</w:t>
      </w:r>
      <w:r w:rsidRPr="005F1576">
        <w:rPr>
          <w:sz w:val="22"/>
        </w:rPr>
        <w:t xml:space="preserve"> they are not present in a constant manner to set the </w:t>
      </w:r>
      <w:r w:rsidRPr="00EC2EA6">
        <w:rPr>
          <w:color w:val="auto"/>
          <w:sz w:val="22"/>
        </w:rPr>
        <w:t xml:space="preserve">diagnosis </w:t>
      </w:r>
      <w:r w:rsidR="004C2A48" w:rsidRPr="00EC2EA6">
        <w:rPr>
          <w:color w:val="auto"/>
          <w:sz w:val="22"/>
        </w:rPr>
        <w:fldChar w:fldCharType="begin" w:fldLock="1"/>
      </w:r>
      <w:r w:rsidR="006644FA" w:rsidRPr="00EC2EA6">
        <w:rPr>
          <w:color w:val="auto"/>
          <w:sz w:val="22"/>
        </w:rPr>
        <w:instrText>ADDIN CSL_CITATION {"citationItems":[{"id":"ITEM-1","itemData":{"ISSN":"0021-972X (Print) 0021-972X (Linking)","author":[{"dropping-particle":"","family":"Stratakis","given":"C A","non-dropping-particle":"","parse-names":false,"suffix":""},{"dropping-particle":"","family":"Kirschner","given":"L S","non-dropping-particle":"","parse-names":false,"suffix":""},{"dropping-particle":"","family":"Carney","given":"J A","non-dropping-particle":"","parse-names":false,"suffix":""}],"container-title":"J Clin Endocrinol Metab","id":"ITEM-1","issue":"9","issued":{"date-parts":[["2001"]]},"page":"4041-4046","title":"Clinical and molecular features of the Carney complex: diagnostic criteria and recommendations for patient evaluation","type":"article-journal","volume":"86"},"uris":["http://www.mendeley.com/documents/?uuid=19410673-9d33-4124-bcb6-d75d5991d45b"]}],"mendeley":{"formattedCitation":"(44)","plainTextFormattedCitation":"(44)","previouslyFormattedCitation":"(44)"},"properties":{"noteIndex":0},"schema":"https://github.com/citation-style-language/schema/raw/master/csl-citation.json"}</w:instrText>
      </w:r>
      <w:r w:rsidR="004C2A48" w:rsidRPr="00EC2EA6">
        <w:rPr>
          <w:color w:val="auto"/>
          <w:sz w:val="22"/>
        </w:rPr>
        <w:fldChar w:fldCharType="separate"/>
      </w:r>
      <w:r w:rsidR="006644FA" w:rsidRPr="00EC2EA6">
        <w:rPr>
          <w:noProof/>
          <w:color w:val="auto"/>
          <w:sz w:val="22"/>
        </w:rPr>
        <w:t>(44)</w:t>
      </w:r>
      <w:r w:rsidR="004C2A48" w:rsidRPr="00EC2EA6">
        <w:rPr>
          <w:color w:val="auto"/>
          <w:sz w:val="22"/>
        </w:rPr>
        <w:fldChar w:fldCharType="end"/>
      </w:r>
      <w:r w:rsidRPr="00EC2EA6">
        <w:rPr>
          <w:color w:val="auto"/>
          <w:sz w:val="22"/>
        </w:rPr>
        <w:t>. These</w:t>
      </w:r>
      <w:r w:rsidR="00A83A08" w:rsidRPr="00EC2EA6">
        <w:rPr>
          <w:color w:val="auto"/>
          <w:sz w:val="22"/>
        </w:rPr>
        <w:t xml:space="preserve"> </w:t>
      </w:r>
      <w:r w:rsidRPr="005F1576">
        <w:rPr>
          <w:sz w:val="22"/>
        </w:rPr>
        <w:t>features are listed in Table 2.</w:t>
      </w:r>
    </w:p>
    <w:p w14:paraId="425120F4" w14:textId="77777777" w:rsidR="002422C3" w:rsidRDefault="002422C3" w:rsidP="005F1576">
      <w:pPr>
        <w:spacing w:before="0" w:line="276" w:lineRule="auto"/>
        <w:jc w:val="left"/>
        <w:rPr>
          <w:sz w:val="22"/>
        </w:rPr>
      </w:pP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2422C3" w:rsidRPr="00BE1434" w14:paraId="13085229" w14:textId="77777777" w:rsidTr="004369EF">
        <w:tc>
          <w:tcPr>
            <w:tcW w:w="93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00A6B5" w14:textId="77777777" w:rsidR="002422C3" w:rsidRPr="002422C3" w:rsidRDefault="002422C3" w:rsidP="004369EF">
            <w:pPr>
              <w:spacing w:before="0" w:line="276" w:lineRule="auto"/>
              <w:jc w:val="left"/>
              <w:rPr>
                <w:b/>
                <w:bCs/>
                <w:sz w:val="22"/>
              </w:rPr>
            </w:pPr>
            <w:r w:rsidRPr="002422C3">
              <w:rPr>
                <w:b/>
                <w:bCs/>
                <w:sz w:val="22"/>
              </w:rPr>
              <w:t>Table 2. Findings Suggestive or Possibly Associated with CNC, but Not Diagnostic for the Disease.</w:t>
            </w:r>
          </w:p>
        </w:tc>
      </w:tr>
      <w:tr w:rsidR="002422C3" w:rsidRPr="00BE1434" w14:paraId="665594E1" w14:textId="77777777" w:rsidTr="004369EF">
        <w:tc>
          <w:tcPr>
            <w:tcW w:w="9351" w:type="dxa"/>
            <w:tcBorders>
              <w:top w:val="single" w:sz="4" w:space="0" w:color="auto"/>
              <w:left w:val="single" w:sz="4" w:space="0" w:color="auto"/>
              <w:bottom w:val="single" w:sz="4" w:space="0" w:color="auto"/>
              <w:right w:val="single" w:sz="4" w:space="0" w:color="auto"/>
            </w:tcBorders>
            <w:vAlign w:val="center"/>
            <w:hideMark/>
          </w:tcPr>
          <w:p w14:paraId="4144B1A8" w14:textId="77777777" w:rsidR="002422C3" w:rsidRPr="002422C3" w:rsidRDefault="002422C3" w:rsidP="004369EF">
            <w:pPr>
              <w:spacing w:before="0" w:line="276" w:lineRule="auto"/>
              <w:jc w:val="left"/>
              <w:rPr>
                <w:sz w:val="22"/>
              </w:rPr>
            </w:pPr>
            <w:r w:rsidRPr="002422C3">
              <w:rPr>
                <w:sz w:val="22"/>
              </w:rPr>
              <w:t xml:space="preserve">1. Intense freckling (without darkly pigmented spots or typical distribution). </w:t>
            </w:r>
          </w:p>
          <w:p w14:paraId="03604DCE" w14:textId="77777777" w:rsidR="002422C3" w:rsidRPr="002422C3" w:rsidRDefault="002422C3" w:rsidP="004369EF">
            <w:pPr>
              <w:spacing w:before="0" w:line="276" w:lineRule="auto"/>
              <w:jc w:val="left"/>
              <w:rPr>
                <w:sz w:val="22"/>
              </w:rPr>
            </w:pPr>
            <w:r w:rsidRPr="002422C3">
              <w:rPr>
                <w:sz w:val="22"/>
              </w:rPr>
              <w:t xml:space="preserve">2. Blue nevus, usual type (if multiple). </w:t>
            </w:r>
          </w:p>
          <w:p w14:paraId="20958E29" w14:textId="77777777" w:rsidR="002422C3" w:rsidRPr="002422C3" w:rsidRDefault="002422C3" w:rsidP="004369EF">
            <w:pPr>
              <w:spacing w:before="0" w:line="276" w:lineRule="auto"/>
              <w:jc w:val="left"/>
              <w:rPr>
                <w:sz w:val="22"/>
              </w:rPr>
            </w:pPr>
            <w:r w:rsidRPr="002422C3">
              <w:rPr>
                <w:sz w:val="22"/>
              </w:rPr>
              <w:t>3. Café-au-lait spots or other "birthmarks".</w:t>
            </w:r>
          </w:p>
          <w:p w14:paraId="247B88D2" w14:textId="77777777" w:rsidR="002422C3" w:rsidRPr="002422C3" w:rsidRDefault="002422C3" w:rsidP="004369EF">
            <w:pPr>
              <w:spacing w:before="0" w:line="276" w:lineRule="auto"/>
              <w:jc w:val="left"/>
              <w:rPr>
                <w:sz w:val="22"/>
              </w:rPr>
            </w:pPr>
            <w:r w:rsidRPr="002422C3">
              <w:rPr>
                <w:sz w:val="22"/>
              </w:rPr>
              <w:t xml:space="preserve">4. Elevated IGF-I levels, abnormal OGTT, or paradoxical GH responses to TRH testing in the absence of clinical acromegaly. </w:t>
            </w:r>
          </w:p>
          <w:p w14:paraId="323CB688" w14:textId="77777777" w:rsidR="002422C3" w:rsidRPr="002422C3" w:rsidRDefault="002422C3" w:rsidP="004369EF">
            <w:pPr>
              <w:spacing w:before="0" w:line="276" w:lineRule="auto"/>
              <w:jc w:val="left"/>
              <w:rPr>
                <w:sz w:val="22"/>
              </w:rPr>
            </w:pPr>
            <w:r w:rsidRPr="002422C3">
              <w:rPr>
                <w:sz w:val="22"/>
              </w:rPr>
              <w:lastRenderedPageBreak/>
              <w:t xml:space="preserve">5. Cardiomyopathy. </w:t>
            </w:r>
          </w:p>
          <w:p w14:paraId="5E335BDE" w14:textId="77777777" w:rsidR="002422C3" w:rsidRPr="002422C3" w:rsidRDefault="002422C3" w:rsidP="004369EF">
            <w:pPr>
              <w:spacing w:before="0" w:line="276" w:lineRule="auto"/>
              <w:jc w:val="left"/>
              <w:rPr>
                <w:sz w:val="22"/>
              </w:rPr>
            </w:pPr>
            <w:r w:rsidRPr="002422C3">
              <w:rPr>
                <w:sz w:val="22"/>
              </w:rPr>
              <w:t xml:space="preserve">6. Pilonidal sinus. </w:t>
            </w:r>
          </w:p>
          <w:p w14:paraId="73583308" w14:textId="77777777" w:rsidR="002422C3" w:rsidRPr="002422C3" w:rsidRDefault="002422C3" w:rsidP="004369EF">
            <w:pPr>
              <w:spacing w:before="0" w:line="276" w:lineRule="auto"/>
              <w:jc w:val="left"/>
              <w:rPr>
                <w:sz w:val="22"/>
              </w:rPr>
            </w:pPr>
            <w:r w:rsidRPr="002422C3">
              <w:rPr>
                <w:sz w:val="22"/>
              </w:rPr>
              <w:t xml:space="preserve">7. History of Cushing’s syndrome, acromegaly, or sudden death in extended family. </w:t>
            </w:r>
          </w:p>
          <w:p w14:paraId="19AA9C84" w14:textId="77777777" w:rsidR="002422C3" w:rsidRPr="002422C3" w:rsidRDefault="002422C3" w:rsidP="004369EF">
            <w:pPr>
              <w:spacing w:before="0" w:line="276" w:lineRule="auto"/>
              <w:jc w:val="left"/>
              <w:rPr>
                <w:sz w:val="22"/>
              </w:rPr>
            </w:pPr>
            <w:r w:rsidRPr="002422C3">
              <w:rPr>
                <w:sz w:val="22"/>
              </w:rPr>
              <w:t xml:space="preserve">8. Multiple skin tags and other skin lesions; lipomas. </w:t>
            </w:r>
          </w:p>
          <w:p w14:paraId="414328ED" w14:textId="77777777" w:rsidR="002422C3" w:rsidRPr="002422C3" w:rsidRDefault="002422C3" w:rsidP="004369EF">
            <w:pPr>
              <w:spacing w:before="0" w:line="276" w:lineRule="auto"/>
              <w:jc w:val="left"/>
              <w:rPr>
                <w:sz w:val="22"/>
              </w:rPr>
            </w:pPr>
            <w:r w:rsidRPr="002422C3">
              <w:rPr>
                <w:sz w:val="22"/>
              </w:rPr>
              <w:t xml:space="preserve">9. Colonic polyps (usually in association with acromegaly). </w:t>
            </w:r>
          </w:p>
          <w:p w14:paraId="4885F60C" w14:textId="77777777" w:rsidR="002422C3" w:rsidRPr="002422C3" w:rsidRDefault="002422C3" w:rsidP="004369EF">
            <w:pPr>
              <w:spacing w:before="0" w:line="276" w:lineRule="auto"/>
              <w:jc w:val="left"/>
              <w:rPr>
                <w:sz w:val="22"/>
              </w:rPr>
            </w:pPr>
            <w:r w:rsidRPr="002422C3">
              <w:rPr>
                <w:sz w:val="22"/>
              </w:rPr>
              <w:t xml:space="preserve">10. Hyperprolactinemia (usually mild and almost always in association with clinical or subclinical acromegaly). </w:t>
            </w:r>
          </w:p>
          <w:p w14:paraId="563CFE0E" w14:textId="77777777" w:rsidR="002422C3" w:rsidRPr="002422C3" w:rsidRDefault="002422C3" w:rsidP="004369EF">
            <w:pPr>
              <w:spacing w:before="0" w:line="276" w:lineRule="auto"/>
              <w:jc w:val="left"/>
              <w:rPr>
                <w:sz w:val="22"/>
              </w:rPr>
            </w:pPr>
            <w:r w:rsidRPr="002422C3">
              <w:rPr>
                <w:sz w:val="22"/>
              </w:rPr>
              <w:t xml:space="preserve">11. Single, benign thyroid nodule in a young patient; multiple thyroid nodules in an older patient (detected by ultrasonography). </w:t>
            </w:r>
          </w:p>
          <w:p w14:paraId="7CEB34CD" w14:textId="2A1BDFB5" w:rsidR="002422C3" w:rsidRPr="002422C3" w:rsidRDefault="002422C3" w:rsidP="004369EF">
            <w:pPr>
              <w:spacing w:before="0" w:line="276" w:lineRule="auto"/>
              <w:jc w:val="left"/>
              <w:rPr>
                <w:sz w:val="22"/>
              </w:rPr>
            </w:pPr>
            <w:r w:rsidRPr="002422C3">
              <w:rPr>
                <w:sz w:val="22"/>
              </w:rPr>
              <w:t>12. Family history of carcinoma, in particular of the thyroid, colon, pancreas</w:t>
            </w:r>
            <w:r w:rsidR="006644FA">
              <w:rPr>
                <w:sz w:val="22"/>
              </w:rPr>
              <w:t>,</w:t>
            </w:r>
            <w:r w:rsidRPr="002422C3">
              <w:rPr>
                <w:sz w:val="22"/>
              </w:rPr>
              <w:t xml:space="preserve"> and ovary; other multiple benign or malignant tumors.</w:t>
            </w:r>
          </w:p>
        </w:tc>
      </w:tr>
    </w:tbl>
    <w:p w14:paraId="278B6915" w14:textId="77777777" w:rsidR="002422C3" w:rsidRDefault="002422C3" w:rsidP="005F1576">
      <w:pPr>
        <w:spacing w:before="0" w:line="276" w:lineRule="auto"/>
        <w:jc w:val="left"/>
        <w:rPr>
          <w:sz w:val="22"/>
        </w:rPr>
      </w:pPr>
    </w:p>
    <w:p w14:paraId="5936F823" w14:textId="720D59EB" w:rsidR="00A83A08" w:rsidRPr="00EC2EA6" w:rsidRDefault="005049B5" w:rsidP="005F1576">
      <w:pPr>
        <w:spacing w:before="0" w:line="276" w:lineRule="auto"/>
        <w:jc w:val="left"/>
        <w:rPr>
          <w:color w:val="auto"/>
          <w:sz w:val="22"/>
        </w:rPr>
      </w:pPr>
      <w:r w:rsidRPr="005F1576">
        <w:rPr>
          <w:sz w:val="22"/>
        </w:rPr>
        <w:t>Breast ductal adenomas are benign tumors of the mammary gland ducts that may also develop</w:t>
      </w:r>
      <w:r w:rsidR="009A1C9C" w:rsidRPr="005F1576">
        <w:rPr>
          <w:sz w:val="22"/>
        </w:rPr>
        <w:t xml:space="preserve"> </w:t>
      </w:r>
      <w:r w:rsidRPr="005F1576">
        <w:rPr>
          <w:sz w:val="22"/>
        </w:rPr>
        <w:t>in the context of CNC and can be multiple and bilateral as well. Coexistence with breast</w:t>
      </w:r>
      <w:r w:rsidR="009A1C9C" w:rsidRPr="005F1576">
        <w:rPr>
          <w:sz w:val="22"/>
        </w:rPr>
        <w:t xml:space="preserve"> </w:t>
      </w:r>
      <w:r w:rsidRPr="005F1576">
        <w:rPr>
          <w:sz w:val="22"/>
        </w:rPr>
        <w:t xml:space="preserve">myxomas can be </w:t>
      </w:r>
      <w:r w:rsidRPr="00EC2EA6">
        <w:rPr>
          <w:color w:val="auto"/>
          <w:sz w:val="22"/>
        </w:rPr>
        <w:t xml:space="preserve">observed </w:t>
      </w:r>
      <w:r w:rsidR="004C2A48" w:rsidRPr="00EC2EA6">
        <w:rPr>
          <w:color w:val="auto"/>
          <w:sz w:val="22"/>
        </w:rPr>
        <w:fldChar w:fldCharType="begin" w:fldLock="1"/>
      </w:r>
      <w:r w:rsidR="006644FA" w:rsidRPr="00EC2EA6">
        <w:rPr>
          <w:color w:val="auto"/>
          <w:sz w:val="22"/>
        </w:rPr>
        <w:instrText>ADDIN CSL_CITATION {"citationItems":[{"id":"ITEM-1","itemData":{"ISSN":"0147-5185 (Print) 0147-5185 (Linking)","author":[{"dropping-particle":"","family":"Carney","given":"J A","non-dropping-particle":"","parse-names":false,"suffix":""},{"dropping-particle":"","family":"Toorkey","given":"B C","non-dropping-particle":"","parse-names":false,"suffix":""}],"container-title":"Am J Surg Pathol","id":"ITEM-1","issue":"8","issued":{"date-parts":[["1991"]]},"page":"722-731","title":"Ductal adenoma of the breast with tubular features. A probable component of the complex of myxomas, spotty pigmentation, endocrine overactivity, and schwannomas","type":"article-journal","volume":"15"},"uris":["http://www.mendeley.com/documents/?uuid=92c780bb-7ee4-48f8-89d6-67b3975f41b1"]}],"mendeley":{"formattedCitation":"(54)","plainTextFormattedCitation":"(54)","previouslyFormattedCitation":"(54)"},"properties":{"noteIndex":0},"schema":"https://github.com/citation-style-language/schema/raw/master/csl-citation.json"}</w:instrText>
      </w:r>
      <w:r w:rsidR="004C2A48" w:rsidRPr="00EC2EA6">
        <w:rPr>
          <w:color w:val="auto"/>
          <w:sz w:val="22"/>
        </w:rPr>
        <w:fldChar w:fldCharType="separate"/>
      </w:r>
      <w:r w:rsidR="006644FA" w:rsidRPr="00EC2EA6">
        <w:rPr>
          <w:noProof/>
          <w:color w:val="auto"/>
          <w:sz w:val="22"/>
        </w:rPr>
        <w:t>(54)</w:t>
      </w:r>
      <w:r w:rsidR="004C2A48" w:rsidRPr="00EC2EA6">
        <w:rPr>
          <w:color w:val="auto"/>
          <w:sz w:val="22"/>
        </w:rPr>
        <w:fldChar w:fldCharType="end"/>
      </w:r>
      <w:r w:rsidRPr="00EC2EA6">
        <w:rPr>
          <w:color w:val="auto"/>
          <w:sz w:val="22"/>
        </w:rPr>
        <w:t>. They are palpable, painless masses that usually appear near</w:t>
      </w:r>
      <w:r w:rsidR="009A1C9C" w:rsidRPr="00EC2EA6">
        <w:rPr>
          <w:color w:val="auto"/>
          <w:sz w:val="22"/>
        </w:rPr>
        <w:t xml:space="preserve"> </w:t>
      </w:r>
      <w:r w:rsidRPr="00EC2EA6">
        <w:rPr>
          <w:color w:val="auto"/>
          <w:sz w:val="22"/>
        </w:rPr>
        <w:t>the areola and can produce bloody nipple discharge. Radiologically their appearance varies</w:t>
      </w:r>
      <w:r w:rsidR="009A1C9C" w:rsidRPr="00EC2EA6">
        <w:rPr>
          <w:color w:val="auto"/>
          <w:sz w:val="22"/>
        </w:rPr>
        <w:t xml:space="preserve"> </w:t>
      </w:r>
      <w:r w:rsidRPr="00EC2EA6">
        <w:rPr>
          <w:color w:val="auto"/>
          <w:sz w:val="22"/>
        </w:rPr>
        <w:t>from well</w:t>
      </w:r>
      <w:r w:rsidR="006644FA" w:rsidRPr="00EC2EA6">
        <w:rPr>
          <w:color w:val="auto"/>
          <w:sz w:val="22"/>
        </w:rPr>
        <w:t>-</w:t>
      </w:r>
      <w:r w:rsidRPr="00EC2EA6">
        <w:rPr>
          <w:color w:val="auto"/>
          <w:sz w:val="22"/>
        </w:rPr>
        <w:t>delineated and spherical to completely irregular lesions and they always contain</w:t>
      </w:r>
      <w:r w:rsidR="009A1C9C" w:rsidRPr="00EC2EA6">
        <w:rPr>
          <w:color w:val="auto"/>
          <w:sz w:val="22"/>
        </w:rPr>
        <w:t xml:space="preserve"> </w:t>
      </w:r>
      <w:r w:rsidRPr="00EC2EA6">
        <w:rPr>
          <w:color w:val="auto"/>
          <w:sz w:val="22"/>
        </w:rPr>
        <w:t>calcifications</w:t>
      </w:r>
      <w:r w:rsidR="004C2A48" w:rsidRPr="00EC2EA6">
        <w:rPr>
          <w:color w:val="auto"/>
          <w:sz w:val="22"/>
        </w:rPr>
        <w:t xml:space="preserve"> </w:t>
      </w:r>
      <w:r w:rsidR="004C2A48" w:rsidRPr="00EC2EA6">
        <w:rPr>
          <w:color w:val="auto"/>
          <w:sz w:val="22"/>
        </w:rPr>
        <w:fldChar w:fldCharType="begin" w:fldLock="1"/>
      </w:r>
      <w:r w:rsidR="006644FA" w:rsidRPr="00EC2EA6">
        <w:rPr>
          <w:color w:val="auto"/>
          <w:sz w:val="22"/>
        </w:rPr>
        <w:instrText>ADDIN CSL_CITATION {"citationItems":[{"id":"ITEM-1","itemData":{"DOI":"10.1007/s13244-012-0208-6","ISSN":"1869-4101 (Electronic) 1869-4101 (Linking)","author":[{"dropping-particle":"","family":"Courcoutsakis","given":"N A","non-dropping-particle":"","parse-names":false,"suffix":""},{"dropping-particle":"","family":"Tatsi","given":"C","non-dropping-particle":"","parse-names":false,"suffix":""},{"dropping-particle":"","family":"Patronas","given":"N J","non-dropping-particle":"","parse-names":false,"suffix":""},{"dropping-particle":"","family":"Lee","given":"C C","non-dropping-particle":"","parse-names":false,"suffix":""},{"dropping-particle":"","family":"Prassopoulos","given":"P K","non-dropping-particle":"","parse-names":false,"suffix":""},{"dropping-particle":"","family":"Stratakis","given":"C A","non-dropping-particle":"","parse-names":false,"suffix":""}],"container-title":"Insights Imaging","id":"ITEM-1","issue":"1","issued":{"date-parts":[["2013"]]},"page":"119-133","title":"The complex of myxomas, spotty skin pigmentation and endocrine overactivity (Carney complex): imaging findings with clinical and pathological correlation","type":"article-journal","volume":"4"},"uris":["http://www.mendeley.com/documents/?uuid=7fbb92a4-384d-4c6e-90ba-43ff0314ded4"]}],"mendeley":{"formattedCitation":"(52)","plainTextFormattedCitation":"(52)","previouslyFormattedCitation":"(52)"},"properties":{"noteIndex":0},"schema":"https://github.com/citation-style-language/schema/raw/master/csl-citation.json"}</w:instrText>
      </w:r>
      <w:r w:rsidR="004C2A48" w:rsidRPr="00EC2EA6">
        <w:rPr>
          <w:color w:val="auto"/>
          <w:sz w:val="22"/>
        </w:rPr>
        <w:fldChar w:fldCharType="separate"/>
      </w:r>
      <w:r w:rsidR="006644FA" w:rsidRPr="00EC2EA6">
        <w:rPr>
          <w:noProof/>
          <w:color w:val="auto"/>
          <w:sz w:val="22"/>
        </w:rPr>
        <w:t>(52)</w:t>
      </w:r>
      <w:r w:rsidR="004C2A48" w:rsidRPr="00EC2EA6">
        <w:rPr>
          <w:color w:val="auto"/>
          <w:sz w:val="22"/>
        </w:rPr>
        <w:fldChar w:fldCharType="end"/>
      </w:r>
      <w:r w:rsidRPr="00EC2EA6">
        <w:rPr>
          <w:color w:val="auto"/>
          <w:sz w:val="22"/>
        </w:rPr>
        <w:t>. These calcifications may be coarse (typically benign) or microcalcifications, which</w:t>
      </w:r>
      <w:r w:rsidR="009A1C9C" w:rsidRPr="00EC2EA6">
        <w:rPr>
          <w:color w:val="auto"/>
          <w:sz w:val="22"/>
        </w:rPr>
        <w:t xml:space="preserve"> </w:t>
      </w:r>
      <w:r w:rsidRPr="00EC2EA6">
        <w:rPr>
          <w:color w:val="auto"/>
          <w:sz w:val="22"/>
        </w:rPr>
        <w:t xml:space="preserve">are often encountered in adenocarcinomas. </w:t>
      </w:r>
      <w:r w:rsidR="004C2A48" w:rsidRPr="00EC2EA6">
        <w:rPr>
          <w:color w:val="auto"/>
          <w:sz w:val="22"/>
        </w:rPr>
        <w:t xml:space="preserve">Moreover, </w:t>
      </w:r>
      <w:r w:rsidR="003E2B96" w:rsidRPr="00EC2EA6">
        <w:rPr>
          <w:color w:val="auto"/>
          <w:sz w:val="22"/>
        </w:rPr>
        <w:t xml:space="preserve">a possible association between CNC and breast cancer has been demonstrated </w:t>
      </w:r>
      <w:r w:rsidR="004C2A48" w:rsidRPr="00EC2EA6">
        <w:rPr>
          <w:color w:val="auto"/>
          <w:sz w:val="22"/>
        </w:rPr>
        <w:t xml:space="preserve">in the most recent prospective study, affecting up to 13.5% of female patients </w:t>
      </w:r>
      <w:r w:rsidR="006644FA" w:rsidRPr="00EC2EA6">
        <w:rPr>
          <w:color w:val="auto"/>
          <w:sz w:val="22"/>
        </w:rPr>
        <w:t>at</w:t>
      </w:r>
      <w:r w:rsidR="004C2A48" w:rsidRPr="00EC2EA6">
        <w:rPr>
          <w:color w:val="auto"/>
          <w:sz w:val="22"/>
        </w:rPr>
        <w:t xml:space="preserve"> an unusually young age (&lt;50 years) </w:t>
      </w:r>
      <w:r w:rsidR="004C2A48" w:rsidRPr="00EC2EA6">
        <w:rPr>
          <w:color w:val="auto"/>
          <w:sz w:val="22"/>
        </w:rPr>
        <w:fldChar w:fldCharType="begin" w:fldLock="1"/>
      </w:r>
      <w:r w:rsidR="006644FA" w:rsidRPr="00EC2EA6">
        <w:rPr>
          <w:color w:val="auto"/>
          <w:sz w:val="22"/>
        </w:rPr>
        <w:instrText>ADDIN CSL_CITATION {"citationItems":[{"id":"ITEM-1","itemData":{"DOI":"10.1210/clinem/dgaa002","ISSN":"1945-7197","PMID":"31912137","abstract":"INTRODUCTION Carney Complex (CNC) is a rare multiple endocrine and nonendocrine neoplasia syndrome. Manifestations and genotype-phenotype correlations have been described by retrospective studies, but no prospective study evaluating the occurrence of the different manifestations has been available so far. METHODS This multicenter national prospective study included patients with CNC, primary pigmented nodular adrenal disease (PPNAD), or a pathogenic PRKAR1A mutation; after a full initial workup, participants were followed for 3 years with annual standardized evaluation. RESULTS The cohort included 70 patients (50 female/20 male, mean age 35.4 ± 16.7 years, 81% carrying PRKAR1A mutation). The initial investigations allowed identification of several manifestations. At the end of the 3-year follow-up, the newly diagnosed manifestations of the disease were subclinical acromegaly in 6 patients, bilateral testicular calcifications in 1 patient, and cardiac myxomas in 2 patients. Recurrences of cardiac myxomas were diagnosed in 4 patients during the 3-year follow-up study period. Asymptomatic abnormalities of the corticotroph and somatotroph axis that did not meet criteria of PPNAD and acromegaly were observed in 11.4% and 30% of the patients, respectively. Patients carrying the PRKAR1A c.709-7del6 mutation had a mild phenotype. CONCLUSION This study underlines the importance of a systematic follow-up of the CNC manifestations, especially a biannual screening for cardiac myxoma. By contrast, regular screening for the other manifestations after a first extensive workup could be spread out, leading to a lighter and more acceptable follow-up schedule for patients. These are important results for recommendations for long-term management of CNC patients.","author":[{"dropping-particle":"","family":"Espiard","given":"Stéphanie","non-dropping-particle":"","parse-names":false,"suffix":""},{"dropping-particle":"","family":"Vantyghem","given":"Marie-Christine","non-dropping-particle":"","parse-names":false,"suffix":""},{"dropping-particle":"","family":"Assié","given":"Guillaume","non-dropping-particle":"","parse-names":false,"suffix":""},{"dropping-particle":"","family":"Cardot-Bauters","given":"Catherine","non-dropping-particle":"","parse-names":false,"suffix":""},{"dropping-particle":"","family":"Raverot","given":"Gerald","non-dropping-particle":"","parse-names":false,"suffix":""},{"dropping-particle":"","family":"Brucker-Davis","given":"Françoise","non-dropping-particle":"","parse-names":false,"suffix":""},{"dropping-particle":"","family":"Archambeaud-Mouveroux","given":"Françoise","non-dropping-particle":"","parse-names":false,"suffix":""},{"dropping-particle":"","family":"Lefebvre","given":"Hervé","non-dropping-particle":"","parse-names":false,"suffix":""},{"dropping-particle":"","family":"Nunes","given":"Marie-Laure","non-dropping-particle":"","parse-names":false,"suffix":""},{"dropping-particle":"","family":"Tabarin","given":"Antoine","non-dropping-particle":"","parse-names":false,"suffix":""},{"dropping-particle":"","family":"Lienhardt","given":"Anne","non-dropping-particle":"","parse-names":false,"suffix":""},{"dropping-particle":"","family":"Chabre","given":"Olivier","non-dropping-particle":"","parse-names":false,"suffix":""},{"dropping-particle":"","family":"Houang","given":"Muriel","non-dropping-particle":"","parse-names":false,"suffix":""},{"dropping-particle":"","family":"Bottineau","given":"Muriel","non-dropping-particle":"","parse-names":false,"suffix":""},{"dropping-particle":"","family":"Stroër","given":"Sebastian","non-dropping-particle":"","parse-names":false,"suffix":""},{"dropping-particle":"","family":"Groussin","given":"Lionel","non-dropping-particle":"","parse-names":false,"suffix":""},{"dropping-particle":"","family":"Guignat","given":"Laurence","non-dropping-particle":"","parse-names":false,"suffix":""},{"dropping-particle":"","family":"Cabanes","given":"Laure","non-dropping-particle":"","parse-names":false,"suffix":""},{"dropping-particle":"","family":"Feydy","given":"Antoine","non-dropping-particle":"","parse-names":false,"suffix":""},{"dropping-particle":"","family":"Bonnet","given":"Fidéline","non-dropping-particle":"","parse-names":false,"suffix":""},{"dropping-particle":"","family":"North","given":"Marie Odile","non-dropping-particle":"","parse-names":false,"suffix":""},{"dropping-particle":"","family":"Dupin","given":"Nicolas","non-dropping-particle":"","parse-names":false,"suffix":""},{"dropping-particle":"","family":"Grabar","given":"Sophie","non-dropping-particle":"","parse-names":false,"suffix":""},{"dropping-particle":"","family":"Duboc","given":"Denis","non-dropping-particle":"","parse-names":false,"suffix":""},{"dropping-particle":"","family":"Bertherat","given":"Jérôme","non-dropping-particle":"","parse-names":false,"suffix":""}],"container-title":"The Journal of clinical endocrinology and metabolism","id":"ITEM-1","issue":"3","issued":{"date-parts":[["2020","3","1"]]},"page":"e436–e446","publisher":"Endocrine Society","title":"Frequency and Incidence of Carney Complex Manifestations: A Prospective Multicenter Study With a Three-Year Follow-Up.","type":"article-journal","volume":"105"},"uris":["http://www.mendeley.com/documents/?uuid=0d5189bf-fd56-3ff4-88e4-25934f1a6bfb"]}],"mendeley":{"formattedCitation":"(45)","plainTextFormattedCitation":"(45)","previouslyFormattedCitation":"(45)"},"properties":{"noteIndex":0},"schema":"https://github.com/citation-style-language/schema/raw/master/csl-citation.json"}</w:instrText>
      </w:r>
      <w:r w:rsidR="004C2A48" w:rsidRPr="00EC2EA6">
        <w:rPr>
          <w:color w:val="auto"/>
          <w:sz w:val="22"/>
        </w:rPr>
        <w:fldChar w:fldCharType="separate"/>
      </w:r>
      <w:r w:rsidR="006644FA" w:rsidRPr="00EC2EA6">
        <w:rPr>
          <w:noProof/>
          <w:color w:val="auto"/>
          <w:sz w:val="22"/>
        </w:rPr>
        <w:t>(45)</w:t>
      </w:r>
      <w:r w:rsidR="004C2A48" w:rsidRPr="00EC2EA6">
        <w:rPr>
          <w:color w:val="auto"/>
          <w:sz w:val="22"/>
        </w:rPr>
        <w:fldChar w:fldCharType="end"/>
      </w:r>
      <w:r w:rsidR="004C2A48" w:rsidRPr="00EC2EA6">
        <w:rPr>
          <w:color w:val="auto"/>
          <w:sz w:val="22"/>
        </w:rPr>
        <w:t xml:space="preserve">. </w:t>
      </w:r>
      <w:r w:rsidRPr="00EC2EA6">
        <w:rPr>
          <w:color w:val="auto"/>
          <w:sz w:val="22"/>
        </w:rPr>
        <w:t>Consequently, the differential diagnosis is difficult,</w:t>
      </w:r>
      <w:r w:rsidR="009A1C9C" w:rsidRPr="00EC2EA6">
        <w:rPr>
          <w:color w:val="auto"/>
          <w:sz w:val="22"/>
        </w:rPr>
        <w:t xml:space="preserve"> </w:t>
      </w:r>
      <w:r w:rsidRPr="00EC2EA6">
        <w:rPr>
          <w:color w:val="auto"/>
          <w:sz w:val="22"/>
        </w:rPr>
        <w:t>and FNA is always recommended.</w:t>
      </w:r>
    </w:p>
    <w:p w14:paraId="590407F9" w14:textId="77777777" w:rsidR="00547ED8" w:rsidRPr="005F1576" w:rsidRDefault="00547ED8" w:rsidP="005F1576">
      <w:pPr>
        <w:spacing w:before="0" w:line="276" w:lineRule="auto"/>
        <w:jc w:val="left"/>
        <w:rPr>
          <w:sz w:val="22"/>
        </w:rPr>
      </w:pPr>
    </w:p>
    <w:p w14:paraId="3EB94999" w14:textId="635DC4DC" w:rsidR="005049B5" w:rsidRPr="00EC2EA6" w:rsidRDefault="005049B5" w:rsidP="005F1576">
      <w:pPr>
        <w:spacing w:before="0" w:line="276" w:lineRule="auto"/>
        <w:jc w:val="left"/>
        <w:rPr>
          <w:color w:val="auto"/>
          <w:sz w:val="22"/>
        </w:rPr>
      </w:pPr>
      <w:r w:rsidRPr="00765350">
        <w:rPr>
          <w:sz w:val="22"/>
        </w:rPr>
        <w:t>Other tumors reported in</w:t>
      </w:r>
      <w:r w:rsidR="009A1C9C" w:rsidRPr="00765350">
        <w:rPr>
          <w:sz w:val="22"/>
        </w:rPr>
        <w:t xml:space="preserve"> </w:t>
      </w:r>
      <w:r w:rsidR="004C2A48" w:rsidRPr="00765350">
        <w:rPr>
          <w:sz w:val="22"/>
        </w:rPr>
        <w:t>around 2,5</w:t>
      </w:r>
      <w:r w:rsidR="00983D6F" w:rsidRPr="00765350">
        <w:rPr>
          <w:sz w:val="22"/>
        </w:rPr>
        <w:t>-4,5</w:t>
      </w:r>
      <w:r w:rsidR="004C2A48" w:rsidRPr="00765350">
        <w:rPr>
          <w:sz w:val="22"/>
        </w:rPr>
        <w:t xml:space="preserve">% of </w:t>
      </w:r>
      <w:r w:rsidRPr="00765350">
        <w:rPr>
          <w:sz w:val="22"/>
        </w:rPr>
        <w:t>CNC patients are pancreatic neoplasms including acinar cell carcinoma, adenocarcinoma, and</w:t>
      </w:r>
      <w:r w:rsidR="009A1C9C" w:rsidRPr="00765350">
        <w:rPr>
          <w:sz w:val="22"/>
        </w:rPr>
        <w:t xml:space="preserve"> </w:t>
      </w:r>
      <w:r w:rsidRPr="00765350">
        <w:rPr>
          <w:sz w:val="22"/>
        </w:rPr>
        <w:t xml:space="preserve">intraductal pancreatic mucinous </w:t>
      </w:r>
      <w:r w:rsidRPr="00EC2EA6">
        <w:rPr>
          <w:color w:val="auto"/>
          <w:sz w:val="22"/>
        </w:rPr>
        <w:t>neoplasia</w:t>
      </w:r>
      <w:r w:rsidR="004C2A48" w:rsidRPr="00EC2EA6">
        <w:rPr>
          <w:color w:val="auto"/>
          <w:sz w:val="22"/>
        </w:rPr>
        <w:t xml:space="preserve"> </w:t>
      </w:r>
      <w:r w:rsidR="004C2A48" w:rsidRPr="00EC2EA6">
        <w:rPr>
          <w:color w:val="auto"/>
          <w:sz w:val="22"/>
        </w:rPr>
        <w:fldChar w:fldCharType="begin" w:fldLock="1"/>
      </w:r>
      <w:r w:rsidR="006644FA" w:rsidRPr="00EC2EA6">
        <w:rPr>
          <w:color w:val="auto"/>
          <w:sz w:val="22"/>
        </w:rPr>
        <w:instrText>ADDIN CSL_CITATION {"citationItems":[{"id":"ITEM-1","itemData":{"DOI":"10.1210/jc.2011-1433","ISSN":"1945-7197","PMID":"21900385","abstract":"CONTEXT Carney complex (CNC) is a rare disease inherited as an autosomal dominant trait, associated with various tumors, and caused most frequently by inactivation of the PRKAR1A gene. OBJECTIVES In our recent investigation of a large cohort of CNC patients, we identified several cases of pancreatic neoplasms. This possible association and PRKAR1A's possible involvement in pancreatic tumor have not been reported previously. PATIENTS AND METHODS Nine patients (2.5%) with CNC and pancreatic neoplasms in an international cohort of 354 CNC patients were identified; we studied six of them. Immunohistochemistry and PRKAR1A sequencing were obtained. RESULTS Three men and three women with a mean age of 49 yr (range 34-75 yr) had acinar cell carcinoma (n = 2), adenocarcinoma (n = 1), and intraductal pancreatic mucinous neoplasm (n = 3). Five patients had a germline PRKAR1A mutation, including two patients with acinar cell carcinoma, for whom mutations were found in a hemizygous state in the tumor, suggesting loss of heterozygosity. PRKAR1A expression was not detected in five of the six pancreatic neoplasms from CNC patients, whereas the protein was amply expressed on other sporadic pancreatic tumors and normal tissue. CONCLUSION An unexpectedly high prevalence of rare pancreatic tumors was found among CNC patients. Immunohistochemistry and loss-of-heterozygosity studies suggest that PRKAR1A could function as a tumor suppressor gene in pancreatic tissue, at least in the context of CNC. Clinicians taking care of CNC patients should be aware of the possible association of CNC with a potentially aggressive pancreatic neoplasm.","author":[{"dropping-particle":"","family":"Gaujoux","given":"Sébastien","non-dropping-particle":"","parse-names":false,"suffix":""},{"dropping-particle":"","family":"Tissier","given":"Frédérique","non-dropping-particle":"","parse-names":false,"suffix":""},{"dropping-particle":"","family":"Ragazzon","given":"Bruno","non-dropping-particle":"","parse-names":false,"suffix":""},{"dropping-particle":"","family":"Rebours","given":"Vinciane","non-dropping-particle":"","parse-names":false,"suffix":""},{"dropping-particle":"","family":"Saloustros","given":"Emmanouil","non-dropping-particle":"","parse-names":false,"suffix":""},{"dropping-particle":"","family":"Perlemoine","given":"Karine","non-dropping-particle":"","parse-names":false,"suffix":""},{"dropping-particle":"","family":"Vincent-Dejean","given":"Caroline","non-dropping-particle":"","parse-names":false,"suffix":""},{"dropping-particle":"","family":"Meurette","given":"Guillaume","non-dropping-particle":"","parse-names":false,"suffix":""},{"dropping-particle":"","family":"Cassagnau","given":"Elisabeth","non-dropping-particle":"","parse-names":false,"suffix":""},{"dropping-particle":"","family":"Dousset","given":"Bertrand","non-dropping-particle":"","parse-names":false,"suffix":""},{"dropping-particle":"","family":"Bertagna","given":"Xavier","non-dropping-particle":"","parse-names":false,"suffix":""},{"dropping-particle":"","family":"Horvath","given":"Anelia","non-dropping-particle":"","parse-names":false,"suffix":""},{"dropping-particle":"","family":"Terris","given":"Benoit","non-dropping-particle":"","parse-names":false,"suffix":""},{"dropping-particle":"","family":"Carney","given":"J Aidan","non-dropping-particle":"","parse-names":false,"suffix":""},{"dropping-particle":"","family":"Stratakis","given":"Constantine A","non-dropping-particle":"","parse-names":false,"suffix":""},{"dropping-particle":"","family":"Bertherat","given":"Jérôme","non-dropping-particle":"","parse-names":false,"suffix":""}],"container-title":"The Journal of clinical endocrinology and metabolism","id":"ITEM-1","issue":"11","issued":{"date-parts":[["2011","11"]]},"page":"E1888-95","title":"Pancreatic ductal and acinar cell neoplasms in Carney complex: a possible new association.","type":"article-journal","volume":"96"},"uris":["http://www.mendeley.com/documents/?uuid=bb3dd676-c840-44ae-8404-d51c6f0c7bc5"]},{"id":"ITEM-2","itemData":{"DOI":"10.1210/clinem/dgaa002","ISSN":"1945-7197","PMID":"31912137","abstract":"INTRODUCTION Carney Complex (CNC) is a rare multiple endocrine and nonendocrine neoplasia syndrome. Manifestations and genotype-phenotype correlations have been described by retrospective studies, but no prospective study evaluating the occurrence of the different manifestations has been available so far. METHODS This multicenter national prospective study included patients with CNC, primary pigmented nodular adrenal disease (PPNAD), or a pathogenic PRKAR1A mutation; after a full initial workup, participants were followed for 3 years with annual standardized evaluation. RESULTS The cohort included 70 patients (50 female/20 male, mean age 35.4 ± 16.7 years, 81% carrying PRKAR1A mutation). The initial investigations allowed identification of several manifestations. At the end of the 3-year follow-up, the newly diagnosed manifestations of the disease were subclinical acromegaly in 6 patients, bilateral testicular calcifications in 1 patient, and cardiac myxomas in 2 patients. Recurrences of cardiac myxomas were diagnosed in 4 patients during the 3-year follow-up study period. Asymptomatic abnormalities of the corticotroph and somatotroph axis that did not meet criteria of PPNAD and acromegaly were observed in 11.4% and 30% of the patients, respectively. Patients carrying the PRKAR1A c.709-7del6 mutation had a mild phenotype. CONCLUSION This study underlines the importance of a systematic follow-up of the CNC manifestations, especially a biannual screening for cardiac myxoma. By contrast, regular screening for the other manifestations after a first extensive workup could be spread out, leading to a lighter and more acceptable follow-up schedule for patients. These are important results for recommendations for long-term management of CNC patients.","author":[{"dropping-particle":"","family":"Espiard","given":"Stéphanie","non-dropping-particle":"","parse-names":false,"suffix":""},{"dropping-particle":"","family":"Vantyghem","given":"Marie-Christine","non-dropping-particle":"","parse-names":false,"suffix":""},{"dropping-particle":"","family":"Assié","given":"Guillaume","non-dropping-particle":"","parse-names":false,"suffix":""},{"dropping-particle":"","family":"Cardot-Bauters","given":"Catherine","non-dropping-particle":"","parse-names":false,"suffix":""},{"dropping-particle":"","family":"Raverot","given":"Gerald","non-dropping-particle":"","parse-names":false,"suffix":""},{"dropping-particle":"","family":"Brucker-Davis","given":"Françoise","non-dropping-particle":"","parse-names":false,"suffix":""},{"dropping-particle":"","family":"Archambeaud-Mouveroux","given":"Françoise","non-dropping-particle":"","parse-names":false,"suffix":""},{"dropping-particle":"","family":"Lefebvre","given":"Hervé","non-dropping-particle":"","parse-names":false,"suffix":""},{"dropping-particle":"","family":"Nunes","given":"Marie-Laure","non-dropping-particle":"","parse-names":false,"suffix":""},{"dropping-particle":"","family":"Tabarin","given":"Antoine","non-dropping-particle":"","parse-names":false,"suffix":""},{"dropping-particle":"","family":"Lienhardt","given":"Anne","non-dropping-particle":"","parse-names":false,"suffix":""},{"dropping-particle":"","family":"Chabre","given":"Olivier","non-dropping-particle":"","parse-names":false,"suffix":""},{"dropping-particle":"","family":"Houang","given":"Muriel","non-dropping-particle":"","parse-names":false,"suffix":""},{"dropping-particle":"","family":"Bottineau","given":"Muriel","non-dropping-particle":"","parse-names":false,"suffix":""},{"dropping-particle":"","family":"Stroër","given":"Sebastian","non-dropping-particle":"","parse-names":false,"suffix":""},{"dropping-particle":"","family":"Groussin","given":"Lionel","non-dropping-particle":"","parse-names":false,"suffix":""},{"dropping-particle":"","family":"Guignat","given":"Laurence","non-dropping-particle":"","parse-names":false,"suffix":""},{"dropping-particle":"","family":"Cabanes","given":"Laure","non-dropping-particle":"","parse-names":false,"suffix":""},{"dropping-particle":"","family":"Feydy","given":"Antoine","non-dropping-particle":"","parse-names":false,"suffix":""},{"dropping-particle":"","family":"Bonnet","given":"Fidéline","non-dropping-particle":"","parse-names":false,"suffix":""},{"dropping-particle":"","family":"North","given":"Marie Odile","non-dropping-particle":"","parse-names":false,"suffix":""},{"dropping-particle":"","family":"Dupin","given":"Nicolas","non-dropping-particle":"","parse-names":false,"suffix":""},{"dropping-particle":"","family":"Grabar","given":"Sophie","non-dropping-particle":"","parse-names":false,"suffix":""},{"dropping-particle":"","family":"Duboc","given":"Denis","non-dropping-particle":"","parse-names":false,"suffix":""},{"dropping-particle":"","family":"Bertherat","given":"Jérôme","non-dropping-particle":"","parse-names":false,"suffix":""}],"container-title":"The Journal of clinical endocrinology and metabolism","id":"ITEM-2","issue":"3","issued":{"date-parts":[["2020","3","1"]]},"page":"e436–e446","publisher":"Endocrine Society","title":"Frequency and Incidence of Carney Complex Manifestations: A Prospective Multicenter Study With a Three-Year Follow-Up.","type":"article-journal","volume":"105"},"uris":["http://www.mendeley.com/documents/?uuid=0d5189bf-fd56-3ff4-88e4-25934f1a6bfb"]}],"mendeley":{"formattedCitation":"(45,76)","plainTextFormattedCitation":"(45,76)","previouslyFormattedCitation":"(45,76)"},"properties":{"noteIndex":0},"schema":"https://github.com/citation-style-language/schema/raw/master/csl-citation.json"}</w:instrText>
      </w:r>
      <w:r w:rsidR="004C2A48" w:rsidRPr="00EC2EA6">
        <w:rPr>
          <w:color w:val="auto"/>
          <w:sz w:val="22"/>
        </w:rPr>
        <w:fldChar w:fldCharType="separate"/>
      </w:r>
      <w:r w:rsidR="006644FA" w:rsidRPr="00EC2EA6">
        <w:rPr>
          <w:noProof/>
          <w:color w:val="auto"/>
          <w:sz w:val="22"/>
        </w:rPr>
        <w:t>(45,76)</w:t>
      </w:r>
      <w:r w:rsidR="004C2A48" w:rsidRPr="00EC2EA6">
        <w:rPr>
          <w:color w:val="auto"/>
          <w:sz w:val="22"/>
        </w:rPr>
        <w:fldChar w:fldCharType="end"/>
      </w:r>
      <w:r w:rsidR="004C2A48" w:rsidRPr="00EC2EA6">
        <w:rPr>
          <w:color w:val="auto"/>
          <w:sz w:val="22"/>
        </w:rPr>
        <w:t xml:space="preserve">. In addition, </w:t>
      </w:r>
      <w:r w:rsidR="00983D6F" w:rsidRPr="00EC2EA6">
        <w:rPr>
          <w:color w:val="auto"/>
          <w:sz w:val="22"/>
        </w:rPr>
        <w:t xml:space="preserve">CNC is associated with increased detection of liver lesions, including </w:t>
      </w:r>
      <w:r w:rsidRPr="00EC2EA6">
        <w:rPr>
          <w:color w:val="auto"/>
          <w:sz w:val="22"/>
        </w:rPr>
        <w:t>hepatocellular adenomas</w:t>
      </w:r>
      <w:r w:rsidR="00983D6F" w:rsidRPr="00EC2EA6">
        <w:rPr>
          <w:color w:val="auto"/>
          <w:sz w:val="22"/>
        </w:rPr>
        <w:t>, carcinomas</w:t>
      </w:r>
      <w:r w:rsidR="00765350" w:rsidRPr="00EC2EA6">
        <w:rPr>
          <w:color w:val="auto"/>
          <w:sz w:val="22"/>
        </w:rPr>
        <w:t>,</w:t>
      </w:r>
      <w:r w:rsidRPr="00EC2EA6">
        <w:rPr>
          <w:color w:val="auto"/>
          <w:sz w:val="22"/>
        </w:rPr>
        <w:t xml:space="preserve"> and</w:t>
      </w:r>
      <w:r w:rsidR="009A1C9C" w:rsidRPr="00EC2EA6">
        <w:rPr>
          <w:color w:val="auto"/>
          <w:sz w:val="22"/>
        </w:rPr>
        <w:t xml:space="preserve"> </w:t>
      </w:r>
      <w:r w:rsidRPr="00EC2EA6">
        <w:rPr>
          <w:color w:val="auto"/>
          <w:sz w:val="22"/>
        </w:rPr>
        <w:t xml:space="preserve">fibrolamellar carcinomas </w:t>
      </w:r>
      <w:r w:rsidR="00983D6F" w:rsidRPr="00EC2EA6">
        <w:rPr>
          <w:color w:val="auto"/>
          <w:sz w:val="22"/>
        </w:rPr>
        <w:fldChar w:fldCharType="begin" w:fldLock="1"/>
      </w:r>
      <w:r w:rsidR="006644FA" w:rsidRPr="00EC2EA6">
        <w:rPr>
          <w:color w:val="auto"/>
          <w:sz w:val="22"/>
        </w:rPr>
        <w:instrText>ADDIN CSL_CITATION {"citationItems":[{"id":"ITEM-1","itemData":{"DOI":"10.1530/ERC-19-0517","ISSN":"14796821","PMID":"32302974","abstract":"This study aimed to evaluate liver involvement in patients with Carney complex (CNC) based on a large cohort and to analyze any germline PRKAR1A genotype-phenotype association of liver disease. The study included 83 patients with CNC, followed between 1995 and 2018 at a tertiary research center. We reviewed liver images, recorded types and number of lesions and analyzed per genotype: all patients w ere sequenced for the PRKAR1A gene. A total of 29/83 patients (24.0%) had liver radiological findings. Patients with liver lesion had a significantly higher rate of pa thogenic variants detected in the PRKAR1A gene (72.4 vs 38.9%, P = 0.005, respectively). Patients with a pathogenic variant detected on germline PRKAR1A analysis had a higher risk for having a liver lesion compared with patients with wild-type (WT) PRKAR1A alleles (21/42 (50.0%) vs 8/41 (19.5%), respectively, P = 0.004). Among patients with liver lesions, those with a nonsense PRKAR1A pathogenic-variant had more liver lesions (7/7) than among those with other pathogenicvariant types (8/22, P = 0.001). In multivariable analysis, detection of liver lesion(s) was associated with an odds ratio of 5.2 for cardiac myxomas (95% C I 1.55-17.49, P = 0.008). In conclusion, patients with CNC, particularly with a PRKAR1A pathogenic variant, have a higher rate of liver lesions. Additionally, liver lesions are associated with a high risk for cardiac myxomas in this population.","author":[{"dropping-particle":"","family":"Tirosh","given":"Amit","non-dropping-particle":"","parse-names":false,"suffix":""},{"dropping-particle":"","family":"Hamimi","given":"Ahmed","non-dropping-particle":"","parse-names":false,"suffix":""},{"dropping-particle":"","family":"Faucz","given":"Fabio","non-dropping-particle":"","parse-names":false,"suffix":""},{"dropping-particle":"","family":"Aharon-Hananel","given":"Genya","non-dropping-particle":"","parse-names":false,"suffix":""},{"dropping-particle":"","family":"Zavras","given":"Phaedon D.","non-dropping-particle":"","parse-names":false,"suffix":""},{"dropping-particle":"","family":"Bonella","given":"Belen","non-dropping-particle":"","parse-names":false,"suffix":""},{"dropping-particle":"","family":"Auerbach","given":"Adi","non-dropping-particle":"","parse-names":false,"suffix":""},{"dropping-particle":"","family":"Gillis","given":"David","non-dropping-particle":"","parse-names":false,"suffix":""},{"dropping-particle":"","family":"Lyssikatos","given":"Charalampos","non-dropping-particle":"","parse-names":false,"suffix":""},{"dropping-particle":"","family":"Belyavskaya","given":"Elena","non-dropping-particle":"","parse-names":false,"suffix":""},{"dropping-particle":"","family":"Stratakis","given":"Constantine A.","non-dropping-particle":"","parse-names":false,"suffix":""},{"dropping-particle":"","family":"Gharib","given":"Ahmed M.","non-dropping-particle":"","parse-names":false,"suffix":""}],"container-title":"Endocrine-Related Cancer","id":"ITEM-1","issue":"6","issued":{"date-parts":[["2020"]]},"page":"355-360","publisher":"BioScientifica Ltd.","title":"Liver findings in patients with Carney complex, germline PRKAR1A pathogenic variants, and link to cardiac myxomas","type":"article-journal","volume":"27"},"uris":["http://www.mendeley.com/documents/?uuid=3958abb6-6ffa-3898-8c81-db4c155b9f8a"]},{"id":"ITEM-2","itemData":{"DOI":"10.1002/hep.29719","ISSN":"1527-3350","PMID":"29222914","abstract":"UNLABELLED Fibrolamellar carcinomas are characterized by activation of protein kinase A, a kinase composed of catalytic and regulatory subunits. PRKACA encodes a catalytic subunit of protein kinase A, and almost all fibrolamellar carcinomas have a heterozygous 400-kb deletion that leads to the fusion of DNAJB1 and PRKACA. The resulting DNAJB1-PRKACA fusion transcript is believed to activate protein kinase A by dysregulation of the catalytic portion of the protein. In contrast, PRKAR1A encodes one of the regulatory subunits of protein kinase A. We hypothesized that loss of function of this regulatory unit could also lead to protein kinase A activation and thus to fibrolamellar carcinoma. Because PRKAR1A mutations underlie the Carney complex, we searched for liver tumors in individuals with the Carney complex. We identified 3 individuals with fibrolamellar carcinomas and a personal history of the Carney complex. All three tumors displayed the typical morphology of fibrolamellar carcinoma and were positive for arginase, cytokeratin 7, and cluster of differentiation 68. Fluorescence in situ hybridization was negative for PRKACA rearrangements. However, PRKAR1A sequencing identified pathogenic mutations in two of two cases with successful sequencing. In addition, all three cases were negative for PRKAR1A protein expression, consistent with inactivation of this key regulatory unit of protein kinase A. We also identified one additional fibrolamellar carcinoma in an individual without a documented history of the Carney complex who was negative for PRKACA rearrangements but had loss of PRKAR1A protein expression as well as PRKAR1A mutations. CONCLUSION Fibrolamellar carcinoma can be part of the Carney complex; in this setting, fibrolamellar carcinomas have inactivating PRKAR1A mutations instead of the DNAJB1-PRKACA fusion gene found in sporadic fibrolamellar carcinomas, providing an alternate means for activation of protein kinase A. (Hepatology 2017).","author":[{"dropping-particle":"","family":"Graham","given":"Rondell P","non-dropping-particle":"","parse-names":false,"suffix":""},{"dropping-particle":"","family":"Lackner","given":"Carolin","non-dropping-particle":"","parse-names":false,"suffix":""},{"dropping-particle":"","family":"Terracciano","given":"Luigi","non-dropping-particle":"","parse-names":false,"suffix":""},{"dropping-particle":"","family":"González-Cantú","given":"Yessica","non-dropping-particle":"","parse-names":false,"suffix":""},{"dropping-particle":"","family":"Maleszewski","given":"Joseph J","non-dropping-particle":"","parse-names":false,"suffix":""},{"dropping-particle":"","family":"Greipp","given":"Patricia T","non-dropping-particle":"","parse-names":false,"suffix":""},{"dropping-particle":"","family":"Simon","given":"Sanford M","non-dropping-particle":"","parse-names":false,"suffix":""},{"dropping-particle":"","family":"Torbenson","given":"Michael S","non-dropping-particle":"","parse-names":false,"suffix":""}],"container-title":"Hepatology (Baltimore, Md.)","id":"ITEM-2","issue":"4","issued":{"date-parts":[["2018","10","9"]]},"page":"1441-1447","title":"Fibrolamellar carcinoma in the Carney complex: PRKAR1A loss instead of the classic DNAJB1-PRKACA fusion.","type":"article-journal","volume":"68"},"uris":["http://www.mendeley.com/documents/?uuid=cc2be460-7ba7-4069-a60e-74696e304196"]}],"mendeley":{"formattedCitation":"(77,78)","plainTextFormattedCitation":"(77,78)","previouslyFormattedCitation":"(77,78)"},"properties":{"noteIndex":0},"schema":"https://github.com/citation-style-language/schema/raw/master/csl-citation.json"}</w:instrText>
      </w:r>
      <w:r w:rsidR="00983D6F" w:rsidRPr="00EC2EA6">
        <w:rPr>
          <w:color w:val="auto"/>
          <w:sz w:val="22"/>
        </w:rPr>
        <w:fldChar w:fldCharType="separate"/>
      </w:r>
      <w:r w:rsidR="006644FA" w:rsidRPr="00EC2EA6">
        <w:rPr>
          <w:noProof/>
          <w:color w:val="auto"/>
          <w:sz w:val="22"/>
        </w:rPr>
        <w:t>(77,78)</w:t>
      </w:r>
      <w:r w:rsidR="00983D6F" w:rsidRPr="00EC2EA6">
        <w:rPr>
          <w:color w:val="auto"/>
          <w:sz w:val="22"/>
        </w:rPr>
        <w:fldChar w:fldCharType="end"/>
      </w:r>
      <w:r w:rsidRPr="00EC2EA6">
        <w:rPr>
          <w:color w:val="auto"/>
          <w:sz w:val="22"/>
        </w:rPr>
        <w:t>.</w:t>
      </w:r>
    </w:p>
    <w:p w14:paraId="2D43BB8F" w14:textId="77777777" w:rsidR="003E2B96" w:rsidRPr="005F1576" w:rsidRDefault="003E2B96" w:rsidP="005F1576">
      <w:pPr>
        <w:spacing w:before="0" w:line="276" w:lineRule="auto"/>
        <w:jc w:val="left"/>
        <w:rPr>
          <w:sz w:val="22"/>
        </w:rPr>
      </w:pPr>
    </w:p>
    <w:p w14:paraId="09DB55DB" w14:textId="77777777" w:rsidR="009F7992" w:rsidRPr="00547ED8" w:rsidRDefault="009F7992" w:rsidP="005F1576">
      <w:pPr>
        <w:pStyle w:val="Heading1"/>
        <w:spacing w:before="0" w:line="276" w:lineRule="auto"/>
        <w:jc w:val="left"/>
        <w:rPr>
          <w:color w:val="0070C0"/>
          <w:sz w:val="22"/>
        </w:rPr>
      </w:pPr>
      <w:r w:rsidRPr="00547ED8">
        <w:rPr>
          <w:color w:val="0070C0"/>
          <w:sz w:val="22"/>
        </w:rPr>
        <w:t>DIAGNOSIS</w:t>
      </w:r>
    </w:p>
    <w:p w14:paraId="059FADC0" w14:textId="77777777" w:rsidR="00547ED8" w:rsidRDefault="00547ED8" w:rsidP="005F1576">
      <w:pPr>
        <w:spacing w:before="0" w:line="276" w:lineRule="auto"/>
        <w:jc w:val="left"/>
        <w:rPr>
          <w:sz w:val="22"/>
        </w:rPr>
      </w:pPr>
    </w:p>
    <w:p w14:paraId="3E795F5E" w14:textId="600E8534" w:rsidR="009F7992" w:rsidRPr="00EC2EA6" w:rsidRDefault="009F7992" w:rsidP="005F1576">
      <w:pPr>
        <w:spacing w:before="0" w:line="276" w:lineRule="auto"/>
        <w:jc w:val="left"/>
        <w:rPr>
          <w:color w:val="auto"/>
          <w:sz w:val="22"/>
        </w:rPr>
      </w:pPr>
      <w:r w:rsidRPr="005F1576">
        <w:rPr>
          <w:sz w:val="22"/>
        </w:rPr>
        <w:t>The diagnosis of CNC is principally set by clinical criteria and can be confirmed by molecular testing, which has a</w:t>
      </w:r>
      <w:r w:rsidR="009A1C9C" w:rsidRPr="005F1576">
        <w:rPr>
          <w:sz w:val="22"/>
        </w:rPr>
        <w:t xml:space="preserve"> </w:t>
      </w:r>
      <w:r w:rsidRPr="005F1576">
        <w:rPr>
          <w:sz w:val="22"/>
        </w:rPr>
        <w:t>mutation detection rate of approximately 60-70%</w:t>
      </w:r>
      <w:r w:rsidR="00765350">
        <w:rPr>
          <w:sz w:val="22"/>
        </w:rPr>
        <w:t>. Genetic testing</w:t>
      </w:r>
      <w:r w:rsidRPr="005F1576">
        <w:rPr>
          <w:sz w:val="22"/>
        </w:rPr>
        <w:t xml:space="preserve"> currently can only be recommended either as an adjunctive test for individuals who meet the clinical criteria or for the detection of affected</w:t>
      </w:r>
      <w:r w:rsidR="009A1C9C" w:rsidRPr="005F1576">
        <w:rPr>
          <w:sz w:val="22"/>
        </w:rPr>
        <w:t xml:space="preserve"> </w:t>
      </w:r>
      <w:r w:rsidRPr="005F1576">
        <w:rPr>
          <w:sz w:val="22"/>
        </w:rPr>
        <w:t>members of families where the index case harbors a known mutation, in order to avoid</w:t>
      </w:r>
      <w:r w:rsidR="009A1C9C" w:rsidRPr="005F1576">
        <w:rPr>
          <w:sz w:val="22"/>
        </w:rPr>
        <w:t xml:space="preserve"> </w:t>
      </w:r>
      <w:r w:rsidRPr="005F1576">
        <w:rPr>
          <w:sz w:val="22"/>
        </w:rPr>
        <w:t xml:space="preserve">unnecessary medical surveillance of </w:t>
      </w:r>
      <w:r w:rsidRPr="00EC2EA6">
        <w:rPr>
          <w:color w:val="auto"/>
          <w:sz w:val="22"/>
        </w:rPr>
        <w:t xml:space="preserve">non-carriers </w:t>
      </w:r>
      <w:r w:rsidR="007F38A6" w:rsidRPr="00EC2EA6">
        <w:rPr>
          <w:color w:val="auto"/>
          <w:sz w:val="22"/>
        </w:rPr>
        <w:fldChar w:fldCharType="begin" w:fldLock="1"/>
      </w:r>
      <w:r w:rsidR="006644FA" w:rsidRPr="00EC2EA6">
        <w:rPr>
          <w:color w:val="auto"/>
          <w:sz w:val="22"/>
        </w:rPr>
        <w:instrText>ADDIN CSL_CITATION {"citationItems":[{"id":"ITEM-1","itemData":{"DOI":"10.1530/EJE-20-1120","ISSN":"0804-4643","abstract":"Described for the first time in 1985, Carney complex (CNC) is a rare dominantly inherited multiple neoplasia syndrome with almost full penetrance and characterized by both endocrine – primary pigmented nodular adrenocortical disease with Cushing’s syndrome, acromegaly and thyroid tumors – and non-endocrine manifestations such as cardiac, cutaneous and mucosal myxomas, pigmented cutaneous lesions, psammomatous melanotic schwannoma, osteochondromyxoma and a wide range of other tumours with potential malignancy. The pathophysiology of CNC is a model of dysregulation of the cAMP/PKA signalling in human diseases. As described 20 years ago, inactivating heterozygous mutations of PRKAR1A formerly known as CNC1 , encoding the regulatory subunit 1α of protein kinase A, are identified in more than 70% of the index cases, while inactivating mutations of genes encoding phosphodiesterases are found in rare and particular forms of the complex. There is at present no medical specific treatment for CNC, every confirmed or suspected CNC patient should be managed by a multi-disciplinary team according to each manifestation of the disease and offered a long-term follow-up and genetic counselling. The better knowledge that we have now of this fascinating rare disease and its genetics will help to improve patients outcome.","author":[{"dropping-particle":"","family":"Bouys","given":"Lucas","non-dropping-particle":"","parse-names":false,"suffix":""},{"dropping-particle":"","family":"Bertherat","given":"Jérôme","non-dropping-particle":"","parse-names":false,"suffix":""}],"container-title":"European Journal of Endocrinology","id":"ITEM-1","issue":"3","issued":{"date-parts":[["2021","3"]]},"page":"R99-R109","title":"MANAGEMENT OF ENDOCRINE DISEASE: Carney complex: clinical and genetic update 20 years after the identification of the CNC1 (PRKAR1A) gene","type":"article-journal","volume":"184"},"uris":["http://www.mendeley.com/documents/?uuid=753753d2-d62d-3abb-a7d0-95d6f8c284c7"]}],"mendeley":{"formattedCitation":"(1)","plainTextFormattedCitation":"(1)","previouslyFormattedCitation":"(1)"},"properties":{"noteIndex":0},"schema":"https://github.com/citation-style-language/schema/raw/master/csl-citation.json"}</w:instrText>
      </w:r>
      <w:r w:rsidR="007F38A6" w:rsidRPr="00EC2EA6">
        <w:rPr>
          <w:color w:val="auto"/>
          <w:sz w:val="22"/>
        </w:rPr>
        <w:fldChar w:fldCharType="separate"/>
      </w:r>
      <w:r w:rsidR="006644FA" w:rsidRPr="00EC2EA6">
        <w:rPr>
          <w:noProof/>
          <w:color w:val="auto"/>
          <w:sz w:val="22"/>
        </w:rPr>
        <w:t>(1)</w:t>
      </w:r>
      <w:r w:rsidR="007F38A6" w:rsidRPr="00EC2EA6">
        <w:rPr>
          <w:color w:val="auto"/>
          <w:sz w:val="22"/>
        </w:rPr>
        <w:fldChar w:fldCharType="end"/>
      </w:r>
      <w:r w:rsidRPr="00EC2EA6">
        <w:rPr>
          <w:color w:val="auto"/>
          <w:sz w:val="22"/>
        </w:rPr>
        <w:t>.</w:t>
      </w:r>
    </w:p>
    <w:p w14:paraId="00C09166" w14:textId="77777777" w:rsidR="00547ED8" w:rsidRPr="005F1576" w:rsidRDefault="00547ED8" w:rsidP="005F1576">
      <w:pPr>
        <w:spacing w:before="0" w:line="276" w:lineRule="auto"/>
        <w:jc w:val="left"/>
        <w:rPr>
          <w:color w:val="4472C4" w:themeColor="accent1"/>
          <w:sz w:val="22"/>
        </w:rPr>
      </w:pPr>
    </w:p>
    <w:p w14:paraId="514C6473" w14:textId="3C38B161" w:rsidR="009F7992" w:rsidRPr="00EC2EA6" w:rsidRDefault="009F7992" w:rsidP="005F1576">
      <w:pPr>
        <w:spacing w:before="0" w:line="276" w:lineRule="auto"/>
        <w:jc w:val="left"/>
        <w:rPr>
          <w:color w:val="auto"/>
          <w:sz w:val="22"/>
        </w:rPr>
      </w:pPr>
      <w:r w:rsidRPr="005F1576">
        <w:rPr>
          <w:sz w:val="22"/>
        </w:rPr>
        <w:t>The following clinical criteria were initially proposed in 1998</w:t>
      </w:r>
      <w:r w:rsidR="00983D6F" w:rsidRPr="005F1576">
        <w:rPr>
          <w:sz w:val="22"/>
        </w:rPr>
        <w:t>, were</w:t>
      </w:r>
      <w:r w:rsidRPr="005F1576">
        <w:rPr>
          <w:sz w:val="22"/>
        </w:rPr>
        <w:t xml:space="preserve"> revised in 2001</w:t>
      </w:r>
      <w:r w:rsidR="006644FA">
        <w:rPr>
          <w:sz w:val="22"/>
        </w:rPr>
        <w:t>,</w:t>
      </w:r>
      <w:r w:rsidRPr="005F1576">
        <w:rPr>
          <w:sz w:val="22"/>
        </w:rPr>
        <w:t xml:space="preserve"> and have </w:t>
      </w:r>
      <w:r w:rsidR="00983D6F" w:rsidRPr="005F1576">
        <w:rPr>
          <w:sz w:val="22"/>
        </w:rPr>
        <w:t xml:space="preserve">not been modified since then. They yield </w:t>
      </w:r>
      <w:r w:rsidRPr="005F1576">
        <w:rPr>
          <w:sz w:val="22"/>
        </w:rPr>
        <w:t>a</w:t>
      </w:r>
      <w:r w:rsidR="009A1C9C" w:rsidRPr="005F1576">
        <w:rPr>
          <w:sz w:val="22"/>
        </w:rPr>
        <w:t xml:space="preserve"> </w:t>
      </w:r>
      <w:r w:rsidRPr="005F1576">
        <w:rPr>
          <w:sz w:val="22"/>
        </w:rPr>
        <w:t>sensitivity of nearly 98%. They include 12 clinical manifestations that set the major criteria for</w:t>
      </w:r>
      <w:r w:rsidR="009A1C9C" w:rsidRPr="005F1576">
        <w:rPr>
          <w:sz w:val="22"/>
        </w:rPr>
        <w:t xml:space="preserve"> </w:t>
      </w:r>
      <w:r w:rsidRPr="005F1576">
        <w:rPr>
          <w:sz w:val="22"/>
        </w:rPr>
        <w:t>diagnosis, as well as 2 supplemental criteria regarding molecular testing and family history. At</w:t>
      </w:r>
      <w:r w:rsidR="009A1C9C" w:rsidRPr="005F1576">
        <w:rPr>
          <w:sz w:val="22"/>
        </w:rPr>
        <w:t xml:space="preserve"> </w:t>
      </w:r>
      <w:r w:rsidRPr="005F1576">
        <w:rPr>
          <w:sz w:val="22"/>
        </w:rPr>
        <w:t>least two major criteria need to be present to establish the diagnosis of CNC and their</w:t>
      </w:r>
      <w:r w:rsidR="009A1C9C" w:rsidRPr="005F1576">
        <w:rPr>
          <w:sz w:val="22"/>
        </w:rPr>
        <w:t xml:space="preserve"> </w:t>
      </w:r>
      <w:r w:rsidRPr="005F1576">
        <w:rPr>
          <w:sz w:val="22"/>
        </w:rPr>
        <w:t>occurrence has to be confirmed either biochemically, histologically</w:t>
      </w:r>
      <w:r w:rsidR="00765350">
        <w:rPr>
          <w:sz w:val="22"/>
        </w:rPr>
        <w:t>,</w:t>
      </w:r>
      <w:r w:rsidRPr="005F1576">
        <w:rPr>
          <w:sz w:val="22"/>
        </w:rPr>
        <w:t xml:space="preserve"> or by imaging as indicated.</w:t>
      </w:r>
      <w:r w:rsidR="009A1C9C" w:rsidRPr="005F1576">
        <w:rPr>
          <w:sz w:val="22"/>
        </w:rPr>
        <w:t xml:space="preserve"> </w:t>
      </w:r>
      <w:r w:rsidRPr="005F1576">
        <w:rPr>
          <w:sz w:val="22"/>
        </w:rPr>
        <w:t xml:space="preserve">In the presence of one supplemental criterion, a single clinical manifestation is sufficient to </w:t>
      </w:r>
      <w:r w:rsidR="00765350">
        <w:rPr>
          <w:sz w:val="22"/>
        </w:rPr>
        <w:t>establish</w:t>
      </w:r>
      <w:r w:rsidR="009A1C9C" w:rsidRPr="005F1576">
        <w:rPr>
          <w:sz w:val="22"/>
        </w:rPr>
        <w:t xml:space="preserve"> </w:t>
      </w:r>
      <w:r w:rsidRPr="005F1576">
        <w:rPr>
          <w:sz w:val="22"/>
        </w:rPr>
        <w:t xml:space="preserve">the </w:t>
      </w:r>
      <w:r w:rsidRPr="00EC2EA6">
        <w:rPr>
          <w:color w:val="auto"/>
          <w:sz w:val="22"/>
        </w:rPr>
        <w:t xml:space="preserve">diagnosis </w:t>
      </w:r>
      <w:r w:rsidR="006833B6" w:rsidRPr="00EC2EA6">
        <w:rPr>
          <w:color w:val="auto"/>
          <w:sz w:val="22"/>
        </w:rPr>
        <w:fldChar w:fldCharType="begin" w:fldLock="1"/>
      </w:r>
      <w:r w:rsidR="006644FA" w:rsidRPr="00EC2EA6">
        <w:rPr>
          <w:color w:val="auto"/>
          <w:sz w:val="22"/>
        </w:rPr>
        <w:instrText>ADDIN CSL_CITATION {"citationItems":[{"id":"ITEM-1","itemData":{"ISSN":"0021-972X (Print) 0021-972X (Linking)","author":[{"dropping-particle":"","family":"Stratakis","given":"C A","non-dropping-particle":"","parse-names":false,"suffix":""},{"dropping-particle":"","family":"Kirschner","given":"L S","non-dropping-particle":"","parse-names":false,"suffix":""},{"dropping-particle":"","family":"Carney","given":"J A","non-dropping-particle":"","parse-names":false,"suffix":""}],"container-title":"J Clin Endocrinol Metab","id":"ITEM-1","issue":"9","issued":{"date-parts":[["2001"]]},"page":"4041-4046","title":"Clinical and molecular features of the Carney complex: diagnostic criteria and recommendations for patient evaluation","type":"article-journal","volume":"86"},"uris":["http://www.mendeley.com/documents/?uuid=19410673-9d33-4124-bcb6-d75d5991d45b"]}],"mendeley":{"formattedCitation":"(44)","plainTextFormattedCitation":"(44)","previouslyFormattedCitation":"(44)"},"properties":{"noteIndex":0},"schema":"https://github.com/citation-style-language/schema/raw/master/csl-citation.json"}</w:instrText>
      </w:r>
      <w:r w:rsidR="006833B6" w:rsidRPr="00EC2EA6">
        <w:rPr>
          <w:color w:val="auto"/>
          <w:sz w:val="22"/>
        </w:rPr>
        <w:fldChar w:fldCharType="separate"/>
      </w:r>
      <w:r w:rsidR="006644FA" w:rsidRPr="00EC2EA6">
        <w:rPr>
          <w:noProof/>
          <w:color w:val="auto"/>
          <w:sz w:val="22"/>
        </w:rPr>
        <w:t>(44)</w:t>
      </w:r>
      <w:r w:rsidR="006833B6" w:rsidRPr="00EC2EA6">
        <w:rPr>
          <w:color w:val="auto"/>
          <w:sz w:val="22"/>
        </w:rPr>
        <w:fldChar w:fldCharType="end"/>
      </w:r>
      <w:r w:rsidRPr="00EC2EA6">
        <w:rPr>
          <w:color w:val="auto"/>
          <w:sz w:val="22"/>
        </w:rPr>
        <w:t>.</w:t>
      </w:r>
    </w:p>
    <w:p w14:paraId="0D76D222" w14:textId="77777777" w:rsidR="00547ED8" w:rsidRDefault="009A1C9C" w:rsidP="005F1576">
      <w:pPr>
        <w:pStyle w:val="Heading2"/>
        <w:spacing w:before="0" w:line="276" w:lineRule="auto"/>
        <w:jc w:val="left"/>
        <w:rPr>
          <w:sz w:val="22"/>
        </w:rPr>
      </w:pPr>
      <w:r w:rsidRPr="005F1576">
        <w:rPr>
          <w:sz w:val="22"/>
        </w:rPr>
        <w:t xml:space="preserve"> </w:t>
      </w:r>
    </w:p>
    <w:p w14:paraId="7AB67EAB" w14:textId="7696ACF9" w:rsidR="009F7992" w:rsidRPr="00547ED8" w:rsidRDefault="009F7992" w:rsidP="005F1576">
      <w:pPr>
        <w:pStyle w:val="Heading2"/>
        <w:spacing w:before="0" w:line="276" w:lineRule="auto"/>
        <w:jc w:val="left"/>
        <w:rPr>
          <w:color w:val="00B050"/>
          <w:sz w:val="22"/>
        </w:rPr>
      </w:pPr>
      <w:r w:rsidRPr="00547ED8">
        <w:rPr>
          <w:color w:val="00B050"/>
          <w:sz w:val="22"/>
        </w:rPr>
        <w:lastRenderedPageBreak/>
        <w:t>Major Criteria</w:t>
      </w:r>
    </w:p>
    <w:p w14:paraId="1019E0AC" w14:textId="77777777" w:rsidR="00547ED8" w:rsidRDefault="009A1C9C" w:rsidP="005F1576">
      <w:pPr>
        <w:spacing w:before="0" w:line="276" w:lineRule="auto"/>
        <w:jc w:val="left"/>
        <w:rPr>
          <w:b/>
          <w:bCs/>
          <w:sz w:val="22"/>
        </w:rPr>
      </w:pPr>
      <w:r w:rsidRPr="005F1576">
        <w:rPr>
          <w:b/>
          <w:bCs/>
          <w:sz w:val="22"/>
        </w:rPr>
        <w:t xml:space="preserve"> </w:t>
      </w:r>
    </w:p>
    <w:p w14:paraId="46265FBB" w14:textId="2268232B" w:rsidR="009F7992" w:rsidRPr="00547ED8" w:rsidRDefault="009F7992" w:rsidP="005F1576">
      <w:pPr>
        <w:spacing w:before="0" w:line="276" w:lineRule="auto"/>
        <w:jc w:val="left"/>
        <w:rPr>
          <w:b/>
          <w:bCs/>
          <w:sz w:val="22"/>
        </w:rPr>
      </w:pPr>
      <w:r w:rsidRPr="00547ED8">
        <w:rPr>
          <w:b/>
          <w:bCs/>
          <w:sz w:val="22"/>
        </w:rPr>
        <w:t>Skin pigmentation disorders</w:t>
      </w:r>
    </w:p>
    <w:p w14:paraId="49335B48" w14:textId="49B46609" w:rsidR="009F7992" w:rsidRPr="005F1576" w:rsidRDefault="009F7992" w:rsidP="005F1576">
      <w:pPr>
        <w:spacing w:before="0" w:line="276" w:lineRule="auto"/>
        <w:jc w:val="left"/>
        <w:rPr>
          <w:sz w:val="22"/>
        </w:rPr>
      </w:pPr>
      <w:r w:rsidRPr="005F1576">
        <w:rPr>
          <w:sz w:val="22"/>
        </w:rPr>
        <w:t>1. Spotty skin pigmentation with a typical distribution (vermilion border of the lips, conjunctiva</w:t>
      </w:r>
      <w:r w:rsidR="006644FA">
        <w:rPr>
          <w:sz w:val="22"/>
        </w:rPr>
        <w:t>,</w:t>
      </w:r>
      <w:r w:rsidRPr="005F1576">
        <w:rPr>
          <w:sz w:val="22"/>
        </w:rPr>
        <w:t xml:space="preserve"> and inner or outer canthi, vaginal and penile mucosa)</w:t>
      </w:r>
    </w:p>
    <w:p w14:paraId="1BFCEA2F" w14:textId="77777777" w:rsidR="00547ED8" w:rsidRDefault="009F7992" w:rsidP="005F1576">
      <w:pPr>
        <w:spacing w:before="0" w:line="276" w:lineRule="auto"/>
        <w:jc w:val="left"/>
        <w:rPr>
          <w:sz w:val="22"/>
        </w:rPr>
      </w:pPr>
      <w:r w:rsidRPr="005F1576">
        <w:rPr>
          <w:sz w:val="22"/>
        </w:rPr>
        <w:t>2. Blue nevus, epithelioid blue nevus (multiple)*</w:t>
      </w:r>
      <w:r w:rsidR="009A1C9C" w:rsidRPr="005F1576">
        <w:rPr>
          <w:sz w:val="22"/>
        </w:rPr>
        <w:t xml:space="preserve"> </w:t>
      </w:r>
    </w:p>
    <w:p w14:paraId="5241A489" w14:textId="25C54536" w:rsidR="009F7992" w:rsidRPr="00547ED8" w:rsidRDefault="009F7992" w:rsidP="005F1576">
      <w:pPr>
        <w:spacing w:before="0" w:line="276" w:lineRule="auto"/>
        <w:jc w:val="left"/>
        <w:rPr>
          <w:b/>
          <w:bCs/>
          <w:sz w:val="22"/>
        </w:rPr>
      </w:pPr>
      <w:r w:rsidRPr="00547ED8">
        <w:rPr>
          <w:b/>
          <w:bCs/>
          <w:sz w:val="22"/>
        </w:rPr>
        <w:t>Myxomas</w:t>
      </w:r>
    </w:p>
    <w:p w14:paraId="3B51EB45" w14:textId="77777777" w:rsidR="009F7992" w:rsidRPr="005F1576" w:rsidRDefault="009F7992" w:rsidP="005F1576">
      <w:pPr>
        <w:spacing w:before="0" w:line="276" w:lineRule="auto"/>
        <w:jc w:val="left"/>
        <w:rPr>
          <w:sz w:val="22"/>
        </w:rPr>
      </w:pPr>
      <w:r w:rsidRPr="005F1576">
        <w:rPr>
          <w:sz w:val="22"/>
        </w:rPr>
        <w:t>3. Cutaneous and mucosal myxomas*</w:t>
      </w:r>
    </w:p>
    <w:p w14:paraId="0CCDC2C0" w14:textId="77777777" w:rsidR="00983D6F" w:rsidRPr="005F1576" w:rsidRDefault="009F7992" w:rsidP="005F1576">
      <w:pPr>
        <w:spacing w:before="0" w:line="276" w:lineRule="auto"/>
        <w:jc w:val="left"/>
        <w:rPr>
          <w:sz w:val="22"/>
        </w:rPr>
      </w:pPr>
      <w:r w:rsidRPr="005F1576">
        <w:rPr>
          <w:sz w:val="22"/>
        </w:rPr>
        <w:t>4. Cardiac myxomas*</w:t>
      </w:r>
      <w:r w:rsidR="009A1C9C" w:rsidRPr="005F1576">
        <w:rPr>
          <w:sz w:val="22"/>
        </w:rPr>
        <w:t xml:space="preserve"> </w:t>
      </w:r>
    </w:p>
    <w:p w14:paraId="3BE80C67" w14:textId="77777777" w:rsidR="00983D6F" w:rsidRPr="005F1576" w:rsidRDefault="009F7992" w:rsidP="005F1576">
      <w:pPr>
        <w:spacing w:before="0" w:line="276" w:lineRule="auto"/>
        <w:jc w:val="left"/>
        <w:rPr>
          <w:sz w:val="22"/>
        </w:rPr>
      </w:pPr>
      <w:r w:rsidRPr="005F1576">
        <w:rPr>
          <w:sz w:val="22"/>
        </w:rPr>
        <w:t>5. Breast myxomatosis* or fat-suppressed magnetic resonance imaging findings suggestive of</w:t>
      </w:r>
      <w:r w:rsidR="009A1C9C" w:rsidRPr="005F1576">
        <w:rPr>
          <w:sz w:val="22"/>
        </w:rPr>
        <w:t xml:space="preserve"> </w:t>
      </w:r>
      <w:r w:rsidRPr="005F1576">
        <w:rPr>
          <w:sz w:val="22"/>
        </w:rPr>
        <w:t>this diagnosis</w:t>
      </w:r>
      <w:r w:rsidR="009A1C9C" w:rsidRPr="005F1576">
        <w:rPr>
          <w:sz w:val="22"/>
        </w:rPr>
        <w:t xml:space="preserve"> </w:t>
      </w:r>
    </w:p>
    <w:p w14:paraId="0AAD9DF3" w14:textId="77777777" w:rsidR="00547ED8" w:rsidRDefault="009F7992" w:rsidP="005F1576">
      <w:pPr>
        <w:spacing w:before="0" w:line="276" w:lineRule="auto"/>
        <w:jc w:val="left"/>
        <w:rPr>
          <w:sz w:val="22"/>
        </w:rPr>
      </w:pPr>
      <w:r w:rsidRPr="005F1576">
        <w:rPr>
          <w:sz w:val="22"/>
        </w:rPr>
        <w:t>6. Osteochondromyxoma*</w:t>
      </w:r>
      <w:r w:rsidR="009A1C9C" w:rsidRPr="005F1576">
        <w:rPr>
          <w:sz w:val="22"/>
        </w:rPr>
        <w:t xml:space="preserve"> </w:t>
      </w:r>
    </w:p>
    <w:p w14:paraId="1F677AB9" w14:textId="56FEDE93" w:rsidR="00983D6F" w:rsidRPr="00547ED8" w:rsidRDefault="009F7992" w:rsidP="005F1576">
      <w:pPr>
        <w:spacing w:before="0" w:line="276" w:lineRule="auto"/>
        <w:jc w:val="left"/>
        <w:rPr>
          <w:b/>
          <w:bCs/>
          <w:sz w:val="22"/>
        </w:rPr>
      </w:pPr>
      <w:r w:rsidRPr="00547ED8">
        <w:rPr>
          <w:b/>
          <w:bCs/>
          <w:sz w:val="22"/>
        </w:rPr>
        <w:t>Endocrine tumors / Overactivity</w:t>
      </w:r>
      <w:r w:rsidR="009A1C9C" w:rsidRPr="00547ED8">
        <w:rPr>
          <w:b/>
          <w:bCs/>
          <w:sz w:val="22"/>
        </w:rPr>
        <w:t xml:space="preserve"> </w:t>
      </w:r>
    </w:p>
    <w:p w14:paraId="10BA5F46" w14:textId="77777777" w:rsidR="00983D6F" w:rsidRPr="005F1576" w:rsidRDefault="009F7992" w:rsidP="005F1576">
      <w:pPr>
        <w:spacing w:before="0" w:line="276" w:lineRule="auto"/>
        <w:jc w:val="left"/>
        <w:rPr>
          <w:sz w:val="22"/>
        </w:rPr>
      </w:pPr>
      <w:r w:rsidRPr="005F1576">
        <w:rPr>
          <w:sz w:val="22"/>
        </w:rPr>
        <w:t>7. Primary pigmented nodular adrenal dysplasia (PPNAD)* or a paradoxical positive response of</w:t>
      </w:r>
      <w:r w:rsidR="009A1C9C" w:rsidRPr="005F1576">
        <w:rPr>
          <w:sz w:val="22"/>
        </w:rPr>
        <w:t xml:space="preserve"> </w:t>
      </w:r>
      <w:r w:rsidRPr="005F1576">
        <w:rPr>
          <w:sz w:val="22"/>
        </w:rPr>
        <w:t>urinary glucocorticosteroids to dexamethasone administration during Liddle’s test</w:t>
      </w:r>
      <w:r w:rsidR="009A1C9C" w:rsidRPr="005F1576">
        <w:rPr>
          <w:sz w:val="22"/>
        </w:rPr>
        <w:t xml:space="preserve"> </w:t>
      </w:r>
    </w:p>
    <w:p w14:paraId="1F88D7DB" w14:textId="77777777" w:rsidR="00983D6F" w:rsidRPr="005F1576" w:rsidRDefault="009F7992" w:rsidP="005F1576">
      <w:pPr>
        <w:spacing w:before="0" w:line="276" w:lineRule="auto"/>
        <w:jc w:val="left"/>
        <w:rPr>
          <w:sz w:val="22"/>
        </w:rPr>
      </w:pPr>
      <w:r w:rsidRPr="005F1576">
        <w:rPr>
          <w:sz w:val="22"/>
        </w:rPr>
        <w:t>8. Acromegaly due to GH-producing adenoma or evidence of excess GH production</w:t>
      </w:r>
      <w:r w:rsidR="009A1C9C" w:rsidRPr="005F1576">
        <w:rPr>
          <w:sz w:val="22"/>
        </w:rPr>
        <w:t xml:space="preserve"> </w:t>
      </w:r>
    </w:p>
    <w:p w14:paraId="7ABF0EDB" w14:textId="77777777" w:rsidR="007F38A6" w:rsidRPr="005F1576" w:rsidRDefault="009F7992" w:rsidP="005F1576">
      <w:pPr>
        <w:spacing w:before="0" w:line="276" w:lineRule="auto"/>
        <w:jc w:val="left"/>
        <w:rPr>
          <w:sz w:val="22"/>
        </w:rPr>
      </w:pPr>
      <w:r w:rsidRPr="005F1576">
        <w:rPr>
          <w:sz w:val="22"/>
        </w:rPr>
        <w:t>9. Large-Cell Calcifying Sertoli Cell Tumor (LCCSCT)* or characteristic calcification on testicular</w:t>
      </w:r>
      <w:r w:rsidR="009A1C9C" w:rsidRPr="005F1576">
        <w:rPr>
          <w:sz w:val="22"/>
        </w:rPr>
        <w:t xml:space="preserve"> </w:t>
      </w:r>
      <w:r w:rsidRPr="005F1576">
        <w:rPr>
          <w:sz w:val="22"/>
        </w:rPr>
        <w:t>ultrasonography</w:t>
      </w:r>
      <w:r w:rsidR="009A1C9C" w:rsidRPr="005F1576">
        <w:rPr>
          <w:sz w:val="22"/>
        </w:rPr>
        <w:t xml:space="preserve"> </w:t>
      </w:r>
    </w:p>
    <w:p w14:paraId="793DA3A2" w14:textId="77777777" w:rsidR="00547ED8" w:rsidRDefault="009F7992" w:rsidP="005F1576">
      <w:pPr>
        <w:spacing w:before="0" w:line="276" w:lineRule="auto"/>
        <w:jc w:val="left"/>
        <w:rPr>
          <w:sz w:val="22"/>
        </w:rPr>
      </w:pPr>
      <w:r w:rsidRPr="005F1576">
        <w:rPr>
          <w:sz w:val="22"/>
        </w:rPr>
        <w:t>10. Thyroid carcinoma* or multiple, hypoechoic nodules on thyroid ultrasonography, in a young</w:t>
      </w:r>
      <w:r w:rsidR="009A1C9C" w:rsidRPr="005F1576">
        <w:rPr>
          <w:sz w:val="22"/>
        </w:rPr>
        <w:t xml:space="preserve"> </w:t>
      </w:r>
      <w:r w:rsidRPr="005F1576">
        <w:rPr>
          <w:sz w:val="22"/>
        </w:rPr>
        <w:t>patient</w:t>
      </w:r>
      <w:r w:rsidR="009A1C9C" w:rsidRPr="005F1576">
        <w:rPr>
          <w:sz w:val="22"/>
        </w:rPr>
        <w:t xml:space="preserve"> </w:t>
      </w:r>
    </w:p>
    <w:p w14:paraId="44775E96" w14:textId="41912B79" w:rsidR="007F38A6" w:rsidRPr="00547ED8" w:rsidRDefault="009F7992" w:rsidP="005F1576">
      <w:pPr>
        <w:spacing w:before="0" w:line="276" w:lineRule="auto"/>
        <w:jc w:val="left"/>
        <w:rPr>
          <w:b/>
          <w:bCs/>
          <w:sz w:val="22"/>
        </w:rPr>
      </w:pPr>
      <w:r w:rsidRPr="00547ED8">
        <w:rPr>
          <w:b/>
          <w:bCs/>
          <w:sz w:val="22"/>
        </w:rPr>
        <w:t>Miscellaneous</w:t>
      </w:r>
      <w:r w:rsidR="009A1C9C" w:rsidRPr="00547ED8">
        <w:rPr>
          <w:b/>
          <w:bCs/>
          <w:sz w:val="22"/>
        </w:rPr>
        <w:t xml:space="preserve"> </w:t>
      </w:r>
    </w:p>
    <w:p w14:paraId="7441696A" w14:textId="77777777" w:rsidR="007F38A6" w:rsidRPr="005F1576" w:rsidRDefault="009F7992" w:rsidP="005F1576">
      <w:pPr>
        <w:spacing w:before="0" w:line="276" w:lineRule="auto"/>
        <w:jc w:val="left"/>
        <w:rPr>
          <w:sz w:val="22"/>
        </w:rPr>
      </w:pPr>
      <w:r w:rsidRPr="005F1576">
        <w:rPr>
          <w:sz w:val="22"/>
        </w:rPr>
        <w:t>11. Psammomatous Melanotic Schwannoma*</w:t>
      </w:r>
      <w:r w:rsidR="009A1C9C" w:rsidRPr="005F1576">
        <w:rPr>
          <w:sz w:val="22"/>
        </w:rPr>
        <w:t xml:space="preserve"> </w:t>
      </w:r>
    </w:p>
    <w:p w14:paraId="1F06F830" w14:textId="77777777" w:rsidR="007F38A6" w:rsidRPr="005F1576" w:rsidRDefault="009F7992" w:rsidP="005F1576">
      <w:pPr>
        <w:spacing w:before="0" w:line="276" w:lineRule="auto"/>
        <w:jc w:val="left"/>
        <w:rPr>
          <w:sz w:val="22"/>
        </w:rPr>
      </w:pPr>
      <w:r w:rsidRPr="005F1576">
        <w:rPr>
          <w:sz w:val="22"/>
        </w:rPr>
        <w:t>12. Breast ductal adenoma*</w:t>
      </w:r>
      <w:r w:rsidR="009A1C9C" w:rsidRPr="005F1576">
        <w:rPr>
          <w:sz w:val="22"/>
        </w:rPr>
        <w:t xml:space="preserve"> </w:t>
      </w:r>
    </w:p>
    <w:p w14:paraId="50BB8531" w14:textId="622776D7" w:rsidR="009F7992" w:rsidRPr="005F1576" w:rsidRDefault="009F7992" w:rsidP="005F1576">
      <w:pPr>
        <w:spacing w:before="0" w:line="276" w:lineRule="auto"/>
        <w:jc w:val="left"/>
        <w:rPr>
          <w:sz w:val="22"/>
        </w:rPr>
      </w:pPr>
      <w:r w:rsidRPr="005F1576">
        <w:rPr>
          <w:sz w:val="22"/>
        </w:rPr>
        <w:t xml:space="preserve">* </w:t>
      </w:r>
      <w:proofErr w:type="gramStart"/>
      <w:r w:rsidRPr="005F1576">
        <w:rPr>
          <w:sz w:val="22"/>
        </w:rPr>
        <w:t>histologically</w:t>
      </w:r>
      <w:proofErr w:type="gramEnd"/>
      <w:r w:rsidRPr="005F1576">
        <w:rPr>
          <w:sz w:val="22"/>
        </w:rPr>
        <w:t xml:space="preserve"> confirmed</w:t>
      </w:r>
    </w:p>
    <w:p w14:paraId="774B7B47" w14:textId="77777777" w:rsidR="00547ED8" w:rsidRDefault="009A1C9C" w:rsidP="005F1576">
      <w:pPr>
        <w:spacing w:before="0" w:line="276" w:lineRule="auto"/>
        <w:jc w:val="left"/>
        <w:rPr>
          <w:sz w:val="22"/>
        </w:rPr>
      </w:pPr>
      <w:r w:rsidRPr="005F1576">
        <w:rPr>
          <w:sz w:val="22"/>
        </w:rPr>
        <w:t xml:space="preserve"> </w:t>
      </w:r>
    </w:p>
    <w:p w14:paraId="2A823224" w14:textId="13567822" w:rsidR="007F38A6" w:rsidRPr="005F1576" w:rsidRDefault="009F7992" w:rsidP="005F1576">
      <w:pPr>
        <w:spacing w:before="0" w:line="276" w:lineRule="auto"/>
        <w:jc w:val="left"/>
        <w:rPr>
          <w:rStyle w:val="Heading2Char"/>
          <w:sz w:val="22"/>
        </w:rPr>
      </w:pPr>
      <w:r w:rsidRPr="005F1576">
        <w:rPr>
          <w:rStyle w:val="Heading2Char"/>
          <w:sz w:val="22"/>
        </w:rPr>
        <w:t>Supplemental Criteria</w:t>
      </w:r>
      <w:r w:rsidR="009A1C9C" w:rsidRPr="005F1576">
        <w:rPr>
          <w:rStyle w:val="Heading2Char"/>
          <w:sz w:val="22"/>
        </w:rPr>
        <w:t xml:space="preserve"> </w:t>
      </w:r>
    </w:p>
    <w:p w14:paraId="51228099" w14:textId="77777777" w:rsidR="007F38A6" w:rsidRPr="005F1576" w:rsidRDefault="009F7992" w:rsidP="005F1576">
      <w:pPr>
        <w:spacing w:before="0" w:line="276" w:lineRule="auto"/>
        <w:jc w:val="left"/>
        <w:rPr>
          <w:sz w:val="22"/>
        </w:rPr>
      </w:pPr>
      <w:r w:rsidRPr="005F1576">
        <w:rPr>
          <w:sz w:val="22"/>
        </w:rPr>
        <w:t>1. Affected first-degree relative</w:t>
      </w:r>
      <w:r w:rsidR="009A1C9C" w:rsidRPr="005F1576">
        <w:rPr>
          <w:sz w:val="22"/>
        </w:rPr>
        <w:t xml:space="preserve"> </w:t>
      </w:r>
    </w:p>
    <w:p w14:paraId="44F17B72" w14:textId="371C3B7A" w:rsidR="009F7992" w:rsidRPr="005F1576" w:rsidRDefault="009F7992" w:rsidP="005F1576">
      <w:pPr>
        <w:spacing w:before="0" w:line="276" w:lineRule="auto"/>
        <w:jc w:val="left"/>
        <w:rPr>
          <w:sz w:val="22"/>
        </w:rPr>
      </w:pPr>
      <w:r w:rsidRPr="005F1576">
        <w:rPr>
          <w:sz w:val="22"/>
        </w:rPr>
        <w:t xml:space="preserve">2. Inactivating mutation of the </w:t>
      </w:r>
      <w:r w:rsidRPr="005F1576">
        <w:rPr>
          <w:i/>
          <w:iCs/>
          <w:sz w:val="22"/>
        </w:rPr>
        <w:t xml:space="preserve">PRKAR1A </w:t>
      </w:r>
      <w:r w:rsidRPr="005F1576">
        <w:rPr>
          <w:sz w:val="22"/>
        </w:rPr>
        <w:t>gene</w:t>
      </w:r>
    </w:p>
    <w:p w14:paraId="567BEA78" w14:textId="77777777" w:rsidR="009F7992" w:rsidRPr="005F1576" w:rsidRDefault="009F7992" w:rsidP="005F1576">
      <w:pPr>
        <w:spacing w:before="0" w:line="276" w:lineRule="auto"/>
        <w:jc w:val="left"/>
        <w:rPr>
          <w:sz w:val="22"/>
        </w:rPr>
      </w:pPr>
    </w:p>
    <w:p w14:paraId="06037F04" w14:textId="48EC53B8" w:rsidR="00BE1434" w:rsidRPr="00DC4828" w:rsidRDefault="005049B5" w:rsidP="005F1576">
      <w:pPr>
        <w:pStyle w:val="Heading1"/>
        <w:spacing w:before="0" w:line="276" w:lineRule="auto"/>
        <w:jc w:val="left"/>
        <w:rPr>
          <w:color w:val="0070C0"/>
          <w:sz w:val="22"/>
        </w:rPr>
      </w:pPr>
      <w:r w:rsidRPr="00DC4828">
        <w:rPr>
          <w:color w:val="0070C0"/>
          <w:sz w:val="22"/>
        </w:rPr>
        <w:t>MANAGEMENT</w:t>
      </w:r>
    </w:p>
    <w:p w14:paraId="50387423" w14:textId="77777777" w:rsidR="00DC4828" w:rsidRDefault="00DC4828" w:rsidP="005F1576">
      <w:pPr>
        <w:spacing w:before="0" w:line="276" w:lineRule="auto"/>
        <w:jc w:val="left"/>
        <w:rPr>
          <w:sz w:val="22"/>
          <w:highlight w:val="yellow"/>
        </w:rPr>
      </w:pPr>
    </w:p>
    <w:p w14:paraId="22224A5E" w14:textId="3310FD18" w:rsidR="00111E80" w:rsidRPr="005F1576" w:rsidRDefault="002E0CD4" w:rsidP="005F1576">
      <w:pPr>
        <w:spacing w:before="0" w:line="276" w:lineRule="auto"/>
        <w:jc w:val="left"/>
        <w:rPr>
          <w:sz w:val="22"/>
        </w:rPr>
      </w:pPr>
      <w:r w:rsidRPr="00AE18E0">
        <w:rPr>
          <w:sz w:val="22"/>
        </w:rPr>
        <w:t>So far, no evidence-based monitoring schedule has been established for CNC; however, c</w:t>
      </w:r>
      <w:r w:rsidR="005049B5" w:rsidRPr="00AE18E0">
        <w:rPr>
          <w:sz w:val="22"/>
        </w:rPr>
        <w:t>linical work-up for all the manifestations of CNC should be performed at least once a year in all</w:t>
      </w:r>
      <w:r w:rsidR="009A1C9C" w:rsidRPr="00AE18E0">
        <w:rPr>
          <w:sz w:val="22"/>
        </w:rPr>
        <w:t xml:space="preserve"> </w:t>
      </w:r>
      <w:r w:rsidR="005049B5" w:rsidRPr="00AE18E0">
        <w:rPr>
          <w:sz w:val="22"/>
        </w:rPr>
        <w:t>patients</w:t>
      </w:r>
      <w:r w:rsidR="006644FA">
        <w:rPr>
          <w:sz w:val="22"/>
        </w:rPr>
        <w:t>,</w:t>
      </w:r>
      <w:r w:rsidR="005049B5" w:rsidRPr="00AE18E0">
        <w:rPr>
          <w:sz w:val="22"/>
        </w:rPr>
        <w:t xml:space="preserve"> and </w:t>
      </w:r>
      <w:r w:rsidR="00BE57F2" w:rsidRPr="00AE18E0">
        <w:rPr>
          <w:sz w:val="22"/>
        </w:rPr>
        <w:t xml:space="preserve">asymptomatic known </w:t>
      </w:r>
      <w:r w:rsidR="00F74284" w:rsidRPr="00AE18E0">
        <w:rPr>
          <w:sz w:val="22"/>
        </w:rPr>
        <w:t>mutation carriers</w:t>
      </w:r>
      <w:r w:rsidR="00F74284" w:rsidRPr="005F1576">
        <w:rPr>
          <w:sz w:val="22"/>
        </w:rPr>
        <w:t xml:space="preserve">, </w:t>
      </w:r>
      <w:r w:rsidR="005049B5" w:rsidRPr="005F1576">
        <w:rPr>
          <w:sz w:val="22"/>
        </w:rPr>
        <w:t>should start in infancy.</w:t>
      </w:r>
    </w:p>
    <w:p w14:paraId="6B8D75AB" w14:textId="77777777" w:rsidR="00DC4828" w:rsidRDefault="00DC4828" w:rsidP="005F1576">
      <w:pPr>
        <w:pStyle w:val="Heading2"/>
        <w:spacing w:before="0" w:line="276" w:lineRule="auto"/>
        <w:jc w:val="left"/>
        <w:rPr>
          <w:sz w:val="22"/>
        </w:rPr>
      </w:pPr>
    </w:p>
    <w:p w14:paraId="46403160" w14:textId="6B3F041B" w:rsidR="00111E80" w:rsidRPr="00DC4828" w:rsidRDefault="005049B5" w:rsidP="005F1576">
      <w:pPr>
        <w:pStyle w:val="Heading2"/>
        <w:spacing w:before="0" w:line="276" w:lineRule="auto"/>
        <w:jc w:val="left"/>
        <w:rPr>
          <w:color w:val="00B050"/>
          <w:sz w:val="22"/>
        </w:rPr>
      </w:pPr>
      <w:r w:rsidRPr="00DC4828">
        <w:rPr>
          <w:color w:val="00B050"/>
          <w:sz w:val="22"/>
        </w:rPr>
        <w:t>Surveillance</w:t>
      </w:r>
    </w:p>
    <w:p w14:paraId="5EBB1143" w14:textId="77777777" w:rsidR="00DC4828" w:rsidRDefault="00DC4828" w:rsidP="005F1576">
      <w:pPr>
        <w:spacing w:before="0" w:line="276" w:lineRule="auto"/>
        <w:jc w:val="left"/>
        <w:rPr>
          <w:sz w:val="22"/>
        </w:rPr>
      </w:pPr>
    </w:p>
    <w:p w14:paraId="19026609" w14:textId="2CE816AF" w:rsidR="00F74284" w:rsidRPr="00AE18E0" w:rsidRDefault="00FF0BDB" w:rsidP="005F1576">
      <w:pPr>
        <w:spacing w:before="0" w:line="276" w:lineRule="auto"/>
        <w:jc w:val="left"/>
        <w:rPr>
          <w:sz w:val="22"/>
        </w:rPr>
      </w:pPr>
      <w:r w:rsidRPr="00AE18E0">
        <w:rPr>
          <w:sz w:val="22"/>
        </w:rPr>
        <w:t>Prepubertal children should be screened as follows:</w:t>
      </w:r>
    </w:p>
    <w:p w14:paraId="6B4F13EA" w14:textId="0578C738" w:rsidR="00F74284" w:rsidRPr="00EC2EA6" w:rsidRDefault="005049B5" w:rsidP="005F1576">
      <w:pPr>
        <w:pStyle w:val="ListParagraph"/>
        <w:numPr>
          <w:ilvl w:val="0"/>
          <w:numId w:val="2"/>
        </w:numPr>
        <w:spacing w:before="0" w:line="276" w:lineRule="auto"/>
        <w:ind w:left="0" w:firstLine="0"/>
        <w:jc w:val="left"/>
        <w:rPr>
          <w:color w:val="auto"/>
          <w:sz w:val="22"/>
        </w:rPr>
      </w:pPr>
      <w:r w:rsidRPr="00AE18E0">
        <w:rPr>
          <w:sz w:val="22"/>
        </w:rPr>
        <w:t xml:space="preserve">Cardiac ultrasound should start </w:t>
      </w:r>
      <w:r w:rsidR="007309F8" w:rsidRPr="00AE18E0">
        <w:rPr>
          <w:sz w:val="22"/>
        </w:rPr>
        <w:t>as soon as the diagnosis is made, based either on clinical or genetic grounds,</w:t>
      </w:r>
      <w:r w:rsidRPr="00AE18E0">
        <w:rPr>
          <w:sz w:val="22"/>
        </w:rPr>
        <w:t xml:space="preserve"> and be performed at least once a</w:t>
      </w:r>
      <w:r w:rsidR="009A1C9C" w:rsidRPr="00AE18E0">
        <w:rPr>
          <w:sz w:val="22"/>
        </w:rPr>
        <w:t xml:space="preserve"> </w:t>
      </w:r>
      <w:r w:rsidRPr="00AE18E0">
        <w:rPr>
          <w:sz w:val="22"/>
        </w:rPr>
        <w:t>year thereafter. In patients with a history of cardiac myxoma, screening should be more</w:t>
      </w:r>
      <w:r w:rsidR="009A1C9C" w:rsidRPr="00AE18E0">
        <w:rPr>
          <w:sz w:val="22"/>
        </w:rPr>
        <w:t xml:space="preserve"> </w:t>
      </w:r>
      <w:r w:rsidRPr="00AE18E0">
        <w:rPr>
          <w:sz w:val="22"/>
        </w:rPr>
        <w:t>frequent, optimally every 6 months</w:t>
      </w:r>
      <w:r w:rsidR="00C12E66" w:rsidRPr="00AE18E0">
        <w:rPr>
          <w:sz w:val="22"/>
        </w:rPr>
        <w:t xml:space="preserve">, due to the </w:t>
      </w:r>
      <w:r w:rsidR="007309F8" w:rsidRPr="00AE18E0">
        <w:rPr>
          <w:sz w:val="22"/>
        </w:rPr>
        <w:t xml:space="preserve">increased </w:t>
      </w:r>
      <w:r w:rsidR="00C12E66" w:rsidRPr="00AE18E0">
        <w:rPr>
          <w:sz w:val="22"/>
        </w:rPr>
        <w:t xml:space="preserve">risk of </w:t>
      </w:r>
      <w:r w:rsidR="00C12E66" w:rsidRPr="00EC2EA6">
        <w:rPr>
          <w:color w:val="auto"/>
          <w:sz w:val="22"/>
        </w:rPr>
        <w:t>recurrence</w:t>
      </w:r>
      <w:r w:rsidR="00F74284" w:rsidRPr="00EC2EA6">
        <w:rPr>
          <w:color w:val="auto"/>
          <w:sz w:val="22"/>
        </w:rPr>
        <w:t xml:space="preserve"> </w:t>
      </w:r>
      <w:r w:rsidR="00F74284" w:rsidRPr="00EC2EA6">
        <w:rPr>
          <w:color w:val="auto"/>
          <w:sz w:val="22"/>
        </w:rPr>
        <w:fldChar w:fldCharType="begin" w:fldLock="1"/>
      </w:r>
      <w:r w:rsidR="006644FA" w:rsidRPr="00EC2EA6">
        <w:rPr>
          <w:color w:val="auto"/>
          <w:sz w:val="22"/>
        </w:rPr>
        <w:instrText>ADDIN CSL_CITATION {"citationItems":[{"id":"ITEM-1","itemData":{"DOI":"10.1038/s41436-020-00956-3","ISSN":"15300366","PMID":"32893266","abstract":"Purpose: Carney complex (CNC), is an autosomal dominant multiple neoplasia and lentiginosis syndrome. We aimed to identify risk factors associated with the occurrence and recurrence of cardiac myxomas, the predominant cause of death in CNC patients. Methods: Patients with CNC were monitored prospectively between 1995 and 2020 for the development of cardiac myxomas. Results: Of the 319 patients studied, 136 (42.6%) developed myxomas. The mean age at diagnosis was 28.7 ± 16.6 years in females and 25.0 ± 16.4 years in males. By age 30, 35% of females and 45% of males had at least one myxoma. The CNC-related lesions, lentigines, cutaneous, mucosal, or breast myxomas, thyroid nodules, pituitary adenoma, and schwannoma were significantly more frequent (all p &lt; 0.05) among patients with myxomas. Forty-four percent of patients had recurrences; nearly all within the first 8 and 16 years for males and females, respectively. Recurrences were more common in females. Conclusion: This is the largest study to date and provides the first-time risk estimates by age and gender for cardiac myxomas in CNC patients. Cardiac myxomas are common by age 30 and often recur, especially in women, but the risk drops in 10 to 20 years. These findings may guide patient counseling, screening intervals, and surgical approaches. Clinical Trial Registration: Clinical Trial Registration: Defining the Genetic Basis for the Development of Primary Pigmented Nodular Adrenocortical Disease and the Carney complex, Registration number: NCT00001452 URL: https://clinicaltrials.gov/ct2/show/NCT00001452.","author":[{"dropping-particle":"","family":"Pitsava","given":"Georgia","non-dropping-particle":"","parse-names":false,"suffix":""},{"dropping-particle":"","family":"Zhu","given":"Chunming","non-dropping-particle":"","parse-names":false,"suffix":""},{"dropping-particle":"","family":"Sundaram","given":"Rajeshwari","non-dropping-particle":"","parse-names":false,"suffix":""},{"dropping-particle":"","family":"Mills","given":"James L.","non-dropping-particle":"","parse-names":false,"suffix":""},{"dropping-particle":"","family":"Stratakis","given":"Constantine A.","non-dropping-particle":"","parse-names":false,"suffix":""}],"container-title":"Genetics in Medicine","id":"ITEM-1","issue":"1","issued":{"date-parts":[["2021","1","1"]]},"page":"80-85","publisher":"Springer Nature","title":"Predicting the risk of cardiac myxoma in Carney complex","type":"article-journal","volume":"23"},"uris":["http://www.mendeley.com/documents/?uuid=311b878b-e909-3ea8-b6b9-98cb35ebe34b"]}],"mendeley":{"formattedCitation":"(49)","plainTextFormattedCitation":"(49)","previouslyFormattedCitation":"(49)"},"properties":{"noteIndex":0},"schema":"https://github.com/citation-style-language/schema/raw/master/csl-citation.json"}</w:instrText>
      </w:r>
      <w:r w:rsidR="00F74284" w:rsidRPr="00EC2EA6">
        <w:rPr>
          <w:color w:val="auto"/>
          <w:sz w:val="22"/>
        </w:rPr>
        <w:fldChar w:fldCharType="separate"/>
      </w:r>
      <w:r w:rsidR="006644FA" w:rsidRPr="00EC2EA6">
        <w:rPr>
          <w:noProof/>
          <w:color w:val="auto"/>
          <w:sz w:val="22"/>
        </w:rPr>
        <w:t>(49)</w:t>
      </w:r>
      <w:r w:rsidR="00F74284" w:rsidRPr="00EC2EA6">
        <w:rPr>
          <w:color w:val="auto"/>
          <w:sz w:val="22"/>
        </w:rPr>
        <w:fldChar w:fldCharType="end"/>
      </w:r>
      <w:r w:rsidRPr="00EC2EA6">
        <w:rPr>
          <w:color w:val="auto"/>
          <w:sz w:val="22"/>
        </w:rPr>
        <w:t>.</w:t>
      </w:r>
      <w:r w:rsidR="009A1C9C" w:rsidRPr="00EC2EA6">
        <w:rPr>
          <w:color w:val="auto"/>
          <w:sz w:val="22"/>
        </w:rPr>
        <w:t xml:space="preserve"> </w:t>
      </w:r>
    </w:p>
    <w:p w14:paraId="74891179" w14:textId="29A6F05A" w:rsidR="00BE57F2" w:rsidRPr="00AE18E0" w:rsidRDefault="00FF0BDB" w:rsidP="005F1576">
      <w:pPr>
        <w:pStyle w:val="ListParagraph"/>
        <w:numPr>
          <w:ilvl w:val="0"/>
          <w:numId w:val="2"/>
        </w:numPr>
        <w:spacing w:before="0" w:line="276" w:lineRule="auto"/>
        <w:ind w:left="0" w:firstLine="0"/>
        <w:jc w:val="left"/>
        <w:rPr>
          <w:sz w:val="22"/>
        </w:rPr>
      </w:pPr>
      <w:r w:rsidRPr="00AE18E0">
        <w:rPr>
          <w:sz w:val="22"/>
        </w:rPr>
        <w:t xml:space="preserve">Patients should undergo </w:t>
      </w:r>
      <w:r w:rsidR="007309F8" w:rsidRPr="00AE18E0">
        <w:rPr>
          <w:sz w:val="22"/>
        </w:rPr>
        <w:t xml:space="preserve">an initial </w:t>
      </w:r>
      <w:r w:rsidRPr="00AE18E0">
        <w:rPr>
          <w:sz w:val="22"/>
        </w:rPr>
        <w:t>thyroid ultrasound within the first decade of age</w:t>
      </w:r>
      <w:r w:rsidR="002E0CD4" w:rsidRPr="00AE18E0">
        <w:rPr>
          <w:sz w:val="22"/>
        </w:rPr>
        <w:t>, and the</w:t>
      </w:r>
      <w:r w:rsidR="007309F8" w:rsidRPr="00AE18E0">
        <w:rPr>
          <w:sz w:val="22"/>
        </w:rPr>
        <w:t>n repeated according to findings.</w:t>
      </w:r>
    </w:p>
    <w:p w14:paraId="41F3FDD2" w14:textId="59D1652B" w:rsidR="00F74284" w:rsidRPr="00EC2EA6" w:rsidRDefault="005049B5" w:rsidP="005F1576">
      <w:pPr>
        <w:pStyle w:val="ListParagraph"/>
        <w:numPr>
          <w:ilvl w:val="0"/>
          <w:numId w:val="2"/>
        </w:numPr>
        <w:spacing w:before="0" w:line="276" w:lineRule="auto"/>
        <w:ind w:left="0" w:firstLine="0"/>
        <w:jc w:val="left"/>
        <w:rPr>
          <w:color w:val="auto"/>
          <w:sz w:val="22"/>
        </w:rPr>
      </w:pPr>
      <w:r w:rsidRPr="00AE18E0">
        <w:rPr>
          <w:sz w:val="22"/>
        </w:rPr>
        <w:lastRenderedPageBreak/>
        <w:t>Screening for the other manifestations should be performed in</w:t>
      </w:r>
      <w:r w:rsidR="009A1C9C" w:rsidRPr="00AE18E0">
        <w:rPr>
          <w:sz w:val="22"/>
        </w:rPr>
        <w:t xml:space="preserve"> </w:t>
      </w:r>
      <w:r w:rsidRPr="00AE18E0">
        <w:rPr>
          <w:sz w:val="22"/>
        </w:rPr>
        <w:t>patients under 5 years</w:t>
      </w:r>
      <w:r w:rsidR="003E2B96" w:rsidRPr="00AE18E0">
        <w:rPr>
          <w:sz w:val="22"/>
        </w:rPr>
        <w:t xml:space="preserve"> of age</w:t>
      </w:r>
      <w:r w:rsidR="00BE57F2" w:rsidRPr="00AE18E0">
        <w:rPr>
          <w:sz w:val="22"/>
        </w:rPr>
        <w:t xml:space="preserve"> only by clinical examination</w:t>
      </w:r>
      <w:r w:rsidRPr="00AE18E0">
        <w:rPr>
          <w:sz w:val="22"/>
        </w:rPr>
        <w:t>. Especially for males, testicular ultrasonography is recommended at</w:t>
      </w:r>
      <w:r w:rsidR="009A1C9C" w:rsidRPr="00AE18E0">
        <w:rPr>
          <w:sz w:val="22"/>
        </w:rPr>
        <w:t xml:space="preserve"> </w:t>
      </w:r>
      <w:r w:rsidRPr="00AE18E0">
        <w:rPr>
          <w:sz w:val="22"/>
        </w:rPr>
        <w:t xml:space="preserve">the initial evaluation and if microcalcifications are present it should be repeated </w:t>
      </w:r>
      <w:r w:rsidR="006644FA">
        <w:rPr>
          <w:sz w:val="22"/>
        </w:rPr>
        <w:t>yearly</w:t>
      </w:r>
      <w:r w:rsidRPr="00AE18E0">
        <w:rPr>
          <w:sz w:val="22"/>
        </w:rPr>
        <w:t>.</w:t>
      </w:r>
      <w:r w:rsidR="009A1C9C" w:rsidRPr="00AE18E0">
        <w:rPr>
          <w:sz w:val="22"/>
        </w:rPr>
        <w:t xml:space="preserve"> </w:t>
      </w:r>
      <w:r w:rsidR="00FF0BDB" w:rsidRPr="00AE18E0">
        <w:rPr>
          <w:sz w:val="22"/>
        </w:rPr>
        <w:t xml:space="preserve">Regarding ovarian and breast imaging of female patients, these may be deferred until after </w:t>
      </w:r>
      <w:r w:rsidR="00FF0BDB" w:rsidRPr="00EC2EA6">
        <w:rPr>
          <w:color w:val="auto"/>
          <w:sz w:val="22"/>
        </w:rPr>
        <w:t xml:space="preserve">puberty </w:t>
      </w:r>
      <w:r w:rsidR="00FF0BDB" w:rsidRPr="00EC2EA6">
        <w:rPr>
          <w:color w:val="auto"/>
          <w:sz w:val="22"/>
        </w:rPr>
        <w:fldChar w:fldCharType="begin" w:fldLock="1"/>
      </w:r>
      <w:r w:rsidR="006644FA" w:rsidRPr="00EC2EA6">
        <w:rPr>
          <w:color w:val="auto"/>
          <w:sz w:val="22"/>
        </w:rPr>
        <w:instrText>ADDIN CSL_CITATION {"citationItems":[{"id":"ITEM-1","itemData":{"DOI":"10.1530/EJE-20-1120","ISSN":"0804-4643","abstract":"Described for the first time in 1985, Carney complex (CNC) is a rare dominantly inherited multiple neoplasia syndrome with almost full penetrance and characterized by both endocrine – primary pigmented nodular adrenocortical disease with Cushing’s syndrome, acromegaly and thyroid tumors – and non-endocrine manifestations such as cardiac, cutaneous and mucosal myxomas, pigmented cutaneous lesions, psammomatous melanotic schwannoma, osteochondromyxoma and a wide range of other tumours with potential malignancy. The pathophysiology of CNC is a model of dysregulation of the cAMP/PKA signalling in human diseases. As described 20 years ago, inactivating heterozygous mutations of PRKAR1A formerly known as CNC1 , encoding the regulatory subunit 1α of protein kinase A, are identified in more than 70% of the index cases, while inactivating mutations of genes encoding phosphodiesterases are found in rare and particular forms of the complex. There is at present no medical specific treatment for CNC, every confirmed or suspected CNC patient should be managed by a multi-disciplinary team according to each manifestation of the disease and offered a long-term follow-up and genetic counselling. The better knowledge that we have now of this fascinating rare disease and its genetics will help to improve patients outcome.","author":[{"dropping-particle":"","family":"Bouys","given":"Lucas","non-dropping-particle":"","parse-names":false,"suffix":""},{"dropping-particle":"","family":"Bertherat","given":"Jérôme","non-dropping-particle":"","parse-names":false,"suffix":""}],"container-title":"European Journal of Endocrinology","id":"ITEM-1","issue":"3","issued":{"date-parts":[["2021","3"]]},"page":"R99-R109","title":"MANAGEMENT OF ENDOCRINE DISEASE: Carney complex: clinical and genetic update 20 years after the identification of the CNC1 (PRKAR1A) gene","type":"article-journal","volume":"184"},"uris":["http://www.mendeley.com/documents/?uuid=753753d2-d62d-3abb-a7d0-95d6f8c284c7"]}],"mendeley":{"formattedCitation":"(1)","plainTextFormattedCitation":"(1)","previouslyFormattedCitation":"(1)"},"properties":{"noteIndex":0},"schema":"https://github.com/citation-style-language/schema/raw/master/csl-citation.json"}</w:instrText>
      </w:r>
      <w:r w:rsidR="00FF0BDB" w:rsidRPr="00EC2EA6">
        <w:rPr>
          <w:color w:val="auto"/>
          <w:sz w:val="22"/>
        </w:rPr>
        <w:fldChar w:fldCharType="separate"/>
      </w:r>
      <w:r w:rsidR="006644FA" w:rsidRPr="00EC2EA6">
        <w:rPr>
          <w:noProof/>
          <w:color w:val="auto"/>
          <w:sz w:val="22"/>
        </w:rPr>
        <w:t>(1)</w:t>
      </w:r>
      <w:r w:rsidR="00FF0BDB" w:rsidRPr="00EC2EA6">
        <w:rPr>
          <w:color w:val="auto"/>
          <w:sz w:val="22"/>
        </w:rPr>
        <w:fldChar w:fldCharType="end"/>
      </w:r>
      <w:r w:rsidR="00FF0BDB" w:rsidRPr="00EC2EA6">
        <w:rPr>
          <w:color w:val="auto"/>
          <w:sz w:val="22"/>
        </w:rPr>
        <w:t>.</w:t>
      </w:r>
    </w:p>
    <w:p w14:paraId="026F4DCA" w14:textId="448E7DCE" w:rsidR="00111E80" w:rsidRDefault="005049B5" w:rsidP="005F1576">
      <w:pPr>
        <w:pStyle w:val="ListParagraph"/>
        <w:numPr>
          <w:ilvl w:val="0"/>
          <w:numId w:val="2"/>
        </w:numPr>
        <w:spacing w:before="0" w:line="276" w:lineRule="auto"/>
        <w:ind w:left="0" w:firstLine="0"/>
        <w:jc w:val="left"/>
        <w:rPr>
          <w:sz w:val="22"/>
        </w:rPr>
      </w:pPr>
      <w:r w:rsidRPr="00EC2EA6">
        <w:rPr>
          <w:color w:val="auto"/>
          <w:sz w:val="22"/>
        </w:rPr>
        <w:t>Pubertal staging and growth rate should be monitored as pediatric patients with CNC may</w:t>
      </w:r>
      <w:r w:rsidR="009A1C9C" w:rsidRPr="00EC2EA6">
        <w:rPr>
          <w:color w:val="auto"/>
          <w:sz w:val="22"/>
        </w:rPr>
        <w:t xml:space="preserve"> </w:t>
      </w:r>
      <w:r w:rsidRPr="00EC2EA6">
        <w:rPr>
          <w:color w:val="auto"/>
          <w:sz w:val="22"/>
        </w:rPr>
        <w:t>present with failure to thrive, a possible outcome of various CNC components, such as</w:t>
      </w:r>
      <w:r w:rsidR="009A1C9C" w:rsidRPr="00EC2EA6">
        <w:rPr>
          <w:color w:val="auto"/>
          <w:sz w:val="22"/>
        </w:rPr>
        <w:t xml:space="preserve"> </w:t>
      </w:r>
      <w:r w:rsidRPr="00EC2EA6">
        <w:rPr>
          <w:color w:val="auto"/>
          <w:sz w:val="22"/>
        </w:rPr>
        <w:t xml:space="preserve">Cushing’s syndrome due to PPNAD or hepatic involvement </w:t>
      </w:r>
      <w:r w:rsidR="00F74284" w:rsidRPr="00EC2EA6">
        <w:rPr>
          <w:color w:val="auto"/>
          <w:sz w:val="22"/>
        </w:rPr>
        <w:fldChar w:fldCharType="begin" w:fldLock="1"/>
      </w:r>
      <w:r w:rsidR="006644FA" w:rsidRPr="00EC2EA6">
        <w:rPr>
          <w:color w:val="auto"/>
          <w:sz w:val="22"/>
        </w:rPr>
        <w:instrText>ADDIN CSL_CITATION {"citationItems":[{"id":"ITEM-1","itemData":{"DOI":"10.1159/000484690","ISSN":"1663-2826","PMID":"29161691","abstract":"BACKGROUND/AIMS Carney complex (CNC) is a rare syndrome associated with multiple tumors and several other unique manifestations. We describe the clinical, genetic, and laboratory findings in a cohort of patients with CNC and failure to thrive (FTT). METHODS A retrospective case series of pediatric patients with CNC presenting with FTT. RESULTS We describe a patient with infantile Cushing syndrome (CS) who presented with severe FTT and liver disease; the patient was subsequently diagnosed with CNC. This led to the realization that at least 10 other patients with CNC and FTT have been investigated in the last 22 years at the Eunice Kennedy Shriver National Institute of Child Health and Human Development. Four of those had primary pigmented nodular adrenocortical disease (PPNAD), 2 had cardiac myxomas, and 3 had liver disease. CONCLUSION Pediatric patients with CNC may present with FTT whose primary cause is variable and includes CS due to PPNAD, hepatic involvement, and other manifestations of CNC. FTT due to liver disease and/or other causes is a unique new presentation of this rare syndrome with which clinicians need to be familiar.","author":[{"dropping-particle":"","family":"Tirosh","given":"Amit","non-dropping-particle":"","parse-names":false,"suffix":""},{"dropping-particle":"","family":"Auerbach","given":"Adi","non-dropping-particle":"","parse-names":false,"suffix":""},{"dropping-particle":"","family":"Bonella","given":"Belen","non-dropping-particle":"","parse-names":false,"suffix":""},{"dropping-particle":"","family":"Zavras","given":"Phaedon D","non-dropping-particle":"","parse-names":false,"suffix":""},{"dropping-particle":"","family":"Belyavskaya","given":"Elena","non-dropping-particle":"","parse-names":false,"suffix":""},{"dropping-particle":"","family":"Lyssikatos","given":"Charalampos","non-dropping-particle":"","parse-names":false,"suffix":""},{"dropping-particle":"","family":"Meir","given":"Karen","non-dropping-particle":"","parse-names":false,"suffix":""},{"dropping-particle":"","family":"Weiss","given":"Ram","non-dropping-particle":"","parse-names":false,"suffix":""},{"dropping-particle":"","family":"Daum","given":"Hagit","non-dropping-particle":"","parse-names":false,"suffix":""},{"dropping-particle":"","family":"Lodish","given":"Maya B","non-dropping-particle":"","parse-names":false,"suffix":""},{"dropping-particle":"","family":"Gillis","given":"David","non-dropping-particle":"","parse-names":false,"suffix":""},{"dropping-particle":"","family":"Stratakis","given":"Constantine A","non-dropping-particle":"","parse-names":false,"suffix":""}],"container-title":"Hormone research in paediatrics","id":"ITEM-1","issue":"1","issued":{"date-parts":[["2018"]]},"page":"38-46","title":"Failure to Thrive in the Context of Carney Complex.","type":"article-journal","volume":"89"},"uris":["http://www.mendeley.com/documents/?uuid=c9107961-7eda-4cb7-a4cb-a96325bb890e"]}],"mendeley":{"formattedCitation":"(79)","plainTextFormattedCitation":"(79)","previouslyFormattedCitation":"(79)"},"properties":{"noteIndex":0},"schema":"https://github.com/citation-style-language/schema/raw/master/csl-citation.json"}</w:instrText>
      </w:r>
      <w:r w:rsidR="00F74284" w:rsidRPr="00EC2EA6">
        <w:rPr>
          <w:color w:val="auto"/>
          <w:sz w:val="22"/>
        </w:rPr>
        <w:fldChar w:fldCharType="separate"/>
      </w:r>
      <w:r w:rsidR="006644FA" w:rsidRPr="00EC2EA6">
        <w:rPr>
          <w:noProof/>
          <w:color w:val="auto"/>
          <w:sz w:val="22"/>
        </w:rPr>
        <w:t>(79)</w:t>
      </w:r>
      <w:r w:rsidR="00F74284" w:rsidRPr="00EC2EA6">
        <w:rPr>
          <w:color w:val="auto"/>
          <w:sz w:val="22"/>
        </w:rPr>
        <w:fldChar w:fldCharType="end"/>
      </w:r>
      <w:r w:rsidRPr="00EC2EA6">
        <w:rPr>
          <w:color w:val="auto"/>
          <w:sz w:val="22"/>
        </w:rPr>
        <w:t xml:space="preserve">. On the </w:t>
      </w:r>
      <w:r w:rsidRPr="00AE18E0">
        <w:rPr>
          <w:sz w:val="22"/>
        </w:rPr>
        <w:t>other hand, the</w:t>
      </w:r>
      <w:r w:rsidR="009A1C9C" w:rsidRPr="00AE18E0">
        <w:rPr>
          <w:sz w:val="22"/>
        </w:rPr>
        <w:t xml:space="preserve"> </w:t>
      </w:r>
      <w:r w:rsidRPr="00AE18E0">
        <w:rPr>
          <w:sz w:val="22"/>
        </w:rPr>
        <w:t xml:space="preserve">presence of </w:t>
      </w:r>
      <w:r w:rsidR="00F74284" w:rsidRPr="00AE18E0">
        <w:rPr>
          <w:sz w:val="22"/>
        </w:rPr>
        <w:t xml:space="preserve">a functional </w:t>
      </w:r>
      <w:r w:rsidRPr="00AE18E0">
        <w:rPr>
          <w:sz w:val="22"/>
        </w:rPr>
        <w:t>LCCSCT may be associated</w:t>
      </w:r>
      <w:r w:rsidRPr="005F1576">
        <w:rPr>
          <w:sz w:val="22"/>
        </w:rPr>
        <w:t xml:space="preserve"> with growth and maturation acceleration.</w:t>
      </w:r>
    </w:p>
    <w:p w14:paraId="4307EFE9" w14:textId="77777777" w:rsidR="00DC4828" w:rsidRPr="005F1576" w:rsidRDefault="00DC4828" w:rsidP="00DC4828">
      <w:pPr>
        <w:pStyle w:val="ListParagraph"/>
        <w:spacing w:before="0" w:line="276" w:lineRule="auto"/>
        <w:ind w:left="0"/>
        <w:jc w:val="left"/>
        <w:rPr>
          <w:sz w:val="22"/>
        </w:rPr>
      </w:pPr>
    </w:p>
    <w:p w14:paraId="651C6C68" w14:textId="23B80781" w:rsidR="00111E80" w:rsidRPr="00AE18E0" w:rsidRDefault="005049B5" w:rsidP="005F1576">
      <w:pPr>
        <w:spacing w:before="0" w:line="276" w:lineRule="auto"/>
        <w:jc w:val="left"/>
        <w:rPr>
          <w:sz w:val="22"/>
        </w:rPr>
      </w:pPr>
      <w:r w:rsidRPr="00AE18E0">
        <w:rPr>
          <w:sz w:val="22"/>
        </w:rPr>
        <w:t>I</w:t>
      </w:r>
      <w:r w:rsidR="00FF0BDB" w:rsidRPr="00AE18E0">
        <w:rPr>
          <w:sz w:val="22"/>
        </w:rPr>
        <w:t>n post-pubertal adolescents</w:t>
      </w:r>
      <w:r w:rsidR="00BE57F2" w:rsidRPr="00AE18E0">
        <w:rPr>
          <w:sz w:val="22"/>
        </w:rPr>
        <w:t xml:space="preserve"> </w:t>
      </w:r>
      <w:r w:rsidR="00FF0BDB" w:rsidRPr="00AE18E0">
        <w:rPr>
          <w:sz w:val="22"/>
        </w:rPr>
        <w:t xml:space="preserve">and adults, </w:t>
      </w:r>
      <w:r w:rsidR="002E0CD4" w:rsidRPr="00AE18E0">
        <w:rPr>
          <w:sz w:val="22"/>
        </w:rPr>
        <w:t xml:space="preserve">the following investigations should be </w:t>
      </w:r>
      <w:r w:rsidR="00CF3DEF" w:rsidRPr="00AE18E0">
        <w:rPr>
          <w:sz w:val="22"/>
        </w:rPr>
        <w:t>performed</w:t>
      </w:r>
      <w:r w:rsidR="002E0CD4" w:rsidRPr="00AE18E0">
        <w:rPr>
          <w:sz w:val="22"/>
        </w:rPr>
        <w:t xml:space="preserve"> at initial diagnosis and </w:t>
      </w:r>
      <w:r w:rsidR="00CF3DEF" w:rsidRPr="00AE18E0">
        <w:rPr>
          <w:sz w:val="22"/>
        </w:rPr>
        <w:t>annually</w:t>
      </w:r>
      <w:r w:rsidR="002E0CD4" w:rsidRPr="00AE18E0">
        <w:rPr>
          <w:sz w:val="22"/>
        </w:rPr>
        <w:t xml:space="preserve"> thereafter</w:t>
      </w:r>
      <w:r w:rsidR="00CF3DEF" w:rsidRPr="00AE18E0">
        <w:rPr>
          <w:sz w:val="22"/>
        </w:rPr>
        <w:t>, including s</w:t>
      </w:r>
      <w:r w:rsidR="00FF0BDB" w:rsidRPr="00AE18E0">
        <w:rPr>
          <w:sz w:val="22"/>
        </w:rPr>
        <w:t>creening for:</w:t>
      </w:r>
    </w:p>
    <w:p w14:paraId="6B6B34C5" w14:textId="5A0C8C4D" w:rsidR="00DD204A" w:rsidRPr="00EC2EA6" w:rsidRDefault="00DD204A" w:rsidP="005F1576">
      <w:pPr>
        <w:pStyle w:val="ListParagraph"/>
        <w:numPr>
          <w:ilvl w:val="0"/>
          <w:numId w:val="3"/>
        </w:numPr>
        <w:spacing w:before="0" w:line="276" w:lineRule="auto"/>
        <w:ind w:left="0" w:firstLine="0"/>
        <w:jc w:val="left"/>
        <w:rPr>
          <w:color w:val="auto"/>
          <w:sz w:val="22"/>
        </w:rPr>
      </w:pPr>
      <w:r w:rsidRPr="00AE18E0">
        <w:rPr>
          <w:sz w:val="22"/>
        </w:rPr>
        <w:t xml:space="preserve">Cardiac myxomas by echocardiography, which if positive, should be repeated bi-annually. The possibility of first occurrence decreases with age and is exceptional after the age of </w:t>
      </w:r>
      <w:r w:rsidRPr="00EC2EA6">
        <w:rPr>
          <w:color w:val="auto"/>
          <w:sz w:val="22"/>
        </w:rPr>
        <w:t xml:space="preserve">50 </w:t>
      </w:r>
      <w:r w:rsidRPr="00EC2EA6">
        <w:rPr>
          <w:color w:val="auto"/>
          <w:sz w:val="22"/>
        </w:rPr>
        <w:fldChar w:fldCharType="begin" w:fldLock="1"/>
      </w:r>
      <w:r w:rsidR="006644FA" w:rsidRPr="00EC2EA6">
        <w:rPr>
          <w:color w:val="auto"/>
          <w:sz w:val="22"/>
        </w:rPr>
        <w:instrText>ADDIN CSL_CITATION {"citationItems":[{"id":"ITEM-1","itemData":{"DOI":"10.1038/s41436-020-00956-3","ISSN":"15300366","PMID":"32893266","abstract":"Purpose: Carney complex (CNC), is an autosomal dominant multiple neoplasia and lentiginosis syndrome. We aimed to identify risk factors associated with the occurrence and recurrence of cardiac myxomas, the predominant cause of death in CNC patients. Methods: Patients with CNC were monitored prospectively between 1995 and 2020 for the development of cardiac myxomas. Results: Of the 319 patients studied, 136 (42.6%) developed myxomas. The mean age at diagnosis was 28.7 ± 16.6 years in females and 25.0 ± 16.4 years in males. By age 30, 35% of females and 45% of males had at least one myxoma. The CNC-related lesions, lentigines, cutaneous, mucosal, or breast myxomas, thyroid nodules, pituitary adenoma, and schwannoma were significantly more frequent (all p &lt; 0.05) among patients with myxomas. Forty-four percent of patients had recurrences; nearly all within the first 8 and 16 years for males and females, respectively. Recurrences were more common in females. Conclusion: This is the largest study to date and provides the first-time risk estimates by age and gender for cardiac myxomas in CNC patients. Cardiac myxomas are common by age 30 and often recur, especially in women, but the risk drops in 10 to 20 years. These findings may guide patient counseling, screening intervals, and surgical approaches. Clinical Trial Registration: Clinical Trial Registration: Defining the Genetic Basis for the Development of Primary Pigmented Nodular Adrenocortical Disease and the Carney complex, Registration number: NCT00001452 URL: https://clinicaltrials.gov/ct2/show/NCT00001452.","author":[{"dropping-particle":"","family":"Pitsava","given":"Georgia","non-dropping-particle":"","parse-names":false,"suffix":""},{"dropping-particle":"","family":"Zhu","given":"Chunming","non-dropping-particle":"","parse-names":false,"suffix":""},{"dropping-particle":"","family":"Sundaram","given":"Rajeshwari","non-dropping-particle":"","parse-names":false,"suffix":""},{"dropping-particle":"","family":"Mills","given":"James L.","non-dropping-particle":"","parse-names":false,"suffix":""},{"dropping-particle":"","family":"Stratakis","given":"Constantine A.","non-dropping-particle":"","parse-names":false,"suffix":""}],"container-title":"Genetics in Medicine","id":"ITEM-1","issue":"1","issued":{"date-parts":[["2021","1","1"]]},"page":"80-85","publisher":"Springer Nature","title":"Predicting the risk of cardiac myxoma in Carney complex","type":"article-journal","volume":"23"},"uris":["http://www.mendeley.com/documents/?uuid=311b878b-e909-3ea8-b6b9-98cb35ebe34b"]}],"mendeley":{"formattedCitation":"(49)","plainTextFormattedCitation":"(49)","previouslyFormattedCitation":"(49)"},"properties":{"noteIndex":0},"schema":"https://github.com/citation-style-language/schema/raw/master/csl-citation.json"}</w:instrText>
      </w:r>
      <w:r w:rsidRPr="00EC2EA6">
        <w:rPr>
          <w:color w:val="auto"/>
          <w:sz w:val="22"/>
        </w:rPr>
        <w:fldChar w:fldCharType="separate"/>
      </w:r>
      <w:r w:rsidR="006644FA" w:rsidRPr="00EC2EA6">
        <w:rPr>
          <w:noProof/>
          <w:color w:val="auto"/>
          <w:sz w:val="22"/>
        </w:rPr>
        <w:t>(49)</w:t>
      </w:r>
      <w:r w:rsidRPr="00EC2EA6">
        <w:rPr>
          <w:color w:val="auto"/>
          <w:sz w:val="22"/>
        </w:rPr>
        <w:fldChar w:fldCharType="end"/>
      </w:r>
      <w:r w:rsidRPr="00EC2EA6">
        <w:rPr>
          <w:color w:val="auto"/>
          <w:sz w:val="22"/>
        </w:rPr>
        <w:t>.</w:t>
      </w:r>
    </w:p>
    <w:p w14:paraId="4FEBB6B0" w14:textId="27256037" w:rsidR="00C12E66" w:rsidRPr="00AE18E0" w:rsidRDefault="005049B5" w:rsidP="005F1576">
      <w:pPr>
        <w:pStyle w:val="ListParagraph"/>
        <w:numPr>
          <w:ilvl w:val="0"/>
          <w:numId w:val="3"/>
        </w:numPr>
        <w:spacing w:before="0" w:line="276" w:lineRule="auto"/>
        <w:ind w:left="0" w:firstLine="0"/>
        <w:jc w:val="left"/>
        <w:rPr>
          <w:sz w:val="22"/>
        </w:rPr>
      </w:pPr>
      <w:r w:rsidRPr="00AE18E0">
        <w:rPr>
          <w:sz w:val="22"/>
        </w:rPr>
        <w:t>PPNAD by measurement of urinary free cortisol</w:t>
      </w:r>
      <w:r w:rsidR="00AE18E0">
        <w:rPr>
          <w:sz w:val="22"/>
        </w:rPr>
        <w:t>, ACTH,</w:t>
      </w:r>
      <w:r w:rsidRPr="00AE18E0">
        <w:rPr>
          <w:sz w:val="22"/>
        </w:rPr>
        <w:t xml:space="preserve"> and overnight suppression with 1 mg</w:t>
      </w:r>
      <w:r w:rsidR="009A1C9C" w:rsidRPr="00AE18E0">
        <w:rPr>
          <w:sz w:val="22"/>
        </w:rPr>
        <w:t xml:space="preserve"> </w:t>
      </w:r>
      <w:r w:rsidRPr="00AE18E0">
        <w:rPr>
          <w:sz w:val="22"/>
        </w:rPr>
        <w:t>Dexamethasone, followed by a formal Low Dose Dexamethasone Test if abnormal. If this</w:t>
      </w:r>
      <w:r w:rsidR="009A1C9C" w:rsidRPr="00AE18E0">
        <w:rPr>
          <w:sz w:val="22"/>
        </w:rPr>
        <w:t xml:space="preserve"> </w:t>
      </w:r>
      <w:r w:rsidRPr="00AE18E0">
        <w:rPr>
          <w:sz w:val="22"/>
        </w:rPr>
        <w:t xml:space="preserve">suggests cortisol hypersecretion, </w:t>
      </w:r>
      <w:r w:rsidR="00BE57F2" w:rsidRPr="00AE18E0">
        <w:rPr>
          <w:sz w:val="22"/>
        </w:rPr>
        <w:t>the diagnosis may</w:t>
      </w:r>
      <w:r w:rsidR="006644FA">
        <w:rPr>
          <w:sz w:val="22"/>
        </w:rPr>
        <w:t xml:space="preserve"> </w:t>
      </w:r>
      <w:r w:rsidR="00BE57F2" w:rsidRPr="00AE18E0">
        <w:rPr>
          <w:sz w:val="22"/>
        </w:rPr>
        <w:t xml:space="preserve">be supported by </w:t>
      </w:r>
      <w:r w:rsidRPr="00AE18E0">
        <w:rPr>
          <w:sz w:val="22"/>
        </w:rPr>
        <w:t>a 6-day Liddle’s test and an adrenal CT scan.</w:t>
      </w:r>
      <w:r w:rsidR="009A1C9C" w:rsidRPr="00AE18E0">
        <w:rPr>
          <w:sz w:val="22"/>
        </w:rPr>
        <w:t xml:space="preserve"> </w:t>
      </w:r>
    </w:p>
    <w:p w14:paraId="7FFD9701" w14:textId="54005F2B" w:rsidR="00C12E66" w:rsidRPr="00AE18E0" w:rsidRDefault="005049B5" w:rsidP="005F1576">
      <w:pPr>
        <w:pStyle w:val="ListParagraph"/>
        <w:numPr>
          <w:ilvl w:val="0"/>
          <w:numId w:val="3"/>
        </w:numPr>
        <w:spacing w:before="0" w:line="276" w:lineRule="auto"/>
        <w:ind w:left="0" w:firstLine="0"/>
        <w:jc w:val="left"/>
        <w:rPr>
          <w:sz w:val="22"/>
        </w:rPr>
      </w:pPr>
      <w:r w:rsidRPr="00AE18E0">
        <w:rPr>
          <w:sz w:val="22"/>
        </w:rPr>
        <w:t>Acromegaly by measurement of serum GH, PRL</w:t>
      </w:r>
      <w:r w:rsidR="006644FA">
        <w:rPr>
          <w:sz w:val="22"/>
        </w:rPr>
        <w:t>,</w:t>
      </w:r>
      <w:r w:rsidRPr="00AE18E0">
        <w:rPr>
          <w:sz w:val="22"/>
        </w:rPr>
        <w:t xml:space="preserve"> and Insulin-Like-Growth-Factor I (IGF I). In</w:t>
      </w:r>
      <w:r w:rsidR="009A1C9C" w:rsidRPr="00AE18E0">
        <w:rPr>
          <w:sz w:val="22"/>
        </w:rPr>
        <w:t xml:space="preserve"> </w:t>
      </w:r>
      <w:r w:rsidRPr="00AE18E0">
        <w:rPr>
          <w:sz w:val="22"/>
        </w:rPr>
        <w:t>case of abnormal findings</w:t>
      </w:r>
      <w:r w:rsidR="006644FA">
        <w:rPr>
          <w:sz w:val="22"/>
        </w:rPr>
        <w:t>,</w:t>
      </w:r>
      <w:r w:rsidRPr="00AE18E0">
        <w:rPr>
          <w:sz w:val="22"/>
        </w:rPr>
        <w:t xml:space="preserve"> confirmation of GH hypersecretion with </w:t>
      </w:r>
      <w:r w:rsidR="006644FA">
        <w:rPr>
          <w:sz w:val="22"/>
        </w:rPr>
        <w:t xml:space="preserve">an </w:t>
      </w:r>
      <w:r w:rsidRPr="00AE18E0">
        <w:rPr>
          <w:sz w:val="22"/>
        </w:rPr>
        <w:t>oral glucose suppression test</w:t>
      </w:r>
      <w:r w:rsidR="009A1C9C" w:rsidRPr="00AE18E0">
        <w:rPr>
          <w:sz w:val="22"/>
        </w:rPr>
        <w:t xml:space="preserve"> </w:t>
      </w:r>
      <w:r w:rsidRPr="00AE18E0">
        <w:rPr>
          <w:sz w:val="22"/>
        </w:rPr>
        <w:t>(OGTT) and imaging of the pituitary region with MRI is suggested.</w:t>
      </w:r>
      <w:r w:rsidR="009A1C9C" w:rsidRPr="00AE18E0">
        <w:rPr>
          <w:sz w:val="22"/>
        </w:rPr>
        <w:t xml:space="preserve"> </w:t>
      </w:r>
    </w:p>
    <w:p w14:paraId="2F2C67AE" w14:textId="6D94204C" w:rsidR="00C12E66" w:rsidRPr="00AE18E0" w:rsidRDefault="005049B5" w:rsidP="005F1576">
      <w:pPr>
        <w:pStyle w:val="ListParagraph"/>
        <w:numPr>
          <w:ilvl w:val="0"/>
          <w:numId w:val="3"/>
        </w:numPr>
        <w:spacing w:before="0" w:line="276" w:lineRule="auto"/>
        <w:ind w:left="0" w:firstLine="0"/>
        <w:jc w:val="left"/>
        <w:rPr>
          <w:sz w:val="22"/>
        </w:rPr>
      </w:pPr>
      <w:r w:rsidRPr="00AE18E0">
        <w:rPr>
          <w:sz w:val="22"/>
        </w:rPr>
        <w:t>Thyroid nodules by ultrasonography</w:t>
      </w:r>
      <w:r w:rsidR="00CF3DEF" w:rsidRPr="00AE18E0">
        <w:rPr>
          <w:sz w:val="22"/>
        </w:rPr>
        <w:t xml:space="preserve"> </w:t>
      </w:r>
      <w:r w:rsidR="00DD204A" w:rsidRPr="00AE18E0">
        <w:rPr>
          <w:sz w:val="22"/>
        </w:rPr>
        <w:t>and further evaluation with FNA as needed, according to the relevant guidelines for the general population.</w:t>
      </w:r>
    </w:p>
    <w:p w14:paraId="3F1DACA7" w14:textId="6D1F5BDF" w:rsidR="00BE57F2" w:rsidRPr="0093075E" w:rsidRDefault="005049B5" w:rsidP="005F1576">
      <w:pPr>
        <w:pStyle w:val="ListParagraph"/>
        <w:numPr>
          <w:ilvl w:val="0"/>
          <w:numId w:val="3"/>
        </w:numPr>
        <w:spacing w:before="0" w:line="276" w:lineRule="auto"/>
        <w:ind w:left="0" w:firstLine="0"/>
        <w:jc w:val="left"/>
        <w:rPr>
          <w:color w:val="auto"/>
          <w:sz w:val="22"/>
        </w:rPr>
      </w:pPr>
      <w:r w:rsidRPr="00AE18E0">
        <w:rPr>
          <w:sz w:val="22"/>
        </w:rPr>
        <w:t>LCCSCT</w:t>
      </w:r>
      <w:r w:rsidRPr="00AE18E0">
        <w:rPr>
          <w:i/>
          <w:iCs/>
          <w:sz w:val="22"/>
        </w:rPr>
        <w:t xml:space="preserve"> </w:t>
      </w:r>
      <w:r w:rsidRPr="00AE18E0">
        <w:rPr>
          <w:sz w:val="22"/>
        </w:rPr>
        <w:t>in males by testicular ultrasound, especially when small</w:t>
      </w:r>
      <w:r w:rsidR="006644FA">
        <w:rPr>
          <w:sz w:val="22"/>
        </w:rPr>
        <w:t>-</w:t>
      </w:r>
      <w:r w:rsidRPr="00AE18E0">
        <w:rPr>
          <w:sz w:val="22"/>
        </w:rPr>
        <w:t>sized calcifications are</w:t>
      </w:r>
      <w:r w:rsidR="009A1C9C" w:rsidRPr="00AE18E0">
        <w:rPr>
          <w:sz w:val="22"/>
        </w:rPr>
        <w:t xml:space="preserve"> </w:t>
      </w:r>
      <w:r w:rsidRPr="00AE18E0">
        <w:rPr>
          <w:sz w:val="22"/>
        </w:rPr>
        <w:t>found</w:t>
      </w:r>
      <w:r w:rsidR="00CF3DEF" w:rsidRPr="00AE18E0">
        <w:rPr>
          <w:sz w:val="22"/>
        </w:rPr>
        <w:t>.</w:t>
      </w:r>
      <w:r w:rsidR="009A1C9C" w:rsidRPr="00AE18E0">
        <w:rPr>
          <w:sz w:val="22"/>
        </w:rPr>
        <w:t xml:space="preserve"> </w:t>
      </w:r>
      <w:r w:rsidR="00DD204A" w:rsidRPr="00AE18E0">
        <w:rPr>
          <w:sz w:val="22"/>
        </w:rPr>
        <w:t>Follow</w:t>
      </w:r>
      <w:r w:rsidR="006644FA">
        <w:rPr>
          <w:sz w:val="22"/>
        </w:rPr>
        <w:t>-</w:t>
      </w:r>
      <w:r w:rsidR="00DD204A" w:rsidRPr="00AE18E0">
        <w:rPr>
          <w:sz w:val="22"/>
        </w:rPr>
        <w:t xml:space="preserve">up may be less frequent than annual due to the slow progression of these tumors </w:t>
      </w:r>
      <w:r w:rsidR="00DD204A" w:rsidRPr="0093075E">
        <w:rPr>
          <w:color w:val="auto"/>
          <w:sz w:val="22"/>
        </w:rPr>
        <w:fldChar w:fldCharType="begin" w:fldLock="1"/>
      </w:r>
      <w:r w:rsidR="006644FA" w:rsidRPr="0093075E">
        <w:rPr>
          <w:color w:val="auto"/>
          <w:sz w:val="22"/>
        </w:rPr>
        <w:instrText>ADDIN CSL_CITATION {"citationItems":[{"id":"ITEM-1","itemData":{"DOI":"10.1210/clinem/dgaa002","ISSN":"1945-7197","PMID":"31912137","abstract":"INTRODUCTION Carney Complex (CNC) is a rare multiple endocrine and nonendocrine neoplasia syndrome. Manifestations and genotype-phenotype correlations have been described by retrospective studies, but no prospective study evaluating the occurrence of the different manifestations has been available so far. METHODS This multicenter national prospective study included patients with CNC, primary pigmented nodular adrenal disease (PPNAD), or a pathogenic PRKAR1A mutation; after a full initial workup, participants were followed for 3 years with annual standardized evaluation. RESULTS The cohort included 70 patients (50 female/20 male, mean age 35.4 ± 16.7 years, 81% carrying PRKAR1A mutation). The initial investigations allowed identification of several manifestations. At the end of the 3-year follow-up, the newly diagnosed manifestations of the disease were subclinical acromegaly in 6 patients, bilateral testicular calcifications in 1 patient, and cardiac myxomas in 2 patients. Recurrences of cardiac myxomas were diagnosed in 4 patients during the 3-year follow-up study period. Asymptomatic abnormalities of the corticotroph and somatotroph axis that did not meet criteria of PPNAD and acromegaly were observed in 11.4% and 30% of the patients, respectively. Patients carrying the PRKAR1A c.709-7del6 mutation had a mild phenotype. CONCLUSION This study underlines the importance of a systematic follow-up of the CNC manifestations, especially a biannual screening for cardiac myxoma. By contrast, regular screening for the other manifestations after a first extensive workup could be spread out, leading to a lighter and more acceptable follow-up schedule for patients. These are important results for recommendations for long-term management of CNC patients.","author":[{"dropping-particle":"","family":"Espiard","given":"Stéphanie","non-dropping-particle":"","parse-names":false,"suffix":""},{"dropping-particle":"","family":"Vantyghem","given":"Marie-Christine","non-dropping-particle":"","parse-names":false,"suffix":""},{"dropping-particle":"","family":"Assié","given":"Guillaume","non-dropping-particle":"","parse-names":false,"suffix":""},{"dropping-particle":"","family":"Cardot-Bauters","given":"Catherine","non-dropping-particle":"","parse-names":false,"suffix":""},{"dropping-particle":"","family":"Raverot","given":"Gerald","non-dropping-particle":"","parse-names":false,"suffix":""},{"dropping-particle":"","family":"Brucker-Davis","given":"Françoise","non-dropping-particle":"","parse-names":false,"suffix":""},{"dropping-particle":"","family":"Archambeaud-Mouveroux","given":"Françoise","non-dropping-particle":"","parse-names":false,"suffix":""},{"dropping-particle":"","family":"Lefebvre","given":"Hervé","non-dropping-particle":"","parse-names":false,"suffix":""},{"dropping-particle":"","family":"Nunes","given":"Marie-Laure","non-dropping-particle":"","parse-names":false,"suffix":""},{"dropping-particle":"","family":"Tabarin","given":"Antoine","non-dropping-particle":"","parse-names":false,"suffix":""},{"dropping-particle":"","family":"Lienhardt","given":"Anne","non-dropping-particle":"","parse-names":false,"suffix":""},{"dropping-particle":"","family":"Chabre","given":"Olivier","non-dropping-particle":"","parse-names":false,"suffix":""},{"dropping-particle":"","family":"Houang","given":"Muriel","non-dropping-particle":"","parse-names":false,"suffix":""},{"dropping-particle":"","family":"Bottineau","given":"Muriel","non-dropping-particle":"","parse-names":false,"suffix":""},{"dropping-particle":"","family":"Stroër","given":"Sebastian","non-dropping-particle":"","parse-names":false,"suffix":""},{"dropping-particle":"","family":"Groussin","given":"Lionel","non-dropping-particle":"","parse-names":false,"suffix":""},{"dropping-particle":"","family":"Guignat","given":"Laurence","non-dropping-particle":"","parse-names":false,"suffix":""},{"dropping-particle":"","family":"Cabanes","given":"Laure","non-dropping-particle":"","parse-names":false,"suffix":""},{"dropping-particle":"","family":"Feydy","given":"Antoine","non-dropping-particle":"","parse-names":false,"suffix":""},{"dropping-particle":"","family":"Bonnet","given":"Fidéline","non-dropping-particle":"","parse-names":false,"suffix":""},{"dropping-particle":"","family":"North","given":"Marie Odile","non-dropping-particle":"","parse-names":false,"suffix":""},{"dropping-particle":"","family":"Dupin","given":"Nicolas","non-dropping-particle":"","parse-names":false,"suffix":""},{"dropping-particle":"","family":"Grabar","given":"Sophie","non-dropping-particle":"","parse-names":false,"suffix":""},{"dropping-particle":"","family":"Duboc","given":"Denis","non-dropping-particle":"","parse-names":false,"suffix":""},{"dropping-particle":"","family":"Bertherat","given":"Jérôme","non-dropping-particle":"","parse-names":false,"suffix":""}],"container-title":"The Journal of clinical endocrinology and metabolism","id":"ITEM-1","issue":"3","issued":{"date-parts":[["2020","3","1"]]},"page":"e436–e446","publisher":"Endocrine Society","title":"Frequency and Incidence of Carney Complex Manifestations: A Prospective Multicenter Study With a Three-Year Follow-Up.","type":"article-journal","volume":"105"},"uris":["http://www.mendeley.com/documents/?uuid=0d5189bf-fd56-3ff4-88e4-25934f1a6bfb"]}],"mendeley":{"formattedCitation":"(45)","plainTextFormattedCitation":"(45)","previouslyFormattedCitation":"(45)"},"properties":{"noteIndex":0},"schema":"https://github.com/citation-style-language/schema/raw/master/csl-citation.json"}</w:instrText>
      </w:r>
      <w:r w:rsidR="00DD204A" w:rsidRPr="0093075E">
        <w:rPr>
          <w:color w:val="auto"/>
          <w:sz w:val="22"/>
        </w:rPr>
        <w:fldChar w:fldCharType="separate"/>
      </w:r>
      <w:r w:rsidR="006644FA" w:rsidRPr="0093075E">
        <w:rPr>
          <w:noProof/>
          <w:color w:val="auto"/>
          <w:sz w:val="22"/>
        </w:rPr>
        <w:t>(45)</w:t>
      </w:r>
      <w:r w:rsidR="00DD204A" w:rsidRPr="0093075E">
        <w:rPr>
          <w:color w:val="auto"/>
          <w:sz w:val="22"/>
        </w:rPr>
        <w:fldChar w:fldCharType="end"/>
      </w:r>
    </w:p>
    <w:p w14:paraId="0B681F4F" w14:textId="528C34D4" w:rsidR="00111E80" w:rsidRPr="005F1576" w:rsidRDefault="005049B5" w:rsidP="005F1576">
      <w:pPr>
        <w:pStyle w:val="ListParagraph"/>
        <w:numPr>
          <w:ilvl w:val="0"/>
          <w:numId w:val="3"/>
        </w:numPr>
        <w:spacing w:before="0" w:line="276" w:lineRule="auto"/>
        <w:ind w:left="0" w:firstLine="0"/>
        <w:jc w:val="left"/>
        <w:rPr>
          <w:sz w:val="22"/>
        </w:rPr>
      </w:pPr>
      <w:r w:rsidRPr="005F1576">
        <w:rPr>
          <w:i/>
          <w:iCs/>
          <w:sz w:val="22"/>
        </w:rPr>
        <w:t xml:space="preserve">PMS </w:t>
      </w:r>
      <w:r w:rsidRPr="005F1576">
        <w:rPr>
          <w:sz w:val="22"/>
        </w:rPr>
        <w:t>with spine MRI once a</w:t>
      </w:r>
      <w:r w:rsidR="006644FA">
        <w:rPr>
          <w:sz w:val="22"/>
        </w:rPr>
        <w:t>t</w:t>
      </w:r>
      <w:r w:rsidRPr="005F1576">
        <w:rPr>
          <w:sz w:val="22"/>
        </w:rPr>
        <w:t xml:space="preserve"> baseline and thereafter when clinical signs suggest the presence</w:t>
      </w:r>
      <w:r w:rsidR="009A1C9C" w:rsidRPr="005F1576">
        <w:rPr>
          <w:sz w:val="22"/>
        </w:rPr>
        <w:t xml:space="preserve"> </w:t>
      </w:r>
      <w:r w:rsidRPr="005F1576">
        <w:rPr>
          <w:sz w:val="22"/>
        </w:rPr>
        <w:t>of this tumor.</w:t>
      </w:r>
    </w:p>
    <w:p w14:paraId="474E4CC8" w14:textId="153790F3" w:rsidR="00111E80" w:rsidRPr="0093075E" w:rsidRDefault="005049B5" w:rsidP="005F1576">
      <w:pPr>
        <w:pStyle w:val="ListParagraph"/>
        <w:numPr>
          <w:ilvl w:val="0"/>
          <w:numId w:val="3"/>
        </w:numPr>
        <w:spacing w:before="0" w:line="276" w:lineRule="auto"/>
        <w:ind w:left="0" w:firstLine="0"/>
        <w:jc w:val="left"/>
        <w:rPr>
          <w:color w:val="auto"/>
          <w:sz w:val="22"/>
        </w:rPr>
      </w:pPr>
      <w:r w:rsidRPr="005F1576">
        <w:rPr>
          <w:i/>
          <w:iCs/>
          <w:sz w:val="22"/>
        </w:rPr>
        <w:t xml:space="preserve">Breast myxomas </w:t>
      </w:r>
      <w:r w:rsidRPr="005F1576">
        <w:rPr>
          <w:sz w:val="22"/>
        </w:rPr>
        <w:t>as well as ductal adenomas in females should be screened and followed up</w:t>
      </w:r>
      <w:r w:rsidR="009A1C9C" w:rsidRPr="005F1576">
        <w:rPr>
          <w:sz w:val="22"/>
        </w:rPr>
        <w:t xml:space="preserve"> </w:t>
      </w:r>
      <w:r w:rsidRPr="005F1576">
        <w:rPr>
          <w:sz w:val="22"/>
        </w:rPr>
        <w:t>in the context of screening for breast cancer including self-examination, clinical evaluation,</w:t>
      </w:r>
      <w:r w:rsidR="009A1C9C" w:rsidRPr="005F1576">
        <w:rPr>
          <w:sz w:val="22"/>
        </w:rPr>
        <w:t xml:space="preserve"> </w:t>
      </w:r>
      <w:r w:rsidRPr="005F1576">
        <w:rPr>
          <w:sz w:val="22"/>
        </w:rPr>
        <w:t>mammography</w:t>
      </w:r>
      <w:r w:rsidR="00AE18E0">
        <w:rPr>
          <w:sz w:val="22"/>
        </w:rPr>
        <w:t>,</w:t>
      </w:r>
      <w:r w:rsidRPr="005F1576">
        <w:rPr>
          <w:sz w:val="22"/>
        </w:rPr>
        <w:t xml:space="preserve"> and ultrasound</w:t>
      </w:r>
      <w:r w:rsidR="007B1DDB" w:rsidRPr="00AE18E0">
        <w:rPr>
          <w:sz w:val="22"/>
        </w:rPr>
        <w:t xml:space="preserve">, starting earlier than in the general population, maybe earlier than the age </w:t>
      </w:r>
      <w:r w:rsidR="007B1DDB" w:rsidRPr="0093075E">
        <w:rPr>
          <w:color w:val="auto"/>
          <w:sz w:val="22"/>
        </w:rPr>
        <w:t xml:space="preserve">of 40 </w:t>
      </w:r>
      <w:r w:rsidR="007B1DDB" w:rsidRPr="0093075E">
        <w:rPr>
          <w:color w:val="auto"/>
          <w:sz w:val="22"/>
        </w:rPr>
        <w:fldChar w:fldCharType="begin" w:fldLock="1"/>
      </w:r>
      <w:r w:rsidR="006644FA" w:rsidRPr="0093075E">
        <w:rPr>
          <w:color w:val="auto"/>
          <w:sz w:val="22"/>
        </w:rPr>
        <w:instrText>ADDIN CSL_CITATION {"citationItems":[{"id":"ITEM-1","itemData":{"DOI":"10.1210/clinem/dgaa002","ISSN":"1945-7197","PMID":"31912137","abstract":"INTRODUCTION Carney Complex (CNC) is a rare multiple endocrine and nonendocrine neoplasia syndrome. Manifestations and genotype-phenotype correlations have been described by retrospective studies, but no prospective study evaluating the occurrence of the different manifestations has been available so far. METHODS This multicenter national prospective study included patients with CNC, primary pigmented nodular adrenal disease (PPNAD), or a pathogenic PRKAR1A mutation; after a full initial workup, participants were followed for 3 years with annual standardized evaluation. RESULTS The cohort included 70 patients (50 female/20 male, mean age 35.4 ± 16.7 years, 81% carrying PRKAR1A mutation). The initial investigations allowed identification of several manifestations. At the end of the 3-year follow-up, the newly diagnosed manifestations of the disease were subclinical acromegaly in 6 patients, bilateral testicular calcifications in 1 patient, and cardiac myxomas in 2 patients. Recurrences of cardiac myxomas were diagnosed in 4 patients during the 3-year follow-up study period. Asymptomatic abnormalities of the corticotroph and somatotroph axis that did not meet criteria of PPNAD and acromegaly were observed in 11.4% and 30% of the patients, respectively. Patients carrying the PRKAR1A c.709-7del6 mutation had a mild phenotype. CONCLUSION This study underlines the importance of a systematic follow-up of the CNC manifestations, especially a biannual screening for cardiac myxoma. By contrast, regular screening for the other manifestations after a first extensive workup could be spread out, leading to a lighter and more acceptable follow-up schedule for patients. These are important results for recommendations for long-term management of CNC patients.","author":[{"dropping-particle":"","family":"Espiard","given":"Stéphanie","non-dropping-particle":"","parse-names":false,"suffix":""},{"dropping-particle":"","family":"Vantyghem","given":"Marie-Christine","non-dropping-particle":"","parse-names":false,"suffix":""},{"dropping-particle":"","family":"Assié","given":"Guillaume","non-dropping-particle":"","parse-names":false,"suffix":""},{"dropping-particle":"","family":"Cardot-Bauters","given":"Catherine","non-dropping-particle":"","parse-names":false,"suffix":""},{"dropping-particle":"","family":"Raverot","given":"Gerald","non-dropping-particle":"","parse-names":false,"suffix":""},{"dropping-particle":"","family":"Brucker-Davis","given":"Françoise","non-dropping-particle":"","parse-names":false,"suffix":""},{"dropping-particle":"","family":"Archambeaud-Mouveroux","given":"Françoise","non-dropping-particle":"","parse-names":false,"suffix":""},{"dropping-particle":"","family":"Lefebvre","given":"Hervé","non-dropping-particle":"","parse-names":false,"suffix":""},{"dropping-particle":"","family":"Nunes","given":"Marie-Laure","non-dropping-particle":"","parse-names":false,"suffix":""},{"dropping-particle":"","family":"Tabarin","given":"Antoine","non-dropping-particle":"","parse-names":false,"suffix":""},{"dropping-particle":"","family":"Lienhardt","given":"Anne","non-dropping-particle":"","parse-names":false,"suffix":""},{"dropping-particle":"","family":"Chabre","given":"Olivier","non-dropping-particle":"","parse-names":false,"suffix":""},{"dropping-particle":"","family":"Houang","given":"Muriel","non-dropping-particle":"","parse-names":false,"suffix":""},{"dropping-particle":"","family":"Bottineau","given":"Muriel","non-dropping-particle":"","parse-names":false,"suffix":""},{"dropping-particle":"","family":"Stroër","given":"Sebastian","non-dropping-particle":"","parse-names":false,"suffix":""},{"dropping-particle":"","family":"Groussin","given":"Lionel","non-dropping-particle":"","parse-names":false,"suffix":""},{"dropping-particle":"","family":"Guignat","given":"Laurence","non-dropping-particle":"","parse-names":false,"suffix":""},{"dropping-particle":"","family":"Cabanes","given":"Laure","non-dropping-particle":"","parse-names":false,"suffix":""},{"dropping-particle":"","family":"Feydy","given":"Antoine","non-dropping-particle":"","parse-names":false,"suffix":""},{"dropping-particle":"","family":"Bonnet","given":"Fidéline","non-dropping-particle":"","parse-names":false,"suffix":""},{"dropping-particle":"","family":"North","given":"Marie Odile","non-dropping-particle":"","parse-names":false,"suffix":""},{"dropping-particle":"","family":"Dupin","given":"Nicolas","non-dropping-particle":"","parse-names":false,"suffix":""},{"dropping-particle":"","family":"Grabar","given":"Sophie","non-dropping-particle":"","parse-names":false,"suffix":""},{"dropping-particle":"","family":"Duboc","given":"Denis","non-dropping-particle":"","parse-names":false,"suffix":""},{"dropping-particle":"","family":"Bertherat","given":"Jérôme","non-dropping-particle":"","parse-names":false,"suffix":""}],"container-title":"The Journal of clinical endocrinology and metabolism","id":"ITEM-1","issue":"3","issued":{"date-parts":[["2020","3","1"]]},"page":"e436–e446","publisher":"Endocrine Society","title":"Frequency and Incidence of Carney Complex Manifestations: A Prospective Multicenter Study With a Three-Year Follow-Up.","type":"article-journal","volume":"105"},"uris":["http://www.mendeley.com/documents/?uuid=0d5189bf-fd56-3ff4-88e4-25934f1a6bfb"]}],"mendeley":{"formattedCitation":"(45)","plainTextFormattedCitation":"(45)","previouslyFormattedCitation":"(45)"},"properties":{"noteIndex":0},"schema":"https://github.com/citation-style-language/schema/raw/master/csl-citation.json"}</w:instrText>
      </w:r>
      <w:r w:rsidR="007B1DDB" w:rsidRPr="0093075E">
        <w:rPr>
          <w:color w:val="auto"/>
          <w:sz w:val="22"/>
        </w:rPr>
        <w:fldChar w:fldCharType="separate"/>
      </w:r>
      <w:r w:rsidR="006644FA" w:rsidRPr="0093075E">
        <w:rPr>
          <w:noProof/>
          <w:color w:val="auto"/>
          <w:sz w:val="22"/>
        </w:rPr>
        <w:t>(45)</w:t>
      </w:r>
      <w:r w:rsidR="007B1DDB" w:rsidRPr="0093075E">
        <w:rPr>
          <w:color w:val="auto"/>
          <w:sz w:val="22"/>
        </w:rPr>
        <w:fldChar w:fldCharType="end"/>
      </w:r>
      <w:r w:rsidRPr="0093075E">
        <w:rPr>
          <w:color w:val="auto"/>
          <w:sz w:val="22"/>
        </w:rPr>
        <w:t xml:space="preserve">. In </w:t>
      </w:r>
      <w:r w:rsidR="006644FA" w:rsidRPr="0093075E">
        <w:rPr>
          <w:color w:val="auto"/>
          <w:sz w:val="22"/>
        </w:rPr>
        <w:t xml:space="preserve">the </w:t>
      </w:r>
      <w:r w:rsidRPr="0093075E">
        <w:rPr>
          <w:color w:val="auto"/>
          <w:sz w:val="22"/>
        </w:rPr>
        <w:t xml:space="preserve">case of findings, MRI of the breast </w:t>
      </w:r>
      <w:r w:rsidR="007B1DDB" w:rsidRPr="0093075E">
        <w:rPr>
          <w:color w:val="auto"/>
          <w:sz w:val="22"/>
        </w:rPr>
        <w:t xml:space="preserve">is </w:t>
      </w:r>
      <w:r w:rsidRPr="0093075E">
        <w:rPr>
          <w:color w:val="auto"/>
          <w:sz w:val="22"/>
        </w:rPr>
        <w:t>more sensitive in</w:t>
      </w:r>
      <w:r w:rsidR="009A1C9C" w:rsidRPr="0093075E">
        <w:rPr>
          <w:color w:val="auto"/>
          <w:sz w:val="22"/>
        </w:rPr>
        <w:t xml:space="preserve"> </w:t>
      </w:r>
      <w:r w:rsidRPr="0093075E">
        <w:rPr>
          <w:color w:val="auto"/>
          <w:sz w:val="22"/>
        </w:rPr>
        <w:t xml:space="preserve">mapping the lesions </w:t>
      </w:r>
      <w:r w:rsidR="007B1DDB" w:rsidRPr="0093075E">
        <w:rPr>
          <w:color w:val="auto"/>
          <w:sz w:val="22"/>
        </w:rPr>
        <w:fldChar w:fldCharType="begin" w:fldLock="1"/>
      </w:r>
      <w:r w:rsidR="006644FA" w:rsidRPr="0093075E">
        <w:rPr>
          <w:color w:val="auto"/>
          <w:sz w:val="22"/>
        </w:rPr>
        <w:instrText>ADDIN CSL_CITATION {"citationItems":[{"id":"ITEM-1","itemData":{"DOI":"10.1007/s13244-012-0208-6","ISSN":"1869-4101 (Electronic) 1869-4101 (Linking)","author":[{"dropping-particle":"","family":"Courcoutsakis","given":"N A","non-dropping-particle":"","parse-names":false,"suffix":""},{"dropping-particle":"","family":"Tatsi","given":"C","non-dropping-particle":"","parse-names":false,"suffix":""},{"dropping-particle":"","family":"Patronas","given":"N J","non-dropping-particle":"","parse-names":false,"suffix":""},{"dropping-particle":"","family":"Lee","given":"C C","non-dropping-particle":"","parse-names":false,"suffix":""},{"dropping-particle":"","family":"Prassopoulos","given":"P K","non-dropping-particle":"","parse-names":false,"suffix":""},{"dropping-particle":"","family":"Stratakis","given":"C A","non-dropping-particle":"","parse-names":false,"suffix":""}],"container-title":"Insights Imaging","id":"ITEM-1","issue":"1","issued":{"date-parts":[["2013"]]},"page":"119-133","title":"The complex of myxomas, spotty skin pigmentation and endocrine overactivity (Carney complex): imaging findings with clinical and pathological correlation","type":"article-journal","volume":"4"},"uris":["http://www.mendeley.com/documents/?uuid=7fbb92a4-384d-4c6e-90ba-43ff0314ded4"]}],"mendeley":{"formattedCitation":"(52)","plainTextFormattedCitation":"(52)","previouslyFormattedCitation":"(52)"},"properties":{"noteIndex":0},"schema":"https://github.com/citation-style-language/schema/raw/master/csl-citation.json"}</w:instrText>
      </w:r>
      <w:r w:rsidR="007B1DDB" w:rsidRPr="0093075E">
        <w:rPr>
          <w:color w:val="auto"/>
          <w:sz w:val="22"/>
        </w:rPr>
        <w:fldChar w:fldCharType="separate"/>
      </w:r>
      <w:r w:rsidR="006644FA" w:rsidRPr="0093075E">
        <w:rPr>
          <w:noProof/>
          <w:color w:val="auto"/>
          <w:sz w:val="22"/>
        </w:rPr>
        <w:t>(52)</w:t>
      </w:r>
      <w:r w:rsidR="007B1DDB" w:rsidRPr="0093075E">
        <w:rPr>
          <w:color w:val="auto"/>
          <w:sz w:val="22"/>
        </w:rPr>
        <w:fldChar w:fldCharType="end"/>
      </w:r>
      <w:r w:rsidRPr="0093075E">
        <w:rPr>
          <w:color w:val="auto"/>
          <w:sz w:val="22"/>
        </w:rPr>
        <w:t>.</w:t>
      </w:r>
    </w:p>
    <w:p w14:paraId="1B8DE56D" w14:textId="039C352D" w:rsidR="00111E80" w:rsidRPr="0093075E" w:rsidRDefault="005049B5" w:rsidP="005F1576">
      <w:pPr>
        <w:pStyle w:val="ListParagraph"/>
        <w:numPr>
          <w:ilvl w:val="0"/>
          <w:numId w:val="3"/>
        </w:numPr>
        <w:spacing w:before="0" w:line="276" w:lineRule="auto"/>
        <w:ind w:left="0" w:firstLine="0"/>
        <w:jc w:val="left"/>
        <w:rPr>
          <w:color w:val="auto"/>
          <w:sz w:val="22"/>
        </w:rPr>
      </w:pPr>
      <w:r w:rsidRPr="0093075E">
        <w:rPr>
          <w:i/>
          <w:iCs/>
          <w:color w:val="auto"/>
          <w:sz w:val="22"/>
        </w:rPr>
        <w:t xml:space="preserve">Ovarian lesions </w:t>
      </w:r>
      <w:r w:rsidRPr="0093075E">
        <w:rPr>
          <w:color w:val="auto"/>
          <w:sz w:val="22"/>
        </w:rPr>
        <w:t>by transabdominal ultrasonography during the first evaluation. The test should</w:t>
      </w:r>
      <w:r w:rsidR="009A1C9C" w:rsidRPr="0093075E">
        <w:rPr>
          <w:color w:val="auto"/>
          <w:sz w:val="22"/>
        </w:rPr>
        <w:t xml:space="preserve"> </w:t>
      </w:r>
      <w:r w:rsidRPr="0093075E">
        <w:rPr>
          <w:color w:val="auto"/>
          <w:sz w:val="22"/>
        </w:rPr>
        <w:t xml:space="preserve">be repeated due to the low risk of ovarian malignancy </w:t>
      </w:r>
      <w:r w:rsidR="007B1DDB" w:rsidRPr="0093075E">
        <w:rPr>
          <w:color w:val="auto"/>
          <w:sz w:val="22"/>
        </w:rPr>
        <w:fldChar w:fldCharType="begin" w:fldLock="1"/>
      </w:r>
      <w:r w:rsidR="006644FA" w:rsidRPr="0093075E">
        <w:rPr>
          <w:color w:val="auto"/>
          <w:sz w:val="22"/>
        </w:rPr>
        <w:instrText>ADDIN CSL_CITATION {"citationItems":[{"id":"ITEM-1","itemData":{"DOI":"10.1210/jcem.85.11.6921","ISSN":"0021-972X","PMID":"11095480","abstract":"Carney complex (CNC) is a familial multiple neoplasia and lentiginosis syndrome (OMIM 160980, http://www.ncbi.nlm.nih.gov/omim) with features overlapping those of other multiple endocrine neoplasias and hamartomatoses, Peutz-Jeghers syndrome (PJS) in particular. Although a number of patients with CNC and ovarian tumors have been described in individual patient reports, it is unclear whether ovarian lesions constitute a component of the syndrome or are coincidental events. We investigated 18 women with CNC [age at first evaluation, 31.3+/-12.1 yr (mean +/- SD)] prospectively for the development of ovarian tumors over a period of 35.7+/-30.6 months by physical examination and pelvic ultrasonography. They were compared with 11 women (age at first evaluation, 32.9+/-17 yr) who were enrolled under the same protocol (follow up, 32.3+/-25.1 months) and served as a control group. In addition, a registry of 178 women from among a total of 309 patients with CNC was searched retrospectively for any having ovarian tumors. Seven available histological specimens were rereviewed. None of the CNC patients had ovarian tumors analogous to those of PJS. Two patients with CNC in the prospective group developed ovarian tumors and were operated upon. One had bilateral oophorectomy for asynchronous serous cystadenomas. The second patient had a unilateral serous cystadenoma. Resected tumor tissue from both patients was tested for genetic abnormalities of the chromosomal regions to which CNC genetic loci have been mapped. Both showed genomic amplification of chromosomal region 2p16. An additional 10 patients had at least 1 sonogram positive for ovarian cysts. Only 1 of the patients in the control group was found to have a persistent, simple ovarian cyst by ultrasonography. The registry of 178 CNC patients included 4 who had undergone surgery for ovarian tumors. The diagnoses included endometrioid adenocarcinoma (1 patient) and metastatic mucinous adenocarcinoma (the primary site was probably ovarian; 1 patient). In addition, 7 of 12 patients (58%) with CNC, who died of other causes, had ovarian lesions at autopsy. In conclusion, although the same stromal tumor, large-cell calcifying Sertoli cell tumor, affects the testes in CNC and PJS, we did not find such tumors in a small population of CNC patients that was studied prospectively or a larger group of CNC patients that was studied retrospectively. The results of our study also suggested that women with CNC commonly develop ova…","author":[{"dropping-particle":"","family":"Stratakis","given":"C A","non-dropping-particle":"","parse-names":false,"suffix":""},{"dropping-particle":"","family":"Papageorgiou","given":"T","non-dropping-particle":"","parse-names":false,"suffix":""},{"dropping-particle":"","family":"Premkumar","given":"A","non-dropping-particle":"","parse-names":false,"suffix":""},{"dropping-particle":"","family":"Pack","given":"S","non-dropping-particle":"","parse-names":false,"suffix":""},{"dropping-particle":"","family":"Kirschner","given":"L S","non-dropping-particle":"","parse-names":false,"suffix":""},{"dropping-particle":"","family":"Taymans","given":"S E","non-dropping-particle":"","parse-names":false,"suffix":""},{"dropping-particle":"","family":"Zhuang","given":"Z","non-dropping-particle":"","parse-names":false,"suffix":""},{"dropping-particle":"","family":"Oelkers","given":"W H","non-dropping-particle":"","parse-names":false,"suffix":""},{"dropping-particle":"","family":"Carney","given":"J A","non-dropping-particle":"","parse-names":false,"suffix":""}],"container-title":"The Journal of clinical endocrinology and metabolism","id":"ITEM-1","issue":"11","issued":{"date-parts":[["2000","11"]]},"page":"4359-66","title":"Ovarian lesions in Carney complex: clinical genetics and possible predisposition to malignancy.","type":"article-journal","volume":"85"},"uris":["http://www.mendeley.com/documents/?uuid=305643d3-7c27-4f31-8743-9bb1d7fd85e6"]}],"mendeley":{"formattedCitation":"(72)","plainTextFormattedCitation":"(72)","previouslyFormattedCitation":"(72)"},"properties":{"noteIndex":0},"schema":"https://github.com/citation-style-language/schema/raw/master/csl-citation.json"}</w:instrText>
      </w:r>
      <w:r w:rsidR="007B1DDB" w:rsidRPr="0093075E">
        <w:rPr>
          <w:color w:val="auto"/>
          <w:sz w:val="22"/>
        </w:rPr>
        <w:fldChar w:fldCharType="separate"/>
      </w:r>
      <w:r w:rsidR="006644FA" w:rsidRPr="0093075E">
        <w:rPr>
          <w:noProof/>
          <w:color w:val="auto"/>
          <w:sz w:val="22"/>
        </w:rPr>
        <w:t>(72)</w:t>
      </w:r>
      <w:r w:rsidR="007B1DDB" w:rsidRPr="0093075E">
        <w:rPr>
          <w:color w:val="auto"/>
          <w:sz w:val="22"/>
        </w:rPr>
        <w:fldChar w:fldCharType="end"/>
      </w:r>
      <w:r w:rsidRPr="0093075E">
        <w:rPr>
          <w:color w:val="auto"/>
          <w:sz w:val="22"/>
        </w:rPr>
        <w:t>.</w:t>
      </w:r>
    </w:p>
    <w:p w14:paraId="18205DEC" w14:textId="77777777" w:rsidR="00C12E66" w:rsidRPr="005F1576" w:rsidRDefault="00C12E66" w:rsidP="005F1576">
      <w:pPr>
        <w:spacing w:before="0" w:line="276" w:lineRule="auto"/>
        <w:jc w:val="left"/>
        <w:rPr>
          <w:sz w:val="22"/>
        </w:rPr>
      </w:pPr>
    </w:p>
    <w:p w14:paraId="613860F9" w14:textId="2F67EC4D" w:rsidR="00111E80" w:rsidRPr="00DC4828" w:rsidRDefault="005049B5" w:rsidP="005F1576">
      <w:pPr>
        <w:pStyle w:val="Heading2"/>
        <w:spacing w:before="0" w:line="276" w:lineRule="auto"/>
        <w:jc w:val="left"/>
        <w:rPr>
          <w:color w:val="00B050"/>
          <w:sz w:val="22"/>
        </w:rPr>
      </w:pPr>
      <w:r w:rsidRPr="00DC4828">
        <w:rPr>
          <w:color w:val="00B050"/>
          <w:sz w:val="22"/>
        </w:rPr>
        <w:t>Treatment</w:t>
      </w:r>
    </w:p>
    <w:p w14:paraId="62A945E9" w14:textId="77777777" w:rsidR="00DC4828" w:rsidRDefault="00DC4828" w:rsidP="005F1576">
      <w:pPr>
        <w:spacing w:before="0" w:line="276" w:lineRule="auto"/>
        <w:jc w:val="left"/>
        <w:rPr>
          <w:sz w:val="22"/>
        </w:rPr>
      </w:pPr>
    </w:p>
    <w:p w14:paraId="3ADFCA03" w14:textId="06FB4DB3" w:rsidR="00BD0268" w:rsidRPr="005F1576" w:rsidRDefault="005049B5" w:rsidP="005F1576">
      <w:pPr>
        <w:spacing w:before="0" w:line="276" w:lineRule="auto"/>
        <w:jc w:val="left"/>
        <w:rPr>
          <w:sz w:val="22"/>
        </w:rPr>
      </w:pPr>
      <w:r w:rsidRPr="005F1576">
        <w:rPr>
          <w:sz w:val="22"/>
        </w:rPr>
        <w:t>As CNC is generated by a constitutional genetic defect, no etiologic therapy is available yet.</w:t>
      </w:r>
      <w:r w:rsidR="009A1C9C" w:rsidRPr="005F1576">
        <w:rPr>
          <w:sz w:val="22"/>
        </w:rPr>
        <w:t xml:space="preserve"> </w:t>
      </w:r>
      <w:r w:rsidRPr="005F1576">
        <w:rPr>
          <w:sz w:val="22"/>
        </w:rPr>
        <w:t>T</w:t>
      </w:r>
      <w:r w:rsidR="006644FA">
        <w:rPr>
          <w:sz w:val="22"/>
        </w:rPr>
        <w:t>he t</w:t>
      </w:r>
      <w:r w:rsidRPr="005F1576">
        <w:rPr>
          <w:sz w:val="22"/>
        </w:rPr>
        <w:t>herapeutic approach should target each clinical manifestation and treat accordingly.</w:t>
      </w:r>
      <w:r w:rsidR="009A1C9C" w:rsidRPr="005F1576">
        <w:rPr>
          <w:sz w:val="22"/>
        </w:rPr>
        <w:t xml:space="preserve"> </w:t>
      </w:r>
    </w:p>
    <w:p w14:paraId="1A4B83D0" w14:textId="10245A17" w:rsidR="00BD0268" w:rsidRPr="0093075E" w:rsidRDefault="005049B5" w:rsidP="005F1576">
      <w:pPr>
        <w:pStyle w:val="ListParagraph"/>
        <w:numPr>
          <w:ilvl w:val="0"/>
          <w:numId w:val="4"/>
        </w:numPr>
        <w:spacing w:before="0" w:line="276" w:lineRule="auto"/>
        <w:ind w:left="0" w:firstLine="0"/>
        <w:jc w:val="left"/>
        <w:rPr>
          <w:color w:val="auto"/>
          <w:sz w:val="22"/>
        </w:rPr>
      </w:pPr>
      <w:r w:rsidRPr="005F1576">
        <w:rPr>
          <w:sz w:val="22"/>
        </w:rPr>
        <w:t xml:space="preserve">Cardiac myxomas require surgical removal. However, due to </w:t>
      </w:r>
      <w:r w:rsidR="006644FA">
        <w:rPr>
          <w:sz w:val="22"/>
        </w:rPr>
        <w:t xml:space="preserve">the </w:t>
      </w:r>
      <w:r w:rsidRPr="005F1576">
        <w:rPr>
          <w:sz w:val="22"/>
        </w:rPr>
        <w:t>high recurrence rate</w:t>
      </w:r>
      <w:r w:rsidR="006644FA">
        <w:rPr>
          <w:sz w:val="22"/>
        </w:rPr>
        <w:t>,</w:t>
      </w:r>
      <w:r w:rsidRPr="005F1576">
        <w:rPr>
          <w:sz w:val="22"/>
        </w:rPr>
        <w:t xml:space="preserve"> re-operation</w:t>
      </w:r>
      <w:r w:rsidR="009A1C9C" w:rsidRPr="005F1576">
        <w:rPr>
          <w:sz w:val="22"/>
        </w:rPr>
        <w:t xml:space="preserve"> </w:t>
      </w:r>
      <w:r w:rsidR="00BD0268" w:rsidRPr="005F1576">
        <w:rPr>
          <w:sz w:val="22"/>
        </w:rPr>
        <w:t xml:space="preserve">is usually </w:t>
      </w:r>
      <w:r w:rsidR="00BD0268" w:rsidRPr="0093075E">
        <w:rPr>
          <w:color w:val="auto"/>
          <w:sz w:val="22"/>
        </w:rPr>
        <w:t>indicated</w:t>
      </w:r>
      <w:r w:rsidRPr="0093075E">
        <w:rPr>
          <w:color w:val="auto"/>
          <w:sz w:val="22"/>
        </w:rPr>
        <w:t xml:space="preserve"> </w:t>
      </w:r>
      <w:r w:rsidR="00BD0268" w:rsidRPr="0093075E">
        <w:rPr>
          <w:color w:val="auto"/>
          <w:sz w:val="22"/>
        </w:rPr>
        <w:fldChar w:fldCharType="begin" w:fldLock="1"/>
      </w:r>
      <w:r w:rsidR="006644FA" w:rsidRPr="0093075E">
        <w:rPr>
          <w:color w:val="auto"/>
          <w:sz w:val="22"/>
        </w:rPr>
        <w:instrText>ADDIN CSL_CITATION {"citationItems":[{"id":"ITEM-1","itemData":{"DOI":"10.1038/s41436-020-00956-3","ISSN":"15300366","PMID":"32893266","abstract":"Purpose: Carney complex (CNC), is an autosomal dominant multiple neoplasia and lentiginosis syndrome. We aimed to identify risk factors associated with the occurrence and recurrence of cardiac myxomas, the predominant cause of death in CNC patients. Methods: Patients with CNC were monitored prospectively between 1995 and 2020 for the development of cardiac myxomas. Results: Of the 319 patients studied, 136 (42.6%) developed myxomas. The mean age at diagnosis was 28.7 ± 16.6 years in females and 25.0 ± 16.4 years in males. By age 30, 35% of females and 45% of males had at least one myxoma. The CNC-related lesions, lentigines, cutaneous, mucosal, or breast myxomas, thyroid nodules, pituitary adenoma, and schwannoma were significantly more frequent (all p &lt; 0.05) among patients with myxomas. Forty-four percent of patients had recurrences; nearly all within the first 8 and 16 years for males and females, respectively. Recurrences were more common in females. Conclusion: This is the largest study to date and provides the first-time risk estimates by age and gender for cardiac myxomas in CNC patients. Cardiac myxomas are common by age 30 and often recur, especially in women, but the risk drops in 10 to 20 years. These findings may guide patient counseling, screening intervals, and surgical approaches. Clinical Trial Registration: Clinical Trial Registration: Defining the Genetic Basis for the Development of Primary Pigmented Nodular Adrenocortical Disease and the Carney complex, Registration number: NCT00001452 URL: https://clinicaltrials.gov/ct2/show/NCT00001452.","author":[{"dropping-particle":"","family":"Pitsava","given":"Georgia","non-dropping-particle":"","parse-names":false,"suffix":""},{"dropping-particle":"","family":"Zhu","given":"Chunming","non-dropping-particle":"","parse-names":false,"suffix":""},{"dropping-particle":"","family":"Sundaram","given":"Rajeshwari","non-dropping-particle":"","parse-names":false,"suffix":""},{"dropping-particle":"","family":"Mills","given":"James L.","non-dropping-particle":"","parse-names":false,"suffix":""},{"dropping-particle":"","family":"Stratakis","given":"Constantine A.","non-dropping-particle":"","parse-names":false,"suffix":""}],"container-title":"Genetics in Medicine","id":"ITEM-1","issue":"1","issued":{"date-parts":[["2021","1","1"]]},"page":"80-85","publisher":"Springer Nature","title":"Predicting the risk of cardiac myxoma in Carney complex","type":"article-journal","volume":"23"},"uris":["http://www.mendeley.com/documents/?uuid=311b878b-e909-3ea8-b6b9-98cb35ebe34b"]}],"mendeley":{"formattedCitation":"(49)","plainTextFormattedCitation":"(49)","previouslyFormattedCitation":"(49)"},"properties":{"noteIndex":0},"schema":"https://github.com/citation-style-language/schema/raw/master/csl-citation.json"}</w:instrText>
      </w:r>
      <w:r w:rsidR="00BD0268" w:rsidRPr="0093075E">
        <w:rPr>
          <w:color w:val="auto"/>
          <w:sz w:val="22"/>
        </w:rPr>
        <w:fldChar w:fldCharType="separate"/>
      </w:r>
      <w:r w:rsidR="006644FA" w:rsidRPr="0093075E">
        <w:rPr>
          <w:noProof/>
          <w:color w:val="auto"/>
          <w:sz w:val="22"/>
        </w:rPr>
        <w:t>(49)</w:t>
      </w:r>
      <w:r w:rsidR="00BD0268" w:rsidRPr="0093075E">
        <w:rPr>
          <w:color w:val="auto"/>
          <w:sz w:val="22"/>
        </w:rPr>
        <w:fldChar w:fldCharType="end"/>
      </w:r>
    </w:p>
    <w:p w14:paraId="5E0C7B95" w14:textId="4AC09CB5" w:rsidR="00BD0268" w:rsidRPr="005F1576" w:rsidRDefault="005049B5" w:rsidP="005F1576">
      <w:pPr>
        <w:pStyle w:val="ListParagraph"/>
        <w:numPr>
          <w:ilvl w:val="0"/>
          <w:numId w:val="4"/>
        </w:numPr>
        <w:spacing w:before="0" w:line="276" w:lineRule="auto"/>
        <w:ind w:left="0" w:firstLine="0"/>
        <w:jc w:val="left"/>
        <w:rPr>
          <w:sz w:val="22"/>
        </w:rPr>
      </w:pPr>
      <w:r w:rsidRPr="005F1576">
        <w:rPr>
          <w:sz w:val="22"/>
        </w:rPr>
        <w:lastRenderedPageBreak/>
        <w:t xml:space="preserve">Cutaneous and mammary myxomas </w:t>
      </w:r>
      <w:r w:rsidR="00EB011F" w:rsidRPr="005F1576">
        <w:rPr>
          <w:sz w:val="22"/>
        </w:rPr>
        <w:t>may be</w:t>
      </w:r>
      <w:r w:rsidRPr="005F1576">
        <w:rPr>
          <w:sz w:val="22"/>
        </w:rPr>
        <w:t xml:space="preserve"> surgically removed</w:t>
      </w:r>
      <w:r w:rsidR="00BD0268" w:rsidRPr="005F1576">
        <w:rPr>
          <w:sz w:val="22"/>
        </w:rPr>
        <w:t>, mainly for cosmetic and/or diagnostic purposes.</w:t>
      </w:r>
    </w:p>
    <w:p w14:paraId="1FEDE5BD" w14:textId="4B027B9E" w:rsidR="00BD0268" w:rsidRPr="005F1576" w:rsidRDefault="005049B5" w:rsidP="005F1576">
      <w:pPr>
        <w:pStyle w:val="ListParagraph"/>
        <w:numPr>
          <w:ilvl w:val="0"/>
          <w:numId w:val="4"/>
        </w:numPr>
        <w:spacing w:before="0" w:line="276" w:lineRule="auto"/>
        <w:ind w:left="0" w:firstLine="0"/>
        <w:jc w:val="left"/>
        <w:rPr>
          <w:sz w:val="22"/>
        </w:rPr>
      </w:pPr>
      <w:r w:rsidRPr="005F1576">
        <w:rPr>
          <w:sz w:val="22"/>
        </w:rPr>
        <w:t>Regarding PPNAD, bilateral adrenalectomy has been typically suggested if overt Cushing’s</w:t>
      </w:r>
      <w:r w:rsidR="009A1C9C" w:rsidRPr="005F1576">
        <w:rPr>
          <w:sz w:val="22"/>
        </w:rPr>
        <w:t xml:space="preserve"> </w:t>
      </w:r>
      <w:r w:rsidRPr="005F1576">
        <w:rPr>
          <w:sz w:val="22"/>
        </w:rPr>
        <w:t>syndrome is evident. Some institutions though have reported treatment with a low dose</w:t>
      </w:r>
      <w:r w:rsidR="009A1C9C" w:rsidRPr="005F1576">
        <w:rPr>
          <w:sz w:val="22"/>
        </w:rPr>
        <w:t xml:space="preserve"> </w:t>
      </w:r>
      <w:r w:rsidRPr="005F1576">
        <w:rPr>
          <w:sz w:val="22"/>
        </w:rPr>
        <w:t xml:space="preserve">regimen (0,5-4 g daily) of </w:t>
      </w:r>
      <w:proofErr w:type="spellStart"/>
      <w:r w:rsidRPr="005F1576">
        <w:rPr>
          <w:sz w:val="22"/>
        </w:rPr>
        <w:t>O,p</w:t>
      </w:r>
      <w:proofErr w:type="spellEnd"/>
      <w:r w:rsidRPr="005F1576">
        <w:rPr>
          <w:sz w:val="22"/>
        </w:rPr>
        <w:t>'-dichlorodiphenyldichloroethane (</w:t>
      </w:r>
      <w:r w:rsidRPr="0093075E">
        <w:rPr>
          <w:color w:val="auto"/>
          <w:sz w:val="22"/>
        </w:rPr>
        <w:t xml:space="preserve">Mitotane) </w:t>
      </w:r>
      <w:r w:rsidR="00BD0268" w:rsidRPr="0093075E">
        <w:rPr>
          <w:color w:val="auto"/>
          <w:sz w:val="22"/>
        </w:rPr>
        <w:fldChar w:fldCharType="begin" w:fldLock="1"/>
      </w:r>
      <w:r w:rsidR="006644FA" w:rsidRPr="0093075E">
        <w:rPr>
          <w:color w:val="auto"/>
          <w:sz w:val="22"/>
        </w:rPr>
        <w:instrText>ADDIN CSL_CITATION {"citationItems":[{"id":"ITEM-1","itemData":{"DOI":"10.14310/horm.2002.1514","ISSN":"2520-8721","PMID":"25402388","abstract":"OBJECTIVE Primary pigmented nodular adrenocortical disease (PPNAD), an uncommon cause of Cushing's syndrome, is frequently associated with a wider clinical spectrum, the Carney complex (CC), a multiple endocrine neoplasia syndrome. DESIGN We evaluated a low-dose mitotane regimen for treating severe hypercortisolism in a 27-year-old woman with CC. She presented with severe hypercortisolism and a history of surgeries for breast ductal adenoma, atrial cardiac myxomas with cerebral and peripheral arterial embolism, and near-total thyroidectomy because of an oxyphilic adenoma. The patient refused further surgery for adrenalectomy. RESULTS During the first 7 months of mitotane (Lysodren, HRA Pharma, Paris, France), the daily oral dose was progressively increased from 0.5 to 4 g/day and then stopped because of the appearance of sustained signs of hypoadrenalism, that required a replacement therapy with 5 mg of prednisone o.d. A 10-month mitotane off-therapy follow-up was performed and when an increase in urine free cortisol (UFC) was noted, the mitotane regimen was restarted at lower doses (0.750-1 g/day). Serum morning cortisol levels and UFC were then maintained within the normal range, with plasma mitotane ranging between 2 and 4 mg/L. A sustained regression of Cushing's features without inducing hypoadrenalism was achieved, which still persists after 122 months of follow-up. Minimal initial gastric discomfort was the only side effect of which the patient complained and only during the first higher dose mitotane course. CONCLUSIONS Long-term administration of a low maintenance dose of mitotane may be suggested as treatment for hypercortisolism in CC patients who refuse or are at high risk for surgical adrenalectomy.","author":[{"dropping-particle":"","family":"Campo","given":"Michela Rosaria","non-dropping-particle":"","parse-names":false,"suffix":""},{"dropping-particle":"","family":"Lamacchia","given":"Olga","non-dropping-particle":"","parse-names":false,"suffix":""},{"dropping-particle":"","family":"Farese","given":"Anna","non-dropping-particle":"","parse-names":false,"suffix":""},{"dropping-particle":"","family":"Conserva","given":"Antonella","non-dropping-particle":"","parse-names":false,"suffix":""},{"dropping-particle":"","family":"Picca","given":"Giuseppe","non-dropping-particle":"","parse-names":false,"suffix":""},{"dropping-particle":"","family":"Grilli","given":"Gianpaolo","non-dropping-particle":"","parse-names":false,"suffix":""},{"dropping-particle":"","family":"Cignarelli","given":"Mauro","non-dropping-particle":"","parse-names":false,"suffix":""}],"container-title":"Hormones (Athens, Greece)","id":"ITEM-1","issue":"2","issued":{"date-parts":[["2015"]]},"page":"300-4","title":"Mitotane and Carney Complex: ten years follow-up of a low-dose mitotane regimen inducing a sustained correction of hypercortisolism.","type":"article-journal","volume":"14"},"uris":["http://www.mendeley.com/documents/?uuid=a94acdce-3a2d-4866-a336-51f9afa73b8e"]},{"id":"ITEM-2","itemData":{"DOI":"2908 [pii]","ISSN":"0391-4097 (Print) 0391-4097 (Linking)","author":[{"dropping-particle":"","family":"Cignarelli","given":"M","non-dropping-particle":"","parse-names":false,"suffix":""},{"dropping-particle":"","family":"Picca","given":"G","non-dropping-particle":"","parse-names":false,"suffix":""},{"dropping-particle":"","family":"Campo","given":"M","non-dropping-particle":"","parse-names":false,"suffix":""},{"dropping-particle":"","family":"Margaglione","given":"M","non-dropping-particle":"","parse-names":false,"suffix":""},{"dropping-particle":"","family":"Marino","given":"A","non-dropping-particle":"","parse-names":false,"suffix":""},{"dropping-particle":"","family":"Logoluso","given":"F","non-dropping-particle":"","parse-names":false,"suffix":""},{"dropping-particle":"","family":"Giorgino","given":"F","non-dropping-particle":"","parse-names":false,"suffix":""}],"container-title":"J Endocrinol Invest","id":"ITEM-2","issue":"1","issued":{"date-parts":[["2005"]]},"page":"54-60","title":"A six month mitotane course induced sustained correction of hypercortisolism in a young woman with PPNAD and Carney complex","type":"article-journal","volume":"28"},"uris":["http://www.mendeley.com/documents/?uuid=78614bf2-44e4-4bd3-bc7f-5e1aefa577dd"]}],"mendeley":{"formattedCitation":"(80,81)","plainTextFormattedCitation":"(80,81)","previouslyFormattedCitation":"(80,81)"},"properties":{"noteIndex":0},"schema":"https://github.com/citation-style-language/schema/raw/master/csl-citation.json"}</w:instrText>
      </w:r>
      <w:r w:rsidR="00BD0268" w:rsidRPr="0093075E">
        <w:rPr>
          <w:color w:val="auto"/>
          <w:sz w:val="22"/>
        </w:rPr>
        <w:fldChar w:fldCharType="separate"/>
      </w:r>
      <w:r w:rsidR="006644FA" w:rsidRPr="0093075E">
        <w:rPr>
          <w:noProof/>
          <w:color w:val="auto"/>
          <w:sz w:val="22"/>
        </w:rPr>
        <w:t>(80,81)</w:t>
      </w:r>
      <w:r w:rsidR="00BD0268" w:rsidRPr="0093075E">
        <w:rPr>
          <w:color w:val="auto"/>
          <w:sz w:val="22"/>
        </w:rPr>
        <w:fldChar w:fldCharType="end"/>
      </w:r>
      <w:r w:rsidRPr="0093075E">
        <w:rPr>
          <w:color w:val="auto"/>
          <w:sz w:val="22"/>
        </w:rPr>
        <w:t xml:space="preserve"> with long term</w:t>
      </w:r>
      <w:r w:rsidR="009A1C9C" w:rsidRPr="0093075E">
        <w:rPr>
          <w:color w:val="auto"/>
          <w:sz w:val="22"/>
        </w:rPr>
        <w:t xml:space="preserve"> </w:t>
      </w:r>
      <w:r w:rsidRPr="0093075E">
        <w:rPr>
          <w:color w:val="auto"/>
          <w:sz w:val="22"/>
        </w:rPr>
        <w:t>effects; however</w:t>
      </w:r>
      <w:r w:rsidR="006644FA" w:rsidRPr="0093075E">
        <w:rPr>
          <w:color w:val="auto"/>
          <w:sz w:val="22"/>
        </w:rPr>
        <w:t>,</w:t>
      </w:r>
      <w:r w:rsidRPr="0093075E">
        <w:rPr>
          <w:color w:val="auto"/>
          <w:sz w:val="22"/>
        </w:rPr>
        <w:t xml:space="preserve"> the possible significant adverse events of such an approach should </w:t>
      </w:r>
      <w:r w:rsidRPr="005F1576">
        <w:rPr>
          <w:sz w:val="22"/>
        </w:rPr>
        <w:t>be</w:t>
      </w:r>
      <w:r w:rsidR="009A1C9C" w:rsidRPr="005F1576">
        <w:rPr>
          <w:sz w:val="22"/>
        </w:rPr>
        <w:t xml:space="preserve"> </w:t>
      </w:r>
      <w:r w:rsidR="00BD0268" w:rsidRPr="005F1576">
        <w:rPr>
          <w:sz w:val="22"/>
        </w:rPr>
        <w:t>considered</w:t>
      </w:r>
      <w:r w:rsidRPr="005F1576">
        <w:rPr>
          <w:sz w:val="22"/>
        </w:rPr>
        <w:t>.</w:t>
      </w:r>
    </w:p>
    <w:p w14:paraId="07FABA5F" w14:textId="143C47C5" w:rsidR="00111E80" w:rsidRPr="0093075E" w:rsidRDefault="005049B5" w:rsidP="005F1576">
      <w:pPr>
        <w:pStyle w:val="ListParagraph"/>
        <w:numPr>
          <w:ilvl w:val="0"/>
          <w:numId w:val="4"/>
        </w:numPr>
        <w:spacing w:before="0" w:line="276" w:lineRule="auto"/>
        <w:ind w:left="0" w:firstLine="0"/>
        <w:jc w:val="left"/>
        <w:rPr>
          <w:color w:val="auto"/>
          <w:sz w:val="22"/>
        </w:rPr>
      </w:pPr>
      <w:r w:rsidRPr="005F1576">
        <w:rPr>
          <w:sz w:val="22"/>
        </w:rPr>
        <w:t>LCCSCT has been traditionally treated with orchiectomy; however, the fact that these tumors</w:t>
      </w:r>
      <w:r w:rsidR="009A1C9C" w:rsidRPr="005F1576">
        <w:rPr>
          <w:sz w:val="22"/>
        </w:rPr>
        <w:t xml:space="preserve"> </w:t>
      </w:r>
      <w:r w:rsidRPr="005F1576">
        <w:rPr>
          <w:sz w:val="22"/>
        </w:rPr>
        <w:t>often occur bilaterally and are grossly benign has raised an issue to consider treatment options</w:t>
      </w:r>
      <w:r w:rsidR="009A1C9C" w:rsidRPr="005F1576">
        <w:rPr>
          <w:sz w:val="22"/>
        </w:rPr>
        <w:t xml:space="preserve"> </w:t>
      </w:r>
      <w:r w:rsidRPr="005F1576">
        <w:rPr>
          <w:sz w:val="22"/>
        </w:rPr>
        <w:t>that might preserve fertility. Such an approach is testicular-sparing surgery, followed by strict</w:t>
      </w:r>
      <w:r w:rsidR="009A1C9C" w:rsidRPr="005F1576">
        <w:rPr>
          <w:sz w:val="22"/>
        </w:rPr>
        <w:t xml:space="preserve"> </w:t>
      </w:r>
      <w:r w:rsidRPr="005F1576">
        <w:rPr>
          <w:sz w:val="22"/>
        </w:rPr>
        <w:t>monitoring of growth and pubertal staging and administration of anti-estrogen drugs in case of</w:t>
      </w:r>
      <w:r w:rsidR="009A1C9C" w:rsidRPr="005F1576">
        <w:rPr>
          <w:sz w:val="22"/>
        </w:rPr>
        <w:t xml:space="preserve"> </w:t>
      </w:r>
      <w:r w:rsidRPr="0093075E">
        <w:rPr>
          <w:color w:val="auto"/>
          <w:sz w:val="22"/>
        </w:rPr>
        <w:t xml:space="preserve">recurrence </w:t>
      </w:r>
      <w:r w:rsidR="00E15B3C" w:rsidRPr="0093075E">
        <w:rPr>
          <w:color w:val="auto"/>
          <w:sz w:val="22"/>
        </w:rPr>
        <w:fldChar w:fldCharType="begin" w:fldLock="1"/>
      </w:r>
      <w:r w:rsidR="006644FA" w:rsidRPr="0093075E">
        <w:rPr>
          <w:color w:val="auto"/>
          <w:sz w:val="22"/>
        </w:rPr>
        <w:instrText>ADDIN CSL_CITATION {"citationItems":[{"id":"ITEM-1","itemData":{"DOI":"S0022-3468(07)00429-0 [pii] 10.1016/j.jpedsurg.2007.06.008","ISSN":"1531-5037 (Electronic) 0022-3468 (Linking)","author":[{"dropping-particle":"","family":"Brown","given":"B","non-dropping-particle":"","parse-names":false,"suffix":""},{"dropping-particle":"","family":"Ram","given":"A","non-dropping-particle":"","parse-names":false,"suffix":""},{"dropping-particle":"","family":"Clayton","given":"P","non-dropping-particle":"","parse-names":false,"suffix":""},{"dropping-particle":"","family":"Humphrey","given":"G","non-dropping-particle":"","parse-names":false,"suffix":""}],"container-title":"J Pediatr Surg","id":"ITEM-1","issue":"9","issued":{"date-parts":[["2007"]]},"page":"E13-5","title":"Conservative management of bilateral Sertoli cell tumors of the testicle in association with the Carney complex: a case report","type":"article-journal","volume":"42"},"uris":["http://www.mendeley.com/documents/?uuid=2b4e5312-5773-4559-86e5-dbff8216b747"]}],"mendeley":{"formattedCitation":"(82)","plainTextFormattedCitation":"(82)","previouslyFormattedCitation":"(82)"},"properties":{"noteIndex":0},"schema":"https://github.com/citation-style-language/schema/raw/master/csl-citation.json"}</w:instrText>
      </w:r>
      <w:r w:rsidR="00E15B3C" w:rsidRPr="0093075E">
        <w:rPr>
          <w:color w:val="auto"/>
          <w:sz w:val="22"/>
        </w:rPr>
        <w:fldChar w:fldCharType="separate"/>
      </w:r>
      <w:r w:rsidR="006644FA" w:rsidRPr="0093075E">
        <w:rPr>
          <w:noProof/>
          <w:color w:val="auto"/>
          <w:sz w:val="22"/>
        </w:rPr>
        <w:t>(82)</w:t>
      </w:r>
      <w:r w:rsidR="00E15B3C" w:rsidRPr="0093075E">
        <w:rPr>
          <w:color w:val="auto"/>
          <w:sz w:val="22"/>
        </w:rPr>
        <w:fldChar w:fldCharType="end"/>
      </w:r>
      <w:r w:rsidRPr="0093075E">
        <w:rPr>
          <w:color w:val="auto"/>
          <w:sz w:val="22"/>
        </w:rPr>
        <w:t>. Alternatively, successful treatment of prepubertal gynecomastia and growth</w:t>
      </w:r>
      <w:r w:rsidR="009A1C9C" w:rsidRPr="0093075E">
        <w:rPr>
          <w:color w:val="auto"/>
          <w:sz w:val="22"/>
        </w:rPr>
        <w:t xml:space="preserve"> </w:t>
      </w:r>
      <w:r w:rsidRPr="0093075E">
        <w:rPr>
          <w:color w:val="auto"/>
          <w:sz w:val="22"/>
        </w:rPr>
        <w:t>acceleration by exclusively using aromatase inhibitors has been reported; however long</w:t>
      </w:r>
      <w:r w:rsidR="006644FA" w:rsidRPr="0093075E">
        <w:rPr>
          <w:color w:val="auto"/>
          <w:sz w:val="22"/>
        </w:rPr>
        <w:t>-</w:t>
      </w:r>
      <w:r w:rsidRPr="0093075E">
        <w:rPr>
          <w:color w:val="auto"/>
          <w:sz w:val="22"/>
        </w:rPr>
        <w:t>term</w:t>
      </w:r>
      <w:r w:rsidR="009A1C9C" w:rsidRPr="0093075E">
        <w:rPr>
          <w:color w:val="auto"/>
          <w:sz w:val="22"/>
        </w:rPr>
        <w:t xml:space="preserve"> </w:t>
      </w:r>
      <w:r w:rsidRPr="0093075E">
        <w:rPr>
          <w:color w:val="auto"/>
          <w:sz w:val="22"/>
        </w:rPr>
        <w:t xml:space="preserve">efficacy and safety data are still lacking </w:t>
      </w:r>
      <w:r w:rsidR="00E15B3C" w:rsidRPr="0093075E">
        <w:rPr>
          <w:color w:val="auto"/>
          <w:sz w:val="22"/>
        </w:rPr>
        <w:fldChar w:fldCharType="begin" w:fldLock="1"/>
      </w:r>
      <w:r w:rsidR="006644FA" w:rsidRPr="0093075E">
        <w:rPr>
          <w:color w:val="auto"/>
          <w:sz w:val="22"/>
        </w:rPr>
        <w:instrText>ADDIN CSL_CITATION {"citationItems":[{"id":"ITEM-1","itemData":{"DOI":"10.1210/jc.2014-2530","ISSN":"1945-7197","PMID":"25226294","abstract":"CONTEXT Large cell calcifying Sertoli cell tumors (LCCSCT) present in isolation or, especially in children, in association with Carney Complex (CNC) or Peutz-Jeghers Syndrome (PJS). These tumors overexpress aromatase (CYP19A1), which leads to increased conversion of delta-4-androstenedione to estrone and testosterone to estradiol. Prepubertal boys may present with growth acceleration, advanced bone age, and gynecomastia. OBJECTIVE To investigate the outcomes of aromatase inhibitor therapy (AIT) in prepubertal boys with LCCSCTs. DESIGN Case series of a very rare tumor and chart review of cases treated at other institutions. SETTING Tertiary care and referral center. PATIENTS Six boys, five with PJS and one with CNC, were referred to the National Institutes of Health for treatment of LCCSCT. All patients had gynecomastia, testicular enlargement, and advanced bone ages, and were being treated by their referring physicians with AIT. INTERVENTIONS Patients were treated for a total of 6-60 months on AIT. MAIN OUTCOME MEASURES Height, breast tissue mass, and testicular size were all followed; physical examination, scrotal ultrasounds, and bone ages were obtained, and hormonal concentrations and tumor markers were measured. RESULTS Tumor markers were negative. All patients had decreases in breast tissue while on therapy. Height percentiles declined, and predicted adult height moved closer to midparental height as bone age advancement slowed. Testicular enlargement stabilized until entry into central puberty. Only one patient required unilateral orchiectomy. CONCLUSIONS Patients with LCCSCT benefit from AIT with reduction and/or elimination of gynecomastia and slowing of linear growth and bone age advancement. Further study of long-term outcomes and safety monitoring are needed but these preliminary data suggest that mammoplasty and/or orchiectomy may be foregone in light of the availability of medical therapy.","author":[{"dropping-particle":"","family":"Crocker","given":"Melissa K","non-dropping-particle":"","parse-names":false,"suffix":""},{"dropping-particle":"","family":"Gourgari","given":"Evgenia","non-dropping-particle":"","parse-names":false,"suffix":""},{"dropping-particle":"","family":"Lodish","given":"Maya","non-dropping-particle":"","parse-names":false,"suffix":""},{"dropping-particle":"","family":"Stratakis","given":"Constantine A","non-dropping-particle":"","parse-names":false,"suffix":""}],"container-title":"The Journal of clinical endocrinology and metabolism","id":"ITEM-1","issue":"12","issued":{"date-parts":[["2014","12"]]},"page":"E2673-80","title":"Use of aromatase inhibitors in large cell calcifying sertoli cell tumors: effects on gynecomastia, growth velocity, and bone age.","type":"article-journal","volume":"99"},"uris":["http://www.mendeley.com/documents/?uuid=ca7ff0cf-ef88-493c-be40-79d3ac11dd92"]}],"mendeley":{"formattedCitation":"(83)","plainTextFormattedCitation":"(83)","previouslyFormattedCitation":"(83)"},"properties":{"noteIndex":0},"schema":"https://github.com/citation-style-language/schema/raw/master/csl-citation.json"}</w:instrText>
      </w:r>
      <w:r w:rsidR="00E15B3C" w:rsidRPr="0093075E">
        <w:rPr>
          <w:color w:val="auto"/>
          <w:sz w:val="22"/>
        </w:rPr>
        <w:fldChar w:fldCharType="separate"/>
      </w:r>
      <w:r w:rsidR="006644FA" w:rsidRPr="0093075E">
        <w:rPr>
          <w:noProof/>
          <w:color w:val="auto"/>
          <w:sz w:val="22"/>
        </w:rPr>
        <w:t>(83)</w:t>
      </w:r>
      <w:r w:rsidR="00E15B3C" w:rsidRPr="0093075E">
        <w:rPr>
          <w:color w:val="auto"/>
          <w:sz w:val="22"/>
        </w:rPr>
        <w:fldChar w:fldCharType="end"/>
      </w:r>
      <w:r w:rsidRPr="0093075E">
        <w:rPr>
          <w:color w:val="auto"/>
          <w:sz w:val="22"/>
        </w:rPr>
        <w:t>. Similarly, management of Leydig tumors, which</w:t>
      </w:r>
      <w:r w:rsidR="009A1C9C" w:rsidRPr="0093075E">
        <w:rPr>
          <w:color w:val="auto"/>
          <w:sz w:val="22"/>
        </w:rPr>
        <w:t xml:space="preserve"> </w:t>
      </w:r>
      <w:r w:rsidRPr="0093075E">
        <w:rPr>
          <w:color w:val="auto"/>
          <w:sz w:val="22"/>
        </w:rPr>
        <w:t>often present as small non-palpable testicular lesions, tends to change with the implementation</w:t>
      </w:r>
      <w:r w:rsidR="009A1C9C" w:rsidRPr="0093075E">
        <w:rPr>
          <w:color w:val="auto"/>
          <w:sz w:val="22"/>
        </w:rPr>
        <w:t xml:space="preserve"> </w:t>
      </w:r>
      <w:r w:rsidRPr="0093075E">
        <w:rPr>
          <w:color w:val="auto"/>
          <w:sz w:val="22"/>
        </w:rPr>
        <w:t>of advanced imaging modalities (magnetic resonance, contrast</w:t>
      </w:r>
      <w:r w:rsidR="006644FA" w:rsidRPr="0093075E">
        <w:rPr>
          <w:color w:val="auto"/>
          <w:sz w:val="22"/>
        </w:rPr>
        <w:t>-</w:t>
      </w:r>
      <w:r w:rsidRPr="0093075E">
        <w:rPr>
          <w:color w:val="auto"/>
          <w:sz w:val="22"/>
        </w:rPr>
        <w:t>enhanced ultrasonography,</w:t>
      </w:r>
      <w:r w:rsidR="009A1C9C" w:rsidRPr="0093075E">
        <w:rPr>
          <w:color w:val="auto"/>
          <w:sz w:val="22"/>
        </w:rPr>
        <w:t xml:space="preserve"> </w:t>
      </w:r>
      <w:r w:rsidRPr="0093075E">
        <w:rPr>
          <w:color w:val="auto"/>
          <w:sz w:val="22"/>
        </w:rPr>
        <w:t>strain elastography) which may allow a more conservative approach, including surveillance and</w:t>
      </w:r>
      <w:r w:rsidR="009A1C9C" w:rsidRPr="0093075E">
        <w:rPr>
          <w:color w:val="auto"/>
          <w:sz w:val="22"/>
        </w:rPr>
        <w:t xml:space="preserve"> </w:t>
      </w:r>
      <w:r w:rsidRPr="0093075E">
        <w:rPr>
          <w:color w:val="auto"/>
          <w:sz w:val="22"/>
        </w:rPr>
        <w:t xml:space="preserve">testis-sparing surgery </w:t>
      </w:r>
      <w:r w:rsidR="00E15B3C" w:rsidRPr="0093075E">
        <w:rPr>
          <w:color w:val="auto"/>
          <w:sz w:val="22"/>
        </w:rPr>
        <w:fldChar w:fldCharType="begin" w:fldLock="1"/>
      </w:r>
      <w:r w:rsidR="006644FA" w:rsidRPr="0093075E">
        <w:rPr>
          <w:color w:val="auto"/>
          <w:sz w:val="22"/>
        </w:rPr>
        <w:instrText>ADDIN CSL_CITATION {"citationItems":[{"id":"ITEM-1","itemData":{"DOI":"10.1148/radiol.14132718","ISSN":"1527-1315","PMID":"24968192","abstract":"PURPOSE To evaluate the diagnostic accuracy of unenhanced and quantitative contrast-enhanced ultrasonography (US) in the differential diagnosis of small nonpalpable testicular lesions. MATERIALS AND METHODS The local review board approved the protocol, and all patients provided written informed consent. One hundred fifteen patients (median age, 34 years; age range, 14-61 years) with nonpalpable testicular lesions were consecutively enrolled between 2006 and 2012 and underwent unenhanced scrotal US, contrast-enhanced US, surgical enucleation, and at least 18 months of follow-up. Clinical and histologic features were recorded, and qualitative and quantitative analysis of contrast-enhanced US time-intensity curves were performed. Logistic regression analysis was performed to explore features of malignancy. Receiver operating characteristic ( ROC receiver operating characteristic ) curves were developed for cumulative unenhanced and contrast-enhanced US scores. RESULTS All lesions were 1.5 cm or smaller. Forty-four of the 115 patients (38%) had malignant tumors, 42 had benign tumors (37%), and 29 (25%) had nonneoplastic lesions. The features at unenhanced US that enabled the best differentiation of tumors versus nonneoplastic lesions and benign versus malignant tumors were parenchymal microlithiasis (26 of 86 patients with tumors vs five of 29 patients with nonneoplastic lesions [P = .178]; four of 42 patients with benign lesions vs 22 of 44 patients with malignant tumors [P &lt; .001]), irregular margins (26 of 86 patients with tumors vs three of 29 patients with nonneoplastic lesions [P &lt; .001]; eight of 42 patients with benign lesions vs 18 of 44 patients with malignant tumors [P &lt; .001]), and internal vascularization (70 of 86 patients with tumors vs seven of 29 patients with nonneoplastic lesions [P &lt; .001]; 28 of 42 patients with benign lesions vs 42 of 44 patients with malignant tumors [P &lt; .001]). For contrast-enhanced US, the rapidity of wash-in (34 of 44 patients vs 15 of 42 patients, P &lt; .001) and washout (33 of 44 patients vs five of 42 patients, P &lt; .001) were the parameters that best differentiated malignant from benign tumors, with a typical prolonged washout observed in Leydig cell tumors (12 of 21 patients, P &lt; .001 when compared with seminomas). Overall, the combination of unenhanced and contrast-enhanced US achieved a high accuracy in the diagnosis of small testicular malignancies (area under the ROC receiver operating characteristic curve p…","author":[{"dropping-particle":"","family":"Isidori","given":"Andrea M","non-dropping-particle":"","parse-names":false,"suffix":""},{"dropping-particle":"","family":"Pozza","given":"Carlotta","non-dropping-particle":"","parse-names":false,"suffix":""},{"dropping-particle":"","family":"Gianfrilli","given":"Daniele","non-dropping-particle":"","parse-names":false,"suffix":""},{"dropping-particle":"","family":"Giannetta","given":"Elisa","non-dropping-particle":"","parse-names":false,"suffix":""},{"dropping-particle":"","family":"Lemma","given":"Andrea","non-dropping-particle":"","parse-names":false,"suffix":""},{"dropping-particle":"","family":"Pofi","given":"Riccardo","non-dropping-particle":"","parse-names":false,"suffix":""},{"dropping-particle":"","family":"Barbagallo","given":"Federica","non-dropping-particle":"","parse-names":false,"suffix":""},{"dropping-particle":"","family":"Manganaro","given":"Lucia","non-dropping-particle":"","parse-names":false,"suffix":""},{"dropping-particle":"","family":"Martino","given":"Giovanni","non-dropping-particle":"","parse-names":false,"suffix":""},{"dropping-particle":"","family":"Lombardo","given":"Francesco","non-dropping-particle":"","parse-names":false,"suffix":""},{"dropping-particle":"","family":"Cantisani","given":"Vito","non-dropping-particle":"","parse-names":false,"suffix":""},{"dropping-particle":"","family":"Franco","given":"Giorgio","non-dropping-particle":"","parse-names":false,"suffix":""},{"dropping-particle":"","family":"Lenzi","given":"Andrea","non-dropping-particle":"","parse-names":false,"suffix":""}],"container-title":"Radiology","id":"ITEM-1","issue":"2","issued":{"date-parts":[["2014","11"]]},"page":"606-18","title":"Differential diagnosis of nonpalpable testicular lesions: qualitative and quantitative contrast-enhanced US of benign and malignant testicular tumors.","type":"article-journal","volume":"273"},"uris":["http://www.mendeley.com/documents/?uuid=19638f94-b8b6-403b-a1ef-b606c5e7c4d6"]}],"mendeley":{"formattedCitation":"(84)","plainTextFormattedCitation":"(84)","previouslyFormattedCitation":"(84)"},"properties":{"noteIndex":0},"schema":"https://github.com/citation-style-language/schema/raw/master/csl-citation.json"}</w:instrText>
      </w:r>
      <w:r w:rsidR="00E15B3C" w:rsidRPr="0093075E">
        <w:rPr>
          <w:color w:val="auto"/>
          <w:sz w:val="22"/>
        </w:rPr>
        <w:fldChar w:fldCharType="separate"/>
      </w:r>
      <w:r w:rsidR="006644FA" w:rsidRPr="0093075E">
        <w:rPr>
          <w:noProof/>
          <w:color w:val="auto"/>
          <w:sz w:val="22"/>
        </w:rPr>
        <w:t>(84)</w:t>
      </w:r>
      <w:r w:rsidR="00E15B3C" w:rsidRPr="0093075E">
        <w:rPr>
          <w:color w:val="auto"/>
          <w:sz w:val="22"/>
        </w:rPr>
        <w:fldChar w:fldCharType="end"/>
      </w:r>
    </w:p>
    <w:p w14:paraId="6C6A898A" w14:textId="48A6D305" w:rsidR="00111E80" w:rsidRPr="005F1576" w:rsidRDefault="005049B5" w:rsidP="005F1576">
      <w:pPr>
        <w:pStyle w:val="ListParagraph"/>
        <w:numPr>
          <w:ilvl w:val="0"/>
          <w:numId w:val="4"/>
        </w:numPr>
        <w:spacing w:before="0" w:line="276" w:lineRule="auto"/>
        <w:ind w:left="0" w:firstLine="0"/>
        <w:jc w:val="left"/>
        <w:rPr>
          <w:sz w:val="22"/>
        </w:rPr>
      </w:pPr>
      <w:r w:rsidRPr="005F1576">
        <w:rPr>
          <w:sz w:val="22"/>
        </w:rPr>
        <w:t>Pituitary adenomas should be removed by</w:t>
      </w:r>
      <w:r w:rsidR="009A1C9C" w:rsidRPr="005F1576">
        <w:rPr>
          <w:sz w:val="22"/>
        </w:rPr>
        <w:t xml:space="preserve"> </w:t>
      </w:r>
      <w:r w:rsidRPr="005F1576">
        <w:rPr>
          <w:sz w:val="22"/>
        </w:rPr>
        <w:t>transsphenoidal or transcranial approach</w:t>
      </w:r>
      <w:r w:rsidR="00E15B3C" w:rsidRPr="005F1576">
        <w:rPr>
          <w:sz w:val="22"/>
        </w:rPr>
        <w:t>,</w:t>
      </w:r>
      <w:r w:rsidRPr="005F1576">
        <w:rPr>
          <w:sz w:val="22"/>
        </w:rPr>
        <w:t xml:space="preserve"> </w:t>
      </w:r>
      <w:r w:rsidR="00E15B3C" w:rsidRPr="005F1576">
        <w:rPr>
          <w:sz w:val="22"/>
        </w:rPr>
        <w:t xml:space="preserve">according to their size and extension </w:t>
      </w:r>
      <w:r w:rsidRPr="005F1576">
        <w:rPr>
          <w:sz w:val="22"/>
        </w:rPr>
        <w:t>as in sporadic tumors. Alternatively, long-term medical</w:t>
      </w:r>
      <w:r w:rsidR="009A1C9C" w:rsidRPr="005F1576">
        <w:rPr>
          <w:sz w:val="22"/>
        </w:rPr>
        <w:t xml:space="preserve"> </w:t>
      </w:r>
      <w:r w:rsidRPr="005F1576">
        <w:rPr>
          <w:sz w:val="22"/>
        </w:rPr>
        <w:t>treatment can be offered.</w:t>
      </w:r>
    </w:p>
    <w:p w14:paraId="049338A3" w14:textId="25A99072" w:rsidR="00BD0268" w:rsidRPr="005F1576" w:rsidRDefault="005049B5" w:rsidP="005F1576">
      <w:pPr>
        <w:pStyle w:val="ListParagraph"/>
        <w:numPr>
          <w:ilvl w:val="0"/>
          <w:numId w:val="4"/>
        </w:numPr>
        <w:spacing w:before="0" w:line="276" w:lineRule="auto"/>
        <w:ind w:left="0" w:firstLine="0"/>
        <w:jc w:val="left"/>
        <w:rPr>
          <w:sz w:val="22"/>
        </w:rPr>
      </w:pPr>
      <w:r w:rsidRPr="005F1576">
        <w:rPr>
          <w:sz w:val="22"/>
        </w:rPr>
        <w:t>Thyroid nodules should be evaluated and treated surgically according to current guidelines.</w:t>
      </w:r>
    </w:p>
    <w:p w14:paraId="2FDC4145" w14:textId="657C8901" w:rsidR="00111E80" w:rsidRPr="005F1576" w:rsidRDefault="005049B5" w:rsidP="005F1576">
      <w:pPr>
        <w:pStyle w:val="ListParagraph"/>
        <w:numPr>
          <w:ilvl w:val="0"/>
          <w:numId w:val="4"/>
        </w:numPr>
        <w:spacing w:before="0" w:line="276" w:lineRule="auto"/>
        <w:ind w:left="0" w:firstLine="0"/>
        <w:jc w:val="left"/>
        <w:rPr>
          <w:sz w:val="22"/>
        </w:rPr>
      </w:pPr>
      <w:r w:rsidRPr="005F1576">
        <w:rPr>
          <w:sz w:val="22"/>
        </w:rPr>
        <w:t>PMS: surgery to remove primary and/or metastatic lesions.</w:t>
      </w:r>
    </w:p>
    <w:p w14:paraId="018B6C9F" w14:textId="77777777" w:rsidR="00DC4828" w:rsidRDefault="00DC4828" w:rsidP="005F1576">
      <w:pPr>
        <w:pStyle w:val="Heading2"/>
        <w:spacing w:before="0" w:line="276" w:lineRule="auto"/>
        <w:jc w:val="left"/>
        <w:rPr>
          <w:sz w:val="22"/>
        </w:rPr>
      </w:pPr>
    </w:p>
    <w:p w14:paraId="79FAA0BE" w14:textId="12EBF7BB" w:rsidR="00111E80" w:rsidRPr="005F1576" w:rsidRDefault="005049B5" w:rsidP="005F1576">
      <w:pPr>
        <w:pStyle w:val="Heading2"/>
        <w:spacing w:before="0" w:line="276" w:lineRule="auto"/>
        <w:jc w:val="left"/>
        <w:rPr>
          <w:sz w:val="22"/>
        </w:rPr>
      </w:pPr>
      <w:r w:rsidRPr="00DC4828">
        <w:rPr>
          <w:color w:val="00B050"/>
          <w:sz w:val="22"/>
        </w:rPr>
        <w:t>Genetic Counseling</w:t>
      </w:r>
    </w:p>
    <w:p w14:paraId="1C0073B1" w14:textId="77777777" w:rsidR="00DC4828" w:rsidRDefault="00DC4828" w:rsidP="005F1576">
      <w:pPr>
        <w:spacing w:before="0" w:line="276" w:lineRule="auto"/>
        <w:jc w:val="left"/>
        <w:rPr>
          <w:sz w:val="22"/>
        </w:rPr>
      </w:pPr>
    </w:p>
    <w:p w14:paraId="6595669C" w14:textId="537F1040" w:rsidR="00111E80" w:rsidRPr="005F1576" w:rsidRDefault="005049B5" w:rsidP="005F1576">
      <w:pPr>
        <w:spacing w:before="0" w:line="276" w:lineRule="auto"/>
        <w:jc w:val="left"/>
        <w:rPr>
          <w:sz w:val="22"/>
        </w:rPr>
      </w:pPr>
      <w:r w:rsidRPr="005F1576">
        <w:rPr>
          <w:sz w:val="22"/>
        </w:rPr>
        <w:t xml:space="preserve">Genetic analysis may be suggested </w:t>
      </w:r>
      <w:r w:rsidR="006644FA">
        <w:rPr>
          <w:sz w:val="22"/>
        </w:rPr>
        <w:t>for</w:t>
      </w:r>
      <w:r w:rsidRPr="005F1576">
        <w:rPr>
          <w:sz w:val="22"/>
        </w:rPr>
        <w:t xml:space="preserve"> CNC index cases, taking into consideration the fact that</w:t>
      </w:r>
      <w:r w:rsidR="009A1C9C" w:rsidRPr="005F1576">
        <w:rPr>
          <w:sz w:val="22"/>
        </w:rPr>
        <w:t xml:space="preserve"> </w:t>
      </w:r>
      <w:r w:rsidR="006644FA">
        <w:rPr>
          <w:sz w:val="22"/>
        </w:rPr>
        <w:t xml:space="preserve">the </w:t>
      </w:r>
      <w:r w:rsidRPr="005F1576">
        <w:rPr>
          <w:sz w:val="22"/>
        </w:rPr>
        <w:t>mutation detection rate of PRKR1A testing with standard sequencing is at present</w:t>
      </w:r>
      <w:r w:rsidR="009A1C9C" w:rsidRPr="005F1576">
        <w:rPr>
          <w:sz w:val="22"/>
        </w:rPr>
        <w:t xml:space="preserve"> </w:t>
      </w:r>
      <w:r w:rsidRPr="005F1576">
        <w:rPr>
          <w:sz w:val="22"/>
        </w:rPr>
        <w:t>approximately 60%. Therefore, a negative test does not exclude CNC in an individual who</w:t>
      </w:r>
      <w:r w:rsidR="009A1C9C" w:rsidRPr="005F1576">
        <w:rPr>
          <w:sz w:val="22"/>
        </w:rPr>
        <w:t xml:space="preserve"> </w:t>
      </w:r>
      <w:r w:rsidRPr="005F1576">
        <w:rPr>
          <w:sz w:val="22"/>
        </w:rPr>
        <w:t>meets clinical criteria. In such cases, copy number variant (CNV) analysis by comparative</w:t>
      </w:r>
      <w:r w:rsidR="009A1C9C" w:rsidRPr="005F1576">
        <w:rPr>
          <w:sz w:val="22"/>
        </w:rPr>
        <w:t xml:space="preserve"> </w:t>
      </w:r>
      <w:r w:rsidRPr="005F1576">
        <w:rPr>
          <w:sz w:val="22"/>
        </w:rPr>
        <w:t>genomic hybridization (CGH) and/or PRKAR1A gene deletion testing may be suggested to rule</w:t>
      </w:r>
      <w:r w:rsidR="009A1C9C" w:rsidRPr="005F1576">
        <w:rPr>
          <w:sz w:val="22"/>
        </w:rPr>
        <w:t xml:space="preserve"> </w:t>
      </w:r>
      <w:r w:rsidRPr="005F1576">
        <w:rPr>
          <w:sz w:val="22"/>
        </w:rPr>
        <w:t>out a PRKAR1A defect</w:t>
      </w:r>
      <w:r w:rsidRPr="00AE18E0">
        <w:rPr>
          <w:sz w:val="22"/>
        </w:rPr>
        <w:t xml:space="preserve">. </w:t>
      </w:r>
      <w:r w:rsidR="00953E37" w:rsidRPr="00AE18E0">
        <w:rPr>
          <w:sz w:val="22"/>
        </w:rPr>
        <w:t xml:space="preserve">Currently, genetic diagnosis </w:t>
      </w:r>
      <w:r w:rsidR="00EB011F" w:rsidRPr="00AE18E0">
        <w:rPr>
          <w:sz w:val="22"/>
        </w:rPr>
        <w:t>may be</w:t>
      </w:r>
      <w:r w:rsidR="00953E37" w:rsidRPr="00AE18E0">
        <w:rPr>
          <w:sz w:val="22"/>
        </w:rPr>
        <w:t xml:space="preserve"> assisted by NGS techniques. </w:t>
      </w:r>
      <w:r w:rsidRPr="00AE18E0">
        <w:rPr>
          <w:sz w:val="22"/>
        </w:rPr>
        <w:t>If all testing for PRKAR1A defects is negative, screening for other</w:t>
      </w:r>
      <w:r w:rsidR="009A1C9C" w:rsidRPr="005F1576">
        <w:rPr>
          <w:sz w:val="22"/>
        </w:rPr>
        <w:t xml:space="preserve"> </w:t>
      </w:r>
      <w:r w:rsidRPr="005F1576">
        <w:rPr>
          <w:sz w:val="22"/>
        </w:rPr>
        <w:t xml:space="preserve">candidate genes or loci, including the PRKACA, PRKACB and the phosphodiesterase </w:t>
      </w:r>
      <w:r w:rsidR="00953E37" w:rsidRPr="005F1576">
        <w:rPr>
          <w:sz w:val="22"/>
        </w:rPr>
        <w:t xml:space="preserve">8 and 11 </w:t>
      </w:r>
      <w:r w:rsidRPr="005F1576">
        <w:rPr>
          <w:sz w:val="22"/>
        </w:rPr>
        <w:t>genes</w:t>
      </w:r>
      <w:r w:rsidR="009A1C9C" w:rsidRPr="005F1576">
        <w:rPr>
          <w:sz w:val="22"/>
        </w:rPr>
        <w:t xml:space="preserve"> </w:t>
      </w:r>
      <w:r w:rsidRPr="005F1576">
        <w:rPr>
          <w:sz w:val="22"/>
        </w:rPr>
        <w:t xml:space="preserve">has been </w:t>
      </w:r>
      <w:r w:rsidR="00953E37" w:rsidRPr="005F1576">
        <w:rPr>
          <w:sz w:val="22"/>
        </w:rPr>
        <w:t>suggested.</w:t>
      </w:r>
    </w:p>
    <w:p w14:paraId="6904E542" w14:textId="77777777" w:rsidR="00DC4828" w:rsidRDefault="00DC4828" w:rsidP="005F1576">
      <w:pPr>
        <w:spacing w:before="0" w:line="276" w:lineRule="auto"/>
        <w:jc w:val="left"/>
        <w:rPr>
          <w:sz w:val="22"/>
        </w:rPr>
      </w:pPr>
    </w:p>
    <w:p w14:paraId="1DD7BF87" w14:textId="165BA266" w:rsidR="00111E80" w:rsidRDefault="005049B5" w:rsidP="005F1576">
      <w:pPr>
        <w:spacing w:before="0" w:line="276" w:lineRule="auto"/>
        <w:jc w:val="left"/>
        <w:rPr>
          <w:sz w:val="22"/>
        </w:rPr>
      </w:pPr>
      <w:r w:rsidRPr="005F1576">
        <w:rPr>
          <w:sz w:val="22"/>
        </w:rPr>
        <w:t xml:space="preserve">In those cases </w:t>
      </w:r>
      <w:r w:rsidR="006644FA">
        <w:rPr>
          <w:sz w:val="22"/>
        </w:rPr>
        <w:t>where</w:t>
      </w:r>
      <w:r w:rsidRPr="005F1576">
        <w:rPr>
          <w:sz w:val="22"/>
        </w:rPr>
        <w:t xml:space="preserve"> a mutation is detected, genetic screening (specific sequencing) is</w:t>
      </w:r>
      <w:r w:rsidR="009A1C9C" w:rsidRPr="005F1576">
        <w:rPr>
          <w:sz w:val="22"/>
        </w:rPr>
        <w:t xml:space="preserve"> </w:t>
      </w:r>
      <w:r w:rsidRPr="005F1576">
        <w:rPr>
          <w:sz w:val="22"/>
        </w:rPr>
        <w:t>recommended for first</w:t>
      </w:r>
      <w:r w:rsidR="006644FA">
        <w:rPr>
          <w:sz w:val="22"/>
        </w:rPr>
        <w:t>-</w:t>
      </w:r>
      <w:r w:rsidRPr="005F1576">
        <w:rPr>
          <w:sz w:val="22"/>
        </w:rPr>
        <w:t>degree relatives (parents, siblings</w:t>
      </w:r>
      <w:r w:rsidR="00AE18E0">
        <w:rPr>
          <w:sz w:val="22"/>
        </w:rPr>
        <w:t>,</w:t>
      </w:r>
      <w:r w:rsidRPr="005F1576">
        <w:rPr>
          <w:sz w:val="22"/>
        </w:rPr>
        <w:t xml:space="preserve"> and offspring). In case of a positive</w:t>
      </w:r>
      <w:r w:rsidR="009A1C9C" w:rsidRPr="005F1576">
        <w:rPr>
          <w:sz w:val="22"/>
        </w:rPr>
        <w:t xml:space="preserve"> </w:t>
      </w:r>
      <w:r w:rsidRPr="005F1576">
        <w:rPr>
          <w:sz w:val="22"/>
        </w:rPr>
        <w:t>test, mutation carriers should undergo the same follow-up and management as that suggested</w:t>
      </w:r>
      <w:r w:rsidR="009A1C9C" w:rsidRPr="005F1576">
        <w:rPr>
          <w:sz w:val="22"/>
        </w:rPr>
        <w:t xml:space="preserve"> </w:t>
      </w:r>
      <w:r w:rsidRPr="005F1576">
        <w:rPr>
          <w:sz w:val="22"/>
        </w:rPr>
        <w:t>for CNC patients. The first cardiac ultrasound should be performed at the same time as the</w:t>
      </w:r>
      <w:r w:rsidR="009A1C9C" w:rsidRPr="005F1576">
        <w:rPr>
          <w:sz w:val="22"/>
        </w:rPr>
        <w:t xml:space="preserve"> </w:t>
      </w:r>
      <w:r w:rsidRPr="005F1576">
        <w:rPr>
          <w:sz w:val="22"/>
        </w:rPr>
        <w:t>molecular testing.</w:t>
      </w:r>
    </w:p>
    <w:p w14:paraId="3FC19576" w14:textId="77777777" w:rsidR="00DC4828" w:rsidRPr="005F1576" w:rsidRDefault="00DC4828" w:rsidP="005F1576">
      <w:pPr>
        <w:spacing w:before="0" w:line="276" w:lineRule="auto"/>
        <w:jc w:val="left"/>
        <w:rPr>
          <w:sz w:val="22"/>
        </w:rPr>
      </w:pPr>
    </w:p>
    <w:p w14:paraId="43355B55" w14:textId="77777777" w:rsidR="00953E37" w:rsidRPr="005F1576" w:rsidRDefault="005049B5" w:rsidP="005F1576">
      <w:pPr>
        <w:spacing w:before="0" w:line="276" w:lineRule="auto"/>
        <w:jc w:val="left"/>
        <w:rPr>
          <w:sz w:val="22"/>
        </w:rPr>
      </w:pPr>
      <w:r w:rsidRPr="005F1576">
        <w:rPr>
          <w:sz w:val="22"/>
        </w:rPr>
        <w:t>Genetic counseling should include the following general information:</w:t>
      </w:r>
      <w:r w:rsidR="009A1C9C" w:rsidRPr="005F1576">
        <w:rPr>
          <w:sz w:val="22"/>
        </w:rPr>
        <w:t xml:space="preserve"> </w:t>
      </w:r>
    </w:p>
    <w:p w14:paraId="0B7D6671" w14:textId="5471DCAC" w:rsidR="00111E80" w:rsidRPr="005F1576" w:rsidRDefault="005049B5" w:rsidP="005F1576">
      <w:pPr>
        <w:spacing w:before="0" w:line="276" w:lineRule="auto"/>
        <w:jc w:val="left"/>
        <w:rPr>
          <w:sz w:val="22"/>
        </w:rPr>
      </w:pPr>
      <w:r w:rsidRPr="005F1576">
        <w:rPr>
          <w:sz w:val="22"/>
        </w:rPr>
        <w:lastRenderedPageBreak/>
        <w:t>• If a parent of the index case is affected, the risk to his siblings is 50%. On the contrary, in case</w:t>
      </w:r>
      <w:r w:rsidR="009A1C9C" w:rsidRPr="005F1576">
        <w:rPr>
          <w:sz w:val="22"/>
        </w:rPr>
        <w:t xml:space="preserve"> </w:t>
      </w:r>
      <w:r w:rsidRPr="005F1576">
        <w:rPr>
          <w:sz w:val="22"/>
        </w:rPr>
        <w:t xml:space="preserve">of a </w:t>
      </w:r>
      <w:r w:rsidRPr="005F1576">
        <w:rPr>
          <w:i/>
          <w:iCs/>
          <w:sz w:val="22"/>
        </w:rPr>
        <w:t xml:space="preserve">de novo </w:t>
      </w:r>
      <w:r w:rsidRPr="005F1576">
        <w:rPr>
          <w:sz w:val="22"/>
        </w:rPr>
        <w:t>mutation</w:t>
      </w:r>
      <w:r w:rsidR="006644FA">
        <w:rPr>
          <w:sz w:val="22"/>
        </w:rPr>
        <w:t>,</w:t>
      </w:r>
      <w:r w:rsidRPr="005F1576">
        <w:rPr>
          <w:sz w:val="22"/>
        </w:rPr>
        <w:t xml:space="preserve"> this risk falls to approximately 1%.</w:t>
      </w:r>
    </w:p>
    <w:p w14:paraId="27584C5E" w14:textId="77777777" w:rsidR="00953E37" w:rsidRPr="005F1576" w:rsidRDefault="005049B5" w:rsidP="005F1576">
      <w:pPr>
        <w:spacing w:before="0" w:line="276" w:lineRule="auto"/>
        <w:jc w:val="left"/>
        <w:rPr>
          <w:sz w:val="22"/>
        </w:rPr>
      </w:pPr>
      <w:r w:rsidRPr="005F1576">
        <w:rPr>
          <w:sz w:val="22"/>
        </w:rPr>
        <w:t>•</w:t>
      </w:r>
      <w:r w:rsidR="00111E80" w:rsidRPr="005F1576">
        <w:rPr>
          <w:sz w:val="22"/>
        </w:rPr>
        <w:t xml:space="preserve"> </w:t>
      </w:r>
      <w:r w:rsidRPr="005F1576">
        <w:rPr>
          <w:sz w:val="22"/>
        </w:rPr>
        <w:t>Each child of an individual with CNC has a 50% chance of being affected.</w:t>
      </w:r>
      <w:r w:rsidR="009A1C9C" w:rsidRPr="005F1576">
        <w:rPr>
          <w:sz w:val="22"/>
        </w:rPr>
        <w:t xml:space="preserve"> </w:t>
      </w:r>
    </w:p>
    <w:p w14:paraId="19CB9751" w14:textId="1EF50DFD" w:rsidR="00953E37" w:rsidRPr="0093075E" w:rsidRDefault="005049B5" w:rsidP="005F1576">
      <w:pPr>
        <w:spacing w:before="0" w:line="276" w:lineRule="auto"/>
        <w:jc w:val="left"/>
        <w:rPr>
          <w:color w:val="auto"/>
          <w:sz w:val="22"/>
        </w:rPr>
      </w:pPr>
      <w:r w:rsidRPr="005F1576">
        <w:rPr>
          <w:sz w:val="22"/>
        </w:rPr>
        <w:t>• Fertility may be impaired in males with CNC. Contrary to male patients, CNC is not specifically</w:t>
      </w:r>
      <w:r w:rsidR="009A1C9C" w:rsidRPr="005F1576">
        <w:rPr>
          <w:sz w:val="22"/>
        </w:rPr>
        <w:t xml:space="preserve"> </w:t>
      </w:r>
      <w:r w:rsidRPr="005F1576">
        <w:rPr>
          <w:sz w:val="22"/>
        </w:rPr>
        <w:t>associated with female infertility and successful pregnancies and deliveries of female CNC</w:t>
      </w:r>
      <w:r w:rsidR="009A1C9C" w:rsidRPr="005F1576">
        <w:rPr>
          <w:sz w:val="22"/>
        </w:rPr>
        <w:t xml:space="preserve"> </w:t>
      </w:r>
      <w:r w:rsidRPr="005F1576">
        <w:rPr>
          <w:sz w:val="22"/>
        </w:rPr>
        <w:t xml:space="preserve">patients have been </w:t>
      </w:r>
      <w:r w:rsidRPr="0093075E">
        <w:rPr>
          <w:color w:val="auto"/>
          <w:sz w:val="22"/>
        </w:rPr>
        <w:t xml:space="preserve">reported </w:t>
      </w:r>
      <w:r w:rsidR="00953E37" w:rsidRPr="0093075E">
        <w:rPr>
          <w:color w:val="auto"/>
          <w:sz w:val="22"/>
        </w:rPr>
        <w:fldChar w:fldCharType="begin" w:fldLock="1"/>
      </w:r>
      <w:r w:rsidR="006644FA" w:rsidRPr="0093075E">
        <w:rPr>
          <w:color w:val="auto"/>
          <w:sz w:val="22"/>
        </w:rPr>
        <w:instrText>ADDIN CSL_CITATION {"citationItems":[{"id":"ITEM-1","itemData":{"DOI":"10.3389/fendo.2020.00296","ISSN":"1664-2392","PMID":"32457700","abstract":"Background: Carney complex (CNC) is a rare multiple endocrine neoplasia syndrome with autosomal dominant inheritance. Affected individuals present with mucocutaneous lentigines/blue nevi, cardiac and noncardiac myxomatous tumors, and multiple endocrine tumors. Mutations in PRKAR1A have been identified as genetic cause of the disease. Here, we report on pregnancy, delivery and puerperium in a woman with genetically confirmed CNC and her newborn. Case: The 31 year-old gravida 5 para 1 with CNC was referred at 26 weeks of gestation. Adrenocorticotropin-independent hypercortisolism, hyperglycemia, hypertension, low serum potassium, and osteoporotic fractures were present. Treatment with metyrapone, a reversible 11-beta-hydroxylase inhibitor, was initiated. The maternal condition improved, and a 5 weeks' pregnancy prolongation could be achieved. Elective repeat cesarean section was performed at 31 weeks of gestation for recurrent vaginal bleeding. The neonate developed transient hyponatremia necessitating hydrocortisone substitution for 2 weeks. Conclusion: In our case, treatment of CNC-associated hypercortisolism in pregnancy with metyrapone was effective. Maternal side effects did not occur. The newborn presented with transient hypocortisolism most likely due to transplacental drug effect. Our case illustrates that the treatment of rare diseases in pregnancy represents a challenge requiring interdisciplinary team work.","author":[{"dropping-particle":"","family":"Ralser","given":"Damian J","non-dropping-particle":"","parse-names":false,"suffix":""},{"dropping-particle":"","family":"Strizek","given":"Brigitte","non-dropping-particle":"","parse-names":false,"suffix":""},{"dropping-particle":"","family":"Kupczyk","given":"Patrick","non-dropping-particle":"","parse-names":false,"suffix":""},{"dropping-particle":"","family":"Stoffel-Wagner","given":"Birgit","non-dropping-particle":"","parse-names":false,"suffix":""},{"dropping-particle":"","family":"Altengarten","given":"Julia","non-dropping-particle":"","parse-names":false,"suffix":""},{"dropping-particle":"","family":"Müller","given":"Andreas","non-dropping-particle":"","parse-names":false,"suffix":""},{"dropping-particle":"","family":"Woelfle","given":"Joachim","non-dropping-particle":"","parse-names":false,"suffix":""},{"dropping-particle":"","family":"Gembruch","given":"Ulrich","non-dropping-particle":"","parse-names":false,"suffix":""},{"dropping-particle":"","family":"Klingmueller","given":"Dietrich","non-dropping-particle":"","parse-names":false,"suffix":""},{"dropping-particle":"","family":"Merz","given":"Waltraut M","non-dropping-particle":"","parse-names":false,"suffix":""},{"dropping-particle":"","family":"Paschkowiak-Christes","given":"Anke","non-dropping-particle":"","parse-names":false,"suffix":""}],"container-title":"Frontiers in endocrinology","id":"ITEM-1","issued":{"date-parts":[["2020","5","8"]]},"page":"296","publisher":"Frontiers Media S.A.","title":"Obstetric and Neonatal Outcome of Pregnancy in Carney Complex: A Case Report.","type":"article-journal","volume":"11"},"uris":["http://www.mendeley.com/documents/?uuid=6c2586ad-ea3f-3cf2-ba5e-5b2c3c5f775c"]}],"mendeley":{"formattedCitation":"(85)","plainTextFormattedCitation":"(85)","previouslyFormattedCitation":"(85)"},"properties":{"noteIndex":0},"schema":"https://github.com/citation-style-language/schema/raw/master/csl-citation.json"}</w:instrText>
      </w:r>
      <w:r w:rsidR="00953E37" w:rsidRPr="0093075E">
        <w:rPr>
          <w:color w:val="auto"/>
          <w:sz w:val="22"/>
        </w:rPr>
        <w:fldChar w:fldCharType="separate"/>
      </w:r>
      <w:r w:rsidR="006644FA" w:rsidRPr="0093075E">
        <w:rPr>
          <w:noProof/>
          <w:color w:val="auto"/>
          <w:sz w:val="22"/>
        </w:rPr>
        <w:t>(85)</w:t>
      </w:r>
      <w:r w:rsidR="00953E37" w:rsidRPr="0093075E">
        <w:rPr>
          <w:color w:val="auto"/>
          <w:sz w:val="22"/>
        </w:rPr>
        <w:fldChar w:fldCharType="end"/>
      </w:r>
      <w:r w:rsidRPr="0093075E">
        <w:rPr>
          <w:color w:val="auto"/>
          <w:sz w:val="22"/>
        </w:rPr>
        <w:t>.</w:t>
      </w:r>
      <w:r w:rsidR="009A1C9C" w:rsidRPr="0093075E">
        <w:rPr>
          <w:color w:val="auto"/>
          <w:sz w:val="22"/>
        </w:rPr>
        <w:t xml:space="preserve"> </w:t>
      </w:r>
    </w:p>
    <w:p w14:paraId="797AF05A" w14:textId="389E50B1" w:rsidR="00BE1434" w:rsidRPr="005F1576" w:rsidRDefault="005049B5" w:rsidP="005F1576">
      <w:pPr>
        <w:spacing w:before="0" w:line="276" w:lineRule="auto"/>
        <w:jc w:val="left"/>
        <w:rPr>
          <w:sz w:val="22"/>
        </w:rPr>
      </w:pPr>
      <w:r w:rsidRPr="005F1576">
        <w:rPr>
          <w:sz w:val="22"/>
        </w:rPr>
        <w:t xml:space="preserve">• Most tumors of CNC are in general benign </w:t>
      </w:r>
      <w:r w:rsidR="006644FA">
        <w:rPr>
          <w:sz w:val="22"/>
        </w:rPr>
        <w:t>except for</w:t>
      </w:r>
      <w:r w:rsidRPr="005F1576">
        <w:rPr>
          <w:sz w:val="22"/>
        </w:rPr>
        <w:t xml:space="preserve"> thyroid nodules and</w:t>
      </w:r>
      <w:r w:rsidR="009A1C9C" w:rsidRPr="005F1576">
        <w:rPr>
          <w:sz w:val="22"/>
        </w:rPr>
        <w:t xml:space="preserve"> </w:t>
      </w:r>
      <w:r w:rsidR="000350DA" w:rsidRPr="005F1576">
        <w:rPr>
          <w:sz w:val="22"/>
        </w:rPr>
        <w:t>schwannomas;</w:t>
      </w:r>
      <w:r w:rsidRPr="005F1576">
        <w:rPr>
          <w:sz w:val="22"/>
        </w:rPr>
        <w:t xml:space="preserve"> </w:t>
      </w:r>
      <w:r w:rsidR="000350DA" w:rsidRPr="005F1576">
        <w:rPr>
          <w:sz w:val="22"/>
        </w:rPr>
        <w:t>however,</w:t>
      </w:r>
      <w:r w:rsidRPr="005F1576">
        <w:rPr>
          <w:sz w:val="22"/>
        </w:rPr>
        <w:t xml:space="preserve"> they are associated with significant morbidity.</w:t>
      </w:r>
      <w:r w:rsidR="009A1C9C" w:rsidRPr="005F1576">
        <w:rPr>
          <w:sz w:val="22"/>
        </w:rPr>
        <w:t xml:space="preserve"> </w:t>
      </w:r>
      <w:r w:rsidRPr="005F1576">
        <w:rPr>
          <w:sz w:val="22"/>
        </w:rPr>
        <w:t>Prenatal testing is available by chorionic villous sampling (CVS) at approximately ten to 12</w:t>
      </w:r>
      <w:r w:rsidR="009A1C9C" w:rsidRPr="005F1576">
        <w:rPr>
          <w:sz w:val="22"/>
        </w:rPr>
        <w:t xml:space="preserve"> </w:t>
      </w:r>
      <w:r w:rsidRPr="005F1576">
        <w:rPr>
          <w:sz w:val="22"/>
        </w:rPr>
        <w:t xml:space="preserve">weeks of gestation or </w:t>
      </w:r>
      <w:proofErr w:type="spellStart"/>
      <w:r w:rsidRPr="005F1576">
        <w:rPr>
          <w:sz w:val="22"/>
        </w:rPr>
        <w:t>amnioparacentesis</w:t>
      </w:r>
      <w:proofErr w:type="spellEnd"/>
      <w:r w:rsidRPr="005F1576">
        <w:rPr>
          <w:sz w:val="22"/>
        </w:rPr>
        <w:t xml:space="preserve"> at 15-18 weeks of gestation. Pre-implantation genetic</w:t>
      </w:r>
      <w:r w:rsidR="009A1C9C" w:rsidRPr="005F1576">
        <w:rPr>
          <w:sz w:val="22"/>
        </w:rPr>
        <w:t xml:space="preserve"> </w:t>
      </w:r>
      <w:r w:rsidRPr="005F1576">
        <w:rPr>
          <w:sz w:val="22"/>
        </w:rPr>
        <w:t xml:space="preserve">diagnosis (PGD) is available for PRKAR1A mutation carriers and in conjunction with </w:t>
      </w:r>
      <w:r w:rsidRPr="005F1576">
        <w:rPr>
          <w:i/>
          <w:iCs/>
          <w:sz w:val="22"/>
        </w:rPr>
        <w:t>in-vitro</w:t>
      </w:r>
      <w:r w:rsidR="009A1C9C" w:rsidRPr="005F1576">
        <w:rPr>
          <w:i/>
          <w:iCs/>
          <w:sz w:val="22"/>
        </w:rPr>
        <w:t xml:space="preserve"> </w:t>
      </w:r>
      <w:r w:rsidRPr="005F1576">
        <w:rPr>
          <w:sz w:val="22"/>
        </w:rPr>
        <w:t xml:space="preserve">fertilization allows the selection of </w:t>
      </w:r>
      <w:r w:rsidR="00111E80" w:rsidRPr="005F1576">
        <w:rPr>
          <w:sz w:val="22"/>
        </w:rPr>
        <w:t>disease-free</w:t>
      </w:r>
      <w:r w:rsidRPr="005F1576">
        <w:rPr>
          <w:sz w:val="22"/>
        </w:rPr>
        <w:t xml:space="preserve"> embryos for implantation.</w:t>
      </w:r>
    </w:p>
    <w:p w14:paraId="1FDEF3EA" w14:textId="77777777" w:rsidR="00DC4828" w:rsidRDefault="00DC4828" w:rsidP="005F1576">
      <w:pPr>
        <w:pStyle w:val="Heading1"/>
        <w:spacing w:before="0" w:line="276" w:lineRule="auto"/>
        <w:jc w:val="left"/>
        <w:rPr>
          <w:sz w:val="22"/>
        </w:rPr>
      </w:pPr>
    </w:p>
    <w:p w14:paraId="1399EB96" w14:textId="008F98A0" w:rsidR="00BE1434" w:rsidRPr="00DC4828" w:rsidRDefault="005049B5" w:rsidP="005F1576">
      <w:pPr>
        <w:pStyle w:val="Heading1"/>
        <w:spacing w:before="0" w:line="276" w:lineRule="auto"/>
        <w:jc w:val="left"/>
        <w:rPr>
          <w:color w:val="0070C0"/>
          <w:sz w:val="22"/>
        </w:rPr>
      </w:pPr>
      <w:r w:rsidRPr="00DC4828">
        <w:rPr>
          <w:color w:val="0070C0"/>
          <w:sz w:val="22"/>
        </w:rPr>
        <w:t>FUTURE PERSPECTIVES</w:t>
      </w:r>
    </w:p>
    <w:p w14:paraId="01C89169" w14:textId="77777777" w:rsidR="00DC4828" w:rsidRDefault="00DC4828" w:rsidP="005F1576">
      <w:pPr>
        <w:spacing w:before="0" w:line="276" w:lineRule="auto"/>
        <w:jc w:val="left"/>
        <w:rPr>
          <w:sz w:val="22"/>
        </w:rPr>
      </w:pPr>
    </w:p>
    <w:p w14:paraId="7D69CDF7" w14:textId="2D7CDF3E" w:rsidR="00111E80" w:rsidRDefault="005049B5" w:rsidP="005F1576">
      <w:pPr>
        <w:spacing w:before="0" w:line="276" w:lineRule="auto"/>
        <w:jc w:val="left"/>
        <w:rPr>
          <w:sz w:val="22"/>
        </w:rPr>
      </w:pPr>
      <w:r w:rsidRPr="005F1576">
        <w:rPr>
          <w:sz w:val="22"/>
        </w:rPr>
        <w:t>Although remarkable progress has been made since CNC was first described</w:t>
      </w:r>
      <w:r w:rsidR="006644FA">
        <w:rPr>
          <w:sz w:val="22"/>
        </w:rPr>
        <w:t>,</w:t>
      </w:r>
      <w:r w:rsidRPr="005F1576">
        <w:rPr>
          <w:sz w:val="22"/>
        </w:rPr>
        <w:t xml:space="preserve"> </w:t>
      </w:r>
      <w:r w:rsidR="006644FA">
        <w:rPr>
          <w:sz w:val="22"/>
        </w:rPr>
        <w:t>several issues</w:t>
      </w:r>
      <w:r w:rsidRPr="005F1576">
        <w:rPr>
          <w:sz w:val="22"/>
        </w:rPr>
        <w:t xml:space="preserve"> need to be answered. There are still CNC families that do not carry a PRKAR1A</w:t>
      </w:r>
      <w:r w:rsidR="009A1C9C" w:rsidRPr="005F1576">
        <w:rPr>
          <w:sz w:val="22"/>
        </w:rPr>
        <w:t xml:space="preserve"> </w:t>
      </w:r>
      <w:r w:rsidRPr="005F1576">
        <w:rPr>
          <w:sz w:val="22"/>
        </w:rPr>
        <w:t>gene mutation and cannot be assigned to CNC2 either. The CNC2 gene located at the 2p16</w:t>
      </w:r>
      <w:r w:rsidR="009A1C9C" w:rsidRPr="005F1576">
        <w:rPr>
          <w:sz w:val="22"/>
        </w:rPr>
        <w:t xml:space="preserve"> </w:t>
      </w:r>
      <w:r w:rsidRPr="005F1576">
        <w:rPr>
          <w:sz w:val="22"/>
        </w:rPr>
        <w:t xml:space="preserve">locus </w:t>
      </w:r>
      <w:r w:rsidR="001763E0">
        <w:rPr>
          <w:sz w:val="22"/>
        </w:rPr>
        <w:t>remains</w:t>
      </w:r>
      <w:r w:rsidRPr="005F1576">
        <w:rPr>
          <w:sz w:val="22"/>
        </w:rPr>
        <w:t xml:space="preserve"> to be determined.</w:t>
      </w:r>
    </w:p>
    <w:p w14:paraId="455B73CF" w14:textId="77777777" w:rsidR="00DC4828" w:rsidRPr="005F1576" w:rsidRDefault="00DC4828" w:rsidP="005F1576">
      <w:pPr>
        <w:spacing w:before="0" w:line="276" w:lineRule="auto"/>
        <w:jc w:val="left"/>
        <w:rPr>
          <w:sz w:val="22"/>
        </w:rPr>
      </w:pPr>
    </w:p>
    <w:p w14:paraId="12D3682C" w14:textId="5481C776" w:rsidR="00BE1434" w:rsidRPr="005F1576" w:rsidRDefault="00BD1698" w:rsidP="00DC4828">
      <w:pPr>
        <w:spacing w:before="0" w:line="276" w:lineRule="auto"/>
        <w:jc w:val="left"/>
        <w:rPr>
          <w:sz w:val="22"/>
        </w:rPr>
      </w:pPr>
      <w:r w:rsidRPr="005F1576">
        <w:rPr>
          <w:sz w:val="22"/>
        </w:rPr>
        <w:t>Researchers put efforts</w:t>
      </w:r>
      <w:r w:rsidR="005049B5" w:rsidRPr="005F1576">
        <w:rPr>
          <w:sz w:val="22"/>
        </w:rPr>
        <w:t xml:space="preserve"> in the search </w:t>
      </w:r>
      <w:r w:rsidR="006644FA">
        <w:rPr>
          <w:sz w:val="22"/>
        </w:rPr>
        <w:t>for</w:t>
      </w:r>
      <w:r w:rsidR="005049B5" w:rsidRPr="005F1576">
        <w:rPr>
          <w:sz w:val="22"/>
        </w:rPr>
        <w:t xml:space="preserve"> a more specific therapy for CNC. </w:t>
      </w:r>
      <w:r w:rsidRPr="005F1576">
        <w:rPr>
          <w:sz w:val="22"/>
        </w:rPr>
        <w:t xml:space="preserve">An older study demonstrated that </w:t>
      </w:r>
      <w:r w:rsidR="005049B5" w:rsidRPr="005F1576">
        <w:rPr>
          <w:sz w:val="22"/>
        </w:rPr>
        <w:t>8-Cl-adenosine (8-Cl-</w:t>
      </w:r>
      <w:r w:rsidR="005049B5" w:rsidRPr="0093075E">
        <w:rPr>
          <w:color w:val="auto"/>
          <w:sz w:val="22"/>
        </w:rPr>
        <w:t>ADO)</w:t>
      </w:r>
      <w:r w:rsidRPr="0093075E">
        <w:rPr>
          <w:color w:val="auto"/>
          <w:sz w:val="22"/>
        </w:rPr>
        <w:t>, a</w:t>
      </w:r>
      <w:r w:rsidR="005049B5" w:rsidRPr="0093075E">
        <w:rPr>
          <w:color w:val="auto"/>
          <w:sz w:val="22"/>
        </w:rPr>
        <w:t xml:space="preserve"> </w:t>
      </w:r>
      <w:r w:rsidRPr="0093075E">
        <w:rPr>
          <w:color w:val="auto"/>
          <w:sz w:val="22"/>
        </w:rPr>
        <w:t>cAMP analog was able to</w:t>
      </w:r>
      <w:r w:rsidR="005049B5" w:rsidRPr="0093075E">
        <w:rPr>
          <w:i/>
          <w:iCs/>
          <w:color w:val="auto"/>
          <w:sz w:val="22"/>
        </w:rPr>
        <w:t xml:space="preserve">, </w:t>
      </w:r>
      <w:r w:rsidR="005049B5" w:rsidRPr="0093075E">
        <w:rPr>
          <w:color w:val="auto"/>
          <w:sz w:val="22"/>
        </w:rPr>
        <w:t xml:space="preserve">inhibit </w:t>
      </w:r>
      <w:r w:rsidRPr="0093075E">
        <w:rPr>
          <w:i/>
          <w:iCs/>
          <w:color w:val="auto"/>
          <w:sz w:val="22"/>
        </w:rPr>
        <w:t>in vitro</w:t>
      </w:r>
      <w:r w:rsidRPr="0093075E">
        <w:rPr>
          <w:color w:val="auto"/>
          <w:sz w:val="22"/>
        </w:rPr>
        <w:t xml:space="preserve"> the </w:t>
      </w:r>
      <w:r w:rsidR="005049B5" w:rsidRPr="0093075E">
        <w:rPr>
          <w:color w:val="auto"/>
          <w:sz w:val="22"/>
        </w:rPr>
        <w:t>proliferation</w:t>
      </w:r>
      <w:r w:rsidR="009A1C9C" w:rsidRPr="0093075E">
        <w:rPr>
          <w:color w:val="auto"/>
          <w:sz w:val="22"/>
        </w:rPr>
        <w:t xml:space="preserve"> </w:t>
      </w:r>
      <w:r w:rsidR="005049B5" w:rsidRPr="0093075E">
        <w:rPr>
          <w:color w:val="auto"/>
          <w:sz w:val="22"/>
        </w:rPr>
        <w:t xml:space="preserve">induced by G protein-coupled receptors </w:t>
      </w:r>
      <w:r w:rsidR="00A34475" w:rsidRPr="0093075E">
        <w:rPr>
          <w:color w:val="auto"/>
          <w:sz w:val="22"/>
        </w:rPr>
        <w:fldChar w:fldCharType="begin" w:fldLock="1"/>
      </w:r>
      <w:r w:rsidR="006644FA" w:rsidRPr="0093075E">
        <w:rPr>
          <w:color w:val="auto"/>
          <w:sz w:val="22"/>
        </w:rPr>
        <w:instrText>ADDIN CSL_CITATION {"citationItems":[{"id":"ITEM-1","itemData":{"DOI":"jc.2009-0759 [pii] 10.1210/jc.2009-0759","ISSN":"1945-7197 (Electronic) 0021-972X (Linking)","author":[{"dropping-particle":"","family":"Robinson-White","given":"A J","non-dropping-particle":"","parse-names":false,"suffix":""},{"dropping-particle":"","family":"Bossis","given":"I","non-dropping-particle":"","parse-names":false,"suffix":""},{"dropping-particle":"","family":"Hsiao","given":"H P","non-dropping-particle":"","parse-names":false,"suffix":""},{"dropping-particle":"","family":"Nesterova","given":"M","non-dropping-particle":"","parse-names":false,"suffix":""},{"dropping-particle":"","family":"Leitner","given":"W W","non-dropping-particle":"","parse-names":false,"suffix":""},{"dropping-particle":"","family":"Stratakis","given":"C A","non-dropping-particle":"","parse-names":false,"suffix":""}],"container-title":"J Clin Endocrinol Metab","id":"ITEM-1","issue":"10","issued":{"date-parts":[["2009"]]},"page":"4061-4069","title":"8-Cl-adenosine inhibits proliferation and causes apoptosis in B-lymphocytes via protein kinase A-dependent and independent effects: implications for treatment of Carney complex-associated tumors","type":"article-journal","volume":"94"},"uris":["http://www.mendeley.com/documents/?uuid=15d51056-e3b3-401f-8bb9-210c415c73a2"]}],"mendeley":{"formattedCitation":"(86)","plainTextFormattedCitation":"(86)","previouslyFormattedCitation":"(86)"},"properties":{"noteIndex":0},"schema":"https://github.com/citation-style-language/schema/raw/master/csl-citation.json"}</w:instrText>
      </w:r>
      <w:r w:rsidR="00A34475" w:rsidRPr="0093075E">
        <w:rPr>
          <w:color w:val="auto"/>
          <w:sz w:val="22"/>
        </w:rPr>
        <w:fldChar w:fldCharType="separate"/>
      </w:r>
      <w:r w:rsidR="006644FA" w:rsidRPr="0093075E">
        <w:rPr>
          <w:noProof/>
          <w:color w:val="auto"/>
          <w:sz w:val="22"/>
        </w:rPr>
        <w:t>(86)</w:t>
      </w:r>
      <w:r w:rsidR="00A34475" w:rsidRPr="0093075E">
        <w:rPr>
          <w:color w:val="auto"/>
          <w:sz w:val="22"/>
        </w:rPr>
        <w:fldChar w:fldCharType="end"/>
      </w:r>
      <w:r w:rsidRPr="0093075E">
        <w:rPr>
          <w:color w:val="auto"/>
          <w:sz w:val="22"/>
        </w:rPr>
        <w:t>; however, no further research has been published on this substance</w:t>
      </w:r>
      <w:r w:rsidR="005049B5" w:rsidRPr="0093075E">
        <w:rPr>
          <w:color w:val="auto"/>
          <w:sz w:val="22"/>
        </w:rPr>
        <w:t>. Moreover, PRKAR1A haploinsufficiency has been</w:t>
      </w:r>
      <w:r w:rsidR="009A1C9C" w:rsidRPr="0093075E">
        <w:rPr>
          <w:color w:val="auto"/>
          <w:sz w:val="22"/>
        </w:rPr>
        <w:t xml:space="preserve"> </w:t>
      </w:r>
      <w:r w:rsidR="005049B5" w:rsidRPr="0093075E">
        <w:rPr>
          <w:color w:val="auto"/>
          <w:sz w:val="22"/>
        </w:rPr>
        <w:t>shown to induce cyclooxygenase-2 (COX2) activation and prostaglandin E2 (PGE2)</w:t>
      </w:r>
      <w:r w:rsidR="009A1C9C" w:rsidRPr="0093075E">
        <w:rPr>
          <w:color w:val="auto"/>
          <w:sz w:val="22"/>
        </w:rPr>
        <w:t xml:space="preserve"> </w:t>
      </w:r>
      <w:r w:rsidR="005049B5" w:rsidRPr="0093075E">
        <w:rPr>
          <w:color w:val="auto"/>
          <w:sz w:val="22"/>
        </w:rPr>
        <w:t>overproduction, a disorder that has been associated with the abnormal proliferation of adult</w:t>
      </w:r>
      <w:r w:rsidR="009A1C9C" w:rsidRPr="0093075E">
        <w:rPr>
          <w:color w:val="auto"/>
          <w:sz w:val="22"/>
        </w:rPr>
        <w:t xml:space="preserve"> </w:t>
      </w:r>
      <w:r w:rsidR="005049B5" w:rsidRPr="0093075E">
        <w:rPr>
          <w:color w:val="auto"/>
          <w:sz w:val="22"/>
        </w:rPr>
        <w:t xml:space="preserve">bone stromal cells (ABSCs) seen in </w:t>
      </w:r>
      <w:proofErr w:type="spellStart"/>
      <w:r w:rsidR="005049B5" w:rsidRPr="0093075E">
        <w:rPr>
          <w:color w:val="auto"/>
          <w:sz w:val="22"/>
        </w:rPr>
        <w:t>osteochondromyxomas</w:t>
      </w:r>
      <w:proofErr w:type="spellEnd"/>
      <w:r w:rsidR="005049B5" w:rsidRPr="0093075E">
        <w:rPr>
          <w:color w:val="auto"/>
          <w:sz w:val="22"/>
        </w:rPr>
        <w:t xml:space="preserve"> of CNC patients</w:t>
      </w:r>
      <w:r w:rsidR="00A34475" w:rsidRPr="0093075E">
        <w:rPr>
          <w:color w:val="auto"/>
          <w:sz w:val="22"/>
        </w:rPr>
        <w:t xml:space="preserve"> </w:t>
      </w:r>
      <w:r w:rsidR="00A34475" w:rsidRPr="0093075E">
        <w:rPr>
          <w:color w:val="auto"/>
          <w:sz w:val="22"/>
        </w:rPr>
        <w:fldChar w:fldCharType="begin" w:fldLock="1"/>
      </w:r>
      <w:r w:rsidR="006644FA" w:rsidRPr="0093075E">
        <w:rPr>
          <w:color w:val="auto"/>
          <w:sz w:val="22"/>
        </w:rPr>
        <w:instrText>ADDIN CSL_CITATION {"citationItems":[{"id":"ITEM-1","itemData":{"DOI":"10.1016/j.mce.2016.08.004","ISSN":"1872-8057","PMID":"27498419","abstract":"Osteochondromyxomas (OMX) in the context of Carney complex (CNC) and fibrous dysplasia (FD)-like lesions (FDLL) in mice, as well as isolated myxomas in humans may be caused by inactivation of PRKAR1A, the gene coding for the type 1a regulatory subunit (R1α) of cAMP-dependent protein kinase (PKA). OMXs and FDLL in mice lacking Prkar1a grow from abnormal proliferation of adult bone stromal cells (aBSCs). Prkar1a and Prkaca (coding for Cα) haploinsufficiency leads to COX2 activation and prostaglandin E2 (PGE2) production that, in turn, activates proliferation of aBSCs. Celecoxib is a cyclooxygenase-2 (COX2) inhibitor. We hypothesized that COX-2 inhibition may have an effect in FD and FDLL. In vitro treatment of a human cell line prepared from a FD patient with Celecoxib resulted in decreased PGE2 and cell proliferation. Treatment of mice haploinsufficient for R1α and Cα with 1500 mg/kg Celecoxib led to decreased PGE2 and proliferation and increased apoptosis, with a corresponding gene expression profile, resulting in dramatic reduction of tumor growth. Furthermore, the treatment improved the organization of cortical bone that was adjacent to the tumor. We conclude that, in vitro and in vivo, Celecoxib had an inhibitory effect on FD cell proliferation and in mouse FDLL structure, respectively. We speculate that COX-2 inhibitors offer an attractive alternative to current treatments for benign tumors such as OMX and FD that, apart from tumor suppression, may mechanically stabilize affected bones.","author":[{"dropping-particle":"","family":"Saloustros","given":"Emmanouil","non-dropping-particle":"","parse-names":false,"suffix":""},{"dropping-particle":"","family":"Liu","given":"Sisi","non-dropping-particle":"","parse-names":false,"suffix":""},{"dropping-particle":"","family":"Mertz","given":"Edward L","non-dropping-particle":"","parse-names":false,"suffix":""},{"dropping-particle":"","family":"Bhattacharyya","given":"Nisan","non-dropping-particle":"","parse-names":false,"suffix":""},{"dropping-particle":"","family":"Starost","given":"Matthew F","non-dropping-particle":"","parse-names":false,"suffix":""},{"dropping-particle":"","family":"Salpea","given":"Paraskevi","non-dropping-particle":"","parse-names":false,"suffix":""},{"dropping-particle":"","family":"Nesterova","given":"Maria","non-dropping-particle":"","parse-names":false,"suffix":""},{"dropping-particle":"","family":"Collins","given":"Michael","non-dropping-particle":"","parse-names":false,"suffix":""},{"dropping-particle":"","family":"Leikin","given":"Sergey","non-dropping-particle":"","parse-names":false,"suffix":""},{"dropping-particle":"","family":"Stratakis","given":"Constantine A","non-dropping-particle":"","parse-names":false,"suffix":""}],"container-title":"Molecular and cellular endocrinology","id":"ITEM-1","issued":{"date-parts":[["2017","1","5"]]},"page":"165-174","title":"Celecoxib treatment of fibrous dysplasia (FD) in a human FD cell line and FD-like lesions in mice with protein kinase A (PKA) defects.","type":"article-journal","volume":"439"},"uris":["http://www.mendeley.com/documents/?uuid=8ca39aaa-ac6d-41a0-bac8-6f7a97c98262"]}],"mendeley":{"formattedCitation":"(87)","plainTextFormattedCitation":"(87)","previouslyFormattedCitation":"(87)"},"properties":{"noteIndex":0},"schema":"https://github.com/citation-style-language/schema/raw/master/csl-citation.json"}</w:instrText>
      </w:r>
      <w:r w:rsidR="00A34475" w:rsidRPr="0093075E">
        <w:rPr>
          <w:color w:val="auto"/>
          <w:sz w:val="22"/>
        </w:rPr>
        <w:fldChar w:fldCharType="separate"/>
      </w:r>
      <w:r w:rsidR="006644FA" w:rsidRPr="0093075E">
        <w:rPr>
          <w:noProof/>
          <w:color w:val="auto"/>
          <w:sz w:val="22"/>
        </w:rPr>
        <w:t>(87)</w:t>
      </w:r>
      <w:r w:rsidR="00A34475" w:rsidRPr="0093075E">
        <w:rPr>
          <w:color w:val="auto"/>
          <w:sz w:val="22"/>
        </w:rPr>
        <w:fldChar w:fldCharType="end"/>
      </w:r>
      <w:r w:rsidR="005049B5" w:rsidRPr="0093075E">
        <w:rPr>
          <w:color w:val="auto"/>
          <w:sz w:val="22"/>
        </w:rPr>
        <w:t>. Experimental</w:t>
      </w:r>
      <w:r w:rsidR="009A1C9C" w:rsidRPr="0093075E">
        <w:rPr>
          <w:color w:val="auto"/>
          <w:sz w:val="22"/>
        </w:rPr>
        <w:t xml:space="preserve"> </w:t>
      </w:r>
      <w:r w:rsidR="005049B5" w:rsidRPr="0093075E">
        <w:rPr>
          <w:color w:val="auto"/>
          <w:sz w:val="22"/>
        </w:rPr>
        <w:t>administration of celecoxib, a COX2 inhibitor, in mice with PKA defects decreased PGE2 and</w:t>
      </w:r>
      <w:r w:rsidR="009A1C9C" w:rsidRPr="0093075E">
        <w:rPr>
          <w:color w:val="auto"/>
          <w:sz w:val="22"/>
        </w:rPr>
        <w:t xml:space="preserve"> </w:t>
      </w:r>
      <w:r w:rsidR="005049B5" w:rsidRPr="0093075E">
        <w:rPr>
          <w:color w:val="auto"/>
          <w:sz w:val="22"/>
        </w:rPr>
        <w:t xml:space="preserve">associated proliferation of ABSCs, resulting in </w:t>
      </w:r>
      <w:r w:rsidR="006644FA" w:rsidRPr="0093075E">
        <w:rPr>
          <w:color w:val="auto"/>
          <w:sz w:val="22"/>
        </w:rPr>
        <w:t xml:space="preserve">a </w:t>
      </w:r>
      <w:r w:rsidR="005049B5" w:rsidRPr="0093075E">
        <w:rPr>
          <w:color w:val="auto"/>
          <w:sz w:val="22"/>
        </w:rPr>
        <w:t>substantial reduction of bone tumor growth and</w:t>
      </w:r>
      <w:r w:rsidR="009A1C9C" w:rsidRPr="0093075E">
        <w:rPr>
          <w:color w:val="auto"/>
          <w:sz w:val="22"/>
        </w:rPr>
        <w:t xml:space="preserve"> </w:t>
      </w:r>
      <w:r w:rsidR="005049B5" w:rsidRPr="0093075E">
        <w:rPr>
          <w:color w:val="auto"/>
          <w:sz w:val="22"/>
        </w:rPr>
        <w:t>improved organization of cortical bone that was adjacent to the tumor. Based on the same</w:t>
      </w:r>
      <w:r w:rsidR="009A1C9C" w:rsidRPr="0093075E">
        <w:rPr>
          <w:color w:val="auto"/>
          <w:sz w:val="22"/>
        </w:rPr>
        <w:t xml:space="preserve"> </w:t>
      </w:r>
      <w:r w:rsidRPr="0093075E">
        <w:rPr>
          <w:color w:val="auto"/>
          <w:sz w:val="22"/>
        </w:rPr>
        <w:t>principle</w:t>
      </w:r>
      <w:r w:rsidR="005049B5" w:rsidRPr="0093075E">
        <w:rPr>
          <w:color w:val="auto"/>
          <w:sz w:val="22"/>
        </w:rPr>
        <w:t>, experiments with celecoxib on adrenocortical cell lines and in a mouse model of</w:t>
      </w:r>
      <w:r w:rsidR="009A1C9C" w:rsidRPr="0093075E">
        <w:rPr>
          <w:color w:val="auto"/>
          <w:sz w:val="22"/>
        </w:rPr>
        <w:t xml:space="preserve"> </w:t>
      </w:r>
      <w:r w:rsidR="005049B5" w:rsidRPr="0093075E">
        <w:rPr>
          <w:color w:val="auto"/>
          <w:sz w:val="22"/>
        </w:rPr>
        <w:t>PPNAD demonstrated in vitro and in vivo reduction of steroid secretion and cell proliferation</w:t>
      </w:r>
      <w:r w:rsidRPr="0093075E">
        <w:rPr>
          <w:color w:val="auto"/>
          <w:sz w:val="22"/>
          <w:lang w:val="el-GR"/>
        </w:rPr>
        <w:t xml:space="preserve"> </w:t>
      </w:r>
      <w:r w:rsidR="000350DA" w:rsidRPr="0093075E">
        <w:rPr>
          <w:color w:val="auto"/>
          <w:sz w:val="22"/>
          <w:lang w:val="el-GR"/>
        </w:rPr>
        <w:fldChar w:fldCharType="begin" w:fldLock="1"/>
      </w:r>
      <w:r w:rsidR="006644FA" w:rsidRPr="0093075E">
        <w:rPr>
          <w:color w:val="auto"/>
          <w:sz w:val="22"/>
          <w:lang w:val="el-GR"/>
        </w:rPr>
        <w:instrText>ADDIN CSL_CITATION {"citationItems":[{"id":"ITEM-1","itemData":{"DOI":"10.1530/ERC-15-0472","ISSN":"1479-6821","PMID":"26438728","abstract":"Primary pigmented nodular adrenocortical disease (PPNAD), whether in the context of Carney complex (CNC) or isolated, leads to ACTH-independent Cushing's syndrome (CS). CNC and PPNAD are caused typically by inactivating mutations of PRKAR1A, a gene coding for the type 1a regulatory subunit (R1a) of cAMP-dependent protein kinase (PKA). Mice lacking Prkar1a, specifically in the adrenal cortex (AdKO) developed CS caused by bilateral adrenal hyperplasia (BAH), which is formed from the abnormal proliferation of fetal-like adrenocortical cells. Celecoxib is a cyclooxygenase 2 (COX2) inhibitor. In bone, Prkar1a inhibition is associated with COX2 activation and prostaglandin E2 (PGE2) production that, in turn, activates proliferation of bone stromal cells. We hypothesized that COX2 inhibition may have an effect in PPNAD. In vitro treatment of human cell lines, including one from a patient with PPNAD, with celecoxib resulted in decreased cell viability. We then treated AdKO and control mice with 1500 mg/kg celecoxib or vehicle. Celecoxib treatment led to decreased PGE2 and corticosterone levels, reduced proliferation and increased apoptosis of adrenocortical cells, and decreased steroidogenic gene expression. We conclude that, in vitro and in vivo, celecoxib led to decreased steroidogenesis. In a mouse model of PPNAD, celecoxib caused histological changes that, at least in part, reversed BAH and this was associated with a reduction of corticosterone levels.","author":[{"dropping-particle":"","family":"Liu","given":"Sisi","non-dropping-particle":"","parse-names":false,"suffix":""},{"dropping-particle":"","family":"Saloustros","given":"Emmanouil","non-dropping-particle":"","parse-names":false,"suffix":""},{"dropping-particle":"","family":"Berthon","given":"Annabel","non-dropping-particle":"","parse-names":false,"suffix":""},{"dropping-particle":"","family":"Starost","given":"Matthew F.","non-dropping-particle":"","parse-names":false,"suffix":""},{"dropping-particle":"","family":"Sahut-Barnola","given":"Isabelle","non-dropping-particle":"","parse-names":false,"suffix":""},{"dropping-particle":"","family":"Salpea","given":"Paraskevi","non-dropping-particle":"","parse-names":false,"suffix":""},{"dropping-particle":"","family":"Szarek","given":"Eva","non-dropping-particle":"","parse-names":false,"suffix":""},{"dropping-particle":"","family":"Faucz","given":"Fabio R.","non-dropping-particle":"","parse-names":false,"suffix":""},{"dropping-particle":"","family":"Martinez","given":"Antoine","non-dropping-particle":"","parse-names":false,"suffix":""},{"dropping-particle":"","family":"Stratakis","given":"Constantine A.","non-dropping-particle":"","parse-names":false,"suffix":""}],"container-title":"Endocrine-related cancer","id":"ITEM-1","issue":"1","issued":{"date-parts":[["2016","1","1"]]},"page":"15-25","publisher":"Endocr Relat Cancer","title":"Celecoxib reduces glucocorticoids in vitro and in a mouse model with adrenocortical hyperplasia","type":"article-journal","volume":"23"},"uris":["http://www.mendeley.com/documents/?uuid=59ccd656-419c-3564-8d04-dd0fe6d9a69b"]}],"mendeley":{"formattedCitation":"(88)","plainTextFormattedCitation":"(88)","previouslyFormattedCitation":"(88)"},"properties":{"noteIndex":0},"schema":"https://github.com/citation-style-language/schema/raw/master/csl-citation.json"}</w:instrText>
      </w:r>
      <w:r w:rsidR="000350DA" w:rsidRPr="0093075E">
        <w:rPr>
          <w:color w:val="auto"/>
          <w:sz w:val="22"/>
          <w:lang w:val="el-GR"/>
        </w:rPr>
        <w:fldChar w:fldCharType="separate"/>
      </w:r>
      <w:r w:rsidR="006644FA" w:rsidRPr="0093075E">
        <w:rPr>
          <w:noProof/>
          <w:color w:val="auto"/>
          <w:sz w:val="22"/>
          <w:lang w:val="el-GR"/>
        </w:rPr>
        <w:t>(88)</w:t>
      </w:r>
      <w:r w:rsidR="000350DA" w:rsidRPr="0093075E">
        <w:rPr>
          <w:color w:val="auto"/>
          <w:sz w:val="22"/>
          <w:lang w:val="el-GR"/>
        </w:rPr>
        <w:fldChar w:fldCharType="end"/>
      </w:r>
      <w:r w:rsidR="005049B5" w:rsidRPr="0093075E">
        <w:rPr>
          <w:color w:val="auto"/>
          <w:sz w:val="22"/>
        </w:rPr>
        <w:t>.</w:t>
      </w:r>
      <w:r w:rsidR="009A1C9C" w:rsidRPr="0093075E">
        <w:rPr>
          <w:color w:val="auto"/>
          <w:sz w:val="22"/>
        </w:rPr>
        <w:t xml:space="preserve"> </w:t>
      </w:r>
      <w:r w:rsidR="005049B5" w:rsidRPr="0093075E">
        <w:rPr>
          <w:color w:val="auto"/>
          <w:sz w:val="22"/>
        </w:rPr>
        <w:t xml:space="preserve">Recent </w:t>
      </w:r>
      <w:r w:rsidR="005049B5" w:rsidRPr="005F1576">
        <w:rPr>
          <w:sz w:val="22"/>
        </w:rPr>
        <w:t>advances in genomics and pharmaceutical technologies are promising for timely</w:t>
      </w:r>
      <w:r w:rsidR="009A1C9C" w:rsidRPr="005F1576">
        <w:rPr>
          <w:sz w:val="22"/>
        </w:rPr>
        <w:t xml:space="preserve"> </w:t>
      </w:r>
      <w:r w:rsidR="005049B5" w:rsidRPr="005F1576">
        <w:rPr>
          <w:sz w:val="22"/>
        </w:rPr>
        <w:t>diagnosis and “etiologic” cure of this syndrome.</w:t>
      </w:r>
    </w:p>
    <w:p w14:paraId="35735FB1" w14:textId="77777777" w:rsidR="00907168" w:rsidRPr="005F1576" w:rsidRDefault="00907168" w:rsidP="00DC4828">
      <w:pPr>
        <w:spacing w:before="0" w:line="276" w:lineRule="auto"/>
        <w:jc w:val="left"/>
        <w:rPr>
          <w:sz w:val="22"/>
        </w:rPr>
      </w:pPr>
    </w:p>
    <w:p w14:paraId="4562E0DF" w14:textId="115B7FD2" w:rsidR="00BE1434" w:rsidRPr="001763E0" w:rsidRDefault="005049B5" w:rsidP="00DC4828">
      <w:pPr>
        <w:pStyle w:val="Heading1"/>
        <w:spacing w:before="0" w:line="276" w:lineRule="auto"/>
        <w:jc w:val="left"/>
        <w:rPr>
          <w:color w:val="0070C0"/>
          <w:sz w:val="22"/>
        </w:rPr>
      </w:pPr>
      <w:r w:rsidRPr="001763E0">
        <w:rPr>
          <w:color w:val="0070C0"/>
          <w:sz w:val="22"/>
        </w:rPr>
        <w:t>REFERENCES</w:t>
      </w:r>
    </w:p>
    <w:bookmarkEnd w:id="4"/>
    <w:p w14:paraId="413191CC" w14:textId="77777777" w:rsidR="00DC4828" w:rsidRPr="00DC4828" w:rsidRDefault="00DC4828" w:rsidP="00DC4828">
      <w:pPr>
        <w:spacing w:before="0" w:line="276" w:lineRule="auto"/>
        <w:jc w:val="left"/>
      </w:pPr>
    </w:p>
    <w:bookmarkStart w:id="5" w:name="_Hlk140074131"/>
    <w:p w14:paraId="08BCFA83" w14:textId="558871C9" w:rsidR="006644FA" w:rsidRPr="0093075E" w:rsidRDefault="00131BE6" w:rsidP="0093075E">
      <w:pPr>
        <w:widowControl w:val="0"/>
        <w:autoSpaceDE w:val="0"/>
        <w:autoSpaceDN w:val="0"/>
        <w:adjustRightInd w:val="0"/>
        <w:spacing w:before="0" w:line="276" w:lineRule="auto"/>
        <w:ind w:left="576" w:hanging="576"/>
        <w:jc w:val="left"/>
        <w:rPr>
          <w:noProof/>
          <w:sz w:val="22"/>
          <w:szCs w:val="24"/>
        </w:rPr>
      </w:pPr>
      <w:r w:rsidRPr="0093075E">
        <w:rPr>
          <w:sz w:val="22"/>
          <w:szCs w:val="20"/>
        </w:rPr>
        <w:fldChar w:fldCharType="begin" w:fldLock="1"/>
      </w:r>
      <w:r w:rsidRPr="0093075E">
        <w:rPr>
          <w:sz w:val="22"/>
          <w:szCs w:val="20"/>
        </w:rPr>
        <w:instrText xml:space="preserve">ADDIN Mendeley Bibliography CSL_BIBLIOGRAPHY </w:instrText>
      </w:r>
      <w:r w:rsidRPr="0093075E">
        <w:rPr>
          <w:sz w:val="22"/>
          <w:szCs w:val="20"/>
        </w:rPr>
        <w:fldChar w:fldCharType="separate"/>
      </w:r>
      <w:r w:rsidR="006644FA" w:rsidRPr="0093075E">
        <w:rPr>
          <w:noProof/>
          <w:sz w:val="22"/>
          <w:szCs w:val="24"/>
        </w:rPr>
        <w:t xml:space="preserve">1. </w:t>
      </w:r>
      <w:r w:rsidR="006644FA" w:rsidRPr="0093075E">
        <w:rPr>
          <w:noProof/>
          <w:sz w:val="22"/>
          <w:szCs w:val="24"/>
        </w:rPr>
        <w:tab/>
      </w:r>
      <w:r w:rsidR="006644FA" w:rsidRPr="0093075E">
        <w:rPr>
          <w:bCs/>
          <w:noProof/>
          <w:sz w:val="22"/>
          <w:szCs w:val="24"/>
        </w:rPr>
        <w:t>Bouys L, Bertherat J.</w:t>
      </w:r>
      <w:r w:rsidR="006644FA" w:rsidRPr="0093075E">
        <w:rPr>
          <w:noProof/>
          <w:sz w:val="22"/>
          <w:szCs w:val="24"/>
        </w:rPr>
        <w:t xml:space="preserve"> MANAGEMENT OF ENDOCRINE DISEASE: Carney complex: clinical and genetic update 20 years after the identification of the CNC1 (PRKAR1A) gene. </w:t>
      </w:r>
      <w:r w:rsidR="006644FA" w:rsidRPr="0093075E">
        <w:rPr>
          <w:iCs/>
          <w:noProof/>
          <w:sz w:val="22"/>
          <w:szCs w:val="24"/>
        </w:rPr>
        <w:t>Eur. J. Endocrinol.</w:t>
      </w:r>
      <w:r w:rsidR="006644FA" w:rsidRPr="0093075E">
        <w:rPr>
          <w:noProof/>
          <w:sz w:val="22"/>
          <w:szCs w:val="24"/>
        </w:rPr>
        <w:t xml:space="preserve"> 2021;184(3):R99–R109.</w:t>
      </w:r>
    </w:p>
    <w:p w14:paraId="54E32CC2"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2. </w:t>
      </w:r>
      <w:r w:rsidRPr="0093075E">
        <w:rPr>
          <w:noProof/>
          <w:sz w:val="22"/>
          <w:szCs w:val="24"/>
        </w:rPr>
        <w:tab/>
      </w:r>
      <w:r w:rsidRPr="0093075E">
        <w:rPr>
          <w:bCs/>
          <w:noProof/>
          <w:sz w:val="22"/>
          <w:szCs w:val="24"/>
        </w:rPr>
        <w:t>Carney JA, Gordon H, Carpenter PC, Shenoy B V, Go VL.</w:t>
      </w:r>
      <w:r w:rsidRPr="0093075E">
        <w:rPr>
          <w:noProof/>
          <w:sz w:val="22"/>
          <w:szCs w:val="24"/>
        </w:rPr>
        <w:t xml:space="preserve"> The complex of myxomas, spotty pigmentation, and endocrine overactivity. </w:t>
      </w:r>
      <w:r w:rsidRPr="0093075E">
        <w:rPr>
          <w:iCs/>
          <w:noProof/>
          <w:sz w:val="22"/>
          <w:szCs w:val="24"/>
        </w:rPr>
        <w:t>Med.</w:t>
      </w:r>
      <w:r w:rsidRPr="0093075E">
        <w:rPr>
          <w:noProof/>
          <w:sz w:val="22"/>
          <w:szCs w:val="24"/>
        </w:rPr>
        <w:t xml:space="preserve"> 1985;64(4):270–283.</w:t>
      </w:r>
    </w:p>
    <w:p w14:paraId="2A38FF05"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3. </w:t>
      </w:r>
      <w:r w:rsidRPr="0093075E">
        <w:rPr>
          <w:noProof/>
          <w:sz w:val="22"/>
          <w:szCs w:val="24"/>
        </w:rPr>
        <w:tab/>
      </w:r>
      <w:r w:rsidRPr="0093075E">
        <w:rPr>
          <w:bCs/>
          <w:noProof/>
          <w:sz w:val="22"/>
          <w:szCs w:val="24"/>
        </w:rPr>
        <w:t>Carney JA, Hruska LS, Beauchamp GD, Gordon H.</w:t>
      </w:r>
      <w:r w:rsidRPr="0093075E">
        <w:rPr>
          <w:noProof/>
          <w:sz w:val="22"/>
          <w:szCs w:val="24"/>
        </w:rPr>
        <w:t xml:space="preserve"> Dominant inheritance of the complex of myxomas, spotty pigmentation, and endocrine overactivity. </w:t>
      </w:r>
      <w:r w:rsidRPr="0093075E">
        <w:rPr>
          <w:iCs/>
          <w:noProof/>
          <w:sz w:val="22"/>
          <w:szCs w:val="24"/>
        </w:rPr>
        <w:t>Mayo Clin Proc</w:t>
      </w:r>
      <w:r w:rsidRPr="0093075E">
        <w:rPr>
          <w:noProof/>
          <w:sz w:val="22"/>
          <w:szCs w:val="24"/>
        </w:rPr>
        <w:t xml:space="preserve"> </w:t>
      </w:r>
      <w:r w:rsidRPr="0093075E">
        <w:rPr>
          <w:noProof/>
          <w:sz w:val="22"/>
          <w:szCs w:val="24"/>
        </w:rPr>
        <w:lastRenderedPageBreak/>
        <w:t>1986;61(3):165–172.</w:t>
      </w:r>
    </w:p>
    <w:p w14:paraId="679C35E9"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4. </w:t>
      </w:r>
      <w:r w:rsidRPr="0093075E">
        <w:rPr>
          <w:noProof/>
          <w:sz w:val="22"/>
          <w:szCs w:val="24"/>
        </w:rPr>
        <w:tab/>
      </w:r>
      <w:r w:rsidRPr="0093075E">
        <w:rPr>
          <w:bCs/>
          <w:noProof/>
          <w:sz w:val="22"/>
          <w:szCs w:val="24"/>
        </w:rPr>
        <w:t>Bain J.</w:t>
      </w:r>
      <w:r w:rsidRPr="0093075E">
        <w:rPr>
          <w:noProof/>
          <w:sz w:val="22"/>
          <w:szCs w:val="24"/>
        </w:rPr>
        <w:t xml:space="preserve"> “Carney’s complex.” </w:t>
      </w:r>
      <w:r w:rsidRPr="0093075E">
        <w:rPr>
          <w:iCs/>
          <w:noProof/>
          <w:sz w:val="22"/>
          <w:szCs w:val="24"/>
        </w:rPr>
        <w:t>Mayo Clin Proc</w:t>
      </w:r>
      <w:r w:rsidRPr="0093075E">
        <w:rPr>
          <w:noProof/>
          <w:sz w:val="22"/>
          <w:szCs w:val="24"/>
        </w:rPr>
        <w:t xml:space="preserve"> 1986;61(6):508.</w:t>
      </w:r>
    </w:p>
    <w:p w14:paraId="6ECD1657"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5. </w:t>
      </w:r>
      <w:r w:rsidRPr="0093075E">
        <w:rPr>
          <w:noProof/>
          <w:sz w:val="22"/>
          <w:szCs w:val="24"/>
        </w:rPr>
        <w:tab/>
      </w:r>
      <w:r w:rsidRPr="0093075E">
        <w:rPr>
          <w:bCs/>
          <w:noProof/>
          <w:sz w:val="22"/>
          <w:szCs w:val="24"/>
        </w:rPr>
        <w:t>Rhodes AR, Silverman RA, Harrist TJ, Perez-Atayde AR.</w:t>
      </w:r>
      <w:r w:rsidRPr="0093075E">
        <w:rPr>
          <w:noProof/>
          <w:sz w:val="22"/>
          <w:szCs w:val="24"/>
        </w:rPr>
        <w:t xml:space="preserve"> Mucocutaneous lentigines, cardiomucocutaneous myxomas, and multiple blue nevi: the “LAMB” syndrome. </w:t>
      </w:r>
      <w:r w:rsidRPr="0093075E">
        <w:rPr>
          <w:iCs/>
          <w:noProof/>
          <w:sz w:val="22"/>
          <w:szCs w:val="24"/>
        </w:rPr>
        <w:t>J Am Acad Dermatol</w:t>
      </w:r>
      <w:r w:rsidRPr="0093075E">
        <w:rPr>
          <w:noProof/>
          <w:sz w:val="22"/>
          <w:szCs w:val="24"/>
        </w:rPr>
        <w:t xml:space="preserve"> 1984;10(1):72–82.</w:t>
      </w:r>
    </w:p>
    <w:p w14:paraId="4CDEFA9F"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6. </w:t>
      </w:r>
      <w:r w:rsidRPr="0093075E">
        <w:rPr>
          <w:noProof/>
          <w:sz w:val="22"/>
          <w:szCs w:val="24"/>
        </w:rPr>
        <w:tab/>
      </w:r>
      <w:r w:rsidRPr="0093075E">
        <w:rPr>
          <w:bCs/>
          <w:noProof/>
          <w:sz w:val="22"/>
          <w:szCs w:val="24"/>
        </w:rPr>
        <w:t>Atherton DJ, Pitcher DW, Wells RS, MacDonald DM.</w:t>
      </w:r>
      <w:r w:rsidRPr="0093075E">
        <w:rPr>
          <w:noProof/>
          <w:sz w:val="22"/>
          <w:szCs w:val="24"/>
        </w:rPr>
        <w:t xml:space="preserve"> A syndrome of various cutaneous pigmented lesions, myxoid neurofibromata and atrial myxoma: the NAME syndrome. </w:t>
      </w:r>
      <w:r w:rsidRPr="0093075E">
        <w:rPr>
          <w:iCs/>
          <w:noProof/>
          <w:sz w:val="22"/>
          <w:szCs w:val="24"/>
        </w:rPr>
        <w:t>Br J Dermatol</w:t>
      </w:r>
      <w:r w:rsidRPr="0093075E">
        <w:rPr>
          <w:noProof/>
          <w:sz w:val="22"/>
          <w:szCs w:val="24"/>
        </w:rPr>
        <w:t xml:space="preserve"> 1980;103(4):421–429.</w:t>
      </w:r>
    </w:p>
    <w:p w14:paraId="214178B6"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7. </w:t>
      </w:r>
      <w:r w:rsidRPr="0093075E">
        <w:rPr>
          <w:noProof/>
          <w:sz w:val="22"/>
          <w:szCs w:val="24"/>
        </w:rPr>
        <w:tab/>
      </w:r>
      <w:r w:rsidRPr="0093075E">
        <w:rPr>
          <w:bCs/>
          <w:noProof/>
          <w:sz w:val="22"/>
          <w:szCs w:val="24"/>
        </w:rPr>
        <w:t>Stratakis CA, Carney JA, Lin JP, Papanicolaou DA, Karl M, Kastner DL, Pras E, Chrousos GP.</w:t>
      </w:r>
      <w:r w:rsidRPr="0093075E">
        <w:rPr>
          <w:noProof/>
          <w:sz w:val="22"/>
          <w:szCs w:val="24"/>
        </w:rPr>
        <w:t xml:space="preserve"> Carney complex, a familial multiple neoplasia and lentiginosis syndrome. Analysis of 11 kindreds and linkage to the short arm of chromosome 2. </w:t>
      </w:r>
      <w:r w:rsidRPr="0093075E">
        <w:rPr>
          <w:iCs/>
          <w:noProof/>
          <w:sz w:val="22"/>
          <w:szCs w:val="24"/>
        </w:rPr>
        <w:t>J Clin Invest</w:t>
      </w:r>
      <w:r w:rsidRPr="0093075E">
        <w:rPr>
          <w:noProof/>
          <w:sz w:val="22"/>
          <w:szCs w:val="24"/>
        </w:rPr>
        <w:t xml:space="preserve"> 1996;97(3):699–705.</w:t>
      </w:r>
    </w:p>
    <w:p w14:paraId="67C09483"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8. </w:t>
      </w:r>
      <w:r w:rsidRPr="0093075E">
        <w:rPr>
          <w:noProof/>
          <w:sz w:val="22"/>
          <w:szCs w:val="24"/>
        </w:rPr>
        <w:tab/>
      </w:r>
      <w:r w:rsidRPr="0093075E">
        <w:rPr>
          <w:bCs/>
          <w:noProof/>
          <w:sz w:val="22"/>
          <w:szCs w:val="24"/>
        </w:rPr>
        <w:t>Basson CT, MacRae CA, Korf B, Merliss A.</w:t>
      </w:r>
      <w:r w:rsidRPr="0093075E">
        <w:rPr>
          <w:noProof/>
          <w:sz w:val="22"/>
          <w:szCs w:val="24"/>
        </w:rPr>
        <w:t xml:space="preserve"> Genetic heterogeneity of familial atrial myxoma syndromes (Carney complex). </w:t>
      </w:r>
      <w:r w:rsidRPr="0093075E">
        <w:rPr>
          <w:iCs/>
          <w:noProof/>
          <w:sz w:val="22"/>
          <w:szCs w:val="24"/>
        </w:rPr>
        <w:t>Am J Cardiol</w:t>
      </w:r>
      <w:r w:rsidRPr="0093075E">
        <w:rPr>
          <w:noProof/>
          <w:sz w:val="22"/>
          <w:szCs w:val="24"/>
        </w:rPr>
        <w:t xml:space="preserve"> 1997;79(7):994–995.</w:t>
      </w:r>
    </w:p>
    <w:p w14:paraId="620E60D8"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9. </w:t>
      </w:r>
      <w:r w:rsidRPr="0093075E">
        <w:rPr>
          <w:noProof/>
          <w:sz w:val="22"/>
          <w:szCs w:val="24"/>
        </w:rPr>
        <w:tab/>
      </w:r>
      <w:r w:rsidRPr="0093075E">
        <w:rPr>
          <w:bCs/>
          <w:noProof/>
          <w:sz w:val="22"/>
          <w:szCs w:val="24"/>
        </w:rPr>
        <w:t>Casey M, Mah C, Merliss AD, Kirschner LS, Taymans SE, Denio AE, Korf B, Irvine AD, Hughes A, Carney JA, Stratakis CA, Basson CT.</w:t>
      </w:r>
      <w:r w:rsidRPr="0093075E">
        <w:rPr>
          <w:noProof/>
          <w:sz w:val="22"/>
          <w:szCs w:val="24"/>
        </w:rPr>
        <w:t xml:space="preserve"> Identification of a novel genetic locus for familial cardiac myxomas and Carney complex. </w:t>
      </w:r>
      <w:r w:rsidRPr="0093075E">
        <w:rPr>
          <w:iCs/>
          <w:noProof/>
          <w:sz w:val="22"/>
          <w:szCs w:val="24"/>
        </w:rPr>
        <w:t>Circulation</w:t>
      </w:r>
      <w:r w:rsidRPr="0093075E">
        <w:rPr>
          <w:noProof/>
          <w:sz w:val="22"/>
          <w:szCs w:val="24"/>
        </w:rPr>
        <w:t xml:space="preserve"> 1998;98(23):2560–2566.</w:t>
      </w:r>
    </w:p>
    <w:p w14:paraId="5CA636F4"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10. </w:t>
      </w:r>
      <w:r w:rsidRPr="0093075E">
        <w:rPr>
          <w:noProof/>
          <w:sz w:val="22"/>
          <w:szCs w:val="24"/>
        </w:rPr>
        <w:tab/>
      </w:r>
      <w:r w:rsidRPr="0093075E">
        <w:rPr>
          <w:bCs/>
          <w:noProof/>
          <w:sz w:val="22"/>
          <w:szCs w:val="24"/>
        </w:rPr>
        <w:t>Casey M, Vaughan CJ, He J, Hatcher CJ, Winter JM, Weremowicz S, Montgomery K, Kucherlapati R, Morton CC, Basson CT.</w:t>
      </w:r>
      <w:r w:rsidRPr="0093075E">
        <w:rPr>
          <w:noProof/>
          <w:sz w:val="22"/>
          <w:szCs w:val="24"/>
        </w:rPr>
        <w:t xml:space="preserve"> Mutations in the protein kinase A R1alpha regulatory subunit cause familial cardiac myxomas and Carney complex. </w:t>
      </w:r>
      <w:r w:rsidRPr="0093075E">
        <w:rPr>
          <w:iCs/>
          <w:noProof/>
          <w:sz w:val="22"/>
          <w:szCs w:val="24"/>
        </w:rPr>
        <w:t>J Clin Invest</w:t>
      </w:r>
      <w:r w:rsidRPr="0093075E">
        <w:rPr>
          <w:noProof/>
          <w:sz w:val="22"/>
          <w:szCs w:val="24"/>
        </w:rPr>
        <w:t xml:space="preserve"> 2000;106(5):R31-8.</w:t>
      </w:r>
    </w:p>
    <w:p w14:paraId="6F970B79"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11. </w:t>
      </w:r>
      <w:r w:rsidRPr="0093075E">
        <w:rPr>
          <w:noProof/>
          <w:sz w:val="22"/>
          <w:szCs w:val="24"/>
        </w:rPr>
        <w:tab/>
      </w:r>
      <w:r w:rsidRPr="0093075E">
        <w:rPr>
          <w:bCs/>
          <w:noProof/>
          <w:sz w:val="22"/>
          <w:szCs w:val="24"/>
        </w:rPr>
        <w:t>Kirschner LS, Carney JA, Pack SD, Taymans SE, Giatzakis C, Cho YS, Cho-Chung YS, Stratakis CA.</w:t>
      </w:r>
      <w:r w:rsidRPr="0093075E">
        <w:rPr>
          <w:noProof/>
          <w:sz w:val="22"/>
          <w:szCs w:val="24"/>
        </w:rPr>
        <w:t xml:space="preserve"> Mutations of the gene encoding the protein kinase A type I-alpha regulatory subunit in patients with the Carney complex. </w:t>
      </w:r>
      <w:r w:rsidRPr="0093075E">
        <w:rPr>
          <w:iCs/>
          <w:noProof/>
          <w:sz w:val="22"/>
          <w:szCs w:val="24"/>
        </w:rPr>
        <w:t>Nat Genet</w:t>
      </w:r>
      <w:r w:rsidRPr="0093075E">
        <w:rPr>
          <w:noProof/>
          <w:sz w:val="22"/>
          <w:szCs w:val="24"/>
        </w:rPr>
        <w:t xml:space="preserve"> 2000;26(1):89–92.</w:t>
      </w:r>
    </w:p>
    <w:p w14:paraId="10A02330"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12. </w:t>
      </w:r>
      <w:r w:rsidRPr="0093075E">
        <w:rPr>
          <w:noProof/>
          <w:sz w:val="22"/>
          <w:szCs w:val="24"/>
        </w:rPr>
        <w:tab/>
      </w:r>
      <w:r w:rsidRPr="0093075E">
        <w:rPr>
          <w:bCs/>
          <w:noProof/>
          <w:sz w:val="22"/>
          <w:szCs w:val="24"/>
        </w:rPr>
        <w:t>Horvath A, Bertherat J, Groussin L, Guillaud-Bataille M, Tsang K, Cazabat L, Libé R, Remmers E, René-Corail F, Faucz FR, Clauser E, Calender A, Bertagna X, Carney JA, Stratakis CA.</w:t>
      </w:r>
      <w:r w:rsidRPr="0093075E">
        <w:rPr>
          <w:noProof/>
          <w:sz w:val="22"/>
          <w:szCs w:val="24"/>
        </w:rPr>
        <w:t xml:space="preserve"> Mutations and polymorphisms in the gene encoding regulatory subunit type 1-alpha of protein kinase A (PRKAR1A): an update. </w:t>
      </w:r>
      <w:r w:rsidRPr="0093075E">
        <w:rPr>
          <w:iCs/>
          <w:noProof/>
          <w:sz w:val="22"/>
          <w:szCs w:val="24"/>
        </w:rPr>
        <w:t>Hum. Mutat.</w:t>
      </w:r>
      <w:r w:rsidRPr="0093075E">
        <w:rPr>
          <w:noProof/>
          <w:sz w:val="22"/>
          <w:szCs w:val="24"/>
        </w:rPr>
        <w:t xml:space="preserve"> 2010;31(4):369–79.</w:t>
      </w:r>
    </w:p>
    <w:p w14:paraId="6A729039"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13. </w:t>
      </w:r>
      <w:r w:rsidRPr="0093075E">
        <w:rPr>
          <w:noProof/>
          <w:sz w:val="22"/>
          <w:szCs w:val="24"/>
        </w:rPr>
        <w:tab/>
      </w:r>
      <w:r w:rsidRPr="0093075E">
        <w:rPr>
          <w:bCs/>
          <w:noProof/>
          <w:sz w:val="22"/>
          <w:szCs w:val="24"/>
        </w:rPr>
        <w:t>Stratakis CA.</w:t>
      </w:r>
      <w:r w:rsidRPr="0093075E">
        <w:rPr>
          <w:noProof/>
          <w:sz w:val="22"/>
          <w:szCs w:val="24"/>
        </w:rPr>
        <w:t xml:space="preserve"> Carney complex: A familial lentiginosis predisposing to a variety of tumors. </w:t>
      </w:r>
      <w:r w:rsidRPr="0093075E">
        <w:rPr>
          <w:iCs/>
          <w:noProof/>
          <w:sz w:val="22"/>
          <w:szCs w:val="24"/>
        </w:rPr>
        <w:t>Rev. Endocr. Metab. Disord.</w:t>
      </w:r>
      <w:r w:rsidRPr="0093075E">
        <w:rPr>
          <w:noProof/>
          <w:sz w:val="22"/>
          <w:szCs w:val="24"/>
        </w:rPr>
        <w:t xml:space="preserve"> 2016;17(3):367–371.</w:t>
      </w:r>
    </w:p>
    <w:p w14:paraId="4813C5DB"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14. </w:t>
      </w:r>
      <w:r w:rsidRPr="0093075E">
        <w:rPr>
          <w:noProof/>
          <w:sz w:val="22"/>
          <w:szCs w:val="24"/>
        </w:rPr>
        <w:tab/>
      </w:r>
      <w:r w:rsidRPr="0093075E">
        <w:rPr>
          <w:bCs/>
          <w:noProof/>
          <w:sz w:val="22"/>
          <w:szCs w:val="24"/>
        </w:rPr>
        <w:t>Espiard S, Bertherat J.</w:t>
      </w:r>
      <w:r w:rsidRPr="0093075E">
        <w:rPr>
          <w:noProof/>
          <w:sz w:val="22"/>
          <w:szCs w:val="24"/>
        </w:rPr>
        <w:t xml:space="preserve"> Carney complex. </w:t>
      </w:r>
      <w:r w:rsidRPr="0093075E">
        <w:rPr>
          <w:iCs/>
          <w:noProof/>
          <w:sz w:val="22"/>
          <w:szCs w:val="24"/>
        </w:rPr>
        <w:t>Front Horm Res</w:t>
      </w:r>
      <w:r w:rsidRPr="0093075E">
        <w:rPr>
          <w:noProof/>
          <w:sz w:val="22"/>
          <w:szCs w:val="24"/>
        </w:rPr>
        <w:t xml:space="preserve"> 2013;41:50–62.</w:t>
      </w:r>
    </w:p>
    <w:p w14:paraId="399A32A8"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15. </w:t>
      </w:r>
      <w:r w:rsidRPr="0093075E">
        <w:rPr>
          <w:noProof/>
          <w:sz w:val="22"/>
          <w:szCs w:val="24"/>
        </w:rPr>
        <w:tab/>
      </w:r>
      <w:r w:rsidRPr="0093075E">
        <w:rPr>
          <w:bCs/>
          <w:noProof/>
          <w:sz w:val="22"/>
          <w:szCs w:val="24"/>
        </w:rPr>
        <w:t>Premkumar A, Stratakis CA, Shawker TH, Papanicolaou DA, Chrousos GP.</w:t>
      </w:r>
      <w:r w:rsidRPr="0093075E">
        <w:rPr>
          <w:noProof/>
          <w:sz w:val="22"/>
          <w:szCs w:val="24"/>
        </w:rPr>
        <w:t xml:space="preserve"> Testicular ultrasound in Carney complex: report of three cases. </w:t>
      </w:r>
      <w:r w:rsidRPr="0093075E">
        <w:rPr>
          <w:iCs/>
          <w:noProof/>
          <w:sz w:val="22"/>
          <w:szCs w:val="24"/>
        </w:rPr>
        <w:t>J Clin Ultrasound</w:t>
      </w:r>
      <w:r w:rsidRPr="0093075E">
        <w:rPr>
          <w:noProof/>
          <w:sz w:val="22"/>
          <w:szCs w:val="24"/>
        </w:rPr>
        <w:t xml:space="preserve"> 1997;25(4):211–214.</w:t>
      </w:r>
    </w:p>
    <w:p w14:paraId="6B963789"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16. </w:t>
      </w:r>
      <w:r w:rsidRPr="0093075E">
        <w:rPr>
          <w:noProof/>
          <w:sz w:val="22"/>
          <w:szCs w:val="24"/>
        </w:rPr>
        <w:tab/>
      </w:r>
      <w:r w:rsidRPr="0093075E">
        <w:rPr>
          <w:bCs/>
          <w:noProof/>
          <w:sz w:val="22"/>
          <w:szCs w:val="24"/>
        </w:rPr>
        <w:t>Burton KA, McDermott DA, Wilkes D, Poulsen MN, Nolan MA, Goldstein M, Basson CT, McKnight GS.</w:t>
      </w:r>
      <w:r w:rsidRPr="0093075E">
        <w:rPr>
          <w:noProof/>
          <w:sz w:val="22"/>
          <w:szCs w:val="24"/>
        </w:rPr>
        <w:t xml:space="preserve"> Haploinsufficiency at the protein kinase A RI alpha gene locus leads to fertility defects in male mice and men. </w:t>
      </w:r>
      <w:r w:rsidRPr="0093075E">
        <w:rPr>
          <w:iCs/>
          <w:noProof/>
          <w:sz w:val="22"/>
          <w:szCs w:val="24"/>
        </w:rPr>
        <w:t>Mol Endocrinol</w:t>
      </w:r>
      <w:r w:rsidRPr="0093075E">
        <w:rPr>
          <w:noProof/>
          <w:sz w:val="22"/>
          <w:szCs w:val="24"/>
        </w:rPr>
        <w:t xml:space="preserve"> 2006;20(10):2504–2513.</w:t>
      </w:r>
    </w:p>
    <w:p w14:paraId="7CDD812C"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17. </w:t>
      </w:r>
      <w:r w:rsidRPr="0093075E">
        <w:rPr>
          <w:noProof/>
          <w:sz w:val="22"/>
          <w:szCs w:val="24"/>
        </w:rPr>
        <w:tab/>
      </w:r>
      <w:r w:rsidRPr="0093075E">
        <w:rPr>
          <w:bCs/>
          <w:noProof/>
          <w:sz w:val="22"/>
          <w:szCs w:val="24"/>
        </w:rPr>
        <w:t>Rothenbuhler A, Stratakis CA.</w:t>
      </w:r>
      <w:r w:rsidRPr="0093075E">
        <w:rPr>
          <w:noProof/>
          <w:sz w:val="22"/>
          <w:szCs w:val="24"/>
        </w:rPr>
        <w:t xml:space="preserve"> Clinical and molecular genetics of Carney complex. </w:t>
      </w:r>
      <w:r w:rsidRPr="0093075E">
        <w:rPr>
          <w:iCs/>
          <w:noProof/>
          <w:sz w:val="22"/>
          <w:szCs w:val="24"/>
        </w:rPr>
        <w:t>Best Pr. Res Clin Endocrinol Metab</w:t>
      </w:r>
      <w:r w:rsidRPr="0093075E">
        <w:rPr>
          <w:noProof/>
          <w:sz w:val="22"/>
          <w:szCs w:val="24"/>
        </w:rPr>
        <w:t xml:space="preserve"> 2011;24(3):389–399.</w:t>
      </w:r>
    </w:p>
    <w:p w14:paraId="58B15F4E"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18. </w:t>
      </w:r>
      <w:r w:rsidRPr="0093075E">
        <w:rPr>
          <w:noProof/>
          <w:sz w:val="22"/>
          <w:szCs w:val="24"/>
        </w:rPr>
        <w:tab/>
      </w:r>
      <w:r w:rsidRPr="0093075E">
        <w:rPr>
          <w:bCs/>
          <w:noProof/>
          <w:sz w:val="22"/>
          <w:szCs w:val="24"/>
        </w:rPr>
        <w:t>Scott JD.</w:t>
      </w:r>
      <w:r w:rsidRPr="0093075E">
        <w:rPr>
          <w:noProof/>
          <w:sz w:val="22"/>
          <w:szCs w:val="24"/>
        </w:rPr>
        <w:t xml:space="preserve"> Cyclic nucleotide-dependent protein kinases. </w:t>
      </w:r>
      <w:r w:rsidRPr="0093075E">
        <w:rPr>
          <w:iCs/>
          <w:noProof/>
          <w:sz w:val="22"/>
          <w:szCs w:val="24"/>
        </w:rPr>
        <w:t>Pharmacol Ther</w:t>
      </w:r>
      <w:r w:rsidRPr="0093075E">
        <w:rPr>
          <w:noProof/>
          <w:sz w:val="22"/>
          <w:szCs w:val="24"/>
        </w:rPr>
        <w:t xml:space="preserve"> 1991;50(1):123–145.</w:t>
      </w:r>
    </w:p>
    <w:p w14:paraId="27A229F3"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19. </w:t>
      </w:r>
      <w:r w:rsidRPr="0093075E">
        <w:rPr>
          <w:noProof/>
          <w:sz w:val="22"/>
          <w:szCs w:val="24"/>
        </w:rPr>
        <w:tab/>
      </w:r>
      <w:r w:rsidRPr="0093075E">
        <w:rPr>
          <w:bCs/>
          <w:noProof/>
          <w:sz w:val="22"/>
          <w:szCs w:val="24"/>
        </w:rPr>
        <w:t>Almeida M, Stratakis CA.</w:t>
      </w:r>
      <w:r w:rsidRPr="0093075E">
        <w:rPr>
          <w:noProof/>
          <w:sz w:val="22"/>
          <w:szCs w:val="24"/>
        </w:rPr>
        <w:t xml:space="preserve"> How does cAMP/protein kinase A signaling lead to tumors in the adrenal cortex and other tissues? </w:t>
      </w:r>
      <w:r w:rsidRPr="0093075E">
        <w:rPr>
          <w:iCs/>
          <w:noProof/>
          <w:sz w:val="22"/>
          <w:szCs w:val="24"/>
        </w:rPr>
        <w:t>Mol. Cell. Endocrinol.</w:t>
      </w:r>
      <w:r w:rsidRPr="0093075E">
        <w:rPr>
          <w:noProof/>
          <w:sz w:val="22"/>
          <w:szCs w:val="24"/>
        </w:rPr>
        <w:t xml:space="preserve"> 2011;336(1–2):162–8.</w:t>
      </w:r>
    </w:p>
    <w:p w14:paraId="1330175D"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20. </w:t>
      </w:r>
      <w:r w:rsidRPr="0093075E">
        <w:rPr>
          <w:noProof/>
          <w:sz w:val="22"/>
          <w:szCs w:val="24"/>
        </w:rPr>
        <w:tab/>
      </w:r>
      <w:r w:rsidRPr="0093075E">
        <w:rPr>
          <w:bCs/>
          <w:noProof/>
          <w:sz w:val="22"/>
          <w:szCs w:val="24"/>
        </w:rPr>
        <w:t>Cazabat L, Ragazzon B, Groussin L, Bertherat J.</w:t>
      </w:r>
      <w:r w:rsidRPr="0093075E">
        <w:rPr>
          <w:noProof/>
          <w:sz w:val="22"/>
          <w:szCs w:val="24"/>
        </w:rPr>
        <w:t xml:space="preserve"> PRKAR1A mutations in primary </w:t>
      </w:r>
      <w:r w:rsidRPr="0093075E">
        <w:rPr>
          <w:noProof/>
          <w:sz w:val="22"/>
          <w:szCs w:val="24"/>
        </w:rPr>
        <w:lastRenderedPageBreak/>
        <w:t xml:space="preserve">pigmented nodular adrenocortical disease. </w:t>
      </w:r>
      <w:r w:rsidRPr="0093075E">
        <w:rPr>
          <w:iCs/>
          <w:noProof/>
          <w:sz w:val="22"/>
          <w:szCs w:val="24"/>
        </w:rPr>
        <w:t>Pituitary</w:t>
      </w:r>
      <w:r w:rsidRPr="0093075E">
        <w:rPr>
          <w:noProof/>
          <w:sz w:val="22"/>
          <w:szCs w:val="24"/>
        </w:rPr>
        <w:t xml:space="preserve"> 2006;9(3):211–9.</w:t>
      </w:r>
    </w:p>
    <w:p w14:paraId="36FCF439"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21. </w:t>
      </w:r>
      <w:r w:rsidRPr="0093075E">
        <w:rPr>
          <w:noProof/>
          <w:sz w:val="22"/>
          <w:szCs w:val="24"/>
        </w:rPr>
        <w:tab/>
      </w:r>
      <w:r w:rsidRPr="0093075E">
        <w:rPr>
          <w:bCs/>
          <w:noProof/>
          <w:sz w:val="22"/>
          <w:szCs w:val="24"/>
        </w:rPr>
        <w:t>Bertherat J, Horvath A, Groussin L, Grabar S, Boikos S, Cazabat L, Libe R, Rene-Corail F, Stergiopoulos S, Bourdeau I, Bei T, Clauser E, Calender A, Kirschner LS, Bertagna X, Carney JA, Stratakis CA.</w:t>
      </w:r>
      <w:r w:rsidRPr="0093075E">
        <w:rPr>
          <w:noProof/>
          <w:sz w:val="22"/>
          <w:szCs w:val="24"/>
        </w:rPr>
        <w:t xml:space="preserve"> Mutations in regulatory subunit type 1A of cyclic adenosine 5’-monophosphate-dependent protein kinase (PRKAR1A): phenotype analysis in 353 patients and 80 different genotypes. </w:t>
      </w:r>
      <w:r w:rsidRPr="0093075E">
        <w:rPr>
          <w:iCs/>
          <w:noProof/>
          <w:sz w:val="22"/>
          <w:szCs w:val="24"/>
        </w:rPr>
        <w:t>J Clin Endocrinol Metab</w:t>
      </w:r>
      <w:r w:rsidRPr="0093075E">
        <w:rPr>
          <w:noProof/>
          <w:sz w:val="22"/>
          <w:szCs w:val="24"/>
        </w:rPr>
        <w:t xml:space="preserve"> 2009;94(6):2085–2091.</w:t>
      </w:r>
    </w:p>
    <w:p w14:paraId="2131F358"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22. </w:t>
      </w:r>
      <w:r w:rsidRPr="0093075E">
        <w:rPr>
          <w:noProof/>
          <w:sz w:val="22"/>
          <w:szCs w:val="24"/>
        </w:rPr>
        <w:tab/>
      </w:r>
      <w:r w:rsidRPr="0093075E">
        <w:rPr>
          <w:bCs/>
          <w:noProof/>
          <w:sz w:val="22"/>
          <w:szCs w:val="24"/>
        </w:rPr>
        <w:t>Groussin L, Kirschner LS, Vincent-Dejean C, Perlemoine K, Jullian E, Delemer B, Zacharieva S, Pignatelli D, Carney JA, Luton JP, Bertagna X, Stratakis CA, Bertherat J.</w:t>
      </w:r>
      <w:r w:rsidRPr="0093075E">
        <w:rPr>
          <w:noProof/>
          <w:sz w:val="22"/>
          <w:szCs w:val="24"/>
        </w:rPr>
        <w:t xml:space="preserve"> Molecular analysis of the cyclic AMP-dependent protein kinase A (PKA) regulatory subunit 1A (PRKAR1A) gene in patients with Carney complex and primary pigmented nodular adrenocortical disease (PPNAD) reveals novel mutations and clues for pathophysiology: . </w:t>
      </w:r>
      <w:r w:rsidRPr="0093075E">
        <w:rPr>
          <w:iCs/>
          <w:noProof/>
          <w:sz w:val="22"/>
          <w:szCs w:val="24"/>
        </w:rPr>
        <w:t>Am J Hum Genet</w:t>
      </w:r>
      <w:r w:rsidRPr="0093075E">
        <w:rPr>
          <w:noProof/>
          <w:sz w:val="22"/>
          <w:szCs w:val="24"/>
        </w:rPr>
        <w:t xml:space="preserve"> 2002;71(6):1433–1442.</w:t>
      </w:r>
    </w:p>
    <w:p w14:paraId="14513922"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23. </w:t>
      </w:r>
      <w:r w:rsidRPr="0093075E">
        <w:rPr>
          <w:noProof/>
          <w:sz w:val="22"/>
          <w:szCs w:val="24"/>
        </w:rPr>
        <w:tab/>
      </w:r>
      <w:r w:rsidRPr="0093075E">
        <w:rPr>
          <w:bCs/>
          <w:noProof/>
          <w:sz w:val="22"/>
          <w:szCs w:val="24"/>
        </w:rPr>
        <w:t>Salpea P, Horvath A, London E, Faucz FR, Vetro A, Levy I, Gourgari E, Dauber A, Holm IA, Morrison PJ, Keil MF, Lyssikatos C, Smith ED, Sanidad MA, Kelly JC, Dai Z, Mowrey P, Forlino A, Zuffardi O, Stratakis CA.</w:t>
      </w:r>
      <w:r w:rsidRPr="0093075E">
        <w:rPr>
          <w:noProof/>
          <w:sz w:val="22"/>
          <w:szCs w:val="24"/>
        </w:rPr>
        <w:t xml:space="preserve"> Deletions of the PRKAR1A locus at 17q24.2-q24.3 in Carney complex: genotype-phenotype correlations and implications for genetic testing. </w:t>
      </w:r>
      <w:r w:rsidRPr="0093075E">
        <w:rPr>
          <w:iCs/>
          <w:noProof/>
          <w:sz w:val="22"/>
          <w:szCs w:val="24"/>
        </w:rPr>
        <w:t>J. Clin. Endocrinol. Metab.</w:t>
      </w:r>
      <w:r w:rsidRPr="0093075E">
        <w:rPr>
          <w:noProof/>
          <w:sz w:val="22"/>
          <w:szCs w:val="24"/>
        </w:rPr>
        <w:t xml:space="preserve"> 2014;99(1):E183-8.</w:t>
      </w:r>
    </w:p>
    <w:p w14:paraId="0B098FBE"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24. </w:t>
      </w:r>
      <w:r w:rsidRPr="0093075E">
        <w:rPr>
          <w:noProof/>
          <w:sz w:val="22"/>
          <w:szCs w:val="24"/>
        </w:rPr>
        <w:tab/>
      </w:r>
      <w:r w:rsidRPr="0093075E">
        <w:rPr>
          <w:bCs/>
          <w:noProof/>
          <w:sz w:val="22"/>
          <w:szCs w:val="24"/>
        </w:rPr>
        <w:t>Stergiopoulos SG, Stratakis CA.</w:t>
      </w:r>
      <w:r w:rsidRPr="0093075E">
        <w:rPr>
          <w:noProof/>
          <w:sz w:val="22"/>
          <w:szCs w:val="24"/>
        </w:rPr>
        <w:t xml:space="preserve"> Human tumors associated with Carney complex and germline PRKAR1A mutations: a protein kinase A disease! </w:t>
      </w:r>
      <w:r w:rsidRPr="0093075E">
        <w:rPr>
          <w:iCs/>
          <w:noProof/>
          <w:sz w:val="22"/>
          <w:szCs w:val="24"/>
        </w:rPr>
        <w:t>FEBS Lett</w:t>
      </w:r>
      <w:r w:rsidRPr="0093075E">
        <w:rPr>
          <w:noProof/>
          <w:sz w:val="22"/>
          <w:szCs w:val="24"/>
        </w:rPr>
        <w:t xml:space="preserve"> 2003;546(1):59–64.</w:t>
      </w:r>
    </w:p>
    <w:p w14:paraId="08DC1CF5"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25. </w:t>
      </w:r>
      <w:r w:rsidRPr="0093075E">
        <w:rPr>
          <w:noProof/>
          <w:sz w:val="22"/>
          <w:szCs w:val="24"/>
        </w:rPr>
        <w:tab/>
      </w:r>
      <w:r w:rsidRPr="0093075E">
        <w:rPr>
          <w:bCs/>
          <w:noProof/>
          <w:sz w:val="22"/>
          <w:szCs w:val="24"/>
        </w:rPr>
        <w:t>Cazabat L, Ragazzon B, Varin A, Potier-Cartereau M, Vandier C, Vezzosi D, Risk-Rabin M, Guellich A, Schittl J, Lechêne P, Richter W, Nikolaev VO, Zhang J, Bertherat J, Vandecasteele G.</w:t>
      </w:r>
      <w:r w:rsidRPr="0093075E">
        <w:rPr>
          <w:noProof/>
          <w:sz w:val="22"/>
          <w:szCs w:val="24"/>
        </w:rPr>
        <w:t xml:space="preserve"> Inactivation of the Carney complex gene 1 (PRKAR1A) alters spatiotemporal regulation of cAMP and cAMP-dependent protein kinase: a study using genetically encoded FRET-based reporters. </w:t>
      </w:r>
      <w:r w:rsidRPr="0093075E">
        <w:rPr>
          <w:iCs/>
          <w:noProof/>
          <w:sz w:val="22"/>
          <w:szCs w:val="24"/>
        </w:rPr>
        <w:t>Hum. Mol. Genet.</w:t>
      </w:r>
      <w:r w:rsidRPr="0093075E">
        <w:rPr>
          <w:noProof/>
          <w:sz w:val="22"/>
          <w:szCs w:val="24"/>
        </w:rPr>
        <w:t xml:space="preserve"> 2014;23(5):1163–74.</w:t>
      </w:r>
    </w:p>
    <w:p w14:paraId="7F4F8791"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26. </w:t>
      </w:r>
      <w:r w:rsidRPr="0093075E">
        <w:rPr>
          <w:noProof/>
          <w:sz w:val="22"/>
          <w:szCs w:val="24"/>
        </w:rPr>
        <w:tab/>
      </w:r>
      <w:r w:rsidRPr="0093075E">
        <w:rPr>
          <w:bCs/>
          <w:noProof/>
          <w:sz w:val="22"/>
          <w:szCs w:val="24"/>
        </w:rPr>
        <w:t>Nadella KS, Kirschner LS.</w:t>
      </w:r>
      <w:r w:rsidRPr="0093075E">
        <w:rPr>
          <w:noProof/>
          <w:sz w:val="22"/>
          <w:szCs w:val="24"/>
        </w:rPr>
        <w:t xml:space="preserve"> Disruption of protein kinase a regulation causes immortalization and dysregulation of D-type cyclins. </w:t>
      </w:r>
      <w:r w:rsidRPr="0093075E">
        <w:rPr>
          <w:iCs/>
          <w:noProof/>
          <w:sz w:val="22"/>
          <w:szCs w:val="24"/>
        </w:rPr>
        <w:t>Cancer Res</w:t>
      </w:r>
      <w:r w:rsidRPr="0093075E">
        <w:rPr>
          <w:noProof/>
          <w:sz w:val="22"/>
          <w:szCs w:val="24"/>
        </w:rPr>
        <w:t xml:space="preserve"> 2005;65(22):10307–10315.</w:t>
      </w:r>
    </w:p>
    <w:p w14:paraId="2910B818"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27. </w:t>
      </w:r>
      <w:r w:rsidRPr="0093075E">
        <w:rPr>
          <w:noProof/>
          <w:sz w:val="22"/>
          <w:szCs w:val="24"/>
        </w:rPr>
        <w:tab/>
      </w:r>
      <w:r w:rsidRPr="0093075E">
        <w:rPr>
          <w:bCs/>
          <w:noProof/>
          <w:sz w:val="22"/>
          <w:szCs w:val="24"/>
        </w:rPr>
        <w:t>Mavrakis M, Lippincott-Schwartz J, Stratakis CA, Bossis I.</w:t>
      </w:r>
      <w:r w:rsidRPr="0093075E">
        <w:rPr>
          <w:noProof/>
          <w:sz w:val="22"/>
          <w:szCs w:val="24"/>
        </w:rPr>
        <w:t xml:space="preserve"> Depletion of type IA regulatory subunit (RIalpha) of protein kinase A (PKA) in mammalian cells and tissues activates mTOR and causes autophagic deficiency. </w:t>
      </w:r>
      <w:r w:rsidRPr="0093075E">
        <w:rPr>
          <w:iCs/>
          <w:noProof/>
          <w:sz w:val="22"/>
          <w:szCs w:val="24"/>
        </w:rPr>
        <w:t>Hum Mol Genet</w:t>
      </w:r>
      <w:r w:rsidRPr="0093075E">
        <w:rPr>
          <w:noProof/>
          <w:sz w:val="22"/>
          <w:szCs w:val="24"/>
        </w:rPr>
        <w:t xml:space="preserve"> 2006;15(19):2962–2971.</w:t>
      </w:r>
    </w:p>
    <w:p w14:paraId="01733249"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28. </w:t>
      </w:r>
      <w:r w:rsidRPr="0093075E">
        <w:rPr>
          <w:noProof/>
          <w:sz w:val="22"/>
          <w:szCs w:val="24"/>
        </w:rPr>
        <w:tab/>
      </w:r>
      <w:r w:rsidRPr="0093075E">
        <w:rPr>
          <w:bCs/>
          <w:noProof/>
          <w:sz w:val="22"/>
          <w:szCs w:val="24"/>
        </w:rPr>
        <w:t>Basso F, Rocchetti F, Rodriguez S, Nesterova M, Cormier F, Stratakis CA, Ragazzon B, Bertherat J, Rizk-Rabin M.</w:t>
      </w:r>
      <w:r w:rsidRPr="0093075E">
        <w:rPr>
          <w:noProof/>
          <w:sz w:val="22"/>
          <w:szCs w:val="24"/>
        </w:rPr>
        <w:t xml:space="preserve"> Comparison of the effects of PRKAR1A and PRKAR2B depletion on signaling pathways, cell growth, and cell cycle control of adrenocortical cells. </w:t>
      </w:r>
      <w:r w:rsidRPr="0093075E">
        <w:rPr>
          <w:iCs/>
          <w:noProof/>
          <w:sz w:val="22"/>
          <w:szCs w:val="24"/>
        </w:rPr>
        <w:t>Horm. Metab. Res.</w:t>
      </w:r>
      <w:r w:rsidRPr="0093075E">
        <w:rPr>
          <w:noProof/>
          <w:sz w:val="22"/>
          <w:szCs w:val="24"/>
        </w:rPr>
        <w:t xml:space="preserve"> 2014;46(12):883–8.</w:t>
      </w:r>
    </w:p>
    <w:p w14:paraId="3B5CCB86"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29. </w:t>
      </w:r>
      <w:r w:rsidRPr="0093075E">
        <w:rPr>
          <w:noProof/>
          <w:sz w:val="22"/>
          <w:szCs w:val="24"/>
        </w:rPr>
        <w:tab/>
      </w:r>
      <w:r w:rsidRPr="0093075E">
        <w:rPr>
          <w:bCs/>
          <w:noProof/>
          <w:sz w:val="22"/>
          <w:szCs w:val="24"/>
        </w:rPr>
        <w:t>Knudson AG.</w:t>
      </w:r>
      <w:r w:rsidRPr="0093075E">
        <w:rPr>
          <w:noProof/>
          <w:sz w:val="22"/>
          <w:szCs w:val="24"/>
        </w:rPr>
        <w:t xml:space="preserve"> Hereditary cancer: two hits revisited. </w:t>
      </w:r>
      <w:r w:rsidRPr="0093075E">
        <w:rPr>
          <w:iCs/>
          <w:noProof/>
          <w:sz w:val="22"/>
          <w:szCs w:val="24"/>
        </w:rPr>
        <w:t>J Cancer Res Clin Oncol</w:t>
      </w:r>
      <w:r w:rsidRPr="0093075E">
        <w:rPr>
          <w:noProof/>
          <w:sz w:val="22"/>
          <w:szCs w:val="24"/>
        </w:rPr>
        <w:t xml:space="preserve"> 1996;122(3):135–140.</w:t>
      </w:r>
    </w:p>
    <w:p w14:paraId="71F8A593"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30. </w:t>
      </w:r>
      <w:r w:rsidRPr="0093075E">
        <w:rPr>
          <w:noProof/>
          <w:sz w:val="22"/>
          <w:szCs w:val="24"/>
        </w:rPr>
        <w:tab/>
      </w:r>
      <w:r w:rsidRPr="0093075E">
        <w:rPr>
          <w:bCs/>
          <w:noProof/>
          <w:sz w:val="22"/>
          <w:szCs w:val="24"/>
        </w:rPr>
        <w:t>Tsilou ET, Chan C-C, Sandrini F, Rubin BI, Shen DF, Carney JA, Kaiser-Kupfer M, Stratakis CA.</w:t>
      </w:r>
      <w:r w:rsidRPr="0093075E">
        <w:rPr>
          <w:noProof/>
          <w:sz w:val="22"/>
          <w:szCs w:val="24"/>
        </w:rPr>
        <w:t xml:space="preserve"> Eyelid myxoma in Carney complex without PRKAR1A allelic loss. </w:t>
      </w:r>
      <w:r w:rsidRPr="0093075E">
        <w:rPr>
          <w:iCs/>
          <w:noProof/>
          <w:sz w:val="22"/>
          <w:szCs w:val="24"/>
        </w:rPr>
        <w:t>Am. J. Med. Genet. A</w:t>
      </w:r>
      <w:r w:rsidRPr="0093075E">
        <w:rPr>
          <w:noProof/>
          <w:sz w:val="22"/>
          <w:szCs w:val="24"/>
        </w:rPr>
        <w:t xml:space="preserve"> 2004;130A(4):395–7.</w:t>
      </w:r>
    </w:p>
    <w:p w14:paraId="6AF4F229"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31. </w:t>
      </w:r>
      <w:r w:rsidRPr="0093075E">
        <w:rPr>
          <w:noProof/>
          <w:sz w:val="22"/>
          <w:szCs w:val="24"/>
        </w:rPr>
        <w:tab/>
      </w:r>
      <w:r w:rsidRPr="0093075E">
        <w:rPr>
          <w:bCs/>
          <w:noProof/>
          <w:sz w:val="22"/>
          <w:szCs w:val="24"/>
        </w:rPr>
        <w:t>Gaujoux S, Tissier F, Groussin L, Libé R, Ragazzon B, Launay P, Audebourg A, Dousset B, Bertagna X, Bertherat J.</w:t>
      </w:r>
      <w:r w:rsidRPr="0093075E">
        <w:rPr>
          <w:noProof/>
          <w:sz w:val="22"/>
          <w:szCs w:val="24"/>
        </w:rPr>
        <w:t xml:space="preserve"> Wnt/beta-catenin and 3’,5’-cyclic adenosine 5’-monophosphate/protein kinase A signaling pathways alterations and somatic beta-catenin gene mutations in the progression of adrenocortical tumors. </w:t>
      </w:r>
      <w:r w:rsidRPr="0093075E">
        <w:rPr>
          <w:iCs/>
          <w:noProof/>
          <w:sz w:val="22"/>
          <w:szCs w:val="24"/>
        </w:rPr>
        <w:t>J. Clin. Endocrinol. Metab.</w:t>
      </w:r>
      <w:r w:rsidRPr="0093075E">
        <w:rPr>
          <w:noProof/>
          <w:sz w:val="22"/>
          <w:szCs w:val="24"/>
        </w:rPr>
        <w:t xml:space="preserve"> 2008;93(10):4135–40.</w:t>
      </w:r>
    </w:p>
    <w:p w14:paraId="51FAEF2D"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32. </w:t>
      </w:r>
      <w:r w:rsidRPr="0093075E">
        <w:rPr>
          <w:noProof/>
          <w:sz w:val="22"/>
          <w:szCs w:val="24"/>
        </w:rPr>
        <w:tab/>
      </w:r>
      <w:r w:rsidRPr="0093075E">
        <w:rPr>
          <w:bCs/>
          <w:noProof/>
          <w:sz w:val="22"/>
          <w:szCs w:val="24"/>
        </w:rPr>
        <w:t xml:space="preserve">Griffin KJ, Kirschner LS, Matyakhina L, Stergiopoulos S, Robinson-White A, Weinberg F, </w:t>
      </w:r>
      <w:r w:rsidRPr="0093075E">
        <w:rPr>
          <w:bCs/>
          <w:noProof/>
          <w:sz w:val="22"/>
          <w:szCs w:val="24"/>
        </w:rPr>
        <w:lastRenderedPageBreak/>
        <w:t>Meoli E, Bornstein SR, Stratakis CA.</w:t>
      </w:r>
      <w:r w:rsidRPr="0093075E">
        <w:rPr>
          <w:noProof/>
          <w:sz w:val="22"/>
          <w:szCs w:val="24"/>
        </w:rPr>
        <w:t xml:space="preserve"> A mouse model for Carney complex. </w:t>
      </w:r>
      <w:r w:rsidRPr="0093075E">
        <w:rPr>
          <w:iCs/>
          <w:noProof/>
          <w:sz w:val="22"/>
          <w:szCs w:val="24"/>
        </w:rPr>
        <w:t>Endocr Res</w:t>
      </w:r>
      <w:r w:rsidRPr="0093075E">
        <w:rPr>
          <w:noProof/>
          <w:sz w:val="22"/>
          <w:szCs w:val="24"/>
        </w:rPr>
        <w:t xml:space="preserve"> 2004;30(4):903–911.</w:t>
      </w:r>
    </w:p>
    <w:p w14:paraId="22B67AEC"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33. </w:t>
      </w:r>
      <w:r w:rsidRPr="0093075E">
        <w:rPr>
          <w:noProof/>
          <w:sz w:val="22"/>
          <w:szCs w:val="24"/>
        </w:rPr>
        <w:tab/>
      </w:r>
      <w:r w:rsidRPr="0093075E">
        <w:rPr>
          <w:bCs/>
          <w:noProof/>
          <w:sz w:val="22"/>
          <w:szCs w:val="24"/>
        </w:rPr>
        <w:t>Amieux PS, Howe DG, Knickerbocker H, Lee DC, Su T, Laszlo GS, Idzerda RL, Stanley McKnight G.</w:t>
      </w:r>
      <w:r w:rsidRPr="0093075E">
        <w:rPr>
          <w:noProof/>
          <w:sz w:val="22"/>
          <w:szCs w:val="24"/>
        </w:rPr>
        <w:t xml:space="preserve"> Increased basal cAMP-dependent protein kinase activity inhibits the formation of mesoderm-derived structures in the developing mouse embryo. </w:t>
      </w:r>
      <w:r w:rsidRPr="0093075E">
        <w:rPr>
          <w:iCs/>
          <w:noProof/>
          <w:sz w:val="22"/>
          <w:szCs w:val="24"/>
        </w:rPr>
        <w:t>J. Biol. Chem.</w:t>
      </w:r>
      <w:r w:rsidRPr="0093075E">
        <w:rPr>
          <w:noProof/>
          <w:sz w:val="22"/>
          <w:szCs w:val="24"/>
        </w:rPr>
        <w:t xml:space="preserve"> 2002;277(30):27294–27304.</w:t>
      </w:r>
    </w:p>
    <w:p w14:paraId="4D9686F3"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34. </w:t>
      </w:r>
      <w:r w:rsidRPr="0093075E">
        <w:rPr>
          <w:noProof/>
          <w:sz w:val="22"/>
          <w:szCs w:val="24"/>
        </w:rPr>
        <w:tab/>
      </w:r>
      <w:r w:rsidRPr="0093075E">
        <w:rPr>
          <w:bCs/>
          <w:noProof/>
          <w:sz w:val="22"/>
          <w:szCs w:val="24"/>
        </w:rPr>
        <w:t>Pringle DR, Yin Z, Lee AA, Manchanda PK, Yu L, Parlow AF, Jarjoura D, La Perle KM, Kirschner LS.</w:t>
      </w:r>
      <w:r w:rsidRPr="0093075E">
        <w:rPr>
          <w:noProof/>
          <w:sz w:val="22"/>
          <w:szCs w:val="24"/>
        </w:rPr>
        <w:t xml:space="preserve"> Thyroid-specific ablation of the Carney complex gene, PRKAR1A, results in hyperthyroidism and follicular thyroid cancer. </w:t>
      </w:r>
      <w:r w:rsidRPr="0093075E">
        <w:rPr>
          <w:iCs/>
          <w:noProof/>
          <w:sz w:val="22"/>
          <w:szCs w:val="24"/>
        </w:rPr>
        <w:t>Endocr Relat Cancer</w:t>
      </w:r>
      <w:r w:rsidRPr="0093075E">
        <w:rPr>
          <w:noProof/>
          <w:sz w:val="22"/>
          <w:szCs w:val="24"/>
        </w:rPr>
        <w:t xml:space="preserve"> 2012;19(3):435–446.</w:t>
      </w:r>
    </w:p>
    <w:p w14:paraId="22C4029A"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35. </w:t>
      </w:r>
      <w:r w:rsidRPr="0093075E">
        <w:rPr>
          <w:noProof/>
          <w:sz w:val="22"/>
          <w:szCs w:val="24"/>
        </w:rPr>
        <w:tab/>
      </w:r>
      <w:r w:rsidRPr="0093075E">
        <w:rPr>
          <w:bCs/>
          <w:noProof/>
          <w:sz w:val="22"/>
          <w:szCs w:val="24"/>
        </w:rPr>
        <w:t>Kirschner LS.</w:t>
      </w:r>
      <w:r w:rsidRPr="0093075E">
        <w:rPr>
          <w:noProof/>
          <w:sz w:val="22"/>
          <w:szCs w:val="24"/>
        </w:rPr>
        <w:t xml:space="preserve"> Use of mouse models to understand the molecular basis of tissue-specific tumorigenesis in the Carney complex. </w:t>
      </w:r>
      <w:r w:rsidRPr="0093075E">
        <w:rPr>
          <w:iCs/>
          <w:noProof/>
          <w:sz w:val="22"/>
          <w:szCs w:val="24"/>
        </w:rPr>
        <w:t>J Intern Med</w:t>
      </w:r>
      <w:r w:rsidRPr="0093075E">
        <w:rPr>
          <w:noProof/>
          <w:sz w:val="22"/>
          <w:szCs w:val="24"/>
        </w:rPr>
        <w:t xml:space="preserve"> 2009;266(1):60–68.</w:t>
      </w:r>
    </w:p>
    <w:p w14:paraId="54A49E1E"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36. </w:t>
      </w:r>
      <w:r w:rsidRPr="0093075E">
        <w:rPr>
          <w:noProof/>
          <w:sz w:val="22"/>
          <w:szCs w:val="24"/>
        </w:rPr>
        <w:tab/>
      </w:r>
      <w:r w:rsidRPr="0093075E">
        <w:rPr>
          <w:bCs/>
          <w:noProof/>
          <w:sz w:val="22"/>
          <w:szCs w:val="24"/>
        </w:rPr>
        <w:t>Almeida MQ, Muchow M, Boikos S, Bauer AJ, Griffin KJ, Tsang KM, Cheadle C, Watkins T, Wen F, Starost MF, Bossis I, Nesterova M, Stratakis CA.</w:t>
      </w:r>
      <w:r w:rsidRPr="0093075E">
        <w:rPr>
          <w:noProof/>
          <w:sz w:val="22"/>
          <w:szCs w:val="24"/>
        </w:rPr>
        <w:t xml:space="preserve"> Mouse Prkar1a haploinsufficiency leads to an increase in tumors in the Trp53+/- or Rb1+/- backgrounds and chemically induced skin papillomas by dysregulation of the cell cycle and Wnt signaling. </w:t>
      </w:r>
      <w:r w:rsidRPr="0093075E">
        <w:rPr>
          <w:iCs/>
          <w:noProof/>
          <w:sz w:val="22"/>
          <w:szCs w:val="24"/>
        </w:rPr>
        <w:t>Hum. Mol. Genet.</w:t>
      </w:r>
      <w:r w:rsidRPr="0093075E">
        <w:rPr>
          <w:noProof/>
          <w:sz w:val="22"/>
          <w:szCs w:val="24"/>
        </w:rPr>
        <w:t xml:space="preserve"> 2010;19(8):1387–98.</w:t>
      </w:r>
    </w:p>
    <w:p w14:paraId="4A52CC60"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37. </w:t>
      </w:r>
      <w:r w:rsidRPr="0093075E">
        <w:rPr>
          <w:noProof/>
          <w:sz w:val="22"/>
          <w:szCs w:val="24"/>
        </w:rPr>
        <w:tab/>
      </w:r>
      <w:r w:rsidRPr="0093075E">
        <w:rPr>
          <w:bCs/>
          <w:noProof/>
          <w:sz w:val="22"/>
          <w:szCs w:val="24"/>
        </w:rPr>
        <w:t>Matyakhina L, Pack S, Kirschner LS, Pak E, Mannan P, Jaikumar J, Taymans SE, Sandrini F, Carney JA, Stratakis CA.</w:t>
      </w:r>
      <w:r w:rsidRPr="0093075E">
        <w:rPr>
          <w:noProof/>
          <w:sz w:val="22"/>
          <w:szCs w:val="24"/>
        </w:rPr>
        <w:t xml:space="preserve"> Chromosome 2 (2p16) abnormalities in Carney complex tumours. </w:t>
      </w:r>
      <w:r w:rsidRPr="0093075E">
        <w:rPr>
          <w:iCs/>
          <w:noProof/>
          <w:sz w:val="22"/>
          <w:szCs w:val="24"/>
        </w:rPr>
        <w:t>J. Med. Genet.</w:t>
      </w:r>
      <w:r w:rsidRPr="0093075E">
        <w:rPr>
          <w:noProof/>
          <w:sz w:val="22"/>
          <w:szCs w:val="24"/>
        </w:rPr>
        <w:t xml:space="preserve"> 2003;40(4):268–77.</w:t>
      </w:r>
    </w:p>
    <w:p w14:paraId="657752CB"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38. </w:t>
      </w:r>
      <w:r w:rsidRPr="0093075E">
        <w:rPr>
          <w:noProof/>
          <w:sz w:val="22"/>
          <w:szCs w:val="24"/>
        </w:rPr>
        <w:tab/>
      </w:r>
      <w:r w:rsidRPr="0093075E">
        <w:rPr>
          <w:bCs/>
          <w:noProof/>
          <w:sz w:val="22"/>
          <w:szCs w:val="24"/>
        </w:rPr>
        <w:t>Berthon AS, Szarek E, Stratakis CA.</w:t>
      </w:r>
      <w:r w:rsidRPr="0093075E">
        <w:rPr>
          <w:noProof/>
          <w:sz w:val="22"/>
          <w:szCs w:val="24"/>
        </w:rPr>
        <w:t xml:space="preserve"> PRKACA: the catalytic subunit of protein kinase A and adrenocortical tumors. </w:t>
      </w:r>
      <w:r w:rsidRPr="0093075E">
        <w:rPr>
          <w:iCs/>
          <w:noProof/>
          <w:sz w:val="22"/>
          <w:szCs w:val="24"/>
        </w:rPr>
        <w:t>Front. cell Dev. Biol.</w:t>
      </w:r>
      <w:r w:rsidRPr="0093075E">
        <w:rPr>
          <w:noProof/>
          <w:sz w:val="22"/>
          <w:szCs w:val="24"/>
        </w:rPr>
        <w:t xml:space="preserve"> 2015;3:26.</w:t>
      </w:r>
    </w:p>
    <w:p w14:paraId="2DB0205F"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39. </w:t>
      </w:r>
      <w:r w:rsidRPr="0093075E">
        <w:rPr>
          <w:noProof/>
          <w:sz w:val="22"/>
          <w:szCs w:val="24"/>
        </w:rPr>
        <w:tab/>
      </w:r>
      <w:r w:rsidRPr="0093075E">
        <w:rPr>
          <w:bCs/>
          <w:noProof/>
          <w:sz w:val="22"/>
          <w:szCs w:val="24"/>
        </w:rPr>
        <w:t>Forlino A, Vetro A, Garavelli L, Ciccone R, London E, Stratakis CA, Zuffardi O.</w:t>
      </w:r>
      <w:r w:rsidRPr="0093075E">
        <w:rPr>
          <w:noProof/>
          <w:sz w:val="22"/>
          <w:szCs w:val="24"/>
        </w:rPr>
        <w:t xml:space="preserve"> PRKACB and Carney Complex . </w:t>
      </w:r>
      <w:r w:rsidRPr="0093075E">
        <w:rPr>
          <w:iCs/>
          <w:noProof/>
          <w:sz w:val="22"/>
          <w:szCs w:val="24"/>
        </w:rPr>
        <w:t>N. Engl. J. Med.</w:t>
      </w:r>
      <w:r w:rsidRPr="0093075E">
        <w:rPr>
          <w:noProof/>
          <w:sz w:val="22"/>
          <w:szCs w:val="24"/>
        </w:rPr>
        <w:t xml:space="preserve"> 2014;370(11):1065–1067.</w:t>
      </w:r>
    </w:p>
    <w:p w14:paraId="58D6A232"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40. </w:t>
      </w:r>
      <w:r w:rsidRPr="0093075E">
        <w:rPr>
          <w:noProof/>
          <w:sz w:val="22"/>
          <w:szCs w:val="24"/>
        </w:rPr>
        <w:tab/>
      </w:r>
      <w:r w:rsidRPr="0093075E">
        <w:rPr>
          <w:bCs/>
          <w:noProof/>
          <w:sz w:val="22"/>
          <w:szCs w:val="24"/>
        </w:rPr>
        <w:t>Horvath A, Giatzakis C, Robinson-White A, Boikos S, Levine E, Griffin K, Stein E, Kamvissi V, Soni P, Bossis I, de Herder W, Carney JA, Bertherat J, Gregersen PK, Remmers EF, Stratakis CA.</w:t>
      </w:r>
      <w:r w:rsidRPr="0093075E">
        <w:rPr>
          <w:noProof/>
          <w:sz w:val="22"/>
          <w:szCs w:val="24"/>
        </w:rPr>
        <w:t xml:space="preserve"> Adrenal hyperplasia and adenomas are associated with inhibition of phosphodiesterase 11A in carriers of PDE11A sequence variants that are frequent in the population. </w:t>
      </w:r>
      <w:r w:rsidRPr="0093075E">
        <w:rPr>
          <w:iCs/>
          <w:noProof/>
          <w:sz w:val="22"/>
          <w:szCs w:val="24"/>
        </w:rPr>
        <w:t>Cancer Res</w:t>
      </w:r>
      <w:r w:rsidRPr="0093075E">
        <w:rPr>
          <w:noProof/>
          <w:sz w:val="22"/>
          <w:szCs w:val="24"/>
        </w:rPr>
        <w:t xml:space="preserve"> 2006;66(24):11571–11575.</w:t>
      </w:r>
    </w:p>
    <w:p w14:paraId="3D192F28"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41. </w:t>
      </w:r>
      <w:r w:rsidRPr="0093075E">
        <w:rPr>
          <w:noProof/>
          <w:sz w:val="22"/>
          <w:szCs w:val="24"/>
        </w:rPr>
        <w:tab/>
      </w:r>
      <w:r w:rsidRPr="0093075E">
        <w:rPr>
          <w:bCs/>
          <w:noProof/>
          <w:sz w:val="22"/>
          <w:szCs w:val="24"/>
        </w:rPr>
        <w:t>Horvath A, Giatzakis C, Tsang K, Greene E, Osorio P, Boikos S, Libè R, Patronas Y, Robinson-White A, Remmers E, Bertherat J, Nesterova M, Stratakis CA.</w:t>
      </w:r>
      <w:r w:rsidRPr="0093075E">
        <w:rPr>
          <w:noProof/>
          <w:sz w:val="22"/>
          <w:szCs w:val="24"/>
        </w:rPr>
        <w:t xml:space="preserve"> A cAMP-specific phosphodiesterase (PDE8B) that is mutated in adrenal hyperplasia is expressed widely in human and mouse tissues: a novel PDE8B isoform in human adrenal cortex. </w:t>
      </w:r>
      <w:r w:rsidRPr="0093075E">
        <w:rPr>
          <w:iCs/>
          <w:noProof/>
          <w:sz w:val="22"/>
          <w:szCs w:val="24"/>
        </w:rPr>
        <w:t>Eur. J. Hum. Genet.</w:t>
      </w:r>
      <w:r w:rsidRPr="0093075E">
        <w:rPr>
          <w:noProof/>
          <w:sz w:val="22"/>
          <w:szCs w:val="24"/>
        </w:rPr>
        <w:t xml:space="preserve"> 2008;16(10):1245–53.</w:t>
      </w:r>
    </w:p>
    <w:p w14:paraId="0A32E6F4"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42. </w:t>
      </w:r>
      <w:r w:rsidRPr="0093075E">
        <w:rPr>
          <w:noProof/>
          <w:sz w:val="22"/>
          <w:szCs w:val="24"/>
        </w:rPr>
        <w:tab/>
      </w:r>
      <w:r w:rsidRPr="0093075E">
        <w:rPr>
          <w:bCs/>
          <w:noProof/>
          <w:sz w:val="22"/>
          <w:szCs w:val="24"/>
        </w:rPr>
        <w:t>Libe R, Horvath A, Vezzosi D, Fratticci A, Coste J, Perlemoine K, Ragazzon B, Guillaud-Bataille M, Groussin L, Clauser E, Raffin-Sanson ML, Siegel J, Moran J, Drori-Herishanu L, Faucz FR, Lodish M, Nesterova M, Bertagna X, Bertherat J, Stratakis CA.</w:t>
      </w:r>
      <w:r w:rsidRPr="0093075E">
        <w:rPr>
          <w:noProof/>
          <w:sz w:val="22"/>
          <w:szCs w:val="24"/>
        </w:rPr>
        <w:t xml:space="preserve"> Frequent phosphodiesterase 11A gene (PDE11A) defects in patients with Carney complex (CNC) caused by PRKAR1A mutations: PDE11A may contribute to adrenal and testicular tumors in CNC as a modifier of the phenotype. </w:t>
      </w:r>
      <w:r w:rsidRPr="0093075E">
        <w:rPr>
          <w:iCs/>
          <w:noProof/>
          <w:sz w:val="22"/>
          <w:szCs w:val="24"/>
        </w:rPr>
        <w:t>J Clin Endocrinol Metab</w:t>
      </w:r>
      <w:r w:rsidRPr="0093075E">
        <w:rPr>
          <w:noProof/>
          <w:sz w:val="22"/>
          <w:szCs w:val="24"/>
        </w:rPr>
        <w:t xml:space="preserve"> 2010;96(1):E208-14.</w:t>
      </w:r>
    </w:p>
    <w:p w14:paraId="5DD2D4D0"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43. </w:t>
      </w:r>
      <w:r w:rsidRPr="0093075E">
        <w:rPr>
          <w:noProof/>
          <w:sz w:val="22"/>
          <w:szCs w:val="24"/>
        </w:rPr>
        <w:tab/>
      </w:r>
      <w:r w:rsidRPr="0093075E">
        <w:rPr>
          <w:bCs/>
          <w:noProof/>
          <w:sz w:val="22"/>
          <w:szCs w:val="24"/>
        </w:rPr>
        <w:t>Correa R, Salpea P, Stratakis CA.</w:t>
      </w:r>
      <w:r w:rsidRPr="0093075E">
        <w:rPr>
          <w:noProof/>
          <w:sz w:val="22"/>
          <w:szCs w:val="24"/>
        </w:rPr>
        <w:t xml:space="preserve"> Carney complex: an update. </w:t>
      </w:r>
      <w:r w:rsidRPr="0093075E">
        <w:rPr>
          <w:iCs/>
          <w:noProof/>
          <w:sz w:val="22"/>
          <w:szCs w:val="24"/>
        </w:rPr>
        <w:t>Eur. J. Endocrinol.</w:t>
      </w:r>
      <w:r w:rsidRPr="0093075E">
        <w:rPr>
          <w:noProof/>
          <w:sz w:val="22"/>
          <w:szCs w:val="24"/>
        </w:rPr>
        <w:t xml:space="preserve"> 2015;173(4):M85–M97.</w:t>
      </w:r>
    </w:p>
    <w:p w14:paraId="7C3B15E9"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44. </w:t>
      </w:r>
      <w:r w:rsidRPr="0093075E">
        <w:rPr>
          <w:noProof/>
          <w:sz w:val="22"/>
          <w:szCs w:val="24"/>
        </w:rPr>
        <w:tab/>
      </w:r>
      <w:r w:rsidRPr="0093075E">
        <w:rPr>
          <w:bCs/>
          <w:noProof/>
          <w:sz w:val="22"/>
          <w:szCs w:val="24"/>
        </w:rPr>
        <w:t>Stratakis CA, Kirschner LS, Carney JA.</w:t>
      </w:r>
      <w:r w:rsidRPr="0093075E">
        <w:rPr>
          <w:noProof/>
          <w:sz w:val="22"/>
          <w:szCs w:val="24"/>
        </w:rPr>
        <w:t xml:space="preserve"> Clinical and molecular features of the Carney complex: diagnostic criteria and recommendations for patient evaluation. </w:t>
      </w:r>
      <w:r w:rsidRPr="0093075E">
        <w:rPr>
          <w:iCs/>
          <w:noProof/>
          <w:sz w:val="22"/>
          <w:szCs w:val="24"/>
        </w:rPr>
        <w:t>J Clin Endocrinol Metab</w:t>
      </w:r>
      <w:r w:rsidRPr="0093075E">
        <w:rPr>
          <w:noProof/>
          <w:sz w:val="22"/>
          <w:szCs w:val="24"/>
        </w:rPr>
        <w:t xml:space="preserve"> 2001;86(9):4041–4046.</w:t>
      </w:r>
    </w:p>
    <w:p w14:paraId="01C4907F"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lastRenderedPageBreak/>
        <w:t xml:space="preserve">45. </w:t>
      </w:r>
      <w:r w:rsidRPr="0093075E">
        <w:rPr>
          <w:noProof/>
          <w:sz w:val="22"/>
          <w:szCs w:val="24"/>
        </w:rPr>
        <w:tab/>
      </w:r>
      <w:r w:rsidRPr="0093075E">
        <w:rPr>
          <w:bCs/>
          <w:noProof/>
          <w:sz w:val="22"/>
          <w:szCs w:val="24"/>
        </w:rPr>
        <w:t>Espiard S, Vantyghem M-C, Assié G, Cardot-Bauters C, Raverot G, Brucker-Davis F, Archambeaud-Mouveroux F, Lefebvre H, Nunes M-L, Tabarin A, Lienhardt A, Chabre O, Houang M, Bottineau M, Stroër S, Groussin L, Guignat L, Cabanes L, Feydy A, Bonnet F, North MO, Dupin N, Grabar S, Duboc D, Bertherat J.</w:t>
      </w:r>
      <w:r w:rsidRPr="0093075E">
        <w:rPr>
          <w:noProof/>
          <w:sz w:val="22"/>
          <w:szCs w:val="24"/>
        </w:rPr>
        <w:t xml:space="preserve"> Frequency and Incidence of Carney Complex Manifestations: A Prospective Multicenter Study With a Three-Year Follow-Up. </w:t>
      </w:r>
      <w:r w:rsidRPr="0093075E">
        <w:rPr>
          <w:iCs/>
          <w:noProof/>
          <w:sz w:val="22"/>
          <w:szCs w:val="24"/>
        </w:rPr>
        <w:t>J. Clin. Endocrinol. Metab.</w:t>
      </w:r>
      <w:r w:rsidRPr="0093075E">
        <w:rPr>
          <w:noProof/>
          <w:sz w:val="22"/>
          <w:szCs w:val="24"/>
        </w:rPr>
        <w:t xml:space="preserve"> 2020;105(3):e436–e446.</w:t>
      </w:r>
    </w:p>
    <w:p w14:paraId="6CE80D8F"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46. </w:t>
      </w:r>
      <w:r w:rsidRPr="0093075E">
        <w:rPr>
          <w:noProof/>
          <w:sz w:val="22"/>
          <w:szCs w:val="24"/>
        </w:rPr>
        <w:tab/>
      </w:r>
      <w:r w:rsidRPr="0093075E">
        <w:rPr>
          <w:bCs/>
          <w:noProof/>
          <w:sz w:val="22"/>
          <w:szCs w:val="24"/>
        </w:rPr>
        <w:t>Wilkes D, McDermott DA, Basson CT.</w:t>
      </w:r>
      <w:r w:rsidRPr="0093075E">
        <w:rPr>
          <w:noProof/>
          <w:sz w:val="22"/>
          <w:szCs w:val="24"/>
        </w:rPr>
        <w:t xml:space="preserve"> Clinical phenotypes and molecular genetic mechanisms of Carney complex. </w:t>
      </w:r>
      <w:r w:rsidRPr="0093075E">
        <w:rPr>
          <w:iCs/>
          <w:noProof/>
          <w:sz w:val="22"/>
          <w:szCs w:val="24"/>
        </w:rPr>
        <w:t>Lancet Oncol</w:t>
      </w:r>
      <w:r w:rsidRPr="0093075E">
        <w:rPr>
          <w:noProof/>
          <w:sz w:val="22"/>
          <w:szCs w:val="24"/>
        </w:rPr>
        <w:t xml:space="preserve"> 2005;6(7):501–508.</w:t>
      </w:r>
    </w:p>
    <w:p w14:paraId="1D5D1459"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47. </w:t>
      </w:r>
      <w:r w:rsidRPr="0093075E">
        <w:rPr>
          <w:noProof/>
          <w:sz w:val="22"/>
          <w:szCs w:val="24"/>
        </w:rPr>
        <w:tab/>
      </w:r>
      <w:r w:rsidRPr="0093075E">
        <w:rPr>
          <w:bCs/>
          <w:noProof/>
          <w:sz w:val="22"/>
          <w:szCs w:val="24"/>
        </w:rPr>
        <w:t>Mateus C, Palangie A, Franck N, Groussin L, Bertagna X, Avril MF, Bertherat J, Dupin N.</w:t>
      </w:r>
      <w:r w:rsidRPr="0093075E">
        <w:rPr>
          <w:noProof/>
          <w:sz w:val="22"/>
          <w:szCs w:val="24"/>
        </w:rPr>
        <w:t xml:space="preserve"> Heterogeneity of skin manifestations in patients with Carney complex. </w:t>
      </w:r>
      <w:r w:rsidRPr="0093075E">
        <w:rPr>
          <w:iCs/>
          <w:noProof/>
          <w:sz w:val="22"/>
          <w:szCs w:val="24"/>
        </w:rPr>
        <w:t>J Am Acad Dermatol</w:t>
      </w:r>
      <w:r w:rsidRPr="0093075E">
        <w:rPr>
          <w:noProof/>
          <w:sz w:val="22"/>
          <w:szCs w:val="24"/>
        </w:rPr>
        <w:t xml:space="preserve"> 2008;59(5):801–810.</w:t>
      </w:r>
    </w:p>
    <w:p w14:paraId="16E26C62"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48. </w:t>
      </w:r>
      <w:r w:rsidRPr="0093075E">
        <w:rPr>
          <w:noProof/>
          <w:sz w:val="22"/>
          <w:szCs w:val="24"/>
        </w:rPr>
        <w:tab/>
      </w:r>
      <w:r w:rsidRPr="0093075E">
        <w:rPr>
          <w:bCs/>
          <w:noProof/>
          <w:sz w:val="22"/>
          <w:szCs w:val="24"/>
        </w:rPr>
        <w:t>Cohen J, Nassau DE, Patel P, Ramasamy R.</w:t>
      </w:r>
      <w:r w:rsidRPr="0093075E">
        <w:rPr>
          <w:noProof/>
          <w:sz w:val="22"/>
          <w:szCs w:val="24"/>
        </w:rPr>
        <w:t xml:space="preserve"> Low Testosterone in Adolescents &amp; Young Adults. </w:t>
      </w:r>
      <w:r w:rsidRPr="0093075E">
        <w:rPr>
          <w:iCs/>
          <w:noProof/>
          <w:sz w:val="22"/>
          <w:szCs w:val="24"/>
        </w:rPr>
        <w:t>Front. Endocrinol. (Lausanne).</w:t>
      </w:r>
      <w:r w:rsidRPr="0093075E">
        <w:rPr>
          <w:noProof/>
          <w:sz w:val="22"/>
          <w:szCs w:val="24"/>
        </w:rPr>
        <w:t xml:space="preserve"> 2020;10:916.</w:t>
      </w:r>
    </w:p>
    <w:p w14:paraId="07649B1C"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49. </w:t>
      </w:r>
      <w:r w:rsidRPr="0093075E">
        <w:rPr>
          <w:noProof/>
          <w:sz w:val="22"/>
          <w:szCs w:val="24"/>
        </w:rPr>
        <w:tab/>
      </w:r>
      <w:r w:rsidRPr="0093075E">
        <w:rPr>
          <w:bCs/>
          <w:noProof/>
          <w:sz w:val="22"/>
          <w:szCs w:val="24"/>
        </w:rPr>
        <w:t>Pitsava G, Zhu C, Sundaram R, Mills JL, Stratakis CA.</w:t>
      </w:r>
      <w:r w:rsidRPr="0093075E">
        <w:rPr>
          <w:noProof/>
          <w:sz w:val="22"/>
          <w:szCs w:val="24"/>
        </w:rPr>
        <w:t xml:space="preserve"> Predicting the risk of cardiac myxoma in Carney complex. </w:t>
      </w:r>
      <w:r w:rsidRPr="0093075E">
        <w:rPr>
          <w:iCs/>
          <w:noProof/>
          <w:sz w:val="22"/>
          <w:szCs w:val="24"/>
        </w:rPr>
        <w:t>Genet. Med.</w:t>
      </w:r>
      <w:r w:rsidRPr="0093075E">
        <w:rPr>
          <w:noProof/>
          <w:sz w:val="22"/>
          <w:szCs w:val="24"/>
        </w:rPr>
        <w:t xml:space="preserve"> 2021;23(1):80–85.</w:t>
      </w:r>
    </w:p>
    <w:p w14:paraId="399F3ACB"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50. </w:t>
      </w:r>
      <w:r w:rsidRPr="0093075E">
        <w:rPr>
          <w:noProof/>
          <w:sz w:val="22"/>
          <w:szCs w:val="24"/>
        </w:rPr>
        <w:tab/>
      </w:r>
      <w:r w:rsidRPr="0093075E">
        <w:rPr>
          <w:bCs/>
          <w:noProof/>
          <w:sz w:val="22"/>
          <w:szCs w:val="24"/>
        </w:rPr>
        <w:t>Reynen K.</w:t>
      </w:r>
      <w:r w:rsidRPr="0093075E">
        <w:rPr>
          <w:noProof/>
          <w:sz w:val="22"/>
          <w:szCs w:val="24"/>
        </w:rPr>
        <w:t xml:space="preserve"> Cardiac myxomas. </w:t>
      </w:r>
      <w:r w:rsidRPr="0093075E">
        <w:rPr>
          <w:iCs/>
          <w:noProof/>
          <w:sz w:val="22"/>
          <w:szCs w:val="24"/>
        </w:rPr>
        <w:t>N Engl J Med</w:t>
      </w:r>
      <w:r w:rsidRPr="0093075E">
        <w:rPr>
          <w:noProof/>
          <w:sz w:val="22"/>
          <w:szCs w:val="24"/>
        </w:rPr>
        <w:t xml:space="preserve"> 1995;333(24):1610–1617.</w:t>
      </w:r>
    </w:p>
    <w:p w14:paraId="2C9F4B60"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51. </w:t>
      </w:r>
      <w:r w:rsidRPr="0093075E">
        <w:rPr>
          <w:noProof/>
          <w:sz w:val="22"/>
          <w:szCs w:val="24"/>
        </w:rPr>
        <w:tab/>
      </w:r>
      <w:r w:rsidRPr="0093075E">
        <w:rPr>
          <w:bCs/>
          <w:noProof/>
          <w:sz w:val="22"/>
          <w:szCs w:val="24"/>
        </w:rPr>
        <w:t>Kamilaris CDC, Faucz FR, Voutetakis A, Stratakis CA.</w:t>
      </w:r>
      <w:r w:rsidRPr="0093075E">
        <w:rPr>
          <w:noProof/>
          <w:sz w:val="22"/>
          <w:szCs w:val="24"/>
        </w:rPr>
        <w:t xml:space="preserve"> Carney Complex. </w:t>
      </w:r>
      <w:r w:rsidRPr="0093075E">
        <w:rPr>
          <w:iCs/>
          <w:noProof/>
          <w:sz w:val="22"/>
          <w:szCs w:val="24"/>
        </w:rPr>
        <w:t>Exp. Clin. Endocrinol. Diabetes</w:t>
      </w:r>
      <w:r w:rsidRPr="0093075E">
        <w:rPr>
          <w:noProof/>
          <w:sz w:val="22"/>
          <w:szCs w:val="24"/>
        </w:rPr>
        <w:t xml:space="preserve"> 2019;127(2–3):156–164.</w:t>
      </w:r>
    </w:p>
    <w:p w14:paraId="761B5C3E"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52. </w:t>
      </w:r>
      <w:r w:rsidRPr="0093075E">
        <w:rPr>
          <w:noProof/>
          <w:sz w:val="22"/>
          <w:szCs w:val="24"/>
        </w:rPr>
        <w:tab/>
      </w:r>
      <w:r w:rsidRPr="0093075E">
        <w:rPr>
          <w:bCs/>
          <w:noProof/>
          <w:sz w:val="22"/>
          <w:szCs w:val="24"/>
        </w:rPr>
        <w:t>Courcoutsakis NA, Tatsi C, Patronas NJ, Lee CC, Prassopoulos PK, Stratakis CA.</w:t>
      </w:r>
      <w:r w:rsidRPr="0093075E">
        <w:rPr>
          <w:noProof/>
          <w:sz w:val="22"/>
          <w:szCs w:val="24"/>
        </w:rPr>
        <w:t xml:space="preserve"> The complex of myxomas, spotty skin pigmentation and endocrine overactivity (Carney complex): imaging findings with clinical and pathological correlation. </w:t>
      </w:r>
      <w:r w:rsidRPr="0093075E">
        <w:rPr>
          <w:iCs/>
          <w:noProof/>
          <w:sz w:val="22"/>
          <w:szCs w:val="24"/>
        </w:rPr>
        <w:t>Insights Imaging</w:t>
      </w:r>
      <w:r w:rsidRPr="0093075E">
        <w:rPr>
          <w:noProof/>
          <w:sz w:val="22"/>
          <w:szCs w:val="24"/>
        </w:rPr>
        <w:t xml:space="preserve"> 2013;4(1):119–133.</w:t>
      </w:r>
    </w:p>
    <w:p w14:paraId="12AEA379"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53. </w:t>
      </w:r>
      <w:r w:rsidRPr="0093075E">
        <w:rPr>
          <w:noProof/>
          <w:sz w:val="22"/>
          <w:szCs w:val="24"/>
        </w:rPr>
        <w:tab/>
      </w:r>
      <w:r w:rsidRPr="0093075E">
        <w:rPr>
          <w:bCs/>
          <w:noProof/>
          <w:sz w:val="22"/>
          <w:szCs w:val="24"/>
        </w:rPr>
        <w:t>Lie JT.</w:t>
      </w:r>
      <w:r w:rsidRPr="0093075E">
        <w:rPr>
          <w:noProof/>
          <w:sz w:val="22"/>
          <w:szCs w:val="24"/>
        </w:rPr>
        <w:t xml:space="preserve"> The identity and histogenesis of cardiac myxomas. A controversy put to rest. </w:t>
      </w:r>
      <w:r w:rsidRPr="0093075E">
        <w:rPr>
          <w:iCs/>
          <w:noProof/>
          <w:sz w:val="22"/>
          <w:szCs w:val="24"/>
        </w:rPr>
        <w:t>Arch Pathol Lab Med</w:t>
      </w:r>
      <w:r w:rsidRPr="0093075E">
        <w:rPr>
          <w:noProof/>
          <w:sz w:val="22"/>
          <w:szCs w:val="24"/>
        </w:rPr>
        <w:t xml:space="preserve"> 1989;113(7):724–726.</w:t>
      </w:r>
    </w:p>
    <w:p w14:paraId="50C210A1"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54. </w:t>
      </w:r>
      <w:r w:rsidRPr="0093075E">
        <w:rPr>
          <w:noProof/>
          <w:sz w:val="22"/>
          <w:szCs w:val="24"/>
        </w:rPr>
        <w:tab/>
      </w:r>
      <w:r w:rsidRPr="0093075E">
        <w:rPr>
          <w:bCs/>
          <w:noProof/>
          <w:sz w:val="22"/>
          <w:szCs w:val="24"/>
        </w:rPr>
        <w:t>Carney JA, Toorkey BC.</w:t>
      </w:r>
      <w:r w:rsidRPr="0093075E">
        <w:rPr>
          <w:noProof/>
          <w:sz w:val="22"/>
          <w:szCs w:val="24"/>
        </w:rPr>
        <w:t xml:space="preserve"> Ductal adenoma of the breast with tubular features. A probable component of the complex of myxomas, spotty pigmentation, endocrine overactivity, and schwannomas. </w:t>
      </w:r>
      <w:r w:rsidRPr="0093075E">
        <w:rPr>
          <w:iCs/>
          <w:noProof/>
          <w:sz w:val="22"/>
          <w:szCs w:val="24"/>
        </w:rPr>
        <w:t>Am J Surg Pathol</w:t>
      </w:r>
      <w:r w:rsidRPr="0093075E">
        <w:rPr>
          <w:noProof/>
          <w:sz w:val="22"/>
          <w:szCs w:val="24"/>
        </w:rPr>
        <w:t xml:space="preserve"> 1991;15(8):722–731.</w:t>
      </w:r>
    </w:p>
    <w:p w14:paraId="4004C8C1"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55. </w:t>
      </w:r>
      <w:r w:rsidRPr="0093075E">
        <w:rPr>
          <w:noProof/>
          <w:sz w:val="22"/>
          <w:szCs w:val="24"/>
        </w:rPr>
        <w:tab/>
      </w:r>
      <w:r w:rsidRPr="0093075E">
        <w:rPr>
          <w:bCs/>
          <w:noProof/>
          <w:sz w:val="22"/>
          <w:szCs w:val="24"/>
        </w:rPr>
        <w:t>Carney JA, Boccon-Gibod L, Jarka DE, Tanaka Y, Swee RG, Unni KK, Stratakis CA.</w:t>
      </w:r>
      <w:r w:rsidRPr="0093075E">
        <w:rPr>
          <w:noProof/>
          <w:sz w:val="22"/>
          <w:szCs w:val="24"/>
        </w:rPr>
        <w:t xml:space="preserve"> Osteochondromyxoma of bone: a congenital tumor associated with lentigines and other unusual disorders. </w:t>
      </w:r>
      <w:r w:rsidRPr="0093075E">
        <w:rPr>
          <w:iCs/>
          <w:noProof/>
          <w:sz w:val="22"/>
          <w:szCs w:val="24"/>
        </w:rPr>
        <w:t>Am J Surg Pathol</w:t>
      </w:r>
      <w:r w:rsidRPr="0093075E">
        <w:rPr>
          <w:noProof/>
          <w:sz w:val="22"/>
          <w:szCs w:val="24"/>
        </w:rPr>
        <w:t xml:space="preserve"> 2001;25(2):164–176.</w:t>
      </w:r>
    </w:p>
    <w:p w14:paraId="12966CE8"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56. </w:t>
      </w:r>
      <w:r w:rsidRPr="0093075E">
        <w:rPr>
          <w:noProof/>
          <w:sz w:val="22"/>
          <w:szCs w:val="24"/>
        </w:rPr>
        <w:tab/>
      </w:r>
      <w:r w:rsidRPr="0093075E">
        <w:rPr>
          <w:bCs/>
          <w:noProof/>
          <w:sz w:val="22"/>
          <w:szCs w:val="24"/>
        </w:rPr>
        <w:t>Yu W, Zhang Z-Z, Wang O, Huang M-Q, Xia W-B, Guermazi A.</w:t>
      </w:r>
      <w:r w:rsidRPr="0093075E">
        <w:rPr>
          <w:noProof/>
          <w:sz w:val="22"/>
          <w:szCs w:val="24"/>
        </w:rPr>
        <w:t xml:space="preserve"> Ring sign: an imaging sign for osteochondromyxoma in Carney complex. </w:t>
      </w:r>
      <w:r w:rsidRPr="0093075E">
        <w:rPr>
          <w:iCs/>
          <w:noProof/>
          <w:sz w:val="22"/>
          <w:szCs w:val="24"/>
        </w:rPr>
        <w:t>Quant. Imaging Med. Surg.</w:t>
      </w:r>
      <w:r w:rsidRPr="0093075E">
        <w:rPr>
          <w:noProof/>
          <w:sz w:val="22"/>
          <w:szCs w:val="24"/>
        </w:rPr>
        <w:t xml:space="preserve"> 2019;9(12):1958–1965.</w:t>
      </w:r>
    </w:p>
    <w:p w14:paraId="2FDCBD20"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57. </w:t>
      </w:r>
      <w:r w:rsidRPr="0093075E">
        <w:rPr>
          <w:noProof/>
          <w:sz w:val="22"/>
          <w:szCs w:val="24"/>
        </w:rPr>
        <w:tab/>
      </w:r>
      <w:r w:rsidRPr="0093075E">
        <w:rPr>
          <w:bCs/>
          <w:noProof/>
          <w:sz w:val="22"/>
          <w:szCs w:val="24"/>
        </w:rPr>
        <w:t>Pavel E, Nadella K, Towns W. H. 2nd, Kirschner LS.</w:t>
      </w:r>
      <w:r w:rsidRPr="0093075E">
        <w:rPr>
          <w:noProof/>
          <w:sz w:val="22"/>
          <w:szCs w:val="24"/>
        </w:rPr>
        <w:t xml:space="preserve"> Mutation of Prkar1a causes osteoblast neoplasia driven by dysregulation of protein kinase A. </w:t>
      </w:r>
      <w:r w:rsidRPr="0093075E">
        <w:rPr>
          <w:iCs/>
          <w:noProof/>
          <w:sz w:val="22"/>
          <w:szCs w:val="24"/>
        </w:rPr>
        <w:t>Mol Endocrinol</w:t>
      </w:r>
      <w:r w:rsidRPr="0093075E">
        <w:rPr>
          <w:noProof/>
          <w:sz w:val="22"/>
          <w:szCs w:val="24"/>
        </w:rPr>
        <w:t xml:space="preserve"> 2008;22(2):430–440.</w:t>
      </w:r>
    </w:p>
    <w:p w14:paraId="42503AFC"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58. </w:t>
      </w:r>
      <w:r w:rsidRPr="0093075E">
        <w:rPr>
          <w:noProof/>
          <w:sz w:val="22"/>
          <w:szCs w:val="24"/>
        </w:rPr>
        <w:tab/>
      </w:r>
      <w:r w:rsidRPr="0093075E">
        <w:rPr>
          <w:bCs/>
          <w:noProof/>
          <w:sz w:val="22"/>
          <w:szCs w:val="24"/>
        </w:rPr>
        <w:t>Stratakis CA, Carney JA, Kirschner LS, Willenberg HS, Brauer S, Ehrhart-Bornstein M, Bornstein SR.</w:t>
      </w:r>
      <w:r w:rsidRPr="0093075E">
        <w:rPr>
          <w:noProof/>
          <w:sz w:val="22"/>
          <w:szCs w:val="24"/>
        </w:rPr>
        <w:t xml:space="preserve"> Synaptophysin immunoreactivity in primary pigmented nodular adrenocortical disease: neuroendocrine properties of tumors associated with Carney complex. </w:t>
      </w:r>
      <w:r w:rsidRPr="0093075E">
        <w:rPr>
          <w:iCs/>
          <w:noProof/>
          <w:sz w:val="22"/>
          <w:szCs w:val="24"/>
        </w:rPr>
        <w:t>J Clin Endocrinol Metab</w:t>
      </w:r>
      <w:r w:rsidRPr="0093075E">
        <w:rPr>
          <w:noProof/>
          <w:sz w:val="22"/>
          <w:szCs w:val="24"/>
        </w:rPr>
        <w:t xml:space="preserve"> 1999;84(3):1122–1128.</w:t>
      </w:r>
    </w:p>
    <w:p w14:paraId="1AF39E88"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59. </w:t>
      </w:r>
      <w:r w:rsidRPr="0093075E">
        <w:rPr>
          <w:noProof/>
          <w:sz w:val="22"/>
          <w:szCs w:val="24"/>
        </w:rPr>
        <w:tab/>
      </w:r>
      <w:r w:rsidRPr="0093075E">
        <w:rPr>
          <w:bCs/>
          <w:noProof/>
          <w:sz w:val="22"/>
          <w:szCs w:val="24"/>
        </w:rPr>
        <w:t>Vezzosi D, Tenenbaum F, Cazabat L, Tissier F, Bienvenu M, Carrasco CA, Laloi-Michelin M, Barrande G, Lefebvre H, Hiéronimus S, Tabarin A, Bertagna X, Legmann P, Vantyghem M-C, Bertherat J.</w:t>
      </w:r>
      <w:r w:rsidRPr="0093075E">
        <w:rPr>
          <w:noProof/>
          <w:sz w:val="22"/>
          <w:szCs w:val="24"/>
        </w:rPr>
        <w:t xml:space="preserve"> Hormonal, Radiological, NP-59 Scintigraphy, and Pathological Correlations in Patients With Cushing’s Syndrome Due to Primary Pigmented </w:t>
      </w:r>
      <w:r w:rsidRPr="0093075E">
        <w:rPr>
          <w:noProof/>
          <w:sz w:val="22"/>
          <w:szCs w:val="24"/>
        </w:rPr>
        <w:lastRenderedPageBreak/>
        <w:t xml:space="preserve">Nodular Adrenocortical Disease (PPNAD). </w:t>
      </w:r>
      <w:r w:rsidRPr="0093075E">
        <w:rPr>
          <w:iCs/>
          <w:noProof/>
          <w:sz w:val="22"/>
          <w:szCs w:val="24"/>
        </w:rPr>
        <w:t>J. Clin. Endocrinol. Metab.</w:t>
      </w:r>
      <w:r w:rsidRPr="0093075E">
        <w:rPr>
          <w:noProof/>
          <w:sz w:val="22"/>
          <w:szCs w:val="24"/>
        </w:rPr>
        <w:t xml:space="preserve"> 2015;100(11):4332–8.</w:t>
      </w:r>
    </w:p>
    <w:p w14:paraId="0F1577BD"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60. </w:t>
      </w:r>
      <w:r w:rsidRPr="0093075E">
        <w:rPr>
          <w:noProof/>
          <w:sz w:val="22"/>
          <w:szCs w:val="24"/>
        </w:rPr>
        <w:tab/>
      </w:r>
      <w:r w:rsidRPr="0093075E">
        <w:rPr>
          <w:bCs/>
          <w:noProof/>
          <w:sz w:val="22"/>
          <w:szCs w:val="24"/>
        </w:rPr>
        <w:t>Gunther DF, Bourdeau I, Matyakhina L, Cassarino D, Kleiner DE, Griffin K, Courkoutsakis N, Abu-Asab M, Tsokos M, Keil M, Carney JA, Stratakis CA.</w:t>
      </w:r>
      <w:r w:rsidRPr="0093075E">
        <w:rPr>
          <w:noProof/>
          <w:sz w:val="22"/>
          <w:szCs w:val="24"/>
        </w:rPr>
        <w:t xml:space="preserve"> Cyclical Cushing syndrome presenting in infancy: an early form of primary pigmented nodular adrenocortical disease, or a new entity? </w:t>
      </w:r>
      <w:r w:rsidRPr="0093075E">
        <w:rPr>
          <w:iCs/>
          <w:noProof/>
          <w:sz w:val="22"/>
          <w:szCs w:val="24"/>
        </w:rPr>
        <w:t>J Clin Endocrinol Metab</w:t>
      </w:r>
      <w:r w:rsidRPr="0093075E">
        <w:rPr>
          <w:noProof/>
          <w:sz w:val="22"/>
          <w:szCs w:val="24"/>
        </w:rPr>
        <w:t xml:space="preserve"> 2004;89(7):3173–3182.</w:t>
      </w:r>
    </w:p>
    <w:p w14:paraId="459F4734"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61. </w:t>
      </w:r>
      <w:r w:rsidRPr="0093075E">
        <w:rPr>
          <w:noProof/>
          <w:sz w:val="22"/>
          <w:szCs w:val="24"/>
        </w:rPr>
        <w:tab/>
      </w:r>
      <w:r w:rsidRPr="0093075E">
        <w:rPr>
          <w:bCs/>
          <w:noProof/>
          <w:sz w:val="22"/>
          <w:szCs w:val="24"/>
        </w:rPr>
        <w:t>Stratakis CA, Sarlis N, Kirschner LS, Carney JA, Doppman JL, Nieman LK, Chrousos GP, Papanicolaou DA.</w:t>
      </w:r>
      <w:r w:rsidRPr="0093075E">
        <w:rPr>
          <w:noProof/>
          <w:sz w:val="22"/>
          <w:szCs w:val="24"/>
        </w:rPr>
        <w:t xml:space="preserve"> Paradoxical response to dexamethasone in the diagnosis of primary pigmented nodular adrenocortical disease. </w:t>
      </w:r>
      <w:r w:rsidRPr="0093075E">
        <w:rPr>
          <w:iCs/>
          <w:noProof/>
          <w:sz w:val="22"/>
          <w:szCs w:val="24"/>
        </w:rPr>
        <w:t>Ann Intern Med</w:t>
      </w:r>
      <w:r w:rsidRPr="0093075E">
        <w:rPr>
          <w:noProof/>
          <w:sz w:val="22"/>
          <w:szCs w:val="24"/>
        </w:rPr>
        <w:t xml:space="preserve"> 1999;131(8):585–591.</w:t>
      </w:r>
    </w:p>
    <w:p w14:paraId="0A7B82EA"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62. </w:t>
      </w:r>
      <w:r w:rsidRPr="0093075E">
        <w:rPr>
          <w:noProof/>
          <w:sz w:val="22"/>
          <w:szCs w:val="24"/>
        </w:rPr>
        <w:tab/>
      </w:r>
      <w:r w:rsidRPr="0093075E">
        <w:rPr>
          <w:bCs/>
          <w:noProof/>
          <w:sz w:val="22"/>
          <w:szCs w:val="24"/>
        </w:rPr>
        <w:t>Anselmo J, Medeiros S, Carneiro V, Greene E, Levy I, Nesterova M, Lyssikatos C, Horvath A, Carney JA, Stratakis CA.</w:t>
      </w:r>
      <w:r w:rsidRPr="0093075E">
        <w:rPr>
          <w:noProof/>
          <w:sz w:val="22"/>
          <w:szCs w:val="24"/>
        </w:rPr>
        <w:t xml:space="preserve"> A large family with Carney complex caused by the S147G PRKAR1A mutation shows a unique spectrum of disease including adrenocortical cancer. </w:t>
      </w:r>
      <w:r w:rsidRPr="0093075E">
        <w:rPr>
          <w:iCs/>
          <w:noProof/>
          <w:sz w:val="22"/>
          <w:szCs w:val="24"/>
        </w:rPr>
        <w:t>J Clin Endocrinol Metab</w:t>
      </w:r>
      <w:r w:rsidRPr="0093075E">
        <w:rPr>
          <w:noProof/>
          <w:sz w:val="22"/>
          <w:szCs w:val="24"/>
        </w:rPr>
        <w:t xml:space="preserve"> 2012;97(2):351–359.</w:t>
      </w:r>
    </w:p>
    <w:p w14:paraId="3F5A0980"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63. </w:t>
      </w:r>
      <w:r w:rsidRPr="0093075E">
        <w:rPr>
          <w:noProof/>
          <w:sz w:val="22"/>
          <w:szCs w:val="24"/>
        </w:rPr>
        <w:tab/>
      </w:r>
      <w:r w:rsidRPr="0093075E">
        <w:rPr>
          <w:bCs/>
          <w:noProof/>
          <w:sz w:val="22"/>
          <w:szCs w:val="24"/>
        </w:rPr>
        <w:t>Morin E, Mete O, Wasserman JD, Joshua AM, Asa SL, Ezzat S.</w:t>
      </w:r>
      <w:r w:rsidRPr="0093075E">
        <w:rPr>
          <w:noProof/>
          <w:sz w:val="22"/>
          <w:szCs w:val="24"/>
        </w:rPr>
        <w:t xml:space="preserve"> Carney complex with adrenal cortical carcinoma. </w:t>
      </w:r>
      <w:r w:rsidRPr="0093075E">
        <w:rPr>
          <w:iCs/>
          <w:noProof/>
          <w:sz w:val="22"/>
          <w:szCs w:val="24"/>
        </w:rPr>
        <w:t>J Clin Endocrinol Metab</w:t>
      </w:r>
      <w:r w:rsidRPr="0093075E">
        <w:rPr>
          <w:noProof/>
          <w:sz w:val="22"/>
          <w:szCs w:val="24"/>
        </w:rPr>
        <w:t xml:space="preserve"> 2011;97(2):E202-6.</w:t>
      </w:r>
    </w:p>
    <w:p w14:paraId="7C2B39B4"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64. </w:t>
      </w:r>
      <w:r w:rsidRPr="0093075E">
        <w:rPr>
          <w:noProof/>
          <w:sz w:val="22"/>
          <w:szCs w:val="24"/>
        </w:rPr>
        <w:tab/>
      </w:r>
      <w:r w:rsidRPr="0093075E">
        <w:rPr>
          <w:bCs/>
          <w:noProof/>
          <w:sz w:val="22"/>
          <w:szCs w:val="24"/>
        </w:rPr>
        <w:t>Bertherat J.</w:t>
      </w:r>
      <w:r w:rsidRPr="0093075E">
        <w:rPr>
          <w:noProof/>
          <w:sz w:val="22"/>
          <w:szCs w:val="24"/>
        </w:rPr>
        <w:t xml:space="preserve"> Adrenocortical cancer in Carney complex: a paradigm of endocrine tumor progression or an association of genetic predisposing factors? </w:t>
      </w:r>
      <w:r w:rsidRPr="0093075E">
        <w:rPr>
          <w:iCs/>
          <w:noProof/>
          <w:sz w:val="22"/>
          <w:szCs w:val="24"/>
        </w:rPr>
        <w:t>J Clin Endocrinol Metab</w:t>
      </w:r>
      <w:r w:rsidRPr="0093075E">
        <w:rPr>
          <w:noProof/>
          <w:sz w:val="22"/>
          <w:szCs w:val="24"/>
        </w:rPr>
        <w:t xml:space="preserve"> 2012;97(2):387–390.</w:t>
      </w:r>
    </w:p>
    <w:p w14:paraId="2151B62A"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65. </w:t>
      </w:r>
      <w:r w:rsidRPr="0093075E">
        <w:rPr>
          <w:noProof/>
          <w:sz w:val="22"/>
          <w:szCs w:val="24"/>
        </w:rPr>
        <w:tab/>
      </w:r>
      <w:r w:rsidRPr="0093075E">
        <w:rPr>
          <w:bCs/>
          <w:noProof/>
          <w:sz w:val="22"/>
          <w:szCs w:val="24"/>
        </w:rPr>
        <w:t>Lonser RR, Mehta GU, Kindzelski BA, Ray-Chaudhury A, Vortmeyer AO, Dickerman R, Oldfield EH.</w:t>
      </w:r>
      <w:r w:rsidRPr="0093075E">
        <w:rPr>
          <w:noProof/>
          <w:sz w:val="22"/>
          <w:szCs w:val="24"/>
        </w:rPr>
        <w:t xml:space="preserve"> Surgical Management of Carney Complex-Associated Pituitary Pathology. </w:t>
      </w:r>
      <w:r w:rsidRPr="0093075E">
        <w:rPr>
          <w:iCs/>
          <w:noProof/>
          <w:sz w:val="22"/>
          <w:szCs w:val="24"/>
        </w:rPr>
        <w:t>Neurosurgery</w:t>
      </w:r>
      <w:r w:rsidRPr="0093075E">
        <w:rPr>
          <w:noProof/>
          <w:sz w:val="22"/>
          <w:szCs w:val="24"/>
        </w:rPr>
        <w:t xml:space="preserve"> 2017;80(5):780–786.</w:t>
      </w:r>
    </w:p>
    <w:p w14:paraId="56C621D4"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66. </w:t>
      </w:r>
      <w:r w:rsidRPr="0093075E">
        <w:rPr>
          <w:noProof/>
          <w:sz w:val="22"/>
          <w:szCs w:val="24"/>
        </w:rPr>
        <w:tab/>
      </w:r>
      <w:r w:rsidRPr="0093075E">
        <w:rPr>
          <w:bCs/>
          <w:noProof/>
          <w:sz w:val="22"/>
          <w:szCs w:val="24"/>
        </w:rPr>
        <w:t>Yin Z, Williams-Simons L, Parlow AF, Asa S, Kirschner LS.</w:t>
      </w:r>
      <w:r w:rsidRPr="0093075E">
        <w:rPr>
          <w:noProof/>
          <w:sz w:val="22"/>
          <w:szCs w:val="24"/>
        </w:rPr>
        <w:t xml:space="preserve"> Pituitary-specific knockout of the Carney complex gene Prkar1a leads to pituitary tumorigenesis. </w:t>
      </w:r>
      <w:r w:rsidRPr="0093075E">
        <w:rPr>
          <w:iCs/>
          <w:noProof/>
          <w:sz w:val="22"/>
          <w:szCs w:val="24"/>
        </w:rPr>
        <w:t>Mol Endocrinol</w:t>
      </w:r>
      <w:r w:rsidRPr="0093075E">
        <w:rPr>
          <w:noProof/>
          <w:sz w:val="22"/>
          <w:szCs w:val="24"/>
        </w:rPr>
        <w:t xml:space="preserve"> 2008;22(2):380–387.</w:t>
      </w:r>
    </w:p>
    <w:p w14:paraId="0A0CA12E"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67. </w:t>
      </w:r>
      <w:r w:rsidRPr="0093075E">
        <w:rPr>
          <w:noProof/>
          <w:sz w:val="22"/>
          <w:szCs w:val="24"/>
        </w:rPr>
        <w:tab/>
      </w:r>
      <w:r w:rsidRPr="0093075E">
        <w:rPr>
          <w:bCs/>
          <w:noProof/>
          <w:sz w:val="22"/>
          <w:szCs w:val="24"/>
        </w:rPr>
        <w:t>Raff SB, Carney JA, Krugman D, Doppman JL, Stratakis CA.</w:t>
      </w:r>
      <w:r w:rsidRPr="0093075E">
        <w:rPr>
          <w:noProof/>
          <w:sz w:val="22"/>
          <w:szCs w:val="24"/>
        </w:rPr>
        <w:t xml:space="preserve"> Prolactin secretion abnormalities in patients with the “syndrome of spotty skin pigmentation, myxomas, endocrine overactivity and schwannomas” (Carney complex). </w:t>
      </w:r>
      <w:r w:rsidRPr="0093075E">
        <w:rPr>
          <w:iCs/>
          <w:noProof/>
          <w:sz w:val="22"/>
          <w:szCs w:val="24"/>
        </w:rPr>
        <w:t>J Pediatr Endocrinol Metab</w:t>
      </w:r>
      <w:r w:rsidRPr="0093075E">
        <w:rPr>
          <w:noProof/>
          <w:sz w:val="22"/>
          <w:szCs w:val="24"/>
        </w:rPr>
        <w:t xml:space="preserve"> 2000;13(4):373–379.</w:t>
      </w:r>
    </w:p>
    <w:p w14:paraId="2190090D"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68. </w:t>
      </w:r>
      <w:r w:rsidRPr="0093075E">
        <w:rPr>
          <w:noProof/>
          <w:sz w:val="22"/>
          <w:szCs w:val="24"/>
        </w:rPr>
        <w:tab/>
      </w:r>
      <w:r w:rsidRPr="0093075E">
        <w:rPr>
          <w:bCs/>
          <w:noProof/>
          <w:sz w:val="22"/>
          <w:szCs w:val="24"/>
        </w:rPr>
        <w:t>Stratakis CA, Courcoutsakis NA, Abati A, Filie A, Doppman JL, Carney JA, Shawker T.</w:t>
      </w:r>
      <w:r w:rsidRPr="0093075E">
        <w:rPr>
          <w:noProof/>
          <w:sz w:val="22"/>
          <w:szCs w:val="24"/>
        </w:rPr>
        <w:t xml:space="preserve"> Thyroid gland abnormalities in patients with the syndrome of spotty skin pigmentation, myxomas, endocrine overactivity, and schwannomas (Carney complex). </w:t>
      </w:r>
      <w:r w:rsidRPr="0093075E">
        <w:rPr>
          <w:iCs/>
          <w:noProof/>
          <w:sz w:val="22"/>
          <w:szCs w:val="24"/>
        </w:rPr>
        <w:t>J Clin Endocrinol Metab</w:t>
      </w:r>
      <w:r w:rsidRPr="0093075E">
        <w:rPr>
          <w:noProof/>
          <w:sz w:val="22"/>
          <w:szCs w:val="24"/>
        </w:rPr>
        <w:t xml:space="preserve"> 1997;82(7):2037–2043.</w:t>
      </w:r>
    </w:p>
    <w:p w14:paraId="2DB7F910"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69. </w:t>
      </w:r>
      <w:r w:rsidRPr="0093075E">
        <w:rPr>
          <w:noProof/>
          <w:sz w:val="22"/>
          <w:szCs w:val="24"/>
        </w:rPr>
        <w:tab/>
      </w:r>
      <w:r w:rsidRPr="0093075E">
        <w:rPr>
          <w:bCs/>
          <w:noProof/>
          <w:sz w:val="22"/>
          <w:szCs w:val="24"/>
        </w:rPr>
        <w:t>Nogales FF, Andujar M, Zuluaga A, Garcia-Puche JL.</w:t>
      </w:r>
      <w:r w:rsidRPr="0093075E">
        <w:rPr>
          <w:noProof/>
          <w:sz w:val="22"/>
          <w:szCs w:val="24"/>
        </w:rPr>
        <w:t xml:space="preserve"> Malignant Large Cell Calcifying Sertoli Cell Tumor of the Testis. </w:t>
      </w:r>
      <w:r w:rsidRPr="0093075E">
        <w:rPr>
          <w:iCs/>
          <w:noProof/>
          <w:sz w:val="22"/>
          <w:szCs w:val="24"/>
        </w:rPr>
        <w:t>J. Urol.</w:t>
      </w:r>
      <w:r w:rsidRPr="0093075E">
        <w:rPr>
          <w:noProof/>
          <w:sz w:val="22"/>
          <w:szCs w:val="24"/>
        </w:rPr>
        <w:t xml:space="preserve"> 1995;153(6):1935–1937.</w:t>
      </w:r>
    </w:p>
    <w:p w14:paraId="05DA9D47"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70. </w:t>
      </w:r>
      <w:r w:rsidRPr="0093075E">
        <w:rPr>
          <w:noProof/>
          <w:sz w:val="22"/>
          <w:szCs w:val="24"/>
        </w:rPr>
        <w:tab/>
      </w:r>
      <w:r w:rsidRPr="0093075E">
        <w:rPr>
          <w:bCs/>
          <w:noProof/>
          <w:sz w:val="22"/>
          <w:szCs w:val="24"/>
        </w:rPr>
        <w:t>Isidori AM, Lenzi A.</w:t>
      </w:r>
      <w:r w:rsidRPr="0093075E">
        <w:rPr>
          <w:noProof/>
          <w:sz w:val="22"/>
          <w:szCs w:val="24"/>
        </w:rPr>
        <w:t xml:space="preserve"> </w:t>
      </w:r>
      <w:r w:rsidRPr="0093075E">
        <w:rPr>
          <w:iCs/>
          <w:noProof/>
          <w:sz w:val="22"/>
          <w:szCs w:val="24"/>
        </w:rPr>
        <w:t>Scrotal Ultrasound: Morphological and Functional Atlas</w:t>
      </w:r>
      <w:r w:rsidRPr="0093075E">
        <w:rPr>
          <w:noProof/>
          <w:sz w:val="22"/>
          <w:szCs w:val="24"/>
        </w:rPr>
        <w:t>. Genova: Accademia Nazionale di Medicina; 2008.</w:t>
      </w:r>
    </w:p>
    <w:p w14:paraId="2ED064B1"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71. </w:t>
      </w:r>
      <w:r w:rsidRPr="0093075E">
        <w:rPr>
          <w:noProof/>
          <w:sz w:val="22"/>
          <w:szCs w:val="24"/>
        </w:rPr>
        <w:tab/>
      </w:r>
      <w:r w:rsidRPr="0093075E">
        <w:rPr>
          <w:bCs/>
          <w:noProof/>
          <w:sz w:val="22"/>
          <w:szCs w:val="24"/>
        </w:rPr>
        <w:t>Shawker TH, Doppman JL, Choyke PL, Feuerstein IM, Nieman LK.</w:t>
      </w:r>
      <w:r w:rsidRPr="0093075E">
        <w:rPr>
          <w:noProof/>
          <w:sz w:val="22"/>
          <w:szCs w:val="24"/>
        </w:rPr>
        <w:t xml:space="preserve"> Intratesticular masses associated with abnormally functioning adrenal glands. </w:t>
      </w:r>
      <w:r w:rsidRPr="0093075E">
        <w:rPr>
          <w:iCs/>
          <w:noProof/>
          <w:sz w:val="22"/>
          <w:szCs w:val="24"/>
        </w:rPr>
        <w:t>J Clin Ultrasound</w:t>
      </w:r>
      <w:r w:rsidRPr="0093075E">
        <w:rPr>
          <w:noProof/>
          <w:sz w:val="22"/>
          <w:szCs w:val="24"/>
        </w:rPr>
        <w:t xml:space="preserve"> 1992;20(1):51–58.</w:t>
      </w:r>
    </w:p>
    <w:p w14:paraId="0BB3A11D"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72. </w:t>
      </w:r>
      <w:r w:rsidRPr="0093075E">
        <w:rPr>
          <w:noProof/>
          <w:sz w:val="22"/>
          <w:szCs w:val="24"/>
        </w:rPr>
        <w:tab/>
      </w:r>
      <w:r w:rsidRPr="0093075E">
        <w:rPr>
          <w:bCs/>
          <w:noProof/>
          <w:sz w:val="22"/>
          <w:szCs w:val="24"/>
        </w:rPr>
        <w:t>Stratakis CA, Papageorgiou T, Premkumar A, Pack S, Kirschner LS, Taymans SE, Zhuang Z, Oelkers WH, Carney JA.</w:t>
      </w:r>
      <w:r w:rsidRPr="0093075E">
        <w:rPr>
          <w:noProof/>
          <w:sz w:val="22"/>
          <w:szCs w:val="24"/>
        </w:rPr>
        <w:t xml:space="preserve"> Ovarian lesions in Carney complex: clinical genetics and possible predisposition to malignancy. </w:t>
      </w:r>
      <w:r w:rsidRPr="0093075E">
        <w:rPr>
          <w:iCs/>
          <w:noProof/>
          <w:sz w:val="22"/>
          <w:szCs w:val="24"/>
        </w:rPr>
        <w:t>J. Clin. Endocrinol. Metab.</w:t>
      </w:r>
      <w:r w:rsidRPr="0093075E">
        <w:rPr>
          <w:noProof/>
          <w:sz w:val="22"/>
          <w:szCs w:val="24"/>
        </w:rPr>
        <w:t xml:space="preserve"> 2000;85(11):4359–66.</w:t>
      </w:r>
    </w:p>
    <w:p w14:paraId="05387B9A"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73. </w:t>
      </w:r>
      <w:r w:rsidRPr="0093075E">
        <w:rPr>
          <w:noProof/>
          <w:sz w:val="22"/>
          <w:szCs w:val="24"/>
        </w:rPr>
        <w:tab/>
      </w:r>
      <w:r w:rsidRPr="0093075E">
        <w:rPr>
          <w:bCs/>
          <w:noProof/>
          <w:sz w:val="22"/>
          <w:szCs w:val="24"/>
        </w:rPr>
        <w:t>Carney JA.</w:t>
      </w:r>
      <w:r w:rsidRPr="0093075E">
        <w:rPr>
          <w:noProof/>
          <w:sz w:val="22"/>
          <w:szCs w:val="24"/>
        </w:rPr>
        <w:t xml:space="preserve"> Psammomatous melanotic schwannoma. A distinctive, heritable tumor with </w:t>
      </w:r>
      <w:r w:rsidRPr="0093075E">
        <w:rPr>
          <w:noProof/>
          <w:sz w:val="22"/>
          <w:szCs w:val="24"/>
        </w:rPr>
        <w:lastRenderedPageBreak/>
        <w:t xml:space="preserve">special associations, including cardiac myxoma and the Cushing syndrome. </w:t>
      </w:r>
      <w:r w:rsidRPr="0093075E">
        <w:rPr>
          <w:iCs/>
          <w:noProof/>
          <w:sz w:val="22"/>
          <w:szCs w:val="24"/>
        </w:rPr>
        <w:t>Am J Surg Pathol</w:t>
      </w:r>
      <w:r w:rsidRPr="0093075E">
        <w:rPr>
          <w:noProof/>
          <w:sz w:val="22"/>
          <w:szCs w:val="24"/>
        </w:rPr>
        <w:t xml:space="preserve"> 1990;14(3):206–222.</w:t>
      </w:r>
    </w:p>
    <w:p w14:paraId="62EA80E9"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74. </w:t>
      </w:r>
      <w:r w:rsidRPr="0093075E">
        <w:rPr>
          <w:noProof/>
          <w:sz w:val="22"/>
          <w:szCs w:val="24"/>
        </w:rPr>
        <w:tab/>
      </w:r>
      <w:r w:rsidRPr="0093075E">
        <w:rPr>
          <w:bCs/>
          <w:noProof/>
          <w:sz w:val="22"/>
          <w:szCs w:val="24"/>
        </w:rPr>
        <w:t>Shields LBE, Glassman SD, Raque GH, Shields CB.</w:t>
      </w:r>
      <w:r w:rsidRPr="0093075E">
        <w:rPr>
          <w:noProof/>
          <w:sz w:val="22"/>
          <w:szCs w:val="24"/>
        </w:rPr>
        <w:t xml:space="preserve"> Malignant psammomatous melanotic schwannoma of the spine: A component of Carney complex. </w:t>
      </w:r>
      <w:r w:rsidRPr="0093075E">
        <w:rPr>
          <w:iCs/>
          <w:noProof/>
          <w:sz w:val="22"/>
          <w:szCs w:val="24"/>
        </w:rPr>
        <w:t>Surg. Neurol. Int.</w:t>
      </w:r>
      <w:r w:rsidRPr="0093075E">
        <w:rPr>
          <w:noProof/>
          <w:sz w:val="22"/>
          <w:szCs w:val="24"/>
        </w:rPr>
        <w:t xml:space="preserve"> 2011;2(1):136.</w:t>
      </w:r>
    </w:p>
    <w:p w14:paraId="59604CCD"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75. </w:t>
      </w:r>
      <w:r w:rsidRPr="0093075E">
        <w:rPr>
          <w:noProof/>
          <w:sz w:val="22"/>
          <w:szCs w:val="24"/>
        </w:rPr>
        <w:tab/>
      </w:r>
      <w:r w:rsidRPr="0093075E">
        <w:rPr>
          <w:bCs/>
          <w:noProof/>
          <w:sz w:val="22"/>
          <w:szCs w:val="24"/>
        </w:rPr>
        <w:t>Bajpai J, Kapoor A, Jalali R, Gounder MM.</w:t>
      </w:r>
      <w:r w:rsidRPr="0093075E">
        <w:rPr>
          <w:noProof/>
          <w:sz w:val="22"/>
          <w:szCs w:val="24"/>
        </w:rPr>
        <w:t xml:space="preserve"> Checkpoint inhibitors and radiotherapy in refractory malignant melanocytic schwannoma with Carney complex: first evidence of efficacy. </w:t>
      </w:r>
      <w:r w:rsidRPr="0093075E">
        <w:rPr>
          <w:iCs/>
          <w:noProof/>
          <w:sz w:val="22"/>
          <w:szCs w:val="24"/>
        </w:rPr>
        <w:t>BMJ Case Rep.</w:t>
      </w:r>
      <w:r w:rsidRPr="0093075E">
        <w:rPr>
          <w:noProof/>
          <w:sz w:val="22"/>
          <w:szCs w:val="24"/>
        </w:rPr>
        <w:t xml:space="preserve"> 2021;14(5):e240-296.</w:t>
      </w:r>
    </w:p>
    <w:p w14:paraId="5E6F2C5D"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76. </w:t>
      </w:r>
      <w:r w:rsidRPr="0093075E">
        <w:rPr>
          <w:noProof/>
          <w:sz w:val="22"/>
          <w:szCs w:val="24"/>
        </w:rPr>
        <w:tab/>
      </w:r>
      <w:r w:rsidRPr="0093075E">
        <w:rPr>
          <w:bCs/>
          <w:noProof/>
          <w:sz w:val="22"/>
          <w:szCs w:val="24"/>
        </w:rPr>
        <w:t>Gaujoux S, Tissier F, Ragazzon B, Rebours V, Saloustros E, Perlemoine K, Vincent-Dejean C, Meurette G, Cassagnau E, Dousset B, Bertagna X, Horvath A, Terris B, Carney JA, Stratakis CA, Bertherat J.</w:t>
      </w:r>
      <w:r w:rsidRPr="0093075E">
        <w:rPr>
          <w:noProof/>
          <w:sz w:val="22"/>
          <w:szCs w:val="24"/>
        </w:rPr>
        <w:t xml:space="preserve"> Pancreatic ductal and acinar cell neoplasms in Carney complex: a possible new association. </w:t>
      </w:r>
      <w:r w:rsidRPr="0093075E">
        <w:rPr>
          <w:iCs/>
          <w:noProof/>
          <w:sz w:val="22"/>
          <w:szCs w:val="24"/>
        </w:rPr>
        <w:t>J. Clin. Endocrinol. Metab.</w:t>
      </w:r>
      <w:r w:rsidRPr="0093075E">
        <w:rPr>
          <w:noProof/>
          <w:sz w:val="22"/>
          <w:szCs w:val="24"/>
        </w:rPr>
        <w:t xml:space="preserve"> 2011;96(11):E1888-95.</w:t>
      </w:r>
    </w:p>
    <w:p w14:paraId="6A05C818"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77. </w:t>
      </w:r>
      <w:r w:rsidRPr="0093075E">
        <w:rPr>
          <w:noProof/>
          <w:sz w:val="22"/>
          <w:szCs w:val="24"/>
        </w:rPr>
        <w:tab/>
      </w:r>
      <w:r w:rsidRPr="0093075E">
        <w:rPr>
          <w:bCs/>
          <w:noProof/>
          <w:sz w:val="22"/>
          <w:szCs w:val="24"/>
        </w:rPr>
        <w:t>Tirosh A, Hamimi A, Faucz F, Aharon-Hananel G, Zavras PD, Bonella B, Auerbach A, Gillis D, Lyssikatos C, Belyavskaya E, Stratakis CA, Gharib AM.</w:t>
      </w:r>
      <w:r w:rsidRPr="0093075E">
        <w:rPr>
          <w:noProof/>
          <w:sz w:val="22"/>
          <w:szCs w:val="24"/>
        </w:rPr>
        <w:t xml:space="preserve"> Liver findings in patients with Carney complex, germline PRKAR1A pathogenic variants, and link to cardiac myxomas. </w:t>
      </w:r>
      <w:r w:rsidRPr="0093075E">
        <w:rPr>
          <w:iCs/>
          <w:noProof/>
          <w:sz w:val="22"/>
          <w:szCs w:val="24"/>
        </w:rPr>
        <w:t>Endocr. Relat. Cancer</w:t>
      </w:r>
      <w:r w:rsidRPr="0093075E">
        <w:rPr>
          <w:noProof/>
          <w:sz w:val="22"/>
          <w:szCs w:val="24"/>
        </w:rPr>
        <w:t xml:space="preserve"> 2020;27(6):355–360.</w:t>
      </w:r>
    </w:p>
    <w:p w14:paraId="7ADA3887"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78. </w:t>
      </w:r>
      <w:r w:rsidRPr="0093075E">
        <w:rPr>
          <w:noProof/>
          <w:sz w:val="22"/>
          <w:szCs w:val="24"/>
        </w:rPr>
        <w:tab/>
      </w:r>
      <w:r w:rsidRPr="0093075E">
        <w:rPr>
          <w:bCs/>
          <w:noProof/>
          <w:sz w:val="22"/>
          <w:szCs w:val="24"/>
        </w:rPr>
        <w:t>Graham RP, Lackner C, Terracciano L, González-Cantú Y, Maleszewski JJ, Greipp PT, Simon SM, Torbenson MS.</w:t>
      </w:r>
      <w:r w:rsidRPr="0093075E">
        <w:rPr>
          <w:noProof/>
          <w:sz w:val="22"/>
          <w:szCs w:val="24"/>
        </w:rPr>
        <w:t xml:space="preserve"> Fibrolamellar carcinoma in the Carney complex: PRKAR1A loss instead of the classic DNAJB1-PRKACA fusion. </w:t>
      </w:r>
      <w:r w:rsidRPr="0093075E">
        <w:rPr>
          <w:iCs/>
          <w:noProof/>
          <w:sz w:val="22"/>
          <w:szCs w:val="24"/>
        </w:rPr>
        <w:t>Hepatology</w:t>
      </w:r>
      <w:r w:rsidRPr="0093075E">
        <w:rPr>
          <w:noProof/>
          <w:sz w:val="22"/>
          <w:szCs w:val="24"/>
        </w:rPr>
        <w:t xml:space="preserve"> 2018;68(4):1441–1447.</w:t>
      </w:r>
    </w:p>
    <w:p w14:paraId="20B77DE5"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79. </w:t>
      </w:r>
      <w:r w:rsidRPr="0093075E">
        <w:rPr>
          <w:noProof/>
          <w:sz w:val="22"/>
          <w:szCs w:val="24"/>
        </w:rPr>
        <w:tab/>
      </w:r>
      <w:r w:rsidRPr="0093075E">
        <w:rPr>
          <w:bCs/>
          <w:noProof/>
          <w:sz w:val="22"/>
          <w:szCs w:val="24"/>
        </w:rPr>
        <w:t>Tirosh A, Auerbach A, Bonella B, Zavras PD, Belyavskaya E, Lyssikatos C, Meir K, Weiss R, Daum H, Lodish MB, Gillis D, Stratakis CA.</w:t>
      </w:r>
      <w:r w:rsidRPr="0093075E">
        <w:rPr>
          <w:noProof/>
          <w:sz w:val="22"/>
          <w:szCs w:val="24"/>
        </w:rPr>
        <w:t xml:space="preserve"> Failure to Thrive in the Context of Carney Complex. </w:t>
      </w:r>
      <w:r w:rsidRPr="0093075E">
        <w:rPr>
          <w:iCs/>
          <w:noProof/>
          <w:sz w:val="22"/>
          <w:szCs w:val="24"/>
        </w:rPr>
        <w:t>Horm. Res. Paediatr.</w:t>
      </w:r>
      <w:r w:rsidRPr="0093075E">
        <w:rPr>
          <w:noProof/>
          <w:sz w:val="22"/>
          <w:szCs w:val="24"/>
        </w:rPr>
        <w:t xml:space="preserve"> 2018;89(1):38–46.</w:t>
      </w:r>
    </w:p>
    <w:p w14:paraId="3A656E91"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80. </w:t>
      </w:r>
      <w:r w:rsidRPr="0093075E">
        <w:rPr>
          <w:noProof/>
          <w:sz w:val="22"/>
          <w:szCs w:val="24"/>
        </w:rPr>
        <w:tab/>
      </w:r>
      <w:r w:rsidRPr="0093075E">
        <w:rPr>
          <w:bCs/>
          <w:noProof/>
          <w:sz w:val="22"/>
          <w:szCs w:val="24"/>
        </w:rPr>
        <w:t>Campo MR, Lamacchia O, Farese A, Conserva A, Picca G, Grilli G, Cignarelli M.</w:t>
      </w:r>
      <w:r w:rsidRPr="0093075E">
        <w:rPr>
          <w:noProof/>
          <w:sz w:val="22"/>
          <w:szCs w:val="24"/>
        </w:rPr>
        <w:t xml:space="preserve"> Mitotane and Carney Complex: ten years follow-up of a low-dose mitotane regimen inducing a sustained correction of hypercortisolism. </w:t>
      </w:r>
      <w:r w:rsidRPr="0093075E">
        <w:rPr>
          <w:iCs/>
          <w:noProof/>
          <w:sz w:val="22"/>
          <w:szCs w:val="24"/>
        </w:rPr>
        <w:t>Hormones (Athens).</w:t>
      </w:r>
      <w:r w:rsidRPr="0093075E">
        <w:rPr>
          <w:noProof/>
          <w:sz w:val="22"/>
          <w:szCs w:val="24"/>
        </w:rPr>
        <w:t xml:space="preserve"> 2015;14(2):300–4.</w:t>
      </w:r>
    </w:p>
    <w:p w14:paraId="604F893D"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81. </w:t>
      </w:r>
      <w:r w:rsidRPr="0093075E">
        <w:rPr>
          <w:noProof/>
          <w:sz w:val="22"/>
          <w:szCs w:val="24"/>
        </w:rPr>
        <w:tab/>
      </w:r>
      <w:r w:rsidRPr="0093075E">
        <w:rPr>
          <w:bCs/>
          <w:noProof/>
          <w:sz w:val="22"/>
          <w:szCs w:val="24"/>
        </w:rPr>
        <w:t>Cignarelli M, Picca G, Campo M, Margaglione M, Marino A, Logoluso F, Giorgino F.</w:t>
      </w:r>
      <w:r w:rsidRPr="0093075E">
        <w:rPr>
          <w:noProof/>
          <w:sz w:val="22"/>
          <w:szCs w:val="24"/>
        </w:rPr>
        <w:t xml:space="preserve"> A six month mitotane course induced sustained correction of hypercortisolism in a young woman with PPNAD and Carney complex. </w:t>
      </w:r>
      <w:r w:rsidRPr="0093075E">
        <w:rPr>
          <w:iCs/>
          <w:noProof/>
          <w:sz w:val="22"/>
          <w:szCs w:val="24"/>
        </w:rPr>
        <w:t>J Endocrinol Invest</w:t>
      </w:r>
      <w:r w:rsidRPr="0093075E">
        <w:rPr>
          <w:noProof/>
          <w:sz w:val="22"/>
          <w:szCs w:val="24"/>
        </w:rPr>
        <w:t xml:space="preserve"> 2005;28(1):54–60.</w:t>
      </w:r>
    </w:p>
    <w:p w14:paraId="6650DDD2"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82. </w:t>
      </w:r>
      <w:r w:rsidRPr="0093075E">
        <w:rPr>
          <w:noProof/>
          <w:sz w:val="22"/>
          <w:szCs w:val="24"/>
        </w:rPr>
        <w:tab/>
      </w:r>
      <w:r w:rsidRPr="0093075E">
        <w:rPr>
          <w:bCs/>
          <w:noProof/>
          <w:sz w:val="22"/>
          <w:szCs w:val="24"/>
        </w:rPr>
        <w:t>Brown B, Ram A, Clayton P, Humphrey G.</w:t>
      </w:r>
      <w:r w:rsidRPr="0093075E">
        <w:rPr>
          <w:noProof/>
          <w:sz w:val="22"/>
          <w:szCs w:val="24"/>
        </w:rPr>
        <w:t xml:space="preserve"> Conservative management of bilateral Sertoli cell tumors of the testicle in association with the Carney complex: a case report. </w:t>
      </w:r>
      <w:r w:rsidRPr="0093075E">
        <w:rPr>
          <w:iCs/>
          <w:noProof/>
          <w:sz w:val="22"/>
          <w:szCs w:val="24"/>
        </w:rPr>
        <w:t>J Pediatr Surg</w:t>
      </w:r>
      <w:r w:rsidRPr="0093075E">
        <w:rPr>
          <w:noProof/>
          <w:sz w:val="22"/>
          <w:szCs w:val="24"/>
        </w:rPr>
        <w:t xml:space="preserve"> 2007;42(9):E13-5.</w:t>
      </w:r>
    </w:p>
    <w:p w14:paraId="475ABA60"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83. </w:t>
      </w:r>
      <w:r w:rsidRPr="0093075E">
        <w:rPr>
          <w:noProof/>
          <w:sz w:val="22"/>
          <w:szCs w:val="24"/>
        </w:rPr>
        <w:tab/>
      </w:r>
      <w:r w:rsidRPr="0093075E">
        <w:rPr>
          <w:bCs/>
          <w:noProof/>
          <w:sz w:val="22"/>
          <w:szCs w:val="24"/>
        </w:rPr>
        <w:t>Crocker MK, Gourgari E, Lodish M, Stratakis CA.</w:t>
      </w:r>
      <w:r w:rsidRPr="0093075E">
        <w:rPr>
          <w:noProof/>
          <w:sz w:val="22"/>
          <w:szCs w:val="24"/>
        </w:rPr>
        <w:t xml:space="preserve"> Use of aromatase inhibitors in large cell calcifying sertoli cell tumors: effects on gynecomastia, growth velocity, and bone age. </w:t>
      </w:r>
      <w:r w:rsidRPr="0093075E">
        <w:rPr>
          <w:iCs/>
          <w:noProof/>
          <w:sz w:val="22"/>
          <w:szCs w:val="24"/>
        </w:rPr>
        <w:t>J. Clin. Endocrinol. Metab.</w:t>
      </w:r>
      <w:r w:rsidRPr="0093075E">
        <w:rPr>
          <w:noProof/>
          <w:sz w:val="22"/>
          <w:szCs w:val="24"/>
        </w:rPr>
        <w:t xml:space="preserve"> 2014;99(12):E2673-80.</w:t>
      </w:r>
    </w:p>
    <w:p w14:paraId="7EACBCBA"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84. </w:t>
      </w:r>
      <w:r w:rsidRPr="0093075E">
        <w:rPr>
          <w:noProof/>
          <w:sz w:val="22"/>
          <w:szCs w:val="24"/>
        </w:rPr>
        <w:tab/>
      </w:r>
      <w:r w:rsidRPr="0093075E">
        <w:rPr>
          <w:bCs/>
          <w:noProof/>
          <w:sz w:val="22"/>
          <w:szCs w:val="24"/>
        </w:rPr>
        <w:t>Isidori AM, Pozza C, Gianfrilli D, Giannetta E, Lemma A, Pofi R, Barbagallo F, Manganaro L, Martino G, Lombardo F, Cantisani V, Franco G, Lenzi A.</w:t>
      </w:r>
      <w:r w:rsidRPr="0093075E">
        <w:rPr>
          <w:noProof/>
          <w:sz w:val="22"/>
          <w:szCs w:val="24"/>
        </w:rPr>
        <w:t xml:space="preserve"> Differential diagnosis of nonpalpable testicular lesions: qualitative and quantitative contrast-enhanced US of benign and malignant testicular tumors. </w:t>
      </w:r>
      <w:r w:rsidRPr="0093075E">
        <w:rPr>
          <w:iCs/>
          <w:noProof/>
          <w:sz w:val="22"/>
          <w:szCs w:val="24"/>
        </w:rPr>
        <w:t>Radiology</w:t>
      </w:r>
      <w:r w:rsidRPr="0093075E">
        <w:rPr>
          <w:noProof/>
          <w:sz w:val="22"/>
          <w:szCs w:val="24"/>
        </w:rPr>
        <w:t xml:space="preserve"> 2014;273(2):606–18.</w:t>
      </w:r>
    </w:p>
    <w:p w14:paraId="43D13331"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85. </w:t>
      </w:r>
      <w:r w:rsidRPr="0093075E">
        <w:rPr>
          <w:noProof/>
          <w:sz w:val="22"/>
          <w:szCs w:val="24"/>
        </w:rPr>
        <w:tab/>
      </w:r>
      <w:r w:rsidRPr="0093075E">
        <w:rPr>
          <w:bCs/>
          <w:noProof/>
          <w:sz w:val="22"/>
          <w:szCs w:val="24"/>
        </w:rPr>
        <w:t>Ralser DJ, Strizek B, Kupczyk P, Stoffel-Wagner B, Altengarten J, Müller A, Woelfle J, Gembruch U, Klingmueller D, Merz WM, Paschkowiak-Christes A.</w:t>
      </w:r>
      <w:r w:rsidRPr="0093075E">
        <w:rPr>
          <w:noProof/>
          <w:sz w:val="22"/>
          <w:szCs w:val="24"/>
        </w:rPr>
        <w:t xml:space="preserve"> Obstetric and Neonatal Outcome of Pregnancy in Carney Complex: A Case Report. </w:t>
      </w:r>
      <w:r w:rsidRPr="0093075E">
        <w:rPr>
          <w:iCs/>
          <w:noProof/>
          <w:sz w:val="22"/>
          <w:szCs w:val="24"/>
        </w:rPr>
        <w:t>Front. Endocrinol. (Lausanne).</w:t>
      </w:r>
      <w:r w:rsidRPr="0093075E">
        <w:rPr>
          <w:noProof/>
          <w:sz w:val="22"/>
          <w:szCs w:val="24"/>
        </w:rPr>
        <w:t xml:space="preserve"> 2020;11:296.</w:t>
      </w:r>
    </w:p>
    <w:p w14:paraId="4BA5AFF3"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86. </w:t>
      </w:r>
      <w:r w:rsidRPr="0093075E">
        <w:rPr>
          <w:noProof/>
          <w:sz w:val="22"/>
          <w:szCs w:val="24"/>
        </w:rPr>
        <w:tab/>
      </w:r>
      <w:r w:rsidRPr="0093075E">
        <w:rPr>
          <w:bCs/>
          <w:noProof/>
          <w:sz w:val="22"/>
          <w:szCs w:val="24"/>
        </w:rPr>
        <w:t>Robinson-White AJ, Bossis I, Hsiao HP, Nesterova M, Leitner WW, Stratakis CA.</w:t>
      </w:r>
      <w:r w:rsidRPr="0093075E">
        <w:rPr>
          <w:noProof/>
          <w:sz w:val="22"/>
          <w:szCs w:val="24"/>
        </w:rPr>
        <w:t xml:space="preserve"> 8-Cl-adenosine inhibits proliferation and causes apoptosis in B-lymphocytes via protein kinase </w:t>
      </w:r>
      <w:r w:rsidRPr="0093075E">
        <w:rPr>
          <w:noProof/>
          <w:sz w:val="22"/>
          <w:szCs w:val="24"/>
        </w:rPr>
        <w:lastRenderedPageBreak/>
        <w:t xml:space="preserve">A-dependent and independent effects: implications for treatment of Carney complex-associated tumors. </w:t>
      </w:r>
      <w:r w:rsidRPr="0093075E">
        <w:rPr>
          <w:iCs/>
          <w:noProof/>
          <w:sz w:val="22"/>
          <w:szCs w:val="24"/>
        </w:rPr>
        <w:t>J Clin Endocrinol Metab</w:t>
      </w:r>
      <w:r w:rsidRPr="0093075E">
        <w:rPr>
          <w:noProof/>
          <w:sz w:val="22"/>
          <w:szCs w:val="24"/>
        </w:rPr>
        <w:t xml:space="preserve"> 2009;94(10):4061–4069.</w:t>
      </w:r>
    </w:p>
    <w:p w14:paraId="2E5BCC41" w14:textId="77777777" w:rsidR="006644FA" w:rsidRPr="0093075E" w:rsidRDefault="006644FA" w:rsidP="0093075E">
      <w:pPr>
        <w:widowControl w:val="0"/>
        <w:autoSpaceDE w:val="0"/>
        <w:autoSpaceDN w:val="0"/>
        <w:adjustRightInd w:val="0"/>
        <w:spacing w:before="0" w:line="276" w:lineRule="auto"/>
        <w:ind w:left="576" w:hanging="576"/>
        <w:jc w:val="left"/>
        <w:rPr>
          <w:noProof/>
          <w:sz w:val="22"/>
          <w:szCs w:val="24"/>
        </w:rPr>
      </w:pPr>
      <w:r w:rsidRPr="0093075E">
        <w:rPr>
          <w:noProof/>
          <w:sz w:val="22"/>
          <w:szCs w:val="24"/>
        </w:rPr>
        <w:t xml:space="preserve">87. </w:t>
      </w:r>
      <w:r w:rsidRPr="0093075E">
        <w:rPr>
          <w:noProof/>
          <w:sz w:val="22"/>
          <w:szCs w:val="24"/>
        </w:rPr>
        <w:tab/>
      </w:r>
      <w:r w:rsidRPr="0093075E">
        <w:rPr>
          <w:bCs/>
          <w:noProof/>
          <w:sz w:val="22"/>
          <w:szCs w:val="24"/>
        </w:rPr>
        <w:t>Saloustros E, Liu S, Mertz EL, Bhattacharyya N, Starost MF, Salpea P, Nesterova M, Collins M, Leikin S, Stratakis CA.</w:t>
      </w:r>
      <w:r w:rsidRPr="0093075E">
        <w:rPr>
          <w:noProof/>
          <w:sz w:val="22"/>
          <w:szCs w:val="24"/>
        </w:rPr>
        <w:t xml:space="preserve"> Celecoxib treatment of fibrous dysplasia (FD) in a human FD cell line and FD-like lesions in mice with protein kinase A (PKA) defects. </w:t>
      </w:r>
      <w:r w:rsidRPr="0093075E">
        <w:rPr>
          <w:iCs/>
          <w:noProof/>
          <w:sz w:val="22"/>
          <w:szCs w:val="24"/>
        </w:rPr>
        <w:t>Mol. Cell. Endocrinol.</w:t>
      </w:r>
      <w:r w:rsidRPr="0093075E">
        <w:rPr>
          <w:noProof/>
          <w:sz w:val="22"/>
          <w:szCs w:val="24"/>
        </w:rPr>
        <w:t xml:space="preserve"> 2017;439:165–174.</w:t>
      </w:r>
    </w:p>
    <w:p w14:paraId="12B79E53" w14:textId="77777777" w:rsidR="006644FA" w:rsidRPr="0093075E" w:rsidRDefault="006644FA" w:rsidP="0093075E">
      <w:pPr>
        <w:widowControl w:val="0"/>
        <w:autoSpaceDE w:val="0"/>
        <w:autoSpaceDN w:val="0"/>
        <w:adjustRightInd w:val="0"/>
        <w:spacing w:before="0" w:line="276" w:lineRule="auto"/>
        <w:ind w:left="576" w:hanging="576"/>
        <w:jc w:val="left"/>
        <w:rPr>
          <w:noProof/>
          <w:sz w:val="22"/>
        </w:rPr>
      </w:pPr>
      <w:r w:rsidRPr="0093075E">
        <w:rPr>
          <w:noProof/>
          <w:sz w:val="22"/>
          <w:szCs w:val="24"/>
        </w:rPr>
        <w:t xml:space="preserve">88. </w:t>
      </w:r>
      <w:r w:rsidRPr="0093075E">
        <w:rPr>
          <w:noProof/>
          <w:sz w:val="22"/>
          <w:szCs w:val="24"/>
        </w:rPr>
        <w:tab/>
      </w:r>
      <w:r w:rsidRPr="0093075E">
        <w:rPr>
          <w:bCs/>
          <w:noProof/>
          <w:sz w:val="22"/>
          <w:szCs w:val="24"/>
        </w:rPr>
        <w:t>Liu S, Saloustros E, Berthon A, Starost MF, Sahut-Barnola I, Salpea P, Szarek E, Faucz FR, Martinez A, Stratakis CA.</w:t>
      </w:r>
      <w:r w:rsidRPr="0093075E">
        <w:rPr>
          <w:noProof/>
          <w:sz w:val="22"/>
          <w:szCs w:val="24"/>
        </w:rPr>
        <w:t xml:space="preserve"> Celecoxib reduces glucocorticoids in vitro and in a mouse model with adrenocortical hyperplasia. </w:t>
      </w:r>
      <w:r w:rsidRPr="0093075E">
        <w:rPr>
          <w:iCs/>
          <w:noProof/>
          <w:sz w:val="22"/>
          <w:szCs w:val="24"/>
        </w:rPr>
        <w:t>Endocr. Relat. Cancer</w:t>
      </w:r>
      <w:r w:rsidRPr="0093075E">
        <w:rPr>
          <w:noProof/>
          <w:sz w:val="22"/>
          <w:szCs w:val="24"/>
        </w:rPr>
        <w:t xml:space="preserve"> 2016;23(1):15–25.</w:t>
      </w:r>
    </w:p>
    <w:p w14:paraId="24803841" w14:textId="71CBEDBE" w:rsidR="00131BE6" w:rsidRPr="0093075E" w:rsidRDefault="00131BE6" w:rsidP="0093075E">
      <w:pPr>
        <w:spacing w:before="0" w:line="276" w:lineRule="auto"/>
        <w:ind w:left="576" w:hanging="576"/>
        <w:jc w:val="left"/>
        <w:rPr>
          <w:sz w:val="22"/>
        </w:rPr>
      </w:pPr>
      <w:r w:rsidRPr="0093075E">
        <w:rPr>
          <w:sz w:val="22"/>
          <w:szCs w:val="20"/>
        </w:rPr>
        <w:fldChar w:fldCharType="end"/>
      </w:r>
    </w:p>
    <w:bookmarkEnd w:id="5"/>
    <w:p w14:paraId="5BE6BBF5" w14:textId="77777777" w:rsidR="00895121" w:rsidRDefault="00895121" w:rsidP="00BE1434"/>
    <w:p w14:paraId="6A03093F" w14:textId="38ABE770" w:rsidR="00D03D68" w:rsidRPr="00EB011F" w:rsidRDefault="00D03D68" w:rsidP="00D03D68">
      <w:pPr>
        <w:rPr>
          <w:highlight w:val="yellow"/>
        </w:rPr>
      </w:pPr>
      <w:bookmarkStart w:id="6" w:name="_Hlk138792033"/>
    </w:p>
    <w:bookmarkEnd w:id="6"/>
    <w:p w14:paraId="7FCB6894" w14:textId="77777777" w:rsidR="00D87D85" w:rsidRDefault="00D87D85" w:rsidP="00895121"/>
    <w:p w14:paraId="494C6677" w14:textId="77777777" w:rsidR="00D87D85" w:rsidRDefault="00D87D85" w:rsidP="00895121"/>
    <w:p w14:paraId="11BB4A3D" w14:textId="77777777" w:rsidR="00D87D85" w:rsidRDefault="00D87D85" w:rsidP="00895121"/>
    <w:p w14:paraId="03EA60A8" w14:textId="0EAB31DC" w:rsidR="00FE6B13" w:rsidRPr="00895121" w:rsidRDefault="00FE6B13" w:rsidP="00895121"/>
    <w:sectPr w:rsidR="00FE6B13" w:rsidRPr="0089512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Arial-Bold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016D1"/>
    <w:multiLevelType w:val="hybridMultilevel"/>
    <w:tmpl w:val="0FD4AFC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33127D74"/>
    <w:multiLevelType w:val="hybridMultilevel"/>
    <w:tmpl w:val="6AD49EC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46A8696E"/>
    <w:multiLevelType w:val="hybridMultilevel"/>
    <w:tmpl w:val="FD74F67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5EB62F5C"/>
    <w:multiLevelType w:val="hybridMultilevel"/>
    <w:tmpl w:val="2E722C02"/>
    <w:lvl w:ilvl="0" w:tplc="04080001">
      <w:start w:val="1"/>
      <w:numFmt w:val="bullet"/>
      <w:lvlText w:val=""/>
      <w:lvlJc w:val="left"/>
      <w:pPr>
        <w:ind w:left="360" w:hanging="360"/>
      </w:pPr>
      <w:rPr>
        <w:rFonts w:ascii="Symbol" w:hAnsi="Symbol" w:hint="default"/>
      </w:rPr>
    </w:lvl>
    <w:lvl w:ilvl="1" w:tplc="B7E4336E">
      <w:numFmt w:val="bullet"/>
      <w:lvlText w:val="•"/>
      <w:lvlJc w:val="left"/>
      <w:pPr>
        <w:ind w:left="1080" w:hanging="360"/>
      </w:pPr>
      <w:rPr>
        <w:rFonts w:ascii="Arial" w:eastAsia="Times New Roman" w:hAnsi="Arial" w:cs="Arial"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208151925">
    <w:abstractNumId w:val="1"/>
  </w:num>
  <w:num w:numId="2" w16cid:durableId="416638706">
    <w:abstractNumId w:val="0"/>
  </w:num>
  <w:num w:numId="3" w16cid:durableId="1115830270">
    <w:abstractNumId w:val="2"/>
  </w:num>
  <w:num w:numId="4" w16cid:durableId="723189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xN7Y0NjQ1NTY1NzRR0lEKTi0uzszPAykwNKwFALUsnoctAAAA"/>
  </w:docVars>
  <w:rsids>
    <w:rsidRoot w:val="005049B5"/>
    <w:rsid w:val="000128BD"/>
    <w:rsid w:val="00015469"/>
    <w:rsid w:val="0001613A"/>
    <w:rsid w:val="00020D97"/>
    <w:rsid w:val="00031159"/>
    <w:rsid w:val="000350DA"/>
    <w:rsid w:val="00092D1B"/>
    <w:rsid w:val="000A38D5"/>
    <w:rsid w:val="000A68CB"/>
    <w:rsid w:val="000B3EA4"/>
    <w:rsid w:val="000E2EF4"/>
    <w:rsid w:val="000F0DCB"/>
    <w:rsid w:val="00111E80"/>
    <w:rsid w:val="00131BE6"/>
    <w:rsid w:val="001763E0"/>
    <w:rsid w:val="00197612"/>
    <w:rsid w:val="001A69FB"/>
    <w:rsid w:val="001C0F7A"/>
    <w:rsid w:val="002158D4"/>
    <w:rsid w:val="002422C3"/>
    <w:rsid w:val="002B67A6"/>
    <w:rsid w:val="002E0CD4"/>
    <w:rsid w:val="002F52E3"/>
    <w:rsid w:val="00340FFC"/>
    <w:rsid w:val="00365A05"/>
    <w:rsid w:val="003A50FF"/>
    <w:rsid w:val="003D0AFA"/>
    <w:rsid w:val="003E2B96"/>
    <w:rsid w:val="004056CB"/>
    <w:rsid w:val="00412023"/>
    <w:rsid w:val="00454D16"/>
    <w:rsid w:val="004A16F7"/>
    <w:rsid w:val="004C2A48"/>
    <w:rsid w:val="004C2CA5"/>
    <w:rsid w:val="004D4A33"/>
    <w:rsid w:val="004F490F"/>
    <w:rsid w:val="005049B5"/>
    <w:rsid w:val="00516DB8"/>
    <w:rsid w:val="00522FC8"/>
    <w:rsid w:val="00547671"/>
    <w:rsid w:val="00547ED8"/>
    <w:rsid w:val="00567C55"/>
    <w:rsid w:val="00574962"/>
    <w:rsid w:val="00585CC8"/>
    <w:rsid w:val="0059062A"/>
    <w:rsid w:val="005928CE"/>
    <w:rsid w:val="005A6109"/>
    <w:rsid w:val="005B40C2"/>
    <w:rsid w:val="005E3633"/>
    <w:rsid w:val="005F1576"/>
    <w:rsid w:val="005F19CC"/>
    <w:rsid w:val="006634E1"/>
    <w:rsid w:val="006644FA"/>
    <w:rsid w:val="00676F2E"/>
    <w:rsid w:val="006833B6"/>
    <w:rsid w:val="006842B2"/>
    <w:rsid w:val="006903B9"/>
    <w:rsid w:val="00697876"/>
    <w:rsid w:val="00711B61"/>
    <w:rsid w:val="00712D6E"/>
    <w:rsid w:val="00717D10"/>
    <w:rsid w:val="00725F05"/>
    <w:rsid w:val="00727D49"/>
    <w:rsid w:val="007309F8"/>
    <w:rsid w:val="00731340"/>
    <w:rsid w:val="00765350"/>
    <w:rsid w:val="00770200"/>
    <w:rsid w:val="007B1CD2"/>
    <w:rsid w:val="007B1DDB"/>
    <w:rsid w:val="007F38A6"/>
    <w:rsid w:val="00822667"/>
    <w:rsid w:val="008338D3"/>
    <w:rsid w:val="0084727C"/>
    <w:rsid w:val="008506C6"/>
    <w:rsid w:val="00851D41"/>
    <w:rsid w:val="00880647"/>
    <w:rsid w:val="008821D0"/>
    <w:rsid w:val="00884B23"/>
    <w:rsid w:val="00895121"/>
    <w:rsid w:val="008E42BB"/>
    <w:rsid w:val="008F11D0"/>
    <w:rsid w:val="008F556E"/>
    <w:rsid w:val="00907168"/>
    <w:rsid w:val="0092319E"/>
    <w:rsid w:val="0093075E"/>
    <w:rsid w:val="009328A6"/>
    <w:rsid w:val="00941351"/>
    <w:rsid w:val="00953E37"/>
    <w:rsid w:val="0096254C"/>
    <w:rsid w:val="00963971"/>
    <w:rsid w:val="00983011"/>
    <w:rsid w:val="00983D6F"/>
    <w:rsid w:val="009A1C9C"/>
    <w:rsid w:val="009B5A7E"/>
    <w:rsid w:val="009E1474"/>
    <w:rsid w:val="009F0D82"/>
    <w:rsid w:val="009F7992"/>
    <w:rsid w:val="00A07042"/>
    <w:rsid w:val="00A135E0"/>
    <w:rsid w:val="00A235D7"/>
    <w:rsid w:val="00A30ADA"/>
    <w:rsid w:val="00A34475"/>
    <w:rsid w:val="00A67255"/>
    <w:rsid w:val="00A80385"/>
    <w:rsid w:val="00A83A08"/>
    <w:rsid w:val="00A86F5B"/>
    <w:rsid w:val="00AC306B"/>
    <w:rsid w:val="00AD2941"/>
    <w:rsid w:val="00AE18E0"/>
    <w:rsid w:val="00B1720D"/>
    <w:rsid w:val="00B96445"/>
    <w:rsid w:val="00BC410F"/>
    <w:rsid w:val="00BD0268"/>
    <w:rsid w:val="00BD1698"/>
    <w:rsid w:val="00BD6A9E"/>
    <w:rsid w:val="00BE1434"/>
    <w:rsid w:val="00BE57F2"/>
    <w:rsid w:val="00C102DE"/>
    <w:rsid w:val="00C12E66"/>
    <w:rsid w:val="00C32426"/>
    <w:rsid w:val="00C442AC"/>
    <w:rsid w:val="00CD06D9"/>
    <w:rsid w:val="00CF3DEF"/>
    <w:rsid w:val="00CF4BBE"/>
    <w:rsid w:val="00D03D68"/>
    <w:rsid w:val="00D041F5"/>
    <w:rsid w:val="00D42F24"/>
    <w:rsid w:val="00D536E1"/>
    <w:rsid w:val="00D607CC"/>
    <w:rsid w:val="00D87D85"/>
    <w:rsid w:val="00DA57C0"/>
    <w:rsid w:val="00DA5874"/>
    <w:rsid w:val="00DC4828"/>
    <w:rsid w:val="00DD204A"/>
    <w:rsid w:val="00DE5247"/>
    <w:rsid w:val="00DF3FF4"/>
    <w:rsid w:val="00E15B3C"/>
    <w:rsid w:val="00E36FA0"/>
    <w:rsid w:val="00E55701"/>
    <w:rsid w:val="00E863F2"/>
    <w:rsid w:val="00EA2E51"/>
    <w:rsid w:val="00EB011F"/>
    <w:rsid w:val="00EB2E3F"/>
    <w:rsid w:val="00EC217E"/>
    <w:rsid w:val="00EC2EA6"/>
    <w:rsid w:val="00EC3292"/>
    <w:rsid w:val="00EE23F3"/>
    <w:rsid w:val="00F2124D"/>
    <w:rsid w:val="00F74284"/>
    <w:rsid w:val="00F83385"/>
    <w:rsid w:val="00FA6602"/>
    <w:rsid w:val="00FB623C"/>
    <w:rsid w:val="00FC0C24"/>
    <w:rsid w:val="00FC6293"/>
    <w:rsid w:val="00FD5F55"/>
    <w:rsid w:val="00FE3E65"/>
    <w:rsid w:val="00FE6B13"/>
    <w:rsid w:val="00FF0BDB"/>
    <w:rsid w:val="00FF6E1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25EFB"/>
  <w15:chartTrackingRefBased/>
  <w15:docId w15:val="{4542157C-7BA2-4F83-A49D-C51DB55AE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2C3"/>
    <w:pPr>
      <w:spacing w:before="120" w:after="0" w:line="360" w:lineRule="auto"/>
      <w:jc w:val="both"/>
    </w:pPr>
    <w:rPr>
      <w:rFonts w:ascii="Arial" w:eastAsia="Times New Roman" w:hAnsi="Arial" w:cs="Arial"/>
      <w:color w:val="000000"/>
      <w:sz w:val="24"/>
      <w:lang w:val="en-US" w:eastAsia="el-GR"/>
    </w:rPr>
  </w:style>
  <w:style w:type="paragraph" w:styleId="Heading1">
    <w:name w:val="heading 1"/>
    <w:basedOn w:val="Normal"/>
    <w:next w:val="Normal"/>
    <w:link w:val="Heading1Char"/>
    <w:uiPriority w:val="9"/>
    <w:qFormat/>
    <w:rsid w:val="00BC410F"/>
    <w:pPr>
      <w:spacing w:before="240" w:line="480" w:lineRule="auto"/>
      <w:outlineLvl w:val="0"/>
    </w:pPr>
    <w:rPr>
      <w:b/>
      <w:bCs/>
    </w:rPr>
  </w:style>
  <w:style w:type="paragraph" w:styleId="Heading2">
    <w:name w:val="heading 2"/>
    <w:basedOn w:val="Normal"/>
    <w:next w:val="Normal"/>
    <w:link w:val="Heading2Char"/>
    <w:uiPriority w:val="9"/>
    <w:unhideWhenUsed/>
    <w:qFormat/>
    <w:rsid w:val="00454D16"/>
    <w:pPr>
      <w:outlineLvl w:val="1"/>
    </w:pPr>
    <w:rPr>
      <w:b/>
      <w:bCs/>
    </w:rPr>
  </w:style>
  <w:style w:type="paragraph" w:styleId="Heading3">
    <w:name w:val="heading 3"/>
    <w:basedOn w:val="Heading4"/>
    <w:next w:val="Normal"/>
    <w:link w:val="Heading3Char"/>
    <w:uiPriority w:val="9"/>
    <w:unhideWhenUsed/>
    <w:qFormat/>
    <w:rsid w:val="00AD2941"/>
    <w:pPr>
      <w:outlineLvl w:val="2"/>
    </w:pPr>
  </w:style>
  <w:style w:type="paragraph" w:styleId="Heading4">
    <w:name w:val="heading 4"/>
    <w:basedOn w:val="Normal"/>
    <w:next w:val="Normal"/>
    <w:link w:val="Heading4Char"/>
    <w:uiPriority w:val="9"/>
    <w:unhideWhenUsed/>
    <w:qFormat/>
    <w:rsid w:val="00AD2941"/>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5049B5"/>
    <w:pPr>
      <w:spacing w:before="100" w:beforeAutospacing="1" w:after="100" w:afterAutospacing="1" w:line="240" w:lineRule="auto"/>
    </w:pPr>
    <w:rPr>
      <w:rFonts w:ascii="Times New Roman" w:hAnsi="Times New Roman" w:cs="Times New Roman"/>
      <w:szCs w:val="24"/>
    </w:rPr>
  </w:style>
  <w:style w:type="paragraph" w:customStyle="1" w:styleId="normaltable">
    <w:name w:val="normaltable"/>
    <w:basedOn w:val="Normal"/>
    <w:rsid w:val="005049B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hAnsi="Times New Roman" w:cs="Times New Roman"/>
      <w:szCs w:val="24"/>
    </w:rPr>
  </w:style>
  <w:style w:type="paragraph" w:customStyle="1" w:styleId="fontstyle0">
    <w:name w:val="fontstyle0"/>
    <w:basedOn w:val="Normal"/>
    <w:rsid w:val="005049B5"/>
    <w:pPr>
      <w:spacing w:before="100" w:beforeAutospacing="1" w:after="100" w:afterAutospacing="1" w:line="240" w:lineRule="auto"/>
    </w:pPr>
    <w:rPr>
      <w:rFonts w:ascii="Arial-BoldMT" w:hAnsi="Arial-BoldMT" w:cs="Times New Roman"/>
      <w:b/>
      <w:bCs/>
      <w:sz w:val="28"/>
      <w:szCs w:val="28"/>
    </w:rPr>
  </w:style>
  <w:style w:type="paragraph" w:customStyle="1" w:styleId="fontstyle1">
    <w:name w:val="fontstyle1"/>
    <w:basedOn w:val="Normal"/>
    <w:rsid w:val="005049B5"/>
    <w:pPr>
      <w:spacing w:before="100" w:beforeAutospacing="1" w:after="100" w:afterAutospacing="1" w:line="240" w:lineRule="auto"/>
    </w:pPr>
    <w:rPr>
      <w:rFonts w:ascii="Times New Roman" w:hAnsi="Times New Roman" w:cs="Times New Roman"/>
      <w:szCs w:val="24"/>
    </w:rPr>
  </w:style>
  <w:style w:type="paragraph" w:customStyle="1" w:styleId="fontstyle2">
    <w:name w:val="fontstyle2"/>
    <w:basedOn w:val="Normal"/>
    <w:rsid w:val="005049B5"/>
    <w:pPr>
      <w:spacing w:before="100" w:beforeAutospacing="1" w:after="100" w:afterAutospacing="1" w:line="240" w:lineRule="auto"/>
    </w:pPr>
    <w:rPr>
      <w:rFonts w:ascii="ArialMT" w:hAnsi="ArialMT" w:cs="Times New Roman"/>
      <w:sz w:val="20"/>
      <w:szCs w:val="20"/>
    </w:rPr>
  </w:style>
  <w:style w:type="paragraph" w:customStyle="1" w:styleId="fontstyle3">
    <w:name w:val="fontstyle3"/>
    <w:basedOn w:val="Normal"/>
    <w:rsid w:val="005049B5"/>
    <w:pPr>
      <w:spacing w:before="100" w:beforeAutospacing="1" w:after="100" w:afterAutospacing="1" w:line="240" w:lineRule="auto"/>
    </w:pPr>
    <w:rPr>
      <w:rFonts w:ascii="Arial-ItalicMT" w:hAnsi="Arial-ItalicMT" w:cs="Times New Roman"/>
      <w:i/>
      <w:iCs/>
    </w:rPr>
  </w:style>
  <w:style w:type="paragraph" w:customStyle="1" w:styleId="fontstyle4">
    <w:name w:val="fontstyle4"/>
    <w:basedOn w:val="Normal"/>
    <w:rsid w:val="005049B5"/>
    <w:pPr>
      <w:spacing w:before="100" w:beforeAutospacing="1" w:after="100" w:afterAutospacing="1" w:line="240" w:lineRule="auto"/>
    </w:pPr>
    <w:rPr>
      <w:rFonts w:ascii="Arial-BoldItalicMT" w:hAnsi="Arial-BoldItalicMT" w:cs="Times New Roman"/>
      <w:b/>
      <w:bCs/>
      <w:i/>
      <w:iCs/>
    </w:rPr>
  </w:style>
  <w:style w:type="paragraph" w:customStyle="1" w:styleId="fontstyle5">
    <w:name w:val="fontstyle5"/>
    <w:basedOn w:val="Normal"/>
    <w:rsid w:val="005049B5"/>
    <w:pPr>
      <w:spacing w:before="100" w:beforeAutospacing="1" w:after="100" w:afterAutospacing="1" w:line="240" w:lineRule="auto"/>
    </w:pPr>
    <w:rPr>
      <w:rFonts w:ascii="SymbolMT" w:hAnsi="SymbolMT" w:cs="Times New Roman"/>
    </w:rPr>
  </w:style>
  <w:style w:type="character" w:customStyle="1" w:styleId="fontstyle01">
    <w:name w:val="fontstyle01"/>
    <w:basedOn w:val="DefaultParagraphFont"/>
    <w:rsid w:val="005049B5"/>
    <w:rPr>
      <w:rFonts w:ascii="Arial-BoldMT" w:hAnsi="Arial-BoldMT" w:hint="default"/>
      <w:b/>
      <w:bCs/>
      <w:i w:val="0"/>
      <w:iCs w:val="0"/>
      <w:color w:val="000000"/>
      <w:sz w:val="28"/>
      <w:szCs w:val="28"/>
    </w:rPr>
  </w:style>
  <w:style w:type="character" w:customStyle="1" w:styleId="fontstyle21">
    <w:name w:val="fontstyle21"/>
    <w:basedOn w:val="DefaultParagraphFont"/>
    <w:rsid w:val="005049B5"/>
    <w:rPr>
      <w:rFonts w:ascii="ArialMT" w:hAnsi="ArialMT" w:hint="default"/>
      <w:b w:val="0"/>
      <w:bCs w:val="0"/>
      <w:i w:val="0"/>
      <w:iCs w:val="0"/>
      <w:color w:val="000000"/>
      <w:sz w:val="20"/>
      <w:szCs w:val="20"/>
    </w:rPr>
  </w:style>
  <w:style w:type="character" w:customStyle="1" w:styleId="fontstyle31">
    <w:name w:val="fontstyle31"/>
    <w:basedOn w:val="DefaultParagraphFont"/>
    <w:rsid w:val="005049B5"/>
    <w:rPr>
      <w:rFonts w:ascii="Arial-ItalicMT" w:hAnsi="Arial-ItalicMT" w:hint="default"/>
      <w:b w:val="0"/>
      <w:bCs w:val="0"/>
      <w:i/>
      <w:iCs/>
      <w:color w:val="000000"/>
      <w:sz w:val="22"/>
      <w:szCs w:val="22"/>
    </w:rPr>
  </w:style>
  <w:style w:type="character" w:customStyle="1" w:styleId="fontstyle41">
    <w:name w:val="fontstyle41"/>
    <w:basedOn w:val="DefaultParagraphFont"/>
    <w:rsid w:val="005049B5"/>
    <w:rPr>
      <w:rFonts w:ascii="Arial-BoldItalicMT" w:hAnsi="Arial-BoldItalicMT" w:hint="default"/>
      <w:b/>
      <w:bCs/>
      <w:i/>
      <w:iCs/>
      <w:color w:val="000000"/>
      <w:sz w:val="22"/>
      <w:szCs w:val="22"/>
    </w:rPr>
  </w:style>
  <w:style w:type="character" w:customStyle="1" w:styleId="fontstyle51">
    <w:name w:val="fontstyle51"/>
    <w:basedOn w:val="DefaultParagraphFont"/>
    <w:rsid w:val="005049B5"/>
    <w:rPr>
      <w:rFonts w:ascii="SymbolMT" w:hAnsi="SymbolMT" w:hint="default"/>
      <w:b w:val="0"/>
      <w:bCs w:val="0"/>
      <w:i w:val="0"/>
      <w:iCs w:val="0"/>
      <w:color w:val="000000"/>
      <w:sz w:val="22"/>
      <w:szCs w:val="22"/>
    </w:rPr>
  </w:style>
  <w:style w:type="paragraph" w:styleId="Revision">
    <w:name w:val="Revision"/>
    <w:hidden/>
    <w:uiPriority w:val="99"/>
    <w:semiHidden/>
    <w:rsid w:val="00BE1434"/>
    <w:pPr>
      <w:spacing w:after="0" w:line="240" w:lineRule="auto"/>
    </w:pPr>
  </w:style>
  <w:style w:type="character" w:customStyle="1" w:styleId="Heading1Char">
    <w:name w:val="Heading 1 Char"/>
    <w:basedOn w:val="DefaultParagraphFont"/>
    <w:link w:val="Heading1"/>
    <w:uiPriority w:val="9"/>
    <w:rsid w:val="00BC410F"/>
    <w:rPr>
      <w:rFonts w:ascii="Arial" w:eastAsia="Times New Roman" w:hAnsi="Arial" w:cs="Arial"/>
      <w:b/>
      <w:bCs/>
      <w:color w:val="000000"/>
      <w:sz w:val="24"/>
      <w:lang w:val="en-US" w:eastAsia="el-GR"/>
    </w:rPr>
  </w:style>
  <w:style w:type="character" w:customStyle="1" w:styleId="Heading2Char">
    <w:name w:val="Heading 2 Char"/>
    <w:basedOn w:val="DefaultParagraphFont"/>
    <w:link w:val="Heading2"/>
    <w:uiPriority w:val="9"/>
    <w:rsid w:val="00454D16"/>
    <w:rPr>
      <w:rFonts w:ascii="Arial" w:eastAsia="Times New Roman" w:hAnsi="Arial" w:cs="Arial"/>
      <w:b/>
      <w:bCs/>
      <w:color w:val="000000"/>
      <w:lang w:val="en-US" w:eastAsia="el-GR"/>
    </w:rPr>
  </w:style>
  <w:style w:type="character" w:styleId="Hyperlink">
    <w:name w:val="Hyperlink"/>
    <w:basedOn w:val="DefaultParagraphFont"/>
    <w:uiPriority w:val="99"/>
    <w:unhideWhenUsed/>
    <w:rsid w:val="00907168"/>
    <w:rPr>
      <w:color w:val="0563C1" w:themeColor="hyperlink"/>
      <w:u w:val="single"/>
    </w:rPr>
  </w:style>
  <w:style w:type="character" w:styleId="UnresolvedMention">
    <w:name w:val="Unresolved Mention"/>
    <w:basedOn w:val="DefaultParagraphFont"/>
    <w:uiPriority w:val="99"/>
    <w:semiHidden/>
    <w:unhideWhenUsed/>
    <w:rsid w:val="00907168"/>
    <w:rPr>
      <w:color w:val="605E5C"/>
      <w:shd w:val="clear" w:color="auto" w:fill="E1DFDD"/>
    </w:rPr>
  </w:style>
  <w:style w:type="table" w:styleId="TableGrid">
    <w:name w:val="Table Grid"/>
    <w:basedOn w:val="TableNormal"/>
    <w:uiPriority w:val="39"/>
    <w:rsid w:val="00D03D6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3D68"/>
    <w:pPr>
      <w:ind w:left="720"/>
      <w:contextualSpacing/>
    </w:pPr>
  </w:style>
  <w:style w:type="character" w:customStyle="1" w:styleId="Heading3Char">
    <w:name w:val="Heading 3 Char"/>
    <w:basedOn w:val="DefaultParagraphFont"/>
    <w:link w:val="Heading3"/>
    <w:uiPriority w:val="9"/>
    <w:rsid w:val="00AD2941"/>
    <w:rPr>
      <w:rFonts w:ascii="Arial" w:eastAsia="Times New Roman" w:hAnsi="Arial" w:cs="Arial"/>
      <w:color w:val="000000"/>
      <w:sz w:val="24"/>
      <w:lang w:val="en-US" w:eastAsia="el-GR"/>
    </w:rPr>
  </w:style>
  <w:style w:type="character" w:customStyle="1" w:styleId="Heading4Char">
    <w:name w:val="Heading 4 Char"/>
    <w:basedOn w:val="DefaultParagraphFont"/>
    <w:link w:val="Heading4"/>
    <w:uiPriority w:val="9"/>
    <w:rsid w:val="00AD2941"/>
    <w:rPr>
      <w:rFonts w:ascii="Arial" w:eastAsia="Times New Roman" w:hAnsi="Arial" w:cs="Arial"/>
      <w:color w:val="000000"/>
      <w:sz w:val="24"/>
      <w:lang w:val="en-US"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807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gkaltsas@endo.gr"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prkar1a.nichd.nih.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3D679-FD33-4E66-837E-E33B56A84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28</Pages>
  <Words>58096</Words>
  <Characters>331153</Characters>
  <Application>Microsoft Office Word</Application>
  <DocSecurity>0</DocSecurity>
  <Lines>2759</Lines>
  <Paragraphs>776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Kanakis</dc:creator>
  <cp:keywords/>
  <dc:description/>
  <cp:lastModifiedBy>Kenneth Feingold</cp:lastModifiedBy>
  <cp:revision>8</cp:revision>
  <dcterms:created xsi:type="dcterms:W3CDTF">2023-07-12T20:37:00Z</dcterms:created>
  <dcterms:modified xsi:type="dcterms:W3CDTF">2023-07-13T00:26:00Z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http://csl.mendeley.com/styles/472138781/Andrology2</vt:lpwstr>
  </property>
  <property fmtid="{D5CDD505-2E9C-101B-9397-08002B2CF9AE}" pid="9" name="Mendeley Recent Style Name 3_1">
    <vt:lpwstr>Andrology - George Kanakis - George Kanakis, MD</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http://www.zotero.org/styles/the-journal-of-clinical-endocrinology-and-metabolism</vt:lpwstr>
  </property>
  <property fmtid="{D5CDD505-2E9C-101B-9397-08002B2CF9AE}" pid="21" name="Mendeley Recent Style Name 9_1">
    <vt:lpwstr>The Journal of Clinical Endocrinology &amp; Metabolism</vt:lpwstr>
  </property>
  <property fmtid="{D5CDD505-2E9C-101B-9397-08002B2CF9AE}" pid="22" name="Mendeley Document_1">
    <vt:lpwstr>True</vt:lpwstr>
  </property>
  <property fmtid="{D5CDD505-2E9C-101B-9397-08002B2CF9AE}" pid="23" name="Mendeley Unique User Id_1">
    <vt:lpwstr>4fe85f32-19bc-32d7-88fb-ffad1802c8c9</vt:lpwstr>
  </property>
  <property fmtid="{D5CDD505-2E9C-101B-9397-08002B2CF9AE}" pid="24" name="Mendeley Citation Style_1">
    <vt:lpwstr>http://www.zotero.org/styles/the-journal-of-clinical-endocrinology-and-metabolism</vt:lpwstr>
  </property>
</Properties>
</file>