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6A091" w14:textId="77777777" w:rsidR="009919FB" w:rsidRPr="00EB0F2E" w:rsidRDefault="009919FB" w:rsidP="00EB0F2E">
      <w:pPr>
        <w:spacing w:after="0" w:line="276" w:lineRule="auto"/>
        <w:rPr>
          <w:b/>
          <w:sz w:val="28"/>
          <w:szCs w:val="28"/>
        </w:rPr>
      </w:pPr>
      <w:r w:rsidRPr="00EB0F2E">
        <w:rPr>
          <w:b/>
          <w:sz w:val="28"/>
          <w:szCs w:val="28"/>
        </w:rPr>
        <w:t xml:space="preserve">CONTROL OF ENERGY EXPENDITURE IN HUMANS </w:t>
      </w:r>
    </w:p>
    <w:p w14:paraId="62AAAC32" w14:textId="77777777" w:rsidR="009919FB" w:rsidRDefault="009919FB" w:rsidP="00EB0F2E">
      <w:pPr>
        <w:spacing w:after="0" w:line="276" w:lineRule="auto"/>
      </w:pPr>
      <w:r>
        <w:t xml:space="preserve"> </w:t>
      </w:r>
    </w:p>
    <w:p w14:paraId="489CEBFB" w14:textId="175E801C" w:rsidR="009919FB" w:rsidRPr="00EB0F2E" w:rsidRDefault="009919FB" w:rsidP="00EB0F2E">
      <w:pPr>
        <w:spacing w:after="0" w:line="276" w:lineRule="auto"/>
        <w:rPr>
          <w:sz w:val="20"/>
        </w:rPr>
      </w:pPr>
      <w:proofErr w:type="spellStart"/>
      <w:r w:rsidRPr="00EB0F2E">
        <w:rPr>
          <w:b/>
        </w:rPr>
        <w:t>Klaas</w:t>
      </w:r>
      <w:proofErr w:type="spellEnd"/>
      <w:r w:rsidRPr="00EB0F2E">
        <w:rPr>
          <w:b/>
        </w:rPr>
        <w:t xml:space="preserve"> R</w:t>
      </w:r>
      <w:r w:rsidR="00993D41">
        <w:rPr>
          <w:b/>
        </w:rPr>
        <w:t>.</w:t>
      </w:r>
      <w:r w:rsidRPr="00EB0F2E">
        <w:rPr>
          <w:b/>
        </w:rPr>
        <w:t xml:space="preserve"> Westerterp</w:t>
      </w:r>
      <w:r>
        <w:t xml:space="preserve">, </w:t>
      </w:r>
      <w:r w:rsidRPr="00EB0F2E">
        <w:rPr>
          <w:sz w:val="20"/>
        </w:rPr>
        <w:t xml:space="preserve">Chair of Human Energetics, NUTRIM School of Nutrition &amp; Translational Research in Metabolism, Maastricht University Medical Centre, 6200 MD Maastricht, The Netherlands.  K.Westerterp@maastrichtuniversity.nl </w:t>
      </w:r>
    </w:p>
    <w:p w14:paraId="4715D2A7" w14:textId="77777777" w:rsidR="009919FB" w:rsidRDefault="009919FB" w:rsidP="00EB0F2E">
      <w:pPr>
        <w:spacing w:after="0" w:line="276" w:lineRule="auto"/>
      </w:pPr>
      <w:r>
        <w:t xml:space="preserve"> </w:t>
      </w:r>
    </w:p>
    <w:p w14:paraId="76468627" w14:textId="1BD7D6EB" w:rsidR="00F77D53" w:rsidRPr="00F74A85" w:rsidRDefault="00C93614" w:rsidP="00F74A85">
      <w:pPr>
        <w:spacing w:after="0" w:line="276" w:lineRule="auto"/>
        <w:rPr>
          <w:rFonts w:cs="Arial"/>
          <w:b/>
          <w:sz w:val="22"/>
          <w:szCs w:val="22"/>
        </w:rPr>
      </w:pPr>
      <w:r w:rsidRPr="00F74A85">
        <w:rPr>
          <w:rFonts w:cs="Arial"/>
          <w:b/>
          <w:sz w:val="22"/>
          <w:szCs w:val="22"/>
        </w:rPr>
        <w:t xml:space="preserve">Updated March </w:t>
      </w:r>
      <w:r w:rsidR="00F74A85" w:rsidRPr="00F74A85">
        <w:rPr>
          <w:rFonts w:cs="Arial"/>
          <w:b/>
          <w:sz w:val="22"/>
          <w:szCs w:val="22"/>
        </w:rPr>
        <w:t xml:space="preserve">20, </w:t>
      </w:r>
      <w:r w:rsidRPr="00F74A85">
        <w:rPr>
          <w:rFonts w:cs="Arial"/>
          <w:b/>
          <w:sz w:val="22"/>
          <w:szCs w:val="22"/>
        </w:rPr>
        <w:t>2022</w:t>
      </w:r>
    </w:p>
    <w:p w14:paraId="63570097" w14:textId="1BBE97FE" w:rsidR="009919FB" w:rsidRPr="00F74A85" w:rsidRDefault="009919FB" w:rsidP="00F74A85">
      <w:pPr>
        <w:spacing w:after="0" w:line="276" w:lineRule="auto"/>
        <w:rPr>
          <w:rFonts w:cs="Arial"/>
          <w:sz w:val="22"/>
          <w:szCs w:val="22"/>
        </w:rPr>
      </w:pPr>
    </w:p>
    <w:p w14:paraId="5A284401" w14:textId="087B630F" w:rsidR="009919FB" w:rsidRPr="00F74A85" w:rsidRDefault="009919FB" w:rsidP="00F74A85">
      <w:pPr>
        <w:spacing w:after="0" w:line="276" w:lineRule="auto"/>
        <w:textAlignment w:val="baseline"/>
        <w:outlineLvl w:val="1"/>
        <w:rPr>
          <w:rFonts w:eastAsia="Times New Roman" w:cs="Arial"/>
          <w:b/>
          <w:bCs/>
          <w:caps/>
          <w:color w:val="0070C0"/>
          <w:sz w:val="22"/>
          <w:szCs w:val="22"/>
          <w:bdr w:val="none" w:sz="0" w:space="0" w:color="auto" w:frame="1"/>
        </w:rPr>
      </w:pPr>
      <w:bookmarkStart w:id="0" w:name="_Hlk98691851"/>
      <w:r w:rsidRPr="00F74A85">
        <w:rPr>
          <w:rFonts w:eastAsia="Times New Roman" w:cs="Arial"/>
          <w:b/>
          <w:bCs/>
          <w:caps/>
          <w:color w:val="0070C0"/>
          <w:sz w:val="22"/>
          <w:szCs w:val="22"/>
          <w:bdr w:val="none" w:sz="0" w:space="0" w:color="auto" w:frame="1"/>
        </w:rPr>
        <w:t>ABSTRACT</w:t>
      </w:r>
    </w:p>
    <w:p w14:paraId="0093F53E" w14:textId="77777777" w:rsidR="00EB0F2E" w:rsidRPr="00F74A85" w:rsidRDefault="00EB0F2E" w:rsidP="00F74A85">
      <w:pPr>
        <w:spacing w:after="0" w:line="276" w:lineRule="auto"/>
        <w:textAlignment w:val="baseline"/>
        <w:outlineLvl w:val="1"/>
        <w:rPr>
          <w:rFonts w:eastAsia="Times New Roman" w:cs="Arial"/>
          <w:b/>
          <w:bCs/>
          <w:caps/>
          <w:color w:val="000000"/>
          <w:sz w:val="22"/>
          <w:szCs w:val="22"/>
        </w:rPr>
      </w:pPr>
    </w:p>
    <w:p w14:paraId="55C5C699" w14:textId="2CEA4C1E"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 xml:space="preserve">Resting and meal-related energy requirements can be assessed by measuring energy expenditure with indirect calorimetry. The indicated method to assess free-living energy expenditure is the doubly labelled water technique. Variation in energy expenditure is mainly a function of body size and composition (resting energy expenditure) and of physical activity (activity energy expenditure). Thus, energy expenditure can be calculated with a prediction equation for resting energy expenditure, based on height, age, weight and </w:t>
      </w:r>
      <w:r w:rsidR="00C93614" w:rsidRPr="00F74A85">
        <w:rPr>
          <w:rFonts w:eastAsia="Times New Roman" w:cs="Arial"/>
          <w:color w:val="000000"/>
          <w:sz w:val="22"/>
          <w:szCs w:val="22"/>
        </w:rPr>
        <w:t>sex</w:t>
      </w:r>
      <w:r w:rsidRPr="00F74A85">
        <w:rPr>
          <w:rFonts w:eastAsia="Times New Roman" w:cs="Arial"/>
          <w:color w:val="000000"/>
          <w:sz w:val="22"/>
          <w:szCs w:val="22"/>
        </w:rPr>
        <w:t xml:space="preserve">, in combination with the measurement of the physical activity level of a subject with a doubly labelled water validated accelerometer for movement registration. Energy balance in humans is maintained by adjusting energy intake to energy expenditure. Over- and underfeeding induces changes in activity-induced and maintenance </w:t>
      </w:r>
      <w:r w:rsidR="00C93614" w:rsidRPr="00F74A85">
        <w:rPr>
          <w:rFonts w:eastAsia="Times New Roman" w:cs="Arial"/>
          <w:color w:val="000000"/>
          <w:sz w:val="22"/>
          <w:szCs w:val="22"/>
        </w:rPr>
        <w:t xml:space="preserve">energy expenditure </w:t>
      </w:r>
      <w:r w:rsidRPr="00F74A85">
        <w:rPr>
          <w:rFonts w:eastAsia="Times New Roman" w:cs="Arial"/>
          <w:color w:val="000000"/>
          <w:sz w:val="22"/>
          <w:szCs w:val="22"/>
        </w:rPr>
        <w:t xml:space="preserve">as a function of changes in body weight and body composition. Additionally, underfeeding causes a metabolic adaptation as reflected in a reduction of maintenance </w:t>
      </w:r>
      <w:r w:rsidR="00C93614" w:rsidRPr="00F74A85">
        <w:rPr>
          <w:rFonts w:eastAsia="Times New Roman" w:cs="Arial"/>
          <w:color w:val="000000"/>
          <w:sz w:val="22"/>
          <w:szCs w:val="22"/>
        </w:rPr>
        <w:t xml:space="preserve">energy </w:t>
      </w:r>
      <w:r w:rsidRPr="00F74A85">
        <w:rPr>
          <w:rFonts w:eastAsia="Times New Roman" w:cs="Arial"/>
          <w:color w:val="000000"/>
          <w:sz w:val="22"/>
          <w:szCs w:val="22"/>
        </w:rPr>
        <w:t xml:space="preserve">expenditure below predicted values and defined as adaptive thermogenesis. When intake exceeds energy requirements, the excess is primarily stored as body fat. As a substrate for energy metabolism, fat is less likely </w:t>
      </w:r>
      <w:r w:rsidR="00C93614" w:rsidRPr="00F74A85">
        <w:rPr>
          <w:rFonts w:eastAsia="Times New Roman" w:cs="Arial"/>
          <w:color w:val="000000"/>
          <w:sz w:val="22"/>
          <w:szCs w:val="22"/>
        </w:rPr>
        <w:t xml:space="preserve">to be oxidized for fuel </w:t>
      </w:r>
      <w:r w:rsidRPr="00F74A85">
        <w:rPr>
          <w:rFonts w:eastAsia="Times New Roman" w:cs="Arial"/>
          <w:color w:val="000000"/>
          <w:sz w:val="22"/>
          <w:szCs w:val="22"/>
        </w:rPr>
        <w:t xml:space="preserve">than carbohydrate or protein. Consumed fat is mostly stored before oxidation, especially in heavier </w:t>
      </w:r>
      <w:r w:rsidR="000D6588" w:rsidRPr="00F74A85">
        <w:rPr>
          <w:rFonts w:eastAsia="Times New Roman" w:cs="Arial"/>
          <w:color w:val="000000"/>
          <w:sz w:val="22"/>
          <w:szCs w:val="22"/>
        </w:rPr>
        <w:t>people</w:t>
      </w:r>
      <w:r w:rsidRPr="00F74A85">
        <w:rPr>
          <w:rFonts w:eastAsia="Times New Roman" w:cs="Arial"/>
          <w:color w:val="000000"/>
          <w:sz w:val="22"/>
          <w:szCs w:val="22"/>
        </w:rPr>
        <w:t>, increasing the likelihood of creating a positive energy balance. An activity-induced increase in energy requirement is typically followed by an increase in energy intake, whereas a reduction in physical activity does not result in an equivalent reduction of energy intake. Thus, preventing weight gain is more effectively reached by eating less than by moving more.</w:t>
      </w:r>
    </w:p>
    <w:bookmarkEnd w:id="0"/>
    <w:p w14:paraId="3206A673" w14:textId="77777777" w:rsidR="00EB0F2E" w:rsidRPr="00F74A85" w:rsidRDefault="00EB0F2E" w:rsidP="00F74A85">
      <w:pPr>
        <w:spacing w:after="0" w:line="276" w:lineRule="auto"/>
        <w:textAlignment w:val="baseline"/>
        <w:outlineLvl w:val="1"/>
        <w:rPr>
          <w:rFonts w:eastAsia="Times New Roman" w:cs="Arial"/>
          <w:b/>
          <w:bCs/>
          <w:caps/>
          <w:color w:val="000000"/>
          <w:sz w:val="22"/>
          <w:szCs w:val="22"/>
          <w:bdr w:val="none" w:sz="0" w:space="0" w:color="auto" w:frame="1"/>
        </w:rPr>
      </w:pPr>
    </w:p>
    <w:p w14:paraId="1F60B0DA" w14:textId="4734073E" w:rsidR="009919FB" w:rsidRPr="00F74A85" w:rsidRDefault="009919FB" w:rsidP="00F74A85">
      <w:pPr>
        <w:spacing w:after="0" w:line="276" w:lineRule="auto"/>
        <w:textAlignment w:val="baseline"/>
        <w:outlineLvl w:val="1"/>
        <w:rPr>
          <w:rFonts w:eastAsia="Times New Roman" w:cs="Arial"/>
          <w:b/>
          <w:bCs/>
          <w:caps/>
          <w:color w:val="0070C0"/>
          <w:sz w:val="22"/>
          <w:szCs w:val="22"/>
        </w:rPr>
      </w:pPr>
      <w:bookmarkStart w:id="1" w:name="_Hlk98691954"/>
      <w:r w:rsidRPr="00F74A85">
        <w:rPr>
          <w:rFonts w:eastAsia="Times New Roman" w:cs="Arial"/>
          <w:b/>
          <w:bCs/>
          <w:caps/>
          <w:color w:val="0070C0"/>
          <w:sz w:val="22"/>
          <w:szCs w:val="22"/>
          <w:bdr w:val="none" w:sz="0" w:space="0" w:color="auto" w:frame="1"/>
        </w:rPr>
        <w:t>MEASURING ENERGY EXPENDITURE</w:t>
      </w:r>
    </w:p>
    <w:p w14:paraId="72EB791D" w14:textId="77777777" w:rsidR="00EB0F2E" w:rsidRPr="00F74A85" w:rsidRDefault="00EB0F2E" w:rsidP="00F74A85">
      <w:pPr>
        <w:spacing w:after="0" w:line="276" w:lineRule="auto"/>
        <w:textAlignment w:val="baseline"/>
        <w:rPr>
          <w:rFonts w:eastAsia="Times New Roman" w:cs="Arial"/>
          <w:color w:val="000000"/>
          <w:sz w:val="22"/>
          <w:szCs w:val="22"/>
        </w:rPr>
      </w:pPr>
    </w:p>
    <w:p w14:paraId="5B6D69CB" w14:textId="4E92518F"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 xml:space="preserve">Living can be regarded as a combustion process. The metabolism of an organism requires energy production by the combustion of fuel in the form of carbohydrate, protein, fat, or alcohol. In this process oxygen is consumed and carbon dioxide produced. Measuring energy expenditure means measuring heat production or heat loss, and this is known as </w:t>
      </w:r>
      <w:r w:rsidRPr="00F74A85">
        <w:rPr>
          <w:rFonts w:eastAsia="Times New Roman" w:cs="Arial"/>
          <w:i/>
          <w:iCs/>
          <w:color w:val="000000"/>
          <w:sz w:val="22"/>
          <w:szCs w:val="22"/>
          <w:bdr w:val="none" w:sz="0" w:space="0" w:color="auto" w:frame="1"/>
        </w:rPr>
        <w:t>direct calorimetry</w:t>
      </w:r>
      <w:r w:rsidRPr="00F74A85">
        <w:rPr>
          <w:rFonts w:eastAsia="Times New Roman" w:cs="Arial"/>
          <w:color w:val="000000"/>
          <w:sz w:val="22"/>
          <w:szCs w:val="22"/>
        </w:rPr>
        <w:t xml:space="preserve">. The measurement of heat production by measuring oxygen consumption and/or carbon dioxide production is called </w:t>
      </w:r>
      <w:r w:rsidRPr="00F74A85">
        <w:rPr>
          <w:rFonts w:eastAsia="Times New Roman" w:cs="Arial"/>
          <w:i/>
          <w:iCs/>
          <w:color w:val="000000"/>
          <w:sz w:val="22"/>
          <w:szCs w:val="22"/>
          <w:bdr w:val="none" w:sz="0" w:space="0" w:color="auto" w:frame="1"/>
        </w:rPr>
        <w:t>indirect calorimetry</w:t>
      </w:r>
      <w:r w:rsidRPr="00F74A85">
        <w:rPr>
          <w:rFonts w:eastAsia="Times New Roman" w:cs="Arial"/>
          <w:color w:val="000000"/>
          <w:sz w:val="22"/>
          <w:szCs w:val="22"/>
        </w:rPr>
        <w:t>.</w:t>
      </w:r>
    </w:p>
    <w:p w14:paraId="5E4FB6E2" w14:textId="77777777" w:rsidR="00EB0F2E" w:rsidRPr="00F74A85" w:rsidRDefault="00EB0F2E" w:rsidP="00F74A85">
      <w:pPr>
        <w:spacing w:after="0" w:line="276" w:lineRule="auto"/>
        <w:textAlignment w:val="baseline"/>
        <w:rPr>
          <w:rFonts w:eastAsia="Times New Roman" w:cs="Arial"/>
          <w:color w:val="000000"/>
          <w:sz w:val="22"/>
          <w:szCs w:val="22"/>
        </w:rPr>
      </w:pPr>
    </w:p>
    <w:p w14:paraId="79D9BDC4" w14:textId="7DA227E0" w:rsidR="009919FB" w:rsidRPr="00F74A85" w:rsidRDefault="009919FB" w:rsidP="00F74A85">
      <w:pPr>
        <w:spacing w:after="0" w:line="276" w:lineRule="auto"/>
        <w:rPr>
          <w:rFonts w:eastAsia="Times New Roman" w:cs="Arial"/>
          <w:color w:val="000000"/>
          <w:sz w:val="22"/>
          <w:szCs w:val="22"/>
        </w:rPr>
      </w:pPr>
      <w:r w:rsidRPr="00F74A85">
        <w:rPr>
          <w:rFonts w:eastAsia="Times New Roman" w:cs="Arial"/>
          <w:color w:val="000000"/>
          <w:sz w:val="22"/>
          <w:szCs w:val="22"/>
        </w:rPr>
        <w:t xml:space="preserve">Early calorimeters for the measurement of energy expenditure were direct calorimeters. </w:t>
      </w:r>
      <w:r w:rsidR="00206169" w:rsidRPr="00F74A85">
        <w:rPr>
          <w:rFonts w:eastAsia="Times New Roman" w:cs="Arial"/>
          <w:color w:val="000000"/>
          <w:sz w:val="22"/>
          <w:szCs w:val="22"/>
        </w:rPr>
        <w:t>At</w:t>
      </w:r>
      <w:r w:rsidRPr="00F74A85">
        <w:rPr>
          <w:rFonts w:eastAsia="Times New Roman" w:cs="Arial"/>
          <w:color w:val="000000"/>
          <w:sz w:val="22"/>
          <w:szCs w:val="22"/>
        </w:rPr>
        <w:t xml:space="preserve"> the end of the 18th century Lavoisier constructed one of the first calorimeters, measuring energy expenditure in a guinea pig. The animal was placed in a wire cage, which occupied the cente</w:t>
      </w:r>
      <w:r w:rsidR="00593014">
        <w:rPr>
          <w:rFonts w:eastAsia="Times New Roman" w:cs="Arial"/>
          <w:color w:val="000000"/>
          <w:sz w:val="22"/>
          <w:szCs w:val="22"/>
        </w:rPr>
        <w:t>r</w:t>
      </w:r>
      <w:r w:rsidRPr="00F74A85">
        <w:rPr>
          <w:rFonts w:eastAsia="Times New Roman" w:cs="Arial"/>
          <w:color w:val="000000"/>
          <w:sz w:val="22"/>
          <w:szCs w:val="22"/>
        </w:rPr>
        <w:t xml:space="preserve"> of an apparatus. The surrounding space was filled with chunks of ice</w:t>
      </w:r>
      <w:r w:rsidR="00F0652C" w:rsidRPr="00F74A85">
        <w:rPr>
          <w:rFonts w:eastAsia="Times New Roman" w:cs="Arial"/>
          <w:color w:val="000000"/>
          <w:sz w:val="22"/>
          <w:szCs w:val="22"/>
        </w:rPr>
        <w:t xml:space="preserve"> (Figure 1)</w:t>
      </w:r>
      <w:r w:rsidRPr="00F74A85">
        <w:rPr>
          <w:rFonts w:eastAsia="Times New Roman" w:cs="Arial"/>
          <w:color w:val="000000"/>
          <w:sz w:val="22"/>
          <w:szCs w:val="22"/>
        </w:rPr>
        <w:t xml:space="preserve">. As the ice melted from the animal's body heat, the water was collected in a container, and weighed. The ice cavity </w:t>
      </w:r>
      <w:r w:rsidRPr="00F74A85">
        <w:rPr>
          <w:rFonts w:eastAsia="Times New Roman" w:cs="Arial"/>
          <w:color w:val="000000"/>
          <w:sz w:val="22"/>
          <w:szCs w:val="22"/>
        </w:rPr>
        <w:lastRenderedPageBreak/>
        <w:t xml:space="preserve">was surrounded by a space filled with snow to maintain a constant temperature. Thus, no heat could dissipate from the surroundings to the inner ice jacket. Today, heat loss is measured in a calorimeter by removing the heat with a cooling stream of air or water or measuring the heat flow through the wall. In the first case, heat conduction through the wall of the calorimeter is prevented and the flow of heat is measured by the product of temperature difference between inflow and outflow and the rate of flow of the cooling medium. In the latter case instead of preventing heat flow through the wall, the rate of this flow is measured from differences in temperature over the wall. This method is known as </w:t>
      </w:r>
      <w:r w:rsidRPr="00F74A85">
        <w:rPr>
          <w:rFonts w:eastAsia="Times New Roman" w:cs="Arial"/>
          <w:i/>
          <w:iCs/>
          <w:color w:val="000000"/>
          <w:sz w:val="22"/>
          <w:szCs w:val="22"/>
          <w:bdr w:val="none" w:sz="0" w:space="0" w:color="auto" w:frame="1"/>
        </w:rPr>
        <w:t>gradient layer calorimetry</w:t>
      </w:r>
      <w:r w:rsidRPr="00F74A85">
        <w:rPr>
          <w:rFonts w:eastAsia="Times New Roman" w:cs="Arial"/>
          <w:color w:val="000000"/>
          <w:sz w:val="22"/>
          <w:szCs w:val="22"/>
        </w:rPr>
        <w:t>.</w:t>
      </w:r>
    </w:p>
    <w:p w14:paraId="46C645C3" w14:textId="3F6F2FBE" w:rsidR="009919FB" w:rsidRPr="00F74A85" w:rsidRDefault="009919FB" w:rsidP="00F74A85">
      <w:pPr>
        <w:spacing w:after="0" w:line="276" w:lineRule="auto"/>
        <w:rPr>
          <w:rFonts w:eastAsia="Times New Roman" w:cs="Arial"/>
          <w:color w:val="000000"/>
          <w:sz w:val="22"/>
          <w:szCs w:val="22"/>
        </w:rPr>
      </w:pPr>
    </w:p>
    <w:p w14:paraId="27876710" w14:textId="754E64FD" w:rsidR="009919FB" w:rsidRPr="00F74A85" w:rsidRDefault="009919FB" w:rsidP="00F74A85">
      <w:pPr>
        <w:spacing w:after="0" w:line="276" w:lineRule="auto"/>
        <w:rPr>
          <w:rFonts w:cs="Arial"/>
          <w:sz w:val="22"/>
          <w:szCs w:val="22"/>
        </w:rPr>
      </w:pPr>
      <w:r w:rsidRPr="00F74A85">
        <w:rPr>
          <w:rFonts w:cs="Arial"/>
          <w:noProof/>
          <w:sz w:val="22"/>
          <w:szCs w:val="22"/>
        </w:rPr>
        <w:drawing>
          <wp:inline distT="0" distB="0" distL="0" distR="0" wp14:anchorId="5B852D7A" wp14:editId="3EE4804F">
            <wp:extent cx="3964256" cy="452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81645" cy="4541032"/>
                    </a:xfrm>
                    <a:prstGeom prst="rect">
                      <a:avLst/>
                    </a:prstGeom>
                  </pic:spPr>
                </pic:pic>
              </a:graphicData>
            </a:graphic>
          </wp:inline>
        </w:drawing>
      </w:r>
    </w:p>
    <w:p w14:paraId="74016D3E" w14:textId="23FA7B92" w:rsidR="009919FB" w:rsidRPr="00F74A85" w:rsidRDefault="009919FB" w:rsidP="00F74A85">
      <w:pPr>
        <w:spacing w:after="0" w:line="276" w:lineRule="auto"/>
        <w:textAlignment w:val="baseline"/>
        <w:rPr>
          <w:rFonts w:eastAsia="Times New Roman" w:cs="Arial"/>
          <w:b/>
          <w:iCs/>
          <w:color w:val="000000"/>
          <w:sz w:val="22"/>
          <w:szCs w:val="22"/>
        </w:rPr>
      </w:pPr>
      <w:r w:rsidRPr="00F74A85">
        <w:rPr>
          <w:rFonts w:eastAsia="Times New Roman" w:cs="Arial"/>
          <w:b/>
          <w:iCs/>
          <w:color w:val="000000"/>
          <w:sz w:val="22"/>
          <w:szCs w:val="22"/>
        </w:rPr>
        <w:t>Figure 1</w:t>
      </w:r>
      <w:r w:rsidR="00F74A85">
        <w:rPr>
          <w:rFonts w:eastAsia="Times New Roman" w:cs="Arial"/>
          <w:b/>
          <w:iCs/>
          <w:color w:val="000000"/>
          <w:sz w:val="22"/>
          <w:szCs w:val="22"/>
        </w:rPr>
        <w:t>.</w:t>
      </w:r>
      <w:r w:rsidRPr="00F74A85">
        <w:rPr>
          <w:rFonts w:eastAsia="Times New Roman" w:cs="Arial"/>
          <w:b/>
          <w:iCs/>
          <w:color w:val="000000"/>
          <w:sz w:val="22"/>
          <w:szCs w:val="22"/>
        </w:rPr>
        <w:t xml:space="preserve"> Lavoisier’s calorimeter. Heat expended by the animal melts the ice in the inner jacket. Snow in the outer jacket prevents heat exchange with the surrounding environment (From reference </w:t>
      </w:r>
      <w:r w:rsidR="00A1141C" w:rsidRPr="00F74A85">
        <w:rPr>
          <w:rFonts w:eastAsia="Times New Roman" w:cs="Arial"/>
          <w:b/>
          <w:iCs/>
          <w:color w:val="000000"/>
          <w:sz w:val="22"/>
          <w:szCs w:val="22"/>
        </w:rPr>
        <w:fldChar w:fldCharType="begin"/>
      </w:r>
      <w:r w:rsidR="00A20A95" w:rsidRPr="00F74A85">
        <w:rPr>
          <w:rFonts w:eastAsia="Times New Roman" w:cs="Arial"/>
          <w:b/>
          <w:iCs/>
          <w:color w:val="000000"/>
          <w:sz w:val="22"/>
          <w:szCs w:val="22"/>
        </w:rPr>
        <w:instrText xml:space="preserve"> ADDIN EN.CITE &lt;EndNote&gt;&lt;Cite&gt;&lt;Author&gt;Kleiber&lt;/Author&gt;&lt;Year&gt;1961&lt;/Year&gt;&lt;RecNum&gt;7073&lt;/RecNum&gt;&lt;DisplayText&gt;(1)&lt;/DisplayText&gt;&lt;record&gt;&lt;rec-number&gt;7073&lt;/rec-number&gt;&lt;foreign-keys&gt;&lt;key app="EN" db-id="pvt9995p1wxx22eefv2xzrame55pwzadt2ws" timestamp="1647797557" guid="dd8b69f3-5914-4498-b04d-0ea4aa1dbaf7"&gt;7073&lt;/key&gt;&lt;/foreign-keys&gt;&lt;ref-type name="Book"&gt;6&lt;/ref-type&gt;&lt;contributors&gt;&lt;authors&gt;&lt;author&gt;Kleiber, Max&lt;/author&gt;&lt;/authors&gt;&lt;/contributors&gt;&lt;titles&gt;&lt;title&gt;The fire of life; an introduction to animal energetics&lt;/title&gt;&lt;/titles&gt;&lt;pages&gt;454 p.&lt;/pages&gt;&lt;keywords&gt;&lt;keyword&gt;Bioenergetics.&lt;/keyword&gt;&lt;keyword&gt;Starvation.&lt;/keyword&gt;&lt;/keywords&gt;&lt;dates&gt;&lt;year&gt;1961&lt;/year&gt;&lt;/dates&gt;&lt;pub-location&gt;New York,&lt;/pub-location&gt;&lt;publisher&gt;Wiley&lt;/publisher&gt;&lt;accession-num&gt;3112286&lt;/accession-num&gt;&lt;call-num&gt;QP141 .K56&lt;/call-num&gt;&lt;urls&gt;&lt;/urls&gt;&lt;/record&gt;&lt;/Cite&gt;&lt;/EndNote&gt;</w:instrText>
      </w:r>
      <w:r w:rsidR="00A1141C" w:rsidRPr="00F74A85">
        <w:rPr>
          <w:rFonts w:eastAsia="Times New Roman" w:cs="Arial"/>
          <w:b/>
          <w:iCs/>
          <w:color w:val="000000"/>
          <w:sz w:val="22"/>
          <w:szCs w:val="22"/>
        </w:rPr>
        <w:fldChar w:fldCharType="separate"/>
      </w:r>
      <w:r w:rsidR="00A1141C" w:rsidRPr="00F74A85">
        <w:rPr>
          <w:rFonts w:eastAsia="Times New Roman" w:cs="Arial"/>
          <w:b/>
          <w:iCs/>
          <w:noProof/>
          <w:color w:val="000000"/>
          <w:sz w:val="22"/>
          <w:szCs w:val="22"/>
        </w:rPr>
        <w:t>(1)</w:t>
      </w:r>
      <w:r w:rsidR="00A1141C" w:rsidRPr="00F74A85">
        <w:rPr>
          <w:rFonts w:eastAsia="Times New Roman" w:cs="Arial"/>
          <w:b/>
          <w:iCs/>
          <w:color w:val="000000"/>
          <w:sz w:val="22"/>
          <w:szCs w:val="22"/>
        </w:rPr>
        <w:fldChar w:fldCharType="end"/>
      </w:r>
      <w:r w:rsidRPr="00F74A85">
        <w:rPr>
          <w:rFonts w:eastAsia="Times New Roman" w:cs="Arial"/>
          <w:b/>
          <w:iCs/>
          <w:color w:val="000000"/>
          <w:sz w:val="22"/>
          <w:szCs w:val="22"/>
        </w:rPr>
        <w:t>).</w:t>
      </w:r>
    </w:p>
    <w:p w14:paraId="2EDA6A0F" w14:textId="77777777" w:rsidR="00EB0F2E" w:rsidRPr="00F74A85" w:rsidRDefault="00EB0F2E" w:rsidP="00F74A85">
      <w:pPr>
        <w:spacing w:after="0" w:line="276" w:lineRule="auto"/>
        <w:textAlignment w:val="baseline"/>
        <w:rPr>
          <w:rFonts w:eastAsia="Times New Roman" w:cs="Arial"/>
          <w:i/>
          <w:iCs/>
          <w:color w:val="000000"/>
          <w:sz w:val="22"/>
          <w:szCs w:val="22"/>
        </w:rPr>
      </w:pPr>
    </w:p>
    <w:p w14:paraId="75C8CC92" w14:textId="3ACAA841" w:rsidR="009919FB"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 xml:space="preserve">In indirect calorimetry, heat production is calculated from chemical processes. Knowing, for example, that the oxidation of 1 mol glucose requires 6 mol oxygen and produces 6 mol water, 6 mol carbon dioxide and 2.8 MJ heat, the heat production can be calculated from oxygen consumption or carbon dioxide production. </w:t>
      </w:r>
      <w:r w:rsidR="00D47B53" w:rsidRPr="00F74A85">
        <w:rPr>
          <w:rFonts w:eastAsia="Times New Roman" w:cs="Arial"/>
          <w:color w:val="000000"/>
          <w:sz w:val="22"/>
          <w:szCs w:val="22"/>
        </w:rPr>
        <w:t>Heat production and t</w:t>
      </w:r>
      <w:r w:rsidRPr="00F74A85">
        <w:rPr>
          <w:rFonts w:eastAsia="Times New Roman" w:cs="Arial"/>
          <w:color w:val="000000"/>
          <w:sz w:val="22"/>
          <w:szCs w:val="22"/>
        </w:rPr>
        <w:t>he energy equivalent of oxygen and carbon dioxide varies with the nutrient oxidized (Tables 1 and 2).</w:t>
      </w:r>
    </w:p>
    <w:p w14:paraId="0BA59950" w14:textId="77777777" w:rsidR="00CD3A6E" w:rsidRPr="00F74A85" w:rsidRDefault="00CD3A6E" w:rsidP="00F74A85">
      <w:pPr>
        <w:spacing w:after="0" w:line="276" w:lineRule="auto"/>
        <w:textAlignment w:val="baseline"/>
        <w:rPr>
          <w:rFonts w:eastAsia="Times New Roman" w:cs="Arial"/>
          <w:color w:val="000000"/>
          <w:sz w:val="22"/>
          <w:szCs w:val="22"/>
        </w:rPr>
      </w:pPr>
    </w:p>
    <w:tbl>
      <w:tblPr>
        <w:tblStyle w:val="TableGrid1"/>
        <w:tblW w:w="9375" w:type="dxa"/>
        <w:tblLook w:val="04A0" w:firstRow="1" w:lastRow="0" w:firstColumn="1" w:lastColumn="0" w:noHBand="0" w:noVBand="1"/>
      </w:tblPr>
      <w:tblGrid>
        <w:gridCol w:w="1549"/>
        <w:gridCol w:w="2946"/>
        <w:gridCol w:w="3510"/>
        <w:gridCol w:w="1370"/>
      </w:tblGrid>
      <w:tr w:rsidR="009919FB" w:rsidRPr="00F74A85" w14:paraId="0F7D9B84" w14:textId="77777777" w:rsidTr="00CD3A6E">
        <w:tc>
          <w:tcPr>
            <w:tcW w:w="9375" w:type="dxa"/>
            <w:gridSpan w:val="4"/>
            <w:shd w:val="clear" w:color="auto" w:fill="FFFF00"/>
            <w:hideMark/>
          </w:tcPr>
          <w:p w14:paraId="335CF05B" w14:textId="1C5E777F" w:rsidR="009919FB" w:rsidRPr="00F74A85" w:rsidRDefault="009919FB" w:rsidP="00F74A85">
            <w:pPr>
              <w:spacing w:after="0" w:line="276" w:lineRule="auto"/>
              <w:rPr>
                <w:rFonts w:cs="Arial"/>
                <w:color w:val="000000"/>
                <w:sz w:val="22"/>
              </w:rPr>
            </w:pPr>
            <w:r w:rsidRPr="00F74A85">
              <w:rPr>
                <w:rFonts w:cs="Arial"/>
                <w:b/>
                <w:bCs/>
                <w:color w:val="000000"/>
                <w:sz w:val="22"/>
                <w:bdr w:val="none" w:sz="0" w:space="0" w:color="auto" w:frame="1"/>
              </w:rPr>
              <w:lastRenderedPageBreak/>
              <w:t>Table 1</w:t>
            </w:r>
            <w:r w:rsidR="00F74A85">
              <w:rPr>
                <w:rFonts w:cs="Arial"/>
                <w:b/>
                <w:bCs/>
                <w:color w:val="000000"/>
                <w:sz w:val="22"/>
                <w:bdr w:val="none" w:sz="0" w:space="0" w:color="auto" w:frame="1"/>
              </w:rPr>
              <w:t>.</w:t>
            </w:r>
            <w:r w:rsidRPr="00F74A85">
              <w:rPr>
                <w:rFonts w:cs="Arial"/>
                <w:b/>
                <w:bCs/>
                <w:color w:val="000000"/>
                <w:sz w:val="22"/>
                <w:bdr w:val="none" w:sz="0" w:space="0" w:color="auto" w:frame="1"/>
              </w:rPr>
              <w:t xml:space="preserve"> Gaseous </w:t>
            </w:r>
            <w:r w:rsidR="00CD3A6E">
              <w:rPr>
                <w:rFonts w:cs="Arial"/>
                <w:b/>
                <w:bCs/>
                <w:color w:val="000000"/>
                <w:sz w:val="22"/>
                <w:bdr w:val="none" w:sz="0" w:space="0" w:color="auto" w:frame="1"/>
              </w:rPr>
              <w:t>E</w:t>
            </w:r>
            <w:r w:rsidRPr="00F74A85">
              <w:rPr>
                <w:rFonts w:cs="Arial"/>
                <w:b/>
                <w:bCs/>
                <w:color w:val="000000"/>
                <w:sz w:val="22"/>
                <w:bdr w:val="none" w:sz="0" w:space="0" w:color="auto" w:frame="1"/>
              </w:rPr>
              <w:t xml:space="preserve">xchange and </w:t>
            </w:r>
            <w:r w:rsidR="00CD3A6E">
              <w:rPr>
                <w:rFonts w:cs="Arial"/>
                <w:b/>
                <w:bCs/>
                <w:color w:val="000000"/>
                <w:sz w:val="22"/>
                <w:bdr w:val="none" w:sz="0" w:space="0" w:color="auto" w:frame="1"/>
              </w:rPr>
              <w:t>H</w:t>
            </w:r>
            <w:r w:rsidRPr="00F74A85">
              <w:rPr>
                <w:rFonts w:cs="Arial"/>
                <w:b/>
                <w:bCs/>
                <w:color w:val="000000"/>
                <w:sz w:val="22"/>
                <w:bdr w:val="none" w:sz="0" w:space="0" w:color="auto" w:frame="1"/>
              </w:rPr>
              <w:t xml:space="preserve">eat </w:t>
            </w:r>
            <w:r w:rsidR="00CD3A6E">
              <w:rPr>
                <w:rFonts w:cs="Arial"/>
                <w:b/>
                <w:bCs/>
                <w:color w:val="000000"/>
                <w:sz w:val="22"/>
                <w:bdr w:val="none" w:sz="0" w:space="0" w:color="auto" w:frame="1"/>
              </w:rPr>
              <w:t>P</w:t>
            </w:r>
            <w:r w:rsidRPr="00F74A85">
              <w:rPr>
                <w:rFonts w:cs="Arial"/>
                <w:b/>
                <w:bCs/>
                <w:color w:val="000000"/>
                <w:sz w:val="22"/>
                <w:bdr w:val="none" w:sz="0" w:space="0" w:color="auto" w:frame="1"/>
              </w:rPr>
              <w:t xml:space="preserve">roduction of </w:t>
            </w:r>
            <w:r w:rsidR="00CD3A6E">
              <w:rPr>
                <w:rFonts w:cs="Arial"/>
                <w:b/>
                <w:bCs/>
                <w:color w:val="000000"/>
                <w:sz w:val="22"/>
                <w:bdr w:val="none" w:sz="0" w:space="0" w:color="auto" w:frame="1"/>
              </w:rPr>
              <w:t>M</w:t>
            </w:r>
            <w:r w:rsidRPr="00F74A85">
              <w:rPr>
                <w:rFonts w:cs="Arial"/>
                <w:b/>
                <w:bCs/>
                <w:color w:val="000000"/>
                <w:sz w:val="22"/>
                <w:bdr w:val="none" w:sz="0" w:space="0" w:color="auto" w:frame="1"/>
              </w:rPr>
              <w:t xml:space="preserve">etabolized </w:t>
            </w:r>
            <w:r w:rsidR="00CD3A6E">
              <w:rPr>
                <w:rFonts w:cs="Arial"/>
                <w:b/>
                <w:bCs/>
                <w:color w:val="000000"/>
                <w:sz w:val="22"/>
                <w:bdr w:val="none" w:sz="0" w:space="0" w:color="auto" w:frame="1"/>
              </w:rPr>
              <w:t>N</w:t>
            </w:r>
            <w:r w:rsidRPr="00F74A85">
              <w:rPr>
                <w:rFonts w:cs="Arial"/>
                <w:b/>
                <w:bCs/>
                <w:color w:val="000000"/>
                <w:sz w:val="22"/>
                <w:bdr w:val="none" w:sz="0" w:space="0" w:color="auto" w:frame="1"/>
              </w:rPr>
              <w:t>utrients</w:t>
            </w:r>
          </w:p>
        </w:tc>
      </w:tr>
      <w:tr w:rsidR="009919FB" w:rsidRPr="00F74A85" w14:paraId="744923C1" w14:textId="77777777" w:rsidTr="00CD3A6E">
        <w:tc>
          <w:tcPr>
            <w:tcW w:w="1549" w:type="dxa"/>
            <w:hideMark/>
          </w:tcPr>
          <w:p w14:paraId="60C3E33A" w14:textId="77777777" w:rsidR="009919FB" w:rsidRPr="00CD3A6E" w:rsidRDefault="009919FB" w:rsidP="00F74A85">
            <w:pPr>
              <w:spacing w:after="0" w:line="276" w:lineRule="auto"/>
              <w:rPr>
                <w:rFonts w:cs="Arial"/>
                <w:b/>
                <w:bCs/>
                <w:color w:val="000000"/>
                <w:sz w:val="22"/>
              </w:rPr>
            </w:pPr>
            <w:r w:rsidRPr="00CD3A6E">
              <w:rPr>
                <w:rFonts w:cs="Arial"/>
                <w:b/>
                <w:bCs/>
                <w:color w:val="000000"/>
                <w:sz w:val="22"/>
              </w:rPr>
              <w:t>Nutrient</w:t>
            </w:r>
          </w:p>
        </w:tc>
        <w:tc>
          <w:tcPr>
            <w:tcW w:w="2946" w:type="dxa"/>
            <w:hideMark/>
          </w:tcPr>
          <w:p w14:paraId="1F1E9D0E" w14:textId="69CA28D9" w:rsidR="009919FB" w:rsidRPr="00CD3A6E" w:rsidRDefault="009919FB" w:rsidP="00CD3A6E">
            <w:pPr>
              <w:spacing w:after="0" w:line="276" w:lineRule="auto"/>
              <w:rPr>
                <w:rFonts w:cs="Arial"/>
                <w:b/>
                <w:bCs/>
                <w:color w:val="000000"/>
                <w:sz w:val="22"/>
              </w:rPr>
            </w:pPr>
            <w:r w:rsidRPr="00CD3A6E">
              <w:rPr>
                <w:rFonts w:cs="Arial"/>
                <w:b/>
                <w:bCs/>
                <w:color w:val="000000"/>
                <w:sz w:val="22"/>
              </w:rPr>
              <w:t>Consumption oxygen</w:t>
            </w:r>
            <w:r w:rsidR="00CD3A6E" w:rsidRPr="00CD3A6E">
              <w:rPr>
                <w:rFonts w:cs="Arial"/>
                <w:b/>
                <w:bCs/>
                <w:color w:val="000000"/>
                <w:sz w:val="22"/>
              </w:rPr>
              <w:t xml:space="preserve"> </w:t>
            </w:r>
            <w:r w:rsidRPr="00CD3A6E">
              <w:rPr>
                <w:rFonts w:cs="Arial"/>
                <w:b/>
                <w:bCs/>
                <w:color w:val="000000"/>
                <w:sz w:val="22"/>
              </w:rPr>
              <w:t>(l/g)</w:t>
            </w:r>
          </w:p>
        </w:tc>
        <w:tc>
          <w:tcPr>
            <w:tcW w:w="3510" w:type="dxa"/>
            <w:hideMark/>
          </w:tcPr>
          <w:p w14:paraId="4D554BA4" w14:textId="134147AA" w:rsidR="009919FB" w:rsidRPr="00CD3A6E" w:rsidRDefault="009919FB" w:rsidP="00CD3A6E">
            <w:pPr>
              <w:spacing w:after="0" w:line="276" w:lineRule="auto"/>
              <w:rPr>
                <w:rFonts w:cs="Arial"/>
                <w:b/>
                <w:bCs/>
                <w:color w:val="000000"/>
                <w:sz w:val="22"/>
              </w:rPr>
            </w:pPr>
            <w:r w:rsidRPr="00CD3A6E">
              <w:rPr>
                <w:rFonts w:cs="Arial"/>
                <w:b/>
                <w:bCs/>
                <w:color w:val="000000"/>
                <w:sz w:val="22"/>
              </w:rPr>
              <w:t>Production carbon dioxide</w:t>
            </w:r>
            <w:r w:rsidR="00CD3A6E" w:rsidRPr="00CD3A6E">
              <w:rPr>
                <w:rFonts w:cs="Arial"/>
                <w:b/>
                <w:bCs/>
                <w:color w:val="000000"/>
                <w:sz w:val="22"/>
              </w:rPr>
              <w:t xml:space="preserve"> </w:t>
            </w:r>
            <w:r w:rsidRPr="00CD3A6E">
              <w:rPr>
                <w:rFonts w:cs="Arial"/>
                <w:b/>
                <w:bCs/>
                <w:color w:val="000000"/>
                <w:sz w:val="22"/>
              </w:rPr>
              <w:t>(l/g)</w:t>
            </w:r>
          </w:p>
        </w:tc>
        <w:tc>
          <w:tcPr>
            <w:tcW w:w="1370" w:type="dxa"/>
            <w:hideMark/>
          </w:tcPr>
          <w:p w14:paraId="2A6B5FDB" w14:textId="62F32C68" w:rsidR="009919FB" w:rsidRPr="00CD3A6E" w:rsidRDefault="009919FB" w:rsidP="00CD3A6E">
            <w:pPr>
              <w:spacing w:after="0" w:line="276" w:lineRule="auto"/>
              <w:rPr>
                <w:rFonts w:cs="Arial"/>
                <w:b/>
                <w:bCs/>
                <w:color w:val="000000"/>
                <w:sz w:val="22"/>
              </w:rPr>
            </w:pPr>
            <w:r w:rsidRPr="00CD3A6E">
              <w:rPr>
                <w:rFonts w:cs="Arial"/>
                <w:b/>
                <w:bCs/>
                <w:color w:val="000000"/>
                <w:sz w:val="22"/>
              </w:rPr>
              <w:t>Heat</w:t>
            </w:r>
            <w:r w:rsidR="00CD3A6E" w:rsidRPr="00CD3A6E">
              <w:rPr>
                <w:rFonts w:cs="Arial"/>
                <w:b/>
                <w:bCs/>
                <w:color w:val="000000"/>
                <w:sz w:val="22"/>
              </w:rPr>
              <w:t xml:space="preserve"> </w:t>
            </w:r>
            <w:r w:rsidRPr="00CD3A6E">
              <w:rPr>
                <w:rFonts w:cs="Arial"/>
                <w:b/>
                <w:bCs/>
                <w:color w:val="000000"/>
                <w:sz w:val="22"/>
              </w:rPr>
              <w:t>(kJ/g)</w:t>
            </w:r>
          </w:p>
        </w:tc>
      </w:tr>
      <w:tr w:rsidR="009919FB" w:rsidRPr="00F74A85" w14:paraId="09C9B4CC" w14:textId="77777777" w:rsidTr="00CD3A6E">
        <w:tc>
          <w:tcPr>
            <w:tcW w:w="1549" w:type="dxa"/>
            <w:hideMark/>
          </w:tcPr>
          <w:p w14:paraId="34EDA318" w14:textId="77777777" w:rsidR="009919FB" w:rsidRPr="00F74A85" w:rsidRDefault="009919FB" w:rsidP="00F74A85">
            <w:pPr>
              <w:spacing w:after="0" w:line="276" w:lineRule="auto"/>
              <w:rPr>
                <w:rFonts w:cs="Arial"/>
                <w:color w:val="000000"/>
                <w:sz w:val="22"/>
              </w:rPr>
            </w:pPr>
            <w:r w:rsidRPr="00F74A85">
              <w:rPr>
                <w:rFonts w:cs="Arial"/>
                <w:color w:val="000000"/>
                <w:sz w:val="22"/>
              </w:rPr>
              <w:t>Carbohydrate</w:t>
            </w:r>
          </w:p>
        </w:tc>
        <w:tc>
          <w:tcPr>
            <w:tcW w:w="2946" w:type="dxa"/>
            <w:hideMark/>
          </w:tcPr>
          <w:p w14:paraId="1B968C7D" w14:textId="77777777" w:rsidR="009919FB" w:rsidRPr="00F74A85" w:rsidRDefault="009919FB" w:rsidP="00F74A85">
            <w:pPr>
              <w:spacing w:after="0" w:line="276" w:lineRule="auto"/>
              <w:rPr>
                <w:rFonts w:cs="Arial"/>
                <w:color w:val="000000"/>
                <w:sz w:val="22"/>
              </w:rPr>
            </w:pPr>
            <w:r w:rsidRPr="00F74A85">
              <w:rPr>
                <w:rFonts w:cs="Arial"/>
                <w:color w:val="000000"/>
                <w:sz w:val="22"/>
              </w:rPr>
              <w:t>0.829</w:t>
            </w:r>
          </w:p>
        </w:tc>
        <w:tc>
          <w:tcPr>
            <w:tcW w:w="3510" w:type="dxa"/>
            <w:hideMark/>
          </w:tcPr>
          <w:p w14:paraId="799856CC" w14:textId="77777777" w:rsidR="009919FB" w:rsidRPr="00F74A85" w:rsidRDefault="009919FB" w:rsidP="00F74A85">
            <w:pPr>
              <w:spacing w:after="0" w:line="276" w:lineRule="auto"/>
              <w:rPr>
                <w:rFonts w:cs="Arial"/>
                <w:color w:val="000000"/>
                <w:sz w:val="22"/>
              </w:rPr>
            </w:pPr>
            <w:r w:rsidRPr="00F74A85">
              <w:rPr>
                <w:rFonts w:cs="Arial"/>
                <w:color w:val="000000"/>
                <w:sz w:val="22"/>
              </w:rPr>
              <w:t>0.829</w:t>
            </w:r>
          </w:p>
        </w:tc>
        <w:tc>
          <w:tcPr>
            <w:tcW w:w="1370" w:type="dxa"/>
            <w:hideMark/>
          </w:tcPr>
          <w:p w14:paraId="6446C392" w14:textId="77777777" w:rsidR="009919FB" w:rsidRPr="00F74A85" w:rsidRDefault="009919FB" w:rsidP="00F74A85">
            <w:pPr>
              <w:spacing w:after="0" w:line="276" w:lineRule="auto"/>
              <w:rPr>
                <w:rFonts w:cs="Arial"/>
                <w:color w:val="000000"/>
                <w:sz w:val="22"/>
              </w:rPr>
            </w:pPr>
            <w:r w:rsidRPr="00F74A85">
              <w:rPr>
                <w:rFonts w:cs="Arial"/>
                <w:color w:val="000000"/>
                <w:sz w:val="22"/>
              </w:rPr>
              <w:t>17.5</w:t>
            </w:r>
          </w:p>
        </w:tc>
      </w:tr>
      <w:tr w:rsidR="009919FB" w:rsidRPr="00F74A85" w14:paraId="062D08B6" w14:textId="77777777" w:rsidTr="00CD3A6E">
        <w:tc>
          <w:tcPr>
            <w:tcW w:w="1549" w:type="dxa"/>
            <w:hideMark/>
          </w:tcPr>
          <w:p w14:paraId="1A29BA26" w14:textId="77777777" w:rsidR="009919FB" w:rsidRPr="00F74A85" w:rsidRDefault="009919FB" w:rsidP="00F74A85">
            <w:pPr>
              <w:spacing w:after="0" w:line="276" w:lineRule="auto"/>
              <w:rPr>
                <w:rFonts w:cs="Arial"/>
                <w:color w:val="000000"/>
                <w:sz w:val="22"/>
              </w:rPr>
            </w:pPr>
            <w:r w:rsidRPr="00F74A85">
              <w:rPr>
                <w:rFonts w:cs="Arial"/>
                <w:color w:val="000000"/>
                <w:sz w:val="22"/>
              </w:rPr>
              <w:t>Protein</w:t>
            </w:r>
          </w:p>
        </w:tc>
        <w:tc>
          <w:tcPr>
            <w:tcW w:w="2946" w:type="dxa"/>
            <w:hideMark/>
          </w:tcPr>
          <w:p w14:paraId="4DD6F495" w14:textId="77777777" w:rsidR="009919FB" w:rsidRPr="00F74A85" w:rsidRDefault="009919FB" w:rsidP="00F74A85">
            <w:pPr>
              <w:spacing w:after="0" w:line="276" w:lineRule="auto"/>
              <w:rPr>
                <w:rFonts w:cs="Arial"/>
                <w:color w:val="000000"/>
                <w:sz w:val="22"/>
              </w:rPr>
            </w:pPr>
            <w:r w:rsidRPr="00F74A85">
              <w:rPr>
                <w:rFonts w:cs="Arial"/>
                <w:color w:val="000000"/>
                <w:sz w:val="22"/>
              </w:rPr>
              <w:t>0.967</w:t>
            </w:r>
          </w:p>
        </w:tc>
        <w:tc>
          <w:tcPr>
            <w:tcW w:w="3510" w:type="dxa"/>
            <w:hideMark/>
          </w:tcPr>
          <w:p w14:paraId="4A71DB7C" w14:textId="77777777" w:rsidR="009919FB" w:rsidRPr="00F74A85" w:rsidRDefault="009919FB" w:rsidP="00F74A85">
            <w:pPr>
              <w:spacing w:after="0" w:line="276" w:lineRule="auto"/>
              <w:rPr>
                <w:rFonts w:cs="Arial"/>
                <w:color w:val="000000"/>
                <w:sz w:val="22"/>
              </w:rPr>
            </w:pPr>
            <w:r w:rsidRPr="00F74A85">
              <w:rPr>
                <w:rFonts w:cs="Arial"/>
                <w:color w:val="000000"/>
                <w:sz w:val="22"/>
              </w:rPr>
              <w:t>0.775</w:t>
            </w:r>
          </w:p>
        </w:tc>
        <w:tc>
          <w:tcPr>
            <w:tcW w:w="1370" w:type="dxa"/>
            <w:hideMark/>
          </w:tcPr>
          <w:p w14:paraId="0CFDF858" w14:textId="77777777" w:rsidR="009919FB" w:rsidRPr="00F74A85" w:rsidRDefault="009919FB" w:rsidP="00F74A85">
            <w:pPr>
              <w:spacing w:after="0" w:line="276" w:lineRule="auto"/>
              <w:rPr>
                <w:rFonts w:cs="Arial"/>
                <w:color w:val="000000"/>
                <w:sz w:val="22"/>
              </w:rPr>
            </w:pPr>
            <w:r w:rsidRPr="00F74A85">
              <w:rPr>
                <w:rFonts w:cs="Arial"/>
                <w:color w:val="000000"/>
                <w:sz w:val="22"/>
              </w:rPr>
              <w:t>18.1</w:t>
            </w:r>
          </w:p>
        </w:tc>
      </w:tr>
      <w:tr w:rsidR="009919FB" w:rsidRPr="00F74A85" w14:paraId="05DB97EF" w14:textId="77777777" w:rsidTr="00CD3A6E">
        <w:tc>
          <w:tcPr>
            <w:tcW w:w="1549" w:type="dxa"/>
            <w:hideMark/>
          </w:tcPr>
          <w:p w14:paraId="08B3DF33" w14:textId="77777777" w:rsidR="009919FB" w:rsidRPr="00F74A85" w:rsidRDefault="009919FB" w:rsidP="00F74A85">
            <w:pPr>
              <w:spacing w:after="0" w:line="276" w:lineRule="auto"/>
              <w:rPr>
                <w:rFonts w:cs="Arial"/>
                <w:color w:val="000000"/>
                <w:sz w:val="22"/>
              </w:rPr>
            </w:pPr>
            <w:r w:rsidRPr="00F74A85">
              <w:rPr>
                <w:rFonts w:cs="Arial"/>
                <w:color w:val="000000"/>
                <w:sz w:val="22"/>
              </w:rPr>
              <w:t>Fat</w:t>
            </w:r>
          </w:p>
        </w:tc>
        <w:tc>
          <w:tcPr>
            <w:tcW w:w="2946" w:type="dxa"/>
            <w:hideMark/>
          </w:tcPr>
          <w:p w14:paraId="77865A07" w14:textId="77777777" w:rsidR="009919FB" w:rsidRPr="00F74A85" w:rsidRDefault="009919FB" w:rsidP="00F74A85">
            <w:pPr>
              <w:spacing w:after="0" w:line="276" w:lineRule="auto"/>
              <w:rPr>
                <w:rFonts w:cs="Arial"/>
                <w:color w:val="000000"/>
                <w:sz w:val="22"/>
              </w:rPr>
            </w:pPr>
            <w:r w:rsidRPr="00F74A85">
              <w:rPr>
                <w:rFonts w:cs="Arial"/>
                <w:color w:val="000000"/>
                <w:sz w:val="22"/>
              </w:rPr>
              <w:t>2.019</w:t>
            </w:r>
          </w:p>
        </w:tc>
        <w:tc>
          <w:tcPr>
            <w:tcW w:w="3510" w:type="dxa"/>
            <w:hideMark/>
          </w:tcPr>
          <w:p w14:paraId="7838A8B7" w14:textId="77777777" w:rsidR="009919FB" w:rsidRPr="00F74A85" w:rsidRDefault="009919FB" w:rsidP="00F74A85">
            <w:pPr>
              <w:spacing w:after="0" w:line="276" w:lineRule="auto"/>
              <w:rPr>
                <w:rFonts w:cs="Arial"/>
                <w:color w:val="000000"/>
                <w:sz w:val="22"/>
              </w:rPr>
            </w:pPr>
            <w:r w:rsidRPr="00F74A85">
              <w:rPr>
                <w:rFonts w:cs="Arial"/>
                <w:color w:val="000000"/>
                <w:sz w:val="22"/>
              </w:rPr>
              <w:t>1.427</w:t>
            </w:r>
          </w:p>
        </w:tc>
        <w:tc>
          <w:tcPr>
            <w:tcW w:w="1370" w:type="dxa"/>
            <w:hideMark/>
          </w:tcPr>
          <w:p w14:paraId="30AD5D28" w14:textId="77777777" w:rsidR="009919FB" w:rsidRPr="00F74A85" w:rsidRDefault="009919FB" w:rsidP="00F74A85">
            <w:pPr>
              <w:spacing w:after="0" w:line="276" w:lineRule="auto"/>
              <w:rPr>
                <w:rFonts w:cs="Arial"/>
                <w:color w:val="000000"/>
                <w:sz w:val="22"/>
              </w:rPr>
            </w:pPr>
            <w:r w:rsidRPr="00F74A85">
              <w:rPr>
                <w:rFonts w:cs="Arial"/>
                <w:color w:val="000000"/>
                <w:sz w:val="22"/>
              </w:rPr>
              <w:t>39.6</w:t>
            </w:r>
          </w:p>
        </w:tc>
      </w:tr>
    </w:tbl>
    <w:p w14:paraId="16738E5D" w14:textId="11060403" w:rsidR="009919FB" w:rsidRPr="00F74A85" w:rsidRDefault="009919FB" w:rsidP="00F74A85">
      <w:pPr>
        <w:spacing w:after="0" w:line="276" w:lineRule="auto"/>
        <w:rPr>
          <w:rFonts w:cs="Arial"/>
          <w:sz w:val="22"/>
          <w:szCs w:val="22"/>
        </w:rPr>
      </w:pPr>
    </w:p>
    <w:p w14:paraId="3A0084C8" w14:textId="64A851EC"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 xml:space="preserve">Brouwer </w:t>
      </w:r>
      <w:r w:rsidR="0049744E" w:rsidRPr="00F74A85">
        <w:rPr>
          <w:rFonts w:eastAsia="Times New Roman" w:cs="Arial"/>
          <w:color w:val="000000"/>
          <w:sz w:val="22"/>
          <w:szCs w:val="22"/>
        </w:rPr>
        <w:fldChar w:fldCharType="begin"/>
      </w:r>
      <w:r w:rsidR="00A20A95" w:rsidRPr="00F74A85">
        <w:rPr>
          <w:rFonts w:eastAsia="Times New Roman" w:cs="Arial"/>
          <w:color w:val="000000"/>
          <w:sz w:val="22"/>
          <w:szCs w:val="22"/>
        </w:rPr>
        <w:instrText xml:space="preserve"> ADDIN EN.CITE &lt;EndNote&gt;&lt;Cite&gt;&lt;Author&gt;Brouwer&lt;/Author&gt;&lt;Year&gt;1957&lt;/Year&gt;&lt;RecNum&gt;7074&lt;/RecNum&gt;&lt;DisplayText&gt;(2)&lt;/DisplayText&gt;&lt;record&gt;&lt;rec-number&gt;7074&lt;/rec-number&gt;&lt;foreign-keys&gt;&lt;key app="EN" db-id="pvt9995p1wxx22eefv2xzrame55pwzadt2ws" timestamp="1647797662" guid="8af82f4c-b2ea-4d71-9186-c056cc9dba3f"&gt;7074&lt;/key&gt;&lt;/foreign-keys&gt;&lt;ref-type name="Journal Article"&gt;17&lt;/ref-type&gt;&lt;contributors&gt;&lt;authors&gt;&lt;author&gt;Brouwer, E.&lt;/author&gt;&lt;/authors&gt;&lt;/contributors&gt;&lt;titles&gt;&lt;title&gt;On simple formulae for calculating the heat expenditure and the quantities of carbohydrate and fat oxidized in metabolism of men and animals, from gaseous exchange (Oxygen intake and carbonic acid output) and urine-N&lt;/title&gt;&lt;secondary-title&gt;Acta Physiol Pharmacol Neerl&lt;/secondary-title&gt;&lt;/titles&gt;&lt;periodical&gt;&lt;full-title&gt;Acta Physiol Pharmacol Neerl&lt;/full-title&gt;&lt;/periodical&gt;&lt;pages&gt;795-802&lt;/pages&gt;&lt;volume&gt;6&lt;/volume&gt;&lt;edition&gt;1957/01/01&lt;/edition&gt;&lt;keywords&gt;&lt;keyword&gt;Animals&lt;/keyword&gt;&lt;keyword&gt;*Carbohydrates&lt;/keyword&gt;&lt;keyword&gt;*Carbonic Acid&lt;/keyword&gt;&lt;keyword&gt;*Health Expenditures&lt;/keyword&gt;&lt;keyword&gt;*Hot Temperature&lt;/keyword&gt;&lt;keyword&gt;Humans&lt;/keyword&gt;&lt;keyword&gt;Male&lt;/keyword&gt;&lt;keyword&gt;*Metabolism&lt;/keyword&gt;&lt;keyword&gt;*Oxidation-Reduction&lt;/keyword&gt;&lt;keyword&gt;*Oxygen&lt;/keyword&gt;&lt;/keywords&gt;&lt;dates&gt;&lt;year&gt;1957&lt;/year&gt;&lt;/dates&gt;&lt;isbn&gt;0001-6748 (Print)&amp;#xD;0001-6748 (Linking)&lt;/isbn&gt;&lt;accession-num&gt;13487422&lt;/accession-num&gt;&lt;urls&gt;&lt;related-urls&gt;&lt;url&gt;https://www.ncbi.nlm.nih.gov/pubmed/13487422&lt;/url&gt;&lt;/related-urls&gt;&lt;/urls&gt;&lt;/record&gt;&lt;/Cite&gt;&lt;/EndNote&gt;</w:instrText>
      </w:r>
      <w:r w:rsidR="0049744E" w:rsidRPr="00F74A85">
        <w:rPr>
          <w:rFonts w:eastAsia="Times New Roman" w:cs="Arial"/>
          <w:color w:val="000000"/>
          <w:sz w:val="22"/>
          <w:szCs w:val="22"/>
        </w:rPr>
        <w:fldChar w:fldCharType="separate"/>
      </w:r>
      <w:r w:rsidR="0049744E" w:rsidRPr="00F74A85">
        <w:rPr>
          <w:rFonts w:eastAsia="Times New Roman" w:cs="Arial"/>
          <w:noProof/>
          <w:color w:val="000000"/>
          <w:sz w:val="22"/>
          <w:szCs w:val="22"/>
        </w:rPr>
        <w:t>(2)</w:t>
      </w:r>
      <w:r w:rsidR="0049744E" w:rsidRPr="00F74A85">
        <w:rPr>
          <w:rFonts w:eastAsia="Times New Roman" w:cs="Arial"/>
          <w:color w:val="000000"/>
          <w:sz w:val="22"/>
          <w:szCs w:val="22"/>
        </w:rPr>
        <w:fldChar w:fldCharType="end"/>
      </w:r>
      <w:r w:rsidR="0049744E" w:rsidRPr="00F74A85">
        <w:rPr>
          <w:rFonts w:eastAsia="Times New Roman" w:cs="Arial"/>
          <w:color w:val="000000"/>
          <w:sz w:val="22"/>
          <w:szCs w:val="22"/>
        </w:rPr>
        <w:t xml:space="preserve"> </w:t>
      </w:r>
      <w:r w:rsidRPr="00F74A85">
        <w:rPr>
          <w:rFonts w:eastAsia="Times New Roman" w:cs="Arial"/>
          <w:color w:val="000000"/>
          <w:sz w:val="22"/>
          <w:szCs w:val="22"/>
        </w:rPr>
        <w:t>drew up simple formulae for calculating the heat production and the quantities of carbohydrate (C), protein (P) and fat (F) oxidized from oxygen consumption, carbon dioxide production and urine-nitrogen loss. The principle of the calculation consists of three equations with the mentioned three measured variables:</w:t>
      </w:r>
    </w:p>
    <w:p w14:paraId="7FE22EC0" w14:textId="77777777" w:rsidR="00EB0F2E" w:rsidRPr="00F74A85" w:rsidRDefault="00EB0F2E" w:rsidP="00F74A85">
      <w:pPr>
        <w:spacing w:after="0" w:line="276" w:lineRule="auto"/>
        <w:textAlignment w:val="baseline"/>
        <w:rPr>
          <w:rFonts w:eastAsia="Times New Roman" w:cs="Arial"/>
          <w:color w:val="000000"/>
          <w:sz w:val="22"/>
          <w:szCs w:val="22"/>
        </w:rPr>
      </w:pPr>
    </w:p>
    <w:p w14:paraId="40F2B423" w14:textId="77777777"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Oxygen consumption              = 0.829 C + 0.967 P + 2.019 F</w:t>
      </w:r>
    </w:p>
    <w:p w14:paraId="39F5877E" w14:textId="77777777"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Carbon dioxide production      = 0.829 C + 0.775 P + 1.427 F</w:t>
      </w:r>
    </w:p>
    <w:p w14:paraId="1B5BD261" w14:textId="2328865F"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Heat production                       = 21.1 C + 18.7 P + 19.6 F</w:t>
      </w:r>
    </w:p>
    <w:p w14:paraId="64B79F7C" w14:textId="77777777" w:rsidR="00EB0F2E" w:rsidRPr="00F74A85" w:rsidRDefault="00EB0F2E" w:rsidP="00F74A85">
      <w:pPr>
        <w:spacing w:after="0" w:line="276" w:lineRule="auto"/>
        <w:textAlignment w:val="baseline"/>
        <w:rPr>
          <w:rFonts w:eastAsia="Times New Roman" w:cs="Arial"/>
          <w:color w:val="000000"/>
          <w:sz w:val="22"/>
          <w:szCs w:val="22"/>
        </w:rPr>
      </w:pPr>
    </w:p>
    <w:p w14:paraId="3895E484" w14:textId="4AA08480" w:rsidR="00421C1C" w:rsidRPr="00F74A85" w:rsidRDefault="00593014"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Usually,</w:t>
      </w:r>
      <w:r w:rsidR="00016891" w:rsidRPr="00F74A85">
        <w:rPr>
          <w:rFonts w:eastAsia="Times New Roman" w:cs="Arial"/>
          <w:color w:val="000000"/>
          <w:sz w:val="22"/>
          <w:szCs w:val="22"/>
        </w:rPr>
        <w:t xml:space="preserve"> only urine nitrogen is measured when information on the contribution of C, P, and F to energy production is needed. </w:t>
      </w:r>
      <w:r w:rsidR="009919FB" w:rsidRPr="00F74A85">
        <w:rPr>
          <w:rFonts w:eastAsia="Times New Roman" w:cs="Arial"/>
          <w:color w:val="000000"/>
          <w:sz w:val="22"/>
          <w:szCs w:val="22"/>
        </w:rPr>
        <w:t>Protein oxidation (g) is calculated as 6.25 x urine-nitrogen (g), and subsequently oxygen consumption and carbon dioxide production can be corrected for protein oxidation to allow calculation of carbohydrate and fat oxidation. The general formula for the calculation of energy production (E) derived from these figures is:</w:t>
      </w:r>
      <w:r w:rsidR="00421C1C" w:rsidRPr="00F74A85">
        <w:rPr>
          <w:rFonts w:eastAsia="Times New Roman" w:cs="Arial"/>
          <w:color w:val="000000"/>
          <w:sz w:val="22"/>
          <w:szCs w:val="22"/>
        </w:rPr>
        <w:t xml:space="preserve">  </w:t>
      </w:r>
    </w:p>
    <w:p w14:paraId="7D2FA99C" w14:textId="77777777" w:rsidR="00421C1C" w:rsidRPr="00F74A85" w:rsidRDefault="00421C1C" w:rsidP="00F74A85">
      <w:pPr>
        <w:spacing w:after="0" w:line="276" w:lineRule="auto"/>
        <w:textAlignment w:val="baseline"/>
        <w:rPr>
          <w:rFonts w:eastAsia="Times New Roman" w:cs="Arial"/>
          <w:color w:val="000000"/>
          <w:sz w:val="22"/>
          <w:szCs w:val="22"/>
        </w:rPr>
      </w:pPr>
    </w:p>
    <w:p w14:paraId="6E127CEA" w14:textId="77777777" w:rsidR="00421C1C"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E = 16.20 * oxygen consumption + 5.00 * carbon dioxide production - 0.95 P</w:t>
      </w:r>
      <w:r w:rsidR="00421C1C" w:rsidRPr="00F74A85">
        <w:rPr>
          <w:rFonts w:eastAsia="Times New Roman" w:cs="Arial"/>
          <w:color w:val="000000"/>
          <w:sz w:val="22"/>
          <w:szCs w:val="22"/>
        </w:rPr>
        <w:t xml:space="preserve">. </w:t>
      </w:r>
    </w:p>
    <w:p w14:paraId="311B353B" w14:textId="77777777" w:rsidR="00421C1C" w:rsidRPr="00F74A85" w:rsidRDefault="00421C1C" w:rsidP="00F74A85">
      <w:pPr>
        <w:spacing w:after="0" w:line="276" w:lineRule="auto"/>
        <w:textAlignment w:val="baseline"/>
        <w:rPr>
          <w:rFonts w:eastAsia="Times New Roman" w:cs="Arial"/>
          <w:color w:val="000000"/>
          <w:sz w:val="22"/>
          <w:szCs w:val="22"/>
        </w:rPr>
      </w:pPr>
    </w:p>
    <w:p w14:paraId="2756F481" w14:textId="39FAFAF2"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 xml:space="preserve">In this formula the contribution of </w:t>
      </w:r>
      <w:r w:rsidR="00421C1C" w:rsidRPr="00F74A85">
        <w:rPr>
          <w:rFonts w:eastAsia="Times New Roman" w:cs="Arial"/>
          <w:color w:val="000000"/>
          <w:sz w:val="22"/>
          <w:szCs w:val="22"/>
        </w:rPr>
        <w:t xml:space="preserve">protein </w:t>
      </w:r>
      <w:r w:rsidR="00016891" w:rsidRPr="00F74A85">
        <w:rPr>
          <w:rFonts w:eastAsia="Times New Roman" w:cs="Arial"/>
          <w:color w:val="000000"/>
          <w:sz w:val="22"/>
          <w:szCs w:val="22"/>
        </w:rPr>
        <w:t xml:space="preserve">(P) </w:t>
      </w:r>
      <w:r w:rsidR="00421C1C" w:rsidRPr="00F74A85">
        <w:rPr>
          <w:rFonts w:eastAsia="Times New Roman" w:cs="Arial"/>
          <w:color w:val="000000"/>
          <w:sz w:val="22"/>
          <w:szCs w:val="22"/>
        </w:rPr>
        <w:t>to energy production</w:t>
      </w:r>
      <w:r w:rsidR="00016891" w:rsidRPr="00F74A85">
        <w:rPr>
          <w:rFonts w:eastAsia="Times New Roman" w:cs="Arial"/>
          <w:color w:val="000000"/>
          <w:sz w:val="22"/>
          <w:szCs w:val="22"/>
        </w:rPr>
        <w:t xml:space="preserve"> (E)</w:t>
      </w:r>
      <w:r w:rsidRPr="00F74A85">
        <w:rPr>
          <w:rFonts w:eastAsia="Times New Roman" w:cs="Arial"/>
          <w:color w:val="000000"/>
          <w:sz w:val="22"/>
          <w:szCs w:val="22"/>
        </w:rPr>
        <w:t xml:space="preserve">, the so-called protein correction, is </w:t>
      </w:r>
      <w:r w:rsidR="00016891" w:rsidRPr="00F74A85">
        <w:rPr>
          <w:rFonts w:eastAsia="Times New Roman" w:cs="Arial"/>
          <w:color w:val="000000"/>
          <w:sz w:val="22"/>
          <w:szCs w:val="22"/>
        </w:rPr>
        <w:t xml:space="preserve">very </w:t>
      </w:r>
      <w:r w:rsidRPr="00F74A85">
        <w:rPr>
          <w:rFonts w:eastAsia="Times New Roman" w:cs="Arial"/>
          <w:color w:val="000000"/>
          <w:sz w:val="22"/>
          <w:szCs w:val="22"/>
        </w:rPr>
        <w:t xml:space="preserve">small. In the case of a normal protein oxidation of 10-15 per cent of the daily energy production, the protein correction for the calculation of </w:t>
      </w:r>
      <w:r w:rsidRPr="00F74A85">
        <w:rPr>
          <w:rFonts w:eastAsia="Times New Roman" w:cs="Arial"/>
          <w:i/>
          <w:iCs/>
          <w:color w:val="000000"/>
          <w:sz w:val="22"/>
          <w:szCs w:val="22"/>
          <w:bdr w:val="none" w:sz="0" w:space="0" w:color="auto" w:frame="1"/>
        </w:rPr>
        <w:t>E</w:t>
      </w:r>
      <w:r w:rsidRPr="00F74A85">
        <w:rPr>
          <w:rFonts w:eastAsia="Times New Roman" w:cs="Arial"/>
          <w:color w:val="000000"/>
          <w:sz w:val="22"/>
          <w:szCs w:val="22"/>
        </w:rPr>
        <w:t xml:space="preserve"> is about </w:t>
      </w:r>
      <w:r w:rsidR="0049744E" w:rsidRPr="00F74A85">
        <w:rPr>
          <w:rFonts w:eastAsia="Times New Roman" w:cs="Arial"/>
          <w:color w:val="000000"/>
          <w:sz w:val="22"/>
          <w:szCs w:val="22"/>
        </w:rPr>
        <w:t>one</w:t>
      </w:r>
      <w:r w:rsidRPr="00F74A85">
        <w:rPr>
          <w:rFonts w:eastAsia="Times New Roman" w:cs="Arial"/>
          <w:color w:val="000000"/>
          <w:sz w:val="22"/>
          <w:szCs w:val="22"/>
        </w:rPr>
        <w:t xml:space="preserve"> per cent. For </w:t>
      </w:r>
      <w:r w:rsidR="00016891" w:rsidRPr="00F74A85">
        <w:rPr>
          <w:rFonts w:eastAsia="Times New Roman" w:cs="Arial"/>
          <w:color w:val="000000"/>
          <w:sz w:val="22"/>
          <w:szCs w:val="22"/>
        </w:rPr>
        <w:t xml:space="preserve">this reason, in the </w:t>
      </w:r>
      <w:r w:rsidRPr="00F74A85">
        <w:rPr>
          <w:rFonts w:eastAsia="Times New Roman" w:cs="Arial"/>
          <w:color w:val="000000"/>
          <w:sz w:val="22"/>
          <w:szCs w:val="22"/>
        </w:rPr>
        <w:t>calculation of energy production, the protein correction is often neglected.</w:t>
      </w:r>
    </w:p>
    <w:p w14:paraId="67E6A754" w14:textId="77777777" w:rsidR="00EB0F2E" w:rsidRPr="00F74A85" w:rsidRDefault="00EB0F2E" w:rsidP="00F74A85">
      <w:pPr>
        <w:spacing w:after="0" w:line="276" w:lineRule="auto"/>
        <w:textAlignment w:val="baseline"/>
        <w:rPr>
          <w:rFonts w:eastAsia="Times New Roman" w:cs="Arial"/>
          <w:color w:val="000000"/>
          <w:sz w:val="22"/>
          <w:szCs w:val="22"/>
        </w:rPr>
      </w:pPr>
    </w:p>
    <w:p w14:paraId="4DEEB4E1" w14:textId="373C5C4D"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 xml:space="preserve">Metabolizable energy is available for energy production in the form of heat and for external work. At present, the state of the art for assessing total energy expenditure is with indirect calorimetry. With indirect calorimetry, the energy expenditure is calculated from gaseous exchange of oxygen and carbon dioxide. The result is the total energy expenditure of the body for heat production and work output. With direct calorimetry, only heat loss is measured. At rest, total energy expenditure is converted to heat. During physical activity, there is work output as well. The proportion of energy expenditure for external work is the work efficiency. At rest, indirect calorimetry-assessed energy expenditure matches heat loss as measured with direct calorimetry. During physical activity, heat loss is systematically lower than indirect calorimetry-assessed energy expenditure and can be up to 25% lower than total energy expenditure during endurance exercise. The difference increases with exercise intensity. For example, during cycling, indirect calorimetry assessed energy expenditure matches the sum of heat loss and power output </w:t>
      </w:r>
      <w:r w:rsidR="0049744E" w:rsidRPr="00F74A85">
        <w:rPr>
          <w:rFonts w:eastAsia="Times New Roman" w:cs="Arial"/>
          <w:color w:val="000000"/>
          <w:sz w:val="22"/>
          <w:szCs w:val="22"/>
        </w:rPr>
        <w:fldChar w:fldCharType="begin"/>
      </w:r>
      <w:r w:rsidR="00A20A95" w:rsidRPr="00F74A85">
        <w:rPr>
          <w:rFonts w:eastAsia="Times New Roman" w:cs="Arial"/>
          <w:color w:val="000000"/>
          <w:sz w:val="22"/>
          <w:szCs w:val="22"/>
        </w:rPr>
        <w:instrText xml:space="preserve"> ADDIN EN.CITE &lt;EndNote&gt;&lt;Cite&gt;&lt;Author&gt;Webb&lt;/Author&gt;&lt;Year&gt;1988&lt;/Year&gt;&lt;RecNum&gt;7075&lt;/RecNum&gt;&lt;DisplayText&gt;(3)&lt;/DisplayText&gt;&lt;record&gt;&lt;rec-number&gt;7075&lt;/rec-number&gt;&lt;foreign-keys&gt;&lt;key app="EN" db-id="pvt9995p1wxx22eefv2xzrame55pwzadt2ws" timestamp="1647797761" guid="d9dfb6c8-e0d6-4a44-ba15-611d5d068b23"&gt;7075&lt;/key&gt;&lt;/foreign-keys&gt;&lt;ref-type name="Journal Article"&gt;17&lt;/ref-type&gt;&lt;contributors&gt;&lt;authors&gt;&lt;author&gt;Webb, P.&lt;/author&gt;&lt;author&gt;Saris, W. H.&lt;/author&gt;&lt;author&gt;Schoffelen, P. F.&lt;/author&gt;&lt;author&gt;Van Ingen Schenau, G. J.&lt;/author&gt;&lt;author&gt;Ten Hoor, F.&lt;/author&gt;&lt;/authors&gt;&lt;/contributors&gt;&lt;auth-address&gt;Department of Human Biology, University of Limburg, Maastricht, The Netherlands.&lt;/auth-address&gt;&lt;titles&gt;&lt;title&gt;The work of walking: a calorimetric study&lt;/title&gt;&lt;secondary-title&gt;Med Sci Sports Exerc&lt;/secondary-title&gt;&lt;/titles&gt;&lt;periodical&gt;&lt;full-title&gt;Med Sci Sports Exerc&lt;/full-title&gt;&lt;/periodical&gt;&lt;pages&gt;331-7&lt;/pages&gt;&lt;volume&gt;20&lt;/volume&gt;&lt;number&gt;4&lt;/number&gt;&lt;edition&gt;1988/08/01&lt;/edition&gt;&lt;keywords&gt;&lt;keyword&gt;Adult&lt;/keyword&gt;&lt;keyword&gt;Body Temperature Regulation&lt;/keyword&gt;&lt;keyword&gt;Calorimetry, Indirect/instrumentation&lt;/keyword&gt;&lt;keyword&gt;*Energy Metabolism&lt;/keyword&gt;&lt;keyword&gt;Equipment Design&lt;/keyword&gt;&lt;keyword&gt;Female&lt;/keyword&gt;&lt;keyword&gt;Humans&lt;/keyword&gt;&lt;keyword&gt;*Locomotion&lt;/keyword&gt;&lt;keyword&gt;Male&lt;/keyword&gt;&lt;keyword&gt;*Physical Exertion&lt;/keyword&gt;&lt;/keywords&gt;&lt;dates&gt;&lt;year&gt;1988&lt;/year&gt;&lt;pub-dates&gt;&lt;date&gt;Aug&lt;/date&gt;&lt;/pub-dates&gt;&lt;/dates&gt;&lt;isbn&gt;0195-9131 (Print)&amp;#xD;0195-9131 (Linking)&lt;/isbn&gt;&lt;accession-num&gt;3173041&lt;/accession-num&gt;&lt;urls&gt;&lt;related-urls&gt;&lt;url&gt;https://www.ncbi.nlm.nih.gov/pubmed/3173041&lt;/url&gt;&lt;/related-urls&gt;&lt;/urls&gt;&lt;electronic-resource-num&gt;10.1249/00005768-198808000-00002&lt;/electronic-resource-num&gt;&lt;/record&gt;&lt;/Cite&gt;&lt;/EndNote&gt;</w:instrText>
      </w:r>
      <w:r w:rsidR="0049744E" w:rsidRPr="00F74A85">
        <w:rPr>
          <w:rFonts w:eastAsia="Times New Roman" w:cs="Arial"/>
          <w:color w:val="000000"/>
          <w:sz w:val="22"/>
          <w:szCs w:val="22"/>
        </w:rPr>
        <w:fldChar w:fldCharType="separate"/>
      </w:r>
      <w:r w:rsidR="0049744E" w:rsidRPr="00F74A85">
        <w:rPr>
          <w:rFonts w:eastAsia="Times New Roman" w:cs="Arial"/>
          <w:noProof/>
          <w:color w:val="000000"/>
          <w:sz w:val="22"/>
          <w:szCs w:val="22"/>
        </w:rPr>
        <w:t>(3)</w:t>
      </w:r>
      <w:r w:rsidR="0049744E" w:rsidRPr="00F74A85">
        <w:rPr>
          <w:rFonts w:eastAsia="Times New Roman" w:cs="Arial"/>
          <w:color w:val="000000"/>
          <w:sz w:val="22"/>
          <w:szCs w:val="22"/>
        </w:rPr>
        <w:fldChar w:fldCharType="end"/>
      </w:r>
      <w:r w:rsidR="0049744E" w:rsidRPr="00F74A85">
        <w:rPr>
          <w:rFonts w:eastAsia="Times New Roman" w:cs="Arial"/>
          <w:color w:val="000000"/>
          <w:sz w:val="22"/>
          <w:szCs w:val="22"/>
        </w:rPr>
        <w:t xml:space="preserve"> </w:t>
      </w:r>
      <w:r w:rsidR="004A3A42" w:rsidRPr="00F74A85">
        <w:rPr>
          <w:rFonts w:eastAsia="Times New Roman" w:cs="Arial"/>
          <w:color w:val="000000"/>
          <w:sz w:val="22"/>
          <w:szCs w:val="22"/>
        </w:rPr>
        <w:t>an</w:t>
      </w:r>
      <w:r w:rsidR="004B0E82" w:rsidRPr="00F74A85">
        <w:rPr>
          <w:rFonts w:eastAsia="Times New Roman" w:cs="Arial"/>
          <w:color w:val="000000"/>
          <w:sz w:val="22"/>
          <w:szCs w:val="22"/>
        </w:rPr>
        <w:t xml:space="preserve">d </w:t>
      </w:r>
      <w:r w:rsidRPr="00F74A85">
        <w:rPr>
          <w:rFonts w:eastAsia="Times New Roman" w:cs="Arial"/>
          <w:color w:val="000000"/>
          <w:sz w:val="22"/>
          <w:szCs w:val="22"/>
        </w:rPr>
        <w:t xml:space="preserve">work efficiency during cycling, </w:t>
      </w:r>
      <w:r w:rsidR="004B0E82" w:rsidRPr="00F74A85">
        <w:rPr>
          <w:rFonts w:eastAsia="Times New Roman" w:cs="Arial"/>
          <w:color w:val="000000"/>
          <w:sz w:val="22"/>
          <w:szCs w:val="22"/>
        </w:rPr>
        <w:t xml:space="preserve">the </w:t>
      </w:r>
      <w:r w:rsidRPr="00F74A85">
        <w:rPr>
          <w:rFonts w:eastAsia="Times New Roman" w:cs="Arial"/>
          <w:color w:val="000000"/>
          <w:sz w:val="22"/>
          <w:szCs w:val="22"/>
        </w:rPr>
        <w:t>power output divided by energy expenditure</w:t>
      </w:r>
      <w:r w:rsidR="004B0E82" w:rsidRPr="00F74A85">
        <w:rPr>
          <w:rFonts w:eastAsia="Times New Roman" w:cs="Arial"/>
          <w:color w:val="000000"/>
          <w:sz w:val="22"/>
          <w:szCs w:val="22"/>
        </w:rPr>
        <w:t>,</w:t>
      </w:r>
      <w:r w:rsidRPr="00F74A85">
        <w:rPr>
          <w:rFonts w:eastAsia="Times New Roman" w:cs="Arial"/>
          <w:color w:val="000000"/>
          <w:sz w:val="22"/>
          <w:szCs w:val="22"/>
        </w:rPr>
        <w:t xml:space="preserve"> is in the range of 15 to 25%.</w:t>
      </w:r>
    </w:p>
    <w:p w14:paraId="3580C880" w14:textId="77777777" w:rsidR="00EB0F2E" w:rsidRPr="00F74A85" w:rsidRDefault="00EB0F2E" w:rsidP="00F74A85">
      <w:pPr>
        <w:spacing w:after="0" w:line="276" w:lineRule="auto"/>
        <w:textAlignment w:val="baseline"/>
        <w:rPr>
          <w:rFonts w:eastAsia="Times New Roman" w:cs="Arial"/>
          <w:color w:val="000000"/>
          <w:sz w:val="22"/>
          <w:szCs w:val="22"/>
        </w:rPr>
      </w:pPr>
    </w:p>
    <w:p w14:paraId="599E0888" w14:textId="5278206A"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lastRenderedPageBreak/>
        <w:t xml:space="preserve">Current techniques utilizing indirect calorimetry for the measurement of energy expenditure in </w:t>
      </w:r>
      <w:r w:rsidR="00EB225A" w:rsidRPr="00F74A85">
        <w:rPr>
          <w:rFonts w:eastAsia="Times New Roman" w:cs="Arial"/>
          <w:color w:val="000000"/>
          <w:sz w:val="22"/>
          <w:szCs w:val="22"/>
        </w:rPr>
        <w:t>humans</w:t>
      </w:r>
      <w:r w:rsidRPr="00F74A85">
        <w:rPr>
          <w:rFonts w:eastAsia="Times New Roman" w:cs="Arial"/>
          <w:color w:val="000000"/>
          <w:sz w:val="22"/>
          <w:szCs w:val="22"/>
        </w:rPr>
        <w:t xml:space="preserve"> include a facemask or ventilated hood, respiration chamber (whole room calorimeter), and the doubly labelled water method. A facemask is typically used to measure energy expenditure during standardized activities on a treadmill or a cycle ergometer. A ventilated hood is used to measure resting energy expenditure and energy expenditure </w:t>
      </w:r>
      <w:r w:rsidR="00EB225A" w:rsidRPr="00F74A85">
        <w:rPr>
          <w:rFonts w:eastAsia="Times New Roman" w:cs="Arial"/>
          <w:color w:val="000000"/>
          <w:sz w:val="22"/>
          <w:szCs w:val="22"/>
        </w:rPr>
        <w:t>during nutrient processing and absorption</w:t>
      </w:r>
      <w:r w:rsidRPr="00F74A85">
        <w:rPr>
          <w:rFonts w:eastAsia="Times New Roman" w:cs="Arial"/>
          <w:color w:val="000000"/>
          <w:sz w:val="22"/>
          <w:szCs w:val="22"/>
        </w:rPr>
        <w:t xml:space="preserve"> (diet-induced energy expenditure). A respiration chamber is an airtight room</w:t>
      </w:r>
      <w:r w:rsidR="00EB225A" w:rsidRPr="00F74A85">
        <w:rPr>
          <w:rFonts w:eastAsia="Times New Roman" w:cs="Arial"/>
          <w:color w:val="000000"/>
          <w:sz w:val="22"/>
          <w:szCs w:val="22"/>
        </w:rPr>
        <w:t xml:space="preserve"> that </w:t>
      </w:r>
      <w:r w:rsidRPr="00F74A85">
        <w:rPr>
          <w:rFonts w:eastAsia="Times New Roman" w:cs="Arial"/>
          <w:color w:val="000000"/>
          <w:sz w:val="22"/>
          <w:szCs w:val="22"/>
        </w:rPr>
        <w:t>is ventilated with fresh air</w:t>
      </w:r>
      <w:r w:rsidR="00EB225A" w:rsidRPr="00F74A85">
        <w:rPr>
          <w:rFonts w:eastAsia="Times New Roman" w:cs="Arial"/>
          <w:color w:val="000000"/>
          <w:sz w:val="22"/>
          <w:szCs w:val="22"/>
        </w:rPr>
        <w:t xml:space="preserve">, with the only </w:t>
      </w:r>
      <w:r w:rsidRPr="00F74A85">
        <w:rPr>
          <w:rFonts w:eastAsia="Times New Roman" w:cs="Arial"/>
          <w:color w:val="000000"/>
          <w:sz w:val="22"/>
          <w:szCs w:val="22"/>
        </w:rPr>
        <w:t xml:space="preserve">difference between a </w:t>
      </w:r>
      <w:r w:rsidR="001D75F7">
        <w:rPr>
          <w:rFonts w:eastAsia="Times New Roman" w:cs="Arial"/>
          <w:color w:val="000000"/>
          <w:sz w:val="22"/>
          <w:szCs w:val="22"/>
        </w:rPr>
        <w:t>u</w:t>
      </w:r>
      <w:r w:rsidR="00593014" w:rsidRPr="00F74A85">
        <w:rPr>
          <w:rFonts w:eastAsia="Times New Roman" w:cs="Arial"/>
          <w:color w:val="000000"/>
          <w:sz w:val="22"/>
          <w:szCs w:val="22"/>
        </w:rPr>
        <w:t>sually,</w:t>
      </w:r>
      <w:r w:rsidR="00EB225A" w:rsidRPr="00F74A85">
        <w:rPr>
          <w:rFonts w:eastAsia="Times New Roman" w:cs="Arial"/>
          <w:color w:val="000000"/>
          <w:sz w:val="22"/>
          <w:szCs w:val="22"/>
        </w:rPr>
        <w:t xml:space="preserve"> ventilated hood system and </w:t>
      </w:r>
      <w:r w:rsidRPr="00F74A85">
        <w:rPr>
          <w:rFonts w:eastAsia="Times New Roman" w:cs="Arial"/>
          <w:color w:val="000000"/>
          <w:sz w:val="22"/>
          <w:szCs w:val="22"/>
        </w:rPr>
        <w:t xml:space="preserve">respiration chamber </w:t>
      </w:r>
      <w:r w:rsidR="00EB225A" w:rsidRPr="00F74A85">
        <w:rPr>
          <w:rFonts w:eastAsia="Times New Roman" w:cs="Arial"/>
          <w:color w:val="000000"/>
          <w:sz w:val="22"/>
          <w:szCs w:val="22"/>
        </w:rPr>
        <w:t>being</w:t>
      </w:r>
      <w:r w:rsidRPr="00F74A85">
        <w:rPr>
          <w:rFonts w:eastAsia="Times New Roman" w:cs="Arial"/>
          <w:color w:val="000000"/>
          <w:sz w:val="22"/>
          <w:szCs w:val="22"/>
        </w:rPr>
        <w:t xml:space="preserve"> size. In a respiration chamber the subject is fully enclosed instead of enclosing the head only, allowing</w:t>
      </w:r>
      <w:r w:rsidR="00566B51" w:rsidRPr="00F74A85">
        <w:rPr>
          <w:rFonts w:eastAsia="Times New Roman" w:cs="Arial"/>
          <w:color w:val="000000"/>
          <w:sz w:val="22"/>
          <w:szCs w:val="22"/>
        </w:rPr>
        <w:t xml:space="preserve"> </w:t>
      </w:r>
      <w:r w:rsidRPr="00F74A85">
        <w:rPr>
          <w:rFonts w:eastAsia="Times New Roman" w:cs="Arial"/>
          <w:color w:val="000000"/>
          <w:sz w:val="22"/>
          <w:szCs w:val="22"/>
        </w:rPr>
        <w:t xml:space="preserve">physical activity depending on the size of the chamber. For measurements under a hood or in a respiration chamber, air is </w:t>
      </w:r>
      <w:r w:rsidR="00566B51" w:rsidRPr="00F74A85">
        <w:rPr>
          <w:rFonts w:eastAsia="Times New Roman" w:cs="Arial"/>
          <w:color w:val="000000"/>
          <w:sz w:val="22"/>
          <w:szCs w:val="22"/>
        </w:rPr>
        <w:t>pumped</w:t>
      </w:r>
      <w:r w:rsidRPr="00F74A85">
        <w:rPr>
          <w:rFonts w:eastAsia="Times New Roman" w:cs="Arial"/>
          <w:color w:val="000000"/>
          <w:sz w:val="22"/>
          <w:szCs w:val="22"/>
        </w:rPr>
        <w:t xml:space="preserve"> through the system and blown into a mixing chamber where a sample is taken for analysis. Measurements taken are those of the airflow and of the oxygen and carbon dioxide concentrations of the air flowing in and out. The most common device to measure the airflow is a dry gas meter comparable to that used to measure natural gas consumption at home. The oxygen and carbon dioxide concentrations are commonly measured with a paramagnetic oxygen analyzer and an infrared carbon dioxide </w:t>
      </w:r>
      <w:r w:rsidR="00593014" w:rsidRPr="00F74A85">
        <w:rPr>
          <w:rFonts w:eastAsia="Times New Roman" w:cs="Arial"/>
          <w:color w:val="000000"/>
          <w:sz w:val="22"/>
          <w:szCs w:val="22"/>
        </w:rPr>
        <w:t>analyzer</w:t>
      </w:r>
      <w:r w:rsidRPr="00F74A85">
        <w:rPr>
          <w:rFonts w:eastAsia="Times New Roman" w:cs="Arial"/>
          <w:color w:val="000000"/>
          <w:sz w:val="22"/>
          <w:szCs w:val="22"/>
        </w:rPr>
        <w:t xml:space="preserve"> respectively. The airflow is adjusted to keep differences in oxygen and carbon dioxide concentrations between inlet and outlet within a range of 0.5 to 1.0%. For adults, this means airflow rates around 50 l/min at rest under a hood, 50-100 l/min when sedentary in a respiration chamber, while in exercising subjects the flow has to be increased to over 100 l/min. In the latter situation, one has to choose a compromise for the flow rate when measurements are to be continued over 24 hours that include active and inactive intervals. During exercise bouts, the 1% carbon dioxide level should not be surpassed for long. During </w:t>
      </w:r>
      <w:r w:rsidR="00566B51" w:rsidRPr="00F74A85">
        <w:rPr>
          <w:rFonts w:eastAsia="Times New Roman" w:cs="Arial"/>
          <w:color w:val="000000"/>
          <w:sz w:val="22"/>
          <w:szCs w:val="22"/>
        </w:rPr>
        <w:t>times of rest</w:t>
      </w:r>
      <w:r w:rsidRPr="00F74A85">
        <w:rPr>
          <w:rFonts w:eastAsia="Times New Roman" w:cs="Arial"/>
          <w:color w:val="000000"/>
          <w:sz w:val="22"/>
          <w:szCs w:val="22"/>
        </w:rPr>
        <w:t>, like an overnight sleep, the level should not fall too far below the optimal measuring range of 0.5-1.0%. Changing the flow rate during an observation interval reduces the accuracy of the measurements due to the response time of the system. Though the flow rate of a hood and a chamber system is comparable, the volume of a respiration chamber is more than 20 times the volume of a ventilated hood. Consequently, the minimum length of an observation period under a hood is about 0.5 hours and in a respiration chamber in the order of 5-10 hours.</w:t>
      </w:r>
    </w:p>
    <w:p w14:paraId="2E1B8FFE" w14:textId="77777777" w:rsidR="00EB0F2E" w:rsidRPr="00F74A85" w:rsidRDefault="00EB0F2E" w:rsidP="00F74A85">
      <w:pPr>
        <w:spacing w:after="0" w:line="276" w:lineRule="auto"/>
        <w:textAlignment w:val="baseline"/>
        <w:rPr>
          <w:rFonts w:eastAsia="Times New Roman" w:cs="Arial"/>
          <w:color w:val="000000"/>
          <w:sz w:val="22"/>
          <w:szCs w:val="22"/>
        </w:rPr>
      </w:pPr>
    </w:p>
    <w:p w14:paraId="1EBA3FB8" w14:textId="057FEA8A"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 xml:space="preserve">The doubly labelled water method is an innovative variant on indirect calorimetry based on the discovery that oxygen in the respiratory carbon dioxide is in isotopic equilibrium with the oxygen in body water. This technique involves enriching the body water with an isotope of oxygen and an isotope of hydrogen and then determining the washout kinetics of both isotopes. Doubly labelled water provides an excellent method to measure total energy expenditure in unrestrained humans in their normal surroundings over a time period of </w:t>
      </w:r>
      <w:r w:rsidR="00B8303B" w:rsidRPr="00F74A85">
        <w:rPr>
          <w:rFonts w:eastAsia="Times New Roman" w:cs="Arial"/>
          <w:color w:val="000000"/>
          <w:sz w:val="22"/>
          <w:szCs w:val="22"/>
        </w:rPr>
        <w:t>one to four</w:t>
      </w:r>
      <w:r w:rsidRPr="00F74A85">
        <w:rPr>
          <w:rFonts w:eastAsia="Times New Roman" w:cs="Arial"/>
          <w:color w:val="000000"/>
          <w:sz w:val="22"/>
          <w:szCs w:val="22"/>
        </w:rPr>
        <w:t xml:space="preserve"> weeks. After enriching the body water with labelled oxygen and hydrogen by drinking doubly labelled water, most of the oxygen isotope is lost as water, but some is also lost as carbon dioxide because CO</w:t>
      </w:r>
      <w:r w:rsidRPr="00F74A85">
        <w:rPr>
          <w:rFonts w:eastAsia="Times New Roman" w:cs="Arial"/>
          <w:color w:val="000000"/>
          <w:sz w:val="22"/>
          <w:szCs w:val="22"/>
          <w:bdr w:val="none" w:sz="0" w:space="0" w:color="auto" w:frame="1"/>
          <w:vertAlign w:val="subscript"/>
        </w:rPr>
        <w:t>2</w:t>
      </w:r>
      <w:r w:rsidRPr="00F74A85">
        <w:rPr>
          <w:rFonts w:eastAsia="Times New Roman" w:cs="Arial"/>
          <w:color w:val="000000"/>
          <w:sz w:val="22"/>
          <w:szCs w:val="22"/>
        </w:rPr>
        <w:t xml:space="preserve"> in body fluids is in isotopic equilibrium with body water due to exchange in the bicarbonate pools </w:t>
      </w:r>
      <w:r w:rsidR="007230F3" w:rsidRPr="00F74A85">
        <w:rPr>
          <w:rFonts w:eastAsia="Times New Roman" w:cs="Arial"/>
          <w:color w:val="000000"/>
          <w:sz w:val="22"/>
          <w:szCs w:val="22"/>
        </w:rPr>
        <w:fldChar w:fldCharType="begin"/>
      </w:r>
      <w:r w:rsidR="00A20A95" w:rsidRPr="00F74A85">
        <w:rPr>
          <w:rFonts w:eastAsia="Times New Roman" w:cs="Arial"/>
          <w:color w:val="000000"/>
          <w:sz w:val="22"/>
          <w:szCs w:val="22"/>
        </w:rPr>
        <w:instrText xml:space="preserve"> ADDIN EN.CITE &lt;EndNote&gt;&lt;Cite&gt;&lt;Author&gt;Speakman&lt;/Author&gt;&lt;Year&gt;1998&lt;/Year&gt;&lt;RecNum&gt;7076&lt;/RecNum&gt;&lt;DisplayText&gt;(4)&lt;/DisplayText&gt;&lt;record&gt;&lt;rec-number&gt;7076&lt;/rec-number&gt;&lt;foreign-keys&gt;&lt;key app="EN" db-id="pvt9995p1wxx22eefv2xzrame55pwzadt2ws" timestamp="1647798438" guid="f0427692-c11b-4358-8664-e672bec63950"&gt;7076&lt;/key&gt;&lt;/foreign-keys&gt;&lt;ref-type name="Journal Article"&gt;17&lt;/ref-type&gt;&lt;contributors&gt;&lt;authors&gt;&lt;author&gt;Speakman, J. R.&lt;/author&gt;&lt;/authors&gt;&lt;/contributors&gt;&lt;auth-address&gt;Department of Zoology, University of Aberdeen, Scotland, United Kingdom. J.Speakman@abdn.ac.uk&lt;/auth-address&gt;&lt;titles&gt;&lt;title&gt;The history and theory of the doubly labeled water technique&lt;/title&gt;&lt;secondary-title&gt;Am J Clin Nutr&lt;/secondary-title&gt;&lt;/titles&gt;&lt;periodical&gt;&lt;full-title&gt;Am J Clin Nutr&lt;/full-title&gt;&lt;/periodical&gt;&lt;pages&gt;932S-938S&lt;/pages&gt;&lt;volume&gt;68&lt;/volume&gt;&lt;number&gt;4&lt;/number&gt;&lt;edition&gt;1998/10/15&lt;/edition&gt;&lt;keywords&gt;&lt;keyword&gt;Body Water/*metabolism&lt;/keyword&gt;&lt;keyword&gt;Deuterium/history&lt;/keyword&gt;&lt;keyword&gt;*Energy Metabolism&lt;/keyword&gt;&lt;keyword&gt;History, 17th Century&lt;/keyword&gt;&lt;keyword&gt;History, 18th Century&lt;/keyword&gt;&lt;keyword&gt;History, 20th Century&lt;/keyword&gt;&lt;keyword&gt;History, Ancient&lt;/keyword&gt;&lt;keyword&gt;Humans&lt;/keyword&gt;&lt;keyword&gt;*Isotope Labeling/history&lt;/keyword&gt;&lt;keyword&gt;Models, Biological&lt;/keyword&gt;&lt;keyword&gt;Oxygen Isotopes&lt;/keyword&gt;&lt;/keywords&gt;&lt;dates&gt;&lt;year&gt;1998&lt;/year&gt;&lt;pub-dates&gt;&lt;date&gt;Oct&lt;/date&gt;&lt;/pub-dates&gt;&lt;/dates&gt;&lt;isbn&gt;0002-9165 (Print)&amp;#xD;0002-9165 (Linking)&lt;/isbn&gt;&lt;accession-num&gt;9771875&lt;/accession-num&gt;&lt;urls&gt;&lt;related-urls&gt;&lt;url&gt;https://www.ncbi.nlm.nih.gov/pubmed/9771875&lt;/url&gt;&lt;/related-urls&gt;&lt;/urls&gt;&lt;electronic-resource-num&gt;10.1093/ajcn/68.4.932S&lt;/electronic-resource-num&gt;&lt;/record&gt;&lt;/Cite&gt;&lt;/EndNote&gt;</w:instrText>
      </w:r>
      <w:r w:rsidR="007230F3" w:rsidRPr="00F74A85">
        <w:rPr>
          <w:rFonts w:eastAsia="Times New Roman" w:cs="Arial"/>
          <w:color w:val="000000"/>
          <w:sz w:val="22"/>
          <w:szCs w:val="22"/>
        </w:rPr>
        <w:fldChar w:fldCharType="separate"/>
      </w:r>
      <w:r w:rsidR="007230F3" w:rsidRPr="00F74A85">
        <w:rPr>
          <w:rFonts w:eastAsia="Times New Roman" w:cs="Arial"/>
          <w:noProof/>
          <w:color w:val="000000"/>
          <w:sz w:val="22"/>
          <w:szCs w:val="22"/>
        </w:rPr>
        <w:t>(4)</w:t>
      </w:r>
      <w:r w:rsidR="007230F3" w:rsidRPr="00F74A85">
        <w:rPr>
          <w:rFonts w:eastAsia="Times New Roman" w:cs="Arial"/>
          <w:color w:val="000000"/>
          <w:sz w:val="22"/>
          <w:szCs w:val="22"/>
        </w:rPr>
        <w:fldChar w:fldCharType="end"/>
      </w:r>
      <w:r w:rsidRPr="00F74A85">
        <w:rPr>
          <w:rFonts w:eastAsia="Times New Roman" w:cs="Arial"/>
          <w:color w:val="000000"/>
          <w:sz w:val="22"/>
          <w:szCs w:val="22"/>
        </w:rPr>
        <w:t>. The hydrogen isotope is lost as water only. Thus, the washout for the oxygen isotope is faster than for the hydrogen isotope, and the difference represents the CO</w:t>
      </w:r>
      <w:r w:rsidRPr="00F74A85">
        <w:rPr>
          <w:rFonts w:eastAsia="Times New Roman" w:cs="Arial"/>
          <w:color w:val="000000"/>
          <w:sz w:val="22"/>
          <w:szCs w:val="22"/>
          <w:bdr w:val="none" w:sz="0" w:space="0" w:color="auto" w:frame="1"/>
          <w:vertAlign w:val="subscript"/>
        </w:rPr>
        <w:t xml:space="preserve">2 </w:t>
      </w:r>
      <w:r w:rsidRPr="00F74A85">
        <w:rPr>
          <w:rFonts w:eastAsia="Times New Roman" w:cs="Arial"/>
          <w:color w:val="000000"/>
          <w:sz w:val="22"/>
          <w:szCs w:val="22"/>
        </w:rPr>
        <w:t>production. The isotopes of choice are the stable, heavy, isotopes of oxygen and hydrogen, oxygen-18 (</w:t>
      </w:r>
      <w:r w:rsidRPr="00F74A85">
        <w:rPr>
          <w:rFonts w:eastAsia="Times New Roman" w:cs="Arial"/>
          <w:color w:val="000000"/>
          <w:sz w:val="22"/>
          <w:szCs w:val="22"/>
          <w:bdr w:val="none" w:sz="0" w:space="0" w:color="auto" w:frame="1"/>
          <w:vertAlign w:val="superscript"/>
        </w:rPr>
        <w:t>18</w:t>
      </w:r>
      <w:r w:rsidRPr="00F74A85">
        <w:rPr>
          <w:rFonts w:eastAsia="Times New Roman" w:cs="Arial"/>
          <w:color w:val="000000"/>
          <w:sz w:val="22"/>
          <w:szCs w:val="22"/>
        </w:rPr>
        <w:t>O) and deuterium (</w:t>
      </w:r>
      <w:r w:rsidRPr="00F74A85">
        <w:rPr>
          <w:rFonts w:eastAsia="Times New Roman" w:cs="Arial"/>
          <w:color w:val="000000"/>
          <w:sz w:val="22"/>
          <w:szCs w:val="22"/>
          <w:bdr w:val="none" w:sz="0" w:space="0" w:color="auto" w:frame="1"/>
          <w:vertAlign w:val="superscript"/>
        </w:rPr>
        <w:t>2</w:t>
      </w:r>
      <w:r w:rsidRPr="00F74A85">
        <w:rPr>
          <w:rFonts w:eastAsia="Times New Roman" w:cs="Arial"/>
          <w:color w:val="000000"/>
          <w:sz w:val="22"/>
          <w:szCs w:val="22"/>
        </w:rPr>
        <w:t>H), since these avoid the need to use radioactivity and can be used safely. Both isotopes naturally occur in drinking water and thus in body water. The CO</w:t>
      </w:r>
      <w:r w:rsidRPr="00F74A85">
        <w:rPr>
          <w:rFonts w:eastAsia="Times New Roman" w:cs="Arial"/>
          <w:color w:val="000000"/>
          <w:sz w:val="22"/>
          <w:szCs w:val="22"/>
          <w:bdr w:val="none" w:sz="0" w:space="0" w:color="auto" w:frame="1"/>
          <w:vertAlign w:val="subscript"/>
        </w:rPr>
        <w:t xml:space="preserve">2 </w:t>
      </w:r>
      <w:r w:rsidRPr="00F74A85">
        <w:rPr>
          <w:rFonts w:eastAsia="Times New Roman" w:cs="Arial"/>
          <w:color w:val="000000"/>
          <w:sz w:val="22"/>
          <w:szCs w:val="22"/>
        </w:rPr>
        <w:t xml:space="preserve">production, calculated from the difference in elimination between the two isotopes, is a measure of </w:t>
      </w:r>
      <w:r w:rsidRPr="00F74A85">
        <w:rPr>
          <w:rFonts w:eastAsia="Times New Roman" w:cs="Arial"/>
          <w:color w:val="000000"/>
          <w:sz w:val="22"/>
          <w:szCs w:val="22"/>
        </w:rPr>
        <w:lastRenderedPageBreak/>
        <w:t xml:space="preserve">metabolism. In practice, the observation duration is set by the biological half-life of the isotopes as a function of the level of the energy expenditure. The minimum observation duration is about </w:t>
      </w:r>
      <w:r w:rsidR="007230F3" w:rsidRPr="00F74A85">
        <w:rPr>
          <w:rFonts w:eastAsia="Times New Roman" w:cs="Arial"/>
          <w:color w:val="000000"/>
          <w:sz w:val="22"/>
          <w:szCs w:val="22"/>
        </w:rPr>
        <w:t>three</w:t>
      </w:r>
      <w:r w:rsidRPr="00F74A85">
        <w:rPr>
          <w:rFonts w:eastAsia="Times New Roman" w:cs="Arial"/>
          <w:color w:val="000000"/>
          <w:sz w:val="22"/>
          <w:szCs w:val="22"/>
        </w:rPr>
        <w:t xml:space="preserve"> days in subjects with high energy turnover like premature infants or endurance athletes. The maximum duration is 30 days or about 4 weeks in elderly (sedentary) subjects. An observation period begins with collection of a baseline sample. Then, a weighed isotope dose is administered, usually a mixture of 10% </w:t>
      </w:r>
      <w:r w:rsidRPr="00F74A85">
        <w:rPr>
          <w:rFonts w:eastAsia="Times New Roman" w:cs="Arial"/>
          <w:color w:val="000000"/>
          <w:sz w:val="22"/>
          <w:szCs w:val="22"/>
          <w:bdr w:val="none" w:sz="0" w:space="0" w:color="auto" w:frame="1"/>
          <w:vertAlign w:val="superscript"/>
        </w:rPr>
        <w:t>18</w:t>
      </w:r>
      <w:r w:rsidRPr="00F74A85">
        <w:rPr>
          <w:rFonts w:eastAsia="Times New Roman" w:cs="Arial"/>
          <w:color w:val="000000"/>
          <w:sz w:val="22"/>
          <w:szCs w:val="22"/>
        </w:rPr>
        <w:t xml:space="preserve">O and </w:t>
      </w:r>
      <w:r w:rsidR="00C84B41" w:rsidRPr="00F74A85">
        <w:rPr>
          <w:rFonts w:eastAsia="Times New Roman" w:cs="Arial"/>
          <w:color w:val="000000"/>
          <w:sz w:val="22"/>
          <w:szCs w:val="22"/>
        </w:rPr>
        <w:t>6</w:t>
      </w:r>
      <w:r w:rsidRPr="00F74A85">
        <w:rPr>
          <w:rFonts w:eastAsia="Times New Roman" w:cs="Arial"/>
          <w:color w:val="000000"/>
          <w:sz w:val="22"/>
          <w:szCs w:val="22"/>
        </w:rPr>
        <w:t xml:space="preserve">% </w:t>
      </w:r>
      <w:r w:rsidRPr="00F74A85">
        <w:rPr>
          <w:rFonts w:eastAsia="Times New Roman" w:cs="Arial"/>
          <w:color w:val="000000"/>
          <w:sz w:val="22"/>
          <w:szCs w:val="22"/>
          <w:bdr w:val="none" w:sz="0" w:space="0" w:color="auto" w:frame="1"/>
          <w:vertAlign w:val="superscript"/>
        </w:rPr>
        <w:t>2</w:t>
      </w:r>
      <w:r w:rsidRPr="00F74A85">
        <w:rPr>
          <w:rFonts w:eastAsia="Times New Roman" w:cs="Arial"/>
          <w:color w:val="000000"/>
          <w:sz w:val="22"/>
          <w:szCs w:val="22"/>
        </w:rPr>
        <w:t xml:space="preserve">H in water. For a 70 kg adult, between 100-150 cc water would be used. Subsequently, the isotopes equilibrate with the body water and the initial sample is collected. The equilibration time is dependent on body size and metabolic rate. For an adult the equilibration would take between 4-8 hours. During equilibration, the subject usually does not consume any food or drink. After collecting the initial </w:t>
      </w:r>
      <w:r w:rsidR="00593014" w:rsidRPr="00F74A85">
        <w:rPr>
          <w:rFonts w:eastAsia="Times New Roman" w:cs="Arial"/>
          <w:color w:val="000000"/>
          <w:sz w:val="22"/>
          <w:szCs w:val="22"/>
        </w:rPr>
        <w:t>sample,</w:t>
      </w:r>
      <w:r w:rsidRPr="00F74A85">
        <w:rPr>
          <w:rFonts w:eastAsia="Times New Roman" w:cs="Arial"/>
          <w:color w:val="000000"/>
          <w:sz w:val="22"/>
          <w:szCs w:val="22"/>
        </w:rPr>
        <w:t xml:space="preserve"> the subject performs routines according to the instructions of the experimenter. Body water samples (blood, saliva or urine) are collected at regular intervals until the end of the observation period. The doubly labelled water method gives precise and accurate information on carbon dioxide production. Converting carbon dioxide production to energy expenditure needs information on the energy equivalent of CO</w:t>
      </w:r>
      <w:r w:rsidRPr="00F74A85">
        <w:rPr>
          <w:rFonts w:eastAsia="Times New Roman" w:cs="Arial"/>
          <w:color w:val="000000"/>
          <w:sz w:val="22"/>
          <w:szCs w:val="22"/>
          <w:bdr w:val="none" w:sz="0" w:space="0" w:color="auto" w:frame="1"/>
          <w:vertAlign w:val="subscript"/>
        </w:rPr>
        <w:t xml:space="preserve">2 </w:t>
      </w:r>
      <w:r w:rsidRPr="00F74A85">
        <w:rPr>
          <w:rFonts w:eastAsia="Times New Roman" w:cs="Arial"/>
          <w:color w:val="000000"/>
          <w:sz w:val="22"/>
          <w:szCs w:val="22"/>
        </w:rPr>
        <w:t>(</w:t>
      </w:r>
      <w:r w:rsidRPr="00CD3A6E">
        <w:rPr>
          <w:rFonts w:eastAsia="Times New Roman" w:cs="Arial"/>
          <w:bCs/>
          <w:color w:val="000000"/>
          <w:sz w:val="22"/>
          <w:szCs w:val="22"/>
        </w:rPr>
        <w:t>Table 2),</w:t>
      </w:r>
      <w:r w:rsidRPr="00F74A85">
        <w:rPr>
          <w:rFonts w:eastAsia="Times New Roman" w:cs="Arial"/>
          <w:color w:val="000000"/>
          <w:sz w:val="22"/>
          <w:szCs w:val="22"/>
        </w:rPr>
        <w:t xml:space="preserve"> which can be calculated with additional information on the substrate mixture being </w:t>
      </w:r>
      <w:r w:rsidR="00593014" w:rsidRPr="00F74A85">
        <w:rPr>
          <w:rFonts w:eastAsia="Times New Roman" w:cs="Arial"/>
          <w:color w:val="000000"/>
          <w:sz w:val="22"/>
          <w:szCs w:val="22"/>
        </w:rPr>
        <w:t>oxidized</w:t>
      </w:r>
      <w:r w:rsidRPr="00F74A85">
        <w:rPr>
          <w:rFonts w:eastAsia="Times New Roman" w:cs="Arial"/>
          <w:color w:val="000000"/>
          <w:sz w:val="22"/>
          <w:szCs w:val="22"/>
        </w:rPr>
        <w:t>. One option is the calculation of the energy equivalent from the macronutrient composition of the diet. In energy balance, substrate intake and substrate utilization are assumed to be identical.</w:t>
      </w:r>
    </w:p>
    <w:p w14:paraId="46746AE0" w14:textId="49D1509C" w:rsidR="00EB0F2E" w:rsidRPr="00F74A85" w:rsidRDefault="00EB0F2E" w:rsidP="00F74A85">
      <w:pPr>
        <w:spacing w:after="0" w:line="276" w:lineRule="auto"/>
        <w:textAlignment w:val="baseline"/>
        <w:rPr>
          <w:rFonts w:eastAsia="Times New Roman" w:cs="Arial"/>
          <w:color w:val="000000"/>
          <w:sz w:val="22"/>
          <w:szCs w:val="22"/>
        </w:rPr>
      </w:pPr>
    </w:p>
    <w:tbl>
      <w:tblPr>
        <w:tblStyle w:val="TableGrid1"/>
        <w:tblW w:w="9375" w:type="dxa"/>
        <w:tblLook w:val="04A0" w:firstRow="1" w:lastRow="0" w:firstColumn="1" w:lastColumn="0" w:noHBand="0" w:noVBand="1"/>
      </w:tblPr>
      <w:tblGrid>
        <w:gridCol w:w="2245"/>
        <w:gridCol w:w="3411"/>
        <w:gridCol w:w="3719"/>
      </w:tblGrid>
      <w:tr w:rsidR="009C7AF1" w:rsidRPr="00F74A85" w14:paraId="356716B7" w14:textId="77777777" w:rsidTr="00CD3A6E">
        <w:tc>
          <w:tcPr>
            <w:tcW w:w="9375" w:type="dxa"/>
            <w:gridSpan w:val="3"/>
            <w:shd w:val="clear" w:color="auto" w:fill="FFFF00"/>
            <w:hideMark/>
          </w:tcPr>
          <w:p w14:paraId="076128CE" w14:textId="70F5AF99" w:rsidR="009C7AF1" w:rsidRPr="00F74A85" w:rsidRDefault="009C7AF1" w:rsidP="00F74A85">
            <w:pPr>
              <w:spacing w:after="0" w:line="276" w:lineRule="auto"/>
              <w:rPr>
                <w:rFonts w:cs="Arial"/>
                <w:color w:val="000000"/>
                <w:sz w:val="22"/>
              </w:rPr>
            </w:pPr>
            <w:r w:rsidRPr="00F74A85">
              <w:rPr>
                <w:rFonts w:cs="Arial"/>
                <w:b/>
                <w:bCs/>
                <w:color w:val="000000"/>
                <w:sz w:val="22"/>
                <w:bdr w:val="none" w:sz="0" w:space="0" w:color="auto" w:frame="1"/>
              </w:rPr>
              <w:t>Table 2</w:t>
            </w:r>
            <w:r w:rsidR="00CD3A6E">
              <w:rPr>
                <w:rFonts w:cs="Arial"/>
                <w:b/>
                <w:bCs/>
                <w:color w:val="000000"/>
                <w:sz w:val="22"/>
                <w:bdr w:val="none" w:sz="0" w:space="0" w:color="auto" w:frame="1"/>
              </w:rPr>
              <w:t>.</w:t>
            </w:r>
            <w:r w:rsidRPr="00F74A85">
              <w:rPr>
                <w:rFonts w:cs="Arial"/>
                <w:b/>
                <w:bCs/>
                <w:color w:val="000000"/>
                <w:sz w:val="22"/>
                <w:bdr w:val="none" w:sz="0" w:space="0" w:color="auto" w:frame="1"/>
              </w:rPr>
              <w:t xml:space="preserve"> Energy </w:t>
            </w:r>
            <w:r w:rsidR="00CD3A6E">
              <w:rPr>
                <w:rFonts w:cs="Arial"/>
                <w:b/>
                <w:bCs/>
                <w:color w:val="000000"/>
                <w:sz w:val="22"/>
                <w:bdr w:val="none" w:sz="0" w:space="0" w:color="auto" w:frame="1"/>
              </w:rPr>
              <w:t>E</w:t>
            </w:r>
            <w:r w:rsidRPr="00F74A85">
              <w:rPr>
                <w:rFonts w:cs="Arial"/>
                <w:b/>
                <w:bCs/>
                <w:color w:val="000000"/>
                <w:sz w:val="22"/>
                <w:bdr w:val="none" w:sz="0" w:space="0" w:color="auto" w:frame="1"/>
              </w:rPr>
              <w:t xml:space="preserve">quivalents of </w:t>
            </w:r>
            <w:r w:rsidR="00CD3A6E">
              <w:rPr>
                <w:rFonts w:cs="Arial"/>
                <w:b/>
                <w:bCs/>
                <w:color w:val="000000"/>
                <w:sz w:val="22"/>
                <w:bdr w:val="none" w:sz="0" w:space="0" w:color="auto" w:frame="1"/>
              </w:rPr>
              <w:t>O</w:t>
            </w:r>
            <w:r w:rsidRPr="00F74A85">
              <w:rPr>
                <w:rFonts w:cs="Arial"/>
                <w:b/>
                <w:bCs/>
                <w:color w:val="000000"/>
                <w:sz w:val="22"/>
                <w:bdr w:val="none" w:sz="0" w:space="0" w:color="auto" w:frame="1"/>
              </w:rPr>
              <w:t xml:space="preserve">xygen and </w:t>
            </w:r>
            <w:r w:rsidR="00CD3A6E">
              <w:rPr>
                <w:rFonts w:cs="Arial"/>
                <w:b/>
                <w:bCs/>
                <w:color w:val="000000"/>
                <w:sz w:val="22"/>
                <w:bdr w:val="none" w:sz="0" w:space="0" w:color="auto" w:frame="1"/>
              </w:rPr>
              <w:t>C</w:t>
            </w:r>
            <w:r w:rsidRPr="00F74A85">
              <w:rPr>
                <w:rFonts w:cs="Arial"/>
                <w:b/>
                <w:bCs/>
                <w:color w:val="000000"/>
                <w:sz w:val="22"/>
                <w:bdr w:val="none" w:sz="0" w:space="0" w:color="auto" w:frame="1"/>
              </w:rPr>
              <w:t xml:space="preserve">arbon </w:t>
            </w:r>
            <w:r w:rsidR="00CD3A6E">
              <w:rPr>
                <w:rFonts w:cs="Arial"/>
                <w:b/>
                <w:bCs/>
                <w:color w:val="000000"/>
                <w:sz w:val="22"/>
                <w:bdr w:val="none" w:sz="0" w:space="0" w:color="auto" w:frame="1"/>
              </w:rPr>
              <w:t>D</w:t>
            </w:r>
            <w:r w:rsidRPr="00F74A85">
              <w:rPr>
                <w:rFonts w:cs="Arial"/>
                <w:b/>
                <w:bCs/>
                <w:color w:val="000000"/>
                <w:sz w:val="22"/>
                <w:bdr w:val="none" w:sz="0" w:space="0" w:color="auto" w:frame="1"/>
              </w:rPr>
              <w:t>ioxide</w:t>
            </w:r>
          </w:p>
        </w:tc>
      </w:tr>
      <w:tr w:rsidR="009C7AF1" w:rsidRPr="00F74A85" w14:paraId="7FF192A4" w14:textId="77777777" w:rsidTr="00CD3A6E">
        <w:tc>
          <w:tcPr>
            <w:tcW w:w="2245" w:type="dxa"/>
            <w:hideMark/>
          </w:tcPr>
          <w:p w14:paraId="4EDF46F1" w14:textId="77777777" w:rsidR="009C7AF1" w:rsidRPr="00CD3A6E" w:rsidRDefault="009C7AF1" w:rsidP="00F74A85">
            <w:pPr>
              <w:spacing w:after="0" w:line="276" w:lineRule="auto"/>
              <w:rPr>
                <w:rFonts w:cs="Arial"/>
                <w:b/>
                <w:bCs/>
                <w:color w:val="000000"/>
                <w:sz w:val="22"/>
              </w:rPr>
            </w:pPr>
            <w:r w:rsidRPr="00CD3A6E">
              <w:rPr>
                <w:rFonts w:cs="Arial"/>
                <w:b/>
                <w:bCs/>
                <w:color w:val="000000"/>
                <w:sz w:val="22"/>
              </w:rPr>
              <w:t>Nutrient</w:t>
            </w:r>
          </w:p>
        </w:tc>
        <w:tc>
          <w:tcPr>
            <w:tcW w:w="3411" w:type="dxa"/>
            <w:hideMark/>
          </w:tcPr>
          <w:p w14:paraId="3F60356E" w14:textId="620791AE" w:rsidR="009C7AF1" w:rsidRPr="00CD3A6E" w:rsidRDefault="009C7AF1" w:rsidP="00CD3A6E">
            <w:pPr>
              <w:spacing w:after="0" w:line="276" w:lineRule="auto"/>
              <w:rPr>
                <w:rFonts w:cs="Arial"/>
                <w:b/>
                <w:bCs/>
                <w:color w:val="000000"/>
                <w:sz w:val="22"/>
              </w:rPr>
            </w:pPr>
            <w:r w:rsidRPr="00CD3A6E">
              <w:rPr>
                <w:rFonts w:cs="Arial"/>
                <w:b/>
                <w:bCs/>
                <w:color w:val="000000"/>
                <w:sz w:val="22"/>
              </w:rPr>
              <w:t>Oxygen</w:t>
            </w:r>
            <w:r w:rsidR="00CD3A6E" w:rsidRPr="00CD3A6E">
              <w:rPr>
                <w:rFonts w:cs="Arial"/>
                <w:b/>
                <w:bCs/>
                <w:color w:val="000000"/>
                <w:sz w:val="22"/>
              </w:rPr>
              <w:t xml:space="preserve"> </w:t>
            </w:r>
            <w:r w:rsidRPr="00CD3A6E">
              <w:rPr>
                <w:rFonts w:cs="Arial"/>
                <w:b/>
                <w:bCs/>
                <w:color w:val="000000"/>
                <w:sz w:val="22"/>
              </w:rPr>
              <w:t>(kJ/l)</w:t>
            </w:r>
          </w:p>
        </w:tc>
        <w:tc>
          <w:tcPr>
            <w:tcW w:w="3719" w:type="dxa"/>
            <w:hideMark/>
          </w:tcPr>
          <w:p w14:paraId="2455858F" w14:textId="7F5B53FE" w:rsidR="009C7AF1" w:rsidRPr="00CD3A6E" w:rsidRDefault="009C7AF1" w:rsidP="00CD3A6E">
            <w:pPr>
              <w:spacing w:after="0" w:line="276" w:lineRule="auto"/>
              <w:rPr>
                <w:rFonts w:cs="Arial"/>
                <w:b/>
                <w:bCs/>
                <w:color w:val="000000"/>
                <w:sz w:val="22"/>
              </w:rPr>
            </w:pPr>
            <w:r w:rsidRPr="00CD3A6E">
              <w:rPr>
                <w:rFonts w:cs="Arial"/>
                <w:b/>
                <w:bCs/>
                <w:color w:val="000000"/>
                <w:sz w:val="22"/>
              </w:rPr>
              <w:t>Carbon dioxide</w:t>
            </w:r>
            <w:r w:rsidR="00CD3A6E" w:rsidRPr="00CD3A6E">
              <w:rPr>
                <w:rFonts w:cs="Arial"/>
                <w:b/>
                <w:bCs/>
                <w:color w:val="000000"/>
                <w:sz w:val="22"/>
              </w:rPr>
              <w:t xml:space="preserve"> </w:t>
            </w:r>
            <w:r w:rsidRPr="00CD3A6E">
              <w:rPr>
                <w:rFonts w:cs="Arial"/>
                <w:b/>
                <w:bCs/>
                <w:color w:val="000000"/>
                <w:sz w:val="22"/>
              </w:rPr>
              <w:t>(kJ/l)</w:t>
            </w:r>
          </w:p>
        </w:tc>
      </w:tr>
      <w:tr w:rsidR="009C7AF1" w:rsidRPr="00F74A85" w14:paraId="17C9353A" w14:textId="77777777" w:rsidTr="00CD3A6E">
        <w:tc>
          <w:tcPr>
            <w:tcW w:w="2245" w:type="dxa"/>
            <w:hideMark/>
          </w:tcPr>
          <w:p w14:paraId="719399A8" w14:textId="77777777" w:rsidR="009C7AF1" w:rsidRPr="00F74A85" w:rsidRDefault="009C7AF1" w:rsidP="00F74A85">
            <w:pPr>
              <w:spacing w:after="0" w:line="276" w:lineRule="auto"/>
              <w:rPr>
                <w:rFonts w:cs="Arial"/>
                <w:color w:val="000000"/>
                <w:sz w:val="22"/>
              </w:rPr>
            </w:pPr>
            <w:r w:rsidRPr="00F74A85">
              <w:rPr>
                <w:rFonts w:cs="Arial"/>
                <w:color w:val="000000"/>
                <w:sz w:val="22"/>
              </w:rPr>
              <w:t>Carbohydrate</w:t>
            </w:r>
          </w:p>
        </w:tc>
        <w:tc>
          <w:tcPr>
            <w:tcW w:w="3411" w:type="dxa"/>
            <w:hideMark/>
          </w:tcPr>
          <w:p w14:paraId="467ABA71" w14:textId="77777777" w:rsidR="009C7AF1" w:rsidRPr="00F74A85" w:rsidRDefault="009C7AF1" w:rsidP="00F74A85">
            <w:pPr>
              <w:spacing w:after="0" w:line="276" w:lineRule="auto"/>
              <w:rPr>
                <w:rFonts w:cs="Arial"/>
                <w:color w:val="000000"/>
                <w:sz w:val="22"/>
              </w:rPr>
            </w:pPr>
            <w:r w:rsidRPr="00F74A85">
              <w:rPr>
                <w:rFonts w:cs="Arial"/>
                <w:color w:val="000000"/>
                <w:sz w:val="22"/>
              </w:rPr>
              <w:t>21.1</w:t>
            </w:r>
          </w:p>
        </w:tc>
        <w:tc>
          <w:tcPr>
            <w:tcW w:w="3719" w:type="dxa"/>
            <w:hideMark/>
          </w:tcPr>
          <w:p w14:paraId="6D4F56FE" w14:textId="77777777" w:rsidR="009C7AF1" w:rsidRPr="00F74A85" w:rsidRDefault="009C7AF1" w:rsidP="00F74A85">
            <w:pPr>
              <w:spacing w:after="0" w:line="276" w:lineRule="auto"/>
              <w:rPr>
                <w:rFonts w:cs="Arial"/>
                <w:color w:val="000000"/>
                <w:sz w:val="22"/>
              </w:rPr>
            </w:pPr>
            <w:r w:rsidRPr="00F74A85">
              <w:rPr>
                <w:rFonts w:cs="Arial"/>
                <w:color w:val="000000"/>
                <w:sz w:val="22"/>
              </w:rPr>
              <w:t>21.1</w:t>
            </w:r>
          </w:p>
        </w:tc>
      </w:tr>
      <w:tr w:rsidR="009C7AF1" w:rsidRPr="00F74A85" w14:paraId="535D935A" w14:textId="77777777" w:rsidTr="00CD3A6E">
        <w:tc>
          <w:tcPr>
            <w:tcW w:w="2245" w:type="dxa"/>
            <w:hideMark/>
          </w:tcPr>
          <w:p w14:paraId="1D0BBBBA" w14:textId="77777777" w:rsidR="009C7AF1" w:rsidRPr="00F74A85" w:rsidRDefault="009C7AF1" w:rsidP="00F74A85">
            <w:pPr>
              <w:spacing w:after="0" w:line="276" w:lineRule="auto"/>
              <w:rPr>
                <w:rFonts w:cs="Arial"/>
                <w:color w:val="000000"/>
                <w:sz w:val="22"/>
              </w:rPr>
            </w:pPr>
            <w:r w:rsidRPr="00F74A85">
              <w:rPr>
                <w:rFonts w:cs="Arial"/>
                <w:color w:val="000000"/>
                <w:sz w:val="22"/>
              </w:rPr>
              <w:t>Protein</w:t>
            </w:r>
          </w:p>
        </w:tc>
        <w:tc>
          <w:tcPr>
            <w:tcW w:w="3411" w:type="dxa"/>
            <w:hideMark/>
          </w:tcPr>
          <w:p w14:paraId="662D9740" w14:textId="77777777" w:rsidR="009C7AF1" w:rsidRPr="00F74A85" w:rsidRDefault="009C7AF1" w:rsidP="00F74A85">
            <w:pPr>
              <w:spacing w:after="0" w:line="276" w:lineRule="auto"/>
              <w:rPr>
                <w:rFonts w:cs="Arial"/>
                <w:color w:val="000000"/>
                <w:sz w:val="22"/>
              </w:rPr>
            </w:pPr>
            <w:r w:rsidRPr="00F74A85">
              <w:rPr>
                <w:rFonts w:cs="Arial"/>
                <w:color w:val="000000"/>
                <w:sz w:val="22"/>
              </w:rPr>
              <w:t>18.7</w:t>
            </w:r>
          </w:p>
        </w:tc>
        <w:tc>
          <w:tcPr>
            <w:tcW w:w="3719" w:type="dxa"/>
            <w:hideMark/>
          </w:tcPr>
          <w:p w14:paraId="7E10536E" w14:textId="77777777" w:rsidR="009C7AF1" w:rsidRPr="00F74A85" w:rsidRDefault="009C7AF1" w:rsidP="00F74A85">
            <w:pPr>
              <w:spacing w:after="0" w:line="276" w:lineRule="auto"/>
              <w:rPr>
                <w:rFonts w:cs="Arial"/>
                <w:color w:val="000000"/>
                <w:sz w:val="22"/>
              </w:rPr>
            </w:pPr>
            <w:r w:rsidRPr="00F74A85">
              <w:rPr>
                <w:rFonts w:cs="Arial"/>
                <w:color w:val="000000"/>
                <w:sz w:val="22"/>
              </w:rPr>
              <w:t>23.4</w:t>
            </w:r>
          </w:p>
        </w:tc>
      </w:tr>
      <w:tr w:rsidR="009C7AF1" w:rsidRPr="00F74A85" w14:paraId="501AE721" w14:textId="77777777" w:rsidTr="00CD3A6E">
        <w:tc>
          <w:tcPr>
            <w:tcW w:w="2245" w:type="dxa"/>
            <w:hideMark/>
          </w:tcPr>
          <w:p w14:paraId="47EACF38" w14:textId="77777777" w:rsidR="009C7AF1" w:rsidRPr="00F74A85" w:rsidRDefault="009C7AF1" w:rsidP="00F74A85">
            <w:pPr>
              <w:spacing w:after="0" w:line="276" w:lineRule="auto"/>
              <w:rPr>
                <w:rFonts w:cs="Arial"/>
                <w:color w:val="000000"/>
                <w:sz w:val="22"/>
              </w:rPr>
            </w:pPr>
            <w:r w:rsidRPr="00F74A85">
              <w:rPr>
                <w:rFonts w:cs="Arial"/>
                <w:color w:val="000000"/>
                <w:sz w:val="22"/>
              </w:rPr>
              <w:t>Fat</w:t>
            </w:r>
          </w:p>
        </w:tc>
        <w:tc>
          <w:tcPr>
            <w:tcW w:w="3411" w:type="dxa"/>
            <w:hideMark/>
          </w:tcPr>
          <w:p w14:paraId="161C63EC" w14:textId="77777777" w:rsidR="009C7AF1" w:rsidRPr="00F74A85" w:rsidRDefault="009C7AF1" w:rsidP="00F74A85">
            <w:pPr>
              <w:spacing w:after="0" w:line="276" w:lineRule="auto"/>
              <w:rPr>
                <w:rFonts w:cs="Arial"/>
                <w:color w:val="000000"/>
                <w:sz w:val="22"/>
              </w:rPr>
            </w:pPr>
            <w:r w:rsidRPr="00F74A85">
              <w:rPr>
                <w:rFonts w:cs="Arial"/>
                <w:color w:val="000000"/>
                <w:sz w:val="22"/>
              </w:rPr>
              <w:t>19.6</w:t>
            </w:r>
          </w:p>
        </w:tc>
        <w:tc>
          <w:tcPr>
            <w:tcW w:w="3719" w:type="dxa"/>
            <w:hideMark/>
          </w:tcPr>
          <w:p w14:paraId="5A3220A3" w14:textId="77777777" w:rsidR="009C7AF1" w:rsidRPr="00F74A85" w:rsidRDefault="009C7AF1" w:rsidP="00F74A85">
            <w:pPr>
              <w:spacing w:after="0" w:line="276" w:lineRule="auto"/>
              <w:rPr>
                <w:rFonts w:cs="Arial"/>
                <w:color w:val="000000"/>
                <w:sz w:val="22"/>
              </w:rPr>
            </w:pPr>
            <w:r w:rsidRPr="00F74A85">
              <w:rPr>
                <w:rFonts w:cs="Arial"/>
                <w:color w:val="000000"/>
                <w:sz w:val="22"/>
              </w:rPr>
              <w:t>27.8</w:t>
            </w:r>
          </w:p>
        </w:tc>
      </w:tr>
    </w:tbl>
    <w:p w14:paraId="7E0E585F" w14:textId="77777777" w:rsidR="009C7AF1" w:rsidRPr="00F74A85" w:rsidRDefault="009C7AF1" w:rsidP="00F74A85">
      <w:pPr>
        <w:spacing w:after="0" w:line="276" w:lineRule="auto"/>
        <w:textAlignment w:val="baseline"/>
        <w:rPr>
          <w:rFonts w:eastAsia="Times New Roman" w:cs="Arial"/>
          <w:color w:val="000000"/>
          <w:sz w:val="22"/>
          <w:szCs w:val="22"/>
        </w:rPr>
      </w:pPr>
    </w:p>
    <w:p w14:paraId="6A2B486A" w14:textId="77777777" w:rsidR="009919FB" w:rsidRPr="00CD3A6E" w:rsidRDefault="009919FB" w:rsidP="00F74A85">
      <w:pPr>
        <w:spacing w:after="0" w:line="276" w:lineRule="auto"/>
        <w:textAlignment w:val="baseline"/>
        <w:outlineLvl w:val="1"/>
        <w:rPr>
          <w:rFonts w:eastAsia="Times New Roman" w:cs="Arial"/>
          <w:b/>
          <w:bCs/>
          <w:caps/>
          <w:color w:val="0070C0"/>
          <w:sz w:val="22"/>
          <w:szCs w:val="22"/>
        </w:rPr>
      </w:pPr>
      <w:r w:rsidRPr="00CD3A6E">
        <w:rPr>
          <w:rFonts w:eastAsia="Times New Roman" w:cs="Arial"/>
          <w:b/>
          <w:bCs/>
          <w:caps/>
          <w:color w:val="0070C0"/>
          <w:sz w:val="22"/>
          <w:szCs w:val="22"/>
          <w:bdr w:val="none" w:sz="0" w:space="0" w:color="auto" w:frame="1"/>
        </w:rPr>
        <w:t>ENERGY EXPENDITURE AND COMPONENTS</w:t>
      </w:r>
    </w:p>
    <w:p w14:paraId="3677BFEF" w14:textId="77777777" w:rsidR="00EB0F2E" w:rsidRPr="00F74A85" w:rsidRDefault="00EB0F2E" w:rsidP="00F74A85">
      <w:pPr>
        <w:spacing w:after="0" w:line="276" w:lineRule="auto"/>
        <w:textAlignment w:val="baseline"/>
        <w:rPr>
          <w:rFonts w:eastAsia="Times New Roman" w:cs="Arial"/>
          <w:color w:val="000000"/>
          <w:sz w:val="22"/>
          <w:szCs w:val="22"/>
        </w:rPr>
      </w:pPr>
    </w:p>
    <w:p w14:paraId="1985EACB" w14:textId="3C8704B8" w:rsidR="009919FB"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 xml:space="preserve">Daily energy expenditure consists of four components: </w:t>
      </w:r>
      <w:r w:rsidR="000C18A2" w:rsidRPr="00F74A85">
        <w:rPr>
          <w:rFonts w:eastAsia="Times New Roman" w:cs="Arial"/>
          <w:color w:val="000000"/>
          <w:sz w:val="22"/>
          <w:szCs w:val="22"/>
        </w:rPr>
        <w:t xml:space="preserve">1) </w:t>
      </w:r>
      <w:r w:rsidRPr="00F74A85">
        <w:rPr>
          <w:rFonts w:eastAsia="Times New Roman" w:cs="Arial"/>
          <w:color w:val="000000"/>
          <w:sz w:val="22"/>
          <w:szCs w:val="22"/>
        </w:rPr>
        <w:t xml:space="preserve">sleeping metabolic rate, </w:t>
      </w:r>
      <w:r w:rsidR="000C18A2" w:rsidRPr="00F74A85">
        <w:rPr>
          <w:rFonts w:eastAsia="Times New Roman" w:cs="Arial"/>
          <w:color w:val="000000"/>
          <w:sz w:val="22"/>
          <w:szCs w:val="22"/>
        </w:rPr>
        <w:t xml:space="preserve">2) </w:t>
      </w:r>
      <w:r w:rsidRPr="00F74A85">
        <w:rPr>
          <w:rFonts w:eastAsia="Times New Roman" w:cs="Arial"/>
          <w:color w:val="000000"/>
          <w:sz w:val="22"/>
          <w:szCs w:val="22"/>
        </w:rPr>
        <w:t xml:space="preserve">the energy cost of arousal, </w:t>
      </w:r>
      <w:r w:rsidR="00C833FA" w:rsidRPr="00F74A85">
        <w:rPr>
          <w:rFonts w:eastAsia="Times New Roman" w:cs="Arial"/>
          <w:color w:val="000000"/>
          <w:sz w:val="22"/>
          <w:szCs w:val="22"/>
        </w:rPr>
        <w:t xml:space="preserve">3) </w:t>
      </w:r>
      <w:r w:rsidRPr="00F74A85">
        <w:rPr>
          <w:rFonts w:eastAsia="Times New Roman" w:cs="Arial"/>
          <w:color w:val="000000"/>
          <w:sz w:val="22"/>
          <w:szCs w:val="22"/>
        </w:rPr>
        <w:t>the thermic effect of food (or diet</w:t>
      </w:r>
      <w:r w:rsidR="008F45F5" w:rsidRPr="00F74A85">
        <w:rPr>
          <w:rFonts w:eastAsia="Times New Roman" w:cs="Arial"/>
          <w:color w:val="000000"/>
          <w:sz w:val="22"/>
          <w:szCs w:val="22"/>
        </w:rPr>
        <w:t>-</w:t>
      </w:r>
      <w:r w:rsidRPr="00F74A85">
        <w:rPr>
          <w:rFonts w:eastAsia="Times New Roman" w:cs="Arial"/>
          <w:color w:val="000000"/>
          <w:sz w:val="22"/>
          <w:szCs w:val="22"/>
        </w:rPr>
        <w:t xml:space="preserve">induced energy expenditure (DEE)), and </w:t>
      </w:r>
      <w:r w:rsidR="00C833FA" w:rsidRPr="00F74A85">
        <w:rPr>
          <w:rFonts w:eastAsia="Times New Roman" w:cs="Arial"/>
          <w:color w:val="000000"/>
          <w:sz w:val="22"/>
          <w:szCs w:val="22"/>
        </w:rPr>
        <w:t xml:space="preserve">4) </w:t>
      </w:r>
      <w:r w:rsidRPr="00F74A85">
        <w:rPr>
          <w:rFonts w:eastAsia="Times New Roman" w:cs="Arial"/>
          <w:color w:val="000000"/>
          <w:sz w:val="22"/>
          <w:szCs w:val="22"/>
        </w:rPr>
        <w:t>the energy cost of physical activity or activity-induced energy expenditure (AEE). Usually, sleeping metabolic rate and the energy cost of arousal are combined and referred to as resting energy expenditure (REE). Overnight when one sleeps quietly, food intake and physical activity are generally low or absent and energy expenditure gradually decreases to a daily minimum before increasing upon awakening (</w:t>
      </w:r>
      <w:r w:rsidRPr="00CD3A6E">
        <w:rPr>
          <w:rFonts w:eastAsia="Times New Roman" w:cs="Arial"/>
          <w:bCs/>
          <w:color w:val="000000"/>
          <w:sz w:val="22"/>
          <w:szCs w:val="22"/>
        </w:rPr>
        <w:t>Figure 2</w:t>
      </w:r>
      <w:r w:rsidRPr="00F74A85">
        <w:rPr>
          <w:rFonts w:eastAsia="Times New Roman" w:cs="Arial"/>
          <w:color w:val="000000"/>
          <w:sz w:val="22"/>
          <w:szCs w:val="22"/>
        </w:rPr>
        <w:t xml:space="preserve">). Then, increases in energy expenditure during arousal are primarily </w:t>
      </w:r>
      <w:r w:rsidR="00C025D0" w:rsidRPr="00F74A85">
        <w:rPr>
          <w:rFonts w:eastAsia="Times New Roman" w:cs="Arial"/>
          <w:color w:val="000000"/>
          <w:sz w:val="22"/>
          <w:szCs w:val="22"/>
        </w:rPr>
        <w:t>the result of</w:t>
      </w:r>
      <w:r w:rsidRPr="00F74A85">
        <w:rPr>
          <w:rFonts w:eastAsia="Times New Roman" w:cs="Arial"/>
          <w:color w:val="000000"/>
          <w:sz w:val="22"/>
          <w:szCs w:val="22"/>
        </w:rPr>
        <w:t xml:space="preserve"> activity-induced energy expenditure as well as diet-induced energy expenditure. Thus, energy expenditure varies throughout a day as a function of body size and body composition (the major components determining REE), physical activity as determinant of AEE, and food intake as determinant of DEE.</w:t>
      </w:r>
    </w:p>
    <w:p w14:paraId="22CCCC74" w14:textId="77777777" w:rsidR="00545A03" w:rsidRPr="00F74A85" w:rsidRDefault="00545A03" w:rsidP="00F74A85">
      <w:pPr>
        <w:spacing w:after="0" w:line="276" w:lineRule="auto"/>
        <w:textAlignment w:val="baseline"/>
        <w:rPr>
          <w:rFonts w:eastAsia="Times New Roman" w:cs="Arial"/>
          <w:color w:val="000000"/>
          <w:sz w:val="22"/>
          <w:szCs w:val="22"/>
        </w:rPr>
      </w:pPr>
    </w:p>
    <w:p w14:paraId="2ED4B278" w14:textId="7406F4EB" w:rsidR="009919FB" w:rsidRPr="00F74A85" w:rsidRDefault="009919FB" w:rsidP="00F74A85">
      <w:pPr>
        <w:spacing w:after="0" w:line="276" w:lineRule="auto"/>
        <w:rPr>
          <w:rFonts w:cs="Arial"/>
          <w:sz w:val="22"/>
          <w:szCs w:val="22"/>
        </w:rPr>
      </w:pPr>
      <w:r w:rsidRPr="00F74A85">
        <w:rPr>
          <w:rFonts w:cs="Arial"/>
          <w:noProof/>
          <w:sz w:val="22"/>
          <w:szCs w:val="22"/>
        </w:rPr>
        <w:lastRenderedPageBreak/>
        <w:drawing>
          <wp:inline distT="0" distB="0" distL="0" distR="0" wp14:anchorId="49EEDCEC" wp14:editId="1DCE6F08">
            <wp:extent cx="5943600" cy="4051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51300"/>
                    </a:xfrm>
                    <a:prstGeom prst="rect">
                      <a:avLst/>
                    </a:prstGeom>
                  </pic:spPr>
                </pic:pic>
              </a:graphicData>
            </a:graphic>
          </wp:inline>
        </w:drawing>
      </w:r>
    </w:p>
    <w:p w14:paraId="6EEC60E9" w14:textId="65A8BBDD" w:rsidR="009919FB" w:rsidRPr="00F74A85" w:rsidRDefault="009919FB" w:rsidP="00F74A85">
      <w:pPr>
        <w:spacing w:after="0" w:line="276" w:lineRule="auto"/>
        <w:textAlignment w:val="baseline"/>
        <w:rPr>
          <w:rFonts w:eastAsia="Times New Roman" w:cs="Arial"/>
          <w:b/>
          <w:iCs/>
          <w:color w:val="000000"/>
          <w:sz w:val="22"/>
          <w:szCs w:val="22"/>
        </w:rPr>
      </w:pPr>
      <w:r w:rsidRPr="00F74A85">
        <w:rPr>
          <w:rFonts w:eastAsia="Times New Roman" w:cs="Arial"/>
          <w:b/>
          <w:iCs/>
          <w:color w:val="000000"/>
          <w:sz w:val="22"/>
          <w:szCs w:val="22"/>
        </w:rPr>
        <w:t>Figure 2</w:t>
      </w:r>
      <w:r w:rsidR="00CD3A6E">
        <w:rPr>
          <w:rFonts w:eastAsia="Times New Roman" w:cs="Arial"/>
          <w:b/>
          <w:iCs/>
          <w:color w:val="000000"/>
          <w:sz w:val="22"/>
          <w:szCs w:val="22"/>
        </w:rPr>
        <w:t>.</w:t>
      </w:r>
      <w:r w:rsidRPr="00F74A85">
        <w:rPr>
          <w:rFonts w:eastAsia="Times New Roman" w:cs="Arial"/>
          <w:b/>
          <w:iCs/>
          <w:color w:val="000000"/>
          <w:sz w:val="22"/>
          <w:szCs w:val="22"/>
        </w:rPr>
        <w:t xml:space="preserve"> Average energy expenditure (upper line) and physical activity (lower line) as measured over a 24-h interval in a respiration chamber. Arrows denote meal times. Data are the average of 37 subjects, 17 women and 20 men, age 20-35 y and body mass index 20-30 kg/m2 </w:t>
      </w:r>
      <w:r w:rsidR="007230F3" w:rsidRPr="00F74A85">
        <w:rPr>
          <w:rFonts w:eastAsia="Times New Roman" w:cs="Arial"/>
          <w:b/>
          <w:iCs/>
          <w:color w:val="000000"/>
          <w:sz w:val="22"/>
          <w:szCs w:val="22"/>
        </w:rPr>
        <w:fldChar w:fldCharType="begin"/>
      </w:r>
      <w:r w:rsidR="00A20A95" w:rsidRPr="00F74A85">
        <w:rPr>
          <w:rFonts w:eastAsia="Times New Roman" w:cs="Arial"/>
          <w:b/>
          <w:iCs/>
          <w:color w:val="000000"/>
          <w:sz w:val="22"/>
          <w:szCs w:val="22"/>
        </w:rPr>
        <w:instrText xml:space="preserve"> ADDIN EN.CITE &lt;EndNote&gt;&lt;Cite&gt;&lt;Author&gt;Westerterp&lt;/Author&gt;&lt;Year&gt;1996&lt;/Year&gt;&lt;RecNum&gt;7077&lt;/RecNum&gt;&lt;DisplayText&gt;(5)&lt;/DisplayText&gt;&lt;record&gt;&lt;rec-number&gt;7077&lt;/rec-number&gt;&lt;foreign-keys&gt;&lt;key app="EN" db-id="pvt9995p1wxx22eefv2xzrame55pwzadt2ws" timestamp="1647798606" guid="8ecfddc9-8059-4f9a-b1a4-e3eefcf21eb1"&gt;7077&lt;/key&gt;&lt;/foreign-keys&gt;&lt;ref-type name="Journal Article"&gt;17&lt;/ref-type&gt;&lt;contributors&gt;&lt;authors&gt;&lt;author&gt;Westerterp, K. R.&lt;/author&gt;&lt;author&gt;Verboeket-van de Venne, W. P.&lt;/author&gt;&lt;author&gt;Bouten, C. V.&lt;/author&gt;&lt;author&gt;de Graaf, C.&lt;/author&gt;&lt;author&gt;van het Hof, K. H.&lt;/author&gt;&lt;author&gt;Weststrate, J. A.&lt;/author&gt;&lt;/authors&gt;&lt;/contributors&gt;&lt;auth-address&gt;Department of Human Biology, University of Limburg, Maastricht, The Netherlands.&lt;/auth-address&gt;&lt;titles&gt;&lt;title&gt;Energy expenditure and physical activity in subjects consuming full-or reduced-fat products as part of their normal diet&lt;/title&gt;&lt;secondary-title&gt;Br J Nutr&lt;/secondary-title&gt;&lt;/titles&gt;&lt;periodical&gt;&lt;full-title&gt;Br J Nutr&lt;/full-title&gt;&lt;/periodical&gt;&lt;pages&gt;785-95&lt;/pages&gt;&lt;volume&gt;76&lt;/volume&gt;&lt;number&gt;6&lt;/number&gt;&lt;edition&gt;1996/12/01&lt;/edition&gt;&lt;keywords&gt;&lt;keyword&gt;Adult&lt;/keyword&gt;&lt;keyword&gt;Dietary Carbohydrates/*administration &amp;amp; dosage&lt;/keyword&gt;&lt;keyword&gt;Dietary Fats/*administration &amp;amp; dosage&lt;/keyword&gt;&lt;keyword&gt;Energy Metabolism/*physiology&lt;/keyword&gt;&lt;keyword&gt;Female&lt;/keyword&gt;&lt;keyword&gt;Humans&lt;/keyword&gt;&lt;keyword&gt;Male&lt;/keyword&gt;&lt;keyword&gt;Physical Exertion/*physiology&lt;/keyword&gt;&lt;/keywords&gt;&lt;dates&gt;&lt;year&gt;1996&lt;/year&gt;&lt;pub-dates&gt;&lt;date&gt;Dec&lt;/date&gt;&lt;/pub-dates&gt;&lt;/dates&gt;&lt;isbn&gt;0007-1145 (Print)&amp;#xD;0007-1145 (Linking)&lt;/isbn&gt;&lt;accession-num&gt;9014648&lt;/accession-num&gt;&lt;urls&gt;&lt;related-urls&gt;&lt;url&gt;https://www.ncbi.nlm.nih.gov/pubmed/9014648&lt;/url&gt;&lt;/related-urls&gt;&lt;/urls&gt;&lt;electronic-resource-num&gt;10.1079/bjn19960086&lt;/electronic-resource-num&gt;&lt;/record&gt;&lt;/Cite&gt;&lt;/EndNote&gt;</w:instrText>
      </w:r>
      <w:r w:rsidR="007230F3" w:rsidRPr="00F74A85">
        <w:rPr>
          <w:rFonts w:eastAsia="Times New Roman" w:cs="Arial"/>
          <w:b/>
          <w:iCs/>
          <w:color w:val="000000"/>
          <w:sz w:val="22"/>
          <w:szCs w:val="22"/>
        </w:rPr>
        <w:fldChar w:fldCharType="separate"/>
      </w:r>
      <w:r w:rsidR="007230F3" w:rsidRPr="00F74A85">
        <w:rPr>
          <w:rFonts w:eastAsia="Times New Roman" w:cs="Arial"/>
          <w:b/>
          <w:iCs/>
          <w:noProof/>
          <w:color w:val="000000"/>
          <w:sz w:val="22"/>
          <w:szCs w:val="22"/>
        </w:rPr>
        <w:t>(5)</w:t>
      </w:r>
      <w:r w:rsidR="007230F3" w:rsidRPr="00F74A85">
        <w:rPr>
          <w:rFonts w:eastAsia="Times New Roman" w:cs="Arial"/>
          <w:b/>
          <w:iCs/>
          <w:color w:val="000000"/>
          <w:sz w:val="22"/>
          <w:szCs w:val="22"/>
        </w:rPr>
        <w:fldChar w:fldCharType="end"/>
      </w:r>
      <w:r w:rsidRPr="00F74A85">
        <w:rPr>
          <w:rFonts w:eastAsia="Times New Roman" w:cs="Arial"/>
          <w:b/>
          <w:iCs/>
          <w:color w:val="000000"/>
          <w:sz w:val="22"/>
          <w:szCs w:val="22"/>
        </w:rPr>
        <w:t>.</w:t>
      </w:r>
    </w:p>
    <w:p w14:paraId="5E3B30EB" w14:textId="77777777" w:rsidR="00EB0F2E" w:rsidRPr="00F74A85" w:rsidRDefault="00EB0F2E" w:rsidP="00F74A85">
      <w:pPr>
        <w:spacing w:after="0" w:line="276" w:lineRule="auto"/>
        <w:textAlignment w:val="baseline"/>
        <w:rPr>
          <w:rFonts w:eastAsia="Times New Roman" w:cs="Arial"/>
          <w:color w:val="000000"/>
          <w:sz w:val="22"/>
          <w:szCs w:val="22"/>
        </w:rPr>
      </w:pPr>
    </w:p>
    <w:p w14:paraId="7D4EB677" w14:textId="2BC4E21C"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 xml:space="preserve">Resting energy expenditure is defined as the metabolic rate required to maintain vital physiological functions of an individual that is in rest, awake, in a fasted state, and in a thermoneutral environment. To perform an accurate measurement of REE, a subject is instructed not to exercise the day before, to fast overnight, transported to a laboratory after waking up in the morning and habituated for 15-30 min to the testing procedure under a ventilated hood, before the actual measurement of 20-30 min, at a comfortable room temperature of 22-24 </w:t>
      </w:r>
      <w:r w:rsidRPr="00F74A85">
        <w:rPr>
          <w:rFonts w:eastAsia="Times New Roman" w:cs="Arial"/>
          <w:color w:val="000000"/>
          <w:sz w:val="22"/>
          <w:szCs w:val="22"/>
          <w:bdr w:val="none" w:sz="0" w:space="0" w:color="auto" w:frame="1"/>
          <w:vertAlign w:val="superscript"/>
        </w:rPr>
        <w:t>0</w:t>
      </w:r>
      <w:r w:rsidRPr="00F74A85">
        <w:rPr>
          <w:rFonts w:eastAsia="Times New Roman" w:cs="Arial"/>
          <w:color w:val="000000"/>
          <w:sz w:val="22"/>
          <w:szCs w:val="22"/>
        </w:rPr>
        <w:t xml:space="preserve">C </w:t>
      </w:r>
      <w:r w:rsidR="007230F3" w:rsidRPr="00F74A85">
        <w:rPr>
          <w:rFonts w:eastAsia="Times New Roman" w:cs="Arial"/>
          <w:color w:val="000000"/>
          <w:sz w:val="22"/>
          <w:szCs w:val="22"/>
        </w:rPr>
        <w:fldChar w:fldCharType="begin"/>
      </w:r>
      <w:r w:rsidR="00A20A95" w:rsidRPr="00F74A85">
        <w:rPr>
          <w:rFonts w:eastAsia="Times New Roman" w:cs="Arial"/>
          <w:color w:val="000000"/>
          <w:sz w:val="22"/>
          <w:szCs w:val="22"/>
        </w:rPr>
        <w:instrText xml:space="preserve"> ADDIN EN.CITE &lt;EndNote&gt;&lt;Cite&gt;&lt;Author&gt;Adriaens&lt;/Author&gt;&lt;Year&gt;2003&lt;/Year&gt;&lt;RecNum&gt;7078&lt;/RecNum&gt;&lt;DisplayText&gt;(6)&lt;/DisplayText&gt;&lt;record&gt;&lt;rec-number&gt;7078&lt;/rec-number&gt;&lt;foreign-keys&gt;&lt;key app="EN" db-id="pvt9995p1wxx22eefv2xzrame55pwzadt2ws" timestamp="1647798719" guid="22bac3df-29f1-46f9-a7fc-6996ccca670d"&gt;7078&lt;/key&gt;&lt;/foreign-keys&gt;&lt;ref-type name="Journal Article"&gt;17&lt;/ref-type&gt;&lt;contributors&gt;&lt;authors&gt;&lt;author&gt;Adriaens, M. P.&lt;/author&gt;&lt;author&gt;Schoffelen, P. F.&lt;/author&gt;&lt;author&gt;Westerterp, K. R.&lt;/author&gt;&lt;/authors&gt;&lt;/contributors&gt;&lt;auth-address&gt;Department of Human Biology, Maastricht University, PO Box 616, 6200 MD Maastricht, The Netherlands. M.adriaens@HB.Unimaas.nl&lt;/auth-address&gt;&lt;titles&gt;&lt;title&gt;Intra-individual variation of basal metabolic rate and the influence of daily habitual physical activity before testing&lt;/title&gt;&lt;secondary-title&gt;Br J Nutr&lt;/secondary-title&gt;&lt;/titles&gt;&lt;periodical&gt;&lt;full-title&gt;Br J Nutr&lt;/full-title&gt;&lt;/periodical&gt;&lt;pages&gt;419-23&lt;/pages&gt;&lt;volume&gt;90&lt;/volume&gt;&lt;number&gt;2&lt;/number&gt;&lt;edition&gt;2003/08/12&lt;/edition&gt;&lt;keywords&gt;&lt;keyword&gt;Adult&lt;/keyword&gt;&lt;keyword&gt;Analysis of Variance&lt;/keyword&gt;&lt;keyword&gt;Basal Metabolism/*physiology&lt;/keyword&gt;&lt;keyword&gt;Body Composition&lt;/keyword&gt;&lt;keyword&gt;Calorimetry&lt;/keyword&gt;&lt;keyword&gt;Clinical Protocols&lt;/keyword&gt;&lt;keyword&gt;Energy Metabolism/physiology&lt;/keyword&gt;&lt;keyword&gt;Exercise/*physiology&lt;/keyword&gt;&lt;keyword&gt;Fasting/physiology&lt;/keyword&gt;&lt;keyword&gt;Female&lt;/keyword&gt;&lt;keyword&gt;Humans&lt;/keyword&gt;&lt;keyword&gt;Male&lt;/keyword&gt;&lt;keyword&gt;Patient Compliance&lt;/keyword&gt;&lt;keyword&gt;Reproducibility of Results&lt;/keyword&gt;&lt;/keywords&gt;&lt;dates&gt;&lt;year&gt;2003&lt;/year&gt;&lt;pub-dates&gt;&lt;date&gt;Aug&lt;/date&gt;&lt;/pub-dates&gt;&lt;/dates&gt;&lt;isbn&gt;0007-1145 (Print)&amp;#xD;0007-1145 (Linking)&lt;/isbn&gt;&lt;accession-num&gt;12908903&lt;/accession-num&gt;&lt;urls&gt;&lt;related-urls&gt;&lt;url&gt;https://www.ncbi.nlm.nih.gov/pubmed/12908903&lt;/url&gt;&lt;/related-urls&gt;&lt;/urls&gt;&lt;electronic-resource-num&gt;10.1079/bjn2003895&lt;/electronic-resource-num&gt;&lt;/record&gt;&lt;/Cite&gt;&lt;/EndNote&gt;</w:instrText>
      </w:r>
      <w:r w:rsidR="007230F3" w:rsidRPr="00F74A85">
        <w:rPr>
          <w:rFonts w:eastAsia="Times New Roman" w:cs="Arial"/>
          <w:color w:val="000000"/>
          <w:sz w:val="22"/>
          <w:szCs w:val="22"/>
        </w:rPr>
        <w:fldChar w:fldCharType="separate"/>
      </w:r>
      <w:r w:rsidR="007230F3" w:rsidRPr="00F74A85">
        <w:rPr>
          <w:rFonts w:eastAsia="Times New Roman" w:cs="Arial"/>
          <w:noProof/>
          <w:color w:val="000000"/>
          <w:sz w:val="22"/>
          <w:szCs w:val="22"/>
        </w:rPr>
        <w:t>(6)</w:t>
      </w:r>
      <w:r w:rsidR="007230F3" w:rsidRPr="00F74A85">
        <w:rPr>
          <w:rFonts w:eastAsia="Times New Roman" w:cs="Arial"/>
          <w:color w:val="000000"/>
          <w:sz w:val="22"/>
          <w:szCs w:val="22"/>
        </w:rPr>
        <w:fldChar w:fldCharType="end"/>
      </w:r>
      <w:r w:rsidRPr="00F74A85">
        <w:rPr>
          <w:rFonts w:eastAsia="Times New Roman" w:cs="Arial"/>
          <w:color w:val="000000"/>
          <w:sz w:val="22"/>
          <w:szCs w:val="22"/>
        </w:rPr>
        <w:t>.</w:t>
      </w:r>
    </w:p>
    <w:p w14:paraId="1CA38A2C" w14:textId="77777777" w:rsidR="00EB0F2E" w:rsidRPr="00F74A85" w:rsidRDefault="00EB0F2E" w:rsidP="00F74A85">
      <w:pPr>
        <w:spacing w:after="0" w:line="276" w:lineRule="auto"/>
        <w:textAlignment w:val="baseline"/>
        <w:rPr>
          <w:rFonts w:eastAsia="Times New Roman" w:cs="Arial"/>
          <w:color w:val="000000"/>
          <w:sz w:val="22"/>
          <w:szCs w:val="22"/>
        </w:rPr>
      </w:pPr>
    </w:p>
    <w:p w14:paraId="4FBADBC1" w14:textId="3E520E82"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Standardizing to fat-free mass as an estimate of metabolic body size is most commonly used in the literature to compare REE between individuals. However, although fat-free body mass is a strong predictor of REE, energy expenditure should not be solely divided by the absolute fat-free mass value as the relationship between energy expenditure and fat-free mass has a</w:t>
      </w:r>
      <w:r w:rsidR="008F45F5" w:rsidRPr="00F74A85">
        <w:rPr>
          <w:rFonts w:eastAsia="Times New Roman" w:cs="Arial"/>
          <w:color w:val="000000"/>
          <w:sz w:val="22"/>
          <w:szCs w:val="22"/>
        </w:rPr>
        <w:t xml:space="preserve">n </w:t>
      </w:r>
      <w:r w:rsidR="00AE0BA6" w:rsidRPr="00F74A85">
        <w:rPr>
          <w:rFonts w:eastAsia="Times New Roman" w:cs="Arial"/>
          <w:color w:val="000000"/>
          <w:sz w:val="22"/>
          <w:szCs w:val="22"/>
        </w:rPr>
        <w:t xml:space="preserve">Y-intercept (the value for energy expenditure when fat-free mass is </w:t>
      </w:r>
      <w:r w:rsidR="00593014" w:rsidRPr="00F74A85">
        <w:rPr>
          <w:rFonts w:eastAsia="Times New Roman" w:cs="Arial"/>
          <w:color w:val="000000"/>
          <w:sz w:val="22"/>
          <w:szCs w:val="22"/>
        </w:rPr>
        <w:t>theoretically</w:t>
      </w:r>
      <w:r w:rsidR="00AE0BA6" w:rsidRPr="00F74A85">
        <w:rPr>
          <w:rFonts w:eastAsia="Times New Roman" w:cs="Arial"/>
          <w:color w:val="000000"/>
          <w:sz w:val="22"/>
          <w:szCs w:val="22"/>
        </w:rPr>
        <w:t xml:space="preserve"> absent) that is not zero </w:t>
      </w:r>
      <w:r w:rsidRPr="00F74A85">
        <w:rPr>
          <w:rFonts w:eastAsia="Times New Roman" w:cs="Arial"/>
          <w:color w:val="000000"/>
          <w:sz w:val="22"/>
          <w:szCs w:val="22"/>
        </w:rPr>
        <w:t>(</w:t>
      </w:r>
      <w:r w:rsidRPr="00985D13">
        <w:rPr>
          <w:rFonts w:eastAsia="Times New Roman" w:cs="Arial"/>
          <w:bCs/>
          <w:color w:val="000000"/>
          <w:sz w:val="22"/>
          <w:szCs w:val="22"/>
        </w:rPr>
        <w:t>Figure 3</w:t>
      </w:r>
      <w:r w:rsidRPr="00F74A85">
        <w:rPr>
          <w:rFonts w:eastAsia="Times New Roman" w:cs="Arial"/>
          <w:color w:val="000000"/>
          <w:sz w:val="22"/>
          <w:szCs w:val="22"/>
        </w:rPr>
        <w:t xml:space="preserve">). For example, fat-free adjusted REE is significantly different between women and men (Figure 3, 0.143±0.012 and 0.128±0.080 MJ/kg for women and men, respectively, </w:t>
      </w:r>
      <w:r w:rsidRPr="00F74A85">
        <w:rPr>
          <w:rFonts w:eastAsia="Times New Roman" w:cs="Arial"/>
          <w:i/>
          <w:iCs/>
          <w:color w:val="000000"/>
          <w:sz w:val="22"/>
          <w:szCs w:val="22"/>
          <w:bdr w:val="none" w:sz="0" w:space="0" w:color="auto" w:frame="1"/>
        </w:rPr>
        <w:t xml:space="preserve">P </w:t>
      </w:r>
      <w:r w:rsidRPr="00F74A85">
        <w:rPr>
          <w:rFonts w:eastAsia="Times New Roman" w:cs="Arial"/>
          <w:color w:val="000000"/>
          <w:sz w:val="22"/>
          <w:szCs w:val="22"/>
        </w:rPr>
        <w:t xml:space="preserve">&lt; 0.0001). The smaller the fat-free mass, the higher the REE/ fat-free mass ratio and thus the REE per kg fat-free mass is on average higher in women </w:t>
      </w:r>
      <w:r w:rsidR="00593014" w:rsidRPr="00F74A85">
        <w:rPr>
          <w:rFonts w:eastAsia="Times New Roman" w:cs="Arial"/>
          <w:color w:val="000000"/>
          <w:sz w:val="22"/>
          <w:szCs w:val="22"/>
        </w:rPr>
        <w:t>than men</w:t>
      </w:r>
      <w:r w:rsidRPr="00F74A85">
        <w:rPr>
          <w:rFonts w:eastAsia="Times New Roman" w:cs="Arial"/>
          <w:color w:val="000000"/>
          <w:sz w:val="22"/>
          <w:szCs w:val="22"/>
        </w:rPr>
        <w:t xml:space="preserve">. Instead, a more accurate </w:t>
      </w:r>
      <w:r w:rsidRPr="00F74A85">
        <w:rPr>
          <w:rFonts w:eastAsia="Times New Roman" w:cs="Arial"/>
          <w:color w:val="000000"/>
          <w:sz w:val="22"/>
          <w:szCs w:val="22"/>
        </w:rPr>
        <w:lastRenderedPageBreak/>
        <w:t>approach for comparing REE data is by regression analysis that includes both fat-free mass and fat mass as covariates.</w:t>
      </w:r>
    </w:p>
    <w:p w14:paraId="7EC28B91" w14:textId="77777777" w:rsidR="00EB0F2E" w:rsidRPr="00F74A85" w:rsidRDefault="00EB0F2E" w:rsidP="00F74A85">
      <w:pPr>
        <w:spacing w:after="0" w:line="276" w:lineRule="auto"/>
        <w:textAlignment w:val="baseline"/>
        <w:rPr>
          <w:rFonts w:eastAsia="Times New Roman" w:cs="Arial"/>
          <w:color w:val="000000"/>
          <w:sz w:val="22"/>
          <w:szCs w:val="22"/>
        </w:rPr>
      </w:pPr>
    </w:p>
    <w:p w14:paraId="4E8D63F0" w14:textId="06015302" w:rsidR="009919FB"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REE (MJ/d) = 1.39 + 0.93 fat-free mass (kg) + 0.039 fat mass (kg), r</w:t>
      </w:r>
      <w:r w:rsidRPr="00F74A85">
        <w:rPr>
          <w:rFonts w:eastAsia="Times New Roman" w:cs="Arial"/>
          <w:color w:val="000000"/>
          <w:sz w:val="22"/>
          <w:szCs w:val="22"/>
          <w:bdr w:val="none" w:sz="0" w:space="0" w:color="auto" w:frame="1"/>
          <w:vertAlign w:val="superscript"/>
        </w:rPr>
        <w:t>2</w:t>
      </w:r>
      <w:r w:rsidRPr="00F74A85">
        <w:rPr>
          <w:rFonts w:eastAsia="Times New Roman" w:cs="Arial"/>
          <w:color w:val="000000"/>
          <w:sz w:val="22"/>
          <w:szCs w:val="22"/>
        </w:rPr>
        <w:t xml:space="preserve"> = 0.93.</w:t>
      </w:r>
    </w:p>
    <w:p w14:paraId="7BDA25A0" w14:textId="7AE26A46" w:rsidR="002C733C" w:rsidRDefault="002C733C" w:rsidP="00F74A85">
      <w:pPr>
        <w:spacing w:after="0" w:line="276" w:lineRule="auto"/>
        <w:textAlignment w:val="baseline"/>
        <w:rPr>
          <w:rFonts w:eastAsia="Times New Roman" w:cs="Arial"/>
          <w:color w:val="000000"/>
          <w:sz w:val="22"/>
          <w:szCs w:val="22"/>
        </w:rPr>
      </w:pPr>
    </w:p>
    <w:p w14:paraId="5B140912" w14:textId="07B061D7" w:rsidR="002C733C" w:rsidRPr="00F74A85" w:rsidRDefault="002C733C" w:rsidP="00F74A85">
      <w:pPr>
        <w:spacing w:after="0" w:line="276" w:lineRule="auto"/>
        <w:textAlignment w:val="baseline"/>
        <w:rPr>
          <w:rFonts w:eastAsia="Times New Roman" w:cs="Arial"/>
          <w:color w:val="000000"/>
          <w:sz w:val="22"/>
          <w:szCs w:val="22"/>
        </w:rPr>
      </w:pPr>
      <w:r w:rsidRPr="002C733C">
        <w:rPr>
          <w:rFonts w:eastAsia="Times New Roman" w:cs="Arial"/>
          <w:color w:val="000000"/>
          <w:sz w:val="22"/>
          <w:szCs w:val="22"/>
        </w:rPr>
        <w:t>Using this equation, gender no longer comes out as a significant contributor to the explained variation in the group of women and men (Figure 3).</w:t>
      </w:r>
    </w:p>
    <w:p w14:paraId="62706416" w14:textId="77777777" w:rsidR="00AE0BA6" w:rsidRPr="00F74A85" w:rsidRDefault="00AE0BA6" w:rsidP="00F74A85">
      <w:pPr>
        <w:spacing w:after="0" w:line="276" w:lineRule="auto"/>
        <w:textAlignment w:val="baseline"/>
        <w:rPr>
          <w:rFonts w:eastAsia="Times New Roman" w:cs="Arial"/>
          <w:color w:val="000000"/>
          <w:sz w:val="22"/>
          <w:szCs w:val="22"/>
        </w:rPr>
      </w:pPr>
    </w:p>
    <w:p w14:paraId="13C9700E" w14:textId="77777777" w:rsidR="002C733C" w:rsidRDefault="00AE0BA6" w:rsidP="00F74A85">
      <w:pPr>
        <w:spacing w:after="0" w:line="276" w:lineRule="auto"/>
        <w:textAlignment w:val="baseline"/>
        <w:rPr>
          <w:rFonts w:eastAsia="Times New Roman" w:cs="Arial"/>
          <w:color w:val="000000"/>
          <w:sz w:val="22"/>
          <w:szCs w:val="22"/>
        </w:rPr>
      </w:pPr>
      <w:r w:rsidRPr="00F74A85">
        <w:rPr>
          <w:rFonts w:cs="Arial"/>
          <w:noProof/>
          <w:sz w:val="22"/>
          <w:szCs w:val="22"/>
        </w:rPr>
        <w:drawing>
          <wp:inline distT="0" distB="0" distL="0" distR="0" wp14:anchorId="61EBBF47" wp14:editId="43F72ACB">
            <wp:extent cx="5246370" cy="52717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46370" cy="5271770"/>
                    </a:xfrm>
                    <a:prstGeom prst="rect">
                      <a:avLst/>
                    </a:prstGeom>
                  </pic:spPr>
                </pic:pic>
              </a:graphicData>
            </a:graphic>
          </wp:inline>
        </w:drawing>
      </w:r>
    </w:p>
    <w:p w14:paraId="4D286306" w14:textId="7B115F86" w:rsidR="009919FB" w:rsidRPr="00F74A85" w:rsidRDefault="009919FB" w:rsidP="00F74A85">
      <w:pPr>
        <w:spacing w:after="0" w:line="276" w:lineRule="auto"/>
        <w:textAlignment w:val="baseline"/>
        <w:rPr>
          <w:rFonts w:eastAsia="Times New Roman" w:cs="Arial"/>
          <w:b/>
          <w:iCs/>
          <w:color w:val="000000"/>
          <w:sz w:val="22"/>
          <w:szCs w:val="22"/>
        </w:rPr>
      </w:pPr>
      <w:r w:rsidRPr="00F74A85">
        <w:rPr>
          <w:rFonts w:eastAsia="Times New Roman" w:cs="Arial"/>
          <w:b/>
          <w:iCs/>
          <w:color w:val="000000"/>
          <w:sz w:val="22"/>
          <w:szCs w:val="22"/>
        </w:rPr>
        <w:t>Figure 3</w:t>
      </w:r>
      <w:r w:rsidR="00985D13">
        <w:rPr>
          <w:rFonts w:eastAsia="Times New Roman" w:cs="Arial"/>
          <w:b/>
          <w:iCs/>
          <w:color w:val="000000"/>
          <w:sz w:val="22"/>
          <w:szCs w:val="22"/>
        </w:rPr>
        <w:t>.</w:t>
      </w:r>
      <w:r w:rsidRPr="00F74A85">
        <w:rPr>
          <w:rFonts w:eastAsia="Times New Roman" w:cs="Arial"/>
          <w:b/>
          <w:iCs/>
          <w:color w:val="000000"/>
          <w:sz w:val="22"/>
          <w:szCs w:val="22"/>
        </w:rPr>
        <w:t xml:space="preserve"> Resting energy expenditure (REE) plotted as a function of fat-free mass for the subjects from referen</w:t>
      </w:r>
      <w:r w:rsidR="00E4476F" w:rsidRPr="00F74A85">
        <w:rPr>
          <w:rFonts w:eastAsia="Times New Roman" w:cs="Arial"/>
          <w:b/>
          <w:iCs/>
          <w:color w:val="000000"/>
          <w:sz w:val="22"/>
          <w:szCs w:val="22"/>
        </w:rPr>
        <w:t>ce</w:t>
      </w:r>
      <w:r w:rsidRPr="00F74A85">
        <w:rPr>
          <w:rFonts w:eastAsia="Times New Roman" w:cs="Arial"/>
          <w:b/>
          <w:iCs/>
          <w:color w:val="000000"/>
          <w:sz w:val="22"/>
          <w:szCs w:val="22"/>
        </w:rPr>
        <w:t xml:space="preserve"> 5 as described in Figure </w:t>
      </w:r>
      <w:r w:rsidR="00A20A95" w:rsidRPr="00F74A85">
        <w:rPr>
          <w:rFonts w:eastAsia="Times New Roman" w:cs="Arial"/>
          <w:b/>
          <w:iCs/>
          <w:color w:val="000000"/>
          <w:sz w:val="22"/>
          <w:szCs w:val="22"/>
        </w:rPr>
        <w:fldChar w:fldCharType="begin"/>
      </w:r>
      <w:r w:rsidR="00A20A95" w:rsidRPr="00F74A85">
        <w:rPr>
          <w:rFonts w:eastAsia="Times New Roman" w:cs="Arial"/>
          <w:b/>
          <w:iCs/>
          <w:color w:val="000000"/>
          <w:sz w:val="22"/>
          <w:szCs w:val="22"/>
        </w:rPr>
        <w:instrText xml:space="preserve"> ADDIN EN.CITE &lt;EndNote&gt;&lt;Cite&gt;&lt;Author&gt;Brouwer&lt;/Author&gt;&lt;Year&gt;1957&lt;/Year&gt;&lt;RecNum&gt;7074&lt;/RecNum&gt;&lt;DisplayText&gt;(2)&lt;/DisplayText&gt;&lt;record&gt;&lt;rec-number&gt;7074&lt;/rec-number&gt;&lt;foreign-keys&gt;&lt;key app="EN" db-id="pvt9995p1wxx22eefv2xzrame55pwzadt2ws" timestamp="1647797662" guid="8af82f4c-b2ea-4d71-9186-c056cc9dba3f"&gt;7074&lt;/key&gt;&lt;/foreign-keys&gt;&lt;ref-type name="Journal Article"&gt;17&lt;/ref-type&gt;&lt;contributors&gt;&lt;authors&gt;&lt;author&gt;Brouwer, E.&lt;/author&gt;&lt;/authors&gt;&lt;/contributors&gt;&lt;titles&gt;&lt;title&gt;On simple formulae for calculating the heat expenditure and the quantities of carbohydrate and fat oxidized in metabolism of men and animals, from gaseous exchange (Oxygen intake and carbonic acid output) and urine-N&lt;/title&gt;&lt;secondary-title&gt;Acta Physiol Pharmacol Neerl&lt;/secondary-title&gt;&lt;/titles&gt;&lt;periodical&gt;&lt;full-title&gt;Acta Physiol Pharmacol Neerl&lt;/full-title&gt;&lt;/periodical&gt;&lt;pages&gt;795-802&lt;/pages&gt;&lt;volume&gt;6&lt;/volume&gt;&lt;edition&gt;1957/01/01&lt;/edition&gt;&lt;keywords&gt;&lt;keyword&gt;Animals&lt;/keyword&gt;&lt;keyword&gt;*Carbohydrates&lt;/keyword&gt;&lt;keyword&gt;*Carbonic Acid&lt;/keyword&gt;&lt;keyword&gt;*Health Expenditures&lt;/keyword&gt;&lt;keyword&gt;*Hot Temperature&lt;/keyword&gt;&lt;keyword&gt;Humans&lt;/keyword&gt;&lt;keyword&gt;Male&lt;/keyword&gt;&lt;keyword&gt;*Metabolism&lt;/keyword&gt;&lt;keyword&gt;*Oxidation-Reduction&lt;/keyword&gt;&lt;keyword&gt;*Oxygen&lt;/keyword&gt;&lt;/keywords&gt;&lt;dates&gt;&lt;year&gt;1957&lt;/year&gt;&lt;/dates&gt;&lt;isbn&gt;0001-6748 (Print)&amp;#xD;0001-6748 (Linking)&lt;/isbn&gt;&lt;accession-num&gt;13487422&lt;/accession-num&gt;&lt;urls&gt;&lt;related-urls&gt;&lt;url&gt;https://www.ncbi.nlm.nih.gov/pubmed/13487422&lt;/url&gt;&lt;/related-urls&gt;&lt;/urls&gt;&lt;/record&gt;&lt;/Cite&gt;&lt;/EndNote&gt;</w:instrText>
      </w:r>
      <w:r w:rsidR="00A20A95" w:rsidRPr="00F74A85">
        <w:rPr>
          <w:rFonts w:eastAsia="Times New Roman" w:cs="Arial"/>
          <w:b/>
          <w:iCs/>
          <w:color w:val="000000"/>
          <w:sz w:val="22"/>
          <w:szCs w:val="22"/>
        </w:rPr>
        <w:fldChar w:fldCharType="separate"/>
      </w:r>
      <w:r w:rsidR="00A20A95" w:rsidRPr="00F74A85">
        <w:rPr>
          <w:rFonts w:eastAsia="Times New Roman" w:cs="Arial"/>
          <w:b/>
          <w:iCs/>
          <w:noProof/>
          <w:color w:val="000000"/>
          <w:sz w:val="22"/>
          <w:szCs w:val="22"/>
        </w:rPr>
        <w:t>(2)</w:t>
      </w:r>
      <w:r w:rsidR="00A20A95" w:rsidRPr="00F74A85">
        <w:rPr>
          <w:rFonts w:eastAsia="Times New Roman" w:cs="Arial"/>
          <w:b/>
          <w:iCs/>
          <w:color w:val="000000"/>
          <w:sz w:val="22"/>
          <w:szCs w:val="22"/>
        </w:rPr>
        <w:fldChar w:fldCharType="end"/>
      </w:r>
      <w:r w:rsidRPr="00F74A85">
        <w:rPr>
          <w:rFonts w:eastAsia="Times New Roman" w:cs="Arial"/>
          <w:b/>
          <w:iCs/>
          <w:color w:val="000000"/>
          <w:sz w:val="22"/>
          <w:szCs w:val="22"/>
        </w:rPr>
        <w:t xml:space="preserve"> (17 women: closed symbols; 20 men: open symbols) with the calculated linear regression line (REE (MJ/d) = 2.27 + 0.091 fat-free mass (kg), r</w:t>
      </w:r>
      <w:r w:rsidRPr="00F74A85">
        <w:rPr>
          <w:rFonts w:eastAsia="Times New Roman" w:cs="Arial"/>
          <w:b/>
          <w:iCs/>
          <w:color w:val="000000"/>
          <w:sz w:val="22"/>
          <w:szCs w:val="22"/>
          <w:vertAlign w:val="superscript"/>
        </w:rPr>
        <w:t>2</w:t>
      </w:r>
      <w:r w:rsidRPr="00F74A85">
        <w:rPr>
          <w:rFonts w:eastAsia="Times New Roman" w:cs="Arial"/>
          <w:b/>
          <w:iCs/>
          <w:color w:val="000000"/>
          <w:sz w:val="22"/>
          <w:szCs w:val="22"/>
        </w:rPr>
        <w:t xml:space="preserve"> = 0.78).</w:t>
      </w:r>
    </w:p>
    <w:p w14:paraId="5629D6BE" w14:textId="77777777" w:rsidR="00AE0BA6" w:rsidRPr="00F74A85" w:rsidRDefault="00AE0BA6" w:rsidP="00F74A85">
      <w:pPr>
        <w:spacing w:after="0" w:line="276" w:lineRule="auto"/>
        <w:textAlignment w:val="baseline"/>
        <w:rPr>
          <w:rFonts w:eastAsia="Times New Roman" w:cs="Arial"/>
          <w:b/>
          <w:iCs/>
          <w:color w:val="000000"/>
          <w:sz w:val="22"/>
          <w:szCs w:val="22"/>
        </w:rPr>
      </w:pPr>
    </w:p>
    <w:p w14:paraId="216BAA5C" w14:textId="282D7E1A" w:rsidR="009919FB"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 xml:space="preserve">Diet-induced energy expenditure is defined as the energy-required for intestinal absorption of nutrients, the initial steps of their metabolism and the storage of the absorbed but not </w:t>
      </w:r>
      <w:r w:rsidRPr="00F74A85">
        <w:rPr>
          <w:rFonts w:eastAsia="Times New Roman" w:cs="Arial"/>
          <w:color w:val="000000"/>
          <w:sz w:val="22"/>
          <w:szCs w:val="22"/>
        </w:rPr>
        <w:lastRenderedPageBreak/>
        <w:t xml:space="preserve">immediately oxidized nutrients during the post-prandial period. As such, the amount of food ingested quantified as the energy content of the food is a determinant of DEE. The most common way to express DEE is derived from the difference between energy expenditure after food consumption and REE, divided by the rate of nutrient energy administration. Theoretically, based on the amount of ATP required for the initial steps of metabolism and storage, the DEE is different for each nutrient. Reported DEE values for separate nutrients are 0 to 3% for fat, 5 to 10% for carbohydrate, and 20 to 30% for protein </w:t>
      </w:r>
      <w:r w:rsidR="00736448" w:rsidRPr="00F74A85">
        <w:rPr>
          <w:rFonts w:eastAsia="Times New Roman" w:cs="Arial"/>
          <w:color w:val="000000"/>
          <w:sz w:val="22"/>
          <w:szCs w:val="22"/>
        </w:rPr>
        <w:fldChar w:fldCharType="begin"/>
      </w:r>
      <w:r w:rsidR="00A20A95" w:rsidRPr="00F74A85">
        <w:rPr>
          <w:rFonts w:eastAsia="Times New Roman" w:cs="Arial"/>
          <w:color w:val="000000"/>
          <w:sz w:val="22"/>
          <w:szCs w:val="22"/>
        </w:rPr>
        <w:instrText xml:space="preserve"> ADDIN EN.CITE &lt;EndNote&gt;&lt;Cite&gt;&lt;Author&gt;Tappy&lt;/Author&gt;&lt;Year&gt;1996&lt;/Year&gt;&lt;RecNum&gt;7079&lt;/RecNum&gt;&lt;DisplayText&gt;(7)&lt;/DisplayText&gt;&lt;record&gt;&lt;rec-number&gt;7079&lt;/rec-number&gt;&lt;foreign-keys&gt;&lt;key app="EN" db-id="pvt9995p1wxx22eefv2xzrame55pwzadt2ws" timestamp="1647798824" guid="fdcb5f15-ad40-48fe-bd0a-25f2651b77dd"&gt;7079&lt;/key&gt;&lt;/foreign-keys&gt;&lt;ref-type name="Journal Article"&gt;17&lt;/ref-type&gt;&lt;contributors&gt;&lt;authors&gt;&lt;author&gt;Tappy, L.&lt;/author&gt;&lt;/authors&gt;&lt;/contributors&gt;&lt;auth-address&gt;Institute of Physiology, University of Lausanne, Switzerland.&lt;/auth-address&gt;&lt;titles&gt;&lt;title&gt;Thermic effect of food and sympathetic nervous system activity in humans&lt;/title&gt;&lt;secondary-title&gt;Reprod Nutr Dev&lt;/secondary-title&gt;&lt;/titles&gt;&lt;periodical&gt;&lt;full-title&gt;Reprod Nutr Dev&lt;/full-title&gt;&lt;/periodical&gt;&lt;pages&gt;391-7&lt;/pages&gt;&lt;volume&gt;36&lt;/volume&gt;&lt;number&gt;4&lt;/number&gt;&lt;edition&gt;1996/01/01&lt;/edition&gt;&lt;keywords&gt;&lt;keyword&gt;Autonomic Nervous System/physiology&lt;/keyword&gt;&lt;keyword&gt;*Body Temperature Regulation&lt;/keyword&gt;&lt;keyword&gt;*Food&lt;/keyword&gt;&lt;keyword&gt;Humans&lt;/keyword&gt;&lt;keyword&gt;Obesity&lt;/keyword&gt;&lt;keyword&gt;Sympathetic Nervous System/*physiology&lt;/keyword&gt;&lt;/keywords&gt;&lt;dates&gt;&lt;year&gt;1996&lt;/year&gt;&lt;/dates&gt;&lt;isbn&gt;0926-5287 (Print)&amp;#xD;0926-5287 (Linking)&lt;/isbn&gt;&lt;accession-num&gt;8878356&lt;/accession-num&gt;&lt;urls&gt;&lt;related-urls&gt;&lt;url&gt;https://www.ncbi.nlm.nih.gov/pubmed/8878356&lt;/url&gt;&lt;/related-urls&gt;&lt;/urls&gt;&lt;electronic-resource-num&gt;10.1051/rnd:19960405&lt;/electronic-resource-num&gt;&lt;/record&gt;&lt;/Cite&gt;&lt;/EndNote&gt;</w:instrText>
      </w:r>
      <w:r w:rsidR="00736448" w:rsidRPr="00F74A85">
        <w:rPr>
          <w:rFonts w:eastAsia="Times New Roman" w:cs="Arial"/>
          <w:color w:val="000000"/>
          <w:sz w:val="22"/>
          <w:szCs w:val="22"/>
        </w:rPr>
        <w:fldChar w:fldCharType="separate"/>
      </w:r>
      <w:r w:rsidR="00736448" w:rsidRPr="00F74A85">
        <w:rPr>
          <w:rFonts w:eastAsia="Times New Roman" w:cs="Arial"/>
          <w:noProof/>
          <w:color w:val="000000"/>
          <w:sz w:val="22"/>
          <w:szCs w:val="22"/>
        </w:rPr>
        <w:t>(7)</w:t>
      </w:r>
      <w:r w:rsidR="00736448" w:rsidRPr="00F74A85">
        <w:rPr>
          <w:rFonts w:eastAsia="Times New Roman" w:cs="Arial"/>
          <w:color w:val="000000"/>
          <w:sz w:val="22"/>
          <w:szCs w:val="22"/>
        </w:rPr>
        <w:fldChar w:fldCharType="end"/>
      </w:r>
      <w:r w:rsidRPr="00F74A85">
        <w:rPr>
          <w:rFonts w:eastAsia="Times New Roman" w:cs="Arial"/>
          <w:color w:val="000000"/>
          <w:sz w:val="22"/>
          <w:szCs w:val="22"/>
        </w:rPr>
        <w:t>. In healthy subjects in energy balance with a mixed diet, DEE represents about 10% of the total amount of energy ingested over 24 hours.</w:t>
      </w:r>
    </w:p>
    <w:p w14:paraId="744B6A9B" w14:textId="0C45C13C" w:rsidR="00E22BAD" w:rsidRDefault="00E22BAD" w:rsidP="00F74A85">
      <w:pPr>
        <w:spacing w:after="0" w:line="276" w:lineRule="auto"/>
        <w:textAlignment w:val="baseline"/>
        <w:rPr>
          <w:rFonts w:eastAsia="Times New Roman" w:cs="Arial"/>
          <w:color w:val="000000"/>
          <w:sz w:val="22"/>
          <w:szCs w:val="22"/>
        </w:rPr>
      </w:pPr>
    </w:p>
    <w:p w14:paraId="6B12D743" w14:textId="7DEDDE86" w:rsidR="00E22BAD" w:rsidRDefault="00E22BAD" w:rsidP="00F74A85">
      <w:pPr>
        <w:spacing w:after="0" w:line="276" w:lineRule="auto"/>
        <w:textAlignment w:val="baseline"/>
        <w:rPr>
          <w:rFonts w:eastAsia="Times New Roman" w:cs="Arial"/>
          <w:color w:val="000000"/>
          <w:sz w:val="22"/>
          <w:szCs w:val="22"/>
        </w:rPr>
      </w:pPr>
      <w:r w:rsidRPr="00E22BAD">
        <w:rPr>
          <w:rFonts w:eastAsia="Times New Roman" w:cs="Arial"/>
          <w:color w:val="000000"/>
          <w:sz w:val="22"/>
          <w:szCs w:val="22"/>
        </w:rPr>
        <w:t>A typical mean pattern of DEE throughout the day is presented in Figure 4. Data are from a study where DEE was calculated by plotting the residual of the individual relationship between energy expenditure and physical activity in time, as measured over 30-min intervals from a 24-h observation in a respiration chamber. The level of REE after waking up in the morning, and directly before the first meal, was defined as basal metabolic rate. Resting metabolic rate had still not returned to basal metabolic rate before lunch four hours after breakfast, or before dinner at five hours after lunch. Instead, basal metabolic rate was restored overnight, approximately eight hours after dinner consumption.</w:t>
      </w:r>
    </w:p>
    <w:p w14:paraId="33F00E19" w14:textId="77777777" w:rsidR="00E22BAD" w:rsidRPr="00F74A85" w:rsidRDefault="00E22BAD" w:rsidP="00F74A85">
      <w:pPr>
        <w:spacing w:after="0" w:line="276" w:lineRule="auto"/>
        <w:textAlignment w:val="baseline"/>
        <w:rPr>
          <w:rFonts w:eastAsia="Times New Roman" w:cs="Arial"/>
          <w:color w:val="000000"/>
          <w:sz w:val="22"/>
          <w:szCs w:val="22"/>
        </w:rPr>
      </w:pPr>
    </w:p>
    <w:p w14:paraId="5A256A94" w14:textId="77777777" w:rsidR="00E22BAD" w:rsidRDefault="008162C0" w:rsidP="00F74A85">
      <w:pPr>
        <w:spacing w:after="0" w:line="276" w:lineRule="auto"/>
        <w:textAlignment w:val="baseline"/>
        <w:rPr>
          <w:rFonts w:eastAsia="Times New Roman" w:cs="Arial"/>
          <w:color w:val="000000"/>
          <w:sz w:val="22"/>
          <w:szCs w:val="22"/>
        </w:rPr>
      </w:pPr>
      <w:r w:rsidRPr="00F74A85">
        <w:rPr>
          <w:rFonts w:cs="Arial"/>
          <w:noProof/>
          <w:sz w:val="22"/>
          <w:szCs w:val="22"/>
        </w:rPr>
        <w:drawing>
          <wp:inline distT="0" distB="0" distL="0" distR="0" wp14:anchorId="1AE97A5C" wp14:editId="08DC1122">
            <wp:extent cx="5020945" cy="3915410"/>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0945" cy="3915410"/>
                    </a:xfrm>
                    <a:prstGeom prst="rect">
                      <a:avLst/>
                    </a:prstGeom>
                  </pic:spPr>
                </pic:pic>
              </a:graphicData>
            </a:graphic>
          </wp:inline>
        </w:drawing>
      </w:r>
    </w:p>
    <w:p w14:paraId="0E393904" w14:textId="0D203344" w:rsidR="009919FB" w:rsidRPr="00F74A85" w:rsidRDefault="009919FB" w:rsidP="00F74A85">
      <w:pPr>
        <w:spacing w:after="0" w:line="276" w:lineRule="auto"/>
        <w:textAlignment w:val="baseline"/>
        <w:rPr>
          <w:rFonts w:eastAsia="Times New Roman" w:cs="Arial"/>
          <w:b/>
          <w:iCs/>
          <w:color w:val="000000"/>
          <w:sz w:val="22"/>
          <w:szCs w:val="22"/>
        </w:rPr>
      </w:pPr>
      <w:r w:rsidRPr="00F74A85">
        <w:rPr>
          <w:rFonts w:eastAsia="Times New Roman" w:cs="Arial"/>
          <w:b/>
          <w:iCs/>
          <w:color w:val="000000"/>
          <w:sz w:val="22"/>
          <w:szCs w:val="22"/>
        </w:rPr>
        <w:t>Figure 4</w:t>
      </w:r>
      <w:r w:rsidR="00985D13">
        <w:rPr>
          <w:rFonts w:eastAsia="Times New Roman" w:cs="Arial"/>
          <w:b/>
          <w:iCs/>
          <w:color w:val="000000"/>
          <w:sz w:val="22"/>
          <w:szCs w:val="22"/>
        </w:rPr>
        <w:t>.</w:t>
      </w:r>
      <w:r w:rsidRPr="00F74A85">
        <w:rPr>
          <w:rFonts w:eastAsia="Times New Roman" w:cs="Arial"/>
          <w:b/>
          <w:iCs/>
          <w:color w:val="000000"/>
          <w:sz w:val="22"/>
          <w:szCs w:val="22"/>
        </w:rPr>
        <w:t xml:space="preserve"> The mean pattern of resting energy expenditure throughout the day, where arrows denote meal times (adapted from reference </w:t>
      </w:r>
      <w:r w:rsidR="00736448" w:rsidRPr="00F74A85">
        <w:rPr>
          <w:rFonts w:eastAsia="Times New Roman" w:cs="Arial"/>
          <w:b/>
          <w:iCs/>
          <w:color w:val="000000"/>
          <w:sz w:val="22"/>
          <w:szCs w:val="22"/>
        </w:rPr>
        <w:fldChar w:fldCharType="begin"/>
      </w:r>
      <w:r w:rsidR="00A20A95" w:rsidRPr="00F74A85">
        <w:rPr>
          <w:rFonts w:eastAsia="Times New Roman" w:cs="Arial"/>
          <w:b/>
          <w:iCs/>
          <w:color w:val="000000"/>
          <w:sz w:val="22"/>
          <w:szCs w:val="22"/>
        </w:rPr>
        <w:instrText xml:space="preserve"> ADDIN EN.CITE &lt;EndNote&gt;&lt;Cite&gt;&lt;Author&gt;Westerterp&lt;/Author&gt;&lt;Year&gt;2004&lt;/Year&gt;&lt;RecNum&gt;7080&lt;/RecNum&gt;&lt;DisplayText&gt;(8)&lt;/DisplayText&gt;&lt;record&gt;&lt;rec-number&gt;7080&lt;/rec-number&gt;&lt;foreign-keys&gt;&lt;key app="EN" db-id="pvt9995p1wxx22eefv2xzrame55pwzadt2ws" timestamp="1647798911" guid="373b137a-dbb9-4a65-911e-9ddbbe55b63c"&gt;7080&lt;/key&gt;&lt;/foreign-keys&gt;&lt;ref-type name="Journal Article"&gt;17&lt;/ref-type&gt;&lt;contributors&gt;&lt;authors&gt;&lt;author&gt;Westerterp, K. R.&lt;/author&gt;&lt;/authors&gt;&lt;/contributors&gt;&lt;auth-address&gt;Department of Human Biology, Maastricht University, PO Box 616, 6200 MD Maastricht, The Netherlands. K.Westerterp@HB.unimaas.nl.&lt;/auth-address&gt;&lt;titles&gt;&lt;title&gt;Diet induced thermogenesis&lt;/title&gt;&lt;secondary-title&gt;Nutr Metab (Lond)&lt;/secondary-title&gt;&lt;/titles&gt;&lt;periodical&gt;&lt;full-title&gt;Nutr Metab (Lond)&lt;/full-title&gt;&lt;/periodical&gt;&lt;pages&gt;5&lt;/pages&gt;&lt;volume&gt;1&lt;/volume&gt;&lt;number&gt;1&lt;/number&gt;&lt;edition&gt;2004/10/28&lt;/edition&gt;&lt;dates&gt;&lt;year&gt;2004&lt;/year&gt;&lt;pub-dates&gt;&lt;date&gt;Aug 18&lt;/date&gt;&lt;/pub-dates&gt;&lt;/dates&gt;&lt;isbn&gt;1743-7075 (Print)&amp;#xD;1743-7075 (Linking)&lt;/isbn&gt;&lt;accession-num&gt;15507147&lt;/accession-num&gt;&lt;urls&gt;&lt;related-urls&gt;&lt;url&gt;https://www.ncbi.nlm.nih.gov/pubmed/15507147&lt;/url&gt;&lt;/related-urls&gt;&lt;/urls&gt;&lt;custom2&gt;PMC524030&lt;/custom2&gt;&lt;electronic-resource-num&gt;10.1186/1743-7075-1-5&lt;/electronic-resource-num&gt;&lt;/record&gt;&lt;/Cite&gt;&lt;/EndNote&gt;</w:instrText>
      </w:r>
      <w:r w:rsidR="00736448" w:rsidRPr="00F74A85">
        <w:rPr>
          <w:rFonts w:eastAsia="Times New Roman" w:cs="Arial"/>
          <w:b/>
          <w:iCs/>
          <w:color w:val="000000"/>
          <w:sz w:val="22"/>
          <w:szCs w:val="22"/>
        </w:rPr>
        <w:fldChar w:fldCharType="separate"/>
      </w:r>
      <w:r w:rsidR="00736448" w:rsidRPr="00F74A85">
        <w:rPr>
          <w:rFonts w:eastAsia="Times New Roman" w:cs="Arial"/>
          <w:b/>
          <w:iCs/>
          <w:noProof/>
          <w:color w:val="000000"/>
          <w:sz w:val="22"/>
          <w:szCs w:val="22"/>
        </w:rPr>
        <w:t>(8)</w:t>
      </w:r>
      <w:r w:rsidR="00736448" w:rsidRPr="00F74A85">
        <w:rPr>
          <w:rFonts w:eastAsia="Times New Roman" w:cs="Arial"/>
          <w:b/>
          <w:iCs/>
          <w:color w:val="000000"/>
          <w:sz w:val="22"/>
          <w:szCs w:val="22"/>
        </w:rPr>
        <w:fldChar w:fldCharType="end"/>
      </w:r>
      <w:r w:rsidRPr="00F74A85">
        <w:rPr>
          <w:rFonts w:eastAsia="Times New Roman" w:cs="Arial"/>
          <w:b/>
          <w:iCs/>
          <w:color w:val="000000"/>
          <w:sz w:val="22"/>
          <w:szCs w:val="22"/>
        </w:rPr>
        <w:t>).</w:t>
      </w:r>
    </w:p>
    <w:p w14:paraId="7CFF64E0" w14:textId="77777777" w:rsidR="00EB0F2E" w:rsidRPr="00F74A85" w:rsidRDefault="00EB0F2E" w:rsidP="00F74A85">
      <w:pPr>
        <w:spacing w:after="0" w:line="276" w:lineRule="auto"/>
        <w:textAlignment w:val="baseline"/>
        <w:rPr>
          <w:rFonts w:eastAsia="Times New Roman" w:cs="Arial"/>
          <w:color w:val="000000"/>
          <w:sz w:val="22"/>
          <w:szCs w:val="22"/>
        </w:rPr>
      </w:pPr>
    </w:p>
    <w:p w14:paraId="444D0F6B" w14:textId="6CCDE1C1"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lastRenderedPageBreak/>
        <w:t>Activity-induced energy expenditure, the most variable component of daily energy expenditure, is derived from total energy expenditure (TEE) minus resting energy expenditure and diet-induced energy expenditure.</w:t>
      </w:r>
    </w:p>
    <w:p w14:paraId="315A9709" w14:textId="77777777" w:rsidR="00EB0F2E" w:rsidRPr="00F74A85" w:rsidRDefault="00EB0F2E" w:rsidP="00F74A85">
      <w:pPr>
        <w:spacing w:after="0" w:line="276" w:lineRule="auto"/>
        <w:textAlignment w:val="baseline"/>
        <w:rPr>
          <w:rFonts w:eastAsia="Times New Roman" w:cs="Arial"/>
          <w:color w:val="000000"/>
          <w:sz w:val="22"/>
          <w:szCs w:val="22"/>
        </w:rPr>
      </w:pPr>
    </w:p>
    <w:p w14:paraId="5B5541DA" w14:textId="77777777"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AEE = TEE – REE – DEE.</w:t>
      </w:r>
    </w:p>
    <w:p w14:paraId="52593D05" w14:textId="77777777" w:rsidR="00EB0F2E" w:rsidRPr="00F74A85" w:rsidRDefault="00EB0F2E" w:rsidP="00F74A85">
      <w:pPr>
        <w:spacing w:after="0" w:line="276" w:lineRule="auto"/>
        <w:textAlignment w:val="baseline"/>
        <w:rPr>
          <w:rFonts w:eastAsia="Times New Roman" w:cs="Arial"/>
          <w:color w:val="000000"/>
          <w:sz w:val="22"/>
          <w:szCs w:val="22"/>
        </w:rPr>
      </w:pPr>
    </w:p>
    <w:p w14:paraId="70CC3B0F" w14:textId="5E0CBB82"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 xml:space="preserve">Total energy expenditure is measured with doubly labelled water as described </w:t>
      </w:r>
      <w:r w:rsidR="00947385" w:rsidRPr="00F74A85">
        <w:rPr>
          <w:rFonts w:eastAsia="Times New Roman" w:cs="Arial"/>
          <w:color w:val="000000"/>
          <w:sz w:val="22"/>
          <w:szCs w:val="22"/>
        </w:rPr>
        <w:t>above</w:t>
      </w:r>
      <w:r w:rsidRPr="00F74A85">
        <w:rPr>
          <w:rFonts w:eastAsia="Times New Roman" w:cs="Arial"/>
          <w:color w:val="000000"/>
          <w:sz w:val="22"/>
          <w:szCs w:val="22"/>
        </w:rPr>
        <w:t xml:space="preserve">. </w:t>
      </w:r>
      <w:r w:rsidR="00947385" w:rsidRPr="00F74A85">
        <w:rPr>
          <w:rFonts w:eastAsia="Times New Roman" w:cs="Arial"/>
          <w:color w:val="000000"/>
          <w:sz w:val="22"/>
          <w:szCs w:val="22"/>
        </w:rPr>
        <w:t>When d</w:t>
      </w:r>
      <w:r w:rsidRPr="00F74A85">
        <w:rPr>
          <w:rFonts w:eastAsia="Times New Roman" w:cs="Arial"/>
          <w:color w:val="000000"/>
          <w:sz w:val="22"/>
          <w:szCs w:val="22"/>
        </w:rPr>
        <w:t>iet induced energy expenditure is assumed to be 10% of TEE in subjects consuming the average mixed diet and being in energy balance</w:t>
      </w:r>
      <w:r w:rsidR="00947385" w:rsidRPr="00F74A85">
        <w:rPr>
          <w:rFonts w:eastAsia="Times New Roman" w:cs="Arial"/>
          <w:color w:val="000000"/>
          <w:sz w:val="22"/>
          <w:szCs w:val="22"/>
        </w:rPr>
        <w:t xml:space="preserve">, </w:t>
      </w:r>
      <w:r w:rsidRPr="00F74A85">
        <w:rPr>
          <w:rFonts w:eastAsia="Times New Roman" w:cs="Arial"/>
          <w:color w:val="000000"/>
          <w:sz w:val="22"/>
          <w:szCs w:val="22"/>
        </w:rPr>
        <w:t>AEE can be calculated as: AEE = 0.9 TEE – REE.</w:t>
      </w:r>
    </w:p>
    <w:p w14:paraId="021CEABD" w14:textId="77777777" w:rsidR="00EB0F2E" w:rsidRPr="00F74A85" w:rsidRDefault="00EB0F2E" w:rsidP="00F74A85">
      <w:pPr>
        <w:spacing w:after="0" w:line="276" w:lineRule="auto"/>
        <w:textAlignment w:val="baseline"/>
        <w:rPr>
          <w:rFonts w:eastAsia="Times New Roman" w:cs="Arial"/>
          <w:color w:val="000000"/>
          <w:sz w:val="22"/>
          <w:szCs w:val="22"/>
        </w:rPr>
      </w:pPr>
    </w:p>
    <w:p w14:paraId="660299BF" w14:textId="77777777"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A frequently used method to quantify the physical activity level (PAL) of a subject is to express TEE as a multiple of REE:</w:t>
      </w:r>
    </w:p>
    <w:p w14:paraId="298C1EC9" w14:textId="77777777" w:rsidR="00EB0F2E" w:rsidRPr="00F74A85" w:rsidRDefault="00EB0F2E" w:rsidP="00F74A85">
      <w:pPr>
        <w:spacing w:after="0" w:line="276" w:lineRule="auto"/>
        <w:textAlignment w:val="baseline"/>
        <w:rPr>
          <w:rFonts w:eastAsia="Times New Roman" w:cs="Arial"/>
          <w:color w:val="000000"/>
          <w:sz w:val="22"/>
          <w:szCs w:val="22"/>
        </w:rPr>
      </w:pPr>
    </w:p>
    <w:p w14:paraId="0CD1126D" w14:textId="2A6616F9"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PAL = TEE/REE.</w:t>
      </w:r>
    </w:p>
    <w:p w14:paraId="49D83CBA" w14:textId="77777777" w:rsidR="00EB0F2E" w:rsidRPr="00F74A85" w:rsidRDefault="00EB0F2E" w:rsidP="00F74A85">
      <w:pPr>
        <w:spacing w:after="0" w:line="276" w:lineRule="auto"/>
        <w:textAlignment w:val="baseline"/>
        <w:rPr>
          <w:rFonts w:eastAsia="Times New Roman" w:cs="Arial"/>
          <w:color w:val="000000"/>
          <w:sz w:val="22"/>
          <w:szCs w:val="22"/>
        </w:rPr>
      </w:pPr>
    </w:p>
    <w:p w14:paraId="4BBC9180" w14:textId="5B4D3B9C"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 xml:space="preserve">This assumes that the variation in total energy expenditure is due to body size and physical activity. The effect of body size is corrected for by expressing TEE as a multiple of REE. Data on daily energy expenditure, as measured with doubly labelled water, permit the evaluation of limits to the physical activity level. In our site, data were compiled for more than 500 subjects, where energy expenditure was measured over an interval of two weeks with the same protocol. The sample excludes individuals aged less than 18 years, involved in interventions </w:t>
      </w:r>
      <w:r w:rsidR="00C47204" w:rsidRPr="00F74A85">
        <w:rPr>
          <w:rFonts w:eastAsia="Times New Roman" w:cs="Arial"/>
          <w:color w:val="000000"/>
          <w:sz w:val="22"/>
          <w:szCs w:val="22"/>
        </w:rPr>
        <w:t>of restricted or forced excess</w:t>
      </w:r>
      <w:r w:rsidRPr="00F74A85">
        <w:rPr>
          <w:rFonts w:eastAsia="Times New Roman" w:cs="Arial"/>
          <w:color w:val="000000"/>
          <w:sz w:val="22"/>
          <w:szCs w:val="22"/>
        </w:rPr>
        <w:t xml:space="preserve"> energy intake, </w:t>
      </w:r>
      <w:r w:rsidR="00C47204" w:rsidRPr="00F74A85">
        <w:rPr>
          <w:rFonts w:eastAsia="Times New Roman" w:cs="Arial"/>
          <w:color w:val="000000"/>
          <w:sz w:val="22"/>
          <w:szCs w:val="22"/>
        </w:rPr>
        <w:t xml:space="preserve">whose </w:t>
      </w:r>
      <w:r w:rsidRPr="00F74A85">
        <w:rPr>
          <w:rFonts w:eastAsia="Times New Roman" w:cs="Arial"/>
          <w:color w:val="000000"/>
          <w:sz w:val="22"/>
          <w:szCs w:val="22"/>
        </w:rPr>
        <w:t xml:space="preserve">physical activity including athletic performance, </w:t>
      </w:r>
      <w:r w:rsidR="00C47204" w:rsidRPr="00F74A85">
        <w:rPr>
          <w:rFonts w:eastAsia="Times New Roman" w:cs="Arial"/>
          <w:color w:val="000000"/>
          <w:sz w:val="22"/>
          <w:szCs w:val="22"/>
        </w:rPr>
        <w:t xml:space="preserve">who were </w:t>
      </w:r>
      <w:r w:rsidRPr="00F74A85">
        <w:rPr>
          <w:rFonts w:eastAsia="Times New Roman" w:cs="Arial"/>
          <w:color w:val="000000"/>
          <w:sz w:val="22"/>
          <w:szCs w:val="22"/>
        </w:rPr>
        <w:t>pregnant</w:t>
      </w:r>
      <w:r w:rsidR="00C47204" w:rsidRPr="00F74A85">
        <w:rPr>
          <w:rFonts w:eastAsia="Times New Roman" w:cs="Arial"/>
          <w:color w:val="000000"/>
          <w:sz w:val="22"/>
          <w:szCs w:val="22"/>
        </w:rPr>
        <w:t xml:space="preserve"> or</w:t>
      </w:r>
      <w:r w:rsidRPr="00F74A85">
        <w:rPr>
          <w:rFonts w:eastAsia="Times New Roman" w:cs="Arial"/>
          <w:color w:val="000000"/>
          <w:sz w:val="22"/>
          <w:szCs w:val="22"/>
        </w:rPr>
        <w:t xml:space="preserve"> lactating</w:t>
      </w:r>
      <w:r w:rsidR="00C47204" w:rsidRPr="00F74A85">
        <w:rPr>
          <w:rFonts w:eastAsia="Times New Roman" w:cs="Arial"/>
          <w:color w:val="000000"/>
          <w:sz w:val="22"/>
          <w:szCs w:val="22"/>
        </w:rPr>
        <w:t xml:space="preserve">, and </w:t>
      </w:r>
      <w:r w:rsidRPr="00F74A85">
        <w:rPr>
          <w:rFonts w:eastAsia="Times New Roman" w:cs="Arial"/>
          <w:color w:val="000000"/>
          <w:sz w:val="22"/>
          <w:szCs w:val="22"/>
        </w:rPr>
        <w:t>with an acute or chronic illness. The sample includes similar numbers of women and men, with a wide range for age, height, weight, and body mass index. Despite the wide variation in subject characteristics, a narrow range of the physical activity level (between 1.1 and 2.75) amongst the subjects was found (</w:t>
      </w:r>
      <w:r w:rsidRPr="00985D13">
        <w:rPr>
          <w:rFonts w:eastAsia="Times New Roman" w:cs="Arial"/>
          <w:bCs/>
          <w:color w:val="000000"/>
          <w:sz w:val="22"/>
          <w:szCs w:val="22"/>
        </w:rPr>
        <w:t>Figure 5</w:t>
      </w:r>
      <w:r w:rsidRPr="00F74A85">
        <w:rPr>
          <w:rFonts w:eastAsia="Times New Roman" w:cs="Arial"/>
          <w:color w:val="000000"/>
          <w:sz w:val="22"/>
          <w:szCs w:val="22"/>
        </w:rPr>
        <w:t xml:space="preserve">) with no sex differences </w:t>
      </w:r>
      <w:r w:rsidR="00736448" w:rsidRPr="00F74A85">
        <w:rPr>
          <w:rFonts w:eastAsia="Times New Roman" w:cs="Arial"/>
          <w:color w:val="000000"/>
          <w:sz w:val="22"/>
          <w:szCs w:val="22"/>
        </w:rPr>
        <w:fldChar w:fldCharType="begin"/>
      </w:r>
      <w:r w:rsidR="00A20A95" w:rsidRPr="00F74A85">
        <w:rPr>
          <w:rFonts w:eastAsia="Times New Roman" w:cs="Arial"/>
          <w:color w:val="000000"/>
          <w:sz w:val="22"/>
          <w:szCs w:val="22"/>
        </w:rPr>
        <w:instrText xml:space="preserve"> ADDIN EN.CITE &lt;EndNote&gt;&lt;Cite&gt;&lt;Author&gt;Speakman&lt;/Author&gt;&lt;Year&gt;2010&lt;/Year&gt;&lt;RecNum&gt;7081&lt;/RecNum&gt;&lt;DisplayText&gt;(9)&lt;/DisplayText&gt;&lt;record&gt;&lt;rec-number&gt;7081&lt;/rec-number&gt;&lt;foreign-keys&gt;&lt;key app="EN" db-id="pvt9995p1wxx22eefv2xzrame55pwzadt2ws" timestamp="1647799000" guid="64759bbc-e7db-49f3-b80e-30c6e291c4b5"&gt;7081&lt;/key&gt;&lt;/foreign-keys&gt;&lt;ref-type name="Journal Article"&gt;17&lt;/ref-type&gt;&lt;contributors&gt;&lt;authors&gt;&lt;author&gt;Speakman, J. R.&lt;/author&gt;&lt;author&gt;Westerterp, K. R.&lt;/author&gt;&lt;/authors&gt;&lt;/contributors&gt;&lt;auth-address&gt;Aberdeen Centre for Energy Regulation and Obesity, Institute of Biological and Environmental Sciences, University of Aberdeen, Aberdeen, Scotland. j.speakman@abdn.ac.uk&lt;/auth-address&gt;&lt;titles&gt;&lt;title&gt;Associations between energy demands, physical activity, and body composition in adult humans between 18 and 96 y of age&lt;/title&gt;&lt;secondary-title&gt;Am J Clin Nutr&lt;/secondary-title&gt;&lt;/titles&gt;&lt;periodical&gt;&lt;full-title&gt;Am J Clin Nutr&lt;/full-title&gt;&lt;/periodical&gt;&lt;pages&gt;826-34&lt;/pages&gt;&lt;volume&gt;92&lt;/volume&gt;&lt;number&gt;4&lt;/number&gt;&lt;edition&gt;2010/09/03&lt;/edition&gt;&lt;keywords&gt;&lt;keyword&gt;Adipose Tissue/anatomy &amp;amp; histology&lt;/keyword&gt;&lt;keyword&gt;Adolescent&lt;/keyword&gt;&lt;keyword&gt;Adult&lt;/keyword&gt;&lt;keyword&gt;Aged&lt;/keyword&gt;&lt;keyword&gt;Aged, 80 and over&lt;/keyword&gt;&lt;keyword&gt;*Body Composition&lt;/keyword&gt;&lt;keyword&gt;*Energy Metabolism&lt;/keyword&gt;&lt;keyword&gt;*Exercise&lt;/keyword&gt;&lt;keyword&gt;Female&lt;/keyword&gt;&lt;keyword&gt;Humans&lt;/keyword&gt;&lt;keyword&gt;Male&lt;/keyword&gt;&lt;keyword&gt;Middle Aged&lt;/keyword&gt;&lt;keyword&gt;Motor Activity&lt;/keyword&gt;&lt;keyword&gt;Regression Analysis&lt;/keyword&gt;&lt;keyword&gt;Sex Characteristics&lt;/keyword&gt;&lt;keyword&gt;Young Adult&lt;/keyword&gt;&lt;/keywords&gt;&lt;dates&gt;&lt;year&gt;2010&lt;/year&gt;&lt;pub-dates&gt;&lt;date&gt;Oct&lt;/date&gt;&lt;/pub-dates&gt;&lt;/dates&gt;&lt;isbn&gt;1938-3207 (Electronic)&amp;#xD;0002-9165 (Linking)&lt;/isbn&gt;&lt;accession-num&gt;20810973&lt;/accession-num&gt;&lt;urls&gt;&lt;related-urls&gt;&lt;url&gt;https://www.ncbi.nlm.nih.gov/pubmed/20810973&lt;/url&gt;&lt;/related-urls&gt;&lt;/urls&gt;&lt;electronic-resource-num&gt;10.3945/ajcn.2009.28540&lt;/electronic-resource-num&gt;&lt;/record&gt;&lt;/Cite&gt;&lt;/EndNote&gt;</w:instrText>
      </w:r>
      <w:r w:rsidR="00736448" w:rsidRPr="00F74A85">
        <w:rPr>
          <w:rFonts w:eastAsia="Times New Roman" w:cs="Arial"/>
          <w:color w:val="000000"/>
          <w:sz w:val="22"/>
          <w:szCs w:val="22"/>
        </w:rPr>
        <w:fldChar w:fldCharType="separate"/>
      </w:r>
      <w:r w:rsidR="00736448" w:rsidRPr="00F74A85">
        <w:rPr>
          <w:rFonts w:eastAsia="Times New Roman" w:cs="Arial"/>
          <w:noProof/>
          <w:color w:val="000000"/>
          <w:sz w:val="22"/>
          <w:szCs w:val="22"/>
        </w:rPr>
        <w:t>(9)</w:t>
      </w:r>
      <w:r w:rsidR="00736448" w:rsidRPr="00F74A85">
        <w:rPr>
          <w:rFonts w:eastAsia="Times New Roman" w:cs="Arial"/>
          <w:color w:val="000000"/>
          <w:sz w:val="22"/>
          <w:szCs w:val="22"/>
        </w:rPr>
        <w:fldChar w:fldCharType="end"/>
      </w:r>
      <w:r w:rsidRPr="00F74A85">
        <w:rPr>
          <w:rFonts w:eastAsia="Times New Roman" w:cs="Arial"/>
          <w:color w:val="000000"/>
          <w:sz w:val="22"/>
          <w:szCs w:val="22"/>
        </w:rPr>
        <w:t>.</w:t>
      </w:r>
    </w:p>
    <w:p w14:paraId="6A33FF00" w14:textId="77777777" w:rsidR="00EB0F2E" w:rsidRPr="00F74A85" w:rsidRDefault="00EB0F2E" w:rsidP="00F74A85">
      <w:pPr>
        <w:spacing w:after="0" w:line="276" w:lineRule="auto"/>
        <w:textAlignment w:val="baseline"/>
        <w:rPr>
          <w:rFonts w:eastAsia="Times New Roman" w:cs="Arial"/>
          <w:color w:val="000000"/>
          <w:sz w:val="22"/>
          <w:szCs w:val="22"/>
        </w:rPr>
      </w:pPr>
    </w:p>
    <w:p w14:paraId="41E5E1B1" w14:textId="59731359"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 xml:space="preserve">The physical activity level of a subject can be classified in three categories as defined by the last </w:t>
      </w:r>
      <w:r w:rsidR="00C47204" w:rsidRPr="00F74A85">
        <w:rPr>
          <w:rFonts w:eastAsia="Times New Roman" w:cs="Arial"/>
          <w:color w:val="000000"/>
          <w:sz w:val="22"/>
          <w:szCs w:val="22"/>
        </w:rPr>
        <w:t>Food and Agriculture Organization/World Health</w:t>
      </w:r>
      <w:r w:rsidR="008C2D11" w:rsidRPr="00F74A85">
        <w:rPr>
          <w:rFonts w:eastAsia="Times New Roman" w:cs="Arial"/>
          <w:color w:val="000000"/>
          <w:sz w:val="22"/>
          <w:szCs w:val="22"/>
        </w:rPr>
        <w:t xml:space="preserve"> (</w:t>
      </w:r>
      <w:r w:rsidRPr="00F74A85">
        <w:rPr>
          <w:rFonts w:eastAsia="Times New Roman" w:cs="Arial"/>
          <w:color w:val="000000"/>
          <w:sz w:val="22"/>
          <w:szCs w:val="22"/>
        </w:rPr>
        <w:t>FAO/WHO/UNU</w:t>
      </w:r>
      <w:r w:rsidR="008C2D11" w:rsidRPr="00F74A85">
        <w:rPr>
          <w:rFonts w:eastAsia="Times New Roman" w:cs="Arial"/>
          <w:color w:val="000000"/>
          <w:sz w:val="22"/>
          <w:szCs w:val="22"/>
        </w:rPr>
        <w:t>)</w:t>
      </w:r>
      <w:r w:rsidRPr="00F74A85">
        <w:rPr>
          <w:rFonts w:eastAsia="Times New Roman" w:cs="Arial"/>
          <w:color w:val="000000"/>
          <w:sz w:val="22"/>
          <w:szCs w:val="22"/>
        </w:rPr>
        <w:t xml:space="preserve"> expert consultation on human energy requirements </w:t>
      </w:r>
      <w:r w:rsidR="007F6787" w:rsidRPr="00F74A85">
        <w:rPr>
          <w:rFonts w:eastAsia="Times New Roman" w:cs="Arial"/>
          <w:color w:val="000000"/>
          <w:sz w:val="22"/>
          <w:szCs w:val="22"/>
        </w:rPr>
        <w:fldChar w:fldCharType="begin"/>
      </w:r>
      <w:r w:rsidR="00A20A95" w:rsidRPr="00F74A85">
        <w:rPr>
          <w:rFonts w:eastAsia="Times New Roman" w:cs="Arial"/>
          <w:color w:val="000000"/>
          <w:sz w:val="22"/>
          <w:szCs w:val="22"/>
        </w:rPr>
        <w:instrText xml:space="preserve"> ADDIN EN.CITE &lt;EndNote&gt;&lt;Cite&gt;&lt;Year&gt;2005&lt;/Year&gt;&lt;RecNum&gt;7082&lt;/RecNum&gt;&lt;DisplayText&gt;(10)&lt;/DisplayText&gt;&lt;record&gt;&lt;rec-number&gt;7082&lt;/rec-number&gt;&lt;foreign-keys&gt;&lt;key app="EN" db-id="pvt9995p1wxx22eefv2xzrame55pwzadt2ws" timestamp="1647799162" guid="6f8a2f97-f731-4fcb-9e29-661e3b816578"&gt;7082&lt;/key&gt;&lt;/foreign-keys&gt;&lt;ref-type name="Journal Article"&gt;17&lt;/ref-type&gt;&lt;contributors&gt;&lt;/contributors&gt;&lt;titles&gt;&lt;title&gt;Human energy requirements: report of a joint FAO/ WHO/UNU Expert Consultation&lt;/title&gt;&lt;secondary-title&gt;Food Nutr Bull&lt;/secondary-title&gt;&lt;/titles&gt;&lt;periodical&gt;&lt;full-title&gt;Food Nutr Bull&lt;/full-title&gt;&lt;/periodical&gt;&lt;pages&gt;166&lt;/pages&gt;&lt;volume&gt;26&lt;/volume&gt;&lt;number&gt;1&lt;/number&gt;&lt;edition&gt;2005/04/07&lt;/edition&gt;&lt;keywords&gt;&lt;keyword&gt;Age Factors&lt;/keyword&gt;&lt;keyword&gt;*Energy Intake&lt;/keyword&gt;&lt;keyword&gt;Energy Metabolism/*physiology&lt;/keyword&gt;&lt;keyword&gt;Female&lt;/keyword&gt;&lt;keyword&gt;Humans&lt;/keyword&gt;&lt;keyword&gt;International Agencies&lt;/keyword&gt;&lt;keyword&gt;Male&lt;/keyword&gt;&lt;keyword&gt;*Nutritional Requirements&lt;/keyword&gt;&lt;keyword&gt;Sex Factors&lt;/keyword&gt;&lt;keyword&gt;United Nations&lt;/keyword&gt;&lt;keyword&gt;World Health Organization&lt;/keyword&gt;&lt;/keywords&gt;&lt;dates&gt;&lt;year&gt;2005&lt;/year&gt;&lt;pub-dates&gt;&lt;date&gt;Mar&lt;/date&gt;&lt;/pub-dates&gt;&lt;/dates&gt;&lt;isbn&gt;0379-5721 (Print)&amp;#xD;0379-5721 (Linking)&lt;/isbn&gt;&lt;accession-num&gt;15810802&lt;/accession-num&gt;&lt;urls&gt;&lt;related-urls&gt;&lt;url&gt;https://www.ncbi.nlm.nih.gov/pubmed/15810802&lt;/url&gt;&lt;/related-urls&gt;&lt;/urls&gt;&lt;/record&gt;&lt;/Cite&gt;&lt;/EndNote&gt;</w:instrText>
      </w:r>
      <w:r w:rsidR="007F6787" w:rsidRPr="00F74A85">
        <w:rPr>
          <w:rFonts w:eastAsia="Times New Roman" w:cs="Arial"/>
          <w:color w:val="000000"/>
          <w:sz w:val="22"/>
          <w:szCs w:val="22"/>
        </w:rPr>
        <w:fldChar w:fldCharType="separate"/>
      </w:r>
      <w:r w:rsidR="007F6787" w:rsidRPr="00F74A85">
        <w:rPr>
          <w:rFonts w:eastAsia="Times New Roman" w:cs="Arial"/>
          <w:noProof/>
          <w:color w:val="000000"/>
          <w:sz w:val="22"/>
          <w:szCs w:val="22"/>
        </w:rPr>
        <w:t>(10)</w:t>
      </w:r>
      <w:r w:rsidR="007F6787" w:rsidRPr="00F74A85">
        <w:rPr>
          <w:rFonts w:eastAsia="Times New Roman" w:cs="Arial"/>
          <w:color w:val="000000"/>
          <w:sz w:val="22"/>
          <w:szCs w:val="22"/>
        </w:rPr>
        <w:fldChar w:fldCharType="end"/>
      </w:r>
      <w:r w:rsidRPr="00F74A85">
        <w:rPr>
          <w:rFonts w:eastAsia="Times New Roman" w:cs="Arial"/>
          <w:color w:val="000000"/>
          <w:sz w:val="22"/>
          <w:szCs w:val="22"/>
        </w:rPr>
        <w:t xml:space="preserve">. The physical activity for sedentary and light activity lifestyles ranges between 1.40 and 1.69, for moderately active or active lifestyles between 1.70 and 1.99, and for vigorously active lifestyles between 2.00 and 2.40. An active lifestyle improves heath parameters like insulin sensitivity </w:t>
      </w:r>
      <w:r w:rsidR="007F6787" w:rsidRPr="00F74A85">
        <w:rPr>
          <w:rFonts w:eastAsia="Times New Roman" w:cs="Arial"/>
          <w:color w:val="000000"/>
          <w:sz w:val="22"/>
          <w:szCs w:val="22"/>
        </w:rPr>
        <w:fldChar w:fldCharType="begin"/>
      </w:r>
      <w:r w:rsidR="00A20A95" w:rsidRPr="00F74A85">
        <w:rPr>
          <w:rFonts w:eastAsia="Times New Roman" w:cs="Arial"/>
          <w:color w:val="000000"/>
          <w:sz w:val="22"/>
          <w:szCs w:val="22"/>
        </w:rPr>
        <w:instrText xml:space="preserve"> ADDIN EN.CITE &lt;EndNote&gt;&lt;Cite&gt;&lt;Author&gt;Camps&lt;/Author&gt;&lt;Year&gt;2016&lt;/Year&gt;&lt;RecNum&gt;7083&lt;/RecNum&gt;&lt;DisplayText&gt;(11)&lt;/DisplayText&gt;&lt;record&gt;&lt;rec-number&gt;7083&lt;/rec-number&gt;&lt;foreign-keys&gt;&lt;key app="EN" db-id="pvt9995p1wxx22eefv2xzrame55pwzadt2ws" timestamp="1647799244" guid="0247963c-e12b-476e-b6a3-39b57231ca3f"&gt;7083&lt;/key&gt;&lt;/foreign-keys&gt;&lt;ref-type name="Journal Article"&gt;17&lt;/ref-type&gt;&lt;contributors&gt;&lt;authors&gt;&lt;author&gt;Camps, S. G.&lt;/author&gt;&lt;author&gt;Verhoef, S. P.&lt;/author&gt;&lt;author&gt;Westerterp, K. R.&lt;/author&gt;&lt;/authors&gt;&lt;/contributors&gt;&lt;auth-address&gt;Department of Human Biology, Nutrition and Toxicology Research Institute Maastricht, Maastricht University, Maastricht, The Netherlands.&lt;/auth-address&gt;&lt;titles&gt;&lt;title&gt;Physical activity and weight loss are independent predictors of improved insulin sensitivity following energy restriction&lt;/title&gt;&lt;secondary-title&gt;Obesity (Silver Spring)&lt;/secondary-title&gt;&lt;/titles&gt;&lt;periodical&gt;&lt;full-title&gt;Obesity (Silver Spring)&lt;/full-title&gt;&lt;/periodical&gt;&lt;pages&gt;291-6&lt;/pages&gt;&lt;volume&gt;24&lt;/volume&gt;&lt;number&gt;2&lt;/number&gt;&lt;edition&gt;2016/01/28&lt;/edition&gt;&lt;keywords&gt;&lt;keyword&gt;Adult&lt;/keyword&gt;&lt;keyword&gt;Body Weight&lt;/keyword&gt;&lt;keyword&gt;*Caloric Restriction&lt;/keyword&gt;&lt;keyword&gt;Diet, Reducing/methods&lt;/keyword&gt;&lt;keyword&gt;Energy Metabolism/*physiology&lt;/keyword&gt;&lt;keyword&gt;Female&lt;/keyword&gt;&lt;keyword&gt;Follow-Up Studies&lt;/keyword&gt;&lt;keyword&gt;Humans&lt;/keyword&gt;&lt;keyword&gt;Insulin Resistance/*physiology&lt;/keyword&gt;&lt;keyword&gt;Male&lt;/keyword&gt;&lt;keyword&gt;Middle Aged&lt;/keyword&gt;&lt;keyword&gt;Motor Activity/*physiology&lt;/keyword&gt;&lt;keyword&gt;Sleep/physiology&lt;/keyword&gt;&lt;keyword&gt;*Weight Loss&lt;/keyword&gt;&lt;/keywords&gt;&lt;dates&gt;&lt;year&gt;2016&lt;/year&gt;&lt;pub-dates&gt;&lt;date&gt;Feb&lt;/date&gt;&lt;/pub-dates&gt;&lt;/dates&gt;&lt;isbn&gt;1930-739X (Electronic)&amp;#xD;1930-7381 (Linking)&lt;/isbn&gt;&lt;accession-num&gt;26813523&lt;/accession-num&gt;&lt;urls&gt;&lt;related-urls&gt;&lt;url&gt;https://www.ncbi.nlm.nih.gov/pubmed/26813523&lt;/url&gt;&lt;/related-urls&gt;&lt;/urls&gt;&lt;electronic-resource-num&gt;10.1002/oby.21325&lt;/electronic-resource-num&gt;&lt;/record&gt;&lt;/Cite&gt;&lt;/EndNote&gt;</w:instrText>
      </w:r>
      <w:r w:rsidR="007F6787" w:rsidRPr="00F74A85">
        <w:rPr>
          <w:rFonts w:eastAsia="Times New Roman" w:cs="Arial"/>
          <w:color w:val="000000"/>
          <w:sz w:val="22"/>
          <w:szCs w:val="22"/>
        </w:rPr>
        <w:fldChar w:fldCharType="separate"/>
      </w:r>
      <w:r w:rsidR="007F6787" w:rsidRPr="00F74A85">
        <w:rPr>
          <w:rFonts w:eastAsia="Times New Roman" w:cs="Arial"/>
          <w:noProof/>
          <w:color w:val="000000"/>
          <w:sz w:val="22"/>
          <w:szCs w:val="22"/>
        </w:rPr>
        <w:t>(11)</w:t>
      </w:r>
      <w:r w:rsidR="007F6787" w:rsidRPr="00F74A85">
        <w:rPr>
          <w:rFonts w:eastAsia="Times New Roman" w:cs="Arial"/>
          <w:color w:val="000000"/>
          <w:sz w:val="22"/>
          <w:szCs w:val="22"/>
        </w:rPr>
        <w:fldChar w:fldCharType="end"/>
      </w:r>
      <w:r w:rsidRPr="00F74A85">
        <w:rPr>
          <w:rFonts w:eastAsia="Times New Roman" w:cs="Arial"/>
          <w:color w:val="000000"/>
          <w:sz w:val="22"/>
          <w:szCs w:val="22"/>
        </w:rPr>
        <w:t>. Higher PAL values</w:t>
      </w:r>
      <w:r w:rsidR="008C2D11" w:rsidRPr="00F74A85">
        <w:rPr>
          <w:rFonts w:eastAsia="Times New Roman" w:cs="Arial"/>
          <w:color w:val="000000"/>
          <w:sz w:val="22"/>
          <w:szCs w:val="22"/>
        </w:rPr>
        <w:t xml:space="preserve">, while </w:t>
      </w:r>
      <w:r w:rsidRPr="00F74A85">
        <w:rPr>
          <w:rFonts w:eastAsia="Times New Roman" w:cs="Arial"/>
          <w:color w:val="000000"/>
          <w:sz w:val="22"/>
          <w:szCs w:val="22"/>
        </w:rPr>
        <w:t>difficult to maintain over a long period</w:t>
      </w:r>
      <w:r w:rsidR="008C2D11" w:rsidRPr="00F74A85">
        <w:rPr>
          <w:rFonts w:eastAsia="Times New Roman" w:cs="Arial"/>
          <w:color w:val="000000"/>
          <w:sz w:val="22"/>
          <w:szCs w:val="22"/>
        </w:rPr>
        <w:t xml:space="preserve">, </w:t>
      </w:r>
      <w:r w:rsidRPr="00F74A85">
        <w:rPr>
          <w:rFonts w:eastAsia="Times New Roman" w:cs="Arial"/>
          <w:color w:val="000000"/>
          <w:sz w:val="22"/>
          <w:szCs w:val="22"/>
        </w:rPr>
        <w:t>generally result in weight loss.</w:t>
      </w:r>
    </w:p>
    <w:p w14:paraId="1E0DE3B1" w14:textId="15E4CBAE" w:rsidR="008C2D11" w:rsidRPr="00F74A85" w:rsidRDefault="008C2D11" w:rsidP="00F74A85">
      <w:pPr>
        <w:spacing w:after="0" w:line="276" w:lineRule="auto"/>
        <w:textAlignment w:val="baseline"/>
        <w:rPr>
          <w:rFonts w:eastAsia="Times New Roman" w:cs="Arial"/>
          <w:color w:val="000000"/>
          <w:sz w:val="22"/>
          <w:szCs w:val="22"/>
        </w:rPr>
      </w:pPr>
    </w:p>
    <w:p w14:paraId="7674769E" w14:textId="0F3244DF"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 xml:space="preserve">An alternative for the measurement of energy expenditure with indirect calorimetry is a prediction equation for resting energy expenditure, in combination with an estimation of activity energy expenditure from measurement of body movement with an accelerometer. Typically, prediction equations for resting energy expenditure can explain 70-80% of the variation from race, height, age, weight and gender of a subject </w:t>
      </w:r>
      <w:r w:rsidR="007F6787" w:rsidRPr="00F74A85">
        <w:rPr>
          <w:rFonts w:eastAsia="Times New Roman" w:cs="Arial"/>
          <w:color w:val="000000"/>
          <w:sz w:val="22"/>
          <w:szCs w:val="22"/>
        </w:rPr>
        <w:fldChar w:fldCharType="begin"/>
      </w:r>
      <w:r w:rsidR="00A20A95" w:rsidRPr="00F74A85">
        <w:rPr>
          <w:rFonts w:eastAsia="Times New Roman" w:cs="Arial"/>
          <w:color w:val="000000"/>
          <w:sz w:val="22"/>
          <w:szCs w:val="22"/>
        </w:rPr>
        <w:instrText xml:space="preserve"> ADDIN EN.CITE &lt;EndNote&gt;&lt;Cite&gt;&lt;Author&gt;Sabounchi&lt;/Author&gt;&lt;Year&gt;2013&lt;/Year&gt;&lt;RecNum&gt;7084&lt;/RecNum&gt;&lt;DisplayText&gt;(12)&lt;/DisplayText&gt;&lt;record&gt;&lt;rec-number&gt;7084&lt;/rec-number&gt;&lt;foreign-keys&gt;&lt;key app="EN" db-id="pvt9995p1wxx22eefv2xzrame55pwzadt2ws" timestamp="1647799314" guid="3681196f-36ad-4741-82bd-d459dc36952b"&gt;7084&lt;/key&gt;&lt;/foreign-keys&gt;&lt;ref-type name="Journal Article"&gt;17&lt;/ref-type&gt;&lt;contributors&gt;&lt;authors&gt;&lt;author&gt;Sabounchi, N. S.&lt;/author&gt;&lt;author&gt;Rahmandad, H.&lt;/author&gt;&lt;author&gt;Ammerman, A.&lt;/author&gt;&lt;/authors&gt;&lt;/contributors&gt;&lt;auth-address&gt;Social System Design Lab, George Warren Brown School of Social Work, Washington University, St Louis, MO, USA.&lt;/auth-address&gt;&lt;titles&gt;&lt;title&gt;Best-fitting prediction equations for basal metabolic rate: informing obesity interventions in diverse populations&lt;/title&gt;&lt;secondary-title&gt;Int J Obes (Lond)&lt;/secondary-title&gt;&lt;/titles&gt;&lt;periodical&gt;&lt;full-title&gt;Int J Obes (Lond)&lt;/full-title&gt;&lt;/periodical&gt;&lt;pages&gt;1364-70&lt;/pages&gt;&lt;volume&gt;37&lt;/volume&gt;&lt;number&gt;10&lt;/number&gt;&lt;edition&gt;2013/01/16&lt;/edition&gt;&lt;keywords&gt;&lt;keyword&gt;Age Factors&lt;/keyword&gt;&lt;keyword&gt;*Basal Metabolism&lt;/keyword&gt;&lt;keyword&gt;Body Composition&lt;/keyword&gt;&lt;keyword&gt;Body Mass Index&lt;/keyword&gt;&lt;keyword&gt;Body Weight&lt;/keyword&gt;&lt;keyword&gt;Calorimetry, Indirect/*methods&lt;/keyword&gt;&lt;keyword&gt;Female&lt;/keyword&gt;&lt;keyword&gt;Humans&lt;/keyword&gt;&lt;keyword&gt;Male&lt;/keyword&gt;&lt;keyword&gt;*Obesity/epidemiology/metabolism/prevention &amp;amp; control&lt;/keyword&gt;&lt;keyword&gt;Predictive Value of Tests&lt;/keyword&gt;&lt;keyword&gt;Regression Analysis&lt;/keyword&gt;&lt;keyword&gt;Reproducibility of Results&lt;/keyword&gt;&lt;keyword&gt;Sex Factors&lt;/keyword&gt;&lt;keyword&gt;United States/epidemiology&lt;/keyword&gt;&lt;keyword&gt;Waist-Hip Ratio&lt;/keyword&gt;&lt;/keywords&gt;&lt;dates&gt;&lt;year&gt;2013&lt;/year&gt;&lt;pub-dates&gt;&lt;date&gt;Oct&lt;/date&gt;&lt;/pub-dates&gt;&lt;/dates&gt;&lt;isbn&gt;1476-5497 (Electronic)&amp;#xD;0307-0565 (Linking)&lt;/isbn&gt;&lt;accession-num&gt;23318720&lt;/accession-num&gt;&lt;urls&gt;&lt;related-urls&gt;&lt;url&gt;https://www.ncbi.nlm.nih.gov/pubmed/23318720&lt;/url&gt;&lt;/related-urls&gt;&lt;/urls&gt;&lt;custom2&gt;PMC4278349&lt;/custom2&gt;&lt;electronic-resource-num&gt;10.1038/ijo.2012.218&lt;/electronic-resource-num&gt;&lt;/record&gt;&lt;/Cite&gt;&lt;/EndNote&gt;</w:instrText>
      </w:r>
      <w:r w:rsidR="007F6787" w:rsidRPr="00F74A85">
        <w:rPr>
          <w:rFonts w:eastAsia="Times New Roman" w:cs="Arial"/>
          <w:color w:val="000000"/>
          <w:sz w:val="22"/>
          <w:szCs w:val="22"/>
        </w:rPr>
        <w:fldChar w:fldCharType="separate"/>
      </w:r>
      <w:r w:rsidR="007F6787" w:rsidRPr="00F74A85">
        <w:rPr>
          <w:rFonts w:eastAsia="Times New Roman" w:cs="Arial"/>
          <w:noProof/>
          <w:color w:val="000000"/>
          <w:sz w:val="22"/>
          <w:szCs w:val="22"/>
        </w:rPr>
        <w:t>(12)</w:t>
      </w:r>
      <w:r w:rsidR="007F6787" w:rsidRPr="00F74A85">
        <w:rPr>
          <w:rFonts w:eastAsia="Times New Roman" w:cs="Arial"/>
          <w:color w:val="000000"/>
          <w:sz w:val="22"/>
          <w:szCs w:val="22"/>
        </w:rPr>
        <w:fldChar w:fldCharType="end"/>
      </w:r>
      <w:r w:rsidRPr="00F74A85">
        <w:rPr>
          <w:rFonts w:eastAsia="Times New Roman" w:cs="Arial"/>
          <w:color w:val="000000"/>
          <w:sz w:val="22"/>
          <w:szCs w:val="22"/>
        </w:rPr>
        <w:t xml:space="preserve">. Doubly labelled water studies show the best accelerometers for movement registration so far can explain 50-70% of variation in activity energy expenditure </w:t>
      </w:r>
      <w:r w:rsidR="00A20A95" w:rsidRPr="00F74A85">
        <w:rPr>
          <w:rFonts w:eastAsia="Times New Roman" w:cs="Arial"/>
          <w:color w:val="000000"/>
          <w:sz w:val="22"/>
          <w:szCs w:val="22"/>
        </w:rPr>
        <w:fldChar w:fldCharType="begin"/>
      </w:r>
      <w:r w:rsidR="008F3E78" w:rsidRPr="00F74A85">
        <w:rPr>
          <w:rFonts w:eastAsia="Times New Roman" w:cs="Arial"/>
          <w:color w:val="000000"/>
          <w:sz w:val="22"/>
          <w:szCs w:val="22"/>
        </w:rPr>
        <w:instrText xml:space="preserve"> ADDIN EN.CITE &lt;EndNote&gt;&lt;Cite&gt;&lt;Author&gt;Westerterp&lt;/Author&gt;&lt;Year&gt;2014&lt;/Year&gt;&lt;RecNum&gt;7085&lt;/RecNum&gt;&lt;DisplayText&gt;(13)&lt;/DisplayText&gt;&lt;record&gt;&lt;rec-number&gt;7085&lt;/rec-number&gt;&lt;foreign-keys&gt;&lt;key app="EN" db-id="pvt9995p1wxx22eefv2xzrame55pwzadt2ws" timestamp="1647799376" guid="95443221-4eda-4316-9a69-10c69422ed83"&gt;7085&lt;/key&gt;&lt;/foreign-keys&gt;&lt;ref-type name="Journal Article"&gt;17&lt;/ref-type&gt;&lt;contributors&gt;&lt;authors&gt;&lt;author&gt;Westerterp, K. R.&lt;/author&gt;&lt;/authors&gt;&lt;/contributors&gt;&lt;auth-address&gt;Department of Human Biology, Maastricht University Medical Centre, Maastricht, The Netherlands.&lt;/auth-address&gt;&lt;titles&gt;&lt;title&gt;Reliable assessment of physical activity in disease: an update on activity monitors&lt;/title&gt;&lt;secondary-title&gt;Curr Opin Clin Nutr Metab Care&lt;/secondary-title&gt;&lt;/titles&gt;&lt;periodical&gt;&lt;full-title&gt;Curr Opin Clin Nutr Metab Care&lt;/full-title&gt;&lt;/periodical&gt;&lt;pages&gt;401-6&lt;/pages&gt;&lt;volume&gt;17&lt;/volume&gt;&lt;number&gt;5&lt;/number&gt;&lt;edition&gt;2014/08/12&lt;/edition&gt;&lt;keywords&gt;&lt;keyword&gt;*Accelerometry&lt;/keyword&gt;&lt;keyword&gt;*Energy Metabolism&lt;/keyword&gt;&lt;keyword&gt;*Exercise&lt;/keyword&gt;&lt;keyword&gt;Humans&lt;/keyword&gt;&lt;keyword&gt;*Monitoring, Ambulatory&lt;/keyword&gt;&lt;keyword&gt;Motor Activity&lt;/keyword&gt;&lt;keyword&gt;*Movement&lt;/keyword&gt;&lt;keyword&gt;Obesity/metabolism&lt;/keyword&gt;&lt;/keywords&gt;&lt;dates&gt;&lt;year&gt;2014&lt;/year&gt;&lt;pub-dates&gt;&lt;date&gt;Sep&lt;/date&gt;&lt;/pub-dates&gt;&lt;/dates&gt;&lt;isbn&gt;1473-6519 (Electronic)&amp;#xD;1363-1950 (Linking)&lt;/isbn&gt;&lt;accession-num&gt;25105926&lt;/accession-num&gt;&lt;urls&gt;&lt;related-urls&gt;&lt;url&gt;https://www.ncbi.nlm.nih.gov/pubmed/25105926&lt;/url&gt;&lt;/related-urls&gt;&lt;/urls&gt;&lt;electronic-resource-num&gt;10.1097/MCO.0000000000000080&lt;/electronic-resource-num&gt;&lt;/record&gt;&lt;/Cite&gt;&lt;/EndNote&gt;</w:instrText>
      </w:r>
      <w:r w:rsidR="00A20A95" w:rsidRPr="00F74A85">
        <w:rPr>
          <w:rFonts w:eastAsia="Times New Roman" w:cs="Arial"/>
          <w:color w:val="000000"/>
          <w:sz w:val="22"/>
          <w:szCs w:val="22"/>
        </w:rPr>
        <w:fldChar w:fldCharType="separate"/>
      </w:r>
      <w:r w:rsidR="00A20A95" w:rsidRPr="00F74A85">
        <w:rPr>
          <w:rFonts w:eastAsia="Times New Roman" w:cs="Arial"/>
          <w:noProof/>
          <w:color w:val="000000"/>
          <w:sz w:val="22"/>
          <w:szCs w:val="22"/>
        </w:rPr>
        <w:t>(13)</w:t>
      </w:r>
      <w:r w:rsidR="00A20A95" w:rsidRPr="00F74A85">
        <w:rPr>
          <w:rFonts w:eastAsia="Times New Roman" w:cs="Arial"/>
          <w:color w:val="000000"/>
          <w:sz w:val="22"/>
          <w:szCs w:val="22"/>
        </w:rPr>
        <w:fldChar w:fldCharType="end"/>
      </w:r>
      <w:r w:rsidRPr="00F74A85">
        <w:rPr>
          <w:rFonts w:eastAsia="Times New Roman" w:cs="Arial"/>
          <w:color w:val="000000"/>
          <w:sz w:val="22"/>
          <w:szCs w:val="22"/>
        </w:rPr>
        <w:t>.</w:t>
      </w:r>
    </w:p>
    <w:p w14:paraId="6324EA1B" w14:textId="2C86B4CB" w:rsidR="008C2D11" w:rsidRPr="00F74A85" w:rsidRDefault="008C2D11" w:rsidP="00F74A85">
      <w:pPr>
        <w:spacing w:after="0" w:line="276" w:lineRule="auto"/>
        <w:textAlignment w:val="baseline"/>
        <w:rPr>
          <w:rFonts w:eastAsia="Times New Roman" w:cs="Arial"/>
          <w:color w:val="000000"/>
          <w:sz w:val="22"/>
          <w:szCs w:val="22"/>
        </w:rPr>
      </w:pPr>
    </w:p>
    <w:p w14:paraId="34B91EAE" w14:textId="77777777" w:rsidR="00E22BAD" w:rsidRDefault="008C2D11" w:rsidP="00F74A85">
      <w:pPr>
        <w:spacing w:after="0" w:line="276" w:lineRule="auto"/>
        <w:textAlignment w:val="baseline"/>
        <w:rPr>
          <w:rFonts w:eastAsia="Times New Roman" w:cs="Arial"/>
          <w:b/>
          <w:iCs/>
          <w:color w:val="000000"/>
          <w:sz w:val="22"/>
          <w:szCs w:val="22"/>
        </w:rPr>
      </w:pPr>
      <w:r w:rsidRPr="00F74A85">
        <w:rPr>
          <w:rFonts w:cs="Arial"/>
          <w:noProof/>
          <w:sz w:val="22"/>
          <w:szCs w:val="22"/>
        </w:rPr>
        <w:lastRenderedPageBreak/>
        <w:drawing>
          <wp:inline distT="0" distB="0" distL="0" distR="0" wp14:anchorId="19973CAC" wp14:editId="2A430AE9">
            <wp:extent cx="4899025" cy="34772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99025" cy="3477260"/>
                    </a:xfrm>
                    <a:prstGeom prst="rect">
                      <a:avLst/>
                    </a:prstGeom>
                  </pic:spPr>
                </pic:pic>
              </a:graphicData>
            </a:graphic>
          </wp:inline>
        </w:drawing>
      </w:r>
    </w:p>
    <w:p w14:paraId="5F635091" w14:textId="2D9DFC69" w:rsidR="008C2D11" w:rsidRPr="00F74A85" w:rsidRDefault="008C2D11" w:rsidP="00F74A85">
      <w:pPr>
        <w:spacing w:after="0" w:line="276" w:lineRule="auto"/>
        <w:textAlignment w:val="baseline"/>
        <w:rPr>
          <w:rFonts w:eastAsia="Times New Roman" w:cs="Arial"/>
          <w:b/>
          <w:iCs/>
          <w:color w:val="000000"/>
          <w:sz w:val="22"/>
          <w:szCs w:val="22"/>
        </w:rPr>
      </w:pPr>
      <w:r w:rsidRPr="00F74A85">
        <w:rPr>
          <w:rFonts w:eastAsia="Times New Roman" w:cs="Arial"/>
          <w:b/>
          <w:iCs/>
          <w:color w:val="000000"/>
          <w:sz w:val="22"/>
          <w:szCs w:val="22"/>
        </w:rPr>
        <w:t>Figure 5</w:t>
      </w:r>
      <w:r w:rsidR="00E22BAD">
        <w:rPr>
          <w:rFonts w:eastAsia="Times New Roman" w:cs="Arial"/>
          <w:b/>
          <w:iCs/>
          <w:color w:val="000000"/>
          <w:sz w:val="22"/>
          <w:szCs w:val="22"/>
        </w:rPr>
        <w:t>.</w:t>
      </w:r>
      <w:r w:rsidRPr="00F74A85">
        <w:rPr>
          <w:rFonts w:eastAsia="Times New Roman" w:cs="Arial"/>
          <w:b/>
          <w:iCs/>
          <w:color w:val="000000"/>
          <w:sz w:val="22"/>
          <w:szCs w:val="22"/>
        </w:rPr>
        <w:t xml:space="preserve"> Frequency distribution of the value of the physical activity level (PAL</w:t>
      </w:r>
      <w:r w:rsidR="00211B85" w:rsidRPr="00F74A85">
        <w:rPr>
          <w:rFonts w:eastAsia="Times New Roman" w:cs="Arial"/>
          <w:b/>
          <w:iCs/>
          <w:color w:val="000000"/>
          <w:sz w:val="22"/>
          <w:szCs w:val="22"/>
        </w:rPr>
        <w:t>)</w:t>
      </w:r>
      <w:r w:rsidRPr="00F74A85">
        <w:rPr>
          <w:rFonts w:eastAsia="Times New Roman" w:cs="Arial"/>
          <w:b/>
          <w:iCs/>
          <w:color w:val="000000"/>
          <w:sz w:val="22"/>
          <w:szCs w:val="22"/>
        </w:rPr>
        <w:t xml:space="preserve"> calculated as the total energy expenditure / resting energy expenditure, in a group of 556 healthy adults, women closed bars and men open bars (data from reference </w:t>
      </w:r>
      <w:r w:rsidR="00A20A95" w:rsidRPr="00F74A85">
        <w:rPr>
          <w:rFonts w:eastAsia="Times New Roman" w:cs="Arial"/>
          <w:b/>
          <w:iCs/>
          <w:color w:val="000000"/>
          <w:sz w:val="22"/>
          <w:szCs w:val="22"/>
        </w:rPr>
        <w:fldChar w:fldCharType="begin"/>
      </w:r>
      <w:r w:rsidR="00A20A95" w:rsidRPr="00F74A85">
        <w:rPr>
          <w:rFonts w:eastAsia="Times New Roman" w:cs="Arial"/>
          <w:b/>
          <w:iCs/>
          <w:color w:val="000000"/>
          <w:sz w:val="22"/>
          <w:szCs w:val="22"/>
        </w:rPr>
        <w:instrText xml:space="preserve"> ADDIN EN.CITE &lt;EndNote&gt;&lt;Cite&gt;&lt;Author&gt;Speakman&lt;/Author&gt;&lt;Year&gt;2010&lt;/Year&gt;&lt;RecNum&gt;7081&lt;/RecNum&gt;&lt;DisplayText&gt;(9)&lt;/DisplayText&gt;&lt;record&gt;&lt;rec-number&gt;7081&lt;/rec-number&gt;&lt;foreign-keys&gt;&lt;key app="EN" db-id="pvt9995p1wxx22eefv2xzrame55pwzadt2ws" timestamp="1647799000" guid="64759bbc-e7db-49f3-b80e-30c6e291c4b5"&gt;7081&lt;/key&gt;&lt;/foreign-keys&gt;&lt;ref-type name="Journal Article"&gt;17&lt;/ref-type&gt;&lt;contributors&gt;&lt;authors&gt;&lt;author&gt;Speakman, J. R.&lt;/author&gt;&lt;author&gt;Westerterp, K. R.&lt;/author&gt;&lt;/authors&gt;&lt;/contributors&gt;&lt;auth-address&gt;Aberdeen Centre for Energy Regulation and Obesity, Institute of Biological and Environmental Sciences, University of Aberdeen, Aberdeen, Scotland. j.speakman@abdn.ac.uk&lt;/auth-address&gt;&lt;titles&gt;&lt;title&gt;Associations between energy demands, physical activity, and body composition in adult humans between 18 and 96 y of age&lt;/title&gt;&lt;secondary-title&gt;Am J Clin Nutr&lt;/secondary-title&gt;&lt;/titles&gt;&lt;periodical&gt;&lt;full-title&gt;Am J Clin Nutr&lt;/full-title&gt;&lt;/periodical&gt;&lt;pages&gt;826-34&lt;/pages&gt;&lt;volume&gt;92&lt;/volume&gt;&lt;number&gt;4&lt;/number&gt;&lt;edition&gt;2010/09/03&lt;/edition&gt;&lt;keywords&gt;&lt;keyword&gt;Adipose Tissue/anatomy &amp;amp; histology&lt;/keyword&gt;&lt;keyword&gt;Adolescent&lt;/keyword&gt;&lt;keyword&gt;Adult&lt;/keyword&gt;&lt;keyword&gt;Aged&lt;/keyword&gt;&lt;keyword&gt;Aged, 80 and over&lt;/keyword&gt;&lt;keyword&gt;*Body Composition&lt;/keyword&gt;&lt;keyword&gt;*Energy Metabolism&lt;/keyword&gt;&lt;keyword&gt;*Exercise&lt;/keyword&gt;&lt;keyword&gt;Female&lt;/keyword&gt;&lt;keyword&gt;Humans&lt;/keyword&gt;&lt;keyword&gt;Male&lt;/keyword&gt;&lt;keyword&gt;Middle Aged&lt;/keyword&gt;&lt;keyword&gt;Motor Activity&lt;/keyword&gt;&lt;keyword&gt;Regression Analysis&lt;/keyword&gt;&lt;keyword&gt;Sex Characteristics&lt;/keyword&gt;&lt;keyword&gt;Young Adult&lt;/keyword&gt;&lt;/keywords&gt;&lt;dates&gt;&lt;year&gt;2010&lt;/year&gt;&lt;pub-dates&gt;&lt;date&gt;Oct&lt;/date&gt;&lt;/pub-dates&gt;&lt;/dates&gt;&lt;isbn&gt;1938-3207 (Electronic)&amp;#xD;0002-9165 (Linking)&lt;/isbn&gt;&lt;accession-num&gt;20810973&lt;/accession-num&gt;&lt;urls&gt;&lt;related-urls&gt;&lt;url&gt;https://www.ncbi.nlm.nih.gov/pubmed/20810973&lt;/url&gt;&lt;/related-urls&gt;&lt;/urls&gt;&lt;electronic-resource-num&gt;10.3945/ajcn.2009.28540&lt;/electronic-resource-num&gt;&lt;/record&gt;&lt;/Cite&gt;&lt;/EndNote&gt;</w:instrText>
      </w:r>
      <w:r w:rsidR="00A20A95" w:rsidRPr="00F74A85">
        <w:rPr>
          <w:rFonts w:eastAsia="Times New Roman" w:cs="Arial"/>
          <w:b/>
          <w:iCs/>
          <w:color w:val="000000"/>
          <w:sz w:val="22"/>
          <w:szCs w:val="22"/>
        </w:rPr>
        <w:fldChar w:fldCharType="separate"/>
      </w:r>
      <w:r w:rsidR="00A20A95" w:rsidRPr="00F74A85">
        <w:rPr>
          <w:rFonts w:eastAsia="Times New Roman" w:cs="Arial"/>
          <w:b/>
          <w:iCs/>
          <w:noProof/>
          <w:color w:val="000000"/>
          <w:sz w:val="22"/>
          <w:szCs w:val="22"/>
        </w:rPr>
        <w:t>(9)</w:t>
      </w:r>
      <w:r w:rsidR="00A20A95" w:rsidRPr="00F74A85">
        <w:rPr>
          <w:rFonts w:eastAsia="Times New Roman" w:cs="Arial"/>
          <w:b/>
          <w:iCs/>
          <w:color w:val="000000"/>
          <w:sz w:val="22"/>
          <w:szCs w:val="22"/>
        </w:rPr>
        <w:fldChar w:fldCharType="end"/>
      </w:r>
      <w:r w:rsidRPr="00F74A85">
        <w:rPr>
          <w:rFonts w:eastAsia="Times New Roman" w:cs="Arial"/>
          <w:b/>
          <w:iCs/>
          <w:color w:val="000000"/>
          <w:sz w:val="22"/>
          <w:szCs w:val="22"/>
        </w:rPr>
        <w:t>).</w:t>
      </w:r>
    </w:p>
    <w:p w14:paraId="3DB8DE32" w14:textId="0D0BF464" w:rsidR="00EB0F2E" w:rsidRPr="00F74A85" w:rsidRDefault="00EB0F2E" w:rsidP="00F74A85">
      <w:pPr>
        <w:spacing w:after="0" w:line="276" w:lineRule="auto"/>
        <w:textAlignment w:val="baseline"/>
        <w:outlineLvl w:val="1"/>
        <w:rPr>
          <w:rFonts w:eastAsia="Times New Roman" w:cs="Arial"/>
          <w:b/>
          <w:bCs/>
          <w:caps/>
          <w:color w:val="000000"/>
          <w:sz w:val="22"/>
          <w:szCs w:val="22"/>
          <w:bdr w:val="none" w:sz="0" w:space="0" w:color="auto" w:frame="1"/>
        </w:rPr>
      </w:pPr>
    </w:p>
    <w:p w14:paraId="6CF78AB3" w14:textId="2AFF80E3" w:rsidR="009919FB" w:rsidRPr="00985D13" w:rsidRDefault="009919FB" w:rsidP="00F74A85">
      <w:pPr>
        <w:spacing w:after="0" w:line="276" w:lineRule="auto"/>
        <w:textAlignment w:val="baseline"/>
        <w:outlineLvl w:val="1"/>
        <w:rPr>
          <w:rFonts w:eastAsia="Times New Roman" w:cs="Arial"/>
          <w:b/>
          <w:bCs/>
          <w:caps/>
          <w:color w:val="0070C0"/>
          <w:sz w:val="22"/>
          <w:szCs w:val="22"/>
        </w:rPr>
      </w:pPr>
      <w:r w:rsidRPr="00985D13">
        <w:rPr>
          <w:rFonts w:eastAsia="Times New Roman" w:cs="Arial"/>
          <w:b/>
          <w:bCs/>
          <w:caps/>
          <w:color w:val="0070C0"/>
          <w:sz w:val="22"/>
          <w:szCs w:val="22"/>
          <w:bdr w:val="none" w:sz="0" w:space="0" w:color="auto" w:frame="1"/>
        </w:rPr>
        <w:t>DETERMINANTS OF ENERGY EXPENDITURE</w:t>
      </w:r>
    </w:p>
    <w:p w14:paraId="0BACB11B" w14:textId="568DF560" w:rsidR="00EB0F2E" w:rsidRPr="00F74A85" w:rsidRDefault="00EB0F2E" w:rsidP="00F74A85">
      <w:pPr>
        <w:spacing w:after="0" w:line="276" w:lineRule="auto"/>
        <w:textAlignment w:val="baseline"/>
        <w:rPr>
          <w:rFonts w:eastAsia="Times New Roman" w:cs="Arial"/>
          <w:color w:val="000000"/>
          <w:sz w:val="22"/>
          <w:szCs w:val="22"/>
        </w:rPr>
      </w:pPr>
    </w:p>
    <w:p w14:paraId="6F90E63E" w14:textId="226CA1F5"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The main determinants of energy expenditure are body size and body composition, food intake, and physical activity. Additional determinants are ambient temperature and health. As most people are able to live in a thermoneutral environment or prevent heat loss with appropriate clothing, energy expenditure is not affected by ambient temperature for longer time intervals.</w:t>
      </w:r>
    </w:p>
    <w:p w14:paraId="24DDC40C" w14:textId="75F96396" w:rsidR="009919FB"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Body size and body composition determine REE, the largest component of daily energy expenditure</w:t>
      </w:r>
      <w:r w:rsidR="005915AF" w:rsidRPr="00F74A85">
        <w:rPr>
          <w:rFonts w:eastAsia="Times New Roman" w:cs="Arial"/>
          <w:color w:val="000000"/>
          <w:sz w:val="22"/>
          <w:szCs w:val="22"/>
        </w:rPr>
        <w:t xml:space="preserve"> (</w:t>
      </w:r>
      <w:r w:rsidRPr="00985D13">
        <w:rPr>
          <w:rFonts w:eastAsia="Times New Roman" w:cs="Arial"/>
          <w:bCs/>
          <w:color w:val="000000"/>
          <w:sz w:val="22"/>
          <w:szCs w:val="22"/>
        </w:rPr>
        <w:t>Figure 6</w:t>
      </w:r>
      <w:r w:rsidR="005915AF" w:rsidRPr="00F74A85">
        <w:rPr>
          <w:rFonts w:eastAsia="Times New Roman" w:cs="Arial"/>
          <w:color w:val="000000"/>
          <w:sz w:val="22"/>
          <w:szCs w:val="22"/>
        </w:rPr>
        <w:t>)</w:t>
      </w:r>
      <w:r w:rsidRPr="00F74A85">
        <w:rPr>
          <w:rFonts w:eastAsia="Times New Roman" w:cs="Arial"/>
          <w:color w:val="000000"/>
          <w:sz w:val="22"/>
          <w:szCs w:val="22"/>
        </w:rPr>
        <w:t xml:space="preserve">. Energy expenditure is generally higher in men than in women because men generally have a larger metabolic body size. They are on average heavier than women and for the same weight men have relatively more fat-free mass. For similar reasons, gaining weight implicates gaining fat mass and fat-free mass, and daily energy expenditure is generally higher in </w:t>
      </w:r>
      <w:r w:rsidR="005915AF" w:rsidRPr="00F74A85">
        <w:rPr>
          <w:rFonts w:eastAsia="Times New Roman" w:cs="Arial"/>
          <w:color w:val="000000"/>
          <w:sz w:val="22"/>
          <w:szCs w:val="22"/>
        </w:rPr>
        <w:t xml:space="preserve">people who are </w:t>
      </w:r>
      <w:r w:rsidRPr="00F74A85">
        <w:rPr>
          <w:rFonts w:eastAsia="Times New Roman" w:cs="Arial"/>
          <w:color w:val="000000"/>
          <w:sz w:val="22"/>
          <w:szCs w:val="22"/>
        </w:rPr>
        <w:t>overweight and</w:t>
      </w:r>
      <w:r w:rsidR="000E1E5A" w:rsidRPr="00F74A85">
        <w:rPr>
          <w:rFonts w:eastAsia="Times New Roman" w:cs="Arial"/>
          <w:color w:val="000000"/>
          <w:sz w:val="22"/>
          <w:szCs w:val="22"/>
        </w:rPr>
        <w:t xml:space="preserve"> have obesity</w:t>
      </w:r>
      <w:r w:rsidRPr="00F74A85">
        <w:rPr>
          <w:rFonts w:eastAsia="Times New Roman" w:cs="Arial"/>
          <w:color w:val="000000"/>
          <w:sz w:val="22"/>
          <w:szCs w:val="22"/>
        </w:rPr>
        <w:t xml:space="preserve"> compared with</w:t>
      </w:r>
      <w:r w:rsidR="000E1E5A" w:rsidRPr="00F74A85">
        <w:rPr>
          <w:rFonts w:eastAsia="Times New Roman" w:cs="Arial"/>
          <w:color w:val="000000"/>
          <w:sz w:val="22"/>
          <w:szCs w:val="22"/>
        </w:rPr>
        <w:t xml:space="preserve"> people who are</w:t>
      </w:r>
      <w:r w:rsidRPr="00F74A85">
        <w:rPr>
          <w:rFonts w:eastAsia="Times New Roman" w:cs="Arial"/>
          <w:color w:val="000000"/>
          <w:sz w:val="22"/>
          <w:szCs w:val="22"/>
        </w:rPr>
        <w:t xml:space="preserve"> lean matched for age, height and gender. This higher energy expenditure in </w:t>
      </w:r>
      <w:r w:rsidR="000E1E5A" w:rsidRPr="00F74A85">
        <w:rPr>
          <w:rFonts w:eastAsia="Times New Roman" w:cs="Arial"/>
          <w:color w:val="000000"/>
          <w:sz w:val="22"/>
          <w:szCs w:val="22"/>
        </w:rPr>
        <w:t xml:space="preserve">people with obesity </w:t>
      </w:r>
      <w:r w:rsidRPr="00F74A85">
        <w:rPr>
          <w:rFonts w:eastAsia="Times New Roman" w:cs="Arial"/>
          <w:color w:val="000000"/>
          <w:sz w:val="22"/>
          <w:szCs w:val="22"/>
        </w:rPr>
        <w:t xml:space="preserve">is mainly a consequence of higher resting energy expenditure than </w:t>
      </w:r>
      <w:r w:rsidR="000E1E5A" w:rsidRPr="00F74A85">
        <w:rPr>
          <w:rFonts w:eastAsia="Times New Roman" w:cs="Arial"/>
          <w:color w:val="000000"/>
          <w:sz w:val="22"/>
          <w:szCs w:val="22"/>
        </w:rPr>
        <w:t xml:space="preserve">people who are </w:t>
      </w:r>
      <w:r w:rsidRPr="00F74A85">
        <w:rPr>
          <w:rFonts w:eastAsia="Times New Roman" w:cs="Arial"/>
          <w:color w:val="000000"/>
          <w:sz w:val="22"/>
          <w:szCs w:val="22"/>
        </w:rPr>
        <w:t>lean (</w:t>
      </w:r>
      <w:r w:rsidRPr="00985D13">
        <w:rPr>
          <w:rFonts w:eastAsia="Times New Roman" w:cs="Arial"/>
          <w:bCs/>
          <w:color w:val="000000"/>
          <w:sz w:val="22"/>
          <w:szCs w:val="22"/>
        </w:rPr>
        <w:t>Figure 6</w:t>
      </w:r>
      <w:r w:rsidRPr="00F74A85">
        <w:rPr>
          <w:rFonts w:eastAsia="Times New Roman" w:cs="Arial"/>
          <w:color w:val="000000"/>
          <w:sz w:val="22"/>
          <w:szCs w:val="22"/>
        </w:rPr>
        <w:t>).</w:t>
      </w:r>
    </w:p>
    <w:p w14:paraId="7B6E55BE" w14:textId="77777777" w:rsidR="002845C9" w:rsidRPr="00F74A85" w:rsidRDefault="002845C9" w:rsidP="00F74A85">
      <w:pPr>
        <w:spacing w:after="0" w:line="276" w:lineRule="auto"/>
        <w:textAlignment w:val="baseline"/>
        <w:rPr>
          <w:rFonts w:eastAsia="Times New Roman" w:cs="Arial"/>
          <w:color w:val="000000"/>
          <w:sz w:val="22"/>
          <w:szCs w:val="22"/>
        </w:rPr>
      </w:pPr>
    </w:p>
    <w:p w14:paraId="4100AED6" w14:textId="058EE8A0" w:rsidR="009919FB" w:rsidRPr="00F74A85" w:rsidRDefault="009919FB" w:rsidP="00F74A85">
      <w:pPr>
        <w:spacing w:after="0" w:line="276" w:lineRule="auto"/>
        <w:textAlignment w:val="baseline"/>
        <w:rPr>
          <w:rFonts w:eastAsia="Times New Roman" w:cs="Arial"/>
          <w:color w:val="000000"/>
          <w:sz w:val="22"/>
          <w:szCs w:val="22"/>
        </w:rPr>
      </w:pPr>
      <w:r w:rsidRPr="00F74A85">
        <w:rPr>
          <w:rFonts w:cs="Arial"/>
          <w:noProof/>
          <w:sz w:val="22"/>
          <w:szCs w:val="22"/>
        </w:rPr>
        <w:lastRenderedPageBreak/>
        <w:drawing>
          <wp:inline distT="0" distB="0" distL="0" distR="0" wp14:anchorId="567EFC32" wp14:editId="65ED11BF">
            <wp:extent cx="5943600" cy="30137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13710"/>
                    </a:xfrm>
                    <a:prstGeom prst="rect">
                      <a:avLst/>
                    </a:prstGeom>
                  </pic:spPr>
                </pic:pic>
              </a:graphicData>
            </a:graphic>
          </wp:inline>
        </w:drawing>
      </w:r>
    </w:p>
    <w:p w14:paraId="586C1662" w14:textId="3662313F" w:rsidR="009919FB" w:rsidRPr="00F74A85" w:rsidRDefault="009919FB" w:rsidP="00F74A85">
      <w:pPr>
        <w:spacing w:after="0" w:line="276" w:lineRule="auto"/>
        <w:textAlignment w:val="baseline"/>
        <w:rPr>
          <w:rFonts w:eastAsia="Times New Roman" w:cs="Arial"/>
          <w:b/>
          <w:iCs/>
          <w:color w:val="000000"/>
          <w:sz w:val="22"/>
          <w:szCs w:val="22"/>
        </w:rPr>
      </w:pPr>
      <w:r w:rsidRPr="00F74A85">
        <w:rPr>
          <w:rFonts w:eastAsia="Times New Roman" w:cs="Arial"/>
          <w:b/>
          <w:iCs/>
          <w:color w:val="000000"/>
          <w:sz w:val="22"/>
          <w:szCs w:val="22"/>
        </w:rPr>
        <w:t>Figure 6</w:t>
      </w:r>
      <w:r w:rsidR="00985D13">
        <w:rPr>
          <w:rFonts w:eastAsia="Times New Roman" w:cs="Arial"/>
          <w:b/>
          <w:iCs/>
          <w:color w:val="000000"/>
          <w:sz w:val="22"/>
          <w:szCs w:val="22"/>
        </w:rPr>
        <w:t>.</w:t>
      </w:r>
      <w:r w:rsidRPr="00F74A85">
        <w:rPr>
          <w:rFonts w:eastAsia="Times New Roman" w:cs="Arial"/>
          <w:b/>
          <w:iCs/>
          <w:color w:val="000000"/>
          <w:sz w:val="22"/>
          <w:szCs w:val="22"/>
        </w:rPr>
        <w:t xml:space="preserve"> The three components of energy expenditure: resting energy expenditure (closed bar), diet-induced energy expenditure (stippled bar), and activity-induced energy expenditure (open bar) as observed in</w:t>
      </w:r>
      <w:r w:rsidR="0044664D" w:rsidRPr="00F74A85">
        <w:rPr>
          <w:rFonts w:eastAsia="Times New Roman" w:cs="Arial"/>
          <w:b/>
          <w:iCs/>
          <w:color w:val="000000"/>
          <w:sz w:val="22"/>
          <w:szCs w:val="22"/>
        </w:rPr>
        <w:t xml:space="preserve"> subjects who are</w:t>
      </w:r>
      <w:r w:rsidRPr="00F74A85">
        <w:rPr>
          <w:rFonts w:eastAsia="Times New Roman" w:cs="Arial"/>
          <w:b/>
          <w:iCs/>
          <w:color w:val="000000"/>
          <w:sz w:val="22"/>
          <w:szCs w:val="22"/>
        </w:rPr>
        <w:t xml:space="preserve"> lean and </w:t>
      </w:r>
      <w:r w:rsidR="0044664D" w:rsidRPr="00F74A85">
        <w:rPr>
          <w:rFonts w:eastAsia="Times New Roman" w:cs="Arial"/>
          <w:b/>
          <w:iCs/>
          <w:color w:val="000000"/>
          <w:sz w:val="22"/>
          <w:szCs w:val="22"/>
        </w:rPr>
        <w:t>who have obesity</w:t>
      </w:r>
      <w:r w:rsidRPr="00F74A85">
        <w:rPr>
          <w:rFonts w:eastAsia="Times New Roman" w:cs="Arial"/>
          <w:b/>
          <w:iCs/>
          <w:color w:val="000000"/>
          <w:sz w:val="22"/>
          <w:szCs w:val="22"/>
        </w:rPr>
        <w:t xml:space="preserve">. In the lean group, women and men weighed 61 kg and 74 kg with 29% and 17% body fat, respectively. In the </w:t>
      </w:r>
      <w:r w:rsidR="0044664D" w:rsidRPr="00F74A85">
        <w:rPr>
          <w:rFonts w:eastAsia="Times New Roman" w:cs="Arial"/>
          <w:b/>
          <w:iCs/>
          <w:color w:val="000000"/>
          <w:sz w:val="22"/>
          <w:szCs w:val="22"/>
        </w:rPr>
        <w:t>group with obesity</w:t>
      </w:r>
      <w:r w:rsidRPr="00F74A85">
        <w:rPr>
          <w:rFonts w:eastAsia="Times New Roman" w:cs="Arial"/>
          <w:b/>
          <w:iCs/>
          <w:color w:val="000000"/>
          <w:sz w:val="22"/>
          <w:szCs w:val="22"/>
        </w:rPr>
        <w:t>, subjects were</w:t>
      </w:r>
      <w:r w:rsidR="0044664D" w:rsidRPr="00F74A85">
        <w:rPr>
          <w:rFonts w:eastAsia="Times New Roman" w:cs="Arial"/>
          <w:b/>
          <w:iCs/>
          <w:color w:val="000000"/>
          <w:sz w:val="22"/>
          <w:szCs w:val="22"/>
        </w:rPr>
        <w:t>,</w:t>
      </w:r>
      <w:r w:rsidRPr="00F74A85">
        <w:rPr>
          <w:rFonts w:eastAsia="Times New Roman" w:cs="Arial"/>
          <w:b/>
          <w:iCs/>
          <w:color w:val="000000"/>
          <w:sz w:val="22"/>
          <w:szCs w:val="22"/>
        </w:rPr>
        <w:t xml:space="preserve"> on average</w:t>
      </w:r>
      <w:r w:rsidR="0044664D" w:rsidRPr="00F74A85">
        <w:rPr>
          <w:rFonts w:eastAsia="Times New Roman" w:cs="Arial"/>
          <w:b/>
          <w:iCs/>
          <w:color w:val="000000"/>
          <w:sz w:val="22"/>
          <w:szCs w:val="22"/>
        </w:rPr>
        <w:t>,</w:t>
      </w:r>
      <w:r w:rsidRPr="00F74A85">
        <w:rPr>
          <w:rFonts w:eastAsia="Times New Roman" w:cs="Arial"/>
          <w:b/>
          <w:iCs/>
          <w:color w:val="000000"/>
          <w:sz w:val="22"/>
          <w:szCs w:val="22"/>
        </w:rPr>
        <w:t xml:space="preserve"> 40 kg heavier, where 70% of the additional weight was fat mass and 30% fat-free mass. The figure illustrates the higher energy expenditure (primarily in resting energy expenditure) in men than</w:t>
      </w:r>
      <w:r w:rsidR="0044664D" w:rsidRPr="00F74A85">
        <w:rPr>
          <w:rFonts w:eastAsia="Times New Roman" w:cs="Arial"/>
          <w:b/>
          <w:iCs/>
          <w:color w:val="000000"/>
          <w:sz w:val="22"/>
          <w:szCs w:val="22"/>
        </w:rPr>
        <w:t xml:space="preserve"> </w:t>
      </w:r>
      <w:r w:rsidRPr="00F74A85">
        <w:rPr>
          <w:rFonts w:eastAsia="Times New Roman" w:cs="Arial"/>
          <w:b/>
          <w:iCs/>
          <w:color w:val="000000"/>
          <w:sz w:val="22"/>
          <w:szCs w:val="22"/>
        </w:rPr>
        <w:t>women and in</w:t>
      </w:r>
      <w:r w:rsidR="0044664D" w:rsidRPr="00F74A85">
        <w:rPr>
          <w:rFonts w:eastAsia="Times New Roman" w:cs="Arial"/>
          <w:b/>
          <w:iCs/>
          <w:color w:val="000000"/>
          <w:sz w:val="22"/>
          <w:szCs w:val="22"/>
        </w:rPr>
        <w:t xml:space="preserve"> those with obesity </w:t>
      </w:r>
      <w:r w:rsidR="00593014" w:rsidRPr="00F74A85">
        <w:rPr>
          <w:rFonts w:eastAsia="Times New Roman" w:cs="Arial"/>
          <w:b/>
          <w:iCs/>
          <w:color w:val="000000"/>
          <w:sz w:val="22"/>
          <w:szCs w:val="22"/>
        </w:rPr>
        <w:t>compared</w:t>
      </w:r>
      <w:r w:rsidR="0044664D" w:rsidRPr="00F74A85">
        <w:rPr>
          <w:rFonts w:eastAsia="Times New Roman" w:cs="Arial"/>
          <w:b/>
          <w:iCs/>
          <w:color w:val="000000"/>
          <w:sz w:val="22"/>
          <w:szCs w:val="22"/>
        </w:rPr>
        <w:t xml:space="preserve"> to those who are</w:t>
      </w:r>
      <w:r w:rsidRPr="00F74A85">
        <w:rPr>
          <w:rFonts w:eastAsia="Times New Roman" w:cs="Arial"/>
          <w:b/>
          <w:iCs/>
          <w:color w:val="000000"/>
          <w:sz w:val="22"/>
          <w:szCs w:val="22"/>
        </w:rPr>
        <w:t xml:space="preserve"> lean. (After reference </w:t>
      </w:r>
      <w:r w:rsidR="0028380C" w:rsidRPr="00F74A85">
        <w:rPr>
          <w:rFonts w:eastAsia="Times New Roman" w:cs="Arial"/>
          <w:b/>
          <w:iCs/>
          <w:color w:val="000000"/>
          <w:sz w:val="22"/>
          <w:szCs w:val="22"/>
        </w:rPr>
        <w:fldChar w:fldCharType="begin"/>
      </w:r>
      <w:r w:rsidR="008F3E78" w:rsidRPr="00F74A85">
        <w:rPr>
          <w:rFonts w:eastAsia="Times New Roman" w:cs="Arial"/>
          <w:b/>
          <w:iCs/>
          <w:color w:val="000000"/>
          <w:sz w:val="22"/>
          <w:szCs w:val="22"/>
        </w:rPr>
        <w:instrText xml:space="preserve"> ADDIN EN.CITE &lt;EndNote&gt;&lt;Cite&gt;&lt;Author&gt;Ekelund&lt;/Author&gt;&lt;Year&gt;2002&lt;/Year&gt;&lt;RecNum&gt;7086&lt;/RecNum&gt;&lt;DisplayText&gt;(14)&lt;/DisplayText&gt;&lt;record&gt;&lt;rec-number&gt;7086&lt;/rec-number&gt;&lt;foreign-keys&gt;&lt;key app="EN" db-id="pvt9995p1wxx22eefv2xzrame55pwzadt2ws" timestamp="1647799526" guid="5b620786-d4ad-4757-9cfa-e0aefdd40ee4"&gt;7086&lt;/key&gt;&lt;/foreign-keys&gt;&lt;ref-type name="Journal Article"&gt;17&lt;/ref-type&gt;&lt;contributors&gt;&lt;authors&gt;&lt;author&gt;Ekelund, U.&lt;/author&gt;&lt;author&gt;Aman, J.&lt;/author&gt;&lt;author&gt;Yngve, A.&lt;/author&gt;&lt;author&gt;Renman, C.&lt;/author&gt;&lt;author&gt;Westerterp, K.&lt;/author&gt;&lt;author&gt;Sjostrom, M.&lt;/author&gt;&lt;/authors&gt;&lt;/contributors&gt;&lt;auth-address&gt;Unit for Preventive Nutrition, Department of Medical Nutrition/Biosciences, Karolinska Institutet, Stockholm, Sweden. ulf.ekelund@ioh.oru.se&lt;/auth-address&gt;&lt;titles&gt;&lt;title&gt;Physical activity but not energy expenditure is reduced in obese adolescents: a case-control study&lt;/title&gt;&lt;secondary-title&gt;Am J Clin Nutr&lt;/secondary-title&gt;&lt;/titles&gt;&lt;periodical&gt;&lt;full-title&gt;Am J Clin Nutr&lt;/full-title&gt;&lt;/periodical&gt;&lt;pages&gt;935-41&lt;/pages&gt;&lt;volume&gt;76&lt;/volume&gt;&lt;number&gt;5&lt;/number&gt;&lt;edition&gt;2002/10/26&lt;/edition&gt;&lt;keywords&gt;&lt;keyword&gt;Adolescent&lt;/keyword&gt;&lt;keyword&gt;Case-Control Studies&lt;/keyword&gt;&lt;keyword&gt;*Energy Metabolism&lt;/keyword&gt;&lt;keyword&gt;Female&lt;/keyword&gt;&lt;keyword&gt;Humans&lt;/keyword&gt;&lt;keyword&gt;Male&lt;/keyword&gt;&lt;keyword&gt;Obesity/*metabolism/*physiopathology&lt;/keyword&gt;&lt;keyword&gt;*Physical Exertion&lt;/keyword&gt;&lt;keyword&gt;Reference Values&lt;/keyword&gt;&lt;keyword&gt;Time Factors&lt;/keyword&gt;&lt;/keywords&gt;&lt;dates&gt;&lt;year&gt;2002&lt;/year&gt;&lt;pub-dates&gt;&lt;date&gt;Nov&lt;/date&gt;&lt;/pub-dates&gt;&lt;/dates&gt;&lt;isbn&gt;0002-9165 (Print)&amp;#xD;0002-9165 (Linking)&lt;/isbn&gt;&lt;accession-num&gt;12399263&lt;/accession-num&gt;&lt;urls&gt;&lt;related-urls&gt;&lt;url&gt;https://www.ncbi.nlm.nih.gov/pubmed/12399263&lt;/url&gt;&lt;/related-urls&gt;&lt;/urls&gt;&lt;electronic-resource-num&gt;10.1093/ajcn/76.5.935&lt;/electronic-resource-num&gt;&lt;/record&gt;&lt;/Cite&gt;&lt;/EndNote&gt;</w:instrText>
      </w:r>
      <w:r w:rsidR="0028380C" w:rsidRPr="00F74A85">
        <w:rPr>
          <w:rFonts w:eastAsia="Times New Roman" w:cs="Arial"/>
          <w:b/>
          <w:iCs/>
          <w:color w:val="000000"/>
          <w:sz w:val="22"/>
          <w:szCs w:val="22"/>
        </w:rPr>
        <w:fldChar w:fldCharType="separate"/>
      </w:r>
      <w:r w:rsidR="0028380C" w:rsidRPr="00F74A85">
        <w:rPr>
          <w:rFonts w:eastAsia="Times New Roman" w:cs="Arial"/>
          <w:b/>
          <w:iCs/>
          <w:noProof/>
          <w:color w:val="000000"/>
          <w:sz w:val="22"/>
          <w:szCs w:val="22"/>
        </w:rPr>
        <w:t>(14)</w:t>
      </w:r>
      <w:r w:rsidR="0028380C" w:rsidRPr="00F74A85">
        <w:rPr>
          <w:rFonts w:eastAsia="Times New Roman" w:cs="Arial"/>
          <w:b/>
          <w:iCs/>
          <w:color w:val="000000"/>
          <w:sz w:val="22"/>
          <w:szCs w:val="22"/>
        </w:rPr>
        <w:fldChar w:fldCharType="end"/>
      </w:r>
      <w:r w:rsidRPr="00F74A85">
        <w:rPr>
          <w:rFonts w:eastAsia="Times New Roman" w:cs="Arial"/>
          <w:b/>
          <w:iCs/>
          <w:color w:val="000000"/>
          <w:sz w:val="22"/>
          <w:szCs w:val="22"/>
        </w:rPr>
        <w:t>).</w:t>
      </w:r>
    </w:p>
    <w:p w14:paraId="263B0DA4" w14:textId="77777777" w:rsidR="00EB0F2E" w:rsidRPr="00F74A85" w:rsidRDefault="00EB0F2E" w:rsidP="00F74A85">
      <w:pPr>
        <w:spacing w:after="0" w:line="276" w:lineRule="auto"/>
        <w:textAlignment w:val="baseline"/>
        <w:rPr>
          <w:rFonts w:eastAsia="Times New Roman" w:cs="Arial"/>
          <w:color w:val="000000"/>
          <w:sz w:val="22"/>
          <w:szCs w:val="22"/>
        </w:rPr>
      </w:pPr>
    </w:p>
    <w:p w14:paraId="45A3A0C4" w14:textId="3BB8B0D8"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 xml:space="preserve">Food intake affects all three components of daily (total) energy expenditure: REE, DEE and AEE. The most obvious effect is on DEE, which represents about 10% of the amount of daily energy ingested. Thus, changing energy intake changes total energy expenditure accordingly. Overeating induces an additional increase for storage of excess energy, estimated at about 10 % of the energy surplus </w:t>
      </w:r>
      <w:r w:rsidR="006B0FAF" w:rsidRPr="00F74A85">
        <w:rPr>
          <w:rFonts w:eastAsia="Times New Roman" w:cs="Arial"/>
          <w:color w:val="000000"/>
          <w:sz w:val="22"/>
          <w:szCs w:val="22"/>
        </w:rPr>
        <w:fldChar w:fldCharType="begin"/>
      </w:r>
      <w:r w:rsidR="008F3E78" w:rsidRPr="00F74A85">
        <w:rPr>
          <w:rFonts w:eastAsia="Times New Roman" w:cs="Arial"/>
          <w:color w:val="000000"/>
          <w:sz w:val="22"/>
          <w:szCs w:val="22"/>
        </w:rPr>
        <w:instrText xml:space="preserve"> ADDIN EN.CITE &lt;EndNote&gt;&lt;Cite&gt;&lt;Author&gt;Westerterp&lt;/Author&gt;&lt;Year&gt;1995&lt;/Year&gt;&lt;RecNum&gt;7088&lt;/RecNum&gt;&lt;DisplayText&gt;(15)&lt;/DisplayText&gt;&lt;record&gt;&lt;rec-number&gt;7088&lt;/rec-number&gt;&lt;foreign-keys&gt;&lt;key app="EN" db-id="pvt9995p1wxx22eefv2xzrame55pwzadt2ws" timestamp="1647799796" guid="7fe6fefb-e503-4b8f-a741-7d37000a219b"&gt;7088&lt;/key&gt;&lt;/foreign-keys&gt;&lt;ref-type name="Journal Article"&gt;17&lt;/ref-type&gt;&lt;contributors&gt;&lt;authors&gt;&lt;author&gt;Westerterp, K. R.&lt;/author&gt;&lt;author&gt;Donkers, J. H.&lt;/author&gt;&lt;author&gt;Fredrix, E. W.&lt;/author&gt;&lt;author&gt;Boekhoudt, P.&lt;/author&gt;&lt;/authors&gt;&lt;/contributors&gt;&lt;auth-address&gt;Department of Human Biology, University of Limburg, Maastricht, The Netherlands.&lt;/auth-address&gt;&lt;titles&gt;&lt;title&gt;Energy intake, physical activity and body weight: a simulation model&lt;/title&gt;&lt;secondary-title&gt;Br J Nutr&lt;/secondary-title&gt;&lt;/titles&gt;&lt;periodical&gt;&lt;full-title&gt;Br J Nutr&lt;/full-title&gt;&lt;/periodical&gt;&lt;pages&gt;337-47&lt;/pages&gt;&lt;volume&gt;73&lt;/volume&gt;&lt;number&gt;3&lt;/number&gt;&lt;edition&gt;1995/03/01&lt;/edition&gt;&lt;keywords&gt;&lt;keyword&gt;Adult&lt;/keyword&gt;&lt;keyword&gt;Body Composition&lt;/keyword&gt;&lt;keyword&gt;*Body Weight&lt;/keyword&gt;&lt;keyword&gt;*Energy Intake&lt;/keyword&gt;&lt;keyword&gt;*Exercise&lt;/keyword&gt;&lt;keyword&gt;Female&lt;/keyword&gt;&lt;keyword&gt;Humans&lt;/keyword&gt;&lt;keyword&gt;Linear Models&lt;/keyword&gt;&lt;keyword&gt;Male&lt;/keyword&gt;&lt;keyword&gt;Models, Biological&lt;/keyword&gt;&lt;keyword&gt;*Nonlinear Dynamics&lt;/keyword&gt;&lt;/keywords&gt;&lt;dates&gt;&lt;year&gt;1995&lt;/year&gt;&lt;pub-dates&gt;&lt;date&gt;Mar&lt;/date&gt;&lt;/pub-dates&gt;&lt;/dates&gt;&lt;isbn&gt;0007-1145 (Print)&amp;#xD;0007-1145 (Linking)&lt;/isbn&gt;&lt;accession-num&gt;7766558&lt;/accession-num&gt;&lt;urls&gt;&lt;related-urls&gt;&lt;url&gt;https://www.ncbi.nlm.nih.gov/pubmed/7766558&lt;/url&gt;&lt;/related-urls&gt;&lt;/urls&gt;&lt;electronic-resource-num&gt;10.1079/bjn19950037&lt;/electronic-resource-num&gt;&lt;/record&gt;&lt;/Cite&gt;&lt;/EndNote&gt;</w:instrText>
      </w:r>
      <w:r w:rsidR="006B0FAF" w:rsidRPr="00F74A85">
        <w:rPr>
          <w:rFonts w:eastAsia="Times New Roman" w:cs="Arial"/>
          <w:color w:val="000000"/>
          <w:sz w:val="22"/>
          <w:szCs w:val="22"/>
        </w:rPr>
        <w:fldChar w:fldCharType="separate"/>
      </w:r>
      <w:r w:rsidR="006B0FAF" w:rsidRPr="00F74A85">
        <w:rPr>
          <w:rFonts w:eastAsia="Times New Roman" w:cs="Arial"/>
          <w:noProof/>
          <w:color w:val="000000"/>
          <w:sz w:val="22"/>
          <w:szCs w:val="22"/>
        </w:rPr>
        <w:t>(15)</w:t>
      </w:r>
      <w:r w:rsidR="006B0FAF" w:rsidRPr="00F74A85">
        <w:rPr>
          <w:rFonts w:eastAsia="Times New Roman" w:cs="Arial"/>
          <w:color w:val="000000"/>
          <w:sz w:val="22"/>
          <w:szCs w:val="22"/>
        </w:rPr>
        <w:fldChar w:fldCharType="end"/>
      </w:r>
      <w:r w:rsidRPr="00F74A85">
        <w:rPr>
          <w:rFonts w:eastAsia="Times New Roman" w:cs="Arial"/>
          <w:color w:val="000000"/>
          <w:sz w:val="22"/>
          <w:szCs w:val="22"/>
        </w:rPr>
        <w:t xml:space="preserve">. When overfeeding is lower than twice the maintenance requirements, there does not seem to be an effect of this overfeeding on physical activity </w:t>
      </w:r>
      <w:r w:rsidR="006B0FAF" w:rsidRPr="00F74A85">
        <w:rPr>
          <w:rFonts w:eastAsia="Times New Roman" w:cs="Arial"/>
          <w:color w:val="000000"/>
          <w:sz w:val="22"/>
          <w:szCs w:val="22"/>
        </w:rPr>
        <w:fldChar w:fldCharType="begin"/>
      </w:r>
      <w:r w:rsidR="008F3E78" w:rsidRPr="00F74A85">
        <w:rPr>
          <w:rFonts w:eastAsia="Times New Roman" w:cs="Arial"/>
          <w:color w:val="000000"/>
          <w:sz w:val="22"/>
          <w:szCs w:val="22"/>
        </w:rPr>
        <w:instrText xml:space="preserve"> ADDIN EN.CITE &lt;EndNote&gt;&lt;Cite&gt;&lt;Author&gt;Westerterp&lt;/Author&gt;&lt;Year&gt;2010&lt;/Year&gt;&lt;RecNum&gt;7089&lt;/RecNum&gt;&lt;DisplayText&gt;(16)&lt;/DisplayText&gt;&lt;record&gt;&lt;rec-number&gt;7089&lt;/rec-number&gt;&lt;foreign-keys&gt;&lt;key app="EN" db-id="pvt9995p1wxx22eefv2xzrame55pwzadt2ws" timestamp="1647799912" guid="3bd9861a-d6c5-4a5b-9382-912ae9bb662f"&gt;7089&lt;/key&gt;&lt;/foreign-keys&gt;&lt;ref-type name="Journal Article"&gt;17&lt;/ref-type&gt;&lt;contributors&gt;&lt;authors&gt;&lt;author&gt;Westerterp, K. R.&lt;/author&gt;&lt;/authors&gt;&lt;/contributors&gt;&lt;auth-address&gt;Department of Human Biology, Maastricht University, Maastricht, the Netherlands. k.westerterp@hb.unimaas.nl&lt;/auth-address&gt;&lt;titles&gt;&lt;title&gt;Physical activity, food intake, and body weight regulation: insights from doubly labeled water studies&lt;/title&gt;&lt;secondary-title&gt;Nutr Rev&lt;/secondary-title&gt;&lt;/titles&gt;&lt;periodical&gt;&lt;full-title&gt;Nutr Rev&lt;/full-title&gt;&lt;/periodical&gt;&lt;pages&gt;148-54&lt;/pages&gt;&lt;volume&gt;68&lt;/volume&gt;&lt;number&gt;3&lt;/number&gt;&lt;edition&gt;2010/04/14&lt;/edition&gt;&lt;keywords&gt;&lt;keyword&gt;Body Weight/*physiology&lt;/keyword&gt;&lt;keyword&gt;Eating&lt;/keyword&gt;&lt;keyword&gt;Energy Intake/*physiology&lt;/keyword&gt;&lt;keyword&gt;Energy Metabolism/*physiology&lt;/keyword&gt;&lt;keyword&gt;Exercise/*physiology&lt;/keyword&gt;&lt;keyword&gt;Humans&lt;/keyword&gt;&lt;keyword&gt;Overweight/metabolism&lt;/keyword&gt;&lt;/keywords&gt;&lt;dates&gt;&lt;year&gt;2010&lt;/year&gt;&lt;pub-dates&gt;&lt;date&gt;Mar&lt;/date&gt;&lt;/pub-dates&gt;&lt;/dates&gt;&lt;isbn&gt;1753-4887 (Electronic)&amp;#xD;0029-6643 (Linking)&lt;/isbn&gt;&lt;accession-num&gt;20384845&lt;/accession-num&gt;&lt;urls&gt;&lt;related-urls&gt;&lt;url&gt;https://www.ncbi.nlm.nih.gov/pubmed/20384845&lt;/url&gt;&lt;/related-urls&gt;&lt;/urls&gt;&lt;electronic-resource-num&gt;10.1111/j.1753-4887.2010.00270.x&lt;/electronic-resource-num&gt;&lt;/record&gt;&lt;/Cite&gt;&lt;/EndNote&gt;</w:instrText>
      </w:r>
      <w:r w:rsidR="006B0FAF" w:rsidRPr="00F74A85">
        <w:rPr>
          <w:rFonts w:eastAsia="Times New Roman" w:cs="Arial"/>
          <w:color w:val="000000"/>
          <w:sz w:val="22"/>
          <w:szCs w:val="22"/>
        </w:rPr>
        <w:fldChar w:fldCharType="separate"/>
      </w:r>
      <w:r w:rsidR="006B0FAF" w:rsidRPr="00F74A85">
        <w:rPr>
          <w:rFonts w:eastAsia="Times New Roman" w:cs="Arial"/>
          <w:noProof/>
          <w:color w:val="000000"/>
          <w:sz w:val="22"/>
          <w:szCs w:val="22"/>
        </w:rPr>
        <w:t>(16)</w:t>
      </w:r>
      <w:r w:rsidR="006B0FAF" w:rsidRPr="00F74A85">
        <w:rPr>
          <w:rFonts w:eastAsia="Times New Roman" w:cs="Arial"/>
          <w:color w:val="000000"/>
          <w:sz w:val="22"/>
          <w:szCs w:val="22"/>
        </w:rPr>
        <w:fldChar w:fldCharType="end"/>
      </w:r>
      <w:r w:rsidRPr="00F74A85">
        <w:rPr>
          <w:rFonts w:eastAsia="Times New Roman" w:cs="Arial"/>
          <w:color w:val="000000"/>
          <w:sz w:val="22"/>
          <w:szCs w:val="22"/>
        </w:rPr>
        <w:t xml:space="preserve">. Undereating induces a decrease in REE, DEE and AEE. Undereating induces weight loss accompanied by adaptive thermogenesis, a disproportional or greater than expected reduction of REE. The reduction in REE </w:t>
      </w:r>
      <w:r w:rsidR="00200BE5" w:rsidRPr="00F74A85">
        <w:rPr>
          <w:rFonts w:eastAsia="Times New Roman" w:cs="Arial"/>
          <w:color w:val="000000"/>
          <w:sz w:val="22"/>
          <w:szCs w:val="22"/>
        </w:rPr>
        <w:t>is</w:t>
      </w:r>
      <w:r w:rsidRPr="00F74A85">
        <w:rPr>
          <w:rFonts w:eastAsia="Times New Roman" w:cs="Arial"/>
          <w:color w:val="000000"/>
          <w:sz w:val="22"/>
          <w:szCs w:val="22"/>
        </w:rPr>
        <w:t xml:space="preserve"> sustained </w:t>
      </w:r>
      <w:r w:rsidR="00200BE5" w:rsidRPr="00F74A85">
        <w:rPr>
          <w:rFonts w:eastAsia="Times New Roman" w:cs="Arial"/>
          <w:color w:val="000000"/>
          <w:sz w:val="22"/>
          <w:szCs w:val="22"/>
        </w:rPr>
        <w:t xml:space="preserve">even while </w:t>
      </w:r>
      <w:r w:rsidRPr="00F74A85">
        <w:rPr>
          <w:rFonts w:eastAsia="Times New Roman" w:cs="Arial"/>
          <w:color w:val="000000"/>
          <w:sz w:val="22"/>
          <w:szCs w:val="22"/>
        </w:rPr>
        <w:t xml:space="preserve">weight loss is maintained </w:t>
      </w:r>
      <w:r w:rsidR="00461EA0" w:rsidRPr="00F74A85">
        <w:rPr>
          <w:rFonts w:eastAsia="Times New Roman" w:cs="Arial"/>
          <w:color w:val="000000"/>
          <w:sz w:val="22"/>
          <w:szCs w:val="22"/>
        </w:rPr>
        <w:fldChar w:fldCharType="begin"/>
      </w:r>
      <w:r w:rsidR="008F3E78" w:rsidRPr="00F74A85">
        <w:rPr>
          <w:rFonts w:eastAsia="Times New Roman" w:cs="Arial"/>
          <w:color w:val="000000"/>
          <w:sz w:val="22"/>
          <w:szCs w:val="22"/>
        </w:rPr>
        <w:instrText xml:space="preserve"> ADDIN EN.CITE &lt;EndNote&gt;&lt;Cite&gt;&lt;Author&gt;Camps&lt;/Author&gt;&lt;Year&gt;2013&lt;/Year&gt;&lt;RecNum&gt;7090&lt;/RecNum&gt;&lt;DisplayText&gt;(17)&lt;/DisplayText&gt;&lt;record&gt;&lt;rec-number&gt;7090&lt;/rec-number&gt;&lt;foreign-keys&gt;&lt;key app="EN" db-id="pvt9995p1wxx22eefv2xzrame55pwzadt2ws" timestamp="1647799981" guid="5ac35ecc-000e-4ee7-a5bb-89eb3393d051"&gt;7090&lt;/key&gt;&lt;/foreign-keys&gt;&lt;ref-type name="Journal Article"&gt;17&lt;/ref-type&gt;&lt;contributors&gt;&lt;authors&gt;&lt;author&gt;Camps, S. G.&lt;/author&gt;&lt;author&gt;Verhoef, S. P.&lt;/author&gt;&lt;author&gt;Westerterp, K. R.&lt;/author&gt;&lt;/authors&gt;&lt;/contributors&gt;&lt;auth-address&gt;Department of Human Biology, Nutrition and Toxicology Research Institute Maastricht, Maastricht University, Maastricht, Netherlands. sg.camps@maastrichtuniversity.nl&lt;/auth-address&gt;&lt;titles&gt;&lt;title&gt;Weight loss, weight maintenance, and adaptive thermogenesis&lt;/title&gt;&lt;secondary-title&gt;Am J Clin Nutr&lt;/secondary-title&gt;&lt;/titles&gt;&lt;periodical&gt;&lt;full-title&gt;Am J Clin Nutr&lt;/full-title&gt;&lt;/periodical&gt;&lt;pages&gt;990-4&lt;/pages&gt;&lt;volume&gt;97&lt;/volume&gt;&lt;number&gt;5&lt;/number&gt;&lt;edition&gt;2013/03/29&lt;/edition&gt;&lt;keywords&gt;&lt;keyword&gt;Adaptation, Physiological/*physiology&lt;/keyword&gt;&lt;keyword&gt;Adult&lt;/keyword&gt;&lt;keyword&gt;Basal Metabolism/*physiology&lt;/keyword&gt;&lt;keyword&gt;Body Composition&lt;/keyword&gt;&lt;keyword&gt;Body Mass Index&lt;/keyword&gt;&lt;keyword&gt;Diet, Reducing&lt;/keyword&gt;&lt;keyword&gt;Energy Intake&lt;/keyword&gt;&lt;keyword&gt;Female&lt;/keyword&gt;&lt;keyword&gt;Follow-Up Studies&lt;/keyword&gt;&lt;keyword&gt;Humans&lt;/keyword&gt;&lt;keyword&gt;Male&lt;/keyword&gt;&lt;keyword&gt;Middle Aged&lt;/keyword&gt;&lt;keyword&gt;Regression Analysis&lt;/keyword&gt;&lt;keyword&gt;Rest/physiology&lt;/keyword&gt;&lt;keyword&gt;Surveys and Questionnaires&lt;/keyword&gt;&lt;keyword&gt;Thermogenesis/*physiology&lt;/keyword&gt;&lt;keyword&gt;*Weight Loss&lt;/keyword&gt;&lt;/keywords&gt;&lt;dates&gt;&lt;year&gt;2013&lt;/year&gt;&lt;pub-dates&gt;&lt;date&gt;May&lt;/date&gt;&lt;/pub-dates&gt;&lt;/dates&gt;&lt;isbn&gt;1938-3207 (Electronic)&amp;#xD;0002-9165 (Linking)&lt;/isbn&gt;&lt;accession-num&gt;23535105&lt;/accession-num&gt;&lt;urls&gt;&lt;related-urls&gt;&lt;url&gt;https://www.ncbi.nlm.nih.gov/pubmed/23535105&lt;/url&gt;&lt;/related-urls&gt;&lt;/urls&gt;&lt;electronic-resource-num&gt;10.3945/ajcn.112.050310&lt;/electronic-resource-num&gt;&lt;/record&gt;&lt;/Cite&gt;&lt;/EndNote&gt;</w:instrText>
      </w:r>
      <w:r w:rsidR="00461EA0" w:rsidRPr="00F74A85">
        <w:rPr>
          <w:rFonts w:eastAsia="Times New Roman" w:cs="Arial"/>
          <w:color w:val="000000"/>
          <w:sz w:val="22"/>
          <w:szCs w:val="22"/>
        </w:rPr>
        <w:fldChar w:fldCharType="separate"/>
      </w:r>
      <w:r w:rsidR="00461EA0" w:rsidRPr="00F74A85">
        <w:rPr>
          <w:rFonts w:eastAsia="Times New Roman" w:cs="Arial"/>
          <w:noProof/>
          <w:color w:val="000000"/>
          <w:sz w:val="22"/>
          <w:szCs w:val="22"/>
        </w:rPr>
        <w:t>(17)</w:t>
      </w:r>
      <w:r w:rsidR="00461EA0" w:rsidRPr="00F74A85">
        <w:rPr>
          <w:rFonts w:eastAsia="Times New Roman" w:cs="Arial"/>
          <w:color w:val="000000"/>
          <w:sz w:val="22"/>
          <w:szCs w:val="22"/>
        </w:rPr>
        <w:fldChar w:fldCharType="end"/>
      </w:r>
      <w:r w:rsidRPr="00F74A85">
        <w:rPr>
          <w:rFonts w:eastAsia="Times New Roman" w:cs="Arial"/>
          <w:color w:val="000000"/>
          <w:sz w:val="22"/>
          <w:szCs w:val="22"/>
        </w:rPr>
        <w:t xml:space="preserve">. Weight loss due to a negative energy balance is accompanied by a decrease in AEE as well. Here, the decrease is due to less body movement and a lower cost to move a smaller body mass. The reduction in body movement recovers to baseline values or higher when weight loss in maintained </w:t>
      </w:r>
      <w:r w:rsidR="00461EA0" w:rsidRPr="00F74A85">
        <w:rPr>
          <w:rFonts w:eastAsia="Times New Roman" w:cs="Arial"/>
          <w:color w:val="000000"/>
          <w:sz w:val="22"/>
          <w:szCs w:val="22"/>
        </w:rPr>
        <w:fldChar w:fldCharType="begin"/>
      </w:r>
      <w:r w:rsidR="008F3E78" w:rsidRPr="00F74A85">
        <w:rPr>
          <w:rFonts w:eastAsia="Times New Roman" w:cs="Arial"/>
          <w:color w:val="000000"/>
          <w:sz w:val="22"/>
          <w:szCs w:val="22"/>
        </w:rPr>
        <w:instrText xml:space="preserve"> ADDIN EN.CITE &lt;EndNote&gt;&lt;Cite&gt;&lt;Author&gt;Camps&lt;/Author&gt;&lt;Year&gt;2013&lt;/Year&gt;&lt;RecNum&gt;7091&lt;/RecNum&gt;&lt;DisplayText&gt;(18)&lt;/DisplayText&gt;&lt;record&gt;&lt;rec-number&gt;7091&lt;/rec-number&gt;&lt;foreign-keys&gt;&lt;key app="EN" db-id="pvt9995p1wxx22eefv2xzrame55pwzadt2ws" timestamp="1647800050" guid="6c93dbde-93a1-4575-9b2d-1cc645fb8386"&gt;7091&lt;/key&gt;&lt;/foreign-keys&gt;&lt;ref-type name="Journal Article"&gt;17&lt;/ref-type&gt;&lt;contributors&gt;&lt;authors&gt;&lt;author&gt;Camps, S. G.&lt;/author&gt;&lt;author&gt;Verhoef, S. P.&lt;/author&gt;&lt;author&gt;Westerterp, K. R.&lt;/author&gt;&lt;/authors&gt;&lt;/contributors&gt;&lt;auth-address&gt;Department of Human Biology, Nutrition and Toxicology Research Institute Maastricht, Maastricht University, Maastricht, Netherlands.&lt;/auth-address&gt;&lt;titles&gt;&lt;title&gt;Weight loss-induced reduction in physical activity recovers during weight maintenance&lt;/title&gt;&lt;secondary-title&gt;Am J Clin Nutr&lt;/secondary-title&gt;&lt;/titles&gt;&lt;periodical&gt;&lt;full-title&gt;Am J Clin Nutr&lt;/full-title&gt;&lt;/periodical&gt;&lt;pages&gt;917-23&lt;/pages&gt;&lt;volume&gt;98&lt;/volume&gt;&lt;number&gt;4&lt;/number&gt;&lt;edition&gt;2013/08/30&lt;/edition&gt;&lt;keywords&gt;&lt;keyword&gt;Adult&lt;/keyword&gt;&lt;keyword&gt;Basal Metabolism&lt;/keyword&gt;&lt;keyword&gt;Body Composition&lt;/keyword&gt;&lt;keyword&gt;Body Mass Index&lt;/keyword&gt;&lt;keyword&gt;Body Weight&lt;/keyword&gt;&lt;keyword&gt;Caloric Restriction&lt;/keyword&gt;&lt;keyword&gt;Diet&lt;/keyword&gt;&lt;keyword&gt;Diet, Reducing&lt;/keyword&gt;&lt;keyword&gt;Energy Intake/*physiology&lt;/keyword&gt;&lt;keyword&gt;Energy Metabolism/physiology&lt;/keyword&gt;&lt;keyword&gt;Female&lt;/keyword&gt;&lt;keyword&gt;Humans&lt;/keyword&gt;&lt;keyword&gt;Male&lt;/keyword&gt;&lt;keyword&gt;Middle Aged&lt;/keyword&gt;&lt;keyword&gt;Obesity/*diet therapy/metabolism&lt;/keyword&gt;&lt;keyword&gt;Physical Exertion/*physiology&lt;/keyword&gt;&lt;keyword&gt;Sleep/physiology&lt;/keyword&gt;&lt;keyword&gt;Thermogenesis&lt;/keyword&gt;&lt;keyword&gt;Weight Loss/*physiology&lt;/keyword&gt;&lt;/keywords&gt;&lt;dates&gt;&lt;year&gt;2013&lt;/year&gt;&lt;pub-dates&gt;&lt;date&gt;Oct&lt;/date&gt;&lt;/pub-dates&gt;&lt;/dates&gt;&lt;isbn&gt;1938-3207 (Electronic)&amp;#xD;0002-9165 (Linking)&lt;/isbn&gt;&lt;accession-num&gt;23985804&lt;/accession-num&gt;&lt;urls&gt;&lt;related-urls&gt;&lt;url&gt;https://www.ncbi.nlm.nih.gov/pubmed/23985804&lt;/url&gt;&lt;/related-urls&gt;&lt;/urls&gt;&lt;electronic-resource-num&gt;10.3945/ajcn.113.062935&lt;/electronic-resource-num&gt;&lt;/record&gt;&lt;/Cite&gt;&lt;/EndNote&gt;</w:instrText>
      </w:r>
      <w:r w:rsidR="00461EA0" w:rsidRPr="00F74A85">
        <w:rPr>
          <w:rFonts w:eastAsia="Times New Roman" w:cs="Arial"/>
          <w:color w:val="000000"/>
          <w:sz w:val="22"/>
          <w:szCs w:val="22"/>
        </w:rPr>
        <w:fldChar w:fldCharType="separate"/>
      </w:r>
      <w:r w:rsidR="00461EA0" w:rsidRPr="00F74A85">
        <w:rPr>
          <w:rFonts w:eastAsia="Times New Roman" w:cs="Arial"/>
          <w:noProof/>
          <w:color w:val="000000"/>
          <w:sz w:val="22"/>
          <w:szCs w:val="22"/>
        </w:rPr>
        <w:t>(18)</w:t>
      </w:r>
      <w:r w:rsidR="00461EA0" w:rsidRPr="00F74A85">
        <w:rPr>
          <w:rFonts w:eastAsia="Times New Roman" w:cs="Arial"/>
          <w:color w:val="000000"/>
          <w:sz w:val="22"/>
          <w:szCs w:val="22"/>
        </w:rPr>
        <w:fldChar w:fldCharType="end"/>
      </w:r>
      <w:r w:rsidRPr="00F74A85">
        <w:rPr>
          <w:rFonts w:eastAsia="Times New Roman" w:cs="Arial"/>
          <w:color w:val="000000"/>
          <w:sz w:val="22"/>
          <w:szCs w:val="22"/>
        </w:rPr>
        <w:t xml:space="preserve">. A classic example of the effect of undereating on energy expenditure is the Minnesota Experiment from the 1950’s </w:t>
      </w:r>
      <w:r w:rsidR="00461EA0" w:rsidRPr="00F74A85">
        <w:rPr>
          <w:rFonts w:eastAsia="Times New Roman" w:cs="Arial"/>
          <w:color w:val="000000"/>
          <w:sz w:val="22"/>
          <w:szCs w:val="22"/>
        </w:rPr>
        <w:fldChar w:fldCharType="begin"/>
      </w:r>
      <w:r w:rsidR="008F3E78" w:rsidRPr="00F74A85">
        <w:rPr>
          <w:rFonts w:eastAsia="Times New Roman" w:cs="Arial"/>
          <w:color w:val="000000"/>
          <w:sz w:val="22"/>
          <w:szCs w:val="22"/>
        </w:rPr>
        <w:instrText xml:space="preserve"> ADDIN EN.CITE &lt;EndNote&gt;&lt;Cite&gt;&lt;Author&gt;Taylor&lt;/Author&gt;&lt;Year&gt;1950&lt;/Year&gt;&lt;RecNum&gt;7092&lt;/RecNum&gt;&lt;DisplayText&gt;(19)&lt;/DisplayText&gt;&lt;record&gt;&lt;rec-number&gt;7092&lt;/rec-number&gt;&lt;foreign-keys&gt;&lt;key app="EN" db-id="pvt9995p1wxx22eefv2xzrame55pwzadt2ws" timestamp="1647800118" guid="59e9bdfa-d350-4df3-8327-174e4ba72716"&gt;7092&lt;/key&gt;&lt;/foreign-keys&gt;&lt;ref-type name="Journal Article"&gt;17&lt;/ref-type&gt;&lt;contributors&gt;&lt;authors&gt;&lt;author&gt;Taylor, H. L.&lt;/author&gt;&lt;author&gt;Keys, A.&lt;/author&gt;&lt;/authors&gt;&lt;/contributors&gt;&lt;titles&gt;&lt;title&gt;Adaptation to caloric restriction&lt;/title&gt;&lt;secondary-title&gt;Science&lt;/secondary-title&gt;&lt;/titles&gt;&lt;periodical&gt;&lt;full-title&gt;Science&lt;/full-title&gt;&lt;/periodical&gt;&lt;pages&gt;215-8&lt;/pages&gt;&lt;volume&gt;112&lt;/volume&gt;&lt;number&gt;2904&lt;/number&gt;&lt;edition&gt;1950/08/25&lt;/edition&gt;&lt;keywords&gt;&lt;keyword&gt;*Acclimatization&lt;/keyword&gt;&lt;keyword&gt;*Adaptation, Physiological&lt;/keyword&gt;&lt;keyword&gt;*Caloric Restriction&lt;/keyword&gt;&lt;keyword&gt;Humans&lt;/keyword&gt;&lt;keyword&gt;*Starvation&lt;/keyword&gt;&lt;/keywords&gt;&lt;dates&gt;&lt;year&gt;1950&lt;/year&gt;&lt;pub-dates&gt;&lt;date&gt;Aug 25&lt;/date&gt;&lt;/pub-dates&gt;&lt;/dates&gt;&lt;isbn&gt;0036-8075 (Print)&amp;#xD;0036-8075 (Linking)&lt;/isbn&gt;&lt;accession-num&gt;15442306&lt;/accession-num&gt;&lt;urls&gt;&lt;related-urls&gt;&lt;url&gt;https://www.ncbi.nlm.nih.gov/pubmed/15442306&lt;/url&gt;&lt;/related-urls&gt;&lt;/urls&gt;&lt;electronic-resource-num&gt;10.1126/science.112.2904.215&lt;/electronic-resource-num&gt;&lt;/record&gt;&lt;/Cite&gt;&lt;/EndNote&gt;</w:instrText>
      </w:r>
      <w:r w:rsidR="00461EA0" w:rsidRPr="00F74A85">
        <w:rPr>
          <w:rFonts w:eastAsia="Times New Roman" w:cs="Arial"/>
          <w:color w:val="000000"/>
          <w:sz w:val="22"/>
          <w:szCs w:val="22"/>
        </w:rPr>
        <w:fldChar w:fldCharType="separate"/>
      </w:r>
      <w:r w:rsidR="00461EA0" w:rsidRPr="00F74A85">
        <w:rPr>
          <w:rFonts w:eastAsia="Times New Roman" w:cs="Arial"/>
          <w:noProof/>
          <w:color w:val="000000"/>
          <w:sz w:val="22"/>
          <w:szCs w:val="22"/>
        </w:rPr>
        <w:t>(19)</w:t>
      </w:r>
      <w:r w:rsidR="00461EA0" w:rsidRPr="00F74A85">
        <w:rPr>
          <w:rFonts w:eastAsia="Times New Roman" w:cs="Arial"/>
          <w:color w:val="000000"/>
          <w:sz w:val="22"/>
          <w:szCs w:val="22"/>
        </w:rPr>
        <w:fldChar w:fldCharType="end"/>
      </w:r>
      <w:r w:rsidRPr="00F74A85">
        <w:rPr>
          <w:rFonts w:eastAsia="Times New Roman" w:cs="Arial"/>
          <w:color w:val="000000"/>
          <w:sz w:val="22"/>
          <w:szCs w:val="22"/>
        </w:rPr>
        <w:t>. Energy intake of normal-weight men was reduced for 24 weeks from 14.6 MJ/d to 6.6 MJ/d. The subjects reached a new energy balance by saving 8 MJ/d (</w:t>
      </w:r>
      <w:r w:rsidRPr="00985D13">
        <w:rPr>
          <w:rFonts w:eastAsia="Times New Roman" w:cs="Arial"/>
          <w:bCs/>
          <w:color w:val="000000"/>
          <w:sz w:val="22"/>
          <w:szCs w:val="22"/>
        </w:rPr>
        <w:t>Table 3</w:t>
      </w:r>
      <w:r w:rsidRPr="00F74A85">
        <w:rPr>
          <w:rFonts w:eastAsia="Times New Roman" w:cs="Arial"/>
          <w:color w:val="000000"/>
          <w:sz w:val="22"/>
          <w:szCs w:val="22"/>
        </w:rPr>
        <w:t>). Of the total saving of 8 MJ/d the main part stemmed from reduced AEE</w:t>
      </w:r>
      <w:r w:rsidR="004B5599" w:rsidRPr="00F74A85">
        <w:rPr>
          <w:rFonts w:eastAsia="Times New Roman" w:cs="Arial"/>
          <w:color w:val="000000"/>
          <w:sz w:val="22"/>
          <w:szCs w:val="22"/>
        </w:rPr>
        <w:t xml:space="preserve">, which was </w:t>
      </w:r>
      <w:r w:rsidRPr="00F74A85">
        <w:rPr>
          <w:rFonts w:eastAsia="Times New Roman" w:cs="Arial"/>
          <w:color w:val="000000"/>
          <w:sz w:val="22"/>
          <w:szCs w:val="22"/>
        </w:rPr>
        <w:t>mainly due to moving less.</w:t>
      </w:r>
    </w:p>
    <w:p w14:paraId="517E5AB8" w14:textId="77777777" w:rsidR="00EB0F2E" w:rsidRPr="00F74A85" w:rsidRDefault="00EB0F2E" w:rsidP="00F74A85">
      <w:pPr>
        <w:spacing w:after="0" w:line="276" w:lineRule="auto"/>
        <w:textAlignment w:val="baseline"/>
        <w:rPr>
          <w:rFonts w:eastAsia="Times New Roman" w:cs="Arial"/>
          <w:color w:val="000000"/>
          <w:sz w:val="22"/>
          <w:szCs w:val="22"/>
        </w:rPr>
      </w:pPr>
    </w:p>
    <w:tbl>
      <w:tblPr>
        <w:tblStyle w:val="TableGrid1"/>
        <w:tblW w:w="9464" w:type="dxa"/>
        <w:tblLook w:val="04A0" w:firstRow="1" w:lastRow="0" w:firstColumn="1" w:lastColumn="0" w:noHBand="0" w:noVBand="1"/>
      </w:tblPr>
      <w:tblGrid>
        <w:gridCol w:w="3170"/>
        <w:gridCol w:w="885"/>
        <w:gridCol w:w="1520"/>
        <w:gridCol w:w="3889"/>
      </w:tblGrid>
      <w:tr w:rsidR="009919FB" w:rsidRPr="00F74A85" w14:paraId="197F20A5" w14:textId="77777777" w:rsidTr="00985D13">
        <w:tc>
          <w:tcPr>
            <w:tcW w:w="9464" w:type="dxa"/>
            <w:gridSpan w:val="4"/>
            <w:shd w:val="clear" w:color="auto" w:fill="FFFF00"/>
            <w:hideMark/>
          </w:tcPr>
          <w:p w14:paraId="315B6003" w14:textId="783053AE" w:rsidR="009919FB" w:rsidRPr="00F74A85" w:rsidRDefault="009919FB" w:rsidP="00F74A85">
            <w:pPr>
              <w:spacing w:after="0" w:line="276" w:lineRule="auto"/>
              <w:rPr>
                <w:rFonts w:cs="Arial"/>
                <w:color w:val="000000"/>
                <w:sz w:val="22"/>
              </w:rPr>
            </w:pPr>
            <w:r w:rsidRPr="00F74A85">
              <w:rPr>
                <w:rFonts w:cs="Arial"/>
                <w:b/>
                <w:bCs/>
                <w:color w:val="000000"/>
                <w:sz w:val="22"/>
                <w:bdr w:val="none" w:sz="0" w:space="0" w:color="auto" w:frame="1"/>
              </w:rPr>
              <w:t>Table 3</w:t>
            </w:r>
            <w:r w:rsidR="00985D13">
              <w:rPr>
                <w:rFonts w:cs="Arial"/>
                <w:b/>
                <w:bCs/>
                <w:color w:val="000000"/>
                <w:sz w:val="22"/>
                <w:bdr w:val="none" w:sz="0" w:space="0" w:color="auto" w:frame="1"/>
              </w:rPr>
              <w:t>.</w:t>
            </w:r>
            <w:r w:rsidRPr="00F74A85">
              <w:rPr>
                <w:rFonts w:cs="Arial"/>
                <w:b/>
                <w:bCs/>
                <w:color w:val="000000"/>
                <w:sz w:val="22"/>
                <w:bdr w:val="none" w:sz="0" w:space="0" w:color="auto" w:frame="1"/>
              </w:rPr>
              <w:t xml:space="preserve"> Energy </w:t>
            </w:r>
            <w:r w:rsidR="00985D13">
              <w:rPr>
                <w:rFonts w:cs="Arial"/>
                <w:b/>
                <w:bCs/>
                <w:color w:val="000000"/>
                <w:sz w:val="22"/>
                <w:bdr w:val="none" w:sz="0" w:space="0" w:color="auto" w:frame="1"/>
              </w:rPr>
              <w:t>S</w:t>
            </w:r>
            <w:r w:rsidRPr="00F74A85">
              <w:rPr>
                <w:rFonts w:cs="Arial"/>
                <w:b/>
                <w:bCs/>
                <w:color w:val="000000"/>
                <w:sz w:val="22"/>
                <w:bdr w:val="none" w:sz="0" w:space="0" w:color="auto" w:frame="1"/>
              </w:rPr>
              <w:t xml:space="preserve">aved by 24 </w:t>
            </w:r>
            <w:r w:rsidR="005C2076">
              <w:rPr>
                <w:rFonts w:cs="Arial"/>
                <w:b/>
                <w:bCs/>
                <w:color w:val="000000"/>
                <w:sz w:val="22"/>
                <w:bdr w:val="none" w:sz="0" w:space="0" w:color="auto" w:frame="1"/>
              </w:rPr>
              <w:t>W</w:t>
            </w:r>
            <w:r w:rsidRPr="00F74A85">
              <w:rPr>
                <w:rFonts w:cs="Arial"/>
                <w:b/>
                <w:bCs/>
                <w:color w:val="000000"/>
                <w:sz w:val="22"/>
                <w:bdr w:val="none" w:sz="0" w:space="0" w:color="auto" w:frame="1"/>
              </w:rPr>
              <w:t xml:space="preserve">eeks </w:t>
            </w:r>
            <w:r w:rsidR="00985D13">
              <w:rPr>
                <w:rFonts w:cs="Arial"/>
                <w:b/>
                <w:bCs/>
                <w:color w:val="000000"/>
                <w:sz w:val="22"/>
                <w:bdr w:val="none" w:sz="0" w:space="0" w:color="auto" w:frame="1"/>
              </w:rPr>
              <w:t>U</w:t>
            </w:r>
            <w:r w:rsidRPr="00F74A85">
              <w:rPr>
                <w:rFonts w:cs="Arial"/>
                <w:b/>
                <w:bCs/>
                <w:color w:val="000000"/>
                <w:sz w:val="22"/>
                <w:bdr w:val="none" w:sz="0" w:space="0" w:color="auto" w:frame="1"/>
              </w:rPr>
              <w:t>nder</w:t>
            </w:r>
            <w:r w:rsidR="004B5599" w:rsidRPr="00F74A85">
              <w:rPr>
                <w:rFonts w:cs="Arial"/>
                <w:b/>
                <w:bCs/>
                <w:color w:val="000000"/>
                <w:sz w:val="22"/>
                <w:bdr w:val="none" w:sz="0" w:space="0" w:color="auto" w:frame="1"/>
              </w:rPr>
              <w:t>feeding</w:t>
            </w:r>
            <w:r w:rsidRPr="00F74A85">
              <w:rPr>
                <w:rFonts w:cs="Arial"/>
                <w:b/>
                <w:bCs/>
                <w:color w:val="000000"/>
                <w:sz w:val="22"/>
                <w:bdr w:val="none" w:sz="0" w:space="0" w:color="auto" w:frame="1"/>
              </w:rPr>
              <w:t xml:space="preserve"> in the Minnesota Experiment (19)</w:t>
            </w:r>
          </w:p>
        </w:tc>
      </w:tr>
      <w:tr w:rsidR="009919FB" w:rsidRPr="00F74A85" w14:paraId="735878AE" w14:textId="77777777" w:rsidTr="00985D13">
        <w:tc>
          <w:tcPr>
            <w:tcW w:w="3170" w:type="dxa"/>
            <w:hideMark/>
          </w:tcPr>
          <w:p w14:paraId="3D140D58" w14:textId="77777777" w:rsidR="009919FB" w:rsidRPr="00F74A85" w:rsidRDefault="009919FB" w:rsidP="00F74A85">
            <w:pPr>
              <w:spacing w:after="0" w:line="276" w:lineRule="auto"/>
              <w:rPr>
                <w:rFonts w:cs="Arial"/>
                <w:color w:val="000000"/>
                <w:sz w:val="22"/>
              </w:rPr>
            </w:pPr>
          </w:p>
        </w:tc>
        <w:tc>
          <w:tcPr>
            <w:tcW w:w="885" w:type="dxa"/>
            <w:hideMark/>
          </w:tcPr>
          <w:p w14:paraId="4550B3AC" w14:textId="77777777" w:rsidR="009919FB" w:rsidRPr="00F74A85" w:rsidRDefault="009919FB" w:rsidP="00F74A85">
            <w:pPr>
              <w:spacing w:after="0" w:line="276" w:lineRule="auto"/>
              <w:rPr>
                <w:rFonts w:cs="Arial"/>
                <w:b/>
                <w:color w:val="000000"/>
                <w:sz w:val="22"/>
              </w:rPr>
            </w:pPr>
            <w:r w:rsidRPr="00F74A85">
              <w:rPr>
                <w:rFonts w:cs="Arial"/>
                <w:b/>
                <w:color w:val="000000"/>
                <w:sz w:val="22"/>
              </w:rPr>
              <w:t>MJ/d</w:t>
            </w:r>
          </w:p>
        </w:tc>
        <w:tc>
          <w:tcPr>
            <w:tcW w:w="1520" w:type="dxa"/>
            <w:hideMark/>
          </w:tcPr>
          <w:p w14:paraId="4409AAFF" w14:textId="77777777" w:rsidR="009919FB" w:rsidRPr="00F74A85" w:rsidRDefault="009919FB" w:rsidP="00F74A85">
            <w:pPr>
              <w:spacing w:after="0" w:line="276" w:lineRule="auto"/>
              <w:rPr>
                <w:rFonts w:cs="Arial"/>
                <w:b/>
                <w:color w:val="000000"/>
                <w:sz w:val="22"/>
              </w:rPr>
            </w:pPr>
            <w:r w:rsidRPr="00F74A85">
              <w:rPr>
                <w:rFonts w:cs="Arial"/>
                <w:b/>
                <w:color w:val="000000"/>
                <w:sz w:val="22"/>
              </w:rPr>
              <w:t>% of saving</w:t>
            </w:r>
          </w:p>
        </w:tc>
        <w:tc>
          <w:tcPr>
            <w:tcW w:w="3889" w:type="dxa"/>
            <w:hideMark/>
          </w:tcPr>
          <w:p w14:paraId="41F1C67D" w14:textId="6F2714C3" w:rsidR="009919FB" w:rsidRPr="00F74A85" w:rsidRDefault="004B5599" w:rsidP="00F74A85">
            <w:pPr>
              <w:spacing w:after="0" w:line="276" w:lineRule="auto"/>
              <w:rPr>
                <w:rFonts w:cs="Arial"/>
                <w:b/>
                <w:color w:val="000000"/>
                <w:sz w:val="22"/>
              </w:rPr>
            </w:pPr>
            <w:r w:rsidRPr="00F74A85">
              <w:rPr>
                <w:rFonts w:cs="Arial"/>
                <w:b/>
                <w:color w:val="000000"/>
                <w:sz w:val="22"/>
              </w:rPr>
              <w:t>E</w:t>
            </w:r>
            <w:r w:rsidR="009919FB" w:rsidRPr="00F74A85">
              <w:rPr>
                <w:rFonts w:cs="Arial"/>
                <w:b/>
                <w:color w:val="000000"/>
                <w:sz w:val="22"/>
              </w:rPr>
              <w:t>xplanation</w:t>
            </w:r>
          </w:p>
        </w:tc>
      </w:tr>
      <w:tr w:rsidR="009919FB" w:rsidRPr="00F74A85" w14:paraId="468EDB16" w14:textId="77777777" w:rsidTr="00985D13">
        <w:tc>
          <w:tcPr>
            <w:tcW w:w="3170" w:type="dxa"/>
            <w:hideMark/>
          </w:tcPr>
          <w:p w14:paraId="241AB229" w14:textId="77777777" w:rsidR="009919FB" w:rsidRPr="00F74A85" w:rsidRDefault="009919FB" w:rsidP="00F74A85">
            <w:pPr>
              <w:spacing w:after="0" w:line="276" w:lineRule="auto"/>
              <w:rPr>
                <w:rFonts w:cs="Arial"/>
                <w:color w:val="000000"/>
                <w:sz w:val="22"/>
              </w:rPr>
            </w:pPr>
            <w:r w:rsidRPr="00F74A85">
              <w:rPr>
                <w:rFonts w:cs="Arial"/>
                <w:color w:val="000000"/>
                <w:sz w:val="22"/>
              </w:rPr>
              <w:t>Resting energy expenditure</w:t>
            </w:r>
          </w:p>
        </w:tc>
        <w:tc>
          <w:tcPr>
            <w:tcW w:w="885" w:type="dxa"/>
            <w:hideMark/>
          </w:tcPr>
          <w:p w14:paraId="2F31879E" w14:textId="77777777" w:rsidR="009919FB" w:rsidRPr="00F74A85" w:rsidRDefault="009919FB" w:rsidP="00F74A85">
            <w:pPr>
              <w:spacing w:after="0" w:line="276" w:lineRule="auto"/>
              <w:rPr>
                <w:rFonts w:cs="Arial"/>
                <w:color w:val="000000"/>
                <w:sz w:val="22"/>
              </w:rPr>
            </w:pPr>
            <w:r w:rsidRPr="00F74A85">
              <w:rPr>
                <w:rFonts w:cs="Arial"/>
                <w:color w:val="000000"/>
                <w:sz w:val="22"/>
              </w:rPr>
              <w:t>2.6</w:t>
            </w:r>
          </w:p>
        </w:tc>
        <w:tc>
          <w:tcPr>
            <w:tcW w:w="1520" w:type="dxa"/>
            <w:hideMark/>
          </w:tcPr>
          <w:p w14:paraId="1A2C7F22" w14:textId="77777777" w:rsidR="009919FB" w:rsidRPr="00F74A85" w:rsidRDefault="009919FB" w:rsidP="00F74A85">
            <w:pPr>
              <w:spacing w:after="0" w:line="276" w:lineRule="auto"/>
              <w:rPr>
                <w:rFonts w:cs="Arial"/>
                <w:color w:val="000000"/>
                <w:sz w:val="22"/>
              </w:rPr>
            </w:pPr>
            <w:r w:rsidRPr="00F74A85">
              <w:rPr>
                <w:rFonts w:cs="Arial"/>
                <w:color w:val="000000"/>
                <w:sz w:val="22"/>
              </w:rPr>
              <w:t>32</w:t>
            </w:r>
          </w:p>
        </w:tc>
        <w:tc>
          <w:tcPr>
            <w:tcW w:w="3889" w:type="dxa"/>
            <w:hideMark/>
          </w:tcPr>
          <w:p w14:paraId="381600D0" w14:textId="77777777" w:rsidR="009919FB" w:rsidRPr="00F74A85" w:rsidRDefault="009919FB" w:rsidP="00F74A85">
            <w:pPr>
              <w:spacing w:after="0" w:line="276" w:lineRule="auto"/>
              <w:rPr>
                <w:rFonts w:cs="Arial"/>
                <w:color w:val="000000"/>
                <w:sz w:val="22"/>
              </w:rPr>
            </w:pPr>
            <w:r w:rsidRPr="00F74A85">
              <w:rPr>
                <w:rFonts w:cs="Arial"/>
                <w:color w:val="000000"/>
                <w:sz w:val="22"/>
              </w:rPr>
              <w:t>65% for a decreased bodyweight</w:t>
            </w:r>
          </w:p>
          <w:p w14:paraId="3F29EDA6" w14:textId="77777777" w:rsidR="009919FB" w:rsidRPr="00F74A85" w:rsidRDefault="009919FB" w:rsidP="00F74A85">
            <w:pPr>
              <w:spacing w:after="0" w:line="276" w:lineRule="auto"/>
              <w:textAlignment w:val="baseline"/>
              <w:rPr>
                <w:rFonts w:cs="Arial"/>
                <w:color w:val="000000"/>
                <w:sz w:val="22"/>
              </w:rPr>
            </w:pPr>
            <w:r w:rsidRPr="00F74A85">
              <w:rPr>
                <w:rFonts w:cs="Arial"/>
                <w:color w:val="000000"/>
                <w:sz w:val="22"/>
              </w:rPr>
              <w:t>35% for a lowered tissue metabolism</w:t>
            </w:r>
          </w:p>
        </w:tc>
      </w:tr>
      <w:tr w:rsidR="009919FB" w:rsidRPr="00F74A85" w14:paraId="6368B861" w14:textId="77777777" w:rsidTr="00985D13">
        <w:tc>
          <w:tcPr>
            <w:tcW w:w="3170" w:type="dxa"/>
            <w:hideMark/>
          </w:tcPr>
          <w:p w14:paraId="7177B667" w14:textId="77777777" w:rsidR="009919FB" w:rsidRPr="00F74A85" w:rsidRDefault="009919FB" w:rsidP="00F74A85">
            <w:pPr>
              <w:spacing w:after="0" w:line="276" w:lineRule="auto"/>
              <w:rPr>
                <w:rFonts w:cs="Arial"/>
                <w:color w:val="000000"/>
                <w:sz w:val="22"/>
              </w:rPr>
            </w:pPr>
            <w:r w:rsidRPr="00F74A85">
              <w:rPr>
                <w:rFonts w:cs="Arial"/>
                <w:color w:val="000000"/>
                <w:sz w:val="22"/>
              </w:rPr>
              <w:t>Diet-induced expenditure</w:t>
            </w:r>
          </w:p>
        </w:tc>
        <w:tc>
          <w:tcPr>
            <w:tcW w:w="885" w:type="dxa"/>
            <w:hideMark/>
          </w:tcPr>
          <w:p w14:paraId="189D7E56" w14:textId="77777777" w:rsidR="009919FB" w:rsidRPr="00F74A85" w:rsidRDefault="009919FB" w:rsidP="00F74A85">
            <w:pPr>
              <w:spacing w:after="0" w:line="276" w:lineRule="auto"/>
              <w:rPr>
                <w:rFonts w:cs="Arial"/>
                <w:color w:val="000000"/>
                <w:sz w:val="22"/>
              </w:rPr>
            </w:pPr>
            <w:r w:rsidRPr="00F74A85">
              <w:rPr>
                <w:rFonts w:cs="Arial"/>
                <w:color w:val="000000"/>
                <w:sz w:val="22"/>
              </w:rPr>
              <w:t>0.8</w:t>
            </w:r>
          </w:p>
        </w:tc>
        <w:tc>
          <w:tcPr>
            <w:tcW w:w="1520" w:type="dxa"/>
            <w:hideMark/>
          </w:tcPr>
          <w:p w14:paraId="6D0478E3" w14:textId="77777777" w:rsidR="009919FB" w:rsidRPr="00F74A85" w:rsidRDefault="009919FB" w:rsidP="00F74A85">
            <w:pPr>
              <w:spacing w:after="0" w:line="276" w:lineRule="auto"/>
              <w:rPr>
                <w:rFonts w:cs="Arial"/>
                <w:color w:val="000000"/>
                <w:sz w:val="22"/>
              </w:rPr>
            </w:pPr>
            <w:r w:rsidRPr="00F74A85">
              <w:rPr>
                <w:rFonts w:cs="Arial"/>
                <w:color w:val="000000"/>
                <w:sz w:val="22"/>
              </w:rPr>
              <w:t>10</w:t>
            </w:r>
          </w:p>
        </w:tc>
        <w:tc>
          <w:tcPr>
            <w:tcW w:w="3889" w:type="dxa"/>
            <w:hideMark/>
          </w:tcPr>
          <w:p w14:paraId="5F9E9FE3" w14:textId="77777777" w:rsidR="009919FB" w:rsidRPr="00F74A85" w:rsidRDefault="009919FB" w:rsidP="00F74A85">
            <w:pPr>
              <w:spacing w:after="0" w:line="276" w:lineRule="auto"/>
              <w:rPr>
                <w:rFonts w:cs="Arial"/>
                <w:color w:val="000000"/>
                <w:sz w:val="22"/>
              </w:rPr>
            </w:pPr>
          </w:p>
        </w:tc>
      </w:tr>
      <w:tr w:rsidR="009919FB" w:rsidRPr="00F74A85" w14:paraId="6E975895" w14:textId="77777777" w:rsidTr="00985D13">
        <w:tc>
          <w:tcPr>
            <w:tcW w:w="3170" w:type="dxa"/>
            <w:hideMark/>
          </w:tcPr>
          <w:p w14:paraId="4376572D" w14:textId="77777777" w:rsidR="009919FB" w:rsidRPr="00F74A85" w:rsidRDefault="009919FB" w:rsidP="00F74A85">
            <w:pPr>
              <w:spacing w:after="0" w:line="276" w:lineRule="auto"/>
              <w:rPr>
                <w:rFonts w:cs="Arial"/>
                <w:color w:val="000000"/>
                <w:sz w:val="22"/>
              </w:rPr>
            </w:pPr>
            <w:r w:rsidRPr="00F74A85">
              <w:rPr>
                <w:rFonts w:cs="Arial"/>
                <w:color w:val="000000"/>
                <w:sz w:val="22"/>
              </w:rPr>
              <w:t>Activity-induced expenditure</w:t>
            </w:r>
          </w:p>
        </w:tc>
        <w:tc>
          <w:tcPr>
            <w:tcW w:w="885" w:type="dxa"/>
            <w:hideMark/>
          </w:tcPr>
          <w:p w14:paraId="2DFB2F71" w14:textId="77777777" w:rsidR="009919FB" w:rsidRPr="00F74A85" w:rsidRDefault="009919FB" w:rsidP="00F74A85">
            <w:pPr>
              <w:spacing w:after="0" w:line="276" w:lineRule="auto"/>
              <w:rPr>
                <w:rFonts w:cs="Arial"/>
                <w:color w:val="000000"/>
                <w:sz w:val="22"/>
              </w:rPr>
            </w:pPr>
            <w:r w:rsidRPr="00F74A85">
              <w:rPr>
                <w:rFonts w:cs="Arial"/>
                <w:color w:val="000000"/>
                <w:sz w:val="22"/>
              </w:rPr>
              <w:t>4.7</w:t>
            </w:r>
          </w:p>
        </w:tc>
        <w:tc>
          <w:tcPr>
            <w:tcW w:w="1520" w:type="dxa"/>
            <w:hideMark/>
          </w:tcPr>
          <w:p w14:paraId="1857D094" w14:textId="77777777" w:rsidR="009919FB" w:rsidRPr="00F74A85" w:rsidRDefault="009919FB" w:rsidP="00F74A85">
            <w:pPr>
              <w:spacing w:after="0" w:line="276" w:lineRule="auto"/>
              <w:rPr>
                <w:rFonts w:cs="Arial"/>
                <w:color w:val="000000"/>
                <w:sz w:val="22"/>
              </w:rPr>
            </w:pPr>
            <w:r w:rsidRPr="00F74A85">
              <w:rPr>
                <w:rFonts w:cs="Arial"/>
                <w:color w:val="000000"/>
                <w:sz w:val="22"/>
              </w:rPr>
              <w:t>58</w:t>
            </w:r>
          </w:p>
        </w:tc>
        <w:tc>
          <w:tcPr>
            <w:tcW w:w="3889" w:type="dxa"/>
            <w:hideMark/>
          </w:tcPr>
          <w:p w14:paraId="7BE97F06" w14:textId="77777777" w:rsidR="009919FB" w:rsidRPr="00F74A85" w:rsidRDefault="009919FB" w:rsidP="00F74A85">
            <w:pPr>
              <w:spacing w:after="0" w:line="276" w:lineRule="auto"/>
              <w:rPr>
                <w:rFonts w:cs="Arial"/>
                <w:color w:val="000000"/>
                <w:sz w:val="22"/>
              </w:rPr>
            </w:pPr>
            <w:r w:rsidRPr="00F74A85">
              <w:rPr>
                <w:rFonts w:cs="Arial"/>
                <w:color w:val="000000"/>
                <w:sz w:val="22"/>
              </w:rPr>
              <w:t>40% for a decreased bodyweight</w:t>
            </w:r>
          </w:p>
          <w:p w14:paraId="47BB1166" w14:textId="77777777" w:rsidR="009919FB" w:rsidRPr="00F74A85" w:rsidRDefault="009919FB" w:rsidP="00F74A85">
            <w:pPr>
              <w:spacing w:after="0" w:line="276" w:lineRule="auto"/>
              <w:textAlignment w:val="baseline"/>
              <w:rPr>
                <w:rFonts w:cs="Arial"/>
                <w:color w:val="000000"/>
                <w:sz w:val="22"/>
              </w:rPr>
            </w:pPr>
            <w:r w:rsidRPr="00F74A85">
              <w:rPr>
                <w:rFonts w:cs="Arial"/>
                <w:color w:val="000000"/>
                <w:sz w:val="22"/>
              </w:rPr>
              <w:t>60% for less body movement</w:t>
            </w:r>
          </w:p>
        </w:tc>
      </w:tr>
      <w:tr w:rsidR="009919FB" w:rsidRPr="00F74A85" w14:paraId="25B7C94E" w14:textId="77777777" w:rsidTr="00985D13">
        <w:tc>
          <w:tcPr>
            <w:tcW w:w="3170" w:type="dxa"/>
            <w:hideMark/>
          </w:tcPr>
          <w:p w14:paraId="3F2E46DD" w14:textId="77777777" w:rsidR="009919FB" w:rsidRPr="00F74A85" w:rsidRDefault="009919FB" w:rsidP="00F74A85">
            <w:pPr>
              <w:spacing w:after="0" w:line="276" w:lineRule="auto"/>
              <w:rPr>
                <w:rFonts w:cs="Arial"/>
                <w:b/>
                <w:color w:val="000000"/>
                <w:sz w:val="22"/>
              </w:rPr>
            </w:pPr>
            <w:r w:rsidRPr="00F74A85">
              <w:rPr>
                <w:rFonts w:cs="Arial"/>
                <w:b/>
                <w:color w:val="000000"/>
                <w:sz w:val="22"/>
              </w:rPr>
              <w:t>Total</w:t>
            </w:r>
          </w:p>
        </w:tc>
        <w:tc>
          <w:tcPr>
            <w:tcW w:w="885" w:type="dxa"/>
            <w:hideMark/>
          </w:tcPr>
          <w:p w14:paraId="6D615424" w14:textId="77777777" w:rsidR="009919FB" w:rsidRPr="00F74A85" w:rsidRDefault="009919FB" w:rsidP="00F74A85">
            <w:pPr>
              <w:spacing w:after="0" w:line="276" w:lineRule="auto"/>
              <w:rPr>
                <w:rFonts w:cs="Arial"/>
                <w:b/>
                <w:color w:val="000000"/>
                <w:sz w:val="22"/>
              </w:rPr>
            </w:pPr>
            <w:r w:rsidRPr="00F74A85">
              <w:rPr>
                <w:rFonts w:cs="Arial"/>
                <w:b/>
                <w:color w:val="000000"/>
                <w:sz w:val="22"/>
              </w:rPr>
              <w:t>8.0</w:t>
            </w:r>
          </w:p>
        </w:tc>
        <w:tc>
          <w:tcPr>
            <w:tcW w:w="1520" w:type="dxa"/>
            <w:hideMark/>
          </w:tcPr>
          <w:p w14:paraId="49E5CA56" w14:textId="77777777" w:rsidR="009919FB" w:rsidRPr="00F74A85" w:rsidRDefault="009919FB" w:rsidP="00F74A85">
            <w:pPr>
              <w:spacing w:after="0" w:line="276" w:lineRule="auto"/>
              <w:rPr>
                <w:rFonts w:cs="Arial"/>
                <w:color w:val="000000"/>
                <w:sz w:val="22"/>
              </w:rPr>
            </w:pPr>
          </w:p>
        </w:tc>
        <w:tc>
          <w:tcPr>
            <w:tcW w:w="3889" w:type="dxa"/>
            <w:hideMark/>
          </w:tcPr>
          <w:p w14:paraId="0F901665" w14:textId="77777777" w:rsidR="009919FB" w:rsidRPr="00F74A85" w:rsidRDefault="009919FB" w:rsidP="00F74A85">
            <w:pPr>
              <w:spacing w:after="0" w:line="276" w:lineRule="auto"/>
              <w:rPr>
                <w:rFonts w:cs="Arial"/>
                <w:sz w:val="22"/>
              </w:rPr>
            </w:pPr>
          </w:p>
        </w:tc>
      </w:tr>
    </w:tbl>
    <w:p w14:paraId="675C0504" w14:textId="59D7BD34" w:rsidR="00EB0F2E" w:rsidRDefault="00EB0F2E" w:rsidP="00F74A85">
      <w:pPr>
        <w:spacing w:after="0" w:line="276" w:lineRule="auto"/>
        <w:textAlignment w:val="baseline"/>
        <w:rPr>
          <w:rFonts w:eastAsia="Times New Roman" w:cs="Arial"/>
          <w:color w:val="000000"/>
          <w:sz w:val="22"/>
          <w:szCs w:val="22"/>
        </w:rPr>
      </w:pPr>
    </w:p>
    <w:p w14:paraId="7B71B8D2" w14:textId="0B6BC2F0" w:rsidR="002845C9" w:rsidRDefault="002845C9" w:rsidP="002845C9">
      <w:pPr>
        <w:spacing w:after="0" w:line="276" w:lineRule="auto"/>
        <w:textAlignment w:val="baseline"/>
        <w:rPr>
          <w:rFonts w:eastAsia="Times New Roman" w:cs="Arial"/>
          <w:color w:val="000000"/>
          <w:sz w:val="22"/>
          <w:szCs w:val="22"/>
        </w:rPr>
      </w:pPr>
      <w:r>
        <w:rPr>
          <w:rFonts w:eastAsia="Times New Roman" w:cs="Arial"/>
          <w:color w:val="000000"/>
          <w:sz w:val="22"/>
          <w:szCs w:val="22"/>
        </w:rPr>
        <w:t xml:space="preserve">Activity </w:t>
      </w:r>
      <w:r w:rsidRPr="00F74A85">
        <w:rPr>
          <w:rFonts w:eastAsia="Times New Roman" w:cs="Arial"/>
          <w:color w:val="000000"/>
          <w:sz w:val="22"/>
          <w:szCs w:val="22"/>
        </w:rPr>
        <w:t xml:space="preserve">induced energy expenditure is the most variable component of daily expenditure and can be increased through exercise. Variation in energy expenditure between subjects is a function of body size and physical activity, where AEE is an important contributor. Most of the variation in AEE is accounted for by genetic factors. Genes determine for a large part whether a person is prone to engage in activities and how much energy is expended for these activities </w:t>
      </w:r>
      <w:r w:rsidRPr="00F74A85">
        <w:rPr>
          <w:rFonts w:eastAsia="Times New Roman" w:cs="Arial"/>
          <w:color w:val="000000"/>
          <w:sz w:val="22"/>
          <w:szCs w:val="22"/>
        </w:rPr>
        <w:fldChar w:fldCharType="begin"/>
      </w:r>
      <w:r w:rsidRPr="00F74A85">
        <w:rPr>
          <w:rFonts w:eastAsia="Times New Roman" w:cs="Arial"/>
          <w:color w:val="000000"/>
          <w:sz w:val="22"/>
          <w:szCs w:val="22"/>
        </w:rPr>
        <w:instrText xml:space="preserve"> ADDIN EN.CITE &lt;EndNote&gt;&lt;Cite&gt;&lt;Author&gt;Joosen&lt;/Author&gt;&lt;Year&gt;2005&lt;/Year&gt;&lt;RecNum&gt;7093&lt;/RecNum&gt;&lt;DisplayText&gt;(20)&lt;/DisplayText&gt;&lt;record&gt;&lt;rec-number&gt;7093&lt;/rec-number&gt;&lt;foreign-keys&gt;&lt;key app="EN" db-id="pvt9995p1wxx22eefv2xzrame55pwzadt2ws" timestamp="1647800313"&gt;7093&lt;/key&gt;&lt;/foreign-keys&gt;&lt;ref-type name="Journal Article"&gt;17&lt;/ref-type&gt;&lt;contributors&gt;&lt;authors&gt;&lt;author&gt;Joosen, A. M.&lt;/author&gt;&lt;author&gt;Gielen, M.&lt;/author&gt;&lt;author&gt;Vlietinck, R.&lt;/author&gt;&lt;author&gt;Westerterp, K. R.&lt;/author&gt;&lt;/authors&gt;&lt;/contributors&gt;&lt;auth-address&gt;Department of Human Biology, Maastricht University, Maastricht, Netherlands. a.joosen@hb.unimaas.nl&lt;/auth-address&gt;&lt;titles&gt;&lt;title&gt;Genetic analysis of physical activity in twins&lt;/title&gt;&lt;secondary-title&gt;Am J Clin Nutr&lt;/secondary-title&gt;&lt;/titles&gt;&lt;periodical&gt;&lt;full-title&gt;Am J Clin Nutr&lt;/full-title&gt;&lt;/periodical&gt;&lt;pages&gt;1253-9&lt;/pages&gt;&lt;volume&gt;82&lt;/volume&gt;&lt;number&gt;6&lt;/number&gt;&lt;edition&gt;2005/12/08&lt;/edition&gt;&lt;keywords&gt;&lt;keyword&gt;Acceleration&lt;/keyword&gt;&lt;keyword&gt;Adolescent&lt;/keyword&gt;&lt;keyword&gt;Adult&lt;/keyword&gt;&lt;keyword&gt;Analysis of Variance&lt;/keyword&gt;&lt;keyword&gt;Anthropometry&lt;/keyword&gt;&lt;keyword&gt;Basal Metabolism/genetics/physiology&lt;/keyword&gt;&lt;keyword&gt;Body Composition/physiology&lt;/keyword&gt;&lt;keyword&gt;Body Water/metabolism&lt;/keyword&gt;&lt;keyword&gt;Deuterium&lt;/keyword&gt;&lt;keyword&gt;Energy Metabolism/*genetics/physiology&lt;/keyword&gt;&lt;keyword&gt;*Environment&lt;/keyword&gt;&lt;keyword&gt;Exercise/*physiology&lt;/keyword&gt;&lt;keyword&gt;Female&lt;/keyword&gt;&lt;keyword&gt;Genetic Predisposition to Disease&lt;/keyword&gt;&lt;keyword&gt;Genotype&lt;/keyword&gt;&lt;keyword&gt;Humans&lt;/keyword&gt;&lt;keyword&gt;Male&lt;/keyword&gt;&lt;keyword&gt;Obesity/etiology/*genetics&lt;/keyword&gt;&lt;keyword&gt;Oxygen Consumption&lt;/keyword&gt;&lt;keyword&gt;Twins, Dizygotic&lt;/keyword&gt;&lt;keyword&gt;Twins, Monozygotic&lt;/keyword&gt;&lt;/keywords&gt;&lt;dates&gt;&lt;year&gt;2005&lt;/year&gt;&lt;pub-dates&gt;&lt;date&gt;Dec&lt;/date&gt;&lt;/pub-dates&gt;&lt;/dates&gt;&lt;isbn&gt;0002-9165 (Print)&amp;#xD;0002-9165 (Linking)&lt;/isbn&gt;&lt;accession-num&gt;16332658&lt;/accession-num&gt;&lt;urls&gt;&lt;related-urls&gt;&lt;url&gt;https://www.ncbi.nlm.nih.gov/pubmed/16332658&lt;/url&gt;&lt;/related-urls&gt;&lt;/urls&gt;&lt;electronic-resource-num&gt;10.1093/ajcn/82.6.1253&lt;/electronic-resource-num&gt;&lt;/record&gt;&lt;/Cite&gt;&lt;/EndNote&gt;</w:instrText>
      </w:r>
      <w:r w:rsidRPr="00F74A85">
        <w:rPr>
          <w:rFonts w:eastAsia="Times New Roman" w:cs="Arial"/>
          <w:color w:val="000000"/>
          <w:sz w:val="22"/>
          <w:szCs w:val="22"/>
        </w:rPr>
        <w:fldChar w:fldCharType="separate"/>
      </w:r>
      <w:r w:rsidRPr="00F74A85">
        <w:rPr>
          <w:rFonts w:eastAsia="Times New Roman" w:cs="Arial"/>
          <w:noProof/>
          <w:color w:val="000000"/>
          <w:sz w:val="22"/>
          <w:szCs w:val="22"/>
        </w:rPr>
        <w:t>(20)</w:t>
      </w:r>
      <w:r w:rsidRPr="00F74A85">
        <w:rPr>
          <w:rFonts w:eastAsia="Times New Roman" w:cs="Arial"/>
          <w:color w:val="000000"/>
          <w:sz w:val="22"/>
          <w:szCs w:val="22"/>
        </w:rPr>
        <w:fldChar w:fldCharType="end"/>
      </w:r>
      <w:r w:rsidRPr="00F74A85">
        <w:rPr>
          <w:rFonts w:eastAsia="Times New Roman" w:cs="Arial"/>
          <w:color w:val="000000"/>
          <w:sz w:val="22"/>
          <w:szCs w:val="22"/>
        </w:rPr>
        <w:t>. Exercise training can increase AEE. However, under some conditions the added exercise expenditure is compensated for by a reduction of non-training activity. Examples are non-ad libitum food intake and older age (</w:t>
      </w:r>
      <w:r w:rsidRPr="00985D13">
        <w:rPr>
          <w:rFonts w:eastAsia="Times New Roman" w:cs="Arial"/>
          <w:bCs/>
          <w:color w:val="000000"/>
          <w:sz w:val="22"/>
          <w:szCs w:val="22"/>
        </w:rPr>
        <w:t>Figure 7</w:t>
      </w:r>
      <w:r w:rsidRPr="00F74A85">
        <w:rPr>
          <w:rFonts w:eastAsia="Times New Roman" w:cs="Arial"/>
          <w:color w:val="000000"/>
          <w:sz w:val="22"/>
          <w:szCs w:val="22"/>
        </w:rPr>
        <w:t>).</w:t>
      </w:r>
    </w:p>
    <w:p w14:paraId="448268B4" w14:textId="59F7A20C" w:rsidR="002845C9" w:rsidRDefault="002845C9" w:rsidP="00F74A85">
      <w:pPr>
        <w:spacing w:after="0" w:line="276" w:lineRule="auto"/>
        <w:textAlignment w:val="baseline"/>
        <w:rPr>
          <w:rFonts w:eastAsia="Times New Roman" w:cs="Arial"/>
          <w:color w:val="000000"/>
          <w:sz w:val="22"/>
          <w:szCs w:val="22"/>
        </w:rPr>
      </w:pPr>
    </w:p>
    <w:p w14:paraId="5FDEE866" w14:textId="77777777" w:rsidR="002845C9" w:rsidRDefault="008F1192" w:rsidP="00F74A85">
      <w:pPr>
        <w:spacing w:after="0" w:line="276" w:lineRule="auto"/>
        <w:textAlignment w:val="baseline"/>
        <w:rPr>
          <w:rFonts w:eastAsia="Times New Roman" w:cs="Arial"/>
          <w:color w:val="000000"/>
          <w:sz w:val="22"/>
          <w:szCs w:val="22"/>
        </w:rPr>
      </w:pPr>
      <w:r w:rsidRPr="00F74A85">
        <w:rPr>
          <w:rFonts w:cs="Arial"/>
          <w:noProof/>
          <w:sz w:val="22"/>
          <w:szCs w:val="22"/>
        </w:rPr>
        <w:drawing>
          <wp:inline distT="0" distB="0" distL="0" distR="0" wp14:anchorId="64692FF6" wp14:editId="1ADCDC90">
            <wp:extent cx="5449570" cy="3183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9570" cy="3183255"/>
                    </a:xfrm>
                    <a:prstGeom prst="rect">
                      <a:avLst/>
                    </a:prstGeom>
                  </pic:spPr>
                </pic:pic>
              </a:graphicData>
            </a:graphic>
          </wp:inline>
        </w:drawing>
      </w:r>
    </w:p>
    <w:p w14:paraId="5CE4CD07" w14:textId="5E18803B" w:rsidR="009919FB" w:rsidRPr="00F74A85" w:rsidRDefault="009919FB" w:rsidP="00F74A85">
      <w:pPr>
        <w:spacing w:after="0" w:line="276" w:lineRule="auto"/>
        <w:textAlignment w:val="baseline"/>
        <w:rPr>
          <w:rFonts w:eastAsia="Times New Roman" w:cs="Arial"/>
          <w:b/>
          <w:iCs/>
          <w:color w:val="000000"/>
          <w:sz w:val="22"/>
          <w:szCs w:val="22"/>
        </w:rPr>
      </w:pPr>
      <w:r w:rsidRPr="00F74A85">
        <w:rPr>
          <w:rFonts w:eastAsia="Times New Roman" w:cs="Arial"/>
          <w:b/>
          <w:iCs/>
          <w:color w:val="000000"/>
          <w:sz w:val="22"/>
          <w:szCs w:val="22"/>
        </w:rPr>
        <w:t>Figure 7</w:t>
      </w:r>
      <w:r w:rsidR="00985D13">
        <w:rPr>
          <w:rFonts w:eastAsia="Times New Roman" w:cs="Arial"/>
          <w:b/>
          <w:iCs/>
          <w:color w:val="000000"/>
          <w:sz w:val="22"/>
          <w:szCs w:val="22"/>
        </w:rPr>
        <w:t>.</w:t>
      </w:r>
      <w:r w:rsidRPr="00F74A85">
        <w:rPr>
          <w:rFonts w:eastAsia="Times New Roman" w:cs="Arial"/>
          <w:b/>
          <w:iCs/>
          <w:color w:val="000000"/>
          <w:sz w:val="22"/>
          <w:szCs w:val="22"/>
        </w:rPr>
        <w:t xml:space="preserve"> The physical activity level, total energy expenditure as a multiple of resting energy expenditure, before (open bar) and at the end of a training program (closed bar), for eight studies displayed in a sequence of age of the participants as displayed on the horizontal axis (After reference </w:t>
      </w:r>
      <w:r w:rsidR="008F3E78" w:rsidRPr="00F74A85">
        <w:rPr>
          <w:rFonts w:eastAsia="Times New Roman" w:cs="Arial"/>
          <w:b/>
          <w:iCs/>
          <w:color w:val="000000"/>
          <w:sz w:val="22"/>
          <w:szCs w:val="22"/>
        </w:rPr>
        <w:fldChar w:fldCharType="begin"/>
      </w:r>
      <w:r w:rsidR="008F3E78" w:rsidRPr="00F74A85">
        <w:rPr>
          <w:rFonts w:eastAsia="Times New Roman" w:cs="Arial"/>
          <w:b/>
          <w:iCs/>
          <w:color w:val="000000"/>
          <w:sz w:val="22"/>
          <w:szCs w:val="22"/>
        </w:rPr>
        <w:instrText xml:space="preserve"> ADDIN EN.CITE &lt;EndNote&gt;&lt;Cite&gt;&lt;Author&gt;Westerterp&lt;/Author&gt;&lt;Year&gt;2004&lt;/Year&gt;&lt;RecNum&gt;7094&lt;/RecNum&gt;&lt;DisplayText&gt;(21)&lt;/DisplayText&gt;&lt;record&gt;&lt;rec-number&gt;7094&lt;/rec-number&gt;&lt;foreign-keys&gt;&lt;key app="EN" db-id="pvt9995p1wxx22eefv2xzrame55pwzadt2ws" timestamp="1647800395"&gt;7094&lt;/key&gt;&lt;/foreign-keys&gt;&lt;ref-type name="Journal Article"&gt;17&lt;/ref-type&gt;&lt;contributors&gt;&lt;authors&gt;&lt;author&gt;Westerterp, K. R.&lt;/author&gt;&lt;author&gt;Plasqui, G.&lt;/author&gt;&lt;/authors&gt;&lt;/contributors&gt;&lt;auth-address&gt;Department of Human Biology, Maastricht University, Maastricht, The Netherlands. K.Westerterp@HB.Unimaas.NL&lt;/auth-address&gt;&lt;titles&gt;&lt;title&gt;Physical activity and human energy expenditure&lt;/title&gt;&lt;secondary-title&gt;Curr Opin Clin Nutr Metab Care&lt;/secondary-title&gt;&lt;/titles&gt;&lt;periodical&gt;&lt;full-title&gt;Curr Opin Clin Nutr Metab Care&lt;/full-title&gt;&lt;/periodical&gt;&lt;pages&gt;607-13&lt;/pages&gt;&lt;volume&gt;7&lt;/volume&gt;&lt;number&gt;6&lt;/number&gt;&lt;edition&gt;2004/11/10&lt;/edition&gt;&lt;keywords&gt;&lt;keyword&gt;Adult&lt;/keyword&gt;&lt;keyword&gt;Age Factors&lt;/keyword&gt;&lt;keyword&gt;Body Water/metabolism&lt;/keyword&gt;&lt;keyword&gt;Child&lt;/keyword&gt;&lt;keyword&gt;Energy Metabolism/*physiology&lt;/keyword&gt;&lt;keyword&gt;Exercise/*physiology&lt;/keyword&gt;&lt;keyword&gt;Female&lt;/keyword&gt;&lt;keyword&gt;Humans&lt;/keyword&gt;&lt;keyword&gt;Male&lt;/keyword&gt;&lt;keyword&gt;Monitoring, Ambulatory/*methods&lt;/keyword&gt;&lt;keyword&gt;Motor Activity/physiology&lt;/keyword&gt;&lt;keyword&gt;Physical Exertion/*physiology&lt;/keyword&gt;&lt;keyword&gt;Time Factors&lt;/keyword&gt;&lt;/keywords&gt;&lt;dates&gt;&lt;year&gt;2004&lt;/year&gt;&lt;pub-dates&gt;&lt;date&gt;Nov&lt;/date&gt;&lt;/pub-dates&gt;&lt;/dates&gt;&lt;isbn&gt;1363-1950 (Print)&amp;#xD;1363-1950 (Linking)&lt;/isbn&gt;&lt;accession-num&gt;15534427&lt;/accession-num&gt;&lt;urls&gt;&lt;related-urls&gt;&lt;url&gt;https://www.ncbi.nlm.nih.gov/pubmed/15534427&lt;/url&gt;&lt;/related-urls&gt;&lt;/urls&gt;&lt;electronic-resource-num&gt;10.1097/00075197-200411000-00004&lt;/electronic-resource-num&gt;&lt;/record&gt;&lt;/Cite&gt;&lt;/EndNote&gt;</w:instrText>
      </w:r>
      <w:r w:rsidR="008F3E78" w:rsidRPr="00F74A85">
        <w:rPr>
          <w:rFonts w:eastAsia="Times New Roman" w:cs="Arial"/>
          <w:b/>
          <w:iCs/>
          <w:color w:val="000000"/>
          <w:sz w:val="22"/>
          <w:szCs w:val="22"/>
        </w:rPr>
        <w:fldChar w:fldCharType="separate"/>
      </w:r>
      <w:r w:rsidR="008F3E78" w:rsidRPr="00F74A85">
        <w:rPr>
          <w:rFonts w:eastAsia="Times New Roman" w:cs="Arial"/>
          <w:b/>
          <w:iCs/>
          <w:noProof/>
          <w:color w:val="000000"/>
          <w:sz w:val="22"/>
          <w:szCs w:val="22"/>
        </w:rPr>
        <w:t>(21)</w:t>
      </w:r>
      <w:r w:rsidR="008F3E78" w:rsidRPr="00F74A85">
        <w:rPr>
          <w:rFonts w:eastAsia="Times New Roman" w:cs="Arial"/>
          <w:b/>
          <w:iCs/>
          <w:color w:val="000000"/>
          <w:sz w:val="22"/>
          <w:szCs w:val="22"/>
        </w:rPr>
        <w:fldChar w:fldCharType="end"/>
      </w:r>
      <w:r w:rsidRPr="00F74A85">
        <w:rPr>
          <w:rFonts w:eastAsia="Times New Roman" w:cs="Arial"/>
          <w:b/>
          <w:iCs/>
          <w:color w:val="000000"/>
          <w:sz w:val="22"/>
          <w:szCs w:val="22"/>
        </w:rPr>
        <w:t>).</w:t>
      </w:r>
    </w:p>
    <w:p w14:paraId="416DB25D" w14:textId="77777777" w:rsidR="00EB0F2E" w:rsidRPr="00F74A85" w:rsidRDefault="00EB0F2E" w:rsidP="00F74A85">
      <w:pPr>
        <w:spacing w:after="0" w:line="276" w:lineRule="auto"/>
        <w:textAlignment w:val="baseline"/>
        <w:rPr>
          <w:rFonts w:eastAsia="Times New Roman" w:cs="Arial"/>
          <w:i/>
          <w:iCs/>
          <w:color w:val="000000"/>
          <w:sz w:val="22"/>
          <w:szCs w:val="22"/>
        </w:rPr>
      </w:pPr>
    </w:p>
    <w:p w14:paraId="1EA5CB3B" w14:textId="3F7441DD" w:rsidR="00B2274E" w:rsidRDefault="00B2274E" w:rsidP="00F74A85">
      <w:pPr>
        <w:spacing w:after="0" w:line="276" w:lineRule="auto"/>
        <w:rPr>
          <w:rFonts w:cs="Arial"/>
          <w:sz w:val="22"/>
          <w:szCs w:val="22"/>
        </w:rPr>
      </w:pPr>
      <w:r w:rsidRPr="00F74A85">
        <w:rPr>
          <w:rFonts w:cs="Arial"/>
          <w:sz w:val="22"/>
          <w:szCs w:val="22"/>
        </w:rPr>
        <w:t xml:space="preserve">Activity-induced energy expenditure does not increase linearly with increasing physical activity. </w:t>
      </w:r>
      <w:r w:rsidR="00A04C87" w:rsidRPr="00F74A85">
        <w:rPr>
          <w:rFonts w:cs="Arial"/>
          <w:sz w:val="22"/>
          <w:szCs w:val="22"/>
        </w:rPr>
        <w:t>For example, n</w:t>
      </w:r>
      <w:r w:rsidRPr="00F74A85">
        <w:rPr>
          <w:rFonts w:cs="Arial"/>
          <w:sz w:val="22"/>
          <w:szCs w:val="22"/>
        </w:rPr>
        <w:t xml:space="preserve">ovice runners training to run a half marathon could increase the training </w:t>
      </w:r>
      <w:r w:rsidR="005C2615" w:rsidRPr="00F74A85">
        <w:rPr>
          <w:rFonts w:cs="Arial"/>
          <w:sz w:val="22"/>
          <w:szCs w:val="22"/>
        </w:rPr>
        <w:t>amount</w:t>
      </w:r>
      <w:r w:rsidRPr="00F74A85">
        <w:rPr>
          <w:rFonts w:cs="Arial"/>
          <w:sz w:val="22"/>
          <w:szCs w:val="22"/>
        </w:rPr>
        <w:t xml:space="preserve"> without a change in AEE </w:t>
      </w:r>
      <w:r w:rsidR="00A2077D" w:rsidRPr="00F74A85">
        <w:rPr>
          <w:rFonts w:cs="Arial"/>
          <w:sz w:val="22"/>
          <w:szCs w:val="22"/>
        </w:rPr>
        <w:fldChar w:fldCharType="begin"/>
      </w:r>
      <w:r w:rsidR="00A2077D" w:rsidRPr="00F74A85">
        <w:rPr>
          <w:rFonts w:cs="Arial"/>
          <w:sz w:val="22"/>
          <w:szCs w:val="22"/>
        </w:rPr>
        <w:instrText xml:space="preserve"> ADDIN EN.CITE &lt;EndNote&gt;&lt;Cite&gt;&lt;Author&gt;Westerterp&lt;/Author&gt;&lt;Year&gt;1992&lt;/Year&gt;&lt;RecNum&gt;7095&lt;/RecNum&gt;&lt;DisplayText&gt;(22)&lt;/DisplayText&gt;&lt;record&gt;&lt;rec-number&gt;7095&lt;/rec-number&gt;&lt;foreign-keys&gt;&lt;key app="EN" db-id="pvt9995p1wxx22eefv2xzrame55pwzadt2ws" timestamp="1647800470"&gt;7095&lt;/key&gt;&lt;/foreign-keys&gt;&lt;ref-type name="Journal Article"&gt;17&lt;/ref-type&gt;&lt;contributors&gt;&lt;authors&gt;&lt;author&gt;Westerterp, K. R.&lt;/author&gt;&lt;author&gt;Meijer, G. A.&lt;/author&gt;&lt;author&gt;Janssen, E. M.&lt;/author&gt;&lt;author&gt;Saris, W. H.&lt;/author&gt;&lt;author&gt;Ten Hoor, F.&lt;/author&gt;&lt;/authors&gt;&lt;/contributors&gt;&lt;auth-address&gt;Department of Human Biology, University of Limburg, Maastricht, The Netherlands.&lt;/auth-address&gt;&lt;titles&gt;&lt;title&gt;Long-term effect of physical activity on energy balance and body composition&lt;/title&gt;&lt;secondary-title&gt;Br J Nutr&lt;/secondary-title&gt;&lt;/titles&gt;&lt;periodical&gt;&lt;full-title&gt;Br J Nutr&lt;/full-title&gt;&lt;/periodical&gt;&lt;pages&gt;21-30&lt;/pages&gt;&lt;volume&gt;68&lt;/volume&gt;&lt;number&gt;1&lt;/number&gt;&lt;edition&gt;1992/07/01&lt;/edition&gt;&lt;keywords&gt;&lt;keyword&gt;Adult&lt;/keyword&gt;&lt;keyword&gt;Body Composition/*physiology&lt;/keyword&gt;&lt;keyword&gt;Body Mass Index&lt;/keyword&gt;&lt;keyword&gt;Energy Intake/physiology&lt;/keyword&gt;&lt;keyword&gt;Energy Metabolism/*physiology&lt;/keyword&gt;&lt;keyword&gt;Female&lt;/keyword&gt;&lt;keyword&gt;Humans&lt;/keyword&gt;&lt;keyword&gt;Male&lt;/keyword&gt;&lt;keyword&gt;Physical Education and Training/methods&lt;/keyword&gt;&lt;keyword&gt;Physical Exertion/*physiology&lt;/keyword&gt;&lt;keyword&gt;Running&lt;/keyword&gt;&lt;keyword&gt;Time Factors&lt;/keyword&gt;&lt;/keywords&gt;&lt;dates&gt;&lt;year&gt;1992&lt;/year&gt;&lt;pub-dates&gt;&lt;date&gt;Jul&lt;/date&gt;&lt;/pub-dates&gt;&lt;/dates&gt;&lt;isbn&gt;0007-1145 (Print)&amp;#xD;0007-1145 (Linking)&lt;/isbn&gt;&lt;accession-num&gt;1390606&lt;/accession-num&gt;&lt;urls&gt;&lt;related-urls&gt;&lt;url&gt;https://www.ncbi.nlm.nih.gov/pubmed/1390606&lt;/url&gt;&lt;/related-urls&gt;&lt;/urls&gt;&lt;electronic-resource-num&gt;10.1079/bjn19920063&lt;/electronic-resource-num&gt;&lt;/record&gt;&lt;/Cite&gt;&lt;/EndNote&gt;</w:instrText>
      </w:r>
      <w:r w:rsidR="00A2077D" w:rsidRPr="00F74A85">
        <w:rPr>
          <w:rFonts w:cs="Arial"/>
          <w:sz w:val="22"/>
          <w:szCs w:val="22"/>
        </w:rPr>
        <w:fldChar w:fldCharType="separate"/>
      </w:r>
      <w:r w:rsidR="00A2077D" w:rsidRPr="00F74A85">
        <w:rPr>
          <w:rFonts w:cs="Arial"/>
          <w:noProof/>
          <w:sz w:val="22"/>
          <w:szCs w:val="22"/>
        </w:rPr>
        <w:t>(22)</w:t>
      </w:r>
      <w:r w:rsidR="00A2077D" w:rsidRPr="00F74A85">
        <w:rPr>
          <w:rFonts w:cs="Arial"/>
          <w:sz w:val="22"/>
          <w:szCs w:val="22"/>
        </w:rPr>
        <w:fldChar w:fldCharType="end"/>
      </w:r>
      <w:r w:rsidRPr="00F74A85">
        <w:rPr>
          <w:rFonts w:cs="Arial"/>
          <w:sz w:val="22"/>
          <w:szCs w:val="22"/>
        </w:rPr>
        <w:t>. In the selected group of sedentary subjects, the initial training</w:t>
      </w:r>
      <w:r w:rsidR="00A04C87" w:rsidRPr="00F74A85">
        <w:rPr>
          <w:rFonts w:cs="Arial"/>
          <w:sz w:val="22"/>
          <w:szCs w:val="22"/>
        </w:rPr>
        <w:t>-</w:t>
      </w:r>
      <w:r w:rsidRPr="00F74A85">
        <w:rPr>
          <w:rFonts w:cs="Arial"/>
          <w:sz w:val="22"/>
          <w:szCs w:val="22"/>
        </w:rPr>
        <w:t xml:space="preserve">induced increase in AEE was twice as high as predicted from the training load. </w:t>
      </w:r>
      <w:r w:rsidR="005C2615" w:rsidRPr="00F74A85">
        <w:rPr>
          <w:rFonts w:cs="Arial"/>
          <w:sz w:val="22"/>
          <w:szCs w:val="22"/>
        </w:rPr>
        <w:t>However, s</w:t>
      </w:r>
      <w:r w:rsidRPr="00F74A85">
        <w:rPr>
          <w:rFonts w:cs="Arial"/>
          <w:sz w:val="22"/>
          <w:szCs w:val="22"/>
        </w:rPr>
        <w:t xml:space="preserve">ubsequent training allowed a doubling of the training load for the same AEE, probably through </w:t>
      </w:r>
      <w:r w:rsidRPr="00F74A85">
        <w:rPr>
          <w:rFonts w:cs="Arial"/>
          <w:sz w:val="22"/>
          <w:szCs w:val="22"/>
        </w:rPr>
        <w:lastRenderedPageBreak/>
        <w:t xml:space="preserve">an improvement of exercise economy. Similarly, exercise training </w:t>
      </w:r>
      <w:r w:rsidR="005C2615" w:rsidRPr="00F74A85">
        <w:rPr>
          <w:rFonts w:cs="Arial"/>
          <w:sz w:val="22"/>
          <w:szCs w:val="22"/>
        </w:rPr>
        <w:t>has been</w:t>
      </w:r>
      <w:r w:rsidRPr="00F74A85">
        <w:rPr>
          <w:rFonts w:cs="Arial"/>
          <w:sz w:val="22"/>
          <w:szCs w:val="22"/>
        </w:rPr>
        <w:t xml:space="preserve"> shown to decrease the energetic cost of walking in older adults </w:t>
      </w:r>
      <w:r w:rsidR="00A2077D" w:rsidRPr="00F74A85">
        <w:rPr>
          <w:rFonts w:cs="Arial"/>
          <w:sz w:val="22"/>
          <w:szCs w:val="22"/>
        </w:rPr>
        <w:fldChar w:fldCharType="begin"/>
      </w:r>
      <w:r w:rsidR="00A2077D" w:rsidRPr="00F74A85">
        <w:rPr>
          <w:rFonts w:cs="Arial"/>
          <w:sz w:val="22"/>
          <w:szCs w:val="22"/>
        </w:rPr>
        <w:instrText xml:space="preserve"> ADDIN EN.CITE &lt;EndNote&gt;&lt;Cite&gt;&lt;Author&gt;Valenti&lt;/Author&gt;&lt;Year&gt;2016&lt;/Year&gt;&lt;RecNum&gt;7096&lt;/RecNum&gt;&lt;DisplayText&gt;(23)&lt;/DisplayText&gt;&lt;record&gt;&lt;rec-number&gt;7096&lt;/rec-number&gt;&lt;foreign-keys&gt;&lt;key app="EN" db-id="pvt9995p1wxx22eefv2xzrame55pwzadt2ws" timestamp="1647800546"&gt;7096&lt;/key&gt;&lt;/foreign-keys&gt;&lt;ref-type name="Journal Article"&gt;17&lt;/ref-type&gt;&lt;contributors&gt;&lt;authors&gt;&lt;author&gt;Valenti, G.&lt;/author&gt;&lt;author&gt;Bonomi, A. G.&lt;/author&gt;&lt;author&gt;Westerterp, K. R.&lt;/author&gt;&lt;/authors&gt;&lt;/contributors&gt;&lt;auth-address&gt;1Department of Human Biology, Maastricht University, Maastricht, THE NETHERLANDS; and 2Personal Health Solutions, Philips Research Laboratories, Eindhoven, THE NETHERLANDS.&lt;/auth-address&gt;&lt;titles&gt;&lt;title&gt;Multicomponent Fitness Training Improves Walking Economy in Older Adults&lt;/title&gt;&lt;secondary-title&gt;Med Sci Sports Exerc&lt;/secondary-title&gt;&lt;/titles&gt;&lt;periodical&gt;&lt;full-title&gt;Med Sci Sports Exerc&lt;/full-title&gt;&lt;/periodical&gt;&lt;pages&gt;1365-70&lt;/pages&gt;&lt;volume&gt;48&lt;/volume&gt;&lt;number&gt;7&lt;/number&gt;&lt;edition&gt;2016/02/06&lt;/edition&gt;&lt;keywords&gt;&lt;keyword&gt;Aged&lt;/keyword&gt;&lt;keyword&gt;Aged, 80 and over&lt;/keyword&gt;&lt;keyword&gt;Body Composition&lt;/keyword&gt;&lt;keyword&gt;Body Weight&lt;/keyword&gt;&lt;keyword&gt;Exercise Test&lt;/keyword&gt;&lt;keyword&gt;Female&lt;/keyword&gt;&lt;keyword&gt;Humans&lt;/keyword&gt;&lt;keyword&gt;Male&lt;/keyword&gt;&lt;keyword&gt;Middle Aged&lt;/keyword&gt;&lt;keyword&gt;Oxygen Consumption&lt;/keyword&gt;&lt;keyword&gt;*Physical Conditioning, Human&lt;/keyword&gt;&lt;keyword&gt;*Physical Fitness&lt;/keyword&gt;&lt;keyword&gt;Walking/*physiology&lt;/keyword&gt;&lt;/keywords&gt;&lt;dates&gt;&lt;year&gt;2016&lt;/year&gt;&lt;pub-dates&gt;&lt;date&gt;Jul&lt;/date&gt;&lt;/pub-dates&gt;&lt;/dates&gt;&lt;isbn&gt;1530-0315 (Electronic)&amp;#xD;0195-9131 (Linking)&lt;/isbn&gt;&lt;accession-num&gt;26848888&lt;/accession-num&gt;&lt;urls&gt;&lt;related-urls&gt;&lt;url&gt;https://www.ncbi.nlm.nih.gov/pubmed/26848888&lt;/url&gt;&lt;/related-urls&gt;&lt;/urls&gt;&lt;electronic-resource-num&gt;10.1249/MSS.0000000000000893&lt;/electronic-resource-num&gt;&lt;/record&gt;&lt;/Cite&gt;&lt;/EndNote&gt;</w:instrText>
      </w:r>
      <w:r w:rsidR="00A2077D" w:rsidRPr="00F74A85">
        <w:rPr>
          <w:rFonts w:cs="Arial"/>
          <w:sz w:val="22"/>
          <w:szCs w:val="22"/>
        </w:rPr>
        <w:fldChar w:fldCharType="separate"/>
      </w:r>
      <w:r w:rsidR="00A2077D" w:rsidRPr="00F74A85">
        <w:rPr>
          <w:rFonts w:cs="Arial"/>
          <w:noProof/>
          <w:sz w:val="22"/>
          <w:szCs w:val="22"/>
        </w:rPr>
        <w:t>(23)</w:t>
      </w:r>
      <w:r w:rsidR="00A2077D" w:rsidRPr="00F74A85">
        <w:rPr>
          <w:rFonts w:cs="Arial"/>
          <w:sz w:val="22"/>
          <w:szCs w:val="22"/>
        </w:rPr>
        <w:fldChar w:fldCharType="end"/>
      </w:r>
      <w:r w:rsidRPr="00F74A85">
        <w:rPr>
          <w:rFonts w:cs="Arial"/>
          <w:sz w:val="22"/>
          <w:szCs w:val="22"/>
        </w:rPr>
        <w:t>.</w:t>
      </w:r>
    </w:p>
    <w:p w14:paraId="6A0F9113" w14:textId="77777777" w:rsidR="004D090C" w:rsidRPr="00F74A85" w:rsidRDefault="004D090C" w:rsidP="00F74A85">
      <w:pPr>
        <w:spacing w:after="0" w:line="276" w:lineRule="auto"/>
        <w:rPr>
          <w:rFonts w:cs="Arial"/>
          <w:sz w:val="22"/>
          <w:szCs w:val="22"/>
        </w:rPr>
      </w:pPr>
    </w:p>
    <w:p w14:paraId="597252D3" w14:textId="45CABF08" w:rsidR="00B2274E" w:rsidRDefault="00B2274E" w:rsidP="00F74A85">
      <w:pPr>
        <w:spacing w:after="0" w:line="276" w:lineRule="auto"/>
        <w:rPr>
          <w:rFonts w:cs="Arial"/>
          <w:sz w:val="22"/>
          <w:szCs w:val="22"/>
        </w:rPr>
      </w:pPr>
      <w:r w:rsidRPr="00F74A85">
        <w:rPr>
          <w:rFonts w:cs="Arial"/>
          <w:sz w:val="22"/>
          <w:szCs w:val="22"/>
        </w:rPr>
        <w:t>Physical activity level reaches a maximum value of 2.0-2.4 (</w:t>
      </w:r>
      <w:r w:rsidRPr="004D090C">
        <w:rPr>
          <w:rFonts w:cs="Arial"/>
          <w:bCs/>
          <w:sz w:val="22"/>
          <w:szCs w:val="22"/>
        </w:rPr>
        <w:t>Figure 7</w:t>
      </w:r>
      <w:r w:rsidRPr="00F74A85">
        <w:rPr>
          <w:rFonts w:cs="Arial"/>
          <w:sz w:val="22"/>
          <w:szCs w:val="22"/>
        </w:rPr>
        <w:t xml:space="preserve">). Higher values can be reached over shorter time intervals. </w:t>
      </w:r>
      <w:r w:rsidR="005C2615" w:rsidRPr="00F74A85">
        <w:rPr>
          <w:rFonts w:cs="Arial"/>
          <w:sz w:val="22"/>
          <w:szCs w:val="22"/>
        </w:rPr>
        <w:t>For example, r</w:t>
      </w:r>
      <w:r w:rsidRPr="00F74A85">
        <w:rPr>
          <w:rFonts w:cs="Arial"/>
          <w:sz w:val="22"/>
          <w:szCs w:val="22"/>
        </w:rPr>
        <w:t xml:space="preserve">unners in a 140-day transcontinental </w:t>
      </w:r>
      <w:r w:rsidR="005C2615" w:rsidRPr="00F74A85">
        <w:rPr>
          <w:rFonts w:cs="Arial"/>
          <w:sz w:val="22"/>
          <w:szCs w:val="22"/>
        </w:rPr>
        <w:t>r</w:t>
      </w:r>
      <w:r w:rsidRPr="00F74A85">
        <w:rPr>
          <w:rFonts w:cs="Arial"/>
          <w:sz w:val="22"/>
          <w:szCs w:val="22"/>
        </w:rPr>
        <w:t xml:space="preserve">ace </w:t>
      </w:r>
      <w:r w:rsidR="005C2615" w:rsidRPr="00F74A85">
        <w:rPr>
          <w:rFonts w:cs="Arial"/>
          <w:sz w:val="22"/>
          <w:szCs w:val="22"/>
        </w:rPr>
        <w:t>a</w:t>
      </w:r>
      <w:r w:rsidRPr="00F74A85">
        <w:rPr>
          <w:rFonts w:cs="Arial"/>
          <w:sz w:val="22"/>
          <w:szCs w:val="22"/>
        </w:rPr>
        <w:t xml:space="preserve">cross the USA showed an initial increase in PAL from a </w:t>
      </w:r>
      <w:r w:rsidR="005C2615" w:rsidRPr="00F74A85">
        <w:rPr>
          <w:rFonts w:cs="Arial"/>
          <w:sz w:val="22"/>
          <w:szCs w:val="22"/>
        </w:rPr>
        <w:t>p</w:t>
      </w:r>
      <w:r w:rsidRPr="00F74A85">
        <w:rPr>
          <w:rFonts w:cs="Arial"/>
          <w:sz w:val="22"/>
          <w:szCs w:val="22"/>
        </w:rPr>
        <w:t>re-</w:t>
      </w:r>
      <w:r w:rsidR="005C2615" w:rsidRPr="00F74A85">
        <w:rPr>
          <w:rFonts w:cs="Arial"/>
          <w:sz w:val="22"/>
          <w:szCs w:val="22"/>
        </w:rPr>
        <w:t>r</w:t>
      </w:r>
      <w:r w:rsidRPr="00F74A85">
        <w:rPr>
          <w:rFonts w:cs="Arial"/>
          <w:sz w:val="22"/>
          <w:szCs w:val="22"/>
        </w:rPr>
        <w:t xml:space="preserve">ace value of 1.76 to 3.76 over the first five days of running </w:t>
      </w:r>
      <w:r w:rsidR="00A2077D" w:rsidRPr="00F74A85">
        <w:rPr>
          <w:rFonts w:cs="Arial"/>
          <w:sz w:val="22"/>
          <w:szCs w:val="22"/>
        </w:rPr>
        <w:fldChar w:fldCharType="begin"/>
      </w:r>
      <w:r w:rsidR="00A2077D" w:rsidRPr="00F74A85">
        <w:rPr>
          <w:rFonts w:cs="Arial"/>
          <w:sz w:val="22"/>
          <w:szCs w:val="22"/>
        </w:rPr>
        <w:instrText xml:space="preserve"> ADDIN EN.CITE &lt;EndNote&gt;&lt;Cite&gt;&lt;Author&gt;Thurber&lt;/Author&gt;&lt;Year&gt;2019&lt;/Year&gt;&lt;RecNum&gt;7097&lt;/RecNum&gt;&lt;DisplayText&gt;(24)&lt;/DisplayText&gt;&lt;record&gt;&lt;rec-number&gt;7097&lt;/rec-number&gt;&lt;foreign-keys&gt;&lt;key app="EN" db-id="pvt9995p1wxx22eefv2xzrame55pwzadt2ws" timestamp="1647800729"&gt;7097&lt;/key&gt;&lt;/foreign-keys&gt;&lt;ref-type name="Journal Article"&gt;17&lt;/ref-type&gt;&lt;contributors&gt;&lt;authors&gt;&lt;author&gt;Thurber, C.&lt;/author&gt;&lt;author&gt;Dugas, L. R.&lt;/author&gt;&lt;author&gt;Ocobock, C.&lt;/author&gt;&lt;author&gt;Carlson, B.&lt;/author&gt;&lt;author&gt;Speakman, J. R.&lt;/author&gt;&lt;author&gt;Pontzer, H.&lt;/author&gt;&lt;/authors&gt;&lt;/contributors&gt;&lt;auth-address&gt;Department of Anthropology, Hunter College, New York, NY 10065, USA.&amp;#xD;Public Health Sciences, Loyola University Chicago, Stritch School of Medicine, Maywood, IL 60153, USA.&amp;#xD;Department of Anthropology, University at Albany, SUNY, Albany, NY 12222, USA.&amp;#xD;Department of Anthropology, Purdue University, West Lafayette, IN 47907, USA.&amp;#xD;Institute of Genetics and Developmental Biology, Chinese Academy of Sciences, Beijing, China.&amp;#xD;Institute of Biological and Environmental Sciences, University of Aberdeen, Scotland, UK.&amp;#xD;Department of Evolutionary Anthropology, Duke University, Durham, NC 27710, USA.&amp;#xD;Duke Global Health Institute, Duke University, Durham, NC 27710, USA.&lt;/auth-address&gt;&lt;titles&gt;&lt;title&gt;Extreme events reveal an alimentary limit on sustained maximal human energy expenditure&lt;/title&gt;&lt;secondary-title&gt;Sci Adv&lt;/secondary-title&gt;&lt;/titles&gt;&lt;periodical&gt;&lt;full-title&gt;Sci Adv&lt;/full-title&gt;&lt;/periodical&gt;&lt;pages&gt;eaaw0341&lt;/pages&gt;&lt;volume&gt;5&lt;/volume&gt;&lt;number&gt;6&lt;/number&gt;&lt;edition&gt;2019/06/12&lt;/edition&gt;&lt;dates&gt;&lt;year&gt;2019&lt;/year&gt;&lt;pub-dates&gt;&lt;date&gt;Jun&lt;/date&gt;&lt;/pub-dates&gt;&lt;/dates&gt;&lt;isbn&gt;2375-2548 (Electronic)&amp;#xD;2375-2548 (Linking)&lt;/isbn&gt;&lt;accession-num&gt;31183404&lt;/accession-num&gt;&lt;urls&gt;&lt;related-urls&gt;&lt;url&gt;https://www.ncbi.nlm.nih.gov/pubmed/31183404&lt;/url&gt;&lt;/related-urls&gt;&lt;/urls&gt;&lt;custom2&gt;PMC6551185&lt;/custom2&gt;&lt;electronic-resource-num&gt;10.1126/sciadv.aaw0341&lt;/electronic-resource-num&gt;&lt;/record&gt;&lt;/Cite&gt;&lt;/EndNote&gt;</w:instrText>
      </w:r>
      <w:r w:rsidR="00A2077D" w:rsidRPr="00F74A85">
        <w:rPr>
          <w:rFonts w:cs="Arial"/>
          <w:sz w:val="22"/>
          <w:szCs w:val="22"/>
        </w:rPr>
        <w:fldChar w:fldCharType="separate"/>
      </w:r>
      <w:r w:rsidR="00A2077D" w:rsidRPr="00F74A85">
        <w:rPr>
          <w:rFonts w:cs="Arial"/>
          <w:noProof/>
          <w:sz w:val="22"/>
          <w:szCs w:val="22"/>
        </w:rPr>
        <w:t>(24)</w:t>
      </w:r>
      <w:r w:rsidR="00A2077D" w:rsidRPr="00F74A85">
        <w:rPr>
          <w:rFonts w:cs="Arial"/>
          <w:sz w:val="22"/>
          <w:szCs w:val="22"/>
        </w:rPr>
        <w:fldChar w:fldCharType="end"/>
      </w:r>
      <w:r w:rsidRPr="00F74A85">
        <w:rPr>
          <w:rFonts w:cs="Arial"/>
          <w:sz w:val="22"/>
          <w:szCs w:val="22"/>
        </w:rPr>
        <w:t xml:space="preserve">. In the </w:t>
      </w:r>
      <w:r w:rsidR="005C2615" w:rsidRPr="00F74A85">
        <w:rPr>
          <w:rFonts w:cs="Arial"/>
          <w:sz w:val="22"/>
          <w:szCs w:val="22"/>
        </w:rPr>
        <w:t>final</w:t>
      </w:r>
      <w:r w:rsidRPr="00F74A85">
        <w:rPr>
          <w:rFonts w:cs="Arial"/>
          <w:sz w:val="22"/>
          <w:szCs w:val="22"/>
        </w:rPr>
        <w:t xml:space="preserve"> week (week 20) of running, PAL had decreased to a mean value of 2.81. </w:t>
      </w:r>
      <w:r w:rsidR="005C2615" w:rsidRPr="00F74A85">
        <w:rPr>
          <w:rFonts w:cs="Arial"/>
          <w:sz w:val="22"/>
          <w:szCs w:val="22"/>
        </w:rPr>
        <w:t>This subsequent d</w:t>
      </w:r>
      <w:r w:rsidRPr="00F74A85">
        <w:rPr>
          <w:rFonts w:cs="Arial"/>
          <w:sz w:val="22"/>
          <w:szCs w:val="22"/>
        </w:rPr>
        <w:t xml:space="preserve">ecrease in PAL during sustained physical activity </w:t>
      </w:r>
      <w:r w:rsidR="005C2615" w:rsidRPr="00F74A85">
        <w:rPr>
          <w:rFonts w:cs="Arial"/>
          <w:sz w:val="22"/>
          <w:szCs w:val="22"/>
        </w:rPr>
        <w:t xml:space="preserve">was hypothesized to have resulted from </w:t>
      </w:r>
      <w:r w:rsidR="00FA4B0F" w:rsidRPr="00F74A85">
        <w:rPr>
          <w:rFonts w:cs="Arial"/>
          <w:sz w:val="22"/>
          <w:szCs w:val="22"/>
        </w:rPr>
        <w:t>a limit in</w:t>
      </w:r>
      <w:r w:rsidRPr="00F74A85">
        <w:rPr>
          <w:rFonts w:cs="Arial"/>
          <w:sz w:val="22"/>
          <w:szCs w:val="22"/>
        </w:rPr>
        <w:t xml:space="preserve"> alimentary energy supply.</w:t>
      </w:r>
    </w:p>
    <w:p w14:paraId="0E0F6077" w14:textId="77777777" w:rsidR="004D090C" w:rsidRPr="00F74A85" w:rsidRDefault="004D090C" w:rsidP="00F74A85">
      <w:pPr>
        <w:spacing w:after="0" w:line="276" w:lineRule="auto"/>
        <w:rPr>
          <w:rFonts w:cs="Arial"/>
          <w:sz w:val="22"/>
          <w:szCs w:val="22"/>
        </w:rPr>
      </w:pPr>
    </w:p>
    <w:p w14:paraId="509A611B" w14:textId="4933388C"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During negative energy balance, additional exercise is compensated by a reduction of non-training activity. In elderly subjects, exercise training has a similar compensatory effect on spontaneous physical activity, even under ad-libitum food conditions. Despite the absence of an effect of exercise training on total energy expenditure in elderly people, there are many beneficial effects of exercise training like aerobic capacity, endurance, flexibility</w:t>
      </w:r>
      <w:r w:rsidR="00DB5EF6">
        <w:rPr>
          <w:rFonts w:eastAsia="Times New Roman" w:cs="Arial"/>
          <w:color w:val="000000"/>
          <w:sz w:val="22"/>
          <w:szCs w:val="22"/>
        </w:rPr>
        <w:t>,</w:t>
      </w:r>
      <w:r w:rsidRPr="00F74A85">
        <w:rPr>
          <w:rFonts w:eastAsia="Times New Roman" w:cs="Arial"/>
          <w:color w:val="000000"/>
          <w:sz w:val="22"/>
          <w:szCs w:val="22"/>
        </w:rPr>
        <w:t xml:space="preserve"> and range of motion.</w:t>
      </w:r>
    </w:p>
    <w:p w14:paraId="189F4306" w14:textId="77777777" w:rsidR="00EB0F2E" w:rsidRPr="00F74A85" w:rsidRDefault="00EB0F2E" w:rsidP="00F74A85">
      <w:pPr>
        <w:spacing w:after="0" w:line="276" w:lineRule="auto"/>
        <w:textAlignment w:val="baseline"/>
        <w:rPr>
          <w:rFonts w:eastAsia="Times New Roman" w:cs="Arial"/>
          <w:color w:val="000000"/>
          <w:sz w:val="22"/>
          <w:szCs w:val="22"/>
        </w:rPr>
      </w:pPr>
    </w:p>
    <w:p w14:paraId="4D8C214C" w14:textId="77777777" w:rsidR="009919FB" w:rsidRPr="004D090C" w:rsidRDefault="009919FB" w:rsidP="00F74A85">
      <w:pPr>
        <w:spacing w:after="0" w:line="276" w:lineRule="auto"/>
        <w:textAlignment w:val="baseline"/>
        <w:outlineLvl w:val="1"/>
        <w:rPr>
          <w:rFonts w:eastAsia="Times New Roman" w:cs="Arial"/>
          <w:b/>
          <w:bCs/>
          <w:caps/>
          <w:color w:val="0070C0"/>
          <w:sz w:val="22"/>
          <w:szCs w:val="22"/>
        </w:rPr>
      </w:pPr>
      <w:r w:rsidRPr="004D090C">
        <w:rPr>
          <w:rFonts w:eastAsia="Times New Roman" w:cs="Arial"/>
          <w:b/>
          <w:bCs/>
          <w:caps/>
          <w:color w:val="0070C0"/>
          <w:sz w:val="22"/>
          <w:szCs w:val="22"/>
          <w:bdr w:val="none" w:sz="0" w:space="0" w:color="auto" w:frame="1"/>
        </w:rPr>
        <w:t>ENERGY BALANCE</w:t>
      </w:r>
    </w:p>
    <w:p w14:paraId="59A2B676" w14:textId="77777777" w:rsidR="00EB0F2E" w:rsidRPr="00F74A85" w:rsidRDefault="00EB0F2E" w:rsidP="00F74A85">
      <w:pPr>
        <w:spacing w:after="0" w:line="276" w:lineRule="auto"/>
        <w:textAlignment w:val="baseline"/>
        <w:rPr>
          <w:rFonts w:eastAsia="Times New Roman" w:cs="Arial"/>
          <w:color w:val="000000"/>
          <w:sz w:val="22"/>
          <w:szCs w:val="22"/>
        </w:rPr>
      </w:pPr>
    </w:p>
    <w:p w14:paraId="13E64E4F" w14:textId="3194A1FF"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 xml:space="preserve">Adult humans maintain weight stability through a balance between energy intake and energy expenditure. When weight is stable, the energy store of the body does not fluctuate much, as evident by constancy in body weight and body composition. This weight constancy can be achieved through the balanced control of energy intake and expenditure. This balance does not, however, take place on an immediate basis. For example, on days with high energy expenditure, energy intake is usually normal or even below normal. The 'matching' increase in energy intake comes </w:t>
      </w:r>
      <w:r w:rsidR="00F02A3F" w:rsidRPr="00F74A85">
        <w:rPr>
          <w:rFonts w:eastAsia="Times New Roman" w:cs="Arial"/>
          <w:color w:val="000000"/>
          <w:sz w:val="22"/>
          <w:szCs w:val="22"/>
        </w:rPr>
        <w:t>several</w:t>
      </w:r>
      <w:r w:rsidRPr="00F74A85">
        <w:rPr>
          <w:rFonts w:eastAsia="Times New Roman" w:cs="Arial"/>
          <w:color w:val="000000"/>
          <w:sz w:val="22"/>
          <w:szCs w:val="22"/>
        </w:rPr>
        <w:t xml:space="preserve"> days afterwards </w:t>
      </w:r>
      <w:r w:rsidR="00724E42" w:rsidRPr="00F74A85">
        <w:rPr>
          <w:rFonts w:eastAsia="Times New Roman" w:cs="Arial"/>
          <w:color w:val="000000"/>
          <w:sz w:val="22"/>
          <w:szCs w:val="22"/>
        </w:rPr>
        <w:fldChar w:fldCharType="begin"/>
      </w:r>
      <w:r w:rsidR="00724E42" w:rsidRPr="00F74A85">
        <w:rPr>
          <w:rFonts w:eastAsia="Times New Roman" w:cs="Arial"/>
          <w:color w:val="000000"/>
          <w:sz w:val="22"/>
          <w:szCs w:val="22"/>
        </w:rPr>
        <w:instrText xml:space="preserve"> ADDIN EN.CITE &lt;EndNote&gt;&lt;Cite&gt;&lt;Author&gt;Edholm&lt;/Author&gt;&lt;Year&gt;1955&lt;/Year&gt;&lt;RecNum&gt;7098&lt;/RecNum&gt;&lt;DisplayText&gt;(25)&lt;/DisplayText&gt;&lt;record&gt;&lt;rec-number&gt;7098&lt;/rec-number&gt;&lt;foreign-keys&gt;&lt;key app="EN" db-id="pvt9995p1wxx22eefv2xzrame55pwzadt2ws" timestamp="1647800868"&gt;7098&lt;/key&gt;&lt;/foreign-keys&gt;&lt;ref-type name="Journal Article"&gt;17&lt;/ref-type&gt;&lt;contributors&gt;&lt;authors&gt;&lt;author&gt;Edholm, O. G.&lt;/author&gt;&lt;author&gt;Fletcher, J. G.&lt;/author&gt;&lt;author&gt;Widdowson, E. M.&lt;/author&gt;&lt;author&gt;McCance, R. A.&lt;/author&gt;&lt;/authors&gt;&lt;/contributors&gt;&lt;titles&gt;&lt;title&gt;The energy expenditure and food intake of individual men&lt;/title&gt;&lt;secondary-title&gt;Br J Nutr&lt;/secondary-title&gt;&lt;/titles&gt;&lt;periodical&gt;&lt;full-title&gt;Br J Nutr&lt;/full-title&gt;&lt;/periodical&gt;&lt;pages&gt;286-300&lt;/pages&gt;&lt;volume&gt;9&lt;/volume&gt;&lt;number&gt;3&lt;/number&gt;&lt;edition&gt;1955/01/01&lt;/edition&gt;&lt;keywords&gt;&lt;keyword&gt;*Eating&lt;/keyword&gt;&lt;keyword&gt;*Energy Metabolism&lt;/keyword&gt;&lt;keyword&gt;*Food&lt;/keyword&gt;&lt;keyword&gt;Humans&lt;/keyword&gt;&lt;keyword&gt;Male&lt;/keyword&gt;&lt;keyword&gt;*energy&lt;/keyword&gt;&lt;/keywords&gt;&lt;dates&gt;&lt;year&gt;1955&lt;/year&gt;&lt;/dates&gt;&lt;isbn&gt;0007-1145 (Print)&amp;#xD;0007-1145 (Linking)&lt;/isbn&gt;&lt;accession-num&gt;13250128&lt;/accession-num&gt;&lt;urls&gt;&lt;related-urls&gt;&lt;url&gt;https://www.ncbi.nlm.nih.gov/pubmed/13250128&lt;/url&gt;&lt;/related-urls&gt;&lt;/urls&gt;&lt;electronic-resource-num&gt;10.1079/bjn19550040&lt;/electronic-resource-num&gt;&lt;/record&gt;&lt;/Cite&gt;&lt;/EndNote&gt;</w:instrText>
      </w:r>
      <w:r w:rsidR="00724E42" w:rsidRPr="00F74A85">
        <w:rPr>
          <w:rFonts w:eastAsia="Times New Roman" w:cs="Arial"/>
          <w:color w:val="000000"/>
          <w:sz w:val="22"/>
          <w:szCs w:val="22"/>
        </w:rPr>
        <w:fldChar w:fldCharType="separate"/>
      </w:r>
      <w:r w:rsidR="00724E42" w:rsidRPr="00F74A85">
        <w:rPr>
          <w:rFonts w:eastAsia="Times New Roman" w:cs="Arial"/>
          <w:noProof/>
          <w:color w:val="000000"/>
          <w:sz w:val="22"/>
          <w:szCs w:val="22"/>
        </w:rPr>
        <w:t>(25)</w:t>
      </w:r>
      <w:r w:rsidR="00724E42" w:rsidRPr="00F74A85">
        <w:rPr>
          <w:rFonts w:eastAsia="Times New Roman" w:cs="Arial"/>
          <w:color w:val="000000"/>
          <w:sz w:val="22"/>
          <w:szCs w:val="22"/>
        </w:rPr>
        <w:fldChar w:fldCharType="end"/>
      </w:r>
      <w:r w:rsidRPr="00F74A85">
        <w:rPr>
          <w:rFonts w:eastAsia="Times New Roman" w:cs="Arial"/>
          <w:color w:val="000000"/>
          <w:sz w:val="22"/>
          <w:szCs w:val="22"/>
        </w:rPr>
        <w:t xml:space="preserve">. Energy intake can change by at least a factor of three when adapting to changes in energy expenditure. Under sedentary living conditions the energy balance is maintained at about 1.5 times basal metabolic rate (BMR), while during sustained exercise levels of 4.5 times BMR are reached </w:t>
      </w:r>
      <w:r w:rsidR="00724E42" w:rsidRPr="00F74A85">
        <w:rPr>
          <w:rFonts w:eastAsia="Times New Roman" w:cs="Arial"/>
          <w:color w:val="000000"/>
          <w:sz w:val="22"/>
          <w:szCs w:val="22"/>
        </w:rPr>
        <w:fldChar w:fldCharType="begin"/>
      </w:r>
      <w:r w:rsidR="00724E42" w:rsidRPr="00F74A85">
        <w:rPr>
          <w:rFonts w:eastAsia="Times New Roman" w:cs="Arial"/>
          <w:color w:val="000000"/>
          <w:sz w:val="22"/>
          <w:szCs w:val="22"/>
        </w:rPr>
        <w:instrText xml:space="preserve"> ADDIN EN.CITE &lt;EndNote&gt;&lt;Cite&gt;&lt;Author&gt;Westerterp&lt;/Author&gt;&lt;Year&gt;2001&lt;/Year&gt;&lt;RecNum&gt;7099&lt;/RecNum&gt;&lt;DisplayText&gt;(26)&lt;/DisplayText&gt;&lt;record&gt;&lt;rec-number&gt;7099&lt;/rec-number&gt;&lt;foreign-keys&gt;&lt;key app="EN" db-id="pvt9995p1wxx22eefv2xzrame55pwzadt2ws" timestamp="1647800948"&gt;7099&lt;/key&gt;&lt;/foreign-keys&gt;&lt;ref-type name="Journal Article"&gt;17&lt;/ref-type&gt;&lt;contributors&gt;&lt;authors&gt;&lt;author&gt;Westerterp, K. R.&lt;/author&gt;&lt;/authors&gt;&lt;/contributors&gt;&lt;auth-address&gt;Department of Human Biology, Maastricht University, PO Box 616, 6200 MD Maastricht, The Netherlands. K.Westerterp@HB.Unimass.NL&lt;/auth-address&gt;&lt;titles&gt;&lt;title&gt;Limits to sustainable human metabolic rate&lt;/title&gt;&lt;secondary-title&gt;J Exp Biol&lt;/secondary-title&gt;&lt;/titles&gt;&lt;periodical&gt;&lt;full-title&gt;J Exp Biol&lt;/full-title&gt;&lt;/periodical&gt;&lt;pages&gt;3183-7&lt;/pages&gt;&lt;volume&gt;204&lt;/volume&gt;&lt;number&gt;Pt 18&lt;/number&gt;&lt;edition&gt;2001/10/03&lt;/edition&gt;&lt;keywords&gt;&lt;keyword&gt;Altitude&lt;/keyword&gt;&lt;keyword&gt;Basal Metabolism&lt;/keyword&gt;&lt;keyword&gt;Body Composition&lt;/keyword&gt;&lt;keyword&gt;Dietary Carbohydrates/administration &amp;amp; dosage&lt;/keyword&gt;&lt;keyword&gt;Energy Intake&lt;/keyword&gt;&lt;keyword&gt;Energy Metabolism&lt;/keyword&gt;&lt;keyword&gt;Exercise/*physiology&lt;/keyword&gt;&lt;keyword&gt;Humans&lt;/keyword&gt;&lt;keyword&gt;Kinetics&lt;/keyword&gt;&lt;keyword&gt;*Metabolism&lt;/keyword&gt;&lt;keyword&gt;Mountaineering/physiology&lt;/keyword&gt;&lt;keyword&gt;Physical Endurance/physiology&lt;/keyword&gt;&lt;keyword&gt;Sports&lt;/keyword&gt;&lt;/keywords&gt;&lt;dates&gt;&lt;year&gt;2001&lt;/year&gt;&lt;pub-dates&gt;&lt;date&gt;Sep&lt;/date&gt;&lt;/pub-dates&gt;&lt;/dates&gt;&lt;isbn&gt;0022-0949 (Print)&amp;#xD;0022-0949 (Linking)&lt;/isbn&gt;&lt;accession-num&gt;11581332&lt;/accession-num&gt;&lt;urls&gt;&lt;related-urls&gt;&lt;url&gt;https://www.ncbi.nlm.nih.gov/pubmed/11581332&lt;/url&gt;&lt;/related-urls&gt;&lt;/urls&gt;&lt;electronic-resource-num&gt;10.1242/jeb.204.18.3183&lt;/electronic-resource-num&gt;&lt;/record&gt;&lt;/Cite&gt;&lt;/EndNote&gt;</w:instrText>
      </w:r>
      <w:r w:rsidR="00724E42" w:rsidRPr="00F74A85">
        <w:rPr>
          <w:rFonts w:eastAsia="Times New Roman" w:cs="Arial"/>
          <w:color w:val="000000"/>
          <w:sz w:val="22"/>
          <w:szCs w:val="22"/>
        </w:rPr>
        <w:fldChar w:fldCharType="separate"/>
      </w:r>
      <w:r w:rsidR="00724E42" w:rsidRPr="00F74A85">
        <w:rPr>
          <w:rFonts w:eastAsia="Times New Roman" w:cs="Arial"/>
          <w:noProof/>
          <w:color w:val="000000"/>
          <w:sz w:val="22"/>
          <w:szCs w:val="22"/>
        </w:rPr>
        <w:t>(26)</w:t>
      </w:r>
      <w:r w:rsidR="00724E42" w:rsidRPr="00F74A85">
        <w:rPr>
          <w:rFonts w:eastAsia="Times New Roman" w:cs="Arial"/>
          <w:color w:val="000000"/>
          <w:sz w:val="22"/>
          <w:szCs w:val="22"/>
        </w:rPr>
        <w:fldChar w:fldCharType="end"/>
      </w:r>
      <w:r w:rsidRPr="00F74A85">
        <w:rPr>
          <w:rFonts w:eastAsia="Times New Roman" w:cs="Arial"/>
          <w:color w:val="000000"/>
          <w:sz w:val="22"/>
          <w:szCs w:val="22"/>
        </w:rPr>
        <w:t>.</w:t>
      </w:r>
    </w:p>
    <w:p w14:paraId="7F6283C7" w14:textId="77777777" w:rsidR="00F02A3F" w:rsidRPr="00F74A85" w:rsidRDefault="00F02A3F" w:rsidP="00F74A85">
      <w:pPr>
        <w:spacing w:after="0" w:line="276" w:lineRule="auto"/>
        <w:textAlignment w:val="baseline"/>
        <w:rPr>
          <w:rFonts w:eastAsia="Times New Roman" w:cs="Arial"/>
          <w:color w:val="000000"/>
          <w:sz w:val="22"/>
          <w:szCs w:val="22"/>
        </w:rPr>
      </w:pPr>
    </w:p>
    <w:p w14:paraId="1C94A930" w14:textId="77777777" w:rsidR="00C90807"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Humans are discontinuous eaters and continuous metabolizers. An animal that takes its food in meals, such as a human, periodically consumes more than their physiological needs even when in (daily) energy balance. During meal-related hyperphagia, metabolites are initially stored then mobilized during inter-meal intervals of energy deficiency. This pattern of intermittent feeding and fasting has consequences for energy expenditure (</w:t>
      </w:r>
      <w:r w:rsidRPr="004D090C">
        <w:rPr>
          <w:rFonts w:eastAsia="Times New Roman" w:cs="Arial"/>
          <w:bCs/>
          <w:color w:val="000000"/>
          <w:sz w:val="22"/>
          <w:szCs w:val="22"/>
        </w:rPr>
        <w:t>Figure 4</w:t>
      </w:r>
      <w:r w:rsidRPr="00F74A85">
        <w:rPr>
          <w:rFonts w:eastAsia="Times New Roman" w:cs="Arial"/>
          <w:color w:val="000000"/>
          <w:sz w:val="22"/>
          <w:szCs w:val="22"/>
        </w:rPr>
        <w:t xml:space="preserve">). During and after a meal, expended energy increases to process the ingested food, while energy deficiency before a new meal is started can lead to a reduction of energy expenditure. The latter probably does not occur </w:t>
      </w:r>
      <w:r w:rsidR="008739A3" w:rsidRPr="00F74A85">
        <w:rPr>
          <w:rFonts w:eastAsia="Times New Roman" w:cs="Arial"/>
          <w:color w:val="000000"/>
          <w:sz w:val="22"/>
          <w:szCs w:val="22"/>
        </w:rPr>
        <w:t xml:space="preserve">during short-term </w:t>
      </w:r>
      <w:r w:rsidRPr="00F74A85">
        <w:rPr>
          <w:rFonts w:eastAsia="Times New Roman" w:cs="Arial"/>
          <w:color w:val="000000"/>
          <w:sz w:val="22"/>
          <w:szCs w:val="22"/>
        </w:rPr>
        <w:t>energy deficiency. However, people tend to be less energetic</w:t>
      </w:r>
      <w:r w:rsidR="008739A3" w:rsidRPr="00F74A85">
        <w:rPr>
          <w:rFonts w:eastAsia="Times New Roman" w:cs="Arial"/>
          <w:color w:val="000000"/>
          <w:sz w:val="22"/>
          <w:szCs w:val="22"/>
        </w:rPr>
        <w:t xml:space="preserve"> during prolonged </w:t>
      </w:r>
      <w:r w:rsidRPr="00F74A85">
        <w:rPr>
          <w:rFonts w:eastAsia="Times New Roman" w:cs="Arial"/>
          <w:color w:val="000000"/>
          <w:sz w:val="22"/>
          <w:szCs w:val="22"/>
        </w:rPr>
        <w:t>inter-meal intervals or extended fasts.</w:t>
      </w:r>
      <w:r w:rsidR="008739A3" w:rsidRPr="00F74A85">
        <w:rPr>
          <w:rFonts w:eastAsia="Times New Roman" w:cs="Arial"/>
          <w:color w:val="000000"/>
          <w:sz w:val="22"/>
          <w:szCs w:val="22"/>
        </w:rPr>
        <w:t xml:space="preserve"> </w:t>
      </w:r>
    </w:p>
    <w:p w14:paraId="30BEE527" w14:textId="77777777" w:rsidR="00C90807" w:rsidRPr="00F74A85" w:rsidRDefault="00C90807" w:rsidP="00F74A85">
      <w:pPr>
        <w:spacing w:after="0" w:line="276" w:lineRule="auto"/>
        <w:textAlignment w:val="baseline"/>
        <w:rPr>
          <w:rFonts w:eastAsia="Times New Roman" w:cs="Arial"/>
          <w:color w:val="000000"/>
          <w:sz w:val="22"/>
          <w:szCs w:val="22"/>
        </w:rPr>
      </w:pPr>
    </w:p>
    <w:p w14:paraId="706FF531" w14:textId="7A2211FE"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 xml:space="preserve">Disturbances of energy balance result in energy mobilization from, or energy storage in, body reserves. Energy intake occurs via macronutrients consumed in meals in the form of carbohydrate, protein, fat and alcohol. During positive energy balance, excess energy is stored as carbohydrate in glycogen, primarily in the liver, and as fat in adipose depots. The storage </w:t>
      </w:r>
      <w:r w:rsidRPr="00F74A85">
        <w:rPr>
          <w:rFonts w:eastAsia="Times New Roman" w:cs="Arial"/>
          <w:color w:val="000000"/>
          <w:sz w:val="22"/>
          <w:szCs w:val="22"/>
        </w:rPr>
        <w:lastRenderedPageBreak/>
        <w:t xml:space="preserve">capacity for carbohydrate is small, typically covering energy needs during the overnight fast that accompanies sleep. Longer-term shortages are mainly covered by mobilization of the larger energy stores in fat. On days with a positive energy balance, protein and carbohydrate intake match protein and carbohydrate oxidation and the difference between energy intake and energy expenditure shows up in a positive fat balance </w:t>
      </w:r>
      <w:r w:rsidR="002D611F" w:rsidRPr="00F74A85">
        <w:rPr>
          <w:rFonts w:eastAsia="Times New Roman" w:cs="Arial"/>
          <w:color w:val="000000"/>
          <w:sz w:val="22"/>
          <w:szCs w:val="22"/>
        </w:rPr>
        <w:fldChar w:fldCharType="begin">
          <w:fldData xml:space="preserve">PEVuZE5vdGU+PENpdGU+PEF1dGhvcj5TY2hyYXV3ZW48L0F1dGhvcj48WWVhcj4xOTk4PC9ZZWFy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</w:fldData>
        </w:fldChar>
      </w:r>
      <w:r w:rsidR="002D611F" w:rsidRPr="00F74A85">
        <w:rPr>
          <w:rFonts w:eastAsia="Times New Roman" w:cs="Arial"/>
          <w:color w:val="000000"/>
          <w:sz w:val="22"/>
          <w:szCs w:val="22"/>
        </w:rPr>
        <w:instrText xml:space="preserve"> ADDIN EN.CITE </w:instrText>
      </w:r>
      <w:r w:rsidR="002D611F" w:rsidRPr="00F74A85">
        <w:rPr>
          <w:rFonts w:eastAsia="Times New Roman" w:cs="Arial"/>
          <w:color w:val="000000"/>
          <w:sz w:val="22"/>
          <w:szCs w:val="22"/>
        </w:rPr>
        <w:fldChar w:fldCharType="begin">
          <w:fldData xml:space="preserve">PEVuZE5vdGU+PENpdGU+PEF1dGhvcj5TY2hyYXV3ZW48L0F1dGhvcj48WWVhcj4xOTk4PC9ZZWFy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</w:fldData>
        </w:fldChar>
      </w:r>
      <w:r w:rsidR="002D611F" w:rsidRPr="00F74A85">
        <w:rPr>
          <w:rFonts w:eastAsia="Times New Roman" w:cs="Arial"/>
          <w:color w:val="000000"/>
          <w:sz w:val="22"/>
          <w:szCs w:val="22"/>
        </w:rPr>
        <w:instrText xml:space="preserve"> ADDIN EN.CITE.DATA </w:instrText>
      </w:r>
      <w:r w:rsidR="002D611F" w:rsidRPr="00F74A85">
        <w:rPr>
          <w:rFonts w:eastAsia="Times New Roman" w:cs="Arial"/>
          <w:color w:val="000000"/>
          <w:sz w:val="22"/>
          <w:szCs w:val="22"/>
        </w:rPr>
      </w:r>
      <w:r w:rsidR="002D611F" w:rsidRPr="00F74A85">
        <w:rPr>
          <w:rFonts w:eastAsia="Times New Roman" w:cs="Arial"/>
          <w:color w:val="000000"/>
          <w:sz w:val="22"/>
          <w:szCs w:val="22"/>
        </w:rPr>
        <w:fldChar w:fldCharType="end"/>
      </w:r>
      <w:r w:rsidR="002D611F" w:rsidRPr="00F74A85">
        <w:rPr>
          <w:rFonts w:eastAsia="Times New Roman" w:cs="Arial"/>
          <w:color w:val="000000"/>
          <w:sz w:val="22"/>
          <w:szCs w:val="22"/>
        </w:rPr>
      </w:r>
      <w:r w:rsidR="002D611F" w:rsidRPr="00F74A85">
        <w:rPr>
          <w:rFonts w:eastAsia="Times New Roman" w:cs="Arial"/>
          <w:color w:val="000000"/>
          <w:sz w:val="22"/>
          <w:szCs w:val="22"/>
        </w:rPr>
        <w:fldChar w:fldCharType="separate"/>
      </w:r>
      <w:r w:rsidR="002D611F" w:rsidRPr="00F74A85">
        <w:rPr>
          <w:rFonts w:eastAsia="Times New Roman" w:cs="Arial"/>
          <w:noProof/>
          <w:color w:val="000000"/>
          <w:sz w:val="22"/>
          <w:szCs w:val="22"/>
        </w:rPr>
        <w:t>(27)</w:t>
      </w:r>
      <w:r w:rsidR="002D611F" w:rsidRPr="00F74A85">
        <w:rPr>
          <w:rFonts w:eastAsia="Times New Roman" w:cs="Arial"/>
          <w:color w:val="000000"/>
          <w:sz w:val="22"/>
          <w:szCs w:val="22"/>
        </w:rPr>
        <w:fldChar w:fldCharType="end"/>
      </w:r>
      <w:r w:rsidRPr="00F74A85">
        <w:rPr>
          <w:rFonts w:eastAsia="Times New Roman" w:cs="Arial"/>
          <w:color w:val="000000"/>
          <w:sz w:val="22"/>
          <w:szCs w:val="22"/>
        </w:rPr>
        <w:t xml:space="preserve">. In the early morning, at arousal, carbohydrate oxidation goes up and continues to increase at the first food intake of the day </w:t>
      </w:r>
      <w:r w:rsidR="00381873" w:rsidRPr="00F74A85">
        <w:rPr>
          <w:rFonts w:eastAsia="Times New Roman" w:cs="Arial"/>
          <w:color w:val="000000"/>
          <w:sz w:val="22"/>
          <w:szCs w:val="22"/>
        </w:rPr>
        <w:fldChar w:fldCharType="begin"/>
      </w:r>
      <w:r w:rsidR="00381873" w:rsidRPr="00F74A85">
        <w:rPr>
          <w:rFonts w:eastAsia="Times New Roman" w:cs="Arial"/>
          <w:color w:val="000000"/>
          <w:sz w:val="22"/>
          <w:szCs w:val="22"/>
        </w:rPr>
        <w:instrText xml:space="preserve"> ADDIN EN.CITE &lt;EndNote&gt;&lt;Cite&gt;&lt;Author&gt;Verboeket-van de Venne&lt;/Author&gt;&lt;Year&gt;1991&lt;/Year&gt;&lt;RecNum&gt;7101&lt;/RecNum&gt;&lt;DisplayText&gt;(28)&lt;/DisplayText&gt;&lt;record&gt;&lt;rec-number&gt;7101&lt;/rec-number&gt;&lt;foreign-keys&gt;&lt;key app="EN" db-id="pvt9995p1wxx22eefv2xzrame55pwzadt2ws" timestamp="1647801089"&gt;7101&lt;/key&gt;&lt;/foreign-keys&gt;&lt;ref-type name="Journal Article"&gt;17&lt;/ref-type&gt;&lt;contributors&gt;&lt;authors&gt;&lt;author&gt;Verboeket-van de Venne, W. P.&lt;/author&gt;&lt;author&gt;Westerterp, K. R.&lt;/author&gt;&lt;/authors&gt;&lt;/contributors&gt;&lt;auth-address&gt;Department of Human Biology, University of Limburg, Maastricht, The Netherlands.&lt;/auth-address&gt;&lt;titles&gt;&lt;title&gt;Influence of the feeding frequency on nutrient utilization in man: consequences for energy metabolism&lt;/title&gt;&lt;secondary-title&gt;Eur J Clin Nutr&lt;/secondary-title&gt;&lt;/titles&gt;&lt;periodical&gt;&lt;full-title&gt;Eur J Clin Nutr&lt;/full-title&gt;&lt;/periodical&gt;&lt;pages&gt;161-9&lt;/pages&gt;&lt;volume&gt;45&lt;/volume&gt;&lt;number&gt;3&lt;/number&gt;&lt;edition&gt;1991/03/01&lt;/edition&gt;&lt;keywords&gt;&lt;keyword&gt;Adolescent&lt;/keyword&gt;&lt;keyword&gt;Adult&lt;/keyword&gt;&lt;keyword&gt;Body Weight&lt;/keyword&gt;&lt;keyword&gt;Carbon Dioxide/physiology&lt;/keyword&gt;&lt;keyword&gt;*Diet&lt;/keyword&gt;&lt;keyword&gt;Dietary Carbohydrates/*administration &amp;amp; dosage/metabolism&lt;/keyword&gt;&lt;keyword&gt;Dietary Fats/*administration &amp;amp; dosage/metabolism&lt;/keyword&gt;&lt;keyword&gt;Dietary Proteins/*administration &amp;amp; dosage/metabolism&lt;/keyword&gt;&lt;keyword&gt;*Energy Metabolism&lt;/keyword&gt;&lt;keyword&gt;Female&lt;/keyword&gt;&lt;keyword&gt;Humans&lt;/keyword&gt;&lt;keyword&gt;Male&lt;/keyword&gt;&lt;keyword&gt;Nitrogen/urine&lt;/keyword&gt;&lt;keyword&gt;Oxygen Consumption&lt;/keyword&gt;&lt;/keywords&gt;&lt;dates&gt;&lt;year&gt;1991&lt;/year&gt;&lt;pub-dates&gt;&lt;date&gt;Mar&lt;/date&gt;&lt;/pub-dates&gt;&lt;/dates&gt;&lt;isbn&gt;0954-3007 (Print)&amp;#xD;0954-3007 (Linking)&lt;/isbn&gt;&lt;accession-num&gt;1905998&lt;/accession-num&gt;&lt;urls&gt;&lt;related-urls&gt;&lt;url&gt;https://www.ncbi.nlm.nih.gov/pubmed/1905998&lt;/url&gt;&lt;/related-urls&gt;&lt;/urls&gt;&lt;/record&gt;&lt;/Cite&gt;&lt;/EndNote&gt;</w:instrText>
      </w:r>
      <w:r w:rsidR="00381873" w:rsidRPr="00F74A85">
        <w:rPr>
          <w:rFonts w:eastAsia="Times New Roman" w:cs="Arial"/>
          <w:color w:val="000000"/>
          <w:sz w:val="22"/>
          <w:szCs w:val="22"/>
        </w:rPr>
        <w:fldChar w:fldCharType="separate"/>
      </w:r>
      <w:r w:rsidR="00381873" w:rsidRPr="00F74A85">
        <w:rPr>
          <w:rFonts w:eastAsia="Times New Roman" w:cs="Arial"/>
          <w:noProof/>
          <w:color w:val="000000"/>
          <w:sz w:val="22"/>
          <w:szCs w:val="22"/>
        </w:rPr>
        <w:t>(28)</w:t>
      </w:r>
      <w:r w:rsidR="00381873" w:rsidRPr="00F74A85">
        <w:rPr>
          <w:rFonts w:eastAsia="Times New Roman" w:cs="Arial"/>
          <w:color w:val="000000"/>
          <w:sz w:val="22"/>
          <w:szCs w:val="22"/>
        </w:rPr>
        <w:fldChar w:fldCharType="end"/>
      </w:r>
      <w:r w:rsidRPr="00F74A85">
        <w:rPr>
          <w:rFonts w:eastAsia="Times New Roman" w:cs="Arial"/>
          <w:color w:val="000000"/>
          <w:sz w:val="22"/>
          <w:szCs w:val="22"/>
        </w:rPr>
        <w:t xml:space="preserve">. After </w:t>
      </w:r>
      <w:r w:rsidR="00C90807" w:rsidRPr="00F74A85">
        <w:rPr>
          <w:rFonts w:eastAsia="Times New Roman" w:cs="Arial"/>
          <w:color w:val="000000"/>
          <w:sz w:val="22"/>
          <w:szCs w:val="22"/>
        </w:rPr>
        <w:t>awakening</w:t>
      </w:r>
      <w:r w:rsidRPr="00F74A85">
        <w:rPr>
          <w:rFonts w:eastAsia="Times New Roman" w:cs="Arial"/>
          <w:color w:val="000000"/>
          <w:sz w:val="22"/>
          <w:szCs w:val="22"/>
        </w:rPr>
        <w:t xml:space="preserve">, initial energy (‘fast’) requirements are met by glycogen reserves. </w:t>
      </w:r>
      <w:r w:rsidR="00C90807" w:rsidRPr="00F74A85">
        <w:rPr>
          <w:rFonts w:eastAsia="Times New Roman" w:cs="Arial"/>
          <w:color w:val="000000"/>
          <w:sz w:val="22"/>
          <w:szCs w:val="22"/>
        </w:rPr>
        <w:t>S</w:t>
      </w:r>
      <w:r w:rsidRPr="00F74A85">
        <w:rPr>
          <w:rFonts w:eastAsia="Times New Roman" w:cs="Arial"/>
          <w:color w:val="000000"/>
          <w:sz w:val="22"/>
          <w:szCs w:val="22"/>
        </w:rPr>
        <w:t xml:space="preserve">ubsequently, carbohydrate requirement is higher at breakfast, and one eats relatively more fat at the evening dinner </w:t>
      </w:r>
      <w:r w:rsidR="00B255A3" w:rsidRPr="00F74A85">
        <w:rPr>
          <w:rFonts w:eastAsia="Times New Roman" w:cs="Arial"/>
          <w:color w:val="000000"/>
          <w:sz w:val="22"/>
          <w:szCs w:val="22"/>
        </w:rPr>
        <w:fldChar w:fldCharType="begin">
          <w:fldData xml:space="preserve">PEVuZE5vdGU+PENpdGU+PEF1dGhvcj5XZXN0ZXJ0ZXJwLVBsYW50ZW5nYTwvQXV0aG9yPjxZZWFy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</w:fldData>
        </w:fldChar>
      </w:r>
      <w:r w:rsidR="00B255A3" w:rsidRPr="00F74A85">
        <w:rPr>
          <w:rFonts w:eastAsia="Times New Roman" w:cs="Arial"/>
          <w:color w:val="000000"/>
          <w:sz w:val="22"/>
          <w:szCs w:val="22"/>
        </w:rPr>
        <w:instrText xml:space="preserve"> ADDIN EN.CITE </w:instrText>
      </w:r>
      <w:r w:rsidR="00B255A3" w:rsidRPr="00F74A85">
        <w:rPr>
          <w:rFonts w:eastAsia="Times New Roman" w:cs="Arial"/>
          <w:color w:val="000000"/>
          <w:sz w:val="22"/>
          <w:szCs w:val="22"/>
        </w:rPr>
        <w:fldChar w:fldCharType="begin">
          <w:fldData xml:space="preserve">PEVuZE5vdGU+PENpdGU+PEF1dGhvcj5XZXN0ZXJ0ZXJwLVBsYW50ZW5nYTwvQXV0aG9yPjxZZWFy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</w:fldData>
        </w:fldChar>
      </w:r>
      <w:r w:rsidR="00B255A3" w:rsidRPr="00F74A85">
        <w:rPr>
          <w:rFonts w:eastAsia="Times New Roman" w:cs="Arial"/>
          <w:color w:val="000000"/>
          <w:sz w:val="22"/>
          <w:szCs w:val="22"/>
        </w:rPr>
        <w:instrText xml:space="preserve"> ADDIN EN.CITE.DATA </w:instrText>
      </w:r>
      <w:r w:rsidR="00B255A3" w:rsidRPr="00F74A85">
        <w:rPr>
          <w:rFonts w:eastAsia="Times New Roman" w:cs="Arial"/>
          <w:color w:val="000000"/>
          <w:sz w:val="22"/>
          <w:szCs w:val="22"/>
        </w:rPr>
      </w:r>
      <w:r w:rsidR="00B255A3" w:rsidRPr="00F74A85">
        <w:rPr>
          <w:rFonts w:eastAsia="Times New Roman" w:cs="Arial"/>
          <w:color w:val="000000"/>
          <w:sz w:val="22"/>
          <w:szCs w:val="22"/>
        </w:rPr>
        <w:fldChar w:fldCharType="end"/>
      </w:r>
      <w:r w:rsidR="00B255A3" w:rsidRPr="00F74A85">
        <w:rPr>
          <w:rFonts w:eastAsia="Times New Roman" w:cs="Arial"/>
          <w:color w:val="000000"/>
          <w:sz w:val="22"/>
          <w:szCs w:val="22"/>
        </w:rPr>
      </w:r>
      <w:r w:rsidR="00B255A3" w:rsidRPr="00F74A85">
        <w:rPr>
          <w:rFonts w:eastAsia="Times New Roman" w:cs="Arial"/>
          <w:color w:val="000000"/>
          <w:sz w:val="22"/>
          <w:szCs w:val="22"/>
        </w:rPr>
        <w:fldChar w:fldCharType="separate"/>
      </w:r>
      <w:r w:rsidR="00B255A3" w:rsidRPr="00F74A85">
        <w:rPr>
          <w:rFonts w:eastAsia="Times New Roman" w:cs="Arial"/>
          <w:noProof/>
          <w:color w:val="000000"/>
          <w:sz w:val="22"/>
          <w:szCs w:val="22"/>
        </w:rPr>
        <w:t>(29,30)</w:t>
      </w:r>
      <w:r w:rsidR="00B255A3" w:rsidRPr="00F74A85">
        <w:rPr>
          <w:rFonts w:eastAsia="Times New Roman" w:cs="Arial"/>
          <w:color w:val="000000"/>
          <w:sz w:val="22"/>
          <w:szCs w:val="22"/>
        </w:rPr>
        <w:fldChar w:fldCharType="end"/>
      </w:r>
      <w:r w:rsidRPr="00F74A85">
        <w:rPr>
          <w:rFonts w:eastAsia="Times New Roman" w:cs="Arial"/>
          <w:color w:val="000000"/>
          <w:sz w:val="22"/>
          <w:szCs w:val="22"/>
        </w:rPr>
        <w:t>.</w:t>
      </w:r>
    </w:p>
    <w:p w14:paraId="4B0C62B7" w14:textId="77777777" w:rsidR="00EB0F2E" w:rsidRPr="00F74A85" w:rsidRDefault="00EB0F2E" w:rsidP="00F74A85">
      <w:pPr>
        <w:spacing w:after="0" w:line="276" w:lineRule="auto"/>
        <w:textAlignment w:val="baseline"/>
        <w:rPr>
          <w:rFonts w:eastAsia="Times New Roman" w:cs="Arial"/>
          <w:color w:val="000000"/>
          <w:sz w:val="22"/>
          <w:szCs w:val="22"/>
        </w:rPr>
      </w:pPr>
    </w:p>
    <w:p w14:paraId="3277EF36" w14:textId="71910A2C" w:rsidR="00C90807"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 xml:space="preserve">Energy balance does not equate to substrate balance, and when in substrate balance one does not produce energy just from the foods consumed. Fat, as a substrate for energy metabolism is at the bottom of the oxidation hierarchy that determines fuel selection and studies show a direct link between macronutrient balance for fat and energy balance. Changes in alcohol, protein, and carbohydrate intake elicit auto regulatory adjustments in oxidation whereas a change in fat intake fails to elicit such a response, or only in the long term </w:t>
      </w:r>
      <w:r w:rsidR="00B255A3" w:rsidRPr="00F74A85">
        <w:rPr>
          <w:rFonts w:eastAsia="Times New Roman" w:cs="Arial"/>
          <w:color w:val="000000"/>
          <w:sz w:val="22"/>
          <w:szCs w:val="22"/>
        </w:rPr>
        <w:fldChar w:fldCharType="begin"/>
      </w:r>
      <w:r w:rsidR="00B255A3" w:rsidRPr="00F74A85">
        <w:rPr>
          <w:rFonts w:eastAsia="Times New Roman" w:cs="Arial"/>
          <w:color w:val="000000"/>
          <w:sz w:val="22"/>
          <w:szCs w:val="22"/>
        </w:rPr>
        <w:instrText xml:space="preserve"> ADDIN EN.CITE &lt;EndNote&gt;&lt;Cite&gt;&lt;Author&gt;Schrauwen&lt;/Author&gt;&lt;Year&gt;1997&lt;/Year&gt;&lt;RecNum&gt;7104&lt;/RecNum&gt;&lt;DisplayText&gt;(31)&lt;/DisplayText&gt;&lt;record&gt;&lt;rec-number&gt;7104&lt;/rec-number&gt;&lt;foreign-keys&gt;&lt;key app="EN" db-id="pvt9995p1wxx22eefv2xzrame55pwzadt2ws" timestamp="1647801362"&gt;7104&lt;/key&gt;&lt;/foreign-keys&gt;&lt;ref-type name="Journal Article"&gt;17&lt;/ref-type&gt;&lt;contributors&gt;&lt;authors&gt;&lt;author&gt;Schrauwen, P.&lt;/author&gt;&lt;author&gt;van Marken Lichtenbelt, W. D.&lt;/author&gt;&lt;author&gt;Saris, W. H.&lt;/author&gt;&lt;author&gt;Westerterp, K. R.&lt;/author&gt;&lt;/authors&gt;&lt;/contributors&gt;&lt;auth-address&gt;Department of Human Biology, Maastricht University, Netherlands. P.Schrauwen@HB.Unimaas.NL&lt;/auth-address&gt;&lt;titles&gt;&lt;title&gt;Changes in fat oxidation in response to a high-fat diet&lt;/title&gt;&lt;secondary-title&gt;Am J Clin Nutr&lt;/secondary-title&gt;&lt;/titles&gt;&lt;periodical&gt;&lt;full-title&gt;Am J Clin Nutr&lt;/full-title&gt;&lt;/periodical&gt;&lt;pages&gt;276-82&lt;/pages&gt;&lt;volume&gt;66&lt;/volume&gt;&lt;number&gt;2&lt;/number&gt;&lt;edition&gt;1997/08/01&lt;/edition&gt;&lt;keywords&gt;&lt;keyword&gt;Adaptation, Physiological&lt;/keyword&gt;&lt;keyword&gt;Adult&lt;/keyword&gt;&lt;keyword&gt;Basal Metabolism&lt;/keyword&gt;&lt;keyword&gt;Body Composition&lt;/keyword&gt;&lt;keyword&gt;Calorimetry&lt;/keyword&gt;&lt;keyword&gt;Diet Records&lt;/keyword&gt;&lt;keyword&gt;Dietary Fats/*administration &amp;amp; dosage&lt;/keyword&gt;&lt;keyword&gt;Energy Metabolism&lt;/keyword&gt;&lt;keyword&gt;Exercise&lt;/keyword&gt;&lt;keyword&gt;Female&lt;/keyword&gt;&lt;keyword&gt;Humans&lt;/keyword&gt;&lt;keyword&gt;Male&lt;/keyword&gt;&lt;keyword&gt;Obesity/*metabolism/physiopathology&lt;/keyword&gt;&lt;keyword&gt;Sex Factors&lt;/keyword&gt;&lt;/keywords&gt;&lt;dates&gt;&lt;year&gt;1997&lt;/year&gt;&lt;pub-dates&gt;&lt;date&gt;Aug&lt;/date&gt;&lt;/pub-dates&gt;&lt;/dates&gt;&lt;isbn&gt;0002-9165 (Print)&amp;#xD;0002-9165 (Linking)&lt;/isbn&gt;&lt;accession-num&gt;9250105&lt;/accession-num&gt;&lt;urls&gt;&lt;related-urls&gt;&lt;url&gt;https://www.ncbi.nlm.nih.gov/pubmed/9250105&lt;/url&gt;&lt;/related-urls&gt;&lt;/urls&gt;&lt;electronic-resource-num&gt;10.1093/ajcn/66.2.276&lt;/electronic-resource-num&gt;&lt;/record&gt;&lt;/Cite&gt;&lt;/EndNote&gt;</w:instrText>
      </w:r>
      <w:r w:rsidR="00B255A3" w:rsidRPr="00F74A85">
        <w:rPr>
          <w:rFonts w:eastAsia="Times New Roman" w:cs="Arial"/>
          <w:color w:val="000000"/>
          <w:sz w:val="22"/>
          <w:szCs w:val="22"/>
        </w:rPr>
        <w:fldChar w:fldCharType="separate"/>
      </w:r>
      <w:r w:rsidR="00B255A3" w:rsidRPr="00F74A85">
        <w:rPr>
          <w:rFonts w:eastAsia="Times New Roman" w:cs="Arial"/>
          <w:noProof/>
          <w:color w:val="000000"/>
          <w:sz w:val="22"/>
          <w:szCs w:val="22"/>
        </w:rPr>
        <w:t>(31)</w:t>
      </w:r>
      <w:r w:rsidR="00B255A3" w:rsidRPr="00F74A85">
        <w:rPr>
          <w:rFonts w:eastAsia="Times New Roman" w:cs="Arial"/>
          <w:color w:val="000000"/>
          <w:sz w:val="22"/>
          <w:szCs w:val="22"/>
        </w:rPr>
        <w:fldChar w:fldCharType="end"/>
      </w:r>
      <w:r w:rsidRPr="00F74A85">
        <w:rPr>
          <w:rFonts w:eastAsia="Times New Roman" w:cs="Arial"/>
          <w:color w:val="000000"/>
          <w:sz w:val="22"/>
          <w:szCs w:val="22"/>
        </w:rPr>
        <w:t xml:space="preserve">. </w:t>
      </w:r>
    </w:p>
    <w:p w14:paraId="08B63E58" w14:textId="77777777" w:rsidR="00C90807" w:rsidRPr="00F74A85" w:rsidRDefault="00C90807" w:rsidP="00F74A85">
      <w:pPr>
        <w:spacing w:after="0" w:line="276" w:lineRule="auto"/>
        <w:textAlignment w:val="baseline"/>
        <w:rPr>
          <w:rFonts w:eastAsia="Times New Roman" w:cs="Arial"/>
          <w:color w:val="000000"/>
          <w:sz w:val="22"/>
          <w:szCs w:val="22"/>
        </w:rPr>
      </w:pPr>
    </w:p>
    <w:p w14:paraId="2D2D3C72" w14:textId="42BD6613" w:rsidR="009919FB" w:rsidRPr="00F74A85" w:rsidRDefault="009919FB" w:rsidP="00F74A85">
      <w:pPr>
        <w:spacing w:after="0" w:line="276" w:lineRule="auto"/>
        <w:textAlignment w:val="baseline"/>
        <w:rPr>
          <w:rFonts w:eastAsia="Times New Roman" w:cs="Arial"/>
          <w:color w:val="000000"/>
          <w:sz w:val="22"/>
          <w:szCs w:val="22"/>
        </w:rPr>
      </w:pPr>
      <w:r w:rsidRPr="00F74A85">
        <w:rPr>
          <w:rFonts w:eastAsia="Times New Roman" w:cs="Arial"/>
          <w:color w:val="000000"/>
          <w:sz w:val="22"/>
          <w:szCs w:val="22"/>
        </w:rPr>
        <w:t>One explanation</w:t>
      </w:r>
      <w:r w:rsidR="00C90807" w:rsidRPr="00F74A85">
        <w:rPr>
          <w:rFonts w:eastAsia="Times New Roman" w:cs="Arial"/>
          <w:color w:val="000000"/>
          <w:sz w:val="22"/>
          <w:szCs w:val="22"/>
        </w:rPr>
        <w:t xml:space="preserve"> for this macronutrient oxidation disparity</w:t>
      </w:r>
      <w:r w:rsidRPr="00F74A85">
        <w:rPr>
          <w:rFonts w:eastAsia="Times New Roman" w:cs="Arial"/>
          <w:color w:val="000000"/>
          <w:sz w:val="22"/>
          <w:szCs w:val="22"/>
        </w:rPr>
        <w:t xml:space="preserve"> is the routing of dietary fat.</w:t>
      </w:r>
      <w:r w:rsidR="00C90807" w:rsidRPr="00F74A85">
        <w:rPr>
          <w:rFonts w:eastAsia="Times New Roman" w:cs="Arial"/>
          <w:color w:val="000000"/>
          <w:sz w:val="22"/>
          <w:szCs w:val="22"/>
        </w:rPr>
        <w:t xml:space="preserve"> </w:t>
      </w:r>
      <w:r w:rsidRPr="00F74A85">
        <w:rPr>
          <w:rFonts w:eastAsia="Times New Roman" w:cs="Arial"/>
          <w:color w:val="000000"/>
          <w:sz w:val="22"/>
          <w:szCs w:val="22"/>
        </w:rPr>
        <w:t>Fat metabolism can be traced with isotope-labelled fatty acids. Oxidation and adipose tissue uptake of dietary fat can be measured by adding fatty acid labelled with heavy hydrogen (</w:t>
      </w:r>
      <w:r w:rsidRPr="00F74A85">
        <w:rPr>
          <w:rFonts w:eastAsia="Times New Roman" w:cs="Arial"/>
          <w:color w:val="000000"/>
          <w:sz w:val="22"/>
          <w:szCs w:val="22"/>
          <w:bdr w:val="none" w:sz="0" w:space="0" w:color="auto" w:frame="1"/>
          <w:vertAlign w:val="superscript"/>
        </w:rPr>
        <w:t>2</w:t>
      </w:r>
      <w:r w:rsidRPr="00F74A85">
        <w:rPr>
          <w:rFonts w:eastAsia="Times New Roman" w:cs="Arial"/>
          <w:color w:val="000000"/>
          <w:sz w:val="22"/>
          <w:szCs w:val="22"/>
        </w:rPr>
        <w:t xml:space="preserve">H) to meals. Upon oxidation, these deuterated fatty acids enrich the body water with deuterium, which is subsequently detectable in urine. Therefore, the urine enrichment for deuterium is a measure </w:t>
      </w:r>
      <w:r w:rsidR="00C90807" w:rsidRPr="00F74A85">
        <w:rPr>
          <w:rFonts w:eastAsia="Times New Roman" w:cs="Arial"/>
          <w:color w:val="000000"/>
          <w:sz w:val="22"/>
          <w:szCs w:val="22"/>
        </w:rPr>
        <w:t>of</w:t>
      </w:r>
      <w:r w:rsidRPr="00F74A85">
        <w:rPr>
          <w:rFonts w:eastAsia="Times New Roman" w:cs="Arial"/>
          <w:color w:val="000000"/>
          <w:sz w:val="22"/>
          <w:szCs w:val="22"/>
        </w:rPr>
        <w:t xml:space="preserve"> dietary fat oxidation. The first label appears in the urine in about two hours and the peak concentration is reached after 12-24h (</w:t>
      </w:r>
      <w:r w:rsidRPr="004D090C">
        <w:rPr>
          <w:rFonts w:eastAsia="Times New Roman" w:cs="Arial"/>
          <w:bCs/>
          <w:color w:val="000000"/>
          <w:sz w:val="22"/>
          <w:szCs w:val="22"/>
        </w:rPr>
        <w:t>Figure 8</w:t>
      </w:r>
      <w:r w:rsidRPr="00F74A85">
        <w:rPr>
          <w:rFonts w:eastAsia="Times New Roman" w:cs="Arial"/>
          <w:color w:val="000000"/>
          <w:sz w:val="22"/>
          <w:szCs w:val="22"/>
        </w:rPr>
        <w:t xml:space="preserve">). After 24 hours, 5-30% of the fat from a meal is oxidized and the remaining part partitioned to the reserves. The percentage of dietary fat oxidation is independent of the composition of the meal with respect to protein, carbohydrate and fat. However, there is a clear relation of dietary fat oxidation with the body fat content. The larger the fat mass, the lower the fractional oxidation of the fat consumed on the same day </w:t>
      </w:r>
      <w:r w:rsidR="009106E3" w:rsidRPr="00F74A85">
        <w:rPr>
          <w:rFonts w:eastAsia="Times New Roman" w:cs="Arial"/>
          <w:color w:val="000000"/>
          <w:sz w:val="22"/>
          <w:szCs w:val="22"/>
        </w:rPr>
        <w:fldChar w:fldCharType="begin"/>
      </w:r>
      <w:r w:rsidR="009106E3" w:rsidRPr="00F74A85">
        <w:rPr>
          <w:rFonts w:eastAsia="Times New Roman" w:cs="Arial"/>
          <w:color w:val="000000"/>
          <w:sz w:val="22"/>
          <w:szCs w:val="22"/>
        </w:rPr>
        <w:instrText xml:space="preserve"> ADDIN EN.CITE &lt;EndNote&gt;&lt;Cite&gt;&lt;Author&gt;Westerterp&lt;/Author&gt;&lt;Year&gt;2008&lt;/Year&gt;&lt;RecNum&gt;7105&lt;/RecNum&gt;&lt;DisplayText&gt;(32)&lt;/DisplayText&gt;&lt;record&gt;&lt;rec-number&gt;7105&lt;/rec-number&gt;&lt;foreign-keys&gt;&lt;key app="EN" db-id="pvt9995p1wxx22eefv2xzrame55pwzadt2ws" timestamp="1647801444"&gt;7105&lt;/key&gt;&lt;/foreign-keys&gt;&lt;ref-type name="Journal Article"&gt;17&lt;/ref-type&gt;&lt;contributors&gt;&lt;authors&gt;&lt;author&gt;Westerterp, K. R.&lt;/author&gt;&lt;author&gt;Smeets, A.&lt;/author&gt;&lt;author&gt;Lejeune, M. P.&lt;/author&gt;&lt;author&gt;Wouters-Adriaens, M. P.&lt;/author&gt;&lt;author&gt;Westerterp-Plantenga, M. S.&lt;/author&gt;&lt;/authors&gt;&lt;/contributors&gt;&lt;auth-address&gt;Department of Human Biology, Maastricht University, Maastricht, Netherlands. k.westerterp@hb.unimaas.nl&lt;/auth-address&gt;&lt;titles&gt;&lt;title&gt;Dietary fat oxidation as a function of body fat&lt;/title&gt;&lt;secondary-title&gt;Am J Clin Nutr&lt;/secondary-title&gt;&lt;/titles&gt;&lt;periodical&gt;&lt;full-title&gt;Am J Clin Nutr&lt;/full-title&gt;&lt;/periodical&gt;&lt;pages&gt;132-5&lt;/pages&gt;&lt;volume&gt;87&lt;/volume&gt;&lt;number&gt;1&lt;/number&gt;&lt;edition&gt;2008/01/08&lt;/edition&gt;&lt;keywords&gt;&lt;keyword&gt;Adolescent&lt;/keyword&gt;&lt;keyword&gt;Adult&lt;/keyword&gt;&lt;keyword&gt;Body Mass Index&lt;/keyword&gt;&lt;keyword&gt;Body Weight/physiology&lt;/keyword&gt;&lt;keyword&gt;Deuterium&lt;/keyword&gt;&lt;keyword&gt;Dietary Fats/administration &amp;amp; dosage/*metabolism&lt;/keyword&gt;&lt;keyword&gt;*Energy Metabolism/drug effects/physiology&lt;/keyword&gt;&lt;keyword&gt;Female&lt;/keyword&gt;&lt;keyword&gt;Humans&lt;/keyword&gt;&lt;keyword&gt;Male&lt;/keyword&gt;&lt;keyword&gt;Middle Aged&lt;/keyword&gt;&lt;keyword&gt;Obesity/etiology/*metabolism&lt;/keyword&gt;&lt;keyword&gt;Overweight/etiology/*metabolism&lt;/keyword&gt;&lt;keyword&gt;Oxidation-Reduction&lt;/keyword&gt;&lt;keyword&gt;Oxygen Consumption&lt;/keyword&gt;&lt;keyword&gt;Palmitic Acid/metabolism&lt;/keyword&gt;&lt;keyword&gt;Thinness/*metabolism&lt;/keyword&gt;&lt;keyword&gt;Weight Gain&lt;/keyword&gt;&lt;/keywords&gt;&lt;dates&gt;&lt;year&gt;2008&lt;/year&gt;&lt;pub-dates&gt;&lt;date&gt;Jan&lt;/date&gt;&lt;/pub-dates&gt;&lt;/dates&gt;&lt;isbn&gt;0002-9165 (Print)&amp;#xD;0002-9165 (Linking)&lt;/isbn&gt;&lt;accession-num&gt;18175746&lt;/accession-num&gt;&lt;urls&gt;&lt;related-urls&gt;&lt;url&gt;https://www.ncbi.nlm.nih.gov/pubmed/18175746&lt;/url&gt;&lt;/related-urls&gt;&lt;/urls&gt;&lt;electronic-resource-num&gt;10.1093/ajcn/87.1.132&lt;/electronic-resource-num&gt;&lt;/record&gt;&lt;/Cite&gt;&lt;/EndNote&gt;</w:instrText>
      </w:r>
      <w:r w:rsidR="009106E3" w:rsidRPr="00F74A85">
        <w:rPr>
          <w:rFonts w:eastAsia="Times New Roman" w:cs="Arial"/>
          <w:color w:val="000000"/>
          <w:sz w:val="22"/>
          <w:szCs w:val="22"/>
        </w:rPr>
        <w:fldChar w:fldCharType="separate"/>
      </w:r>
      <w:r w:rsidR="009106E3" w:rsidRPr="00F74A85">
        <w:rPr>
          <w:rFonts w:eastAsia="Times New Roman" w:cs="Arial"/>
          <w:noProof/>
          <w:color w:val="000000"/>
          <w:sz w:val="22"/>
          <w:szCs w:val="22"/>
        </w:rPr>
        <w:t>(32)</w:t>
      </w:r>
      <w:r w:rsidR="009106E3" w:rsidRPr="00F74A85">
        <w:rPr>
          <w:rFonts w:eastAsia="Times New Roman" w:cs="Arial"/>
          <w:color w:val="000000"/>
          <w:sz w:val="22"/>
          <w:szCs w:val="22"/>
        </w:rPr>
        <w:fldChar w:fldCharType="end"/>
      </w:r>
      <w:r w:rsidRPr="00F74A85">
        <w:rPr>
          <w:rFonts w:eastAsia="Times New Roman" w:cs="Arial"/>
          <w:color w:val="000000"/>
          <w:sz w:val="22"/>
          <w:szCs w:val="22"/>
        </w:rPr>
        <w:t xml:space="preserve">. The observed reduction in dietary fat oxidation in subjects with greater body fat may therefore play a role in expression and maintenance of human obesity. </w:t>
      </w:r>
      <w:r w:rsidR="00C90807" w:rsidRPr="00F74A85">
        <w:rPr>
          <w:rFonts w:eastAsia="Times New Roman" w:cs="Arial"/>
          <w:color w:val="000000"/>
          <w:sz w:val="22"/>
          <w:szCs w:val="22"/>
        </w:rPr>
        <w:t>This l</w:t>
      </w:r>
      <w:r w:rsidRPr="00F74A85">
        <w:rPr>
          <w:rFonts w:eastAsia="Times New Roman" w:cs="Arial"/>
          <w:color w:val="000000"/>
          <w:sz w:val="22"/>
          <w:szCs w:val="22"/>
        </w:rPr>
        <w:t>ow dietary fat oxidation makes subjects prone to weight gain.</w:t>
      </w:r>
    </w:p>
    <w:p w14:paraId="42C9AB41" w14:textId="0F0FA0CF" w:rsidR="007F42BD" w:rsidRPr="00F74A85" w:rsidRDefault="007F42BD" w:rsidP="00F74A85">
      <w:pPr>
        <w:spacing w:after="0" w:line="276" w:lineRule="auto"/>
        <w:textAlignment w:val="baseline"/>
        <w:rPr>
          <w:rFonts w:eastAsia="Times New Roman" w:cs="Arial"/>
          <w:color w:val="000000"/>
          <w:sz w:val="22"/>
          <w:szCs w:val="22"/>
        </w:rPr>
      </w:pPr>
    </w:p>
    <w:p w14:paraId="6598E33D" w14:textId="700946FF" w:rsidR="007F42BD" w:rsidRPr="00F74A85" w:rsidRDefault="007F42BD" w:rsidP="00F74A85">
      <w:pPr>
        <w:spacing w:after="0" w:line="276" w:lineRule="auto"/>
        <w:textAlignment w:val="baseline"/>
        <w:rPr>
          <w:rFonts w:eastAsia="Times New Roman" w:cs="Arial"/>
          <w:color w:val="000000"/>
          <w:sz w:val="22"/>
          <w:szCs w:val="22"/>
        </w:rPr>
      </w:pPr>
      <w:r w:rsidRPr="00F74A85">
        <w:rPr>
          <w:rFonts w:cs="Arial"/>
          <w:noProof/>
          <w:sz w:val="22"/>
          <w:szCs w:val="22"/>
        </w:rPr>
        <w:lastRenderedPageBreak/>
        <w:drawing>
          <wp:inline distT="0" distB="0" distL="0" distR="0" wp14:anchorId="2EF5988D" wp14:editId="3E8CFAD1">
            <wp:extent cx="5943600" cy="467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673600"/>
                    </a:xfrm>
                    <a:prstGeom prst="rect">
                      <a:avLst/>
                    </a:prstGeom>
                  </pic:spPr>
                </pic:pic>
              </a:graphicData>
            </a:graphic>
          </wp:inline>
        </w:drawing>
      </w:r>
    </w:p>
    <w:p w14:paraId="3273DC06" w14:textId="4399E399" w:rsidR="007F42BD" w:rsidRPr="00F74A85" w:rsidRDefault="007F42BD" w:rsidP="00F74A85">
      <w:pPr>
        <w:spacing w:after="0" w:line="276" w:lineRule="auto"/>
        <w:textAlignment w:val="baseline"/>
        <w:rPr>
          <w:rFonts w:eastAsia="Times New Roman" w:cs="Arial"/>
          <w:b/>
          <w:iCs/>
          <w:color w:val="000000"/>
          <w:sz w:val="22"/>
          <w:szCs w:val="22"/>
        </w:rPr>
      </w:pPr>
      <w:r w:rsidRPr="00F74A85">
        <w:rPr>
          <w:rFonts w:eastAsia="Times New Roman" w:cs="Arial"/>
          <w:b/>
          <w:iCs/>
          <w:color w:val="000000"/>
          <w:sz w:val="22"/>
          <w:szCs w:val="22"/>
        </w:rPr>
        <w:t>Figure 8</w:t>
      </w:r>
      <w:r w:rsidR="004D090C">
        <w:rPr>
          <w:rFonts w:eastAsia="Times New Roman" w:cs="Arial"/>
          <w:b/>
          <w:iCs/>
          <w:color w:val="000000"/>
          <w:sz w:val="22"/>
          <w:szCs w:val="22"/>
        </w:rPr>
        <w:t>.</w:t>
      </w:r>
      <w:r w:rsidR="00010704">
        <w:rPr>
          <w:rFonts w:eastAsia="Times New Roman" w:cs="Arial"/>
          <w:b/>
          <w:iCs/>
          <w:color w:val="000000"/>
          <w:sz w:val="22"/>
          <w:szCs w:val="22"/>
        </w:rPr>
        <w:t xml:space="preserve"> </w:t>
      </w:r>
      <w:r w:rsidRPr="00F74A85">
        <w:rPr>
          <w:rFonts w:eastAsia="Times New Roman" w:cs="Arial"/>
          <w:b/>
          <w:iCs/>
          <w:color w:val="000000"/>
          <w:sz w:val="22"/>
          <w:szCs w:val="22"/>
        </w:rPr>
        <w:t xml:space="preserve">Cumulative oxidation (mean ± standard deviation) of dietary fat as a percentage of intake, over time after ingestion, as calculated from tracer recovery in urine produced at two-hour intervals (From reference </w:t>
      </w:r>
      <w:r w:rsidR="009106E3" w:rsidRPr="00F74A85">
        <w:rPr>
          <w:rFonts w:eastAsia="Times New Roman" w:cs="Arial"/>
          <w:b/>
          <w:iCs/>
          <w:color w:val="000000"/>
          <w:sz w:val="22"/>
          <w:szCs w:val="22"/>
        </w:rPr>
        <w:fldChar w:fldCharType="begin"/>
      </w:r>
      <w:r w:rsidR="009106E3" w:rsidRPr="00F74A85">
        <w:rPr>
          <w:rFonts w:eastAsia="Times New Roman" w:cs="Arial"/>
          <w:b/>
          <w:iCs/>
          <w:color w:val="000000"/>
          <w:sz w:val="22"/>
          <w:szCs w:val="22"/>
        </w:rPr>
        <w:instrText xml:space="preserve"> ADDIN EN.CITE &lt;EndNote&gt;&lt;Cite&gt;&lt;Author&gt;Westerterp&lt;/Author&gt;&lt;Year&gt;2008&lt;/Year&gt;&lt;RecNum&gt;7105&lt;/RecNum&gt;&lt;DisplayText&gt;(32)&lt;/DisplayText&gt;&lt;record&gt;&lt;rec-number&gt;7105&lt;/rec-number&gt;&lt;foreign-keys&gt;&lt;key app="EN" db-id="pvt9995p1wxx22eefv2xzrame55pwzadt2ws" timestamp="1647801444"&gt;7105&lt;/key&gt;&lt;/foreign-keys&gt;&lt;ref-type name="Journal Article"&gt;17&lt;/ref-type&gt;&lt;contributors&gt;&lt;authors&gt;&lt;author&gt;Westerterp, K. R.&lt;/author&gt;&lt;author&gt;Smeets, A.&lt;/author&gt;&lt;author&gt;Lejeune, M. P.&lt;/author&gt;&lt;author&gt;Wouters-Adriaens, M. P.&lt;/author&gt;&lt;author&gt;Westerterp-Plantenga, M. S.&lt;/author&gt;&lt;/authors&gt;&lt;/contributors&gt;&lt;auth-address&gt;Department of Human Biology, Maastricht University, Maastricht, Netherlands. k.westerterp@hb.unimaas.nl&lt;/auth-address&gt;&lt;titles&gt;&lt;title&gt;Dietary fat oxidation as a function of body fat&lt;/title&gt;&lt;secondary-title&gt;Am J Clin Nutr&lt;/secondary-title&gt;&lt;/titles&gt;&lt;periodical&gt;&lt;full-title&gt;Am J Clin Nutr&lt;/full-title&gt;&lt;/periodical&gt;&lt;pages&gt;132-5&lt;/pages&gt;&lt;volume&gt;87&lt;/volume&gt;&lt;number&gt;1&lt;/number&gt;&lt;edition&gt;2008/01/08&lt;/edition&gt;&lt;keywords&gt;&lt;keyword&gt;Adolescent&lt;/keyword&gt;&lt;keyword&gt;Adult&lt;/keyword&gt;&lt;keyword&gt;Body Mass Index&lt;/keyword&gt;&lt;keyword&gt;Body Weight/physiology&lt;/keyword&gt;&lt;keyword&gt;Deuterium&lt;/keyword&gt;&lt;keyword&gt;Dietary Fats/administration &amp;amp; dosage/*metabolism&lt;/keyword&gt;&lt;keyword&gt;*Energy Metabolism/drug effects/physiology&lt;/keyword&gt;&lt;keyword&gt;Female&lt;/keyword&gt;&lt;keyword&gt;Humans&lt;/keyword&gt;&lt;keyword&gt;Male&lt;/keyword&gt;&lt;keyword&gt;Middle Aged&lt;/keyword&gt;&lt;keyword&gt;Obesity/etiology/*metabolism&lt;/keyword&gt;&lt;keyword&gt;Overweight/etiology/*metabolism&lt;/keyword&gt;&lt;keyword&gt;Oxidation-Reduction&lt;/keyword&gt;&lt;keyword&gt;Oxygen Consumption&lt;/keyword&gt;&lt;keyword&gt;Palmitic Acid/metabolism&lt;/keyword&gt;&lt;keyword&gt;Thinness/*metabolism&lt;/keyword&gt;&lt;keyword&gt;Weight Gain&lt;/keyword&gt;&lt;/keywords&gt;&lt;dates&gt;&lt;year&gt;2008&lt;/year&gt;&lt;pub-dates&gt;&lt;date&gt;Jan&lt;/date&gt;&lt;/pub-dates&gt;&lt;/dates&gt;&lt;isbn&gt;0002-9165 (Print)&amp;#xD;0002-9165 (Linking)&lt;/isbn&gt;&lt;accession-num&gt;18175746&lt;/accession-num&gt;&lt;urls&gt;&lt;related-urls&gt;&lt;url&gt;https://www.ncbi.nlm.nih.gov/pubmed/18175746&lt;/url&gt;&lt;/related-urls&gt;&lt;/urls&gt;&lt;electronic-resource-num&gt;10.1093/ajcn/87.1.132&lt;/electronic-resource-num&gt;&lt;/record&gt;&lt;/Cite&gt;&lt;/EndNote&gt;</w:instrText>
      </w:r>
      <w:r w:rsidR="009106E3" w:rsidRPr="00F74A85">
        <w:rPr>
          <w:rFonts w:eastAsia="Times New Roman" w:cs="Arial"/>
          <w:b/>
          <w:iCs/>
          <w:color w:val="000000"/>
          <w:sz w:val="22"/>
          <w:szCs w:val="22"/>
        </w:rPr>
        <w:fldChar w:fldCharType="separate"/>
      </w:r>
      <w:r w:rsidR="009106E3" w:rsidRPr="00F74A85">
        <w:rPr>
          <w:rFonts w:eastAsia="Times New Roman" w:cs="Arial"/>
          <w:b/>
          <w:iCs/>
          <w:noProof/>
          <w:color w:val="000000"/>
          <w:sz w:val="22"/>
          <w:szCs w:val="22"/>
        </w:rPr>
        <w:t>(32)</w:t>
      </w:r>
      <w:r w:rsidR="009106E3" w:rsidRPr="00F74A85">
        <w:rPr>
          <w:rFonts w:eastAsia="Times New Roman" w:cs="Arial"/>
          <w:b/>
          <w:iCs/>
          <w:color w:val="000000"/>
          <w:sz w:val="22"/>
          <w:szCs w:val="22"/>
        </w:rPr>
        <w:fldChar w:fldCharType="end"/>
      </w:r>
      <w:r w:rsidRPr="00F74A85">
        <w:rPr>
          <w:rFonts w:eastAsia="Times New Roman" w:cs="Arial"/>
          <w:b/>
          <w:iCs/>
          <w:color w:val="000000"/>
          <w:sz w:val="22"/>
          <w:szCs w:val="22"/>
        </w:rPr>
        <w:t>).</w:t>
      </w:r>
    </w:p>
    <w:p w14:paraId="02700843" w14:textId="77777777" w:rsidR="00E90113" w:rsidRPr="00F74A85" w:rsidRDefault="00E90113" w:rsidP="00F74A85">
      <w:pPr>
        <w:spacing w:after="0" w:line="276" w:lineRule="auto"/>
        <w:textAlignment w:val="baseline"/>
        <w:outlineLvl w:val="1"/>
        <w:rPr>
          <w:rFonts w:eastAsia="Times New Roman" w:cs="Arial"/>
          <w:b/>
          <w:bCs/>
          <w:caps/>
          <w:color w:val="000000"/>
          <w:sz w:val="22"/>
          <w:szCs w:val="22"/>
          <w:bdr w:val="none" w:sz="0" w:space="0" w:color="auto" w:frame="1"/>
        </w:rPr>
      </w:pPr>
    </w:p>
    <w:p w14:paraId="21CC8FFF" w14:textId="027AF528" w:rsidR="007F42BD" w:rsidRPr="00BC636E" w:rsidRDefault="007F42BD" w:rsidP="00F74A85">
      <w:pPr>
        <w:spacing w:after="0" w:line="276" w:lineRule="auto"/>
        <w:textAlignment w:val="baseline"/>
        <w:outlineLvl w:val="1"/>
        <w:rPr>
          <w:rFonts w:eastAsia="Times New Roman" w:cs="Arial"/>
          <w:b/>
          <w:bCs/>
          <w:caps/>
          <w:color w:val="0070C0"/>
          <w:sz w:val="22"/>
          <w:szCs w:val="22"/>
          <w:bdr w:val="none" w:sz="0" w:space="0" w:color="auto" w:frame="1"/>
        </w:rPr>
      </w:pPr>
      <w:r w:rsidRPr="00BC636E">
        <w:rPr>
          <w:rFonts w:eastAsia="Times New Roman" w:cs="Arial"/>
          <w:b/>
          <w:bCs/>
          <w:caps/>
          <w:color w:val="0070C0"/>
          <w:sz w:val="22"/>
          <w:szCs w:val="22"/>
          <w:bdr w:val="none" w:sz="0" w:space="0" w:color="auto" w:frame="1"/>
        </w:rPr>
        <w:t>REFERENCES</w:t>
      </w:r>
    </w:p>
    <w:bookmarkEnd w:id="1"/>
    <w:p w14:paraId="421BC2BE" w14:textId="77777777" w:rsidR="004D090C" w:rsidRPr="00F74A85" w:rsidRDefault="004D090C" w:rsidP="00F74A85">
      <w:pPr>
        <w:spacing w:after="0" w:line="276" w:lineRule="auto"/>
        <w:textAlignment w:val="baseline"/>
        <w:outlineLvl w:val="1"/>
        <w:rPr>
          <w:rFonts w:eastAsia="Times New Roman" w:cs="Arial"/>
          <w:b/>
          <w:bCs/>
          <w:caps/>
          <w:color w:val="000000"/>
          <w:sz w:val="22"/>
          <w:szCs w:val="22"/>
          <w:bdr w:val="none" w:sz="0" w:space="0" w:color="auto" w:frame="1"/>
        </w:rPr>
      </w:pPr>
    </w:p>
    <w:bookmarkStart w:id="2" w:name="_Hlk98691990"/>
    <w:p w14:paraId="417B3243" w14:textId="77777777" w:rsidR="009106E3" w:rsidRPr="004D090C" w:rsidRDefault="00A1141C" w:rsidP="004D090C">
      <w:pPr>
        <w:pStyle w:val="EndNoteBibliography"/>
        <w:spacing w:line="276" w:lineRule="auto"/>
        <w:ind w:left="576" w:hanging="576"/>
        <w:rPr>
          <w:sz w:val="22"/>
        </w:rPr>
      </w:pPr>
      <w:r w:rsidRPr="004D090C">
        <w:rPr>
          <w:sz w:val="22"/>
        </w:rPr>
        <w:fldChar w:fldCharType="begin"/>
      </w:r>
      <w:r w:rsidRPr="004D090C">
        <w:rPr>
          <w:sz w:val="22"/>
        </w:rPr>
        <w:instrText xml:space="preserve"> ADDIN EN.REFLIST </w:instrText>
      </w:r>
      <w:r w:rsidRPr="004D090C">
        <w:rPr>
          <w:sz w:val="22"/>
        </w:rPr>
        <w:fldChar w:fldCharType="separate"/>
      </w:r>
      <w:r w:rsidR="009106E3" w:rsidRPr="004D090C">
        <w:rPr>
          <w:sz w:val="22"/>
        </w:rPr>
        <w:t>1.</w:t>
      </w:r>
      <w:r w:rsidR="009106E3" w:rsidRPr="004D090C">
        <w:rPr>
          <w:sz w:val="22"/>
        </w:rPr>
        <w:tab/>
        <w:t>Kleiber M. The fire of life; an introduction to animal energetics. New York,: Wiley.</w:t>
      </w:r>
    </w:p>
    <w:p w14:paraId="73E65834" w14:textId="77777777" w:rsidR="009106E3" w:rsidRPr="004D090C" w:rsidRDefault="009106E3" w:rsidP="004D090C">
      <w:pPr>
        <w:pStyle w:val="EndNoteBibliography"/>
        <w:spacing w:line="276" w:lineRule="auto"/>
        <w:ind w:left="576" w:hanging="576"/>
        <w:rPr>
          <w:sz w:val="22"/>
        </w:rPr>
      </w:pPr>
      <w:r w:rsidRPr="004D090C">
        <w:rPr>
          <w:sz w:val="22"/>
        </w:rPr>
        <w:t>2.</w:t>
      </w:r>
      <w:r w:rsidRPr="004D090C">
        <w:rPr>
          <w:sz w:val="22"/>
        </w:rPr>
        <w:tab/>
        <w:t>Brouwer E. On simple formulae for calculating the heat expenditure and the quantities of carbohydrate and fat oxidized in metabolism of men and animals, from gaseous exchange (Oxygen intake and carbonic acid output) and urine-N. Acta Physiol Pharmacol Neerl. 1957;6:795-802.</w:t>
      </w:r>
    </w:p>
    <w:p w14:paraId="5722F5EF" w14:textId="77777777" w:rsidR="009106E3" w:rsidRPr="004D090C" w:rsidRDefault="009106E3" w:rsidP="004D090C">
      <w:pPr>
        <w:pStyle w:val="EndNoteBibliography"/>
        <w:spacing w:line="276" w:lineRule="auto"/>
        <w:ind w:left="576" w:hanging="576"/>
        <w:rPr>
          <w:sz w:val="22"/>
        </w:rPr>
      </w:pPr>
      <w:r w:rsidRPr="004D090C">
        <w:rPr>
          <w:sz w:val="22"/>
        </w:rPr>
        <w:t>3.</w:t>
      </w:r>
      <w:r w:rsidRPr="004D090C">
        <w:rPr>
          <w:sz w:val="22"/>
        </w:rPr>
        <w:tab/>
        <w:t>Webb P, Saris WH, Schoffelen PF, Van Ingen Schenau GJ, Ten Hoor F. The work of walking: a calorimetric study. Med Sci Sports Exerc. 1988;20(4):331-337.</w:t>
      </w:r>
    </w:p>
    <w:p w14:paraId="38AB72B5" w14:textId="77777777" w:rsidR="009106E3" w:rsidRPr="004D090C" w:rsidRDefault="009106E3" w:rsidP="004D090C">
      <w:pPr>
        <w:pStyle w:val="EndNoteBibliography"/>
        <w:spacing w:line="276" w:lineRule="auto"/>
        <w:ind w:left="576" w:hanging="576"/>
        <w:rPr>
          <w:sz w:val="22"/>
        </w:rPr>
      </w:pPr>
      <w:r w:rsidRPr="004D090C">
        <w:rPr>
          <w:sz w:val="22"/>
        </w:rPr>
        <w:t>4.</w:t>
      </w:r>
      <w:r w:rsidRPr="004D090C">
        <w:rPr>
          <w:sz w:val="22"/>
        </w:rPr>
        <w:tab/>
        <w:t>Speakman JR. The history and theory of the doubly labeled water technique. Am J Clin Nutr. 1998;68(4):932S-938S.</w:t>
      </w:r>
    </w:p>
    <w:p w14:paraId="1399D6A8" w14:textId="77777777" w:rsidR="009106E3" w:rsidRPr="004D090C" w:rsidRDefault="009106E3" w:rsidP="004D090C">
      <w:pPr>
        <w:pStyle w:val="EndNoteBibliography"/>
        <w:spacing w:line="276" w:lineRule="auto"/>
        <w:ind w:left="576" w:hanging="576"/>
        <w:rPr>
          <w:sz w:val="22"/>
        </w:rPr>
      </w:pPr>
      <w:r w:rsidRPr="004D090C">
        <w:rPr>
          <w:sz w:val="22"/>
        </w:rPr>
        <w:t>5.</w:t>
      </w:r>
      <w:r w:rsidRPr="004D090C">
        <w:rPr>
          <w:sz w:val="22"/>
        </w:rPr>
        <w:tab/>
        <w:t>Westerterp KR, Verboeket-van de Venne WP, Bouten CV, de Graaf C, van het Hof KH, Weststrate JA. Energy expenditure and physical activity in subjects consuming full-or reduced-fat products as part of their normal diet. Br J Nutr. 1996;76(6):785-795.</w:t>
      </w:r>
    </w:p>
    <w:p w14:paraId="6E2E0315" w14:textId="77777777" w:rsidR="009106E3" w:rsidRPr="004D090C" w:rsidRDefault="009106E3" w:rsidP="004D090C">
      <w:pPr>
        <w:pStyle w:val="EndNoteBibliography"/>
        <w:spacing w:line="276" w:lineRule="auto"/>
        <w:ind w:left="576" w:hanging="576"/>
        <w:rPr>
          <w:sz w:val="22"/>
        </w:rPr>
      </w:pPr>
      <w:r w:rsidRPr="004D090C">
        <w:rPr>
          <w:sz w:val="22"/>
        </w:rPr>
        <w:lastRenderedPageBreak/>
        <w:t>6.</w:t>
      </w:r>
      <w:r w:rsidRPr="004D090C">
        <w:rPr>
          <w:sz w:val="22"/>
        </w:rPr>
        <w:tab/>
        <w:t>Adriaens MP, Schoffelen PF, Westerterp KR. Intra-individual variation of basal metabolic rate and the influence of daily habitual physical activity before testing. Br J Nutr. 2003;90(2):419-423.</w:t>
      </w:r>
    </w:p>
    <w:p w14:paraId="0C16522F" w14:textId="77777777" w:rsidR="009106E3" w:rsidRPr="004D090C" w:rsidRDefault="009106E3" w:rsidP="004D090C">
      <w:pPr>
        <w:pStyle w:val="EndNoteBibliography"/>
        <w:spacing w:line="276" w:lineRule="auto"/>
        <w:ind w:left="576" w:hanging="576"/>
        <w:rPr>
          <w:sz w:val="22"/>
        </w:rPr>
      </w:pPr>
      <w:r w:rsidRPr="004D090C">
        <w:rPr>
          <w:sz w:val="22"/>
        </w:rPr>
        <w:t>7.</w:t>
      </w:r>
      <w:r w:rsidRPr="004D090C">
        <w:rPr>
          <w:sz w:val="22"/>
        </w:rPr>
        <w:tab/>
        <w:t>Tappy L. Thermic effect of food and sympathetic nervous system activity in humans. Reprod Nutr Dev. 1996;36(4):391-397.</w:t>
      </w:r>
    </w:p>
    <w:p w14:paraId="4B4081DB" w14:textId="77777777" w:rsidR="009106E3" w:rsidRPr="004D090C" w:rsidRDefault="009106E3" w:rsidP="004D090C">
      <w:pPr>
        <w:pStyle w:val="EndNoteBibliography"/>
        <w:spacing w:line="276" w:lineRule="auto"/>
        <w:ind w:left="576" w:hanging="576"/>
        <w:rPr>
          <w:sz w:val="22"/>
        </w:rPr>
      </w:pPr>
      <w:r w:rsidRPr="004D090C">
        <w:rPr>
          <w:sz w:val="22"/>
        </w:rPr>
        <w:t>8.</w:t>
      </w:r>
      <w:r w:rsidRPr="004D090C">
        <w:rPr>
          <w:sz w:val="22"/>
        </w:rPr>
        <w:tab/>
        <w:t>Westerterp KR. Diet induced thermogenesis. Nutr Metab (Lond). 2004;1(1):5.</w:t>
      </w:r>
    </w:p>
    <w:p w14:paraId="36DA9883" w14:textId="77777777" w:rsidR="009106E3" w:rsidRPr="004D090C" w:rsidRDefault="009106E3" w:rsidP="004D090C">
      <w:pPr>
        <w:pStyle w:val="EndNoteBibliography"/>
        <w:spacing w:line="276" w:lineRule="auto"/>
        <w:ind w:left="576" w:hanging="576"/>
        <w:rPr>
          <w:sz w:val="22"/>
        </w:rPr>
      </w:pPr>
      <w:r w:rsidRPr="004D090C">
        <w:rPr>
          <w:sz w:val="22"/>
        </w:rPr>
        <w:t>9.</w:t>
      </w:r>
      <w:r w:rsidRPr="004D090C">
        <w:rPr>
          <w:sz w:val="22"/>
        </w:rPr>
        <w:tab/>
        <w:t>Speakman JR, Westerterp KR. Associations between energy demands, physical activity, and body composition in adult humans between 18 and 96 y of age. Am J Clin Nutr. 2010;92(4):826-834.</w:t>
      </w:r>
    </w:p>
    <w:p w14:paraId="23692A33" w14:textId="77777777" w:rsidR="009106E3" w:rsidRPr="004D090C" w:rsidRDefault="009106E3" w:rsidP="004D090C">
      <w:pPr>
        <w:pStyle w:val="EndNoteBibliography"/>
        <w:spacing w:line="276" w:lineRule="auto"/>
        <w:ind w:left="576" w:hanging="576"/>
        <w:rPr>
          <w:sz w:val="22"/>
        </w:rPr>
      </w:pPr>
      <w:r w:rsidRPr="004D090C">
        <w:rPr>
          <w:sz w:val="22"/>
        </w:rPr>
        <w:t>10.</w:t>
      </w:r>
      <w:r w:rsidRPr="004D090C">
        <w:rPr>
          <w:sz w:val="22"/>
        </w:rPr>
        <w:tab/>
        <w:t>Human energy requirements: report of a joint FAO/ WHO/UNU Expert Consultation. Food Nutr Bull. 2005;26(1):166.</w:t>
      </w:r>
    </w:p>
    <w:p w14:paraId="7C1F84E6" w14:textId="77777777" w:rsidR="009106E3" w:rsidRPr="004D090C" w:rsidRDefault="009106E3" w:rsidP="004D090C">
      <w:pPr>
        <w:pStyle w:val="EndNoteBibliography"/>
        <w:spacing w:line="276" w:lineRule="auto"/>
        <w:ind w:left="576" w:hanging="576"/>
        <w:rPr>
          <w:sz w:val="22"/>
        </w:rPr>
      </w:pPr>
      <w:r w:rsidRPr="004D090C">
        <w:rPr>
          <w:sz w:val="22"/>
        </w:rPr>
        <w:t>11.</w:t>
      </w:r>
      <w:r w:rsidRPr="004D090C">
        <w:rPr>
          <w:sz w:val="22"/>
        </w:rPr>
        <w:tab/>
        <w:t>Camps SG, Verhoef SP, Westerterp KR. Physical activity and weight loss are independent predictors of improved insulin sensitivity following energy restriction. Obesity (Silver Spring). 2016;24(2):291-296.</w:t>
      </w:r>
    </w:p>
    <w:p w14:paraId="3A33DB05" w14:textId="77777777" w:rsidR="009106E3" w:rsidRPr="004D090C" w:rsidRDefault="009106E3" w:rsidP="004D090C">
      <w:pPr>
        <w:pStyle w:val="EndNoteBibliography"/>
        <w:spacing w:line="276" w:lineRule="auto"/>
        <w:ind w:left="576" w:hanging="576"/>
        <w:rPr>
          <w:sz w:val="22"/>
        </w:rPr>
      </w:pPr>
      <w:r w:rsidRPr="004D090C">
        <w:rPr>
          <w:sz w:val="22"/>
        </w:rPr>
        <w:t>12.</w:t>
      </w:r>
      <w:r w:rsidRPr="004D090C">
        <w:rPr>
          <w:sz w:val="22"/>
        </w:rPr>
        <w:tab/>
        <w:t>Sabounchi NS, Rahmandad H, Ammerman A. Best-fitting prediction equations for basal metabolic rate: informing obesity interventions in diverse populations. Int J Obes (Lond). 2013;37(10):1364-1370.</w:t>
      </w:r>
    </w:p>
    <w:p w14:paraId="7A52DA76" w14:textId="77777777" w:rsidR="009106E3" w:rsidRPr="004D090C" w:rsidRDefault="009106E3" w:rsidP="004D090C">
      <w:pPr>
        <w:pStyle w:val="EndNoteBibliography"/>
        <w:spacing w:line="276" w:lineRule="auto"/>
        <w:ind w:left="576" w:hanging="576"/>
        <w:rPr>
          <w:sz w:val="22"/>
        </w:rPr>
      </w:pPr>
      <w:r w:rsidRPr="004D090C">
        <w:rPr>
          <w:sz w:val="22"/>
        </w:rPr>
        <w:t>13.</w:t>
      </w:r>
      <w:r w:rsidRPr="004D090C">
        <w:rPr>
          <w:sz w:val="22"/>
        </w:rPr>
        <w:tab/>
        <w:t>Westerterp KR. Reliable assessment of physical activity in disease: an update on activity monitors. Curr Opin Clin Nutr Metab Care. 2014;17(5):401-406.</w:t>
      </w:r>
    </w:p>
    <w:p w14:paraId="4418A8D4" w14:textId="77777777" w:rsidR="009106E3" w:rsidRPr="004D090C" w:rsidRDefault="009106E3" w:rsidP="004D090C">
      <w:pPr>
        <w:pStyle w:val="EndNoteBibliography"/>
        <w:spacing w:line="276" w:lineRule="auto"/>
        <w:ind w:left="576" w:hanging="576"/>
        <w:rPr>
          <w:sz w:val="22"/>
        </w:rPr>
      </w:pPr>
      <w:r w:rsidRPr="004D090C">
        <w:rPr>
          <w:sz w:val="22"/>
        </w:rPr>
        <w:t>14.</w:t>
      </w:r>
      <w:r w:rsidRPr="004D090C">
        <w:rPr>
          <w:sz w:val="22"/>
        </w:rPr>
        <w:tab/>
        <w:t>Ekelund U, Aman J, Yngve A, Renman C, Westerterp K, Sjostrom M. Physical activity but not energy expenditure is reduced in obese adolescents: a case-control study. Am J Clin Nutr. 2002;76(5):935-941.</w:t>
      </w:r>
    </w:p>
    <w:p w14:paraId="1A3E53A2" w14:textId="77777777" w:rsidR="009106E3" w:rsidRPr="004D090C" w:rsidRDefault="009106E3" w:rsidP="004D090C">
      <w:pPr>
        <w:pStyle w:val="EndNoteBibliography"/>
        <w:spacing w:line="276" w:lineRule="auto"/>
        <w:ind w:left="576" w:hanging="576"/>
        <w:rPr>
          <w:sz w:val="22"/>
        </w:rPr>
      </w:pPr>
      <w:r w:rsidRPr="004D090C">
        <w:rPr>
          <w:sz w:val="22"/>
        </w:rPr>
        <w:t>15.</w:t>
      </w:r>
      <w:r w:rsidRPr="004D090C">
        <w:rPr>
          <w:sz w:val="22"/>
        </w:rPr>
        <w:tab/>
        <w:t>Westerterp KR, Donkers JH, Fredrix EW, Boekhoudt P. Energy intake, physical activity and body weight: a simulation model. Br J Nutr. 1995;73(3):337-347.</w:t>
      </w:r>
    </w:p>
    <w:p w14:paraId="09591874" w14:textId="77777777" w:rsidR="009106E3" w:rsidRPr="004D090C" w:rsidRDefault="009106E3" w:rsidP="004D090C">
      <w:pPr>
        <w:pStyle w:val="EndNoteBibliography"/>
        <w:spacing w:line="276" w:lineRule="auto"/>
        <w:ind w:left="576" w:hanging="576"/>
        <w:rPr>
          <w:sz w:val="22"/>
        </w:rPr>
      </w:pPr>
      <w:r w:rsidRPr="004D090C">
        <w:rPr>
          <w:sz w:val="22"/>
        </w:rPr>
        <w:t>16.</w:t>
      </w:r>
      <w:r w:rsidRPr="004D090C">
        <w:rPr>
          <w:sz w:val="22"/>
        </w:rPr>
        <w:tab/>
        <w:t>Westerterp KR. Physical activity, food intake, and body weight regulation: insights from doubly labeled water studies. Nutr Rev. 2010;68(3):148-154.</w:t>
      </w:r>
    </w:p>
    <w:p w14:paraId="2053DC27" w14:textId="77777777" w:rsidR="009106E3" w:rsidRPr="004D090C" w:rsidRDefault="009106E3" w:rsidP="004D090C">
      <w:pPr>
        <w:pStyle w:val="EndNoteBibliography"/>
        <w:spacing w:line="276" w:lineRule="auto"/>
        <w:ind w:left="576" w:hanging="576"/>
        <w:rPr>
          <w:sz w:val="22"/>
        </w:rPr>
      </w:pPr>
      <w:r w:rsidRPr="004D090C">
        <w:rPr>
          <w:sz w:val="22"/>
        </w:rPr>
        <w:t>17.</w:t>
      </w:r>
      <w:r w:rsidRPr="004D090C">
        <w:rPr>
          <w:sz w:val="22"/>
        </w:rPr>
        <w:tab/>
        <w:t>Camps SG, Verhoef SP, Westerterp KR. Weight loss, weight maintenance, and adaptive thermogenesis. Am J Clin Nutr. 2013;97(5):990-994.</w:t>
      </w:r>
    </w:p>
    <w:p w14:paraId="2293B1EC" w14:textId="77777777" w:rsidR="009106E3" w:rsidRPr="004D090C" w:rsidRDefault="009106E3" w:rsidP="004D090C">
      <w:pPr>
        <w:pStyle w:val="EndNoteBibliography"/>
        <w:spacing w:line="276" w:lineRule="auto"/>
        <w:ind w:left="576" w:hanging="576"/>
        <w:rPr>
          <w:sz w:val="22"/>
        </w:rPr>
      </w:pPr>
      <w:r w:rsidRPr="004D090C">
        <w:rPr>
          <w:sz w:val="22"/>
        </w:rPr>
        <w:t>18.</w:t>
      </w:r>
      <w:r w:rsidRPr="004D090C">
        <w:rPr>
          <w:sz w:val="22"/>
        </w:rPr>
        <w:tab/>
        <w:t>Camps SG, Verhoef SP, Westerterp KR. Weight loss-induced reduction in physical activity recovers during weight maintenance. Am J Clin Nutr. 2013;98(4):917-923.</w:t>
      </w:r>
    </w:p>
    <w:p w14:paraId="1F80FA72" w14:textId="77777777" w:rsidR="009106E3" w:rsidRPr="004D090C" w:rsidRDefault="009106E3" w:rsidP="004D090C">
      <w:pPr>
        <w:pStyle w:val="EndNoteBibliography"/>
        <w:spacing w:line="276" w:lineRule="auto"/>
        <w:ind w:left="576" w:hanging="576"/>
        <w:rPr>
          <w:sz w:val="22"/>
        </w:rPr>
      </w:pPr>
      <w:r w:rsidRPr="004D090C">
        <w:rPr>
          <w:sz w:val="22"/>
        </w:rPr>
        <w:t>19.</w:t>
      </w:r>
      <w:r w:rsidRPr="004D090C">
        <w:rPr>
          <w:sz w:val="22"/>
        </w:rPr>
        <w:tab/>
        <w:t>Taylor HL, Keys A. Adaptation to caloric restriction. Science. 1950;112(2904):215-218.</w:t>
      </w:r>
    </w:p>
    <w:p w14:paraId="5F8EE012" w14:textId="77777777" w:rsidR="009106E3" w:rsidRPr="004D090C" w:rsidRDefault="009106E3" w:rsidP="004D090C">
      <w:pPr>
        <w:pStyle w:val="EndNoteBibliography"/>
        <w:spacing w:line="276" w:lineRule="auto"/>
        <w:ind w:left="576" w:hanging="576"/>
        <w:rPr>
          <w:sz w:val="22"/>
        </w:rPr>
      </w:pPr>
      <w:r w:rsidRPr="004D090C">
        <w:rPr>
          <w:sz w:val="22"/>
        </w:rPr>
        <w:t>20.</w:t>
      </w:r>
      <w:r w:rsidRPr="004D090C">
        <w:rPr>
          <w:sz w:val="22"/>
        </w:rPr>
        <w:tab/>
        <w:t>Joosen AM, Gielen M, Vlietinck R, Westerterp KR. Genetic analysis of physical activity in twins. Am J Clin Nutr. 2005;82(6):1253-1259.</w:t>
      </w:r>
    </w:p>
    <w:p w14:paraId="4786844F" w14:textId="77777777" w:rsidR="009106E3" w:rsidRPr="004D090C" w:rsidRDefault="009106E3" w:rsidP="004D090C">
      <w:pPr>
        <w:pStyle w:val="EndNoteBibliography"/>
        <w:spacing w:line="276" w:lineRule="auto"/>
        <w:ind w:left="576" w:hanging="576"/>
        <w:rPr>
          <w:sz w:val="22"/>
        </w:rPr>
      </w:pPr>
      <w:r w:rsidRPr="004D090C">
        <w:rPr>
          <w:sz w:val="22"/>
        </w:rPr>
        <w:t>21.</w:t>
      </w:r>
      <w:r w:rsidRPr="004D090C">
        <w:rPr>
          <w:sz w:val="22"/>
        </w:rPr>
        <w:tab/>
        <w:t>Westerterp KR, Plasqui G. Physical activity and human energy expenditure. Curr Opin Clin Nutr Metab Care. 2004;7(6):607-613.</w:t>
      </w:r>
    </w:p>
    <w:p w14:paraId="103CDFF7" w14:textId="77777777" w:rsidR="009106E3" w:rsidRPr="004D090C" w:rsidRDefault="009106E3" w:rsidP="004D090C">
      <w:pPr>
        <w:pStyle w:val="EndNoteBibliography"/>
        <w:spacing w:line="276" w:lineRule="auto"/>
        <w:ind w:left="576" w:hanging="576"/>
        <w:rPr>
          <w:sz w:val="22"/>
        </w:rPr>
      </w:pPr>
      <w:r w:rsidRPr="004D090C">
        <w:rPr>
          <w:sz w:val="22"/>
        </w:rPr>
        <w:t>22.</w:t>
      </w:r>
      <w:r w:rsidRPr="004D090C">
        <w:rPr>
          <w:sz w:val="22"/>
        </w:rPr>
        <w:tab/>
        <w:t>Westerterp KR, Meijer GA, Janssen EM, Saris WH, Ten Hoor F. Long-term effect of physical activity on energy balance and body composition. Br J Nutr. 1992;68(1):21-30.</w:t>
      </w:r>
    </w:p>
    <w:p w14:paraId="3E2D14AD" w14:textId="77777777" w:rsidR="009106E3" w:rsidRPr="004D090C" w:rsidRDefault="009106E3" w:rsidP="004D090C">
      <w:pPr>
        <w:pStyle w:val="EndNoteBibliography"/>
        <w:spacing w:line="276" w:lineRule="auto"/>
        <w:ind w:left="576" w:hanging="576"/>
        <w:rPr>
          <w:sz w:val="22"/>
        </w:rPr>
      </w:pPr>
      <w:r w:rsidRPr="004D090C">
        <w:rPr>
          <w:sz w:val="22"/>
        </w:rPr>
        <w:t>23.</w:t>
      </w:r>
      <w:r w:rsidRPr="004D090C">
        <w:rPr>
          <w:sz w:val="22"/>
        </w:rPr>
        <w:tab/>
        <w:t>Valenti G, Bonomi AG, Westerterp KR. Multicomponent Fitness Training Improves Walking Economy in Older Adults. Med Sci Sports Exerc. 2016;48(7):1365-1370.</w:t>
      </w:r>
    </w:p>
    <w:p w14:paraId="4DEF2DD8" w14:textId="77777777" w:rsidR="009106E3" w:rsidRPr="004D090C" w:rsidRDefault="009106E3" w:rsidP="004D090C">
      <w:pPr>
        <w:pStyle w:val="EndNoteBibliography"/>
        <w:spacing w:line="276" w:lineRule="auto"/>
        <w:ind w:left="576" w:hanging="576"/>
        <w:rPr>
          <w:sz w:val="22"/>
        </w:rPr>
      </w:pPr>
      <w:r w:rsidRPr="004D090C">
        <w:rPr>
          <w:sz w:val="22"/>
        </w:rPr>
        <w:t>24.</w:t>
      </w:r>
      <w:r w:rsidRPr="004D090C">
        <w:rPr>
          <w:sz w:val="22"/>
        </w:rPr>
        <w:tab/>
        <w:t>Thurber C, Dugas LR, Ocobock C, Carlson B, Speakman JR, Pontzer H. Extreme events reveal an alimentary limit on sustained maximal human energy expenditure. Sci Adv. 2019;5(6):eaaw0341.</w:t>
      </w:r>
    </w:p>
    <w:p w14:paraId="0AD05EBE" w14:textId="77777777" w:rsidR="009106E3" w:rsidRPr="004D090C" w:rsidRDefault="009106E3" w:rsidP="004D090C">
      <w:pPr>
        <w:pStyle w:val="EndNoteBibliography"/>
        <w:spacing w:line="276" w:lineRule="auto"/>
        <w:ind w:left="576" w:hanging="576"/>
        <w:rPr>
          <w:sz w:val="22"/>
        </w:rPr>
      </w:pPr>
      <w:r w:rsidRPr="004D090C">
        <w:rPr>
          <w:sz w:val="22"/>
        </w:rPr>
        <w:t>25.</w:t>
      </w:r>
      <w:r w:rsidRPr="004D090C">
        <w:rPr>
          <w:sz w:val="22"/>
        </w:rPr>
        <w:tab/>
        <w:t>Edholm OG, Fletcher JG, Widdowson EM, McCance RA. The energy expenditure and food intake of individual men. Br J Nutr. 1955;9(3):286-300.</w:t>
      </w:r>
    </w:p>
    <w:p w14:paraId="72F95CA8" w14:textId="77777777" w:rsidR="009106E3" w:rsidRPr="004D090C" w:rsidRDefault="009106E3" w:rsidP="004D090C">
      <w:pPr>
        <w:pStyle w:val="EndNoteBibliography"/>
        <w:spacing w:line="276" w:lineRule="auto"/>
        <w:ind w:left="576" w:hanging="576"/>
        <w:rPr>
          <w:sz w:val="22"/>
        </w:rPr>
      </w:pPr>
      <w:r w:rsidRPr="004D090C">
        <w:rPr>
          <w:sz w:val="22"/>
        </w:rPr>
        <w:lastRenderedPageBreak/>
        <w:t>26.</w:t>
      </w:r>
      <w:r w:rsidRPr="004D090C">
        <w:rPr>
          <w:sz w:val="22"/>
        </w:rPr>
        <w:tab/>
        <w:t>Westerterp KR. Limits to sustainable human metabolic rate. J Exp Biol. 2001;204(Pt 18):3183-3187.</w:t>
      </w:r>
    </w:p>
    <w:p w14:paraId="235A9B83" w14:textId="77777777" w:rsidR="009106E3" w:rsidRPr="004D090C" w:rsidRDefault="009106E3" w:rsidP="004D090C">
      <w:pPr>
        <w:pStyle w:val="EndNoteBibliography"/>
        <w:spacing w:line="276" w:lineRule="auto"/>
        <w:ind w:left="576" w:hanging="576"/>
        <w:rPr>
          <w:sz w:val="22"/>
        </w:rPr>
      </w:pPr>
      <w:r w:rsidRPr="004D090C">
        <w:rPr>
          <w:sz w:val="22"/>
        </w:rPr>
        <w:t>27.</w:t>
      </w:r>
      <w:r w:rsidRPr="004D090C">
        <w:rPr>
          <w:sz w:val="22"/>
        </w:rPr>
        <w:tab/>
        <w:t>Schrauwen P, Lichtenbelt WD, Saris WH, Westerterp KR. Fat balance in obese subjects: role of glycogen stores. Am J Physiol. 1998;274(6):E1027-1033.</w:t>
      </w:r>
    </w:p>
    <w:p w14:paraId="160044C7" w14:textId="77777777" w:rsidR="009106E3" w:rsidRPr="004D090C" w:rsidRDefault="009106E3" w:rsidP="004D090C">
      <w:pPr>
        <w:pStyle w:val="EndNoteBibliography"/>
        <w:spacing w:line="276" w:lineRule="auto"/>
        <w:ind w:left="576" w:hanging="576"/>
        <w:rPr>
          <w:sz w:val="22"/>
        </w:rPr>
      </w:pPr>
      <w:r w:rsidRPr="004D090C">
        <w:rPr>
          <w:sz w:val="22"/>
        </w:rPr>
        <w:t>28.</w:t>
      </w:r>
      <w:r w:rsidRPr="004D090C">
        <w:rPr>
          <w:sz w:val="22"/>
        </w:rPr>
        <w:tab/>
        <w:t>Verboeket-van de Venne WP, Westerterp KR. Influence of the feeding frequency on nutrient utilization in man: consequences for energy metabolism. Eur J Clin Nutr. 1991;45(3):161-169.</w:t>
      </w:r>
    </w:p>
    <w:p w14:paraId="56CD343F" w14:textId="77777777" w:rsidR="009106E3" w:rsidRPr="004D090C" w:rsidRDefault="009106E3" w:rsidP="004D090C">
      <w:pPr>
        <w:pStyle w:val="EndNoteBibliography"/>
        <w:spacing w:line="276" w:lineRule="auto"/>
        <w:ind w:left="576" w:hanging="576"/>
        <w:rPr>
          <w:sz w:val="22"/>
        </w:rPr>
      </w:pPr>
      <w:r w:rsidRPr="004D090C">
        <w:rPr>
          <w:sz w:val="22"/>
        </w:rPr>
        <w:t>29.</w:t>
      </w:r>
      <w:r w:rsidRPr="004D090C">
        <w:rPr>
          <w:sz w:val="22"/>
        </w:rPr>
        <w:tab/>
        <w:t>Westerterp-Plantenga MS, MJ IJ, Wijckmans-Duijsens NE. The role of macronutrient selection in determining patterns of food intake in obese and non-obese women. Eur J Clin Nutr. 1996;50(9):580-591.</w:t>
      </w:r>
    </w:p>
    <w:p w14:paraId="2CE8F386" w14:textId="77777777" w:rsidR="009106E3" w:rsidRPr="004D090C" w:rsidRDefault="009106E3" w:rsidP="004D090C">
      <w:pPr>
        <w:pStyle w:val="EndNoteBibliography"/>
        <w:spacing w:line="276" w:lineRule="auto"/>
        <w:ind w:left="576" w:hanging="576"/>
        <w:rPr>
          <w:sz w:val="22"/>
        </w:rPr>
      </w:pPr>
      <w:r w:rsidRPr="004D090C">
        <w:rPr>
          <w:sz w:val="22"/>
        </w:rPr>
        <w:t>30.</w:t>
      </w:r>
      <w:r w:rsidRPr="004D090C">
        <w:rPr>
          <w:sz w:val="22"/>
        </w:rPr>
        <w:tab/>
        <w:t>Almoosawi S, Prynne CJ, Hardy R, Stephen AM. Time-of-day and nutrient composition of eating occasions: prospective association with the metabolic syndrome in the 1946 British birth cohort. Int J Obes (Lond). 2013;37(5):725-731.</w:t>
      </w:r>
    </w:p>
    <w:p w14:paraId="63C4ABFB" w14:textId="77777777" w:rsidR="009106E3" w:rsidRPr="004D090C" w:rsidRDefault="009106E3" w:rsidP="004D090C">
      <w:pPr>
        <w:pStyle w:val="EndNoteBibliography"/>
        <w:spacing w:line="276" w:lineRule="auto"/>
        <w:ind w:left="576" w:hanging="576"/>
        <w:rPr>
          <w:sz w:val="22"/>
        </w:rPr>
      </w:pPr>
      <w:r w:rsidRPr="004D090C">
        <w:rPr>
          <w:sz w:val="22"/>
        </w:rPr>
        <w:t>31.</w:t>
      </w:r>
      <w:r w:rsidRPr="004D090C">
        <w:rPr>
          <w:sz w:val="22"/>
        </w:rPr>
        <w:tab/>
        <w:t>Schrauwen P, van Marken Lichtenbelt WD, Saris WH, Westerterp KR. Changes in fat oxidation in response to a high-fat diet. Am J Clin Nutr. 1997;66(2):276-282.</w:t>
      </w:r>
    </w:p>
    <w:p w14:paraId="1C4A6ACF" w14:textId="77777777" w:rsidR="009106E3" w:rsidRPr="004D090C" w:rsidRDefault="009106E3" w:rsidP="004D090C">
      <w:pPr>
        <w:pStyle w:val="EndNoteBibliography"/>
        <w:spacing w:line="276" w:lineRule="auto"/>
        <w:ind w:left="576" w:hanging="576"/>
        <w:rPr>
          <w:sz w:val="22"/>
        </w:rPr>
      </w:pPr>
      <w:r w:rsidRPr="004D090C">
        <w:rPr>
          <w:sz w:val="22"/>
        </w:rPr>
        <w:t>32.</w:t>
      </w:r>
      <w:r w:rsidRPr="004D090C">
        <w:rPr>
          <w:sz w:val="22"/>
        </w:rPr>
        <w:tab/>
        <w:t>Westerterp KR, Smeets A, Lejeune MP, Wouters-Adriaens MP, Westerterp-Plantenga MS. Dietary fat oxidation as a function of body fat. Am J Clin Nutr. 2008;87(1):132-135.</w:t>
      </w:r>
    </w:p>
    <w:p w14:paraId="1F2BE418" w14:textId="0C5AF9E5" w:rsidR="009919FB" w:rsidRPr="004D090C" w:rsidRDefault="00A1141C" w:rsidP="004D090C">
      <w:pPr>
        <w:spacing w:after="0" w:line="276" w:lineRule="auto"/>
        <w:ind w:left="576" w:hanging="576"/>
        <w:rPr>
          <w:rFonts w:cs="Arial"/>
          <w:sz w:val="22"/>
          <w:szCs w:val="22"/>
        </w:rPr>
      </w:pPr>
      <w:r w:rsidRPr="004D090C">
        <w:rPr>
          <w:rFonts w:cs="Arial"/>
          <w:sz w:val="22"/>
          <w:szCs w:val="22"/>
        </w:rPr>
        <w:fldChar w:fldCharType="end"/>
      </w:r>
      <w:bookmarkEnd w:id="2"/>
    </w:p>
    <w:sectPr w:rsidR="009919FB" w:rsidRPr="004D090C">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76868" w14:textId="77777777" w:rsidR="00477DBD" w:rsidRDefault="00477DBD" w:rsidP="009919FB">
      <w:pPr>
        <w:spacing w:after="0"/>
      </w:pPr>
      <w:r>
        <w:separator/>
      </w:r>
    </w:p>
  </w:endnote>
  <w:endnote w:type="continuationSeparator" w:id="0">
    <w:p w14:paraId="2FD56451" w14:textId="77777777" w:rsidR="00477DBD" w:rsidRDefault="00477DBD" w:rsidP="009919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Arial-BoldMT">
    <w:altName w:val="Segoe Print"/>
    <w:charset w:val="00"/>
    <w:family w:val="swiss"/>
    <w:pitch w:val="default"/>
    <w:sig w:usb0="00000000" w:usb1="00000000" w:usb2="00000000" w:usb3="00000000" w:csb0="00000001" w:csb1="00000000"/>
  </w:font>
  <w:font w:name="ArialMT">
    <w:altName w:val="Times New Roman"/>
    <w:charset w:val="00"/>
    <w:family w:val="roman"/>
    <w:pitch w:val="default"/>
  </w:font>
  <w:font w:name="SymbolMT">
    <w:altName w:val="Times New Roman"/>
    <w:charset w:val="00"/>
    <w:family w:val="roman"/>
    <w:pitch w:val="default"/>
  </w:font>
  <w:font w:name="Arial-ItalicMT">
    <w:altName w:val="Times New Roman"/>
    <w:charset w:val="00"/>
    <w:family w:val="roman"/>
    <w:pitch w:val="default"/>
  </w:font>
  <w:font w:name="Arial-BoldItalicMT">
    <w:altName w:val="Times New Roman"/>
    <w:charset w:val="00"/>
    <w:family w:val="roman"/>
    <w:pitch w:val="default"/>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096CE" w14:textId="77777777" w:rsidR="00477DBD" w:rsidRDefault="00477DBD" w:rsidP="009919FB">
      <w:pPr>
        <w:spacing w:after="0"/>
      </w:pPr>
      <w:r>
        <w:separator/>
      </w:r>
    </w:p>
  </w:footnote>
  <w:footnote w:type="continuationSeparator" w:id="0">
    <w:p w14:paraId="5C773603" w14:textId="77777777" w:rsidR="00477DBD" w:rsidRDefault="00477DBD" w:rsidP="009919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25068" w14:textId="41DB4F29" w:rsidR="00922697" w:rsidRDefault="009226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E0BA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3B465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E26AD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C104C4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5966C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0BCFC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E2E3A9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9828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FCE71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14BB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C917399"/>
    <w:multiLevelType w:val="hybridMultilevel"/>
    <w:tmpl w:val="003666C6"/>
    <w:lvl w:ilvl="0" w:tplc="3C88DA74">
      <w:start w:val="1"/>
      <w:numFmt w:val="decimal"/>
      <w:lvlText w:val="%1."/>
      <w:lvlJc w:val="left"/>
      <w:pPr>
        <w:ind w:left="36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11" w15:restartNumberingAfterBreak="0">
    <w:nsid w:val="30D76123"/>
    <w:multiLevelType w:val="hybridMultilevel"/>
    <w:tmpl w:val="6D6AF78A"/>
    <w:lvl w:ilvl="0" w:tplc="2DF6985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192632"/>
    <w:multiLevelType w:val="hybridMultilevel"/>
    <w:tmpl w:val="7C7AF7F4"/>
    <w:lvl w:ilvl="0" w:tplc="B38C920E">
      <w:start w:val="1"/>
      <w:numFmt w:val="bullet"/>
      <w:pStyle w:val="Bulletedlist1"/>
      <w:lvlText w:val=""/>
      <w:lvlJc w:val="left"/>
      <w:pPr>
        <w:ind w:left="900" w:hanging="360"/>
      </w:pPr>
      <w:rPr>
        <w:rFonts w:ascii="Symbol" w:hAnsi="Symbol" w:hint="default"/>
      </w:rPr>
    </w:lvl>
    <w:lvl w:ilvl="1" w:tplc="711E01D6">
      <w:start w:val="1"/>
      <w:numFmt w:val="bullet"/>
      <w:pStyle w:val="Bulletedlist2"/>
      <w:lvlText w:val="o"/>
      <w:lvlJc w:val="left"/>
      <w:pPr>
        <w:ind w:left="1440" w:hanging="360"/>
      </w:pPr>
      <w:rPr>
        <w:rFonts w:ascii="Courier New" w:hAnsi="Courier New" w:cs="Courier New" w:hint="default"/>
      </w:rPr>
    </w:lvl>
    <w:lvl w:ilvl="2" w:tplc="E7F063E6">
      <w:start w:val="1"/>
      <w:numFmt w:val="bullet"/>
      <w:pStyle w:val="Bulletedlist3"/>
      <w:lvlText w:val=""/>
      <w:lvlJc w:val="left"/>
      <w:pPr>
        <w:ind w:left="2160" w:hanging="360"/>
      </w:pPr>
      <w:rPr>
        <w:rFonts w:ascii="Wingdings" w:hAnsi="Wingdings" w:hint="default"/>
      </w:rPr>
    </w:lvl>
    <w:lvl w:ilvl="3" w:tplc="D6D2CD1C">
      <w:start w:val="1"/>
      <w:numFmt w:val="bullet"/>
      <w:pStyle w:val="Bulletedlist4"/>
      <w:lvlText w:val=""/>
      <w:lvlJc w:val="left"/>
      <w:pPr>
        <w:ind w:left="2880" w:hanging="360"/>
      </w:pPr>
      <w:rPr>
        <w:rFonts w:ascii="Symbol" w:hAnsi="Symbol" w:hint="default"/>
      </w:rPr>
    </w:lvl>
    <w:lvl w:ilvl="4" w:tplc="02D64550">
      <w:start w:val="1"/>
      <w:numFmt w:val="bullet"/>
      <w:pStyle w:val="Bulletedlist5"/>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716F3D"/>
    <w:multiLevelType w:val="multilevel"/>
    <w:tmpl w:val="A2401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B076EF"/>
    <w:multiLevelType w:val="hybridMultilevel"/>
    <w:tmpl w:val="2676F922"/>
    <w:lvl w:ilvl="0" w:tplc="560A18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12"/>
  </w:num>
  <w:num w:numId="4">
    <w:abstractNumId w:val="12"/>
  </w:num>
  <w:num w:numId="5">
    <w:abstractNumId w:val="12"/>
  </w:num>
  <w:num w:numId="6">
    <w:abstractNumId w:val="12"/>
  </w:num>
  <w:num w:numId="7">
    <w:abstractNumId w:val="12"/>
  </w:num>
  <w:num w:numId="8">
    <w:abstractNumId w:val="9"/>
  </w:num>
  <w:num w:numId="9">
    <w:abstractNumId w:val="8"/>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12"/>
  </w:num>
  <w:num w:numId="41">
    <w:abstractNumId w:val="12"/>
  </w:num>
  <w:num w:numId="42">
    <w:abstractNumId w:val="12"/>
  </w:num>
  <w:num w:numId="43">
    <w:abstractNumId w:val="12"/>
  </w:num>
  <w:num w:numId="44">
    <w:abstractNumId w:val="12"/>
  </w:num>
  <w:num w:numId="45">
    <w:abstractNumId w:val="12"/>
  </w:num>
  <w:num w:numId="46">
    <w:abstractNumId w:val="12"/>
  </w:num>
  <w:num w:numId="47">
    <w:abstractNumId w:val="12"/>
  </w:num>
  <w:num w:numId="48">
    <w:abstractNumId w:val="13"/>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Clinical Endo Metabolism&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vt9995p1wxx22eefv2xzrame55pwzadt2ws&quot;&gt;Purnell Bibliography&lt;record-ids&gt;&lt;item&gt;7073&lt;/item&gt;&lt;item&gt;7074&lt;/item&gt;&lt;item&gt;7075&lt;/item&gt;&lt;item&gt;7076&lt;/item&gt;&lt;item&gt;7077&lt;/item&gt;&lt;item&gt;7078&lt;/item&gt;&lt;item&gt;7079&lt;/item&gt;&lt;item&gt;7080&lt;/item&gt;&lt;item&gt;7081&lt;/item&gt;&lt;item&gt;7082&lt;/item&gt;&lt;item&gt;7083&lt;/item&gt;&lt;item&gt;7084&lt;/item&gt;&lt;item&gt;7085&lt;/item&gt;&lt;item&gt;7086&lt;/item&gt;&lt;item&gt;7088&lt;/item&gt;&lt;item&gt;7089&lt;/item&gt;&lt;item&gt;7090&lt;/item&gt;&lt;item&gt;7091&lt;/item&gt;&lt;item&gt;7092&lt;/item&gt;&lt;item&gt;7093&lt;/item&gt;&lt;item&gt;7094&lt;/item&gt;&lt;item&gt;7095&lt;/item&gt;&lt;item&gt;7096&lt;/item&gt;&lt;item&gt;7097&lt;/item&gt;&lt;item&gt;7098&lt;/item&gt;&lt;item&gt;7099&lt;/item&gt;&lt;item&gt;7100&lt;/item&gt;&lt;item&gt;7101&lt;/item&gt;&lt;item&gt;7102&lt;/item&gt;&lt;item&gt;7103&lt;/item&gt;&lt;item&gt;7104&lt;/item&gt;&lt;item&gt;7105&lt;/item&gt;&lt;/record-ids&gt;&lt;/item&gt;&lt;/Libraries&gt;"/>
  </w:docVars>
  <w:rsids>
    <w:rsidRoot w:val="009919FB"/>
    <w:rsid w:val="00010704"/>
    <w:rsid w:val="00016891"/>
    <w:rsid w:val="000B3B58"/>
    <w:rsid w:val="000C18A2"/>
    <w:rsid w:val="000D6588"/>
    <w:rsid w:val="000E1E5A"/>
    <w:rsid w:val="000E5290"/>
    <w:rsid w:val="00116D1C"/>
    <w:rsid w:val="001375EA"/>
    <w:rsid w:val="0015195E"/>
    <w:rsid w:val="001603B3"/>
    <w:rsid w:val="00170A73"/>
    <w:rsid w:val="00187E1F"/>
    <w:rsid w:val="001D75F7"/>
    <w:rsid w:val="00200BE5"/>
    <w:rsid w:val="00206169"/>
    <w:rsid w:val="00211B85"/>
    <w:rsid w:val="002175D2"/>
    <w:rsid w:val="002313EE"/>
    <w:rsid w:val="0028380C"/>
    <w:rsid w:val="002845C9"/>
    <w:rsid w:val="002C733C"/>
    <w:rsid w:val="002D611F"/>
    <w:rsid w:val="002F1D0D"/>
    <w:rsid w:val="003402A7"/>
    <w:rsid w:val="00345FFD"/>
    <w:rsid w:val="00381873"/>
    <w:rsid w:val="0041634B"/>
    <w:rsid w:val="004202D6"/>
    <w:rsid w:val="00421C1C"/>
    <w:rsid w:val="0044664D"/>
    <w:rsid w:val="0046096C"/>
    <w:rsid w:val="00461EA0"/>
    <w:rsid w:val="00477DBD"/>
    <w:rsid w:val="0049744E"/>
    <w:rsid w:val="004A3A42"/>
    <w:rsid w:val="004B0E82"/>
    <w:rsid w:val="004B5599"/>
    <w:rsid w:val="004D090C"/>
    <w:rsid w:val="004E1F9B"/>
    <w:rsid w:val="005272FA"/>
    <w:rsid w:val="00545A03"/>
    <w:rsid w:val="00564D9E"/>
    <w:rsid w:val="00566B51"/>
    <w:rsid w:val="0058014B"/>
    <w:rsid w:val="005915AF"/>
    <w:rsid w:val="00593014"/>
    <w:rsid w:val="005A4DA7"/>
    <w:rsid w:val="005C12F2"/>
    <w:rsid w:val="005C2076"/>
    <w:rsid w:val="005C2615"/>
    <w:rsid w:val="005E7C7A"/>
    <w:rsid w:val="005F23CC"/>
    <w:rsid w:val="00601906"/>
    <w:rsid w:val="006574C9"/>
    <w:rsid w:val="006A20BE"/>
    <w:rsid w:val="006B0FAF"/>
    <w:rsid w:val="006D6C64"/>
    <w:rsid w:val="006E6747"/>
    <w:rsid w:val="007230F3"/>
    <w:rsid w:val="00724E42"/>
    <w:rsid w:val="00736448"/>
    <w:rsid w:val="0073686F"/>
    <w:rsid w:val="007D7BE3"/>
    <w:rsid w:val="007F42BD"/>
    <w:rsid w:val="007F6787"/>
    <w:rsid w:val="00805242"/>
    <w:rsid w:val="008162C0"/>
    <w:rsid w:val="00825E5F"/>
    <w:rsid w:val="008502A1"/>
    <w:rsid w:val="008739A3"/>
    <w:rsid w:val="00873A11"/>
    <w:rsid w:val="008936A0"/>
    <w:rsid w:val="008956E3"/>
    <w:rsid w:val="008C2D11"/>
    <w:rsid w:val="008F1192"/>
    <w:rsid w:val="008F3E78"/>
    <w:rsid w:val="008F45F5"/>
    <w:rsid w:val="009106E3"/>
    <w:rsid w:val="00914CF9"/>
    <w:rsid w:val="00922697"/>
    <w:rsid w:val="00947385"/>
    <w:rsid w:val="00965A50"/>
    <w:rsid w:val="00985D13"/>
    <w:rsid w:val="009919FB"/>
    <w:rsid w:val="00993D41"/>
    <w:rsid w:val="009C7316"/>
    <w:rsid w:val="009C7AF1"/>
    <w:rsid w:val="009E6D42"/>
    <w:rsid w:val="00A04C87"/>
    <w:rsid w:val="00A1141C"/>
    <w:rsid w:val="00A2077D"/>
    <w:rsid w:val="00A20A95"/>
    <w:rsid w:val="00A323C2"/>
    <w:rsid w:val="00A36BF1"/>
    <w:rsid w:val="00A4250A"/>
    <w:rsid w:val="00A555CA"/>
    <w:rsid w:val="00A67115"/>
    <w:rsid w:val="00A84425"/>
    <w:rsid w:val="00AD1B99"/>
    <w:rsid w:val="00AE0BA6"/>
    <w:rsid w:val="00B018AC"/>
    <w:rsid w:val="00B2274E"/>
    <w:rsid w:val="00B255A3"/>
    <w:rsid w:val="00B8303B"/>
    <w:rsid w:val="00B900DB"/>
    <w:rsid w:val="00BC636E"/>
    <w:rsid w:val="00BD2D9A"/>
    <w:rsid w:val="00C025D0"/>
    <w:rsid w:val="00C47204"/>
    <w:rsid w:val="00C51F44"/>
    <w:rsid w:val="00C833FA"/>
    <w:rsid w:val="00C84B41"/>
    <w:rsid w:val="00C90807"/>
    <w:rsid w:val="00C93614"/>
    <w:rsid w:val="00C9445C"/>
    <w:rsid w:val="00CB00CF"/>
    <w:rsid w:val="00CD3A6E"/>
    <w:rsid w:val="00CE31B3"/>
    <w:rsid w:val="00D0788E"/>
    <w:rsid w:val="00D16752"/>
    <w:rsid w:val="00D47B53"/>
    <w:rsid w:val="00D7580D"/>
    <w:rsid w:val="00DB5EF6"/>
    <w:rsid w:val="00E128DD"/>
    <w:rsid w:val="00E22BAD"/>
    <w:rsid w:val="00E37411"/>
    <w:rsid w:val="00E42EDE"/>
    <w:rsid w:val="00E4476F"/>
    <w:rsid w:val="00E82FFD"/>
    <w:rsid w:val="00E90113"/>
    <w:rsid w:val="00EB0F2E"/>
    <w:rsid w:val="00EB225A"/>
    <w:rsid w:val="00F02A3F"/>
    <w:rsid w:val="00F0652C"/>
    <w:rsid w:val="00F42574"/>
    <w:rsid w:val="00F74A85"/>
    <w:rsid w:val="00F77D53"/>
    <w:rsid w:val="00FA4B0F"/>
    <w:rsid w:val="00FE10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61FB7C"/>
  <w15:docId w15:val="{99F6CCFC-6A98-654C-B21F-4CF455AD4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4CF9"/>
    <w:pPr>
      <w:spacing w:after="120"/>
    </w:pPr>
    <w:rPr>
      <w:rFonts w:ascii="Arial" w:hAnsi="Arial"/>
      <w:sz w:val="24"/>
    </w:rPr>
  </w:style>
  <w:style w:type="paragraph" w:styleId="Heading1">
    <w:name w:val="heading 1"/>
    <w:basedOn w:val="Normal"/>
    <w:next w:val="Normal"/>
    <w:link w:val="Heading1Char"/>
    <w:autoRedefine/>
    <w:uiPriority w:val="99"/>
    <w:qFormat/>
    <w:rsid w:val="00E37411"/>
    <w:pPr>
      <w:keepNext/>
      <w:spacing w:after="0" w:line="276" w:lineRule="auto"/>
      <w:outlineLvl w:val="0"/>
    </w:pPr>
    <w:rPr>
      <w:b/>
      <w:color w:val="9E0000"/>
      <w:sz w:val="28"/>
    </w:rPr>
  </w:style>
  <w:style w:type="paragraph" w:styleId="Heading2">
    <w:name w:val="heading 2"/>
    <w:basedOn w:val="Normal"/>
    <w:next w:val="Normal"/>
    <w:link w:val="Heading2Char"/>
    <w:autoRedefine/>
    <w:qFormat/>
    <w:rsid w:val="00E37411"/>
    <w:pPr>
      <w:keepNext/>
      <w:spacing w:after="0" w:line="276" w:lineRule="auto"/>
      <w:outlineLvl w:val="1"/>
    </w:pPr>
    <w:rPr>
      <w:rFonts w:cs="Arial"/>
      <w:b/>
      <w:color w:val="44546A" w:themeColor="text2"/>
      <w:sz w:val="22"/>
      <w:szCs w:val="22"/>
    </w:rPr>
  </w:style>
  <w:style w:type="paragraph" w:styleId="Heading3">
    <w:name w:val="heading 3"/>
    <w:basedOn w:val="Normal"/>
    <w:next w:val="Normal"/>
    <w:link w:val="Heading3Char"/>
    <w:autoRedefine/>
    <w:uiPriority w:val="99"/>
    <w:qFormat/>
    <w:rsid w:val="00E37411"/>
    <w:pPr>
      <w:keepNext/>
      <w:spacing w:after="0" w:line="276" w:lineRule="auto"/>
      <w:outlineLvl w:val="2"/>
    </w:pPr>
    <w:rPr>
      <w:b/>
      <w:color w:val="00B050"/>
      <w:sz w:val="22"/>
    </w:rPr>
  </w:style>
  <w:style w:type="paragraph" w:styleId="Heading4">
    <w:name w:val="heading 4"/>
    <w:basedOn w:val="Normal"/>
    <w:next w:val="Normal"/>
    <w:link w:val="Heading4Char"/>
    <w:autoRedefine/>
    <w:qFormat/>
    <w:rsid w:val="006574C9"/>
    <w:pPr>
      <w:keepNext/>
      <w:spacing w:after="0" w:line="276" w:lineRule="auto"/>
      <w:outlineLvl w:val="3"/>
    </w:pPr>
    <w:rPr>
      <w:rFonts w:eastAsiaTheme="majorEastAsia"/>
      <w:caps/>
      <w:sz w:val="22"/>
    </w:rPr>
  </w:style>
  <w:style w:type="paragraph" w:styleId="Heading5">
    <w:name w:val="heading 5"/>
    <w:basedOn w:val="Normal"/>
    <w:next w:val="Normal"/>
    <w:link w:val="Heading5Char"/>
    <w:qFormat/>
    <w:rsid w:val="00914CF9"/>
    <w:pPr>
      <w:spacing w:before="240" w:after="60" w:line="480" w:lineRule="auto"/>
      <w:outlineLvl w:val="4"/>
    </w:pPr>
    <w:rPr>
      <w:i/>
    </w:rPr>
  </w:style>
  <w:style w:type="paragraph" w:styleId="Heading6">
    <w:name w:val="heading 6"/>
    <w:basedOn w:val="Normal"/>
    <w:next w:val="Normal"/>
    <w:link w:val="Heading6Char"/>
    <w:qFormat/>
    <w:rsid w:val="00914CF9"/>
    <w:pPr>
      <w:keepNext/>
      <w:spacing w:line="480" w:lineRule="auto"/>
      <w:outlineLvl w:val="5"/>
    </w:pPr>
    <w:rPr>
      <w:rFonts w:eastAsia="Times New Roman"/>
      <w:b/>
      <w:sz w:val="22"/>
    </w:rPr>
  </w:style>
  <w:style w:type="paragraph" w:styleId="Heading7">
    <w:name w:val="heading 7"/>
    <w:basedOn w:val="Normal"/>
    <w:next w:val="Normal"/>
    <w:link w:val="Heading7Char"/>
    <w:qFormat/>
    <w:rsid w:val="00914CF9"/>
    <w:pPr>
      <w:keepNext/>
      <w:ind w:right="-900"/>
      <w:jc w:val="both"/>
      <w:outlineLvl w:val="6"/>
    </w:pPr>
    <w:rPr>
      <w:b/>
      <w:sz w:val="20"/>
    </w:rPr>
  </w:style>
  <w:style w:type="paragraph" w:styleId="Heading8">
    <w:name w:val="heading 8"/>
    <w:basedOn w:val="Normal"/>
    <w:next w:val="Normal"/>
    <w:link w:val="Heading8Char"/>
    <w:qFormat/>
    <w:rsid w:val="00914CF9"/>
    <w:pPr>
      <w:keepNext/>
      <w:spacing w:line="480" w:lineRule="auto"/>
      <w:ind w:left="6" w:right="-900" w:hanging="6"/>
      <w:jc w:val="both"/>
      <w:outlineLvl w:val="7"/>
    </w:pPr>
    <w:rPr>
      <w:b/>
      <w:sz w:val="20"/>
      <w:lang w:val="en-GB"/>
    </w:rPr>
  </w:style>
  <w:style w:type="paragraph" w:styleId="Heading9">
    <w:name w:val="heading 9"/>
    <w:basedOn w:val="Normal"/>
    <w:next w:val="Normal"/>
    <w:link w:val="Heading9Char"/>
    <w:autoRedefine/>
    <w:qFormat/>
    <w:rsid w:val="00914CF9"/>
    <w:pPr>
      <w:keepNext/>
      <w:outlineLvl w:val="8"/>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37411"/>
    <w:rPr>
      <w:rFonts w:ascii="Arial" w:hAnsi="Arial"/>
      <w:b/>
      <w:color w:val="9E0000"/>
      <w:sz w:val="28"/>
    </w:rPr>
  </w:style>
  <w:style w:type="paragraph" w:customStyle="1" w:styleId="AbstractHeader">
    <w:name w:val="Abstract Header"/>
    <w:basedOn w:val="Heading2"/>
    <w:next w:val="Normal"/>
    <w:autoRedefine/>
    <w:rsid w:val="00E37411"/>
    <w:rPr>
      <w:caps/>
      <w:color w:val="auto"/>
    </w:rPr>
  </w:style>
  <w:style w:type="character" w:customStyle="1" w:styleId="Heading2Char">
    <w:name w:val="Heading 2 Char"/>
    <w:basedOn w:val="DefaultParagraphFont"/>
    <w:link w:val="Heading2"/>
    <w:rsid w:val="00E37411"/>
    <w:rPr>
      <w:rFonts w:ascii="Arial" w:hAnsi="Arial" w:cs="Arial"/>
      <w:b/>
      <w:color w:val="44546A" w:themeColor="text2"/>
      <w:sz w:val="22"/>
      <w:szCs w:val="22"/>
    </w:rPr>
  </w:style>
  <w:style w:type="paragraph" w:customStyle="1" w:styleId="Abstract">
    <w:name w:val="Abstract"/>
    <w:basedOn w:val="Normal"/>
    <w:next w:val="Normal"/>
    <w:autoRedefine/>
    <w:rsid w:val="00E37411"/>
    <w:pPr>
      <w:spacing w:after="0" w:line="276" w:lineRule="auto"/>
    </w:pPr>
    <w:rPr>
      <w:rFonts w:eastAsia="Times New Roman"/>
      <w:sz w:val="22"/>
    </w:rPr>
  </w:style>
  <w:style w:type="paragraph" w:customStyle="1" w:styleId="Tablenumberandcaption">
    <w:name w:val="Table number and caption"/>
    <w:basedOn w:val="Normal"/>
    <w:next w:val="Normal"/>
    <w:autoRedefine/>
    <w:rsid w:val="00E37411"/>
    <w:pPr>
      <w:spacing w:after="0" w:line="276" w:lineRule="auto"/>
    </w:pPr>
    <w:rPr>
      <w:b/>
      <w:sz w:val="22"/>
    </w:rPr>
  </w:style>
  <w:style w:type="paragraph" w:customStyle="1" w:styleId="Tablebody">
    <w:name w:val="Table body"/>
    <w:basedOn w:val="Normal"/>
    <w:next w:val="Normal"/>
    <w:autoRedefine/>
    <w:rsid w:val="00564D9E"/>
    <w:pPr>
      <w:spacing w:after="0" w:line="276" w:lineRule="auto"/>
    </w:pPr>
    <w:rPr>
      <w:sz w:val="22"/>
    </w:rPr>
  </w:style>
  <w:style w:type="paragraph" w:customStyle="1" w:styleId="Tablefooter">
    <w:name w:val="Table footer"/>
    <w:basedOn w:val="Normal"/>
    <w:next w:val="Normal"/>
    <w:autoRedefine/>
    <w:rsid w:val="00E37411"/>
    <w:pPr>
      <w:spacing w:after="0" w:line="276" w:lineRule="auto"/>
    </w:pPr>
    <w:rPr>
      <w:sz w:val="22"/>
    </w:rPr>
  </w:style>
  <w:style w:type="character" w:customStyle="1" w:styleId="Heading3Char">
    <w:name w:val="Heading 3 Char"/>
    <w:basedOn w:val="DefaultParagraphFont"/>
    <w:link w:val="Heading3"/>
    <w:uiPriority w:val="99"/>
    <w:rsid w:val="00E37411"/>
    <w:rPr>
      <w:rFonts w:ascii="Arial" w:hAnsi="Arial"/>
      <w:b/>
      <w:color w:val="00B050"/>
      <w:sz w:val="22"/>
    </w:rPr>
  </w:style>
  <w:style w:type="character" w:customStyle="1" w:styleId="Heading4Char">
    <w:name w:val="Heading 4 Char"/>
    <w:basedOn w:val="DefaultParagraphFont"/>
    <w:link w:val="Heading4"/>
    <w:rsid w:val="006574C9"/>
    <w:rPr>
      <w:rFonts w:ascii="Arial" w:eastAsiaTheme="majorEastAsia" w:hAnsi="Arial"/>
      <w:caps/>
      <w:sz w:val="22"/>
    </w:rPr>
  </w:style>
  <w:style w:type="paragraph" w:customStyle="1" w:styleId="Figurenumberandcaption">
    <w:name w:val="Figure number and caption"/>
    <w:basedOn w:val="Normal"/>
    <w:next w:val="Normal"/>
    <w:autoRedefine/>
    <w:rsid w:val="006574C9"/>
    <w:pPr>
      <w:spacing w:after="0" w:line="276" w:lineRule="auto"/>
    </w:pPr>
    <w:rPr>
      <w:b/>
      <w:sz w:val="22"/>
    </w:rPr>
  </w:style>
  <w:style w:type="paragraph" w:customStyle="1" w:styleId="Reference">
    <w:name w:val="Reference"/>
    <w:basedOn w:val="Normal"/>
    <w:next w:val="Normal"/>
    <w:autoRedefine/>
    <w:rsid w:val="00E37411"/>
    <w:rPr>
      <w:sz w:val="22"/>
    </w:rPr>
  </w:style>
  <w:style w:type="paragraph" w:customStyle="1" w:styleId="Tableheader">
    <w:name w:val="Table header"/>
    <w:basedOn w:val="Normal"/>
    <w:next w:val="Normal"/>
    <w:autoRedefine/>
    <w:rsid w:val="00FE1082"/>
    <w:pPr>
      <w:spacing w:after="0" w:line="276" w:lineRule="auto"/>
    </w:pPr>
    <w:rPr>
      <w:b/>
      <w:sz w:val="22"/>
    </w:rPr>
  </w:style>
  <w:style w:type="character" w:styleId="PageNumber">
    <w:name w:val="page number"/>
    <w:basedOn w:val="DefaultParagraphFont"/>
    <w:uiPriority w:val="99"/>
    <w:rsid w:val="00914CF9"/>
  </w:style>
  <w:style w:type="paragraph" w:customStyle="1" w:styleId="Comment">
    <w:name w:val="Comment"/>
    <w:basedOn w:val="Normal"/>
    <w:next w:val="Normal"/>
    <w:rsid w:val="00914CF9"/>
    <w:pPr>
      <w:shd w:val="clear" w:color="auto" w:fill="FFFF00"/>
      <w:spacing w:before="120"/>
    </w:pPr>
    <w:rPr>
      <w:sz w:val="20"/>
    </w:rPr>
  </w:style>
  <w:style w:type="paragraph" w:customStyle="1" w:styleId="Blockquote">
    <w:name w:val="Blockquote"/>
    <w:basedOn w:val="Normal"/>
    <w:next w:val="Normal"/>
    <w:rsid w:val="00914CF9"/>
    <w:pPr>
      <w:pBdr>
        <w:top w:val="single" w:sz="2" w:space="1" w:color="C0C0C0"/>
        <w:left w:val="single" w:sz="2" w:space="4" w:color="C0C0C0"/>
        <w:bottom w:val="single" w:sz="2" w:space="1" w:color="C0C0C0"/>
        <w:right w:val="single" w:sz="2" w:space="4" w:color="C0C0C0"/>
      </w:pBdr>
      <w:shd w:val="clear" w:color="auto" w:fill="FFFFDD"/>
      <w:spacing w:before="120"/>
      <w:ind w:left="720"/>
    </w:pPr>
    <w:rPr>
      <w:rFonts w:ascii="Times New Roman" w:hAnsi="Times New Roman"/>
      <w:sz w:val="22"/>
    </w:rPr>
  </w:style>
  <w:style w:type="paragraph" w:customStyle="1" w:styleId="Preformatted">
    <w:name w:val="Preformatted"/>
    <w:basedOn w:val="Normal"/>
    <w:next w:val="Normal"/>
    <w:rsid w:val="00914CF9"/>
    <w:pPr>
      <w:pBdr>
        <w:top w:val="single" w:sz="2" w:space="1" w:color="auto"/>
        <w:left w:val="single" w:sz="2" w:space="4" w:color="auto"/>
        <w:bottom w:val="single" w:sz="2" w:space="1" w:color="auto"/>
        <w:right w:val="single" w:sz="2" w:space="4" w:color="auto"/>
      </w:pBdr>
      <w:shd w:val="clear" w:color="auto" w:fill="F3F3F3"/>
      <w:spacing w:after="0"/>
    </w:pPr>
    <w:rPr>
      <w:rFonts w:ascii="Courier New" w:hAnsi="Courier New"/>
      <w:color w:val="333333"/>
      <w:sz w:val="20"/>
    </w:rPr>
  </w:style>
  <w:style w:type="paragraph" w:customStyle="1" w:styleId="Boxnumberandcaption">
    <w:name w:val="Box number and caption"/>
    <w:basedOn w:val="Heading3"/>
    <w:next w:val="Normal"/>
    <w:rsid w:val="00914CF9"/>
    <w:pPr>
      <w:shd w:val="clear" w:color="auto" w:fill="E6E6E6"/>
      <w:spacing w:before="120"/>
    </w:pPr>
    <w:rPr>
      <w:color w:val="666666"/>
      <w:sz w:val="24"/>
      <w:szCs w:val="28"/>
    </w:rPr>
  </w:style>
  <w:style w:type="paragraph" w:customStyle="1" w:styleId="Alternateheading">
    <w:name w:val="Alternate heading"/>
    <w:basedOn w:val="Normal"/>
    <w:next w:val="Normal"/>
    <w:rsid w:val="00914CF9"/>
    <w:rPr>
      <w:b/>
      <w:color w:val="800080"/>
      <w:sz w:val="22"/>
    </w:rPr>
  </w:style>
  <w:style w:type="paragraph" w:customStyle="1" w:styleId="Boxsubhead">
    <w:name w:val="Box subhead"/>
    <w:basedOn w:val="Heading4"/>
    <w:next w:val="Normal"/>
    <w:rsid w:val="00914CF9"/>
    <w:rPr>
      <w:color w:val="808080"/>
    </w:rPr>
  </w:style>
  <w:style w:type="paragraph" w:customStyle="1" w:styleId="Answer">
    <w:name w:val="Answer"/>
    <w:basedOn w:val="Normal"/>
    <w:next w:val="Normal"/>
    <w:rsid w:val="00914CF9"/>
    <w:pPr>
      <w:pBdr>
        <w:top w:val="single" w:sz="4" w:space="1" w:color="FFFFFF"/>
        <w:left w:val="single" w:sz="4" w:space="4" w:color="FFFFFF"/>
        <w:bottom w:val="single" w:sz="4" w:space="1" w:color="FFFFFF"/>
        <w:right w:val="single" w:sz="4" w:space="4" w:color="FFFFFF"/>
      </w:pBdr>
      <w:shd w:val="clear" w:color="auto" w:fill="ECFEDA"/>
    </w:pPr>
    <w:rPr>
      <w:rFonts w:ascii="Times New Roman" w:hAnsi="Times New Roman"/>
      <w:color w:val="800000"/>
    </w:rPr>
  </w:style>
  <w:style w:type="paragraph" w:customStyle="1" w:styleId="Question">
    <w:name w:val="Question"/>
    <w:basedOn w:val="Normal"/>
    <w:next w:val="Normal"/>
    <w:rsid w:val="00914CF9"/>
    <w:pPr>
      <w:pBdr>
        <w:top w:val="single" w:sz="4" w:space="1" w:color="FFFFFF"/>
        <w:left w:val="single" w:sz="4" w:space="4" w:color="FFFFFF"/>
        <w:bottom w:val="single" w:sz="4" w:space="1" w:color="FFFFFF"/>
        <w:right w:val="single" w:sz="4" w:space="4" w:color="FFFFFF"/>
      </w:pBdr>
      <w:shd w:val="clear" w:color="auto" w:fill="E9E6EE"/>
    </w:pPr>
    <w:rPr>
      <w:rFonts w:ascii="Verdana" w:hAnsi="Verdana"/>
      <w:color w:val="333399"/>
    </w:rPr>
  </w:style>
  <w:style w:type="character" w:customStyle="1" w:styleId="nc-highlight">
    <w:name w:val="nc-highlight"/>
    <w:rsid w:val="00914CF9"/>
    <w:rPr>
      <w:bdr w:val="none" w:sz="0" w:space="0" w:color="auto"/>
      <w:shd w:val="clear" w:color="auto" w:fill="FFFF93"/>
    </w:rPr>
  </w:style>
  <w:style w:type="character" w:customStyle="1" w:styleId="nc-pageobject">
    <w:name w:val="nc-pageobject"/>
    <w:rsid w:val="00914CF9"/>
    <w:rPr>
      <w:color w:val="993366"/>
      <w:bdr w:val="none" w:sz="0" w:space="0" w:color="auto"/>
      <w:shd w:val="clear" w:color="auto" w:fill="FFF0E1"/>
    </w:rPr>
  </w:style>
  <w:style w:type="character" w:customStyle="1" w:styleId="LabelorNumber">
    <w:name w:val="Label or Number"/>
    <w:rsid w:val="00914CF9"/>
    <w:rPr>
      <w:rFonts w:ascii="Arial" w:hAnsi="Arial"/>
      <w:color w:val="auto"/>
      <w:sz w:val="22"/>
      <w:bdr w:val="none" w:sz="0" w:space="0" w:color="auto"/>
      <w:shd w:val="clear" w:color="auto" w:fill="33CCCC"/>
    </w:rPr>
  </w:style>
  <w:style w:type="paragraph" w:customStyle="1" w:styleId="Processinginstruction">
    <w:name w:val="Processing instruction"/>
    <w:basedOn w:val="Normal"/>
    <w:next w:val="Normal"/>
    <w:autoRedefine/>
    <w:rsid w:val="00914CF9"/>
    <w:pPr>
      <w:shd w:val="clear" w:color="auto" w:fill="D6FF61"/>
      <w:spacing w:after="0" w:line="276" w:lineRule="auto"/>
    </w:pPr>
    <w:rPr>
      <w:color w:val="000080"/>
      <w:sz w:val="22"/>
    </w:rPr>
  </w:style>
  <w:style w:type="paragraph" w:customStyle="1" w:styleId="Equation">
    <w:name w:val="Equation"/>
    <w:basedOn w:val="Normal"/>
    <w:rsid w:val="00914CF9"/>
    <w:pPr>
      <w:jc w:val="center"/>
    </w:pPr>
    <w:rPr>
      <w:rFonts w:eastAsia="Times New Roman"/>
      <w:color w:val="333398"/>
    </w:rPr>
  </w:style>
  <w:style w:type="paragraph" w:customStyle="1" w:styleId="Figuregraphic">
    <w:name w:val="Figure graphic"/>
    <w:basedOn w:val="Normal"/>
    <w:rsid w:val="00914CF9"/>
    <w:pPr>
      <w:autoSpaceDE w:val="0"/>
      <w:autoSpaceDN w:val="0"/>
      <w:adjustRightInd w:val="0"/>
    </w:pPr>
    <w:rPr>
      <w:rFonts w:eastAsia="Times New Roman"/>
      <w:szCs w:val="24"/>
    </w:rPr>
  </w:style>
  <w:style w:type="paragraph" w:customStyle="1" w:styleId="Keywords">
    <w:name w:val="Keywords"/>
    <w:basedOn w:val="Normal"/>
    <w:rsid w:val="00914CF9"/>
    <w:rPr>
      <w:rFonts w:eastAsia="Times New Roman"/>
      <w:color w:val="000080"/>
    </w:rPr>
  </w:style>
  <w:style w:type="character" w:customStyle="1" w:styleId="Processinginstructionchar">
    <w:name w:val="Processing instruction char"/>
    <w:qFormat/>
    <w:rsid w:val="00914CF9"/>
    <w:rPr>
      <w:rFonts w:ascii="Courier New" w:hAnsi="Courier New"/>
      <w:sz w:val="18"/>
      <w:bdr w:val="none" w:sz="0" w:space="0" w:color="auto"/>
      <w:shd w:val="clear" w:color="auto" w:fill="D99594"/>
    </w:rPr>
  </w:style>
  <w:style w:type="character" w:customStyle="1" w:styleId="nc-highlight-1">
    <w:name w:val="nc-highlight-1"/>
    <w:qFormat/>
    <w:rsid w:val="00914CF9"/>
    <w:rPr>
      <w:rFonts w:ascii="Arial" w:hAnsi="Arial"/>
      <w:color w:val="FFFFFF"/>
      <w:sz w:val="24"/>
      <w:bdr w:val="none" w:sz="0" w:space="0" w:color="auto"/>
      <w:shd w:val="solid" w:color="0070C0" w:fill="0070C0"/>
    </w:rPr>
  </w:style>
  <w:style w:type="paragraph" w:customStyle="1" w:styleId="Boxcontent">
    <w:name w:val="Boxcontent"/>
    <w:basedOn w:val="Normal"/>
    <w:rsid w:val="00914CF9"/>
    <w:rPr>
      <w:rFonts w:eastAsia="Times New Roman"/>
    </w:rPr>
  </w:style>
  <w:style w:type="character" w:customStyle="1" w:styleId="nc-highlight-2">
    <w:name w:val="nc-highlight-2"/>
    <w:qFormat/>
    <w:rsid w:val="00914CF9"/>
    <w:rPr>
      <w:rFonts w:ascii="Arial" w:hAnsi="Arial"/>
      <w:color w:val="FFFFFF"/>
      <w:bdr w:val="none" w:sz="0" w:space="0" w:color="auto"/>
      <w:shd w:val="solid" w:color="663300" w:fill="663300"/>
    </w:rPr>
  </w:style>
  <w:style w:type="paragraph" w:customStyle="1" w:styleId="Structuredabstractheading">
    <w:name w:val="Structured abstract heading"/>
    <w:basedOn w:val="Normal"/>
    <w:next w:val="Normal"/>
    <w:rsid w:val="00914CF9"/>
    <w:pPr>
      <w:keepNext/>
      <w:spacing w:before="240" w:after="60" w:line="480" w:lineRule="auto"/>
      <w:outlineLvl w:val="2"/>
    </w:pPr>
    <w:rPr>
      <w:rFonts w:eastAsia="Times New Roman"/>
      <w:b/>
      <w:kern w:val="28"/>
      <w:sz w:val="26"/>
      <w:szCs w:val="24"/>
    </w:rPr>
  </w:style>
  <w:style w:type="character" w:customStyle="1" w:styleId="nc-highlight-3">
    <w:name w:val="nc-highlight-3"/>
    <w:qFormat/>
    <w:rsid w:val="00914CF9"/>
    <w:rPr>
      <w:rFonts w:ascii="Arial" w:hAnsi="Arial"/>
      <w:color w:val="FFFFFF"/>
      <w:sz w:val="24"/>
      <w:bdr w:val="none" w:sz="0" w:space="0" w:color="auto"/>
      <w:shd w:val="solid" w:color="A6A6A6" w:fill="A6A6A6"/>
    </w:rPr>
  </w:style>
  <w:style w:type="character" w:customStyle="1" w:styleId="nc-highlight-4">
    <w:name w:val="nc-highlight-4"/>
    <w:qFormat/>
    <w:rsid w:val="00914CF9"/>
    <w:rPr>
      <w:rFonts w:ascii="Arial" w:hAnsi="Arial"/>
      <w:color w:val="FFFFFF"/>
      <w:sz w:val="24"/>
      <w:bdr w:val="none" w:sz="0" w:space="0" w:color="auto"/>
      <w:shd w:val="solid" w:color="CC9900" w:fill="CC9900"/>
    </w:rPr>
  </w:style>
  <w:style w:type="character" w:customStyle="1" w:styleId="nc-highlight-5">
    <w:name w:val="nc-highlight-5"/>
    <w:qFormat/>
    <w:rsid w:val="00914CF9"/>
    <w:rPr>
      <w:rFonts w:ascii="Arial" w:hAnsi="Arial"/>
      <w:color w:val="FFFFFF"/>
      <w:sz w:val="24"/>
      <w:bdr w:val="none" w:sz="0" w:space="0" w:color="auto"/>
      <w:shd w:val="solid" w:color="000000" w:fill="000000"/>
    </w:rPr>
  </w:style>
  <w:style w:type="paragraph" w:customStyle="1" w:styleId="Figurealttext">
    <w:name w:val="Figure alt text"/>
    <w:basedOn w:val="Normal"/>
    <w:rsid w:val="00914CF9"/>
    <w:pPr>
      <w:shd w:val="clear" w:color="auto" w:fill="C4BC96"/>
    </w:pPr>
    <w:rPr>
      <w:rFonts w:ascii="Courier New" w:eastAsia="Times New Roman" w:hAnsi="Courier New"/>
    </w:rPr>
  </w:style>
  <w:style w:type="paragraph" w:customStyle="1" w:styleId="FiguresTablesBoxesSectionHeading">
    <w:name w:val="Figures Tables Boxes Section Heading"/>
    <w:basedOn w:val="Heading2"/>
    <w:next w:val="Normal"/>
    <w:rsid w:val="00914CF9"/>
    <w:rPr>
      <w:rFonts w:ascii="Verdana" w:hAnsi="Verdana"/>
      <w:color w:val="A50021"/>
      <w:sz w:val="24"/>
    </w:rPr>
  </w:style>
  <w:style w:type="paragraph" w:customStyle="1" w:styleId="Glossarydefinition">
    <w:name w:val="Glossary definition"/>
    <w:basedOn w:val="Normal"/>
    <w:rsid w:val="00914CF9"/>
    <w:pPr>
      <w:shd w:val="clear" w:color="auto" w:fill="FDE4BF"/>
    </w:pPr>
    <w:rPr>
      <w:color w:val="0033CC"/>
      <w:sz w:val="22"/>
    </w:rPr>
  </w:style>
  <w:style w:type="paragraph" w:customStyle="1" w:styleId="Glossaryterm">
    <w:name w:val="Glossary term"/>
    <w:basedOn w:val="Normal"/>
    <w:next w:val="Glossarydefinition"/>
    <w:rsid w:val="00914CF9"/>
    <w:pPr>
      <w:shd w:val="clear" w:color="auto" w:fill="CCFFFF"/>
    </w:pPr>
    <w:rPr>
      <w:b/>
    </w:rPr>
  </w:style>
  <w:style w:type="character" w:customStyle="1" w:styleId="monospace">
    <w:name w:val="monospace"/>
    <w:basedOn w:val="DefaultParagraphFont"/>
    <w:uiPriority w:val="1"/>
    <w:qFormat/>
    <w:rsid w:val="00914CF9"/>
    <w:rPr>
      <w:rFonts w:ascii="Courier New" w:hAnsi="Courier New"/>
      <w:color w:val="auto"/>
      <w:sz w:val="20"/>
      <w:bdr w:val="none" w:sz="0" w:space="0" w:color="auto"/>
      <w:shd w:val="clear" w:color="auto" w:fill="D9D9D9" w:themeFill="background1" w:themeFillShade="D9"/>
    </w:rPr>
  </w:style>
  <w:style w:type="paragraph" w:customStyle="1" w:styleId="Figurecaptioncontinued">
    <w:name w:val="Figure caption continued"/>
    <w:basedOn w:val="Normal"/>
    <w:rsid w:val="00914CF9"/>
    <w:rPr>
      <w:rFonts w:eastAsia="Times New Roman"/>
      <w:color w:val="000080"/>
      <w:lang w:val="en-GB"/>
    </w:rPr>
  </w:style>
  <w:style w:type="paragraph" w:customStyle="1" w:styleId="Figurecopyrightstatement">
    <w:name w:val="Figure copyright statement"/>
    <w:basedOn w:val="Normal"/>
    <w:rsid w:val="00914CF9"/>
    <w:rPr>
      <w:rFonts w:ascii="Times New Roman" w:eastAsia="Times New Roman" w:hAnsi="Times New Roman"/>
      <w:b/>
      <w:color w:val="943634"/>
      <w:sz w:val="20"/>
    </w:rPr>
  </w:style>
  <w:style w:type="paragraph" w:customStyle="1" w:styleId="Figurelicensestatement">
    <w:name w:val="Figure license statement"/>
    <w:basedOn w:val="Normal"/>
    <w:rsid w:val="00914CF9"/>
    <w:rPr>
      <w:rFonts w:ascii="Times New Roman" w:eastAsia="Times New Roman" w:hAnsi="Times New Roman"/>
      <w:b/>
      <w:color w:val="76923C"/>
      <w:sz w:val="20"/>
    </w:rPr>
  </w:style>
  <w:style w:type="paragraph" w:customStyle="1" w:styleId="Figuretitle">
    <w:name w:val="Figure title"/>
    <w:basedOn w:val="Normal"/>
    <w:next w:val="Normal"/>
    <w:rsid w:val="00914CF9"/>
    <w:pPr>
      <w:spacing w:before="120"/>
    </w:pPr>
    <w:rPr>
      <w:rFonts w:eastAsia="Times New Roman"/>
      <w:b/>
      <w:color w:val="000080"/>
      <w:lang w:val="en-GB"/>
    </w:rPr>
  </w:style>
  <w:style w:type="paragraph" w:customStyle="1" w:styleId="Tablecopyrightstatement">
    <w:name w:val="Table copyright statement"/>
    <w:basedOn w:val="Normal"/>
    <w:rsid w:val="00914CF9"/>
    <w:rPr>
      <w:rFonts w:ascii="Times New Roman" w:eastAsia="Times New Roman" w:hAnsi="Times New Roman"/>
      <w:b/>
      <w:color w:val="943634"/>
      <w:sz w:val="20"/>
    </w:rPr>
  </w:style>
  <w:style w:type="paragraph" w:customStyle="1" w:styleId="Tablelicensestatement">
    <w:name w:val="Table license statement"/>
    <w:basedOn w:val="Normal"/>
    <w:rsid w:val="00914CF9"/>
    <w:rPr>
      <w:rFonts w:ascii="Times New Roman" w:eastAsia="Times New Roman" w:hAnsi="Times New Roman"/>
      <w:b/>
      <w:color w:val="76923C"/>
      <w:sz w:val="20"/>
    </w:rPr>
  </w:style>
  <w:style w:type="paragraph" w:customStyle="1" w:styleId="VideoInformation">
    <w:name w:val="Video Information"/>
    <w:basedOn w:val="Normal"/>
    <w:rsid w:val="00914CF9"/>
    <w:pPr>
      <w:shd w:val="clear" w:color="auto" w:fill="FFCCFF"/>
    </w:pPr>
    <w:rPr>
      <w:rFonts w:eastAsia="Times New Roman"/>
      <w:sz w:val="20"/>
    </w:rPr>
  </w:style>
  <w:style w:type="paragraph" w:customStyle="1" w:styleId="Runninglefthead">
    <w:name w:val="Running left head"/>
    <w:basedOn w:val="Normal"/>
    <w:next w:val="Normal"/>
    <w:rsid w:val="00914CF9"/>
    <w:pPr>
      <w:autoSpaceDE w:val="0"/>
      <w:autoSpaceDN w:val="0"/>
      <w:adjustRightInd w:val="0"/>
    </w:pPr>
    <w:rPr>
      <w:rFonts w:eastAsia="Times New Roman"/>
      <w:szCs w:val="24"/>
    </w:rPr>
  </w:style>
  <w:style w:type="paragraph" w:customStyle="1" w:styleId="Bulletedlist1">
    <w:name w:val="Bulletedlist1"/>
    <w:basedOn w:val="Normal"/>
    <w:rsid w:val="00914CF9"/>
    <w:pPr>
      <w:numPr>
        <w:numId w:val="47"/>
      </w:numPr>
    </w:pPr>
    <w:rPr>
      <w:rFonts w:eastAsia="Times New Roman"/>
    </w:rPr>
  </w:style>
  <w:style w:type="paragraph" w:customStyle="1" w:styleId="Bulletedlist2">
    <w:name w:val="Bulletedlist2"/>
    <w:basedOn w:val="Bulletedlist1"/>
    <w:rsid w:val="00914CF9"/>
    <w:pPr>
      <w:numPr>
        <w:ilvl w:val="1"/>
      </w:numPr>
    </w:pPr>
  </w:style>
  <w:style w:type="paragraph" w:customStyle="1" w:styleId="Bulletedlist3">
    <w:name w:val="Bulletedlist3"/>
    <w:basedOn w:val="Bulletedlist2"/>
    <w:rsid w:val="00914CF9"/>
    <w:pPr>
      <w:numPr>
        <w:ilvl w:val="2"/>
      </w:numPr>
    </w:pPr>
  </w:style>
  <w:style w:type="paragraph" w:customStyle="1" w:styleId="Bulletedlist4">
    <w:name w:val="Bulletedlist4"/>
    <w:basedOn w:val="Bulletedlist3"/>
    <w:rsid w:val="00914CF9"/>
    <w:pPr>
      <w:numPr>
        <w:ilvl w:val="3"/>
      </w:numPr>
    </w:pPr>
  </w:style>
  <w:style w:type="paragraph" w:customStyle="1" w:styleId="Bulletedlist5">
    <w:name w:val="Bulletedlist5"/>
    <w:basedOn w:val="Bulletedlist4"/>
    <w:rsid w:val="00914CF9"/>
    <w:pPr>
      <w:numPr>
        <w:ilvl w:val="4"/>
      </w:numPr>
    </w:pPr>
  </w:style>
  <w:style w:type="paragraph" w:customStyle="1" w:styleId="Style1">
    <w:name w:val="Style1"/>
    <w:basedOn w:val="Heading1"/>
    <w:qFormat/>
    <w:rsid w:val="00914CF9"/>
  </w:style>
  <w:style w:type="paragraph" w:customStyle="1" w:styleId="Style2">
    <w:name w:val="Style2"/>
    <w:basedOn w:val="Heading2"/>
    <w:qFormat/>
    <w:rsid w:val="00914CF9"/>
    <w:rPr>
      <w:color w:val="4472C4" w:themeColor="accent1"/>
    </w:rPr>
  </w:style>
  <w:style w:type="paragraph" w:customStyle="1" w:styleId="Style3">
    <w:name w:val="Style3"/>
    <w:basedOn w:val="Style2"/>
    <w:qFormat/>
    <w:rsid w:val="00914CF9"/>
  </w:style>
  <w:style w:type="paragraph" w:customStyle="1" w:styleId="Style4">
    <w:name w:val="Style4"/>
    <w:basedOn w:val="Heading2"/>
    <w:qFormat/>
    <w:rsid w:val="00914CF9"/>
  </w:style>
  <w:style w:type="paragraph" w:customStyle="1" w:styleId="Style5">
    <w:name w:val="Style5"/>
    <w:basedOn w:val="Heading2"/>
    <w:autoRedefine/>
    <w:qFormat/>
    <w:rsid w:val="00914CF9"/>
  </w:style>
  <w:style w:type="paragraph" w:customStyle="1" w:styleId="Style6">
    <w:name w:val="Style6"/>
    <w:basedOn w:val="Heading3"/>
    <w:autoRedefine/>
    <w:qFormat/>
    <w:rsid w:val="00914CF9"/>
  </w:style>
  <w:style w:type="paragraph" w:customStyle="1" w:styleId="Style7">
    <w:name w:val="Style7"/>
    <w:basedOn w:val="Heading1"/>
    <w:autoRedefine/>
    <w:qFormat/>
    <w:rsid w:val="00914CF9"/>
  </w:style>
  <w:style w:type="numbering" w:customStyle="1" w:styleId="NoList1">
    <w:name w:val="No List1"/>
    <w:next w:val="NoList"/>
    <w:uiPriority w:val="99"/>
    <w:semiHidden/>
    <w:unhideWhenUsed/>
    <w:rsid w:val="00914CF9"/>
  </w:style>
  <w:style w:type="paragraph" w:customStyle="1" w:styleId="normaltable">
    <w:name w:val="normaltable"/>
    <w:basedOn w:val="Normal"/>
    <w:qFormat/>
    <w:rsid w:val="00914CF9"/>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jc w:val="both"/>
    </w:pPr>
    <w:rPr>
      <w:rFonts w:ascii="Times New Roman" w:eastAsia="Times New Roman" w:hAnsi="Times New Roman"/>
      <w:sz w:val="22"/>
      <w:szCs w:val="24"/>
    </w:rPr>
  </w:style>
  <w:style w:type="paragraph" w:customStyle="1" w:styleId="fontstyle0">
    <w:name w:val="fontstyle0"/>
    <w:basedOn w:val="Normal"/>
    <w:rsid w:val="00914CF9"/>
    <w:pPr>
      <w:spacing w:before="100" w:beforeAutospacing="1" w:after="100" w:afterAutospacing="1"/>
      <w:jc w:val="both"/>
    </w:pPr>
    <w:rPr>
      <w:rFonts w:ascii="Arial-BoldMT" w:eastAsia="Times New Roman" w:hAnsi="Arial-BoldMT"/>
      <w:b/>
      <w:bCs/>
      <w:color w:val="000000"/>
      <w:sz w:val="22"/>
      <w:szCs w:val="22"/>
    </w:rPr>
  </w:style>
  <w:style w:type="paragraph" w:customStyle="1" w:styleId="fontstyle1">
    <w:name w:val="fontstyle1"/>
    <w:basedOn w:val="Normal"/>
    <w:rsid w:val="00914CF9"/>
    <w:pPr>
      <w:spacing w:before="100" w:beforeAutospacing="1" w:after="100" w:afterAutospacing="1"/>
      <w:jc w:val="both"/>
    </w:pPr>
    <w:rPr>
      <w:rFonts w:ascii="Times New Roman" w:eastAsia="Times New Roman" w:hAnsi="Times New Roman"/>
      <w:color w:val="000000"/>
      <w:sz w:val="22"/>
      <w:szCs w:val="24"/>
    </w:rPr>
  </w:style>
  <w:style w:type="paragraph" w:customStyle="1" w:styleId="fontstyle2">
    <w:name w:val="fontstyle2"/>
    <w:basedOn w:val="Normal"/>
    <w:rsid w:val="00914CF9"/>
    <w:pPr>
      <w:spacing w:before="100" w:beforeAutospacing="1" w:after="100" w:afterAutospacing="1"/>
      <w:jc w:val="both"/>
    </w:pPr>
    <w:rPr>
      <w:rFonts w:ascii="ArialMT" w:eastAsia="Times New Roman" w:hAnsi="ArialMT"/>
      <w:color w:val="000000"/>
      <w:sz w:val="22"/>
      <w:szCs w:val="22"/>
    </w:rPr>
  </w:style>
  <w:style w:type="paragraph" w:customStyle="1" w:styleId="fontstyle3">
    <w:name w:val="fontstyle3"/>
    <w:basedOn w:val="Normal"/>
    <w:rsid w:val="00914CF9"/>
    <w:pPr>
      <w:spacing w:before="100" w:beforeAutospacing="1" w:after="100" w:afterAutospacing="1"/>
      <w:jc w:val="both"/>
    </w:pPr>
    <w:rPr>
      <w:rFonts w:ascii="SymbolMT" w:eastAsia="Times New Roman" w:hAnsi="SymbolMT"/>
      <w:color w:val="000000"/>
      <w:sz w:val="22"/>
      <w:szCs w:val="22"/>
    </w:rPr>
  </w:style>
  <w:style w:type="paragraph" w:customStyle="1" w:styleId="fontstyle4">
    <w:name w:val="fontstyle4"/>
    <w:basedOn w:val="Normal"/>
    <w:rsid w:val="00914CF9"/>
    <w:pPr>
      <w:spacing w:before="100" w:beforeAutospacing="1" w:after="100" w:afterAutospacing="1"/>
      <w:jc w:val="both"/>
    </w:pPr>
    <w:rPr>
      <w:rFonts w:ascii="Arial-ItalicMT" w:eastAsia="Times New Roman" w:hAnsi="Arial-ItalicMT"/>
      <w:i/>
      <w:iCs/>
      <w:color w:val="000000"/>
      <w:sz w:val="22"/>
      <w:szCs w:val="22"/>
    </w:rPr>
  </w:style>
  <w:style w:type="paragraph" w:customStyle="1" w:styleId="fontstyle5">
    <w:name w:val="fontstyle5"/>
    <w:basedOn w:val="Normal"/>
    <w:rsid w:val="00914CF9"/>
    <w:pPr>
      <w:spacing w:before="100" w:beforeAutospacing="1" w:after="100" w:afterAutospacing="1"/>
      <w:jc w:val="both"/>
    </w:pPr>
    <w:rPr>
      <w:rFonts w:ascii="Arial-BoldItalicMT" w:eastAsia="Times New Roman" w:hAnsi="Arial-BoldItalicMT"/>
      <w:b/>
      <w:bCs/>
      <w:i/>
      <w:iCs/>
      <w:color w:val="000000"/>
      <w:sz w:val="26"/>
      <w:szCs w:val="26"/>
    </w:rPr>
  </w:style>
  <w:style w:type="character" w:customStyle="1" w:styleId="fontstyle01">
    <w:name w:val="fontstyle01"/>
    <w:basedOn w:val="DefaultParagraphFont"/>
    <w:qFormat/>
    <w:rsid w:val="00914CF9"/>
    <w:rPr>
      <w:rFonts w:ascii="Arial-BoldMT" w:hAnsi="Arial-BoldMT" w:hint="default"/>
      <w:b/>
      <w:bCs/>
      <w:color w:val="000000"/>
      <w:sz w:val="22"/>
      <w:szCs w:val="22"/>
    </w:rPr>
  </w:style>
  <w:style w:type="character" w:customStyle="1" w:styleId="fontstyle21">
    <w:name w:val="fontstyle21"/>
    <w:basedOn w:val="DefaultParagraphFont"/>
    <w:rsid w:val="00914CF9"/>
    <w:rPr>
      <w:rFonts w:ascii="ArialMT" w:hAnsi="ArialMT" w:hint="default"/>
      <w:color w:val="000000"/>
      <w:sz w:val="22"/>
      <w:szCs w:val="22"/>
    </w:rPr>
  </w:style>
  <w:style w:type="character" w:customStyle="1" w:styleId="fontstyle31">
    <w:name w:val="fontstyle31"/>
    <w:basedOn w:val="DefaultParagraphFont"/>
    <w:rsid w:val="00914CF9"/>
    <w:rPr>
      <w:rFonts w:ascii="SymbolMT" w:hAnsi="SymbolMT" w:hint="default"/>
      <w:color w:val="000000"/>
      <w:sz w:val="22"/>
      <w:szCs w:val="22"/>
    </w:rPr>
  </w:style>
  <w:style w:type="character" w:customStyle="1" w:styleId="fontstyle41">
    <w:name w:val="fontstyle41"/>
    <w:basedOn w:val="DefaultParagraphFont"/>
    <w:qFormat/>
    <w:rsid w:val="00914CF9"/>
    <w:rPr>
      <w:rFonts w:ascii="Arial-ItalicMT" w:hAnsi="Arial-ItalicMT" w:hint="default"/>
      <w:i/>
      <w:iCs/>
      <w:color w:val="000000"/>
      <w:sz w:val="22"/>
      <w:szCs w:val="22"/>
    </w:rPr>
  </w:style>
  <w:style w:type="character" w:customStyle="1" w:styleId="fontstyle51">
    <w:name w:val="fontstyle51"/>
    <w:basedOn w:val="DefaultParagraphFont"/>
    <w:qFormat/>
    <w:rsid w:val="00914CF9"/>
    <w:rPr>
      <w:rFonts w:ascii="Arial-BoldItalicMT" w:hAnsi="Arial-BoldItalicMT" w:hint="default"/>
      <w:b/>
      <w:bCs/>
      <w:i/>
      <w:iCs/>
      <w:color w:val="000000"/>
      <w:sz w:val="26"/>
      <w:szCs w:val="26"/>
    </w:rPr>
  </w:style>
  <w:style w:type="numbering" w:customStyle="1" w:styleId="NoList2">
    <w:name w:val="No List2"/>
    <w:next w:val="NoList"/>
    <w:uiPriority w:val="99"/>
    <w:semiHidden/>
    <w:unhideWhenUsed/>
    <w:rsid w:val="00914CF9"/>
  </w:style>
  <w:style w:type="numbering" w:customStyle="1" w:styleId="NoList3">
    <w:name w:val="No List3"/>
    <w:next w:val="NoList"/>
    <w:semiHidden/>
    <w:rsid w:val="00914CF9"/>
  </w:style>
  <w:style w:type="paragraph" w:customStyle="1" w:styleId="EndNoteBibliographyTitle">
    <w:name w:val="EndNote Bibliography Title"/>
    <w:basedOn w:val="Normal"/>
    <w:link w:val="EndNoteBibliographyTitleChar"/>
    <w:rsid w:val="00914CF9"/>
    <w:pPr>
      <w:spacing w:after="0"/>
      <w:jc w:val="center"/>
    </w:pPr>
    <w:rPr>
      <w:rFonts w:eastAsia="Times New Roman" w:cs="Arial"/>
      <w:noProof/>
      <w:szCs w:val="22"/>
      <w:lang w:val="x-none" w:eastAsia="x-none"/>
    </w:rPr>
  </w:style>
  <w:style w:type="character" w:customStyle="1" w:styleId="EndNoteBibliographyTitleChar">
    <w:name w:val="EndNote Bibliography Title Char"/>
    <w:link w:val="EndNoteBibliographyTitle"/>
    <w:rsid w:val="00914CF9"/>
    <w:rPr>
      <w:rFonts w:ascii="Arial" w:eastAsia="Times New Roman" w:hAnsi="Arial" w:cs="Arial"/>
      <w:noProof/>
      <w:sz w:val="24"/>
      <w:szCs w:val="22"/>
      <w:lang w:val="x-none" w:eastAsia="x-none"/>
    </w:rPr>
  </w:style>
  <w:style w:type="paragraph" w:customStyle="1" w:styleId="EndNoteBibliography">
    <w:name w:val="EndNote Bibliography"/>
    <w:basedOn w:val="Normal"/>
    <w:link w:val="EndNoteBibliographyChar"/>
    <w:rsid w:val="00914CF9"/>
    <w:pPr>
      <w:spacing w:after="0"/>
    </w:pPr>
    <w:rPr>
      <w:rFonts w:eastAsia="Times New Roman" w:cs="Arial"/>
      <w:noProof/>
      <w:szCs w:val="22"/>
      <w:lang w:val="x-none" w:eastAsia="x-none"/>
    </w:rPr>
  </w:style>
  <w:style w:type="character" w:customStyle="1" w:styleId="EndNoteBibliographyChar">
    <w:name w:val="EndNote Bibliography Char"/>
    <w:link w:val="EndNoteBibliography"/>
    <w:rsid w:val="00914CF9"/>
    <w:rPr>
      <w:rFonts w:ascii="Arial" w:eastAsia="Times New Roman" w:hAnsi="Arial" w:cs="Arial"/>
      <w:noProof/>
      <w:sz w:val="24"/>
      <w:szCs w:val="22"/>
      <w:lang w:val="x-none" w:eastAsia="x-none"/>
    </w:rPr>
  </w:style>
  <w:style w:type="numbering" w:customStyle="1" w:styleId="NoList4">
    <w:name w:val="No List4"/>
    <w:next w:val="NoList"/>
    <w:uiPriority w:val="99"/>
    <w:semiHidden/>
    <w:unhideWhenUsed/>
    <w:rsid w:val="00914CF9"/>
  </w:style>
  <w:style w:type="character" w:customStyle="1" w:styleId="yshortcuts">
    <w:name w:val="yshortcuts"/>
    <w:basedOn w:val="DefaultParagraphFont"/>
    <w:rsid w:val="00914CF9"/>
  </w:style>
  <w:style w:type="character" w:customStyle="1" w:styleId="bibrecord-highlight1">
    <w:name w:val="bibrecord-highlight1"/>
    <w:rsid w:val="00914CF9"/>
    <w:rPr>
      <w:b/>
      <w:bCs/>
      <w:color w:val="CC0000"/>
    </w:rPr>
  </w:style>
  <w:style w:type="character" w:customStyle="1" w:styleId="titles-title1">
    <w:name w:val="titles-title1"/>
    <w:rsid w:val="00914CF9"/>
    <w:rPr>
      <w:b/>
      <w:bCs/>
    </w:rPr>
  </w:style>
  <w:style w:type="character" w:customStyle="1" w:styleId="titles-source1">
    <w:name w:val="titles-source1"/>
    <w:rsid w:val="00914CF9"/>
    <w:rPr>
      <w:i/>
      <w:iCs/>
    </w:rPr>
  </w:style>
  <w:style w:type="character" w:customStyle="1" w:styleId="CharChar1">
    <w:name w:val="Char Char1"/>
    <w:rsid w:val="00914CF9"/>
    <w:rPr>
      <w:rFonts w:ascii="Arial" w:hAnsi="Arial" w:cs="Arial"/>
      <w:b/>
      <w:bCs/>
      <w:color w:val="000000"/>
      <w:sz w:val="26"/>
      <w:szCs w:val="26"/>
      <w:lang w:val="en-US" w:eastAsia="en-US" w:bidi="ar-SA"/>
    </w:rPr>
  </w:style>
  <w:style w:type="character" w:customStyle="1" w:styleId="titles-title">
    <w:name w:val="titles-title"/>
    <w:basedOn w:val="DefaultParagraphFont"/>
    <w:rsid w:val="00914CF9"/>
  </w:style>
  <w:style w:type="character" w:customStyle="1" w:styleId="bibrecord-highlight">
    <w:name w:val="bibrecord-highlight"/>
    <w:basedOn w:val="DefaultParagraphFont"/>
    <w:rsid w:val="00914CF9"/>
  </w:style>
  <w:style w:type="character" w:customStyle="1" w:styleId="titles-source">
    <w:name w:val="titles-source"/>
    <w:basedOn w:val="DefaultParagraphFont"/>
    <w:rsid w:val="00914CF9"/>
  </w:style>
  <w:style w:type="paragraph" w:customStyle="1" w:styleId="citation">
    <w:name w:val="citation"/>
    <w:basedOn w:val="Normal"/>
    <w:rsid w:val="00914CF9"/>
    <w:pPr>
      <w:spacing w:before="100" w:beforeAutospacing="1" w:after="100" w:afterAutospacing="1"/>
    </w:pPr>
    <w:rPr>
      <w:rFonts w:ascii="Times New Roman" w:eastAsia="Times New Roman" w:hAnsi="Times New Roman"/>
      <w:szCs w:val="24"/>
    </w:rPr>
  </w:style>
  <w:style w:type="paragraph" w:customStyle="1" w:styleId="title1">
    <w:name w:val="title1"/>
    <w:basedOn w:val="Normal"/>
    <w:rsid w:val="00914CF9"/>
    <w:pPr>
      <w:spacing w:after="0"/>
    </w:pPr>
    <w:rPr>
      <w:rFonts w:ascii="Times New Roman" w:eastAsia="Times New Roman" w:hAnsi="Times New Roman"/>
      <w:sz w:val="29"/>
      <w:szCs w:val="29"/>
    </w:rPr>
  </w:style>
  <w:style w:type="paragraph" w:customStyle="1" w:styleId="rprtbody1">
    <w:name w:val="rprtbody1"/>
    <w:basedOn w:val="Normal"/>
    <w:rsid w:val="00914CF9"/>
    <w:pPr>
      <w:spacing w:before="34" w:after="34"/>
    </w:pPr>
    <w:rPr>
      <w:rFonts w:ascii="Times New Roman" w:eastAsia="Times New Roman" w:hAnsi="Times New Roman"/>
      <w:sz w:val="28"/>
      <w:szCs w:val="28"/>
    </w:rPr>
  </w:style>
  <w:style w:type="character" w:customStyle="1" w:styleId="src1">
    <w:name w:val="src1"/>
    <w:rsid w:val="00914CF9"/>
    <w:rPr>
      <w:vanish w:val="0"/>
      <w:webHidden w:val="0"/>
      <w:specVanish w:val="0"/>
    </w:rPr>
  </w:style>
  <w:style w:type="character" w:customStyle="1" w:styleId="jrnl">
    <w:name w:val="jrnl"/>
    <w:basedOn w:val="DefaultParagraphFont"/>
    <w:rsid w:val="00914CF9"/>
  </w:style>
  <w:style w:type="paragraph" w:customStyle="1" w:styleId="rprtbody">
    <w:name w:val="rprtbody"/>
    <w:basedOn w:val="Normal"/>
    <w:rsid w:val="00914CF9"/>
    <w:pPr>
      <w:spacing w:before="100" w:beforeAutospacing="1" w:after="100" w:afterAutospacing="1"/>
    </w:pPr>
    <w:rPr>
      <w:rFonts w:ascii="Times New Roman" w:eastAsia="Times New Roman" w:hAnsi="Times New Roman"/>
      <w:szCs w:val="24"/>
    </w:rPr>
  </w:style>
  <w:style w:type="character" w:customStyle="1" w:styleId="src">
    <w:name w:val="src"/>
    <w:basedOn w:val="DefaultParagraphFont"/>
    <w:rsid w:val="00914CF9"/>
  </w:style>
  <w:style w:type="paragraph" w:customStyle="1" w:styleId="authlist">
    <w:name w:val="auth_list"/>
    <w:basedOn w:val="Normal"/>
    <w:link w:val="authlistChar"/>
    <w:rsid w:val="00914CF9"/>
    <w:pPr>
      <w:spacing w:before="100" w:beforeAutospacing="1" w:after="100" w:afterAutospacing="1"/>
    </w:pPr>
    <w:rPr>
      <w:rFonts w:ascii="Times New Roman" w:eastAsia="Times New Roman" w:hAnsi="Times New Roman"/>
      <w:szCs w:val="24"/>
    </w:rPr>
  </w:style>
  <w:style w:type="character" w:customStyle="1" w:styleId="authlistChar">
    <w:name w:val="auth_list Char"/>
    <w:link w:val="authlist"/>
    <w:rsid w:val="00914CF9"/>
    <w:rPr>
      <w:rFonts w:eastAsia="Times New Roman"/>
      <w:sz w:val="24"/>
      <w:szCs w:val="24"/>
    </w:rPr>
  </w:style>
  <w:style w:type="paragraph" w:customStyle="1" w:styleId="Body1">
    <w:name w:val="Body 1"/>
    <w:rsid w:val="00914CF9"/>
    <w:pPr>
      <w:spacing w:after="200"/>
      <w:outlineLvl w:val="0"/>
    </w:pPr>
    <w:rPr>
      <w:rFonts w:ascii="Helvetica" w:eastAsia="Arial Unicode MS" w:hAnsi="Helvetica"/>
      <w:color w:val="000000"/>
      <w:sz w:val="24"/>
      <w:u w:color="000000"/>
    </w:rPr>
  </w:style>
  <w:style w:type="character" w:customStyle="1" w:styleId="apple-converted-space">
    <w:name w:val="apple-converted-space"/>
    <w:basedOn w:val="DefaultParagraphFont"/>
    <w:rsid w:val="00914CF9"/>
  </w:style>
  <w:style w:type="numbering" w:customStyle="1" w:styleId="NoList5">
    <w:name w:val="No List5"/>
    <w:next w:val="NoList"/>
    <w:uiPriority w:val="99"/>
    <w:semiHidden/>
    <w:unhideWhenUsed/>
    <w:rsid w:val="00914CF9"/>
  </w:style>
  <w:style w:type="character" w:customStyle="1" w:styleId="highlight">
    <w:name w:val="highlight"/>
    <w:uiPriority w:val="99"/>
    <w:rsid w:val="00914CF9"/>
  </w:style>
  <w:style w:type="paragraph" w:customStyle="1" w:styleId="desc">
    <w:name w:val="desc"/>
    <w:basedOn w:val="Normal"/>
    <w:rsid w:val="00914CF9"/>
    <w:pPr>
      <w:spacing w:before="100" w:beforeAutospacing="1" w:after="100" w:afterAutospacing="1"/>
    </w:pPr>
    <w:rPr>
      <w:rFonts w:ascii="Times New Roman" w:eastAsia="Times New Roman" w:hAnsi="Times New Roman"/>
      <w:szCs w:val="24"/>
      <w:lang w:val="de-DE" w:eastAsia="de-DE"/>
    </w:rPr>
  </w:style>
  <w:style w:type="paragraph" w:customStyle="1" w:styleId="Title10">
    <w:name w:val="Title1"/>
    <w:basedOn w:val="Normal"/>
    <w:rsid w:val="00914CF9"/>
    <w:pPr>
      <w:spacing w:before="100" w:beforeAutospacing="1" w:after="100" w:afterAutospacing="1"/>
    </w:pPr>
    <w:rPr>
      <w:rFonts w:ascii="Times New Roman" w:eastAsia="Times New Roman" w:hAnsi="Times New Roman"/>
      <w:szCs w:val="24"/>
      <w:lang w:val="nl-BE" w:eastAsia="nl-BE"/>
    </w:rPr>
  </w:style>
  <w:style w:type="paragraph" w:customStyle="1" w:styleId="details">
    <w:name w:val="details"/>
    <w:basedOn w:val="Normal"/>
    <w:rsid w:val="00914CF9"/>
    <w:pPr>
      <w:spacing w:before="100" w:beforeAutospacing="1" w:after="100" w:afterAutospacing="1"/>
    </w:pPr>
    <w:rPr>
      <w:rFonts w:ascii="Times New Roman" w:eastAsia="Times New Roman" w:hAnsi="Times New Roman"/>
      <w:szCs w:val="24"/>
      <w:lang w:val="nl-BE" w:eastAsia="nl-BE"/>
    </w:rPr>
  </w:style>
  <w:style w:type="paragraph" w:customStyle="1" w:styleId="Titel1">
    <w:name w:val="Titel1"/>
    <w:basedOn w:val="Normal"/>
    <w:rsid w:val="00914CF9"/>
    <w:pPr>
      <w:spacing w:before="100" w:beforeAutospacing="1" w:after="100" w:afterAutospacing="1"/>
    </w:pPr>
    <w:rPr>
      <w:rFonts w:ascii="Times New Roman" w:eastAsia="Times New Roman" w:hAnsi="Times New Roman"/>
      <w:szCs w:val="24"/>
      <w:lang w:val="de-DE" w:eastAsia="de-DE"/>
    </w:rPr>
  </w:style>
  <w:style w:type="table" w:customStyle="1" w:styleId="TableGrid1">
    <w:name w:val="Table Grid1"/>
    <w:basedOn w:val="TableNormal"/>
    <w:next w:val="TableGrid"/>
    <w:uiPriority w:val="59"/>
    <w:rsid w:val="00914CF9"/>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99"/>
    <w:rsid w:val="00914CF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14CF9"/>
  </w:style>
  <w:style w:type="table" w:customStyle="1" w:styleId="TableGrid2">
    <w:name w:val="Table Grid2"/>
    <w:basedOn w:val="TableNormal"/>
    <w:next w:val="TableGrid"/>
    <w:uiPriority w:val="59"/>
    <w:rsid w:val="00873A1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73A11"/>
  </w:style>
  <w:style w:type="table" w:customStyle="1" w:styleId="TableGrid3">
    <w:name w:val="Table Grid3"/>
    <w:basedOn w:val="TableNormal"/>
    <w:next w:val="TableGrid"/>
    <w:uiPriority w:val="59"/>
    <w:rsid w:val="00873A1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873A11"/>
  </w:style>
  <w:style w:type="table" w:customStyle="1" w:styleId="TableGrid4">
    <w:name w:val="Table Grid4"/>
    <w:basedOn w:val="TableNormal"/>
    <w:next w:val="TableGrid"/>
    <w:uiPriority w:val="59"/>
    <w:rsid w:val="00873A1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914CF9"/>
    <w:rPr>
      <w:rFonts w:ascii="Arial" w:hAnsi="Arial"/>
      <w:i/>
      <w:sz w:val="24"/>
    </w:rPr>
  </w:style>
  <w:style w:type="character" w:customStyle="1" w:styleId="Heading6Char">
    <w:name w:val="Heading 6 Char"/>
    <w:basedOn w:val="DefaultParagraphFont"/>
    <w:link w:val="Heading6"/>
    <w:rsid w:val="00914CF9"/>
    <w:rPr>
      <w:rFonts w:ascii="Arial" w:eastAsia="Times New Roman" w:hAnsi="Arial"/>
      <w:b/>
      <w:sz w:val="22"/>
    </w:rPr>
  </w:style>
  <w:style w:type="character" w:customStyle="1" w:styleId="Heading7Char">
    <w:name w:val="Heading 7 Char"/>
    <w:basedOn w:val="DefaultParagraphFont"/>
    <w:link w:val="Heading7"/>
    <w:rsid w:val="00914CF9"/>
    <w:rPr>
      <w:rFonts w:ascii="Arial" w:hAnsi="Arial"/>
      <w:b/>
    </w:rPr>
  </w:style>
  <w:style w:type="character" w:customStyle="1" w:styleId="Heading8Char">
    <w:name w:val="Heading 8 Char"/>
    <w:basedOn w:val="DefaultParagraphFont"/>
    <w:link w:val="Heading8"/>
    <w:rsid w:val="00914CF9"/>
    <w:rPr>
      <w:rFonts w:ascii="Arial" w:hAnsi="Arial"/>
      <w:b/>
      <w:lang w:val="en-GB"/>
    </w:rPr>
  </w:style>
  <w:style w:type="character" w:customStyle="1" w:styleId="Heading9Char">
    <w:name w:val="Heading 9 Char"/>
    <w:basedOn w:val="DefaultParagraphFont"/>
    <w:link w:val="Heading9"/>
    <w:rsid w:val="00914CF9"/>
    <w:rPr>
      <w:rFonts w:ascii="Arial" w:hAnsi="Arial"/>
      <w:b/>
      <w:sz w:val="24"/>
      <w:lang w:val="en-GB"/>
    </w:rPr>
  </w:style>
  <w:style w:type="paragraph" w:styleId="Index1">
    <w:name w:val="index 1"/>
    <w:basedOn w:val="Normal"/>
    <w:next w:val="Normal"/>
    <w:autoRedefine/>
    <w:semiHidden/>
    <w:rsid w:val="00914CF9"/>
    <w:pPr>
      <w:spacing w:after="0"/>
      <w:ind w:left="240" w:hanging="240"/>
    </w:pPr>
    <w:rPr>
      <w:rFonts w:ascii="Times New Roman" w:eastAsia="Times New Roman" w:hAnsi="Times New Roman"/>
      <w:color w:val="000000"/>
      <w:szCs w:val="24"/>
    </w:rPr>
  </w:style>
  <w:style w:type="paragraph" w:styleId="Index2">
    <w:name w:val="index 2"/>
    <w:basedOn w:val="Normal"/>
    <w:next w:val="Normal"/>
    <w:autoRedefine/>
    <w:semiHidden/>
    <w:rsid w:val="00914CF9"/>
    <w:pPr>
      <w:spacing w:after="0"/>
      <w:ind w:left="480" w:hanging="240"/>
    </w:pPr>
    <w:rPr>
      <w:rFonts w:ascii="Times New Roman" w:eastAsia="Times New Roman" w:hAnsi="Times New Roman"/>
      <w:color w:val="000000"/>
      <w:szCs w:val="24"/>
    </w:rPr>
  </w:style>
  <w:style w:type="paragraph" w:styleId="Index3">
    <w:name w:val="index 3"/>
    <w:basedOn w:val="Normal"/>
    <w:next w:val="Normal"/>
    <w:autoRedefine/>
    <w:semiHidden/>
    <w:rsid w:val="00914CF9"/>
    <w:pPr>
      <w:spacing w:after="0"/>
      <w:ind w:left="720" w:hanging="240"/>
    </w:pPr>
    <w:rPr>
      <w:rFonts w:ascii="Times New Roman" w:eastAsia="Times New Roman" w:hAnsi="Times New Roman"/>
      <w:color w:val="000000"/>
      <w:szCs w:val="24"/>
    </w:rPr>
  </w:style>
  <w:style w:type="paragraph" w:styleId="Index4">
    <w:name w:val="index 4"/>
    <w:basedOn w:val="Normal"/>
    <w:next w:val="Normal"/>
    <w:autoRedefine/>
    <w:semiHidden/>
    <w:rsid w:val="00914CF9"/>
    <w:pPr>
      <w:spacing w:after="0"/>
      <w:ind w:left="960" w:hanging="240"/>
    </w:pPr>
    <w:rPr>
      <w:rFonts w:ascii="Times New Roman" w:eastAsia="Times New Roman" w:hAnsi="Times New Roman"/>
      <w:color w:val="000000"/>
      <w:szCs w:val="24"/>
    </w:rPr>
  </w:style>
  <w:style w:type="paragraph" w:styleId="Index5">
    <w:name w:val="index 5"/>
    <w:basedOn w:val="Normal"/>
    <w:next w:val="Normal"/>
    <w:autoRedefine/>
    <w:semiHidden/>
    <w:rsid w:val="00914CF9"/>
    <w:pPr>
      <w:spacing w:after="0"/>
      <w:ind w:left="1200" w:hanging="240"/>
    </w:pPr>
    <w:rPr>
      <w:rFonts w:ascii="Times New Roman" w:eastAsia="Times New Roman" w:hAnsi="Times New Roman"/>
      <w:color w:val="000000"/>
      <w:szCs w:val="24"/>
    </w:rPr>
  </w:style>
  <w:style w:type="paragraph" w:styleId="Index6">
    <w:name w:val="index 6"/>
    <w:basedOn w:val="Normal"/>
    <w:next w:val="Normal"/>
    <w:autoRedefine/>
    <w:semiHidden/>
    <w:rsid w:val="00914CF9"/>
    <w:pPr>
      <w:spacing w:after="0"/>
      <w:ind w:left="1440" w:hanging="240"/>
    </w:pPr>
    <w:rPr>
      <w:rFonts w:ascii="Times New Roman" w:eastAsia="Times New Roman" w:hAnsi="Times New Roman"/>
      <w:color w:val="000000"/>
      <w:szCs w:val="24"/>
    </w:rPr>
  </w:style>
  <w:style w:type="paragraph" w:styleId="Index7">
    <w:name w:val="index 7"/>
    <w:basedOn w:val="Normal"/>
    <w:next w:val="Normal"/>
    <w:autoRedefine/>
    <w:semiHidden/>
    <w:rsid w:val="00914CF9"/>
    <w:pPr>
      <w:spacing w:after="0"/>
      <w:ind w:left="1680" w:hanging="240"/>
    </w:pPr>
    <w:rPr>
      <w:rFonts w:ascii="Times New Roman" w:eastAsia="Times New Roman" w:hAnsi="Times New Roman"/>
      <w:color w:val="000000"/>
      <w:szCs w:val="24"/>
    </w:rPr>
  </w:style>
  <w:style w:type="paragraph" w:styleId="Index8">
    <w:name w:val="index 8"/>
    <w:basedOn w:val="Normal"/>
    <w:next w:val="Normal"/>
    <w:autoRedefine/>
    <w:semiHidden/>
    <w:rsid w:val="00914CF9"/>
    <w:pPr>
      <w:spacing w:after="0"/>
      <w:ind w:left="1920" w:hanging="240"/>
    </w:pPr>
    <w:rPr>
      <w:rFonts w:ascii="Times New Roman" w:eastAsia="Times New Roman" w:hAnsi="Times New Roman"/>
      <w:color w:val="000000"/>
      <w:szCs w:val="24"/>
    </w:rPr>
  </w:style>
  <w:style w:type="paragraph" w:styleId="Index9">
    <w:name w:val="index 9"/>
    <w:basedOn w:val="Normal"/>
    <w:next w:val="Normal"/>
    <w:autoRedefine/>
    <w:semiHidden/>
    <w:rsid w:val="00914CF9"/>
    <w:pPr>
      <w:spacing w:after="0"/>
      <w:ind w:left="2160" w:hanging="240"/>
    </w:pPr>
    <w:rPr>
      <w:rFonts w:ascii="Times New Roman" w:eastAsia="Times New Roman" w:hAnsi="Times New Roman"/>
      <w:color w:val="000000"/>
      <w:szCs w:val="24"/>
    </w:rPr>
  </w:style>
  <w:style w:type="paragraph" w:styleId="TOC1">
    <w:name w:val="toc 1"/>
    <w:basedOn w:val="Normal"/>
    <w:next w:val="Normal"/>
    <w:autoRedefine/>
    <w:semiHidden/>
    <w:rsid w:val="00914CF9"/>
    <w:pPr>
      <w:spacing w:after="0"/>
    </w:pPr>
    <w:rPr>
      <w:rFonts w:ascii="Times New Roman" w:eastAsia="Times New Roman" w:hAnsi="Times New Roman"/>
      <w:color w:val="000000"/>
      <w:szCs w:val="24"/>
    </w:rPr>
  </w:style>
  <w:style w:type="paragraph" w:styleId="TOC2">
    <w:name w:val="toc 2"/>
    <w:basedOn w:val="Normal"/>
    <w:next w:val="Normal"/>
    <w:autoRedefine/>
    <w:semiHidden/>
    <w:rsid w:val="00914CF9"/>
    <w:pPr>
      <w:spacing w:after="0"/>
      <w:ind w:left="240"/>
    </w:pPr>
    <w:rPr>
      <w:rFonts w:ascii="Times New Roman" w:eastAsia="Times New Roman" w:hAnsi="Times New Roman"/>
      <w:color w:val="000000"/>
      <w:szCs w:val="24"/>
    </w:rPr>
  </w:style>
  <w:style w:type="paragraph" w:styleId="TOC3">
    <w:name w:val="toc 3"/>
    <w:basedOn w:val="Normal"/>
    <w:next w:val="Normal"/>
    <w:autoRedefine/>
    <w:semiHidden/>
    <w:rsid w:val="00914CF9"/>
    <w:pPr>
      <w:spacing w:after="0"/>
      <w:ind w:left="480"/>
    </w:pPr>
    <w:rPr>
      <w:rFonts w:ascii="Times New Roman" w:eastAsia="Times New Roman" w:hAnsi="Times New Roman"/>
      <w:color w:val="000000"/>
      <w:szCs w:val="24"/>
    </w:rPr>
  </w:style>
  <w:style w:type="paragraph" w:styleId="TOC4">
    <w:name w:val="toc 4"/>
    <w:basedOn w:val="Normal"/>
    <w:next w:val="Normal"/>
    <w:autoRedefine/>
    <w:semiHidden/>
    <w:rsid w:val="00914CF9"/>
    <w:pPr>
      <w:spacing w:after="0"/>
      <w:ind w:left="720"/>
    </w:pPr>
    <w:rPr>
      <w:rFonts w:ascii="Times New Roman" w:eastAsia="Times New Roman" w:hAnsi="Times New Roman"/>
      <w:color w:val="000000"/>
      <w:szCs w:val="24"/>
    </w:rPr>
  </w:style>
  <w:style w:type="paragraph" w:styleId="TOC5">
    <w:name w:val="toc 5"/>
    <w:basedOn w:val="Normal"/>
    <w:next w:val="Normal"/>
    <w:autoRedefine/>
    <w:semiHidden/>
    <w:rsid w:val="00914CF9"/>
    <w:pPr>
      <w:spacing w:after="0"/>
      <w:ind w:left="960"/>
    </w:pPr>
    <w:rPr>
      <w:rFonts w:ascii="Times New Roman" w:eastAsia="Times New Roman" w:hAnsi="Times New Roman"/>
      <w:color w:val="000000"/>
      <w:szCs w:val="24"/>
    </w:rPr>
  </w:style>
  <w:style w:type="paragraph" w:styleId="TOC6">
    <w:name w:val="toc 6"/>
    <w:basedOn w:val="Normal"/>
    <w:next w:val="Normal"/>
    <w:autoRedefine/>
    <w:semiHidden/>
    <w:rsid w:val="00914CF9"/>
    <w:pPr>
      <w:spacing w:after="0"/>
      <w:ind w:left="1200"/>
    </w:pPr>
    <w:rPr>
      <w:rFonts w:ascii="Times New Roman" w:eastAsia="Times New Roman" w:hAnsi="Times New Roman"/>
      <w:color w:val="000000"/>
      <w:szCs w:val="24"/>
    </w:rPr>
  </w:style>
  <w:style w:type="paragraph" w:styleId="TOC7">
    <w:name w:val="toc 7"/>
    <w:basedOn w:val="Normal"/>
    <w:next w:val="Normal"/>
    <w:autoRedefine/>
    <w:semiHidden/>
    <w:rsid w:val="00914CF9"/>
    <w:pPr>
      <w:spacing w:after="0"/>
      <w:ind w:left="1440"/>
    </w:pPr>
    <w:rPr>
      <w:rFonts w:ascii="Times New Roman" w:eastAsia="Times New Roman" w:hAnsi="Times New Roman"/>
      <w:color w:val="000000"/>
      <w:szCs w:val="24"/>
    </w:rPr>
  </w:style>
  <w:style w:type="paragraph" w:styleId="TOC8">
    <w:name w:val="toc 8"/>
    <w:basedOn w:val="Normal"/>
    <w:next w:val="Normal"/>
    <w:autoRedefine/>
    <w:semiHidden/>
    <w:rsid w:val="00914CF9"/>
    <w:pPr>
      <w:spacing w:after="0"/>
      <w:ind w:left="1680"/>
    </w:pPr>
    <w:rPr>
      <w:rFonts w:ascii="Times New Roman" w:eastAsia="Times New Roman" w:hAnsi="Times New Roman"/>
      <w:color w:val="000000"/>
      <w:szCs w:val="24"/>
    </w:rPr>
  </w:style>
  <w:style w:type="paragraph" w:styleId="TOC9">
    <w:name w:val="toc 9"/>
    <w:basedOn w:val="Normal"/>
    <w:next w:val="Normal"/>
    <w:autoRedefine/>
    <w:semiHidden/>
    <w:rsid w:val="00914CF9"/>
    <w:pPr>
      <w:spacing w:after="0"/>
      <w:ind w:left="1920"/>
    </w:pPr>
    <w:rPr>
      <w:rFonts w:ascii="Times New Roman" w:eastAsia="Times New Roman" w:hAnsi="Times New Roman"/>
      <w:color w:val="000000"/>
      <w:szCs w:val="24"/>
    </w:rPr>
  </w:style>
  <w:style w:type="paragraph" w:styleId="NormalIndent">
    <w:name w:val="Normal Indent"/>
    <w:basedOn w:val="Normal"/>
    <w:rsid w:val="00914CF9"/>
    <w:pPr>
      <w:spacing w:after="0"/>
      <w:ind w:left="720"/>
    </w:pPr>
    <w:rPr>
      <w:rFonts w:ascii="Times New Roman" w:eastAsia="Times New Roman" w:hAnsi="Times New Roman"/>
      <w:color w:val="000000"/>
      <w:szCs w:val="24"/>
    </w:rPr>
  </w:style>
  <w:style w:type="paragraph" w:styleId="FootnoteText">
    <w:name w:val="footnote text"/>
    <w:basedOn w:val="Normal"/>
    <w:link w:val="FootnoteTextChar"/>
    <w:uiPriority w:val="99"/>
    <w:semiHidden/>
    <w:rsid w:val="00914CF9"/>
    <w:pPr>
      <w:spacing w:after="0"/>
    </w:pPr>
    <w:rPr>
      <w:rFonts w:ascii="Times New Roman" w:eastAsia="Times New Roman" w:hAnsi="Times New Roman"/>
      <w:color w:val="000000"/>
      <w:sz w:val="20"/>
    </w:rPr>
  </w:style>
  <w:style w:type="character" w:customStyle="1" w:styleId="FootnoteTextChar">
    <w:name w:val="Footnote Text Char"/>
    <w:basedOn w:val="DefaultParagraphFont"/>
    <w:link w:val="FootnoteText"/>
    <w:uiPriority w:val="99"/>
    <w:semiHidden/>
    <w:rsid w:val="00914CF9"/>
    <w:rPr>
      <w:rFonts w:eastAsia="Times New Roman"/>
      <w:color w:val="000000"/>
    </w:rPr>
  </w:style>
  <w:style w:type="paragraph" w:styleId="CommentText">
    <w:name w:val="annotation text"/>
    <w:basedOn w:val="Normal"/>
    <w:link w:val="CommentTextChar"/>
    <w:uiPriority w:val="99"/>
    <w:unhideWhenUsed/>
    <w:rsid w:val="00914CF9"/>
    <w:rPr>
      <w:sz w:val="20"/>
    </w:rPr>
  </w:style>
  <w:style w:type="character" w:customStyle="1" w:styleId="CommentTextChar">
    <w:name w:val="Comment Text Char"/>
    <w:basedOn w:val="DefaultParagraphFont"/>
    <w:link w:val="CommentText"/>
    <w:uiPriority w:val="99"/>
    <w:rsid w:val="00914CF9"/>
    <w:rPr>
      <w:rFonts w:ascii="Arial" w:hAnsi="Arial"/>
    </w:rPr>
  </w:style>
  <w:style w:type="paragraph" w:styleId="Header">
    <w:name w:val="header"/>
    <w:basedOn w:val="Normal"/>
    <w:link w:val="HeaderChar"/>
    <w:uiPriority w:val="99"/>
    <w:rsid w:val="00914CF9"/>
    <w:pPr>
      <w:tabs>
        <w:tab w:val="center" w:pos="4680"/>
        <w:tab w:val="right" w:pos="9360"/>
      </w:tabs>
      <w:spacing w:after="0"/>
    </w:pPr>
    <w:rPr>
      <w:rFonts w:ascii="Microsoft Sans Serif" w:eastAsia="Times New Roman" w:hAnsi="Microsoft Sans Serif"/>
      <w:sz w:val="22"/>
      <w:szCs w:val="22"/>
      <w:lang w:eastAsia="en-AU"/>
    </w:rPr>
  </w:style>
  <w:style w:type="character" w:customStyle="1" w:styleId="HeaderChar">
    <w:name w:val="Header Char"/>
    <w:basedOn w:val="DefaultParagraphFont"/>
    <w:link w:val="Header"/>
    <w:uiPriority w:val="99"/>
    <w:rsid w:val="00914CF9"/>
    <w:rPr>
      <w:rFonts w:ascii="Microsoft Sans Serif" w:eastAsia="Times New Roman" w:hAnsi="Microsoft Sans Serif"/>
      <w:sz w:val="22"/>
      <w:szCs w:val="22"/>
      <w:lang w:eastAsia="en-AU"/>
    </w:rPr>
  </w:style>
  <w:style w:type="paragraph" w:styleId="Footer">
    <w:name w:val="footer"/>
    <w:basedOn w:val="Normal"/>
    <w:link w:val="FooterChar"/>
    <w:uiPriority w:val="99"/>
    <w:rsid w:val="00914CF9"/>
    <w:pPr>
      <w:tabs>
        <w:tab w:val="center" w:pos="4320"/>
        <w:tab w:val="right" w:pos="8640"/>
      </w:tabs>
      <w:spacing w:after="0"/>
    </w:pPr>
    <w:rPr>
      <w:rFonts w:ascii="Times New Roman" w:eastAsia="SimSun" w:hAnsi="Times New Roman"/>
      <w:szCs w:val="24"/>
      <w:lang w:eastAsia="zh-CN"/>
    </w:rPr>
  </w:style>
  <w:style w:type="character" w:customStyle="1" w:styleId="FooterChar">
    <w:name w:val="Footer Char"/>
    <w:basedOn w:val="DefaultParagraphFont"/>
    <w:link w:val="Footer"/>
    <w:uiPriority w:val="99"/>
    <w:rsid w:val="00914CF9"/>
    <w:rPr>
      <w:rFonts w:eastAsia="SimSun"/>
      <w:sz w:val="24"/>
      <w:szCs w:val="24"/>
      <w:lang w:eastAsia="zh-CN"/>
    </w:rPr>
  </w:style>
  <w:style w:type="paragraph" w:styleId="IndexHeading">
    <w:name w:val="index heading"/>
    <w:basedOn w:val="Normal"/>
    <w:next w:val="Index1"/>
    <w:semiHidden/>
    <w:rsid w:val="00914CF9"/>
    <w:pPr>
      <w:spacing w:after="0"/>
    </w:pPr>
    <w:rPr>
      <w:rFonts w:eastAsia="Times New Roman" w:cs="Arial"/>
      <w:b/>
      <w:bCs/>
      <w:color w:val="000000"/>
      <w:szCs w:val="24"/>
    </w:rPr>
  </w:style>
  <w:style w:type="paragraph" w:styleId="Caption">
    <w:name w:val="caption"/>
    <w:basedOn w:val="Normal"/>
    <w:next w:val="Normal"/>
    <w:qFormat/>
    <w:rsid w:val="00914CF9"/>
    <w:pPr>
      <w:spacing w:after="0"/>
    </w:pPr>
    <w:rPr>
      <w:rFonts w:ascii="Times New Roman" w:eastAsia="Times New Roman" w:hAnsi="Times New Roman"/>
      <w:b/>
      <w:bCs/>
      <w:color w:val="000000"/>
      <w:sz w:val="20"/>
    </w:rPr>
  </w:style>
  <w:style w:type="paragraph" w:styleId="TableofFigures">
    <w:name w:val="table of figures"/>
    <w:basedOn w:val="Normal"/>
    <w:next w:val="Normal"/>
    <w:semiHidden/>
    <w:rsid w:val="00914CF9"/>
    <w:pPr>
      <w:spacing w:after="0"/>
    </w:pPr>
    <w:rPr>
      <w:rFonts w:ascii="Times New Roman" w:eastAsia="Times New Roman" w:hAnsi="Times New Roman"/>
      <w:color w:val="000000"/>
      <w:szCs w:val="24"/>
    </w:rPr>
  </w:style>
  <w:style w:type="paragraph" w:styleId="EnvelopeAddress">
    <w:name w:val="envelope address"/>
    <w:basedOn w:val="Normal"/>
    <w:rsid w:val="00914CF9"/>
    <w:pPr>
      <w:framePr w:w="7920" w:h="1980" w:hRule="exact" w:hSpace="180" w:wrap="auto" w:hAnchor="page" w:xAlign="center" w:yAlign="bottom"/>
      <w:spacing w:after="0"/>
      <w:ind w:left="2880"/>
    </w:pPr>
    <w:rPr>
      <w:rFonts w:eastAsia="Times New Roman" w:cs="Arial"/>
      <w:color w:val="000000"/>
      <w:szCs w:val="24"/>
    </w:rPr>
  </w:style>
  <w:style w:type="paragraph" w:styleId="EnvelopeReturn">
    <w:name w:val="envelope return"/>
    <w:basedOn w:val="Normal"/>
    <w:rsid w:val="00914CF9"/>
    <w:pPr>
      <w:spacing w:after="0"/>
    </w:pPr>
    <w:rPr>
      <w:rFonts w:eastAsia="Times New Roman" w:cs="Arial"/>
      <w:color w:val="000000"/>
      <w:sz w:val="20"/>
    </w:rPr>
  </w:style>
  <w:style w:type="character" w:styleId="FootnoteReference">
    <w:name w:val="footnote reference"/>
    <w:uiPriority w:val="99"/>
    <w:semiHidden/>
    <w:rsid w:val="00914CF9"/>
    <w:rPr>
      <w:vertAlign w:val="superscript"/>
    </w:rPr>
  </w:style>
  <w:style w:type="character" w:styleId="CommentReference">
    <w:name w:val="annotation reference"/>
    <w:basedOn w:val="DefaultParagraphFont"/>
    <w:uiPriority w:val="99"/>
    <w:unhideWhenUsed/>
    <w:rsid w:val="00914CF9"/>
    <w:rPr>
      <w:sz w:val="16"/>
      <w:szCs w:val="16"/>
    </w:rPr>
  </w:style>
  <w:style w:type="paragraph" w:styleId="EndnoteText">
    <w:name w:val="endnote text"/>
    <w:basedOn w:val="Normal"/>
    <w:link w:val="EndnoteTextChar"/>
    <w:semiHidden/>
    <w:rsid w:val="00914CF9"/>
    <w:pPr>
      <w:spacing w:after="0"/>
    </w:pPr>
    <w:rPr>
      <w:rFonts w:ascii="Times New Roman" w:eastAsia="Times New Roman" w:hAnsi="Times New Roman"/>
      <w:color w:val="000000"/>
      <w:sz w:val="20"/>
    </w:rPr>
  </w:style>
  <w:style w:type="character" w:customStyle="1" w:styleId="EndnoteTextChar">
    <w:name w:val="Endnote Text Char"/>
    <w:basedOn w:val="DefaultParagraphFont"/>
    <w:link w:val="EndnoteText"/>
    <w:semiHidden/>
    <w:rsid w:val="00914CF9"/>
    <w:rPr>
      <w:rFonts w:eastAsia="Times New Roman"/>
      <w:color w:val="000000"/>
    </w:rPr>
  </w:style>
  <w:style w:type="paragraph" w:styleId="TableofAuthorities">
    <w:name w:val="table of authorities"/>
    <w:basedOn w:val="Normal"/>
    <w:next w:val="Normal"/>
    <w:semiHidden/>
    <w:rsid w:val="00914CF9"/>
    <w:pPr>
      <w:spacing w:after="0"/>
      <w:ind w:left="240" w:hanging="240"/>
    </w:pPr>
    <w:rPr>
      <w:rFonts w:ascii="Times New Roman" w:eastAsia="Times New Roman" w:hAnsi="Times New Roman"/>
      <w:color w:val="000000"/>
      <w:szCs w:val="24"/>
    </w:rPr>
  </w:style>
  <w:style w:type="paragraph" w:styleId="MacroText">
    <w:name w:val="macro"/>
    <w:link w:val="MacroTextChar"/>
    <w:semiHidden/>
    <w:rsid w:val="00914CF9"/>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color w:val="000000"/>
    </w:rPr>
  </w:style>
  <w:style w:type="character" w:customStyle="1" w:styleId="MacroTextChar">
    <w:name w:val="Macro Text Char"/>
    <w:basedOn w:val="DefaultParagraphFont"/>
    <w:link w:val="MacroText"/>
    <w:semiHidden/>
    <w:rsid w:val="00914CF9"/>
    <w:rPr>
      <w:rFonts w:ascii="Courier New" w:eastAsia="Times New Roman" w:hAnsi="Courier New" w:cs="Courier New"/>
      <w:color w:val="000000"/>
    </w:rPr>
  </w:style>
  <w:style w:type="paragraph" w:styleId="TOAHeading">
    <w:name w:val="toa heading"/>
    <w:basedOn w:val="Normal"/>
    <w:next w:val="Normal"/>
    <w:semiHidden/>
    <w:rsid w:val="00914CF9"/>
    <w:pPr>
      <w:spacing w:before="120" w:after="0"/>
    </w:pPr>
    <w:rPr>
      <w:rFonts w:eastAsia="Times New Roman" w:cs="Arial"/>
      <w:b/>
      <w:bCs/>
      <w:color w:val="000000"/>
      <w:szCs w:val="24"/>
    </w:rPr>
  </w:style>
  <w:style w:type="paragraph" w:styleId="List">
    <w:name w:val="List"/>
    <w:basedOn w:val="Normal"/>
    <w:unhideWhenUsed/>
    <w:rsid w:val="00914CF9"/>
    <w:pPr>
      <w:ind w:left="360" w:hanging="360"/>
      <w:contextualSpacing/>
    </w:pPr>
  </w:style>
  <w:style w:type="paragraph" w:styleId="ListBullet">
    <w:name w:val="List Bullet"/>
    <w:basedOn w:val="Normal"/>
    <w:rsid w:val="00914CF9"/>
    <w:pPr>
      <w:tabs>
        <w:tab w:val="num" w:pos="360"/>
      </w:tabs>
      <w:spacing w:after="0"/>
      <w:ind w:left="360" w:hanging="360"/>
    </w:pPr>
    <w:rPr>
      <w:rFonts w:ascii="Times New Roman" w:eastAsia="Times New Roman" w:hAnsi="Times New Roman"/>
      <w:color w:val="000000"/>
      <w:szCs w:val="24"/>
    </w:rPr>
  </w:style>
  <w:style w:type="paragraph" w:styleId="ListNumber">
    <w:name w:val="List Number"/>
    <w:basedOn w:val="Normal"/>
    <w:rsid w:val="00914CF9"/>
    <w:pPr>
      <w:tabs>
        <w:tab w:val="num" w:pos="360"/>
      </w:tabs>
      <w:spacing w:after="0"/>
      <w:ind w:left="360" w:hanging="360"/>
    </w:pPr>
    <w:rPr>
      <w:rFonts w:ascii="Times New Roman" w:eastAsia="Times New Roman" w:hAnsi="Times New Roman"/>
      <w:color w:val="000000"/>
      <w:szCs w:val="24"/>
    </w:rPr>
  </w:style>
  <w:style w:type="paragraph" w:styleId="List2">
    <w:name w:val="List 2"/>
    <w:basedOn w:val="Normal"/>
    <w:rsid w:val="00914CF9"/>
    <w:pPr>
      <w:spacing w:after="0"/>
      <w:ind w:left="720" w:hanging="360"/>
    </w:pPr>
    <w:rPr>
      <w:rFonts w:ascii="Times New Roman" w:eastAsia="Times New Roman" w:hAnsi="Times New Roman"/>
      <w:color w:val="000000"/>
      <w:szCs w:val="24"/>
    </w:rPr>
  </w:style>
  <w:style w:type="paragraph" w:styleId="List3">
    <w:name w:val="List 3"/>
    <w:basedOn w:val="Normal"/>
    <w:rsid w:val="00914CF9"/>
    <w:pPr>
      <w:spacing w:after="0"/>
      <w:ind w:left="1080" w:hanging="360"/>
    </w:pPr>
    <w:rPr>
      <w:rFonts w:ascii="Times New Roman" w:eastAsia="Times New Roman" w:hAnsi="Times New Roman"/>
      <w:color w:val="000000"/>
      <w:szCs w:val="24"/>
    </w:rPr>
  </w:style>
  <w:style w:type="paragraph" w:styleId="List4">
    <w:name w:val="List 4"/>
    <w:basedOn w:val="Normal"/>
    <w:rsid w:val="00914CF9"/>
    <w:pPr>
      <w:spacing w:after="0"/>
      <w:ind w:left="1440" w:hanging="360"/>
    </w:pPr>
    <w:rPr>
      <w:rFonts w:ascii="Times New Roman" w:eastAsia="Times New Roman" w:hAnsi="Times New Roman"/>
      <w:color w:val="000000"/>
      <w:szCs w:val="24"/>
    </w:rPr>
  </w:style>
  <w:style w:type="paragraph" w:styleId="List5">
    <w:name w:val="List 5"/>
    <w:basedOn w:val="Normal"/>
    <w:rsid w:val="00914CF9"/>
    <w:pPr>
      <w:spacing w:after="0"/>
      <w:ind w:left="1800" w:hanging="360"/>
    </w:pPr>
    <w:rPr>
      <w:rFonts w:ascii="Times New Roman" w:eastAsia="Times New Roman" w:hAnsi="Times New Roman"/>
      <w:color w:val="000000"/>
      <w:szCs w:val="24"/>
    </w:rPr>
  </w:style>
  <w:style w:type="paragraph" w:styleId="ListBullet2">
    <w:name w:val="List Bullet 2"/>
    <w:basedOn w:val="Normal"/>
    <w:rsid w:val="00914CF9"/>
    <w:pPr>
      <w:tabs>
        <w:tab w:val="num" w:pos="720"/>
      </w:tabs>
      <w:spacing w:after="0"/>
      <w:ind w:left="720" w:hanging="360"/>
    </w:pPr>
    <w:rPr>
      <w:rFonts w:ascii="Times New Roman" w:eastAsia="Times New Roman" w:hAnsi="Times New Roman"/>
      <w:color w:val="000000"/>
      <w:szCs w:val="24"/>
    </w:rPr>
  </w:style>
  <w:style w:type="paragraph" w:styleId="ListBullet3">
    <w:name w:val="List Bullet 3"/>
    <w:basedOn w:val="Normal"/>
    <w:rsid w:val="00914CF9"/>
    <w:pPr>
      <w:tabs>
        <w:tab w:val="num" w:pos="1080"/>
      </w:tabs>
      <w:spacing w:after="0"/>
      <w:ind w:left="1080" w:hanging="360"/>
    </w:pPr>
    <w:rPr>
      <w:rFonts w:ascii="Times New Roman" w:eastAsia="Times New Roman" w:hAnsi="Times New Roman"/>
      <w:color w:val="000000"/>
      <w:szCs w:val="24"/>
    </w:rPr>
  </w:style>
  <w:style w:type="paragraph" w:styleId="ListBullet4">
    <w:name w:val="List Bullet 4"/>
    <w:basedOn w:val="Normal"/>
    <w:rsid w:val="00914CF9"/>
    <w:pPr>
      <w:tabs>
        <w:tab w:val="num" w:pos="1440"/>
      </w:tabs>
      <w:spacing w:after="0"/>
      <w:ind w:left="1440" w:hanging="360"/>
    </w:pPr>
    <w:rPr>
      <w:rFonts w:ascii="Times New Roman" w:eastAsia="Times New Roman" w:hAnsi="Times New Roman"/>
      <w:color w:val="000000"/>
      <w:szCs w:val="24"/>
    </w:rPr>
  </w:style>
  <w:style w:type="paragraph" w:styleId="ListBullet5">
    <w:name w:val="List Bullet 5"/>
    <w:basedOn w:val="Normal"/>
    <w:rsid w:val="00914CF9"/>
    <w:pPr>
      <w:tabs>
        <w:tab w:val="num" w:pos="1800"/>
      </w:tabs>
      <w:spacing w:after="0"/>
      <w:ind w:left="1800" w:hanging="360"/>
    </w:pPr>
    <w:rPr>
      <w:rFonts w:ascii="Times New Roman" w:eastAsia="Times New Roman" w:hAnsi="Times New Roman"/>
      <w:color w:val="000000"/>
      <w:szCs w:val="24"/>
    </w:rPr>
  </w:style>
  <w:style w:type="paragraph" w:styleId="ListNumber2">
    <w:name w:val="List Number 2"/>
    <w:basedOn w:val="Normal"/>
    <w:rsid w:val="00914CF9"/>
    <w:pPr>
      <w:tabs>
        <w:tab w:val="num" w:pos="720"/>
      </w:tabs>
      <w:spacing w:after="0"/>
      <w:ind w:left="720" w:hanging="360"/>
    </w:pPr>
    <w:rPr>
      <w:rFonts w:ascii="Times New Roman" w:eastAsia="Times New Roman" w:hAnsi="Times New Roman"/>
      <w:color w:val="000000"/>
      <w:szCs w:val="24"/>
    </w:rPr>
  </w:style>
  <w:style w:type="paragraph" w:styleId="ListNumber3">
    <w:name w:val="List Number 3"/>
    <w:basedOn w:val="Normal"/>
    <w:rsid w:val="00914CF9"/>
    <w:pPr>
      <w:tabs>
        <w:tab w:val="num" w:pos="1080"/>
      </w:tabs>
      <w:spacing w:after="0"/>
      <w:ind w:left="1080" w:hanging="360"/>
    </w:pPr>
    <w:rPr>
      <w:rFonts w:ascii="Times New Roman" w:eastAsia="Times New Roman" w:hAnsi="Times New Roman"/>
      <w:color w:val="000000"/>
      <w:szCs w:val="24"/>
    </w:rPr>
  </w:style>
  <w:style w:type="paragraph" w:styleId="ListNumber4">
    <w:name w:val="List Number 4"/>
    <w:basedOn w:val="Normal"/>
    <w:rsid w:val="00914CF9"/>
    <w:pPr>
      <w:tabs>
        <w:tab w:val="num" w:pos="1440"/>
      </w:tabs>
      <w:spacing w:after="0"/>
      <w:ind w:left="1440" w:hanging="360"/>
    </w:pPr>
    <w:rPr>
      <w:rFonts w:ascii="Times New Roman" w:eastAsia="Times New Roman" w:hAnsi="Times New Roman"/>
      <w:color w:val="000000"/>
      <w:szCs w:val="24"/>
    </w:rPr>
  </w:style>
  <w:style w:type="paragraph" w:styleId="ListNumber5">
    <w:name w:val="List Number 5"/>
    <w:basedOn w:val="Normal"/>
    <w:rsid w:val="00914CF9"/>
    <w:pPr>
      <w:tabs>
        <w:tab w:val="num" w:pos="1800"/>
      </w:tabs>
      <w:spacing w:after="0"/>
      <w:ind w:left="1800" w:hanging="360"/>
    </w:pPr>
    <w:rPr>
      <w:rFonts w:ascii="Times New Roman" w:eastAsia="Times New Roman" w:hAnsi="Times New Roman"/>
      <w:color w:val="000000"/>
      <w:szCs w:val="24"/>
    </w:rPr>
  </w:style>
  <w:style w:type="paragraph" w:styleId="Title">
    <w:name w:val="Title"/>
    <w:basedOn w:val="Normal"/>
    <w:next w:val="Normal"/>
    <w:link w:val="TitleChar"/>
    <w:uiPriority w:val="99"/>
    <w:qFormat/>
    <w:rsid w:val="00914CF9"/>
    <w:pPr>
      <w:pBdr>
        <w:bottom w:val="single" w:sz="8" w:space="4" w:color="4472C4" w:themeColor="accent1"/>
      </w:pBdr>
      <w:spacing w:before="120" w:after="300"/>
      <w:contextualSpacing/>
      <w:jc w:val="both"/>
    </w:pPr>
    <w:rPr>
      <w:rFonts w:eastAsiaTheme="majorEastAsia" w:cstheme="majorBidi"/>
      <w:b/>
      <w:spacing w:val="5"/>
      <w:kern w:val="28"/>
      <w:sz w:val="28"/>
      <w:szCs w:val="52"/>
    </w:rPr>
  </w:style>
  <w:style w:type="character" w:customStyle="1" w:styleId="TitleChar">
    <w:name w:val="Title Char"/>
    <w:basedOn w:val="DefaultParagraphFont"/>
    <w:link w:val="Title"/>
    <w:uiPriority w:val="99"/>
    <w:qFormat/>
    <w:rsid w:val="00914CF9"/>
    <w:rPr>
      <w:rFonts w:ascii="Arial" w:eastAsiaTheme="majorEastAsia" w:hAnsi="Arial" w:cstheme="majorBidi"/>
      <w:b/>
      <w:spacing w:val="5"/>
      <w:kern w:val="28"/>
      <w:sz w:val="28"/>
      <w:szCs w:val="52"/>
    </w:rPr>
  </w:style>
  <w:style w:type="paragraph" w:styleId="Closing">
    <w:name w:val="Closing"/>
    <w:basedOn w:val="Normal"/>
    <w:link w:val="ClosingChar"/>
    <w:rsid w:val="00914CF9"/>
    <w:pPr>
      <w:spacing w:after="0"/>
      <w:ind w:left="4320"/>
    </w:pPr>
    <w:rPr>
      <w:rFonts w:ascii="Times New Roman" w:eastAsia="Times New Roman" w:hAnsi="Times New Roman"/>
      <w:color w:val="000000"/>
      <w:szCs w:val="24"/>
    </w:rPr>
  </w:style>
  <w:style w:type="character" w:customStyle="1" w:styleId="ClosingChar">
    <w:name w:val="Closing Char"/>
    <w:basedOn w:val="DefaultParagraphFont"/>
    <w:link w:val="Closing"/>
    <w:rsid w:val="00914CF9"/>
    <w:rPr>
      <w:rFonts w:eastAsia="Times New Roman"/>
      <w:color w:val="000000"/>
      <w:sz w:val="24"/>
      <w:szCs w:val="24"/>
    </w:rPr>
  </w:style>
  <w:style w:type="paragraph" w:styleId="Signature">
    <w:name w:val="Signature"/>
    <w:basedOn w:val="Normal"/>
    <w:link w:val="SignatureChar"/>
    <w:rsid w:val="00914CF9"/>
    <w:pPr>
      <w:spacing w:after="0"/>
      <w:ind w:left="4320"/>
    </w:pPr>
    <w:rPr>
      <w:rFonts w:ascii="Times New Roman" w:eastAsia="Times New Roman" w:hAnsi="Times New Roman"/>
      <w:color w:val="000000"/>
      <w:szCs w:val="24"/>
    </w:rPr>
  </w:style>
  <w:style w:type="character" w:customStyle="1" w:styleId="SignatureChar">
    <w:name w:val="Signature Char"/>
    <w:basedOn w:val="DefaultParagraphFont"/>
    <w:link w:val="Signature"/>
    <w:rsid w:val="00914CF9"/>
    <w:rPr>
      <w:rFonts w:eastAsia="Times New Roman"/>
      <w:color w:val="000000"/>
      <w:sz w:val="24"/>
      <w:szCs w:val="24"/>
    </w:rPr>
  </w:style>
  <w:style w:type="paragraph" w:styleId="BodyText">
    <w:name w:val="Body Text"/>
    <w:basedOn w:val="Normal"/>
    <w:link w:val="BodyTextChar"/>
    <w:rsid w:val="00914CF9"/>
    <w:rPr>
      <w:rFonts w:ascii="Times New Roman" w:eastAsia="Times New Roman" w:hAnsi="Times New Roman"/>
      <w:color w:val="000000"/>
      <w:szCs w:val="24"/>
    </w:rPr>
  </w:style>
  <w:style w:type="character" w:customStyle="1" w:styleId="BodyTextChar">
    <w:name w:val="Body Text Char"/>
    <w:basedOn w:val="DefaultParagraphFont"/>
    <w:link w:val="BodyText"/>
    <w:rsid w:val="00914CF9"/>
    <w:rPr>
      <w:rFonts w:eastAsia="Times New Roman"/>
      <w:color w:val="000000"/>
      <w:sz w:val="24"/>
      <w:szCs w:val="24"/>
    </w:rPr>
  </w:style>
  <w:style w:type="paragraph" w:styleId="BodyTextIndent">
    <w:name w:val="Body Text Indent"/>
    <w:basedOn w:val="Normal"/>
    <w:link w:val="BodyTextIndentChar"/>
    <w:rsid w:val="00914CF9"/>
    <w:pPr>
      <w:ind w:left="360"/>
    </w:pPr>
    <w:rPr>
      <w:rFonts w:ascii="Times New Roman" w:eastAsia="Times New Roman" w:hAnsi="Times New Roman"/>
      <w:color w:val="000000"/>
      <w:szCs w:val="24"/>
    </w:rPr>
  </w:style>
  <w:style w:type="character" w:customStyle="1" w:styleId="BodyTextIndentChar">
    <w:name w:val="Body Text Indent Char"/>
    <w:basedOn w:val="DefaultParagraphFont"/>
    <w:link w:val="BodyTextIndent"/>
    <w:rsid w:val="00914CF9"/>
    <w:rPr>
      <w:rFonts w:eastAsia="Times New Roman"/>
      <w:color w:val="000000"/>
      <w:sz w:val="24"/>
      <w:szCs w:val="24"/>
    </w:rPr>
  </w:style>
  <w:style w:type="paragraph" w:styleId="ListContinue">
    <w:name w:val="List Continue"/>
    <w:basedOn w:val="Normal"/>
    <w:rsid w:val="00914CF9"/>
    <w:pPr>
      <w:ind w:left="360"/>
    </w:pPr>
    <w:rPr>
      <w:rFonts w:ascii="Times New Roman" w:eastAsia="Times New Roman" w:hAnsi="Times New Roman"/>
      <w:color w:val="000000"/>
      <w:szCs w:val="24"/>
    </w:rPr>
  </w:style>
  <w:style w:type="paragraph" w:styleId="ListContinue2">
    <w:name w:val="List Continue 2"/>
    <w:basedOn w:val="Normal"/>
    <w:rsid w:val="00914CF9"/>
    <w:pPr>
      <w:ind w:left="720"/>
    </w:pPr>
    <w:rPr>
      <w:rFonts w:ascii="Times New Roman" w:eastAsia="Times New Roman" w:hAnsi="Times New Roman"/>
      <w:color w:val="000000"/>
      <w:szCs w:val="24"/>
    </w:rPr>
  </w:style>
  <w:style w:type="paragraph" w:styleId="ListContinue3">
    <w:name w:val="List Continue 3"/>
    <w:basedOn w:val="Normal"/>
    <w:rsid w:val="00914CF9"/>
    <w:pPr>
      <w:ind w:left="1080"/>
    </w:pPr>
    <w:rPr>
      <w:rFonts w:ascii="Times New Roman" w:eastAsia="Times New Roman" w:hAnsi="Times New Roman"/>
      <w:color w:val="000000"/>
      <w:szCs w:val="24"/>
    </w:rPr>
  </w:style>
  <w:style w:type="paragraph" w:styleId="ListContinue4">
    <w:name w:val="List Continue 4"/>
    <w:basedOn w:val="Normal"/>
    <w:rsid w:val="00914CF9"/>
    <w:pPr>
      <w:ind w:left="1440"/>
    </w:pPr>
    <w:rPr>
      <w:rFonts w:ascii="Times New Roman" w:eastAsia="Times New Roman" w:hAnsi="Times New Roman"/>
      <w:color w:val="000000"/>
      <w:szCs w:val="24"/>
    </w:rPr>
  </w:style>
  <w:style w:type="paragraph" w:styleId="ListContinue5">
    <w:name w:val="List Continue 5"/>
    <w:basedOn w:val="Normal"/>
    <w:rsid w:val="00914CF9"/>
    <w:pPr>
      <w:ind w:left="1800"/>
    </w:pPr>
    <w:rPr>
      <w:rFonts w:ascii="Times New Roman" w:eastAsia="Times New Roman" w:hAnsi="Times New Roman"/>
      <w:color w:val="000000"/>
      <w:szCs w:val="24"/>
    </w:rPr>
  </w:style>
  <w:style w:type="paragraph" w:styleId="MessageHeader">
    <w:name w:val="Message Header"/>
    <w:basedOn w:val="Normal"/>
    <w:link w:val="MessageHeaderChar"/>
    <w:rsid w:val="00914CF9"/>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imes New Roman" w:cs="Arial"/>
      <w:color w:val="000000"/>
      <w:szCs w:val="24"/>
    </w:rPr>
  </w:style>
  <w:style w:type="character" w:customStyle="1" w:styleId="MessageHeaderChar">
    <w:name w:val="Message Header Char"/>
    <w:basedOn w:val="DefaultParagraphFont"/>
    <w:link w:val="MessageHeader"/>
    <w:rsid w:val="00914CF9"/>
    <w:rPr>
      <w:rFonts w:ascii="Arial" w:eastAsia="Times New Roman" w:hAnsi="Arial" w:cs="Arial"/>
      <w:color w:val="000000"/>
      <w:sz w:val="24"/>
      <w:szCs w:val="24"/>
      <w:shd w:val="pct20" w:color="auto" w:fill="auto"/>
    </w:rPr>
  </w:style>
  <w:style w:type="paragraph" w:styleId="Subtitle">
    <w:name w:val="Subtitle"/>
    <w:basedOn w:val="Normal"/>
    <w:link w:val="SubtitleChar"/>
    <w:qFormat/>
    <w:rsid w:val="00914CF9"/>
    <w:pPr>
      <w:keepNext/>
      <w:spacing w:before="240" w:after="60" w:line="480" w:lineRule="auto"/>
      <w:outlineLvl w:val="1"/>
    </w:pPr>
    <w:rPr>
      <w:rFonts w:eastAsia="Times New Roman" w:cs="Arial"/>
      <w:b/>
      <w:kern w:val="28"/>
      <w:szCs w:val="24"/>
      <w:u w:val="single"/>
    </w:rPr>
  </w:style>
  <w:style w:type="character" w:customStyle="1" w:styleId="SubtitleChar">
    <w:name w:val="Subtitle Char"/>
    <w:link w:val="Subtitle"/>
    <w:rsid w:val="00914CF9"/>
    <w:rPr>
      <w:rFonts w:ascii="Arial" w:eastAsia="Times New Roman" w:hAnsi="Arial" w:cs="Arial"/>
      <w:b/>
      <w:kern w:val="28"/>
      <w:sz w:val="24"/>
      <w:szCs w:val="24"/>
      <w:u w:val="single"/>
    </w:rPr>
  </w:style>
  <w:style w:type="paragraph" w:styleId="Salutation">
    <w:name w:val="Salutation"/>
    <w:basedOn w:val="Normal"/>
    <w:next w:val="Normal"/>
    <w:link w:val="SalutationChar"/>
    <w:rsid w:val="00914CF9"/>
    <w:pPr>
      <w:spacing w:after="0"/>
    </w:pPr>
    <w:rPr>
      <w:rFonts w:ascii="Times New Roman" w:eastAsia="Times New Roman" w:hAnsi="Times New Roman"/>
      <w:color w:val="000000"/>
      <w:szCs w:val="24"/>
    </w:rPr>
  </w:style>
  <w:style w:type="character" w:customStyle="1" w:styleId="SalutationChar">
    <w:name w:val="Salutation Char"/>
    <w:basedOn w:val="DefaultParagraphFont"/>
    <w:link w:val="Salutation"/>
    <w:rsid w:val="00914CF9"/>
    <w:rPr>
      <w:rFonts w:eastAsia="Times New Roman"/>
      <w:color w:val="000000"/>
      <w:sz w:val="24"/>
      <w:szCs w:val="24"/>
    </w:rPr>
  </w:style>
  <w:style w:type="paragraph" w:styleId="Date">
    <w:name w:val="Date"/>
    <w:basedOn w:val="Normal"/>
    <w:next w:val="Normal"/>
    <w:link w:val="DateChar"/>
    <w:rsid w:val="00914CF9"/>
    <w:pPr>
      <w:spacing w:after="0"/>
    </w:pPr>
    <w:rPr>
      <w:rFonts w:ascii="Times New Roman" w:eastAsia="Times New Roman" w:hAnsi="Times New Roman"/>
      <w:color w:val="000000"/>
      <w:szCs w:val="24"/>
    </w:rPr>
  </w:style>
  <w:style w:type="character" w:customStyle="1" w:styleId="DateChar">
    <w:name w:val="Date Char"/>
    <w:basedOn w:val="DefaultParagraphFont"/>
    <w:link w:val="Date"/>
    <w:rsid w:val="00914CF9"/>
    <w:rPr>
      <w:rFonts w:eastAsia="Times New Roman"/>
      <w:color w:val="000000"/>
      <w:sz w:val="24"/>
      <w:szCs w:val="24"/>
    </w:rPr>
  </w:style>
  <w:style w:type="paragraph" w:styleId="BodyTextFirstIndent">
    <w:name w:val="Body Text First Indent"/>
    <w:basedOn w:val="BodyText"/>
    <w:link w:val="BodyTextFirstIndentChar"/>
    <w:rsid w:val="00914CF9"/>
    <w:pPr>
      <w:ind w:firstLine="210"/>
    </w:pPr>
  </w:style>
  <w:style w:type="character" w:customStyle="1" w:styleId="BodyTextFirstIndentChar">
    <w:name w:val="Body Text First Indent Char"/>
    <w:basedOn w:val="BodyTextChar"/>
    <w:link w:val="BodyTextFirstIndent"/>
    <w:rsid w:val="00914CF9"/>
    <w:rPr>
      <w:rFonts w:eastAsia="Times New Roman"/>
      <w:color w:val="000000"/>
      <w:sz w:val="24"/>
      <w:szCs w:val="24"/>
    </w:rPr>
  </w:style>
  <w:style w:type="paragraph" w:styleId="BodyTextFirstIndent2">
    <w:name w:val="Body Text First Indent 2"/>
    <w:basedOn w:val="BodyTextIndent"/>
    <w:link w:val="BodyTextFirstIndent2Char"/>
    <w:rsid w:val="00914CF9"/>
    <w:pPr>
      <w:ind w:firstLine="210"/>
    </w:pPr>
  </w:style>
  <w:style w:type="character" w:customStyle="1" w:styleId="BodyTextFirstIndent2Char">
    <w:name w:val="Body Text First Indent 2 Char"/>
    <w:basedOn w:val="BodyTextIndentChar"/>
    <w:link w:val="BodyTextFirstIndent2"/>
    <w:rsid w:val="00914CF9"/>
    <w:rPr>
      <w:rFonts w:eastAsia="Times New Roman"/>
      <w:color w:val="000000"/>
      <w:sz w:val="24"/>
      <w:szCs w:val="24"/>
    </w:rPr>
  </w:style>
  <w:style w:type="paragraph" w:styleId="NoteHeading">
    <w:name w:val="Note Heading"/>
    <w:basedOn w:val="Normal"/>
    <w:next w:val="Normal"/>
    <w:link w:val="NoteHeadingChar"/>
    <w:rsid w:val="00914CF9"/>
    <w:pPr>
      <w:spacing w:after="0"/>
    </w:pPr>
    <w:rPr>
      <w:rFonts w:ascii="Times New Roman" w:eastAsia="Times New Roman" w:hAnsi="Times New Roman"/>
      <w:color w:val="000000"/>
      <w:szCs w:val="24"/>
    </w:rPr>
  </w:style>
  <w:style w:type="character" w:customStyle="1" w:styleId="NoteHeadingChar">
    <w:name w:val="Note Heading Char"/>
    <w:basedOn w:val="DefaultParagraphFont"/>
    <w:link w:val="NoteHeading"/>
    <w:rsid w:val="00914CF9"/>
    <w:rPr>
      <w:rFonts w:eastAsia="Times New Roman"/>
      <w:color w:val="000000"/>
      <w:sz w:val="24"/>
      <w:szCs w:val="24"/>
    </w:rPr>
  </w:style>
  <w:style w:type="paragraph" w:styleId="BodyText2">
    <w:name w:val="Body Text 2"/>
    <w:basedOn w:val="Normal"/>
    <w:link w:val="BodyText2Char"/>
    <w:rsid w:val="00914CF9"/>
    <w:pPr>
      <w:spacing w:line="480" w:lineRule="auto"/>
    </w:pPr>
    <w:rPr>
      <w:rFonts w:ascii="Times New Roman" w:eastAsia="Times New Roman" w:hAnsi="Times New Roman"/>
      <w:color w:val="000000"/>
      <w:szCs w:val="24"/>
    </w:rPr>
  </w:style>
  <w:style w:type="character" w:customStyle="1" w:styleId="BodyText2Char">
    <w:name w:val="Body Text 2 Char"/>
    <w:basedOn w:val="DefaultParagraphFont"/>
    <w:link w:val="BodyText2"/>
    <w:rsid w:val="00914CF9"/>
    <w:rPr>
      <w:rFonts w:eastAsia="Times New Roman"/>
      <w:color w:val="000000"/>
      <w:sz w:val="24"/>
      <w:szCs w:val="24"/>
    </w:rPr>
  </w:style>
  <w:style w:type="paragraph" w:styleId="BodyText3">
    <w:name w:val="Body Text 3"/>
    <w:basedOn w:val="Normal"/>
    <w:link w:val="BodyText3Char"/>
    <w:rsid w:val="00914CF9"/>
    <w:rPr>
      <w:rFonts w:ascii="Times New Roman" w:eastAsia="Times New Roman" w:hAnsi="Times New Roman"/>
      <w:color w:val="000000"/>
      <w:sz w:val="16"/>
      <w:szCs w:val="16"/>
    </w:rPr>
  </w:style>
  <w:style w:type="character" w:customStyle="1" w:styleId="BodyText3Char">
    <w:name w:val="Body Text 3 Char"/>
    <w:basedOn w:val="DefaultParagraphFont"/>
    <w:link w:val="BodyText3"/>
    <w:rsid w:val="00914CF9"/>
    <w:rPr>
      <w:rFonts w:eastAsia="Times New Roman"/>
      <w:color w:val="000000"/>
      <w:sz w:val="16"/>
      <w:szCs w:val="16"/>
    </w:rPr>
  </w:style>
  <w:style w:type="paragraph" w:styleId="BodyTextIndent2">
    <w:name w:val="Body Text Indent 2"/>
    <w:basedOn w:val="Normal"/>
    <w:link w:val="BodyTextIndent2Char"/>
    <w:rsid w:val="00914CF9"/>
    <w:pPr>
      <w:spacing w:line="480" w:lineRule="auto"/>
      <w:ind w:left="360"/>
    </w:pPr>
    <w:rPr>
      <w:rFonts w:ascii="Times New Roman" w:eastAsia="Times New Roman" w:hAnsi="Times New Roman"/>
      <w:color w:val="000000"/>
      <w:szCs w:val="24"/>
    </w:rPr>
  </w:style>
  <w:style w:type="character" w:customStyle="1" w:styleId="BodyTextIndent2Char">
    <w:name w:val="Body Text Indent 2 Char"/>
    <w:basedOn w:val="DefaultParagraphFont"/>
    <w:link w:val="BodyTextIndent2"/>
    <w:rsid w:val="00914CF9"/>
    <w:rPr>
      <w:rFonts w:eastAsia="Times New Roman"/>
      <w:color w:val="000000"/>
      <w:sz w:val="24"/>
      <w:szCs w:val="24"/>
    </w:rPr>
  </w:style>
  <w:style w:type="paragraph" w:styleId="BodyTextIndent3">
    <w:name w:val="Body Text Indent 3"/>
    <w:basedOn w:val="Normal"/>
    <w:link w:val="BodyTextIndent3Char"/>
    <w:rsid w:val="00914CF9"/>
    <w:pPr>
      <w:ind w:left="360"/>
    </w:pPr>
    <w:rPr>
      <w:rFonts w:ascii="Times New Roman" w:eastAsia="Times New Roman" w:hAnsi="Times New Roman"/>
      <w:color w:val="000000"/>
      <w:sz w:val="16"/>
      <w:szCs w:val="16"/>
    </w:rPr>
  </w:style>
  <w:style w:type="character" w:customStyle="1" w:styleId="BodyTextIndent3Char">
    <w:name w:val="Body Text Indent 3 Char"/>
    <w:basedOn w:val="DefaultParagraphFont"/>
    <w:link w:val="BodyTextIndent3"/>
    <w:rsid w:val="00914CF9"/>
    <w:rPr>
      <w:rFonts w:eastAsia="Times New Roman"/>
      <w:color w:val="000000"/>
      <w:sz w:val="16"/>
      <w:szCs w:val="16"/>
    </w:rPr>
  </w:style>
  <w:style w:type="paragraph" w:styleId="BlockText">
    <w:name w:val="Block Text"/>
    <w:basedOn w:val="Normal"/>
    <w:rsid w:val="00914CF9"/>
    <w:pPr>
      <w:spacing w:after="0"/>
      <w:ind w:left="960" w:right="-502" w:hanging="940"/>
      <w:jc w:val="both"/>
    </w:pPr>
    <w:rPr>
      <w:rFonts w:ascii="Times New Roman" w:eastAsia="Times New Roman" w:hAnsi="Times New Roman"/>
      <w:lang w:eastAsia="it-IT"/>
    </w:rPr>
  </w:style>
  <w:style w:type="character" w:styleId="Hyperlink">
    <w:name w:val="Hyperlink"/>
    <w:uiPriority w:val="99"/>
    <w:unhideWhenUsed/>
    <w:rsid w:val="00914CF9"/>
    <w:rPr>
      <w:rFonts w:ascii="Arial" w:hAnsi="Arial"/>
      <w:strike w:val="0"/>
      <w:dstrike w:val="0"/>
      <w:color w:val="000066"/>
      <w:sz w:val="22"/>
      <w:u w:val="none"/>
      <w:effect w:val="none"/>
    </w:rPr>
  </w:style>
  <w:style w:type="character" w:styleId="FollowedHyperlink">
    <w:name w:val="FollowedHyperlink"/>
    <w:basedOn w:val="DefaultParagraphFont"/>
    <w:uiPriority w:val="99"/>
    <w:unhideWhenUsed/>
    <w:rsid w:val="00914CF9"/>
    <w:rPr>
      <w:color w:val="954F72" w:themeColor="followedHyperlink"/>
      <w:u w:val="single"/>
    </w:rPr>
  </w:style>
  <w:style w:type="character" w:styleId="Strong">
    <w:name w:val="Strong"/>
    <w:qFormat/>
    <w:rsid w:val="00914CF9"/>
    <w:rPr>
      <w:rFonts w:ascii="Verdana" w:hAnsi="Verdana" w:hint="default"/>
      <w:b/>
      <w:bCs/>
      <w:color w:val="FF0000"/>
      <w:sz w:val="30"/>
      <w:szCs w:val="30"/>
    </w:rPr>
  </w:style>
  <w:style w:type="character" w:styleId="Emphasis">
    <w:name w:val="Emphasis"/>
    <w:basedOn w:val="DefaultParagraphFont"/>
    <w:uiPriority w:val="20"/>
    <w:qFormat/>
    <w:rsid w:val="00914CF9"/>
    <w:rPr>
      <w:i/>
      <w:iCs/>
    </w:rPr>
  </w:style>
  <w:style w:type="paragraph" w:styleId="DocumentMap">
    <w:name w:val="Document Map"/>
    <w:basedOn w:val="Normal"/>
    <w:link w:val="DocumentMapChar"/>
    <w:semiHidden/>
    <w:rsid w:val="00914CF9"/>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914CF9"/>
    <w:rPr>
      <w:rFonts w:ascii="Tahoma" w:hAnsi="Tahoma" w:cs="Tahoma"/>
      <w:shd w:val="clear" w:color="auto" w:fill="000080"/>
    </w:rPr>
  </w:style>
  <w:style w:type="paragraph" w:styleId="PlainText">
    <w:name w:val="Plain Text"/>
    <w:basedOn w:val="Normal"/>
    <w:link w:val="PlainTextChar"/>
    <w:rsid w:val="00914CF9"/>
    <w:pPr>
      <w:spacing w:after="0"/>
    </w:pPr>
    <w:rPr>
      <w:rFonts w:ascii="Courier New" w:eastAsia="Times New Roman" w:hAnsi="Courier New" w:cs="Courier New"/>
      <w:color w:val="000000"/>
      <w:sz w:val="20"/>
    </w:rPr>
  </w:style>
  <w:style w:type="character" w:customStyle="1" w:styleId="PlainTextChar">
    <w:name w:val="Plain Text Char"/>
    <w:basedOn w:val="DefaultParagraphFont"/>
    <w:link w:val="PlainText"/>
    <w:rsid w:val="00914CF9"/>
    <w:rPr>
      <w:rFonts w:ascii="Courier New" w:eastAsia="Times New Roman" w:hAnsi="Courier New" w:cs="Courier New"/>
      <w:color w:val="000000"/>
    </w:rPr>
  </w:style>
  <w:style w:type="paragraph" w:styleId="E-mailSignature">
    <w:name w:val="E-mail Signature"/>
    <w:basedOn w:val="Normal"/>
    <w:link w:val="E-mailSignatureChar"/>
    <w:rsid w:val="00914CF9"/>
    <w:pPr>
      <w:spacing w:after="0"/>
    </w:pPr>
    <w:rPr>
      <w:rFonts w:ascii="Times New Roman" w:eastAsia="Times New Roman" w:hAnsi="Times New Roman"/>
      <w:color w:val="000000"/>
      <w:szCs w:val="24"/>
    </w:rPr>
  </w:style>
  <w:style w:type="character" w:customStyle="1" w:styleId="E-mailSignatureChar">
    <w:name w:val="E-mail Signature Char"/>
    <w:basedOn w:val="DefaultParagraphFont"/>
    <w:link w:val="E-mailSignature"/>
    <w:rsid w:val="00914CF9"/>
    <w:rPr>
      <w:rFonts w:eastAsia="Times New Roman"/>
      <w:color w:val="000000"/>
      <w:sz w:val="24"/>
      <w:szCs w:val="24"/>
    </w:rPr>
  </w:style>
  <w:style w:type="paragraph" w:styleId="NormalWeb">
    <w:name w:val="Normal (Web)"/>
    <w:basedOn w:val="Normal"/>
    <w:uiPriority w:val="99"/>
    <w:rsid w:val="00914CF9"/>
    <w:pPr>
      <w:spacing w:before="100" w:beforeAutospacing="1" w:after="100" w:afterAutospacing="1"/>
    </w:pPr>
    <w:rPr>
      <w:rFonts w:ascii="Times New Roman" w:eastAsia="Times New Roman" w:hAnsi="Times New Roman"/>
      <w:color w:val="000000"/>
      <w:szCs w:val="24"/>
    </w:rPr>
  </w:style>
  <w:style w:type="paragraph" w:styleId="HTMLAddress">
    <w:name w:val="HTML Address"/>
    <w:basedOn w:val="Normal"/>
    <w:link w:val="HTMLAddressChar"/>
    <w:rsid w:val="00914CF9"/>
    <w:pPr>
      <w:spacing w:after="0"/>
    </w:pPr>
    <w:rPr>
      <w:rFonts w:ascii="Times New Roman" w:eastAsia="Times New Roman" w:hAnsi="Times New Roman"/>
      <w:i/>
      <w:iCs/>
      <w:color w:val="000000"/>
      <w:szCs w:val="24"/>
    </w:rPr>
  </w:style>
  <w:style w:type="character" w:customStyle="1" w:styleId="HTMLAddressChar">
    <w:name w:val="HTML Address Char"/>
    <w:basedOn w:val="DefaultParagraphFont"/>
    <w:link w:val="HTMLAddress"/>
    <w:rsid w:val="00914CF9"/>
    <w:rPr>
      <w:rFonts w:eastAsia="Times New Roman"/>
      <w:i/>
      <w:iCs/>
      <w:color w:val="000000"/>
      <w:sz w:val="24"/>
      <w:szCs w:val="24"/>
    </w:rPr>
  </w:style>
  <w:style w:type="paragraph" w:styleId="HTMLPreformatted">
    <w:name w:val="HTML Preformatted"/>
    <w:basedOn w:val="Normal"/>
    <w:link w:val="HTMLPreformattedChar"/>
    <w:rsid w:val="00914CF9"/>
    <w:pPr>
      <w:spacing w:after="0"/>
    </w:pPr>
    <w:rPr>
      <w:rFonts w:ascii="Courier New" w:eastAsia="Times New Roman" w:hAnsi="Courier New" w:cs="Courier New"/>
      <w:color w:val="000000"/>
      <w:sz w:val="20"/>
    </w:rPr>
  </w:style>
  <w:style w:type="character" w:customStyle="1" w:styleId="HTMLPreformattedChar">
    <w:name w:val="HTML Preformatted Char"/>
    <w:basedOn w:val="DefaultParagraphFont"/>
    <w:link w:val="HTMLPreformatted"/>
    <w:rsid w:val="00914CF9"/>
    <w:rPr>
      <w:rFonts w:ascii="Courier New" w:eastAsia="Times New Roman" w:hAnsi="Courier New" w:cs="Courier New"/>
      <w:color w:val="000000"/>
    </w:rPr>
  </w:style>
  <w:style w:type="paragraph" w:styleId="CommentSubject">
    <w:name w:val="annotation subject"/>
    <w:basedOn w:val="CommentText"/>
    <w:next w:val="CommentText"/>
    <w:link w:val="CommentSubjectChar"/>
    <w:uiPriority w:val="99"/>
    <w:unhideWhenUsed/>
    <w:rsid w:val="00914CF9"/>
    <w:rPr>
      <w:b/>
      <w:bCs/>
    </w:rPr>
  </w:style>
  <w:style w:type="character" w:customStyle="1" w:styleId="CommentSubjectChar">
    <w:name w:val="Comment Subject Char"/>
    <w:basedOn w:val="CommentTextChar"/>
    <w:link w:val="CommentSubject"/>
    <w:uiPriority w:val="99"/>
    <w:rsid w:val="00914CF9"/>
    <w:rPr>
      <w:rFonts w:ascii="Arial" w:hAnsi="Arial"/>
      <w:b/>
      <w:bCs/>
    </w:rPr>
  </w:style>
  <w:style w:type="table" w:styleId="TableClassic1">
    <w:name w:val="Table Classic 1"/>
    <w:basedOn w:val="TableNormal"/>
    <w:rsid w:val="00914CF9"/>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paragraph" w:styleId="BalloonText">
    <w:name w:val="Balloon Text"/>
    <w:basedOn w:val="Normal"/>
    <w:link w:val="BalloonTextChar"/>
    <w:uiPriority w:val="99"/>
    <w:unhideWhenUsed/>
    <w:qFormat/>
    <w:rsid w:val="00914CF9"/>
    <w:pPr>
      <w:spacing w:after="0"/>
    </w:pPr>
    <w:rPr>
      <w:rFonts w:ascii="Times New Roman" w:hAnsi="Times New Roman"/>
      <w:sz w:val="18"/>
      <w:szCs w:val="18"/>
    </w:rPr>
  </w:style>
  <w:style w:type="character" w:customStyle="1" w:styleId="BalloonTextChar">
    <w:name w:val="Balloon Text Char"/>
    <w:basedOn w:val="DefaultParagraphFont"/>
    <w:link w:val="BalloonText"/>
    <w:uiPriority w:val="99"/>
    <w:rsid w:val="00914CF9"/>
    <w:rPr>
      <w:sz w:val="18"/>
      <w:szCs w:val="18"/>
    </w:rPr>
  </w:style>
  <w:style w:type="paragraph" w:styleId="ListParagraph">
    <w:name w:val="List Paragraph"/>
    <w:basedOn w:val="Normal"/>
    <w:uiPriority w:val="34"/>
    <w:qFormat/>
    <w:rsid w:val="00914CF9"/>
    <w:pPr>
      <w:ind w:left="720"/>
      <w:contextualSpacing/>
    </w:pPr>
  </w:style>
  <w:style w:type="character" w:customStyle="1" w:styleId="UnresolvedMention1">
    <w:name w:val="Unresolved Mention1"/>
    <w:rsid w:val="00914CF9"/>
    <w:rPr>
      <w:color w:val="605E5C"/>
      <w:shd w:val="clear" w:color="auto" w:fill="E1DFDD"/>
    </w:rPr>
  </w:style>
  <w:style w:type="paragraph" w:customStyle="1" w:styleId="StyleTablebody">
    <w:name w:val="Style Table body +"/>
    <w:basedOn w:val="Tablebody"/>
    <w:autoRedefine/>
    <w:rsid w:val="00CE31B3"/>
    <w:rPr>
      <w:b/>
      <w:bCs/>
    </w:rPr>
  </w:style>
  <w:style w:type="paragraph" w:styleId="NoSpacing">
    <w:name w:val="No Spacing"/>
    <w:uiPriority w:val="1"/>
    <w:qFormat/>
    <w:rsid w:val="00914CF9"/>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547123">
      <w:bodyDiv w:val="1"/>
      <w:marLeft w:val="0"/>
      <w:marRight w:val="0"/>
      <w:marTop w:val="0"/>
      <w:marBottom w:val="0"/>
      <w:divBdr>
        <w:top w:val="none" w:sz="0" w:space="0" w:color="auto"/>
        <w:left w:val="none" w:sz="0" w:space="0" w:color="auto"/>
        <w:bottom w:val="none" w:sz="0" w:space="0" w:color="auto"/>
        <w:right w:val="none" w:sz="0" w:space="0" w:color="auto"/>
      </w:divBdr>
      <w:divsChild>
        <w:div w:id="1305040099">
          <w:marLeft w:val="0"/>
          <w:marRight w:val="-120"/>
          <w:marTop w:val="179"/>
          <w:marBottom w:val="179"/>
          <w:divBdr>
            <w:top w:val="none" w:sz="0" w:space="0" w:color="auto"/>
            <w:left w:val="none" w:sz="0" w:space="0" w:color="auto"/>
            <w:bottom w:val="none" w:sz="0" w:space="0" w:color="auto"/>
            <w:right w:val="none" w:sz="0" w:space="0" w:color="auto"/>
          </w:divBdr>
        </w:div>
      </w:divsChild>
    </w:div>
    <w:div w:id="484469979">
      <w:bodyDiv w:val="1"/>
      <w:marLeft w:val="0"/>
      <w:marRight w:val="0"/>
      <w:marTop w:val="0"/>
      <w:marBottom w:val="0"/>
      <w:divBdr>
        <w:top w:val="none" w:sz="0" w:space="0" w:color="auto"/>
        <w:left w:val="none" w:sz="0" w:space="0" w:color="auto"/>
        <w:bottom w:val="none" w:sz="0" w:space="0" w:color="auto"/>
        <w:right w:val="none" w:sz="0" w:space="0" w:color="auto"/>
      </w:divBdr>
      <w:divsChild>
        <w:div w:id="1292589890">
          <w:marLeft w:val="0"/>
          <w:marRight w:val="-120"/>
          <w:marTop w:val="179"/>
          <w:marBottom w:val="179"/>
          <w:divBdr>
            <w:top w:val="none" w:sz="0" w:space="0" w:color="auto"/>
            <w:left w:val="none" w:sz="0" w:space="0" w:color="auto"/>
            <w:bottom w:val="none" w:sz="0" w:space="0" w:color="auto"/>
            <w:right w:val="none" w:sz="0" w:space="0" w:color="auto"/>
          </w:divBdr>
        </w:div>
      </w:divsChild>
    </w:div>
    <w:div w:id="517740353">
      <w:bodyDiv w:val="1"/>
      <w:marLeft w:val="0"/>
      <w:marRight w:val="0"/>
      <w:marTop w:val="0"/>
      <w:marBottom w:val="0"/>
      <w:divBdr>
        <w:top w:val="none" w:sz="0" w:space="0" w:color="auto"/>
        <w:left w:val="none" w:sz="0" w:space="0" w:color="auto"/>
        <w:bottom w:val="none" w:sz="0" w:space="0" w:color="auto"/>
        <w:right w:val="none" w:sz="0" w:space="0" w:color="auto"/>
      </w:divBdr>
      <w:divsChild>
        <w:div w:id="207188077">
          <w:marLeft w:val="0"/>
          <w:marRight w:val="-120"/>
          <w:marTop w:val="179"/>
          <w:marBottom w:val="179"/>
          <w:divBdr>
            <w:top w:val="none" w:sz="0" w:space="0" w:color="auto"/>
            <w:left w:val="none" w:sz="0" w:space="0" w:color="auto"/>
            <w:bottom w:val="none" w:sz="0" w:space="0" w:color="auto"/>
            <w:right w:val="none" w:sz="0" w:space="0" w:color="auto"/>
          </w:divBdr>
        </w:div>
      </w:divsChild>
    </w:div>
    <w:div w:id="814832183">
      <w:bodyDiv w:val="1"/>
      <w:marLeft w:val="0"/>
      <w:marRight w:val="0"/>
      <w:marTop w:val="0"/>
      <w:marBottom w:val="0"/>
      <w:divBdr>
        <w:top w:val="none" w:sz="0" w:space="0" w:color="auto"/>
        <w:left w:val="none" w:sz="0" w:space="0" w:color="auto"/>
        <w:bottom w:val="none" w:sz="0" w:space="0" w:color="auto"/>
        <w:right w:val="none" w:sz="0" w:space="0" w:color="auto"/>
      </w:divBdr>
      <w:divsChild>
        <w:div w:id="227688482">
          <w:marLeft w:val="0"/>
          <w:marRight w:val="-120"/>
          <w:marTop w:val="179"/>
          <w:marBottom w:val="179"/>
          <w:divBdr>
            <w:top w:val="none" w:sz="0" w:space="0" w:color="auto"/>
            <w:left w:val="none" w:sz="0" w:space="0" w:color="auto"/>
            <w:bottom w:val="none" w:sz="0" w:space="0" w:color="auto"/>
            <w:right w:val="none" w:sz="0" w:space="0" w:color="auto"/>
          </w:divBdr>
        </w:div>
      </w:divsChild>
    </w:div>
    <w:div w:id="932513544">
      <w:bodyDiv w:val="1"/>
      <w:marLeft w:val="0"/>
      <w:marRight w:val="0"/>
      <w:marTop w:val="0"/>
      <w:marBottom w:val="0"/>
      <w:divBdr>
        <w:top w:val="none" w:sz="0" w:space="0" w:color="auto"/>
        <w:left w:val="none" w:sz="0" w:space="0" w:color="auto"/>
        <w:bottom w:val="none" w:sz="0" w:space="0" w:color="auto"/>
        <w:right w:val="none" w:sz="0" w:space="0" w:color="auto"/>
      </w:divBdr>
      <w:divsChild>
        <w:div w:id="651982154">
          <w:marLeft w:val="0"/>
          <w:marRight w:val="-120"/>
          <w:marTop w:val="179"/>
          <w:marBottom w:val="179"/>
          <w:divBdr>
            <w:top w:val="none" w:sz="0" w:space="0" w:color="auto"/>
            <w:left w:val="none" w:sz="0" w:space="0" w:color="auto"/>
            <w:bottom w:val="none" w:sz="0" w:space="0" w:color="auto"/>
            <w:right w:val="none" w:sz="0" w:space="0" w:color="auto"/>
          </w:divBdr>
        </w:div>
      </w:divsChild>
    </w:div>
    <w:div w:id="955330555">
      <w:bodyDiv w:val="1"/>
      <w:marLeft w:val="0"/>
      <w:marRight w:val="0"/>
      <w:marTop w:val="0"/>
      <w:marBottom w:val="0"/>
      <w:divBdr>
        <w:top w:val="none" w:sz="0" w:space="0" w:color="auto"/>
        <w:left w:val="none" w:sz="0" w:space="0" w:color="auto"/>
        <w:bottom w:val="none" w:sz="0" w:space="0" w:color="auto"/>
        <w:right w:val="none" w:sz="0" w:space="0" w:color="auto"/>
      </w:divBdr>
    </w:div>
    <w:div w:id="1336612127">
      <w:bodyDiv w:val="1"/>
      <w:marLeft w:val="0"/>
      <w:marRight w:val="0"/>
      <w:marTop w:val="0"/>
      <w:marBottom w:val="0"/>
      <w:divBdr>
        <w:top w:val="none" w:sz="0" w:space="0" w:color="auto"/>
        <w:left w:val="none" w:sz="0" w:space="0" w:color="auto"/>
        <w:bottom w:val="none" w:sz="0" w:space="0" w:color="auto"/>
        <w:right w:val="none" w:sz="0" w:space="0" w:color="auto"/>
      </w:divBdr>
      <w:divsChild>
        <w:div w:id="1053117088">
          <w:marLeft w:val="0"/>
          <w:marRight w:val="-120"/>
          <w:marTop w:val="179"/>
          <w:marBottom w:val="179"/>
          <w:divBdr>
            <w:top w:val="none" w:sz="0" w:space="0" w:color="auto"/>
            <w:left w:val="none" w:sz="0" w:space="0" w:color="auto"/>
            <w:bottom w:val="none" w:sz="0" w:space="0" w:color="auto"/>
            <w:right w:val="none" w:sz="0" w:space="0" w:color="auto"/>
          </w:divBdr>
        </w:div>
      </w:divsChild>
    </w:div>
    <w:div w:id="1600211387">
      <w:bodyDiv w:val="1"/>
      <w:marLeft w:val="0"/>
      <w:marRight w:val="0"/>
      <w:marTop w:val="0"/>
      <w:marBottom w:val="0"/>
      <w:divBdr>
        <w:top w:val="none" w:sz="0" w:space="0" w:color="auto"/>
        <w:left w:val="none" w:sz="0" w:space="0" w:color="auto"/>
        <w:bottom w:val="none" w:sz="0" w:space="0" w:color="auto"/>
        <w:right w:val="none" w:sz="0" w:space="0" w:color="auto"/>
      </w:divBdr>
    </w:div>
    <w:div w:id="1614748267">
      <w:bodyDiv w:val="1"/>
      <w:marLeft w:val="0"/>
      <w:marRight w:val="0"/>
      <w:marTop w:val="0"/>
      <w:marBottom w:val="0"/>
      <w:divBdr>
        <w:top w:val="none" w:sz="0" w:space="0" w:color="auto"/>
        <w:left w:val="none" w:sz="0" w:space="0" w:color="auto"/>
        <w:bottom w:val="none" w:sz="0" w:space="0" w:color="auto"/>
        <w:right w:val="none" w:sz="0" w:space="0" w:color="auto"/>
      </w:divBdr>
      <w:divsChild>
        <w:div w:id="662700549">
          <w:marLeft w:val="0"/>
          <w:marRight w:val="-120"/>
          <w:marTop w:val="179"/>
          <w:marBottom w:val="179"/>
          <w:divBdr>
            <w:top w:val="none" w:sz="0" w:space="0" w:color="auto"/>
            <w:left w:val="none" w:sz="0" w:space="0" w:color="auto"/>
            <w:bottom w:val="none" w:sz="0" w:space="0" w:color="auto"/>
            <w:right w:val="none" w:sz="0" w:space="0" w:color="auto"/>
          </w:divBdr>
        </w:div>
      </w:divsChild>
    </w:div>
    <w:div w:id="1642731369">
      <w:bodyDiv w:val="1"/>
      <w:marLeft w:val="0"/>
      <w:marRight w:val="0"/>
      <w:marTop w:val="0"/>
      <w:marBottom w:val="0"/>
      <w:divBdr>
        <w:top w:val="none" w:sz="0" w:space="0" w:color="auto"/>
        <w:left w:val="none" w:sz="0" w:space="0" w:color="auto"/>
        <w:bottom w:val="none" w:sz="0" w:space="0" w:color="auto"/>
        <w:right w:val="none" w:sz="0" w:space="0" w:color="auto"/>
      </w:divBdr>
      <w:divsChild>
        <w:div w:id="709188243">
          <w:marLeft w:val="0"/>
          <w:marRight w:val="-120"/>
          <w:marTop w:val="179"/>
          <w:marBottom w:val="179"/>
          <w:divBdr>
            <w:top w:val="none" w:sz="0" w:space="0" w:color="auto"/>
            <w:left w:val="none" w:sz="0" w:space="0" w:color="auto"/>
            <w:bottom w:val="none" w:sz="0" w:space="0" w:color="auto"/>
            <w:right w:val="none" w:sz="0" w:space="0" w:color="auto"/>
          </w:divBdr>
        </w:div>
      </w:divsChild>
    </w:div>
    <w:div w:id="1863935668">
      <w:bodyDiv w:val="1"/>
      <w:marLeft w:val="0"/>
      <w:marRight w:val="0"/>
      <w:marTop w:val="0"/>
      <w:marBottom w:val="0"/>
      <w:divBdr>
        <w:top w:val="none" w:sz="0" w:space="0" w:color="auto"/>
        <w:left w:val="none" w:sz="0" w:space="0" w:color="auto"/>
        <w:bottom w:val="none" w:sz="0" w:space="0" w:color="auto"/>
        <w:right w:val="none" w:sz="0" w:space="0" w:color="auto"/>
      </w:divBdr>
      <w:divsChild>
        <w:div w:id="370346179">
          <w:marLeft w:val="0"/>
          <w:marRight w:val="-120"/>
          <w:marTop w:val="179"/>
          <w:marBottom w:val="179"/>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TotalTime>
  <Pages>17</Pages>
  <Words>13796</Words>
  <Characters>78638</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Feingold</dc:creator>
  <cp:keywords/>
  <dc:description/>
  <cp:lastModifiedBy>Kenneth Feingold</cp:lastModifiedBy>
  <cp:revision>7</cp:revision>
  <cp:lastPrinted>2022-03-20T17:29:00Z</cp:lastPrinted>
  <dcterms:created xsi:type="dcterms:W3CDTF">2022-03-20T20:03:00Z</dcterms:created>
  <dcterms:modified xsi:type="dcterms:W3CDTF">2022-03-21T01:23:00Z</dcterms:modified>
</cp:coreProperties>
</file>