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14368" w14:textId="548385D8" w:rsidR="00D14A9A" w:rsidRPr="00B5541A" w:rsidRDefault="00B5541A" w:rsidP="004661E9">
      <w:pPr>
        <w:keepNext/>
        <w:keepLines/>
        <w:spacing w:after="0" w:line="276" w:lineRule="auto"/>
        <w:outlineLvl w:val="0"/>
        <w:rPr>
          <w:rFonts w:ascii="Arial" w:eastAsiaTheme="majorEastAsia" w:hAnsi="Arial" w:cs="Arial"/>
          <w:b/>
          <w:sz w:val="28"/>
          <w:szCs w:val="28"/>
        </w:rPr>
      </w:pPr>
      <w:r w:rsidRPr="00B5541A">
        <w:rPr>
          <w:rFonts w:ascii="Arial" w:eastAsiaTheme="majorEastAsia" w:hAnsi="Arial" w:cs="Arial"/>
          <w:b/>
          <w:sz w:val="28"/>
          <w:szCs w:val="28"/>
        </w:rPr>
        <w:t>DIABETES, CARDIOMYOPATHY, AND HEART FAILURE</w:t>
      </w:r>
    </w:p>
    <w:p w14:paraId="2913D130" w14:textId="77777777" w:rsidR="008A27BA" w:rsidRPr="00B5541A" w:rsidRDefault="008A27BA" w:rsidP="004661E9">
      <w:pPr>
        <w:spacing w:after="0" w:line="276" w:lineRule="auto"/>
        <w:rPr>
          <w:rFonts w:ascii="Arial" w:hAnsi="Arial" w:cs="Arial"/>
          <w:b/>
        </w:rPr>
      </w:pPr>
    </w:p>
    <w:p w14:paraId="0DB6EF2C" w14:textId="305B0463" w:rsidR="0048383E" w:rsidRPr="00B5541A" w:rsidRDefault="00D14A9A" w:rsidP="004661E9">
      <w:pPr>
        <w:spacing w:after="0" w:line="276" w:lineRule="auto"/>
        <w:rPr>
          <w:rFonts w:ascii="Arial" w:hAnsi="Arial" w:cs="Arial"/>
          <w:sz w:val="24"/>
          <w:szCs w:val="24"/>
        </w:rPr>
      </w:pPr>
      <w:r w:rsidRPr="00B5541A">
        <w:rPr>
          <w:rFonts w:ascii="Arial" w:hAnsi="Arial" w:cs="Arial"/>
          <w:b/>
          <w:sz w:val="24"/>
          <w:szCs w:val="24"/>
        </w:rPr>
        <w:t>Ahmet Afşin Oktay, MD</w:t>
      </w:r>
      <w:r w:rsidR="006E632A" w:rsidRPr="00B5541A">
        <w:rPr>
          <w:rFonts w:ascii="Arial" w:hAnsi="Arial" w:cs="Arial"/>
          <w:b/>
          <w:sz w:val="24"/>
          <w:szCs w:val="24"/>
        </w:rPr>
        <w:t>,</w:t>
      </w:r>
      <w:r w:rsidR="00F93F6B" w:rsidRPr="00B5541A">
        <w:rPr>
          <w:rFonts w:ascii="Arial" w:hAnsi="Arial" w:cs="Arial"/>
          <w:sz w:val="24"/>
          <w:szCs w:val="24"/>
        </w:rPr>
        <w:t xml:space="preserve"> </w:t>
      </w:r>
      <w:r w:rsidR="0048383E" w:rsidRPr="00B5541A">
        <w:rPr>
          <w:rFonts w:ascii="Arial" w:hAnsi="Arial" w:cs="Arial"/>
          <w:bCs/>
          <w:sz w:val="20"/>
          <w:szCs w:val="24"/>
        </w:rPr>
        <w:t>The Heart and Vascular</w:t>
      </w:r>
      <w:r w:rsidR="00F93F6B" w:rsidRPr="00B5541A">
        <w:rPr>
          <w:rFonts w:ascii="Arial" w:eastAsia="Times New Roman" w:hAnsi="Arial" w:cs="Arial"/>
          <w:sz w:val="20"/>
          <w:szCs w:val="24"/>
        </w:rPr>
        <w:t xml:space="preserve"> </w:t>
      </w:r>
      <w:r w:rsidR="0048383E" w:rsidRPr="00B5541A">
        <w:rPr>
          <w:rFonts w:ascii="Arial" w:eastAsia="Times New Roman" w:hAnsi="Arial" w:cs="Arial"/>
          <w:sz w:val="20"/>
          <w:szCs w:val="24"/>
        </w:rPr>
        <w:t>Institute, Rush University Medical Center, Chicago, IL</w:t>
      </w:r>
      <w:r w:rsidR="00404B03">
        <w:rPr>
          <w:rFonts w:ascii="Arial" w:eastAsia="Times New Roman" w:hAnsi="Arial" w:cs="Arial"/>
          <w:sz w:val="20"/>
          <w:szCs w:val="24"/>
        </w:rPr>
        <w:t>.</w:t>
      </w:r>
      <w:r w:rsidR="001F18AF" w:rsidRPr="00B5541A">
        <w:rPr>
          <w:rFonts w:ascii="Arial" w:eastAsia="Times New Roman" w:hAnsi="Arial" w:cs="Arial"/>
          <w:sz w:val="20"/>
          <w:szCs w:val="24"/>
        </w:rPr>
        <w:t xml:space="preserve"> Ahmet_a_oktay@rush.edu</w:t>
      </w:r>
    </w:p>
    <w:p w14:paraId="4849347D" w14:textId="5B483D43" w:rsidR="008B7593" w:rsidRPr="00B5541A" w:rsidRDefault="006E632A" w:rsidP="004661E9">
      <w:pPr>
        <w:spacing w:after="0" w:line="276" w:lineRule="auto"/>
        <w:rPr>
          <w:rFonts w:ascii="Arial" w:hAnsi="Arial" w:cs="Arial"/>
          <w:sz w:val="24"/>
          <w:szCs w:val="24"/>
        </w:rPr>
      </w:pPr>
      <w:r w:rsidRPr="00B5541A">
        <w:rPr>
          <w:rFonts w:ascii="Arial" w:hAnsi="Arial" w:cs="Arial"/>
          <w:b/>
          <w:bCs/>
          <w:sz w:val="24"/>
          <w:szCs w:val="24"/>
        </w:rPr>
        <w:t>Timir K. Paul, MD, Ph</w:t>
      </w:r>
      <w:r w:rsidR="00543EDD" w:rsidRPr="00B5541A">
        <w:rPr>
          <w:rFonts w:ascii="Arial" w:hAnsi="Arial" w:cs="Arial"/>
          <w:b/>
          <w:bCs/>
          <w:sz w:val="24"/>
          <w:szCs w:val="24"/>
        </w:rPr>
        <w:t>D</w:t>
      </w:r>
      <w:r w:rsidRPr="00B5541A">
        <w:rPr>
          <w:rFonts w:ascii="Arial" w:hAnsi="Arial" w:cs="Arial"/>
          <w:b/>
          <w:bCs/>
          <w:sz w:val="24"/>
          <w:szCs w:val="24"/>
        </w:rPr>
        <w:t>,</w:t>
      </w:r>
      <w:r w:rsidR="00F93F6B" w:rsidRPr="00B5541A">
        <w:rPr>
          <w:rFonts w:ascii="Arial" w:hAnsi="Arial" w:cs="Arial"/>
          <w:b/>
          <w:bCs/>
          <w:sz w:val="24"/>
          <w:szCs w:val="24"/>
        </w:rPr>
        <w:t xml:space="preserve"> </w:t>
      </w:r>
      <w:r w:rsidR="00F31C51" w:rsidRPr="00B5541A">
        <w:rPr>
          <w:rFonts w:ascii="Arial" w:hAnsi="Arial" w:cs="Arial"/>
          <w:b/>
          <w:bCs/>
          <w:sz w:val="24"/>
          <w:szCs w:val="24"/>
        </w:rPr>
        <w:t>MPH</w:t>
      </w:r>
      <w:r w:rsidR="00F31C51" w:rsidRPr="00B5541A">
        <w:rPr>
          <w:rFonts w:ascii="Arial" w:hAnsi="Arial" w:cs="Arial"/>
          <w:sz w:val="24"/>
          <w:szCs w:val="24"/>
        </w:rPr>
        <w:t>,</w:t>
      </w:r>
      <w:r w:rsidR="00F31C51" w:rsidRPr="00B5541A">
        <w:rPr>
          <w:rFonts w:ascii="Arial" w:eastAsia="Times New Roman" w:hAnsi="Arial" w:cs="Arial"/>
          <w:sz w:val="24"/>
          <w:szCs w:val="24"/>
          <w:shd w:val="clear" w:color="auto" w:fill="FFFFFF"/>
        </w:rPr>
        <w:t xml:space="preserve"> </w:t>
      </w:r>
      <w:r w:rsidR="00F31C51" w:rsidRPr="00B5541A">
        <w:rPr>
          <w:rFonts w:ascii="Arial" w:eastAsia="Times New Roman" w:hAnsi="Arial" w:cs="Arial"/>
          <w:sz w:val="20"/>
          <w:szCs w:val="24"/>
          <w:shd w:val="clear" w:color="auto" w:fill="FFFFFF"/>
        </w:rPr>
        <w:t>University of Tennessee Health Sciences Center at Nashville</w:t>
      </w:r>
      <w:r w:rsidR="00F31C51" w:rsidRPr="00B5541A">
        <w:rPr>
          <w:rFonts w:ascii="Arial" w:eastAsia="Times New Roman" w:hAnsi="Arial" w:cs="Arial"/>
          <w:sz w:val="20"/>
          <w:szCs w:val="24"/>
        </w:rPr>
        <w:t xml:space="preserve">, </w:t>
      </w:r>
      <w:r w:rsidR="00F31C51" w:rsidRPr="00B5541A">
        <w:rPr>
          <w:rFonts w:ascii="Arial" w:eastAsia="Times New Roman" w:hAnsi="Arial" w:cs="Arial"/>
          <w:sz w:val="20"/>
          <w:szCs w:val="24"/>
          <w:shd w:val="clear" w:color="auto" w:fill="FFFFFF"/>
        </w:rPr>
        <w:t xml:space="preserve">Saint </w:t>
      </w:r>
      <w:r w:rsidR="00F31C51" w:rsidRPr="00B5541A">
        <w:rPr>
          <w:rFonts w:ascii="Arial" w:eastAsia="Times New Roman" w:hAnsi="Arial" w:cs="Arial"/>
          <w:sz w:val="20"/>
          <w:szCs w:val="24"/>
        </w:rPr>
        <w:t>Thomas Heart Institute, Nashville</w:t>
      </w:r>
      <w:r w:rsidR="0048383E" w:rsidRPr="00B5541A">
        <w:rPr>
          <w:rFonts w:ascii="Arial" w:eastAsia="Times New Roman" w:hAnsi="Arial" w:cs="Arial"/>
          <w:sz w:val="20"/>
          <w:szCs w:val="24"/>
        </w:rPr>
        <w:t>, TN</w:t>
      </w:r>
      <w:r w:rsidR="00F31C51" w:rsidRPr="00B5541A">
        <w:rPr>
          <w:rFonts w:ascii="Arial" w:eastAsia="Times New Roman" w:hAnsi="Arial" w:cs="Arial"/>
          <w:sz w:val="20"/>
          <w:szCs w:val="24"/>
        </w:rPr>
        <w:t> </w:t>
      </w:r>
    </w:p>
    <w:p w14:paraId="2C27809E" w14:textId="5BACF301" w:rsidR="008B7593" w:rsidRPr="00B5541A" w:rsidRDefault="006C22AD" w:rsidP="004661E9">
      <w:pPr>
        <w:spacing w:after="0" w:line="276" w:lineRule="auto"/>
        <w:rPr>
          <w:rFonts w:ascii="Arial" w:hAnsi="Arial" w:cs="Arial"/>
          <w:sz w:val="24"/>
          <w:szCs w:val="24"/>
        </w:rPr>
      </w:pPr>
      <w:r w:rsidRPr="00B5541A">
        <w:rPr>
          <w:rFonts w:ascii="Arial" w:hAnsi="Arial" w:cs="Arial"/>
          <w:b/>
          <w:bCs/>
          <w:sz w:val="24"/>
          <w:szCs w:val="24"/>
        </w:rPr>
        <w:t>Christian</w:t>
      </w:r>
      <w:r w:rsidR="00C40162" w:rsidRPr="00B5541A">
        <w:rPr>
          <w:rFonts w:ascii="Arial" w:hAnsi="Arial" w:cs="Arial"/>
          <w:b/>
          <w:bCs/>
          <w:sz w:val="24"/>
          <w:szCs w:val="24"/>
        </w:rPr>
        <w:t xml:space="preserve"> </w:t>
      </w:r>
      <w:r w:rsidR="00EB04B0" w:rsidRPr="00B5541A">
        <w:rPr>
          <w:rFonts w:ascii="Arial" w:hAnsi="Arial" w:cs="Arial"/>
          <w:b/>
          <w:bCs/>
          <w:sz w:val="24"/>
          <w:szCs w:val="24"/>
        </w:rPr>
        <w:t xml:space="preserve">A. </w:t>
      </w:r>
      <w:r w:rsidR="00C40162" w:rsidRPr="00B5541A">
        <w:rPr>
          <w:rFonts w:ascii="Arial" w:hAnsi="Arial" w:cs="Arial"/>
          <w:b/>
          <w:bCs/>
          <w:sz w:val="24"/>
          <w:szCs w:val="24"/>
        </w:rPr>
        <w:t>Koch, MD, Ph</w:t>
      </w:r>
      <w:r w:rsidR="00543EDD" w:rsidRPr="00B5541A">
        <w:rPr>
          <w:rFonts w:ascii="Arial" w:hAnsi="Arial" w:cs="Arial"/>
          <w:b/>
          <w:bCs/>
          <w:sz w:val="24"/>
          <w:szCs w:val="24"/>
        </w:rPr>
        <w:t>D</w:t>
      </w:r>
      <w:r w:rsidR="00C40162" w:rsidRPr="00B5541A">
        <w:rPr>
          <w:rFonts w:ascii="Arial" w:hAnsi="Arial" w:cs="Arial"/>
          <w:b/>
          <w:bCs/>
          <w:sz w:val="24"/>
          <w:szCs w:val="24"/>
        </w:rPr>
        <w:t>,</w:t>
      </w:r>
      <w:r w:rsidR="00F93F6B" w:rsidRPr="00B5541A">
        <w:rPr>
          <w:rFonts w:ascii="Arial" w:hAnsi="Arial" w:cs="Arial"/>
          <w:sz w:val="24"/>
          <w:szCs w:val="24"/>
        </w:rPr>
        <w:t xml:space="preserve"> </w:t>
      </w:r>
      <w:r w:rsidR="008B7593" w:rsidRPr="00B5541A">
        <w:rPr>
          <w:rFonts w:ascii="Arial" w:hAnsi="Arial" w:cs="Arial"/>
          <w:bCs/>
          <w:sz w:val="20"/>
          <w:szCs w:val="24"/>
        </w:rPr>
        <w:t>University of Florida College of Medicine – Jacksonville, FL</w:t>
      </w:r>
      <w:r w:rsidR="004661E9">
        <w:rPr>
          <w:rFonts w:ascii="Arial" w:hAnsi="Arial" w:cs="Arial"/>
          <w:bCs/>
          <w:sz w:val="20"/>
          <w:szCs w:val="24"/>
        </w:rPr>
        <w:t xml:space="preserve">. </w:t>
      </w:r>
      <w:r w:rsidR="004661E9" w:rsidRPr="004661E9">
        <w:rPr>
          <w:rFonts w:ascii="Arial" w:hAnsi="Arial" w:cs="Arial"/>
          <w:bCs/>
          <w:sz w:val="20"/>
          <w:szCs w:val="24"/>
        </w:rPr>
        <w:t>christian.koch65@gmail.com</w:t>
      </w:r>
      <w:r w:rsidR="0048383E" w:rsidRPr="00B5541A">
        <w:rPr>
          <w:rFonts w:ascii="Arial" w:eastAsia="Times New Roman" w:hAnsi="Arial" w:cs="Arial"/>
          <w:sz w:val="20"/>
          <w:szCs w:val="24"/>
        </w:rPr>
        <w:tab/>
        <w:t xml:space="preserve">                          </w:t>
      </w:r>
      <w:r w:rsidR="0048383E" w:rsidRPr="00B5541A">
        <w:rPr>
          <w:rFonts w:ascii="Arial" w:eastAsia="Times New Roman" w:hAnsi="Arial" w:cs="Arial"/>
          <w:sz w:val="24"/>
          <w:szCs w:val="24"/>
        </w:rPr>
        <w:t xml:space="preserve">          </w:t>
      </w:r>
    </w:p>
    <w:p w14:paraId="784CE132" w14:textId="28A7A82E" w:rsidR="00D14A9A" w:rsidRDefault="006C22AD" w:rsidP="004661E9">
      <w:pPr>
        <w:spacing w:after="0" w:line="276" w:lineRule="auto"/>
        <w:rPr>
          <w:rFonts w:ascii="Arial" w:hAnsi="Arial" w:cs="Arial"/>
          <w:bCs/>
          <w:sz w:val="24"/>
          <w:szCs w:val="24"/>
        </w:rPr>
      </w:pPr>
      <w:r w:rsidRPr="00B5541A">
        <w:rPr>
          <w:rFonts w:ascii="Arial" w:hAnsi="Arial" w:cs="Arial"/>
          <w:b/>
          <w:bCs/>
          <w:sz w:val="24"/>
          <w:szCs w:val="24"/>
        </w:rPr>
        <w:t>Carl J. Lavie, MD</w:t>
      </w:r>
      <w:r w:rsidR="00F93F6B" w:rsidRPr="00B5541A">
        <w:rPr>
          <w:rFonts w:ascii="Arial" w:hAnsi="Arial" w:cs="Arial"/>
          <w:bCs/>
          <w:sz w:val="24"/>
          <w:szCs w:val="24"/>
        </w:rPr>
        <w:t xml:space="preserve">, </w:t>
      </w:r>
      <w:r w:rsidR="00F93F6B" w:rsidRPr="00B5541A">
        <w:rPr>
          <w:rFonts w:ascii="Arial" w:hAnsi="Arial" w:cs="Arial"/>
          <w:bCs/>
          <w:sz w:val="20"/>
          <w:szCs w:val="24"/>
        </w:rPr>
        <w:t>John Ochsner Heart and Vascular Institute, Ochsner Clinical School-The University of Queensland School of Medicine, New Orleans, LA</w:t>
      </w:r>
      <w:r w:rsidR="004661E9">
        <w:rPr>
          <w:rFonts w:ascii="Arial" w:hAnsi="Arial" w:cs="Arial"/>
          <w:bCs/>
          <w:sz w:val="20"/>
          <w:szCs w:val="24"/>
        </w:rPr>
        <w:t xml:space="preserve">. </w:t>
      </w:r>
      <w:hyperlink r:id="rId11" w:history="1">
        <w:r w:rsidR="004661E9" w:rsidRPr="001F6FC7">
          <w:rPr>
            <w:rStyle w:val="Hyperlink"/>
            <w:rFonts w:ascii="Arial" w:hAnsi="Arial" w:cs="Arial"/>
            <w:bCs/>
            <w:sz w:val="20"/>
            <w:szCs w:val="24"/>
          </w:rPr>
          <w:t>clavie@ochsner.org</w:t>
        </w:r>
      </w:hyperlink>
      <w:r w:rsidR="00F93F6B" w:rsidRPr="00B5541A">
        <w:rPr>
          <w:rFonts w:ascii="Arial" w:hAnsi="Arial" w:cs="Arial"/>
          <w:bCs/>
          <w:sz w:val="24"/>
          <w:szCs w:val="24"/>
        </w:rPr>
        <w:t xml:space="preserve"> </w:t>
      </w:r>
    </w:p>
    <w:p w14:paraId="678F1F06" w14:textId="77777777" w:rsidR="004661E9" w:rsidRPr="00B5541A" w:rsidRDefault="004661E9" w:rsidP="004661E9">
      <w:pPr>
        <w:spacing w:after="0" w:line="276" w:lineRule="auto"/>
        <w:rPr>
          <w:rFonts w:ascii="Arial" w:eastAsia="Times New Roman" w:hAnsi="Arial" w:cs="Arial"/>
          <w:sz w:val="24"/>
          <w:szCs w:val="24"/>
        </w:rPr>
      </w:pPr>
    </w:p>
    <w:p w14:paraId="5C5DD3F9" w14:textId="2E20209E" w:rsidR="00377E87" w:rsidRPr="00532805" w:rsidRDefault="004661E9" w:rsidP="004661E9">
      <w:pPr>
        <w:spacing w:after="0" w:line="276" w:lineRule="auto"/>
        <w:rPr>
          <w:rFonts w:ascii="Arial" w:hAnsi="Arial" w:cs="Arial"/>
          <w:b/>
          <w:bCs/>
        </w:rPr>
      </w:pPr>
      <w:r w:rsidRPr="00532805">
        <w:rPr>
          <w:rFonts w:ascii="Arial" w:hAnsi="Arial" w:cs="Arial"/>
          <w:b/>
          <w:bCs/>
        </w:rPr>
        <w:t>Updated September 25, 2023</w:t>
      </w:r>
    </w:p>
    <w:p w14:paraId="72DE75E2" w14:textId="77777777" w:rsidR="005E14A1" w:rsidRPr="004661E9" w:rsidRDefault="005E14A1" w:rsidP="004661E9">
      <w:pPr>
        <w:spacing w:after="0" w:line="276" w:lineRule="auto"/>
        <w:rPr>
          <w:rFonts w:ascii="Arial" w:hAnsi="Arial" w:cs="Arial"/>
          <w:lang w:val="fr-FR"/>
        </w:rPr>
      </w:pPr>
    </w:p>
    <w:p w14:paraId="7A4FEE25" w14:textId="77777777" w:rsidR="00D14A9A" w:rsidRPr="004661E9" w:rsidRDefault="008E11EF" w:rsidP="004661E9">
      <w:pPr>
        <w:spacing w:after="0" w:line="276" w:lineRule="auto"/>
        <w:rPr>
          <w:rFonts w:ascii="Arial" w:hAnsi="Arial" w:cs="Arial"/>
          <w:b/>
          <w:bCs/>
        </w:rPr>
      </w:pPr>
      <w:bookmarkStart w:id="0" w:name="_Hlk146546652"/>
      <w:r w:rsidRPr="004661E9">
        <w:rPr>
          <w:rFonts w:ascii="Arial" w:hAnsi="Arial" w:cs="Arial"/>
          <w:b/>
          <w:bCs/>
          <w:color w:val="4472C4" w:themeColor="accent1"/>
        </w:rPr>
        <w:t>ABSTRACT</w:t>
      </w:r>
    </w:p>
    <w:p w14:paraId="362A4411" w14:textId="77777777" w:rsidR="003E0E4E" w:rsidRPr="004661E9" w:rsidRDefault="003E0E4E" w:rsidP="004661E9">
      <w:pPr>
        <w:spacing w:after="0" w:line="276" w:lineRule="auto"/>
        <w:rPr>
          <w:rFonts w:ascii="Arial" w:hAnsi="Arial" w:cs="Arial"/>
        </w:rPr>
      </w:pPr>
    </w:p>
    <w:p w14:paraId="628FD7B5" w14:textId="37C9C2E0" w:rsidR="00C83BB1" w:rsidRPr="004661E9" w:rsidRDefault="00E151C5" w:rsidP="004661E9">
      <w:pPr>
        <w:spacing w:after="0" w:line="276" w:lineRule="auto"/>
        <w:rPr>
          <w:rFonts w:ascii="Arial" w:hAnsi="Arial" w:cs="Arial"/>
        </w:rPr>
      </w:pPr>
      <w:r w:rsidRPr="004661E9">
        <w:rPr>
          <w:rFonts w:ascii="Arial" w:hAnsi="Arial" w:cs="Arial"/>
        </w:rPr>
        <w:t>H</w:t>
      </w:r>
      <w:r w:rsidR="003716DA" w:rsidRPr="004661E9">
        <w:rPr>
          <w:rFonts w:ascii="Arial" w:hAnsi="Arial" w:cs="Arial"/>
        </w:rPr>
        <w:t>eart failure (HF)</w:t>
      </w:r>
      <w:r w:rsidRPr="004661E9">
        <w:rPr>
          <w:rFonts w:ascii="Arial" w:hAnsi="Arial" w:cs="Arial"/>
        </w:rPr>
        <w:t xml:space="preserve"> is an underappreciated complication of diabetes</w:t>
      </w:r>
      <w:r w:rsidR="003716DA" w:rsidRPr="004661E9">
        <w:rPr>
          <w:rFonts w:ascii="Arial" w:hAnsi="Arial" w:cs="Arial"/>
        </w:rPr>
        <w:t xml:space="preserve">. HF occurs in individuals with diabetes at higher rates, even in the absence of other HF risk factors such as coronary artery disease and hypertension. </w:t>
      </w:r>
      <w:r w:rsidR="00AC75E6" w:rsidRPr="004661E9">
        <w:rPr>
          <w:rFonts w:ascii="Arial" w:hAnsi="Arial" w:cs="Arial"/>
        </w:rPr>
        <w:t>Comorbid</w:t>
      </w:r>
      <w:r w:rsidR="003716DA" w:rsidRPr="004661E9">
        <w:rPr>
          <w:rFonts w:ascii="Arial" w:hAnsi="Arial" w:cs="Arial"/>
        </w:rPr>
        <w:t xml:space="preserve"> ischemic heart disease and cardiovascular risk factors significantly contribute to the </w:t>
      </w:r>
      <w:r w:rsidR="00AC75E6" w:rsidRPr="004661E9">
        <w:rPr>
          <w:rFonts w:ascii="Arial" w:hAnsi="Arial" w:cs="Arial"/>
        </w:rPr>
        <w:t>etiology of</w:t>
      </w:r>
      <w:r w:rsidR="003716DA" w:rsidRPr="004661E9">
        <w:rPr>
          <w:rFonts w:ascii="Arial" w:hAnsi="Arial" w:cs="Arial"/>
        </w:rPr>
        <w:t xml:space="preserve"> cardiomyopathy and HF in patients with diabetes. </w:t>
      </w:r>
      <w:r w:rsidR="00B309DA" w:rsidRPr="004661E9">
        <w:rPr>
          <w:rFonts w:ascii="Arial" w:hAnsi="Arial" w:cs="Arial"/>
        </w:rPr>
        <w:t>In addition</w:t>
      </w:r>
      <w:r w:rsidR="003716DA" w:rsidRPr="004661E9">
        <w:rPr>
          <w:rFonts w:ascii="Arial" w:hAnsi="Arial" w:cs="Arial"/>
        </w:rPr>
        <w:t xml:space="preserve">, long-standing diabetes can independently cause subclinical </w:t>
      </w:r>
      <w:r w:rsidR="00AC75E6" w:rsidRPr="004661E9">
        <w:rPr>
          <w:rFonts w:ascii="Arial" w:hAnsi="Arial" w:cs="Arial"/>
        </w:rPr>
        <w:t>alteration</w:t>
      </w:r>
      <w:r w:rsidR="003716DA" w:rsidRPr="004661E9">
        <w:rPr>
          <w:rFonts w:ascii="Arial" w:hAnsi="Arial" w:cs="Arial"/>
        </w:rPr>
        <w:t xml:space="preserve"> in cardiac structure and function</w:t>
      </w:r>
      <w:r w:rsidR="00AC75E6" w:rsidRPr="004661E9">
        <w:rPr>
          <w:rFonts w:ascii="Arial" w:hAnsi="Arial" w:cs="Arial"/>
        </w:rPr>
        <w:t xml:space="preserve">, eventually leading to </w:t>
      </w:r>
      <w:r w:rsidR="003716DA" w:rsidRPr="004661E9">
        <w:rPr>
          <w:rFonts w:ascii="Arial" w:hAnsi="Arial" w:cs="Arial"/>
        </w:rPr>
        <w:t>the development and progression of HF. A complex interplay between numerous mechanisms underlies the pathophysiologic links between diabetes and HF. Patients with concurrent diabetes and HF have impaired quality of life and a poor prognosis with a high risk of hospitalization and mortality. Despite the s</w:t>
      </w:r>
      <w:r w:rsidR="00543EDD" w:rsidRPr="004661E9">
        <w:rPr>
          <w:rFonts w:ascii="Arial" w:hAnsi="Arial" w:cs="Arial"/>
        </w:rPr>
        <w:t>olid</w:t>
      </w:r>
      <w:r w:rsidR="003716DA" w:rsidRPr="004661E9">
        <w:rPr>
          <w:rFonts w:ascii="Arial" w:hAnsi="Arial" w:cs="Arial"/>
        </w:rPr>
        <w:t xml:space="preserve"> epidemiologic link between poor glycemic control and HF risk, the effects of intensified glycemic control in </w:t>
      </w:r>
      <w:r w:rsidR="00C83BB1" w:rsidRPr="004661E9">
        <w:rPr>
          <w:rFonts w:ascii="Arial" w:hAnsi="Arial" w:cs="Arial"/>
        </w:rPr>
        <w:t>preventing</w:t>
      </w:r>
      <w:r w:rsidR="003716DA" w:rsidRPr="004661E9">
        <w:rPr>
          <w:rFonts w:ascii="Arial" w:hAnsi="Arial" w:cs="Arial"/>
        </w:rPr>
        <w:t xml:space="preserve"> HF remain controversial. Large</w:t>
      </w:r>
      <w:r w:rsidR="00543EDD" w:rsidRPr="004661E9">
        <w:rPr>
          <w:rFonts w:ascii="Arial" w:hAnsi="Arial" w:cs="Arial"/>
        </w:rPr>
        <w:t>-</w:t>
      </w:r>
      <w:r w:rsidR="003716DA" w:rsidRPr="004661E9">
        <w:rPr>
          <w:rFonts w:ascii="Arial" w:hAnsi="Arial" w:cs="Arial"/>
        </w:rPr>
        <w:t>scale cardiovascular outcome trials published since 2015 have confirmed the efficacy and safety of sodium-glucose co-transporter-2</w:t>
      </w:r>
      <w:r w:rsidR="00AC75E6" w:rsidRPr="004661E9">
        <w:rPr>
          <w:rFonts w:ascii="Arial" w:hAnsi="Arial" w:cs="Arial"/>
        </w:rPr>
        <w:t xml:space="preserve"> inhibitors</w:t>
      </w:r>
      <w:r w:rsidR="00BD2172" w:rsidRPr="004661E9">
        <w:rPr>
          <w:rFonts w:ascii="Arial" w:hAnsi="Arial" w:cs="Arial"/>
        </w:rPr>
        <w:t xml:space="preserve"> (SGLT2)</w:t>
      </w:r>
      <w:r w:rsidR="003716DA" w:rsidRPr="004661E9">
        <w:rPr>
          <w:rFonts w:ascii="Arial" w:hAnsi="Arial" w:cs="Arial"/>
        </w:rPr>
        <w:t xml:space="preserve"> inhibitors in </w:t>
      </w:r>
      <w:r w:rsidR="00543EDD" w:rsidRPr="004661E9">
        <w:rPr>
          <w:rFonts w:ascii="Arial" w:hAnsi="Arial" w:cs="Arial"/>
        </w:rPr>
        <w:t>preventing</w:t>
      </w:r>
      <w:r w:rsidR="003716DA" w:rsidRPr="004661E9">
        <w:rPr>
          <w:rFonts w:ascii="Arial" w:hAnsi="Arial" w:cs="Arial"/>
        </w:rPr>
        <w:t xml:space="preserve"> HF among patients with </w:t>
      </w:r>
      <w:r w:rsidR="00463D21" w:rsidRPr="004661E9">
        <w:rPr>
          <w:rFonts w:ascii="Arial" w:hAnsi="Arial" w:cs="Arial"/>
        </w:rPr>
        <w:t>type 2 diabetes mellitus</w:t>
      </w:r>
      <w:r w:rsidR="003716DA" w:rsidRPr="004661E9">
        <w:rPr>
          <w:rFonts w:ascii="Arial" w:hAnsi="Arial" w:cs="Arial"/>
        </w:rPr>
        <w:t>.</w:t>
      </w:r>
      <w:r w:rsidR="00AC75E6" w:rsidRPr="004661E9">
        <w:rPr>
          <w:rFonts w:ascii="Arial" w:hAnsi="Arial" w:cs="Arial"/>
        </w:rPr>
        <w:t xml:space="preserve"> In addition, several dedicated major clinical trials confirmed the cardiovascular benefits of SGLT2 inhibitors in patients with established HF, regardless of </w:t>
      </w:r>
      <w:r w:rsidR="0061174F" w:rsidRPr="004661E9">
        <w:rPr>
          <w:rFonts w:ascii="Arial" w:hAnsi="Arial" w:cs="Arial"/>
        </w:rPr>
        <w:t>left ventricular ejection fraction</w:t>
      </w:r>
      <w:r w:rsidR="00AC75E6" w:rsidRPr="004661E9">
        <w:rPr>
          <w:rFonts w:ascii="Arial" w:hAnsi="Arial" w:cs="Arial"/>
        </w:rPr>
        <w:t xml:space="preserve"> or diabetes status.</w:t>
      </w:r>
      <w:r w:rsidR="001E47F1" w:rsidRPr="004661E9">
        <w:rPr>
          <w:rFonts w:ascii="Arial" w:hAnsi="Arial" w:cs="Arial"/>
        </w:rPr>
        <w:t xml:space="preserve"> Furthermore,</w:t>
      </w:r>
      <w:r w:rsidR="00AC75E6" w:rsidRPr="004661E9">
        <w:rPr>
          <w:rFonts w:ascii="Arial" w:hAnsi="Arial" w:cs="Arial"/>
        </w:rPr>
        <w:t xml:space="preserve"> </w:t>
      </w:r>
      <w:r w:rsidR="00D42EB8" w:rsidRPr="004661E9">
        <w:rPr>
          <w:rFonts w:ascii="Arial" w:hAnsi="Arial" w:cs="Arial"/>
        </w:rPr>
        <w:t xml:space="preserve">high-quality </w:t>
      </w:r>
      <w:r w:rsidR="00AC75E6" w:rsidRPr="004661E9">
        <w:rPr>
          <w:rFonts w:ascii="Arial" w:hAnsi="Arial" w:cs="Arial"/>
        </w:rPr>
        <w:t>data from these clinical trials transformed SGLT2 inhibitors from glucose-lowering agent</w:t>
      </w:r>
      <w:r w:rsidR="001E47F1" w:rsidRPr="004661E9">
        <w:rPr>
          <w:rFonts w:ascii="Arial" w:hAnsi="Arial" w:cs="Arial"/>
        </w:rPr>
        <w:t>s</w:t>
      </w:r>
      <w:r w:rsidR="00AC75E6" w:rsidRPr="004661E9">
        <w:rPr>
          <w:rFonts w:ascii="Arial" w:hAnsi="Arial" w:cs="Arial"/>
        </w:rPr>
        <w:t xml:space="preserve"> to HF drug</w:t>
      </w:r>
      <w:r w:rsidR="001E47F1" w:rsidRPr="004661E9">
        <w:rPr>
          <w:rFonts w:ascii="Arial" w:hAnsi="Arial" w:cs="Arial"/>
        </w:rPr>
        <w:t>s</w:t>
      </w:r>
      <w:r w:rsidR="00BD2172" w:rsidRPr="004661E9">
        <w:rPr>
          <w:rFonts w:ascii="Arial" w:hAnsi="Arial" w:cs="Arial"/>
        </w:rPr>
        <w:t>.</w:t>
      </w:r>
      <w:r w:rsidR="00EB04B0" w:rsidRPr="004661E9">
        <w:rPr>
          <w:rFonts w:ascii="Arial" w:hAnsi="Arial" w:cs="Arial"/>
        </w:rPr>
        <w:t xml:space="preserve"> </w:t>
      </w:r>
      <w:r w:rsidR="00C83BB1" w:rsidRPr="004661E9">
        <w:rPr>
          <w:rFonts w:ascii="Arial" w:hAnsi="Arial" w:cs="Arial"/>
        </w:rPr>
        <w:t xml:space="preserve">This chapter outlines the complex relationship between HF and diabetes, focusing on the epidemiology, pathophysiology, </w:t>
      </w:r>
      <w:r w:rsidR="004608EC" w:rsidRPr="004661E9">
        <w:rPr>
          <w:rFonts w:ascii="Arial" w:hAnsi="Arial" w:cs="Arial"/>
        </w:rPr>
        <w:t xml:space="preserve">and </w:t>
      </w:r>
      <w:r w:rsidR="00C83BB1" w:rsidRPr="004661E9">
        <w:rPr>
          <w:rFonts w:ascii="Arial" w:hAnsi="Arial" w:cs="Arial"/>
        </w:rPr>
        <w:t xml:space="preserve">prognostic implications. Additionally, we review the current knowledge on identifying subclinical cardiac remodeling, predicting HF risk, and preventing HF in diabetes. We also summarize the recent evidence and guideline recommendations for the pharmacological treatment of patients with coexisting HF and diabetes.  </w:t>
      </w:r>
    </w:p>
    <w:bookmarkEnd w:id="0"/>
    <w:p w14:paraId="4DF094CA" w14:textId="435335B6" w:rsidR="003716DA" w:rsidRPr="004661E9" w:rsidRDefault="003716DA" w:rsidP="004661E9">
      <w:pPr>
        <w:spacing w:after="0" w:line="276" w:lineRule="auto"/>
        <w:rPr>
          <w:rFonts w:ascii="Arial" w:hAnsi="Arial" w:cs="Arial"/>
        </w:rPr>
      </w:pPr>
    </w:p>
    <w:p w14:paraId="7E4F4943" w14:textId="331B5D9C" w:rsidR="003E0E4E" w:rsidRPr="004661E9" w:rsidRDefault="008E11EF" w:rsidP="004661E9">
      <w:pPr>
        <w:spacing w:after="0" w:line="276" w:lineRule="auto"/>
        <w:rPr>
          <w:rFonts w:ascii="Arial" w:hAnsi="Arial" w:cs="Arial"/>
          <w:b/>
          <w:bCs/>
          <w:color w:val="4472C4" w:themeColor="accent1"/>
        </w:rPr>
      </w:pPr>
      <w:bookmarkStart w:id="1" w:name="_Hlk43608025"/>
      <w:bookmarkStart w:id="2" w:name="_Hlk146546729"/>
      <w:r w:rsidRPr="004661E9">
        <w:rPr>
          <w:rFonts w:ascii="Arial" w:hAnsi="Arial" w:cs="Arial"/>
          <w:b/>
          <w:bCs/>
          <w:color w:val="4472C4" w:themeColor="accent1"/>
        </w:rPr>
        <w:t>INTRODUCTION</w:t>
      </w:r>
      <w:bookmarkEnd w:id="1"/>
    </w:p>
    <w:p w14:paraId="3BE30AEE" w14:textId="77777777" w:rsidR="00E0281E" w:rsidRPr="004661E9" w:rsidRDefault="00E0281E" w:rsidP="004661E9">
      <w:pPr>
        <w:spacing w:after="0" w:line="276" w:lineRule="auto"/>
        <w:rPr>
          <w:rFonts w:ascii="Arial" w:hAnsi="Arial" w:cs="Arial"/>
        </w:rPr>
      </w:pPr>
    </w:p>
    <w:p w14:paraId="2D32F91B" w14:textId="65283EB2" w:rsidR="003E0E4E" w:rsidRPr="004661E9" w:rsidRDefault="00213CDC" w:rsidP="004661E9">
      <w:pPr>
        <w:spacing w:after="0" w:line="276" w:lineRule="auto"/>
        <w:rPr>
          <w:rFonts w:ascii="Arial" w:hAnsi="Arial" w:cs="Arial"/>
        </w:rPr>
      </w:pPr>
      <w:r w:rsidRPr="004661E9">
        <w:rPr>
          <w:rFonts w:ascii="Arial" w:hAnsi="Arial" w:cs="Arial"/>
        </w:rPr>
        <w:t xml:space="preserve">Diabetes </w:t>
      </w:r>
      <w:r w:rsidR="00564270" w:rsidRPr="004661E9">
        <w:rPr>
          <w:rFonts w:ascii="Arial" w:hAnsi="Arial" w:cs="Arial"/>
        </w:rPr>
        <w:t>is</w:t>
      </w:r>
      <w:r w:rsidRPr="004661E9">
        <w:rPr>
          <w:rFonts w:ascii="Arial" w:hAnsi="Arial" w:cs="Arial"/>
        </w:rPr>
        <w:t xml:space="preserve"> a risk factor for </w:t>
      </w:r>
      <w:r w:rsidR="00564270" w:rsidRPr="004661E9">
        <w:rPr>
          <w:rFonts w:ascii="Arial" w:hAnsi="Arial" w:cs="Arial"/>
        </w:rPr>
        <w:t>cardiomyopathy and</w:t>
      </w:r>
      <w:r w:rsidR="00B010F9" w:rsidRPr="004661E9">
        <w:rPr>
          <w:rFonts w:ascii="Arial" w:hAnsi="Arial" w:cs="Arial"/>
        </w:rPr>
        <w:t xml:space="preserve"> </w:t>
      </w:r>
      <w:r w:rsidR="00E0281E" w:rsidRPr="004661E9">
        <w:rPr>
          <w:rFonts w:ascii="Arial" w:hAnsi="Arial" w:cs="Arial"/>
        </w:rPr>
        <w:t xml:space="preserve">heart failure </w:t>
      </w:r>
      <w:r w:rsidR="00AC75E6" w:rsidRPr="004661E9">
        <w:rPr>
          <w:rFonts w:ascii="Arial" w:hAnsi="Arial" w:cs="Arial"/>
        </w:rPr>
        <w:t>(</w:t>
      </w:r>
      <w:r w:rsidRPr="004661E9">
        <w:rPr>
          <w:rFonts w:ascii="Arial" w:hAnsi="Arial" w:cs="Arial"/>
        </w:rPr>
        <w:t>HF</w:t>
      </w:r>
      <w:r w:rsidR="00AC75E6" w:rsidRPr="004661E9">
        <w:rPr>
          <w:rFonts w:ascii="Arial" w:hAnsi="Arial" w:cs="Arial"/>
        </w:rPr>
        <w:t>)</w:t>
      </w:r>
      <w:r w:rsidRPr="004661E9">
        <w:rPr>
          <w:rFonts w:ascii="Arial" w:hAnsi="Arial" w:cs="Arial"/>
        </w:rPr>
        <w:t xml:space="preserve"> independent of traditional cardiovascular</w:t>
      </w:r>
      <w:r w:rsidR="003B0DAC" w:rsidRPr="004661E9">
        <w:rPr>
          <w:rFonts w:ascii="Arial" w:hAnsi="Arial" w:cs="Arial"/>
        </w:rPr>
        <w:t xml:space="preserve"> (CV)</w:t>
      </w:r>
      <w:r w:rsidRPr="004661E9">
        <w:rPr>
          <w:rFonts w:ascii="Arial" w:hAnsi="Arial" w:cs="Arial"/>
        </w:rPr>
        <w:t xml:space="preserve"> </w:t>
      </w:r>
      <w:r w:rsidR="00564270" w:rsidRPr="004661E9">
        <w:rPr>
          <w:rFonts w:ascii="Arial" w:hAnsi="Arial" w:cs="Arial"/>
        </w:rPr>
        <w:t xml:space="preserve">disease </w:t>
      </w:r>
      <w:r w:rsidRPr="004661E9">
        <w:rPr>
          <w:rFonts w:ascii="Arial" w:hAnsi="Arial" w:cs="Arial"/>
        </w:rPr>
        <w:t>(CV</w:t>
      </w:r>
      <w:r w:rsidR="00564270" w:rsidRPr="004661E9">
        <w:rPr>
          <w:rFonts w:ascii="Arial" w:hAnsi="Arial" w:cs="Arial"/>
        </w:rPr>
        <w:t>D</w:t>
      </w:r>
      <w:r w:rsidRPr="004661E9">
        <w:rPr>
          <w:rFonts w:ascii="Arial" w:hAnsi="Arial" w:cs="Arial"/>
        </w:rPr>
        <w:t>) risk factors such as hypertension and coronary artery disease</w:t>
      </w:r>
      <w:r w:rsidR="007D4B33" w:rsidRPr="004661E9">
        <w:rPr>
          <w:rFonts w:ascii="Arial" w:hAnsi="Arial" w:cs="Arial"/>
        </w:rPr>
        <w:t xml:space="preserve"> (CAD)</w:t>
      </w:r>
      <w:r w:rsidR="003E0E4E" w:rsidRPr="004661E9">
        <w:rPr>
          <w:rFonts w:ascii="Arial" w:hAnsi="Arial" w:cs="Arial"/>
        </w:rPr>
        <w:t xml:space="preserve"> </w:t>
      </w:r>
      <w:r w:rsidR="00011F87" w:rsidRPr="004661E9">
        <w:rPr>
          <w:rFonts w:ascii="Arial" w:hAnsi="Arial" w:cs="Arial"/>
        </w:rPr>
        <w:fldChar w:fldCharType="begin" w:fldLock="1"/>
      </w:r>
      <w:r w:rsidR="00AA453E" w:rsidRPr="004661E9">
        <w:rPr>
          <w:rFonts w:ascii="Arial" w:hAnsi="Arial" w:cs="Arial"/>
        </w:rPr>
        <w:instrText>ADDIN CSL_CITATION {"citationItems":[{"id":"ITEM-1","itemData":{"DOI":"10.1016/S0002-9343(99)00126-6","ISSN":"00029343","PMID":"10378616","abstract":"PURPOSE: The risk factors for the development of heart failure are not clearly defined, particularly for older adults. We undertook the current investigation to examine the associations of traditional cardiovascular risk factors, comorbidity, and psychosocial factors with the risk of heart failure during 10 years of follow-up in a community-based elderly population. SUBJECTS AND METHODS: We evaluated 1,749 subjects, 65 years of age or older, free of heart failure, myocardial infarction, and angina at baseline, who were participating in the New Haven, Connecticut cohort of the Established Population for Epidemiologic Studies of the Elderly program. Cox proportional hazards regression models were used to determine risk ratios (RR) and 95% confidence intervals (CI). RESULTS: During 13,811 person-years of follow-up, 173 subjects developed incident heart failure, as confirmed by chart review. Five factors were independent predictors of heart failure: male sex (RR = 1.7; CI, 1.3 to 2.4), older age (RR = 1.9; CI, 1.3 to 2.7 for age 75 to 84 years, RR = 3.0; CI, 1.7 to 5.5 for age 85 years and older, compared with ≤74 years), diabetes (RR = 2.9; CI, 2.0 to 4.3), pulse pressure ≥70 mm Hg (RR = 2.3; CI, 1.3 to 4.3, compared with &lt;50 mm Hg), and body mass index ≥28 kg/m2 (RR = 1.6; CI, 1.0 to 2.4, compared with &lt;24 kg/m2). Myocardial infarction occurred during follow-up in 8% of the cohort and was also an important predictor of heart failure (RR = 21; CI, 15 to 31). CONCLUSIONS: Age and traditional cardiovascular risk factors are associated with the development of heart failure in the elderly. Preventive strategies should focus on the management of diabetes, blood pressure, and weight, in addition to the prevention and management of myocardial infarction.","author":[{"dropping-particle":"","family":"Chen","given":"Ya Ting","non-dropping-particle":"","parse-names":false,"suffix":""},{"dropping-particle":"","family":"Vaccarino","given":"Viola","non-dropping-particle":"","parse-names":false,"suffix":""},{"dropping-particle":"","family":"Williams","given":"Christianna S.","non-dropping-particle":"","parse-names":false,"suffix":""},{"dropping-particle":"","family":"Butler","given":"Javed","non-dropping-particle":"","parse-names":false,"suffix":""},{"dropping-particle":"","family":"Berkman","given":"Lisa F.","non-dropping-particle":"","parse-names":false,"suffix":""},{"dropping-particle":"","family":"Krumholz","given":"Harlan M.","non-dropping-particle":"","parse-names":false,"suffix":""}],"container-title":"American Journal of Medicine","id":"ITEM-1","issue":"6","issued":{"date-parts":[["1999"]]},"page":"605-612","title":"Risk factors for heart failure in the elderly: A prospective community- based study","type":"article-journal","volume":"106"},"uris":["http://www.mendeley.com/documents/?uuid=443663c5-bc52-461f-b28b-aa86b0440c06"]},{"id":"ITEM-2","itemData":{"DOI":"10.1016/0002-9149(74)90089-7","ISSN":"00029149","PMID":"4835750","abstract":"The incidence of congestive heart failure was determined in relation to prior diabetic status in 5,209 men and women aged 30 to 62 years followed up for 18 years in the Framingham study. Men aged 45 to 74 years had more than twice the frequency of congestive failure as their nondiabetic cohorts, and diabetic women had a fivefold increased risk. This excessive risk appears to be caused by factors other than accelerated atherogenesis and coronary heart disease. Even when patients with prior coronary or rheumatic heart disease were excluded, the diabetic subjects had a four- to fivefold increased risk of congestive heart failure. In women (but not men) with prior coronary disease, diabetes also imposed a threefold increased risk of congestive failure. Furthermore, the increased risk of heart failure in the diabetic patients persisted after taking into account age, blood pressure, weight and cholesterol values as well as coronary heart disease. Women with diabetes appeared to be especially vulnerable and, irrespective of coronary disease status, had twice the frequency of congestive heart failure as men. The excessive risk of heart failure among diabetic subjects was confined to those treated with insulin. The data suggest that diabetes is another discrete cause of congestive heart failure and that some form of cardiomyopathy is associated with diabetes, as a result of either small vessel disease or metabolic disorders. © 1974.","author":[{"dropping-particle":"","family":"Kannel","given":"William B. B.","non-dropping-particle":"","parse-names":false,"suffix":""},{"dropping-particle":"","family":"Hjortland","given":"Marthana","non-dropping-particle":"","parse-names":false,"suffix":""},{"dropping-particle":"","family":"Castelli","given":"William P. P.","non-dropping-particle":"","parse-names":false,"suffix":""}],"container-title":"The American Journal of Cardiology","id":"ITEM-2","issue":"1","issued":{"date-parts":[["1974","7","1"]]},"page":"29-34","publisher":"Elsevier","title":"Role of diabetes in congestive heart failure: The Framingham study","type":"article-journal","volume":"34"},"uris":["http://www.mendeley.com/documents/?uuid=b04a28c0-8725-4b70-8108-fa56124da5fb"]},{"id":"ITEM-3","itemData":{"DOI":"10.1161/CIR.0000000000001063","ISSN":"15244539","PMID":"35363499","abstract":"Aim: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W.","non-dropping-particle":"","parse-names":false,"suffix":""}],"container-title":"Circulation","id":"ITEM-3","issue":"18","issued":{"date-parts":[["2022","5","3"]]},"page":"E895-E1032","publisher":"Lippincott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Guidelines","type":"article","volume":"145"},"uris":["http://www.mendeley.com/documents/?uuid=18d1d346-efa8-3630-bc8e-40b1f44f1e23"]},{"id":"ITEM-4","itemData":{"DOI":"10.2337/dci22-0014","ISSN":"19355548","PMID":"35796765","abstract":"Heart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Association.","author":[{"dropping-particle":"","family":"Pop-Busui","given":"Rodica","non-dropping-particle":"","parse-names":false,"suffix":""},{"dropping-particle":"","family":"Januzzi","given":"James L.","non-dropping-particle":"","parse-names":false,"suffix":""},{"dropping-particle":"","family":"Bruemmer","given":"Dennis","non-dropping-particle":"","parse-names":false,"suffix":""},{"dropping-particle":"","family":"Butalia","given":"Sonia","non-dropping-particle":"","parse-names":false,"suffix":""},{"dropping-particle":"","family":"Green","given":"Jennifer B.","non-dropping-particle":"","parse-names":false,"suffix":""},{"dropping-particle":"","family":"Horton","given":"William B.","non-dropping-particle":"","parse-names":false,"suffix":""},{"dropping-particle":"","family":"Knight","given":"Colette","non-dropping-particle":"","parse-names":false,"suffix":""},{"dropping-particle":"","family":"Levi","given":"Moshe","non-dropping-particle":"","parse-names":false,"suffix":""},{"dropping-particle":"","family":"Rasouli","given":"Neda","non-dropping-particle":"","parse-names":false,"suffix":""},{"dropping-particle":"","family":"Richardson","given":"Caroline R.","non-dropping-particle":"","parse-names":false,"suffix":""}],"container-title":"Diabetes Care","id":"ITEM-4","issue":"7","issued":{"date-parts":[["2022"]]},"page":"1670-1690","title":"Heart Failure: An Underappreciated Complication of Diabetes. A Consensus Report of the American Diabetes Association","type":"article-journal","volume":"45"},"uris":["http://www.mendeley.com/documents/?uuid=9cfe0b5b-12ab-49ad-9df0-35aeca50b558"]}],"mendeley":{"formattedCitation":"(1–4)","plainTextFormattedCitation":"(1–4)","previouslyFormattedCitation":"(1–4)"},"properties":{"noteIndex":0},"schema":"https://github.com/citation-style-language/schema/raw/master/csl-citation.json"}</w:instrText>
      </w:r>
      <w:r w:rsidR="00011F87" w:rsidRPr="004661E9">
        <w:rPr>
          <w:rFonts w:ascii="Arial" w:hAnsi="Arial" w:cs="Arial"/>
        </w:rPr>
        <w:fldChar w:fldCharType="separate"/>
      </w:r>
      <w:r w:rsidR="00011F87" w:rsidRPr="004661E9">
        <w:rPr>
          <w:rFonts w:ascii="Arial" w:hAnsi="Arial" w:cs="Arial"/>
          <w:noProof/>
        </w:rPr>
        <w:t>(1–4)</w:t>
      </w:r>
      <w:r w:rsidR="00011F87" w:rsidRPr="004661E9">
        <w:rPr>
          <w:rFonts w:ascii="Arial" w:hAnsi="Arial" w:cs="Arial"/>
        </w:rPr>
        <w:fldChar w:fldCharType="end"/>
      </w:r>
      <w:r w:rsidR="003E0E4E" w:rsidRPr="004661E9">
        <w:rPr>
          <w:rFonts w:ascii="Arial" w:hAnsi="Arial" w:cs="Arial"/>
        </w:rPr>
        <w:t>.</w:t>
      </w:r>
      <w:r w:rsidRPr="004661E9">
        <w:rPr>
          <w:rFonts w:ascii="Arial" w:hAnsi="Arial" w:cs="Arial"/>
        </w:rPr>
        <w:t xml:space="preserve"> </w:t>
      </w:r>
      <w:r w:rsidR="00CE5FF3" w:rsidRPr="004661E9">
        <w:rPr>
          <w:rFonts w:ascii="Arial" w:hAnsi="Arial" w:cs="Arial"/>
        </w:rPr>
        <w:t>The</w:t>
      </w:r>
      <w:r w:rsidR="00300576" w:rsidRPr="004661E9">
        <w:rPr>
          <w:rFonts w:ascii="Arial" w:hAnsi="Arial" w:cs="Arial"/>
        </w:rPr>
        <w:t xml:space="preserve"> universal definition of HF</w:t>
      </w:r>
      <w:r w:rsidR="00CE5FF3" w:rsidRPr="004661E9">
        <w:rPr>
          <w:rFonts w:ascii="Arial" w:hAnsi="Arial" w:cs="Arial"/>
        </w:rPr>
        <w:t xml:space="preserve"> recognizes</w:t>
      </w:r>
      <w:r w:rsidR="00E0281E" w:rsidRPr="004661E9">
        <w:rPr>
          <w:rFonts w:ascii="Arial" w:hAnsi="Arial" w:cs="Arial"/>
        </w:rPr>
        <w:t xml:space="preserve"> </w:t>
      </w:r>
      <w:r w:rsidR="00CE5FF3" w:rsidRPr="004661E9">
        <w:rPr>
          <w:rFonts w:ascii="Arial" w:hAnsi="Arial" w:cs="Arial"/>
        </w:rPr>
        <w:t xml:space="preserve">patients with </w:t>
      </w:r>
      <w:r w:rsidR="00E0281E" w:rsidRPr="004661E9">
        <w:rPr>
          <w:rFonts w:ascii="Arial" w:hAnsi="Arial" w:cs="Arial"/>
        </w:rPr>
        <w:t>diabetes as</w:t>
      </w:r>
      <w:r w:rsidR="00300576" w:rsidRPr="004661E9">
        <w:rPr>
          <w:rFonts w:ascii="Arial" w:hAnsi="Arial" w:cs="Arial"/>
        </w:rPr>
        <w:t xml:space="preserve"> </w:t>
      </w:r>
      <w:r w:rsidR="00AC75E6" w:rsidRPr="004661E9">
        <w:rPr>
          <w:rFonts w:ascii="Arial" w:hAnsi="Arial" w:cs="Arial"/>
        </w:rPr>
        <w:t>“</w:t>
      </w:r>
      <w:r w:rsidR="00CE5FF3" w:rsidRPr="004661E9">
        <w:rPr>
          <w:rFonts w:ascii="Arial" w:hAnsi="Arial" w:cs="Arial"/>
        </w:rPr>
        <w:t>a</w:t>
      </w:r>
      <w:r w:rsidR="00300576" w:rsidRPr="004661E9">
        <w:rPr>
          <w:rFonts w:ascii="Arial" w:hAnsi="Arial" w:cs="Arial"/>
        </w:rPr>
        <w:t>t</w:t>
      </w:r>
      <w:r w:rsidR="00AC75E6" w:rsidRPr="004661E9">
        <w:rPr>
          <w:rFonts w:ascii="Arial" w:hAnsi="Arial" w:cs="Arial"/>
        </w:rPr>
        <w:t xml:space="preserve"> risk </w:t>
      </w:r>
      <w:r w:rsidR="00300576" w:rsidRPr="004661E9">
        <w:rPr>
          <w:rFonts w:ascii="Arial" w:hAnsi="Arial" w:cs="Arial"/>
        </w:rPr>
        <w:t>for HF</w:t>
      </w:r>
      <w:r w:rsidR="00AC75E6" w:rsidRPr="004661E9">
        <w:rPr>
          <w:rFonts w:ascii="Arial" w:hAnsi="Arial" w:cs="Arial"/>
        </w:rPr>
        <w:t>”</w:t>
      </w:r>
      <w:r w:rsidR="00CE5FF3" w:rsidRPr="004661E9">
        <w:rPr>
          <w:rFonts w:ascii="Arial" w:hAnsi="Arial" w:cs="Arial"/>
        </w:rPr>
        <w:t xml:space="preserve"> (Stage A)</w:t>
      </w:r>
      <w:r w:rsidR="00300576" w:rsidRPr="004661E9">
        <w:rPr>
          <w:rFonts w:ascii="Arial" w:hAnsi="Arial" w:cs="Arial"/>
        </w:rPr>
        <w:t xml:space="preserve">.  </w:t>
      </w:r>
      <w:r w:rsidR="00120421" w:rsidRPr="004661E9">
        <w:rPr>
          <w:rFonts w:ascii="Arial" w:hAnsi="Arial" w:cs="Arial"/>
        </w:rPr>
        <w:t>A</w:t>
      </w:r>
      <w:r w:rsidR="00300576" w:rsidRPr="004661E9">
        <w:rPr>
          <w:rFonts w:ascii="Arial" w:hAnsi="Arial" w:cs="Arial"/>
        </w:rPr>
        <w:t xml:space="preserve">symptomatic individuals with at least one of the following: 1) evidence of </w:t>
      </w:r>
      <w:r w:rsidR="00300576" w:rsidRPr="004661E9">
        <w:rPr>
          <w:rFonts w:ascii="Arial" w:hAnsi="Arial" w:cs="Arial"/>
        </w:rPr>
        <w:lastRenderedPageBreak/>
        <w:t>structural heart disease, 2) abnormal cardiac function, or 3) elevated cardiac natriuretic peptide or troponins</w:t>
      </w:r>
      <w:r w:rsidR="00CE5FF3" w:rsidRPr="004661E9">
        <w:rPr>
          <w:rFonts w:ascii="Arial" w:hAnsi="Arial" w:cs="Arial"/>
        </w:rPr>
        <w:t xml:space="preserve"> are considered to have </w:t>
      </w:r>
      <w:r w:rsidR="00AC75E6" w:rsidRPr="004661E9">
        <w:rPr>
          <w:rFonts w:ascii="Arial" w:hAnsi="Arial" w:cs="Arial"/>
        </w:rPr>
        <w:t>“</w:t>
      </w:r>
      <w:r w:rsidR="00CE5FF3" w:rsidRPr="004661E9">
        <w:rPr>
          <w:rFonts w:ascii="Arial" w:hAnsi="Arial" w:cs="Arial"/>
        </w:rPr>
        <w:t>pre-HF</w:t>
      </w:r>
      <w:r w:rsidR="00AC75E6" w:rsidRPr="004661E9">
        <w:rPr>
          <w:rFonts w:ascii="Arial" w:hAnsi="Arial" w:cs="Arial"/>
        </w:rPr>
        <w:t>”</w:t>
      </w:r>
      <w:r w:rsidR="00CE5FF3" w:rsidRPr="004661E9">
        <w:rPr>
          <w:rFonts w:ascii="Arial" w:hAnsi="Arial" w:cs="Arial"/>
        </w:rPr>
        <w:t xml:space="preserve"> (stage B). According to this classification, HF (stage C) is defined as a clinical syndrome </w:t>
      </w:r>
      <w:r w:rsidR="00234E04" w:rsidRPr="004661E9">
        <w:rPr>
          <w:rFonts w:ascii="Arial" w:hAnsi="Arial" w:cs="Arial"/>
        </w:rPr>
        <w:t xml:space="preserve">with signs or symptoms of HF caused by </w:t>
      </w:r>
      <w:r w:rsidR="00543EDD" w:rsidRPr="004661E9">
        <w:rPr>
          <w:rFonts w:ascii="Arial" w:hAnsi="Arial" w:cs="Arial"/>
        </w:rPr>
        <w:t xml:space="preserve">an </w:t>
      </w:r>
      <w:r w:rsidR="00234E04" w:rsidRPr="004661E9">
        <w:rPr>
          <w:rFonts w:ascii="Arial" w:hAnsi="Arial" w:cs="Arial"/>
        </w:rPr>
        <w:t>abnormality in cardiac structure and function and corroborated by elevated natriuretic peptide or objective evidence of cardiogenic congestion (pulmonary or systemic)</w:t>
      </w:r>
      <w:r w:rsidR="00300576" w:rsidRPr="004661E9">
        <w:rPr>
          <w:rFonts w:ascii="Arial" w:hAnsi="Arial" w:cs="Arial"/>
        </w:rPr>
        <w:t xml:space="preserve"> </w:t>
      </w:r>
      <w:r w:rsidR="000962ED" w:rsidRPr="004661E9">
        <w:rPr>
          <w:rFonts w:ascii="Arial" w:hAnsi="Arial" w:cs="Arial"/>
        </w:rPr>
        <w:fldChar w:fldCharType="begin" w:fldLock="1"/>
      </w:r>
      <w:r w:rsidR="00D162D8"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Guidelines","type":"article","volume":"145"},"uris":["http://www.mendeley.com/documents/?uuid=18d1d346-efa8-3630-bc8e-40b1f44f1e23"]},{"id":"ITEM-2","itemData":{"DOI":"10.1016/j.cardfail.2021.01.022","ISSN":"15328414","PMID":"33662581","abstract":"In this document, we propose a universal definition of heart failure (HF) as the following: HF is a clinical syndrome with symptoms and or signs caused by a structural and/or functional cardiac abnormality and corroborated by elevated natriuretic peptide levels and or objective evidence of pulmonary or systemic congestion. We propose revised stages of HF as follows. At-risk for HF (Stage A), for patients at risk for HF but without current or prior symptoms or signs of HF and without structural or biomarkers evidence of heart disease. Pre-HF (stage B), for patients without current or prior symptoms or signs of HF, but evidence of structural heart disease or abnormal cardiac function, or elevated natriuretic peptide levels. HF (Stage C), for patients with current or prior symptoms and/or signs of HF caused by a structural and/or functional cardiac abnormality. Advanced HF (Stage D), for patients with severe symptoms and/or signs of HF at rest, recurrent hospitalizations despite guideline-directed management and therapy (GDMT), refractory or intolerant to GDMT, requiring advanced therapies such as consideration for transplant, mechanical circulatory support, or palliative care. Finally, we propose a new and revised classification of HF according to left ventricular ejection fraction (LVEF). The classification includes HF with reduced EF (HFrEF): HF with an LVEF of ≤40%; HF with mildly reduced EF (HFmrEF): HF with an LVEF of 41% to 49%; HF with preserved EF (HFpEF): HF with an LVEF of ≥50%; and HF with improved EF (HFimpEF): HF with a baseline LVEF of ≤40%, a ≥10-point increase from baseline LVEF, and a second measurement of LVEF of &gt;40%.","author":[{"dropping-particle":"","family":"Bozkurt","given":"Biykem","non-dropping-particle":"","parse-names":false,"suffix":""},{"dropping-particle":"","family":"Coats","given":"Andrew JS","non-dropping-particle":"","parse-names":false,"suffix":""},{"dropping-particle":"","family":"Tsutsui","given":"Hiroyuki","non-dropping-particle":"","parse-names":false,"suffix":""},{"dropping-particle":"","family":"Abdelhamid","given":"Magdy","non-dropping-particle":"","parse-names":false,"suffix":""},{"dropping-particle":"","family":"Adamopoulos","given":"Stamatis","non-dropping-particle":"","parse-names":false,"suffix":""},{"dropping-particle":"","family":"Albert","given":"Nancy","non-dropping-particle":"","parse-names":false,"suffix":""},{"dropping-particle":"","family":"Anker","given":"Stefan D.","non-dropping-particle":"","parse-names":false,"suffix":""},{"dropping-particle":"","family":"Atherton","given":"John","non-dropping-particle":"","parse-names":false,"suffix":""},{"dropping-particle":"","family":"Böhm","given":"Michael","non-dropping-particle":"","parse-names":false,"suffix":""},{"dropping-particle":"","family":"Butler","given":"Javed","non-dropping-particle":"","parse-names":false,"suffix":""},{"dropping-particle":"","family":"Drazner","given":"Mark H.","non-dropping-particle":"","parse-names":false,"suffix":""},{"dropping-particle":"","family":"Felker","given":"G. Michael","non-dropping-particle":"","parse-names":false,"suffix":""},{"dropping-particle":"","family":"Filippatos","given":"Gerasimos","non-dropping-particle":"","parse-names":false,"suffix":""},{"dropping-particle":"","family":"Fonarow","given":"Gregg C.","non-dropping-particle":"","parse-names":false,"suffix":""},{"dropping-particle":"","family":"Fiuzat","given":"Mona","non-dropping-particle":"","parse-names":false,"suffix":""},{"dropping-particle":"","family":"Gomez-Mesa","given":"Juan–Esteban E.","non-dropping-particle":"","parse-names":false,"suffix":""},{"dropping-particle":"","family":"Heidenreich","given":"Paul","non-dropping-particle":"","parse-names":false,"suffix":""},{"dropping-particle":"","family":"Imamura","given":"Teruhiko","non-dropping-particle":"","parse-names":false,"suffix":""},{"dropping-particle":"","family":"Januzzi","given":"James","non-dropping-particle":"","parse-names":false,"suffix":""},{"dropping-particle":"","family":"Jankowska","given":"Ewa A.","non-dropping-particle":"","parse-names":false,"suffix":""},{"dropping-particle":"","family":"Khazanie","given":"Prateeti","non-dropping-particle":"","parse-names":false,"suffix":""},{"dropping-particle":"","family":"Kinugawa","given":"Koichiro","non-dropping-particle":"","parse-names":false,"suffix":""},{"dropping-particle":"","family":"Lam","given":"Carolyn S.P.","non-dropping-particle":"","parse-names":false,"suffix":""},{"dropping-particle":"","family":"Matsue","given":"Yuya","non-dropping-particle":"","parse-names":false,"suffix":""},{"dropping-particle":"","family":"Metra","given":"Marco","non-dropping-particle":"","parse-names":false,"suffix":""},{"dropping-particle":"","family":"Ohtani","given":"Tomohito","non-dropping-particle":"","parse-names":false,"suffix":""},{"dropping-particle":"","family":"Francesco Piepoli","given":"Massimo","non-dropping-particle":"","parse-names":false,"suffix":""},{"dropping-particle":"","family":"Ponikowski","given":"Piotr","non-dropping-particle":"","parse-names":false,"suffix":""},{"dropping-particle":"","family":"Rosano","given":"Giuseppe M.C.","non-dropping-particle":"","parse-names":false,"suffix":""},{"dropping-particle":"","family":"Sakata","given":"Yasushi","non-dropping-particle":"","parse-names":false,"suffix":""},{"dropping-particle":"","family":"SeferoviĆ","given":"Petar","non-dropping-particle":"","parse-names":false,"suffix":""},{"dropping-particle":"","family":"Starling","given":"Randall C.","non-dropping-particle":"","parse-names":false,"suffix":""},{"dropping-particle":"","family":"Teerlink","given":"John R.","non-dropping-particle":"","parse-names":false,"suffix":""},{"dropping-particle":"","family":"Vardeny","given":"Orly","non-dropping-particle":"","parse-names":false,"suffix":""},{"dropping-particle":"","family":"Yamamoto","given":"Kazuhiro","non-dropping-particle":"","parse-names":false,"suffix":""},{"dropping-particle":"","family":"Yancy","given":"Clyde","non-dropping-particle":"","parse-names":false,"suffix":""},{"dropping-particle":"","family":"Zhang","given":"Jian","non-dropping-particle":"","parse-names":false,"suffix":""},{"dropping-particle":"","family":"Zieroth","given":"Shelley","non-dropping-particle":"","parse-names":false,"suffix":""}],"container-title":"Journal of Cardiac Failure","id":"ITEM-2","issue":"4","issued":{"date-parts":[["2021"]]},"page":"387-413","title":"Universal Definition and Classification of Heart Failure: A Report of the Heart Failure Society of America, Heart Failure Association of the European Society of Cardiology, Japanese Heart Failure Society and Writing Committee of the Universal Definition o","type":"article-journal","volume":"27"},"uris":["http://www.mendeley.com/documents/?uuid=3b227a7a-1140-46ef-a25d-629ee7097486"]}],"mendeley":{"formattedCitation":"(3,5)","plainTextFormattedCitation":"(3,5)","previouslyFormattedCitation":"(3,5)"},"properties":{"noteIndex":0},"schema":"https://github.com/citation-style-language/schema/raw/master/csl-citation.json"}</w:instrText>
      </w:r>
      <w:r w:rsidR="000962ED" w:rsidRPr="004661E9">
        <w:rPr>
          <w:rFonts w:ascii="Arial" w:hAnsi="Arial" w:cs="Arial"/>
        </w:rPr>
        <w:fldChar w:fldCharType="separate"/>
      </w:r>
      <w:r w:rsidR="000962ED" w:rsidRPr="004661E9">
        <w:rPr>
          <w:rFonts w:ascii="Arial" w:hAnsi="Arial" w:cs="Arial"/>
          <w:noProof/>
        </w:rPr>
        <w:t>(3,5)</w:t>
      </w:r>
      <w:r w:rsidR="000962ED" w:rsidRPr="004661E9">
        <w:rPr>
          <w:rFonts w:ascii="Arial" w:hAnsi="Arial" w:cs="Arial"/>
        </w:rPr>
        <w:fldChar w:fldCharType="end"/>
      </w:r>
      <w:r w:rsidR="00E0281E" w:rsidRPr="004661E9">
        <w:rPr>
          <w:rFonts w:ascii="Arial" w:hAnsi="Arial" w:cs="Arial"/>
        </w:rPr>
        <w:t xml:space="preserve">. </w:t>
      </w:r>
    </w:p>
    <w:p w14:paraId="24840733" w14:textId="63361791" w:rsidR="00564270" w:rsidRPr="004661E9" w:rsidRDefault="00213CDC" w:rsidP="004661E9">
      <w:pPr>
        <w:spacing w:after="0" w:line="276" w:lineRule="auto"/>
        <w:rPr>
          <w:rFonts w:ascii="Arial" w:hAnsi="Arial" w:cs="Arial"/>
        </w:rPr>
      </w:pPr>
      <w:r w:rsidRPr="004661E9">
        <w:rPr>
          <w:rFonts w:ascii="Arial" w:hAnsi="Arial" w:cs="Arial"/>
        </w:rPr>
        <w:t xml:space="preserve"> </w:t>
      </w:r>
    </w:p>
    <w:p w14:paraId="3136A60A" w14:textId="3FC9B7EB" w:rsidR="003E0E4E" w:rsidRPr="004661E9" w:rsidRDefault="00213CDC" w:rsidP="004661E9">
      <w:pPr>
        <w:spacing w:after="0" w:line="276" w:lineRule="auto"/>
        <w:rPr>
          <w:rFonts w:ascii="Arial" w:hAnsi="Arial" w:cs="Arial"/>
        </w:rPr>
      </w:pPr>
      <w:r w:rsidRPr="004661E9">
        <w:rPr>
          <w:rFonts w:ascii="Arial" w:hAnsi="Arial" w:cs="Arial"/>
        </w:rPr>
        <w:t xml:space="preserve">The prevalence of diabetes is approximately </w:t>
      </w:r>
      <w:r w:rsidR="00090D89" w:rsidRPr="004661E9">
        <w:rPr>
          <w:rFonts w:ascii="Arial" w:hAnsi="Arial" w:cs="Arial"/>
        </w:rPr>
        <w:t>10.2</w:t>
      </w:r>
      <w:r w:rsidRPr="004661E9">
        <w:rPr>
          <w:rFonts w:ascii="Arial" w:hAnsi="Arial" w:cs="Arial"/>
        </w:rPr>
        <w:t>% in the U.S. population</w:t>
      </w:r>
      <w:r w:rsidR="0015065B" w:rsidRPr="004661E9">
        <w:rPr>
          <w:rFonts w:ascii="Arial" w:hAnsi="Arial" w:cs="Arial"/>
        </w:rPr>
        <w:t>,</w:t>
      </w:r>
      <w:r w:rsidRPr="004661E9">
        <w:rPr>
          <w:rFonts w:ascii="Arial" w:hAnsi="Arial" w:cs="Arial"/>
        </w:rPr>
        <w:t xml:space="preserve"> and HF </w:t>
      </w:r>
      <w:r w:rsidR="0015065B" w:rsidRPr="004661E9">
        <w:rPr>
          <w:rFonts w:ascii="Arial" w:hAnsi="Arial" w:cs="Arial"/>
        </w:rPr>
        <w:t>affects 9</w:t>
      </w:r>
      <w:r w:rsidR="00AC75E6" w:rsidRPr="004661E9">
        <w:rPr>
          <w:rFonts w:ascii="Arial" w:hAnsi="Arial" w:cs="Arial"/>
        </w:rPr>
        <w:t xml:space="preserve"> to </w:t>
      </w:r>
      <w:r w:rsidR="0015065B" w:rsidRPr="004661E9">
        <w:rPr>
          <w:rFonts w:ascii="Arial" w:hAnsi="Arial" w:cs="Arial"/>
        </w:rPr>
        <w:t>2</w:t>
      </w:r>
      <w:r w:rsidR="00A912E0" w:rsidRPr="004661E9">
        <w:rPr>
          <w:rFonts w:ascii="Arial" w:hAnsi="Arial" w:cs="Arial"/>
        </w:rPr>
        <w:t>2</w:t>
      </w:r>
      <w:r w:rsidR="0015065B" w:rsidRPr="004661E9">
        <w:rPr>
          <w:rFonts w:ascii="Arial" w:hAnsi="Arial" w:cs="Arial"/>
        </w:rPr>
        <w:t>% of</w:t>
      </w:r>
      <w:r w:rsidRPr="004661E9">
        <w:rPr>
          <w:rFonts w:ascii="Arial" w:hAnsi="Arial" w:cs="Arial"/>
        </w:rPr>
        <w:t xml:space="preserve"> patients with </w:t>
      </w:r>
      <w:r w:rsidR="00564270" w:rsidRPr="004661E9">
        <w:rPr>
          <w:rFonts w:ascii="Arial" w:hAnsi="Arial" w:cs="Arial"/>
        </w:rPr>
        <w:t>diabetes</w:t>
      </w:r>
      <w:r w:rsidR="003E0E4E"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{"citationItems":[{"id":"ITEM-1","itemData":{"DOI":"10.2337/diacare.27.8.1879","ISSN":"01495992","PMID":"15277411","abstract":"OBJECTIVE - The aims of this study were to update previous estimates of the congestive heart failure (CHF) incidence rate in patients with type 2 diabetes, compare it with an age- and sex-matched nondiabetic group, and describe risk factors for developing CHF in diabetic patients over 6 years of follow-up. RESEARCH DESIGN AND METHODS - We performed a retrospective cohort study of 8,231 patients with type 2 diabetes and 8,845 nondiabetic patients of similar age and sex who did not have CHF as of 1 January 1997, following them for up to 72 months to estimate the CHF incidence rate. In the diabetic cohort, we constructed a Cox regression model to identify risk factors for CHF development. RESULTS - Patients with diabetes were much more likely to develop CHF than patients without diabetes (incidence rate 30.9 vs. 12.4 cases per 1,000 person-years, rate ratio 2.5, 95% CI 2.3-2.7). The difference in CHF development rates between persons with and without diabetes was much greater in younger age-groups. In addition to age and ischemic heart disease, poorer glycemic control (hazard ratio 1.32 per percentage point of HbA1c) and greater BMI (1.12 per 2.5 units of BMI) were important predictors of CHF development. CONCLUSIONS - The CHF incidence rate in type 2 diabetes may be much greater than previously believed. Our multivariate results emphasize the importance of controlling modifiable risk factors for CHF, namely hyperglycemia, elevated blood pressure, and obesity. Younger patients may benefit most from risk factor modification.","author":[{"dropping-particle":"","family":"Nichols","given":"Gregory A.","non-dropping-particle":"","parse-names":false,"suffix":""},{"dropping-particle":"","family":"Gullion","given":"Christina M.","non-dropping-particle":"","parse-names":false,"suffix":""},{"dropping-particle":"","family":"Koro","given":"Carol E.","non-dropping-particle":"","parse-names":false,"suffix":""},{"dropping-particle":"","family":"Ephross","given":"Sara A.","non-dropping-particle":"","parse-names":false,"suffix":""},{"dropping-particle":"","family":"Brown","given":"Jonathan B.","non-dropping-particle":"","parse-names":false,"suffix":""}],"container-title":"Diabetes Care","id":"ITEM-1","issue":"8","issued":{"date-parts":[["2004","8","1"]]},"page":"1879-1884","publisher":"American Diabetes Association","title":"The incidence of congestive heart failure in type 2 diabetes: An update","type":"article-journal","volume":"27"},"uris":["http://www.mendeley.com/documents/?uuid=f1c719ef-20b5-3ee3-be4d-3141e092635a"]},{"id":"ITEM-2","itemData":{"DOI":"10.1161/CIRCRESAHA.117.311586","ISSN":"15244571","abstract":"Heart failure and related morbidity and mortality are increasing at an alarming rate, in large part, because of increases in aging, obesity, and diabetes mellitus. The clinical outcomes associated with heart failure are considerably worse for patients with diabetes mellitus than for those without diabetes mellitus. In people with diabetes mellitus, the presence of myocardial dysfunction in the absence of overt clinical coronary artery disease, valvular disease, and other conventional cardiovascular risk factors, such as hypertension and dyslipidemia, has led to the descriptive terminology, diabetic cardiomyopathy. The prevalence of diabetic cardiomyopathy is increasing in parallel with the increase in diabetes mellitus. Diabetic cardiomyopathy is initially characterized by myocardial fibrosis, dysfunctional remodeling, and associated diastolic dysfunction, later by systolic dysfunction, and eventually by clinical heart failure. Impaired cardiac insulin metabolic signaling, mitochondrial dysfunction, increases in oxidative stress, reduced nitric oxide bioavailability, elevations in advanced glycation end products and collagen-based cardiomyocyte and extracellular matrix stiffness, impaired mitochondrial and cardiomyocyte calcium handling, inflammation, renin-angiotensin-aldosterone system activation, cardiac autonomic neuropathy, endoplasmic reticulum stress, microvascular dysfunction, and a myriad of cardiac metabolic abnormalities have all been implicated in the development and progression of diabetic cardiomyopathy. Molecular mechanisms linked to the underlying pathophysiological changes include abnormalities in AMP-Activated protein kinase, peroxisome proliferator-Activated receptors, O-linked N-Acetylglucosamine, protein kinase C, microRNA, and exosome pathways. The aim of this review is to provide a contemporary view of these instigators of diabetic cardiomyopathy, as well as mechanistically based strategies for the prevention and treatment of diabetic cardiomyopathy.","author":[{"dropping-particle":"","family":"Jia","given":"Guanghong","non-dropping-particle":"","parse-names":false,"suffix":""},{"dropping-particle":"","family":"Hill","given":"Michael A. A.","non-dropping-particle":"","parse-names":false,"suffix":""},{"dropping-particle":"","family":"Sowers","given":"James R. R.","non-dropping-particle":"","parse-names":false,"suffix":""}],"container-title":"Circulation Research","id":"ITEM-2","issue":"4","issued":{"date-parts":[["2018","2","1"]]},"page":"624-638","publisher":"Lippincott Williams and Wilkins","title":"Diabetic cardiomyopathy: An update of mechanisms contributing to this clinical entity","type":"article-journal","volume":"122"},"uris":["http://www.mendeley.com/documents/?uuid=43a20969-eaa0-4a81-ae95-93e52eb63579"]},{"id":"ITEM-3","itemData":{"DOI":"10.2337/diacare.27.3.699","ISSN":"01495992","abstract":"OBJECTIVE - The goal of this study was to determine heart failure prevalence and incidence rates, subsequent mortality, and risk factors for heart failure among older populations in Medicare with diabetes. RESEARCH DESIGN AND METHODS - We used a national 5% sample of Medicare claims from 1994 to 1999 to perform a population-based, nonconcurrent cohort study in 151,738 beneficiaries with diabetes who were age ≥65 years, not in managed care, and were alive on 1 January 1995. Prevalent heart failure was defined as a diagnosis of heart failure in 1994; incident heart failure was defined as a new diagnosis in 1995-1999 among those without prevalent heart failure. Mortality was assessed through 31 December 1999. RESULTS - Heart failure was prevalent in 22.3% in 1994. Among individuals without heart failure in 1994, the heart failure incidence rate was 12.6 per 100 person-years (95% CI 12.5-12.7 per 100 person-years). Incidence was similar by sex and race and increased significantly with age and diabetes-related comorbidities. The adjusted hazard of incident heart failure increased for individuals with the following: metabolic complications of diabetes (a proxy for poor control and/or severity) (hazards ratio 1.23, 95% CI 1.18-1.29), ischemic heart disease (1.74, 1.70-1.79), nephropathy (1.55, 1.45-1.67), and peripheral vascular disease (1.35, 1.31-1.39). Over 60 months, incident heart failure among older adults with diabetes was associated with high mortality-32.7 per 100 person-years compared with 3.7 per 100 person-years among those with diabetes who remained heart failure free. CONCLUSIONS - These data demonstrate alarmingly high prevalence, incidence, and mortality for heart failure in individuals with diabetes. Prevention of heart failure should be a research and clinical priority.","author":[{"dropping-particle":"","family":"Bertoni","given":"Alain G.","non-dropping-particle":"","parse-names":false,"suffix":""},{"dropping-particle":"","family":"Hundley","given":"W. Gregory","non-dropping-particle":"","parse-names":false,"suffix":""},{"dropping-particle":"","family":"Massing","given":"Mark W.","non-dropping-particle":"","parse-names":false,"suffix":""},{"dropping-particle":"","family":"Bonds","given":"Denise E.","non-dropping-particle":"","parse-names":false,"suffix":""},{"dropping-particle":"","family":"Burke","given":"Gregory L.","non-dropping-particle":"","parse-names":false,"suffix":""},{"dropping-particle":"","family":"Goff","given":"David C.","non-dropping-particle":"","parse-names":false,"suffix":""}],"container-title":"Diabetes Care","id":"ITEM-3","issue":"3","issued":{"date-parts":[["2004","3"]]},"page":"699-703","title":"Heart Failure Prevalence, Incidence, and Mortality in the Elderly with Diabetes","type":"article-journal","volume":"27"},"uris":["http://www.mendeley.com/documents/?uuid=2a72371c-4f04-3a83-84d9-346b43455a0f"]},{"id":"ITEM-4","itemData":{"DOI":"10.2337/diacare.28.3.612","ISSN":"01495992","abstract":"OBJECTIVE - Diabetes is an independent risk factor for heart failure, whereas the relation between heart failure and abnormal glucose regulation (AGR) needs further evaluation. We studied this combination in the Reykjavík Study. RESEARCH DESIGN AND METHODS - The Reykjavík Study, a population-based cohort study during 1967-1997, recruited 19,381 participants aged 33-84 years who were followed until 2002. Oral glucose tolerance tests and chest X-rays were obtained from all participants. Cases were defined in accordance with World Health Organization criteria for type 2 diabetes or AGR (impaired glucose tolerance or impaired fasting glucose) and European Society of Cardiology guidelines for heart failure. RESULTS - The overall prevalence of type 2 diabetes and heart failure was 0.5% in men and 0.4% in women, while AGR and heart failure were found in 0.7% of men and 0.6% of women. Among participants with normal glucose regulation, heart failure was diagnosed in 3.2% compared with 6.0 and 11.8% among those with AGR and type 2 diabetes, respectively. The prevalence of type 2 diabetes in the age-group 45-65 years increased in both sexes during the period (P for trend = 0.007). The odds ratio was 2.8 (95% CI 2.2-3.6) for the association between type 2 diabetes and heart failure and 1.7 (1.4-2.1) between AGR and heart failure. CONCLUSIONS - There is a strong association between any form of glucometabolic perturbation and heart failure. Future studies in this field should focus on all types of glucose abnormalities rather than previously diagnosed diabetes only. © 2005 by the American Diabetes Association.","author":[{"dropping-particle":"","family":"Thrainsdottir","given":"Inga S.","non-dropping-particle":"","parse-names":false,"suffix":""},{"dropping-particle":"","family":"Aspelund","given":"Thor","non-dropping-particle":"","parse-names":false,"suffix":""},{"dropping-particle":"","family":"Thorgeirsson","given":"Gudmundur","non-dropping-particle":"","parse-names":false,"suffix":""},{"dropping-particle":"","family":"Gudnason","given":"Vilmundur","non-dropping-particle":"","parse-names":false,"suffix":""},{"dropping-particle":"","family":"Hardarson","given":"Thordur","non-dropping-particle":"","parse-names":false,"suffix":""},{"dropping-particle":"","family":"Malmberg","given":"Klas","non-dropping-particle":"","parse-names":false,"suffix":""},{"dropping-particle":"","family":"Sigurdsson","given":"Gunnar","non-dropping-particle":"","parse-names":false,"suffix":""},{"dropping-particle":"","family":"Rydén","given":"Lars","non-dropping-particle":"","parse-names":false,"suffix":""}],"container-title":"Diabetes Care","id":"ITEM-4","issue":"3","issued":{"date-parts":[["2005","3","1"]]},"page":"612-616","publisher":"American Diabetes Association","title":"The association between glucose abnormalities and heart failure in the population-based Reykjavík Study","type":"article-journal","volume":"28"},"uris":["http://www.mendeley.com/documents/?uuid=70432d9c-e4a3-34ab-b06a-45eb15ec1901"]},{"id":"ITEM-5","itemData":{"PMID":"20892598","abstract":"CORRECT CITATION!!!!! Centers for Disease Control and Prevention. National Diabetes Statistics Report: Estimates of Diabetes and Its Burden in the United States, 2014. Atlanta, GA: US Department of Health and Human Services; 2014.","id":"ITEM-5","issued":{"date-parts":[["0"]]},"title":"Centers for Disease Control and Prevention. National Diabetes Statistics Report, 2020. Atlanta, GA: Centers for Disease Control and Prevention, US Department of Health and Human Services; 2020.","type":"article-journal"},"uris":["http://www.mendeley.com/documents/?uuid=88842acf-651d-4f19-9ad1-bb803ca6822d"]}],"mendeley":{"formattedCitation":"(6–10)","plainTextFormattedCitation":"(6–10)","previouslyFormattedCitation":"(6–10)"},"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(6–10)</w:t>
      </w:r>
      <w:r w:rsidR="000F3AD7" w:rsidRPr="004661E9">
        <w:rPr>
          <w:rFonts w:ascii="Arial" w:hAnsi="Arial" w:cs="Arial"/>
        </w:rPr>
        <w:fldChar w:fldCharType="end"/>
      </w:r>
      <w:r w:rsidR="003E0E4E" w:rsidRPr="004661E9">
        <w:rPr>
          <w:rFonts w:ascii="Arial" w:hAnsi="Arial" w:cs="Arial"/>
        </w:rPr>
        <w:t>.</w:t>
      </w:r>
      <w:r w:rsidRPr="004661E9">
        <w:rPr>
          <w:rFonts w:ascii="Arial" w:hAnsi="Arial" w:cs="Arial"/>
        </w:rPr>
        <w:t xml:space="preserve"> In </w:t>
      </w:r>
      <w:r w:rsidR="00564270" w:rsidRPr="004661E9">
        <w:rPr>
          <w:rFonts w:ascii="Arial" w:hAnsi="Arial" w:cs="Arial"/>
        </w:rPr>
        <w:t>clinical trials of antidiabetic agents</w:t>
      </w:r>
      <w:r w:rsidRPr="004661E9">
        <w:rPr>
          <w:rFonts w:ascii="Arial" w:hAnsi="Arial" w:cs="Arial"/>
        </w:rPr>
        <w:t xml:space="preserve">, HF was </w:t>
      </w:r>
      <w:r w:rsidR="0015065B" w:rsidRPr="004661E9">
        <w:rPr>
          <w:rFonts w:ascii="Arial" w:hAnsi="Arial" w:cs="Arial"/>
        </w:rPr>
        <w:t>present</w:t>
      </w:r>
      <w:r w:rsidRPr="004661E9">
        <w:rPr>
          <w:rFonts w:ascii="Arial" w:hAnsi="Arial" w:cs="Arial"/>
        </w:rPr>
        <w:t xml:space="preserve"> in 4</w:t>
      </w:r>
      <w:r w:rsidR="00564270" w:rsidRPr="004661E9">
        <w:rPr>
          <w:rFonts w:ascii="Arial" w:hAnsi="Arial" w:cs="Arial"/>
        </w:rPr>
        <w:t xml:space="preserve"> to </w:t>
      </w:r>
      <w:r w:rsidRPr="004661E9">
        <w:rPr>
          <w:rFonts w:ascii="Arial" w:hAnsi="Arial" w:cs="Arial"/>
        </w:rPr>
        <w:t>30% of participants</w:t>
      </w:r>
      <w:r w:rsidR="00564270" w:rsidRPr="004661E9">
        <w:rPr>
          <w:rFonts w:ascii="Arial" w:hAnsi="Arial" w:cs="Arial"/>
        </w:rPr>
        <w:t xml:space="preserve"> with diabetes</w:t>
      </w:r>
      <w:r w:rsidR="003E0E4E" w:rsidRPr="004661E9">
        <w:rPr>
          <w:rFonts w:ascii="Arial" w:hAnsi="Arial" w:cs="Arial"/>
        </w:rPr>
        <w:t xml:space="preserve"> </w:t>
      </w:r>
      <w:r w:rsidR="000F3AD7" w:rsidRPr="004661E9">
        <w:rPr>
          <w:rStyle w:val="FootnoteReference"/>
          <w:rFonts w:ascii="Arial" w:hAnsi="Arial" w:cs="Arial"/>
        </w:rPr>
        <w:fldChar w:fldCharType="begin" w:fldLock="1"/>
      </w:r>
      <w:r w:rsidR="000962ED" w:rsidRPr="004661E9">
        <w:rPr>
          <w:rFonts w:ascii="Arial" w:hAnsi="Arial" w:cs="Arial"/>
        </w:rPr>
        <w:instrText>ADDIN CSL_CITATION {"citationItems":[{"id":"ITEM-1","itemData":{"DOI":"10.1056/NEJMoa1607141","ISSN":"0028-4793","abstract":"BackgroundRegulatory guidance specifies the need to establish cardiovascular safety of new diabetes therapies in patients with type 2 diabetes in order to rule out excess cardiovascular risk. The cardiovascular effects of semaglutide, a glucagon-like peptide 1 analogue with an extended half-life of approximately 1 week, in type 2 diabetes are unknown. MethodsWe randomly assigned 3297 patients with type 2 diabetes who were on a standard-care regimen to receive once-weekly semaglutide (0.5 mg or 1.0 mg) or placebo for 104 weeks. The primary composite outcome was the first occurrence of cardiovascular death, nonfatal myocardial infarction, or nonfatal stroke. We hypothesized that semaglutide would be noninferior to placebo for the primary outcome. The noninferiority margin was 1.8 for the upper boundary of the 95% confidence interval of the hazard ratio. ResultsAt baseline, 2735 of the patients (83.0%) had established cardiovascular disease, chronic kidney disease, or both. The primary outcome occurred in 10...","author":[{"dropping-particle":"","family":"Marso","given":"Steven P.","non-dropping-particle":"","parse-names":false,"suffix":""},{"dropping-particle":"","family":"Bain","given":"Stephen C.","non-dropping-particle":"","parse-names":false,"suffix":""},{"dropping-particle":"","family":"Consoli","given":"Agostino","non-dropping-particle":"","parse-names":false,"suffix":""},{"dropping-particle":"","family":"Eliaschewitz","given":"Freddy G.","non-dropping-particle":"","parse-names":false,"suffix":""},{"dropping-particle":"","family":"Jódar","given":"Esteban","non-dropping-particle":"","parse-names":false,"suffix":""},{"dropping-particle":"","family":"Leiter","given":"Lawrence A.","non-dropping-particle":"","parse-names":false,"suffix":""},{"dropping-particle":"","family":"Lingvay","given":"Ildiko","non-dropping-particle":"","parse-names":false,"suffix":""},{"dropping-particle":"","family":"Rosenstock","given":"Julio","non-dropping-particle":"","parse-names":false,"suffix":""},{"dropping-particle":"","family":"Seufert","given":"Jochen","non-dropping-particle":"","parse-names":false,"suffix":""},{"dropping-particle":"","family":"Warren","given":"Mark L.","non-dropping-particle":"","parse-names":false,"suffix":""},{"dropping-particle":"","family":"Woo","given":"Vincent","non-dropping-particle":"","parse-names":false,"suffix":""},{"dropping-particle":"","family":"Hansen","given":"Oluf","non-dropping-particle":"","parse-names":false,"suffix":""},{"dropping-particle":"","family":"Holst","given":"Anders G.","non-dropping-particle":"","parse-names":false,"suffix":""},{"dropping-particle":"","family":"Pettersson","given":"Jonas","non-dropping-particle":"","parse-names":false,"suffix":""},{"dropping-particle":"","family":"Vilsbøll","given":"Tina","non-dropping-particle":"","parse-names":false,"suffix":""}],"container-title":"New England Journal of Medicine","id":"ITEM-1","issue":"19","issued":{"date-parts":[["2016","11","10"]]},"page":"1834-1844","publisher":"Massachusetts Medical Society","title":"Semaglutide and Cardiovascular Outcomes in Patients with Type 2 Diabetes","type":"article-journal","volume":"375"},"uris":["http://www.mendeley.com/documents/?uuid=39649ac6-01d2-3e9f-902f-96c4efe9aef6"]}],"mendeley":{"formattedCitation":"(11)","plainTextFormattedCitation":"(11)","previouslyFormattedCitation":"(11)"},"properties":{"noteIndex":0},"schema":"https://github.com/citation-style-language/schema/raw/master/csl-citation.json"}</w:instrText>
      </w:r>
      <w:r w:rsidR="000F3AD7" w:rsidRPr="004661E9">
        <w:rPr>
          <w:rStyle w:val="FootnoteReference"/>
          <w:rFonts w:ascii="Arial" w:hAnsi="Arial" w:cs="Arial"/>
        </w:rPr>
        <w:fldChar w:fldCharType="separate"/>
      </w:r>
      <w:r w:rsidR="000962ED" w:rsidRPr="004661E9">
        <w:rPr>
          <w:rFonts w:ascii="Arial" w:hAnsi="Arial" w:cs="Arial"/>
          <w:noProof/>
        </w:rPr>
        <w:t>(11)</w:t>
      </w:r>
      <w:r w:rsidR="000F3AD7" w:rsidRPr="004661E9">
        <w:rPr>
          <w:rStyle w:val="FootnoteReference"/>
          <w:rFonts w:ascii="Arial" w:hAnsi="Arial" w:cs="Arial"/>
        </w:rPr>
        <w:fldChar w:fldCharType="end"/>
      </w:r>
      <w:r w:rsidR="003E0E4E" w:rsidRPr="004661E9">
        <w:rPr>
          <w:rFonts w:ascii="Arial" w:hAnsi="Arial" w:cs="Arial"/>
        </w:rPr>
        <w:t>.</w:t>
      </w:r>
      <w:r w:rsidRPr="004661E9">
        <w:rPr>
          <w:rFonts w:ascii="Arial" w:hAnsi="Arial" w:cs="Arial"/>
        </w:rPr>
        <w:t xml:space="preserve"> On the other hand, </w:t>
      </w:r>
      <w:r w:rsidR="00564270" w:rsidRPr="004661E9">
        <w:rPr>
          <w:rFonts w:ascii="Arial" w:hAnsi="Arial" w:cs="Arial"/>
        </w:rPr>
        <w:t>the prevalence of pre-diabetes or diabetes was</w:t>
      </w:r>
      <w:r w:rsidRPr="004661E9">
        <w:rPr>
          <w:rFonts w:ascii="Arial" w:hAnsi="Arial" w:cs="Arial"/>
        </w:rPr>
        <w:t xml:space="preserve"> 30</w:t>
      </w:r>
      <w:r w:rsidR="00564270" w:rsidRPr="004661E9">
        <w:rPr>
          <w:rFonts w:ascii="Arial" w:hAnsi="Arial" w:cs="Arial"/>
        </w:rPr>
        <w:t xml:space="preserve"> to </w:t>
      </w:r>
      <w:r w:rsidRPr="004661E9">
        <w:rPr>
          <w:rFonts w:ascii="Arial" w:hAnsi="Arial" w:cs="Arial"/>
        </w:rPr>
        <w:t xml:space="preserve">40% </w:t>
      </w:r>
      <w:r w:rsidR="00564270" w:rsidRPr="004661E9">
        <w:rPr>
          <w:rFonts w:ascii="Arial" w:hAnsi="Arial" w:cs="Arial"/>
        </w:rPr>
        <w:t xml:space="preserve">among </w:t>
      </w:r>
      <w:r w:rsidR="00AC75E6" w:rsidRPr="004661E9">
        <w:rPr>
          <w:rFonts w:ascii="Arial" w:hAnsi="Arial" w:cs="Arial"/>
        </w:rPr>
        <w:t>individuals</w:t>
      </w:r>
      <w:r w:rsidR="00564270" w:rsidRPr="004661E9">
        <w:rPr>
          <w:rFonts w:ascii="Arial" w:hAnsi="Arial" w:cs="Arial"/>
        </w:rPr>
        <w:t xml:space="preserve"> enrolled in </w:t>
      </w:r>
      <w:r w:rsidRPr="004661E9">
        <w:rPr>
          <w:rFonts w:ascii="Arial" w:hAnsi="Arial" w:cs="Arial"/>
        </w:rPr>
        <w:t>HF trials</w:t>
      </w:r>
      <w:r w:rsidR="003E0E4E"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{"citationItems":[{"id":"ITEM-1","itemData":{"DOI":"10.1056/NEJMoa1409077","ISSN":"0028-4793","PMID":"25176015","abstract":"Background We compared the angiotensin receptor-neprilysin inhibitor LCZ696 with enalapril in patients who had heart failure with a reduced ejection fraction. In previous studies, enalapril improved survival in such patients.\nMethods: In this double-blind trial, we randomly assigned 8442 patients with class II, III, or IV heart failure and an ejection fraction of 40% or less to receive either LCZ696 (at a dose of 200 mg twice daily) or enalapril (at a dose of 10 mg twice daily), in addition to recommended therapy. The primary outcome was a composite of death from cardiovascular causes or hospitalization for heart failure, but the trial was designed to detect a difference in the rates of death from cardiovascular causes.\nResults: The trial was stopped early, according to prespecified rules, after a median followup of 27 months, because the boundary for an overwhelming benefit with LCZ696 had been crossed. At the time of study closure, the primary outcome had occurred in 914 patients (21.8%) in the LCZ696 group and 1117 patients (26.5%) in the enalapril group (hazard ratio in the LCZ696 group, 0.80; 95% confidence interval [CI], 0.73 to 0.87; P&lt; 0.001). A total of 711 patients (17.0%) receiving LCZ696 and 835 patients (19.8%) receiving enalapril died (hazard ratio for death from any cause, 0.84; 95% CI, 0.76 to 0.93; P&lt; 0.001); of these patients, 558 (13.3%) and 693 (16.5%), respectively, died from cardiovascular causes (hazard ratio, 0.80; 95% CI, 0.71 to 0.89; P&lt; 0.001). As compared with enalapril, LCZ696 also reduced the risk of hospitalization for heart failure by 21% (P&lt; 0.001) and decreased the symptoms and physical limitations of heart failure (P = 0.001). The LCZ696 group had higher proportions of patients with hypotension and nonserious angioedema but lower proportions with renal impairment, hyperkalemia, and cough than the enalapril group.\nConclusions: LCZ696 was superior to enalapril in reducing the risks of death and of hospitalization for heart failure.","author":[{"dropping-particle":"","family":"McMurray","given":"John J.V.","non-dropping-particle":"","parse-names":false,"suffix":""},{"dropping-particle":"","family":"Packer","given":"Milton","non-dropping-particle":"","parse-names":false,"suffix":""},{"dropping-particle":"","family":"Desai","given":"Akshay S.","non-dropping-particle":"","parse-names":false,"suffix":""},{"dropping-particle":"","family":"Gong","given":"Jianjian","non-dropping-particle":"","parse-names":false,"suffix":""},{"dropping-particle":"","family":"Lefkowitz","given":"Martin P.","non-dropping-particle":"","parse-names":false,"suffix":""},{"dropping-particle":"","family":"Rizkala","given":"Adel R.","non-dropping-particle":"","parse-names":false,"suffix":""},{"dropping-particle":"","family":"Rouleau","given":"Jean L.","non-dropping-particle":"","parse-names":false,"suffix":""},{"dropping-particle":"","family":"Shi","given":"Victor C.","non-dropping-particle":"","parse-names":false,"suffix":""},{"dropping-particle":"","family":"Solomon","given":"Scott D.","non-dropping-particle":"","parse-names":false,"suffix":""},{"dropping-particle":"","family":"Swedberg","given":"Karl","non-dropping-particle":"","parse-names":false,"suffix":""},{"dropping-particle":"","family":"Zile","given":"Michael R.","non-dropping-particle":"","parse-names":false,"suffix":""}],"container-title":"New England Journal of Medicine","id":"ITEM-1","issue":"11","issued":{"date-parts":[["2014","9","11"]]},"page":"993-1004","publisher":"Massachussetts Medical Society","title":"Angiotensin–Neprilysin Inhibition versus Enalapril in Heart Failure","type":"article-journal","volume":"371"},"uris":["http://www.mendeley.com/documents/?uuid=6903db25-9918-4cde-9715-5e1266cee233"]},{"id":"ITEM-2","itemData":{"DOI":"10.1016/S0140-6736(03)14282-1","ISSN":"01406736","PMID":"13678868","abstract":"Background: Patients with chronic heart failure (CHF) are at high risk of cardiovascular death and recurrent hospital admissions. We aimed to find out whether the use of an angiotensin-receptor blocker could reduce mortality and morbidity. Methods: In parallel, randomised, double-blind, controlled, clinical trials we compared candesartan with placebo in three distinct populations. We studied patients with left-ventricular ejection fraction (LVEF) 40% or less who were not receiving angiotensin-converting-enzyme inhibitors because of previous intolerance or who were currently receiving angiotensin-converting-enzyme inhibitors, and patients with LVEF higher than 40%. Overall, 7601 patients (7599 with data) were randomly assigned candesartan (n=3803, titrated to 32 mg once daily) or matching placebo (n=3796), and followed up for at least 2 years. The primary outcome of the overall programme was all-cause mortality, and for all the component trials was cardiovascular death or hospital admission for CHF. Analysis was by intention to treat. Findings: Median follow-up was 37.7 months. 886 (23%) patients in the candesartan and 945 (25%) in the placebo group died (unadjusted hazard ratio 0.91 [95% CI 0.83-1.00], p=0.055; covariate adjusted 0.90 [0.82-0.99], p=0.032), with fewer cardiovascular deaths (691 [18%] vs 769 [20%], unadjusted 0.88 [0.79-0.97], p=0.012; covariate adjusted 0.87 [0.78-0.96], p=0.006) and hospital admissions for CHF (757 [20%] vs 918 [24%], p&lt;0.0001) in the candesartan group. There was no significant heterogeneity for candesartan results across the component trials. More patients discontinued candesartan than placebo because of concerns about renal function, hypotension, and hyperkalaemia. Interpretation: Candesartan was generally well tolerated and significantly reduced cardiovascular deaths and hospital admissions for heart failure. Ejection fraction or treatment at baseline did not alter these effects.","author":[{"dropping-particle":"","family":"Pfeffer","given":"Marc A.","non-dropping-particle":"","parse-names":false,"suffix":""},{"dropping-particle":"","family":"Swedberg","given":"Karl","non-dropping-particle":"","parse-names":false,"suffix":""},{"dropping-particle":"","family":"Granger","given":"Christopher B.","non-dropping-particle":"","parse-names":false,"suffix":""},{"dropping-particle":"","family":"Held","given":"Peter","non-dropping-particle":"","parse-names":false,"suffix":""},{"dropping-particle":"","family":"McMurray","given":"John J.V.","non-dropping-particle":"","parse-names":false,"suffix":""},{"dropping-particle":"","family":"Michelson","given":"Eric L.","non-dropping-particle":"","parse-names":false,"suffix":""},{"dropping-particle":"","family":"Olofsson","given":"Bertil","non-dropping-particle":"","parse-names":false,"suffix":""},{"dropping-particle":"","family":"Östergren","given":"Jan","non-dropping-particle":"","parse-names":false,"suffix":""},{"dropping-particle":"","family":"Yusuf","given":"Salim","non-dropping-particle":"","parse-names":false,"suffix":""}],"container-title":"Lancet","id":"ITEM-2","issue":"9386","issued":{"date-parts":[["2003"]]},"page":"759-766","title":"Effects of candesartan on mortality and morbidity in patients with chronic heart failure: The CHARM-overall programme","type":"article-journal","volume":"362"},"uris":["http://www.mendeley.com/documents/?uuid=b9d0413e-7c41-4eef-b35f-113bab31df2d"]}],"mendeley":{"formattedCitation":"(12,13)","plainTextFormattedCitation":"(12,13)","previouslyFormattedCitation":"(12,13)"},"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(12,13)</w:t>
      </w:r>
      <w:r w:rsidR="000F3AD7" w:rsidRPr="004661E9">
        <w:rPr>
          <w:rFonts w:ascii="Arial" w:hAnsi="Arial" w:cs="Arial"/>
        </w:rPr>
        <w:fldChar w:fldCharType="end"/>
      </w:r>
      <w:r w:rsidR="003E0E4E" w:rsidRPr="004661E9">
        <w:rPr>
          <w:rFonts w:ascii="Arial" w:hAnsi="Arial" w:cs="Arial"/>
        </w:rPr>
        <w:t>.</w:t>
      </w:r>
    </w:p>
    <w:p w14:paraId="7814F8CE" w14:textId="6BEE54C3" w:rsidR="00564270" w:rsidRPr="004661E9" w:rsidRDefault="007C5634" w:rsidP="004661E9">
      <w:pPr>
        <w:spacing w:after="0" w:line="276" w:lineRule="auto"/>
        <w:rPr>
          <w:rFonts w:ascii="Arial" w:hAnsi="Arial" w:cs="Arial"/>
        </w:rPr>
      </w:pPr>
      <w:r w:rsidRPr="004661E9">
        <w:rPr>
          <w:rFonts w:ascii="Arial" w:hAnsi="Arial" w:cs="Arial"/>
        </w:rPr>
        <w:t xml:space="preserve"> </w:t>
      </w:r>
    </w:p>
    <w:p w14:paraId="5799E966" w14:textId="427A5239" w:rsidR="00564270" w:rsidRPr="004661E9" w:rsidRDefault="00213CDC" w:rsidP="004661E9">
      <w:pPr>
        <w:spacing w:after="0" w:line="276" w:lineRule="auto"/>
        <w:rPr>
          <w:rFonts w:ascii="Arial" w:hAnsi="Arial" w:cs="Arial"/>
        </w:rPr>
      </w:pPr>
      <w:bookmarkStart w:id="3" w:name="_Hlk43800460"/>
      <w:r w:rsidRPr="004661E9">
        <w:rPr>
          <w:rFonts w:ascii="Arial" w:hAnsi="Arial" w:cs="Arial"/>
        </w:rPr>
        <w:t xml:space="preserve">Longstanding diabetes </w:t>
      </w:r>
      <w:bookmarkEnd w:id="3"/>
      <w:r w:rsidR="00AC75E6" w:rsidRPr="004661E9">
        <w:rPr>
          <w:rFonts w:ascii="Arial" w:hAnsi="Arial" w:cs="Arial"/>
        </w:rPr>
        <w:t xml:space="preserve">alters cardiac structure and function, resulting from the direct effects of abnormal myocardial metabolism and insulin resistance (IR) even without atherosclerotic </w:t>
      </w:r>
      <w:r w:rsidR="00C83BB1" w:rsidRPr="004661E9">
        <w:rPr>
          <w:rFonts w:ascii="Arial" w:hAnsi="Arial" w:cs="Arial"/>
        </w:rPr>
        <w:t>CAD</w:t>
      </w:r>
      <w:r w:rsidR="000A20D2">
        <w:rPr>
          <w:rFonts w:ascii="Arial" w:hAnsi="Arial" w:cs="Arial"/>
        </w:rPr>
        <w:t xml:space="preserve"> </w:t>
      </w:r>
      <w:r w:rsidR="000F3AD7" w:rsidRPr="004661E9">
        <w:rPr>
          <w:rStyle w:val="FootnoteReference"/>
          <w:rFonts w:ascii="Arial" w:hAnsi="Arial" w:cs="Arial"/>
        </w:rPr>
        <w:fldChar w:fldCharType="begin" w:fldLock="1"/>
      </w:r>
      <w:r w:rsidR="000962ED" w:rsidRPr="004661E9">
        <w:rPr>
          <w:rFonts w:ascii="Arial" w:hAnsi="Arial" w:cs="Arial"/>
        </w:rPr>
        <w:instrText>ADDIN CSL_CITATION {"citationItems":[{"id":"ITEM-1","itemData":{"DOI":"10.1016/0002-9149(72)90595-4","ISBN":"0002-9149","ISSN":"00029149","PMID":"4263660","abstract":"The postmortem findings and clinical records of 27 patients with proved diabetic glomerulosclerosis were examined and reviewed for evidence of primary myocardial disease. Twenty-three cases were excluded because of complicating conditions such as hypertension, significant obstruction of the major coronary arteries or valvular disease. Four patients demonstrated cardiomegaly and congestive heart failure of no known cause. The autopsy findings consisted of left ventricular hypertrophy and, in 1 case, right ventricular hypertrophy as well, in the absence of major coronary artery disease. Histopathologic study revealed diffuse fibrotic strands extending between bundles of muscle fibers and myofibrillar hypertrophy. In 1 case, the small intramural coronary arterioles demonstrated thickening of the wall and narrowing of the lumen due primarily to the deposition of acid mucopolysaccharide material in the subendothelial layers and subsequent subintimal thickening and medial hypertrophy. It is postulated that the myocardial disease seen in these cases is probably secondary to diabetic mjcroangiopathy although the direct effects of the abnormal myocardial metabolism in diabetes could not be excluded. ?? 1972.","author":[{"dropping-particle":"","family":"Rubler","given":"Shirley","non-dropping-particle":"","parse-names":false,"suffix":""},{"dropping-particle":"","family":"Dlugash","given":"Joel","non-dropping-particle":"","parse-names":false,"suffix":""},{"dropping-particle":"","family":"Yuceoglu","given":"Yusuf Ziya","non-dropping-particle":"","parse-names":false,"suffix":""},{"dropping-particle":"","family":"Kumral","given":"Tarik","non-dropping-particle":"","parse-names":false,"suffix":""},{"dropping-particle":"","family":"Branwood","given":"Arthur Whitley","non-dropping-particle":"","parse-names":false,"suffix":""},{"dropping-particle":"","family":"Grishman","given":"Arthur","non-dropping-particle":"","parse-names":false,"suffix":""}],"container-title":"The American Journal of Cardiology","id":"ITEM-1","issue":"6","issued":{"date-parts":[["1972"]]},"page":"595-602","title":"New type of cardiomyopathy associated with diabetic glomerulosclerosis","type":"article-journal","volume":"30"},"uris":["http://www.mendeley.com/documents/?uuid=7bdd70bb-e3a6-4da3-9adf-4a9bc07afe3d"]}],"mendeley":{"formattedCitation":"(14)","plainTextFormattedCitation":"(14)","previouslyFormattedCitation":"(14)"},"properties":{"noteIndex":0},"schema":"https://github.com/citation-style-language/schema/raw/master/csl-citation.json"}</w:instrText>
      </w:r>
      <w:r w:rsidR="000F3AD7" w:rsidRPr="004661E9">
        <w:rPr>
          <w:rStyle w:val="FootnoteReference"/>
          <w:rFonts w:ascii="Arial" w:hAnsi="Arial" w:cs="Arial"/>
        </w:rPr>
        <w:fldChar w:fldCharType="separate"/>
      </w:r>
      <w:r w:rsidR="000962ED" w:rsidRPr="004661E9">
        <w:rPr>
          <w:rFonts w:ascii="Arial" w:hAnsi="Arial" w:cs="Arial"/>
          <w:noProof/>
        </w:rPr>
        <w:t>(14)</w:t>
      </w:r>
      <w:r w:rsidR="000F3AD7" w:rsidRPr="004661E9">
        <w:rPr>
          <w:rStyle w:val="FootnoteReference"/>
          <w:rFonts w:ascii="Arial" w:hAnsi="Arial" w:cs="Arial"/>
        </w:rPr>
        <w:fldChar w:fldCharType="end"/>
      </w:r>
      <w:r w:rsidR="003E0E4E" w:rsidRPr="004661E9">
        <w:rPr>
          <w:rFonts w:ascii="Arial" w:hAnsi="Arial" w:cs="Arial"/>
        </w:rPr>
        <w:t>.</w:t>
      </w:r>
      <w:r w:rsidRPr="004661E9">
        <w:rPr>
          <w:rFonts w:ascii="Arial" w:hAnsi="Arial" w:cs="Arial"/>
        </w:rPr>
        <w:t xml:space="preserve"> </w:t>
      </w:r>
      <w:bookmarkStart w:id="4" w:name="_Hlk43800473"/>
      <w:r w:rsidRPr="004661E9">
        <w:rPr>
          <w:rFonts w:ascii="Arial" w:hAnsi="Arial" w:cs="Arial"/>
        </w:rPr>
        <w:t>The pathophysiolog</w:t>
      </w:r>
      <w:r w:rsidR="00AC75E6" w:rsidRPr="004661E9">
        <w:rPr>
          <w:rFonts w:ascii="Arial" w:hAnsi="Arial" w:cs="Arial"/>
        </w:rPr>
        <w:t>ic</w:t>
      </w:r>
      <w:r w:rsidR="00AB2F87" w:rsidRPr="004661E9">
        <w:rPr>
          <w:rFonts w:ascii="Arial" w:hAnsi="Arial" w:cs="Arial"/>
        </w:rPr>
        <w:t xml:space="preserve"> link </w:t>
      </w:r>
      <w:r w:rsidR="00D406C2" w:rsidRPr="004661E9">
        <w:rPr>
          <w:rFonts w:ascii="Arial" w:hAnsi="Arial" w:cs="Arial"/>
        </w:rPr>
        <w:t xml:space="preserve">between </w:t>
      </w:r>
      <w:r w:rsidRPr="004661E9">
        <w:rPr>
          <w:rFonts w:ascii="Arial" w:hAnsi="Arial" w:cs="Arial"/>
        </w:rPr>
        <w:t xml:space="preserve">diabetes </w:t>
      </w:r>
      <w:r w:rsidR="00D406C2" w:rsidRPr="004661E9">
        <w:rPr>
          <w:rFonts w:ascii="Arial" w:hAnsi="Arial" w:cs="Arial"/>
        </w:rPr>
        <w:t xml:space="preserve">and </w:t>
      </w:r>
      <w:r w:rsidRPr="004661E9">
        <w:rPr>
          <w:rFonts w:ascii="Arial" w:hAnsi="Arial" w:cs="Arial"/>
        </w:rPr>
        <w:t>HF is complex and multifactorial</w:t>
      </w:r>
      <w:r w:rsidR="00D327DF" w:rsidRPr="004661E9">
        <w:rPr>
          <w:rFonts w:ascii="Arial" w:hAnsi="Arial" w:cs="Arial"/>
        </w:rPr>
        <w:t>,</w:t>
      </w:r>
      <w:r w:rsidRPr="004661E9">
        <w:rPr>
          <w:rFonts w:ascii="Arial" w:hAnsi="Arial" w:cs="Arial"/>
        </w:rPr>
        <w:t xml:space="preserve"> involving various abnormal biochemical pathways </w:t>
      </w:r>
      <w:bookmarkEnd w:id="4"/>
      <w:r w:rsidR="00D31465" w:rsidRPr="004661E9">
        <w:rPr>
          <w:rFonts w:ascii="Arial" w:hAnsi="Arial" w:cs="Arial"/>
        </w:rPr>
        <w:t xml:space="preserve">including but not limited to </w:t>
      </w:r>
      <w:r w:rsidRPr="004661E9">
        <w:rPr>
          <w:rFonts w:ascii="Arial" w:hAnsi="Arial" w:cs="Arial"/>
        </w:rPr>
        <w:t>abnormal calcium signaling, deranged glucose/fatty acid metabolism</w:t>
      </w:r>
      <w:r w:rsidR="00D327DF" w:rsidRPr="004661E9">
        <w:rPr>
          <w:rFonts w:ascii="Arial" w:hAnsi="Arial" w:cs="Arial"/>
        </w:rPr>
        <w:t>,</w:t>
      </w:r>
      <w:r w:rsidRPr="004661E9">
        <w:rPr>
          <w:rFonts w:ascii="Arial" w:hAnsi="Arial" w:cs="Arial"/>
        </w:rPr>
        <w:t xml:space="preserve"> and inflammatory pathways </w:t>
      </w:r>
      <w:r w:rsidR="00AC75E6" w:rsidRPr="004661E9">
        <w:rPr>
          <w:rFonts w:ascii="Arial" w:hAnsi="Arial" w:cs="Arial"/>
        </w:rPr>
        <w:t>contributing</w:t>
      </w:r>
      <w:r w:rsidR="00564270" w:rsidRPr="004661E9">
        <w:rPr>
          <w:rFonts w:ascii="Arial" w:hAnsi="Arial" w:cs="Arial"/>
        </w:rPr>
        <w:t xml:space="preserve"> to</w:t>
      </w:r>
      <w:r w:rsidRPr="004661E9">
        <w:rPr>
          <w:rFonts w:ascii="Arial" w:hAnsi="Arial" w:cs="Arial"/>
        </w:rPr>
        <w:t xml:space="preserve"> myocardial fibrosis, stiffness</w:t>
      </w:r>
      <w:r w:rsidR="00564270" w:rsidRPr="004661E9">
        <w:rPr>
          <w:rFonts w:ascii="Arial" w:hAnsi="Arial" w:cs="Arial"/>
        </w:rPr>
        <w:t>,</w:t>
      </w:r>
      <w:r w:rsidRPr="004661E9">
        <w:rPr>
          <w:rFonts w:ascii="Arial" w:hAnsi="Arial" w:cs="Arial"/>
        </w:rPr>
        <w:t xml:space="preserve"> and hypertrophy</w:t>
      </w:r>
      <w:r w:rsidR="003E0E4E"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{"citationItems":[{"id":"ITEM-1","itemData":{"DOI":"10.1161/CIRCRESAHA.117.311586","ISSN":"15244571","abstract":"Heart failure and related morbidity and mortality are increasing at an alarming rate, in large part, because of increases in aging, obesity, and diabetes mellitus. The clinical outcomes associated with heart failure are considerably worse for patients with diabetes mellitus than for those without diabetes mellitus. In people with diabetes mellitus, the presence of myocardial dysfunction in the absence of overt clinical coronary artery disease, valvular disease, and other conventional cardiovascular risk factors, such as hypertension and dyslipidemia, has led to the descriptive terminology, diabetic cardiomyopathy. The prevalence of diabetic cardiomyopathy is increasing in parallel with the increase in diabetes mellitus. Diabetic cardiomyopathy is initially characterized by myocardial fibrosis, dysfunctional remodeling, and associated diastolic dysfunction, later by systolic dysfunction, and eventually by clinical heart failure. Impaired cardiac insulin metabolic signaling, mitochondrial dysfunction, increases in oxidative stress, reduced nitric oxide bioavailability, elevations in advanced glycation end products and collagen-based cardiomyocyte and extracellular matrix stiffness, impaired mitochondrial and cardiomyocyte calcium handling, inflammation, renin-angiotensin-aldosterone system activation, cardiac autonomic neuropathy, endoplasmic reticulum stress, microvascular dysfunction, and a myriad of cardiac metabolic abnormalities have all been implicated in the development and progression of diabetic cardiomyopathy. Molecular mechanisms linked to the underlying pathophysiological changes include abnormalities in AMP-Activated protein kinase, peroxisome proliferator-Activated receptors, O-linked N-Acetylglucosamine, protein kinase C, microRNA, and exosome pathways. The aim of this review is to provide a contemporary view of these instigators of diabetic cardiomyopathy, as well as mechanistically based strategies for the prevention and treatment of diabetic cardiomyopathy.","author":[{"dropping-particle":"","family":"Jia","given":"Guanghong","non-dropping-particle":"","parse-names":false,"suffix":""},{"dropping-particle":"","family":"Hill","given":"Michael A. A.","non-dropping-particle":"","parse-names":false,"suffix":""},{"dropping-particle":"","family":"Sowers","given":"James R. R.","non-dropping-particle":"","parse-names":false,"suffix":""}],"container-title":"Circulation Research","id":"ITEM-1","issue":"4","issued":{"date-parts":[["2018","2","1"]]},"page":"624-638","publisher":"Lippincott Williams and Wilkins","title":"Diabetic cardiomyopathy: An update of mechanisms contributing to this clinical entity","type":"article-journal","volume":"122"},"uris":["http://www.mendeley.com/documents/?uuid=43a20969-eaa0-4a81-ae95-93e52eb63579"]},{"id":"ITEM-2","itemData":{"DOI":"10.1093/eurheartj/ehy596","ISSN":"15229645","PMID":"30295797","author":[{"dropping-particle":"","family":"Maack","given":"Christoph","non-dropping-particle":"","parse-names":false,"suffix":""},{"dropping-particle":"","family":"Lehrke","given":"Michael","non-dropping-particle":"","parse-names":false,"suffix":""},{"dropping-particle":"","family":"Backs","given":"Johannes","non-dropping-particle":"","parse-names":false,"suffix":""},{"dropping-particle":"","family":"Heinzel","given":"Frank R. R.","non-dropping-particle":"","parse-names":false,"suffix":""},{"dropping-particle":"","family":"Hulot","given":"Jean Sebastien Sebastien","non-dropping-particle":"","parse-names":false,"suffix":""},{"dropping-particle":"","family":"Marx","given":"Nikolaus","non-dropping-particle":"","parse-names":false,"suffix":""},{"dropping-particle":"","family":"Paulus","given":"Walter J. J.","non-dropping-particle":"","parse-names":false,"suffix":""},{"dropping-particle":"","family":"Rossignol","given":"Patrick","non-dropping-particle":"","parse-names":false,"suffix":""},{"dropping-particle":"","family":"Taegtmeyer","given":"Heinrich","non-dropping-particle":"","parse-names":false,"suffix":""},{"dropping-particle":"","family":"Bauersachs","given":"Johann","non-dropping-particle":"","parse-names":false,"suffix":""},{"dropping-particle":"","family":"Bayes-Genis","given":"Antoni","non-dropping-particle":"","parse-names":false,"suffix":""},{"dropping-particle":"","family":"Brutsaert","given":"Dirk","non-dropping-particle":"","parse-names":false,"suffix":""},{"dropping-particle":"","family":"Bugger","given":"Heiko","non-dropping-particle":"","parse-names":false,"suffix":""},{"dropping-particle":"","family":"Clarke","given":"Kieran","non-dropping-particle":"","parse-names":false,"suffix":""},{"dropping-particle":"","family":"Cosentino","given":"Francesco","non-dropping-particle":"","parse-names":false,"suffix":""},{"dropping-particle":"","family":"Keulenaer","given":"Gilles","non-dropping-particle":"De","parse-names":false,"suffix":""},{"dropping-particle":"","family":"Cas","given":"Alessandra Dei Dei","non-dropping-particle":"","parse-names":false,"suffix":""},{"dropping-particle":"","family":"González","given":"Arantxa","non-dropping-particle":"","parse-names":false,"suffix":""},{"dropping-particle":"","family":"Huelsmann","given":"Martin","non-dropping-particle":"","parse-names":false,"suffix":""},{"dropping-particle":"","family":"Iaccarino","given":"Guido","non-dropping-particle":"","parse-names":false,"suffix":""},{"dropping-particle":"","family":"Lunde","given":"Ida Gjervold Gjervold","non-dropping-particle":"","parse-names":false,"suffix":""},{"dropping-particle":"","family":"Lyon","given":"Alexander R. R.","non-dropping-particle":"","parse-names":false,"suffix":""},{"dropping-particle":"","family":"Pollesello","given":"Piero","non-dropping-particle":"","parse-names":false,"suffix":""},{"dropping-particle":"","family":"Rena","given":"Graham","non-dropping-particle":"","parse-names":false,"suffix":""},{"dropping-particle":"","family":"Riksen","given":"Niels P. P.","non-dropping-particle":"","parse-names":false,"suffix":""},{"dropping-particle":"","family":"Rosano","given":"Giuseppe","non-dropping-particle":"","parse-names":false,"suffix":""},{"dropping-particle":"","family":"Staels","given":"Bart","non-dropping-particle":"","parse-names":false,"suffix":""},{"dropping-particle":"","family":"Laake","given":"Linda W. W.","non-dropping-particle":"Van","parse-names":false,"suffix":""},{"dropping-particle":"","family":"Wanner","given":"Christoph","non-dropping-particle":"","parse-names":false,"suffix":""},{"dropping-particle":"","family":"Farmakis","given":"Dimitrios","non-dropping-particle":"","parse-names":false,"suffix":""},{"dropping-particle":"","family":"Filippatos","given":"Gerasimos","non-dropping-particle":"","parse-names":false,"suffix":""},{"dropping-particle":"","family":"Ruschitzka","given":"Frank","non-dropping-particle":"","parse-names":false,"suffix":""},{"dropping-particle":"","family":"Seferovic","given":"Petar","non-dropping-particle":"","parse-names":false,"suffix":""},{"dropping-particle":"","family":"Boer","given":"Rudolf A. A.","non-dropping-particle":"De","parse-names":false,"suffix":""},{"dropping-particle":"","family":"Heymans","given":"Stephane","non-dropping-particle":"","parse-names":false,"suffix":""}],"container-title":"European Heart Journal","id":"ITEM-2","issue":"48","issued":{"date-parts":[["2018"]]},"page":"4243-4254","title":"Heart failure and diabetes: Metabolic alterations and therapeutic interventions: A state-of-The-Art review from the Translational Research Committee of the Heart Failure Association-European Society of Cardiology","type":"article-journal","volume":"39"},"uris":["http://www.mendeley.com/documents/?uuid=09c23ef8-0dac-4dba-82b8-3aa1c7e28443"]},{"id":"ITEM-3","itemData":{"DOI":"10.1016/j.pcad.2019.03.003","ISSN":"18731740","abstract":"Diabetes causes cardiomyopathy and increases the risk of heart failure independent of hypertension and coronary heart disease. This condition called “Diabetic Cardiomyopathy” (DCM) is becoming a well- known clinical entity. Recently, there has been substantial research exploring its molecular mechanisms, structural and functional changes, and possible development of therapeutic approaches for the prevention and treatment of DCM. This review summarizes the recent advancements to better understand fundamental molecular abnormalities that promote this cardiomyopathy and novel therapies for future research. Additionally, different diagnostic modalities, up to date screening tests to guide clinicians with early diagnosis and available current treatment options has been outlined.","author":[{"dropping-particle":"","family":"Murtaza","given":"Ghulam","non-dropping-particle":"","parse-names":false,"suffix":""},{"dropping-particle":"","family":"Virk","given":"Hafeez Ul Hassan Ul Hassan","non-dropping-particle":"","parse-names":false,"suffix":""},{"dropping-particle":"","family":"Khalid","given":"Muhammad","non-dropping-particle":"","parse-names":false,"suffix":""},{"dropping-particle":"","family":"Lavie","given":"Carl J. J.","non-dropping-particle":"","parse-names":false,"suffix":""},{"dropping-particle":"","family":"Ventura","given":"Hector","non-dropping-particle":"","parse-names":false,"suffix":""},{"dropping-particle":"","family":"Mukherjee","given":"Debabrata","non-dropping-particle":"","parse-names":false,"suffix":""},{"dropping-particle":"","family":"Ramu","given":"Vijay","non-dropping-particle":"","parse-names":false,"suffix":""},{"dropping-particle":"","family":"Bhogal","given":"Sukhdeep","non-dropping-particle":"","parse-names":false,"suffix":""},{"dropping-particle":"","family":"Kumar","given":"Gautam","non-dropping-particle":"","parse-names":false,"suffix":""},{"dropping-particle":"","family":"Shanmugasundaram","given":"Madhan","non-dropping-particle":"","parse-names":false,"suffix":""},{"dropping-particle":"","family":"Paul","given":"Timir K. K.","non-dropping-particle":"","parse-names":false,"suffix":""}],"container-title":"Progress in Cardiovascular Diseases","id":"ITEM-3","issue":"4","issued":{"date-parts":[["2019"]]},"page":"315-326","publisher":"Elsevier Inc.","title":"Diabetic cardiomyopathy - A comprehensive updated review","type":"article-journal","volume":"62"},"uris":["http://www.mendeley.com/documents/?uuid=c7ea2a94-ed27-416c-a134-e56110fb6c24"]}],"mendeley":{"formattedCitation":"(7,15,16)","plainTextFormattedCitation":"(7,15,16)","previouslyFormattedCitation":"(7,15,16)"},"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(7,15,16)</w:t>
      </w:r>
      <w:r w:rsidR="000F3AD7" w:rsidRPr="004661E9">
        <w:rPr>
          <w:rFonts w:ascii="Arial" w:hAnsi="Arial" w:cs="Arial"/>
        </w:rPr>
        <w:fldChar w:fldCharType="end"/>
      </w:r>
      <w:r w:rsidR="003E0E4E" w:rsidRPr="004661E9">
        <w:rPr>
          <w:rFonts w:ascii="Arial" w:hAnsi="Arial" w:cs="Arial"/>
        </w:rPr>
        <w:t>.</w:t>
      </w:r>
      <w:r w:rsidRPr="004661E9">
        <w:rPr>
          <w:rFonts w:ascii="Arial" w:hAnsi="Arial" w:cs="Arial"/>
        </w:rPr>
        <w:t xml:space="preserve"> </w:t>
      </w:r>
      <w:bookmarkStart w:id="5" w:name="_Hlk43800509"/>
      <w:r w:rsidR="00564270" w:rsidRPr="004661E9">
        <w:rPr>
          <w:rFonts w:ascii="Arial" w:hAnsi="Arial" w:cs="Arial"/>
        </w:rPr>
        <w:t>A complex interaction of these mechanisms</w:t>
      </w:r>
      <w:r w:rsidRPr="004661E9">
        <w:rPr>
          <w:rFonts w:ascii="Arial" w:hAnsi="Arial" w:cs="Arial"/>
        </w:rPr>
        <w:t xml:space="preserve"> </w:t>
      </w:r>
      <w:r w:rsidR="00AC75E6" w:rsidRPr="004661E9">
        <w:rPr>
          <w:rFonts w:ascii="Arial" w:hAnsi="Arial" w:cs="Arial"/>
        </w:rPr>
        <w:t xml:space="preserve">can cause </w:t>
      </w:r>
      <w:r w:rsidRPr="004661E9">
        <w:rPr>
          <w:rFonts w:ascii="Arial" w:hAnsi="Arial" w:cs="Arial"/>
        </w:rPr>
        <w:t>asymptomatic</w:t>
      </w:r>
      <w:r w:rsidR="00564270" w:rsidRPr="004661E9">
        <w:rPr>
          <w:rFonts w:ascii="Arial" w:hAnsi="Arial" w:cs="Arial"/>
        </w:rPr>
        <w:t xml:space="preserve"> diastolic and systolic</w:t>
      </w:r>
      <w:r w:rsidRPr="004661E9">
        <w:rPr>
          <w:rFonts w:ascii="Arial" w:hAnsi="Arial" w:cs="Arial"/>
        </w:rPr>
        <w:t xml:space="preserve"> dysfunction</w:t>
      </w:r>
      <w:r w:rsidR="00543EDD" w:rsidRPr="004661E9">
        <w:rPr>
          <w:rFonts w:ascii="Arial" w:hAnsi="Arial" w:cs="Arial"/>
        </w:rPr>
        <w:t>, eventually leading</w:t>
      </w:r>
      <w:r w:rsidR="00564270" w:rsidRPr="004661E9">
        <w:rPr>
          <w:rFonts w:ascii="Arial" w:hAnsi="Arial" w:cs="Arial"/>
        </w:rPr>
        <w:t xml:space="preserve"> to </w:t>
      </w:r>
      <w:r w:rsidR="00D31465" w:rsidRPr="004661E9">
        <w:rPr>
          <w:rFonts w:ascii="Arial" w:hAnsi="Arial" w:cs="Arial"/>
        </w:rPr>
        <w:t xml:space="preserve">the </w:t>
      </w:r>
      <w:r w:rsidRPr="004661E9">
        <w:rPr>
          <w:rFonts w:ascii="Arial" w:hAnsi="Arial" w:cs="Arial"/>
        </w:rPr>
        <w:t xml:space="preserve">clinical </w:t>
      </w:r>
      <w:r w:rsidR="00D31465" w:rsidRPr="004661E9">
        <w:rPr>
          <w:rFonts w:ascii="Arial" w:hAnsi="Arial" w:cs="Arial"/>
        </w:rPr>
        <w:t xml:space="preserve">syndrome of </w:t>
      </w:r>
      <w:r w:rsidRPr="004661E9">
        <w:rPr>
          <w:rFonts w:ascii="Arial" w:hAnsi="Arial" w:cs="Arial"/>
        </w:rPr>
        <w:t xml:space="preserve">HF. </w:t>
      </w:r>
      <w:r w:rsidR="00234E04" w:rsidRPr="004661E9">
        <w:rPr>
          <w:rFonts w:ascii="Arial" w:hAnsi="Arial" w:cs="Arial"/>
        </w:rPr>
        <w:t>Conversely, HF is</w:t>
      </w:r>
      <w:r w:rsidR="00AC75E6" w:rsidRPr="004661E9">
        <w:rPr>
          <w:rFonts w:ascii="Arial" w:hAnsi="Arial" w:cs="Arial"/>
        </w:rPr>
        <w:t xml:space="preserve"> also</w:t>
      </w:r>
      <w:r w:rsidR="00234E04" w:rsidRPr="004661E9">
        <w:rPr>
          <w:rFonts w:ascii="Arial" w:hAnsi="Arial" w:cs="Arial"/>
        </w:rPr>
        <w:t xml:space="preserve"> associated with a higher prevalence of diabetes</w:t>
      </w:r>
      <w:r w:rsidR="00543EDD" w:rsidRPr="004661E9">
        <w:rPr>
          <w:rFonts w:ascii="Arial" w:hAnsi="Arial" w:cs="Arial"/>
        </w:rPr>
        <w:t xml:space="preserve"> and</w:t>
      </w:r>
      <w:r w:rsidR="00234E04" w:rsidRPr="004661E9">
        <w:rPr>
          <w:rFonts w:ascii="Arial" w:hAnsi="Arial" w:cs="Arial"/>
        </w:rPr>
        <w:t xml:space="preserve"> is considered a predictor of future risk of type 2 diabetes mellitus (T2DM) </w:t>
      </w:r>
      <w:r w:rsidR="00234E04" w:rsidRPr="004661E9">
        <w:rPr>
          <w:rFonts w:ascii="Arial" w:hAnsi="Arial" w:cs="Arial"/>
        </w:rPr>
        <w:fldChar w:fldCharType="begin" w:fldLock="1"/>
      </w:r>
      <w:r w:rsidR="000962ED" w:rsidRPr="004661E9">
        <w:rPr>
          <w:rFonts w:ascii="Arial" w:hAnsi="Arial" w:cs="Arial"/>
        </w:rPr>
        <w:instrText>ADDIN CSL_CITATION {"citationItems":[{"id":"ITEM-1","itemData":{"ISSN":"1262-3636","PMID":"9233998","abstract":"Congestive heart failure (CHF) is an insulin-resistant state which constitutes the main risk factor for the development of non-insulin-dependent diabetes mellitus (NIDDM). Our study investigated the predictive role of CHF on the development of NIDDM in 1,339 elderly subjects with a mean ( +/- SD) age of 74.2 +/- 6.4 years. CHF had a 9.5% prevalence, and 14.7% of the subjects had NIDDM. After stratification by age, subjects between 80 and 84 years had the highest prevalence of CHF and a total of 29.6% of CHF patients had NIDDM. In multiple logistic regression analysis, CHF was associated with NIDDM [odds ration (OR) = 2.0, 95% confidence interval (CI) - 1.6-2.5] independent of age, sex, family history of diabetes, body mass index, (BMI), waist/hip ratio, and diastolic blood pressure. When only untreated CHF patients were taken into account, the association between CHF and NIDDM was even stronger (OR = 4.0, 95% CI = 3.4-5.8). When untreated CHF patients were grouped into those with low (I and II) and high (III and IV) New York Heart Association (NYHA) classes, the association of CHF and NIDDM was stronger with the worsening of CHF. In a longitudinal study, CHF predicted NIDDM independently of age, sex, family history of diabetes, BMI, waist/hip ratio, systolic and diastolic blood pressure, and therapy for CHF (OR = 1.4, 95% CI = 1.1-1.8). CHF was associated with a higher prevalence of NIDDM and was a risk factor for its development. Elevated FFA concentrations may play a pivotal role.","author":[{"dropping-particle":"","family":"Amato","given":"L","non-dropping-particle":"","parse-names":false,"suffix":""},{"dropping-particle":"","family":"Paolisso","given":"G","non-dropping-particle":"","parse-names":false,"suffix":""},{"dropping-particle":"","family":"Cacciatore","given":"F","non-dropping-particle":"","parse-names":false,"suffix":""},{"dropping-particle":"","family":"Ferrara","given":"N","non-dropping-particle":"","parse-names":false,"suffix":""},{"dropping-particle":"","family":"Ferrara","given":"P","non-dropping-particle":"","parse-names":false,"suffix":""},{"dropping-particle":"","family":"Canonico","given":"S","non-dropping-particle":"","parse-names":false,"suffix":""},{"dropping-particle":"","family":"Varricchio","given":"M","non-dropping-particle":"","parse-names":false,"suffix":""},{"dropping-particle":"","family":"Rengo","given":"F","non-dropping-particle":"","parse-names":false,"suffix":""}],"container-title":"Diabetes &amp; metabolism","id":"ITEM-1","issue":"3","issued":{"date-parts":[["1997"]]},"page":"213-8","title":"Congestive heart failure predicts the development of non-insulin-dependent diabetes mellitus in the elderly. The Osservatorio Geriatrico Regione Campania Group.","type":"article-journal","volume":"23"},"uris":["http://www.mendeley.com/documents/?uuid=c72cbfad-9371-45b6-9083-7bf02eb82a10"]}],"mendeley":{"formattedCitation":"(17)","plainTextFormattedCitation":"(17)","previouslyFormattedCitation":"(17)"},"properties":{"noteIndex":0},"schema":"https://github.com/citation-style-language/schema/raw/master/csl-citation.json"}</w:instrText>
      </w:r>
      <w:r w:rsidR="00234E04" w:rsidRPr="004661E9">
        <w:rPr>
          <w:rFonts w:ascii="Arial" w:hAnsi="Arial" w:cs="Arial"/>
        </w:rPr>
        <w:fldChar w:fldCharType="separate"/>
      </w:r>
      <w:r w:rsidR="000962ED" w:rsidRPr="004661E9">
        <w:rPr>
          <w:rFonts w:ascii="Arial" w:hAnsi="Arial" w:cs="Arial"/>
          <w:noProof/>
        </w:rPr>
        <w:t>(17)</w:t>
      </w:r>
      <w:r w:rsidR="00234E04" w:rsidRPr="004661E9">
        <w:rPr>
          <w:rFonts w:ascii="Arial" w:hAnsi="Arial" w:cs="Arial"/>
        </w:rPr>
        <w:fldChar w:fldCharType="end"/>
      </w:r>
      <w:r w:rsidR="00234E04" w:rsidRPr="004661E9">
        <w:rPr>
          <w:rFonts w:ascii="Arial" w:hAnsi="Arial" w:cs="Arial"/>
        </w:rPr>
        <w:t>.</w:t>
      </w:r>
    </w:p>
    <w:p w14:paraId="344A42A6" w14:textId="77777777" w:rsidR="003E0E4E" w:rsidRPr="004661E9" w:rsidRDefault="003E0E4E" w:rsidP="004661E9">
      <w:pPr>
        <w:spacing w:after="0" w:line="276" w:lineRule="auto"/>
        <w:rPr>
          <w:rFonts w:ascii="Arial" w:hAnsi="Arial" w:cs="Arial"/>
        </w:rPr>
      </w:pPr>
    </w:p>
    <w:bookmarkEnd w:id="5"/>
    <w:p w14:paraId="6DE5EFDD" w14:textId="735F8101" w:rsidR="003E0E4E" w:rsidRPr="004661E9" w:rsidRDefault="00234E04" w:rsidP="004661E9">
      <w:pPr>
        <w:spacing w:after="0" w:line="276" w:lineRule="auto"/>
        <w:rPr>
          <w:rFonts w:ascii="Arial" w:hAnsi="Arial" w:cs="Arial"/>
        </w:rPr>
      </w:pPr>
      <w:r w:rsidRPr="004661E9">
        <w:rPr>
          <w:rFonts w:ascii="Arial" w:hAnsi="Arial" w:cs="Arial"/>
        </w:rPr>
        <w:t>Left ventricular (</w:t>
      </w:r>
      <w:r w:rsidR="003B0DAC" w:rsidRPr="004661E9">
        <w:rPr>
          <w:rFonts w:ascii="Arial" w:hAnsi="Arial" w:cs="Arial"/>
        </w:rPr>
        <w:t>LV</w:t>
      </w:r>
      <w:r w:rsidRPr="004661E9">
        <w:rPr>
          <w:rFonts w:ascii="Arial" w:hAnsi="Arial" w:cs="Arial"/>
        </w:rPr>
        <w:t>)</w:t>
      </w:r>
      <w:r w:rsidR="00564270" w:rsidRPr="004661E9">
        <w:rPr>
          <w:rFonts w:ascii="Arial" w:hAnsi="Arial" w:cs="Arial"/>
        </w:rPr>
        <w:t xml:space="preserve"> </w:t>
      </w:r>
      <w:r w:rsidR="00213CDC" w:rsidRPr="004661E9">
        <w:rPr>
          <w:rFonts w:ascii="Arial" w:hAnsi="Arial" w:cs="Arial"/>
        </w:rPr>
        <w:t xml:space="preserve">dysfunction in patients with </w:t>
      </w:r>
      <w:r w:rsidR="00564270" w:rsidRPr="004661E9">
        <w:rPr>
          <w:rFonts w:ascii="Arial" w:hAnsi="Arial" w:cs="Arial"/>
        </w:rPr>
        <w:t>diabetes</w:t>
      </w:r>
      <w:r w:rsidR="00213CDC" w:rsidRPr="004661E9">
        <w:rPr>
          <w:rFonts w:ascii="Arial" w:hAnsi="Arial" w:cs="Arial"/>
        </w:rPr>
        <w:t xml:space="preserve"> may present </w:t>
      </w:r>
      <w:r w:rsidR="00D31465" w:rsidRPr="004661E9">
        <w:rPr>
          <w:rFonts w:ascii="Arial" w:hAnsi="Arial" w:cs="Arial"/>
        </w:rPr>
        <w:t>with</w:t>
      </w:r>
      <w:r w:rsidR="00213CDC" w:rsidRPr="004661E9">
        <w:rPr>
          <w:rFonts w:ascii="Arial" w:hAnsi="Arial" w:cs="Arial"/>
        </w:rPr>
        <w:t xml:space="preserve"> th</w:t>
      </w:r>
      <w:r w:rsidR="00A924B6" w:rsidRPr="004661E9">
        <w:rPr>
          <w:rFonts w:ascii="Arial" w:hAnsi="Arial" w:cs="Arial"/>
        </w:rPr>
        <w:t>re</w:t>
      </w:r>
      <w:r w:rsidR="00213CDC" w:rsidRPr="004661E9">
        <w:rPr>
          <w:rFonts w:ascii="Arial" w:hAnsi="Arial" w:cs="Arial"/>
        </w:rPr>
        <w:t>e different HF phenotypes</w:t>
      </w:r>
      <w:r w:rsidR="00D327DF" w:rsidRPr="004661E9">
        <w:rPr>
          <w:rFonts w:ascii="Arial" w:hAnsi="Arial" w:cs="Arial"/>
        </w:rPr>
        <w:t>,</w:t>
      </w:r>
      <w:r w:rsidR="00213CDC" w:rsidRPr="004661E9">
        <w:rPr>
          <w:rFonts w:ascii="Arial" w:hAnsi="Arial" w:cs="Arial"/>
        </w:rPr>
        <w:t xml:space="preserve"> such as HF with preserved </w:t>
      </w:r>
      <w:r w:rsidR="003B0DAC" w:rsidRPr="004661E9">
        <w:rPr>
          <w:rFonts w:ascii="Arial" w:hAnsi="Arial" w:cs="Arial"/>
        </w:rPr>
        <w:t xml:space="preserve">LV </w:t>
      </w:r>
      <w:r w:rsidR="00213CDC" w:rsidRPr="004661E9">
        <w:rPr>
          <w:rFonts w:ascii="Arial" w:hAnsi="Arial" w:cs="Arial"/>
        </w:rPr>
        <w:t>ejection fraction (</w:t>
      </w:r>
      <w:r w:rsidR="003B0DAC" w:rsidRPr="004661E9">
        <w:rPr>
          <w:rFonts w:ascii="Arial" w:hAnsi="Arial" w:cs="Arial"/>
        </w:rPr>
        <w:t>LV</w:t>
      </w:r>
      <w:r w:rsidR="00A924B6" w:rsidRPr="004661E9">
        <w:rPr>
          <w:rFonts w:ascii="Arial" w:hAnsi="Arial" w:cs="Arial"/>
        </w:rPr>
        <w:t>EF</w:t>
      </w:r>
      <w:r w:rsidR="005D31FF" w:rsidRPr="004661E9">
        <w:rPr>
          <w:rFonts w:ascii="Arial" w:hAnsi="Arial" w:cs="Arial"/>
        </w:rPr>
        <w:t xml:space="preserve"> ≥ 50%</w:t>
      </w:r>
      <w:r w:rsidR="00C26741" w:rsidRPr="004661E9">
        <w:rPr>
          <w:rFonts w:ascii="Arial" w:hAnsi="Arial" w:cs="Arial"/>
        </w:rPr>
        <w:t>;</w:t>
      </w:r>
      <w:r w:rsidR="00A924B6" w:rsidRPr="004661E9">
        <w:rPr>
          <w:rFonts w:ascii="Arial" w:hAnsi="Arial" w:cs="Arial"/>
        </w:rPr>
        <w:t xml:space="preserve"> </w:t>
      </w:r>
      <w:r w:rsidR="00213CDC" w:rsidRPr="004661E9">
        <w:rPr>
          <w:rFonts w:ascii="Arial" w:hAnsi="Arial" w:cs="Arial"/>
        </w:rPr>
        <w:t xml:space="preserve">HFpEF), HF with </w:t>
      </w:r>
      <w:r w:rsidR="00CA10E7" w:rsidRPr="004661E9">
        <w:rPr>
          <w:rFonts w:ascii="Arial" w:hAnsi="Arial" w:cs="Arial"/>
        </w:rPr>
        <w:t>mildly-reduced</w:t>
      </w:r>
      <w:r w:rsidR="00213CDC" w:rsidRPr="004661E9">
        <w:rPr>
          <w:rFonts w:ascii="Arial" w:hAnsi="Arial" w:cs="Arial"/>
        </w:rPr>
        <w:t xml:space="preserve"> </w:t>
      </w:r>
      <w:r w:rsidR="003B0DAC" w:rsidRPr="004661E9">
        <w:rPr>
          <w:rFonts w:ascii="Arial" w:hAnsi="Arial" w:cs="Arial"/>
        </w:rPr>
        <w:t>LVEF</w:t>
      </w:r>
      <w:r w:rsidR="00E75ADE" w:rsidRPr="004661E9">
        <w:rPr>
          <w:rFonts w:ascii="Arial" w:hAnsi="Arial" w:cs="Arial"/>
        </w:rPr>
        <w:t xml:space="preserve"> (HFmrEF</w:t>
      </w:r>
      <w:r w:rsidR="00C26741" w:rsidRPr="004661E9">
        <w:rPr>
          <w:rFonts w:ascii="Arial" w:hAnsi="Arial" w:cs="Arial"/>
        </w:rPr>
        <w:t>; LVEF 40-49%</w:t>
      </w:r>
      <w:r w:rsidR="00E75ADE" w:rsidRPr="004661E9">
        <w:rPr>
          <w:rFonts w:ascii="Arial" w:hAnsi="Arial" w:cs="Arial"/>
        </w:rPr>
        <w:t>)</w:t>
      </w:r>
      <w:r w:rsidR="003E0E4E" w:rsidRPr="004661E9">
        <w:rPr>
          <w:rFonts w:ascii="Arial" w:hAnsi="Arial" w:cs="Arial"/>
        </w:rPr>
        <w:t>,</w:t>
      </w:r>
      <w:r w:rsidR="00213CDC" w:rsidRPr="004661E9">
        <w:rPr>
          <w:rFonts w:ascii="Arial" w:hAnsi="Arial" w:cs="Arial"/>
        </w:rPr>
        <w:t xml:space="preserve"> </w:t>
      </w:r>
      <w:r w:rsidR="003B0DAC" w:rsidRPr="004661E9">
        <w:rPr>
          <w:rFonts w:ascii="Arial" w:hAnsi="Arial" w:cs="Arial"/>
        </w:rPr>
        <w:t>and</w:t>
      </w:r>
      <w:r w:rsidR="00213CDC" w:rsidRPr="004661E9">
        <w:rPr>
          <w:rFonts w:ascii="Arial" w:hAnsi="Arial" w:cs="Arial"/>
        </w:rPr>
        <w:t xml:space="preserve"> HF with reduced </w:t>
      </w:r>
      <w:r w:rsidR="003B0DAC" w:rsidRPr="004661E9">
        <w:rPr>
          <w:rFonts w:ascii="Arial" w:hAnsi="Arial" w:cs="Arial"/>
        </w:rPr>
        <w:t>LV</w:t>
      </w:r>
      <w:r w:rsidR="00213CDC" w:rsidRPr="004661E9">
        <w:rPr>
          <w:rFonts w:ascii="Arial" w:hAnsi="Arial" w:cs="Arial"/>
        </w:rPr>
        <w:t>EF (HFrEF</w:t>
      </w:r>
      <w:r w:rsidR="00C26741" w:rsidRPr="004661E9">
        <w:rPr>
          <w:rFonts w:ascii="Arial" w:hAnsi="Arial" w:cs="Arial"/>
        </w:rPr>
        <w:t>; LVEF</w:t>
      </w:r>
      <w:r w:rsidR="00213CDC" w:rsidRPr="004661E9">
        <w:rPr>
          <w:rFonts w:ascii="Arial" w:hAnsi="Arial" w:cs="Arial"/>
        </w:rPr>
        <w:t xml:space="preserve"> </w:t>
      </w:r>
      <w:r w:rsidR="00807AFE" w:rsidRPr="004661E9">
        <w:rPr>
          <w:rFonts w:ascii="Arial" w:hAnsi="Arial" w:cs="Arial"/>
        </w:rPr>
        <w:t>≤</w:t>
      </w:r>
      <w:r w:rsidR="00213CDC" w:rsidRPr="004661E9">
        <w:rPr>
          <w:rFonts w:ascii="Arial" w:hAnsi="Arial" w:cs="Arial"/>
        </w:rPr>
        <w:t>40%</w:t>
      </w:r>
      <w:r w:rsidR="00C26741" w:rsidRPr="004661E9">
        <w:rPr>
          <w:rFonts w:ascii="Arial" w:hAnsi="Arial" w:cs="Arial"/>
        </w:rPr>
        <w:t>)</w:t>
      </w:r>
      <w:r w:rsidR="00011A57" w:rsidRPr="004661E9">
        <w:rPr>
          <w:rFonts w:ascii="Arial" w:hAnsi="Arial" w:cs="Arial"/>
        </w:rPr>
        <w:t xml:space="preserve"> </w:t>
      </w:r>
      <w:r w:rsidR="00AF179B" w:rsidRPr="004661E9">
        <w:rPr>
          <w:rFonts w:ascii="Arial" w:hAnsi="Arial" w:cs="Arial"/>
        </w:rPr>
        <w:fldChar w:fldCharType="begin" w:fldLock="1"/>
      </w:r>
      <w:r w:rsidR="00300576"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00AF179B" w:rsidRPr="004661E9">
        <w:rPr>
          <w:rFonts w:ascii="Arial" w:hAnsi="Arial" w:cs="Arial"/>
        </w:rPr>
        <w:fldChar w:fldCharType="separate"/>
      </w:r>
      <w:r w:rsidR="00E0281E" w:rsidRPr="004661E9">
        <w:rPr>
          <w:rFonts w:ascii="Arial" w:hAnsi="Arial" w:cs="Arial"/>
          <w:noProof/>
        </w:rPr>
        <w:t>(3)</w:t>
      </w:r>
      <w:r w:rsidR="00AF179B" w:rsidRPr="004661E9">
        <w:rPr>
          <w:rFonts w:ascii="Arial" w:hAnsi="Arial" w:cs="Arial"/>
        </w:rPr>
        <w:fldChar w:fldCharType="end"/>
      </w:r>
      <w:r w:rsidR="00011A57" w:rsidRPr="004661E9">
        <w:rPr>
          <w:rFonts w:ascii="Arial" w:hAnsi="Arial" w:cs="Arial"/>
        </w:rPr>
        <w:t>.</w:t>
      </w:r>
      <w:r w:rsidR="00213CDC" w:rsidRPr="004661E9">
        <w:rPr>
          <w:rFonts w:ascii="Arial" w:hAnsi="Arial" w:cs="Arial"/>
        </w:rPr>
        <w:t xml:space="preserve"> </w:t>
      </w:r>
      <w:r w:rsidR="00543EDD" w:rsidRPr="004661E9">
        <w:rPr>
          <w:rFonts w:ascii="Arial" w:hAnsi="Arial" w:cs="Arial"/>
        </w:rPr>
        <w:t>Diagnosing HFpEF and HFmrEF is often challenging since the symptomatology of HF may overlap with</w:t>
      </w:r>
      <w:r w:rsidR="00564270" w:rsidRPr="004661E9">
        <w:rPr>
          <w:rFonts w:ascii="Arial" w:hAnsi="Arial" w:cs="Arial"/>
        </w:rPr>
        <w:t xml:space="preserve"> other comorbidities such as obesity, lung disease, </w:t>
      </w:r>
      <w:r w:rsidR="00D406C2" w:rsidRPr="004661E9">
        <w:rPr>
          <w:rFonts w:ascii="Arial" w:hAnsi="Arial" w:cs="Arial"/>
        </w:rPr>
        <w:t xml:space="preserve">and </w:t>
      </w:r>
      <w:r w:rsidR="00564270" w:rsidRPr="004661E9">
        <w:rPr>
          <w:rFonts w:ascii="Arial" w:hAnsi="Arial" w:cs="Arial"/>
        </w:rPr>
        <w:t>chronic kidney disease</w:t>
      </w:r>
      <w:r w:rsidR="00AC75E6" w:rsidRPr="004661E9">
        <w:rPr>
          <w:rFonts w:ascii="Arial" w:hAnsi="Arial" w:cs="Arial"/>
        </w:rPr>
        <w:t xml:space="preserve"> (CKD)</w:t>
      </w:r>
      <w:r w:rsidR="00564270" w:rsidRPr="004661E9">
        <w:rPr>
          <w:rFonts w:ascii="Arial" w:hAnsi="Arial" w:cs="Arial"/>
        </w:rPr>
        <w:t>. There</w:t>
      </w:r>
      <w:r w:rsidR="00D31465" w:rsidRPr="004661E9">
        <w:rPr>
          <w:rFonts w:ascii="Arial" w:hAnsi="Arial" w:cs="Arial"/>
        </w:rPr>
        <w:t>fore</w:t>
      </w:r>
      <w:r w:rsidR="00564270" w:rsidRPr="004661E9">
        <w:rPr>
          <w:rFonts w:ascii="Arial" w:hAnsi="Arial" w:cs="Arial"/>
        </w:rPr>
        <w:t>, the guidelines usually recommend</w:t>
      </w:r>
      <w:r w:rsidR="0042727A" w:rsidRPr="004661E9">
        <w:rPr>
          <w:rFonts w:ascii="Arial" w:hAnsi="Arial" w:cs="Arial"/>
        </w:rPr>
        <w:t xml:space="preserve"> </w:t>
      </w:r>
      <w:r w:rsidR="00543EDD" w:rsidRPr="004661E9">
        <w:rPr>
          <w:rFonts w:ascii="Arial" w:hAnsi="Arial" w:cs="Arial"/>
        </w:rPr>
        <w:t>incorporating</w:t>
      </w:r>
      <w:r w:rsidR="00564270" w:rsidRPr="004661E9">
        <w:rPr>
          <w:rFonts w:ascii="Arial" w:hAnsi="Arial" w:cs="Arial"/>
        </w:rPr>
        <w:t xml:space="preserve"> </w:t>
      </w:r>
      <w:r w:rsidR="00213CDC" w:rsidRPr="004661E9">
        <w:rPr>
          <w:rFonts w:ascii="Arial" w:hAnsi="Arial" w:cs="Arial"/>
        </w:rPr>
        <w:t>additional</w:t>
      </w:r>
      <w:r w:rsidR="00564270" w:rsidRPr="004661E9">
        <w:rPr>
          <w:rFonts w:ascii="Arial" w:hAnsi="Arial" w:cs="Arial"/>
        </w:rPr>
        <w:t xml:space="preserve"> objective diagnostic criteria</w:t>
      </w:r>
      <w:r w:rsidR="00213CDC" w:rsidRPr="004661E9">
        <w:rPr>
          <w:rFonts w:ascii="Arial" w:hAnsi="Arial" w:cs="Arial"/>
        </w:rPr>
        <w:t xml:space="preserve"> </w:t>
      </w:r>
      <w:r w:rsidR="00564270" w:rsidRPr="004661E9">
        <w:rPr>
          <w:rFonts w:ascii="Arial" w:hAnsi="Arial" w:cs="Arial"/>
        </w:rPr>
        <w:t xml:space="preserve">such as </w:t>
      </w:r>
      <w:r w:rsidR="00213CDC" w:rsidRPr="004661E9">
        <w:rPr>
          <w:rFonts w:ascii="Arial" w:hAnsi="Arial" w:cs="Arial"/>
        </w:rPr>
        <w:t xml:space="preserve">elevated natriuretic peptides </w:t>
      </w:r>
      <w:r w:rsidR="00D31465" w:rsidRPr="004661E9">
        <w:rPr>
          <w:rFonts w:ascii="Arial" w:hAnsi="Arial" w:cs="Arial"/>
        </w:rPr>
        <w:t>or</w:t>
      </w:r>
      <w:r w:rsidR="00213CDC" w:rsidRPr="004661E9">
        <w:rPr>
          <w:rFonts w:ascii="Arial" w:hAnsi="Arial" w:cs="Arial"/>
        </w:rPr>
        <w:t xml:space="preserve"> </w:t>
      </w:r>
      <w:r w:rsidR="00564270" w:rsidRPr="004661E9">
        <w:rPr>
          <w:rFonts w:ascii="Arial" w:hAnsi="Arial" w:cs="Arial"/>
        </w:rPr>
        <w:t>imaging evidence of either</w:t>
      </w:r>
      <w:r w:rsidR="00213CDC" w:rsidRPr="004661E9">
        <w:rPr>
          <w:rFonts w:ascii="Arial" w:hAnsi="Arial" w:cs="Arial"/>
        </w:rPr>
        <w:t xml:space="preserve"> structural heart disease or diastolic dysfunction</w:t>
      </w:r>
      <w:r w:rsidR="004A3430" w:rsidRPr="004661E9">
        <w:rPr>
          <w:rFonts w:ascii="Arial" w:hAnsi="Arial" w:cs="Arial"/>
        </w:rPr>
        <w:t xml:space="preserve"> </w:t>
      </w:r>
      <w:r w:rsidR="00F73FFD" w:rsidRPr="004661E9">
        <w:rPr>
          <w:rFonts w:ascii="Arial" w:hAnsi="Arial" w:cs="Arial"/>
        </w:rPr>
        <w:fldChar w:fldCharType="begin" w:fldLock="1"/>
      </w:r>
      <w:r w:rsidR="000962ED" w:rsidRPr="004661E9">
        <w:rPr>
          <w:rFonts w:ascii="Arial" w:hAnsi="Arial" w:cs="Arial"/>
        </w:rPr>
        <w:instrText>ADDIN CSL_CITATION {"citationItems":[{"id":"ITEM-1","itemData":{"DOI":"10.1093/EURHEARTJ/EHAB368","ISSN":"0195-668X","PMID":"34447992","author":[{"dropping-particle":"","family":"McDonagh","given":"Theresa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Journal","id":"ITEM-1","issue":"36","issued":{"date-parts":[["2021","9","21"]]},"page":"3599-3726","publisher":"Oxford University Press, Gb","title":"2021 ESC Guidelines for the diagnosis and treatment of acute and chronic heart  failure.","type":"article-journal","volume":"42"},"uris":["http://www.mendeley.com/documents/?uuid=2cc1c7ef-2814-493f-9f64-867c45458bfb"]}],"mendeley":{"formattedCitation":"(18)","plainTextFormattedCitation":"(18)","previouslyFormattedCitation":"(18)"},"properties":{"noteIndex":0},"schema":"https://github.com/citation-style-language/schema/raw/master/csl-citation.json"}</w:instrText>
      </w:r>
      <w:r w:rsidR="00F73FFD" w:rsidRPr="004661E9">
        <w:rPr>
          <w:rFonts w:ascii="Arial" w:hAnsi="Arial" w:cs="Arial"/>
        </w:rPr>
        <w:fldChar w:fldCharType="separate"/>
      </w:r>
      <w:r w:rsidR="000962ED" w:rsidRPr="004661E9">
        <w:rPr>
          <w:rFonts w:ascii="Arial" w:hAnsi="Arial" w:cs="Arial"/>
          <w:noProof/>
        </w:rPr>
        <w:t>(18)</w:t>
      </w:r>
      <w:r w:rsidR="00F73FFD" w:rsidRPr="004661E9">
        <w:rPr>
          <w:rFonts w:ascii="Arial" w:hAnsi="Arial" w:cs="Arial"/>
        </w:rPr>
        <w:fldChar w:fldCharType="end"/>
      </w:r>
      <w:r w:rsidR="003E0E4E" w:rsidRPr="004661E9">
        <w:rPr>
          <w:rFonts w:ascii="Arial" w:hAnsi="Arial" w:cs="Arial"/>
        </w:rPr>
        <w:t>.</w:t>
      </w:r>
    </w:p>
    <w:p w14:paraId="469BE3EB" w14:textId="438F5CBF" w:rsidR="00564270" w:rsidRPr="004661E9" w:rsidRDefault="00213CDC" w:rsidP="004661E9">
      <w:pPr>
        <w:spacing w:after="0" w:line="276" w:lineRule="auto"/>
        <w:rPr>
          <w:rFonts w:ascii="Arial" w:hAnsi="Arial" w:cs="Arial"/>
        </w:rPr>
      </w:pPr>
      <w:r w:rsidRPr="004661E9">
        <w:rPr>
          <w:rFonts w:ascii="Arial" w:hAnsi="Arial" w:cs="Arial"/>
        </w:rPr>
        <w:t xml:space="preserve"> </w:t>
      </w:r>
    </w:p>
    <w:p w14:paraId="65837D7E" w14:textId="1FA2824C" w:rsidR="00564270" w:rsidRPr="004661E9" w:rsidRDefault="00564270" w:rsidP="004661E9">
      <w:pPr>
        <w:spacing w:after="0" w:line="276" w:lineRule="auto"/>
        <w:rPr>
          <w:rFonts w:ascii="Arial" w:hAnsi="Arial" w:cs="Arial"/>
        </w:rPr>
      </w:pPr>
      <w:bookmarkStart w:id="6" w:name="_Hlk43800538"/>
      <w:r w:rsidRPr="004661E9">
        <w:rPr>
          <w:rFonts w:ascii="Arial" w:hAnsi="Arial" w:cs="Arial"/>
        </w:rPr>
        <w:t>The coexistence of</w:t>
      </w:r>
      <w:r w:rsidR="00213CDC" w:rsidRPr="004661E9">
        <w:rPr>
          <w:rFonts w:ascii="Arial" w:hAnsi="Arial" w:cs="Arial"/>
        </w:rPr>
        <w:t xml:space="preserve"> </w:t>
      </w:r>
      <w:r w:rsidR="00A912E0" w:rsidRPr="004661E9">
        <w:rPr>
          <w:rFonts w:ascii="Arial" w:hAnsi="Arial" w:cs="Arial"/>
        </w:rPr>
        <w:t>diabetes</w:t>
      </w:r>
      <w:r w:rsidR="00213CDC" w:rsidRPr="004661E9">
        <w:rPr>
          <w:rFonts w:ascii="Arial" w:hAnsi="Arial" w:cs="Arial"/>
        </w:rPr>
        <w:t xml:space="preserve"> and HF </w:t>
      </w:r>
      <w:r w:rsidRPr="004661E9">
        <w:rPr>
          <w:rFonts w:ascii="Arial" w:hAnsi="Arial" w:cs="Arial"/>
        </w:rPr>
        <w:t>is a poor prognostic factor</w:t>
      </w:r>
      <w:r w:rsidR="0015065B" w:rsidRPr="004661E9">
        <w:rPr>
          <w:rFonts w:ascii="Arial" w:hAnsi="Arial" w:cs="Arial"/>
        </w:rPr>
        <w:t>,</w:t>
      </w:r>
      <w:r w:rsidRPr="004661E9">
        <w:rPr>
          <w:rFonts w:ascii="Arial" w:hAnsi="Arial" w:cs="Arial"/>
        </w:rPr>
        <w:t xml:space="preserve"> </w:t>
      </w:r>
      <w:r w:rsidR="00543EDD" w:rsidRPr="004661E9">
        <w:rPr>
          <w:rFonts w:ascii="Arial" w:hAnsi="Arial" w:cs="Arial"/>
        </w:rPr>
        <w:t>posing</w:t>
      </w:r>
      <w:r w:rsidR="00213CDC" w:rsidRPr="004661E9">
        <w:rPr>
          <w:rFonts w:ascii="Arial" w:hAnsi="Arial" w:cs="Arial"/>
        </w:rPr>
        <w:t xml:space="preserve"> a greater risk of HF hospitalization, all-cause mortality, and CV</w:t>
      </w:r>
      <w:r w:rsidR="0061174F" w:rsidRPr="004661E9">
        <w:rPr>
          <w:rFonts w:ascii="Arial" w:hAnsi="Arial" w:cs="Arial"/>
        </w:rPr>
        <w:t>D</w:t>
      </w:r>
      <w:r w:rsidR="00213CDC" w:rsidRPr="004661E9">
        <w:rPr>
          <w:rFonts w:ascii="Arial" w:hAnsi="Arial" w:cs="Arial"/>
        </w:rPr>
        <w:t xml:space="preserve"> mortality</w:t>
      </w:r>
      <w:bookmarkEnd w:id="6"/>
      <w:r w:rsidR="00213CDC" w:rsidRPr="004661E9">
        <w:rPr>
          <w:rFonts w:ascii="Arial" w:hAnsi="Arial" w:cs="Arial"/>
        </w:rPr>
        <w:t>.</w:t>
      </w:r>
      <w:r w:rsidR="00D80495" w:rsidRPr="004661E9">
        <w:rPr>
          <w:rFonts w:ascii="Arial" w:hAnsi="Arial" w:cs="Arial"/>
        </w:rPr>
        <w:t xml:space="preserve"> </w:t>
      </w:r>
      <w:r w:rsidR="00AB2F87" w:rsidRPr="004661E9">
        <w:rPr>
          <w:rFonts w:ascii="Arial" w:hAnsi="Arial" w:cs="Arial"/>
        </w:rPr>
        <w:t xml:space="preserve">For instance, epidemiologic studies indicated </w:t>
      </w:r>
      <w:r w:rsidR="00543EDD" w:rsidRPr="004661E9">
        <w:rPr>
          <w:rFonts w:ascii="Arial" w:hAnsi="Arial" w:cs="Arial"/>
        </w:rPr>
        <w:t xml:space="preserve">a </w:t>
      </w:r>
      <w:r w:rsidR="00AB2F87" w:rsidRPr="004661E9">
        <w:rPr>
          <w:rFonts w:ascii="Arial" w:hAnsi="Arial" w:cs="Arial"/>
        </w:rPr>
        <w:t xml:space="preserve">50-90% higher risk of </w:t>
      </w:r>
      <w:r w:rsidR="00213CDC" w:rsidRPr="004661E9">
        <w:rPr>
          <w:rFonts w:ascii="Arial" w:hAnsi="Arial" w:cs="Arial"/>
        </w:rPr>
        <w:t>CV</w:t>
      </w:r>
      <w:r w:rsidR="0061174F" w:rsidRPr="004661E9">
        <w:rPr>
          <w:rFonts w:ascii="Arial" w:hAnsi="Arial" w:cs="Arial"/>
        </w:rPr>
        <w:t>D</w:t>
      </w:r>
      <w:r w:rsidR="00213CDC" w:rsidRPr="004661E9">
        <w:rPr>
          <w:rFonts w:ascii="Arial" w:hAnsi="Arial" w:cs="Arial"/>
        </w:rPr>
        <w:t xml:space="preserve"> mortality in patients </w:t>
      </w:r>
      <w:r w:rsidR="00AB2F87" w:rsidRPr="004661E9">
        <w:rPr>
          <w:rFonts w:ascii="Arial" w:hAnsi="Arial" w:cs="Arial"/>
        </w:rPr>
        <w:t>with</w:t>
      </w:r>
      <w:r w:rsidR="00213CDC" w:rsidRPr="004661E9">
        <w:rPr>
          <w:rFonts w:ascii="Arial" w:hAnsi="Arial" w:cs="Arial"/>
        </w:rPr>
        <w:t xml:space="preserve"> HF and </w:t>
      </w:r>
      <w:r w:rsidR="00A912E0" w:rsidRPr="004661E9">
        <w:rPr>
          <w:rFonts w:ascii="Arial" w:hAnsi="Arial" w:cs="Arial"/>
        </w:rPr>
        <w:t>diabetes</w:t>
      </w:r>
      <w:r w:rsidR="00213CDC" w:rsidRPr="004661E9">
        <w:rPr>
          <w:rFonts w:ascii="Arial" w:hAnsi="Arial" w:cs="Arial"/>
        </w:rPr>
        <w:t>, regardless of HF phenotype</w:t>
      </w:r>
      <w:r w:rsidR="003E0E4E"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{"citationItems":[{"id":"ITEM-1","itemData":{"DOI":"10.1056/NEJMoa1409077","ISSN":"0028-4793","PMID":"25176015","abstract":"Background We compared the angiotensin receptor-neprilysin inhibitor LCZ696 with enalapril in patients who had heart failure with a reduced ejection fraction. In previous studies, enalapril improved survival in such patients.\nMethods: In this double-blind trial, we randomly assigned 8442 patients with class II, III, or IV heart failure and an ejection fraction of 40% or less to receive either LCZ696 (at a dose of 200 mg twice daily) or enalapril (at a dose of 10 mg twice daily), in addition to recommended therapy. The primary outcome was a composite of death from cardiovascular causes or hospitalization for heart failure, but the trial was designed to detect a difference in the rates of death from cardiovascular causes.\nResults: The trial was stopped early, according to prespecified rules, after a median followup of 27 months, because the boundary for an overwhelming benefit with LCZ696 had been crossed. At the time of study closure, the primary outcome had occurred in 914 patients (21.8%) in the LCZ696 group and 1117 patients (26.5%) in the enalapril group (hazard ratio in the LCZ696 group, 0.80; 95% confidence interval [CI], 0.73 to 0.87; P&lt; 0.001). A total of 711 patients (17.0%) receiving LCZ696 and 835 patients (19.8%) receiving enalapril died (hazard ratio for death from any cause, 0.84; 95% CI, 0.76 to 0.93; P&lt; 0.001); of these patients, 558 (13.3%) and 693 (16.5%), respectively, died from cardiovascular causes (hazard ratio, 0.80; 95% CI, 0.71 to 0.89; P&lt; 0.001). As compared with enalapril, LCZ696 also reduced the risk of hospitalization for heart failure by 21% (P&lt; 0.001) and decreased the symptoms and physical limitations of heart failure (P = 0.001). The LCZ696 group had higher proportions of patients with hypotension and nonserious angioedema but lower proportions with renal impairment, hyperkalemia, and cough than the enalapril group.\nConclusions: LCZ696 was superior to enalapril in reducing the risks of death and of hospitalization for heart failure.","author":[{"dropping-particle":"","family":"McMurray","given":"John J.V.","non-dropping-particle":"","parse-names":false,"suffix":""},{"dropping-particle":"","family":"Packer","given":"Milton","non-dropping-particle":"","parse-names":false,"suffix":""},{"dropping-particle":"","family":"Desai","given":"Akshay S.","non-dropping-particle":"","parse-names":false,"suffix":""},{"dropping-particle":"","family":"Gong","given":"Jianjian","non-dropping-particle":"","parse-names":false,"suffix":""},{"dropping-particle":"","family":"Lefkowitz","given":"Martin P.","non-dropping-particle":"","parse-names":false,"suffix":""},{"dropping-particle":"","family":"Rizkala","given":"Adel R.","non-dropping-particle":"","parse-names":false,"suffix":""},{"dropping-particle":"","family":"Rouleau","given":"Jean L.","non-dropping-particle":"","parse-names":false,"suffix":""},{"dropping-particle":"","family":"Shi","given":"Victor C.","non-dropping-particle":"","parse-names":false,"suffix":""},{"dropping-particle":"","family":"Solomon","given":"Scott D.","non-dropping-particle":"","parse-names":false,"suffix":""},{"dropping-particle":"","family":"Swedberg","given":"Karl","non-dropping-particle":"","parse-names":false,"suffix":""},{"dropping-particle":"","family":"Zile","given":"Michael R.","non-dropping-particle":"","parse-names":false,"suffix":""}],"container-title":"New England Journal of Medicine","id":"ITEM-1","issue":"11","issued":{"date-parts":[["2014","9","11"]]},"page":"993-1004","publisher":"Massachussetts Medical Society","title":"Angiotensin–Neprilysin Inhibition versus Enalapril in Heart Failure","type":"article-journal","volume":"371"},"uris":["http://www.mendeley.com/documents/?uuid=6903db25-9918-4cde-9715-5e1266cee233"]},{"id":"ITEM-2","itemData":{"DOI":"10.1002/ejhf.679","ISSN":"18790844","PMID":"27790816","abstract":"Aims: The aim of this study was to evaluate the in-hospital and 1-year prognostic impact of diabetes and elevated blood glucose levels at hospital admission in patients with acute heart failure (HF). Methods and results: We studied a multinational cohort of 6926 hospitalized patients with acute HF enrolled in the European Society of Cardiology (ESC) and Heart Failure Association (HFA) Long-Term Registry, of whom 49.4% (n = 3422) had known or previously undiagnosed diabetes (defined as self-reported history, or medication use, or fasting glucose levels ≥7.0 mmol/L or haemoglobin A1c ≥6.5%). Compared with those without diabetes, patients with known or previously undiagnosed diabetes had higher cumulative rates of in-hospital mortality, 1-year mortality, and 1-year HF re-hospitalization that occurred independently of multiple clinical risk factors: in-hospital mortality [6.8 vs. 4.4%; adjusted hazard ratio (HR) 1.774; 95% confidence interval (CI) 1.282–2.456, P &lt; 0.001], 1-year all-cause mortality (27.5 vs. 24%; adjusted HR 1.162; 95% CI 1.020–1.325, P = 0.024), and 1-year hospital re-admissions for HF (23.2 vs. 18.5%; adjusted HR 1.320; 95% CI 1.139–1.530, P &lt; 0.001). Moreover, elevated admission blood glucose concentrations were powerfully prognostic for in-hospital mortality, but not for 1-year mortality or re-hospitalizations, in both patients with and without diabetes. Conclusions: Among patients hospitalized for acute HF, the presence of diabetes is independently associated with an increased risk of in-hospital mortality, 1-year all-cause mortality, and 1-year re-hospitalizations for HF, underscoring the need for more effective and personalized treatments of diabetes in this particularly high-risk patient population.","author":[{"dropping-particle":"","family":"Targher","given":"Giovanni","non-dropping-particle":"","parse-names":false,"suffix":""},{"dropping-particle":"","family":"Dauriz","given":"Marco","non-dropping-particle":"","parse-names":false,"suffix":""},{"dropping-particle":"","family":"Laroche","given":"Cécile","non-dropping-particle":"","parse-names":false,"suffix":""},{"dropping-particle":"","family":"Temporelli","given":"Pier Luigi","non-dropping-particle":"","parse-names":false,"suffix":""},{"dropping-particle":"","family":"Hassanein","given":"Mahmoud","non-dropping-particle":"","parse-names":false,"suffix":""},{"dropping-particle":"","family":"Seferovic","given":"Petar M.","non-dropping-particle":"","parse-names":false,"suffix":""},{"dropping-particle":"","family":"Drozdz","given":"Jaroslaw","non-dropping-particle":"","parse-names":false,"suffix":""},{"dropping-particle":"","family":"Ferrari","given":"Roberto","non-dropping-particle":"","parse-names":false,"suffix":""},{"dropping-particle":"","family":"Anker","given":"Stephan","non-dropping-particle":"","parse-names":false,"suffix":""},{"dropping-particle":"","family":"Coats","given":"Andrew","non-dropping-particle":"","parse-names":false,"suffix":""},{"dropping-particle":"","family":"Filippatos","given":"Gerasimos","non-dropping-particle":"","parse-names":false,"suffix":""},{"dropping-particle":"","family":"Crespo-Leiro","given":"Maria G.","non-dropping-particle":"","parse-names":false,"suffix":""},{"dropping-particle":"","family":"Mebazaa","given":"Alexandre","non-dropping-particle":"","parse-names":false,"suffix":""},{"dropping-particle":"","family":"Piepoli","given":"Massimo F.","non-dropping-particle":"","parse-names":false,"suffix":""},{"dropping-particle":"Pietro","family":"Maggioni","given":"Aldo","non-dropping-particle":"","parse-names":false,"suffix":""},{"dropping-particle":"","family":"Tavazzi","given":"Luigi","non-dropping-particle":"","parse-names":false,"suffix":""}],"container-title":"European Journal of Heart Failure","id":"ITEM-2","issue":"1","issued":{"date-parts":[["2017"]]},"page":"54-65","title":"In-hospital and 1-year mortality associated with diabetes in patients with acute heart failure: results from the ESC-HFA Heart Failure Long-Term Registry","type":"article-journal","volume":"19"},"uris":["http://www.mendeley.com/documents/?uuid=e3fe00eb-d2cd-456e-bc08-c1d8ffded468"]}],"mendeley":{"formattedCitation":"(12,19)","plainTextFormattedCitation":"(12,19)","previouslyFormattedCitation":"(12,19)"},"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(12,19)</w:t>
      </w:r>
      <w:r w:rsidR="000F3AD7" w:rsidRPr="004661E9">
        <w:rPr>
          <w:rFonts w:ascii="Arial" w:hAnsi="Arial" w:cs="Arial"/>
        </w:rPr>
        <w:fldChar w:fldCharType="end"/>
      </w:r>
      <w:r w:rsidR="003E0E4E" w:rsidRPr="004661E9">
        <w:rPr>
          <w:rFonts w:ascii="Arial" w:hAnsi="Arial" w:cs="Arial"/>
        </w:rPr>
        <w:t>.</w:t>
      </w:r>
      <w:r w:rsidR="00213CDC" w:rsidRPr="004661E9">
        <w:rPr>
          <w:rFonts w:ascii="Arial" w:hAnsi="Arial" w:cs="Arial"/>
        </w:rPr>
        <w:t xml:space="preserve"> HF patients without DM are at increased risk of developing </w:t>
      </w:r>
      <w:r w:rsidRPr="004661E9">
        <w:rPr>
          <w:rFonts w:ascii="Arial" w:hAnsi="Arial" w:cs="Arial"/>
        </w:rPr>
        <w:t xml:space="preserve">glycemic abnormalities. </w:t>
      </w:r>
      <w:r w:rsidR="00D406C2" w:rsidRPr="004661E9">
        <w:rPr>
          <w:rFonts w:ascii="Arial" w:hAnsi="Arial" w:cs="Arial"/>
        </w:rPr>
        <w:t>In addition</w:t>
      </w:r>
      <w:r w:rsidRPr="004661E9">
        <w:rPr>
          <w:rFonts w:ascii="Arial" w:hAnsi="Arial" w:cs="Arial"/>
        </w:rPr>
        <w:t xml:space="preserve">, </w:t>
      </w:r>
      <w:r w:rsidR="00213CDC" w:rsidRPr="004661E9">
        <w:rPr>
          <w:rFonts w:ascii="Arial" w:hAnsi="Arial" w:cs="Arial"/>
        </w:rPr>
        <w:t xml:space="preserve">newly diagnosed pre-diabetes was associated with a </w:t>
      </w:r>
      <w:r w:rsidRPr="004661E9">
        <w:rPr>
          <w:rFonts w:ascii="Arial" w:hAnsi="Arial" w:cs="Arial"/>
        </w:rPr>
        <w:t xml:space="preserve">significantly </w:t>
      </w:r>
      <w:r w:rsidR="00213CDC" w:rsidRPr="004661E9">
        <w:rPr>
          <w:rFonts w:ascii="Arial" w:hAnsi="Arial" w:cs="Arial"/>
        </w:rPr>
        <w:t>higher risk of all-cause and CV mortality</w:t>
      </w:r>
      <w:r w:rsidRPr="004661E9">
        <w:rPr>
          <w:rFonts w:ascii="Arial" w:hAnsi="Arial" w:cs="Arial"/>
        </w:rPr>
        <w:t xml:space="preserve"> in HF patients. These findings</w:t>
      </w:r>
      <w:r w:rsidR="00213CDC" w:rsidRPr="004661E9">
        <w:rPr>
          <w:rFonts w:ascii="Arial" w:hAnsi="Arial" w:cs="Arial"/>
        </w:rPr>
        <w:t xml:space="preserve"> underscore the importance of screening for pre-diabetes</w:t>
      </w:r>
      <w:r w:rsidRPr="004661E9">
        <w:rPr>
          <w:rFonts w:ascii="Arial" w:hAnsi="Arial" w:cs="Arial"/>
        </w:rPr>
        <w:t xml:space="preserve"> or diabetes</w:t>
      </w:r>
      <w:r w:rsidR="00213CDC" w:rsidRPr="004661E9">
        <w:rPr>
          <w:rFonts w:ascii="Arial" w:hAnsi="Arial" w:cs="Arial"/>
        </w:rPr>
        <w:t xml:space="preserve"> </w:t>
      </w:r>
      <w:r w:rsidRPr="004661E9">
        <w:rPr>
          <w:rFonts w:ascii="Arial" w:hAnsi="Arial" w:cs="Arial"/>
        </w:rPr>
        <w:t>among patients with HF</w:t>
      </w:r>
      <w:r w:rsidR="003E0E4E"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{"citationItems":[{"id":"ITEM-1","itemData":{"ISSN":"1262-3636","PMID":"9233998","abstract":"Congestive heart failure (CHF) is an insulin-resistant state which constitutes the main risk factor for the development of non-insulin-dependent diabetes mellitus (NIDDM). Our study investigated the predictive role of CHF on the development of NIDDM in 1,339 elderly subjects with a mean ( +/- SD) age of 74.2 +/- 6.4 years. CHF had a 9.5% prevalence, and 14.7% of the subjects had NIDDM. After stratification by age, subjects between 80 and 84 years had the highest prevalence of CHF and a total of 29.6% of CHF patients had NIDDM. In multiple logistic regression analysis, CHF was associated with NIDDM [odds ration (OR) = 2.0, 95% confidence interval (CI) - 1.6-2.5] independent of age, sex, family history of diabetes, body mass index, (BMI), waist/hip ratio, and diastolic blood pressure. When only untreated CHF patients were taken into account, the association between CHF and NIDDM was even stronger (OR = 4.0, 95% CI = 3.4-5.8). When untreated CHF patients were grouped into those with low (I and II) and high (III and IV) New York Heart Association (NYHA) classes, the association of CHF and NIDDM was stronger with the worsening of CHF. In a longitudinal study, CHF predicted NIDDM independently of age, sex, family history of diabetes, BMI, waist/hip ratio, systolic and diastolic blood pressure, and therapy for CHF (OR = 1.4, 95% CI = 1.1-1.8). CHF was associated with a higher prevalence of NIDDM and was a risk factor for its development. Elevated FFA concentrations may play a pivotal role.","author":[{"dropping-particle":"","family":"Amato","given":"L","non-dropping-particle":"","parse-names":false,"suffix":""},{"dropping-particle":"","family":"Paolisso","given":"G","non-dropping-particle":"","parse-names":false,"suffix":""},{"dropping-particle":"","family":"Cacciatore","given":"F","non-dropping-particle":"","parse-names":false,"suffix":""},{"dropping-particle":"","family":"Ferrara","given":"N","non-dropping-particle":"","parse-names":false,"suffix":""},{"dropping-particle":"","family":"Ferrara","given":"P","non-dropping-particle":"","parse-names":false,"suffix":""},{"dropping-particle":"","family":"Canonico","given":"S","non-dropping-particle":"","parse-names":false,"suffix":""},{"dropping-particle":"","family":"Varricchio","given":"M","non-dropping-particle":"","parse-names":false,"suffix":""},{"dropping-particle":"","family":"Rengo","given":"F","non-dropping-particle":"","parse-names":false,"suffix":""}],"container-title":"Diabetes &amp; metabolism","id":"ITEM-1","issue":"3","issued":{"date-parts":[["1997"]]},"page":"213-8","title":"Congestive heart failure predicts the development of non-insulin-dependent diabetes mellitus in the elderly. The Osservatorio Geriatrico Regione Campania Group.","type":"article-journal","volume":"23"},"uris":["http://www.mendeley.com/documents/?uuid=c72cbfad-9371-45b6-9083-7bf02eb82a10"]},{"id":"ITEM-2","itemData":{"DOI":"10.1007/s00125-014-3259-z","ISSN":"14320428","PMID":"24849568","abstract":"Aims/hypothesis: Heart failure has been suggested to increase the risk of developing diabetes. We investigated the relation between heart failure severity, defined by loop-diuretic dosage, and the risk of developing diabetes in a nationwide cohort of patients with heart failure. Methods: We followed all Danish patients discharged from hospitalisation for first-time heart failure in 1997-2010, without prior use of hypoglycaemic agents, until a claimed prescription for hypoglycaemic agents, death or 31 December 2010. The association of loop-diuretic dosage (furosemide equivalents) 90 days after discharge (study baseline) with risk of diabetes was estimated by multivariate Cox regression models. Results: In total, 99,362 patients were included and divided into five loop-diuretic dose groups: 30,838 (31%) used no loop diuretics; 24,389 (25%) used &gt;0-40 mg/day; 17,355 (17%) used &gt;40-80 mg/day; 11,973 (12%) used &gt;80-159 mg/day; and 14,807 (15%) used ≥160 mg/day. A total of 7,958 patients (8%) developed diabetes. Loop-diuretic dosages were associated with an increased risk of developing diabetes in a dose-dependent manner. Concomitant use of renin-angiotensin system inhibitors (RASis) attenuated the risk (p value for interaction &lt;0.0001). Compared with patients using no loop diuretics (group 1), the adjusted HRs (95% CI) for developing diabetes for groups 2-5 respectively were 1.16 (1.07, 1.26), 1.35 (1.24, 1.46), 1.48 (1.35, 1.62) and 1.76 (1.61, 1.92) with RASi treatment, and 2.06 (1.83, 2.32), 2.28 (2.01, 2.59), 2.88 (2.52, 3.30) and 3.02 (2.66, 3.43) without RASi treatment. Conclusions/interpretation: In a nationwide cohort of patients with heart failure, severity of heart failure was associated with a stepwise increased risk of developing diabetes. Increased awareness of risk of diabetes associated with severe heart failure is warranted. © 2014 Springer-Verlag.","author":[{"dropping-particle":"","family":"Demant","given":"Malene N.","non-dropping-particle":"","parse-names":false,"suffix":""},{"dropping-particle":"","family":"Gislason","given":"Gunnar H.","non-dropping-particle":"","parse-names":false,"suffix":""},{"dropping-particle":"","family":"Køber","given":"Lars","non-dropping-particle":"","parse-names":false,"suffix":""},{"dropping-particle":"","family":"Vaag","given":"Allan","non-dropping-particle":"","parse-names":false,"suffix":""},{"dropping-particle":"","family":"Torp-Pedersen","given":"Christian","non-dropping-particle":"","parse-names":false,"suffix":""},{"dropping-particle":"","family":"Andersson","given":"Charlotte","non-dropping-particle":"","parse-names":false,"suffix":""}],"container-title":"Diabetologia","id":"ITEM-2","issue":"8","issued":{"date-parts":[["2014"]]},"page":"1595-1600","title":"Association of heart failure severity with risk of diabetes: A Danish nationwide cohort study","type":"article-journal","volume":"57"},"uris":["http://www.mendeley.com/documents/?uuid=04cdff19-8622-45b0-8f28-029d3896b86f"]},{"id":"ITEM-3","itemData":{"DOI":"10.1177/2047487318807767","ISSN":"20474881","abstract":"Background: We assessed the prevalence of newly diagnosed prediabetes and type-2 diabetes mellitus (T2DM), and their impact on long-term mortality in patients hospitalized for worsening heart failure with reduced ejection fraction (HFrEF). Methods: We included patients hospitalized with HFrEF and New York Heart Association (NYHA) functional class II–III. Baseline two-hour oral glucose tolerance test was used to classify patients as normoglycaemic or having newly diagnosed prediabetes or T2DM. Outcomes included post-discharge all-cause and cardiovascular mortality during the median follow-up of 2.1 years. Results: At baseline, out of 150 patients (mean-age 57 ± 12 years; 88% male), prediabetes was diagnosed in 65 (43%) patients, and T2DM in 29 (19%) patients. These patients were older and more often with NYHA class III symptoms, but distribution of comorbidities was similar to normoglycaemic patients. Taking normoglycaemic patients as a reference, adjusted risk of all-cause mortality was significantly increased both in patients with prediabetes (hazard ratio, 2.6; 95% confidence interval (CI), 1.1–6.3; p = 0.040) and in patients with T2DM (hazard ratio, 5.3; 95% CI, 1.7–15.3; p = 0.023). Likewise, both prediabetes (hazard ratio, 2.9; 95% CI, 1.1–7.9; p = 0.041) and T2DM (hazard ratio, 9.7; 95% CI 2.9–36.7; p = 0.018) independently increased the risk of cardiovascular mortality compared with normoglycaemic individuals. There was no interaction between either prediabetes or T2DM and heart failure aetiology or gender on study outcomes (all interaction p-values &gt; 0.05). Conclusions: Newly diagnosed prediabetes and T2DM are highly prevalent in patients hospitalized for worsening HFrEF and NYHA functional class II–III. Importantly, they impose independently increased long-term risk of higher all-cause and cardiovascular mortality.","author":[{"dropping-particle":"","family":"Pavlović","given":"Andrija","non-dropping-particle":"","parse-names":false,"suffix":""},{"dropping-particle":"","family":"Polovina","given":"Marija","non-dropping-particle":"","parse-names":false,"suffix":""},{"dropping-particle":"","family":"Ristić","given":"Arsen","non-dropping-particle":"","parse-names":false,"suffix":""},{"dropping-particle":"","family":"Seferović","given":"Jelena P.","non-dropping-particle":"","parse-names":false,"suffix":""},{"dropping-particle":"","family":"Veljić","given":"Ivana","non-dropping-particle":"","parse-names":false,"suffix":""},{"dropping-particle":"","family":"Simeunović","given":"Dejan","non-dropping-particle":"","parse-names":false,"suffix":""},{"dropping-particle":"","family":"Milinković","given":"Ivan","non-dropping-particle":"","parse-names":false,"suffix":""},{"dropping-particle":"","family":"Krljanac","given":"Gordana","non-dropping-particle":"","parse-names":false,"suffix":""},{"dropping-particle":"","family":"Ašanin","given":"Milika","non-dropping-particle":"","parse-names":false,"suffix":""},{"dropping-particle":"","family":"Oštrić-Pavlović","given":"Irena","non-dropping-particle":"","parse-names":false,"suffix":""},{"dropping-particle":"","family":"Seferović","given":"Petar M.","non-dropping-particle":"","parse-names":false,"suffix":""}],"container-title":"European Journal of Preventive Cardiology","id":"ITEM-3","issue":"1","issued":{"date-parts":[["2019"]]},"page":"72-82","title":"Long-term mortality is increased in patients with undetected prediabetes and type-2 diabetes hospitalized for worsening heart failure and reduced ejection fraction","type":"article-journal","volume":"26"},"uris":["http://www.mendeley.com/documents/?uuid=929bc613-49b1-4681-8c9b-8664b8c8d2db"]}],"mendeley":{"formattedCitation":"(17,20,21)","plainTextFormattedCitation":"(17,20,21)","previouslyFormattedCitation":"(17,20,21)"},"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(17,20,21)</w:t>
      </w:r>
      <w:r w:rsidR="000F3AD7" w:rsidRPr="004661E9">
        <w:rPr>
          <w:rFonts w:ascii="Arial" w:hAnsi="Arial" w:cs="Arial"/>
        </w:rPr>
        <w:fldChar w:fldCharType="end"/>
      </w:r>
      <w:r w:rsidR="003E0E4E" w:rsidRPr="004661E9">
        <w:rPr>
          <w:rFonts w:ascii="Arial" w:hAnsi="Arial" w:cs="Arial"/>
        </w:rPr>
        <w:t>.</w:t>
      </w:r>
      <w:r w:rsidR="00213CDC" w:rsidRPr="004661E9">
        <w:rPr>
          <w:rFonts w:ascii="Arial" w:hAnsi="Arial" w:cs="Arial"/>
        </w:rPr>
        <w:t xml:space="preserve"> </w:t>
      </w:r>
      <w:r w:rsidRPr="004661E9">
        <w:rPr>
          <w:rFonts w:ascii="Arial" w:hAnsi="Arial" w:cs="Arial"/>
        </w:rPr>
        <w:t xml:space="preserve">Moreover, </w:t>
      </w:r>
      <w:r w:rsidR="00213CDC" w:rsidRPr="004661E9">
        <w:rPr>
          <w:rFonts w:ascii="Arial" w:hAnsi="Arial" w:cs="Arial"/>
        </w:rPr>
        <w:t xml:space="preserve">early assessment </w:t>
      </w:r>
      <w:r w:rsidRPr="004661E9">
        <w:rPr>
          <w:rFonts w:ascii="Arial" w:hAnsi="Arial" w:cs="Arial"/>
        </w:rPr>
        <w:t xml:space="preserve">with echocardiography can be helpful for </w:t>
      </w:r>
      <w:r w:rsidR="0015065B" w:rsidRPr="004661E9">
        <w:rPr>
          <w:rFonts w:ascii="Arial" w:hAnsi="Arial" w:cs="Arial"/>
        </w:rPr>
        <w:t xml:space="preserve">the </w:t>
      </w:r>
      <w:r w:rsidRPr="004661E9">
        <w:rPr>
          <w:rFonts w:ascii="Arial" w:hAnsi="Arial" w:cs="Arial"/>
        </w:rPr>
        <w:t xml:space="preserve">detection of subclinical structural abnormalities and myocardial dysfunction in asymptomatic patients with diabetes. </w:t>
      </w:r>
    </w:p>
    <w:p w14:paraId="5A67F483" w14:textId="77777777" w:rsidR="000B44DF" w:rsidRPr="004661E9" w:rsidRDefault="000B44DF" w:rsidP="004661E9">
      <w:pPr>
        <w:spacing w:after="0" w:line="276" w:lineRule="auto"/>
        <w:rPr>
          <w:rFonts w:ascii="Arial" w:hAnsi="Arial" w:cs="Arial"/>
        </w:rPr>
      </w:pPr>
    </w:p>
    <w:p w14:paraId="10E67822" w14:textId="77777777" w:rsidR="00C83BB1" w:rsidRPr="004661E9" w:rsidRDefault="00213CDC" w:rsidP="004661E9">
      <w:pPr>
        <w:spacing w:after="0" w:line="276" w:lineRule="auto"/>
        <w:rPr>
          <w:rFonts w:ascii="Arial" w:hAnsi="Arial" w:cs="Arial"/>
        </w:rPr>
      </w:pPr>
      <w:r w:rsidRPr="004661E9">
        <w:rPr>
          <w:rFonts w:ascii="Arial" w:hAnsi="Arial" w:cs="Arial"/>
        </w:rPr>
        <w:t>The pathophysiology of diabetes</w:t>
      </w:r>
      <w:r w:rsidR="0015065B" w:rsidRPr="004661E9">
        <w:rPr>
          <w:rFonts w:ascii="Arial" w:hAnsi="Arial" w:cs="Arial"/>
        </w:rPr>
        <w:t>-</w:t>
      </w:r>
      <w:r w:rsidRPr="004661E9">
        <w:rPr>
          <w:rFonts w:ascii="Arial" w:hAnsi="Arial" w:cs="Arial"/>
        </w:rPr>
        <w:t xml:space="preserve">related </w:t>
      </w:r>
      <w:r w:rsidR="00564270" w:rsidRPr="004661E9">
        <w:rPr>
          <w:rFonts w:ascii="Arial" w:hAnsi="Arial" w:cs="Arial"/>
        </w:rPr>
        <w:t>HF</w:t>
      </w:r>
      <w:r w:rsidRPr="004661E9">
        <w:rPr>
          <w:rFonts w:ascii="Arial" w:hAnsi="Arial" w:cs="Arial"/>
        </w:rPr>
        <w:t xml:space="preserve"> is complex</w:t>
      </w:r>
      <w:r w:rsidR="0015065B" w:rsidRPr="004661E9">
        <w:rPr>
          <w:rFonts w:ascii="Arial" w:hAnsi="Arial" w:cs="Arial"/>
        </w:rPr>
        <w:t>,</w:t>
      </w:r>
      <w:r w:rsidRPr="004661E9">
        <w:rPr>
          <w:rFonts w:ascii="Arial" w:hAnsi="Arial" w:cs="Arial"/>
        </w:rPr>
        <w:t xml:space="preserve"> and despite significant advances</w:t>
      </w:r>
      <w:r w:rsidR="00564270" w:rsidRPr="004661E9">
        <w:rPr>
          <w:rFonts w:ascii="Arial" w:hAnsi="Arial" w:cs="Arial"/>
        </w:rPr>
        <w:t xml:space="preserve"> over the past decades</w:t>
      </w:r>
      <w:r w:rsidRPr="004661E9">
        <w:rPr>
          <w:rFonts w:ascii="Arial" w:hAnsi="Arial" w:cs="Arial"/>
        </w:rPr>
        <w:t xml:space="preserve">, many areas are still </w:t>
      </w:r>
      <w:r w:rsidR="00543EDD" w:rsidRPr="004661E9">
        <w:rPr>
          <w:rFonts w:ascii="Arial" w:hAnsi="Arial" w:cs="Arial"/>
        </w:rPr>
        <w:t>poorly</w:t>
      </w:r>
      <w:r w:rsidRPr="004661E9">
        <w:rPr>
          <w:rFonts w:ascii="Arial" w:hAnsi="Arial" w:cs="Arial"/>
        </w:rPr>
        <w:t xml:space="preserve"> understood. </w:t>
      </w:r>
      <w:bookmarkStart w:id="7" w:name="_Hlk43800573"/>
      <w:r w:rsidR="009E29E0" w:rsidRPr="004661E9">
        <w:rPr>
          <w:rFonts w:ascii="Arial" w:hAnsi="Arial" w:cs="Arial"/>
        </w:rPr>
        <w:t>Since 2015</w:t>
      </w:r>
      <w:r w:rsidR="00564270" w:rsidRPr="004661E9">
        <w:rPr>
          <w:rFonts w:ascii="Arial" w:hAnsi="Arial" w:cs="Arial"/>
        </w:rPr>
        <w:t xml:space="preserve">, </w:t>
      </w:r>
      <w:r w:rsidR="0015065B" w:rsidRPr="004661E9">
        <w:rPr>
          <w:rFonts w:ascii="Arial" w:hAnsi="Arial" w:cs="Arial"/>
        </w:rPr>
        <w:t xml:space="preserve">several </w:t>
      </w:r>
      <w:r w:rsidR="00564270" w:rsidRPr="004661E9">
        <w:rPr>
          <w:rFonts w:ascii="Arial" w:hAnsi="Arial" w:cs="Arial"/>
        </w:rPr>
        <w:t xml:space="preserve">landmark </w:t>
      </w:r>
      <w:r w:rsidR="009E29E0" w:rsidRPr="004661E9">
        <w:rPr>
          <w:rFonts w:ascii="Arial" w:hAnsi="Arial" w:cs="Arial"/>
        </w:rPr>
        <w:t xml:space="preserve">clinical </w:t>
      </w:r>
      <w:r w:rsidR="00564270" w:rsidRPr="004661E9">
        <w:rPr>
          <w:rFonts w:ascii="Arial" w:hAnsi="Arial" w:cs="Arial"/>
        </w:rPr>
        <w:t xml:space="preserve">trials on </w:t>
      </w:r>
      <w:r w:rsidR="00695EA9" w:rsidRPr="004661E9">
        <w:rPr>
          <w:rFonts w:ascii="Arial" w:hAnsi="Arial" w:cs="Arial"/>
        </w:rPr>
        <w:t>sodium-glucose co-transporter-2 (</w:t>
      </w:r>
      <w:r w:rsidR="00564270" w:rsidRPr="004661E9">
        <w:rPr>
          <w:rFonts w:ascii="Arial" w:hAnsi="Arial" w:cs="Arial"/>
        </w:rPr>
        <w:t>SGLT2</w:t>
      </w:r>
      <w:r w:rsidR="00695EA9" w:rsidRPr="004661E9">
        <w:rPr>
          <w:rFonts w:ascii="Arial" w:hAnsi="Arial" w:cs="Arial"/>
        </w:rPr>
        <w:t>)</w:t>
      </w:r>
      <w:r w:rsidR="00564270" w:rsidRPr="004661E9">
        <w:rPr>
          <w:rFonts w:ascii="Arial" w:hAnsi="Arial" w:cs="Arial"/>
        </w:rPr>
        <w:t xml:space="preserve"> inhibitors and glucagon-like peptide-1 </w:t>
      </w:r>
      <w:r w:rsidR="00564270" w:rsidRPr="004661E9">
        <w:rPr>
          <w:rFonts w:ascii="Arial" w:hAnsi="Arial" w:cs="Arial"/>
        </w:rPr>
        <w:lastRenderedPageBreak/>
        <w:t>receptor agonist</w:t>
      </w:r>
      <w:r w:rsidR="00943F2B" w:rsidRPr="004661E9">
        <w:rPr>
          <w:rFonts w:ascii="Arial" w:hAnsi="Arial" w:cs="Arial"/>
        </w:rPr>
        <w:t>s</w:t>
      </w:r>
      <w:r w:rsidR="00564270" w:rsidRPr="004661E9">
        <w:rPr>
          <w:rFonts w:ascii="Arial" w:hAnsi="Arial" w:cs="Arial"/>
        </w:rPr>
        <w:t xml:space="preserve"> (GLP1</w:t>
      </w:r>
      <w:r w:rsidR="005D35E3" w:rsidRPr="004661E9">
        <w:rPr>
          <w:rFonts w:ascii="Arial" w:hAnsi="Arial" w:cs="Arial"/>
        </w:rPr>
        <w:t>-RA</w:t>
      </w:r>
      <w:r w:rsidR="00564270" w:rsidRPr="004661E9">
        <w:rPr>
          <w:rFonts w:ascii="Arial" w:hAnsi="Arial" w:cs="Arial"/>
        </w:rPr>
        <w:t>) have revolutionized our understanding o</w:t>
      </w:r>
      <w:r w:rsidR="0015065B" w:rsidRPr="004661E9">
        <w:rPr>
          <w:rFonts w:ascii="Arial" w:hAnsi="Arial" w:cs="Arial"/>
        </w:rPr>
        <w:t>f</w:t>
      </w:r>
      <w:r w:rsidR="00564270" w:rsidRPr="004661E9">
        <w:rPr>
          <w:rFonts w:ascii="Arial" w:hAnsi="Arial" w:cs="Arial"/>
        </w:rPr>
        <w:t xml:space="preserve"> CVD risk reduction in patients with T2DM</w:t>
      </w:r>
      <w:r w:rsidR="00431F6F" w:rsidRPr="004661E9">
        <w:rPr>
          <w:rFonts w:ascii="Arial" w:hAnsi="Arial" w:cs="Arial"/>
        </w:rPr>
        <w:t xml:space="preserve"> and have led to a paradigm shift in the clinical practice recommendations for the management of T2DM</w:t>
      </w:r>
      <w:bookmarkEnd w:id="7"/>
      <w:r w:rsidR="000B44DF"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{"citationItems":[{"id":"ITEM-1","itemData":{"DOI":"10.1016/j.jacc.2020.02.056","ISSN":"15583597","PMID":"32327107","abstract":"Given the intersection between diabetes mellitus and cardiovascular disease (CVD), pharmacologic agents used to treat type 2 diabetes mellitus must show cardiovascular safety. Comorbid conditions, including heart failure and chronic kidney disease, are increasingly prevalent in patients with diabetes; therefore, they also play a large role in drug safety. Although biguanides, sulfonylurea, glitazones, and dipeptidyl peptidase 4 inhibitors have variable effects on cardiovascular events, sodium glucose cotransporter 2 inhibitors and glucagon-like peptide 1 receptor agonists have consistently shown safety and reduction in cardiovascular events in patients with established CVD. These medications are becoming essential tools for cardioprotection for patients with diabetes and CVD. They may also have roles in primary prevention and renal protection. This paper will review the cardiovascular impact, adverse effects, and possible mechanisms of action of pharmacologic agents used to treat patients with type 2 diabetes.","author":[{"dropping-particle":"","family":"Wilcox","given":"Tanya","non-dropping-particle":"","parse-names":false,"suffix":""},{"dropping-particle":"","family":"Block","given":"Christophe","non-dropping-particle":"De","parse-names":false,"suffix":""},{"dropping-particle":"","family":"Schwartzbard","given":"Arthur Z.","non-dropping-particle":"","parse-names":false,"suffix":""},{"dropping-particle":"","family":"Newman","given":"Jonathan D.","non-dropping-particle":"","parse-names":false,"suffix":""}],"container-title":"Journal of the American College of Cardiology","id":"ITEM-1","issue":"16","issued":{"date-parts":[["2020","4","28"]]},"page":"1956-1974","publisher":"Elsevier USA","title":"Diabetic Agents, From Metformin to SGLT2 Inhibitors and GLP1 Receptor Agonists: JACC Focus Seminar","type":"article-journal","volume":"75"},"uris":["http://www.mendeley.com/documents/?uuid=b39c7df3-8883-345d-9c09-20cd737fd3a2"]}],"mendeley":{"formattedCitation":"(22)","plainTextFormattedCitation":"(22)","previouslyFormattedCitation":"(22)"},"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(22)</w:t>
      </w:r>
      <w:r w:rsidR="000F3AD7" w:rsidRPr="004661E9">
        <w:rPr>
          <w:rFonts w:ascii="Arial" w:hAnsi="Arial" w:cs="Arial"/>
        </w:rPr>
        <w:fldChar w:fldCharType="end"/>
      </w:r>
      <w:r w:rsidR="000B44DF" w:rsidRPr="004661E9">
        <w:rPr>
          <w:rFonts w:ascii="Arial" w:hAnsi="Arial" w:cs="Arial"/>
        </w:rPr>
        <w:t>.</w:t>
      </w:r>
      <w:r w:rsidR="00AE7C10" w:rsidRPr="004661E9">
        <w:rPr>
          <w:rFonts w:ascii="Arial" w:hAnsi="Arial" w:cs="Arial"/>
        </w:rPr>
        <w:t xml:space="preserve"> </w:t>
      </w:r>
      <w:r w:rsidR="00D2537D" w:rsidRPr="004661E9">
        <w:rPr>
          <w:rFonts w:ascii="Arial" w:hAnsi="Arial" w:cs="Arial"/>
        </w:rPr>
        <w:t>Incredible evidence from the CVD outcome trials (CVOTs) has confirmed the significant improvement in HF outcomes with SGLT2 inhibitors in patients with or without diabetes. These findings increased</w:t>
      </w:r>
      <w:r w:rsidR="009E29E0" w:rsidRPr="004661E9">
        <w:rPr>
          <w:rFonts w:ascii="Arial" w:hAnsi="Arial" w:cs="Arial"/>
        </w:rPr>
        <w:t xml:space="preserve"> medical communities</w:t>
      </w:r>
      <w:r w:rsidR="0015065B" w:rsidRPr="004661E9">
        <w:rPr>
          <w:rFonts w:ascii="Arial" w:hAnsi="Arial" w:cs="Arial"/>
        </w:rPr>
        <w:t>'</w:t>
      </w:r>
      <w:r w:rsidR="009E29E0" w:rsidRPr="004661E9">
        <w:rPr>
          <w:rFonts w:ascii="Arial" w:hAnsi="Arial" w:cs="Arial"/>
        </w:rPr>
        <w:t xml:space="preserve"> awareness and interest </w:t>
      </w:r>
      <w:r w:rsidR="00543EDD" w:rsidRPr="004661E9">
        <w:rPr>
          <w:rFonts w:ascii="Arial" w:hAnsi="Arial" w:cs="Arial"/>
        </w:rPr>
        <w:t>i</w:t>
      </w:r>
      <w:r w:rsidR="009E29E0" w:rsidRPr="004661E9">
        <w:rPr>
          <w:rFonts w:ascii="Arial" w:hAnsi="Arial" w:cs="Arial"/>
        </w:rPr>
        <w:t>n the links between diabetes and HF.</w:t>
      </w:r>
      <w:r w:rsidR="00564270" w:rsidRPr="004661E9">
        <w:rPr>
          <w:rFonts w:ascii="Arial" w:hAnsi="Arial" w:cs="Arial"/>
        </w:rPr>
        <w:t xml:space="preserve"> </w:t>
      </w:r>
    </w:p>
    <w:p w14:paraId="092C03DD" w14:textId="77777777" w:rsidR="00C83BB1" w:rsidRPr="004661E9" w:rsidRDefault="00C83BB1" w:rsidP="004661E9">
      <w:pPr>
        <w:spacing w:after="0" w:line="276" w:lineRule="auto"/>
        <w:rPr>
          <w:rFonts w:ascii="Arial" w:hAnsi="Arial" w:cs="Arial"/>
        </w:rPr>
      </w:pPr>
    </w:p>
    <w:p w14:paraId="007243C9" w14:textId="6F7E1ABA" w:rsidR="00564270" w:rsidRPr="004661E9" w:rsidRDefault="00234E04" w:rsidP="004661E9">
      <w:pPr>
        <w:spacing w:after="0" w:line="276" w:lineRule="auto"/>
        <w:rPr>
          <w:rFonts w:ascii="Arial" w:hAnsi="Arial" w:cs="Arial"/>
        </w:rPr>
      </w:pPr>
      <w:r w:rsidRPr="004661E9">
        <w:rPr>
          <w:rFonts w:ascii="Arial" w:hAnsi="Arial" w:cs="Arial"/>
        </w:rPr>
        <w:t>T</w:t>
      </w:r>
      <w:r w:rsidR="00AA453E" w:rsidRPr="004661E9">
        <w:rPr>
          <w:rFonts w:ascii="Arial" w:hAnsi="Arial" w:cs="Arial"/>
        </w:rPr>
        <w:t xml:space="preserve">he American Diabetes Association (ADA) now recommends </w:t>
      </w:r>
      <w:r w:rsidR="00543EDD" w:rsidRPr="004661E9">
        <w:rPr>
          <w:rFonts w:ascii="Arial" w:hAnsi="Arial" w:cs="Arial"/>
        </w:rPr>
        <w:t>using</w:t>
      </w:r>
      <w:r w:rsidR="00AA453E" w:rsidRPr="004661E9">
        <w:rPr>
          <w:rFonts w:ascii="Arial" w:hAnsi="Arial" w:cs="Arial"/>
        </w:rPr>
        <w:t xml:space="preserve"> SGLT2 inhibitors as first</w:t>
      </w:r>
      <w:r w:rsidR="00543EDD" w:rsidRPr="004661E9">
        <w:rPr>
          <w:rFonts w:ascii="Arial" w:hAnsi="Arial" w:cs="Arial"/>
        </w:rPr>
        <w:t>-</w:t>
      </w:r>
      <w:r w:rsidR="00AA453E" w:rsidRPr="004661E9">
        <w:rPr>
          <w:rFonts w:ascii="Arial" w:hAnsi="Arial" w:cs="Arial"/>
        </w:rPr>
        <w:t xml:space="preserve">line agents in T2DM patients with </w:t>
      </w:r>
      <w:r w:rsidR="00AC75E6" w:rsidRPr="004661E9">
        <w:rPr>
          <w:rFonts w:ascii="Arial" w:hAnsi="Arial" w:cs="Arial"/>
        </w:rPr>
        <w:t xml:space="preserve">a </w:t>
      </w:r>
      <w:r w:rsidR="00AA453E" w:rsidRPr="004661E9">
        <w:rPr>
          <w:rFonts w:ascii="Arial" w:hAnsi="Arial" w:cs="Arial"/>
        </w:rPr>
        <w:t>high</w:t>
      </w:r>
      <w:r w:rsidR="00AC75E6" w:rsidRPr="004661E9">
        <w:rPr>
          <w:rFonts w:ascii="Arial" w:hAnsi="Arial" w:cs="Arial"/>
        </w:rPr>
        <w:t xml:space="preserve"> </w:t>
      </w:r>
      <w:r w:rsidR="00AA453E" w:rsidRPr="004661E9">
        <w:rPr>
          <w:rFonts w:ascii="Arial" w:hAnsi="Arial" w:cs="Arial"/>
        </w:rPr>
        <w:t>risk</w:t>
      </w:r>
      <w:r w:rsidR="00AC75E6" w:rsidRPr="004661E9">
        <w:rPr>
          <w:rFonts w:ascii="Arial" w:hAnsi="Arial" w:cs="Arial"/>
        </w:rPr>
        <w:t xml:space="preserve"> of</w:t>
      </w:r>
      <w:r w:rsidR="00AA453E" w:rsidRPr="004661E9">
        <w:rPr>
          <w:rFonts w:ascii="Arial" w:hAnsi="Arial" w:cs="Arial"/>
        </w:rPr>
        <w:t xml:space="preserve"> or established HF </w:t>
      </w:r>
      <w:r w:rsidR="00AA453E" w:rsidRPr="004661E9">
        <w:rPr>
          <w:rFonts w:ascii="Arial" w:hAnsi="Arial" w:cs="Arial"/>
        </w:rPr>
        <w:fldChar w:fldCharType="begin" w:fldLock="1"/>
      </w:r>
      <w:r w:rsidR="000962ED" w:rsidRPr="004661E9">
        <w:rPr>
          <w:rFonts w:ascii="Arial" w:hAnsi="Arial" w:cs="Arial"/>
        </w:rPr>
        <w:instrText>ADDIN CSL_CITATION {"citationItems":[{"id":"ITEM-1","itemData":{"DOI":"10.2337/dc23-S009","ISSN":"19355548","PMID":"36507650","abstract":"The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Care","id":"ITEM-1","issue":"supp","issued":{"date-parts":[["2023"]]},"page":"S140-S157","title":"9. Pharmacologic Approaches to Glycemic Treatment: Standards of Care in Diabetes—2023","type":"article-journal","volume":"46"},"uris":["http://www.mendeley.com/documents/?uuid=a47bb03b-266b-42b6-9550-2b6ce5683bfd"]}],"mendeley":{"formattedCitation":"(23)","plainTextFormattedCitation":"(23)","previouslyFormattedCitation":"(23)"},"properties":{"noteIndex":0},"schema":"https://github.com/citation-style-language/schema/raw/master/csl-citation.json"}</w:instrText>
      </w:r>
      <w:r w:rsidR="00AA453E" w:rsidRPr="004661E9">
        <w:rPr>
          <w:rFonts w:ascii="Arial" w:hAnsi="Arial" w:cs="Arial"/>
        </w:rPr>
        <w:fldChar w:fldCharType="separate"/>
      </w:r>
      <w:r w:rsidR="000962ED" w:rsidRPr="004661E9">
        <w:rPr>
          <w:rFonts w:ascii="Arial" w:hAnsi="Arial" w:cs="Arial"/>
          <w:noProof/>
        </w:rPr>
        <w:t>(23)</w:t>
      </w:r>
      <w:r w:rsidR="00AA453E" w:rsidRPr="004661E9">
        <w:rPr>
          <w:rFonts w:ascii="Arial" w:hAnsi="Arial" w:cs="Arial"/>
        </w:rPr>
        <w:fldChar w:fldCharType="end"/>
      </w:r>
      <w:r w:rsidR="00AA453E" w:rsidRPr="004661E9">
        <w:rPr>
          <w:rFonts w:ascii="Arial" w:hAnsi="Arial" w:cs="Arial"/>
        </w:rPr>
        <w:t xml:space="preserve">. In addition, several dedicated major </w:t>
      </w:r>
      <w:r w:rsidR="00C83BB1" w:rsidRPr="004661E9">
        <w:rPr>
          <w:rFonts w:ascii="Arial" w:hAnsi="Arial" w:cs="Arial"/>
        </w:rPr>
        <w:t xml:space="preserve">randomized </w:t>
      </w:r>
      <w:r w:rsidR="00AA453E" w:rsidRPr="004661E9">
        <w:rPr>
          <w:rFonts w:ascii="Arial" w:hAnsi="Arial" w:cs="Arial"/>
        </w:rPr>
        <w:t>clinical trials</w:t>
      </w:r>
      <w:r w:rsidR="00C83BB1" w:rsidRPr="004661E9">
        <w:rPr>
          <w:rFonts w:ascii="Arial" w:hAnsi="Arial" w:cs="Arial"/>
        </w:rPr>
        <w:t xml:space="preserve"> (RCTs)</w:t>
      </w:r>
      <w:r w:rsidR="00AA453E" w:rsidRPr="004661E9">
        <w:rPr>
          <w:rFonts w:ascii="Arial" w:hAnsi="Arial" w:cs="Arial"/>
        </w:rPr>
        <w:t xml:space="preserve"> confirmed the CV</w:t>
      </w:r>
      <w:r w:rsidR="0061174F" w:rsidRPr="004661E9">
        <w:rPr>
          <w:rFonts w:ascii="Arial" w:hAnsi="Arial" w:cs="Arial"/>
        </w:rPr>
        <w:t>D</w:t>
      </w:r>
      <w:r w:rsidR="00AA453E" w:rsidRPr="004661E9">
        <w:rPr>
          <w:rFonts w:ascii="Arial" w:hAnsi="Arial" w:cs="Arial"/>
        </w:rPr>
        <w:t xml:space="preserve"> benefits of SGLT2 in</w:t>
      </w:r>
      <w:r w:rsidR="00543EDD" w:rsidRPr="004661E9">
        <w:rPr>
          <w:rFonts w:ascii="Arial" w:hAnsi="Arial" w:cs="Arial"/>
        </w:rPr>
        <w:t>h</w:t>
      </w:r>
      <w:r w:rsidR="00AA453E" w:rsidRPr="004661E9">
        <w:rPr>
          <w:rFonts w:ascii="Arial" w:hAnsi="Arial" w:cs="Arial"/>
        </w:rPr>
        <w:t xml:space="preserve">ibitors in patients with established HF, regardless of LVEF or diabetes status. </w:t>
      </w:r>
      <w:r w:rsidR="001E47F1" w:rsidRPr="004661E9">
        <w:rPr>
          <w:rFonts w:ascii="Arial" w:hAnsi="Arial" w:cs="Arial"/>
        </w:rPr>
        <w:t>Moreover,</w:t>
      </w:r>
      <w:r w:rsidR="00AA453E" w:rsidRPr="004661E9">
        <w:rPr>
          <w:rFonts w:ascii="Arial" w:hAnsi="Arial" w:cs="Arial"/>
        </w:rPr>
        <w:t xml:space="preserve"> these </w:t>
      </w:r>
      <w:r w:rsidR="00C83BB1" w:rsidRPr="004661E9">
        <w:rPr>
          <w:rFonts w:ascii="Arial" w:hAnsi="Arial" w:cs="Arial"/>
        </w:rPr>
        <w:t>RCTs</w:t>
      </w:r>
      <w:r w:rsidR="00AA453E" w:rsidRPr="004661E9">
        <w:rPr>
          <w:rFonts w:ascii="Arial" w:hAnsi="Arial" w:cs="Arial"/>
        </w:rPr>
        <w:t xml:space="preserve"> transformed SGLT2 inhibitors from glucose-lowering agent</w:t>
      </w:r>
      <w:r w:rsidR="001E47F1" w:rsidRPr="004661E9">
        <w:rPr>
          <w:rFonts w:ascii="Arial" w:hAnsi="Arial" w:cs="Arial"/>
        </w:rPr>
        <w:t>s</w:t>
      </w:r>
      <w:r w:rsidR="00AA453E" w:rsidRPr="004661E9">
        <w:rPr>
          <w:rFonts w:ascii="Arial" w:hAnsi="Arial" w:cs="Arial"/>
        </w:rPr>
        <w:t xml:space="preserve"> to HF drug</w:t>
      </w:r>
      <w:r w:rsidR="001E47F1" w:rsidRPr="004661E9">
        <w:rPr>
          <w:rFonts w:ascii="Arial" w:hAnsi="Arial" w:cs="Arial"/>
        </w:rPr>
        <w:t>s</w:t>
      </w:r>
      <w:r w:rsidR="00AA453E" w:rsidRPr="004661E9">
        <w:rPr>
          <w:rFonts w:ascii="Arial" w:hAnsi="Arial" w:cs="Arial"/>
        </w:rPr>
        <w:t>. The</w:t>
      </w:r>
      <w:r w:rsidR="005E14A1" w:rsidRPr="004661E9">
        <w:rPr>
          <w:rFonts w:ascii="Arial" w:hAnsi="Arial" w:cs="Arial"/>
        </w:rPr>
        <w:t xml:space="preserve"> 2022</w:t>
      </w:r>
      <w:r w:rsidR="00AA453E" w:rsidRPr="004661E9">
        <w:rPr>
          <w:rFonts w:ascii="Arial" w:hAnsi="Arial" w:cs="Arial"/>
        </w:rPr>
        <w:t xml:space="preserve"> </w:t>
      </w:r>
      <w:r w:rsidR="005E14A1" w:rsidRPr="004661E9">
        <w:rPr>
          <w:rFonts w:ascii="Arial" w:hAnsi="Arial" w:cs="Arial"/>
        </w:rPr>
        <w:t>American College of Cardiology (ACC) Foundation / American Heart Association (AHA) / Heart Failure Society of America (HFSA) guideline for the management of HF recommended the use of SGLT2 inhibitors for the treatment of HF, regardless of LVE</w:t>
      </w:r>
      <w:r w:rsidR="00AC75E6" w:rsidRPr="004661E9">
        <w:rPr>
          <w:rFonts w:ascii="Arial" w:hAnsi="Arial" w:cs="Arial"/>
        </w:rPr>
        <w:t>F</w:t>
      </w:r>
      <w:r w:rsidR="005E14A1" w:rsidRPr="004661E9">
        <w:rPr>
          <w:rFonts w:ascii="Arial" w:hAnsi="Arial" w:cs="Arial"/>
        </w:rPr>
        <w:t xml:space="preserve"> </w:t>
      </w:r>
      <w:r w:rsidR="005E14A1" w:rsidRPr="004661E9">
        <w:rPr>
          <w:rFonts w:ascii="Arial" w:hAnsi="Arial" w:cs="Arial"/>
        </w:rPr>
        <w:fldChar w:fldCharType="begin" w:fldLock="1"/>
      </w:r>
      <w:r w:rsidR="007D4B33"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005E14A1" w:rsidRPr="004661E9">
        <w:rPr>
          <w:rFonts w:ascii="Arial" w:hAnsi="Arial" w:cs="Arial"/>
        </w:rPr>
        <w:fldChar w:fldCharType="separate"/>
      </w:r>
      <w:r w:rsidR="005E14A1" w:rsidRPr="004661E9">
        <w:rPr>
          <w:rFonts w:ascii="Arial" w:hAnsi="Arial" w:cs="Arial"/>
          <w:noProof/>
        </w:rPr>
        <w:t>(3)</w:t>
      </w:r>
      <w:r w:rsidR="005E14A1" w:rsidRPr="004661E9">
        <w:rPr>
          <w:rFonts w:ascii="Arial" w:hAnsi="Arial" w:cs="Arial"/>
        </w:rPr>
        <w:fldChar w:fldCharType="end"/>
      </w:r>
      <w:r w:rsidR="005E14A1" w:rsidRPr="004661E9">
        <w:rPr>
          <w:rFonts w:ascii="Arial" w:hAnsi="Arial" w:cs="Arial"/>
        </w:rPr>
        <w:t xml:space="preserve">. </w:t>
      </w:r>
    </w:p>
    <w:p w14:paraId="5CF6B3F6" w14:textId="77777777" w:rsidR="000B44DF" w:rsidRPr="004661E9" w:rsidRDefault="000B44DF" w:rsidP="004661E9">
      <w:pPr>
        <w:spacing w:after="0" w:line="276" w:lineRule="auto"/>
        <w:rPr>
          <w:rFonts w:ascii="Arial" w:hAnsi="Arial" w:cs="Arial"/>
        </w:rPr>
      </w:pPr>
    </w:p>
    <w:p w14:paraId="3A9F36E8" w14:textId="29D4D6AA" w:rsidR="008E11EF" w:rsidRPr="004661E9" w:rsidRDefault="00213CDC" w:rsidP="004661E9">
      <w:pPr>
        <w:spacing w:after="0" w:line="276" w:lineRule="auto"/>
        <w:rPr>
          <w:rFonts w:ascii="Arial" w:hAnsi="Arial" w:cs="Arial"/>
        </w:rPr>
      </w:pPr>
      <w:bookmarkStart w:id="8" w:name="_Hlk43805322"/>
      <w:r w:rsidRPr="004661E9">
        <w:rPr>
          <w:rFonts w:ascii="Arial" w:hAnsi="Arial" w:cs="Arial"/>
        </w:rPr>
        <w:t xml:space="preserve">This chapter outlines </w:t>
      </w:r>
      <w:r w:rsidR="004312FF" w:rsidRPr="004661E9">
        <w:rPr>
          <w:rFonts w:ascii="Arial" w:hAnsi="Arial" w:cs="Arial"/>
        </w:rPr>
        <w:t>the complex relationship between HF</w:t>
      </w:r>
      <w:r w:rsidRPr="004661E9">
        <w:rPr>
          <w:rFonts w:ascii="Arial" w:hAnsi="Arial" w:cs="Arial"/>
        </w:rPr>
        <w:t xml:space="preserve"> and </w:t>
      </w:r>
      <w:r w:rsidR="00A912E0" w:rsidRPr="004661E9">
        <w:rPr>
          <w:rFonts w:ascii="Arial" w:hAnsi="Arial" w:cs="Arial"/>
        </w:rPr>
        <w:t>diabetes</w:t>
      </w:r>
      <w:r w:rsidR="004312FF" w:rsidRPr="004661E9">
        <w:rPr>
          <w:rFonts w:ascii="Arial" w:hAnsi="Arial" w:cs="Arial"/>
        </w:rPr>
        <w:t xml:space="preserve">, </w:t>
      </w:r>
      <w:r w:rsidR="00543EDD" w:rsidRPr="004661E9">
        <w:rPr>
          <w:rFonts w:ascii="Arial" w:hAnsi="Arial" w:cs="Arial"/>
        </w:rPr>
        <w:t>focusing</w:t>
      </w:r>
      <w:r w:rsidR="004312FF" w:rsidRPr="004661E9">
        <w:rPr>
          <w:rFonts w:ascii="Arial" w:hAnsi="Arial" w:cs="Arial"/>
        </w:rPr>
        <w:t xml:space="preserve"> on </w:t>
      </w:r>
      <w:r w:rsidR="00A924B6" w:rsidRPr="004661E9">
        <w:rPr>
          <w:rFonts w:ascii="Arial" w:hAnsi="Arial" w:cs="Arial"/>
        </w:rPr>
        <w:t xml:space="preserve">the </w:t>
      </w:r>
      <w:r w:rsidR="004312FF" w:rsidRPr="004661E9">
        <w:rPr>
          <w:rFonts w:ascii="Arial" w:hAnsi="Arial" w:cs="Arial"/>
        </w:rPr>
        <w:t xml:space="preserve">epidemiology, pathophysiology, </w:t>
      </w:r>
      <w:r w:rsidR="000A20D2">
        <w:rPr>
          <w:rFonts w:ascii="Arial" w:hAnsi="Arial" w:cs="Arial"/>
        </w:rPr>
        <w:t xml:space="preserve">and </w:t>
      </w:r>
      <w:r w:rsidR="004312FF" w:rsidRPr="004661E9">
        <w:rPr>
          <w:rFonts w:ascii="Arial" w:hAnsi="Arial" w:cs="Arial"/>
        </w:rPr>
        <w:t xml:space="preserve">prognostic implications. Additionally, we review the current knowledge on </w:t>
      </w:r>
      <w:r w:rsidR="00C83BB1" w:rsidRPr="004661E9">
        <w:rPr>
          <w:rFonts w:ascii="Arial" w:hAnsi="Arial" w:cs="Arial"/>
        </w:rPr>
        <w:t>identifying subclinical cardiac remodeling, predicting HF risk, and preventing</w:t>
      </w:r>
      <w:r w:rsidR="004312FF" w:rsidRPr="004661E9">
        <w:rPr>
          <w:rFonts w:ascii="Arial" w:hAnsi="Arial" w:cs="Arial"/>
        </w:rPr>
        <w:t xml:space="preserve"> HF in diabetes</w:t>
      </w:r>
      <w:r w:rsidR="00C83BB1" w:rsidRPr="004661E9">
        <w:rPr>
          <w:rFonts w:ascii="Arial" w:hAnsi="Arial" w:cs="Arial"/>
        </w:rPr>
        <w:t xml:space="preserve">. We also summarize the </w:t>
      </w:r>
      <w:r w:rsidR="00543EDD" w:rsidRPr="004661E9">
        <w:rPr>
          <w:rFonts w:ascii="Arial" w:hAnsi="Arial" w:cs="Arial"/>
        </w:rPr>
        <w:t>rec</w:t>
      </w:r>
      <w:r w:rsidR="005E14A1" w:rsidRPr="004661E9">
        <w:rPr>
          <w:rFonts w:ascii="Arial" w:hAnsi="Arial" w:cs="Arial"/>
        </w:rPr>
        <w:t>ent evidence and guideline recommendation</w:t>
      </w:r>
      <w:r w:rsidR="00D2537D" w:rsidRPr="004661E9">
        <w:rPr>
          <w:rFonts w:ascii="Arial" w:hAnsi="Arial" w:cs="Arial"/>
        </w:rPr>
        <w:t>s</w:t>
      </w:r>
      <w:r w:rsidR="005E14A1" w:rsidRPr="004661E9">
        <w:rPr>
          <w:rFonts w:ascii="Arial" w:hAnsi="Arial" w:cs="Arial"/>
        </w:rPr>
        <w:t xml:space="preserve"> </w:t>
      </w:r>
      <w:r w:rsidR="00543EDD" w:rsidRPr="004661E9">
        <w:rPr>
          <w:rFonts w:ascii="Arial" w:hAnsi="Arial" w:cs="Arial"/>
        </w:rPr>
        <w:t>for</w:t>
      </w:r>
      <w:r w:rsidR="005E14A1" w:rsidRPr="004661E9">
        <w:rPr>
          <w:rFonts w:ascii="Arial" w:hAnsi="Arial" w:cs="Arial"/>
        </w:rPr>
        <w:t xml:space="preserve"> the pharmacological</w:t>
      </w:r>
      <w:r w:rsidR="0015065B" w:rsidRPr="004661E9">
        <w:rPr>
          <w:rFonts w:ascii="Arial" w:hAnsi="Arial" w:cs="Arial"/>
        </w:rPr>
        <w:t xml:space="preserve"> </w:t>
      </w:r>
      <w:r w:rsidR="004312FF" w:rsidRPr="004661E9">
        <w:rPr>
          <w:rFonts w:ascii="Arial" w:hAnsi="Arial" w:cs="Arial"/>
        </w:rPr>
        <w:t xml:space="preserve">treatment of patients with coexisting HF and diabetes.  </w:t>
      </w:r>
    </w:p>
    <w:p w14:paraId="0E8036E1" w14:textId="77777777" w:rsidR="000B44DF" w:rsidRPr="004661E9" w:rsidRDefault="000B44DF" w:rsidP="004661E9">
      <w:pPr>
        <w:spacing w:after="0" w:line="276" w:lineRule="auto"/>
        <w:rPr>
          <w:rFonts w:ascii="Arial" w:hAnsi="Arial" w:cs="Arial"/>
        </w:rPr>
      </w:pPr>
    </w:p>
    <w:bookmarkEnd w:id="8"/>
    <w:p w14:paraId="090A47AA" w14:textId="025E6D12" w:rsidR="00C138AA" w:rsidRPr="004661E9" w:rsidRDefault="00E42B57" w:rsidP="004661E9">
      <w:pPr>
        <w:spacing w:after="0" w:line="276" w:lineRule="auto"/>
        <w:rPr>
          <w:rFonts w:ascii="Arial" w:hAnsi="Arial" w:cs="Arial"/>
          <w:b/>
          <w:bCs/>
          <w:color w:val="4472C4" w:themeColor="accent1"/>
        </w:rPr>
      </w:pPr>
      <w:r w:rsidRPr="004661E9">
        <w:rPr>
          <w:rFonts w:ascii="Arial" w:hAnsi="Arial" w:cs="Arial"/>
          <w:b/>
          <w:bCs/>
          <w:color w:val="4472C4" w:themeColor="accent1"/>
        </w:rPr>
        <w:t xml:space="preserve">EPIDEMIOLOGY OF DIABETES AND </w:t>
      </w:r>
      <w:r w:rsidR="004B4E14" w:rsidRPr="004661E9">
        <w:rPr>
          <w:rFonts w:ascii="Arial" w:hAnsi="Arial" w:cs="Arial"/>
          <w:b/>
          <w:bCs/>
          <w:color w:val="4472C4" w:themeColor="accent1"/>
        </w:rPr>
        <w:t>HF</w:t>
      </w:r>
      <w:r w:rsidRPr="004661E9">
        <w:rPr>
          <w:rFonts w:ascii="Arial" w:hAnsi="Arial" w:cs="Arial"/>
          <w:b/>
          <w:bCs/>
          <w:color w:val="4472C4" w:themeColor="accent1"/>
        </w:rPr>
        <w:t xml:space="preserve"> </w:t>
      </w:r>
    </w:p>
    <w:p w14:paraId="7B8AFE90" w14:textId="77777777" w:rsidR="000B44DF" w:rsidRPr="004661E9" w:rsidRDefault="000B44DF" w:rsidP="004661E9">
      <w:pPr>
        <w:spacing w:after="0" w:line="276" w:lineRule="auto"/>
        <w:rPr>
          <w:rFonts w:ascii="Arial" w:hAnsi="Arial" w:cs="Arial"/>
          <w:b/>
          <w:bCs/>
        </w:rPr>
      </w:pPr>
    </w:p>
    <w:p w14:paraId="34B59D3B" w14:textId="77777777" w:rsidR="00C83BB1" w:rsidRPr="004661E9" w:rsidRDefault="00C70205" w:rsidP="004661E9">
      <w:pPr>
        <w:spacing w:after="0" w:line="276" w:lineRule="auto"/>
        <w:rPr>
          <w:rFonts w:ascii="Arial" w:hAnsi="Arial" w:cs="Arial"/>
        </w:rPr>
      </w:pPr>
      <w:r w:rsidRPr="004661E9">
        <w:rPr>
          <w:rFonts w:ascii="Arial" w:hAnsi="Arial" w:cs="Arial"/>
        </w:rPr>
        <w:t xml:space="preserve">There is a bidirectional link between </w:t>
      </w:r>
      <w:r w:rsidR="00D129E6" w:rsidRPr="004661E9">
        <w:rPr>
          <w:rFonts w:ascii="Arial" w:hAnsi="Arial" w:cs="Arial"/>
        </w:rPr>
        <w:t>diabetes</w:t>
      </w:r>
      <w:r w:rsidRPr="004661E9">
        <w:rPr>
          <w:rFonts w:ascii="Arial" w:hAnsi="Arial" w:cs="Arial"/>
        </w:rPr>
        <w:t xml:space="preserve"> and </w:t>
      </w:r>
      <w:r w:rsidR="00A912E0" w:rsidRPr="004661E9">
        <w:rPr>
          <w:rFonts w:ascii="Arial" w:hAnsi="Arial" w:cs="Arial"/>
        </w:rPr>
        <w:t>HF</w:t>
      </w:r>
      <w:r w:rsidR="000B44DF"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{"citationItems":[{"id":"ITEM-1","itemData":{"DOI":"10.1016/j.hfc.2019.02.002","ISSN":"15517136","abstract":"Heart failure is a clinical syndrome characterized by left ventricular dysfunction and/or elevated intracardiac pressures, with a prevalence of about 1% to 2% in the general population. In the last decades, many metabolic disorders have been studied as linked with heart failure. Diabetes mellitus and insulin resistance are strictly related to heart failure, with a bidirectional link, where each can influence the other. The aim of this article is to report the role of glucose metabolism abnormalities in the development of heart failure, defining the epidemiology and assessing pathophysiology and prognosis of heart failure related to glucose metabolism disorders.","author":[{"dropping-particle":"","family":"Marsico","given":"Fabio","non-dropping-particle":"","parse-names":false,"suffix":""},{"dropping-particle":"","family":"Gargiulo","given":"Paola","non-dropping-particle":"","parse-names":false,"suffix":""},{"dropping-particle":"","family":"Marra","given":"Alberto M.","non-dropping-particle":"","parse-names":false,"suffix":""},{"dropping-particle":"","family":"Parente","given":"Antonio","non-dropping-particle":"","parse-names":false,"suffix":""},{"dropping-particle":"","family":"Paolillo","given":"Stefania","non-dropping-particle":"","parse-names":false,"suffix":""}],"container-title":"Heart Failure Clinics","id":"ITEM-1","issue":"3","issued":{"date-parts":[["2019"]]},"page":"333-340","publisher":"Elsevier Inc","title":"Glucose Metabolism Abnormalities in Heart Failure Patients: Insights and Prognostic Relevance","type":"article-journal","volume":"15"},"uris":["http://www.mendeley.com/documents/?uuid=7cf7f37c-571a-4c52-8110-f427c4622df1"]}],"mendeley":{"formattedCitation":"(24)","plainTextFormattedCitation":"(24)","previouslyFormattedCitation":"(24)"},"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(24)</w:t>
      </w:r>
      <w:r w:rsidR="000F3AD7" w:rsidRPr="004661E9">
        <w:rPr>
          <w:rFonts w:ascii="Arial" w:hAnsi="Arial" w:cs="Arial"/>
        </w:rPr>
        <w:fldChar w:fldCharType="end"/>
      </w:r>
      <w:r w:rsidR="000B44DF" w:rsidRPr="004661E9">
        <w:rPr>
          <w:rFonts w:ascii="Arial" w:hAnsi="Arial" w:cs="Arial"/>
        </w:rPr>
        <w:t>.</w:t>
      </w:r>
      <w:r w:rsidRPr="004661E9">
        <w:rPr>
          <w:rFonts w:ascii="Arial" w:hAnsi="Arial" w:cs="Arial"/>
        </w:rPr>
        <w:t xml:space="preserve"> </w:t>
      </w:r>
      <w:r w:rsidR="00D129E6" w:rsidRPr="004661E9">
        <w:rPr>
          <w:rFonts w:ascii="Arial" w:hAnsi="Arial" w:cs="Arial"/>
        </w:rPr>
        <w:t>Diabetes</w:t>
      </w:r>
      <w:r w:rsidR="004B2E5A" w:rsidRPr="004661E9">
        <w:rPr>
          <w:rFonts w:ascii="Arial" w:hAnsi="Arial" w:cs="Arial"/>
        </w:rPr>
        <w:t>, either type 1 or type 2,</w:t>
      </w:r>
      <w:r w:rsidR="007A7A54" w:rsidRPr="004661E9">
        <w:rPr>
          <w:rFonts w:ascii="Arial" w:hAnsi="Arial" w:cs="Arial"/>
        </w:rPr>
        <w:t xml:space="preserve"> is a strong risk factor for </w:t>
      </w:r>
      <w:r w:rsidR="00AC75E6" w:rsidRPr="004661E9">
        <w:rPr>
          <w:rFonts w:ascii="Arial" w:hAnsi="Arial" w:cs="Arial"/>
        </w:rPr>
        <w:t>developing</w:t>
      </w:r>
      <w:r w:rsidR="007A7A54" w:rsidRPr="004661E9">
        <w:rPr>
          <w:rFonts w:ascii="Arial" w:hAnsi="Arial" w:cs="Arial"/>
        </w:rPr>
        <w:t xml:space="preserve"> HF</w:t>
      </w:r>
      <w:r w:rsidR="000B44DF"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{"citationItems":[{"id":"ITEM-1","itemData":{"DOI":"10.1016/j.pcad.2019.07.003","ISSN":"18731740","abstract":"The prevalence of Type 2 diabetes mellitus (T2DM) has reached pandemic proportions. T2DM frequently causes macrovascular and/or microvascular pathologic changes and thereby increases the risks for the development of myocardial infarction, heart failure, stroke, renal failure, and reduced survival. This article describes the important interactions between T2DM, heart failure, and renal dysfunction, forming vicious circles. The interruption of these circles represents important therapeutic goals.","author":[{"dropping-particle":"","family":"Braunwald","given":"Eugene","non-dropping-particle":"","parse-names":false,"suffix":""}],"container-title":"Progress in Cardiovascular Diseases","id":"ITEM-1","issue":"4","issued":{"date-parts":[["2019"]]},"page":"298-302","publisher":"Elsevier Inc.","title":"Diabetes, heart failure, and renal dysfunction: The vicious circles","type":"article-journal","volume":"62"},"uris":["http://www.mendeley.com/documents/?uuid=39df5210-f1a8-43a6-b482-8c4515991336"]},{"id":"ITEM-2","itemData":{"DOI":"10.1016/S2213-8587(15)00292-2","ISSN":"22138595","abstract":"Background: Diabetes is an established risk factor for heart failure, but because nearly all heart failure occurs in older individuals, the excess risk and risk factors for heart failure in individuals with type 1 diabetes are not known. We aimed to determine the excess risk of heart failure in individuals with type 1 diabetes overall and by different levels of glycaemic control and albuminuria. Methods: In this prospective case-control study, we identified all individuals with type 1 diabetes registered in the Swedish National Diabetes Registry between Jan 1, 1998, and Dec 31, 2011, and five controls randomly selected from the general population for each patient, matched according to age, sex, and county, and compared them with respect to subsequent hospital admissions for heart failure, with hazard ratios calculated with Cox regression. Findings: In a cohort of 33 402 patients (mean age at baseline 35 years [SD 14], 15 058 [45%] women, and mean duration of diabetes 20·1 years [SD 14·5]), over a mean follow-up of 7·9 years, 1062 (3%) patients were admitted to hospital with a diagnosis of heart failure, compared with 1325 (1%) of 166 228 matched controls over 8·3 years, giving a HR 4·69 (95% CI 3·64-6·04), after adjustment for time-updated age, sex, time-updated diabetes duration, birth in Sweden, educational level, and baseline comorbidities. Worse glycaemic control was associated with increased risk of heart failure in a graded fashion, and so was the presence of albuminuria. Risk of heart failure was also increased among those with well controlled diabetes (adjusted HR 2·16 [95% CI 1·55-3·01]) and in those with no albuminuria (3·38 [2·51-4·57]), but not in the subgroup both well-controlled and with normoalbuminuria (1·59 [0·70-3·58]). Interpretation: Individuals with type 1 diabetes had a four-times increase in the risk of being admitted to hospital with heart failure compared with population-based controls. Poor glycaemic control and impaired renal function substantially increased the risk of heart failure. Funding: The Swedish state, Swedish Society for Physicians, the Health &amp; Medical Care Committee of the Regional Executive Board (Region Vastra Gotaland, Sweden), the Swedish Heart-Lung Foundation, Diabetes Wellness, Novo Nordisk Foundation (PI M Lind), the Swedish Research Council, and the Swedish Council for working life and social research (Epilife).","author":[{"dropping-particle":"","family":"Rosengren","given":"Annika","non-dropping-particle":"","parse-names":false,"suffix":""},{"dropping-particle":"","family":"Vestberg","given":"Daniel","non-dropping-particle":"","parse-names":false,"suffix":""},{"dropping-particle":"","family":"Svensson","given":"Ann Marie","non-dropping-particle":"","parse-names":false,"suffix":""},{"dropping-particle":"","family":"Kosiborod","given":"Mikhail","non-dropping-particle":"","parse-names":false,"suffix":""},{"dropping-particle":"","family":"Clements","given":"Mark","non-dropping-particle":"","parse-names":false,"suffix":""},{"dropping-particle":"","family":"Rawshani","given":"Araz","non-dropping-particle":"","parse-names":false,"suffix":""},{"dropping-particle":"","family":"Pivodic","given":"Aldina","non-dropping-particle":"","parse-names":false,"suffix":""},{"dropping-particle":"","family":"Gudbjörnsdottir","given":"Soffia","non-dropping-particle":"","parse-names":false,"suffix":""},{"dropping-particle":"","family":"Lind","given":"Marcus","non-dropping-particle":"","parse-names":false,"suffix":""}],"container-title":"The Lancet Diabetes and Endocrinology","id":"ITEM-2","issue":"11","issued":{"date-parts":[["2015"]]},"page":"876-885","title":"Long-term excess risk of heart failure in people with type 1 diabetes: A prospective case-control study","type":"article-journal","volume":"3"},"uris":["http://www.mendeley.com/documents/?uuid=7013547a-40d4-42ef-be4a-8684eb1801b2"]},{"id":"ITEM-3","itemData":{"DOI":"10.1007/s00125-018-4700-5","ISSN":"14320428","abstract":"Aims/hypothesis: Type 2 diabetes is an established risk factor for heart failure, but age-specific data are sparse. We aimed to determine excess risk of heart failure, based on age, glycaemic control and kidney function in comparison with age- and sex-matched control individuals from the general population. Methods: Individuals with type 2 diabetes registered in the Swedish National Diabetes Registry 1998–2012 (n = 266,305) were compared with age-, sex- and county-matched control individuals without diabetes (n = 1,323,504), and followed over a median of 5.6 years until 31 December 2013. Results: We identified 266,305 individuals with type 2 diabetes (mean age 62.0 years, 45.3% women) and 1,323,504 control individuals. Of the individuals with type 2 diabetes and control individuals, 18,715 (7.0%) and 50,157 (3.8%) were hospitalised with a diagnosis of heart failure, respectively. Comparing individuals with diabetes with those in the control group, men and women with type 2 diabetes who were younger than 55 years of age had HRs for hospitalisation for heart failure of 2.07 (95% CI 1.73, 2.48) and 4.59 (95% CI 3.50, 6.02), respectively, using analyses adjusted for socioeconomic variables and associated conditions. Younger age, poorer glycaemic control and deteriorating renal function were all associated with increased excess risk of heart failure in those with type 2 diabetes compared with the control group. However, people with diabetes who were ≥75 years and without albuminuria or with good glycaemic control (HbA1c ≤52 mmol/mol [≤6.9%]) had a similar risk of hospitalisation for heart failure as control individuals in the same age group. Conclusions/interpretation: Men and women aged &lt;55 years with type 2 diabetes are at markedly elevated excess risk of heart failure. The excess risk declined with age, but persisted even with good glycaemic control. However, among those who were 75 years and older, diabetic individuals with well controlled glucose levels or without albuminuria had a risk of heart failure that was on a par with individuals without diabetes.","author":[{"dropping-particle":"","family":"Rosengren","given":"Annika","non-dropping-particle":"","parse-names":false,"suffix":""},{"dropping-particle":"","family":"Edqvist","given":"Jon","non-dropping-particle":"","parse-names":false,"suffix":""},{"dropping-particle":"","family":"Rawshani","given":"Araz","non-dropping-particle":"","parse-names":false,"suffix":""},{"dropping-particle":"","family":"Sattar","given":"Naveed","non-dropping-particle":"","parse-names":false,"suffix":""},{"dropping-particle":"","family":"Franzén","given":"Stefan","non-dropping-particle":"","parse-names":false,"suffix":""},{"dropping-particle":"","family":"Adiels","given":"Martin","non-dropping-particle":"","parse-names":false,"suffix":""},{"dropping-particle":"","family":"Svensson","given":"Ann Marie","non-dropping-particle":"","parse-names":false,"suffix":""},{"dropping-particle":"","family":"Lind","given":"Marcus","non-dropping-particle":"","parse-names":false,"suffix":""},{"dropping-particle":"","family":"Gudbjörnsdottir","given":"Soffia","non-dropping-particle":"","parse-names":false,"suffix":""}],"container-title":"Diabetologia","id":"ITEM-3","issue":"11","issued":{"date-parts":[["2018","11","1"]]},"page":"2300-2309","publisher":"Springer Verlag","title":"Excess risk of hospitalisation for heart failure among people with type 2 diabetes","type":"article-journal","volume":"61"},"uris":["http://www.mendeley.com/documents/?uuid=528698f8-9987-39d6-83f8-e4ac4913717d"]}],"mendeley":{"formattedCitation":"(25–27)","plainTextFormattedCitation":"(25–27)","previouslyFormattedCitation":"(25–27)"},"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(25–27)</w:t>
      </w:r>
      <w:r w:rsidR="000F3AD7" w:rsidRPr="004661E9">
        <w:rPr>
          <w:rFonts w:ascii="Arial" w:hAnsi="Arial" w:cs="Arial"/>
        </w:rPr>
        <w:fldChar w:fldCharType="end"/>
      </w:r>
      <w:r w:rsidR="000B44DF" w:rsidRPr="004661E9">
        <w:rPr>
          <w:rFonts w:ascii="Arial" w:hAnsi="Arial" w:cs="Arial"/>
        </w:rPr>
        <w:t>.</w:t>
      </w:r>
      <w:r w:rsidR="007A7A54" w:rsidRPr="004661E9">
        <w:rPr>
          <w:rFonts w:ascii="Arial" w:hAnsi="Arial" w:cs="Arial"/>
        </w:rPr>
        <w:t xml:space="preserve"> </w:t>
      </w:r>
      <w:bookmarkStart w:id="9" w:name="_Hlk43800640"/>
      <w:r w:rsidR="007A7A54" w:rsidRPr="004661E9">
        <w:rPr>
          <w:rFonts w:ascii="Arial" w:hAnsi="Arial" w:cs="Arial"/>
        </w:rPr>
        <w:t>In addition</w:t>
      </w:r>
      <w:r w:rsidR="007A3AB8" w:rsidRPr="004661E9">
        <w:rPr>
          <w:rFonts w:ascii="Arial" w:hAnsi="Arial" w:cs="Arial"/>
        </w:rPr>
        <w:t xml:space="preserve">, HF </w:t>
      </w:r>
      <w:r w:rsidR="008A49DA" w:rsidRPr="004661E9">
        <w:rPr>
          <w:rFonts w:ascii="Arial" w:hAnsi="Arial" w:cs="Arial"/>
        </w:rPr>
        <w:t>may</w:t>
      </w:r>
      <w:r w:rsidR="007A3AB8" w:rsidRPr="004661E9">
        <w:rPr>
          <w:rFonts w:ascii="Arial" w:hAnsi="Arial" w:cs="Arial"/>
        </w:rPr>
        <w:t xml:space="preserve"> contribute to </w:t>
      </w:r>
      <w:r w:rsidR="008E11EF" w:rsidRPr="004661E9">
        <w:rPr>
          <w:rFonts w:ascii="Arial" w:hAnsi="Arial" w:cs="Arial"/>
        </w:rPr>
        <w:t xml:space="preserve">the </w:t>
      </w:r>
      <w:r w:rsidR="007A3AB8" w:rsidRPr="004661E9">
        <w:rPr>
          <w:rFonts w:ascii="Arial" w:hAnsi="Arial" w:cs="Arial"/>
        </w:rPr>
        <w:t xml:space="preserve">pathogenesis of </w:t>
      </w:r>
      <w:r w:rsidR="004B4E14" w:rsidRPr="004661E9">
        <w:rPr>
          <w:rFonts w:ascii="Arial" w:hAnsi="Arial" w:cs="Arial"/>
        </w:rPr>
        <w:t>IR</w:t>
      </w:r>
      <w:r w:rsidR="007A3AB8" w:rsidRPr="004661E9">
        <w:rPr>
          <w:rFonts w:ascii="Arial" w:hAnsi="Arial" w:cs="Arial"/>
        </w:rPr>
        <w:t xml:space="preserve"> and</w:t>
      </w:r>
      <w:r w:rsidR="004B2E5A" w:rsidRPr="004661E9">
        <w:rPr>
          <w:rFonts w:ascii="Arial" w:hAnsi="Arial" w:cs="Arial"/>
        </w:rPr>
        <w:t xml:space="preserve"> </w:t>
      </w:r>
      <w:r w:rsidR="00A912E0" w:rsidRPr="004661E9">
        <w:rPr>
          <w:rFonts w:ascii="Arial" w:hAnsi="Arial" w:cs="Arial"/>
        </w:rPr>
        <w:t>T2DM</w:t>
      </w:r>
      <w:r w:rsidR="000B44DF" w:rsidRPr="004661E9">
        <w:rPr>
          <w:rFonts w:ascii="Arial" w:hAnsi="Arial" w:cs="Arial"/>
        </w:rPr>
        <w:t xml:space="preserve"> </w:t>
      </w:r>
      <w:bookmarkEnd w:id="9"/>
      <w:r w:rsidR="000F3AD7" w:rsidRPr="004661E9">
        <w:rPr>
          <w:rFonts w:ascii="Arial" w:hAnsi="Arial" w:cs="Arial"/>
        </w:rPr>
        <w:fldChar w:fldCharType="begin" w:fldLock="1"/>
      </w:r>
      <w:r w:rsidR="000962ED" w:rsidRPr="004661E9">
        <w:rPr>
          <w:rFonts w:ascii="Arial" w:hAnsi="Arial" w:cs="Arial"/>
        </w:rPr>
        <w:instrText>ADDIN CSL_CITATION {"citationItems":[{"id":"ITEM-1","itemData":{"DOI":"10.1016/S0002-9343(02)01530-9","ISSN":"00029343","abstract":"PURPOSE: Recent reports suggest that decreased functional capacity in patients with heart failure may be associated with abnormalities in glucose metabolism. We followed patients with coronary artery disease who participated in the Bezafibrate Infarction Prevention study to determine the incidence of diabetes by baseline functional status during a 7.7-year follow-up. METHODS: The sample comprised 2616 nondiabetic patients aged 45 to 74 years with a fasting blood glucose level &lt;7 mmol/L (126 mg/dL). They were divided into three groups by New York Heart Association (NYHA) criteria: class I (n = 1986 patients), class II (n = 518), and class III (n = 112). The detection of a fasting blood glucose level ≥7 mmol/L during follow-up was defined as the criterion for the development of diabetes. RESULTS: The study groups had similar demographic and clinical characteristics, except that patients with symptomatic heart failure (NYHA class II or III) were more likely to have angina. During follow-up, diabetes developed in 259 patients (13%) in NYHA class I, 76 (15%) in class II, and 22 (20%) in class III (P for trend = 0.05). At the last visit, patients in NYHA class III were twice as likely (17% [n = 19]) to have fasting blood glucose levels ≥7 mmol/L as those in NYHA class I (7.8% [n = 154]) or class II (8.7% [n = 45]) (P = 0.005). In a multivariate analysis, NYHA class III was associated with a 1.7-fold (95% confidence interval [CI]: 1.1 to 2.6) increase in the rate of development of diabetes, but NYHA class II was not (hazard ratio = 1.0; 95% CI: 0.8 to 1.3). CONCLUSION: Among patients with coronary artery disease, advanced heart failure (NYHA class III) is associated with a significantly increased risk of developing diabetes during a 6- to 9-year follow-up. © 2003 by Excerpta Medica Inc.","author":[{"dropping-particle":"","family":"Tenenbaum","given":"Alexander","non-dropping-particle":"","parse-names":false,"suffix":""},{"dropping-particle":"","family":"Motro","given":"Michael","non-dropping-particle":"","parse-names":false,"suffix":""},{"dropping-particle":"","family":"Fisman","given":"Enrique Z.","non-dropping-particle":"","parse-names":false,"suffix":""},{"dropping-particle":"","family":"Leor","given":"Jonathan","non-dropping-particle":"","parse-names":false,"suffix":""},{"dropping-particle":"","family":"Freimark","given":"Dov","non-dropping-particle":"","parse-names":false,"suffix":""},{"dropping-particle":"","family":"Boyko","given":"Valentina","non-dropping-particle":"","parse-names":false,"suffix":""},{"dropping-particle":"","family":"Mandelzweig","given":"Lori","non-dropping-particle":"","parse-names":false,"suffix":""},{"dropping-particle":"","family":"Adler","given":"Yehuda","non-dropping-particle":"","parse-names":false,"suffix":""},{"dropping-particle":"","family":"Sherer","given":"Yaniv","non-dropping-particle":"","parse-names":false,"suffix":""},{"dropping-particle":"","family":"Behar","given":"Solomon","non-dropping-particle":"","parse-names":false,"suffix":""}],"container-title":"American Journal of Medicine","id":"ITEM-1","issue":"4","issued":{"date-parts":[["2003"]]},"page":"271-275","publisher":"Elsevier Inc.","title":"Functional class in patients with heart failure is associated with the development of diabetes","type":"article-journal","volume":"114"},"uris":["http://www.mendeley.com/documents/?uuid=5fbf481c-c63e-3830-aee1-c11c6f399666"]}],"mendeley":{"formattedCitation":"(28)","plainTextFormattedCitation":"(28)","previouslyFormattedCitation":"(28)"},"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(28)</w:t>
      </w:r>
      <w:r w:rsidR="000F3AD7" w:rsidRPr="004661E9">
        <w:rPr>
          <w:rFonts w:ascii="Arial" w:hAnsi="Arial" w:cs="Arial"/>
        </w:rPr>
        <w:fldChar w:fldCharType="end"/>
      </w:r>
      <w:r w:rsidR="000B44DF" w:rsidRPr="004661E9">
        <w:rPr>
          <w:rFonts w:ascii="Arial" w:hAnsi="Arial" w:cs="Arial"/>
        </w:rPr>
        <w:t>.</w:t>
      </w:r>
      <w:r w:rsidR="007A7A54" w:rsidRPr="004661E9">
        <w:rPr>
          <w:rFonts w:ascii="Arial" w:hAnsi="Arial" w:cs="Arial"/>
        </w:rPr>
        <w:t xml:space="preserve"> </w:t>
      </w:r>
      <w:r w:rsidR="004B2E5A" w:rsidRPr="004661E9">
        <w:rPr>
          <w:rFonts w:ascii="Arial" w:hAnsi="Arial" w:cs="Arial"/>
        </w:rPr>
        <w:t xml:space="preserve">The </w:t>
      </w:r>
      <w:r w:rsidR="007A7A54" w:rsidRPr="004661E9">
        <w:rPr>
          <w:rFonts w:ascii="Arial" w:hAnsi="Arial" w:cs="Arial"/>
        </w:rPr>
        <w:t xml:space="preserve">shared underlying risk factors and the overlap of the pathophysiological mechanisms play a critical role in the frequent coexistence of </w:t>
      </w:r>
      <w:r w:rsidR="004B2E5A" w:rsidRPr="004661E9">
        <w:rPr>
          <w:rFonts w:ascii="Arial" w:hAnsi="Arial" w:cs="Arial"/>
        </w:rPr>
        <w:t>T2</w:t>
      </w:r>
      <w:r w:rsidR="007A7A54" w:rsidRPr="004661E9">
        <w:rPr>
          <w:rFonts w:ascii="Arial" w:hAnsi="Arial" w:cs="Arial"/>
        </w:rPr>
        <w:t>DM and HF.</w:t>
      </w:r>
      <w:r w:rsidRPr="004661E9">
        <w:rPr>
          <w:rFonts w:ascii="Arial" w:hAnsi="Arial" w:cs="Arial"/>
        </w:rPr>
        <w:t xml:space="preserve"> </w:t>
      </w:r>
      <w:r w:rsidR="00C83BB1" w:rsidRPr="004661E9">
        <w:rPr>
          <w:rFonts w:ascii="Arial" w:hAnsi="Arial" w:cs="Arial"/>
        </w:rPr>
        <w:t xml:space="preserve"> </w:t>
      </w:r>
    </w:p>
    <w:p w14:paraId="44D12053" w14:textId="77777777" w:rsidR="00C83BB1" w:rsidRPr="004661E9" w:rsidRDefault="00C83BB1" w:rsidP="004661E9">
      <w:pPr>
        <w:spacing w:after="0" w:line="276" w:lineRule="auto"/>
        <w:rPr>
          <w:rFonts w:ascii="Arial" w:hAnsi="Arial" w:cs="Arial"/>
        </w:rPr>
      </w:pPr>
    </w:p>
    <w:p w14:paraId="109D5ADC" w14:textId="2EDDBE42" w:rsidR="008035DA" w:rsidRPr="004661E9" w:rsidRDefault="00B179AD" w:rsidP="004661E9">
      <w:pPr>
        <w:spacing w:after="0" w:line="276" w:lineRule="auto"/>
        <w:rPr>
          <w:rFonts w:ascii="Arial" w:hAnsi="Arial" w:cs="Arial"/>
        </w:rPr>
      </w:pPr>
      <w:r w:rsidRPr="004661E9">
        <w:rPr>
          <w:rFonts w:ascii="Arial" w:hAnsi="Arial" w:cs="Arial"/>
        </w:rPr>
        <w:t>Based on the data from the National Health and Nutrition Examination Survey</w:t>
      </w:r>
      <w:r w:rsidR="001F57FC" w:rsidRPr="004661E9">
        <w:rPr>
          <w:rFonts w:ascii="Arial" w:hAnsi="Arial" w:cs="Arial"/>
        </w:rPr>
        <w:t xml:space="preserve"> (NH</w:t>
      </w:r>
      <w:r w:rsidR="00695EA9" w:rsidRPr="004661E9">
        <w:rPr>
          <w:rFonts w:ascii="Arial" w:hAnsi="Arial" w:cs="Arial"/>
        </w:rPr>
        <w:t>A</w:t>
      </w:r>
      <w:r w:rsidR="001F57FC" w:rsidRPr="004661E9">
        <w:rPr>
          <w:rFonts w:ascii="Arial" w:hAnsi="Arial" w:cs="Arial"/>
        </w:rPr>
        <w:t>NES)</w:t>
      </w:r>
      <w:r w:rsidRPr="004661E9">
        <w:rPr>
          <w:rFonts w:ascii="Arial" w:hAnsi="Arial" w:cs="Arial"/>
        </w:rPr>
        <w:t xml:space="preserve"> </w:t>
      </w:r>
      <w:r w:rsidR="00543EDD" w:rsidRPr="004661E9">
        <w:rPr>
          <w:rFonts w:ascii="Arial" w:hAnsi="Arial" w:cs="Arial"/>
        </w:rPr>
        <w:t xml:space="preserve">from </w:t>
      </w:r>
      <w:r w:rsidRPr="004661E9">
        <w:rPr>
          <w:rFonts w:ascii="Arial" w:hAnsi="Arial" w:cs="Arial"/>
        </w:rPr>
        <w:t>201</w:t>
      </w:r>
      <w:r w:rsidR="00436D8A" w:rsidRPr="004661E9">
        <w:rPr>
          <w:rFonts w:ascii="Arial" w:hAnsi="Arial" w:cs="Arial"/>
        </w:rPr>
        <w:t>5</w:t>
      </w:r>
      <w:r w:rsidRPr="004661E9">
        <w:rPr>
          <w:rFonts w:ascii="Arial" w:hAnsi="Arial" w:cs="Arial"/>
        </w:rPr>
        <w:t xml:space="preserve"> to 201</w:t>
      </w:r>
      <w:r w:rsidR="008146A6" w:rsidRPr="004661E9">
        <w:rPr>
          <w:rFonts w:ascii="Arial" w:hAnsi="Arial" w:cs="Arial"/>
        </w:rPr>
        <w:t>8</w:t>
      </w:r>
      <w:r w:rsidRPr="004661E9">
        <w:rPr>
          <w:rFonts w:ascii="Arial" w:hAnsi="Arial" w:cs="Arial"/>
        </w:rPr>
        <w:t>, the prevalence of HF is 2.</w:t>
      </w:r>
      <w:r w:rsidR="008146A6" w:rsidRPr="004661E9">
        <w:rPr>
          <w:rFonts w:ascii="Arial" w:hAnsi="Arial" w:cs="Arial"/>
        </w:rPr>
        <w:t>3</w:t>
      </w:r>
      <w:r w:rsidRPr="004661E9">
        <w:rPr>
          <w:rFonts w:ascii="Arial" w:hAnsi="Arial" w:cs="Arial"/>
        </w:rPr>
        <w:t>% in the US general adult population</w:t>
      </w:r>
      <w:r w:rsidR="008146A6" w:rsidRPr="004661E9">
        <w:rPr>
          <w:rFonts w:ascii="Arial" w:hAnsi="Arial" w:cs="Arial"/>
        </w:rPr>
        <w:t xml:space="preserve"> </w:t>
      </w:r>
      <w:r w:rsidR="00DB1913" w:rsidRPr="004661E9">
        <w:rPr>
          <w:rFonts w:ascii="Arial" w:hAnsi="Arial" w:cs="Arial"/>
        </w:rPr>
        <w:fldChar w:fldCharType="begin" w:fldLock="1"/>
      </w:r>
      <w:r w:rsidR="000962ED" w:rsidRPr="004661E9">
        <w:rPr>
          <w:rFonts w:ascii="Arial" w:hAnsi="Arial" w:cs="Arial"/>
        </w:rPr>
        <w:instrText>ADDIN CSL_CITATION {"citationItems":[{"id":"ITEM-1","itemData":{"DOI":"10.1161/CIR.0000000000001123","ISSN":"15244539","PMID":"36695182","abstract":"Background: The American Heart Association, in conjunction with the National Institutes of Health, annually reports the most up-to-date statistics related to heart disease, stroke, and cardiovascular risk factors, including core health behaviors (smoking, physical activity, diet, and weight) and health factors (cholesterol, blood pressure, and glucose control) that contribute to cardiovascular health. The Statistical Update presents the latest data on a range of major clinical heart and circulatory disease conditions (including stroke, congenital heart disease, rhythm disorders, subclinical atherosclerosis, coronary heart disease, heart failure, valvular disease, venous disease, and peripheral artery disease) and the associated outcomes (including quality of care, procedures, and economic costs). Methods: The American Heart Association, through its Epidemiology and Prevention Statistics Committee, continuously monitors and evaluates sources of data on heart disease and stroke in the United States to provide the most current information available in the annual Statistical Update with review of published literature through the year before writing. The 2023 Statistical Update is the product of a full year's worth of effort in 2022 by dedicated volunteer clinicians and scientists, committed government professionals, and American Heart Association staff members. The American Heart Association strives to further understand and help heal health problems inflicted by structural racism, a public health crisis that can significantly damage physical and mental health and perpetuate disparities in access to health care, education, income, housing, and several other factors vital to healthy lives. This year's edition includes additional COVID-19 (coronavirus disease 2019) publications, as well as data on the monitoring and benefits of cardiovascular health in the population, with an enhanced focus on health equity across several key domains. Results: Each of the chapters in the Statistical Update focuses on a different topic related to heart disease and stroke statistics. Conclusions: The Statistical Update represents a critical resource for the lay public, policymakers, media professionals, clinicians, health care administrators, researchers, health advocates, and others seeking the best available data on these factors and conditions.","author":[{"dropping-particle":"","family":"Tsao","given":"Connie W.","non-dropping-particle":"","parse-names":false,"suffix":""},{"dropping-particle":"","family":"Aday","given":"Aaron W.","non-dropping-particle":"","parse-names":false,"suffix":""},{"dropping-particle":"","family":"Almarzooq","given":"Zaid I.","non-dropping-particle":"","parse-names":false,"suffix":""},{"dropping-particle":"","family":"Anderson","given":"Cheryl A.M.","non-dropping-particle":"","parse-names":false,"suffix":""},{"dropping-particle":"","family":"Arora","given":"Pankaj","non-dropping-particle":"","parse-names":false,"suffix":""},{"dropping-particle":"","family":"Avery","given":"Christy L.","non-dropping-particle":"","parse-names":false,"suffix":""},{"dropping-particle":"","family":"Baker-Smith","given":"Carissa M.","non-dropping-particle":"","parse-names":false,"suffix":""},{"dropping-particle":"","family":"Beaton","given":"Andrea Z.","non-dropping-particle":"","parse-names":false,"suffix":""},{"dropping-particle":"","family":"Boehme","given":"Amelia K.","non-dropping-particle":"","parse-names":false,"suffix":""},{"dropping-particle":"","family":"Buxton","given":"Alfred E.","non-dropping-particle":"","parse-names":false,"suffix":""},{"dropping-particle":"","family":"Commodore-Mensah","given":"Yvonne","non-dropping-particle":"","parse-names":false,"suffix":""},{"dropping-particle":"","family":"Elkind","given":"Mitchell S.V.","non-dropping-particle":"","parse-names":false,"suffix":""},{"dropping-particle":"","family":"Evenson","given":"Kelly R.","non-dropping-particle":"","parse-names":false,"suffix":""},{"dropping-particle":"","family":"Eze-Nliam","given":"Chete","non-dropping-particle":"","parse-names":false,"suffix":""},{"dropping-particle":"","family":"Fugar","given":"Setri","non-dropping-particle":"","parse-names":false,"suffix":""},{"dropping-particle":"","family":"Generoso","given":"Giuliano","non-dropping-particle":"","parse-names":false,"suffix":""},{"dropping-particle":"","family":"Heard","given":"Debra G.","non-dropping-particle":"","parse-names":false,"suffix":""},{"dropping-particle":"","family":"Hiremath","given":"Swapnil","non-dropping-particle":"","parse-names":false,"suffix":""},{"dropping-particle":"","family":"Ho","given":"Jennifer E.","non-dropping-particle":"","parse-names":false,"suffix":""},{"dropping-particle":"","family":"Kalani","given":"Rizwan","non-dropping-particle":"","parse-names":false,"suffix":""},{"dropping-particle":"","family":"Kazi","given":"Dhruv S.","non-dropping-particle":"","parse-names":false,"suffix":""},{"dropping-particle":"","family":"Ko","given":"Darae","non-dropping-particle":"","parse-names":false,"suffix":""},{"dropping-particle":"","family":"Levine","given":"Deborah A.","non-dropping-particle":"","parse-names":false,"suffix":""},{"dropping-particle":"","family":"Liu","given":"Junxiu","non-dropping-particle":"","parse-names":false,"suffix":""},{"dropping-particle":"","family":"Ma","given":"Jun","non-dropping-particle":"","parse-names":false,"suffix":""},{"dropping-particle":"","family":"Magnani","given":"Jared W.","non-dropping-particle":"","parse-names":false,"suffix":""},{"dropping-particle":"","family":"Michos","given":"Erin D.","non-dropping-particle":"","parse-names":false,"suffix":""},{"dropping-particle":"","family":"Mussolino","given":"Michael E.","non-dropping-particle":"","parse-names":false,"suffix":""},{"dropping-particle":"","family":"Navaneethan","given":"Sankar D.","non-dropping-particle":"","parse-names":false,"suffix":""},{"dropping-particle":"","family":"Parikh","given":"Nisha I.","non-dropping-particle":"","parse-names":false,"suffix":""},{"dropping-particle":"","family":"Poudel","given":"Remy","non-dropping-particle":"","parse-names":false,"suffix":""},{"dropping-particle":"","family":"Rezk-Hanna","given":"Mary","non-dropping-particle":"","parse-names":false,"suffix":""},{"dropping-particle":"","family":"Roth","given":"Gregory A.","non-dropping-particle":"","parse-names":false,"suffix":""},{"dropping-particle":"","family":"Shah","given":"Nilay S.","non-dropping-particle":"","parse-names":false,"suffix":""},{"dropping-particle":"","family":"St-Onge","given":"Marie Pierre","non-dropping-particle":"","parse-names":false,"suffix":""},{"dropping-particle":"","family":"Thacker","given":"Evan L.","non-dropping-particle":"","parse-names":false,"suffix":""},{"dropping-particle":"","family":"Virani","given":"Salim S.","non-dropping-particle":"","parse-names":false,"suffix":""},{"dropping-particle":"","family":"Voeks","given":"Jenifer H.","non-dropping-particle":"","parse-names":false,"suffix":""},{"dropping-particle":"","family":"Wang","given":"Nae Yuh","non-dropping-particle":"","parse-names":false,"suffix":""},{"dropping-particle":"","family":"Wong","given":"Nathan D.","non-dropping-particle":"","parse-names":false,"suffix":""},{"dropping-particle":"","family":"Wong","given":"Sally S.","non-dropping-particle":"","parse-names":false,"suffix":""},{"dropping-particle":"","family":"Yaffe","given":"Kristine","non-dropping-particle":"","parse-names":false,"suffix":""},{"dropping-particle":"","family":"Martin","given":"Seth S.","non-dropping-particle":"","parse-names":false,"suffix":""}],"container-title":"Circulation","id":"ITEM-1","issue":"8","issued":{"date-parts":[["2023","2","21"]]},"page":"E93-E621","publisher":"Lippincott Williams and Wilkins","title":"Heart Disease and Stroke Statistics - 2023 Update: A Report from the American Heart Association","type":"article-journal","volume":"147"},"uris":["http://www.mendeley.com/documents/?uuid=7b45f60e-7f9e-3995-b8fc-800b6c1798b3"]}],"mendeley":{"formattedCitation":"(29)","plainTextFormattedCitation":"(29)","previouslyFormattedCitation":"(29)"},"properties":{"noteIndex":0},"schema":"https://github.com/citation-style-language/schema/raw/master/csl-citation.json"}</w:instrText>
      </w:r>
      <w:r w:rsidR="00DB1913" w:rsidRPr="004661E9">
        <w:rPr>
          <w:rFonts w:ascii="Arial" w:hAnsi="Arial" w:cs="Arial"/>
        </w:rPr>
        <w:fldChar w:fldCharType="separate"/>
      </w:r>
      <w:r w:rsidR="000962ED" w:rsidRPr="004661E9">
        <w:rPr>
          <w:rFonts w:ascii="Arial" w:hAnsi="Arial" w:cs="Arial"/>
          <w:noProof/>
        </w:rPr>
        <w:t>(29)</w:t>
      </w:r>
      <w:r w:rsidR="00DB1913" w:rsidRPr="004661E9">
        <w:rPr>
          <w:rFonts w:ascii="Arial" w:hAnsi="Arial" w:cs="Arial"/>
        </w:rPr>
        <w:fldChar w:fldCharType="end"/>
      </w:r>
      <w:r w:rsidR="000B44DF" w:rsidRPr="004661E9">
        <w:rPr>
          <w:rFonts w:ascii="Arial" w:hAnsi="Arial" w:cs="Arial"/>
        </w:rPr>
        <w:t>.</w:t>
      </w:r>
      <w:r w:rsidRPr="004661E9">
        <w:rPr>
          <w:rFonts w:ascii="Arial" w:hAnsi="Arial" w:cs="Arial"/>
        </w:rPr>
        <w:t xml:space="preserve"> The prevalence of HF </w:t>
      </w:r>
      <w:r w:rsidR="00943F29" w:rsidRPr="004661E9">
        <w:rPr>
          <w:rFonts w:ascii="Arial" w:hAnsi="Arial" w:cs="Arial"/>
        </w:rPr>
        <w:t xml:space="preserve">in </w:t>
      </w:r>
      <w:r w:rsidR="00861472" w:rsidRPr="004661E9">
        <w:rPr>
          <w:rFonts w:ascii="Arial" w:hAnsi="Arial" w:cs="Arial"/>
        </w:rPr>
        <w:t>individuals</w:t>
      </w:r>
      <w:r w:rsidR="00943F29" w:rsidRPr="004661E9">
        <w:rPr>
          <w:rFonts w:ascii="Arial" w:hAnsi="Arial" w:cs="Arial"/>
        </w:rPr>
        <w:t xml:space="preserve"> with </w:t>
      </w:r>
      <w:r w:rsidR="00A36DE2" w:rsidRPr="004661E9">
        <w:rPr>
          <w:rFonts w:ascii="Arial" w:hAnsi="Arial" w:cs="Arial"/>
        </w:rPr>
        <w:t>diabetes</w:t>
      </w:r>
      <w:r w:rsidR="00EB04B0" w:rsidRPr="004661E9">
        <w:rPr>
          <w:rFonts w:ascii="Arial" w:hAnsi="Arial" w:cs="Arial"/>
        </w:rPr>
        <w:t xml:space="preserve"> ranges between 9% and</w:t>
      </w:r>
      <w:r w:rsidR="00943F29" w:rsidRPr="004661E9">
        <w:rPr>
          <w:rFonts w:ascii="Arial" w:hAnsi="Arial" w:cs="Arial"/>
        </w:rPr>
        <w:t xml:space="preserve"> 22%</w:t>
      </w:r>
      <w:r w:rsidR="00D2537D" w:rsidRPr="004661E9">
        <w:rPr>
          <w:rFonts w:ascii="Arial" w:hAnsi="Arial" w:cs="Arial"/>
        </w:rPr>
        <w:t>,</w:t>
      </w:r>
      <w:r w:rsidR="00943F29" w:rsidRPr="004661E9">
        <w:rPr>
          <w:rFonts w:ascii="Arial" w:hAnsi="Arial" w:cs="Arial"/>
        </w:rPr>
        <w:t xml:space="preserve"> depending on the </w:t>
      </w:r>
      <w:r w:rsidR="006F2849" w:rsidRPr="004661E9">
        <w:rPr>
          <w:rFonts w:ascii="Arial" w:hAnsi="Arial" w:cs="Arial"/>
        </w:rPr>
        <w:t xml:space="preserve">characteristics of the </w:t>
      </w:r>
      <w:r w:rsidR="00943F29" w:rsidRPr="004661E9">
        <w:rPr>
          <w:rFonts w:ascii="Arial" w:hAnsi="Arial" w:cs="Arial"/>
        </w:rPr>
        <w:t>population studied</w:t>
      </w:r>
      <w:r w:rsidR="000B44DF"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{"citationItems":[{"id":"ITEM-1","itemData":{"DOI":"10.2337/diacare.27.8.1879","ISSN":"01495992","PMID":"15277411","abstract":"OBJECTIVE - The aims of this study were to update previous estimates of the congestive heart failure (CHF) incidence rate in patients with type 2 diabetes, compare it with an age- and sex-matched nondiabetic group, and describe risk factors for developing CHF in diabetic patients over 6 years of follow-up. RESEARCH DESIGN AND METHODS - We performed a retrospective cohort study of 8,231 patients with type 2 diabetes and 8,845 nondiabetic patients of similar age and sex who did not have CHF as of 1 January 1997, following them for up to 72 months to estimate the CHF incidence rate. In the diabetic cohort, we constructed a Cox regression model to identify risk factors for CHF development. RESULTS - Patients with diabetes were much more likely to develop CHF than patients without diabetes (incidence rate 30.9 vs. 12.4 cases per 1,000 person-years, rate ratio 2.5, 95% CI 2.3-2.7). The difference in CHF development rates between persons with and without diabetes was much greater in younger age-groups. In addition to age and ischemic heart disease, poorer glycemic control (hazard ratio 1.32 per percentage point of HbA1c) and greater BMI (1.12 per 2.5 units of BMI) were important predictors of CHF development. CONCLUSIONS - The CHF incidence rate in type 2 diabetes may be much greater than previously believed. Our multivariate results emphasize the importance of controlling modifiable risk factors for CHF, namely hyperglycemia, elevated blood pressure, and obesity. Younger patients may benefit most from risk factor modification.","author":[{"dropping-particle":"","family":"Nichols","given":"Gregory A.","non-dropping-particle":"","parse-names":false,"suffix":""},{"dropping-particle":"","family":"Gullion","given":"Christina M.","non-dropping-particle":"","parse-names":false,"suffix":""},{"dropping-particle":"","family":"Koro","given":"Carol E.","non-dropping-particle":"","parse-names":false,"suffix":""},{"dropping-particle":"","family":"Ephross","given":"Sara A.","non-dropping-particle":"","parse-names":false,"suffix":""},{"dropping-particle":"","family":"Brown","given":"Jonathan B.","non-dropping-particle":"","parse-names":false,"suffix":""}],"container-title":"Diabetes Care","id":"ITEM-1","issue":"8","issued":{"date-parts":[["2004","8","1"]]},"page":"1879-1884","publisher":"American Diabetes Association","title":"The incidence of congestive heart failure in type 2 diabetes: An update","type":"article-journal","volume":"27"},"uris":["http://www.mendeley.com/documents/?uuid=f1c719ef-20b5-3ee3-be4d-3141e092635a"]},{"id":"ITEM-2","itemData":{"DOI":"10.2337/diacare.27.3.699","ISSN":"01495992","abstract":"OBJECTIVE - The goal of this study was to determine heart failure prevalence and incidence rates, subsequent mortality, and risk factors for heart failure among older populations in Medicare with diabetes. RESEARCH DESIGN AND METHODS - We used a national 5% sample of Medicare claims from 1994 to 1999 to perform a population-based, nonconcurrent cohort study in 151,738 beneficiaries with diabetes who were age ≥65 years, not in managed care, and were alive on 1 January 1995. Prevalent heart failure was defined as a diagnosis of heart failure in 1994; incident heart failure was defined as a new diagnosis in 1995-1999 among those without prevalent heart failure. Mortality was assessed through 31 December 1999. RESULTS - Heart failure was prevalent in 22.3% in 1994. Among individuals without heart failure in 1994, the heart failure incidence rate was 12.6 per 100 person-years (95% CI 12.5-12.7 per 100 person-years). Incidence was similar by sex and race and increased significantly with age and diabetes-related comorbidities. The adjusted hazard of incident heart failure increased for individuals with the following: metabolic complications of diabetes (a proxy for poor control and/or severity) (hazards ratio 1.23, 95% CI 1.18-1.29), ischemic heart disease (1.74, 1.70-1.79), nephropathy (1.55, 1.45-1.67), and peripheral vascular disease (1.35, 1.31-1.39). Over 60 months, incident heart failure among older adults with diabetes was associated with high mortality-32.7 per 100 person-years compared with 3.7 per 100 person-years among those with diabetes who remained heart failure free. CONCLUSIONS - These data demonstrate alarmingly high prevalence, incidence, and mortality for heart failure in individuals with diabetes. Prevention of heart failure should be a research and clinical priority.","author":[{"dropping-particle":"","family":"Bertoni","given":"Alain G.","non-dropping-particle":"","parse-names":false,"suffix":""},{"dropping-particle":"","family":"Hundley","given":"W. Gregory","non-dropping-particle":"","parse-names":false,"suffix":""},{"dropping-particle":"","family":"Massing","given":"Mark W.","non-dropping-particle":"","parse-names":false,"suffix":""},{"dropping-particle":"","family":"Bonds","given":"Denise E.","non-dropping-particle":"","parse-names":false,"suffix":""},{"dropping-particle":"","family":"Burke","given":"Gregory L.","non-dropping-particle":"","parse-names":false,"suffix":""},{"dropping-particle":"","family":"Goff","given":"David C.","non-dropping-particle":"","parse-names":false,"suffix":""}],"container-title":"Diabetes Care","id":"ITEM-2","issue":"3","issued":{"date-parts":[["2004","3"]]},"page":"699-703","title":"Heart Failure Prevalence, Incidence, and Mortality in the Elderly with Diabetes","type":"article-journal","volume":"27"},"uris":["http://www.mendeley.com/documents/?uuid=2a72371c-4f04-3a83-84d9-346b43455a0f"]},{"id":"ITEM-3","itemData":{"DOI":"10.2337/diacare.28.3.612","ISSN":"01495992","abstract":"OBJECTIVE - Diabetes is an independent risk factor for heart failure, whereas the relation between heart failure and abnormal glucose regulation (AGR) needs further evaluation. We studied this combination in the Reykjavík Study. RESEARCH DESIGN AND METHODS - The Reykjavík Study, a population-based cohort study during 1967-1997, recruited 19,381 participants aged 33-84 years who were followed until 2002. Oral glucose tolerance tests and chest X-rays were obtained from all participants. Cases were defined in accordance with World Health Organization criteria for type 2 diabetes or AGR (impaired glucose tolerance or impaired fasting glucose) and European Society of Cardiology guidelines for heart failure. RESULTS - The overall prevalence of type 2 diabetes and heart failure was 0.5% in men and 0.4% in women, while AGR and heart failure were found in 0.7% of men and 0.6% of women. Among participants with normal glucose regulation, heart failure was diagnosed in 3.2% compared with 6.0 and 11.8% among those with AGR and type 2 diabetes, respectively. The prevalence of type 2 diabetes in the age-group 45-65 years increased in both sexes during the period (P for trend = 0.007). The odds ratio was 2.8 (95% CI 2.2-3.6) for the association between type 2 diabetes and heart failure and 1.7 (1.4-2.1) between AGR and heart failure. CONCLUSIONS - There is a strong association between any form of glucometabolic perturbation and heart failure. Future studies in this field should focus on all types of glucose abnormalities rather than previously diagnosed diabetes only. © 2005 by the American Diabetes Association.","author":[{"dropping-particle":"","family":"Thrainsdottir","given":"Inga S.","non-dropping-particle":"","parse-names":false,"suffix":""},{"dropping-particle":"","family":"Aspelund","given":"Thor","non-dropping-particle":"","parse-names":false,"suffix":""},{"dropping-particle":"","family":"Thorgeirsson","given":"Gudmundur","non-dropping-particle":"","parse-names":false,"suffix":""},{"dropping-particle":"","family":"Gudnason","given":"Vilmundur","non-dropping-particle":"","parse-names":false,"suffix":""},{"dropping-particle":"","family":"Hardarson","given":"Thordur","non-dropping-particle":"","parse-names":false,"suffix":""},{"dropping-particle":"","family":"Malmberg","given":"Klas","non-dropping-particle":"","parse-names":false,"suffix":""},{"dropping-particle":"","family":"Sigurdsson","given":"Gunnar","non-dropping-particle":"","parse-names":false,"suffix":""},{"dropping-particle":"","family":"Rydén","given":"Lars","non-dropping-particle":"","parse-names":false,"suffix":""}],"container-title":"Diabetes Care","id":"ITEM-3","issue":"3","issued":{"date-parts":[["2005","3","1"]]},"page":"612-616","publisher":"American Diabetes Association","title":"The association between glucose abnormalities and heart failure in the population-based Reykjavík Study","type":"article-journal","volume":"28"},"uris":["http://www.mendeley.com/documents/?uuid=70432d9c-e4a3-34ab-b06a-45eb15ec1901"]}],"mendeley":{"formattedCitation":"(6,8,9)","plainTextFormattedCitation":"(6,8,9)","previouslyFormattedCitation":"(6,8,9)"},"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(6,8,9)</w:t>
      </w:r>
      <w:r w:rsidR="000F3AD7" w:rsidRPr="004661E9">
        <w:rPr>
          <w:rFonts w:ascii="Arial" w:hAnsi="Arial" w:cs="Arial"/>
        </w:rPr>
        <w:fldChar w:fldCharType="end"/>
      </w:r>
      <w:r w:rsidR="000B44DF" w:rsidRPr="004661E9">
        <w:rPr>
          <w:rFonts w:ascii="Arial" w:hAnsi="Arial" w:cs="Arial"/>
        </w:rPr>
        <w:t>.</w:t>
      </w:r>
      <w:r w:rsidR="00943F29" w:rsidRPr="004661E9">
        <w:rPr>
          <w:rFonts w:ascii="Arial" w:hAnsi="Arial" w:cs="Arial"/>
        </w:rPr>
        <w:t xml:space="preserve"> </w:t>
      </w:r>
      <w:r w:rsidR="00A36DE2" w:rsidRPr="004661E9">
        <w:rPr>
          <w:rFonts w:ascii="Arial" w:hAnsi="Arial" w:cs="Arial"/>
        </w:rPr>
        <w:t>Diabetes</w:t>
      </w:r>
      <w:r w:rsidR="00047A73" w:rsidRPr="004661E9">
        <w:rPr>
          <w:rFonts w:ascii="Arial" w:hAnsi="Arial" w:cs="Arial"/>
        </w:rPr>
        <w:t xml:space="preserve"> is </w:t>
      </w:r>
      <w:r w:rsidR="000A20EA" w:rsidRPr="004661E9">
        <w:rPr>
          <w:rFonts w:ascii="Arial" w:hAnsi="Arial" w:cs="Arial"/>
        </w:rPr>
        <w:t xml:space="preserve">also </w:t>
      </w:r>
      <w:r w:rsidR="00047A73" w:rsidRPr="004661E9">
        <w:rPr>
          <w:rFonts w:ascii="Arial" w:hAnsi="Arial" w:cs="Arial"/>
        </w:rPr>
        <w:t xml:space="preserve">highly prevalent </w:t>
      </w:r>
      <w:r w:rsidR="000A20EA" w:rsidRPr="004661E9">
        <w:rPr>
          <w:rFonts w:ascii="Arial" w:hAnsi="Arial" w:cs="Arial"/>
        </w:rPr>
        <w:t xml:space="preserve">among patients with </w:t>
      </w:r>
      <w:r w:rsidR="002459A1" w:rsidRPr="004661E9">
        <w:rPr>
          <w:rFonts w:ascii="Arial" w:hAnsi="Arial" w:cs="Arial"/>
        </w:rPr>
        <w:t xml:space="preserve">HF. In major </w:t>
      </w:r>
      <w:r w:rsidR="00047A73" w:rsidRPr="004661E9">
        <w:rPr>
          <w:rFonts w:ascii="Arial" w:hAnsi="Arial" w:cs="Arial"/>
        </w:rPr>
        <w:t>contemporary drug trials of HF, 32% to 4</w:t>
      </w:r>
      <w:r w:rsidR="006C17FE" w:rsidRPr="004661E9">
        <w:rPr>
          <w:rFonts w:ascii="Arial" w:hAnsi="Arial" w:cs="Arial"/>
        </w:rPr>
        <w:t>3</w:t>
      </w:r>
      <w:r w:rsidR="00047A73" w:rsidRPr="004661E9">
        <w:rPr>
          <w:rFonts w:ascii="Arial" w:hAnsi="Arial" w:cs="Arial"/>
        </w:rPr>
        <w:t xml:space="preserve">% of patients with </w:t>
      </w:r>
      <w:r w:rsidR="006C17FE" w:rsidRPr="004661E9">
        <w:rPr>
          <w:rFonts w:ascii="Arial" w:hAnsi="Arial" w:cs="Arial"/>
        </w:rPr>
        <w:t xml:space="preserve">chronic </w:t>
      </w:r>
      <w:r w:rsidR="00047A73" w:rsidRPr="004661E9">
        <w:rPr>
          <w:rFonts w:ascii="Arial" w:hAnsi="Arial" w:cs="Arial"/>
        </w:rPr>
        <w:t>HF</w:t>
      </w:r>
      <w:r w:rsidR="002459A1" w:rsidRPr="004661E9">
        <w:rPr>
          <w:rFonts w:ascii="Arial" w:hAnsi="Arial" w:cs="Arial"/>
        </w:rPr>
        <w:t xml:space="preserve"> had </w:t>
      </w:r>
      <w:r w:rsidR="00C83BB1" w:rsidRPr="004661E9">
        <w:rPr>
          <w:rFonts w:ascii="Arial" w:hAnsi="Arial" w:cs="Arial"/>
        </w:rPr>
        <w:t>coexisting</w:t>
      </w:r>
      <w:r w:rsidR="002459A1" w:rsidRPr="004661E9">
        <w:rPr>
          <w:rFonts w:ascii="Arial" w:hAnsi="Arial" w:cs="Arial"/>
        </w:rPr>
        <w:t xml:space="preserve"> </w:t>
      </w:r>
      <w:r w:rsidR="00A36DE2" w:rsidRPr="004661E9">
        <w:rPr>
          <w:rFonts w:ascii="Arial" w:hAnsi="Arial" w:cs="Arial"/>
        </w:rPr>
        <w:t>diabetes</w:t>
      </w:r>
      <w:r w:rsidR="000B44DF"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{"citationItems":[{"id":"ITEM-1","itemData":{"DOI":"10.1056/NEJMoa1409077","ISSN":"0028-4793","PMID":"25176015","abstract":"Background We compared the angiotensin receptor-neprilysin inhibitor LCZ696 with enalapril in patients who had heart failure with a reduced ejection fraction. In previous studies, enalapril improved survival in such patients.\nMethods: In this double-blind trial, we randomly assigned 8442 patients with class II, III, or IV heart failure and an ejection fraction of 40% or less to receive either LCZ696 (at a dose of 200 mg twice daily) or enalapril (at a dose of 10 mg twice daily), in addition to recommended therapy. The primary outcome was a composite of death from cardiovascular causes or hospitalization for heart failure, but the trial was designed to detect a difference in the rates of death from cardiovascular causes.\nResults: The trial was stopped early, according to prespecified rules, after a median followup of 27 months, because the boundary for an overwhelming benefit with LCZ696 had been crossed. At the time of study closure, the primary outcome had occurred in 914 patients (21.8%) in the LCZ696 group and 1117 patients (26.5%) in the enalapril group (hazard ratio in the LCZ696 group, 0.80; 95% confidence interval [CI], 0.73 to 0.87; P&lt; 0.001). A total of 711 patients (17.0%) receiving LCZ696 and 835 patients (19.8%) receiving enalapril died (hazard ratio for death from any cause, 0.84; 95% CI, 0.76 to 0.93; P&lt; 0.001); of these patients, 558 (13.3%) and 693 (16.5%), respectively, died from cardiovascular causes (hazard ratio, 0.80; 95% CI, 0.71 to 0.89; P&lt; 0.001). As compared with enalapril, LCZ696 also reduced the risk of hospitalization for heart failure by 21% (P&lt; 0.001) and decreased the symptoms and physical limitations of heart failure (P = 0.001). The LCZ696 group had higher proportions of patients with hypotension and nonserious angioedema but lower proportions with renal impairment, hyperkalemia, and cough than the enalapril group.\nConclusions: LCZ696 was superior to enalapril in reducing the risks of death and of hospitalization for heart failure.","author":[{"dropping-particle":"","family":"McMurray","given":"John J.V.","non-dropping-particle":"","parse-names":false,"suffix":""},{"dropping-particle":"","family":"Packer","given":"Milton","non-dropping-particle":"","parse-names":false,"suffix":""},{"dropping-particle":"","family":"Desai","given":"Akshay S.","non-dropping-particle":"","parse-names":false,"suffix":""},{"dropping-particle":"","family":"Gong","given":"Jianjian","non-dropping-particle":"","parse-names":false,"suffix":""},{"dropping-particle":"","family":"Lefkowitz","given":"Martin P.","non-dropping-particle":"","parse-names":false,"suffix":""},{"dropping-particle":"","family":"Rizkala","given":"Adel R.","non-dropping-particle":"","parse-names":false,"suffix":""},{"dropping-particle":"","family":"Rouleau","given":"Jean L.","non-dropping-particle":"","parse-names":false,"suffix":""},{"dropping-particle":"","family":"Shi","given":"Victor C.","non-dropping-particle":"","parse-names":false,"suffix":""},{"dropping-particle":"","family":"Solomon","given":"Scott D.","non-dropping-particle":"","parse-names":false,"suffix":""},{"dropping-particle":"","family":"Swedberg","given":"Karl","non-dropping-particle":"","parse-names":false,"suffix":""},{"dropping-particle":"","family":"Zile","given":"Michael R.","non-dropping-particle":"","parse-names":false,"suffix":""}],"container-title":"New England Journal of Medicine","id":"ITEM-1","issue":"11","issued":{"date-parts":[["2014","9","11"]]},"page":"993-1004","publisher":"Massachussetts Medical Society","title":"Angiotensin–Neprilysin Inhibition versus Enalapril in Heart Failure","type":"article-journal","volume":"371"},"uris":["http://www.mendeley.com/documents/?uuid=6903db25-9918-4cde-9715-5e1266cee233"]},{"id":"ITEM-2","itemData":{"DOI":"10.1056/NEJMoa1908655","ISSN":"0028-4793","abstract":"The angiotensin receptor–neprilysin inhibitor sacubitril–valsartan led to a reduced risk of hospitalization for heart failure or death from cardiovascular causes among patients with heart failure and reduced ejection fraction. The effect of angiotensin receptor–neprily-sin inhibition in patients with heart failure with preserved ejection fraction is unclear. METHODS We randomly assigned 4822 patients with New York Heart Association (NYHA) class II to IV heart failure, ejection fraction of 45% or higher, elevated level of natriuretic peptides, and structural heart disease to receive sacubitril–valsartan (target dose, 97 mg of sacubitril with 103 mg of valsartan twice daily) or valsartan (target dose, 160 mg twice daily). The primary outcome was a composite of total hospitalizations for heart failure and death from cardiovascular causes. Primary outcome components, secondary outcomes (including NYHA class change, worsening renal function, and change in Kansas City Cardiomyopathy Questionnaire [KCCQ] clinical summary score [scale, 0 to 100, with higher scores indicating fewer symptoms and physical limitations]), and safety were also assessed. RESULTS There were 894 primary events in 526 patients in the sacubitril–valsartan group and 1009 primary events in 557 patients in the valsartan group (rate ratio, 0.87; 95% confidence interval [CI], 0.75 to 1.01; P=0.06). The incidence of death from cardiovascular causes was 8.5% in the sacubitril–valsartan group and 8.9% in the valsartan group (hazard ratio, 0.95; 95% CI, 0.79 to 1.16); there were 690 and 797 total hospitalizations for heart failure, respectively (rate ratio, 0.85; 95% CI, 0.72 to 1.00). NYHA class improved in 15.0% of the patients in the sacubitril–valsartan group and in 12.6% of those in the valsartan group (odds ratio, 1.45; 95% CI, 1.13 to 1.86); renal function worsened in 1.4% and 2.7%, respectively (hazard ratio, 0.50; 95% CI, 0.33 to 0.77). The mean change in the KCCQ clinical summary score at 8 months was 1.0 point (95% CI, 0.0 to 2.1) higher in the sacubitril–valsartan group. Patients in the sacubitril–valsartan group had a higher incidence of hypotension and angioedema and a lower incidence of hyperkalemia. Among 12 prespecified subgroups, there was suggestion of heterogeneity with possible benefit with sacubitril–valsartan in patients with lower ejection fraction and in women. CONCLUSIONS Sacubitril–valsartan did not result in a significantly lower rate of total hospitalizations for heart…","author":[{"dropping-particle":"","family":"Solomon","given":"Scott D.","non-dropping-particle":"","parse-names":false,"suffix":""},{"dropping-particle":"","family":"McMurray","given":"John J.V.","non-dropping-particle":"","parse-names":false,"suffix":""},{"dropping-particle":"","family":"Anand","given":"Inder S.","non-dropping-particle":"","parse-names":false,"suffix":""},{"dropping-particle":"","family":"Ge","given":"Junbo","non-dropping-particle":"","parse-names":false,"suffix":""},{"dropping-particle":"","family":"Lam","given":"Carolyn S.P.","non-dropping-particle":"","parse-names":false,"suffix":""},{"dropping-particle":"","family":"Maggioni","given":"Aldo P.","non-dropping-particle":"","parse-names":false,"suffix":""},{"dropping-particle":"","family":"Martinez","given":"Felipe","non-dropping-particle":"","parse-names":false,"suffix":""},{"dropping-particle":"","family":"Packer","given":"Milton","non-dropping-particle":"","parse-names":false,"suffix":""},{"dropping-particle":"","family":"Pfeffer","given":"Marc A.","non-dropping-particle":"","parse-names":false,"suffix":""},{"dropping-particle":"","family":"Pieske","given":"Burkert","non-dropping-particle":"","parse-names":false,"suffix":""},{"dropping-particle":"","family":"Redfield","given":"Margaret M.","non-dropping-particle":"","parse-names":false,"suffix":""},{"dropping-particle":"","family":"Rouleau","given":"Jean L.","non-dropping-particle":"","parse-names":false,"suffix":""},{"dropping-particle":"","family":"Veldhuisen","given":"Dirk J.","non-dropping-particle":"van","parse-names":false,"suffix":""},{"dropping-particle":"","family":"Zannad","given":"Faiez","non-dropping-particle":"","parse-names":false,"suffix":""},{"dropping-particle":"","family":"Zile","given":"Michael R.","non-dropping-particle":"","parse-names":false,"suffix":""},{"dropping-particle":"","family":"Desai","given":"Akshay S.","non-dropping-particle":"","parse-names":false,"suffix":""},{"dropping-particle":"","family":"Claggett","given":"Brian","non-dropping-particle":"","parse-names":false,"suffix":""},{"dropping-particle":"","family":"Jhund","given":"Pardeep S.","non-dropping-particle":"","parse-names":false,"suffix":""},{"dropping-particle":"","family":"Boytsov","given":"Sergey A.","non-dropping-particle":"","parse-names":false,"suffix":""},{"dropping-particle":"","family":"Comin-Colet","given":"Josep","non-dropping-particle":"","parse-names":false,"suffix":""},{"dropping-particle":"","family":"Cleland","given":"John","non-dropping-particle":"","parse-names":false,"suffix":""},{"dropping-particle":"","family":"Düngen","given":"Hans-Dirk","non-dropping-particle":"","parse-names":false,"suffix":""},{"dropping-particle":"","family":"Goncalvesova","given":"Eva","non-dropping-particle":"","parse-names":false,"suffix":""},{"dropping-particle":"","family":"Katova","given":"Tzvetana","non-dropping-particle":"","parse-names":false,"suffix":""},{"dropping-particle":"","family":"Kerr Saraiva","given":"Jose F.","non-dropping-particle":"","parse-names":false,"suffix":""},{"dropping-particle":"","family":"Lelonek","given":"Małgorzata","non-dropping-particle":"","parse-names":false,"suffix":""},{"dropping-particle":"","family":"Merkely","given":"Bela","non-dropping-particle":"","parse-names":false,"suffix":""},{"dropping-particle":"","family":"Senni","given":"Michele","non-dropping-particle":"","parse-names":false,"suffix":""},{"dropping-particle":"","family":"Shah","given":"Sanjiv J.","non-dropping-particle":"","parse-names":false,"suffix":""},{"dropping-particle":"","family":"Zhou","given":"Jingmin","non-dropping-particle":"","parse-names":false,"suffix":""},{"dropping-particle":"","family":"Rizkala","given":"Adel R.","non-dropping-particle":"","parse-names":false,"suffix":""},{"dropping-particle":"","family":"Gong","given":"Jianjian","non-dropping-particle":"","parse-names":false,"suffix":""},{"dropping-particle":"","family":"Shi","given":"Victor C.","non-dropping-particle":"","parse-names":false,"suffix":""},{"dropping-particle":"","family":"Lefkowitz","given":"Martin P.","non-dropping-particle":"","parse-names":false,"suffix":""}],"container-title":"New England Journal of Medicine","id":"ITEM-2","issue":"17","issued":{"date-parts":[["2019","10","24"]]},"page":"1609-1620","publisher":"Massachussetts Medical Society","title":"Angiotensin–Neprilysin Inhibition in Heart Failure with Preserved Ejection Fraction","type":"article-journal","volume":"381"},"uris":["http://www.mendeley.com/documents/?uuid=9d91d94b-5ccc-3306-9037-252fba7dbbca"]},{"id":"ITEM-3","itemData":{"DOI":"10.1056/NEJMoa1313731","ISSN":"0028-4793","abstract":"BACKGROUND: Mineralocorticoid-receptor antagonists improve the prognosis for patients with heart failure and a reduced left ventricular ejection fraction. We evaluated the effects of spironolactone in patients with heart failure and a preserved left ventricular ejection fraction. METHODS: In this randomized, double-blind trial, we assigned 3445 patients with symptomatic heart failure and a left ventricular ejection fraction of 45% or more to receive either spironolactone (15 to 45 mg daily) or placebo. The primary outcome was a composite of death from cardiovascular causes, aborted cardiac arrest, or hospitalization for the management of heart failure. RESULTS: With a mean follow-up of 3.3 years, the primary outcome occurred in 320 of 1722 patients in the spironolactone group (18.6%) and 351 of 1723 patients in the placebo group (20.4%) (hazard ratio, 0.89; 95% confidence interval [CI], 0.77 to 1.04; P = 0.14). Of the components of the primary outcome, only hospitalization for heart failure had a significantly lower incidence in the spironolactone group than in the placebo group (206 patients [12.0%] vs. 245 patients [14.2%]; hazard ratio, 0.83; 95% CI, 0.69 to 0.99, P = 0.04). Neither total deaths nor hospitalizations for any reason were significantly reduced by spironolactone. Treatment with spironolactone was associated with increased serum creatinine levels and a doubling of the rate of hyperkalemia (18.7%, vs. 9.1% in the placebo group) but reduced hypokalemia. With frequent monitoring, there were no significant differences in the incidence of serious adverse events, a serum creatinine level of 3.0 mg per deciliter (265 μmol per liter) or higher, or dialysis. CONCLUSIONS: In patients with heart failure and a preserved ejection fraction, treatment with spironolactone did not significantly reduce the incidence of the primary composite outcome of death from cardiovascular causes, aborted cardiac arrest, or hospitalization for the management of heart failure. Copyright © 2014 Massachusetts Medical Society.","author":[{"dropping-particle":"","family":"Pitt","given":"Bertram","non-dropping-particle":"","parse-names":false,"suffix":""},{"dropping-particle":"","family":"Pfeffer","given":"Marc A.","non-dropping-particle":"","parse-names":false,"suffix":""},{"dropping-particle":"","family":"Assmann","given":"Susan F.","non-dropping-particle":"","parse-names":false,"suffix":""},{"dropping-particle":"","family":"Boineau","given":"Robin","non-dropping-particle":"","parse-names":false,"suffix":""},{"dropping-particle":"","family":"Anand","given":"Inder S.","non-dropping-particle":"","parse-names":false,"suffix":""},{"dropping-particle":"","family":"Claggett","given":"Brian","non-dropping-particle":"","parse-names":false,"suffix":""},{"dropping-particle":"","family":"Clausell","given":"Nadine","non-dropping-particle":"","parse-names":false,"suffix":""},{"dropping-particle":"","family":"Desai","given":"Akshay S.","non-dropping-particle":"","parse-names":false,"suffix":""},{"dropping-particle":"","family":"Diaz","given":"Rafael","non-dropping-particle":"","parse-names":false,"suffix":""},{"dropping-particle":"","family":"Fleg","given":"Jerome L.","non-dropping-particle":"","parse-names":false,"suffix":""},{"dropping-particle":"","family":"Gordeev","given":"Ivan","non-dropping-particle":"","parse-names":false,"suffix":""},{"dropping-particle":"","family":"Harty","given":"Brian","non-dropping-particle":"","parse-names":false,"suffix":""},{"dropping-particle":"","family":"Heitner","given":"John F.","non-dropping-particle":"","parse-names":false,"suffix":""},{"dropping-particle":"","family":"Kenwood","given":"Christopher T.","non-dropping-particle":"","parse-names":false,"suffix":""},{"dropping-particle":"","family":"Lewis","given":"Eldrin F.","non-dropping-particle":"","parse-names":false,"suffix":""},{"dropping-particle":"","family":"O'Meara","given":"Eileen","non-dropping-particle":"","parse-names":false,"suffix":""},{"dropping-particle":"","family":"Probstfield","given":"Jeffrey L.","non-dropping-particle":"","parse-names":false,"suffix":""},{"dropping-particle":"","family":"Shaburishvili","given":"Tamaz","non-dropping-particle":"","parse-names":false,"suffix":""},{"dropping-particle":"","family":"Shah","given":"Sanjiv J.","non-dropping-particle":"","parse-names":false,"suffix":""},{"dropping-particle":"","family":"Solomon","given":"Scott D.","non-dropping-particle":"","parse-names":false,"suffix":""},{"dropping-particle":"","family":"Sweitzer","given":"Nancy K.","non-dropping-particle":"","parse-names":false,"suffix":""},{"dropping-particle":"","family":"Yang","given":"Song","non-dropping-particle":"","parse-names":false,"suffix":""},{"dropping-particle":"","family":"McKinlay","given":"Sonja M.","non-dropping-particle":"","parse-names":false,"suffix":""}],"container-title":"New England Journal of Medicine","id":"ITEM-3","issue":"15","issued":{"date-parts":[["2014","4","10"]]},"page":"1383-1392","publisher":"Massachussetts Medical Society","title":"Spironolactone for Heart Failure with Preserved Ejection Fraction","type":"article-journal","volume":"370"},"uris":["http://www.mendeley.com/documents/?uuid=16acf02a-f7e2-3395-a4ec-1f2849ac1d7d"]}],"mendeley":{"formattedCitation":"(12,30,31)","plainTextFormattedCitation":"(12,30,31)","previouslyFormattedCitation":"(12,30,31)"},"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(12,30,31)</w:t>
      </w:r>
      <w:r w:rsidR="000F3AD7" w:rsidRPr="004661E9">
        <w:rPr>
          <w:rFonts w:ascii="Arial" w:hAnsi="Arial" w:cs="Arial"/>
        </w:rPr>
        <w:fldChar w:fldCharType="end"/>
      </w:r>
      <w:r w:rsidR="000B44DF" w:rsidRPr="004661E9">
        <w:rPr>
          <w:rFonts w:ascii="Arial" w:hAnsi="Arial" w:cs="Arial"/>
        </w:rPr>
        <w:t>.</w:t>
      </w:r>
      <w:r w:rsidR="00047A73" w:rsidRPr="004661E9">
        <w:rPr>
          <w:rFonts w:ascii="Arial" w:hAnsi="Arial" w:cs="Arial"/>
        </w:rPr>
        <w:t xml:space="preserve"> </w:t>
      </w:r>
      <w:r w:rsidR="00133F45" w:rsidRPr="004661E9">
        <w:rPr>
          <w:rFonts w:ascii="Arial" w:hAnsi="Arial" w:cs="Arial"/>
        </w:rPr>
        <w:t>A report from a nationwide US registry</w:t>
      </w:r>
      <w:r w:rsidR="001F57FC" w:rsidRPr="004661E9">
        <w:rPr>
          <w:rFonts w:ascii="Arial" w:hAnsi="Arial" w:cs="Arial"/>
        </w:rPr>
        <w:t xml:space="preserve"> (NH</w:t>
      </w:r>
      <w:r w:rsidR="00695EA9" w:rsidRPr="004661E9">
        <w:rPr>
          <w:rFonts w:ascii="Arial" w:hAnsi="Arial" w:cs="Arial"/>
        </w:rPr>
        <w:t>A</w:t>
      </w:r>
      <w:r w:rsidR="001F57FC" w:rsidRPr="004661E9">
        <w:rPr>
          <w:rFonts w:ascii="Arial" w:hAnsi="Arial" w:cs="Arial"/>
        </w:rPr>
        <w:t>NES 2005-2016)</w:t>
      </w:r>
      <w:r w:rsidR="00F871EC" w:rsidRPr="004661E9">
        <w:rPr>
          <w:rFonts w:ascii="Arial" w:hAnsi="Arial" w:cs="Arial"/>
        </w:rPr>
        <w:t xml:space="preserve"> </w:t>
      </w:r>
      <w:r w:rsidR="00C763AA" w:rsidRPr="004661E9">
        <w:rPr>
          <w:rFonts w:ascii="Arial" w:hAnsi="Arial" w:cs="Arial"/>
        </w:rPr>
        <w:t>demonstrated that</w:t>
      </w:r>
      <w:r w:rsidR="00234E8F" w:rsidRPr="004661E9">
        <w:rPr>
          <w:rFonts w:ascii="Arial" w:hAnsi="Arial" w:cs="Arial"/>
        </w:rPr>
        <w:t>, among patient</w:t>
      </w:r>
      <w:r w:rsidR="008D0AC9" w:rsidRPr="004661E9">
        <w:rPr>
          <w:rFonts w:ascii="Arial" w:hAnsi="Arial" w:cs="Arial"/>
        </w:rPr>
        <w:t>s with HF,</w:t>
      </w:r>
      <w:r w:rsidR="00944588" w:rsidRPr="004661E9">
        <w:rPr>
          <w:rFonts w:ascii="Arial" w:hAnsi="Arial" w:cs="Arial"/>
        </w:rPr>
        <w:t xml:space="preserve"> the</w:t>
      </w:r>
      <w:r w:rsidR="00944588" w:rsidRPr="004661E9">
        <w:rPr>
          <w:rFonts w:ascii="Arial" w:hAnsi="Arial" w:cs="Arial"/>
          <w:shd w:val="clear" w:color="auto" w:fill="FFFFFF"/>
        </w:rPr>
        <w:t xml:space="preserve"> </w:t>
      </w:r>
      <w:r w:rsidR="00944588" w:rsidRPr="004661E9">
        <w:rPr>
          <w:rFonts w:ascii="Arial" w:hAnsi="Arial" w:cs="Arial"/>
        </w:rPr>
        <w:t xml:space="preserve">prevalence </w:t>
      </w:r>
      <w:r w:rsidR="00487B5F" w:rsidRPr="004661E9">
        <w:rPr>
          <w:rFonts w:ascii="Arial" w:hAnsi="Arial" w:cs="Arial"/>
        </w:rPr>
        <w:t xml:space="preserve">rates </w:t>
      </w:r>
      <w:r w:rsidR="00944588" w:rsidRPr="004661E9">
        <w:rPr>
          <w:rFonts w:ascii="Arial" w:hAnsi="Arial" w:cs="Arial"/>
        </w:rPr>
        <w:t xml:space="preserve">of diagnosed and undiagnosed T2DM </w:t>
      </w:r>
      <w:r w:rsidR="00487B5F" w:rsidRPr="004661E9">
        <w:rPr>
          <w:rFonts w:ascii="Arial" w:hAnsi="Arial" w:cs="Arial"/>
        </w:rPr>
        <w:t xml:space="preserve">were </w:t>
      </w:r>
      <w:r w:rsidR="00944588" w:rsidRPr="004661E9">
        <w:rPr>
          <w:rFonts w:ascii="Arial" w:hAnsi="Arial" w:cs="Arial"/>
        </w:rPr>
        <w:t>34.7</w:t>
      </w:r>
      <w:r w:rsidR="00487B5F" w:rsidRPr="004661E9">
        <w:rPr>
          <w:rFonts w:ascii="Arial" w:hAnsi="Arial" w:cs="Arial"/>
        </w:rPr>
        <w:t xml:space="preserve">% </w:t>
      </w:r>
      <w:r w:rsidR="00944588" w:rsidRPr="004661E9">
        <w:rPr>
          <w:rFonts w:ascii="Arial" w:hAnsi="Arial" w:cs="Arial"/>
        </w:rPr>
        <w:t>and 12.8%</w:t>
      </w:r>
      <w:r w:rsidR="00487B5F" w:rsidRPr="004661E9">
        <w:rPr>
          <w:rFonts w:ascii="Arial" w:hAnsi="Arial" w:cs="Arial"/>
        </w:rPr>
        <w:t>, respectively</w:t>
      </w:r>
      <w:r w:rsidR="00F810F8" w:rsidRPr="004661E9">
        <w:rPr>
          <w:rFonts w:ascii="Arial" w:hAnsi="Arial" w:cs="Arial"/>
        </w:rPr>
        <w:t xml:space="preserve"> </w:t>
      </w:r>
      <w:r w:rsidR="00F810F8" w:rsidRPr="004661E9">
        <w:rPr>
          <w:rFonts w:ascii="Arial" w:hAnsi="Arial" w:cs="Arial"/>
        </w:rPr>
        <w:fldChar w:fldCharType="begin" w:fldLock="1"/>
      </w:r>
      <w:r w:rsidR="000962ED" w:rsidRPr="004661E9">
        <w:rPr>
          <w:rFonts w:ascii="Arial" w:hAnsi="Arial" w:cs="Arial"/>
        </w:rPr>
        <w:instrText>ADDIN CSL_CITATION {"citationItems":[{"id":"ITEM-1","itemData":{"DOI":"10.1016/J.DIABRES.2022.109191","ISSN":"1872-8227","PMID":"35041861","abstract":"Aims: This study estimated national prevalence and trends of diagnosed and undiagnosed type 2 diabetes mellitus (T2DM) and prediabetes among heart failure (HF) patients in the U.S. Methods: This cross-sectional study included 527 participants aged 20+ years with a diagnosis of HF, using data from the National Health and Nutrition Examination Survey 2005–2016. We assessed prevalence estimates of diagnosed and undiagnosed T2DM and prediabetes stratified by age-standardized sociodemographic and health characteristics. Trends of T2DM and prediabetes prevalence were examined using logistic regressions. Results: Prevalence rates of diagnosed and undiagnosed T2DM among HF patients were 34.7% (95% confidence interval (CI), 29.2–40.3%) and 12.8% (95% CI, 9.2–16.9%), respectively. Prediabetes affected 39.1% (95% CI, 33.6–44.9%) of HF patients. Prevalence estimates of diagnosed T2DM were significantly different between non-Hispanic White (20.1% [95% CI, 13.5–27.6%]) and Hispanic participants (52.1% [95% CI, 35.9–68.0%]) (P &lt; 0.001). The prevalence of T2DM and prediabetes did not significantly change between 2005 and 2016. Conclusions: Prevalence rates of T2DM and prediabetes among community-dwelling HF patients in the U.S. remained high between 2005 and 2016. Prevention of and targeted intervention for T2DM among at-risk HF patients is needed, particularly among those of Hispanic origin.","author":[{"dropping-particle":"","family":"Ishikawa","given":"Yuta","non-dropping-particle":"","parse-names":false,"suffix":""},{"dropping-particle":"","family":"Lewis","given":"Richard D.","non-dropping-particle":"","parse-names":false,"suffix":""},{"dropping-particle":"","family":"Laing","given":"Emma M.","non-dropping-particle":"","parse-names":false,"suffix":""},{"dropping-particle":"","family":"Anderson","given":"Alex K.","non-dropping-particle":"","parse-names":false,"suffix":""},{"dropping-particle":"","family":"Zhang","given":"Donglan","non-dropping-particle":"","parse-names":false,"suffix":""},{"dropping-particle":"","family":"Quyyumi","given":"Arshed A.","non-dropping-particle":"","parse-names":false,"suffix":""},{"dropping-particle":"","family":"Dunbar","given":"Sandra B.","non-dropping-particle":"","parse-names":false,"suffix":""},{"dropping-particle":"","family":"Trivedi-Kapoor","given":"Rupal","non-dropping-particle":"","parse-names":false,"suffix":""},{"dropping-particle":"","family":"Sattler","given":"Elisabeth L.P.","non-dropping-particle":"","parse-names":false,"suffix":""}],"container-title":"Diabetes research and clinical practice","id":"ITEM-1","issued":{"date-parts":[["2022","2","1"]]},"publisher":"Diabetes Res Clin Pract","title":"Prevalence and trends of type 2 diabetes mellitus and prediabetes among community-dwelling heart failure patients in the United States","type":"article-journal","volume":"184"},"uris":["http://www.mendeley.com/documents/?uuid=d1a64761-b21f-374c-99be-6be9c2d314c9"]}],"mendeley":{"formattedCitation":"(32)","plainTextFormattedCitation":"(32)","previouslyFormattedCitation":"(32)"},"properties":{"noteIndex":0},"schema":"https://github.com/citation-style-language/schema/raw/master/csl-citation.json"}</w:instrText>
      </w:r>
      <w:r w:rsidR="00F810F8" w:rsidRPr="004661E9">
        <w:rPr>
          <w:rFonts w:ascii="Arial" w:hAnsi="Arial" w:cs="Arial"/>
        </w:rPr>
        <w:fldChar w:fldCharType="separate"/>
      </w:r>
      <w:r w:rsidR="000962ED" w:rsidRPr="004661E9">
        <w:rPr>
          <w:rFonts w:ascii="Arial" w:hAnsi="Arial" w:cs="Arial"/>
          <w:noProof/>
        </w:rPr>
        <w:t>(32)</w:t>
      </w:r>
      <w:r w:rsidR="00F810F8" w:rsidRPr="004661E9">
        <w:rPr>
          <w:rFonts w:ascii="Arial" w:hAnsi="Arial" w:cs="Arial"/>
        </w:rPr>
        <w:fldChar w:fldCharType="end"/>
      </w:r>
      <w:r w:rsidR="00944588" w:rsidRPr="004661E9">
        <w:rPr>
          <w:rFonts w:ascii="Arial" w:hAnsi="Arial" w:cs="Arial"/>
        </w:rPr>
        <w:t>.</w:t>
      </w:r>
      <w:r w:rsidR="008D0AC9" w:rsidRPr="004661E9">
        <w:rPr>
          <w:rFonts w:ascii="Arial" w:hAnsi="Arial" w:cs="Arial"/>
        </w:rPr>
        <w:t xml:space="preserve"> </w:t>
      </w:r>
    </w:p>
    <w:p w14:paraId="48BEBE22" w14:textId="77777777" w:rsidR="000B44DF" w:rsidRPr="004661E9" w:rsidRDefault="000B44DF" w:rsidP="004661E9">
      <w:pPr>
        <w:spacing w:after="0" w:line="276" w:lineRule="auto"/>
        <w:rPr>
          <w:rFonts w:ascii="Arial" w:hAnsi="Arial" w:cs="Arial"/>
        </w:rPr>
      </w:pPr>
    </w:p>
    <w:p w14:paraId="11C0A86B" w14:textId="320105A1" w:rsidR="007D4B33" w:rsidRPr="004661E9" w:rsidRDefault="00380C25" w:rsidP="004661E9">
      <w:pPr>
        <w:spacing w:after="0" w:line="276" w:lineRule="auto"/>
        <w:rPr>
          <w:rFonts w:ascii="Arial" w:hAnsi="Arial" w:cs="Arial"/>
        </w:rPr>
      </w:pPr>
      <w:r w:rsidRPr="004661E9">
        <w:rPr>
          <w:rFonts w:ascii="Arial" w:hAnsi="Arial" w:cs="Arial"/>
        </w:rPr>
        <w:t xml:space="preserve">HF is </w:t>
      </w:r>
      <w:r w:rsidR="007D262D" w:rsidRPr="004661E9">
        <w:rPr>
          <w:rFonts w:ascii="Arial" w:hAnsi="Arial" w:cs="Arial"/>
        </w:rPr>
        <w:t>a</w:t>
      </w:r>
      <w:r w:rsidRPr="004661E9">
        <w:rPr>
          <w:rFonts w:ascii="Arial" w:hAnsi="Arial" w:cs="Arial"/>
        </w:rPr>
        <w:t xml:space="preserve"> common </w:t>
      </w:r>
      <w:r w:rsidR="007D262D" w:rsidRPr="004661E9">
        <w:rPr>
          <w:rFonts w:ascii="Arial" w:hAnsi="Arial" w:cs="Arial"/>
        </w:rPr>
        <w:t>but</w:t>
      </w:r>
      <w:r w:rsidRPr="004661E9">
        <w:rPr>
          <w:rFonts w:ascii="Arial" w:hAnsi="Arial" w:cs="Arial"/>
        </w:rPr>
        <w:t xml:space="preserve"> often neglected </w:t>
      </w:r>
      <w:r w:rsidR="007D262D" w:rsidRPr="004661E9">
        <w:rPr>
          <w:rFonts w:ascii="Arial" w:hAnsi="Arial" w:cs="Arial"/>
        </w:rPr>
        <w:t xml:space="preserve">complication of </w:t>
      </w:r>
      <w:r w:rsidR="00A36DE2" w:rsidRPr="004661E9">
        <w:rPr>
          <w:rFonts w:ascii="Arial" w:hAnsi="Arial" w:cs="Arial"/>
        </w:rPr>
        <w:t>diabetes</w:t>
      </w:r>
      <w:r w:rsidR="000B44DF"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{"citationItems":[{"id":"ITEM-1","itemData":{"DOI":"10.1161/CIRCHEARTFAILURE.115.002560","ISSN":"19413297","abstract":"The prevalence of pre-diabetes mellitus and its consequences in patients with heart failure and reduced ejection fraction are not known. We investigated these in the Prospective Comparison of ARNI With ACEI to Determine Impact on Global Mortality and Morbidity in Heart Failure (PARADIGM-HF) trial. Methods and Results-We examined clinical outcomes in 8399 patients with heart failure and reduced ejection fraction according to history of diabetes mellitus and glycemic status (baseline hemoglobin A1c [HbA1c]: &lt;6.0% [&lt;42 mmol/mol], 6.0%-6.4% [42-47 mmol/mol; pre-diabetes mellitus], and ≥6.5% [≥48 mmol/mol; diabetes mellitus]), in Cox regression models adjusted for known predictors of poor outcome. Patients with a history of diabetes mellitus (n=2907 [35%]) had a higher risk of the primary composite outcome of heart failure hospitalization or cardiovascular mortality compared with those without a history of diabetes mellitus: adjusted hazard ratio, 1.38; 95% confidence interval, 1.25 to 1.52; P&lt;0.001. HbA1c measurement showed that an additional 1106 (13% of total) patients had undiagnosed diabetes mellitus and 2103 (25%) had pre-diabetes mellitus. The hazard ratio for patients with undiagnosed diabetes mellitus (HbA1c, &gt;6.5%) and known diabetes mellitus compared with those with HbA1c&lt;6.0% was 1.39 (1.17-1.64); P&lt;0.001 and 1.64 (1.43-1.87); P&lt;0.001, respectively. Patients with pre-diabetes mellitus were also at higher risk (hazard ratio, 1.27 [1.10-1.47]; P&lt;0.001) compared with those with HbA1c&lt;6.0%. The benefit of LCZ696 (sacubitril/valsartan) compared with enalapril was consistent across the range of HbA1c in the trial. Conclusions-In patients with heart failure and reduced ejection fraction, dysglycemia is common and pre-diabetes mellitus is associated with a higher risk of adverse cardiovascular outcomes (compared with patients with no diabetes mellitus and HbA1c &lt;6.0%). LCZ696 was beneficial compared with enalapril, irrespective of glycemic status.","author":[{"dropping-particle":"","family":"Kristensen","given":"Søren L.","non-dropping-particle":"","parse-names":false,"suffix":""},{"dropping-particle":"","family":"Preiss","given":"David","non-dropping-particle":"","parse-names":false,"suffix":""},{"dropping-particle":"","family":"Jhund","given":"Pardeep S.","non-dropping-particle":"","parse-names":false,"suffix":""},{"dropping-particle":"","family":"Squire","given":"Iain","non-dropping-particle":"","parse-names":false,"suffix":""},{"dropping-particle":"","family":"Cardoso","given":"Jose Silva","non-dropping-particle":"","parse-names":false,"suffix":""},{"dropping-particle":"","family":"Merkely","given":"Bela","non-dropping-particle":"","parse-names":false,"suffix":""},{"dropping-particle":"","family":"Martinez","given":"Felipe","non-dropping-particle":"","parse-names":false,"suffix":""},{"dropping-particle":"","family":"Starling","given":"Randall C.","non-dropping-particle":"","parse-names":false,"suffix":""},{"dropping-particle":"","family":"Desai","given":"Akshay S.","non-dropping-particle":"","parse-names":false,"suffix":""},{"dropping-particle":"","family":"Lefkowitz","given":"Martin P.","non-dropping-particle":"","parse-names":false,"suffix":""},{"dropping-particle":"","family":"Rizkala","given":"Adel R.","non-dropping-particle":"","parse-names":false,"suffix":""},{"dropping-particle":"","family":"Rouleau","given":"Jean L.","non-dropping-particle":"","parse-names":false,"suffix":""},{"dropping-particle":"","family":"Shi","given":"Victor C.","non-dropping-particle":"","parse-names":false,"suffix":""},{"dropping-particle":"","family":"Solomon","given":"Scott D.","non-dropping-particle":"","parse-names":false,"suffix":""},{"dropping-particle":"","family":"Swedberg","given":"Karl","non-dropping-particle":"","parse-names":false,"suffix":""},{"dropping-particle":"","family":"Zile","given":"Michael R.","non-dropping-particle":"","parse-names":false,"suffix":""},{"dropping-particle":"","family":"McMurray","given":"John J.V.","non-dropping-particle":"","parse-names":false,"suffix":""},{"dropping-particle":"","family":"Packer","given":"Milton","non-dropping-particle":"","parse-names":false,"suffix":""}],"container-title":"Circulation: Heart Failure","id":"ITEM-1","issue":"1","issued":{"date-parts":[["2016"]]},"page":"1-12","title":"Risk Related to Pre-Diabetes Mellitus and Diabetes Mellitus in Heart Failure with Reduced Ejection Fraction: Insights from Prospective Comparison of ARNI with ACEI to Determine Impact on Global Mortality and Morbidity in Heart Failure Trial","type":"article-journal","volume":"9"},"uris":["http://www.mendeley.com/documents/?uuid=3c815d27-4d84-4c4d-8bba-b6f00dcf5589"]}],"mendeley":{"formattedCitation":"(33)","plainTextFormattedCitation":"(33)","previouslyFormattedCitation":"(33)"},"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(33)</w:t>
      </w:r>
      <w:r w:rsidR="000F3AD7" w:rsidRPr="004661E9">
        <w:rPr>
          <w:rFonts w:ascii="Arial" w:hAnsi="Arial" w:cs="Arial"/>
        </w:rPr>
        <w:fldChar w:fldCharType="end"/>
      </w:r>
      <w:r w:rsidR="000B44DF" w:rsidRPr="004661E9">
        <w:rPr>
          <w:rFonts w:ascii="Arial" w:hAnsi="Arial" w:cs="Arial"/>
        </w:rPr>
        <w:t>.</w:t>
      </w:r>
      <w:r w:rsidR="007D262D" w:rsidRPr="004661E9">
        <w:rPr>
          <w:rFonts w:ascii="Arial" w:hAnsi="Arial" w:cs="Arial"/>
        </w:rPr>
        <w:t xml:space="preserve"> </w:t>
      </w:r>
      <w:bookmarkStart w:id="10" w:name="_Hlk43800693"/>
      <w:r w:rsidR="00715F68" w:rsidRPr="004661E9">
        <w:rPr>
          <w:rFonts w:ascii="Arial" w:hAnsi="Arial" w:cs="Arial"/>
        </w:rPr>
        <w:t xml:space="preserve">HF and </w:t>
      </w:r>
      <w:r w:rsidR="00E848BF" w:rsidRPr="004661E9">
        <w:rPr>
          <w:rFonts w:ascii="Arial" w:hAnsi="Arial" w:cs="Arial"/>
        </w:rPr>
        <w:t>cardiomyopathy</w:t>
      </w:r>
      <w:r w:rsidR="00715F68" w:rsidRPr="004661E9">
        <w:rPr>
          <w:rFonts w:ascii="Arial" w:hAnsi="Arial" w:cs="Arial"/>
        </w:rPr>
        <w:t xml:space="preserve"> have a heterogen</w:t>
      </w:r>
      <w:r w:rsidR="008E11EF" w:rsidRPr="004661E9">
        <w:rPr>
          <w:rFonts w:ascii="Arial" w:hAnsi="Arial" w:cs="Arial"/>
        </w:rPr>
        <w:t>e</w:t>
      </w:r>
      <w:r w:rsidR="00715F68" w:rsidRPr="004661E9">
        <w:rPr>
          <w:rFonts w:ascii="Arial" w:hAnsi="Arial" w:cs="Arial"/>
        </w:rPr>
        <w:t xml:space="preserve">ous etiology in patients with </w:t>
      </w:r>
      <w:r w:rsidR="00A36DE2" w:rsidRPr="004661E9">
        <w:rPr>
          <w:rFonts w:ascii="Arial" w:hAnsi="Arial" w:cs="Arial"/>
        </w:rPr>
        <w:t>diabetes</w:t>
      </w:r>
      <w:bookmarkEnd w:id="10"/>
      <w:r w:rsidR="00AA26E4" w:rsidRPr="004661E9">
        <w:rPr>
          <w:rFonts w:ascii="Arial" w:hAnsi="Arial" w:cs="Arial"/>
        </w:rPr>
        <w:t xml:space="preserve"> (Figure 1 and Figure 2)</w:t>
      </w:r>
      <w:r w:rsidR="000B44DF" w:rsidRPr="004661E9">
        <w:rPr>
          <w:rFonts w:ascii="Arial" w:hAnsi="Arial" w:cs="Arial"/>
        </w:rPr>
        <w:t>.</w:t>
      </w:r>
      <w:r w:rsidR="00715F68" w:rsidRPr="004661E9">
        <w:rPr>
          <w:rFonts w:ascii="Arial" w:hAnsi="Arial" w:cs="Arial"/>
        </w:rPr>
        <w:t xml:space="preserve"> </w:t>
      </w:r>
      <w:bookmarkStart w:id="11" w:name="_Hlk43800766"/>
      <w:r w:rsidR="008035DA" w:rsidRPr="004661E9">
        <w:rPr>
          <w:rFonts w:ascii="Arial" w:hAnsi="Arial" w:cs="Arial"/>
        </w:rPr>
        <w:t xml:space="preserve">The strong link between </w:t>
      </w:r>
      <w:r w:rsidR="00A36DE2" w:rsidRPr="004661E9">
        <w:rPr>
          <w:rFonts w:ascii="Arial" w:hAnsi="Arial" w:cs="Arial"/>
        </w:rPr>
        <w:t>diabetes</w:t>
      </w:r>
      <w:r w:rsidR="008035DA" w:rsidRPr="004661E9">
        <w:rPr>
          <w:rFonts w:ascii="Arial" w:hAnsi="Arial" w:cs="Arial"/>
        </w:rPr>
        <w:t xml:space="preserve"> and </w:t>
      </w:r>
      <w:r w:rsidR="007D4B33" w:rsidRPr="004661E9">
        <w:rPr>
          <w:rFonts w:ascii="Arial" w:hAnsi="Arial" w:cs="Arial"/>
        </w:rPr>
        <w:t>CAD</w:t>
      </w:r>
      <w:r w:rsidR="00715F68" w:rsidRPr="004661E9">
        <w:rPr>
          <w:rFonts w:ascii="Arial" w:hAnsi="Arial" w:cs="Arial"/>
        </w:rPr>
        <w:t xml:space="preserve">, </w:t>
      </w:r>
      <w:r w:rsidR="006C258B" w:rsidRPr="004661E9">
        <w:rPr>
          <w:rFonts w:ascii="Arial" w:hAnsi="Arial" w:cs="Arial"/>
        </w:rPr>
        <w:t>hypertension</w:t>
      </w:r>
      <w:r w:rsidR="00715F68" w:rsidRPr="004661E9">
        <w:rPr>
          <w:rFonts w:ascii="Arial" w:hAnsi="Arial" w:cs="Arial"/>
        </w:rPr>
        <w:t>, and renal disease</w:t>
      </w:r>
      <w:r w:rsidR="008035DA" w:rsidRPr="004661E9">
        <w:rPr>
          <w:rFonts w:ascii="Arial" w:hAnsi="Arial" w:cs="Arial"/>
        </w:rPr>
        <w:t xml:space="preserve"> play</w:t>
      </w:r>
      <w:r w:rsidR="008E11EF" w:rsidRPr="004661E9">
        <w:rPr>
          <w:rFonts w:ascii="Arial" w:hAnsi="Arial" w:cs="Arial"/>
        </w:rPr>
        <w:t>s</w:t>
      </w:r>
      <w:r w:rsidR="008035DA" w:rsidRPr="004661E9">
        <w:rPr>
          <w:rFonts w:ascii="Arial" w:hAnsi="Arial" w:cs="Arial"/>
        </w:rPr>
        <w:t xml:space="preserve"> </w:t>
      </w:r>
      <w:r w:rsidR="00861472" w:rsidRPr="004661E9">
        <w:rPr>
          <w:rFonts w:ascii="Arial" w:hAnsi="Arial" w:cs="Arial"/>
        </w:rPr>
        <w:t>a</w:t>
      </w:r>
      <w:r w:rsidR="00543EDD" w:rsidRPr="004661E9">
        <w:rPr>
          <w:rFonts w:ascii="Arial" w:hAnsi="Arial" w:cs="Arial"/>
        </w:rPr>
        <w:t xml:space="preserve"> significant</w:t>
      </w:r>
      <w:r w:rsidR="00861472" w:rsidRPr="004661E9">
        <w:rPr>
          <w:rFonts w:ascii="Arial" w:hAnsi="Arial" w:cs="Arial"/>
        </w:rPr>
        <w:t xml:space="preserve"> </w:t>
      </w:r>
      <w:r w:rsidR="008035DA" w:rsidRPr="004661E9">
        <w:rPr>
          <w:rFonts w:ascii="Arial" w:hAnsi="Arial" w:cs="Arial"/>
        </w:rPr>
        <w:t xml:space="preserve">role in the </w:t>
      </w:r>
      <w:r w:rsidR="00F30053" w:rsidRPr="004661E9">
        <w:rPr>
          <w:rFonts w:ascii="Arial" w:hAnsi="Arial" w:cs="Arial"/>
        </w:rPr>
        <w:t>development</w:t>
      </w:r>
      <w:r w:rsidR="008035DA" w:rsidRPr="004661E9">
        <w:rPr>
          <w:rFonts w:ascii="Arial" w:hAnsi="Arial" w:cs="Arial"/>
        </w:rPr>
        <w:t xml:space="preserve"> of </w:t>
      </w:r>
      <w:r w:rsidR="00165050" w:rsidRPr="004661E9">
        <w:rPr>
          <w:rFonts w:ascii="Arial" w:hAnsi="Arial" w:cs="Arial"/>
        </w:rPr>
        <w:t>cardiomyopathy</w:t>
      </w:r>
      <w:r w:rsidR="008035DA" w:rsidRPr="004661E9">
        <w:rPr>
          <w:rFonts w:ascii="Arial" w:hAnsi="Arial" w:cs="Arial"/>
        </w:rPr>
        <w:t xml:space="preserve"> and HF in patients with </w:t>
      </w:r>
      <w:r w:rsidR="00A36DE2" w:rsidRPr="004661E9">
        <w:rPr>
          <w:rFonts w:ascii="Arial" w:hAnsi="Arial" w:cs="Arial"/>
        </w:rPr>
        <w:t>diabetes</w:t>
      </w:r>
      <w:bookmarkEnd w:id="11"/>
      <w:r w:rsidR="000B44DF"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(34)</w:t>
      </w:r>
      <w:r w:rsidR="000F3AD7" w:rsidRPr="004661E9">
        <w:rPr>
          <w:rFonts w:ascii="Arial" w:hAnsi="Arial" w:cs="Arial"/>
        </w:rPr>
        <w:fldChar w:fldCharType="end"/>
      </w:r>
      <w:r w:rsidR="000B44DF" w:rsidRPr="004661E9">
        <w:rPr>
          <w:rFonts w:ascii="Arial" w:hAnsi="Arial" w:cs="Arial"/>
        </w:rPr>
        <w:t>.</w:t>
      </w:r>
      <w:r w:rsidR="008035DA" w:rsidRPr="004661E9">
        <w:rPr>
          <w:rFonts w:ascii="Arial" w:hAnsi="Arial" w:cs="Arial"/>
        </w:rPr>
        <w:t xml:space="preserve"> Moreover</w:t>
      </w:r>
      <w:r w:rsidR="0015065B" w:rsidRPr="004661E9">
        <w:rPr>
          <w:rFonts w:ascii="Arial" w:hAnsi="Arial" w:cs="Arial"/>
        </w:rPr>
        <w:t>,</w:t>
      </w:r>
      <w:r w:rsidR="008035DA" w:rsidRPr="004661E9">
        <w:rPr>
          <w:rFonts w:ascii="Arial" w:hAnsi="Arial" w:cs="Arial"/>
        </w:rPr>
        <w:t xml:space="preserve"> </w:t>
      </w:r>
      <w:bookmarkStart w:id="12" w:name="_Hlk43802418"/>
      <w:r w:rsidR="008035DA" w:rsidRPr="004661E9">
        <w:rPr>
          <w:rFonts w:ascii="Arial" w:hAnsi="Arial" w:cs="Arial"/>
        </w:rPr>
        <w:t xml:space="preserve">HF occurs in </w:t>
      </w:r>
      <w:r w:rsidR="00861472" w:rsidRPr="004661E9">
        <w:rPr>
          <w:rFonts w:ascii="Arial" w:hAnsi="Arial" w:cs="Arial"/>
        </w:rPr>
        <w:t>individuals</w:t>
      </w:r>
      <w:r w:rsidR="008035DA" w:rsidRPr="004661E9">
        <w:rPr>
          <w:rFonts w:ascii="Arial" w:hAnsi="Arial" w:cs="Arial"/>
        </w:rPr>
        <w:t xml:space="preserve"> with </w:t>
      </w:r>
      <w:r w:rsidR="00A36DE2" w:rsidRPr="004661E9">
        <w:rPr>
          <w:rFonts w:ascii="Arial" w:hAnsi="Arial" w:cs="Arial"/>
        </w:rPr>
        <w:t>diabetes</w:t>
      </w:r>
      <w:r w:rsidR="008035DA" w:rsidRPr="004661E9">
        <w:rPr>
          <w:rFonts w:ascii="Arial" w:hAnsi="Arial" w:cs="Arial"/>
        </w:rPr>
        <w:t xml:space="preserve"> at higher rates</w:t>
      </w:r>
      <w:r w:rsidR="008E11EF" w:rsidRPr="004661E9">
        <w:rPr>
          <w:rFonts w:ascii="Arial" w:hAnsi="Arial" w:cs="Arial"/>
        </w:rPr>
        <w:t>,</w:t>
      </w:r>
      <w:r w:rsidR="008035DA" w:rsidRPr="004661E9">
        <w:rPr>
          <w:rFonts w:ascii="Arial" w:hAnsi="Arial" w:cs="Arial"/>
        </w:rPr>
        <w:t xml:space="preserve"> even in the absence of </w:t>
      </w:r>
      <w:r w:rsidR="0073195E" w:rsidRPr="004661E9">
        <w:rPr>
          <w:rFonts w:ascii="Arial" w:hAnsi="Arial" w:cs="Arial"/>
        </w:rPr>
        <w:t>other HF risk factors</w:t>
      </w:r>
      <w:bookmarkEnd w:id="12"/>
      <w:r w:rsidR="000B44DF"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{"citationItems":[{"id":"ITEM-1","itemData":{"DOI":"10.1016/j.pcad.2019.03.003","ISSN":"18731740","abstract":"Diabetes causes cardiomyopathy and increases the risk of heart failure independent of hypertension and coronary heart disease. This condition called “Diabetic Cardiomyopathy” (DCM) is becoming a well- known clinical entity. Recently, there has been substantial research exploring its molecular mechanisms, structural and functional changes, and possible development of therapeutic approaches for the prevention and treatment of DCM. This review summarizes the recent advancements to better understand fundamental molecular abnormalities that promote this cardiomyopathy and novel therapies for future research. Additionally, different diagnostic modalities, up to date screening tests to guide clinicians with early diagnosis and available current treatment options has been outlined.","author":[{"dropping-particle":"","family":"Murtaza","given":"Ghulam","non-dropping-particle":"","parse-names":false,"suffix":""},{"dropping-particle":"","family":"Virk","given":"Hafeez Ul Hassan Ul Hassan","non-dropping-particle":"","parse-names":false,"suffix":""},{"dropping-particle":"","family":"Khalid","given":"Muhammad","non-dropping-particle":"","parse-names":false,"suffix":""},{"dropping-particle":"","family":"Lavie","given":"Carl J. J.","non-dropping-particle":"","parse-names":false,"suffix":""},{"dropping-particle":"","family":"Ventura","given":"Hector","non-dropping-particle":"","parse-names":false,"suffix":""},{"dropping-particle":"","family":"Mukherjee","given":"Debabrata","non-dropping-particle":"","parse-names":false,"suffix":""},{"dropping-particle":"","family":"Ramu","given":"Vijay","non-dropping-particle":"","parse-names":false,"suffix":""},{"dropping-particle":"","family":"Bhogal","given":"Sukhdeep","non-dropping-particle":"","parse-names":false,"suffix":""},{"dropping-particle":"","family":"Kumar","given":"Gautam","non-dropping-particle":"","parse-names":false,"suffix":""},{"dropping-particle":"","family":"Shanmugasundaram","given":"Madhan","non-dropping-particle":"","parse-names":false,"suffix":""},{"dropping-particle":"","family":"Paul","given":"Timir K. K.","non-dropping-particle":"","parse-names":false,"suffix":""}],"container-title":"Progress in Cardiovascular Diseases","id":"ITEM-1","issue":"4","issued":{"date-parts":[["2019"]]},"page":"315-326","publisher":"Elsevier Inc.","title":"Diabetic cardiomyopathy - A comprehensive updated review","type":"article-journal","volume":"62"},"uris":["http://www.mendeley.com/documents/?uuid=c7ea2a94-ed27-416c-a134-e56110fb6c24"]},{"id":"ITEM-2","itemData":{"DOI":"10.1016/j.hfc.2019.06.008","ISSN":"15517136","PMID":"31472890","abstract":"Diabetes is strongly associated with development of cardiovascular disease and poor cardiovascular outcomes. Management of hypertension reduces cardiovascular outcomes among patients with diabetes. Many studies have examined the benefits of various classes of antihypertensives among patients with diabetes. Based on these, the American Diabetes Association has advised that all patients (particularly those with microalbuminuria) be treated first with an angiotensin-converting enzyme inhibitor or an aldosterone receptor blocker followed by a calcium channel blocker or diuretic. Recently, sodium glucose transporter 2 inhibitors have been identified for their benefit in blood pressure control and cardiovascular risk reduction in patients with diabetes.","author":[{"dropping-particle":"","family":"Bensimhon","given":"Hannah F.","non-dropping-particle":"","parse-names":false,"suffix":""},{"dropping-particle":"","family":"Cavender","given":"Matthew A.","non-dropping-particle":"","parse-names":false,"suffix":""}],"container-title":"Heart Failure Clinics","id":"ITEM-2","issue":"4","issued":{"date-parts":[["2019"]]},"page":"551-563","title":"Hypertension Treatment in Diabetes: Focus on Heart Failure Prevention","type":"article-journal","volume":"15"},"uris":["http://www.mendeley.com/documents/?uuid=a3fe645b-3cc1-4125-903b-3679e0501afa"]}],"mendeley":{"formattedCitation":"(16,35)","plainTextFormattedCitation":"(16,35)","previouslyFormattedCitation":"(16,35)"},"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(16,35)</w:t>
      </w:r>
      <w:r w:rsidR="000F3AD7" w:rsidRPr="004661E9">
        <w:rPr>
          <w:rFonts w:ascii="Arial" w:hAnsi="Arial" w:cs="Arial"/>
        </w:rPr>
        <w:fldChar w:fldCharType="end"/>
      </w:r>
      <w:r w:rsidR="000B44DF" w:rsidRPr="004661E9">
        <w:rPr>
          <w:rFonts w:ascii="Arial" w:hAnsi="Arial" w:cs="Arial"/>
        </w:rPr>
        <w:t>.</w:t>
      </w:r>
      <w:r w:rsidR="0032716A" w:rsidRPr="004661E9">
        <w:rPr>
          <w:rFonts w:ascii="Arial" w:hAnsi="Arial" w:cs="Arial"/>
        </w:rPr>
        <w:t xml:space="preserve"> </w:t>
      </w:r>
    </w:p>
    <w:p w14:paraId="39F27B67" w14:textId="2674F6FC" w:rsidR="007D4B33" w:rsidRPr="004661E9" w:rsidRDefault="007D4B33" w:rsidP="004661E9">
      <w:pPr>
        <w:spacing w:after="0" w:line="276" w:lineRule="auto"/>
        <w:rPr>
          <w:rFonts w:ascii="Arial" w:hAnsi="Arial" w:cs="Arial"/>
        </w:rPr>
      </w:pPr>
    </w:p>
    <w:p w14:paraId="7033EFD8" w14:textId="457A63F5" w:rsidR="007D4B33" w:rsidRPr="004661E9" w:rsidRDefault="002215FF" w:rsidP="004661E9">
      <w:pPr>
        <w:spacing w:after="0" w:line="276" w:lineRule="auto"/>
        <w:rPr>
          <w:rFonts w:ascii="Arial" w:hAnsi="Arial" w:cs="Arial"/>
          <w:b/>
          <w:bCs/>
        </w:rPr>
      </w:pPr>
      <w:r w:rsidRPr="004661E9">
        <w:rPr>
          <w:rFonts w:ascii="Arial" w:hAnsi="Arial" w:cs="Arial"/>
          <w:b/>
          <w:bCs/>
          <w:color w:val="00B050"/>
        </w:rPr>
        <w:lastRenderedPageBreak/>
        <w:t>Diabetic Cardiomyopathy</w:t>
      </w:r>
      <w:r w:rsidRPr="004661E9">
        <w:rPr>
          <w:rFonts w:ascii="Arial" w:hAnsi="Arial" w:cs="Arial"/>
          <w:b/>
          <w:bCs/>
        </w:rPr>
        <w:t xml:space="preserve"> </w:t>
      </w:r>
    </w:p>
    <w:p w14:paraId="407B90F0" w14:textId="77777777" w:rsidR="007D4B33" w:rsidRPr="004661E9" w:rsidRDefault="007D4B33" w:rsidP="004661E9">
      <w:pPr>
        <w:spacing w:after="0" w:line="276" w:lineRule="auto"/>
        <w:rPr>
          <w:rFonts w:ascii="Arial" w:hAnsi="Arial" w:cs="Arial"/>
        </w:rPr>
      </w:pPr>
    </w:p>
    <w:p w14:paraId="3A6A738C" w14:textId="68C7FEEA" w:rsidR="007D4B33" w:rsidRPr="004661E9" w:rsidRDefault="007D4B33" w:rsidP="004661E9">
      <w:pPr>
        <w:spacing w:after="0" w:line="276" w:lineRule="auto"/>
        <w:rPr>
          <w:rFonts w:ascii="Arial" w:hAnsi="Arial" w:cs="Arial"/>
        </w:rPr>
      </w:pPr>
      <w:r w:rsidRPr="004661E9">
        <w:rPr>
          <w:rFonts w:ascii="Arial" w:hAnsi="Arial" w:cs="Arial"/>
        </w:rPr>
        <w:t xml:space="preserve">Diabetic cardiomyopathy, which lacks a standardized clinical definition, generally refers to diabetes-related myocardial dysfunction without other potential causes </w:t>
      </w:r>
      <w:r w:rsidRPr="004661E9">
        <w:rPr>
          <w:rFonts w:ascii="Arial" w:hAnsi="Arial" w:cs="Arial"/>
        </w:rPr>
        <w:fldChar w:fldCharType="begin" w:fldLock="1"/>
      </w:r>
      <w:r w:rsidR="000962ED" w:rsidRPr="004661E9">
        <w:rPr>
          <w:rFonts w:ascii="Arial" w:hAnsi="Arial" w:cs="Arial"/>
        </w:rPr>
        <w:instrText>ADDIN CSL_CITATION {"citationItems":[{"id":"ITEM-1","itemData":{"DOI":"10.15761/mca.1000139","author":[{"dropping-particle":"","family":"Albakri","given":"Aref","non-dropping-particle":"","parse-names":false,"suffix":""}],"container-title":"Medical and Clinical Archives","id":"ITEM-1","issue":"4","issued":{"date-parts":[["2018"]]},"page":"1-12","title":"Diabetic cardiomyopathy: a review of literature on clinical status and meta-analysis of tissue doppler diagnostic method and the clinical value of intensive glycemic control","type":"article-journal","volume":"2"},"uris":["http://www.mendeley.com/documents/?uuid=f4738b80-7340-48fc-95d2-4da1a0194015"]}],"mendeley":{"formattedCitation":"(36)","plainTextFormattedCitation":"(36)","previouslyFormattedCitation":"(36)"},"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(36)</w:t>
      </w:r>
      <w:r w:rsidRPr="004661E9">
        <w:rPr>
          <w:rFonts w:ascii="Arial" w:hAnsi="Arial" w:cs="Arial"/>
        </w:rPr>
        <w:fldChar w:fldCharType="end"/>
      </w:r>
      <w:r w:rsidRPr="004661E9">
        <w:rPr>
          <w:rFonts w:ascii="Arial" w:hAnsi="Arial" w:cs="Arial"/>
        </w:rPr>
        <w:t xml:space="preserve">. A report by Lundbæk in 1954 described the concept of diabetes directly causing myocardial dysfunction </w:t>
      </w:r>
      <w:r w:rsidRPr="004661E9">
        <w:rPr>
          <w:rFonts w:ascii="Arial" w:hAnsi="Arial" w:cs="Arial"/>
        </w:rPr>
        <w:fldChar w:fldCharType="begin" w:fldLock="1"/>
      </w:r>
      <w:r w:rsidR="000962ED" w:rsidRPr="004661E9">
        <w:rPr>
          <w:rFonts w:ascii="Arial" w:hAnsi="Arial" w:cs="Arial"/>
        </w:rPr>
        <w:instrText>ADDIN CSL_CITATION {"citationItems":[{"id":"ITEM-1","itemData":{"DOI":"10.1016/S0140-6736(54)90924-1","ISSN":"01406736","PMID":"13131862","abstract":"Peripheral arterial disease is high prevalent in patients with diabetes mellitus. The purpose of this review article is to resume ethiogenesis, diagnostic methodology and treatment modalities of this condition, also known as diabetic angiopathy.","author":[{"dropping-particle":"","family":"Lundbæk","given":"Knud","non-dropping-particle":"","parse-names":false,"suffix":""}],"container-title":"The Lancet","id":"ITEM-1","issue":"6808","issued":{"date-parts":[["1954","2","20"]]},"page":"377-379","title":"DIABETIC ANGIOPATHY. A SPECIFIC VASCULAR DISEASE","type":"article-journal","volume":"263"},"uris":["http://www.mendeley.com/documents/?uuid=d8d999fc-ab2d-32d9-ab12-33529eb8befd"]}],"mendeley":{"formattedCitation":"(37)","plainTextFormattedCitation":"(37)","previouslyFormattedCitation":"(37)"},"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(37)</w:t>
      </w:r>
      <w:r w:rsidRPr="004661E9">
        <w:rPr>
          <w:rFonts w:ascii="Arial" w:hAnsi="Arial" w:cs="Arial"/>
        </w:rPr>
        <w:fldChar w:fldCharType="end"/>
      </w:r>
      <w:r w:rsidRPr="004661E9">
        <w:rPr>
          <w:rFonts w:ascii="Arial" w:hAnsi="Arial" w:cs="Arial"/>
        </w:rPr>
        <w:t xml:space="preserve">. In 1972, a landmark study by Rubler et al. described diabetic cardiomyopathy as a new clinical entity by reporting the post-mortem results of 4 patients with diabetes-related HF and dilated cardiomyopathy without other apparent causes of myocardial dysfunction </w:t>
      </w:r>
      <w:r w:rsidRPr="004661E9">
        <w:rPr>
          <w:rFonts w:ascii="Arial" w:hAnsi="Arial" w:cs="Arial"/>
        </w:rPr>
        <w:fldChar w:fldCharType="begin" w:fldLock="1"/>
      </w:r>
      <w:r w:rsidR="000962ED" w:rsidRPr="004661E9">
        <w:rPr>
          <w:rFonts w:ascii="Arial" w:hAnsi="Arial" w:cs="Arial"/>
        </w:rPr>
        <w:instrText>ADDIN CSL_CITATION {"citationItems":[{"id":"ITEM-1","itemData":{"DOI":"10.1016/0002-9149(72)90595-4","ISBN":"0002-9149","ISSN":"00029149","PMID":"4263660","abstract":"The postmortem findings and clinical records of 27 patients with proved diabetic glomerulosclerosis were examined and reviewed for evidence of primary myocardial disease. Twenty-three cases were excluded because of complicating conditions such as hypertension, significant obstruction of the major coronary arteries or valvular disease. Four patients demonstrated cardiomegaly and congestive heart failure of no known cause. The autopsy findings consisted of left ventricular hypertrophy and, in 1 case, right ventricular hypertrophy as well, in the absence of major coronary artery disease. Histopathologic study revealed diffuse fibrotic strands extending between bundles of muscle fibers and myofibrillar hypertrophy. In 1 case, the small intramural coronary arterioles demonstrated thickening of the wall and narrowing of the lumen due primarily to the deposition of acid mucopolysaccharide material in the subendothelial layers and subsequent subintimal thickening and medial hypertrophy. It is postulated that the myocardial disease seen in these cases is probably secondary to diabetic mjcroangiopathy although the direct effects of the abnormal myocardial metabolism in diabetes could not be excluded. ?? 1972.","author":[{"dropping-particle":"","family":"Rubler","given":"Shirley","non-dropping-particle":"","parse-names":false,"suffix":""},{"dropping-particle":"","family":"Dlugash","given":"Joel","non-dropping-particle":"","parse-names":false,"suffix":""},{"dropping-particle":"","family":"Yuceoglu","given":"Yusuf Ziya","non-dropping-particle":"","parse-names":false,"suffix":""},{"dropping-particle":"","family":"Kumral","given":"Tarik","non-dropping-particle":"","parse-names":false,"suffix":""},{"dropping-particle":"","family":"Branwood","given":"Arthur Whitley","non-dropping-particle":"","parse-names":false,"suffix":""},{"dropping-particle":"","family":"Grishman","given":"Arthur","non-dropping-particle":"","parse-names":false,"suffix":""}],"container-title":"The American Journal of Cardiology","id":"ITEM-1","issue":"6","issued":{"date-parts":[["1972"]]},"page":"595-602","title":"New type of cardiomyopathy associated with diabetic glomerulosclerosis","type":"article-journal","volume":"30"},"uris":["http://www.mendeley.com/documents/?uuid=7bdd70bb-e3a6-4da3-9adf-4a9bc07afe3d"]}],"mendeley":{"formattedCitation":"(14)","plainTextFormattedCitation":"(14)","previouslyFormattedCitation":"(14)"},"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(14)</w:t>
      </w:r>
      <w:r w:rsidRPr="004661E9">
        <w:rPr>
          <w:rFonts w:ascii="Arial" w:hAnsi="Arial" w:cs="Arial"/>
        </w:rPr>
        <w:fldChar w:fldCharType="end"/>
      </w:r>
      <w:r w:rsidRPr="004661E9">
        <w:rPr>
          <w:rFonts w:ascii="Arial" w:hAnsi="Arial" w:cs="Arial"/>
        </w:rPr>
        <w:t xml:space="preserve">. The initial reports of diabetic cardiomyopathy referred to a dilated LV with eccentric hypertrophy and LV systolic dysfunction (HFrEF). Nevertheless, more recent clinical studies described HFpEF with concentric LV hypertrophy and LV diastolic dysfunction as a distinct phenotype of cardiomyopathy rather than being an intermediate form between risk factors and HFrEF </w:t>
      </w:r>
      <w:r w:rsidRPr="004661E9">
        <w:rPr>
          <w:rFonts w:ascii="Arial" w:hAnsi="Arial" w:cs="Arial"/>
        </w:rPr>
        <w:fldChar w:fldCharType="begin" w:fldLock="1"/>
      </w:r>
      <w:r w:rsidR="000962ED" w:rsidRPr="004661E9">
        <w:rPr>
          <w:rFonts w:ascii="Arial" w:hAnsi="Arial" w:cs="Arial"/>
        </w:rPr>
        <w:instrText>ADDIN CSL_CITATION {"citationItems":[{"id":"ITEM-1","itemData":{"DOI":"10.1093/eurheartj/ehv134","ISSN":"15229645","abstract":"Diabetes mellitus-related cardiomyopathy (DMCMP) was originally described as a dilated phenotype with eccentric left ventricular (LV) remodelling and systolic LV dysfunction. Recently however, clinical studies on DMCMP mainly describe a restrictive phenotype with concentric LV remodelling and diastolic LV dysfunction. Both phenotypes are not successive stages of DMCMP but evolve independently to respectively heart failure with preserved left ventricular ejection fraction (HFPEF) or reduced left ventricular ejection fraction (HFREF). Phenotype-specific pathophysiological mechanisms were recently proposed for LV remodelling and dysfunction in HFPEF and HFREF consisting of coronary microvascular endothelial dysfunction in HFPEF and cardiomyocyte cell death in HFREF. A similar preferential involvement of endothelial or cardiomyocyte cell compartments explains DMCMP development into distinct restrictive/HFPEF or dilated/HFREF phenotypes. Diabetes mellitus (DM)-related metabolic derangements such as hyperglycaemia, lipotoxicity, and hyperinsulinaemia favour development of DMCMP with restrictive/HFPEF phenotype, which is more prevalent in obese type 2 DM patients. In contrast, autoimmunity predisposes to a dilated/HFREF phenotype, which manifests itself more in autoimmune-prone type 1 DM patients. Finally, coronary microvascular rarefaction and advanced glycation end-products deposition are relevant to both phenotypes. Diagnosis of DMCMP requires impaired glucose metabolism and exclusion of coronary, valvular, hypertensive, or congenital heart disease and of viral, toxic, familial, or infiltrative cardiomyopathy. In addition, diagnosis of DMCMP with restrictive/HFPEF phenotype requires normal systolic LV function and diastolic LV dysfunction, whereas diagnosis of DMCMP with dilated/HFREF phenotype requires systolic LV dysfunction. Treatment of DMCMP with restrictive/HFPEF phenotype is limited to diuretics and lifestyle modification, whereas DMCMP with dilated/HFREF phenotype is treated in accordance to HF guidelines.","author":[{"dropping-particle":"","family":"Seferović","given":"Petar M.","non-dropping-particle":"","parse-names":false,"suffix":""},{"dropping-particle":"","family":"Paulus","given":"Walter J.","non-dropping-particle":"","parse-names":false,"suffix":""}],"container-title":"European Heart Journal","id":"ITEM-1","issue":"27","issued":{"date-parts":[["2015"]]},"page":"1718-1727","title":"Clinical diabetic cardiomyopathy: A two-faced disease with restrictive and dilated phenotypes","type":"article-journal","volume":"36"},"uris":["http://www.mendeley.com/documents/?uuid=34545fe8-79a9-4e76-a440-d9c8434b0a51"]}],"mendeley":{"formattedCitation":"(38)","plainTextFormattedCitation":"(38)","previouslyFormattedCitation":"(38)"},"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(38)</w:t>
      </w:r>
      <w:r w:rsidRPr="004661E9">
        <w:rPr>
          <w:rFonts w:ascii="Arial" w:hAnsi="Arial" w:cs="Arial"/>
        </w:rPr>
        <w:fldChar w:fldCharType="end"/>
      </w:r>
      <w:r w:rsidRPr="004661E9">
        <w:rPr>
          <w:rFonts w:ascii="Arial" w:hAnsi="Arial" w:cs="Arial"/>
        </w:rPr>
        <w:t xml:space="preserve">. The transition from HFpEF to HFrEF does not appear to occur as commonly as it was once presumed.   </w:t>
      </w:r>
    </w:p>
    <w:p w14:paraId="0139824C" w14:textId="1648433A" w:rsidR="007D4B33" w:rsidRPr="004661E9" w:rsidRDefault="007D4B33" w:rsidP="004661E9">
      <w:pPr>
        <w:spacing w:after="0" w:line="276" w:lineRule="auto"/>
        <w:rPr>
          <w:rFonts w:ascii="Arial" w:hAnsi="Arial" w:cs="Arial"/>
        </w:rPr>
      </w:pPr>
    </w:p>
    <w:p w14:paraId="6D47C297" w14:textId="055CECA7" w:rsidR="007D4B33" w:rsidRPr="004661E9" w:rsidRDefault="002215FF" w:rsidP="004661E9">
      <w:pPr>
        <w:spacing w:after="0" w:line="276" w:lineRule="auto"/>
        <w:rPr>
          <w:rFonts w:ascii="Arial" w:hAnsi="Arial" w:cs="Arial"/>
          <w:b/>
          <w:bCs/>
          <w:color w:val="00B050"/>
        </w:rPr>
      </w:pPr>
      <w:r w:rsidRPr="004661E9">
        <w:rPr>
          <w:rFonts w:ascii="Arial" w:hAnsi="Arial" w:cs="Arial"/>
          <w:b/>
          <w:bCs/>
          <w:color w:val="00B050"/>
        </w:rPr>
        <w:t xml:space="preserve">Epidemiologic Evidence </w:t>
      </w:r>
    </w:p>
    <w:p w14:paraId="54DC415F" w14:textId="77777777" w:rsidR="007D4B33" w:rsidRPr="004661E9" w:rsidRDefault="007D4B33" w:rsidP="004661E9">
      <w:pPr>
        <w:spacing w:after="0" w:line="276" w:lineRule="auto"/>
        <w:rPr>
          <w:rFonts w:ascii="Arial" w:hAnsi="Arial" w:cs="Arial"/>
        </w:rPr>
      </w:pPr>
    </w:p>
    <w:p w14:paraId="2715C22D" w14:textId="36F6FC38" w:rsidR="007D4B33" w:rsidRPr="004661E9" w:rsidRDefault="007D4B33" w:rsidP="004661E9">
      <w:pPr>
        <w:spacing w:after="0" w:line="276" w:lineRule="auto"/>
        <w:rPr>
          <w:rFonts w:ascii="Arial" w:hAnsi="Arial" w:cs="Arial"/>
        </w:rPr>
      </w:pPr>
      <w:r w:rsidRPr="004661E9">
        <w:rPr>
          <w:rFonts w:ascii="Arial" w:hAnsi="Arial" w:cs="Arial"/>
        </w:rPr>
        <w:t>Evidence from large-scale epidemiologic studies has confirmed the strong link between diabetes and HF. For instance, reports from the prospective Framingham Heart Study in the 1970s indicated that individuals with diabetes had 2</w:t>
      </w:r>
      <w:r w:rsidR="00BA1EAD" w:rsidRPr="004661E9">
        <w:rPr>
          <w:rFonts w:ascii="Arial" w:hAnsi="Arial" w:cs="Arial"/>
        </w:rPr>
        <w:t>-fold</w:t>
      </w:r>
      <w:r w:rsidRPr="004661E9">
        <w:rPr>
          <w:rFonts w:ascii="Arial" w:hAnsi="Arial" w:cs="Arial"/>
        </w:rPr>
        <w:t xml:space="preserve"> (in men) to 5-fold (in women) higher risk of developing HF than individuals without diabetes after adjustment for other risk factors </w:t>
      </w:r>
      <w:r w:rsidRPr="004661E9">
        <w:rPr>
          <w:rFonts w:ascii="Arial" w:hAnsi="Arial" w:cs="Arial"/>
        </w:rPr>
        <w:fldChar w:fldCharType="begin" w:fldLock="1"/>
      </w:r>
      <w:r w:rsidR="000962ED" w:rsidRPr="004661E9">
        <w:rPr>
          <w:rFonts w:ascii="Arial" w:hAnsi="Arial" w:cs="Arial"/>
        </w:rPr>
        <w:instrText>ADDIN CSL_CITATION {"citationItems":[{"id":"ITEM-1","itemData":{"DOI":"10.1001/jama.1979.03290450033020","ISSN":"15383598","PMID":"430798","abstract":"Based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reserved.","author":[{"dropping-particle":"","family":"Kannel","given":"William B.","non-dropping-particle":"","parse-names":false,"suffix":""},{"dropping-particle":"","family":"McGee","given":"Daniel L.","non-dropping-particle":"","parse-names":false,"suffix":""}],"container-title":"JAMA","id":"ITEM-1","issue":"19","issued":{"date-parts":[["1979","5","11"]]},"page":"2035-2038","title":"Diabetes and Cardiovascular Disease: The Framingham Study","type":"article-journal","volume":"241"},"uris":["http://www.mendeley.com/documents/?uuid=8d9912bd-e6fc-3e82-a6a0-a046fdd789ca"]},{"id":"ITEM-2","itemData":{"DOI":"10.1016/0002-9149(74)90089-7","ISSN":"00029149","PMID":"4835750","abstract":"The incidence of congestive heart failure was determined in relation to prior diabetic status in 5,209 men and women aged 30 to 62 years followed up for 18 years in the Framingham study. Men aged 45 to 74 years had more than twice the frequency of congestive failure as their nondiabetic cohorts, and diabetic women had a fivefold increased risk. This excessive risk appears to be caused by factors other than accelerated atherogenesis and coronary heart disease. Even when patients with prior coronary or rheumatic heart disease were excluded, the diabetic subjects had a four- to fivefold increased risk of congestive heart failure. In women (but not men) with prior coronary disease, diabetes also imposed a threefold increased risk of congestive failure. Furthermore, the increased risk of heart failure in the diabetic patients persisted after taking into account age, blood pressure, weight and cholesterol values as well as coronary heart disease. Women with diabetes appeared to be especially vulnerable and, irrespective of coronary disease status, had twice the frequency of congestive heart failure as men. The excessive risk of heart failure among diabetic subjects was confined to those treated with insulin. The data suggest that diabetes is another discrete cause of congestive heart failure and that some form of cardiomyopathy is associated with diabetes, as a result of either small vessel disease or metabolic disorders. © 1974.","author":[{"dropping-particle":"","family":"Kannel","given":"William B. B.","non-dropping-particle":"","parse-names":false,"suffix":""},{"dropping-particle":"","family":"Hjortland","given":"Marthana","non-dropping-particle":"","parse-names":false,"suffix":""},{"dropping-particle":"","family":"Castelli","given":"William P. P.","non-dropping-particle":"","parse-names":false,"suffix":""}],"container-title":"The American Journal of Cardiology","id":"ITEM-2","issue":"1","issued":{"date-parts":[["1974","7","1"]]},"page":"29-34","publisher":"Elsevier","title":"Role of diabetes in congestive heart failure: The Framingham study","type":"article-journal","volume":"34"},"uris":["http://www.mendeley.com/documents/?uuid=b04a28c0-8725-4b70-8108-fa56124da5fb"]}],"mendeley":{"formattedCitation":"(2,39)","plainTextFormattedCitation":"(2,39)","previouslyFormattedCitation":"(2,39)"},"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(2,39)</w:t>
      </w:r>
      <w:r w:rsidRPr="004661E9">
        <w:rPr>
          <w:rFonts w:ascii="Arial" w:hAnsi="Arial" w:cs="Arial"/>
        </w:rPr>
        <w:fldChar w:fldCharType="end"/>
      </w:r>
      <w:r w:rsidRPr="004661E9">
        <w:rPr>
          <w:rFonts w:ascii="Arial" w:hAnsi="Arial" w:cs="Arial"/>
        </w:rPr>
        <w:t xml:space="preserve">. </w:t>
      </w:r>
      <w:r w:rsidR="00BA1EAD" w:rsidRPr="004661E9">
        <w:rPr>
          <w:rFonts w:ascii="Arial" w:hAnsi="Arial" w:cs="Arial"/>
        </w:rPr>
        <w:t>Similarly, c</w:t>
      </w:r>
      <w:r w:rsidRPr="004661E9">
        <w:rPr>
          <w:rFonts w:ascii="Arial" w:hAnsi="Arial" w:cs="Arial"/>
        </w:rPr>
        <w:t xml:space="preserve">ontemporary cohort studies suggested that diabetes is independently associated with a 1.7 to 2.5-fold greater risk of HF </w:t>
      </w:r>
      <w:r w:rsidRPr="004661E9">
        <w:rPr>
          <w:rFonts w:ascii="Arial" w:hAnsi="Arial" w:cs="Arial"/>
        </w:rPr>
        <w:fldChar w:fldCharType="begin" w:fldLock="1"/>
      </w:r>
      <w:r w:rsidR="000962ED" w:rsidRPr="004661E9">
        <w:rPr>
          <w:rFonts w:ascii="Arial" w:hAnsi="Arial" w:cs="Arial"/>
        </w:rPr>
        <w:instrText>ADDIN CSL_CITATION {"citationItems":[{"id":"ITEM-1","itemData":{"DOI":"10.2337/diacare.27.8.1879","ISSN":"01495992","PMID":"15277411","abstract":"OBJECTIVE - The aims of this study were to update previous estimates of the congestive heart failure (CHF) incidence rate in patients with type 2 diabetes, compare it with an age- and sex-matched nondiabetic group, and describe risk factors for developing CHF in diabetic patients over 6 years of follow-up. RESEARCH DESIGN AND METHODS - We performed a retrospective cohort study of 8,231 patients with type 2 diabetes and 8,845 nondiabetic patients of similar age and sex who did not have CHF as of 1 January 1997, following them for up to 72 months to estimate the CHF incidence rate. In the diabetic cohort, we constructed a Cox regression model to identify risk factors for CHF development. RESULTS - Patients with diabetes were much more likely to develop CHF than patients without diabetes (incidence rate 30.9 vs. 12.4 cases per 1,000 person-years, rate ratio 2.5, 95% CI 2.3-2.7). The difference in CHF development rates between persons with and without diabetes was much greater in younger age-groups. In addition to age and ischemic heart disease, poorer glycemic control (hazard ratio 1.32 per percentage point of HbA1c) and greater BMI (1.12 per 2.5 units of BMI) were important predictors of CHF development. CONCLUSIONS - The CHF incidence rate in type 2 diabetes may be much greater than previously believed. Our multivariate results emphasize the importance of controlling modifiable risk factors for CHF, namely hyperglycemia, elevated blood pressure, and obesity. Younger patients may benefit most from risk factor modification.","author":[{"dropping-particle":"","family":"Nichols","given":"Gregory A.","non-dropping-particle":"","parse-names":false,"suffix":""},{"dropping-particle":"","family":"Gullion","given":"Christina M.","non-dropping-particle":"","parse-names":false,"suffix":""},{"dropping-particle":"","family":"Koro","given":"Carol E.","non-dropping-particle":"","parse-names":false,"suffix":""},{"dropping-particle":"","family":"Ephross","given":"Sara A.","non-dropping-particle":"","parse-names":false,"suffix":""},{"dropping-particle":"","family":"Brown","given":"Jonathan B.","non-dropping-particle":"","parse-names":false,"suffix":""}],"container-title":"Diabetes Care","id":"ITEM-1","issue":"8","issued":{"date-parts":[["2004","8","1"]]},"page":"1879-1884","publisher":"American Diabetes Association","title":"The incidence of congestive heart failure in type 2 diabetes: An update","type":"article-journal","volume":"27"},"uris":["http://www.mendeley.com/documents/?uuid=f1c719ef-20b5-3ee3-be4d-3141e092635a"]},{"id":"ITEM-2","itemData":{"DOI":"10.1002/ejhf.1350","ISSN":"18790844","abstract":"Aims: Several risk factors for incident heart failure (HF) have been previously identified, however large electronic health records (EHR) datasets may provide the opportunity to examine the consistency of risk factors across different subgroups from the general population. Methods and results: We used linked EHR data from 2000 to 2010 as part of the UK-based CALIBER resource to select a cohort of 871 687 individuals 55 years or older and free of HF at baseline. The primary endpoint was the first record of HF from primary or secondary care. Cox proportional hazards analysis was used to estimate hazard ratios for associations between risk factors and incident HF, separately for men and women and by age category: 55–64, 65–74, and &gt; 75 years. During 5.8 years of median follow-up, a total of 47 987 incident HF cases were recorded. Age, social deprivation, smoking, sedentary lifestyle, diabetes, atrial fibrillation, chronic obstructive pulmonary disease, body mass index, haemoglobin, total white blood cell count and creatinine were associated with HF. Smoking, atrial fibrillation and diabetes showed stronger associations with incident HF in women compared to men. Conclusion: We confirmed associations of several risk factors with HF in this large population-based cohort across age and sex subgroups. Mainly modifiable risk factors and comorbidities are strongly associated with incident HF, highlighting the importance of preventive strategies targeting such risk factors for HF.","author":[{"dropping-particle":"","family":"Uijl","given":"Alicia","non-dropping-particle":"","parse-names":false,"suffix":""},{"dropping-particle":"","family":"Koudstaal","given":"Stefan","non-dropping-particle":"","parse-names":false,"suffix":""},{"dropping-particle":"","family":"Direk","given":"Kenan","non-dropping-particle":"","parse-names":false,"suffix":""},{"dropping-particle":"","family":"Denaxas","given":"Spiros","non-dropping-particle":"","parse-names":false,"suffix":""},{"dropping-particle":"","family":"Groenwold","given":"Rolf H.H.","non-dropping-particle":"","parse-names":false,"suffix":""},{"dropping-particle":"","family":"Banerjee","given":"Amitava","non-dropping-particle":"","parse-names":false,"suffix":""},{"dropping-particle":"","family":"Hoes","given":"Arno W.","non-dropping-particle":"","parse-names":false,"suffix":""},{"dropping-particle":"","family":"Hemingway","given":"Harry","non-dropping-particle":"","parse-names":false,"suffix":""},{"dropping-particle":"","family":"Asselbergs","given":"Folkert W.","non-dropping-particle":"","parse-names":false,"suffix":""}],"container-title":"European Journal of Heart Failure","id":"ITEM-2","issue":"10","issued":{"date-parts":[["2019"]]},"page":"1197-1206","title":"Risk factors for incident heart failure in age- and sex-specific strata: a population-based cohort using linked electronic health records","type":"article-journal","volume":"21"},"uris":["http://www.mendeley.com/documents/?uuid=2bf8c076-af90-4643-8736-e3d44064200d"]}],"mendeley":{"formattedCitation":"(6,40)","plainTextFormattedCitation":"(6,40)","previouslyFormattedCitation":"(6,40)"},"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(6,40)</w:t>
      </w:r>
      <w:r w:rsidRPr="004661E9">
        <w:rPr>
          <w:rFonts w:ascii="Arial" w:hAnsi="Arial" w:cs="Arial"/>
        </w:rPr>
        <w:fldChar w:fldCharType="end"/>
      </w:r>
      <w:r w:rsidRPr="004661E9">
        <w:rPr>
          <w:rFonts w:ascii="Arial" w:hAnsi="Arial" w:cs="Arial"/>
        </w:rPr>
        <w:t xml:space="preserve">. </w:t>
      </w:r>
    </w:p>
    <w:p w14:paraId="55A4A90B" w14:textId="77777777" w:rsidR="007D4B33" w:rsidRPr="004661E9" w:rsidRDefault="007D4B33" w:rsidP="004661E9">
      <w:pPr>
        <w:spacing w:after="0" w:line="276" w:lineRule="auto"/>
        <w:rPr>
          <w:rFonts w:ascii="Arial" w:hAnsi="Arial" w:cs="Arial"/>
        </w:rPr>
      </w:pPr>
    </w:p>
    <w:p w14:paraId="34AF3CF5" w14:textId="344714D1" w:rsidR="0057178B" w:rsidRPr="004661E9" w:rsidRDefault="000E0622" w:rsidP="004661E9">
      <w:pPr>
        <w:spacing w:after="0" w:line="276" w:lineRule="auto"/>
        <w:rPr>
          <w:rFonts w:ascii="Arial" w:hAnsi="Arial" w:cs="Arial"/>
        </w:rPr>
      </w:pPr>
      <w:r w:rsidRPr="004661E9">
        <w:rPr>
          <w:rFonts w:ascii="Arial" w:hAnsi="Arial" w:cs="Arial"/>
        </w:rPr>
        <w:t xml:space="preserve">A recent nationwide </w:t>
      </w:r>
      <w:r w:rsidR="00546205" w:rsidRPr="004661E9">
        <w:rPr>
          <w:rFonts w:ascii="Arial" w:hAnsi="Arial" w:cs="Arial"/>
        </w:rPr>
        <w:t xml:space="preserve">cohort study from Sweden </w:t>
      </w:r>
      <w:r w:rsidR="00BA1EAD" w:rsidRPr="004661E9">
        <w:rPr>
          <w:rFonts w:ascii="Arial" w:hAnsi="Arial" w:cs="Arial"/>
        </w:rPr>
        <w:t xml:space="preserve">including </w:t>
      </w:r>
      <w:r w:rsidR="00F72F45" w:rsidRPr="004661E9">
        <w:rPr>
          <w:rFonts w:ascii="Arial" w:hAnsi="Arial" w:cs="Arial"/>
        </w:rPr>
        <w:t xml:space="preserve">&gt;679.000 patients </w:t>
      </w:r>
      <w:r w:rsidR="00C52D59" w:rsidRPr="004661E9">
        <w:rPr>
          <w:rFonts w:ascii="Arial" w:hAnsi="Arial" w:cs="Arial"/>
        </w:rPr>
        <w:t xml:space="preserve">with T2DM and </w:t>
      </w:r>
      <w:r w:rsidR="00ED240B" w:rsidRPr="004661E9">
        <w:rPr>
          <w:rFonts w:ascii="Arial" w:hAnsi="Arial" w:cs="Arial"/>
        </w:rPr>
        <w:t xml:space="preserve">&gt;2 million matched control subjects </w:t>
      </w:r>
      <w:r w:rsidR="001F28C5" w:rsidRPr="004661E9">
        <w:rPr>
          <w:rFonts w:ascii="Arial" w:hAnsi="Arial" w:cs="Arial"/>
        </w:rPr>
        <w:t>demonst</w:t>
      </w:r>
      <w:r w:rsidR="00543EDD" w:rsidRPr="004661E9">
        <w:rPr>
          <w:rFonts w:ascii="Arial" w:hAnsi="Arial" w:cs="Arial"/>
        </w:rPr>
        <w:t>r</w:t>
      </w:r>
      <w:r w:rsidR="001F28C5" w:rsidRPr="004661E9">
        <w:rPr>
          <w:rFonts w:ascii="Arial" w:hAnsi="Arial" w:cs="Arial"/>
        </w:rPr>
        <w:t xml:space="preserve">ated that </w:t>
      </w:r>
      <w:r w:rsidR="00F46181" w:rsidRPr="004661E9">
        <w:rPr>
          <w:rFonts w:ascii="Arial" w:hAnsi="Arial" w:cs="Arial"/>
        </w:rPr>
        <w:t>a diagnosis of T2DM was associated with</w:t>
      </w:r>
      <w:r w:rsidR="0084542A" w:rsidRPr="004661E9">
        <w:rPr>
          <w:rFonts w:ascii="Arial" w:hAnsi="Arial" w:cs="Arial"/>
        </w:rPr>
        <w:t xml:space="preserve"> HF</w:t>
      </w:r>
      <w:r w:rsidR="00A25C20" w:rsidRPr="004661E9">
        <w:rPr>
          <w:rFonts w:ascii="Arial" w:hAnsi="Arial" w:cs="Arial"/>
        </w:rPr>
        <w:t xml:space="preserve"> </w:t>
      </w:r>
      <w:r w:rsidR="00AB4E7E" w:rsidRPr="004661E9">
        <w:rPr>
          <w:rFonts w:ascii="Arial" w:hAnsi="Arial" w:cs="Arial"/>
        </w:rPr>
        <w:t xml:space="preserve">risk </w:t>
      </w:r>
      <w:r w:rsidR="00A25C20" w:rsidRPr="004661E9">
        <w:rPr>
          <w:rFonts w:ascii="Arial" w:hAnsi="Arial" w:cs="Arial"/>
        </w:rPr>
        <w:t xml:space="preserve">even if </w:t>
      </w:r>
      <w:r w:rsidR="007D4B33" w:rsidRPr="004661E9">
        <w:rPr>
          <w:rFonts w:ascii="Arial" w:hAnsi="Arial" w:cs="Arial"/>
        </w:rPr>
        <w:t>CV</w:t>
      </w:r>
      <w:r w:rsidR="0061174F" w:rsidRPr="004661E9">
        <w:rPr>
          <w:rFonts w:ascii="Arial" w:hAnsi="Arial" w:cs="Arial"/>
        </w:rPr>
        <w:t>D</w:t>
      </w:r>
      <w:r w:rsidR="007D4B33" w:rsidRPr="004661E9">
        <w:rPr>
          <w:rFonts w:ascii="Arial" w:hAnsi="Arial" w:cs="Arial"/>
        </w:rPr>
        <w:t xml:space="preserve"> risk factors</w:t>
      </w:r>
      <w:r w:rsidR="007B24A0" w:rsidRPr="004661E9">
        <w:rPr>
          <w:rFonts w:ascii="Arial" w:hAnsi="Arial" w:cs="Arial"/>
        </w:rPr>
        <w:t>, such as glycated hemoglobin, systolic blood pressure</w:t>
      </w:r>
      <w:r w:rsidR="00BA1EAD" w:rsidRPr="004661E9">
        <w:rPr>
          <w:rFonts w:ascii="Arial" w:hAnsi="Arial" w:cs="Arial"/>
        </w:rPr>
        <w:t xml:space="preserve"> (BP)</w:t>
      </w:r>
      <w:r w:rsidR="007B24A0" w:rsidRPr="004661E9">
        <w:rPr>
          <w:rFonts w:ascii="Arial" w:hAnsi="Arial" w:cs="Arial"/>
        </w:rPr>
        <w:t>, estimated glomerular filtration rate, and lipids</w:t>
      </w:r>
      <w:r w:rsidR="00D53379" w:rsidRPr="004661E9">
        <w:rPr>
          <w:rFonts w:ascii="Arial" w:hAnsi="Arial" w:cs="Arial"/>
        </w:rPr>
        <w:t xml:space="preserve"> were within </w:t>
      </w:r>
      <w:r w:rsidR="00543EDD" w:rsidRPr="004661E9">
        <w:rPr>
          <w:rFonts w:ascii="Arial" w:hAnsi="Arial" w:cs="Arial"/>
        </w:rPr>
        <w:t xml:space="preserve">a </w:t>
      </w:r>
      <w:r w:rsidR="00D53379" w:rsidRPr="004661E9">
        <w:rPr>
          <w:rFonts w:ascii="Arial" w:hAnsi="Arial" w:cs="Arial"/>
        </w:rPr>
        <w:t>t</w:t>
      </w:r>
      <w:r w:rsidR="007B24A0" w:rsidRPr="004661E9">
        <w:rPr>
          <w:rFonts w:ascii="Arial" w:hAnsi="Arial" w:cs="Arial"/>
        </w:rPr>
        <w:t>arget range</w:t>
      </w:r>
      <w:r w:rsidR="000A20D2">
        <w:rPr>
          <w:rFonts w:ascii="Arial" w:hAnsi="Arial" w:cs="Arial"/>
        </w:rPr>
        <w:t xml:space="preserve"> </w:t>
      </w:r>
      <w:r w:rsidR="00D02F6C" w:rsidRPr="004661E9">
        <w:rPr>
          <w:rFonts w:ascii="Arial" w:hAnsi="Arial" w:cs="Arial"/>
        </w:rPr>
        <w:fldChar w:fldCharType="begin" w:fldLock="1"/>
      </w:r>
      <w:r w:rsidR="000962ED" w:rsidRPr="004661E9">
        <w:rPr>
          <w:rFonts w:ascii="Arial" w:hAnsi="Arial" w:cs="Arial"/>
        </w:rPr>
        <w:instrText>ADDIN CSL_CITATION {"citationItems":[{"id":"ITEM-1","itemData":{"DOI":"10.1161/CIRCULATIONAHA.122.063374","ISSN":"15244539","PMID":"37154040","abstract":"Background: The goal of this work was to investigate trends (2001-2019) for cardiovascular events and cardiometabolic risk factor levels in individuals with type 2 diabetes (T2D) and matched control subjects. Methods: This study included 679 072 individuals with T2D from the Swedish National Diabetes Register and 2 643 800 matched control subjects. Incident outcomes comprised coronary artery disease, acute myocardial infarction, cerebrovascular disease, and heart failure (HF). Trends in time to first event for each outcome were analyzed with Cox regression and standardized incidence rates. In the group with T2D, Cox regression was also used to assess risk factor levels beyond target and outcomes, as well as the relative importance of each risk factor to each model. Results: Among individuals with T2D, incidence rates per 10 000 person-years in 2001 and 2019 were as follows: acute myocardial infarction, 73.9 (95% CI, 65.4-86.8) and 41.0 (95% CI, 39.5-42.6); coronary artery disease, 205.1 (95% CI, 186.8-227.5) and 80.2 (95% CI, 78.2-82.3); cerebrovascular disease, 83.9 (95% CI, 73.6-98.5) and 46.2 (95% CI, 44.9-47.6); and HF, 98.3 (95% CI, 89.4-112.0) and 75.9 (95% CI, 74.4-77.5). The incidence for HF plateaued around 2013, a trend that then persisted. In individuals with T2D, glycated hemoglobin, systolic blood pressure, estimated glomerular filtration rate, and lipids were independently associated with outcomes. Body mass index alone potentially explained &gt;30% of HF risk in T2D. For those with T2D with no risk factor beyond target, there was no excess cardiovascular risk compared with control subjects except for HF, with increased hazard with T2D even when no risk factor was above target (hazard ratio, 1.50 [95% CI, 1.35-1.67]). Risk for coronary artery disease and cerebrovascular disease increased in a stepwise fashion for each risk factor not within target. Glycated hemoglobin was most prognostically important for incident atherosclerotic events, as was body mass index for incident of HF. Conclusions: Risk and rates for atherosclerotic complications and HF are generally decreasing among individuals with T2D, although HF incidence has notably plateaued in recent years. Modifiable risk factors within target levels were associated with lower risks for outcomes. This was particularly notable for systolic blood pressure and glycated hemoglobin for atherosclerotic outcomes and body mass index for heart failure.","author":[{"dropping-particle":"","family":"Sattar","given":"Naveed","non-dropping-particle":"","parse-names":false,"suffix":""},{"dropping-particle":"","family":"McMurray","given":"John","non-dropping-particle":"","parse-names":false,"suffix":""},{"dropping-particle":"","family":"Borén","given":"Jan","non-dropping-particle":"","parse-names":false,"suffix":""},{"dropping-particle":"","family":"Rawshani","given":"Araz","non-dropping-particle":"","parse-names":false,"suffix":""},{"dropping-particle":"","family":"Omerovic","given":"Elmir","non-dropping-particle":"","parse-names":false,"suffix":""},{"dropping-particle":"","family":"Berg","given":"Niklas","non-dropping-particle":"","parse-names":false,"suffix":""},{"dropping-particle":"","family":"Halminen","given":"Janita","non-dropping-particle":"","parse-names":false,"suffix":""},{"dropping-particle":"","family":"Skoglund","given":"Kristoffer","non-dropping-particle":"","parse-names":false,"suffix":""},{"dropping-particle":"","family":"Eliasson","given":"Björn","non-dropping-particle":"","parse-names":false,"suffix":""},{"dropping-particle":"","family":"Gerstein","given":"Hertzel C.","non-dropping-particle":"","parse-names":false,"suffix":""},{"dropping-particle":"","family":"McGuire","given":"Darren K.","non-dropping-particle":"","parse-names":false,"suffix":""},{"dropping-particle":"","family":"Bhatt","given":"Deepak","non-dropping-particle":"","parse-names":false,"suffix":""},{"dropping-particle":"","family":"Rawshani","given":"Aidin","non-dropping-particle":"","parse-names":false,"suffix":""}],"container-title":"Circulation","id":"ITEM-1","issue":"25","issued":{"date-parts":[["2023"]]},"page":"1872-1886","title":"Twenty Years of Cardiovascular Complications and Risk Factors in Patients With Type 2 Diabetes: A Nationwide Swedish Cohort Study","type":"article-journal","volume":"147"},"uris":["http://www.mendeley.com/documents/?uuid=e0bde5c3-95db-4828-af11-5bce76e1a832"]}],"mendeley":{"formattedCitation":"(41)","plainTextFormattedCitation":"(41)","previouslyFormattedCitation":"(41)"},"properties":{"noteIndex":0},"schema":"https://github.com/citation-style-language/schema/raw/master/csl-citation.json"}</w:instrText>
      </w:r>
      <w:r w:rsidR="00D02F6C" w:rsidRPr="004661E9">
        <w:rPr>
          <w:rFonts w:ascii="Arial" w:hAnsi="Arial" w:cs="Arial"/>
        </w:rPr>
        <w:fldChar w:fldCharType="separate"/>
      </w:r>
      <w:r w:rsidR="000962ED" w:rsidRPr="004661E9">
        <w:rPr>
          <w:rFonts w:ascii="Arial" w:hAnsi="Arial" w:cs="Arial"/>
          <w:noProof/>
        </w:rPr>
        <w:t>(41)</w:t>
      </w:r>
      <w:r w:rsidR="00D02F6C" w:rsidRPr="004661E9">
        <w:rPr>
          <w:rFonts w:ascii="Arial" w:hAnsi="Arial" w:cs="Arial"/>
        </w:rPr>
        <w:fldChar w:fldCharType="end"/>
      </w:r>
      <w:r w:rsidR="000A20D2">
        <w:rPr>
          <w:rFonts w:ascii="Arial" w:hAnsi="Arial" w:cs="Arial"/>
        </w:rPr>
        <w:t>.</w:t>
      </w:r>
      <w:r w:rsidR="004A41BA" w:rsidRPr="004661E9">
        <w:rPr>
          <w:rFonts w:ascii="Arial" w:hAnsi="Arial" w:cs="Arial"/>
        </w:rPr>
        <w:t xml:space="preserve"> The </w:t>
      </w:r>
      <w:r w:rsidR="00D44032" w:rsidRPr="004661E9">
        <w:rPr>
          <w:rFonts w:ascii="Arial" w:hAnsi="Arial" w:cs="Arial"/>
        </w:rPr>
        <w:t>study also demonstrated that</w:t>
      </w:r>
      <w:r w:rsidR="00543EDD" w:rsidRPr="004661E9">
        <w:rPr>
          <w:rFonts w:ascii="Arial" w:hAnsi="Arial" w:cs="Arial"/>
        </w:rPr>
        <w:t xml:space="preserve"> </w:t>
      </w:r>
      <w:r w:rsidR="007D4B33" w:rsidRPr="004661E9">
        <w:rPr>
          <w:rFonts w:ascii="Arial" w:hAnsi="Arial" w:cs="Arial"/>
        </w:rPr>
        <w:t>CV</w:t>
      </w:r>
      <w:r w:rsidR="0061174F" w:rsidRPr="004661E9">
        <w:rPr>
          <w:rFonts w:ascii="Arial" w:hAnsi="Arial" w:cs="Arial"/>
        </w:rPr>
        <w:t>D</w:t>
      </w:r>
      <w:r w:rsidR="00543EDD" w:rsidRPr="004661E9">
        <w:rPr>
          <w:rFonts w:ascii="Arial" w:hAnsi="Arial" w:cs="Arial"/>
        </w:rPr>
        <w:t xml:space="preserve"> complications have significantly declined over the past 20 years</w:t>
      </w:r>
      <w:r w:rsidR="005E63BD" w:rsidRPr="004661E9">
        <w:rPr>
          <w:rFonts w:ascii="Arial" w:hAnsi="Arial" w:cs="Arial"/>
        </w:rPr>
        <w:t xml:space="preserve"> in individ</w:t>
      </w:r>
      <w:r w:rsidR="00605C04" w:rsidRPr="004661E9">
        <w:rPr>
          <w:rFonts w:ascii="Arial" w:hAnsi="Arial" w:cs="Arial"/>
        </w:rPr>
        <w:t>uals with and without T2DM.</w:t>
      </w:r>
      <w:r w:rsidR="00252211" w:rsidRPr="004661E9">
        <w:rPr>
          <w:rFonts w:ascii="Arial" w:hAnsi="Arial" w:cs="Arial"/>
        </w:rPr>
        <w:t xml:space="preserve"> However, the decline in the rate of HF in patients with T2DM has pl</w:t>
      </w:r>
      <w:r w:rsidR="00543EDD" w:rsidRPr="004661E9">
        <w:rPr>
          <w:rFonts w:ascii="Arial" w:hAnsi="Arial" w:cs="Arial"/>
        </w:rPr>
        <w:t>atea</w:t>
      </w:r>
      <w:r w:rsidR="00252211" w:rsidRPr="004661E9">
        <w:rPr>
          <w:rFonts w:ascii="Arial" w:hAnsi="Arial" w:cs="Arial"/>
        </w:rPr>
        <w:t xml:space="preserve">ued over recent years. </w:t>
      </w:r>
      <w:r w:rsidR="00805221" w:rsidRPr="004661E9">
        <w:rPr>
          <w:rFonts w:ascii="Arial" w:hAnsi="Arial" w:cs="Arial"/>
        </w:rPr>
        <w:t>One potential explanation for this finding is the obesity epidemic</w:t>
      </w:r>
      <w:r w:rsidR="00543EDD" w:rsidRPr="004661E9">
        <w:rPr>
          <w:rFonts w:ascii="Arial" w:hAnsi="Arial" w:cs="Arial"/>
        </w:rPr>
        <w:t>,</w:t>
      </w:r>
      <w:r w:rsidR="00805221" w:rsidRPr="004661E9">
        <w:rPr>
          <w:rFonts w:ascii="Arial" w:hAnsi="Arial" w:cs="Arial"/>
        </w:rPr>
        <w:t xml:space="preserve"> </w:t>
      </w:r>
      <w:r w:rsidR="001C1319" w:rsidRPr="004661E9">
        <w:rPr>
          <w:rFonts w:ascii="Arial" w:hAnsi="Arial" w:cs="Arial"/>
        </w:rPr>
        <w:t xml:space="preserve">as adiposity </w:t>
      </w:r>
      <w:r w:rsidR="00543EDD" w:rsidRPr="004661E9">
        <w:rPr>
          <w:rFonts w:ascii="Arial" w:hAnsi="Arial" w:cs="Arial"/>
        </w:rPr>
        <w:t>plays</w:t>
      </w:r>
      <w:r w:rsidR="001C1319" w:rsidRPr="004661E9">
        <w:rPr>
          <w:rFonts w:ascii="Arial" w:hAnsi="Arial" w:cs="Arial"/>
        </w:rPr>
        <w:t xml:space="preserve"> a major role in </w:t>
      </w:r>
      <w:r w:rsidR="00543EDD" w:rsidRPr="004661E9">
        <w:rPr>
          <w:rFonts w:ascii="Arial" w:hAnsi="Arial" w:cs="Arial"/>
        </w:rPr>
        <w:t xml:space="preserve">the </w:t>
      </w:r>
      <w:r w:rsidR="001C1319" w:rsidRPr="004661E9">
        <w:rPr>
          <w:rFonts w:ascii="Arial" w:hAnsi="Arial" w:cs="Arial"/>
        </w:rPr>
        <w:t>de</w:t>
      </w:r>
      <w:r w:rsidR="00B811EB" w:rsidRPr="004661E9">
        <w:rPr>
          <w:rFonts w:ascii="Arial" w:hAnsi="Arial" w:cs="Arial"/>
        </w:rPr>
        <w:t xml:space="preserve">velopment of HF in patients with </w:t>
      </w:r>
      <w:r w:rsidR="007D4B33" w:rsidRPr="004661E9">
        <w:rPr>
          <w:rFonts w:ascii="Arial" w:hAnsi="Arial" w:cs="Arial"/>
        </w:rPr>
        <w:t>diabetes</w:t>
      </w:r>
      <w:r w:rsidR="00B811EB" w:rsidRPr="004661E9">
        <w:rPr>
          <w:rFonts w:ascii="Arial" w:hAnsi="Arial" w:cs="Arial"/>
        </w:rPr>
        <w:t xml:space="preserve">. </w:t>
      </w:r>
      <w:r w:rsidR="00631B38" w:rsidRPr="004661E9">
        <w:rPr>
          <w:rFonts w:ascii="Arial" w:hAnsi="Arial" w:cs="Arial"/>
        </w:rPr>
        <w:t xml:space="preserve">For instance, </w:t>
      </w:r>
      <w:r w:rsidR="00DB1C17" w:rsidRPr="004661E9">
        <w:rPr>
          <w:rFonts w:ascii="Arial" w:hAnsi="Arial" w:cs="Arial"/>
        </w:rPr>
        <w:t>a recent analysis</w:t>
      </w:r>
      <w:r w:rsidR="005C3D97" w:rsidRPr="004661E9">
        <w:rPr>
          <w:rFonts w:ascii="Arial" w:hAnsi="Arial" w:cs="Arial"/>
        </w:rPr>
        <w:t xml:space="preserve"> of 2 US cohort studies</w:t>
      </w:r>
      <w:r w:rsidR="00DB1C17" w:rsidRPr="004661E9">
        <w:rPr>
          <w:rFonts w:ascii="Arial" w:hAnsi="Arial" w:cs="Arial"/>
        </w:rPr>
        <w:t xml:space="preserve"> demonstrated that </w:t>
      </w:r>
      <w:r w:rsidR="00AB0E8F" w:rsidRPr="004661E9">
        <w:rPr>
          <w:rFonts w:ascii="Arial" w:hAnsi="Arial" w:cs="Arial"/>
        </w:rPr>
        <w:t>overall obesity, abdominal obesity, and fat</w:t>
      </w:r>
      <w:r w:rsidR="007D4B33" w:rsidRPr="004661E9">
        <w:rPr>
          <w:rFonts w:ascii="Arial" w:hAnsi="Arial" w:cs="Arial"/>
        </w:rPr>
        <w:t xml:space="preserve"> </w:t>
      </w:r>
      <w:r w:rsidR="00AB0E8F" w:rsidRPr="004661E9">
        <w:rPr>
          <w:rFonts w:ascii="Arial" w:hAnsi="Arial" w:cs="Arial"/>
        </w:rPr>
        <w:t xml:space="preserve">mass were strongly associated with </w:t>
      </w:r>
      <w:r w:rsidR="00543EDD" w:rsidRPr="004661E9">
        <w:rPr>
          <w:rFonts w:ascii="Arial" w:hAnsi="Arial" w:cs="Arial"/>
        </w:rPr>
        <w:t xml:space="preserve">a </w:t>
      </w:r>
      <w:r w:rsidR="00AB0E8F" w:rsidRPr="004661E9">
        <w:rPr>
          <w:rFonts w:ascii="Arial" w:hAnsi="Arial" w:cs="Arial"/>
        </w:rPr>
        <w:t>greate</w:t>
      </w:r>
      <w:r w:rsidR="005C3D97" w:rsidRPr="004661E9">
        <w:rPr>
          <w:rFonts w:ascii="Arial" w:hAnsi="Arial" w:cs="Arial"/>
        </w:rPr>
        <w:t>r risk of HF</w:t>
      </w:r>
      <w:r w:rsidR="00173DD7" w:rsidRPr="004661E9">
        <w:rPr>
          <w:rFonts w:ascii="Arial" w:hAnsi="Arial" w:cs="Arial"/>
        </w:rPr>
        <w:t xml:space="preserve"> in participants with</w:t>
      </w:r>
      <w:r w:rsidR="007D4B33" w:rsidRPr="004661E9">
        <w:rPr>
          <w:rFonts w:ascii="Arial" w:hAnsi="Arial" w:cs="Arial"/>
        </w:rPr>
        <w:t xml:space="preserve"> diabetes</w:t>
      </w:r>
      <w:r w:rsidR="003F16B6" w:rsidRPr="004661E9">
        <w:rPr>
          <w:rFonts w:ascii="Arial" w:hAnsi="Arial" w:cs="Arial"/>
        </w:rPr>
        <w:t>. Interestingly</w:t>
      </w:r>
      <w:r w:rsidR="00D2537D" w:rsidRPr="004661E9">
        <w:rPr>
          <w:rFonts w:ascii="Arial" w:hAnsi="Arial" w:cs="Arial"/>
        </w:rPr>
        <w:t>,</w:t>
      </w:r>
      <w:r w:rsidR="003F16B6" w:rsidRPr="004661E9">
        <w:rPr>
          <w:rFonts w:ascii="Arial" w:hAnsi="Arial" w:cs="Arial"/>
        </w:rPr>
        <w:t xml:space="preserve"> a similar independent association was </w:t>
      </w:r>
      <w:r w:rsidR="00543EDD" w:rsidRPr="004661E9">
        <w:rPr>
          <w:rFonts w:ascii="Arial" w:hAnsi="Arial" w:cs="Arial"/>
        </w:rPr>
        <w:t>ab</w:t>
      </w:r>
      <w:r w:rsidR="003F16B6" w:rsidRPr="004661E9">
        <w:rPr>
          <w:rFonts w:ascii="Arial" w:hAnsi="Arial" w:cs="Arial"/>
        </w:rPr>
        <w:t xml:space="preserve">sent in those without </w:t>
      </w:r>
      <w:r w:rsidR="0061174F" w:rsidRPr="004661E9">
        <w:rPr>
          <w:rFonts w:ascii="Arial" w:hAnsi="Arial" w:cs="Arial"/>
        </w:rPr>
        <w:t>T2</w:t>
      </w:r>
      <w:r w:rsidR="003F16B6" w:rsidRPr="004661E9">
        <w:rPr>
          <w:rFonts w:ascii="Arial" w:hAnsi="Arial" w:cs="Arial"/>
        </w:rPr>
        <w:t>DM</w:t>
      </w:r>
      <w:r w:rsidR="00A242F8" w:rsidRPr="004661E9">
        <w:rPr>
          <w:rFonts w:ascii="Arial" w:hAnsi="Arial" w:cs="Arial"/>
        </w:rPr>
        <w:t xml:space="preserve"> </w:t>
      </w:r>
      <w:r w:rsidR="002D7607" w:rsidRPr="004661E9">
        <w:rPr>
          <w:rFonts w:ascii="Arial" w:hAnsi="Arial" w:cs="Arial"/>
        </w:rPr>
        <w:fldChar w:fldCharType="begin" w:fldLock="1"/>
      </w:r>
      <w:r w:rsidR="000962ED" w:rsidRPr="004661E9">
        <w:rPr>
          <w:rFonts w:ascii="Arial" w:hAnsi="Arial" w:cs="Arial"/>
        </w:rPr>
        <w:instrText>ADDIN CSL_CITATION {"citationItems":[{"id":"ITEM-1","itemData":{"DOI":"10.1161/CIRCULATIONAHA.121.055830","ISSN":"15244539","PMID":"34860539","abstract":"Background: Obesity and diabetes are associated with a higher risk of heart failure (HF). The interrelationships between different measures of adiposity-overall obesity, central obesity, fat mass (FM)-and diabetes status for HF risk are not well-established. Methods: Participant-level data from the ARIC study (Atherosclerosis Risk in Communities; visit 5) and the CHS (Cardiovascular Health Study; visit 1) cohorts were obtained from the National Heart, Lung, and Blood Institute Biologic Specimen and Data Repository Information Coordinating Center, harmonized, and pooled for the present analysis, excluding individuals with prevalent HF. FM was estimated in all participants using established anthropometric prediction equations additionally validated using the bioelectrical impedance-based FM in the ARIC subgroup. Incident HF events on follow-up were captured across both cohorts using similar adjudication methods. Multivariable-adjusted Fine-Gray models were created to evaluate the associations of body mass index (BMI), waist circumference (WC), and FM with risk of HF in the overall cohort as well as among those with versus without diabetes at baseline. The population attributable risk of overall obesity (BMI≥30 kg/m2), abdominal obesity (WC&gt;88 and 102 cm in women and men, respectively), and high FM (above sex-specific median) for incident HF was evaluated among participants with and without diabetes. Results: The study included 10 387 participants (52.9% ARIC; 25.1% diabetes; median age, 74 years). The correlation between predicted and bioelectrical impedance-based FM was high (R2=0.90; n=5038). During a 5-year follow-up, 447 participants developed HF (4.3%). Higher levels of each adiposity measure were significantly associated with higher HF risk (hazard ratio [95% CI] per 1 SD higher BMI=1.15 [1.05, 1.27], WC=1.22 [1.10, 1.36]; FM=1.13 [1.02, 1.25]). A significant interaction was noted between diabetes status and measures of BMI (P interaction=0.04) and WC (P interaction=0.004) for the risk of HF. In stratified analysis, higher measures of each adiposity parameter were significantly associated with higher HF risk in individuals with diabetes (hazard ratio [95% CI] per 1 SD higher BMI=1.29 [1.14-1.47]; WC=1.48 [1.29-1.70]; FM=1.25 [1.09-1.43]) but not those without diabetes, including participants with prediabetes and euglycemia. The population attributable risk percentage of overall obesity, abdominal obesity, and high FM for incident HF was higher among…","author":[{"dropping-particle":"V.","family":"Patel","given":"Kershaw","non-dropping-particle":"","parse-names":false,"suffix":""},{"dropping-particle":"","family":"Segar","given":"Matthew W.","non-dropping-particle":"","parse-names":false,"suffix":""},{"dropping-particle":"","family":"Lavie","given":"Carl J.","non-dropping-particle":"","parse-names":false,"suffix":""},{"dropping-particle":"","family":"Kondamudi","given":"Nitin","non-dropping-particle":"","parse-names":false,"suffix":""},{"dropping-particle":"","family":"Neeland","given":"Ian J.","non-dropping-particle":"","parse-names":false,"suffix":""},{"dropping-particle":"","family":"Almandoz","given":"Jaime P.","non-dropping-particle":"","parse-names":false,"suffix":""},{"dropping-particle":"","family":"Martin","given":"Corby K.","non-dropping-particle":"","parse-names":false,"suffix":""},{"dropping-particle":"","family":"Carbone","given":"Salvatore","non-dropping-particle":"","parse-names":false,"suffix":""},{"dropping-particle":"","family":"Butler","given":"Javed","non-dropping-particle":"","parse-names":false,"suffix":""},{"dropping-particle":"","family":"Powell-Wiley","given":"Tiffany M.","non-dropping-particle":"","parse-names":false,"suffix":""},{"dropping-particle":"","family":"Pandey","given":"Ambarish","non-dropping-particle":"","parse-names":false,"suffix":""}],"container-title":"Circulation","id":"ITEM-1","issue":"4","issued":{"date-parts":[["2022","1","1"]]},"page":"268","publisher":"NIH Public Access","title":"Diabetes Status Modifies the Association Between Different Measures of Obesity and Heart Failure Risk Among Older Adults: A Pooled Analysis of Community-Based NHLBI Cohorts","type":"article-journal","volume":"145"},"uris":["http://www.mendeley.com/documents/?uuid=b45ec8c7-c8e5-3fe2-ab7a-6e9b68103527"]}],"mendeley":{"formattedCitation":"(42)","plainTextFormattedCitation":"(42)","previouslyFormattedCitation":"(42)"},"properties":{"noteIndex":0},"schema":"https://github.com/citation-style-language/schema/raw/master/csl-citation.json"}</w:instrText>
      </w:r>
      <w:r w:rsidR="002D7607" w:rsidRPr="004661E9">
        <w:rPr>
          <w:rFonts w:ascii="Arial" w:hAnsi="Arial" w:cs="Arial"/>
        </w:rPr>
        <w:fldChar w:fldCharType="separate"/>
      </w:r>
      <w:r w:rsidR="000962ED" w:rsidRPr="004661E9">
        <w:rPr>
          <w:rFonts w:ascii="Arial" w:hAnsi="Arial" w:cs="Arial"/>
          <w:noProof/>
        </w:rPr>
        <w:t>(42)</w:t>
      </w:r>
      <w:r w:rsidR="002D7607" w:rsidRPr="004661E9">
        <w:rPr>
          <w:rFonts w:ascii="Arial" w:hAnsi="Arial" w:cs="Arial"/>
        </w:rPr>
        <w:fldChar w:fldCharType="end"/>
      </w:r>
      <w:r w:rsidR="00A242F8" w:rsidRPr="004661E9">
        <w:rPr>
          <w:rFonts w:ascii="Arial" w:hAnsi="Arial" w:cs="Arial"/>
        </w:rPr>
        <w:t>.</w:t>
      </w:r>
      <w:r w:rsidR="003F16B6" w:rsidRPr="004661E9">
        <w:rPr>
          <w:rFonts w:ascii="Arial" w:hAnsi="Arial" w:cs="Arial"/>
        </w:rPr>
        <w:t xml:space="preserve"> </w:t>
      </w:r>
      <w:r w:rsidR="005C3D97" w:rsidRPr="004661E9">
        <w:rPr>
          <w:rFonts w:ascii="Arial" w:hAnsi="Arial" w:cs="Arial"/>
        </w:rPr>
        <w:t xml:space="preserve"> </w:t>
      </w:r>
    </w:p>
    <w:p w14:paraId="552941E7" w14:textId="77777777" w:rsidR="0057178B" w:rsidRPr="004661E9" w:rsidRDefault="0057178B" w:rsidP="004661E9">
      <w:pPr>
        <w:spacing w:after="0" w:line="276" w:lineRule="auto"/>
        <w:rPr>
          <w:rFonts w:ascii="Arial" w:hAnsi="Arial" w:cs="Arial"/>
        </w:rPr>
      </w:pPr>
    </w:p>
    <w:p w14:paraId="141A9E07" w14:textId="5EA68A0B" w:rsidR="000B44DF" w:rsidRPr="004661E9" w:rsidRDefault="00DE1018" w:rsidP="004661E9">
      <w:pPr>
        <w:spacing w:after="0" w:line="276" w:lineRule="auto"/>
        <w:rPr>
          <w:rFonts w:ascii="Arial" w:hAnsi="Arial" w:cs="Arial"/>
        </w:rPr>
      </w:pPr>
      <w:r w:rsidRPr="004661E9">
        <w:rPr>
          <w:rFonts w:ascii="Arial" w:hAnsi="Arial" w:cs="Arial"/>
        </w:rPr>
        <w:t>I</w:t>
      </w:r>
      <w:r w:rsidR="008A49AD" w:rsidRPr="004661E9">
        <w:rPr>
          <w:rFonts w:ascii="Arial" w:hAnsi="Arial" w:cs="Arial"/>
        </w:rPr>
        <w:t xml:space="preserve">schemic heart disease </w:t>
      </w:r>
      <w:r w:rsidRPr="004661E9">
        <w:rPr>
          <w:rFonts w:ascii="Arial" w:hAnsi="Arial" w:cs="Arial"/>
        </w:rPr>
        <w:t xml:space="preserve">is </w:t>
      </w:r>
      <w:r w:rsidR="008A49AD" w:rsidRPr="004661E9">
        <w:rPr>
          <w:rFonts w:ascii="Arial" w:hAnsi="Arial" w:cs="Arial"/>
        </w:rPr>
        <w:t>more frequently</w:t>
      </w:r>
      <w:r w:rsidR="00BD5EC1" w:rsidRPr="004661E9">
        <w:rPr>
          <w:rFonts w:ascii="Arial" w:hAnsi="Arial" w:cs="Arial"/>
        </w:rPr>
        <w:t xml:space="preserve"> seen</w:t>
      </w:r>
      <w:r w:rsidR="008A49AD" w:rsidRPr="004661E9">
        <w:rPr>
          <w:rFonts w:ascii="Arial" w:hAnsi="Arial" w:cs="Arial"/>
        </w:rPr>
        <w:t xml:space="preserve"> in </w:t>
      </w:r>
      <w:r w:rsidR="00BD5EC1" w:rsidRPr="004661E9">
        <w:rPr>
          <w:rFonts w:ascii="Arial" w:hAnsi="Arial" w:cs="Arial"/>
        </w:rPr>
        <w:t>HF patients</w:t>
      </w:r>
      <w:r w:rsidR="008A49AD" w:rsidRPr="004661E9">
        <w:rPr>
          <w:rFonts w:ascii="Arial" w:hAnsi="Arial" w:cs="Arial"/>
        </w:rPr>
        <w:t xml:space="preserve"> with coexistent T2DM than those without T2DM (</w:t>
      </w:r>
      <w:r w:rsidR="00BD5EC1" w:rsidRPr="004661E9">
        <w:rPr>
          <w:rFonts w:ascii="Arial" w:hAnsi="Arial" w:cs="Arial"/>
        </w:rPr>
        <w:t xml:space="preserve">63% vs. </w:t>
      </w:r>
      <w:r w:rsidR="008A49AD" w:rsidRPr="004661E9">
        <w:rPr>
          <w:rFonts w:ascii="Arial" w:hAnsi="Arial" w:cs="Arial"/>
        </w:rPr>
        <w:t>47%)</w:t>
      </w:r>
      <w:r w:rsidR="000B44DF" w:rsidRPr="004661E9">
        <w:rPr>
          <w:rFonts w:ascii="Arial" w:hAnsi="Arial" w:cs="Arial"/>
        </w:rPr>
        <w:t>.</w:t>
      </w:r>
      <w:r w:rsidR="00E20904" w:rsidRPr="004661E9">
        <w:rPr>
          <w:rFonts w:ascii="Arial" w:hAnsi="Arial" w:cs="Arial"/>
        </w:rPr>
        <w:t xml:space="preserve"> Moreover, ~90</w:t>
      </w:r>
      <w:r w:rsidR="006F2849" w:rsidRPr="004661E9">
        <w:rPr>
          <w:rFonts w:ascii="Arial" w:hAnsi="Arial" w:cs="Arial"/>
        </w:rPr>
        <w:t>%</w:t>
      </w:r>
      <w:r w:rsidR="00E20904" w:rsidRPr="004661E9">
        <w:rPr>
          <w:rFonts w:ascii="Arial" w:hAnsi="Arial" w:cs="Arial"/>
        </w:rPr>
        <w:t xml:space="preserve"> of </w:t>
      </w:r>
      <w:r w:rsidR="00861472" w:rsidRPr="004661E9">
        <w:rPr>
          <w:rFonts w:ascii="Arial" w:hAnsi="Arial" w:cs="Arial"/>
        </w:rPr>
        <w:t xml:space="preserve">the </w:t>
      </w:r>
      <w:r w:rsidR="00064A11" w:rsidRPr="004661E9">
        <w:rPr>
          <w:rFonts w:ascii="Arial" w:hAnsi="Arial" w:cs="Arial"/>
        </w:rPr>
        <w:t>patients</w:t>
      </w:r>
      <w:r w:rsidR="00861472" w:rsidRPr="004661E9">
        <w:rPr>
          <w:rFonts w:ascii="Arial" w:hAnsi="Arial" w:cs="Arial"/>
        </w:rPr>
        <w:t xml:space="preserve"> </w:t>
      </w:r>
      <w:r w:rsidR="00E20904" w:rsidRPr="004661E9">
        <w:rPr>
          <w:rFonts w:ascii="Arial" w:hAnsi="Arial" w:cs="Arial"/>
        </w:rPr>
        <w:t>with T2DM and HF of non</w:t>
      </w:r>
      <w:r w:rsidR="000B44DF" w:rsidRPr="004661E9">
        <w:rPr>
          <w:rFonts w:ascii="Arial" w:hAnsi="Arial" w:cs="Arial"/>
        </w:rPr>
        <w:t>-</w:t>
      </w:r>
      <w:r w:rsidR="00E20904" w:rsidRPr="004661E9">
        <w:rPr>
          <w:rFonts w:ascii="Arial" w:hAnsi="Arial" w:cs="Arial"/>
        </w:rPr>
        <w:t>ischemic etiology ha</w:t>
      </w:r>
      <w:r w:rsidR="00543EDD" w:rsidRPr="004661E9">
        <w:rPr>
          <w:rFonts w:ascii="Arial" w:hAnsi="Arial" w:cs="Arial"/>
        </w:rPr>
        <w:t>ve</w:t>
      </w:r>
      <w:r w:rsidR="00E20904" w:rsidRPr="004661E9">
        <w:rPr>
          <w:rFonts w:ascii="Arial" w:hAnsi="Arial" w:cs="Arial"/>
        </w:rPr>
        <w:t xml:space="preserve"> at least </w:t>
      </w:r>
      <w:r w:rsidR="008E11EF" w:rsidRPr="004661E9">
        <w:rPr>
          <w:rFonts w:ascii="Arial" w:hAnsi="Arial" w:cs="Arial"/>
        </w:rPr>
        <w:t>one</w:t>
      </w:r>
      <w:r w:rsidR="00E20904" w:rsidRPr="004661E9">
        <w:rPr>
          <w:rFonts w:ascii="Arial" w:hAnsi="Arial" w:cs="Arial"/>
        </w:rPr>
        <w:t xml:space="preserve"> comorbidity that can contribute to HF development, such as </w:t>
      </w:r>
      <w:r w:rsidR="006C258B" w:rsidRPr="004661E9">
        <w:rPr>
          <w:rFonts w:ascii="Arial" w:hAnsi="Arial" w:cs="Arial"/>
        </w:rPr>
        <w:t>hypertension</w:t>
      </w:r>
      <w:r w:rsidR="00E20904" w:rsidRPr="004661E9">
        <w:rPr>
          <w:rFonts w:ascii="Arial" w:hAnsi="Arial" w:cs="Arial"/>
        </w:rPr>
        <w:t>, atrial fibrillation, valvular disease, or pulmonary disease</w:t>
      </w:r>
      <w:r w:rsidR="00064A11" w:rsidRPr="004661E9">
        <w:rPr>
          <w:rFonts w:ascii="Arial" w:hAnsi="Arial" w:cs="Arial"/>
        </w:rPr>
        <w:t xml:space="preserve"> </w:t>
      </w:r>
      <w:r w:rsidR="00064A11" w:rsidRPr="004661E9">
        <w:rPr>
          <w:rFonts w:ascii="Arial" w:hAnsi="Arial" w:cs="Arial"/>
        </w:rPr>
        <w:fldChar w:fldCharType="begin" w:fldLock="1"/>
      </w:r>
      <w:r w:rsidR="000962ED" w:rsidRPr="004661E9">
        <w:rPr>
          <w:rFonts w:ascii="Arial" w:hAnsi="Arial" w:cs="Arial"/>
        </w:rPr>
        <w:instrText>ADDIN CSL_CITATION {"citationItems":[{"id":"ITEM-1","itemData":{"DOI":"10.1016/j.jacc.2016.06.061","ISSN":"15583597","abstract":"Background Heart failure (HF) is a common and serious complication in type 2 diabetes mellitus (T2DM). The prognosis of ischemic HF and impact of revascularization in such patients have not been investigated fully in a patient population representing everyday practice. Objectives This study examined the impact of ischemic versus nonischemic HF and previous revascularization on long-term prognosis in an unselected population of patients with and without T2DM. Methods Patients stratified by diabetes status and ischemic or nonischemic HF and history of revascularization in the Swedish Heart Failure Registry (SwedeHF) from 2003 to 2011 were followed up for mortality predictors and longevity. A propensity score analysis was applied to evaluate the impact of previous revascularization. Results Among 35,163 HF patients, those with T2DM were younger, and 90% had 1 or more associated comorbidities. Ischemic heart disease (IHD) occurred in 62% of patients with T2DM and 47% of those without T2DM, of whom 53% and 48%, respectively, had previously undergone revascularization. T2DM predicted mortality regardless of the presence of IHD, with adjusted hazard ratios (HRs) and 95% confidence intervals (CIs) of 1.40 (1.33 to 1.46) and 1.30 (1.22 to 1.39) in those with and without IHD, respectively. Patients with both T2DM and IHD had the highest mortality, which was further accentuated by the absence of previous revascularization (adjusted HR: 0.82 in favor of such treatment; 95% CI: 0.75 to 0.91). Propensity score adjustment did not change these results (HR: 0.87; 95% CI: 0.78 to 0.96). Revascularization did not abolish the impact of T2DM, which predicted mortality in those with (HR: 1.36; 95% CI: 1.24 to 1.48) and without (HR: 1.45; 95% CI: 1.33 to 1.56) a history of revascularization. Conclusions Ninety percent of HF patients with T2DM have preventable comorbidities. IHD in patients with T2DM had an especially negative influence on mortality, an impact that was beneficially influenced by previous revascularization.","author":[{"dropping-particle":"","family":"Johansson","given":"Isabelle","non-dropping-particle":"","parse-names":false,"suffix":""},{"dropping-particle":"","family":"Dahlström","given":"Ulf","non-dropping-particle":"","parse-names":false,"suffix":""},{"dropping-particle":"","family":"Edner","given":"Magnus","non-dropping-particle":"","parse-names":false,"suffix":""},{"dropping-particle":"","family":"Näsman","given":"Per","non-dropping-particle":"","parse-names":false,"suffix":""},{"dropping-particle":"","family":"Rydén","given":"Lars","non-dropping-particle":"","parse-names":false,"suffix":""},{"dropping-particle":"","family":"Norhammar","given":"Anna","non-dropping-particle":"","parse-names":false,"suffix":""}],"container-title":"Journal of the American College of Cardiology","id":"ITEM-1","issue":"13","issued":{"date-parts":[["2016","9","27"]]},"page":"1404-1416","publisher":"Elsevier USA","title":"Prognostic Implications of Type 2 Diabetes Mellitus in Ischemic and Nonischemic Heart Failure","type":"article-journal","volume":"68"},"uris":["http://www.mendeley.com/documents/?uuid=d7bfadd7-f920-31a4-8a53-63fb0d706ee6"]}],"mendeley":{"formattedCitation":"(43)","plainTextFormattedCitation":"(43)","previouslyFormattedCitation":"(43)"},"properties":{"noteIndex":0},"schema":"https://github.com/citation-style-language/schema/raw/master/csl-citation.json"}</w:instrText>
      </w:r>
      <w:r w:rsidR="00064A11" w:rsidRPr="004661E9">
        <w:rPr>
          <w:rFonts w:ascii="Arial" w:hAnsi="Arial" w:cs="Arial"/>
        </w:rPr>
        <w:fldChar w:fldCharType="separate"/>
      </w:r>
      <w:r w:rsidR="000962ED" w:rsidRPr="004661E9">
        <w:rPr>
          <w:rFonts w:ascii="Arial" w:hAnsi="Arial" w:cs="Arial"/>
          <w:noProof/>
        </w:rPr>
        <w:t>(43)</w:t>
      </w:r>
      <w:r w:rsidR="00064A11" w:rsidRPr="004661E9">
        <w:rPr>
          <w:rFonts w:ascii="Arial" w:hAnsi="Arial" w:cs="Arial"/>
        </w:rPr>
        <w:fldChar w:fldCharType="end"/>
      </w:r>
      <w:r w:rsidR="00064A11" w:rsidRPr="004661E9">
        <w:rPr>
          <w:rFonts w:ascii="Arial" w:hAnsi="Arial" w:cs="Arial"/>
        </w:rPr>
        <w:t>.</w:t>
      </w:r>
      <w:r w:rsidR="00D00EB9" w:rsidRPr="004661E9">
        <w:rPr>
          <w:rFonts w:ascii="Arial" w:hAnsi="Arial" w:cs="Arial"/>
        </w:rPr>
        <w:t xml:space="preserve"> </w:t>
      </w:r>
    </w:p>
    <w:p w14:paraId="31D7BA83" w14:textId="63F6CBF2" w:rsidR="00E2575C" w:rsidRPr="004661E9" w:rsidRDefault="00E2575C" w:rsidP="004661E9">
      <w:pPr>
        <w:spacing w:after="0" w:line="276" w:lineRule="auto"/>
        <w:rPr>
          <w:rFonts w:ascii="Arial" w:hAnsi="Arial" w:cs="Arial"/>
        </w:rPr>
      </w:pPr>
    </w:p>
    <w:p w14:paraId="3BC13148" w14:textId="77777777" w:rsidR="00172895" w:rsidRPr="004661E9" w:rsidRDefault="00172895" w:rsidP="004661E9">
      <w:pPr>
        <w:spacing w:after="0" w:line="276" w:lineRule="auto"/>
        <w:rPr>
          <w:rFonts w:ascii="Arial" w:hAnsi="Arial" w:cs="Arial"/>
        </w:rPr>
      </w:pPr>
      <w:r w:rsidRPr="004661E9">
        <w:rPr>
          <w:rFonts w:ascii="Arial" w:hAnsi="Arial" w:cs="Arial"/>
          <w:noProof/>
        </w:rPr>
        <w:lastRenderedPageBreak/>
        <w:drawing>
          <wp:inline distT="0" distB="0" distL="0" distR="0" wp14:anchorId="5DA00708" wp14:editId="5F3AB0D8">
            <wp:extent cx="4910757" cy="59055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0714" cy="5929500"/>
                    </a:xfrm>
                    <a:prstGeom prst="rect">
                      <a:avLst/>
                    </a:prstGeom>
                  </pic:spPr>
                </pic:pic>
              </a:graphicData>
            </a:graphic>
          </wp:inline>
        </w:drawing>
      </w:r>
    </w:p>
    <w:p w14:paraId="10B2CCA2" w14:textId="10E1E9E0" w:rsidR="00F97F8D" w:rsidRDefault="00F97F8D" w:rsidP="004661E9">
      <w:pPr>
        <w:spacing w:after="0" w:line="276" w:lineRule="auto"/>
        <w:rPr>
          <w:rFonts w:ascii="Arial" w:hAnsi="Arial" w:cs="Arial"/>
          <w:b/>
          <w:bCs/>
        </w:rPr>
      </w:pPr>
      <w:r w:rsidRPr="004661E9">
        <w:rPr>
          <w:rFonts w:ascii="Arial" w:hAnsi="Arial" w:cs="Arial"/>
          <w:b/>
          <w:bCs/>
        </w:rPr>
        <w:t xml:space="preserve">Figure 1. </w:t>
      </w:r>
      <w:r w:rsidRPr="004661E9">
        <w:rPr>
          <w:rFonts w:ascii="Arial" w:hAnsi="Arial" w:cs="Arial"/>
        </w:rPr>
        <w:t xml:space="preserve"> </w:t>
      </w:r>
      <w:r w:rsidRPr="004661E9">
        <w:rPr>
          <w:rFonts w:ascii="Arial" w:hAnsi="Arial" w:cs="Arial"/>
          <w:b/>
          <w:bCs/>
        </w:rPr>
        <w:t xml:space="preserve">Heart failure with reduced ejection fraction due to ischemic cardiomyopathy in a patient with uncontrolled type 2 diabetes. </w:t>
      </w:r>
      <w:r w:rsidR="00F80BEA" w:rsidRPr="004661E9">
        <w:rPr>
          <w:rFonts w:ascii="Arial" w:hAnsi="Arial" w:cs="Arial"/>
          <w:b/>
          <w:bCs/>
        </w:rPr>
        <w:t>57-year-old female patient with a history of uncontrolled type</w:t>
      </w:r>
      <w:r w:rsidR="00AC75E6" w:rsidRPr="004661E9">
        <w:rPr>
          <w:rFonts w:ascii="Arial" w:hAnsi="Arial" w:cs="Arial"/>
          <w:b/>
          <w:bCs/>
        </w:rPr>
        <w:t xml:space="preserve"> </w:t>
      </w:r>
      <w:r w:rsidR="00F80BEA" w:rsidRPr="004661E9">
        <w:rPr>
          <w:rFonts w:ascii="Arial" w:hAnsi="Arial" w:cs="Arial"/>
          <w:b/>
          <w:bCs/>
        </w:rPr>
        <w:t>2 diabetes (HbA1c = 12.0) and active tobacco abuse presented with a 2-day history of intermittent midsternal chest pain. (A) Her ECG on presentation demonstrated findings of acute/recent anteroseptal myocardial infarct and old/age indeterminate inferior myocardial infarct, and her serum troponin I was markedly elevated. (B and C) Her echocardiography revealed a dilated left ventricle with severely reduced systolic function, an ejection fraction of 20-25%, and akinetic anterior and inferior wall segments. Her coronary angiography, which was performed emergently, demonstrated subacute occlusion of the proximal segment of the anterior descending artery (arrow in image D) and chronic total occlusion of the middle segment of the right coronary artery (arrow in image E).</w:t>
      </w:r>
    </w:p>
    <w:p w14:paraId="15D586CD" w14:textId="77777777" w:rsidR="00DD5618" w:rsidRPr="004661E9" w:rsidRDefault="00DD5618" w:rsidP="004661E9">
      <w:pPr>
        <w:spacing w:after="0" w:line="276" w:lineRule="auto"/>
        <w:rPr>
          <w:rFonts w:ascii="Arial" w:hAnsi="Arial" w:cs="Arial"/>
          <w:b/>
          <w:bCs/>
        </w:rPr>
      </w:pPr>
    </w:p>
    <w:p w14:paraId="36F66D6C" w14:textId="77777777" w:rsidR="00172895" w:rsidRPr="004661E9" w:rsidRDefault="00172895" w:rsidP="004661E9">
      <w:pPr>
        <w:spacing w:after="0" w:line="276" w:lineRule="auto"/>
        <w:rPr>
          <w:rFonts w:ascii="Arial" w:hAnsi="Arial" w:cs="Arial"/>
        </w:rPr>
      </w:pPr>
      <w:r w:rsidRPr="004661E9">
        <w:rPr>
          <w:rFonts w:ascii="Arial" w:hAnsi="Arial" w:cs="Arial"/>
          <w:noProof/>
        </w:rPr>
        <w:drawing>
          <wp:inline distT="0" distB="0" distL="0" distR="0" wp14:anchorId="699F40BB" wp14:editId="1D834637">
            <wp:extent cx="4789793" cy="566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7303" cy="5676261"/>
                    </a:xfrm>
                    <a:prstGeom prst="rect">
                      <a:avLst/>
                    </a:prstGeom>
                  </pic:spPr>
                </pic:pic>
              </a:graphicData>
            </a:graphic>
          </wp:inline>
        </w:drawing>
      </w:r>
    </w:p>
    <w:p w14:paraId="26D0AC0A" w14:textId="478BB4B9" w:rsidR="00F80BEA" w:rsidRPr="004661E9" w:rsidRDefault="00497283" w:rsidP="004661E9">
      <w:pPr>
        <w:spacing w:after="0" w:line="276" w:lineRule="auto"/>
        <w:rPr>
          <w:rFonts w:ascii="Arial" w:hAnsi="Arial" w:cs="Arial"/>
          <w:b/>
          <w:bCs/>
        </w:rPr>
      </w:pPr>
      <w:r w:rsidRPr="004661E9">
        <w:rPr>
          <w:rFonts w:ascii="Arial" w:hAnsi="Arial" w:cs="Arial"/>
          <w:b/>
          <w:bCs/>
        </w:rPr>
        <w:t>F</w:t>
      </w:r>
      <w:r w:rsidR="00F97F8D" w:rsidRPr="004661E9">
        <w:rPr>
          <w:rFonts w:ascii="Arial" w:hAnsi="Arial" w:cs="Arial"/>
          <w:b/>
          <w:bCs/>
        </w:rPr>
        <w:t>igure 2</w:t>
      </w:r>
      <w:r w:rsidRPr="004661E9">
        <w:rPr>
          <w:rFonts w:ascii="Arial" w:hAnsi="Arial" w:cs="Arial"/>
          <w:b/>
          <w:bCs/>
        </w:rPr>
        <w:t>.</w:t>
      </w:r>
      <w:r w:rsidR="00F97F8D" w:rsidRPr="004661E9">
        <w:rPr>
          <w:rFonts w:ascii="Arial" w:hAnsi="Arial" w:cs="Arial"/>
          <w:b/>
          <w:bCs/>
        </w:rPr>
        <w:t xml:space="preserve">  Heart failure with reduced ejection fraction due to non-ischemic cardiomyopathy in a patient with uncontrolled type 2 diabetes. </w:t>
      </w:r>
      <w:r w:rsidR="00F80BEA" w:rsidRPr="004661E9">
        <w:rPr>
          <w:rFonts w:ascii="Arial" w:hAnsi="Arial" w:cs="Arial"/>
          <w:b/>
          <w:bCs/>
        </w:rPr>
        <w:t>59-year-old male patient with a history of hypertension (medically managed), class I obesity, hyperlipidemia, moderate alcohol consumption, and undiagnosed type</w:t>
      </w:r>
      <w:r w:rsidR="00AC75E6" w:rsidRPr="004661E9">
        <w:rPr>
          <w:rFonts w:ascii="Arial" w:hAnsi="Arial" w:cs="Arial"/>
          <w:b/>
          <w:bCs/>
        </w:rPr>
        <w:t xml:space="preserve"> </w:t>
      </w:r>
      <w:r w:rsidR="00F80BEA" w:rsidRPr="004661E9">
        <w:rPr>
          <w:rFonts w:ascii="Arial" w:hAnsi="Arial" w:cs="Arial"/>
          <w:b/>
          <w:bCs/>
        </w:rPr>
        <w:t xml:space="preserve">2 diabetes (HbA1c = 13.5) presented with dyspnea on exertion, orthopnea, and leg edema and he was admitted with the diagnoses of acute decompensated heart failure. (A) His ECG on presentation demonstrated left ventricular hypertrophy with repolarization abnormalities. (B and C) His echocardiography revealed a dilated left ventricle with severely reduced systolic function and diffuse hypokinesis, an ejection fraction of 25-30%, </w:t>
      </w:r>
      <w:r w:rsidR="00543EDD" w:rsidRPr="004661E9">
        <w:rPr>
          <w:rFonts w:ascii="Arial" w:hAnsi="Arial" w:cs="Arial"/>
          <w:b/>
          <w:bCs/>
        </w:rPr>
        <w:t xml:space="preserve">and </w:t>
      </w:r>
      <w:r w:rsidR="00F80BEA" w:rsidRPr="004661E9">
        <w:rPr>
          <w:rFonts w:ascii="Arial" w:hAnsi="Arial" w:cs="Arial"/>
          <w:b/>
          <w:bCs/>
        </w:rPr>
        <w:t>eccentric left ventricular hypertrophy. (D and E) His coronary angiography, performed for ischemic evaluation</w:t>
      </w:r>
      <w:r w:rsidR="00543EDD" w:rsidRPr="004661E9">
        <w:rPr>
          <w:rFonts w:ascii="Arial" w:hAnsi="Arial" w:cs="Arial"/>
          <w:b/>
          <w:bCs/>
        </w:rPr>
        <w:t>,</w:t>
      </w:r>
      <w:r w:rsidR="00F80BEA" w:rsidRPr="004661E9">
        <w:rPr>
          <w:rFonts w:ascii="Arial" w:hAnsi="Arial" w:cs="Arial"/>
          <w:b/>
          <w:bCs/>
        </w:rPr>
        <w:t xml:space="preserve"> demonstrated no evidence of significant epicardial coronary artery disease. </w:t>
      </w:r>
      <w:r w:rsidR="00F80BEA" w:rsidRPr="004661E9">
        <w:rPr>
          <w:rFonts w:ascii="Arial" w:hAnsi="Arial" w:cs="Arial"/>
          <w:b/>
          <w:bCs/>
        </w:rPr>
        <w:lastRenderedPageBreak/>
        <w:t xml:space="preserve">The patient’s non-ischemic cardiomyopathy was attributed to a mixed presentation of alcoholic and diabetic cardiomyopathy and hypertensive heart disease. </w:t>
      </w:r>
    </w:p>
    <w:p w14:paraId="49BF668E" w14:textId="7AFDB2DE" w:rsidR="00F97F8D" w:rsidRPr="004661E9" w:rsidRDefault="00F97F8D" w:rsidP="004661E9">
      <w:pPr>
        <w:spacing w:after="0" w:line="276" w:lineRule="auto"/>
        <w:rPr>
          <w:rFonts w:ascii="Arial" w:hAnsi="Arial" w:cs="Arial"/>
          <w:b/>
        </w:rPr>
      </w:pPr>
    </w:p>
    <w:p w14:paraId="047E1538" w14:textId="4E286FFA" w:rsidR="007D4B33" w:rsidRPr="004661E9" w:rsidRDefault="007D4B33" w:rsidP="004661E9">
      <w:pPr>
        <w:spacing w:after="0" w:line="276" w:lineRule="auto"/>
        <w:rPr>
          <w:rFonts w:ascii="Arial" w:hAnsi="Arial" w:cs="Arial"/>
        </w:rPr>
      </w:pPr>
      <w:r w:rsidRPr="004661E9">
        <w:rPr>
          <w:rFonts w:ascii="Arial" w:hAnsi="Arial" w:cs="Arial"/>
        </w:rPr>
        <w:t xml:space="preserve">Diabetes is an independent predictor of progression from preclinical HF (stage A and stage B) to clinic HF (stage C) </w:t>
      </w:r>
      <w:r w:rsidRPr="004661E9">
        <w:rPr>
          <w:rFonts w:ascii="Arial" w:hAnsi="Arial" w:cs="Arial"/>
        </w:rPr>
        <w:fldChar w:fldCharType="begin" w:fldLock="1"/>
      </w:r>
      <w:r w:rsidR="000962ED" w:rsidRPr="004661E9">
        <w:rPr>
          <w:rFonts w:ascii="Arial" w:hAnsi="Arial" w:cs="Arial"/>
        </w:rPr>
        <w:instrText>ADDIN CSL_CITATION {"citationItems":[{"id":"ITEM-1","itemData":{"DOI":"10.1016/J.JACC.2022.03.378","ISSN":"0735-1097","PMID":"35680178","abstract":"Background: The influence of diabetes on progression from preclinical heart failure (HF) stages to overt HF is poorly understood. Objectives: The purpose of this study was to characterize the influence of diabetes on the progression from preclinical HF stages (A or B based on the 2021 Universal Definition) to overt HF. Methods: We included 4,774 adults with preclinical HF (stage A [n = 1,551] or B [n = 3,223]) who attended the ARIC (Atherosclerosis Risk In Communities) study Visit 5 (2011-2013). Within each stage (A or B), we assessed the associations of diabetes and glycemic control (hemoglobin A1C [HbA1C] &lt;7% vs ≥7%) with progression to HF, and of cross-categories of HF stages (A vs B), diabetes, and glycemic control with incident HF. Results: Among the participants (mean age 75.4 years, 58% women, 20% Black), there were 470 HF events during 8.6 years of follow-up. Stage B participants with HbA1C ≥7% experienced clinical HF at a younger age than those with controlled diabetes or without diabetes (mean age 80 years vs 83 years vs 82 years; P &lt; 0.001). HbA1C ≥7% was more strongly associated with HF in stage B (HR: 1.83; 95% CI: 1.33-2.51) compared with stage A (HR: 1.52; 95% CI: 0.53-4.38). In cross-categories of preclinical HF stage and HbA1C, participants with stage B and HbA1C ≥7% had increased risk of HF progression compared with stage A without diabetes (HR: 7.56; 95% CI: 4.68-12.20). Conclusions: Among older adults with preclinical HF stages, uncontrolled diabetes was associated with substantial risk of HF progression. Our results suggest that targeting diabetes early in the HF process is critical.","author":[{"dropping-particle":"","family":"Echouffo-Tcheugui","given":"Justin B.","non-dropping-particle":"","parse-names":false,"suffix":""},{"dropping-particle":"","family":"Ndumele","given":"Chiadi E.","non-dropping-particle":"","parse-names":false,"suffix":""},{"dropping-particle":"","family":"Zhang","given":"Sui","non-dropping-particle":"","parse-names":false,"suffix":""},{"dropping-particle":"","family":"Florido","given":"Roberta","non-dropping-particle":"","parse-names":false,"suffix":""},{"dropping-particle":"","family":"Matsushita","given":"Kunihiro","non-dropping-particle":"","parse-names":false,"suffix":""},{"dropping-particle":"","family":"Coresh","given":"Josef","non-dropping-particle":"","parse-names":false,"suffix":""},{"dropping-particle":"","family":"Skali","given":"Hicham","non-dropping-particle":"","parse-names":false,"suffix":""},{"dropping-particle":"","family":"Shah","given":"Amil M.","non-dropping-particle":"","parse-names":false,"suffix":""},{"dropping-particle":"","family":"Selvin","given":"Elizabeth","non-dropping-particle":"","parse-names":false,"suffix":""}],"container-title":"Journal of the American College of Cardiology","id":"ITEM-1","issue":"23","issued":{"date-parts":[["2022","6","14"]]},"page":"2285-2293","publisher":"Elsevier","title":"Diabetes and Progression of Heart Failure: The Atherosclerosis Risk In Communities (ARIC) Study","type":"article-journal","volume":"79"},"uris":["http://www.mendeley.com/documents/?uuid=e0d15c41-b6b8-3ae7-ba1a-f61947790cf0"]}],"mendeley":{"formattedCitation":"(44)","plainTextFormattedCitation":"(44)","previouslyFormattedCitation":"(44)"},"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(44)</w:t>
      </w:r>
      <w:r w:rsidRPr="004661E9">
        <w:rPr>
          <w:rFonts w:ascii="Arial" w:hAnsi="Arial" w:cs="Arial"/>
        </w:rPr>
        <w:fldChar w:fldCharType="end"/>
      </w:r>
      <w:r w:rsidRPr="004661E9">
        <w:rPr>
          <w:rFonts w:ascii="Arial" w:hAnsi="Arial" w:cs="Arial"/>
        </w:rPr>
        <w:t xml:space="preserve">. A population-based analysis on the National Scottish Register found that HF hospitalization risk was ~2-fold higher among patients with diabetes than those without diabetes </w:t>
      </w:r>
      <w:r w:rsidRPr="004661E9">
        <w:rPr>
          <w:rFonts w:ascii="Arial" w:hAnsi="Arial" w:cs="Arial"/>
        </w:rPr>
        <w:fldChar w:fldCharType="begin" w:fldLock="1"/>
      </w:r>
      <w:r w:rsidR="000962ED" w:rsidRPr="004661E9">
        <w:rPr>
          <w:rFonts w:ascii="Arial" w:hAnsi="Arial" w:cs="Arial"/>
        </w:rPr>
        <w:instrText>ADDIN CSL_CITATION {"citationItems":[{"id":"ITEM-1","itemData":{"DOI":"10.1161/CIRCULATIONAHA.118.034986","ISSN":"15244539","abstract":"BACKGROUND: Recent clinical trials of new glucose-lowering treatments have drawn attention to the importance of hospitalization for heart failure as a complication of diabetes mellitus. However, the epidemiology is not well described, particularly for type 1 diabetes mellitus. We examined the incidence and case-fatality of heart failure hospitalizations in the entire population aged ≥30 years resident in Scotland during 2004 to 2013. METHODS: Date and type of diabetes mellitus diagnosis were linked to heart failure hospitalizations and deaths using the national Scottish registers. Incidence rates and case-fatality were estimated in regression models (quasi-Poisson and logistic regression respectively). All estimates are adjusted for age, sex, socioeconomic status, and calendar-year. RESULTS: Over the 10-year period of the study, among 3.25 million people there were 91,429, 22 959, and 1313 incident heart failure events among those without diabetes mellitus, with type 2, and type 1 diabetes mellitus, respectively. The crude incidence rates of heart failure hospitalization were therefore 2.4, 12.4, and 5.6 per 1000 person-years for these 3 groups. Heart failure hospitalization incidence was higher in people with diabetes mellitus, regardless of type, than in people without. Relative differences were smallest for older men, in whom the difference was nonetheless large (men aged 80, rate ratio 1.78; 95% CI, 1.45-2.19). Rates declined similarly, by 0.2% per calendar-year, in people with type 2 diabetes mellitus and without diabetes mellitus. Rates fell faster, however, in those with type 1 diabetes mellitus (2.2% per calendar-year, rate ratio for type 1/calendar-year interaction 0.978; 95% CI, 0.959-0.998). Thirty-day case-fatality was similar among people with type 2 diabetes mellitus and without diabetes mellitus, but was higher in type 1 diabetes mellitus for men (odds ratio, 0.96; 95% CI, 0.95-0.96) and women (odds ratio, 0.98; 95% CI, 0.97-0.98). Case-fatality declined over time for all groups (3.3% per calendar-year, odds ratio per calendar-year 0.967; 95% CI, 0.961-0.973). CONCLUSIONS: Despite falling incidence, particularly in type 1 diabetes mellitus, heart failure remains ≈2-fold higher than in people without diabetes mellitus, with higher case-fatality in those with type 1 diabetes mellitus. These findings support the view that heart failure is an under-recognized and important complication in diabetes mellitus, particularly for type 1 disease.","author":[{"dropping-particle":"","family":"McAllister","given":"David A.","non-dropping-particle":"","parse-names":false,"suffix":""},{"dropping-particle":"","family":"Read","given":"Stephanie H.","non-dropping-particle":"","parse-names":false,"suffix":""},{"dropping-particle":"","family":"Kerssens","given":"Jan","non-dropping-particle":"","parse-names":false,"suffix":""},{"dropping-particle":"","family":"Livingstone","given":"Shona","non-dropping-particle":"","parse-names":false,"suffix":""},{"dropping-particle":"","family":"McGurnaghan","given":"Stuart","non-dropping-particle":"","parse-names":false,"suffix":""},{"dropping-particle":"","family":"Jhund","given":"Pardeep","non-dropping-particle":"","parse-names":false,"suffix":""},{"dropping-particle":"","family":"Petrie","given":"John","non-dropping-particle":"","parse-names":false,"suffix":""},{"dropping-particle":"","family":"Sattar","given":"Naveed","non-dropping-particle":"","parse-names":false,"suffix":""},{"dropping-particle":"","family":"Fischbacher","given":"Colin","non-dropping-particle":"","parse-names":false,"suffix":""},{"dropping-particle":"","family":"Kristensen","given":"Soren Lund","non-dropping-particle":"","parse-names":false,"suffix":""},{"dropping-particle":"","family":"McMurray","given":"John","non-dropping-particle":"","parse-names":false,"suffix":""},{"dropping-particle":"","family":"Colhoun","given":"Helen M.","non-dropping-particle":"","parse-names":false,"suffix":""},{"dropping-particle":"","family":"Wild","given":"Sarah H.","non-dropping-particle":"","parse-names":false,"suffix":""}],"container-title":"Circulation","id":"ITEM-1","issue":"24","issued":{"date-parts":[["2018"]]},"page":"2774-2786","title":"Incidence of hospitalization for heart failure and case-fatality among 3.25 million people with and without diabetes mellitus","type":"article-journal","volume":"138"},"uris":["http://www.mendeley.com/documents/?uuid=b490f0bb-e291-4bea-8616-0432bbcf2308"]}],"mendeley":{"formattedCitation":"(45)","plainTextFormattedCitation":"(45)","previouslyFormattedCitation":"(45)"},"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(45)</w:t>
      </w:r>
      <w:r w:rsidRPr="004661E9">
        <w:rPr>
          <w:rFonts w:ascii="Arial" w:hAnsi="Arial" w:cs="Arial"/>
        </w:rPr>
        <w:fldChar w:fldCharType="end"/>
      </w:r>
      <w:r w:rsidRPr="004661E9">
        <w:rPr>
          <w:rFonts w:ascii="Arial" w:hAnsi="Arial" w:cs="Arial"/>
        </w:rPr>
        <w:t>. A prospective cohort study, including individuals from the southeastern U.S.,</w:t>
      </w:r>
      <w:r w:rsidR="00A13863" w:rsidRPr="004661E9">
        <w:rPr>
          <w:rFonts w:ascii="Arial" w:hAnsi="Arial" w:cs="Arial"/>
        </w:rPr>
        <w:t xml:space="preserve"> </w:t>
      </w:r>
      <w:r w:rsidRPr="004661E9">
        <w:rPr>
          <w:rFonts w:ascii="Arial" w:hAnsi="Arial" w:cs="Arial"/>
        </w:rPr>
        <w:t xml:space="preserve">demonstrated that hypertension and diabetes were associated with the highest HF risk in white and black participants </w:t>
      </w:r>
      <w:r w:rsidRPr="004661E9">
        <w:rPr>
          <w:rFonts w:ascii="Arial" w:hAnsi="Arial" w:cs="Arial"/>
        </w:rPr>
        <w:fldChar w:fldCharType="begin" w:fldLock="1"/>
      </w:r>
      <w:r w:rsidR="000962ED" w:rsidRPr="004661E9">
        <w:rPr>
          <w:rFonts w:ascii="Arial" w:hAnsi="Arial" w:cs="Arial"/>
        </w:rPr>
        <w:instrText>ADDIN CSL_CITATION {"citationItems":[{"id":"ITEM-1","itemData":{"DOI":"10.1016/j.jchf.2019.11.001","ISSN":"22131779","abstract":"Objectives: The purpose of this study was to examine race- and sex-based variation in the associations between modifiable risk factors and incident heart failure (HF) among the SCCS (Southern Community Cohort Study) participants. Background: Low-income individuals in the southeastern United States have high HF incidence rates, but relative contributions of risk factors to HF are understudied in this population. Methods: We studied 27,078 black or white SCCS participants (mean age: 56 years, 69% black, 63% women) enrolled between 2002 and 2009, without prevalent HF, receiving Centers for Medicare and Medicaid Services. The presence of hypertension, diabetes mellitus, physical underactivity, high body mass index, smoking, high cholesterol, and poor diet was assessed at enrollment. Incident HF was ascertained using International Classification of Diseases-9th revision, codes 428.x in Centers for Medicare and Medicaid Services data through December 31, 2010. Individual risk and population attributable risk for HF for each risk factor were quantified using multivariable Cox models. Results: During a median (25th, 75th percentile) 5.2 (3.1, 6.7) years, 4,341 (16%) participants developed HF. Hypertension and diabetes were associated with greatest HF risk, whereas hypertension contributed the greatest population attributable risk, 31.8% (95% confidence interval: 27.3 to 36.0). In black participants, only hypertension and diabetes associated with HF risk; in white participants, smoking and high body mass index also associated with HF risk. Physical underactivity was a risk factor only in white women. Conclusions: In this high-risk, low-income cohort, contributions of risk factors to HF varied, particularly by race. To reduce the population burden of HF, interventions tailored for specific race and sex groups may be warranted.","author":[{"dropping-particle":"","family":"Kubicki","given":"Danielle M.","non-dropping-particle":"","parse-names":false,"suffix":""},{"dropping-particle":"","family":"Xu","given":"Meng","non-dropping-particle":"","parse-names":false,"suffix":""},{"dropping-particle":"","family":"Akwo","given":"Elvis A.","non-dropping-particle":"","parse-names":false,"suffix":""},{"dropping-particle":"","family":"Dixon","given":"Debra","non-dropping-particle":"","parse-names":false,"suffix":""},{"dropping-particle":"","family":"Muñoz","given":"Daniel","non-dropping-particle":"","parse-names":false,"suffix":""},{"dropping-particle":"","family":"Blot","given":"William J.","non-dropping-particle":"","parse-names":false,"suffix":""},{"dropping-particle":"","family":"Wang","given":"Thomas J.","non-dropping-particle":"","parse-names":false,"suffix":""},{"dropping-particle":"","family":"Lipworth","given":"Loren","non-dropping-particle":"","parse-names":false,"suffix":""},{"dropping-particle":"","family":"Gupta","given":"Deepak K.","non-dropping-particle":"","parse-names":false,"suffix":""}],"container-title":"JACC: Heart Failure","id":"ITEM-1","issue":"2","issued":{"date-parts":[["2020"]]},"page":"122-130","title":"Race and Sex Differences in Modifiable Risk Factors and Incident Heart Failure","type":"article-journal","volume":"8"},"uris":["http://www.mendeley.com/documents/?uuid=d268b043-14f3-47d8-a9f1-d2a33c03ce60"]}],"mendeley":{"formattedCitation":"(46)","plainTextFormattedCitation":"(46)","previouslyFormattedCitation":"(46)"},"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(46)</w:t>
      </w:r>
      <w:r w:rsidRPr="004661E9">
        <w:rPr>
          <w:rFonts w:ascii="Arial" w:hAnsi="Arial" w:cs="Arial"/>
        </w:rPr>
        <w:fldChar w:fldCharType="end"/>
      </w:r>
      <w:r w:rsidRPr="004661E9">
        <w:rPr>
          <w:rFonts w:ascii="Arial" w:hAnsi="Arial" w:cs="Arial"/>
        </w:rPr>
        <w:t xml:space="preserve">. The population-attributable risk of HF was highest for hypertension (31.8%), followed by diabetes (17%). A population-based case-control study also observed an attributable risk of HF at ~17% for diabetes, without any significant difference between HFpEF and HFrEF </w:t>
      </w:r>
      <w:r w:rsidRPr="004661E9">
        <w:rPr>
          <w:rFonts w:ascii="Arial" w:hAnsi="Arial" w:cs="Arial"/>
        </w:rPr>
        <w:fldChar w:fldCharType="begin" w:fldLock="1"/>
      </w:r>
      <w:r w:rsidR="000962ED" w:rsidRPr="004661E9">
        <w:rPr>
          <w:rFonts w:ascii="Arial" w:hAnsi="Arial" w:cs="Arial"/>
        </w:rPr>
        <w:instrText>ADDIN CSL_CITATION {"citationItems":[{"id":"ITEM-1","itemData":{"DOI":"10.1016/j.amjmed.2019.10.030","ISSN":"15557162","PMID":"31747542","abstract":"Background: Differences in comorbid conditions in patients with heart failure compared with population controls, and whether differences exist by type of heart failure or age, have not been well documented. Methods: The prevalence of 17 chronic conditions were obtained in 2643 patients with incident heart failure from 2000 to 2013 and controls matched 1:1 on sex and age from Olmsted County, Minnesota. Logistic regression determined associations of each condition with heart failure. Results: Among 2643 matched pairs (mean age 76.2 years, 45.6% men), the comorbidities with the largest attributable risk of heart failure were arrhythmia (48.7%), hypertension (28.4%), and coronary artery disease (33.9%); together these explained 73.0% of heart failure. Similar associations were observed for patients with reduced and preserved ejection fraction, with the exception of hypertension. The risk of heart failure attributable to hypertension was 2-fold higher in patients with heart failure with preserved ejection fraction (38.7%) than in patients with heart failure with reduced ejection fraction (17.8%). Hypertension, coronary artery disease, arrhythmia, and diabetes were more strongly associated with heart failure in younger (≤75 years) compared to older (&gt;75 years) persons. Conclusions: Patients with heart failure have a higher prevalence of many chronic conditions than controls. Similar associations were observed in patients with reduced and preserved ejection fraction, with the exception of hypertension, which was more strongly associated with heart failure with preserved ejection fraction. Finally, some cardiometabolic risk factors were more strongly associated with heart failure in younger persons, highlighting the importance of optimizing prevention and treatment of risk factors and, in particular, cardiometabolic risk factors.","author":[{"dropping-particle":"","family":"Chamberlain","given":"Alanna M.","non-dropping-particle":"","parse-names":false,"suffix":""},{"dropping-particle":"","family":"Boyd","given":"Cynthia M.","non-dropping-particle":"","parse-names":false,"suffix":""},{"dropping-particle":"","family":"Manemann","given":"Sheila M.","non-dropping-particle":"","parse-names":false,"suffix":""},{"dropping-particle":"","family":"Dunlay","given":"Shannon M.","non-dropping-particle":"","parse-names":false,"suffix":""},{"dropping-particle":"","family":"Gerber","given":"Yariv","non-dropping-particle":"","parse-names":false,"suffix":""},{"dropping-particle":"","family":"Killian","given":"Jill M.","non-dropping-particle":"","parse-names":false,"suffix":""},{"dropping-particle":"","family":"Weston","given":"Susan A.","non-dropping-particle":"","parse-names":false,"suffix":""},{"dropping-particle":"","family":"Roger","given":"Véronique L.","non-dropping-particle":"","parse-names":false,"suffix":""}],"container-title":"American Journal of Medicine","id":"ITEM-1","issue":"6","issued":{"date-parts":[["2020","11","17"]]},"page":"e237-e248","publisher":"Elsevier Inc.","title":"Risk Factors for Heart Failure in the Community: Differences by Age and Ejection Fraction","type":"article-journal","volume":"133"},"uris":["http://www.mendeley.com/documents/?uuid=16677be5-0678-31fd-aa23-11b077be81e3"]}],"mendeley":{"formattedCitation":"(47)","plainTextFormattedCitation":"(47)","previouslyFormattedCitation":"(47)"},"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(47)</w:t>
      </w:r>
      <w:r w:rsidRPr="004661E9">
        <w:rPr>
          <w:rFonts w:ascii="Arial" w:hAnsi="Arial" w:cs="Arial"/>
        </w:rPr>
        <w:fldChar w:fldCharType="end"/>
      </w:r>
      <w:r w:rsidRPr="004661E9">
        <w:rPr>
          <w:rFonts w:ascii="Arial" w:hAnsi="Arial" w:cs="Arial"/>
        </w:rPr>
        <w:t xml:space="preserve">. </w:t>
      </w:r>
    </w:p>
    <w:p w14:paraId="7400BFB6" w14:textId="77777777" w:rsidR="007D4B33" w:rsidRPr="004661E9" w:rsidRDefault="007D4B33" w:rsidP="004661E9">
      <w:pPr>
        <w:spacing w:after="0" w:line="276" w:lineRule="auto"/>
        <w:rPr>
          <w:rFonts w:ascii="Arial" w:hAnsi="Arial" w:cs="Arial"/>
        </w:rPr>
      </w:pPr>
    </w:p>
    <w:p w14:paraId="5BC79610" w14:textId="3839A1DB" w:rsidR="007D4B33" w:rsidRPr="004661E9" w:rsidRDefault="007D4B33" w:rsidP="004661E9">
      <w:pPr>
        <w:spacing w:after="0" w:line="276" w:lineRule="auto"/>
        <w:rPr>
          <w:rFonts w:ascii="Arial" w:hAnsi="Arial" w:cs="Arial"/>
        </w:rPr>
      </w:pPr>
      <w:r w:rsidRPr="004661E9">
        <w:rPr>
          <w:rFonts w:ascii="Arial" w:hAnsi="Arial" w:cs="Arial"/>
        </w:rPr>
        <w:t xml:space="preserve">Epidemiologic studies have demonstrated a higher incidence of HF in men than in women with diabetes </w:t>
      </w:r>
      <w:r w:rsidRPr="004661E9">
        <w:rPr>
          <w:rFonts w:ascii="Arial" w:hAnsi="Arial" w:cs="Arial"/>
        </w:rPr>
        <w:fldChar w:fldCharType="begin" w:fldLock="1"/>
      </w:r>
      <w:r w:rsidR="000962ED" w:rsidRPr="004661E9">
        <w:rPr>
          <w:rFonts w:ascii="Arial" w:hAnsi="Arial" w:cs="Arial"/>
        </w:rPr>
        <w:instrText>ADDIN CSL_CITATION {"citationItems":[{"id":"ITEM-1","itemData":{"DOI":"10.1002/ejhf.1350","ISSN":"18790844","abstract":"Aims: Several risk factors for incident heart failure (HF) have been previously identified, however large electronic health records (EHR) datasets may provide the opportunity to examine the consistency of risk factors across different subgroups from the general population. Methods and results: We used linked EHR data from 2000 to 2010 as part of the UK-based CALIBER resource to select a cohort of 871 687 individuals 55 years or older and free of HF at baseline. The primary endpoint was the first record of HF from primary or secondary care. Cox proportional hazards analysis was used to estimate hazard ratios for associations between risk factors and incident HF, separately for men and women and by age category: 55–64, 65–74, and &gt; 75 years. During 5.8 years of median follow-up, a total of 47 987 incident HF cases were recorded. Age, social deprivation, smoking, sedentary lifestyle, diabetes, atrial fibrillation, chronic obstructive pulmonary disease, body mass index, haemoglobin, total white blood cell count and creatinine were associated with HF. Smoking, atrial fibrillation and diabetes showed stronger associations with incident HF in women compared to men. Conclusion: We confirmed associations of several risk factors with HF in this large population-based cohort across age and sex subgroups. Mainly modifiable risk factors and comorbidities are strongly associated with incident HF, highlighting the importance of preventive strategies targeting such risk factors for HF.","author":[{"dropping-particle":"","family":"Uijl","given":"Alicia","non-dropping-particle":"","parse-names":false,"suffix":""},{"dropping-particle":"","family":"Koudstaal","given":"Stefan","non-dropping-particle":"","parse-names":false,"suffix":""},{"dropping-particle":"","family":"Direk","given":"Kenan","non-dropping-particle":"","parse-names":false,"suffix":""},{"dropping-particle":"","family":"Denaxas","given":"Spiros","non-dropping-particle":"","parse-names":false,"suffix":""},{"dropping-particle":"","family":"Groenwold","given":"Rolf H.H.","non-dropping-particle":"","parse-names":false,"suffix":""},{"dropping-particle":"","family":"Banerjee","given":"Amitava","non-dropping-particle":"","parse-names":false,"suffix":""},{"dropping-particle":"","family":"Hoes","given":"Arno W.","non-dropping-particle":"","parse-names":false,"suffix":""},{"dropping-particle":"","family":"Hemingway","given":"Harry","non-dropping-particle":"","parse-names":false,"suffix":""},{"dropping-particle":"","family":"Asselbergs","given":"Folkert W.","non-dropping-particle":"","parse-names":false,"suffix":""}],"container-title":"European Journal of Heart Failure","id":"ITEM-1","issue":"10","issued":{"date-parts":[["2019"]]},"page":"1197-1206","title":"Risk factors for incident heart failure in age- and sex-specific strata: a population-based cohort using linked electronic health records","type":"article-journal","volume":"21"},"uris":["http://www.mendeley.com/documents/?uuid=2bf8c076-af90-4643-8736-e3d44064200d"]},{"id":"ITEM-2","itemData":{"DOI":"10.1007/s00125-018-4700-5","ISSN":"14320428","abstract":"Aims/hypothesis: Type 2 diabetes is an established risk factor for heart failure, but age-specific data are sparse. We aimed to determine excess risk of heart failure, based on age, glycaemic control and kidney function in comparison with age- and sex-matched control individuals from the general population. Methods: Individuals with type 2 diabetes registered in the Swedish National Diabetes Registry 1998–2012 (n = 266,305) were compared with age-, sex- and county-matched control individuals without diabetes (n = 1,323,504), and followed over a median of 5.6 years until 31 December 2013. Results: We identified 266,305 individuals with type 2 diabetes (mean age 62.0 years, 45.3% women) and 1,323,504 control individuals. Of the individuals with type 2 diabetes and control individuals, 18,715 (7.0%) and 50,157 (3.8%) were hospitalised with a diagnosis of heart failure, respectively. Comparing individuals with diabetes with those in the control group, men and women with type 2 diabetes who were younger than 55 years of age had HRs for hospitalisation for heart failure of 2.07 (95% CI 1.73, 2.48) and 4.59 (95% CI 3.50, 6.02), respectively, using analyses adjusted for socioeconomic variables and associated conditions. Younger age, poorer glycaemic control and deteriorating renal function were all associated with increased excess risk of heart failure in those with type 2 diabetes compared with the control group. However, people with diabetes who were ≥75 years and without albuminuria or with good glycaemic control (HbA1c ≤52 mmol/mol [≤6.9%]) had a similar risk of hospitalisation for heart failure as control individuals in the same age group. Conclusions/interpretation: Men and women aged &lt;55 years with type 2 diabetes are at markedly elevated excess risk of heart failure. The excess risk declined with age, but persisted even with good glycaemic control. However, among those who were 75 years and older, diabetic individuals with well controlled glucose levels or without albuminuria had a risk of heart failure that was on a par with individuals without diabetes.","author":[{"dropping-particle":"","family":"Rosengren","given":"Annika","non-dropping-particle":"","parse-names":false,"suffix":""},{"dropping-particle":"","family":"Edqvist","given":"Jon","non-dropping-particle":"","parse-names":false,"suffix":""},{"dropping-particle":"","family":"Rawshani","given":"Araz","non-dropping-particle":"","parse-names":false,"suffix":""},{"dropping-particle":"","family":"Sattar","given":"Naveed","non-dropping-particle":"","parse-names":false,"suffix":""},{"dropping-particle":"","family":"Franzén","given":"Stefan","non-dropping-particle":"","parse-names":false,"suffix":""},{"dropping-particle":"","family":"Adiels","given":"Martin","non-dropping-particle":"","parse-names":false,"suffix":""},{"dropping-particle":"","family":"Svensson","given":"Ann Marie","non-dropping-particle":"","parse-names":false,"suffix":""},{"dropping-particle":"","family":"Lind","given":"Marcus","non-dropping-particle":"","parse-names":false,"suffix":""},{"dropping-particle":"","family":"Gudbjörnsdottir","given":"Soffia","non-dropping-particle":"","parse-names":false,"suffix":""}],"container-title":"Diabetologia","id":"ITEM-2","issue":"11","issued":{"date-parts":[["2018","11","1"]]},"page":"2300-2309","publisher":"Springer Verlag","title":"Excess risk of hospitalisation for heart failure among people with type 2 diabetes","type":"article-journal","volume":"61"},"uris":["http://www.mendeley.com/documents/?uuid=528698f8-9987-39d6-83f8-e4ac4913717d"]}],"mendeley":{"formattedCitation":"(27,40)","plainTextFormattedCitation":"(27,40)","previouslyFormattedCitation":"(27,40)"},"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(27,40)</w:t>
      </w:r>
      <w:r w:rsidRPr="004661E9">
        <w:rPr>
          <w:rFonts w:ascii="Arial" w:hAnsi="Arial" w:cs="Arial"/>
        </w:rPr>
        <w:fldChar w:fldCharType="end"/>
      </w:r>
      <w:r w:rsidRPr="004661E9">
        <w:rPr>
          <w:rFonts w:ascii="Arial" w:hAnsi="Arial" w:cs="Arial"/>
        </w:rPr>
        <w:t xml:space="preserve">. This finding is consistent with the strong association between HF risk and male sex in the general population. However, interestingly, diabetes contributes to the future risk of HF more in women than in men, as supported by multiple epidemiologic studies </w:t>
      </w:r>
      <w:r w:rsidRPr="004661E9">
        <w:rPr>
          <w:rFonts w:ascii="Arial" w:hAnsi="Arial" w:cs="Arial"/>
        </w:rPr>
        <w:fldChar w:fldCharType="begin" w:fldLock="1"/>
      </w:r>
      <w:r w:rsidR="000962ED" w:rsidRPr="004661E9">
        <w:rPr>
          <w:rFonts w:ascii="Arial" w:hAnsi="Arial" w:cs="Arial"/>
        </w:rPr>
        <w:instrText>ADDIN CSL_CITATION {"citationItems":[{"id":"ITEM-1","itemData":{"DOI":"10.1007/s00125-018-4700-5","ISSN":"14320428","abstract":"Aims/hypothesis: Type 2 diabetes is an established risk factor for heart failure, but age-specific data are sparse. We aimed to determine excess risk of heart failure, based on age, glycaemic control and kidney function in comparison with age- and sex-matched control individuals from the general population. Methods: Individuals with type 2 diabetes registered in the Swedish National Diabetes Registry 1998–2012 (n = 266,305) were compared with age-, sex- and county-matched control individuals without diabetes (n = 1,323,504), and followed over a median of 5.6 years until 31 December 2013. Results: We identified 266,305 individuals with type 2 diabetes (mean age 62.0 years, 45.3% women) and 1,323,504 control individuals. Of the individuals with type 2 diabetes and control individuals, 18,715 (7.0%) and 50,157 (3.8%) were hospitalised with a diagnosis of heart failure, respectively. Comparing individuals with diabetes with those in the control group, men and women with type 2 diabetes who were younger than 55 years of age had HRs for hospitalisation for heart failure of 2.07 (95% CI 1.73, 2.48) and 4.59 (95% CI 3.50, 6.02), respectively, using analyses adjusted for socioeconomic variables and associated conditions. Younger age, poorer glycaemic control and deteriorating renal function were all associated with increased excess risk of heart failure in those with type 2 diabetes compared with the control group. However, people with diabetes who were ≥75 years and without albuminuria or with good glycaemic control (HbA1c ≤52 mmol/mol [≤6.9%]) had a similar risk of hospitalisation for heart failure as control individuals in the same age group. Conclusions/interpretation: Men and women aged &lt;55 years with type 2 diabetes are at markedly elevated excess risk of heart failure. The excess risk declined with age, but persisted even with good glycaemic control. However, among those who were 75 years and older, diabetic individuals with well controlled glucose levels or without albuminuria had a risk of heart failure that was on a par with individuals without diabetes.","author":[{"dropping-particle":"","family":"Rosengren","given":"Annika","non-dropping-particle":"","parse-names":false,"suffix":""},{"dropping-particle":"","family":"Edqvist","given":"Jon","non-dropping-particle":"","parse-names":false,"suffix":""},{"dropping-particle":"","family":"Rawshani","given":"Araz","non-dropping-particle":"","parse-names":false,"suffix":""},{"dropping-particle":"","family":"Sattar","given":"Naveed","non-dropping-particle":"","parse-names":false,"suffix":""},{"dropping-particle":"","family":"Franzén","given":"Stefan","non-dropping-particle":"","parse-names":false,"suffix":""},{"dropping-particle":"","family":"Adiels","given":"Martin","non-dropping-particle":"","parse-names":false,"suffix":""},{"dropping-particle":"","family":"Svensson","given":"Ann Marie","non-dropping-particle":"","parse-names":false,"suffix":""},{"dropping-particle":"","family":"Lind","given":"Marcus","non-dropping-particle":"","parse-names":false,"suffix":""},{"dropping-particle":"","family":"Gudbjörnsdottir","given":"Soffia","non-dropping-particle":"","parse-names":false,"suffix":""}],"container-title":"Diabetologia","id":"ITEM-1","issue":"11","issued":{"date-parts":[["2018","11","1"]]},"page":"2300-2309","publisher":"Springer Verlag","title":"Excess risk of hospitalisation for heart failure among people with type 2 diabetes","type":"article-journal","volume":"61"},"uris":["http://www.mendeley.com/documents/?uuid=528698f8-9987-39d6-83f8-e4ac4913717d"]},{"id":"ITEM-2","itemData":{"DOI":"10.1001/jama.1979.03290450033020","ISSN":"15383598","PMID":"430798","abstract":"Based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reserved.","author":[{"dropping-particle":"","family":"Kannel","given":"William B.","non-dropping-particle":"","parse-names":false,"suffix":""},{"dropping-particle":"","family":"McGee","given":"Daniel L.","non-dropping-particle":"","parse-names":false,"suffix":""}],"container-title":"JAMA","id":"ITEM-2","issue":"19","issued":{"date-parts":[["1979","5","11"]]},"page":"2035-2038","title":"Diabetes and Cardiovascular Disease: The Framingham Study","type":"article-journal","volume":"241"},"uris":["http://www.mendeley.com/documents/?uuid=8d9912bd-e6fc-3e82-a6a0-a046fdd789ca"]}],"mendeley":{"formattedCitation":"(27,39)","plainTextFormattedCitation":"(27,39)","previouslyFormattedCitation":"(27,39)"},"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(27,39)</w:t>
      </w:r>
      <w:r w:rsidRPr="004661E9">
        <w:rPr>
          <w:rFonts w:ascii="Arial" w:hAnsi="Arial" w:cs="Arial"/>
        </w:rPr>
        <w:fldChar w:fldCharType="end"/>
      </w:r>
      <w:r w:rsidRPr="004661E9">
        <w:rPr>
          <w:rFonts w:ascii="Arial" w:hAnsi="Arial" w:cs="Arial"/>
        </w:rPr>
        <w:t>.</w:t>
      </w:r>
      <w:r w:rsidR="00752DF4" w:rsidRPr="004661E9">
        <w:rPr>
          <w:rFonts w:ascii="Arial" w:hAnsi="Arial" w:cs="Arial"/>
        </w:rPr>
        <w:t xml:space="preserve"> In a meta-analysis of 47 cohort studies including &gt;12 million individuals, type 1 diabetes mellitus (T1DM) and T2DM were associated with a 47% and 9% greater excess risk of HF in women than men, respectively </w:t>
      </w:r>
      <w:r w:rsidR="00752DF4" w:rsidRPr="004661E9">
        <w:rPr>
          <w:rFonts w:ascii="Arial" w:hAnsi="Arial" w:cs="Arial"/>
        </w:rPr>
        <w:fldChar w:fldCharType="begin" w:fldLock="1"/>
      </w:r>
      <w:r w:rsidR="003C01B8" w:rsidRPr="004661E9">
        <w:rPr>
          <w:rFonts w:ascii="Arial" w:hAnsi="Arial" w:cs="Arial"/>
        </w:rPr>
        <w:instrText>ADDIN CSL_CITATION {"citationItems":[{"id":"ITEM-1","itemData":{"DOI":"10.1007/s00125-019-4926-x","ISSN":"14320428","PMID":"31317230","abstract":"Aims/hypothesis: The prevalence of diabetes and heart failure is increasing, and diabetes has been associated with an increased risk of heart failure. However, whether diabetes confers the same excess risk of heart failure in women and men is unknown. The aim of this study was to conduct a comprehensive systematic review with meta-analysis of possible sex differences in the excess risk of heart failure consequent to diabetes. Our null hypothesis was that there is no such sex difference. Methods: A systematic search was conducted in PubMed for population-based cohort studies published between January 1966 and November 2018. Studies were selected if they reported sex-specific estimates of RRs for heart failure associated with diabetes, and its associated variability, which were adjusted at least for age. Random-effects meta-analyses with inverse variance weighting were used to obtain pooled sex-specific RRs and women-to-men ratio of RRs (RRRs) for heart failure associated with diabetes. Results: Data from 47 cohorts, involving 12,142,998 individuals and 253,260 heart failure events, were included. The pooled multiple-adjusted RR for heart failure associated with type 1 diabetes was 5.15 (95% CI 3.43, 7.74) in women and 3.47 (2.57, 4.69) in men, leading to an RRR of 1.47 (1.44, 1.90). Corresponding pooled RRs for heart failure associated with type 2 diabetes were 1.95 (1.70, 2.22) in women and 1.74 (1.55, 1.95) in men, with a pooled RRR of 1.09 (1.05, 1.13). Conclusions/interpretation: The excess risk of heart failure associated with diabetes is significantly greater in women with diabetes than in men with diabetes. PROSPERO registration: CRD42019135246.","author":[{"dropping-particle":"","family":"Ohkuma","given":"Toshiaki","non-dropping-particle":"","parse-names":false,"suffix":""},{"dropping-particle":"","family":"Komorita","given":"Yuji","non-dropping-particle":"","parse-names":false,"suffix":""},{"dropping-particle":"","family":"Peters","given":"Sanne A.E.","non-dropping-particle":"","parse-names":false,"suffix":""},{"dropping-particle":"","family":"Woodward","given":"Mark","non-dropping-particle":"","parse-names":false,"suffix":""}],"container-title":"Diabetologia","id":"ITEM-1","issue":"9","issued":{"date-parts":[["2019"]]},"page":"1550-1560","publisher":"Diabetologia","title":"Diabetes as a risk factor for heart failure in women and men: a systematic review and meta-analysis of 47 cohorts including 12 million individuals","type":"article-journal","volume":"62"},"uris":["http://www.mendeley.com/documents/?uuid=0c0d5fe9-1da4-4711-a230-5bbb1dc7da88"]}],"mendeley":{"formattedCitation":"(48)","plainTextFormattedCitation":"(48)","previouslyFormattedCitation":"(48)"},"properties":{"noteIndex":0},"schema":"https://github.com/citation-style-language/schema/raw/master/csl-citation.json"}</w:instrText>
      </w:r>
      <w:r w:rsidR="00752DF4" w:rsidRPr="004661E9">
        <w:rPr>
          <w:rFonts w:ascii="Arial" w:hAnsi="Arial" w:cs="Arial"/>
        </w:rPr>
        <w:fldChar w:fldCharType="separate"/>
      </w:r>
      <w:r w:rsidR="00752DF4" w:rsidRPr="004661E9">
        <w:rPr>
          <w:rFonts w:ascii="Arial" w:hAnsi="Arial" w:cs="Arial"/>
          <w:noProof/>
        </w:rPr>
        <w:t>(48)</w:t>
      </w:r>
      <w:r w:rsidR="00752DF4" w:rsidRPr="004661E9">
        <w:rPr>
          <w:rFonts w:ascii="Arial" w:hAnsi="Arial" w:cs="Arial"/>
        </w:rPr>
        <w:fldChar w:fldCharType="end"/>
      </w:r>
      <w:r w:rsidR="00752DF4" w:rsidRPr="004661E9">
        <w:rPr>
          <w:rFonts w:ascii="Arial" w:hAnsi="Arial" w:cs="Arial"/>
        </w:rPr>
        <w:t xml:space="preserve">. </w:t>
      </w:r>
      <w:r w:rsidRPr="004661E9">
        <w:rPr>
          <w:rFonts w:ascii="Arial" w:hAnsi="Arial" w:cs="Arial"/>
        </w:rPr>
        <w:t xml:space="preserve">The basis for the sex-specific disparity in HF risk attributable to diabetes remains unclear.  </w:t>
      </w:r>
    </w:p>
    <w:p w14:paraId="37F6328A" w14:textId="77777777" w:rsidR="007D4B33" w:rsidRPr="004661E9" w:rsidRDefault="007D4B33" w:rsidP="004661E9">
      <w:pPr>
        <w:spacing w:after="0" w:line="276" w:lineRule="auto"/>
        <w:rPr>
          <w:rFonts w:ascii="Arial" w:hAnsi="Arial" w:cs="Arial"/>
          <w:b/>
          <w:bCs/>
        </w:rPr>
      </w:pPr>
    </w:p>
    <w:p w14:paraId="22E8017D" w14:textId="444C5EC0" w:rsidR="00F30053" w:rsidRPr="004661E9" w:rsidRDefault="002215FF" w:rsidP="004661E9">
      <w:pPr>
        <w:spacing w:after="0" w:line="276" w:lineRule="auto"/>
        <w:rPr>
          <w:rFonts w:ascii="Arial" w:hAnsi="Arial" w:cs="Arial"/>
          <w:b/>
          <w:bCs/>
          <w:color w:val="00B050"/>
        </w:rPr>
      </w:pPr>
      <w:r w:rsidRPr="004661E9">
        <w:rPr>
          <w:rFonts w:ascii="Arial" w:hAnsi="Arial" w:cs="Arial"/>
          <w:b/>
          <w:bCs/>
          <w:color w:val="00B050"/>
        </w:rPr>
        <w:t xml:space="preserve">Prediabetes and HF Risk </w:t>
      </w:r>
    </w:p>
    <w:p w14:paraId="5890A82A" w14:textId="77777777" w:rsidR="00F97F8D" w:rsidRPr="004661E9" w:rsidRDefault="00F97F8D" w:rsidP="004661E9">
      <w:pPr>
        <w:spacing w:after="0" w:line="276" w:lineRule="auto"/>
        <w:rPr>
          <w:rFonts w:ascii="Arial" w:hAnsi="Arial" w:cs="Arial"/>
        </w:rPr>
      </w:pPr>
    </w:p>
    <w:p w14:paraId="398DE789" w14:textId="2ACFF12B" w:rsidR="003D6FF9" w:rsidRPr="004661E9" w:rsidRDefault="00F2252F" w:rsidP="004661E9">
      <w:pPr>
        <w:spacing w:after="0" w:line="276" w:lineRule="auto"/>
        <w:rPr>
          <w:rFonts w:ascii="Arial" w:hAnsi="Arial" w:cs="Arial"/>
        </w:rPr>
      </w:pPr>
      <w:r w:rsidRPr="004661E9">
        <w:rPr>
          <w:rFonts w:ascii="Arial" w:hAnsi="Arial" w:cs="Arial"/>
        </w:rPr>
        <w:t>Some epidemiologic studies have suggested that p</w:t>
      </w:r>
      <w:r w:rsidR="00F30053" w:rsidRPr="004661E9">
        <w:rPr>
          <w:rFonts w:ascii="Arial" w:hAnsi="Arial" w:cs="Arial"/>
        </w:rPr>
        <w:t xml:space="preserve">rediabetes </w:t>
      </w:r>
      <w:r w:rsidRPr="004661E9">
        <w:rPr>
          <w:rFonts w:ascii="Arial" w:hAnsi="Arial" w:cs="Arial"/>
        </w:rPr>
        <w:t>may pose a</w:t>
      </w:r>
      <w:r w:rsidR="00F30053" w:rsidRPr="004661E9">
        <w:rPr>
          <w:rFonts w:ascii="Arial" w:hAnsi="Arial" w:cs="Arial"/>
        </w:rPr>
        <w:t xml:space="preserve"> risk for </w:t>
      </w:r>
      <w:r w:rsidR="008E25F0" w:rsidRPr="004661E9">
        <w:rPr>
          <w:rFonts w:ascii="Arial" w:hAnsi="Arial" w:cs="Arial"/>
        </w:rPr>
        <w:t>cardiomyopathy and HF</w:t>
      </w:r>
      <w:r w:rsidR="002168E5" w:rsidRPr="004661E9">
        <w:rPr>
          <w:rFonts w:ascii="Arial" w:hAnsi="Arial" w:cs="Arial"/>
        </w:rPr>
        <w:fldChar w:fldCharType="begin" w:fldLock="1"/>
      </w:r>
      <w:r w:rsidR="003C01B8" w:rsidRPr="004661E9">
        <w:rPr>
          <w:rFonts w:ascii="Arial" w:hAnsi="Arial" w:cs="Arial"/>
        </w:rPr>
        <w:instrText>ADDIN CSL_CITATION {"citationItems":[{"id":"ITEM-1","itemData":{"DOI":"10.1016/j.cardfail.2022.10.426","abstract":"Background: Individuals with prediabetes and diabetes are at increased risk of atherosclerotic cardiovascular disease (ASCVD) and heart failure (HF). Whether ASCVD or HF is more likely to occur first in these populations within different race-sex groups is unknown. Objective: To determine the competing risk for the first cardiovascular event by subtype in Black and white men and women with prediabetes and diabetes. Methods: Individual-level data from adults without ASCVD or HF were pooled from 6 population based cohorts. We estimated the competing cumulative incidences of ASCVD, HF and noncardiovascular death as the first event in middle-aged (40À59 years) and older (60À79 years) adults, stratified by race and sex, with normal fasting plasma glucose (FPG &lt; 100 mg/ dL), prediabetes (FPG 100À125 mg/dL) and diabetes (FPG 126 mg/dL or on antihyperglyce-mic agents) at baseline. Within each race-sex group, we estimated risk the adjusted hazard ratio of ASCVD, HF and noncardiovascular death in adults with prediabetes and diabetes relative to adults with normoglycemia after adjusting for cardiovascular risk factors. Results: In 40,117 participants with 638,910 person-years of follow-up, 5781 cases of incident ASCVD and 3179 cases of incident HF occurred. In middle-aged adults with diabetes, competing cumulative incidence of ASCVD as a first event was higher than HF in white men (35.4% vs 11.6%), Black men (31.6% vs 15.1%) and white women (24.3% vs 17.2%) but not in Black women (26.4% vs 28.4%). Within each group, the adjusted hazard ratio of ASCVD and HF was significantly higher in adults with diabetes than in adults with normal FPG levels. Findings were largely similar in middle-aged adults with prediabetes and older adults with prediabetes or diabetes. Conclusions: Black women with diabetes are more likely to develop HF as their first CVD event, whereas individuals with diabetes from other race-sex groups are more likely to present first with ASCVD. These results can inform the tailoring of primary prevention therapies for either HF-or ASCVD-specific pathways based on individual-level risk. (J Cardiac Fail 2023;29:246À254)","author":[{"dropping-particle":"","family":"Sinha","given":"Arjun","non-dropping-particle":"","parse-names":false,"suffix":""},{"dropping-particle":"","family":"Ning","given":"Hongyan","non-dropping-particle":"","parse-names":false,"suffix":""},{"dropping-particle":"","family":"Cameron","given":"Natalie","non-dropping-particle":"","parse-names":false,"suffix":""},{"dropping-particle":"","family":"Bancks","given":"Michael","non-dropping-particle":"","parse-names":false,"suffix":""},{"dropping-particle":"","family":"Carnethon","given":"Mercedes R","non-dropping-particle":"","parse-names":false,"suffix":""},{"dropping-particle":"","family":"Allen","given":"Norrina B","non-dropping-particle":"","parse-names":false,"suffix":""},{"dropping-particle":"","family":"Wilkins","given":"John T","non-dropping-particle":"","parse-names":false,"suffix":""},{"dropping-particle":"","family":"Lloyd-jones","given":"Donald M","non-dropping-particle":"","parse-names":false,"suffix":""},{"dropping-particle":"","family":"Khan","given":"Sadiya S","non-dropping-particle":"","parse-names":false,"suffix":""}],"id":"ITEM-1","issued":{"date-parts":[["2022"]]},"title":"Atherosclerotic Cardiovascular Disease or Heart Failure: First Cardiovascular Event in Adults With Prediabetes and Diabetes","type":"article-journal"},"uris":["http://www.mendeley.com/documents/?uuid=b1785f6c-e74a-3bf5-bad2-741e4d081976"]}],"mendeley":{"formattedCitation":"(49)","plainTextFormattedCitation":"(49)","previouslyFormattedCitation":"(49)"},"properties":{"noteIndex":0},"schema":"https://github.com/citation-style-language/schema/raw/master/csl-citation.json"}</w:instrText>
      </w:r>
      <w:r w:rsidR="002168E5" w:rsidRPr="004661E9">
        <w:rPr>
          <w:rFonts w:ascii="Arial" w:hAnsi="Arial" w:cs="Arial"/>
        </w:rPr>
        <w:fldChar w:fldCharType="separate"/>
      </w:r>
      <w:r w:rsidR="00752DF4" w:rsidRPr="004661E9">
        <w:rPr>
          <w:rFonts w:ascii="Arial" w:hAnsi="Arial" w:cs="Arial"/>
          <w:noProof/>
        </w:rPr>
        <w:t>(49)</w:t>
      </w:r>
      <w:r w:rsidR="002168E5" w:rsidRPr="004661E9">
        <w:rPr>
          <w:rFonts w:ascii="Arial" w:hAnsi="Arial" w:cs="Arial"/>
        </w:rPr>
        <w:fldChar w:fldCharType="end"/>
      </w:r>
      <w:r w:rsidR="00F30053" w:rsidRPr="004661E9">
        <w:rPr>
          <w:rFonts w:ascii="Arial" w:hAnsi="Arial" w:cs="Arial"/>
        </w:rPr>
        <w:t>. In a population-based cohort study, prediabetes was independently associated with HF with an odds ratio of 1.7</w:t>
      </w:r>
      <w:r w:rsidR="0087705B"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{"citationItems":[{"id":"ITEM-1","itemData":{"DOI":"10.2337/diacare.28.3.612","ISSN":"01495992","abstract":"OBJECTIVE - Diabetes is an independent risk factor for heart failure, whereas the relation between heart failure and abnormal glucose regulation (AGR) needs further evaluation. We studied this combination in the Reykjavík Study. RESEARCH DESIGN AND METHODS - The Reykjavík Study, a population-based cohort study during 1967-1997, recruited 19,381 participants aged 33-84 years who were followed until 2002. Oral glucose tolerance tests and chest X-rays were obtained from all participants. Cases were defined in accordance with World Health Organization criteria for type 2 diabetes or AGR (impaired glucose tolerance or impaired fasting glucose) and European Society of Cardiology guidelines for heart failure. RESULTS - The overall prevalence of type 2 diabetes and heart failure was 0.5% in men and 0.4% in women, while AGR and heart failure were found in 0.7% of men and 0.6% of women. Among participants with normal glucose regulation, heart failure was diagnosed in 3.2% compared with 6.0 and 11.8% among those with AGR and type 2 diabetes, respectively. The prevalence of type 2 diabetes in the age-group 45-65 years increased in both sexes during the period (P for trend = 0.007). The odds ratio was 2.8 (95% CI 2.2-3.6) for the association between type 2 diabetes and heart failure and 1.7 (1.4-2.1) between AGR and heart failure. CONCLUSIONS - There is a strong association between any form of glucometabolic perturbation and heart failure. Future studies in this field should focus on all types of glucose abnormalities rather than previously diagnosed diabetes only. © 2005 by the American Diabetes Association.","author":[{"dropping-particle":"","family":"Thrainsdottir","given":"Inga S.","non-dropping-particle":"","parse-names":false,"suffix":""},{"dropping-particle":"","family":"Aspelund","given":"Thor","non-dropping-particle":"","parse-names":false,"suffix":""},{"dropping-particle":"","family":"Thorgeirsson","given":"Gudmundur","non-dropping-particle":"","parse-names":false,"suffix":""},{"dropping-particle":"","family":"Gudnason","given":"Vilmundur","non-dropping-particle":"","parse-names":false,"suffix":""},{"dropping-particle":"","family":"Hardarson","given":"Thordur","non-dropping-particle":"","parse-names":false,"suffix":""},{"dropping-particle":"","family":"Malmberg","given":"Klas","non-dropping-particle":"","parse-names":false,"suffix":""},{"dropping-particle":"","family":"Sigurdsson","given":"Gunnar","non-dropping-particle":"","parse-names":false,"suffix":""},{"dropping-particle":"","family":"Rydén","given":"Lars","non-dropping-particle":"","parse-names":false,"suffix":""}],"container-title":"Diabetes Care","id":"ITEM-1","issue":"3","issued":{"date-parts":[["2005","3","1"]]},"page":"612-616","publisher":"American Diabetes Association","title":"The association between glucose abnormalities and heart failure in the population-based Reykjavík Study","type":"article-journal","volume":"28"},"uris":["http://www.mendeley.com/documents/?uuid=70432d9c-e4a3-34ab-b06a-45eb15ec1901"]}],"mendeley":{"formattedCitation":"(9)","plainTextFormattedCitation":"(9)","previouslyFormattedCitation":"(9)"},"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(9)</w:t>
      </w:r>
      <w:r w:rsidR="000F3AD7" w:rsidRPr="004661E9">
        <w:rPr>
          <w:rFonts w:ascii="Arial" w:hAnsi="Arial" w:cs="Arial"/>
        </w:rPr>
        <w:fldChar w:fldCharType="end"/>
      </w:r>
      <w:r w:rsidR="0087705B" w:rsidRPr="004661E9">
        <w:rPr>
          <w:rFonts w:ascii="Arial" w:hAnsi="Arial" w:cs="Arial"/>
        </w:rPr>
        <w:t>.</w:t>
      </w:r>
      <w:r w:rsidR="00F30053" w:rsidRPr="004661E9">
        <w:rPr>
          <w:rFonts w:ascii="Arial" w:hAnsi="Arial" w:cs="Arial"/>
        </w:rPr>
        <w:t xml:space="preserve"> </w:t>
      </w:r>
      <w:r w:rsidR="00543EDD" w:rsidRPr="004661E9">
        <w:rPr>
          <w:rFonts w:ascii="Arial" w:hAnsi="Arial" w:cs="Arial"/>
        </w:rPr>
        <w:t>A modest but significant association exists</w:t>
      </w:r>
      <w:r w:rsidR="00F672E4" w:rsidRPr="004661E9">
        <w:rPr>
          <w:rFonts w:ascii="Arial" w:hAnsi="Arial" w:cs="Arial"/>
        </w:rPr>
        <w:t xml:space="preserve"> between fasting plasma glucose levels and </w:t>
      </w:r>
      <w:r w:rsidR="009D7C14" w:rsidRPr="004661E9">
        <w:rPr>
          <w:rFonts w:ascii="Arial" w:hAnsi="Arial" w:cs="Arial"/>
        </w:rPr>
        <w:t xml:space="preserve">the </w:t>
      </w:r>
      <w:r w:rsidR="00F672E4" w:rsidRPr="004661E9">
        <w:rPr>
          <w:rFonts w:ascii="Arial" w:hAnsi="Arial" w:cs="Arial"/>
        </w:rPr>
        <w:t xml:space="preserve">risk of </w:t>
      </w:r>
      <w:r w:rsidR="006C258B" w:rsidRPr="004661E9">
        <w:rPr>
          <w:rFonts w:ascii="Arial" w:hAnsi="Arial" w:cs="Arial"/>
        </w:rPr>
        <w:t>HF</w:t>
      </w:r>
      <w:r w:rsidR="00F672E4" w:rsidRPr="004661E9">
        <w:rPr>
          <w:rFonts w:ascii="Arial" w:hAnsi="Arial" w:cs="Arial"/>
        </w:rPr>
        <w:t xml:space="preserve"> </w:t>
      </w:r>
      <w:r w:rsidR="009D7C14" w:rsidRPr="004661E9">
        <w:rPr>
          <w:rFonts w:ascii="Arial" w:hAnsi="Arial" w:cs="Arial"/>
        </w:rPr>
        <w:t>independent of an individual’s diabetes status</w:t>
      </w:r>
      <w:r w:rsidR="0087705B" w:rsidRPr="004661E9">
        <w:rPr>
          <w:rFonts w:ascii="Arial" w:hAnsi="Arial" w:cs="Arial"/>
        </w:rPr>
        <w:t xml:space="preserve"> </w:t>
      </w:r>
      <w:r w:rsidR="000F3AD7" w:rsidRPr="004661E9">
        <w:rPr>
          <w:rFonts w:ascii="Arial" w:hAnsi="Arial" w:cs="Arial"/>
        </w:rPr>
        <w:fldChar w:fldCharType="begin" w:fldLock="1"/>
      </w:r>
      <w:r w:rsidR="003C01B8" w:rsidRPr="004661E9">
        <w:rPr>
          <w:rFonts w:ascii="Arial" w:hAnsi="Arial" w:cs="Arial"/>
        </w:rPr>
        <w:instrText>ADDIN CSL_CITATION {"citationItems":[{"id":"ITEM-1","itemData":{"DOI":"10.1161/CIRCULATIONAHA.106.661405","ISSN":"1524-4539","PMID":"17339550","abstract":"BACKGROUND Patients with diabetes mellitus (DM) are at high risk of developing congestive heart failure (CHF). However, the relationships between glucose levels and CHF in people with or without a history of DM have not been well characterized. METHODS AND RESULTS We evaluated the associations between fasting plasma glucose and risk of hospitalization for CHF during follow-up in patients at high cardiovascular risk and without CHF enrolled in a large-scale clinical trials program. Baseline fasting plasma glucose levels were assessed in 31,546 high-risk subjects with &gt; or = 1 coronary, peripheral, or cerebrovascular disease or DM with end-organ damage who are participating in 2 ongoing parallel trials evaluating the effects of telmisartan, ramipril, or their combination (Ongoing Telmisartan Alone and in Combination With Ramipril Global Endpoint Trial [ONTARGET]; n=25,620) and the effects of telmisartan against placebo in angiotensin-converting enzyme-intolerant patients (Telmisartan Randomized Assessment Study in ACE Intolerant Subjects With Cardiovascular Disease [TRANSCEND]; n=5926). Interim analyses blinded for randomized treatment were performed to compare baseline fasting plasma glucose with the adjusted CHF event rate at a mean follow-up of 886 days. Multivariable Cox regression models were performed, and associations were reported as hazard ratios and 95% confidence intervals. Among all subjects (mean age, 67 years; 69% men), of whom 11,708 (37%) had known DM and 1006 (3.2%) had newly diagnosed DM at baseline, 668 patients were hospitalized for CHF during follow-up. After adjustment for age and sex, a 1-mmol/L-higher fasting plasma glucose was associated with a 1.10-fold-increased risk of CHF hospitalization (95% confidence interval, 1.08 to 1.12; P&lt;0.0001). The association persisted after adjustment for age, sex, smoking, previous myocardial infarction, hypertension, waist-to-hip ratio, creatinine, DM, and use of aspirin, beta-blockers, or statins (hazard ratio, 1.05; 95% confidence interval, 1.02 to 1.08; P&lt;0.001). CONCLUSIONS Fasting plasma glucose is an independent predictor of hospitalization for CHF in high-risk subjects. These data provide theoretical support for potential direct beneficial effects of glucose lowering in reducing the risk of CHF and suggests the need for specific studies targeted at this issue.","author":[{"dropping-particle":"","family":"Held","given":"C","non-dropping-particle":"","parse-names":false,"suffix":""},{"dropping-particle":"","family":"Gerstein","given":"H C","non-dropping-particle":"","parse-names":false,"suffix":""},{"dropping-particle":"","family":"Yusuf","given":"S","non-dropping-particle":"","parse-names":false,"suffix":""},{"dropping-particle":"","family":"Zhao","given":"F","non-dropping-particle":"","parse-names":false,"suffix":""},{"dropping-particle":"","family":"Hilbrich","given":"L","non-dropping-particle":"","parse-names":false,"suffix":""},{"dropping-particle":"","family":"Anderson","given":"C","non-dropping-particle":"","parse-names":false,"suffix":""},{"dropping-particle":"","family":"Sleight","given":"P","non-dropping-particle":"","parse-names":false,"suffix":""},{"dropping-particle":"","family":"Teo","given":"K","non-dropping-particle":"","parse-names":false,"suffix":""},{"dropping-particle":"","family":"ONTARGET/TRANSCEND Investigators","given":"","non-dropping-particle":"","parse-names":false,"suffix":""}],"container-title":"Circulation","id":"ITEM-1","issue":"11","issued":{"date-parts":[["2007","3","20"]]},"page":"1371-5","title":"Glucose levels predict hospitalization for congestive heart failure in patients at high cardiovascular risk.","type":"article-journal","volume":"115"},"uris":["http://www.mendeley.com/documents/?uuid=e273cf54-1ec3-307c-bda7-dea8de4bb446"]}],"mendeley":{"formattedCitation":"(50)","plainTextFormattedCitation":"(50)","previouslyFormattedCitation":"(50)"},"properties":{"noteIndex":0},"schema":"https://github.com/citation-style-language/schema/raw/master/csl-citation.json"}</w:instrText>
      </w:r>
      <w:r w:rsidR="000F3AD7" w:rsidRPr="004661E9">
        <w:rPr>
          <w:rFonts w:ascii="Arial" w:hAnsi="Arial" w:cs="Arial"/>
        </w:rPr>
        <w:fldChar w:fldCharType="separate"/>
      </w:r>
      <w:r w:rsidR="00752DF4" w:rsidRPr="004661E9">
        <w:rPr>
          <w:rFonts w:ascii="Arial" w:hAnsi="Arial" w:cs="Arial"/>
          <w:noProof/>
        </w:rPr>
        <w:t>(50)</w:t>
      </w:r>
      <w:r w:rsidR="000F3AD7" w:rsidRPr="004661E9">
        <w:rPr>
          <w:rFonts w:ascii="Arial" w:hAnsi="Arial" w:cs="Arial"/>
        </w:rPr>
        <w:fldChar w:fldCharType="end"/>
      </w:r>
      <w:r w:rsidR="0087705B" w:rsidRPr="004661E9">
        <w:rPr>
          <w:rFonts w:ascii="Arial" w:hAnsi="Arial" w:cs="Arial"/>
        </w:rPr>
        <w:t>.</w:t>
      </w:r>
    </w:p>
    <w:p w14:paraId="75D42D1D" w14:textId="77777777" w:rsidR="00F97F8D" w:rsidRPr="004661E9" w:rsidRDefault="00F97F8D" w:rsidP="004661E9">
      <w:pPr>
        <w:spacing w:after="0" w:line="276" w:lineRule="auto"/>
        <w:rPr>
          <w:rFonts w:ascii="Arial" w:hAnsi="Arial" w:cs="Arial"/>
          <w:b/>
          <w:bCs/>
        </w:rPr>
      </w:pPr>
    </w:p>
    <w:p w14:paraId="13F8456B" w14:textId="40902B26" w:rsidR="009465B0" w:rsidRPr="004661E9" w:rsidRDefault="009465B0" w:rsidP="004661E9">
      <w:pPr>
        <w:spacing w:after="0" w:line="276" w:lineRule="auto"/>
        <w:rPr>
          <w:rFonts w:ascii="Arial" w:hAnsi="Arial" w:cs="Arial"/>
          <w:b/>
          <w:bCs/>
          <w:color w:val="00B050"/>
        </w:rPr>
      </w:pPr>
      <w:r w:rsidRPr="004661E9">
        <w:rPr>
          <w:rFonts w:ascii="Arial" w:hAnsi="Arial" w:cs="Arial"/>
          <w:b/>
          <w:bCs/>
          <w:color w:val="00B050"/>
        </w:rPr>
        <w:t xml:space="preserve">Glycemic Control and </w:t>
      </w:r>
      <w:r w:rsidR="009572ED" w:rsidRPr="004661E9">
        <w:rPr>
          <w:rFonts w:ascii="Arial" w:hAnsi="Arial" w:cs="Arial"/>
          <w:b/>
          <w:bCs/>
          <w:color w:val="00B050"/>
        </w:rPr>
        <w:t>HF</w:t>
      </w:r>
      <w:r w:rsidRPr="004661E9">
        <w:rPr>
          <w:rFonts w:ascii="Arial" w:hAnsi="Arial" w:cs="Arial"/>
          <w:b/>
          <w:bCs/>
          <w:color w:val="00B050"/>
        </w:rPr>
        <w:t xml:space="preserve"> Risk</w:t>
      </w:r>
    </w:p>
    <w:p w14:paraId="3E147FE4" w14:textId="77777777" w:rsidR="00F97F8D" w:rsidRPr="004661E9" w:rsidRDefault="00F97F8D" w:rsidP="004661E9">
      <w:pPr>
        <w:spacing w:after="0" w:line="276" w:lineRule="auto"/>
        <w:rPr>
          <w:rFonts w:ascii="Arial" w:hAnsi="Arial" w:cs="Arial"/>
        </w:rPr>
      </w:pPr>
    </w:p>
    <w:p w14:paraId="42DF13EE" w14:textId="635B8714" w:rsidR="007D3063" w:rsidRPr="004661E9" w:rsidRDefault="00B702EA" w:rsidP="004661E9">
      <w:pPr>
        <w:spacing w:after="0" w:line="276" w:lineRule="auto"/>
        <w:rPr>
          <w:rFonts w:ascii="Arial" w:hAnsi="Arial" w:cs="Arial"/>
        </w:rPr>
      </w:pPr>
      <w:r w:rsidRPr="004661E9">
        <w:rPr>
          <w:rFonts w:ascii="Arial" w:hAnsi="Arial" w:cs="Arial"/>
        </w:rPr>
        <w:t xml:space="preserve">Glycemic exposure </w:t>
      </w:r>
      <w:r w:rsidR="002215FF" w:rsidRPr="004661E9">
        <w:rPr>
          <w:rFonts w:ascii="Arial" w:hAnsi="Arial" w:cs="Arial"/>
        </w:rPr>
        <w:t>predicts</w:t>
      </w:r>
      <w:r w:rsidRPr="004661E9">
        <w:rPr>
          <w:rFonts w:ascii="Arial" w:hAnsi="Arial" w:cs="Arial"/>
        </w:rPr>
        <w:t xml:space="preserve"> HF risk in </w:t>
      </w:r>
      <w:r w:rsidR="00861472" w:rsidRPr="004661E9">
        <w:rPr>
          <w:rFonts w:ascii="Arial" w:hAnsi="Arial" w:cs="Arial"/>
        </w:rPr>
        <w:t>individuals</w:t>
      </w:r>
      <w:r w:rsidRPr="004661E9">
        <w:rPr>
          <w:rFonts w:ascii="Arial" w:hAnsi="Arial" w:cs="Arial"/>
        </w:rPr>
        <w:t xml:space="preserve"> with </w:t>
      </w:r>
      <w:r w:rsidR="009B299D" w:rsidRPr="004661E9">
        <w:rPr>
          <w:rFonts w:ascii="Arial" w:hAnsi="Arial" w:cs="Arial"/>
        </w:rPr>
        <w:t>T1</w:t>
      </w:r>
      <w:r w:rsidRPr="004661E9">
        <w:rPr>
          <w:rFonts w:ascii="Arial" w:hAnsi="Arial" w:cs="Arial"/>
        </w:rPr>
        <w:t>DM</w:t>
      </w:r>
      <w:r w:rsidR="009B299D" w:rsidRPr="004661E9">
        <w:rPr>
          <w:rFonts w:ascii="Arial" w:hAnsi="Arial" w:cs="Arial"/>
        </w:rPr>
        <w:t xml:space="preserve"> and T2DM</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{"citationItems":[{"id":"ITEM-1","itemData":{"DOI":"10.1016/j.pcad.2019.07.001","ISSN":"18731740","abstract":"Cardiovascular disease (CVD) is the most common cause of morbidity and mortality for patients with diabetes mellitus (DM). Although the burden of atherosclerotic CVD (ASCVD) is well documented, heart failure (HF) has been an under-appreciated CVD complication of DM. However, as more patients with DM live longer and survive acute ASCVD events, the distribution of CVD complications has evolved. This review summarizes the epidemiology of DM, the relative risk and prognosis of both ASCVD and HF following a diagnosis of DM, and the likelihood of cause-specific CVD mortality in patients with DM.","author":[{"dropping-particle":"","family":"Nelson","given":"Adam J.","non-dropping-particle":"","parse-names":false,"suffix":""},{"dropping-particle":"","family":"Peterson","given":"Eric D.","non-dropping-particle":"","parse-names":false,"suffix":""},{"dropping-particle":"","family":"Pagidipati","given":"Neha J.","non-dropping-particle":"","parse-names":false,"suffix":""}],"container-title":"Progress in Cardiovascular Diseases","id":"ITEM-1","issue":"4","issued":{"date-parts":[["2019"]]},"page":"306-314","publisher":"Elsevier Inc.","title":"Atherosclerotic cardiovascular disease and heart failure: Determinants of risk and outcomes in patients with diabetes","type":"article-journal","volume":"62"},"uris":["http://www.mendeley.com/documents/?uuid=d6ba2b93-d6a4-41de-a505-df414a9e57de"]},{"id":"ITEM-2","itemData":{"DOI":"10.1016/S2213-8587(15)00292-2","ISSN":"22138595","abstract":"Background: Diabetes is an established risk factor for heart failure, but because nearly all heart failure occurs in older individuals, the excess risk and risk factors for heart failure in individuals with type 1 diabetes are not known. We aimed to determine the excess risk of heart failure in individuals with type 1 diabetes overall and by different levels of glycaemic control and albuminuria. Methods: In this prospective case-control study, we identified all individuals with type 1 diabetes registered in the Swedish National Diabetes Registry between Jan 1, 1998, and Dec 31, 2011, and five controls randomly selected from the general population for each patient, matched according to age, sex, and county, and compared them with respect to subsequent hospital admissions for heart failure, with hazard ratios calculated with Cox regression. Findings: In a cohort of 33 402 patients (mean age at baseline 35 years [SD 14], 15 058 [45%] women, and mean duration of diabetes 20·1 years [SD 14·5]), over a mean follow-up of 7·9 years, 1062 (3%) patients were admitted to hospital with a diagnosis of heart failure, compared with 1325 (1%) of 166 228 matched controls over 8·3 years, giving a HR 4·69 (95% CI 3·64-6·04), after adjustment for time-updated age, sex, time-updated diabetes duration, birth in Sweden, educational level, and baseline comorbidities. Worse glycaemic control was associated with increased risk of heart failure in a graded fashion, and so was the presence of albuminuria. Risk of heart failure was also increased among those with well controlled diabetes (adjusted HR 2·16 [95% CI 1·55-3·01]) and in those with no albuminuria (3·38 [2·51-4·57]), but not in the subgroup both well-controlled and with normoalbuminuria (1·59 [0·70-3·58]). Interpretation: Individuals with type 1 diabetes had a four-times increase in the risk of being admitted to hospital with heart failure compared with population-based controls. Poor glycaemic control and impaired renal function substantially increased the risk of heart failure. Funding: The Swedish state, Swedish Society for Physicians, the Health &amp; Medical Care Committee of the Regional Executive Board (Region Vastra Gotaland, Sweden), the Swedish Heart-Lung Foundation, Diabetes Wellness, Novo Nordisk Foundation (PI M Lind), the Swedish Research Council, and the Swedish Council for working life and social research (Epilife).","author":[{"dropping-particle":"","family":"Rosengren","given":"Annika","non-dropping-particle":"","parse-names":false,"suffix":""},{"dropping-particle":"","family":"Vestberg","given":"Daniel","non-dropping-particle":"","parse-names":false,"suffix":""},{"dropping-particle":"","family":"Svensson","given":"Ann Marie","non-dropping-particle":"","parse-names":false,"suffix":""},{"dropping-particle":"","family":"Kosiborod","given":"Mikhail","non-dropping-particle":"","parse-names":false,"suffix":""},{"dropping-particle":"","family":"Clements","given":"Mark","non-dropping-particle":"","parse-names":false,"suffix":""},{"dropping-particle":"","family":"Rawshani","given":"Araz","non-dropping-particle":"","parse-names":false,"suffix":""},{"dropping-particle":"","family":"Pivodic","given":"Aldina","non-dropping-particle":"","parse-names":false,"suffix":""},{"dropping-particle":"","family":"Gudbjörnsdottir","given":"Soffia","non-dropping-particle":"","parse-names":false,"suffix":""},{"dropping-particle":"","family":"Lind","given":"Marcus","non-dropping-particle":"","parse-names":false,"suffix":""}],"container-title":"The Lancet Diabetes and Endocrinology","id":"ITEM-2","issue":"11","issued":{"date-parts":[["2015"]]},"page":"876-885","title":"Long-term excess risk of heart failure in people with type 1 diabetes: A prospective case-control study","type":"article-journal","volume":"3"},"uris":["http://www.mendeley.com/documents/?uuid=7013547a-40d4-42ef-be4a-8684eb1801b2"]},{"id":"ITEM-3","itemData":{"DOI":"10.1007/s00125-018-4700-5","ISSN":"14320428","abstract":"Aims/hypothesis: Type 2 diabetes is an established risk factor for heart failure, but age-specific data are sparse. We aimed to determine excess risk of heart failure, based on age, glycaemic control and kidney function in comparison with age- and sex-matched control individuals from the general population. Methods: Individuals with type 2 diabetes registered in the Swedish National Diabetes Registry 1998–2012 (n = 266,305) were compared with age-, sex- and county-matched control individuals without diabetes (n = 1,323,504), and followed over a median of 5.6 years until 31 December 2013. Results: We identified 266,305 individuals with type 2 diabetes (mean age 62.0 years, 45.3% women) and 1,323,504 control individuals. Of the individuals with type 2 diabetes and control individuals, 18,715 (7.0%) and 50,157 (3.8%) were hospitalised with a diagnosis of heart failure, respectively. Comparing individuals with diabetes with those in the control group, men and women with type 2 diabetes who were younger than 55 years of age had HRs for hospitalisation for heart failure of 2.07 (95% CI 1.73, 2.48) and 4.59 (95% CI 3.50, 6.02), respectively, using analyses adjusted for socioeconomic variables and associated conditions. Younger age, poorer glycaemic control and deteriorating renal function were all associated with increased excess risk of heart failure in those with type 2 diabetes compared with the control group. However, people with diabetes who were ≥75 years and without albuminuria or with good glycaemic control (HbA1c ≤52 mmol/mol [≤6.9%]) had a similar risk of hospitalisation for heart failure as control individuals in the same age group. Conclusions/interpretation: Men and women aged &lt;55 years with type 2 diabetes are at markedly elevated excess risk of heart failure. The excess risk declined with age, but persisted even with good glycaemic control. However, among those who were 75 years and older, diabetic individuals with well controlled glucose levels or without albuminuria had a risk of heart failure that was on a par with individuals without diabetes.","author":[{"dropping-particle":"","family":"Rosengren","given":"Annika","non-dropping-particle":"","parse-names":false,"suffix":""},{"dropping-particle":"","family":"Edqvist","given":"Jon","non-dropping-particle":"","parse-names":false,"suffix":""},{"dropping-particle":"","family":"Rawshani","given":"Araz","non-dropping-particle":"","parse-names":false,"suffix":""},{"dropping-particle":"","family":"Sattar","given":"Naveed","non-dropping-particle":"","parse-names":false,"suffix":""},{"dropping-particle":"","family":"Franzén","given":"Stefan","non-dropping-particle":"","parse-names":false,"suffix":""},{"dropping-particle":"","family":"Adiels","given":"Martin","non-dropping-particle":"","parse-names":false,"suffix":""},{"dropping-particle":"","family":"Svensson","given":"Ann Marie","non-dropping-particle":"","parse-names":false,"suffix":""},{"dropping-particle":"","family":"Lind","given":"Marcus","non-dropping-particle":"","parse-names":false,"suffix":""},{"dropping-particle":"","family":"Gudbjörnsdottir","given":"Soffia","non-dropping-particle":"","parse-names":false,"suffix":""}],"container-title":"Diabetologia","id":"ITEM-3","issue":"11","issued":{"date-parts":[["2018","11","1"]]},"page":"2300-2309","publisher":"Springer Verlag","title":"Excess risk of hospitalisation for heart failure among people with type 2 diabetes","type":"article-journal","volume":"61"},"uris":["http://www.mendeley.com/documents/?uuid=528698f8-9987-39d6-83f8-e4ac4913717d"]}],"mendeley":{"formattedCitation":"(26,27,51)","plainTextFormattedCitation":"(26,27,51)","previouslyFormattedCitation":"(26,27,51)"},"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(26,27,51)</w:t>
      </w:r>
      <w:r w:rsidR="000F3AD7" w:rsidRPr="004661E9">
        <w:rPr>
          <w:rFonts w:ascii="Arial" w:hAnsi="Arial" w:cs="Arial"/>
        </w:rPr>
        <w:fldChar w:fldCharType="end"/>
      </w:r>
      <w:r w:rsidR="007D3063" w:rsidRPr="004661E9">
        <w:rPr>
          <w:rFonts w:ascii="Arial" w:hAnsi="Arial" w:cs="Arial"/>
        </w:rPr>
        <w:t>.</w:t>
      </w:r>
      <w:r w:rsidR="000335DC" w:rsidRPr="004661E9">
        <w:rPr>
          <w:rFonts w:ascii="Arial" w:hAnsi="Arial" w:cs="Arial"/>
        </w:rPr>
        <w:t xml:space="preserve"> </w:t>
      </w:r>
      <w:r w:rsidR="009B299D" w:rsidRPr="004661E9">
        <w:rPr>
          <w:rFonts w:ascii="Arial" w:hAnsi="Arial" w:cs="Arial"/>
        </w:rPr>
        <w:t>A population-based prospective case-control study from the Swedish National Diabetes Regist</w:t>
      </w:r>
      <w:r w:rsidR="002C0614" w:rsidRPr="004661E9">
        <w:rPr>
          <w:rFonts w:ascii="Arial" w:hAnsi="Arial" w:cs="Arial"/>
        </w:rPr>
        <w:t>er</w:t>
      </w:r>
      <w:r w:rsidR="009B299D" w:rsidRPr="004661E9">
        <w:rPr>
          <w:rFonts w:ascii="Arial" w:hAnsi="Arial" w:cs="Arial"/>
        </w:rPr>
        <w:t xml:space="preserve"> evaluated the impact of glycemic control on </w:t>
      </w:r>
      <w:r w:rsidR="00FA4BBE" w:rsidRPr="004661E9">
        <w:rPr>
          <w:rFonts w:ascii="Arial" w:hAnsi="Arial" w:cs="Arial"/>
        </w:rPr>
        <w:t xml:space="preserve">the </w:t>
      </w:r>
      <w:r w:rsidR="009B299D" w:rsidRPr="004661E9">
        <w:rPr>
          <w:rFonts w:ascii="Arial" w:hAnsi="Arial" w:cs="Arial"/>
        </w:rPr>
        <w:t xml:space="preserve">future risk of </w:t>
      </w:r>
      <w:r w:rsidR="006C258B" w:rsidRPr="004661E9">
        <w:rPr>
          <w:rFonts w:ascii="Arial" w:hAnsi="Arial" w:cs="Arial"/>
        </w:rPr>
        <w:t>HF</w:t>
      </w:r>
      <w:r w:rsidR="009B299D" w:rsidRPr="004661E9">
        <w:rPr>
          <w:rFonts w:ascii="Arial" w:hAnsi="Arial" w:cs="Arial"/>
        </w:rPr>
        <w:t xml:space="preserve"> hospitalization over a mean follow-up of 7.9 years</w:t>
      </w:r>
      <w:r w:rsidR="007D3063"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{"citationItems":[{"id":"ITEM-1","itemData":{"DOI":"10.1016/S2213-8587(15)00292-2","ISSN":"22138595","abstract":"Background: Diabetes is an established risk factor for heart failure, but because nearly all heart failure occurs in older individuals, the excess risk and risk factors for heart failure in individuals with type 1 diabetes are not known. We aimed to determine the excess risk of heart failure in individuals with type 1 diabetes overall and by different levels of glycaemic control and albuminuria. Methods: In this prospective case-control study, we identified all individuals with type 1 diabetes registered in the Swedish National Diabetes Registry between Jan 1, 1998, and Dec 31, 2011, and five controls randomly selected from the general population for each patient, matched according to age, sex, and county, and compared them with respect to subsequent hospital admissions for heart failure, with hazard ratios calculated with Cox regression. Findings: In a cohort of 33 402 patients (mean age at baseline 35 years [SD 14], 15 058 [45%] women, and mean duration of diabetes 20·1 years [SD 14·5]), over a mean follow-up of 7·9 years, 1062 (3%) patients were admitted to hospital with a diagnosis of heart failure, compared with 1325 (1%) of 166 228 matched controls over 8·3 years, giving a HR 4·69 (95% CI 3·64-6·04), after adjustment for time-updated age, sex, time-updated diabetes duration, birth in Sweden, educational level, and baseline comorbidities. Worse glycaemic control was associated with increased risk of heart failure in a graded fashion, and so was the presence of albuminuria. Risk of heart failure was also increased among those with well controlled diabetes (adjusted HR 2·16 [95% CI 1·55-3·01]) and in those with no albuminuria (3·38 [2·51-4·57]), but not in the subgroup both well-controlled and with normoalbuminuria (1·59 [0·70-3·58]). Interpretation: Individuals with type 1 diabetes had a four-times increase in the risk of being admitted to hospital with heart failure compared with population-based controls. Poor glycaemic control and impaired renal function substantially increased the risk of heart failure. Funding: The Swedish state, Swedish Society for Physicians, the Health &amp; Medical Care Committee of the Regional Executive Board (Region Vastra Gotaland, Sweden), the Swedish Heart-Lung Foundation, Diabetes Wellness, Novo Nordisk Foundation (PI M Lind), the Swedish Research Council, and the Swedish Council for working life and social research (Epilife).","author":[{"dropping-particle":"","family":"Rosengren","given":"Annika","non-dropping-particle":"","parse-names":false,"suffix":""},{"dropping-particle":"","family":"Vestberg","given":"Daniel","non-dropping-particle":"","parse-names":false,"suffix":""},{"dropping-particle":"","family":"Svensson","given":"Ann Marie","non-dropping-particle":"","parse-names":false,"suffix":""},{"dropping-particle":"","family":"Kosiborod","given":"Mikhail","non-dropping-particle":"","parse-names":false,"suffix":""},{"dropping-particle":"","family":"Clements","given":"Mark","non-dropping-particle":"","parse-names":false,"suffix":""},{"dropping-particle":"","family":"Rawshani","given":"Araz","non-dropping-particle":"","parse-names":false,"suffix":""},{"dropping-particle":"","family":"Pivodic","given":"Aldina","non-dropping-particle":"","parse-names":false,"suffix":""},{"dropping-particle":"","family":"Gudbjörnsdottir","given":"Soffia","non-dropping-particle":"","parse-names":false,"suffix":""},{"dropping-particle":"","family":"Lind","given":"Marcus","non-dropping-particle":"","parse-names":false,"suffix":""}],"container-title":"The Lancet Diabetes and Endocrinology","id":"ITEM-1","issue":"11","issued":{"date-parts":[["2015"]]},"page":"876-885","title":"Long-term excess risk of heart failure in people with type 1 diabetes: A prospective case-control study","type":"article-journal","volume":"3"},"uris":["http://www.mendeley.com/documents/?uuid=7013547a-40d4-42ef-be4a-8684eb1801b2"]}],"mendeley":{"formattedCitation":"(26)","plainTextFormattedCitation":"(26)","previouslyFormattedCitation":"(26)"},"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(26)</w:t>
      </w:r>
      <w:r w:rsidR="000F3AD7" w:rsidRPr="004661E9">
        <w:rPr>
          <w:rFonts w:ascii="Arial" w:hAnsi="Arial" w:cs="Arial"/>
        </w:rPr>
        <w:fldChar w:fldCharType="end"/>
      </w:r>
      <w:r w:rsidR="007D3063" w:rsidRPr="004661E9">
        <w:rPr>
          <w:rFonts w:ascii="Arial" w:hAnsi="Arial" w:cs="Arial"/>
        </w:rPr>
        <w:t>.</w:t>
      </w:r>
      <w:r w:rsidR="009B299D" w:rsidRPr="004661E9">
        <w:rPr>
          <w:rFonts w:ascii="Arial" w:hAnsi="Arial" w:cs="Arial"/>
        </w:rPr>
        <w:t xml:space="preserve"> Compared to a population-based </w:t>
      </w:r>
      <w:r w:rsidR="0060010F" w:rsidRPr="004661E9">
        <w:rPr>
          <w:rFonts w:ascii="Arial" w:hAnsi="Arial" w:cs="Arial"/>
        </w:rPr>
        <w:t xml:space="preserve">control group without </w:t>
      </w:r>
      <w:r w:rsidR="00A36DE2" w:rsidRPr="004661E9">
        <w:rPr>
          <w:rFonts w:ascii="Arial" w:hAnsi="Arial" w:cs="Arial"/>
        </w:rPr>
        <w:t>diabetes</w:t>
      </w:r>
      <w:r w:rsidR="005B692A" w:rsidRPr="004661E9">
        <w:rPr>
          <w:rFonts w:ascii="Arial" w:hAnsi="Arial" w:cs="Arial"/>
        </w:rPr>
        <w:t xml:space="preserve">, patients with T1DM had </w:t>
      </w:r>
      <w:r w:rsidR="00543EDD" w:rsidRPr="004661E9">
        <w:rPr>
          <w:rFonts w:ascii="Arial" w:hAnsi="Arial" w:cs="Arial"/>
        </w:rPr>
        <w:t xml:space="preserve">a </w:t>
      </w:r>
      <w:r w:rsidR="005B692A" w:rsidRPr="004661E9">
        <w:rPr>
          <w:rFonts w:ascii="Arial" w:hAnsi="Arial" w:cs="Arial"/>
        </w:rPr>
        <w:t>four</w:t>
      </w:r>
      <w:r w:rsidR="002215FF" w:rsidRPr="004661E9">
        <w:rPr>
          <w:rFonts w:ascii="Arial" w:hAnsi="Arial" w:cs="Arial"/>
        </w:rPr>
        <w:t xml:space="preserve"> </w:t>
      </w:r>
      <w:r w:rsidR="005B692A" w:rsidRPr="004661E9">
        <w:rPr>
          <w:rFonts w:ascii="Arial" w:hAnsi="Arial" w:cs="Arial"/>
        </w:rPr>
        <w:t>times higher risk of HF</w:t>
      </w:r>
      <w:r w:rsidR="002215FF" w:rsidRPr="004661E9">
        <w:rPr>
          <w:rFonts w:ascii="Arial" w:hAnsi="Arial" w:cs="Arial"/>
        </w:rPr>
        <w:t xml:space="preserve"> hospitalization</w:t>
      </w:r>
      <w:r w:rsidR="005B692A" w:rsidRPr="004661E9">
        <w:rPr>
          <w:rFonts w:ascii="Arial" w:hAnsi="Arial" w:cs="Arial"/>
        </w:rPr>
        <w:t xml:space="preserve">. </w:t>
      </w:r>
      <w:r w:rsidR="008E11EF" w:rsidRPr="004661E9">
        <w:rPr>
          <w:rFonts w:ascii="Arial" w:hAnsi="Arial" w:cs="Arial"/>
        </w:rPr>
        <w:t>Nevertheless,</w:t>
      </w:r>
      <w:r w:rsidR="005B692A" w:rsidRPr="004661E9">
        <w:rPr>
          <w:rFonts w:ascii="Arial" w:hAnsi="Arial" w:cs="Arial"/>
        </w:rPr>
        <w:t xml:space="preserve"> the risk </w:t>
      </w:r>
      <w:r w:rsidR="00861472" w:rsidRPr="004661E9">
        <w:rPr>
          <w:rFonts w:ascii="Arial" w:hAnsi="Arial" w:cs="Arial"/>
        </w:rPr>
        <w:t>markedly</w:t>
      </w:r>
      <w:r w:rsidR="005B692A" w:rsidRPr="004661E9">
        <w:rPr>
          <w:rFonts w:ascii="Arial" w:hAnsi="Arial" w:cs="Arial"/>
        </w:rPr>
        <w:t xml:space="preserve"> varied depending on glycemic control or comorbidities; </w:t>
      </w:r>
      <w:r w:rsidR="009572ED" w:rsidRPr="004661E9">
        <w:rPr>
          <w:rFonts w:ascii="Arial" w:hAnsi="Arial" w:cs="Arial"/>
        </w:rPr>
        <w:t>hazard-ratio (</w:t>
      </w:r>
      <w:r w:rsidR="005B692A" w:rsidRPr="004661E9">
        <w:rPr>
          <w:rFonts w:ascii="Arial" w:hAnsi="Arial" w:cs="Arial"/>
        </w:rPr>
        <w:t>HR</w:t>
      </w:r>
      <w:r w:rsidR="009572ED" w:rsidRPr="004661E9">
        <w:rPr>
          <w:rFonts w:ascii="Arial" w:hAnsi="Arial" w:cs="Arial"/>
        </w:rPr>
        <w:t>)</w:t>
      </w:r>
      <w:r w:rsidR="005B692A" w:rsidRPr="004661E9">
        <w:rPr>
          <w:rFonts w:ascii="Arial" w:hAnsi="Arial" w:cs="Arial"/>
        </w:rPr>
        <w:t xml:space="preserve"> of 2.</w:t>
      </w:r>
      <w:r w:rsidR="00A16910" w:rsidRPr="004661E9">
        <w:rPr>
          <w:rFonts w:ascii="Arial" w:hAnsi="Arial" w:cs="Arial"/>
        </w:rPr>
        <w:t>2</w:t>
      </w:r>
      <w:r w:rsidR="005B692A" w:rsidRPr="004661E9">
        <w:rPr>
          <w:rFonts w:ascii="Arial" w:hAnsi="Arial" w:cs="Arial"/>
        </w:rPr>
        <w:t xml:space="preserve"> (1.5–3.0; p&lt;0·0001) in patients with </w:t>
      </w:r>
      <w:r w:rsidR="009572ED" w:rsidRPr="004661E9">
        <w:rPr>
          <w:rFonts w:ascii="Arial" w:hAnsi="Arial" w:cs="Arial"/>
        </w:rPr>
        <w:t>hemoglobin A1c (</w:t>
      </w:r>
      <w:r w:rsidR="005B692A" w:rsidRPr="004661E9">
        <w:rPr>
          <w:rFonts w:ascii="Arial" w:hAnsi="Arial" w:cs="Arial"/>
        </w:rPr>
        <w:t>HbA1c</w:t>
      </w:r>
      <w:r w:rsidR="009572ED" w:rsidRPr="004661E9">
        <w:rPr>
          <w:rFonts w:ascii="Arial" w:hAnsi="Arial" w:cs="Arial"/>
        </w:rPr>
        <w:t>)</w:t>
      </w:r>
      <w:r w:rsidR="00A16910" w:rsidRPr="004661E9">
        <w:rPr>
          <w:rFonts w:ascii="Arial" w:hAnsi="Arial" w:cs="Arial"/>
        </w:rPr>
        <w:t xml:space="preserve"> ≤6.9%</w:t>
      </w:r>
      <w:r w:rsidR="005B692A" w:rsidRPr="004661E9">
        <w:rPr>
          <w:rFonts w:ascii="Arial" w:hAnsi="Arial" w:cs="Arial"/>
        </w:rPr>
        <w:t>, HR of 11.</w:t>
      </w:r>
      <w:r w:rsidR="00A16910" w:rsidRPr="004661E9">
        <w:rPr>
          <w:rFonts w:ascii="Arial" w:hAnsi="Arial" w:cs="Arial"/>
        </w:rPr>
        <w:t>2</w:t>
      </w:r>
      <w:r w:rsidR="005B692A" w:rsidRPr="004661E9">
        <w:rPr>
          <w:rFonts w:ascii="Arial" w:hAnsi="Arial" w:cs="Arial"/>
        </w:rPr>
        <w:t xml:space="preserve"> (8·</w:t>
      </w:r>
      <w:r w:rsidR="00A16910" w:rsidRPr="004661E9">
        <w:rPr>
          <w:rFonts w:ascii="Arial" w:hAnsi="Arial" w:cs="Arial"/>
        </w:rPr>
        <w:t>4</w:t>
      </w:r>
      <w:r w:rsidR="005B692A" w:rsidRPr="004661E9">
        <w:rPr>
          <w:rFonts w:ascii="Arial" w:hAnsi="Arial" w:cs="Arial"/>
        </w:rPr>
        <w:t>–14·</w:t>
      </w:r>
      <w:r w:rsidR="00A16910" w:rsidRPr="004661E9">
        <w:rPr>
          <w:rFonts w:ascii="Arial" w:hAnsi="Arial" w:cs="Arial"/>
        </w:rPr>
        <w:t>9</w:t>
      </w:r>
      <w:r w:rsidR="005B692A" w:rsidRPr="004661E9">
        <w:rPr>
          <w:rFonts w:ascii="Arial" w:hAnsi="Arial" w:cs="Arial"/>
        </w:rPr>
        <w:t>; p&lt;0·0001)</w:t>
      </w:r>
      <w:r w:rsidR="00A16910" w:rsidRPr="004661E9">
        <w:rPr>
          <w:rFonts w:ascii="Arial" w:hAnsi="Arial" w:cs="Arial"/>
        </w:rPr>
        <w:t xml:space="preserve"> in patients with HbA1c ≥9</w:t>
      </w:r>
      <w:r w:rsidR="00B2033C" w:rsidRPr="004661E9">
        <w:rPr>
          <w:rFonts w:ascii="Arial" w:hAnsi="Arial" w:cs="Arial"/>
        </w:rPr>
        <w:t>.</w:t>
      </w:r>
      <w:r w:rsidR="00A16910" w:rsidRPr="004661E9">
        <w:rPr>
          <w:rFonts w:ascii="Arial" w:hAnsi="Arial" w:cs="Arial"/>
        </w:rPr>
        <w:t xml:space="preserve">7%. </w:t>
      </w:r>
      <w:r w:rsidR="00EB3FC3" w:rsidRPr="004661E9">
        <w:rPr>
          <w:rFonts w:ascii="Arial" w:hAnsi="Arial" w:cs="Arial"/>
        </w:rPr>
        <w:t xml:space="preserve">Another report from the same dataset revealed that each 1% </w:t>
      </w:r>
      <w:r w:rsidR="002215FF" w:rsidRPr="004661E9">
        <w:rPr>
          <w:rFonts w:ascii="Arial" w:hAnsi="Arial" w:cs="Arial"/>
        </w:rPr>
        <w:t>increase in</w:t>
      </w:r>
      <w:r w:rsidR="00EB3FC3" w:rsidRPr="004661E9">
        <w:rPr>
          <w:rFonts w:ascii="Arial" w:hAnsi="Arial" w:cs="Arial"/>
        </w:rPr>
        <w:t xml:space="preserve"> HbA1c </w:t>
      </w:r>
      <w:r w:rsidR="0015065B" w:rsidRPr="004661E9">
        <w:rPr>
          <w:rFonts w:ascii="Arial" w:hAnsi="Arial" w:cs="Arial"/>
        </w:rPr>
        <w:t>correlated</w:t>
      </w:r>
      <w:r w:rsidR="00EB3FC3" w:rsidRPr="004661E9">
        <w:rPr>
          <w:rFonts w:ascii="Arial" w:hAnsi="Arial" w:cs="Arial"/>
        </w:rPr>
        <w:t xml:space="preserve"> with </w:t>
      </w:r>
      <w:r w:rsidR="008E11EF" w:rsidRPr="004661E9">
        <w:rPr>
          <w:rFonts w:ascii="Arial" w:hAnsi="Arial" w:cs="Arial"/>
        </w:rPr>
        <w:t xml:space="preserve">a </w:t>
      </w:r>
      <w:r w:rsidR="00EB3FC3" w:rsidRPr="004661E9">
        <w:rPr>
          <w:rFonts w:ascii="Arial" w:hAnsi="Arial" w:cs="Arial"/>
        </w:rPr>
        <w:t xml:space="preserve">20% </w:t>
      </w:r>
      <w:r w:rsidR="002215FF" w:rsidRPr="004661E9">
        <w:rPr>
          <w:rFonts w:ascii="Arial" w:hAnsi="Arial" w:cs="Arial"/>
        </w:rPr>
        <w:t>higher risk</w:t>
      </w:r>
      <w:r w:rsidR="00EB3FC3" w:rsidRPr="004661E9">
        <w:rPr>
          <w:rFonts w:ascii="Arial" w:hAnsi="Arial" w:cs="Arial"/>
        </w:rPr>
        <w:t xml:space="preserve"> </w:t>
      </w:r>
      <w:r w:rsidR="002215FF" w:rsidRPr="004661E9">
        <w:rPr>
          <w:rFonts w:ascii="Arial" w:hAnsi="Arial" w:cs="Arial"/>
        </w:rPr>
        <w:t>of</w:t>
      </w:r>
      <w:r w:rsidR="00EB3FC3" w:rsidRPr="004661E9">
        <w:rPr>
          <w:rFonts w:ascii="Arial" w:hAnsi="Arial" w:cs="Arial"/>
        </w:rPr>
        <w:t xml:space="preserve"> HF</w:t>
      </w:r>
      <w:r w:rsidR="002215FF" w:rsidRPr="004661E9">
        <w:rPr>
          <w:rFonts w:ascii="Arial" w:hAnsi="Arial" w:cs="Arial"/>
        </w:rPr>
        <w:t xml:space="preserve"> in patients with</w:t>
      </w:r>
      <w:r w:rsidR="00EB3FC3" w:rsidRPr="004661E9">
        <w:rPr>
          <w:rFonts w:ascii="Arial" w:hAnsi="Arial" w:cs="Arial"/>
        </w:rPr>
        <w:t xml:space="preserve"> myocardial infarction </w:t>
      </w:r>
      <w:r w:rsidR="002215FF" w:rsidRPr="004661E9">
        <w:rPr>
          <w:rFonts w:ascii="Arial" w:hAnsi="Arial" w:cs="Arial"/>
        </w:rPr>
        <w:t>and</w:t>
      </w:r>
      <w:r w:rsidR="00EB3FC3" w:rsidRPr="004661E9">
        <w:rPr>
          <w:rFonts w:ascii="Arial" w:hAnsi="Arial" w:cs="Arial"/>
        </w:rPr>
        <w:t xml:space="preserve"> T1DM</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CULATIONAHA.118.039223","ISSN":"15244539","author":[{"dropping-particle":"","family":"Nyström","given":"Thomas","non-dropping-particle":"","parse-names":false,"suffix":""},{"dropping-particle":"","family":"Sartipy","given":"Ulrik","non-dropping-particle":"","parse-names":false,"suffix":""},{"dropping-particle":"","family":"Contardi","given":"Andrea","non-dropping-particle":"","parse-names":false,"suffix":""},{"dropping-particle":"","family":"Lind","given":"Marcus","non-dropping-particle":"","parse-names":false,"suffix":""},{"dropping-particle":"","family":"Bellocco","given":"Rino","non-dropping-particle":"","parse-names":false,"suffix":""},{"dropping-particle":"","family":"Eliasson","given":"Björn","non-dropping-particle":"","parse-names":false,"suffix":""},{"dropping-particle":"","family":"Svensson","given":"Ann Marie","non-dropping-particle":"","parse-names":false,"suffix":""},{"dropping-particle":"","family":"Holzmann","given":"Martin J.","non-dropping-particle":"","parse-names":false,"suffix":""}],"container-title":"Circulation","id":"ITEM-1","issue":"20","issued":{"date-parts":[["2019"]]},"page":"2380-2382","title":"Glycated Hemoglobin A1c Levels in Type 1 Diabetes Mellitus and Outcomes after Myocardial Infarction","type":"article-journal","volume":"139"},"uris":["http://www.mendeley.com/documents/?uuid=69796573-44b9-495f-83e9-082651f66824"]}],"mendeley":{"formattedCitation":"(52)","plainTextFormattedCitation":"(52)","previouslyFormattedCitation":"(52)"},"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(52)</w:t>
      </w:r>
      <w:r w:rsidR="000F3AD7" w:rsidRPr="004661E9">
        <w:rPr>
          <w:rFonts w:ascii="Arial" w:hAnsi="Arial" w:cs="Arial"/>
        </w:rPr>
        <w:fldChar w:fldCharType="end"/>
      </w:r>
      <w:r w:rsidR="007D3063" w:rsidRPr="004661E9">
        <w:rPr>
          <w:rFonts w:ascii="Arial" w:hAnsi="Arial" w:cs="Arial"/>
        </w:rPr>
        <w:t>.</w:t>
      </w:r>
      <w:r w:rsidR="006D411A" w:rsidRPr="004661E9">
        <w:rPr>
          <w:rFonts w:ascii="Arial" w:hAnsi="Arial" w:cs="Arial"/>
        </w:rPr>
        <w:t xml:space="preserve"> Among </w:t>
      </w:r>
      <w:r w:rsidR="00861472" w:rsidRPr="004661E9">
        <w:rPr>
          <w:rFonts w:ascii="Arial" w:hAnsi="Arial" w:cs="Arial"/>
        </w:rPr>
        <w:t>individuals</w:t>
      </w:r>
      <w:r w:rsidR="006D411A" w:rsidRPr="004661E9">
        <w:rPr>
          <w:rFonts w:ascii="Arial" w:hAnsi="Arial" w:cs="Arial"/>
        </w:rPr>
        <w:t xml:space="preserve"> with T2DM, the excess risk of HF attributable to </w:t>
      </w:r>
      <w:r w:rsidR="005B6F92" w:rsidRPr="004661E9">
        <w:rPr>
          <w:rFonts w:ascii="Arial" w:hAnsi="Arial" w:cs="Arial"/>
        </w:rPr>
        <w:t xml:space="preserve">glycemic control varies depending on </w:t>
      </w:r>
      <w:r w:rsidR="009572ED" w:rsidRPr="004661E9">
        <w:rPr>
          <w:rFonts w:ascii="Arial" w:hAnsi="Arial" w:cs="Arial"/>
        </w:rPr>
        <w:t xml:space="preserve">the </w:t>
      </w:r>
      <w:r w:rsidR="00383E1D" w:rsidRPr="004661E9">
        <w:rPr>
          <w:rFonts w:ascii="Arial" w:hAnsi="Arial" w:cs="Arial"/>
        </w:rPr>
        <w:t xml:space="preserve">patient’s </w:t>
      </w:r>
      <w:r w:rsidR="005B6F92" w:rsidRPr="004661E9">
        <w:rPr>
          <w:rFonts w:ascii="Arial" w:hAnsi="Arial" w:cs="Arial"/>
        </w:rPr>
        <w:t xml:space="preserve">age. For instance, poor glycemic control </w:t>
      </w:r>
      <w:r w:rsidR="0059301B" w:rsidRPr="004661E9">
        <w:rPr>
          <w:rFonts w:ascii="Arial" w:hAnsi="Arial" w:cs="Arial"/>
        </w:rPr>
        <w:t>correlates</w:t>
      </w:r>
      <w:r w:rsidR="00CF2E72" w:rsidRPr="004661E9">
        <w:rPr>
          <w:rFonts w:ascii="Arial" w:hAnsi="Arial" w:cs="Arial"/>
        </w:rPr>
        <w:t xml:space="preserve"> more strongly</w:t>
      </w:r>
      <w:r w:rsidR="0059301B" w:rsidRPr="004661E9">
        <w:rPr>
          <w:rFonts w:ascii="Arial" w:hAnsi="Arial" w:cs="Arial"/>
        </w:rPr>
        <w:t xml:space="preserve"> </w:t>
      </w:r>
      <w:r w:rsidR="005B6F92" w:rsidRPr="004661E9">
        <w:rPr>
          <w:rFonts w:ascii="Arial" w:hAnsi="Arial" w:cs="Arial"/>
        </w:rPr>
        <w:t>with excess risk of HF among middle</w:t>
      </w:r>
      <w:r w:rsidR="00D327DF" w:rsidRPr="004661E9">
        <w:rPr>
          <w:rFonts w:ascii="Arial" w:hAnsi="Arial" w:cs="Arial"/>
        </w:rPr>
        <w:t>-</w:t>
      </w:r>
      <w:r w:rsidR="005B6F92" w:rsidRPr="004661E9">
        <w:rPr>
          <w:rFonts w:ascii="Arial" w:hAnsi="Arial" w:cs="Arial"/>
        </w:rPr>
        <w:t>age</w:t>
      </w:r>
      <w:r w:rsidR="00D327DF" w:rsidRPr="004661E9">
        <w:rPr>
          <w:rFonts w:ascii="Arial" w:hAnsi="Arial" w:cs="Arial"/>
        </w:rPr>
        <w:t>d</w:t>
      </w:r>
      <w:r w:rsidR="00CF2E72" w:rsidRPr="004661E9">
        <w:rPr>
          <w:rFonts w:ascii="Arial" w:hAnsi="Arial" w:cs="Arial"/>
        </w:rPr>
        <w:t xml:space="preserve"> adults</w:t>
      </w:r>
      <w:r w:rsidR="005B6F92" w:rsidRPr="004661E9">
        <w:rPr>
          <w:rFonts w:ascii="Arial" w:hAnsi="Arial" w:cs="Arial"/>
        </w:rPr>
        <w:t xml:space="preserve"> (&lt;55 years old)</w:t>
      </w:r>
      <w:r w:rsidR="00543EDD" w:rsidRPr="004661E9">
        <w:rPr>
          <w:rFonts w:ascii="Arial" w:hAnsi="Arial" w:cs="Arial"/>
        </w:rPr>
        <w:t xml:space="preserve">. In </w:t>
      </w:r>
      <w:r w:rsidR="00543EDD" w:rsidRPr="004661E9">
        <w:rPr>
          <w:rFonts w:ascii="Arial" w:hAnsi="Arial" w:cs="Arial"/>
        </w:rPr>
        <w:lastRenderedPageBreak/>
        <w:t>contrast,</w:t>
      </w:r>
      <w:r w:rsidR="005B6F92" w:rsidRPr="004661E9">
        <w:rPr>
          <w:rFonts w:ascii="Arial" w:hAnsi="Arial" w:cs="Arial"/>
        </w:rPr>
        <w:t xml:space="preserve"> the</w:t>
      </w:r>
      <w:r w:rsidR="00CF2E72" w:rsidRPr="004661E9">
        <w:rPr>
          <w:rFonts w:ascii="Arial" w:hAnsi="Arial" w:cs="Arial"/>
        </w:rPr>
        <w:t xml:space="preserve"> </w:t>
      </w:r>
      <w:r w:rsidR="005B6F92" w:rsidRPr="004661E9">
        <w:rPr>
          <w:rFonts w:ascii="Arial" w:hAnsi="Arial" w:cs="Arial"/>
        </w:rPr>
        <w:t>correlation between HbA1c and the risk of HF markedly attenuates with advanced age</w:t>
      </w:r>
      <w:r w:rsidR="007D3063"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{"citationItems":[{"id":"ITEM-1","itemData":{"DOI":"10.1007/s00125-018-4700-5","ISSN":"14320428","abstract":"Aims/hypothesis: Type 2 diabetes is an established risk factor for heart failure, but age-specific data are sparse. We aimed to determine excess risk of heart failure, based on age, glycaemic control and kidney function in comparison with age- and sex-matched control individuals from the general population. Methods: Individuals with type 2 diabetes registered in the Swedish National Diabetes Registry 1998–2012 (n = 266,305) were compared with age-, sex- and county-matched control individuals without diabetes (n = 1,323,504), and followed over a median of 5.6 years until 31 December 2013. Results: We identified 266,305 individuals with type 2 diabetes (mean age 62.0 years, 45.3% women) and 1,323,504 control individuals. Of the individuals with type 2 diabetes and control individuals, 18,715 (7.0%) and 50,157 (3.8%) were hospitalised with a diagnosis of heart failure, respectively. Comparing individuals with diabetes with those in the control group, men and women with type 2 diabetes who were younger than 55 years of age had HRs for hospitalisation for heart failure of 2.07 (95% CI 1.73, 2.48) and 4.59 (95% CI 3.50, 6.02), respectively, using analyses adjusted for socioeconomic variables and associated conditions. Younger age, poorer glycaemic control and deteriorating renal function were all associated with increased excess risk of heart failure in those with type 2 diabetes compared with the control group. However, people with diabetes who were ≥75 years and without albuminuria or with good glycaemic control (HbA1c ≤52 mmol/mol [≤6.9%]) had a similar risk of hospitalisation for heart failure as control individuals in the same age group. Conclusions/interpretation: Men and women aged &lt;55 years with type 2 diabetes are at markedly elevated excess risk of heart failure. The excess risk declined with age, but persisted even with good glycaemic control. However, among those who were 75 years and older, diabetic individuals with well controlled glucose levels or without albuminuria had a risk of heart failure that was on a par with individuals without diabetes.","author":[{"dropping-particle":"","family":"Rosengren","given":"Annika","non-dropping-particle":"","parse-names":false,"suffix":""},{"dropping-particle":"","family":"Edqvist","given":"Jon","non-dropping-particle":"","parse-names":false,"suffix":""},{"dropping-particle":"","family":"Rawshani","given":"Araz","non-dropping-particle":"","parse-names":false,"suffix":""},{"dropping-particle":"","family":"Sattar","given":"Naveed","non-dropping-particle":"","parse-names":false,"suffix":""},{"dropping-particle":"","family":"Franzén","given":"Stefan","non-dropping-particle":"","parse-names":false,"suffix":""},{"dropping-particle":"","family":"Adiels","given":"Martin","non-dropping-particle":"","parse-names":false,"suffix":""},{"dropping-particle":"","family":"Svensson","given":"Ann Marie","non-dropping-particle":"","parse-names":false,"suffix":""},{"dropping-particle":"","family":"Lind","given":"Marcus","non-dropping-particle":"","parse-names":false,"suffix":""},{"dropping-particle":"","family":"Gudbjörnsdottir","given":"Soffia","non-dropping-particle":"","parse-names":false,"suffix":""}],"container-title":"Diabetologia","id":"ITEM-1","issue":"11","issued":{"date-parts":[["2018","11","1"]]},"page":"2300-2309","publisher":"Springer Verlag","title":"Excess risk of hospitalisation for heart failure among people with type 2 diabetes","type":"article-journal","volume":"61"},"uris":["http://www.mendeley.com/documents/?uuid=528698f8-9987-39d6-83f8-e4ac4913717d"]}],"mendeley":{"formattedCitation":"(27)","plainTextFormattedCitation":"(27)","previouslyFormattedCitation":"(27)"},"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(27)</w:t>
      </w:r>
      <w:r w:rsidR="000F3AD7" w:rsidRPr="004661E9">
        <w:rPr>
          <w:rFonts w:ascii="Arial" w:hAnsi="Arial" w:cs="Arial"/>
        </w:rPr>
        <w:fldChar w:fldCharType="end"/>
      </w:r>
      <w:r w:rsidR="007D3063" w:rsidRPr="004661E9">
        <w:rPr>
          <w:rFonts w:ascii="Arial" w:hAnsi="Arial" w:cs="Arial"/>
        </w:rPr>
        <w:t>.</w:t>
      </w:r>
    </w:p>
    <w:p w14:paraId="368BDAC3" w14:textId="2DE84656" w:rsidR="009F5F45" w:rsidRPr="004661E9" w:rsidRDefault="006D411A" w:rsidP="004661E9">
      <w:pPr>
        <w:spacing w:after="0" w:line="276" w:lineRule="auto"/>
        <w:rPr>
          <w:rFonts w:ascii="Arial" w:hAnsi="Arial" w:cs="Arial"/>
        </w:rPr>
      </w:pPr>
      <w:r w:rsidRPr="004661E9">
        <w:rPr>
          <w:rFonts w:ascii="Arial" w:hAnsi="Arial" w:cs="Arial"/>
        </w:rPr>
        <w:t xml:space="preserve"> </w:t>
      </w:r>
      <w:r w:rsidR="00EB3FC3" w:rsidRPr="004661E9">
        <w:rPr>
          <w:rFonts w:ascii="Arial" w:hAnsi="Arial" w:cs="Arial"/>
        </w:rPr>
        <w:t xml:space="preserve">  </w:t>
      </w:r>
    </w:p>
    <w:p w14:paraId="0C891127" w14:textId="77777777" w:rsidR="007D3063" w:rsidRPr="004661E9" w:rsidRDefault="009F5F45" w:rsidP="004661E9">
      <w:pPr>
        <w:spacing w:after="0" w:line="276" w:lineRule="auto"/>
        <w:rPr>
          <w:rFonts w:ascii="Arial" w:hAnsi="Arial" w:cs="Arial"/>
          <w:b/>
          <w:bCs/>
          <w:color w:val="00B050"/>
        </w:rPr>
      </w:pPr>
      <w:r w:rsidRPr="004661E9">
        <w:rPr>
          <w:rFonts w:ascii="Arial" w:hAnsi="Arial" w:cs="Arial"/>
          <w:b/>
          <w:bCs/>
          <w:color w:val="00B050"/>
        </w:rPr>
        <w:t xml:space="preserve">Age </w:t>
      </w:r>
      <w:r w:rsidR="00DC284B" w:rsidRPr="004661E9">
        <w:rPr>
          <w:rFonts w:ascii="Arial" w:hAnsi="Arial" w:cs="Arial"/>
          <w:b/>
          <w:bCs/>
          <w:color w:val="00B050"/>
        </w:rPr>
        <w:t xml:space="preserve">at Diagnosis of </w:t>
      </w:r>
      <w:r w:rsidR="006E08F3" w:rsidRPr="004661E9">
        <w:rPr>
          <w:rFonts w:ascii="Arial" w:hAnsi="Arial" w:cs="Arial"/>
          <w:b/>
          <w:bCs/>
          <w:color w:val="00B050"/>
        </w:rPr>
        <w:t>D</w:t>
      </w:r>
      <w:r w:rsidR="00A36DE2" w:rsidRPr="004661E9">
        <w:rPr>
          <w:rFonts w:ascii="Arial" w:hAnsi="Arial" w:cs="Arial"/>
          <w:b/>
          <w:bCs/>
          <w:color w:val="00B050"/>
        </w:rPr>
        <w:t>iabetes</w:t>
      </w:r>
      <w:r w:rsidRPr="004661E9">
        <w:rPr>
          <w:rFonts w:ascii="Arial" w:hAnsi="Arial" w:cs="Arial"/>
          <w:b/>
          <w:bCs/>
          <w:color w:val="00B050"/>
        </w:rPr>
        <w:t xml:space="preserve"> and </w:t>
      </w:r>
      <w:r w:rsidR="004B4E14" w:rsidRPr="004661E9">
        <w:rPr>
          <w:rFonts w:ascii="Arial" w:hAnsi="Arial" w:cs="Arial"/>
          <w:b/>
          <w:bCs/>
          <w:color w:val="00B050"/>
        </w:rPr>
        <w:t>HF</w:t>
      </w:r>
      <w:r w:rsidRPr="004661E9">
        <w:rPr>
          <w:rFonts w:ascii="Arial" w:hAnsi="Arial" w:cs="Arial"/>
          <w:b/>
          <w:bCs/>
          <w:color w:val="00B050"/>
        </w:rPr>
        <w:t xml:space="preserve"> Risk </w:t>
      </w:r>
    </w:p>
    <w:p w14:paraId="2E5429DB" w14:textId="030C5E44" w:rsidR="009F5F45" w:rsidRPr="004661E9" w:rsidRDefault="00A16910" w:rsidP="004661E9">
      <w:pPr>
        <w:spacing w:after="0" w:line="276" w:lineRule="auto"/>
        <w:rPr>
          <w:rFonts w:ascii="Arial" w:hAnsi="Arial" w:cs="Arial"/>
          <w:b/>
          <w:bCs/>
        </w:rPr>
      </w:pPr>
      <w:r w:rsidRPr="004661E9">
        <w:rPr>
          <w:rFonts w:ascii="Arial" w:hAnsi="Arial" w:cs="Arial"/>
          <w:b/>
          <w:bCs/>
        </w:rPr>
        <w:t xml:space="preserve"> </w:t>
      </w:r>
    </w:p>
    <w:p w14:paraId="6DD6872E" w14:textId="1148CF35" w:rsidR="007461FC" w:rsidRPr="004661E9" w:rsidRDefault="002215FF" w:rsidP="004661E9">
      <w:pPr>
        <w:spacing w:after="0" w:line="276" w:lineRule="auto"/>
        <w:rPr>
          <w:rFonts w:ascii="Arial" w:hAnsi="Arial" w:cs="Arial"/>
        </w:rPr>
      </w:pPr>
      <w:r w:rsidRPr="004661E9">
        <w:rPr>
          <w:rFonts w:ascii="Arial" w:hAnsi="Arial" w:cs="Arial"/>
        </w:rPr>
        <w:t>Diagnosis of diabetes at a younger age correlates with a higher risk of HF</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{"citationItems":[{"id":"ITEM-1","itemData":{"DOI":"10.1016/S0140-6736(18)31506-X","ISSN":"1474547X","abstract":"Background: People with type 1 diabetes are at elevated risk of mortality and cardiovascular disease, yet current guidelines do not consider age of onset as an important risk stratifier. We aimed to examine how age at diagnosis of type 1 diabetes relates to excess mortality and cardiovascular risk. Methods: We did a nationwide, register-based cohort study of individuals with type 1 diabetes in the Swedish National Diabetes Register and matched controls from the general population. We included patients with at least one registration between Jan 1, 1998, and Dec 31, 2012. Using Cox regression, and with adjustment for diabetes duration, we estimated the excess risk of all-cause mortality, cardiovascular mortality, non-cardiovascular mortality, acute myocardial infarction, stroke, cardiovascular disease (a composite of acute myocardial infarction and stroke), coronary heart disease, heart failure, and atrial fibrillation. Individuals with type 1 diabetes were categorised into five groups, according to age at diagnosis: 0–10 years, 11–15 years, 16–20 years, 21–25 years, and 26–30 years. Findings: 27 195 individuals with type 1 diabetes and 135 178 matched controls were selected for this study. 959 individuals with type 1 diabetes and 1501 controls died during follow-up (median follow-up was 10 years). Patients who developed type 1 diabetes at 0–10 years of age had hazard ratios of 4·11 (95% CI 3·24–5·22) for all-cause mortality, 7·38 (3·65–14·94) for cardiovascular mortality, 3·96 (3·06–5·11) for non-cardiovascular mortality, 11·44 (7·95–16·44) for cardiovascular disease, 30·50 (19·98–46·57) for coronary heart disease, 30·95 (17·59–54·45) for acute myocardial infarction, 6·45 (4·04–10·31) for stroke, 12·90 (7·39–22·51) for heart failure, and 1·17 (0·62–2·20) for atrial fibrillation. Corresponding hazard ratios for individuals who developed type 1 diabetes aged 26–30 years were 2·83 (95% CI 2·38–3·37) for all-cause mortality, 3·64 (2·34–5·66) for cardiovascular mortality, 2·78 (2·29–3·38) for non-cardiovascular mortality, 3·85 (3·05–4·87) for cardiovascular disease, 6·08 (4·71–7·84) for coronary heart disease, 5·77 (4·08–8·16) for acute myocardial infarction, 3·22 (2·35–4·42) for stroke, 5·07 (3·55–7·22) for heart failure, and 1·18 (0·79–1·77) for atrial fibrillation; hence the excess risk differed by up to five times across the diagnosis age groups. The highest overall incidence rate, noted for all-cause mortality, was 1·9 (95% CI 1·71–2·11) per 100 000 pers…","author":[{"dropping-particle":"","family":"Rawshani","given":"Araz","non-dropping-particle":"","parse-names":false,"suffix":""},{"dropping-particle":"","family":"Sattar","given":"Naveed","non-dropping-particle":"","parse-names":false,"suffix":""},{"dropping-particle":"","family":"Franzén","given":"Stefan","non-dropping-particle":"","parse-names":false,"suffix":""},{"dropping-particle":"","family":"Rawshani","given":"Aidin","non-dropping-particle":"","parse-names":false,"suffix":""},{"dropping-particle":"","family":"Hattersley","given":"Andrew T.","non-dropping-particle":"","parse-names":false,"suffix":""},{"dropping-particle":"","family":"Svensson","given":"Ann Marie","non-dropping-particle":"","parse-names":false,"suffix":""},{"dropping-particle":"","family":"Eliasson","given":"Björn","non-dropping-particle":"","parse-names":false,"suffix":""},{"dropping-particle":"","family":"Gudbjörnsdottir","given":"Soffia","non-dropping-particle":"","parse-names":false,"suffix":""}],"container-title":"The Lancet","id":"ITEM-1","issue":"10146","issued":{"date-parts":[["2018"]]},"page":"477-486","title":"Excess mortality and cardiovascular disease in young adults with type 1 diabetes in relation to age at onset: a nationwide, register-based cohort study","type":"article-journal","volume":"392"},"uris":["http://www.mendeley.com/documents/?uuid=189e7f11-669b-4988-af11-5229bd19d637"]},{"id":"ITEM-2","itemData":{"DOI":"10.1161/CIRCULATIONAHA.118.037885","ISSN":"15244539","abstract":"Background: Risk of cardiovascular disease (CVD) and mortality for patients with versus without type 2 diabetes mellitus (T2DM) appears to vary by the age at T2DM diagnosis, but few population studies have analyzed mortality and CVD outcomes associations across the full age range. Methods: With use of the Swedish National Diabetes Registry, everyone with T2DM registered in the Registry between 1998 and 2012 was included. Controls were randomly selected from the general population matched for age, sex, and county. The analysis cohort comprised 318 083 patients with T2DM matched with just &lt;1.6 million controls. Participants were followed from 1998 to 2013 for CVD outcomes and to 2014 for mortality. Outcomes of interest were total mortality, cardiovascular mortality, noncardiovascular mortality, coronary heart disease, acute myocardial infarction, stroke, heart failure, and atrial fibrillation. We also examined life expectancy by age at diagnosis. We conducted the primary analyses using Cox proportional hazards models in those with no previous CVD and repeated the work in the entire cohort. Results: Over a median follow-up period of 5.63 years, patients with T2DM diagnosed at ≤40 years had the highest excess risk for most outcomes relative to controls with adjusted hazard ratio (95% CI) of 2.05 (1.81-2.33) for total mortality, 2.72 (2.13-3.48) for cardiovascular-related mortality, 1.95 (1.68-2.25) for noncardiovascular mortality, 4.77 (3.86-5.89) for heart failure, and 4.33 (3.82-4.91) for coronary heart disease. All risks attenuated progressively with each increasing decade at diagnostic age; by the time T2DM was diagnosed at &gt;80 years, the adjusted hazard ratios for CVD and non-CVD mortality were &lt;1, with excess risks for other CVD outcomes substantially attenuated. Moreover, survival in those diagnosed beyond 80 was the same as controls, whereas it was more than a decade less when T2DM was diagnosed in adolescence. Finally, hazard ratios for most outcomes were numerically greater in younger women with T2DM. Conclusions: Age at diagnosis of T2DM is prognostically important for survival and cardiovascular risks, with implications for determining the timing and intensity of risk factor interventions for clinical decision making and for guideline-directed care. These observations amplify support for preventing/delaying T2DM onset in younger individuals.","author":[{"dropping-particle":"","family":"Sattar","given":"Naveed","non-dropping-particle":"","parse-names":false,"suffix":""},{"dropping-particle":"","family":"Rawshani","given":"Araz","non-dropping-particle":"","parse-names":false,"suffix":""},{"dropping-particle":"","family":"Franzén","given":"Stefan","non-dropping-particle":"","parse-names":false,"suffix":""},{"dropping-particle":"","family":"Rawshani","given":"Aidin","non-dropping-particle":"","parse-names":false,"suffix":""},{"dropping-particle":"","family":"Svensson","given":"Ann Marie","non-dropping-particle":"","parse-names":false,"suffix":""},{"dropping-particle":"","family":"Rosengren","given":"Annika","non-dropping-particle":"","parse-names":false,"suffix":""},{"dropping-particle":"","family":"Mcguire","given":"Darren K.","non-dropping-particle":"","parse-names":false,"suffix":""},{"dropping-particle":"","family":"Eliasson","given":"Björn","non-dropping-particle":"","parse-names":false,"suffix":""},{"dropping-particle":"","family":"Gudbjörnsdottir","given":"Soffia","non-dropping-particle":"","parse-names":false,"suffix":""}],"container-title":"Circulation","id":"ITEM-2","issue":"19","issued":{"date-parts":[["2019"]]},"page":"2228-2237","title":"Age at Diagnosis of Type 2 Diabetes Mellitus and Associations With Cardiovascular and Mortality Risks: Findings From the Swedish National Diabetes Registry","type":"article-journal","volume":"139"},"uris":["http://www.mendeley.com/documents/?uuid=47cd7713-c609-4ca4-84dd-dd275c576281"]},{"id":"ITEM-3","itemData":{"DOI":"10.1161/CIRCULATIONAHA.118.034986","ISSN":"15244539","abstract":"BACKGROUND: Recent clinical trials of new glucose-lowering treatments have drawn attention to the importance of hospitalization for heart failure as a complication of diabetes mellitus. However, the epidemiology is not well described, particularly for type 1 diabetes mellitus. We examined the incidence and case-fatality of heart failure hospitalizations in the entire population aged ≥30 years resident in Scotland during 2004 to 2013. METHODS: Date and type of diabetes mellitus diagnosis were linked to heart failure hospitalizations and deaths using the national Scottish registers. Incidence rates and case-fatality were estimated in regression models (quasi-Poisson and logistic regression respectively). All estimates are adjusted for age, sex, socioeconomic status, and calendar-year. RESULTS: Over the 10-year period of the study, among 3.25 million people there were 91,429, 22 959, and 1313 incident heart failure events among those without diabetes mellitus, with type 2, and type 1 diabetes mellitus, respectively. The crude incidence rates of heart failure hospitalization were therefore 2.4, 12.4, and 5.6 per 1000 person-years for these 3 groups. Heart failure hospitalization incidence was higher in people with diabetes mellitus, regardless of type, than in people without. Relative differences were smallest for older men, in whom the difference was nonetheless large (men aged 80, rate ratio 1.78; 95% CI, 1.45-2.19). Rates declined similarly, by 0.2% per calendar-year, in people with type 2 diabetes mellitus and without diabetes mellitus. Rates fell faster, however, in those with type 1 diabetes mellitus (2.2% per calendar-year, rate ratio for type 1/calendar-year interaction 0.978; 95% CI, 0.959-0.998). Thirty-day case-fatality was similar among people with type 2 diabetes mellitus and without diabetes mellitus, but was higher in type 1 diabetes mellitus for men (odds ratio, 0.96; 95% CI, 0.95-0.96) and women (odds ratio, 0.98; 95% CI, 0.97-0.98). Case-fatality declined over time for all groups (3.3% per calendar-year, odds ratio per calendar-year 0.967; 95% CI, 0.961-0.973). CONCLUSIONS: Despite falling incidence, particularly in type 1 diabetes mellitus, heart failure remains ≈2-fold higher than in people without diabetes mellitus, with higher case-fatality in those with type 1 diabetes mellitus. These findings support the view that heart failure is an under-recognized and important complication in diabetes mellitus, particularly for type 1 disease.","author":[{"dropping-particle":"","family":"McAllister","given":"David A.","non-dropping-particle":"","parse-names":false,"suffix":""},{"dropping-particle":"","family":"Read","given":"Stephanie H.","non-dropping-particle":"","parse-names":false,"suffix":""},{"dropping-particle":"","family":"Kerssens","given":"Jan","non-dropping-particle":"","parse-names":false,"suffix":""},{"dropping-particle":"","family":"Livingstone","given":"Shona","non-dropping-particle":"","parse-names":false,"suffix":""},{"dropping-particle":"","family":"McGurnaghan","given":"Stuart","non-dropping-particle":"","parse-names":false,"suffix":""},{"dropping-particle":"","family":"Jhund","given":"Pardeep","non-dropping-particle":"","parse-names":false,"suffix":""},{"dropping-particle":"","family":"Petrie","given":"John","non-dropping-particle":"","parse-names":false,"suffix":""},{"dropping-particle":"","family":"Sattar","given":"Naveed","non-dropping-particle":"","parse-names":false,"suffix":""},{"dropping-particle":"","family":"Fischbacher","given":"Colin","non-dropping-particle":"","parse-names":false,"suffix":""},{"dropping-particle":"","family":"Kristensen","given":"Soren Lund","non-dropping-particle":"","parse-names":false,"suffix":""},{"dropping-particle":"","family":"McMurray","given":"John","non-dropping-particle":"","parse-names":false,"suffix":""},{"dropping-particle":"","family":"Colhoun","given":"Helen M.","non-dropping-particle":"","parse-names":false,"suffix":""},{"dropping-particle":"","family":"Wild","given":"Sarah H.","non-dropping-particle":"","parse-names":false,"suffix":""}],"container-title":"Circulation","id":"ITEM-3","issue":"24","issued":{"date-parts":[["2018"]]},"page":"2774-2786","title":"Incidence of hospitalization for heart failure and case-fatality among 3.25 million people with and without diabetes mellitus","type":"article-journal","volume":"138"},"uris":["http://www.mendeley.com/documents/?uuid=b490f0bb-e291-4bea-8616-0432bbcf2308"]}],"mendeley":{"formattedCitation":"(45,53,54)","plainTextFormattedCitation":"(45,53,54)","previouslyFormattedCitation":"(45,53,54)"},"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(45,53,54)</w:t>
      </w:r>
      <w:r w:rsidR="000F3AD7" w:rsidRPr="004661E9">
        <w:rPr>
          <w:rFonts w:ascii="Arial" w:hAnsi="Arial" w:cs="Arial"/>
        </w:rPr>
        <w:fldChar w:fldCharType="end"/>
      </w:r>
      <w:r w:rsidR="007D3063" w:rsidRPr="004661E9">
        <w:rPr>
          <w:rFonts w:ascii="Arial" w:hAnsi="Arial" w:cs="Arial"/>
        </w:rPr>
        <w:t>.</w:t>
      </w:r>
      <w:r w:rsidR="002C0614" w:rsidRPr="004661E9">
        <w:rPr>
          <w:rFonts w:ascii="Arial" w:hAnsi="Arial" w:cs="Arial"/>
        </w:rPr>
        <w:t xml:space="preserve"> </w:t>
      </w:r>
      <w:r w:rsidR="008E05AA" w:rsidRPr="004661E9">
        <w:rPr>
          <w:rFonts w:ascii="Arial" w:hAnsi="Arial" w:cs="Arial"/>
        </w:rPr>
        <w:t xml:space="preserve">A report by </w:t>
      </w:r>
      <w:r w:rsidR="00F64CE5" w:rsidRPr="004661E9">
        <w:rPr>
          <w:rFonts w:ascii="Arial" w:hAnsi="Arial" w:cs="Arial"/>
        </w:rPr>
        <w:t>Rawshani et al</w:t>
      </w:r>
      <w:r w:rsidR="00DC284B" w:rsidRPr="004661E9">
        <w:rPr>
          <w:rFonts w:ascii="Arial" w:hAnsi="Arial" w:cs="Arial"/>
        </w:rPr>
        <w:t>.</w:t>
      </w:r>
      <w:r w:rsidR="008E05AA" w:rsidRPr="004661E9">
        <w:rPr>
          <w:rFonts w:ascii="Arial" w:hAnsi="Arial" w:cs="Arial"/>
        </w:rPr>
        <w:t xml:space="preserve"> using the data from</w:t>
      </w:r>
      <w:r w:rsidR="00F64CE5" w:rsidRPr="004661E9">
        <w:rPr>
          <w:rFonts w:ascii="Arial" w:hAnsi="Arial" w:cs="Arial"/>
        </w:rPr>
        <w:t xml:space="preserve"> </w:t>
      </w:r>
      <w:r w:rsidR="00D2537D" w:rsidRPr="004661E9">
        <w:rPr>
          <w:rFonts w:ascii="Arial" w:hAnsi="Arial" w:cs="Arial"/>
        </w:rPr>
        <w:t xml:space="preserve">the </w:t>
      </w:r>
      <w:r w:rsidR="008E05AA" w:rsidRPr="004661E9">
        <w:rPr>
          <w:rFonts w:ascii="Arial" w:hAnsi="Arial" w:cs="Arial"/>
        </w:rPr>
        <w:t xml:space="preserve">Swedish National Diabetes Register </w:t>
      </w:r>
      <w:r w:rsidR="00F64CE5" w:rsidRPr="004661E9">
        <w:rPr>
          <w:rFonts w:ascii="Arial" w:hAnsi="Arial" w:cs="Arial"/>
        </w:rPr>
        <w:t>demonstrated that</w:t>
      </w:r>
      <w:r w:rsidR="002C0614" w:rsidRPr="004661E9">
        <w:rPr>
          <w:rFonts w:ascii="Arial" w:hAnsi="Arial" w:cs="Arial"/>
        </w:rPr>
        <w:t xml:space="preserve"> compared to a control group without </w:t>
      </w:r>
      <w:r w:rsidR="00A36DE2" w:rsidRPr="004661E9">
        <w:rPr>
          <w:rFonts w:ascii="Arial" w:hAnsi="Arial" w:cs="Arial"/>
        </w:rPr>
        <w:t>diabetes</w:t>
      </w:r>
      <w:r w:rsidR="002C0614" w:rsidRPr="004661E9">
        <w:rPr>
          <w:rFonts w:ascii="Arial" w:hAnsi="Arial" w:cs="Arial"/>
        </w:rPr>
        <w:t>,</w:t>
      </w:r>
      <w:r w:rsidR="00B36C7F" w:rsidRPr="004661E9">
        <w:rPr>
          <w:rFonts w:ascii="Arial" w:hAnsi="Arial" w:cs="Arial"/>
        </w:rPr>
        <w:t xml:space="preserve"> </w:t>
      </w:r>
      <w:r w:rsidR="00861472" w:rsidRPr="004661E9">
        <w:rPr>
          <w:rFonts w:ascii="Arial" w:hAnsi="Arial" w:cs="Arial"/>
        </w:rPr>
        <w:t>individuals</w:t>
      </w:r>
      <w:r w:rsidR="00B36C7F" w:rsidRPr="004661E9">
        <w:rPr>
          <w:rFonts w:ascii="Arial" w:hAnsi="Arial" w:cs="Arial"/>
        </w:rPr>
        <w:t xml:space="preserve"> with onset of T1DM </w:t>
      </w:r>
      <w:r w:rsidR="00F64CE5" w:rsidRPr="004661E9">
        <w:rPr>
          <w:rFonts w:ascii="Arial" w:hAnsi="Arial" w:cs="Arial"/>
        </w:rPr>
        <w:t xml:space="preserve">before age </w:t>
      </w:r>
      <w:r w:rsidR="008E11EF" w:rsidRPr="004661E9">
        <w:rPr>
          <w:rFonts w:ascii="Arial" w:hAnsi="Arial" w:cs="Arial"/>
        </w:rPr>
        <w:t>ten</w:t>
      </w:r>
      <w:r w:rsidR="00F64CE5" w:rsidRPr="004661E9">
        <w:rPr>
          <w:rFonts w:ascii="Arial" w:hAnsi="Arial" w:cs="Arial"/>
        </w:rPr>
        <w:t xml:space="preserve"> years had</w:t>
      </w:r>
      <w:r w:rsidR="005B6F92" w:rsidRPr="004661E9">
        <w:rPr>
          <w:rFonts w:ascii="Arial" w:hAnsi="Arial" w:cs="Arial"/>
        </w:rPr>
        <w:t xml:space="preserve"> </w:t>
      </w:r>
      <w:r w:rsidR="00F64CE5" w:rsidRPr="004661E9">
        <w:rPr>
          <w:rFonts w:ascii="Arial" w:hAnsi="Arial" w:cs="Arial"/>
        </w:rPr>
        <w:t xml:space="preserve">12 times </w:t>
      </w:r>
      <w:r w:rsidR="00DD5618">
        <w:rPr>
          <w:rFonts w:ascii="Arial" w:hAnsi="Arial" w:cs="Arial"/>
        </w:rPr>
        <w:t>and</w:t>
      </w:r>
      <w:r w:rsidR="00F64CE5" w:rsidRPr="004661E9">
        <w:rPr>
          <w:rFonts w:ascii="Arial" w:hAnsi="Arial" w:cs="Arial"/>
        </w:rPr>
        <w:t xml:space="preserve"> those with </w:t>
      </w:r>
      <w:r w:rsidR="00B36C7F" w:rsidRPr="004661E9">
        <w:rPr>
          <w:rFonts w:ascii="Arial" w:hAnsi="Arial" w:cs="Arial"/>
        </w:rPr>
        <w:t xml:space="preserve">onset during young adulthood (20 to 29 years) </w:t>
      </w:r>
      <w:r w:rsidR="00F64CE5" w:rsidRPr="004661E9">
        <w:rPr>
          <w:rFonts w:ascii="Arial" w:hAnsi="Arial" w:cs="Arial"/>
        </w:rPr>
        <w:t>had</w:t>
      </w:r>
      <w:r w:rsidR="00B36C7F" w:rsidRPr="004661E9">
        <w:rPr>
          <w:rFonts w:ascii="Arial" w:hAnsi="Arial" w:cs="Arial"/>
        </w:rPr>
        <w:t xml:space="preserve"> </w:t>
      </w:r>
      <w:r w:rsidR="008E11EF" w:rsidRPr="004661E9">
        <w:rPr>
          <w:rFonts w:ascii="Arial" w:hAnsi="Arial" w:cs="Arial"/>
        </w:rPr>
        <w:t>five</w:t>
      </w:r>
      <w:r w:rsidR="00B36C7F" w:rsidRPr="004661E9">
        <w:rPr>
          <w:rFonts w:ascii="Arial" w:hAnsi="Arial" w:cs="Arial"/>
        </w:rPr>
        <w:t xml:space="preserve"> times increased risk of HF.</w:t>
      </w:r>
      <w:r w:rsidR="004F5DA0" w:rsidRPr="004661E9">
        <w:rPr>
          <w:rFonts w:ascii="Arial" w:hAnsi="Arial" w:cs="Arial"/>
        </w:rPr>
        <w:t xml:space="preserve"> </w:t>
      </w:r>
      <w:r w:rsidR="007461FC" w:rsidRPr="004661E9">
        <w:rPr>
          <w:rFonts w:ascii="Arial" w:hAnsi="Arial" w:cs="Arial"/>
        </w:rPr>
        <w:t>Sattar et al.</w:t>
      </w:r>
      <w:r w:rsidRPr="004661E9">
        <w:rPr>
          <w:rFonts w:ascii="Arial" w:hAnsi="Arial" w:cs="Arial"/>
        </w:rPr>
        <w:t>, using the same registry data,</w:t>
      </w:r>
      <w:r w:rsidR="007461FC" w:rsidRPr="004661E9">
        <w:rPr>
          <w:rFonts w:ascii="Arial" w:hAnsi="Arial" w:cs="Arial"/>
        </w:rPr>
        <w:t xml:space="preserve"> evaluated the association between age at diagnosis and future HF risk among participants with T2DM</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{"citationItems":[{"id":"ITEM-1","itemData":{"DOI":"10.1161/CIRCULATIONAHA.118.037885","ISSN":"15244539","abstract":"Background: Risk of cardiovascular disease (CVD) and mortality for patients with versus without type 2 diabetes mellitus (T2DM) appears to vary by the age at T2DM diagnosis, but few population studies have analyzed mortality and CVD outcomes associations across the full age range. Methods: With use of the Swedish National Diabetes Registry, everyone with T2DM registered in the Registry between 1998 and 2012 was included. Controls were randomly selected from the general population matched for age, sex, and county. The analysis cohort comprised 318 083 patients with T2DM matched with just &lt;1.6 million controls. Participants were followed from 1998 to 2013 for CVD outcomes and to 2014 for mortality. Outcomes of interest were total mortality, cardiovascular mortality, noncardiovascular mortality, coronary heart disease, acute myocardial infarction, stroke, heart failure, and atrial fibrillation. We also examined life expectancy by age at diagnosis. We conducted the primary analyses using Cox proportional hazards models in those with no previous CVD and repeated the work in the entire cohort. Results: Over a median follow-up period of 5.63 years, patients with T2DM diagnosed at ≤40 years had the highest excess risk for most outcomes relative to controls with adjusted hazard ratio (95% CI) of 2.05 (1.81-2.33) for total mortality, 2.72 (2.13-3.48) for cardiovascular-related mortality, 1.95 (1.68-2.25) for noncardiovascular mortality, 4.77 (3.86-5.89) for heart failure, and 4.33 (3.82-4.91) for coronary heart disease. All risks attenuated progressively with each increasing decade at diagnostic age; by the time T2DM was diagnosed at &gt;80 years, the adjusted hazard ratios for CVD and non-CVD mortality were &lt;1, with excess risks for other CVD outcomes substantially attenuated. Moreover, survival in those diagnosed beyond 80 was the same as controls, whereas it was more than a decade less when T2DM was diagnosed in adolescence. Finally, hazard ratios for most outcomes were numerically greater in younger women with T2DM. Conclusions: Age at diagnosis of T2DM is prognostically important for survival and cardiovascular risks, with implications for determining the timing and intensity of risk factor interventions for clinical decision making and for guideline-directed care. These observations amplify support for preventing/delaying T2DM onset in younger individuals.","author":[{"dropping-particle":"","family":"Sattar","given":"Naveed","non-dropping-particle":"","parse-names":false,"suffix":""},{"dropping-particle":"","family":"Rawshani","given":"Araz","non-dropping-particle":"","parse-names":false,"suffix":""},{"dropping-particle":"","family":"Franzén","given":"Stefan","non-dropping-particle":"","parse-names":false,"suffix":""},{"dropping-particle":"","family":"Rawshani","given":"Aidin","non-dropping-particle":"","parse-names":false,"suffix":""},{"dropping-particle":"","family":"Svensson","given":"Ann Marie","non-dropping-particle":"","parse-names":false,"suffix":""},{"dropping-particle":"","family":"Rosengren","given":"Annika","non-dropping-particle":"","parse-names":false,"suffix":""},{"dropping-particle":"","family":"Mcguire","given":"Darren K.","non-dropping-particle":"","parse-names":false,"suffix":""},{"dropping-particle":"","family":"Eliasson","given":"Björn","non-dropping-particle":"","parse-names":false,"suffix":""},{"dropping-particle":"","family":"Gudbjörnsdottir","given":"Soffia","non-dropping-particle":"","parse-names":false,"suffix":""}],"container-title":"Circulation","id":"ITEM-1","issue":"19","issued":{"date-parts":[["2019"]]},"page":"2228-2237","title":"Age at Diagnosis of Type 2 Diabetes Mellitus and Associations With Cardiovascular and Mortality Risks: Findings From the Swedish National Diabetes Registry","type":"article-journal","volume":"139"},"uris":["http://www.mendeley.com/documents/?uuid=47cd7713-c609-4ca4-84dd-dd275c576281"]}],"mendeley":{"formattedCitation":"(54)","plainTextFormattedCitation":"(54)","previouslyFormattedCitation":"(54)"},"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(54)</w:t>
      </w:r>
      <w:r w:rsidR="000F3AD7" w:rsidRPr="004661E9">
        <w:rPr>
          <w:rFonts w:ascii="Arial" w:hAnsi="Arial" w:cs="Arial"/>
        </w:rPr>
        <w:fldChar w:fldCharType="end"/>
      </w:r>
      <w:r w:rsidR="007D3063" w:rsidRPr="004661E9">
        <w:rPr>
          <w:rFonts w:ascii="Arial" w:hAnsi="Arial" w:cs="Arial"/>
        </w:rPr>
        <w:t>.</w:t>
      </w:r>
      <w:r w:rsidR="007461FC" w:rsidRPr="004661E9">
        <w:rPr>
          <w:rFonts w:ascii="Arial" w:hAnsi="Arial" w:cs="Arial"/>
        </w:rPr>
        <w:t xml:space="preserve"> </w:t>
      </w:r>
      <w:r w:rsidR="008E11EF" w:rsidRPr="004661E9">
        <w:rPr>
          <w:rFonts w:ascii="Arial" w:hAnsi="Arial" w:cs="Arial"/>
        </w:rPr>
        <w:t>T</w:t>
      </w:r>
      <w:r w:rsidR="007461FC" w:rsidRPr="004661E9">
        <w:rPr>
          <w:rFonts w:ascii="Arial" w:hAnsi="Arial" w:cs="Arial"/>
        </w:rPr>
        <w:t xml:space="preserve">heir analysis revealed that </w:t>
      </w:r>
      <w:r w:rsidR="00861472" w:rsidRPr="004661E9">
        <w:rPr>
          <w:rFonts w:ascii="Arial" w:hAnsi="Arial" w:cs="Arial"/>
        </w:rPr>
        <w:t>adults</w:t>
      </w:r>
      <w:r w:rsidR="007461FC" w:rsidRPr="004661E9">
        <w:rPr>
          <w:rFonts w:ascii="Arial" w:hAnsi="Arial" w:cs="Arial"/>
        </w:rPr>
        <w:t xml:space="preserve"> diagnosed with T2DM before 41 years of age had </w:t>
      </w:r>
      <w:r w:rsidR="0015065B" w:rsidRPr="004661E9">
        <w:rPr>
          <w:rFonts w:ascii="Arial" w:hAnsi="Arial" w:cs="Arial"/>
        </w:rPr>
        <w:t>a five</w:t>
      </w:r>
      <w:r w:rsidR="007461FC" w:rsidRPr="004661E9">
        <w:rPr>
          <w:rFonts w:ascii="Arial" w:hAnsi="Arial" w:cs="Arial"/>
        </w:rPr>
        <w:t xml:space="preserve"> times higher risk of HF </w:t>
      </w:r>
      <w:r w:rsidR="00543EDD" w:rsidRPr="004661E9">
        <w:rPr>
          <w:rFonts w:ascii="Arial" w:hAnsi="Arial" w:cs="Arial"/>
        </w:rPr>
        <w:t>than</w:t>
      </w:r>
      <w:r w:rsidR="007461FC" w:rsidRPr="004661E9">
        <w:rPr>
          <w:rFonts w:ascii="Arial" w:hAnsi="Arial" w:cs="Arial"/>
        </w:rPr>
        <w:t xml:space="preserve"> their counterparts without </w:t>
      </w:r>
      <w:r w:rsidR="00A36DE2" w:rsidRPr="004661E9">
        <w:rPr>
          <w:rFonts w:ascii="Arial" w:hAnsi="Arial" w:cs="Arial"/>
        </w:rPr>
        <w:t>diabetes</w:t>
      </w:r>
      <w:r w:rsidR="007461FC" w:rsidRPr="004661E9">
        <w:rPr>
          <w:rFonts w:ascii="Arial" w:hAnsi="Arial" w:cs="Arial"/>
        </w:rPr>
        <w:t xml:space="preserve">. Interestingly, T2DM diagnosis after the age of 80 years </w:t>
      </w:r>
      <w:r w:rsidR="0059301B" w:rsidRPr="004661E9">
        <w:rPr>
          <w:rFonts w:ascii="Arial" w:hAnsi="Arial" w:cs="Arial"/>
        </w:rPr>
        <w:t>did not increase</w:t>
      </w:r>
      <w:r w:rsidR="007461FC" w:rsidRPr="004661E9">
        <w:rPr>
          <w:rFonts w:ascii="Arial" w:hAnsi="Arial" w:cs="Arial"/>
        </w:rPr>
        <w:t xml:space="preserve"> the risk of HF and </w:t>
      </w:r>
      <w:r w:rsidR="00CF2E72" w:rsidRPr="004661E9">
        <w:rPr>
          <w:rFonts w:ascii="Arial" w:hAnsi="Arial" w:cs="Arial"/>
        </w:rPr>
        <w:t xml:space="preserve">was associated with </w:t>
      </w:r>
      <w:r w:rsidR="007461FC" w:rsidRPr="004661E9">
        <w:rPr>
          <w:rFonts w:ascii="Arial" w:hAnsi="Arial" w:cs="Arial"/>
        </w:rPr>
        <w:t xml:space="preserve">a lower risk of all-cause and </w:t>
      </w:r>
      <w:r w:rsidR="00CF2E72" w:rsidRPr="004661E9">
        <w:rPr>
          <w:rFonts w:ascii="Arial" w:hAnsi="Arial" w:cs="Arial"/>
        </w:rPr>
        <w:t>CV</w:t>
      </w:r>
      <w:r w:rsidR="007461FC" w:rsidRPr="004661E9">
        <w:rPr>
          <w:rFonts w:ascii="Arial" w:hAnsi="Arial" w:cs="Arial"/>
        </w:rPr>
        <w:t xml:space="preserve"> mortality</w:t>
      </w:r>
      <w:r w:rsidR="00982B75" w:rsidRPr="004661E9">
        <w:rPr>
          <w:rFonts w:ascii="Arial" w:hAnsi="Arial" w:cs="Arial"/>
        </w:rPr>
        <w:t>.</w:t>
      </w:r>
      <w:r w:rsidR="00F44A4C" w:rsidRPr="004661E9">
        <w:rPr>
          <w:rFonts w:ascii="Arial" w:hAnsi="Arial" w:cs="Arial"/>
        </w:rPr>
        <w:t xml:space="preserve"> Consistently, </w:t>
      </w:r>
      <w:r w:rsidR="007960D7" w:rsidRPr="004661E9">
        <w:rPr>
          <w:rFonts w:ascii="Arial" w:hAnsi="Arial" w:cs="Arial"/>
        </w:rPr>
        <w:t xml:space="preserve">an analysis from a US cohort demonstrated that </w:t>
      </w:r>
      <w:r w:rsidR="00B43B1D" w:rsidRPr="004661E9">
        <w:rPr>
          <w:rFonts w:ascii="Arial" w:hAnsi="Arial" w:cs="Arial"/>
        </w:rPr>
        <w:t xml:space="preserve">every 5-year increase in the duration of DM </w:t>
      </w:r>
      <w:r w:rsidR="00680356" w:rsidRPr="004661E9">
        <w:rPr>
          <w:rFonts w:ascii="Arial" w:hAnsi="Arial" w:cs="Arial"/>
        </w:rPr>
        <w:t>was independently associated with a 17% rise in the risk of in</w:t>
      </w:r>
      <w:r w:rsidR="00016A29" w:rsidRPr="004661E9">
        <w:rPr>
          <w:rFonts w:ascii="Arial" w:hAnsi="Arial" w:cs="Arial"/>
        </w:rPr>
        <w:t>cident HF</w:t>
      </w:r>
      <w:r w:rsidR="00F03A2B" w:rsidRPr="004661E9">
        <w:rPr>
          <w:rFonts w:ascii="Arial" w:hAnsi="Arial" w:cs="Arial"/>
        </w:rPr>
        <w:t xml:space="preserve"> </w:t>
      </w:r>
      <w:r w:rsidR="00925791" w:rsidRPr="004661E9">
        <w:rPr>
          <w:rFonts w:ascii="Arial" w:hAnsi="Arial" w:cs="Arial"/>
        </w:rPr>
        <w:fldChar w:fldCharType="begin" w:fldLock="1"/>
      </w:r>
      <w:r w:rsidR="00E156CB" w:rsidRPr="004661E9">
        <w:rPr>
          <w:rFonts w:ascii="Arial" w:hAnsi="Arial" w:cs="Arial"/>
        </w:rPr>
        <w:instrText>ADDIN CSL_CITATION {"citationItems":[{"id":"ITEM-1","itemData":{"DOI":"10.1016/j.jchf.2021.06.005","abstract":"OBJECTIVES This study assessed the association of diabetes duration with incident heart failure (HF). BACKGROUND Diabetes increases HF risk. However, the independent effect of diabetes duration on incident HF is","author":[{"dropping-particle":"","family":"Echouffo-Tcheugui","given":"Justin B","non-dropping-particle":"","parse-names":false,"suffix":""},{"dropping-particle":"","family":"Zhang","given":"Sui","non-dropping-particle":"","parse-names":false,"suffix":""},{"dropping-particle":"","family":"Florido","given":"Roberta","non-dropping-particle":"","parse-names":false,"suffix":""},{"dropping-particle":"","family":"Hamo","given":"Carine","non-dropping-particle":"","parse-names":false,"suffix":""},{"dropping-particle":"","family":"Pankow","given":"James S","non-dropping-particle":"","parse-names":false,"suffix":""},{"dropping-particle":"","family":"Michos","given":"Erin D","non-dropping-particle":"","parse-names":false,"suffix":""},{"dropping-particle":"","family":"Goldberg","given":"Ronald B","non-dropping-particle":"","parse-names":false,"suffix":""},{"dropping-particle":"","family":"Nambi","given":"Vijay","non-dropping-particle":"","parse-names":false,"suffix":""},{"dropping-particle":"","family":"Gerstenblith","given":"Gary","non-dropping-particle":"","parse-names":false,"suffix":""},{"dropping-particle":"","family":"Post","given":"Wendy S","non-dropping-particle":"","parse-names":false,"suffix":""},{"dropping-particle":"","family":"Blumenthal","given":"Roger S","non-dropping-particle":"","parse-names":false,"suffix":""},{"dropping-particle":"","family":"Ballantyne","given":"Christie M","non-dropping-particle":"","parse-names":false,"suffix":""},{"dropping-particle":"","family":"Coresh","given":"Josef","non-dropping-particle":"","parse-names":false,"suffix":""},{"dropping-particle":"","family":"Selvin","given":"Elizabeth","non-dropping-particle":"","parse-names":false,"suffix":""},{"dropping-particle":"","family":"Ndumele","given":"Chiadi E","non-dropping-particle":"","parse-names":false,"suffix":""}],"id":"ITEM-1","issued":{"date-parts":[["2021"]]},"title":"Duration of Diabetes and Incident Heart Failure The ARIC (Atherosclerosis Risk In Communities) Study","type":"article-journal"},"uris":["http://www.mendeley.com/documents/?uuid=24a7f551-28ff-3da9-a623-073f46ef8026"]}],"mendeley":{"formattedCitation":"(55)","plainTextFormattedCitation":"(55)","previouslyFormattedCitation":"(55)"},"properties":{"noteIndex":0},"schema":"https://github.com/citation-style-language/schema/raw/master/csl-citation.json"}</w:instrText>
      </w:r>
      <w:r w:rsidR="00925791" w:rsidRPr="004661E9">
        <w:rPr>
          <w:rFonts w:ascii="Arial" w:hAnsi="Arial" w:cs="Arial"/>
        </w:rPr>
        <w:fldChar w:fldCharType="separate"/>
      </w:r>
      <w:r w:rsidR="003C01B8" w:rsidRPr="004661E9">
        <w:rPr>
          <w:rFonts w:ascii="Arial" w:hAnsi="Arial" w:cs="Arial"/>
          <w:noProof/>
        </w:rPr>
        <w:t>(55)</w:t>
      </w:r>
      <w:r w:rsidR="00925791" w:rsidRPr="004661E9">
        <w:rPr>
          <w:rFonts w:ascii="Arial" w:hAnsi="Arial" w:cs="Arial"/>
        </w:rPr>
        <w:fldChar w:fldCharType="end"/>
      </w:r>
      <w:r w:rsidR="00016A29" w:rsidRPr="004661E9">
        <w:rPr>
          <w:rFonts w:ascii="Arial" w:hAnsi="Arial" w:cs="Arial"/>
        </w:rPr>
        <w:t xml:space="preserve">. </w:t>
      </w:r>
      <w:r w:rsidR="000821ED" w:rsidRPr="004661E9">
        <w:rPr>
          <w:rFonts w:ascii="Arial" w:hAnsi="Arial" w:cs="Arial"/>
        </w:rPr>
        <w:t>As expected</w:t>
      </w:r>
      <w:r w:rsidR="00543EDD" w:rsidRPr="004661E9">
        <w:rPr>
          <w:rFonts w:ascii="Arial" w:hAnsi="Arial" w:cs="Arial"/>
        </w:rPr>
        <w:t>,</w:t>
      </w:r>
      <w:r w:rsidR="000821ED" w:rsidRPr="004661E9">
        <w:rPr>
          <w:rFonts w:ascii="Arial" w:hAnsi="Arial" w:cs="Arial"/>
        </w:rPr>
        <w:t xml:space="preserve"> </w:t>
      </w:r>
      <w:r w:rsidR="001620DA" w:rsidRPr="004661E9">
        <w:rPr>
          <w:rFonts w:ascii="Arial" w:hAnsi="Arial" w:cs="Arial"/>
        </w:rPr>
        <w:t>the association between diabetes duration and HF risk was more prominent in patients with elevated H</w:t>
      </w:r>
      <w:r w:rsidR="00B2033C" w:rsidRPr="004661E9">
        <w:rPr>
          <w:rFonts w:ascii="Arial" w:hAnsi="Arial" w:cs="Arial"/>
        </w:rPr>
        <w:t>b</w:t>
      </w:r>
      <w:r w:rsidR="001620DA" w:rsidRPr="004661E9">
        <w:rPr>
          <w:rFonts w:ascii="Arial" w:hAnsi="Arial" w:cs="Arial"/>
        </w:rPr>
        <w:t>A1c</w:t>
      </w:r>
      <w:r w:rsidR="00AA194B" w:rsidRPr="004661E9">
        <w:rPr>
          <w:rFonts w:ascii="Arial" w:hAnsi="Arial" w:cs="Arial"/>
        </w:rPr>
        <w:t>.</w:t>
      </w:r>
    </w:p>
    <w:p w14:paraId="08032055" w14:textId="77777777" w:rsidR="007D3063" w:rsidRPr="004661E9" w:rsidRDefault="007D3063" w:rsidP="004661E9">
      <w:pPr>
        <w:spacing w:after="0" w:line="276" w:lineRule="auto"/>
        <w:rPr>
          <w:rFonts w:ascii="Arial" w:hAnsi="Arial" w:cs="Arial"/>
        </w:rPr>
      </w:pPr>
    </w:p>
    <w:p w14:paraId="36B50FAC" w14:textId="24E76DFC" w:rsidR="007D3063" w:rsidRPr="004661E9" w:rsidRDefault="004F5DA0" w:rsidP="004661E9">
      <w:pPr>
        <w:spacing w:after="0" w:line="276" w:lineRule="auto"/>
        <w:rPr>
          <w:rFonts w:ascii="Arial" w:hAnsi="Arial" w:cs="Arial"/>
        </w:rPr>
      </w:pPr>
      <w:r w:rsidRPr="004661E9">
        <w:rPr>
          <w:rFonts w:ascii="Arial" w:hAnsi="Arial" w:cs="Arial"/>
        </w:rPr>
        <w:t xml:space="preserve">The explanations behind the association </w:t>
      </w:r>
      <w:r w:rsidR="0015065B" w:rsidRPr="004661E9">
        <w:rPr>
          <w:rFonts w:ascii="Arial" w:hAnsi="Arial" w:cs="Arial"/>
        </w:rPr>
        <w:t>of</w:t>
      </w:r>
      <w:r w:rsidRPr="004661E9">
        <w:rPr>
          <w:rFonts w:ascii="Arial" w:hAnsi="Arial" w:cs="Arial"/>
        </w:rPr>
        <w:t xml:space="preserve"> </w:t>
      </w:r>
      <w:r w:rsidR="00F03A2B" w:rsidRPr="004661E9">
        <w:rPr>
          <w:rFonts w:ascii="Arial" w:hAnsi="Arial" w:cs="Arial"/>
        </w:rPr>
        <w:t xml:space="preserve">duration and </w:t>
      </w:r>
      <w:r w:rsidRPr="004661E9">
        <w:rPr>
          <w:rFonts w:ascii="Arial" w:hAnsi="Arial" w:cs="Arial"/>
        </w:rPr>
        <w:t xml:space="preserve">age at </w:t>
      </w:r>
      <w:r w:rsidR="0015065B" w:rsidRPr="004661E9">
        <w:rPr>
          <w:rFonts w:ascii="Arial" w:hAnsi="Arial" w:cs="Arial"/>
        </w:rPr>
        <w:t xml:space="preserve">diabetes </w:t>
      </w:r>
      <w:r w:rsidRPr="004661E9">
        <w:rPr>
          <w:rFonts w:ascii="Arial" w:hAnsi="Arial" w:cs="Arial"/>
        </w:rPr>
        <w:t>diagnosis</w:t>
      </w:r>
      <w:r w:rsidR="00B36C7F" w:rsidRPr="004661E9">
        <w:rPr>
          <w:rFonts w:ascii="Arial" w:hAnsi="Arial" w:cs="Arial"/>
        </w:rPr>
        <w:t xml:space="preserve"> </w:t>
      </w:r>
      <w:r w:rsidRPr="004661E9">
        <w:rPr>
          <w:rFonts w:ascii="Arial" w:hAnsi="Arial" w:cs="Arial"/>
        </w:rPr>
        <w:t xml:space="preserve">and </w:t>
      </w:r>
      <w:r w:rsidR="00982B75" w:rsidRPr="004661E9">
        <w:rPr>
          <w:rFonts w:ascii="Arial" w:hAnsi="Arial" w:cs="Arial"/>
        </w:rPr>
        <w:t xml:space="preserve">future </w:t>
      </w:r>
      <w:r w:rsidRPr="004661E9">
        <w:rPr>
          <w:rFonts w:ascii="Arial" w:hAnsi="Arial" w:cs="Arial"/>
        </w:rPr>
        <w:t>HF risk are likely multifaceted</w:t>
      </w:r>
      <w:r w:rsidR="00543EDD" w:rsidRPr="004661E9">
        <w:rPr>
          <w:rFonts w:ascii="Arial" w:hAnsi="Arial" w:cs="Arial"/>
        </w:rPr>
        <w:t>,</w:t>
      </w:r>
      <w:r w:rsidR="00CB2C75" w:rsidRPr="004661E9">
        <w:rPr>
          <w:rFonts w:ascii="Arial" w:hAnsi="Arial" w:cs="Arial"/>
        </w:rPr>
        <w:t xml:space="preserve"> with a variation between T1DM and T2DM</w:t>
      </w:r>
      <w:r w:rsidRPr="004661E9">
        <w:rPr>
          <w:rFonts w:ascii="Arial" w:hAnsi="Arial" w:cs="Arial"/>
        </w:rPr>
        <w:t xml:space="preserve">. </w:t>
      </w:r>
      <w:r w:rsidR="00CB2C75" w:rsidRPr="004661E9">
        <w:rPr>
          <w:rFonts w:ascii="Arial" w:hAnsi="Arial" w:cs="Arial"/>
        </w:rPr>
        <w:t>T</w:t>
      </w:r>
      <w:r w:rsidR="008E11EF" w:rsidRPr="004661E9">
        <w:rPr>
          <w:rFonts w:ascii="Arial" w:hAnsi="Arial" w:cs="Arial"/>
        </w:rPr>
        <w:t>he t</w:t>
      </w:r>
      <w:r w:rsidR="00CB2C75" w:rsidRPr="004661E9">
        <w:rPr>
          <w:rFonts w:ascii="Arial" w:hAnsi="Arial" w:cs="Arial"/>
        </w:rPr>
        <w:t>otal glycemic load</w:t>
      </w:r>
      <w:r w:rsidR="008E11EF" w:rsidRPr="004661E9">
        <w:rPr>
          <w:rFonts w:ascii="Arial" w:hAnsi="Arial" w:cs="Arial"/>
        </w:rPr>
        <w:t>,</w:t>
      </w:r>
      <w:r w:rsidR="00CB2C75" w:rsidRPr="004661E9">
        <w:rPr>
          <w:rFonts w:ascii="Arial" w:hAnsi="Arial" w:cs="Arial"/>
        </w:rPr>
        <w:t xml:space="preserve"> defined as the cumulative exposure to </w:t>
      </w:r>
      <w:r w:rsidR="008E11EF" w:rsidRPr="004661E9">
        <w:rPr>
          <w:rFonts w:ascii="Arial" w:hAnsi="Arial" w:cs="Arial"/>
        </w:rPr>
        <w:t xml:space="preserve">the </w:t>
      </w:r>
      <w:r w:rsidR="00CB2C75" w:rsidRPr="004661E9">
        <w:rPr>
          <w:rFonts w:ascii="Arial" w:hAnsi="Arial" w:cs="Arial"/>
        </w:rPr>
        <w:t>effects of hyperglycemia</w:t>
      </w:r>
      <w:r w:rsidR="0015065B" w:rsidRPr="004661E9">
        <w:rPr>
          <w:rFonts w:ascii="Arial" w:hAnsi="Arial" w:cs="Arial"/>
        </w:rPr>
        <w:t>,</w:t>
      </w:r>
      <w:r w:rsidR="00CB2C75" w:rsidRPr="004661E9">
        <w:rPr>
          <w:rFonts w:ascii="Arial" w:hAnsi="Arial" w:cs="Arial"/>
        </w:rPr>
        <w:t xml:space="preserve"> is a predictor of </w:t>
      </w:r>
      <w:r w:rsidR="008160D5" w:rsidRPr="004661E9">
        <w:rPr>
          <w:rFonts w:ascii="Arial" w:hAnsi="Arial" w:cs="Arial"/>
        </w:rPr>
        <w:t xml:space="preserve">complications of </w:t>
      </w:r>
      <w:r w:rsidR="00A36DE2" w:rsidRPr="004661E9">
        <w:rPr>
          <w:rFonts w:ascii="Arial" w:hAnsi="Arial" w:cs="Arial"/>
        </w:rPr>
        <w:t>diabetes</w:t>
      </w:r>
      <w:r w:rsidR="008160D5" w:rsidRPr="004661E9">
        <w:rPr>
          <w:rFonts w:ascii="Arial" w:hAnsi="Arial" w:cs="Arial"/>
        </w:rPr>
        <w:t>.</w:t>
      </w:r>
      <w:r w:rsidR="00CB2C75" w:rsidRPr="004661E9">
        <w:rPr>
          <w:rFonts w:ascii="Arial" w:hAnsi="Arial" w:cs="Arial"/>
        </w:rPr>
        <w:t xml:space="preserve"> </w:t>
      </w:r>
      <w:r w:rsidR="008E11EF" w:rsidRPr="004661E9">
        <w:rPr>
          <w:rFonts w:ascii="Arial" w:hAnsi="Arial" w:cs="Arial"/>
        </w:rPr>
        <w:t>T</w:t>
      </w:r>
      <w:r w:rsidR="008160D5" w:rsidRPr="004661E9">
        <w:rPr>
          <w:rFonts w:ascii="Arial" w:hAnsi="Arial" w:cs="Arial"/>
        </w:rPr>
        <w:t xml:space="preserve">he main components of </w:t>
      </w:r>
      <w:r w:rsidR="0015065B" w:rsidRPr="004661E9">
        <w:rPr>
          <w:rFonts w:ascii="Arial" w:hAnsi="Arial" w:cs="Arial"/>
        </w:rPr>
        <w:t xml:space="preserve">the </w:t>
      </w:r>
      <w:r w:rsidR="008160D5" w:rsidRPr="004661E9">
        <w:rPr>
          <w:rFonts w:ascii="Arial" w:hAnsi="Arial" w:cs="Arial"/>
        </w:rPr>
        <w:t xml:space="preserve">total glycemic load are the glycemic variability and the duration of </w:t>
      </w:r>
      <w:r w:rsidR="00A36DE2" w:rsidRPr="004661E9">
        <w:rPr>
          <w:rFonts w:ascii="Arial" w:hAnsi="Arial" w:cs="Arial"/>
        </w:rPr>
        <w:t>diabetes</w:t>
      </w:r>
      <w:r w:rsidR="008160D5" w:rsidRPr="004661E9">
        <w:rPr>
          <w:rFonts w:ascii="Arial" w:hAnsi="Arial" w:cs="Arial"/>
        </w:rPr>
        <w:t xml:space="preserve"> determined by the a</w:t>
      </w:r>
      <w:r w:rsidRPr="004661E9">
        <w:rPr>
          <w:rFonts w:ascii="Arial" w:hAnsi="Arial" w:cs="Arial"/>
        </w:rPr>
        <w:t xml:space="preserve">ge of </w:t>
      </w:r>
      <w:r w:rsidR="002215FF" w:rsidRPr="004661E9">
        <w:rPr>
          <w:rFonts w:ascii="Arial" w:hAnsi="Arial" w:cs="Arial"/>
        </w:rPr>
        <w:t xml:space="preserve">diabetes </w:t>
      </w:r>
      <w:r w:rsidRPr="004661E9">
        <w:rPr>
          <w:rFonts w:ascii="Arial" w:hAnsi="Arial" w:cs="Arial"/>
        </w:rPr>
        <w:t>onset</w:t>
      </w:r>
      <w:r w:rsidR="00CB2C75" w:rsidRPr="004661E9">
        <w:rPr>
          <w:rFonts w:ascii="Arial" w:hAnsi="Arial" w:cs="Arial"/>
        </w:rPr>
        <w:t xml:space="preserve">, </w:t>
      </w:r>
      <w:r w:rsidR="008160D5" w:rsidRPr="004661E9">
        <w:rPr>
          <w:rFonts w:ascii="Arial" w:hAnsi="Arial" w:cs="Arial"/>
        </w:rPr>
        <w:t>more prominently</w:t>
      </w:r>
      <w:r w:rsidR="00CB2C75" w:rsidRPr="004661E9">
        <w:rPr>
          <w:rFonts w:ascii="Arial" w:hAnsi="Arial" w:cs="Arial"/>
        </w:rPr>
        <w:t xml:space="preserve"> in </w:t>
      </w:r>
      <w:r w:rsidR="008160D5" w:rsidRPr="004661E9">
        <w:rPr>
          <w:rFonts w:ascii="Arial" w:hAnsi="Arial" w:cs="Arial"/>
        </w:rPr>
        <w:t>T1DM</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{"citationItems":[{"id":"ITEM-1","itemData":{"DOI":"10.1016/S0140-6736(18)31506-X","ISSN":"1474547X","abstract":"Background: People with type 1 diabetes are at elevated risk of mortality and cardiovascular disease, yet current guidelines do not consider age of onset as an important risk stratifier. We aimed to examine how age at diagnosis of type 1 diabetes relates to excess mortality and cardiovascular risk. Methods: We did a nationwide, register-based cohort study of individuals with type 1 diabetes in the Swedish National Diabetes Register and matched controls from the general population. We included patients with at least one registration between Jan 1, 1998, and Dec 31, 2012. Using Cox regression, and with adjustment for diabetes duration, we estimated the excess risk of all-cause mortality, cardiovascular mortality, non-cardiovascular mortality, acute myocardial infarction, stroke, cardiovascular disease (a composite of acute myocardial infarction and stroke), coronary heart disease, heart failure, and atrial fibrillation. Individuals with type 1 diabetes were categorised into five groups, according to age at diagnosis: 0–10 years, 11–15 years, 16–20 years, 21–25 years, and 26–30 years. Findings: 27 195 individuals with type 1 diabetes and 135 178 matched controls were selected for this study. 959 individuals with type 1 diabetes and 1501 controls died during follow-up (median follow-up was 10 years). Patients who developed type 1 diabetes at 0–10 years of age had hazard ratios of 4·11 (95% CI 3·24–5·22) for all-cause mortality, 7·38 (3·65–14·94) for cardiovascular mortality, 3·96 (3·06–5·11) for non-cardiovascular mortality, 11·44 (7·95–16·44) for cardiovascular disease, 30·50 (19·98–46·57) for coronary heart disease, 30·95 (17·59–54·45) for acute myocardial infarction, 6·45 (4·04–10·31) for stroke, 12·90 (7·39–22·51) for heart failure, and 1·17 (0·62–2·20) for atrial fibrillation. Corresponding hazard ratios for individuals who developed type 1 diabetes aged 26–30 years were 2·83 (95% CI 2·38–3·37) for all-cause mortality, 3·64 (2·34–5·66) for cardiovascular mortality, 2·78 (2·29–3·38) for non-cardiovascular mortality, 3·85 (3·05–4·87) for cardiovascular disease, 6·08 (4·71–7·84) for coronary heart disease, 5·77 (4·08–8·16) for acute myocardial infarction, 3·22 (2·35–4·42) for stroke, 5·07 (3·55–7·22) for heart failure, and 1·18 (0·79–1·77) for atrial fibrillation; hence the excess risk differed by up to five times across the diagnosis age groups. The highest overall incidence rate, noted for all-cause mortality, was 1·9 (95% CI 1·71–2·11) per 100 000 pers…","author":[{"dropping-particle":"","family":"Rawshani","given":"Araz","non-dropping-particle":"","parse-names":false,"suffix":""},{"dropping-particle":"","family":"Sattar","given":"Naveed","non-dropping-particle":"","parse-names":false,"suffix":""},{"dropping-particle":"","family":"Franzén","given":"Stefan","non-dropping-particle":"","parse-names":false,"suffix":""},{"dropping-particle":"","family":"Rawshani","given":"Aidin","non-dropping-particle":"","parse-names":false,"suffix":""},{"dropping-particle":"","family":"Hattersley","given":"Andrew T.","non-dropping-particle":"","parse-names":false,"suffix":""},{"dropping-particle":"","family":"Svensson","given":"Ann Marie","non-dropping-particle":"","parse-names":false,"suffix":""},{"dropping-particle":"","family":"Eliasson","given":"Björn","non-dropping-particle":"","parse-names":false,"suffix":""},{"dropping-particle":"","family":"Gudbjörnsdottir","given":"Soffia","non-dropping-particle":"","parse-names":false,"suffix":""}],"container-title":"The Lancet","id":"ITEM-1","issue":"10146","issued":{"date-parts":[["2018"]]},"page":"477-486","title":"Excess mortality and cardiovascular disease in young adults with type 1 diabetes in relation to age at onset: a nationwide, register-based cohort study","type":"article-journal","volume":"392"},"uris":["http://www.mendeley.com/documents/?uuid=189e7f11-669b-4988-af11-5229bd19d637"]}],"mendeley":{"formattedCitation":"(53)","plainTextFormattedCitation":"(53)","previouslyFormattedCitation":"(53)"},"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(53)</w:t>
      </w:r>
      <w:r w:rsidR="000F3AD7" w:rsidRPr="004661E9">
        <w:rPr>
          <w:rFonts w:ascii="Arial" w:hAnsi="Arial" w:cs="Arial"/>
        </w:rPr>
        <w:fldChar w:fldCharType="end"/>
      </w:r>
      <w:r w:rsidR="007D3063" w:rsidRPr="004661E9">
        <w:rPr>
          <w:rFonts w:ascii="Arial" w:hAnsi="Arial" w:cs="Arial"/>
        </w:rPr>
        <w:t>.</w:t>
      </w:r>
      <w:r w:rsidRPr="004661E9">
        <w:rPr>
          <w:rFonts w:ascii="Arial" w:hAnsi="Arial" w:cs="Arial"/>
        </w:rPr>
        <w:t xml:space="preserve"> </w:t>
      </w:r>
      <w:r w:rsidR="00861472" w:rsidRPr="004661E9">
        <w:rPr>
          <w:rFonts w:ascii="Arial" w:hAnsi="Arial" w:cs="Arial"/>
        </w:rPr>
        <w:t>Individuals</w:t>
      </w:r>
      <w:r w:rsidR="00863C6D" w:rsidRPr="004661E9">
        <w:rPr>
          <w:rFonts w:ascii="Arial" w:hAnsi="Arial" w:cs="Arial"/>
        </w:rPr>
        <w:t xml:space="preserve"> who develop T2DM at </w:t>
      </w:r>
      <w:r w:rsidR="00D327DF" w:rsidRPr="004661E9">
        <w:rPr>
          <w:rFonts w:ascii="Arial" w:hAnsi="Arial" w:cs="Arial"/>
        </w:rPr>
        <w:t xml:space="preserve">a </w:t>
      </w:r>
      <w:r w:rsidR="00863C6D" w:rsidRPr="004661E9">
        <w:rPr>
          <w:rFonts w:ascii="Arial" w:hAnsi="Arial" w:cs="Arial"/>
        </w:rPr>
        <w:t xml:space="preserve">younger age are more likely to have other comorbidities such as obesity, dyslipidemia, </w:t>
      </w:r>
      <w:r w:rsidR="006C258B" w:rsidRPr="004661E9">
        <w:rPr>
          <w:rFonts w:ascii="Arial" w:hAnsi="Arial" w:cs="Arial"/>
        </w:rPr>
        <w:t>hypertension</w:t>
      </w:r>
      <w:r w:rsidR="00863C6D" w:rsidRPr="004661E9">
        <w:rPr>
          <w:rFonts w:ascii="Arial" w:hAnsi="Arial" w:cs="Arial"/>
        </w:rPr>
        <w:t xml:space="preserve">, </w:t>
      </w:r>
      <w:r w:rsidR="002F579E" w:rsidRPr="004661E9">
        <w:rPr>
          <w:rFonts w:ascii="Arial" w:hAnsi="Arial" w:cs="Arial"/>
        </w:rPr>
        <w:t>nep</w:t>
      </w:r>
      <w:r w:rsidR="004100F3" w:rsidRPr="004661E9">
        <w:rPr>
          <w:rFonts w:ascii="Arial" w:hAnsi="Arial" w:cs="Arial"/>
        </w:rPr>
        <w:t xml:space="preserve">hropathy, </w:t>
      </w:r>
      <w:r w:rsidR="00863C6D" w:rsidRPr="004661E9">
        <w:rPr>
          <w:rFonts w:ascii="Arial" w:hAnsi="Arial" w:cs="Arial"/>
        </w:rPr>
        <w:t xml:space="preserve">smoking, </w:t>
      </w:r>
      <w:r w:rsidR="00543EDD" w:rsidRPr="004661E9">
        <w:rPr>
          <w:rFonts w:ascii="Arial" w:hAnsi="Arial" w:cs="Arial"/>
        </w:rPr>
        <w:t xml:space="preserve">and </w:t>
      </w:r>
      <w:r w:rsidR="00863C6D" w:rsidRPr="004661E9">
        <w:rPr>
          <w:rFonts w:ascii="Arial" w:hAnsi="Arial" w:cs="Arial"/>
        </w:rPr>
        <w:t xml:space="preserve">lower socioeconomic status when compared to their counterparts without </w:t>
      </w:r>
      <w:r w:rsidR="00A36DE2" w:rsidRPr="004661E9">
        <w:rPr>
          <w:rFonts w:ascii="Arial" w:hAnsi="Arial" w:cs="Arial"/>
        </w:rPr>
        <w:t>diabetes</w:t>
      </w:r>
      <w:r w:rsidR="00863C6D" w:rsidRPr="004661E9">
        <w:rPr>
          <w:rFonts w:ascii="Arial" w:hAnsi="Arial" w:cs="Arial"/>
        </w:rPr>
        <w:t>.</w:t>
      </w:r>
      <w:r w:rsidR="00DC284B" w:rsidRPr="004661E9">
        <w:rPr>
          <w:rFonts w:ascii="Arial" w:hAnsi="Arial" w:cs="Arial"/>
        </w:rPr>
        <w:t xml:space="preserve"> </w:t>
      </w:r>
      <w:r w:rsidR="008E11EF" w:rsidRPr="004661E9">
        <w:rPr>
          <w:rFonts w:ascii="Arial" w:hAnsi="Arial" w:cs="Arial"/>
        </w:rPr>
        <w:t>Furthermore,</w:t>
      </w:r>
      <w:r w:rsidR="00DC284B" w:rsidRPr="004661E9">
        <w:rPr>
          <w:rFonts w:ascii="Arial" w:hAnsi="Arial" w:cs="Arial"/>
        </w:rPr>
        <w:t xml:space="preserve"> this comorbidity burden likely contributes to the relative excess</w:t>
      </w:r>
      <w:r w:rsidR="00982B75" w:rsidRPr="004661E9">
        <w:rPr>
          <w:rFonts w:ascii="Arial" w:hAnsi="Arial" w:cs="Arial"/>
        </w:rPr>
        <w:t xml:space="preserve"> risk of</w:t>
      </w:r>
      <w:r w:rsidR="00DC284B" w:rsidRPr="004661E9">
        <w:rPr>
          <w:rFonts w:ascii="Arial" w:hAnsi="Arial" w:cs="Arial"/>
        </w:rPr>
        <w:t xml:space="preserve"> HF observed in patients diagnosed with T2DM</w:t>
      </w:r>
      <w:r w:rsidR="00982B75" w:rsidRPr="004661E9">
        <w:rPr>
          <w:rFonts w:ascii="Arial" w:hAnsi="Arial" w:cs="Arial"/>
        </w:rPr>
        <w:t xml:space="preserve"> at a relatively young age</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{"citationItems":[{"id":"ITEM-1","itemData":{"DOI":"10.1161/CIRCULATIONAHA.118.037885","ISSN":"15244539","abstract":"Background: Risk of cardiovascular disease (CVD) and mortality for patients with versus without type 2 diabetes mellitus (T2DM) appears to vary by the age at T2DM diagnosis, but few population studies have analyzed mortality and CVD outcomes associations across the full age range. Methods: With use of the Swedish National Diabetes Registry, everyone with T2DM registered in the Registry between 1998 and 2012 was included. Controls were randomly selected from the general population matched for age, sex, and county. The analysis cohort comprised 318 083 patients with T2DM matched with just &lt;1.6 million controls. Participants were followed from 1998 to 2013 for CVD outcomes and to 2014 for mortality. Outcomes of interest were total mortality, cardiovascular mortality, noncardiovascular mortality, coronary heart disease, acute myocardial infarction, stroke, heart failure, and atrial fibrillation. We also examined life expectancy by age at diagnosis. We conducted the primary analyses using Cox proportional hazards models in those with no previous CVD and repeated the work in the entire cohort. Results: Over a median follow-up period of 5.63 years, patients with T2DM diagnosed at ≤40 years had the highest excess risk for most outcomes relative to controls with adjusted hazard ratio (95% CI) of 2.05 (1.81-2.33) for total mortality, 2.72 (2.13-3.48) for cardiovascular-related mortality, 1.95 (1.68-2.25) for noncardiovascular mortality, 4.77 (3.86-5.89) for heart failure, and 4.33 (3.82-4.91) for coronary heart disease. All risks attenuated progressively with each increasing decade at diagnostic age; by the time T2DM was diagnosed at &gt;80 years, the adjusted hazard ratios for CVD and non-CVD mortality were &lt;1, with excess risks for other CVD outcomes substantially attenuated. Moreover, survival in those diagnosed beyond 80 was the same as controls, whereas it was more than a decade less when T2DM was diagnosed in adolescence. Finally, hazard ratios for most outcomes were numerically greater in younger women with T2DM. Conclusions: Age at diagnosis of T2DM is prognostically important for survival and cardiovascular risks, with implications for determining the timing and intensity of risk factor interventions for clinical decision making and for guideline-directed care. These observations amplify support for preventing/delaying T2DM onset in younger individuals.","author":[{"dropping-particle":"","family":"Sattar","given":"Naveed","non-dropping-particle":"","parse-names":false,"suffix":""},{"dropping-particle":"","family":"Rawshani","given":"Araz","non-dropping-particle":"","parse-names":false,"suffix":""},{"dropping-particle":"","family":"Franzén","given":"Stefan","non-dropping-particle":"","parse-names":false,"suffix":""},{"dropping-particle":"","family":"Rawshani","given":"Aidin","non-dropping-particle":"","parse-names":false,"suffix":""},{"dropping-particle":"","family":"Svensson","given":"Ann Marie","non-dropping-particle":"","parse-names":false,"suffix":""},{"dropping-particle":"","family":"Rosengren","given":"Annika","non-dropping-particle":"","parse-names":false,"suffix":""},{"dropping-particle":"","family":"Mcguire","given":"Darren K.","non-dropping-particle":"","parse-names":false,"suffix":""},{"dropping-particle":"","family":"Eliasson","given":"Björn","non-dropping-particle":"","parse-names":false,"suffix":""},{"dropping-particle":"","family":"Gudbjörnsdottir","given":"Soffia","non-dropping-particle":"","parse-names":false,"suffix":""}],"container-title":"Circulation","id":"ITEM-1","issue":"19","issued":{"date-parts":[["2019"]]},"page":"2228-2237","title":"Age at Diagnosis of Type 2 Diabetes Mellitus and Associations With Cardiovascular and Mortality Risks: Findings From the Swedish National Diabetes Registry","type":"article-journal","volume":"139"},"uris":["http://www.mendeley.com/documents/?uuid=47cd7713-c609-4ca4-84dd-dd275c576281"]}],"mendeley":{"formattedCitation":"(54)","plainTextFormattedCitation":"(54)","previouslyFormattedCitation":"(54)"},"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(54)</w:t>
      </w:r>
      <w:r w:rsidR="000F3AD7" w:rsidRPr="004661E9">
        <w:rPr>
          <w:rFonts w:ascii="Arial" w:hAnsi="Arial" w:cs="Arial"/>
        </w:rPr>
        <w:fldChar w:fldCharType="end"/>
      </w:r>
      <w:r w:rsidR="007D3063" w:rsidRPr="004661E9">
        <w:rPr>
          <w:rFonts w:ascii="Arial" w:hAnsi="Arial" w:cs="Arial"/>
        </w:rPr>
        <w:t>.</w:t>
      </w:r>
      <w:r w:rsidR="00130E48" w:rsidRPr="004661E9">
        <w:rPr>
          <w:rFonts w:ascii="Arial" w:hAnsi="Arial" w:cs="Arial"/>
        </w:rPr>
        <w:t xml:space="preserve"> These findings highlight the significance of </w:t>
      </w:r>
      <w:r w:rsidR="001F6759" w:rsidRPr="004661E9">
        <w:rPr>
          <w:rFonts w:ascii="Arial" w:hAnsi="Arial" w:cs="Arial"/>
        </w:rPr>
        <w:t xml:space="preserve">delaying </w:t>
      </w:r>
      <w:r w:rsidR="00B2033C" w:rsidRPr="004661E9">
        <w:rPr>
          <w:rFonts w:ascii="Arial" w:hAnsi="Arial" w:cs="Arial"/>
        </w:rPr>
        <w:t>diabetes</w:t>
      </w:r>
      <w:r w:rsidR="001F6759" w:rsidRPr="004661E9">
        <w:rPr>
          <w:rFonts w:ascii="Arial" w:hAnsi="Arial" w:cs="Arial"/>
        </w:rPr>
        <w:t xml:space="preserve"> onset</w:t>
      </w:r>
      <w:r w:rsidR="000949AB" w:rsidRPr="004661E9">
        <w:rPr>
          <w:rFonts w:ascii="Arial" w:hAnsi="Arial" w:cs="Arial"/>
        </w:rPr>
        <w:t xml:space="preserve"> as one focus of HF prevention efforts</w:t>
      </w:r>
      <w:r w:rsidR="007E43A4" w:rsidRPr="004661E9">
        <w:rPr>
          <w:rFonts w:ascii="Arial" w:hAnsi="Arial" w:cs="Arial"/>
        </w:rPr>
        <w:t xml:space="preserve"> </w:t>
      </w:r>
      <w:r w:rsidR="007E43A4" w:rsidRPr="004661E9">
        <w:rPr>
          <w:rFonts w:ascii="Arial" w:hAnsi="Arial" w:cs="Arial"/>
        </w:rPr>
        <w:fldChar w:fldCharType="begin" w:fldLock="1"/>
      </w:r>
      <w:r w:rsidR="00E156CB" w:rsidRPr="004661E9">
        <w:rPr>
          <w:rFonts w:ascii="Arial" w:hAnsi="Arial" w:cs="Arial"/>
        </w:rPr>
        <w:instrText>ADDIN CSL_CITATION {"citationItems":[{"id":"ITEM-1","itemData":{"DOI":"10.1016/j.jchf.2021.06.005","abstract":"OBJECTIVES This study assessed the association of diabetes duration with incident heart failure (HF). BACKGROUND Diabetes increases HF risk. However, the independent effect of diabetes duration on incident HF is","author":[{"dropping-particle":"","family":"Echouffo-Tcheugui","given":"Justin B","non-dropping-particle":"","parse-names":false,"suffix":""},{"dropping-particle":"","family":"Zhang","given":"Sui","non-dropping-particle":"","parse-names":false,"suffix":""},{"dropping-particle":"","family":"Florido","given":"Roberta","non-dropping-particle":"","parse-names":false,"suffix":""},{"dropping-particle":"","family":"Hamo","given":"Carine","non-dropping-particle":"","parse-names":false,"suffix":""},{"dropping-particle":"","family":"Pankow","given":"James S","non-dropping-particle":"","parse-names":false,"suffix":""},{"dropping-particle":"","family":"Michos","given":"Erin D","non-dropping-particle":"","parse-names":false,"suffix":""},{"dropping-particle":"","family":"Goldberg","given":"Ronald B","non-dropping-particle":"","parse-names":false,"suffix":""},{"dropping-particle":"","family":"Nambi","given":"Vijay","non-dropping-particle":"","parse-names":false,"suffix":""},{"dropping-particle":"","family":"Gerstenblith","given":"Gary","non-dropping-particle":"","parse-names":false,"suffix":""},{"dropping-particle":"","family":"Post","given":"Wendy S","non-dropping-particle":"","parse-names":false,"suffix":""},{"dropping-particle":"","family":"Blumenthal","given":"Roger S","non-dropping-particle":"","parse-names":false,"suffix":""},{"dropping-particle":"","family":"Ballantyne","given":"Christie M","non-dropping-particle":"","parse-names":false,"suffix":""},{"dropping-particle":"","family":"Coresh","given":"Josef","non-dropping-particle":"","parse-names":false,"suffix":""},{"dropping-particle":"","family":"Selvin","given":"Elizabeth","non-dropping-particle":"","parse-names":false,"suffix":""},{"dropping-particle":"","family":"Ndumele","given":"Chiadi E","non-dropping-particle":"","parse-names":false,"suffix":""}],"id":"ITEM-1","issued":{"date-parts":[["2021"]]},"title":"Duration of Diabetes and Incident Heart Failure The ARIC (Atherosclerosis Risk In Communities) Study","type":"article-journal"},"uris":["http://www.mendeley.com/documents/?uuid=24a7f551-28ff-3da9-a623-073f46ef8026"]}],"mendeley":{"formattedCitation":"(55)","plainTextFormattedCitation":"(55)","previouslyFormattedCitation":"(55)"},"properties":{"noteIndex":0},"schema":"https://github.com/citation-style-language/schema/raw/master/csl-citation.json"}</w:instrText>
      </w:r>
      <w:r w:rsidR="007E43A4" w:rsidRPr="004661E9">
        <w:rPr>
          <w:rFonts w:ascii="Arial" w:hAnsi="Arial" w:cs="Arial"/>
        </w:rPr>
        <w:fldChar w:fldCharType="separate"/>
      </w:r>
      <w:r w:rsidR="003C01B8" w:rsidRPr="004661E9">
        <w:rPr>
          <w:rFonts w:ascii="Arial" w:hAnsi="Arial" w:cs="Arial"/>
          <w:noProof/>
        </w:rPr>
        <w:t>(55)</w:t>
      </w:r>
      <w:r w:rsidR="007E43A4" w:rsidRPr="004661E9">
        <w:rPr>
          <w:rFonts w:ascii="Arial" w:hAnsi="Arial" w:cs="Arial"/>
        </w:rPr>
        <w:fldChar w:fldCharType="end"/>
      </w:r>
      <w:r w:rsidR="000949AB" w:rsidRPr="004661E9">
        <w:rPr>
          <w:rFonts w:ascii="Arial" w:hAnsi="Arial" w:cs="Arial"/>
        </w:rPr>
        <w:t>.</w:t>
      </w:r>
    </w:p>
    <w:p w14:paraId="5A0CDAA2" w14:textId="0AC4B088" w:rsidR="002309DE" w:rsidRPr="004661E9" w:rsidRDefault="00863C6D" w:rsidP="004661E9">
      <w:pPr>
        <w:spacing w:after="0" w:line="276" w:lineRule="auto"/>
        <w:rPr>
          <w:rFonts w:ascii="Arial" w:hAnsi="Arial" w:cs="Arial"/>
        </w:rPr>
      </w:pPr>
      <w:r w:rsidRPr="004661E9">
        <w:rPr>
          <w:rFonts w:ascii="Arial" w:hAnsi="Arial" w:cs="Arial"/>
        </w:rPr>
        <w:t xml:space="preserve"> </w:t>
      </w:r>
      <w:r w:rsidR="004F5DA0" w:rsidRPr="004661E9">
        <w:rPr>
          <w:rFonts w:ascii="Arial" w:hAnsi="Arial" w:cs="Arial"/>
        </w:rPr>
        <w:t xml:space="preserve"> </w:t>
      </w:r>
    </w:p>
    <w:p w14:paraId="3A2C5A7C" w14:textId="5B271126" w:rsidR="001451F3" w:rsidRPr="004661E9" w:rsidRDefault="001451F3" w:rsidP="004661E9">
      <w:pPr>
        <w:spacing w:after="0" w:line="276" w:lineRule="auto"/>
        <w:rPr>
          <w:rFonts w:ascii="Arial" w:hAnsi="Arial" w:cs="Arial"/>
          <w:b/>
          <w:bCs/>
          <w:color w:val="00B050"/>
        </w:rPr>
      </w:pPr>
      <w:r w:rsidRPr="004661E9">
        <w:rPr>
          <w:rFonts w:ascii="Arial" w:hAnsi="Arial" w:cs="Arial"/>
          <w:b/>
          <w:bCs/>
          <w:color w:val="00B050"/>
        </w:rPr>
        <w:t xml:space="preserve">The Relationship Between </w:t>
      </w:r>
      <w:r w:rsidR="00A36DE2" w:rsidRPr="004661E9">
        <w:rPr>
          <w:rFonts w:ascii="Arial" w:hAnsi="Arial" w:cs="Arial"/>
          <w:b/>
          <w:bCs/>
          <w:color w:val="00B050"/>
        </w:rPr>
        <w:t>Diabetes</w:t>
      </w:r>
      <w:r w:rsidRPr="004661E9">
        <w:rPr>
          <w:rFonts w:ascii="Arial" w:hAnsi="Arial" w:cs="Arial"/>
          <w:b/>
          <w:bCs/>
          <w:color w:val="00B050"/>
        </w:rPr>
        <w:t xml:space="preserve"> and </w:t>
      </w:r>
      <w:r w:rsidR="00B51FF7" w:rsidRPr="004661E9">
        <w:rPr>
          <w:rFonts w:ascii="Arial" w:hAnsi="Arial" w:cs="Arial"/>
          <w:b/>
          <w:bCs/>
          <w:color w:val="00B050"/>
        </w:rPr>
        <w:t>Comorbidities</w:t>
      </w:r>
    </w:p>
    <w:p w14:paraId="04C9CC94" w14:textId="77777777" w:rsidR="007D3063" w:rsidRPr="004661E9" w:rsidRDefault="007D3063" w:rsidP="004661E9">
      <w:pPr>
        <w:spacing w:after="0" w:line="276" w:lineRule="auto"/>
        <w:rPr>
          <w:rFonts w:ascii="Arial" w:hAnsi="Arial" w:cs="Arial"/>
          <w:b/>
          <w:bCs/>
        </w:rPr>
      </w:pPr>
    </w:p>
    <w:p w14:paraId="52981486" w14:textId="4FF365D6" w:rsidR="0088749E" w:rsidRPr="004661E9" w:rsidRDefault="005F1AA0" w:rsidP="004661E9">
      <w:pPr>
        <w:spacing w:after="0" w:line="276" w:lineRule="auto"/>
        <w:rPr>
          <w:rFonts w:ascii="Arial" w:hAnsi="Arial" w:cs="Arial"/>
        </w:rPr>
      </w:pPr>
      <w:r w:rsidRPr="004661E9">
        <w:rPr>
          <w:rFonts w:ascii="Arial" w:hAnsi="Arial" w:cs="Arial"/>
        </w:rPr>
        <w:t xml:space="preserve">Traditional modifiable CVD risk factors, such as </w:t>
      </w:r>
      <w:r w:rsidR="006C258B" w:rsidRPr="004661E9">
        <w:rPr>
          <w:rFonts w:ascii="Arial" w:hAnsi="Arial" w:cs="Arial"/>
        </w:rPr>
        <w:t>hypertension</w:t>
      </w:r>
      <w:r w:rsidRPr="004661E9">
        <w:rPr>
          <w:rFonts w:ascii="Arial" w:hAnsi="Arial" w:cs="Arial"/>
        </w:rPr>
        <w:t xml:space="preserve">, obesity, dyslipidemia, </w:t>
      </w:r>
      <w:r w:rsidR="00B51FF7" w:rsidRPr="004661E9">
        <w:rPr>
          <w:rFonts w:ascii="Arial" w:hAnsi="Arial" w:cs="Arial"/>
        </w:rPr>
        <w:t xml:space="preserve">and </w:t>
      </w:r>
      <w:r w:rsidRPr="004661E9">
        <w:rPr>
          <w:rFonts w:ascii="Arial" w:hAnsi="Arial" w:cs="Arial"/>
        </w:rPr>
        <w:t>cigarette smoking</w:t>
      </w:r>
      <w:r w:rsidR="00543EDD" w:rsidRPr="004661E9">
        <w:rPr>
          <w:rFonts w:ascii="Arial" w:hAnsi="Arial" w:cs="Arial"/>
        </w:rPr>
        <w:t>,</w:t>
      </w:r>
      <w:r w:rsidRPr="004661E9">
        <w:rPr>
          <w:rFonts w:ascii="Arial" w:hAnsi="Arial" w:cs="Arial"/>
        </w:rPr>
        <w:t xml:space="preserve"> are prevalent among </w:t>
      </w:r>
      <w:r w:rsidR="00861472" w:rsidRPr="004661E9">
        <w:rPr>
          <w:rFonts w:ascii="Arial" w:hAnsi="Arial" w:cs="Arial"/>
        </w:rPr>
        <w:t>individuals</w:t>
      </w:r>
      <w:r w:rsidRPr="004661E9">
        <w:rPr>
          <w:rFonts w:ascii="Arial" w:hAnsi="Arial" w:cs="Arial"/>
        </w:rPr>
        <w:t xml:space="preserve"> with </w:t>
      </w:r>
      <w:r w:rsidR="00A36DE2" w:rsidRPr="004661E9">
        <w:rPr>
          <w:rFonts w:ascii="Arial" w:hAnsi="Arial" w:cs="Arial"/>
        </w:rPr>
        <w:t>diabetes</w:t>
      </w:r>
      <w:r w:rsidRPr="004661E9">
        <w:rPr>
          <w:rFonts w:ascii="Arial" w:hAnsi="Arial" w:cs="Arial"/>
        </w:rPr>
        <w:t xml:space="preserve">. </w:t>
      </w:r>
      <w:r w:rsidR="006C258B" w:rsidRPr="004661E9">
        <w:rPr>
          <w:rFonts w:ascii="Arial" w:hAnsi="Arial" w:cs="Arial"/>
        </w:rPr>
        <w:t>Hypertension</w:t>
      </w:r>
      <w:r w:rsidRPr="004661E9">
        <w:rPr>
          <w:rFonts w:ascii="Arial" w:hAnsi="Arial" w:cs="Arial"/>
        </w:rPr>
        <w:t xml:space="preserve"> affects 66% to 76% of adults with </w:t>
      </w:r>
      <w:r w:rsidR="00A36DE2" w:rsidRPr="004661E9">
        <w:rPr>
          <w:rFonts w:ascii="Arial" w:hAnsi="Arial" w:cs="Arial"/>
        </w:rPr>
        <w:t>diabetes</w:t>
      </w:r>
      <w:r w:rsidR="00EC1D88" w:rsidRPr="004661E9">
        <w:rPr>
          <w:rFonts w:ascii="Arial" w:hAnsi="Arial" w:cs="Arial"/>
        </w:rPr>
        <w:t xml:space="preserve"> in the US</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HYPERTENSIONAHA.118.11422","ISSN":"0194-911X","author":[{"dropping-particle":"","family":"Shin","given":"Doosup","non-dropping-particle":"","parse-names":false,"suffix":""},{"dropping-particle":"","family":"Bohra","given":"Chandrashekar","non-dropping-particle":"","parse-names":false,"suffix":""},{"dropping-particle":"","family":"Kongpakpaisarn","given":"Kullatham","non-dropping-particle":"","parse-names":false,"suffix":""}],"container-title":"Hypertension","id":"ITEM-1","issue":"2","issued":{"date-parts":[["2018","8"]]},"page":"256-259","title":"Impact of the Discordance Between the American College of Cardiology/American Heart Association and American Diabetes Association Recommendations on Hypertension in Patients With Diabetes Mellitus in the United States","type":"article-journal","volume":"72"},"uris":["http://www.mendeley.com/documents/?uuid=00a40c59-787d-46bc-99aa-13caed02c314"]}],"mendeley":{"formattedCitation":"(56)","plainTextFormattedCitation":"(56)","previouslyFormattedCitation":"(56)"},"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(56)</w:t>
      </w:r>
      <w:r w:rsidR="000F3AD7" w:rsidRPr="004661E9">
        <w:rPr>
          <w:rFonts w:ascii="Arial" w:hAnsi="Arial" w:cs="Arial"/>
        </w:rPr>
        <w:fldChar w:fldCharType="end"/>
      </w:r>
      <w:r w:rsidR="007D3063" w:rsidRPr="004661E9">
        <w:rPr>
          <w:rFonts w:ascii="Arial" w:hAnsi="Arial" w:cs="Arial"/>
        </w:rPr>
        <w:t>.</w:t>
      </w:r>
      <w:r w:rsidRPr="004661E9">
        <w:rPr>
          <w:rFonts w:ascii="Arial" w:hAnsi="Arial" w:cs="Arial"/>
        </w:rPr>
        <w:t xml:space="preserve"> </w:t>
      </w:r>
      <w:r w:rsidR="00EC1D88" w:rsidRPr="004661E9">
        <w:rPr>
          <w:rFonts w:ascii="Arial" w:hAnsi="Arial" w:cs="Arial"/>
        </w:rPr>
        <w:t xml:space="preserve">According to the 2020 National Diabetes Statistics Report, 45.8% of adults with </w:t>
      </w:r>
      <w:r w:rsidR="00A36DE2" w:rsidRPr="004661E9">
        <w:rPr>
          <w:rFonts w:ascii="Arial" w:hAnsi="Arial" w:cs="Arial"/>
        </w:rPr>
        <w:t>diabetes</w:t>
      </w:r>
      <w:r w:rsidR="00EC1D88" w:rsidRPr="004661E9">
        <w:rPr>
          <w:rFonts w:ascii="Arial" w:hAnsi="Arial" w:cs="Arial"/>
        </w:rPr>
        <w:t xml:space="preserve"> are obese (</w:t>
      </w:r>
      <w:r w:rsidR="00CF2E72" w:rsidRPr="004661E9">
        <w:rPr>
          <w:rFonts w:ascii="Arial" w:hAnsi="Arial" w:cs="Arial"/>
        </w:rPr>
        <w:t>b</w:t>
      </w:r>
      <w:r w:rsidR="005D35E3" w:rsidRPr="004661E9">
        <w:rPr>
          <w:rFonts w:ascii="Arial" w:hAnsi="Arial" w:cs="Arial"/>
        </w:rPr>
        <w:t>ody-mass-index [</w:t>
      </w:r>
      <w:r w:rsidR="00EC1D88" w:rsidRPr="004661E9">
        <w:rPr>
          <w:rFonts w:ascii="Arial" w:hAnsi="Arial" w:cs="Arial"/>
        </w:rPr>
        <w:t>BMI</w:t>
      </w:r>
      <w:r w:rsidR="005D35E3" w:rsidRPr="004661E9">
        <w:rPr>
          <w:rFonts w:ascii="Arial" w:hAnsi="Arial" w:cs="Arial"/>
        </w:rPr>
        <w:t>]</w:t>
      </w:r>
      <w:r w:rsidR="00EC1D88" w:rsidRPr="004661E9">
        <w:rPr>
          <w:rFonts w:ascii="Arial" w:hAnsi="Arial" w:cs="Arial"/>
        </w:rPr>
        <w:t xml:space="preserve"> of 30 to 39.9 kg/m</w:t>
      </w:r>
      <w:r w:rsidR="00EC1D88" w:rsidRPr="004661E9">
        <w:rPr>
          <w:rFonts w:ascii="Arial" w:hAnsi="Arial" w:cs="Arial"/>
          <w:vertAlign w:val="superscript"/>
        </w:rPr>
        <w:t>2</w:t>
      </w:r>
      <w:r w:rsidR="00EC1D88" w:rsidRPr="004661E9">
        <w:rPr>
          <w:rFonts w:ascii="Arial" w:hAnsi="Arial" w:cs="Arial"/>
        </w:rPr>
        <w:t>)</w:t>
      </w:r>
      <w:r w:rsidR="00543EDD" w:rsidRPr="004661E9">
        <w:rPr>
          <w:rFonts w:ascii="Arial" w:hAnsi="Arial" w:cs="Arial"/>
        </w:rPr>
        <w:t>,</w:t>
      </w:r>
      <w:r w:rsidR="00EC1D88" w:rsidRPr="004661E9">
        <w:rPr>
          <w:rFonts w:ascii="Arial" w:hAnsi="Arial" w:cs="Arial"/>
        </w:rPr>
        <w:t xml:space="preserve"> and 15.5% are </w:t>
      </w:r>
      <w:r w:rsidR="00AA3A95" w:rsidRPr="004661E9">
        <w:rPr>
          <w:rFonts w:ascii="Arial" w:hAnsi="Arial" w:cs="Arial"/>
        </w:rPr>
        <w:t>morbidly</w:t>
      </w:r>
      <w:r w:rsidR="00EC1D88" w:rsidRPr="004661E9">
        <w:rPr>
          <w:rFonts w:ascii="Arial" w:hAnsi="Arial" w:cs="Arial"/>
        </w:rPr>
        <w:t xml:space="preserve"> obese (BMI of ≥40 kg/m</w:t>
      </w:r>
      <w:r w:rsidR="00EC1D88" w:rsidRPr="004661E9">
        <w:rPr>
          <w:rFonts w:ascii="Arial" w:hAnsi="Arial" w:cs="Arial"/>
          <w:vertAlign w:val="superscript"/>
        </w:rPr>
        <w:t>2</w:t>
      </w:r>
      <w:r w:rsidR="00EC1D88" w:rsidRPr="004661E9">
        <w:rPr>
          <w:rFonts w:ascii="Arial" w:hAnsi="Arial" w:cs="Arial"/>
        </w:rPr>
        <w:t>)</w:t>
      </w:r>
      <w:r w:rsidR="007D3063"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{"citationItems":[{"id":"ITEM-1","itemData":{"PMID":"20892598","abstract":"CORRECT CITATION!!!!! Centers for Disease Control and Prevention. National Diabetes Statistics Report: Estimates of Diabetes and Its Burden in the United States, 2014. Atlanta, GA: US Department of Health and Human Services; 2014.","id":"ITEM-1","issued":{"date-parts":[["0"]]},"title":"Centers for Disease Control and Prevention. National Diabetes Statistics Report, 2020. Atlanta, GA: Centers for Disease Control and Prevention, US Department of Health and Human Services; 2020.","type":"article-journal"},"uris":["http://www.mendeley.com/documents/?uuid=88842acf-651d-4f19-9ad1-bb803ca6822d"]}],"mendeley":{"formattedCitation":"(10)","plainTextFormattedCitation":"(10)","previouslyFormattedCitation":"(10)"},"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(10)</w:t>
      </w:r>
      <w:r w:rsidR="000F3AD7" w:rsidRPr="004661E9">
        <w:rPr>
          <w:rFonts w:ascii="Arial" w:hAnsi="Arial" w:cs="Arial"/>
        </w:rPr>
        <w:fldChar w:fldCharType="end"/>
      </w:r>
      <w:r w:rsidR="007D3063" w:rsidRPr="004661E9">
        <w:rPr>
          <w:rFonts w:ascii="Arial" w:hAnsi="Arial" w:cs="Arial"/>
        </w:rPr>
        <w:t>.</w:t>
      </w:r>
    </w:p>
    <w:p w14:paraId="2196E26B" w14:textId="77777777" w:rsidR="007D3063" w:rsidRPr="004661E9" w:rsidRDefault="007D3063" w:rsidP="004661E9">
      <w:pPr>
        <w:spacing w:after="0" w:line="276" w:lineRule="auto"/>
        <w:rPr>
          <w:rFonts w:ascii="Arial" w:hAnsi="Arial" w:cs="Arial"/>
        </w:rPr>
      </w:pPr>
    </w:p>
    <w:p w14:paraId="2F582B7A" w14:textId="5C302825" w:rsidR="003E1EEB" w:rsidRPr="004661E9" w:rsidRDefault="00B51FF7" w:rsidP="004661E9">
      <w:pPr>
        <w:spacing w:after="0" w:line="276" w:lineRule="auto"/>
        <w:rPr>
          <w:rFonts w:ascii="Arial" w:hAnsi="Arial" w:cs="Arial"/>
        </w:rPr>
      </w:pPr>
      <w:r w:rsidRPr="004661E9">
        <w:rPr>
          <w:rFonts w:ascii="Arial" w:hAnsi="Arial" w:cs="Arial"/>
        </w:rPr>
        <w:t>Coexisting</w:t>
      </w:r>
      <w:r w:rsidR="0088749E" w:rsidRPr="004661E9">
        <w:rPr>
          <w:rFonts w:ascii="Arial" w:hAnsi="Arial" w:cs="Arial"/>
        </w:rPr>
        <w:t xml:space="preserve"> CVD risk factors significantly contribute to the risk of HF in patients with </w:t>
      </w:r>
      <w:r w:rsidR="00A36DE2" w:rsidRPr="004661E9">
        <w:rPr>
          <w:rFonts w:ascii="Arial" w:hAnsi="Arial" w:cs="Arial"/>
        </w:rPr>
        <w:t>diabetes</w:t>
      </w:r>
      <w:r w:rsidRPr="004661E9">
        <w:rPr>
          <w:rFonts w:ascii="Arial" w:hAnsi="Arial" w:cs="Arial"/>
        </w:rPr>
        <w:t xml:space="preserve">. </w:t>
      </w:r>
      <w:r w:rsidR="0088749E" w:rsidRPr="004661E9">
        <w:rPr>
          <w:rFonts w:ascii="Arial" w:hAnsi="Arial" w:cs="Arial"/>
        </w:rPr>
        <w:t>A large prospective cohort study</w:t>
      </w:r>
      <w:r w:rsidR="008E11EF" w:rsidRPr="004661E9">
        <w:rPr>
          <w:rFonts w:ascii="Arial" w:hAnsi="Arial" w:cs="Arial"/>
        </w:rPr>
        <w:t>,</w:t>
      </w:r>
      <w:r w:rsidR="0088749E" w:rsidRPr="004661E9">
        <w:rPr>
          <w:rFonts w:ascii="Arial" w:hAnsi="Arial" w:cs="Arial"/>
        </w:rPr>
        <w:t xml:space="preserve"> including &gt;270</w:t>
      </w:r>
      <w:r w:rsidR="007D3063" w:rsidRPr="004661E9">
        <w:rPr>
          <w:rFonts w:ascii="Arial" w:hAnsi="Arial" w:cs="Arial"/>
        </w:rPr>
        <w:t>,</w:t>
      </w:r>
      <w:r w:rsidR="0088749E" w:rsidRPr="004661E9">
        <w:rPr>
          <w:rFonts w:ascii="Arial" w:hAnsi="Arial" w:cs="Arial"/>
        </w:rPr>
        <w:t xml:space="preserve">000 </w:t>
      </w:r>
      <w:r w:rsidR="00861472" w:rsidRPr="004661E9">
        <w:rPr>
          <w:rFonts w:ascii="Arial" w:hAnsi="Arial" w:cs="Arial"/>
        </w:rPr>
        <w:t>participants</w:t>
      </w:r>
      <w:r w:rsidR="0088749E" w:rsidRPr="004661E9">
        <w:rPr>
          <w:rFonts w:ascii="Arial" w:hAnsi="Arial" w:cs="Arial"/>
        </w:rPr>
        <w:t xml:space="preserve"> with T2DM in the Swedish National Diabetes Register</w:t>
      </w:r>
      <w:r w:rsidR="008E11EF" w:rsidRPr="004661E9">
        <w:rPr>
          <w:rFonts w:ascii="Arial" w:hAnsi="Arial" w:cs="Arial"/>
        </w:rPr>
        <w:t>,</w:t>
      </w:r>
      <w:r w:rsidR="00B00810" w:rsidRPr="004661E9">
        <w:rPr>
          <w:rFonts w:ascii="Arial" w:hAnsi="Arial" w:cs="Arial"/>
        </w:rPr>
        <w:t xml:space="preserve"> examined the relationship between five risk factors (elevated HbA1C, dyslipidemia, albuminuria, smoking</w:t>
      </w:r>
      <w:r w:rsidR="008E11EF" w:rsidRPr="004661E9">
        <w:rPr>
          <w:rFonts w:ascii="Arial" w:hAnsi="Arial" w:cs="Arial"/>
        </w:rPr>
        <w:t>,</w:t>
      </w:r>
      <w:r w:rsidR="00B00810" w:rsidRPr="004661E9">
        <w:rPr>
          <w:rFonts w:ascii="Arial" w:hAnsi="Arial" w:cs="Arial"/>
        </w:rPr>
        <w:t xml:space="preserve"> and high </w:t>
      </w:r>
      <w:r w:rsidR="002B2FC3" w:rsidRPr="004661E9">
        <w:rPr>
          <w:rFonts w:ascii="Arial" w:hAnsi="Arial" w:cs="Arial"/>
        </w:rPr>
        <w:t>BP</w:t>
      </w:r>
      <w:r w:rsidR="00B00810" w:rsidRPr="004661E9">
        <w:rPr>
          <w:rFonts w:ascii="Arial" w:hAnsi="Arial" w:cs="Arial"/>
        </w:rPr>
        <w:t>) and CVD outcomes after a median follow-up of 5.7 years</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{"citationItems":[{"id":"ITEM-1","itemData":{"DOI":"10.1056/NEJMoa1800256","ISSN":"15334406","abstract":"BACKGROUND Patients with diabetes are at higher risk for death and cardiovascular outcomes than the general population. We investigated whether the excess risk of death and cardiovascular events among patients with type 2 diabetes could be reduced or eliminated. METHODS In a cohort study, we included 271,174 patients with type 2 diabetes who were registered in the Swedish National Diabetes Register and matched them with 1,355,870 controls on the basis of age, sex, and county. We assessed patients with diabetes according to age categories and according to the presence of five risk factors (elevated glycated hemoglobin level, elevated low-density lipoprotein cholesterol level, albuminuria, smoking, and elevated blood pressure). Cox regression was used to study the excess risk of outcomes (death, acute myocardial infarction, stroke, and hospitalization for heart failure) associated with smoking and the number of variables outside target ranges. We also examined the relationship between various risk factors and cardiovascular outcomes. RESULTS The median follow-up among all the study participants was 5.7 years, during which 175,345 deaths occurred. Among patients with type 2 diabetes, the excess risk of outcomes decreased stepwise for each risk-factor variable within the target range. Among patients with diabetes who had all five variables within target ranges, the hazard ratio for death from any cause, as compared with controls, was 1.06 (95% confidence interval [CI], 1.00 to 1.12), the hazard ratio for acute myocardial infarction was 0.84 (95% CI, 0.75 to 0.93), and the hazard ratio for stroke was 0.95 (95% CI, 0.84 to 1.07). The risk of hospitalization for heart failure was consistently higher among patients with diabetes than among controls (hazard ratio, 1.45; 95% CI, 1.34 to 1.57). In patients with type 2 diabetes, a glycated hemoglobin level outside the target range was the strongest predictor of stroke and acute myocardial infarction; smoking was the strongest predictor of death. CONCLUSIONS Patients with type 2 diabetes who had five risk-factor variables within the target ranges appeared to have little or no excess risk of death, myocardial infarction, or stroke, as compared with the general population.","author":[{"dropping-particle":"","family":"Rawshani","given":"Aidin","non-dropping-particle":"","parse-names":false,"suffix":""},{"dropping-particle":"","family":"Rawshani","given":"Araz","non-dropping-particle":"","parse-names":false,"suffix":""},{"dropping-particle":"","family":"Franzén","given":"Stefan","non-dropping-particle":"","parse-names":false,"suffix":""},{"dropping-particle":"","family":"Sattar","given":"Naveed","non-dropping-particle":"","parse-names":false,"suffix":""},{"dropping-particle":"","family":"Eliasson","given":"Björn","non-dropping-particle":"","parse-names":false,"suffix":""},{"dropping-particle":"","family":"Svensson","given":"Ann Marie","non-dropping-particle":"","parse-names":false,"suffix":""},{"dropping-particle":"","family":"Zethelius","given":"Björn","non-dropping-particle":"","parse-names":false,"suffix":""},{"dropping-particle":"","family":"Miftaraj","given":"Mervete","non-dropping-particle":"","parse-names":false,"suffix":""},{"dropping-particle":"","family":"McGuire","given":"Darren K.","non-dropping-particle":"","parse-names":false,"suffix":""},{"dropping-particle":"","family":"Rosengren","given":"Annika","non-dropping-particle":"","parse-names":false,"suffix":""},{"dropping-particle":"","family":"Gudbjörnsdottir","given":"Soffia","non-dropping-particle":"","parse-names":false,"suffix":""}],"container-title":"New England Journal of Medicine","id":"ITEM-1","issue":"7","issued":{"date-parts":[["2018"]]},"page":"633-644","title":"Risk factors, mortality, and cardiovascular outcomes in patients with type 2 diabetes","type":"article-journal","volume":"379"},"uris":["http://www.mendeley.com/documents/?uuid=7d32ac56-a0ed-430c-a221-7fb07a1c2755"]}],"mendeley":{"formattedCitation":"(57)","plainTextFormattedCitation":"(57)","previouslyFormattedCitation":"(57)"},"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(57)</w:t>
      </w:r>
      <w:r w:rsidR="000F3AD7" w:rsidRPr="004661E9">
        <w:rPr>
          <w:rFonts w:ascii="Arial" w:hAnsi="Arial" w:cs="Arial"/>
        </w:rPr>
        <w:fldChar w:fldCharType="end"/>
      </w:r>
      <w:r w:rsidR="007D3063" w:rsidRPr="004661E9">
        <w:rPr>
          <w:rFonts w:ascii="Arial" w:hAnsi="Arial" w:cs="Arial"/>
        </w:rPr>
        <w:t>,</w:t>
      </w:r>
      <w:r w:rsidR="00B00810" w:rsidRPr="004661E9">
        <w:rPr>
          <w:rFonts w:ascii="Arial" w:hAnsi="Arial" w:cs="Arial"/>
        </w:rPr>
        <w:t xml:space="preserve"> The analyses revealed that </w:t>
      </w:r>
      <w:r w:rsidR="00861472" w:rsidRPr="004661E9">
        <w:rPr>
          <w:rFonts w:ascii="Arial" w:hAnsi="Arial" w:cs="Arial"/>
        </w:rPr>
        <w:t xml:space="preserve">participants </w:t>
      </w:r>
      <w:r w:rsidR="00E6771A" w:rsidRPr="004661E9">
        <w:rPr>
          <w:rFonts w:ascii="Arial" w:hAnsi="Arial" w:cs="Arial"/>
        </w:rPr>
        <w:t>with T2DM who had no risk-</w:t>
      </w:r>
      <w:r w:rsidR="00E6771A" w:rsidRPr="004661E9">
        <w:rPr>
          <w:rFonts w:ascii="Arial" w:hAnsi="Arial" w:cs="Arial"/>
        </w:rPr>
        <w:lastRenderedPageBreak/>
        <w:t xml:space="preserve">factor variables outside the target ranges had a 45% higher risk of hospitalization for HF when compared to that of a control group without </w:t>
      </w:r>
      <w:r w:rsidR="00A36DE2" w:rsidRPr="004661E9">
        <w:rPr>
          <w:rFonts w:ascii="Arial" w:hAnsi="Arial" w:cs="Arial"/>
        </w:rPr>
        <w:t>diabetes</w:t>
      </w:r>
      <w:r w:rsidR="00E6771A" w:rsidRPr="004661E9">
        <w:rPr>
          <w:rFonts w:ascii="Arial" w:hAnsi="Arial" w:cs="Arial"/>
        </w:rPr>
        <w:t>. However, the excess risk of hospitalization for HF was substantially higher (</w:t>
      </w:r>
      <w:r w:rsidR="002B2FC3" w:rsidRPr="004661E9">
        <w:rPr>
          <w:rFonts w:ascii="Arial" w:hAnsi="Arial" w:cs="Arial"/>
        </w:rPr>
        <w:t>HR</w:t>
      </w:r>
      <w:r w:rsidR="00E6771A" w:rsidRPr="004661E9">
        <w:rPr>
          <w:rFonts w:ascii="Arial" w:hAnsi="Arial" w:cs="Arial"/>
        </w:rPr>
        <w:t xml:space="preserve"> vs. control, 11.35; 95% CI, 7.16 to 18.01) when patients with T2DM had all five risk-factor variables outside the target range. </w:t>
      </w:r>
      <w:r w:rsidR="00626C52" w:rsidRPr="004661E9">
        <w:rPr>
          <w:rFonts w:ascii="Arial" w:hAnsi="Arial" w:cs="Arial"/>
        </w:rPr>
        <w:t xml:space="preserve">These findings indicated the importance of </w:t>
      </w:r>
      <w:r w:rsidR="00543EDD" w:rsidRPr="004661E9">
        <w:rPr>
          <w:rFonts w:ascii="Arial" w:hAnsi="Arial" w:cs="Arial"/>
        </w:rPr>
        <w:t>controlling</w:t>
      </w:r>
      <w:r w:rsidR="00626C52" w:rsidRPr="004661E9">
        <w:rPr>
          <w:rFonts w:ascii="Arial" w:hAnsi="Arial" w:cs="Arial"/>
        </w:rPr>
        <w:t xml:space="preserve"> </w:t>
      </w:r>
      <w:r w:rsidRPr="004661E9">
        <w:rPr>
          <w:rFonts w:ascii="Arial" w:hAnsi="Arial" w:cs="Arial"/>
        </w:rPr>
        <w:t xml:space="preserve">coexisting </w:t>
      </w:r>
      <w:r w:rsidR="00626C52" w:rsidRPr="004661E9">
        <w:rPr>
          <w:rFonts w:ascii="Arial" w:hAnsi="Arial" w:cs="Arial"/>
        </w:rPr>
        <w:t xml:space="preserve">CV risk factors for </w:t>
      </w:r>
      <w:r w:rsidR="00543EDD" w:rsidRPr="004661E9">
        <w:rPr>
          <w:rFonts w:ascii="Arial" w:hAnsi="Arial" w:cs="Arial"/>
        </w:rPr>
        <w:t>preventing</w:t>
      </w:r>
      <w:r w:rsidR="00626C52" w:rsidRPr="004661E9">
        <w:rPr>
          <w:rFonts w:ascii="Arial" w:hAnsi="Arial" w:cs="Arial"/>
        </w:rPr>
        <w:t xml:space="preserve"> HF in </w:t>
      </w:r>
      <w:r w:rsidR="00A36DE2" w:rsidRPr="004661E9">
        <w:rPr>
          <w:rFonts w:ascii="Arial" w:hAnsi="Arial" w:cs="Arial"/>
        </w:rPr>
        <w:t>diabetes</w:t>
      </w:r>
      <w:r w:rsidR="00626C52" w:rsidRPr="004661E9">
        <w:rPr>
          <w:rFonts w:ascii="Arial" w:hAnsi="Arial" w:cs="Arial"/>
        </w:rPr>
        <w:t xml:space="preserve">. </w:t>
      </w:r>
    </w:p>
    <w:p w14:paraId="4B9E102A" w14:textId="2B04A465" w:rsidR="00146249" w:rsidRPr="004661E9" w:rsidRDefault="00146249" w:rsidP="004661E9">
      <w:pPr>
        <w:spacing w:after="0" w:line="276" w:lineRule="auto"/>
        <w:rPr>
          <w:rFonts w:ascii="Arial" w:hAnsi="Arial" w:cs="Arial"/>
        </w:rPr>
      </w:pPr>
    </w:p>
    <w:p w14:paraId="6C23775A" w14:textId="1D355696" w:rsidR="00257173" w:rsidRPr="004661E9" w:rsidRDefault="00257173" w:rsidP="004661E9">
      <w:pPr>
        <w:spacing w:after="0" w:line="276" w:lineRule="auto"/>
        <w:rPr>
          <w:rFonts w:ascii="Arial" w:hAnsi="Arial" w:cs="Arial"/>
        </w:rPr>
      </w:pPr>
      <w:r w:rsidRPr="004661E9">
        <w:rPr>
          <w:rFonts w:ascii="Arial" w:hAnsi="Arial" w:cs="Arial"/>
        </w:rPr>
        <w:t xml:space="preserve">Recent reports have indicated </w:t>
      </w:r>
      <w:r w:rsidR="002215FF" w:rsidRPr="004661E9">
        <w:rPr>
          <w:rFonts w:ascii="Arial" w:hAnsi="Arial" w:cs="Arial"/>
        </w:rPr>
        <w:t xml:space="preserve">that </w:t>
      </w:r>
      <w:r w:rsidR="00493565" w:rsidRPr="004661E9">
        <w:rPr>
          <w:rFonts w:ascii="Arial" w:hAnsi="Arial" w:cs="Arial"/>
        </w:rPr>
        <w:t xml:space="preserve">comorbid mental disorders </w:t>
      </w:r>
      <w:r w:rsidR="002215FF" w:rsidRPr="004661E9">
        <w:rPr>
          <w:rFonts w:ascii="Arial" w:hAnsi="Arial" w:cs="Arial"/>
        </w:rPr>
        <w:t xml:space="preserve">may increase </w:t>
      </w:r>
      <w:r w:rsidR="00493565" w:rsidRPr="004661E9">
        <w:rPr>
          <w:rFonts w:ascii="Arial" w:hAnsi="Arial" w:cs="Arial"/>
        </w:rPr>
        <w:t>HF risk in</w:t>
      </w:r>
      <w:r w:rsidR="002215FF" w:rsidRPr="004661E9">
        <w:rPr>
          <w:rFonts w:ascii="Arial" w:hAnsi="Arial" w:cs="Arial"/>
        </w:rPr>
        <w:t xml:space="preserve"> individuals with diabetes</w:t>
      </w:r>
      <w:r w:rsidR="00493565" w:rsidRPr="004661E9">
        <w:rPr>
          <w:rFonts w:ascii="Arial" w:hAnsi="Arial" w:cs="Arial"/>
        </w:rPr>
        <w:t xml:space="preserve">. </w:t>
      </w:r>
      <w:r w:rsidR="00376209" w:rsidRPr="004661E9">
        <w:rPr>
          <w:rFonts w:ascii="Arial" w:hAnsi="Arial" w:cs="Arial"/>
        </w:rPr>
        <w:t xml:space="preserve">A retrospective </w:t>
      </w:r>
      <w:r w:rsidR="00B65295" w:rsidRPr="004661E9">
        <w:rPr>
          <w:rFonts w:ascii="Arial" w:hAnsi="Arial" w:cs="Arial"/>
        </w:rPr>
        <w:t>analysis of nation</w:t>
      </w:r>
      <w:r w:rsidR="009C4B5F" w:rsidRPr="004661E9">
        <w:rPr>
          <w:rFonts w:ascii="Arial" w:hAnsi="Arial" w:cs="Arial"/>
        </w:rPr>
        <w:t>wide health claims data of Korean participants demonst</w:t>
      </w:r>
      <w:r w:rsidR="00543EDD" w:rsidRPr="004661E9">
        <w:rPr>
          <w:rFonts w:ascii="Arial" w:hAnsi="Arial" w:cs="Arial"/>
        </w:rPr>
        <w:t>r</w:t>
      </w:r>
      <w:r w:rsidR="009C4B5F" w:rsidRPr="004661E9">
        <w:rPr>
          <w:rFonts w:ascii="Arial" w:hAnsi="Arial" w:cs="Arial"/>
        </w:rPr>
        <w:t xml:space="preserve">ated </w:t>
      </w:r>
      <w:r w:rsidR="002F2C94" w:rsidRPr="004661E9">
        <w:rPr>
          <w:rFonts w:ascii="Arial" w:hAnsi="Arial" w:cs="Arial"/>
        </w:rPr>
        <w:t xml:space="preserve">an independent association </w:t>
      </w:r>
      <w:r w:rsidR="006D45E4" w:rsidRPr="004661E9">
        <w:rPr>
          <w:rFonts w:ascii="Arial" w:hAnsi="Arial" w:cs="Arial"/>
        </w:rPr>
        <w:t>between</w:t>
      </w:r>
      <w:r w:rsidR="00A21147" w:rsidRPr="004661E9">
        <w:rPr>
          <w:rFonts w:ascii="Arial" w:hAnsi="Arial" w:cs="Arial"/>
        </w:rPr>
        <w:t xml:space="preserve"> HF</w:t>
      </w:r>
      <w:r w:rsidR="008160C7" w:rsidRPr="004661E9">
        <w:rPr>
          <w:rFonts w:ascii="Arial" w:hAnsi="Arial" w:cs="Arial"/>
        </w:rPr>
        <w:t xml:space="preserve"> </w:t>
      </w:r>
      <w:r w:rsidR="00D45902" w:rsidRPr="004661E9">
        <w:rPr>
          <w:rFonts w:ascii="Arial" w:hAnsi="Arial" w:cs="Arial"/>
        </w:rPr>
        <w:t>risk</w:t>
      </w:r>
      <w:r w:rsidR="00A21147" w:rsidRPr="004661E9">
        <w:rPr>
          <w:rFonts w:ascii="Arial" w:hAnsi="Arial" w:cs="Arial"/>
        </w:rPr>
        <w:t xml:space="preserve"> and the number of </w:t>
      </w:r>
      <w:r w:rsidR="008160C7" w:rsidRPr="004661E9">
        <w:rPr>
          <w:rFonts w:ascii="Arial" w:hAnsi="Arial" w:cs="Arial"/>
        </w:rPr>
        <w:t>mental disorders in patients with</w:t>
      </w:r>
      <w:r w:rsidR="002215FF" w:rsidRPr="004661E9">
        <w:rPr>
          <w:rFonts w:ascii="Arial" w:hAnsi="Arial" w:cs="Arial"/>
        </w:rPr>
        <w:t xml:space="preserve"> diabetes</w:t>
      </w:r>
      <w:r w:rsidR="00DF336A" w:rsidRPr="004661E9">
        <w:rPr>
          <w:rFonts w:ascii="Arial" w:hAnsi="Arial" w:cs="Arial"/>
        </w:rPr>
        <w:t xml:space="preserve"> </w:t>
      </w:r>
      <w:r w:rsidR="00DF336A" w:rsidRPr="004661E9">
        <w:rPr>
          <w:rFonts w:ascii="Arial" w:hAnsi="Arial" w:cs="Arial"/>
        </w:rPr>
        <w:fldChar w:fldCharType="begin" w:fldLock="1"/>
      </w:r>
      <w:r w:rsidR="00E156CB" w:rsidRPr="004661E9">
        <w:rPr>
          <w:rFonts w:ascii="Arial" w:hAnsi="Arial" w:cs="Arial"/>
        </w:rPr>
        <w:instrText>ADDIN CSL_CITATION {"citationItems":[{"id":"ITEM-1","itemData":{"DOI":"10.1186/s12933-023-01809-4","ISSN":"14752840","PMID":"37208672","abstract":"Background: Few studies have assessed the correlation between coexisting mental disorders in participants with diabetes mellitus (DM) and the risk of heart failure (HF). Herein, we conducted a cohort study to determine the association between the accumulation of mental disorders in participants with DM and the risk of HF. Methods: The Korean National Health Insurance Service records were assessed. 2,447,386 adults with DM who underwent health screening between 2009 and 2012 were analyzed. Participants with major depressive disorder, bipolar disorder, schizophrenia, insomnia, or anxiety disorders were included. In addition, participants were categorized based on the number of coexisting mental disorders. Each participant was followed until December 2018 or until the onset of HF. Cox proportional hazard modelling with confounding factors adjustment was conducted. In addition, a competing risk analysis was conducted. Subgroup analysis assessed the impact of clinical variables on the association between the accumulation of mental disorders and the risk of HF. Results: The median follow-up duration was 7.09 years. The accumulation of mental disorders was associated with a risk of HF (zero mental disorder (0), reference; 1 mental disorder, adjusted hazard ratio (aHR): 1.222, 95% confidence intervals (CI): 1.207–1.237; 2 mental disorders, aHR: 1.426, CI: 1.403–1.448; ≥3 mental disorders, aHR: 1.667, CI: 1.632–1.70. In the subgroup analysis, the strength of association was the strongest in the younger age group (&lt; 40 years, 1 mental disorder, aHR 1.301, CI 1.143–1.481; ≥2 mental disorders, aHR 2.683, CI 2.257–3.190; 40–64 years, 1 mental disorder, aHR 1.289, CI 1.265–1.314; ≥2 mental disorders, aHR 1.762, CI 1.724–1.801; ≥65 years, 1 mental disorder, aHR 1.164, CI 1.145–1.183; ≥2 mental disorders, aHR 1.353, CI 1.330–1.377; Pinter&lt;0.001). In addition, income, BMI, hypertension, chronic kidney disease, history of cardiovascular disease, insulin use, and duration of DM showed significant interactions. Conclusions: Comorbid mental disorders in participants with DM are associated with an increased risk of HF. In addition, the association was stronger in a younger age group. Participants with DM and mental disorders should be monitored with increased frequency for signs of HF; for which they have a higher risk than the general population.","author":[{"dropping-particle":"","family":"Yoo","given":"Tae Kyung","non-dropping-particle":"","parse-names":false,"suffix":""},{"dropping-particle":"Do","family":"Han","given":"Kyung","non-dropping-particle":"","parse-names":false,"suffix":""},{"dropping-particle":"","family":"Rhee","given":"Eun Jung","non-dropping-particle":"","parse-names":false,"suffix":""},{"dropping-particle":"","family":"Lee","given":"Won Young","non-dropping-particle":"","parse-names":false,"suffix":""}],"container-title":"Cardiovascular Diabetology","id":"ITEM-1","issue":"1","issued":{"date-parts":[["2023"]]},"page":"1-13","title":"Impact of mental disorders on the risk of heart failure among Korean patients with diabetes: a cohort study","type":"article-journal","volume":"22"},"uris":["http://www.mendeley.com/documents/?uuid=7d6774b2-3548-4c73-bfcd-a5e1e553ff99"]}],"mendeley":{"formattedCitation":"(58)","plainTextFormattedCitation":"(58)","previouslyFormattedCitation":"(58)"},"properties":{"noteIndex":0},"schema":"https://github.com/citation-style-language/schema/raw/master/csl-citation.json"}</w:instrText>
      </w:r>
      <w:r w:rsidR="00DF336A" w:rsidRPr="004661E9">
        <w:rPr>
          <w:rFonts w:ascii="Arial" w:hAnsi="Arial" w:cs="Arial"/>
        </w:rPr>
        <w:fldChar w:fldCharType="separate"/>
      </w:r>
      <w:r w:rsidR="003C01B8" w:rsidRPr="004661E9">
        <w:rPr>
          <w:rFonts w:ascii="Arial" w:hAnsi="Arial" w:cs="Arial"/>
          <w:noProof/>
        </w:rPr>
        <w:t>(58)</w:t>
      </w:r>
      <w:r w:rsidR="00DF336A" w:rsidRPr="004661E9">
        <w:rPr>
          <w:rFonts w:ascii="Arial" w:hAnsi="Arial" w:cs="Arial"/>
        </w:rPr>
        <w:fldChar w:fldCharType="end"/>
      </w:r>
      <w:r w:rsidR="008160C7" w:rsidRPr="004661E9">
        <w:rPr>
          <w:rFonts w:ascii="Arial" w:hAnsi="Arial" w:cs="Arial"/>
        </w:rPr>
        <w:t>.</w:t>
      </w:r>
    </w:p>
    <w:p w14:paraId="481F32F5" w14:textId="690DC387" w:rsidR="007D3063" w:rsidRPr="004661E9" w:rsidRDefault="007D3063" w:rsidP="004661E9">
      <w:pPr>
        <w:spacing w:after="0" w:line="276" w:lineRule="auto"/>
        <w:rPr>
          <w:rFonts w:ascii="Arial" w:hAnsi="Arial" w:cs="Arial"/>
        </w:rPr>
      </w:pPr>
    </w:p>
    <w:p w14:paraId="6488B625" w14:textId="6FF2BCCA" w:rsidR="00394D0B" w:rsidRPr="004661E9" w:rsidRDefault="002B2FC3" w:rsidP="004661E9">
      <w:pPr>
        <w:spacing w:after="0" w:line="276" w:lineRule="auto"/>
        <w:rPr>
          <w:rFonts w:ascii="Arial" w:hAnsi="Arial" w:cs="Arial"/>
          <w:b/>
          <w:bCs/>
          <w:color w:val="00B050"/>
        </w:rPr>
      </w:pPr>
      <w:r w:rsidRPr="004661E9">
        <w:rPr>
          <w:rFonts w:ascii="Arial" w:hAnsi="Arial" w:cs="Arial"/>
          <w:b/>
          <w:bCs/>
          <w:color w:val="00B050"/>
        </w:rPr>
        <w:t>HF</w:t>
      </w:r>
      <w:r w:rsidR="00394D0B" w:rsidRPr="004661E9">
        <w:rPr>
          <w:rFonts w:ascii="Arial" w:hAnsi="Arial" w:cs="Arial"/>
          <w:b/>
          <w:bCs/>
          <w:color w:val="00B050"/>
        </w:rPr>
        <w:t xml:space="preserve"> as a Risk Factor for </w:t>
      </w:r>
      <w:r w:rsidR="00A36DE2" w:rsidRPr="004661E9">
        <w:rPr>
          <w:rFonts w:ascii="Arial" w:hAnsi="Arial" w:cs="Arial"/>
          <w:b/>
          <w:bCs/>
          <w:color w:val="00B050"/>
        </w:rPr>
        <w:t>Diabetes</w:t>
      </w:r>
    </w:p>
    <w:p w14:paraId="4E417EC7" w14:textId="77777777" w:rsidR="007D3063" w:rsidRPr="004661E9" w:rsidRDefault="007D3063" w:rsidP="004661E9">
      <w:pPr>
        <w:spacing w:after="0" w:line="276" w:lineRule="auto"/>
        <w:rPr>
          <w:rFonts w:ascii="Arial" w:hAnsi="Arial" w:cs="Arial"/>
          <w:b/>
          <w:bCs/>
        </w:rPr>
      </w:pPr>
    </w:p>
    <w:p w14:paraId="6BC08693" w14:textId="02A17736" w:rsidR="00394D0B" w:rsidRPr="004661E9" w:rsidRDefault="0086610F" w:rsidP="004661E9">
      <w:pPr>
        <w:spacing w:after="0" w:line="276" w:lineRule="auto"/>
        <w:rPr>
          <w:rFonts w:ascii="Arial" w:hAnsi="Arial" w:cs="Arial"/>
        </w:rPr>
      </w:pPr>
      <w:bookmarkStart w:id="13" w:name="_Hlk43803325"/>
      <w:r w:rsidRPr="004661E9">
        <w:rPr>
          <w:rFonts w:ascii="Arial" w:hAnsi="Arial" w:cs="Arial"/>
        </w:rPr>
        <w:t xml:space="preserve">Patients with HF are at risk </w:t>
      </w:r>
      <w:r w:rsidR="0015065B" w:rsidRPr="004661E9">
        <w:rPr>
          <w:rFonts w:ascii="Arial" w:hAnsi="Arial" w:cs="Arial"/>
        </w:rPr>
        <w:t>of</w:t>
      </w:r>
      <w:r w:rsidRPr="004661E9">
        <w:rPr>
          <w:rFonts w:ascii="Arial" w:hAnsi="Arial" w:cs="Arial"/>
        </w:rPr>
        <w:t xml:space="preserve"> developing incident DM over time.</w:t>
      </w:r>
      <w:r w:rsidR="00F91BB0" w:rsidRPr="004661E9">
        <w:rPr>
          <w:rFonts w:ascii="Arial" w:hAnsi="Arial" w:cs="Arial"/>
        </w:rPr>
        <w:t xml:space="preserve"> </w:t>
      </w:r>
      <w:bookmarkEnd w:id="13"/>
      <w:r w:rsidR="00F91BB0" w:rsidRPr="004661E9">
        <w:rPr>
          <w:rFonts w:ascii="Arial" w:hAnsi="Arial" w:cs="Arial"/>
        </w:rPr>
        <w:t>Data from clinical trials showed that the incidence of new</w:t>
      </w:r>
      <w:r w:rsidR="0015065B" w:rsidRPr="004661E9">
        <w:rPr>
          <w:rFonts w:ascii="Arial" w:hAnsi="Arial" w:cs="Arial"/>
        </w:rPr>
        <w:t>-</w:t>
      </w:r>
      <w:r w:rsidR="00F91BB0" w:rsidRPr="004661E9">
        <w:rPr>
          <w:rFonts w:ascii="Arial" w:hAnsi="Arial" w:cs="Arial"/>
        </w:rPr>
        <w:t>onset diabetes among patients with HF is 7 to 11% over a 3- to 5-year follow</w:t>
      </w:r>
      <w:r w:rsidR="00543EDD" w:rsidRPr="004661E9">
        <w:rPr>
          <w:rFonts w:ascii="Arial" w:hAnsi="Arial" w:cs="Arial"/>
        </w:rPr>
        <w:t>-</w:t>
      </w:r>
      <w:r w:rsidR="00F91BB0" w:rsidRPr="004661E9">
        <w:rPr>
          <w:rFonts w:ascii="Arial" w:hAnsi="Arial" w:cs="Arial"/>
        </w:rPr>
        <w:t>up period</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{"citationItems":[{"id":"ITEM-1","itemData":{"ISBN":"1524-4539","PMID":"15983242","abstract":"BACKGROUND: Diabetes is a risk factor for heart failure, and both conditions are increasing. Identifying treatments that prevent both conditions will be clinically important. We previously reported that candesartan (an angiotensin receptor blocker) reduces cardiovascular mortality and heart failure hospitalizations in heart failure patients (CHARM: Candesartan in Heart Failure-Assessment of Reduction in Mortality and Morbidity Program). METHODS AND RESULTS: We assessed the impact of candesartan versus placebo on the development of diabetes, a predefined secondary outcome in a randomized, controlled, double-blind study involving 5436 of the 7601 patients with heart failure, irrespective of ejection fraction, who did not have a diagnosis of diabetes at entry into the trial. Patients received candesartan (target of 32 mg once daily) or matching placebo for 2 to 4 years. One hundred sixty-three (6.0%) individuals in the candesartan group developed diabetes, as compared with 202 (7.4%) in the placebo group (hazard ratio [HR], 0.78 with a 95% confidence interval [CI] of 0.64 to 0.96; P=0.020). The composite end point of death or diabetes occurred in 692 (25.2%) and 779 (28.6%), respectively, in the candesartan and placebo groups (HR, 0.86; 95% CI, 0.78 to 0.95; P=0.004). The results were not statistically heterogeneous in the various subgroups examined, although the apparent magnitude of benefit appeared to be smaller among those treated concomitantly with angiotensin-converting enzyme inhibitors at trial entry (HR, 0.88; 95% CI, 0.65 to 1.20) compared with those not receiving these drugs (HR, 0.71; 95% CI, 0.53 to 0.93; P for heterogeneity, 0.28). CONCLUSIONS: The angiotensin receptor blocker candesartan appears to prevent diabetes in heart failure patients, suggesting that the renin-angiotensin axis is implicated in glucose regulation.","author":[{"dropping-particle":"","family":"Yusuf","given":"S","non-dropping-particle":"","parse-names":false,"suffix":""},{"dropping-particle":"","family":"Ostergren","given":"J B","non-dropping-particle":"","parse-names":false,"suffix":""},{"dropping-particle":"","family":"Gerstein","given":"H C","non-dropping-particle":"","parse-names":false,"suffix":""},{"dropping-particle":"","family":"Pfeffer","given":"M A","non-dropping-particle":"","parse-names":false,"suffix":""},{"dropping-particle":"","family":"Swedberg","given":"K","non-dropping-particle":"","parse-names":false,"suffix":""},{"dropping-particle":"","family":"Granger","given":"C B","non-dropping-particle":"","parse-names":false,"suffix":""},{"dropping-particle":"","family":"Olofsson","given":"B","non-dropping-particle":"","parse-names":false,"suffix":""},{"dropping-particle":"","family":"Probstfield","given":"J","non-dropping-particle":"","parse-names":false,"suffix":""},{"dropping-particle":"V","family":"McMurray","given":"J","non-dropping-particle":"","parse-names":false,"suffix":""},{"dropping-particle":"","family":"Mortality","given":"Candesartan in Heart Failure-Assessment of Reduction in","non-dropping-particle":"","parse-names":false,"suffix":""},{"dropping-particle":"","family":"Morbidity Program","given":"Investigators","non-dropping-particle":"","parse-names":false,"suffix":""}],"container-title":"Circulation","id":"ITEM-1","issue":"1","issued":{"date-parts":[["2005"]]},"page":"48-53","title":"Effects of candesartan on the development of a new diagnosis of diabetes mellitus in patients with heart failure.[Erratum appears in Circulation. 2005 Oct 25;112(7):e292]","type":"article-journal","volume":"112"},"uris":["http://www.mendeley.com/documents/?uuid=908fae01-943f-3ed9-a7ea-d36c08956b78"]},{"id":"ITEM-2","itemData":{"DOI":"10.1136/hrt.2006.092379","ISSN":"13556037","abstract":"Background: β Blocker treatment may worsen glucose metabolism. Objective: To study the development of new onset diabetes in a large cohort of patients with heart failure treated with either metoprolol or carvedilol. Design: Prospective ana retrospective analysis of a controlled clinical trial. Setting: Multinational multicentre study. Patients: 3029 patients with chronic heart failure. Interventions: Randomly assigned treatment with carvedilol (n = 1511, target dose 50 mg daily) or metoprolol tartrate (n = 1518, target dose 100 mg daily). Results: Diabetic events (diabetic coma, peripheral gangrene, diabetic foot, decreased glucose tolerance or hyperglycaemia) and new onset diabetes (clinical diagnosis, repeated high random glucose level or glucose lowering drugs) were assessed in 2298 patients without diabetes at baseline. Diabetic events occurred in 122/1151 (10.6%) patients in the carvedilol group and 149/1147 (13.0%) patients in the metoprolol group (hazard ratio (HR) = 0.78; 95% confidence interval (CI) 0.61 to 0.99; p = 0.039). New onset diabetes was diagnosed in 119/1151 (10.3%) v 145/1147 (12.6%) cases in the carvedilol and metoprolol treatment groups (HR = 0.78, CI 0.61 to 0.997; p = 0.048), respectively. Patients with diabetes at baseline had an increased mortality compared with non-diabetic subjects (45.3% v 33.9%; HR = 1.45, CI 1.28 to 1.65). Both diabetic and non-diabetic subjects at baseline had a similar reduction in mortality with carvedilol compared with metoprolol (RR = 0.85; CI 0.69 to 1.06 and RR = 0.82; CI 0.71 to 0.94, respectively). Conclusion: A high prevalence and incidence of diabetes is found in patients with heart failure over a course of 5 years. New onset diabetes is more likely to occur during treatment with metoprolol than during treatment with carvedilol.","author":[{"dropping-particle":"","family":"Torp-Pedersen","given":"Christian","non-dropping-particle":"","parse-names":false,"suffix":""},{"dropping-particle":"","family":"Metra","given":"Marco","non-dropping-particle":"","parse-names":false,"suffix":""},{"dropping-particle":"","family":"Charlesworth","given":"Andrew","non-dropping-particle":"","parse-names":false,"suffix":""},{"dropping-particle":"","family":"Spark","given":"Phillip","non-dropping-particle":"","parse-names":false,"suffix":""},{"dropping-particle":"","family":"Lukas","given":"Mary Ann","non-dropping-particle":"","parse-names":false,"suffix":""},{"dropping-particle":"","family":"Poole-Wilson","given":"Philip A.","non-dropping-particle":"","parse-names":false,"suffix":""},{"dropping-particle":"","family":"Swedberg","given":"Karl","non-dropping-particle":"","parse-names":false,"suffix":""},{"dropping-particle":"","family":"Cleland","given":"John G.F.","non-dropping-particle":"","parse-names":false,"suffix":""},{"dropping-particle":"","family":"Lenarda","given":"Andrea","non-dropping-particle":"Di","parse-names":false,"suffix":""},{"dropping-particle":"","family":"Remme","given":"Willem J.","non-dropping-particle":"","parse-names":false,"suffix":""},{"dropping-particle":"","family":"Scherhag","given":"Armin","non-dropping-particle":"","parse-names":false,"suffix":""}],"container-title":"Heart","id":"ITEM-2","issue":"8","issued":{"date-parts":[["2007","8"]]},"page":"968-973","title":"Effects of metoprolol and carvedilol on pre-existing and new onset diabetes in patients with chronic heart failure: Data from the Carvedilol or Metoprolol European Trial (COMET)","type":"article-journal","volume":"93"},"uris":["http://www.mendeley.com/documents/?uuid=c1df8370-b890-386d-b1e3-3e7951ae8a64"]}],"mendeley":{"formattedCitation":"(59,60)","plainTextFormattedCitation":"(59,60)","previouslyFormattedCitation":"(59,60)"},"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(59,60)</w:t>
      </w:r>
      <w:r w:rsidR="000F3AD7" w:rsidRPr="004661E9">
        <w:rPr>
          <w:rFonts w:ascii="Arial" w:hAnsi="Arial" w:cs="Arial"/>
        </w:rPr>
        <w:fldChar w:fldCharType="end"/>
      </w:r>
      <w:r w:rsidR="007D3063" w:rsidRPr="004661E9">
        <w:rPr>
          <w:rFonts w:ascii="Arial" w:hAnsi="Arial" w:cs="Arial"/>
        </w:rPr>
        <w:t>.</w:t>
      </w:r>
      <w:r w:rsidR="00F91BB0" w:rsidRPr="004661E9">
        <w:rPr>
          <w:rFonts w:ascii="Arial" w:hAnsi="Arial" w:cs="Arial"/>
        </w:rPr>
        <w:t xml:space="preserve"> </w:t>
      </w:r>
      <w:r w:rsidR="00CC48F1" w:rsidRPr="004661E9">
        <w:rPr>
          <w:rFonts w:ascii="Arial" w:hAnsi="Arial" w:cs="Arial"/>
        </w:rPr>
        <w:t>Even though the published data is sparse, some</w:t>
      </w:r>
      <w:r w:rsidR="008A49DA" w:rsidRPr="004661E9">
        <w:rPr>
          <w:rFonts w:ascii="Arial" w:hAnsi="Arial" w:cs="Arial"/>
        </w:rPr>
        <w:t xml:space="preserve"> evidence has emerged</w:t>
      </w:r>
      <w:r w:rsidR="00CC48F1" w:rsidRPr="004661E9">
        <w:rPr>
          <w:rFonts w:ascii="Arial" w:hAnsi="Arial" w:cs="Arial"/>
        </w:rPr>
        <w:t xml:space="preserve"> over the past </w:t>
      </w:r>
      <w:r w:rsidR="008E11EF" w:rsidRPr="004661E9">
        <w:rPr>
          <w:rFonts w:ascii="Arial" w:hAnsi="Arial" w:cs="Arial"/>
        </w:rPr>
        <w:t>two</w:t>
      </w:r>
      <w:r w:rsidR="00CC48F1" w:rsidRPr="004661E9">
        <w:rPr>
          <w:rFonts w:ascii="Arial" w:hAnsi="Arial" w:cs="Arial"/>
        </w:rPr>
        <w:t xml:space="preserve"> decades</w:t>
      </w:r>
      <w:r w:rsidR="008A49DA" w:rsidRPr="004661E9">
        <w:rPr>
          <w:rFonts w:ascii="Arial" w:hAnsi="Arial" w:cs="Arial"/>
        </w:rPr>
        <w:t xml:space="preserve"> supporting the possible </w:t>
      </w:r>
      <w:r w:rsidR="00CC48F1" w:rsidRPr="004661E9">
        <w:rPr>
          <w:rFonts w:ascii="Arial" w:hAnsi="Arial" w:cs="Arial"/>
        </w:rPr>
        <w:t xml:space="preserve">independent </w:t>
      </w:r>
      <w:r w:rsidR="008A49DA" w:rsidRPr="004661E9">
        <w:rPr>
          <w:rFonts w:ascii="Arial" w:hAnsi="Arial" w:cs="Arial"/>
        </w:rPr>
        <w:t>role of HF as a risk factor for incident T2DM</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{"citationItems":[{"id":"ITEM-1","itemData":{"DOI":"10.1161/CIR.0000000000000691","ISSN":"15244539","abstract":"Type 2 diabetes mellitus is a risk factor for incident heart failure and increases the risk of morbidity and mortality in patients with established disease. Secular trends in the prevalence of diabetes mellitus and heart failure forecast a growing burden of disease and underscore the need for effective therapeutic strategies. Recent clinical trials have demonstrated the shared pathophysiology between diabetes mellitus and heart failure, the synergistic effect of managing both conditions, and the potential for diabetes mellitus therapies to modulate the risk of heart failure outcomes. This scientific statement on diabetes mellitus and heart failure summarizes the epidemiology, pathophysiology, and impact of diabetes mellitus and its control on outcomes in heart failure; reviews the approach to pharmacological therapy and lifestyle modification in patients with diabetes mellitus and heart failure; highlights the value of multidisciplinary interventions to improve clinical outcomes in this population; and outlines priorities for future research.","author":[{"dropping-particle":"","family":"Dunlay","given":"Shannon M.","non-dropping-particle":"","parse-names":false,"suffix":""},{"dropping-particle":"","family":"Givertz","given":"Michael M.","non-dropping-particle":"","parse-names":false,"suffix":""},{"dropping-particle":"","family":"Aguilar","given":"David","non-dropping-particle":"","parse-names":false,"suffix":""},{"dropping-particle":"","family":"Allen","given":"Larry A.","non-dropping-particle":"","parse-names":false,"suffix":""},{"dropping-particle":"","family":"Chan","given":"Michael","non-dropping-particle":"","parse-names":false,"suffix":""},{"dropping-particle":"","family":"Desai","given":"Akshay S.","non-dropping-particle":"","parse-names":false,"suffix":""},{"dropping-particle":"","family":"Deswal","given":"Anita","non-dropping-particle":"","parse-names":false,"suffix":""},{"dropping-particle":"","family":"Dickson","given":"Victoria Vaughan","non-dropping-particle":"","parse-names":false,"suffix":""},{"dropping-particle":"","family":"Kosiborod","given":"Mikhail N.","non-dropping-particle":"","parse-names":false,"suffix":""},{"dropping-particle":"","family":"Lekavich","given":"Carolyn L.","non-dropping-particle":"","parse-names":false,"suffix":""},{"dropping-particle":"","family":"McCoy","given":"Rozalina G.","non-dropping-particle":"","parse-names":false,"suffix":""},{"dropping-particle":"","family":"Mentz","given":"Robert J.","non-dropping-particle":"","parse-names":false,"suffix":""},{"dropping-particle":"","family":"Piña","given":"Ileana L.","non-dropping-particle":"","parse-names":false,"suffix":""}],"container-title":"Circulation","id":"ITEM-1","issue":"7","issued":{"date-parts":[["2019","8","13"]]},"page":"e294-e324","publisher":"NLM (Medline)","title":"Type 2 Diabetes Mellitus and Heart Failure: A Scientific Statement From the American Heart Association and the Heart Failure Society of America: This statement does not represent an update of the 2017 ACC/AHA/HFSA heart failure guideline update","type":"article-journal","volume":"140"},"uris":["http://www.mendeley.com/documents/?uuid=d8a0ff7b-f41e-3868-bb28-789c4cd03165"]}],"mendeley":{"formattedCitation":"(61)","plainTextFormattedCitation":"(61)","previouslyFormattedCitation":"(61)"},"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(61)</w:t>
      </w:r>
      <w:r w:rsidR="000F3AD7" w:rsidRPr="004661E9">
        <w:rPr>
          <w:rFonts w:ascii="Arial" w:hAnsi="Arial" w:cs="Arial"/>
        </w:rPr>
        <w:fldChar w:fldCharType="end"/>
      </w:r>
      <w:r w:rsidR="007D3063" w:rsidRPr="004661E9">
        <w:rPr>
          <w:rFonts w:ascii="Arial" w:hAnsi="Arial" w:cs="Arial"/>
        </w:rPr>
        <w:t>.</w:t>
      </w:r>
      <w:r w:rsidR="008A49DA" w:rsidRPr="004661E9">
        <w:rPr>
          <w:rFonts w:ascii="Arial" w:hAnsi="Arial" w:cs="Arial"/>
        </w:rPr>
        <w:t xml:space="preserve"> </w:t>
      </w:r>
      <w:r w:rsidR="003B0EAB" w:rsidRPr="004661E9">
        <w:rPr>
          <w:rFonts w:ascii="Arial" w:hAnsi="Arial" w:cs="Arial"/>
        </w:rPr>
        <w:t>Analyses o</w:t>
      </w:r>
      <w:r w:rsidR="00543EDD" w:rsidRPr="004661E9">
        <w:rPr>
          <w:rFonts w:ascii="Arial" w:hAnsi="Arial" w:cs="Arial"/>
        </w:rPr>
        <w:t>f</w:t>
      </w:r>
      <w:r w:rsidR="003B0EAB" w:rsidRPr="004661E9">
        <w:rPr>
          <w:rFonts w:ascii="Arial" w:hAnsi="Arial" w:cs="Arial"/>
        </w:rPr>
        <w:t xml:space="preserve"> p</w:t>
      </w:r>
      <w:r w:rsidR="00543EDD" w:rsidRPr="004661E9">
        <w:rPr>
          <w:rFonts w:ascii="Arial" w:hAnsi="Arial" w:cs="Arial"/>
        </w:rPr>
        <w:t>rospective cohort studies and clinical trial participant</w:t>
      </w:r>
      <w:r w:rsidR="003B0EAB" w:rsidRPr="004661E9">
        <w:rPr>
          <w:rFonts w:ascii="Arial" w:hAnsi="Arial" w:cs="Arial"/>
        </w:rPr>
        <w:t>s demonstrated that</w:t>
      </w:r>
      <w:r w:rsidR="008A49DA" w:rsidRPr="004661E9">
        <w:rPr>
          <w:rFonts w:ascii="Arial" w:hAnsi="Arial" w:cs="Arial"/>
        </w:rPr>
        <w:t xml:space="preserve"> </w:t>
      </w:r>
      <w:r w:rsidR="003B0EAB" w:rsidRPr="004661E9">
        <w:rPr>
          <w:rFonts w:ascii="Arial" w:hAnsi="Arial" w:cs="Arial"/>
        </w:rPr>
        <w:t>HF at baseline m</w:t>
      </w:r>
      <w:r w:rsidR="008E11EF" w:rsidRPr="004661E9">
        <w:rPr>
          <w:rFonts w:ascii="Arial" w:hAnsi="Arial" w:cs="Arial"/>
        </w:rPr>
        <w:t>ight</w:t>
      </w:r>
      <w:r w:rsidR="003B0EAB" w:rsidRPr="004661E9">
        <w:rPr>
          <w:rFonts w:ascii="Arial" w:hAnsi="Arial" w:cs="Arial"/>
        </w:rPr>
        <w:t xml:space="preserve"> predispose</w:t>
      </w:r>
      <w:r w:rsidR="008A49DA" w:rsidRPr="004661E9">
        <w:rPr>
          <w:rFonts w:ascii="Arial" w:hAnsi="Arial" w:cs="Arial"/>
        </w:rPr>
        <w:t xml:space="preserve"> </w:t>
      </w:r>
      <w:r w:rsidR="0042727A" w:rsidRPr="004661E9">
        <w:rPr>
          <w:rFonts w:ascii="Arial" w:hAnsi="Arial" w:cs="Arial"/>
        </w:rPr>
        <w:t xml:space="preserve">the </w:t>
      </w:r>
      <w:r w:rsidR="008A49DA" w:rsidRPr="004661E9">
        <w:rPr>
          <w:rFonts w:ascii="Arial" w:hAnsi="Arial" w:cs="Arial"/>
        </w:rPr>
        <w:t xml:space="preserve">future risk of </w:t>
      </w:r>
      <w:r w:rsidR="002B2FC3" w:rsidRPr="004661E9">
        <w:rPr>
          <w:rFonts w:ascii="Arial" w:hAnsi="Arial" w:cs="Arial"/>
        </w:rPr>
        <w:t>new-onset</w:t>
      </w:r>
      <w:r w:rsidR="008A49DA" w:rsidRPr="004661E9">
        <w:rPr>
          <w:rFonts w:ascii="Arial" w:hAnsi="Arial" w:cs="Arial"/>
        </w:rPr>
        <w:t xml:space="preserve"> </w:t>
      </w:r>
      <w:r w:rsidR="00A36DE2" w:rsidRPr="004661E9">
        <w:rPr>
          <w:rFonts w:ascii="Arial" w:hAnsi="Arial" w:cs="Arial"/>
        </w:rPr>
        <w:t>diabetes</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{"citationItems":[{"id":"ITEM-1","itemData":{"DOI":"10.1161/CIR.0000000000000691","ISSN":"15244539","abstract":"Type 2 diabetes mellitus is a risk factor for incident heart failure and increases the risk of morbidity and mortality in patients with established disease. Secular trends in the prevalence of diabetes mellitus and heart failure forecast a growing burden of disease and underscore the need for effective therapeutic strategies. Recent clinical trials have demonstrated the shared pathophysiology between diabetes mellitus and heart failure, the synergistic effect of managing both conditions, and the potential for diabetes mellitus therapies to modulate the risk of heart failure outcomes. This scientific statement on diabetes mellitus and heart failure summarizes the epidemiology, pathophysiology, and impact of diabetes mellitus and its control on outcomes in heart failure; reviews the approach to pharmacological therapy and lifestyle modification in patients with diabetes mellitus and heart failure; highlights the value of multidisciplinary interventions to improve clinical outcomes in this population; and outlines priorities for future research.","author":[{"dropping-particle":"","family":"Dunlay","given":"Shannon M.","non-dropping-particle":"","parse-names":false,"suffix":""},{"dropping-particle":"","family":"Givertz","given":"Michael M.","non-dropping-particle":"","parse-names":false,"suffix":""},{"dropping-particle":"","family":"Aguilar","given":"David","non-dropping-particle":"","parse-names":false,"suffix":""},{"dropping-particle":"","family":"Allen","given":"Larry A.","non-dropping-particle":"","parse-names":false,"suffix":""},{"dropping-particle":"","family":"Chan","given":"Michael","non-dropping-particle":"","parse-names":false,"suffix":""},{"dropping-particle":"","family":"Desai","given":"Akshay S.","non-dropping-particle":"","parse-names":false,"suffix":""},{"dropping-particle":"","family":"Deswal","given":"Anita","non-dropping-particle":"","parse-names":false,"suffix":""},{"dropping-particle":"","family":"Dickson","given":"Victoria Vaughan","non-dropping-particle":"","parse-names":false,"suffix":""},{"dropping-particle":"","family":"Kosiborod","given":"Mikhail N.","non-dropping-particle":"","parse-names":false,"suffix":""},{"dropping-particle":"","family":"Lekavich","given":"Carolyn L.","non-dropping-particle":"","parse-names":false,"suffix":""},{"dropping-particle":"","family":"McCoy","given":"Rozalina G.","non-dropping-particle":"","parse-names":false,"suffix":""},{"dropping-particle":"","family":"Mentz","given":"Robert J.","non-dropping-particle":"","parse-names":false,"suffix":""},{"dropping-particle":"","family":"Piña","given":"Ileana L.","non-dropping-particle":"","parse-names":false,"suffix":""}],"container-title":"Circulation","id":"ITEM-1","issue":"7","issued":{"date-parts":[["2019","8","13"]]},"page":"e294-e324","publisher":"NLM (Medline)","title":"Type 2 Diabetes Mellitus and Heart Failure: A Scientific Statement From the American Heart Association and the Heart Failure Society of America: This statement does not represent an update of the 2017 ACC/AHA/HFSA heart failure guideline update","type":"article-journal","volume":"140"},"uris":["http://www.mendeley.com/documents/?uuid=d8a0ff7b-f41e-3868-bb28-789c4cd03165"]},{"id":"ITEM-2","itemData":{"DOI":"10.1093/eurheartj/ehu462","ISSN":"15229645","abstract":"Purpose The prognostic implications of blood glucose on a wide range of outcomes including early mortality, hospitalizations, and incident diabetes diagnoses have not been fully elucidated in acute heart failure syndromes (AHFS). Methods In a population-based cohort of 16 524 AHFS patients presenting to the emergency department (ED) in Ontario, Canada between 2004 and 2007, we performed a competing risk analysis for 30-day mortality, new diabetes diagnoses, and hospitalization outcomes. Presentation blood glucose concentrations were categorized as follows: 3.9-6.1 [referent], &gt;6.1-7.8, &gt;7.8-9.4, &gt;9.4-11.1, and &gt;11.1 mmol/L. Results Among AHFS patients without diabetes presenting to the ED (n = 9275), blood glucose &gt;6.1 mmol/L (n = 5252, 56.6%) was associated with increased risks of all-cause death [hazard ratio (HR) range: 1.26 (95% CI 1.05-1.50) to 1.50 (95% CI 1.11-2.02)], and cardiovascular death [HR range: 1.28 (95% CI 1.03-1.59) to 1.64 (95% CI 1.16-2.33)]. Among AHFS patients with diabetes (n = 7249), presenting blood glucose &gt;11.1 mmol/L (n = 2286, 31.5%) was associated with increased risks of all-cause death (HR 1.48, 95% CI 1.10-2.00) and diabetes-related hospitalizations (HR 1.39, 95% CI; 1.20-1.61). Presentation blood glucose &gt;9.4 mmol/L was associated with increased risks of hospitalization for HF or cardiovascular causes [HR range: 1.09 (95% CI 1.02-1.17) to 1.15 (95% CI 1.07-1.24)] in all patients. With higher presentation blood glucose, the risk of incident diabetes diagnosis increased, with adjusted HRs of 1.61 (&gt;6.1-7.8 mmol/L) to 3.61 (&gt;11.1 mmol/L) among those without the condition at baseline (all P &lt; 0.001). Conclusions Mildly elevated presentation blood glucose was associated with early death, future diabetes, and hospitalizations for diabetes, HF, and cardiovascular causes among patients with AHFS.","author":[{"dropping-particle":"","family":"Sud","given":"Maneesh","non-dropping-particle":"","parse-names":false,"suffix":""},{"dropping-particle":"","family":"Wang","given":"Xuesong","non-dropping-particle":"","parse-names":false,"suffix":""},{"dropping-particle":"","family":"Austin","given":"Peter C.","non-dropping-particle":"","parse-names":false,"suffix":""},{"dropping-particle":"","family":"Lipscombe","given":"Lorraine L.","non-dropping-particle":"","parse-names":false,"suffix":""},{"dropping-particle":"","family":"Newton","given":"Gary E.","non-dropping-particle":"","parse-names":false,"suffix":""},{"dropping-particle":"V.","family":"Tu","given":"Jack","non-dropping-particle":"","parse-names":false,"suffix":""},{"dropping-particle":"","family":"Vasan","given":"Ramachandran S.","non-dropping-particle":"","parse-names":false,"suffix":""},{"dropping-particle":"","family":"Lee","given":"Douglas S.","non-dropping-particle":"","parse-names":false,"suffix":""}],"container-title":"European Heart Journal","id":"ITEM-2","issue":"15","issued":{"date-parts":[["2015"]]},"page":"924-931","title":"Presentation blood glucose and death, hospitalization, and future diabetes risk in patients with acute heart failure syndromes","type":"article-journal","volume":"36"},"uris":["http://www.mendeley.com/documents/?uuid=8ce3cdad-28e4-4edb-9f5b-3649df16f838"]},{"id":"ITEM-3","itemData":{"DOI":"10.2337/dc08-1709","ISSN":"01495992","abstract":"OBJECTIVE - The purpose of this study was to identify predictors of incident diabetes during follow-up of nondiabetic patients with chronic heart failure (CHF) in the Candesartan in Heart Failure Assessment of Reduction in Mortality and Morbidity (CHARM) program. RESEARCH DESIGN AND METHODS - A total of 1,620 nondiabetic patients had full baseline datasets. We compared baseline demographic, medication, and laboratory data for patients who did or did not develop diabetes and conducted logistic regression and receiver operator characteristic curve analyses. RESULTS - Over a median period of 2.8 years, 126 of the 1,620 patients (7.8%) developed diabetes. In multiple logistic regression analysis, the following baseline characteristics were independently associated with incident diabetes in decreasing order of significance by stepwise selection: higher A1C (odds ratio [OR] 1.78 per 1 SD increase; P &lt; 0.0001), higher BMI (OR 1.64 per 1 SD increase; P &lt; 0.0001), lipid-lowering therapy (OR 2.05; P = 0.0005), lower serum creatinine concentration (OR 0.68 per 1 SD increase; P = 0.0018), diuretic therapy (OR 4.81; P = 0.003), digoxin therapy (OR 1.65; P = 0.022), higher serum alanine aminotransferase concentration (OR 1.15 per 1 SDincrease; P = 0.027), and lower age (OR 0.81 per 1 SD-increase; P = 0.048). Using receiver operating characteristic curve analysis, A1C and BMI yielded areas under the curve of 0.723 and 0.712, respectively, increasing to 0.788 when combined. Addition of other variables independently associated with diabetes risk minimally improved prediction of diabetes. CONCLUSIONS - In nondiabetic patients with CHF in CHARM, A1C and BMI were the strongest predictors of the development of diabetes. Other minor predictors in part reflected CHF severity or drug-associated diabetes risk. Identifying patients with CHF at risk of diabetes through simple criteria appears possible and could enable targeted preventative measures. © 2009 by the American Diabetes Association.","author":[{"dropping-particle":"","family":"Preiss","given":"David","non-dropping-particle":"","parse-names":false,"suffix":""},{"dropping-particle":"","family":"Zetterstrand","given":"Sofia","non-dropping-particle":"","parse-names":false,"suffix":""},{"dropping-particle":"","family":"McMurray","given":"John J.V.","non-dropping-particle":"","parse-names":false,"suffix":""},{"dropping-particle":"","family":"Östergren","given":"Jan","non-dropping-particle":"","parse-names":false,"suffix":""},{"dropping-particle":"","family":"Michelson","given":"Eric L.","non-dropping-particle":"","parse-names":false,"suffix":""},{"dropping-particle":"","family":"Granger","given":"Christopher B.","non-dropping-particle":"","parse-names":false,"suffix":""},{"dropping-particle":"","family":"Yusuf","given":"Salim","non-dropping-particle":"","parse-names":false,"suffix":""},{"dropping-particle":"","family":"Swedberg","given":"Karl","non-dropping-particle":"","parse-names":false,"suffix":""},{"dropping-particle":"","family":"Pfeffer","given":"Marc A.","non-dropping-particle":"","parse-names":false,"suffix":""},{"dropping-particle":"","family":"Gerstein","given":"Hertzel C.","non-dropping-particle":"","parse-names":false,"suffix":""},{"dropping-particle":"","family":"Sattar","given":"Naveed","non-dropping-particle":"","parse-names":false,"suffix":""}],"container-title":"Diabetes Care","id":"ITEM-3","issue":"5","issued":{"date-parts":[["2009","5"]]},"page":"915-920","publisher":"American Diabetes Association","title":"Predictors of development of diabetes in patients with chronic heart failure in the Candesartan in Heart Failure Assessment of Reduction in Mortality and Morbidity (CHARM) program","type":"article-journal","volume":"32"},"uris":["http://www.mendeley.com/documents/?uuid=ed088ed2-5e61-3106-b8dc-c10f5c832ba1"]},{"id":"ITEM-4","itemData":{"DOI":"10.1093/eurjhf/hfs067","ISSN":"13889842","abstract":"Aims No studies have examined the effect of mineralocorticoid receptor antagonist therapy on new-onset diabetes. In addition, though the combination of diabetes and chronic heart failure (CHF) carries a poor prognosis, few studies have examined predictors of new-onset diabetes in those with CHF.Methods and resultsIn patients with symptomatically mild CHF who participated in the placebo-controlled Eplerenone in Mild Patients Hospitalization and Survival Study in Heart Failure, we examined the effect of the aldosterone antagonist, eplerenone, on physician-diagnosed diabetes using univariate Cox proportional hazard analysis. To identify predictors of new-onset diabetes (measures of glycaemia were not available), data from trial arms were combined and multivariate Cox proportional hazard analyses and receiver operating characteristic curve analyses were conducted. At baseline, the mean age of 1846 initially non-diabetic patients was 69 years and mean left ventricular ejection fraction was 26. Over 21 months, 69 (3.7) developed diabetes (33 on eplerenone, 36 on placebo). Eplerenone had no effect on new-onset diabetes [hazard ratio (HR) 0.94, 95 confidence interval (CI) 0.591.52] and no effect on the composite of new-onset diabetes or mortality (HR 0.80, 95 CI 0.641.01). Independent predictors of new-onset diabetes included digoxin therapy, higher serum alanine aminotransferase, longer duration of heart failure, current or previous smoker, higher waist circumference, lower age, and higher systolic blood pressure with a combined c-statistic of 0.74.ConclusionsEplerenone had no effect on new-onset diabetes in patients with CHF, but further large-scale studies are required to address this question comprehensively. Commonly recorded parameters provided useful information for predicting new-onset diabetes. © 2012 The European Society of Cardiology.","author":[{"dropping-particle":"","family":"Preiss","given":"David","non-dropping-particle":"","parse-names":false,"suffix":""},{"dropping-particle":"","family":"Veldhuisen","given":"Dirk J.","non-dropping-particle":"Van","parse-names":false,"suffix":""},{"dropping-particle":"","family":"Sattar","given":"Naveed","non-dropping-particle":"","parse-names":false,"suffix":""},{"dropping-particle":"","family":"Krum","given":"Henry","non-dropping-particle":"","parse-names":false,"suffix":""},{"dropping-particle":"","family":"Swedberg","given":"Karl","non-dropping-particle":"","parse-names":false,"suffix":""},{"dropping-particle":"","family":"Shi","given":"Harry","non-dropping-particle":"","parse-names":false,"suffix":""},{"dropping-particle":"","family":"Vincent","given":"John","non-dropping-particle":"","parse-names":false,"suffix":""},{"dropping-particle":"","family":"Pocock","given":"Stuart J.","non-dropping-particle":"","parse-names":false,"suffix":""},{"dropping-particle":"","family":"Pitt","given":"Bertram","non-dropping-particle":"","parse-names":false,"suffix":""},{"dropping-particle":"","family":"Zannad","given":"Faiez","non-dropping-particle":"","parse-names":false,"suffix":""},{"dropping-particle":"","family":"McMurray","given":"John J.V.","non-dropping-particle":"","parse-names":false,"suffix":""}],"container-title":"European Journal of Heart Failure","id":"ITEM-4","issue":"8","issued":{"date-parts":[["2012"]]},"page":"909-915","title":"Eplerenone and new-onset diabetes in patients with mild heart failure: Results from the Eplerenone in Mild Patients Hospitalization and Survival Study in Heart Failure (EMPHASIS-HF)","type":"article-journal","volume":"14"},"uris":["http://www.mendeley.com/documents/?uuid=6aaa4076-5d36-4c1c-9deb-cc1f72aa9902"]}],"mendeley":{"formattedCitation":"(61–64)","plainTextFormattedCitation":"(61–64)","previouslyFormattedCitation":"(61–64)"},"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(61–64)</w:t>
      </w:r>
      <w:r w:rsidR="000F3AD7" w:rsidRPr="004661E9">
        <w:rPr>
          <w:rFonts w:ascii="Arial" w:hAnsi="Arial" w:cs="Arial"/>
        </w:rPr>
        <w:fldChar w:fldCharType="end"/>
      </w:r>
      <w:r w:rsidR="007D3063" w:rsidRPr="004661E9">
        <w:rPr>
          <w:rFonts w:ascii="Arial" w:hAnsi="Arial" w:cs="Arial"/>
        </w:rPr>
        <w:t>.</w:t>
      </w:r>
      <w:r w:rsidR="008A49DA" w:rsidRPr="004661E9">
        <w:rPr>
          <w:rFonts w:ascii="Arial" w:hAnsi="Arial" w:cs="Arial"/>
        </w:rPr>
        <w:t xml:space="preserve"> </w:t>
      </w:r>
      <w:r w:rsidR="00543EDD" w:rsidRPr="004661E9">
        <w:rPr>
          <w:rFonts w:ascii="Arial" w:hAnsi="Arial" w:cs="Arial"/>
        </w:rPr>
        <w:t>Significant</w:t>
      </w:r>
      <w:r w:rsidR="00351026" w:rsidRPr="004661E9">
        <w:rPr>
          <w:rFonts w:ascii="Arial" w:hAnsi="Arial" w:cs="Arial"/>
        </w:rPr>
        <w:t xml:space="preserve"> predictors of incident </w:t>
      </w:r>
      <w:r w:rsidR="00A36DE2" w:rsidRPr="004661E9">
        <w:rPr>
          <w:rFonts w:ascii="Arial" w:hAnsi="Arial" w:cs="Arial"/>
        </w:rPr>
        <w:t>diabetes</w:t>
      </w:r>
      <w:r w:rsidR="00351026" w:rsidRPr="004661E9">
        <w:rPr>
          <w:rFonts w:ascii="Arial" w:hAnsi="Arial" w:cs="Arial"/>
        </w:rPr>
        <w:t xml:space="preserve"> among </w:t>
      </w:r>
      <w:r w:rsidR="00861472" w:rsidRPr="004661E9">
        <w:rPr>
          <w:rFonts w:ascii="Arial" w:hAnsi="Arial" w:cs="Arial"/>
        </w:rPr>
        <w:t>individuals</w:t>
      </w:r>
      <w:r w:rsidR="00351026" w:rsidRPr="004661E9">
        <w:rPr>
          <w:rFonts w:ascii="Arial" w:hAnsi="Arial" w:cs="Arial"/>
        </w:rPr>
        <w:t xml:space="preserve"> with HF </w:t>
      </w:r>
      <w:r w:rsidR="002B2FC3" w:rsidRPr="004661E9">
        <w:rPr>
          <w:rFonts w:ascii="Arial" w:hAnsi="Arial" w:cs="Arial"/>
        </w:rPr>
        <w:t xml:space="preserve">are </w:t>
      </w:r>
      <w:r w:rsidR="00351026" w:rsidRPr="004661E9">
        <w:rPr>
          <w:rFonts w:ascii="Arial" w:hAnsi="Arial" w:cs="Arial"/>
        </w:rPr>
        <w:t xml:space="preserve">elevated glucose and HbA1c, </w:t>
      </w:r>
      <w:r w:rsidR="002B2FC3" w:rsidRPr="004661E9">
        <w:rPr>
          <w:rFonts w:ascii="Arial" w:hAnsi="Arial" w:cs="Arial"/>
        </w:rPr>
        <w:t>higher</w:t>
      </w:r>
      <w:r w:rsidR="00351026" w:rsidRPr="004661E9">
        <w:rPr>
          <w:rFonts w:ascii="Arial" w:hAnsi="Arial" w:cs="Arial"/>
        </w:rPr>
        <w:t xml:space="preserve"> BMI and waist circumference, longer duration of HF, and higher function</w:t>
      </w:r>
      <w:r w:rsidR="002B2FC3" w:rsidRPr="004661E9">
        <w:rPr>
          <w:rFonts w:ascii="Arial" w:hAnsi="Arial" w:cs="Arial"/>
        </w:rPr>
        <w:t>al</w:t>
      </w:r>
      <w:r w:rsidR="00351026" w:rsidRPr="004661E9">
        <w:rPr>
          <w:rFonts w:ascii="Arial" w:hAnsi="Arial" w:cs="Arial"/>
        </w:rPr>
        <w:t xml:space="preserve"> class</w:t>
      </w:r>
      <w:r w:rsidR="002B2FC3" w:rsidRPr="004661E9">
        <w:rPr>
          <w:rFonts w:ascii="Arial" w:hAnsi="Arial" w:cs="Arial"/>
        </w:rPr>
        <w:t xml:space="preserve"> of HF</w:t>
      </w:r>
      <w:r w:rsidR="007D3063"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{"citationItems":[{"id":"ITEM-1","itemData":{"DOI":"10.1093/eurheartj/ehu462","ISSN":"15229645","abstract":"Purpose The prognostic implications of blood glucose on a wide range of outcomes including early mortality, hospitalizations, and incident diabetes diagnoses have not been fully elucidated in acute heart failure syndromes (AHFS). Methods In a population-based cohort of 16 524 AHFS patients presenting to the emergency department (ED) in Ontario, Canada between 2004 and 2007, we performed a competing risk analysis for 30-day mortality, new diabetes diagnoses, and hospitalization outcomes. Presentation blood glucose concentrations were categorized as follows: 3.9-6.1 [referent], &gt;6.1-7.8, &gt;7.8-9.4, &gt;9.4-11.1, and &gt;11.1 mmol/L. Results Among AHFS patients without diabetes presenting to the ED (n = 9275), blood glucose &gt;6.1 mmol/L (n = 5252, 56.6%) was associated with increased risks of all-cause death [hazard ratio (HR) range: 1.26 (95% CI 1.05-1.50) to 1.50 (95% CI 1.11-2.02)], and cardiovascular death [HR range: 1.28 (95% CI 1.03-1.59) to 1.64 (95% CI 1.16-2.33)]. Among AHFS patients with diabetes (n = 7249), presenting blood glucose &gt;11.1 mmol/L (n = 2286, 31.5%) was associated with increased risks of all-cause death (HR 1.48, 95% CI 1.10-2.00) and diabetes-related hospitalizations (HR 1.39, 95% CI; 1.20-1.61). Presentation blood glucose &gt;9.4 mmol/L was associated with increased risks of hospitalization for HF or cardiovascular causes [HR range: 1.09 (95% CI 1.02-1.17) to 1.15 (95% CI 1.07-1.24)] in all patients. With higher presentation blood glucose, the risk of incident diabetes diagnosis increased, with adjusted HRs of 1.61 (&gt;6.1-7.8 mmol/L) to 3.61 (&gt;11.1 mmol/L) among those without the condition at baseline (all P &lt; 0.001). Conclusions Mildly elevated presentation blood glucose was associated with early death, future diabetes, and hospitalizations for diabetes, HF, and cardiovascular causes among patients with AHFS.","author":[{"dropping-particle":"","family":"Sud","given":"Maneesh","non-dropping-particle":"","parse-names":false,"suffix":""},{"dropping-particle":"","family":"Wang","given":"Xuesong","non-dropping-particle":"","parse-names":false,"suffix":""},{"dropping-particle":"","family":"Austin","given":"Peter C.","non-dropping-particle":"","parse-names":false,"suffix":""},{"dropping-particle":"","family":"Lipscombe","given":"Lorraine L.","non-dropping-particle":"","parse-names":false,"suffix":""},{"dropping-particle":"","family":"Newton","given":"Gary E.","non-dropping-particle":"","parse-names":false,"suffix":""},{"dropping-particle":"V.","family":"Tu","given":"Jack","non-dropping-particle":"","parse-names":false,"suffix":""},{"dropping-particle":"","family":"Vasan","given":"Ramachandran S.","non-dropping-particle":"","parse-names":false,"suffix":""},{"dropping-particle":"","family":"Lee","given":"Douglas S.","non-dropping-particle":"","parse-names":false,"suffix":""}],"container-title":"European Heart Journal","id":"ITEM-1","issue":"15","issued":{"date-parts":[["2015"]]},"page":"924-931","title":"Presentation blood glucose and death, hospitalization, and future diabetes risk in patients with acute heart failure syndromes","type":"article-journal","volume":"36"},"uris":["http://www.mendeley.com/documents/?uuid=8ce3cdad-28e4-4edb-9f5b-3649df16f838"]},{"id":"ITEM-2","itemData":{"DOI":"10.1161/CIR.0000000000000691","ISSN":"15244539","abstract":"Type 2 diabetes mellitus is a risk factor for incident heart failure and increases the risk of morbidity and mortality in patients with established disease. Secular trends in the prevalence of diabetes mellitus and heart failure forecast a growing burden of disease and underscore the need for effective therapeutic strategies. Recent clinical trials have demonstrated the shared pathophysiology between diabetes mellitus and heart failure, the synergistic effect of managing both conditions, and the potential for diabetes mellitus therapies to modulate the risk of heart failure outcomes. This scientific statement on diabetes mellitus and heart failure summarizes the epidemiology, pathophysiology, and impact of diabetes mellitus and its control on outcomes in heart failure; reviews the approach to pharmacological therapy and lifestyle modification in patients with diabetes mellitus and heart failure; highlights the value of multidisciplinary interventions to improve clinical outcomes in this population; and outlines priorities for future research.","author":[{"dropping-particle":"","family":"Dunlay","given":"Shannon M.","non-dropping-particle":"","parse-names":false,"suffix":""},{"dropping-particle":"","family":"Givertz","given":"Michael M.","non-dropping-particle":"","parse-names":false,"suffix":""},{"dropping-particle":"","family":"Aguilar","given":"David","non-dropping-particle":"","parse-names":false,"suffix":""},{"dropping-particle":"","family":"Allen","given":"Larry A.","non-dropping-particle":"","parse-names":false,"suffix":""},{"dropping-particle":"","family":"Chan","given":"Michael","non-dropping-particle":"","parse-names":false,"suffix":""},{"dropping-particle":"","family":"Desai","given":"Akshay S.","non-dropping-particle":"","parse-names":false,"suffix":""},{"dropping-particle":"","family":"Deswal","given":"Anita","non-dropping-particle":"","parse-names":false,"suffix":""},{"dropping-particle":"","family":"Dickson","given":"Victoria Vaughan","non-dropping-particle":"","parse-names":false,"suffix":""},{"dropping-particle":"","family":"Kosiborod","given":"Mikhail N.","non-dropping-particle":"","parse-names":false,"suffix":""},{"dropping-particle":"","family":"Lekavich","given":"Carolyn L.","non-dropping-particle":"","parse-names":false,"suffix":""},{"dropping-particle":"","family":"McCoy","given":"Rozalina G.","non-dropping-particle":"","parse-names":false,"suffix":""},{"dropping-particle":"","family":"Mentz","given":"Robert J.","non-dropping-particle":"","parse-names":false,"suffix":""},{"dropping-particle":"","family":"Piña","given":"Ileana L.","non-dropping-particle":"","parse-names":false,"suffix":""}],"container-title":"Circulation","id":"ITEM-2","issue":"7","issued":{"date-parts":[["2019","8","13"]]},"page":"e294-e324","publisher":"NLM (Medline)","title":"Type 2 Diabetes Mellitus and Heart Failure: A Scientific Statement From the American Heart Association and the Heart Failure Society of America: This statement does not represent an update of the 2017 ACC/AHA/HFSA heart failure guideline update","type":"article-journal","volume":"140"},"uris":["http://www.mendeley.com/documents/?uuid=d8a0ff7b-f41e-3868-bb28-789c4cd03165"]},{"id":"ITEM-3","itemData":{"DOI":"10.2337/dc08-1709","ISSN":"01495992","abstract":"OBJECTIVE - The purpose of this study was to identify predictors of incident diabetes during follow-up of nondiabetic patients with chronic heart failure (CHF) in the Candesartan in Heart Failure Assessment of Reduction in Mortality and Morbidity (CHARM) program. RESEARCH DESIGN AND METHODS - A total of 1,620 nondiabetic patients had full baseline datasets. We compared baseline demographic, medication, and laboratory data for patients who did or did not develop diabetes and conducted logistic regression and receiver operator characteristic curve analyses. RESULTS - Over a median period of 2.8 years, 126 of the 1,620 patients (7.8%) developed diabetes. In multiple logistic regression analysis, the following baseline characteristics were independently associated with incident diabetes in decreasing order of significance by stepwise selection: higher A1C (odds ratio [OR] 1.78 per 1 SD increase; P &lt; 0.0001), higher BMI (OR 1.64 per 1 SD increase; P &lt; 0.0001), lipid-lowering therapy (OR 2.05; P = 0.0005), lower serum creatinine concentration (OR 0.68 per 1 SD increase; P = 0.0018), diuretic therapy (OR 4.81; P = 0.003), digoxin therapy (OR 1.65; P = 0.022), higher serum alanine aminotransferase concentration (OR 1.15 per 1 SDincrease; P = 0.027), and lower age (OR 0.81 per 1 SD-increase; P = 0.048). Using receiver operating characteristic curve analysis, A1C and BMI yielded areas under the curve of 0.723 and 0.712, respectively, increasing to 0.788 when combined. Addition of other variables independently associated with diabetes risk minimally improved prediction of diabetes. CONCLUSIONS - In nondiabetic patients with CHF in CHARM, A1C and BMI were the strongest predictors of the development of diabetes. Other minor predictors in part reflected CHF severity or drug-associated diabetes risk. Identifying patients with CHF at risk of diabetes through simple criteria appears possible and could enable targeted preventative measures. © 2009 by the American Diabetes Association.","author":[{"dropping-particle":"","family":"Preiss","given":"David","non-dropping-particle":"","parse-names":false,"suffix":""},{"dropping-particle":"","family":"Zetterstrand","given":"Sofia","non-dropping-particle":"","parse-names":false,"suffix":""},{"dropping-particle":"","family":"McMurray","given":"John J.V.","non-dropping-particle":"","parse-names":false,"suffix":""},{"dropping-particle":"","family":"Östergren","given":"Jan","non-dropping-particle":"","parse-names":false,"suffix":""},{"dropping-particle":"","family":"Michelson","given":"Eric L.","non-dropping-particle":"","parse-names":false,"suffix":""},{"dropping-particle":"","family":"Granger","given":"Christopher B.","non-dropping-particle":"","parse-names":false,"suffix":""},{"dropping-particle":"","family":"Yusuf","given":"Salim","non-dropping-particle":"","parse-names":false,"suffix":""},{"dropping-particle":"","family":"Swedberg","given":"Karl","non-dropping-particle":"","parse-names":false,"suffix":""},{"dropping-particle":"","family":"Pfeffer","given":"Marc A.","non-dropping-particle":"","parse-names":false,"suffix":""},{"dropping-particle":"","family":"Gerstein","given":"Hertzel C.","non-dropping-particle":"","parse-names":false,"suffix":""},{"dropping-particle":"","family":"Sattar","given":"Naveed","non-dropping-particle":"","parse-names":false,"suffix":""}],"container-title":"Diabetes Care","id":"ITEM-3","issue":"5","issued":{"date-parts":[["2009","5"]]},"page":"915-920","publisher":"American Diabetes Association","title":"Predictors of development of diabetes in patients with chronic heart failure in the Candesartan in Heart Failure Assessment of Reduction in Mortality and Morbidity (CHARM) program","type":"article-journal","volume":"32"},"uris":["http://www.mendeley.com/documents/?uuid=ed088ed2-5e61-3106-b8dc-c10f5c832ba1"]},{"id":"ITEM-4","itemData":{"DOI":"10.1016/S0002-9343(02)01530-9","ISSN":"00029343","abstract":"PURPOSE: Recent reports suggest that decreased functional capacity in patients with heart failure may be associated with abnormalities in glucose metabolism. We followed patients with coronary artery disease who participated in the Bezafibrate Infarction Prevention study to determine the incidence of diabetes by baseline functional status during a 7.7-year follow-up. METHODS: The sample comprised 2616 nondiabetic patients aged 45 to 74 years with a fasting blood glucose level &lt;7 mmol/L (126 mg/dL). They were divided into three groups by New York Heart Association (NYHA) criteria: class I (n = 1986 patients), class II (n = 518), and class III (n = 112). The detection of a fasting blood glucose level ≥7 mmol/L during follow-up was defined as the criterion for the development of diabetes. RESULTS: The study groups had similar demographic and clinical characteristics, except that patients with symptomatic heart failure (NYHA class II or III) were more likely to have angina. During follow-up, diabetes developed in 259 patients (13%) in NYHA class I, 76 (15%) in class II, and 22 (20%) in class III (P for trend = 0.05). At the last visit, patients in NYHA class III were twice as likely (17% [n = 19]) to have fasting blood glucose levels ≥7 mmol/L as those in NYHA class I (7.8% [n = 154]) or class II (8.7% [n = 45]) (P = 0.005). In a multivariate analysis, NYHA class III was associated with a 1.7-fold (95% confidence interval [CI]: 1.1 to 2.6) increase in the rate of development of diabetes, but NYHA class II was not (hazard ratio = 1.0; 95% CI: 0.8 to 1.3). CONCLUSION: Among patients with coronary artery disease, advanced heart failure (NYHA class III) is associated with a significantly increased risk of developing diabetes during a 6- to 9-year follow-up. © 2003 by Excerpta Medica Inc.","author":[{"dropping-particle":"","family":"Tenenbaum","given":"Alexander","non-dropping-particle":"","parse-names":false,"suffix":""},{"dropping-particle":"","family":"Motro","given":"Michael","non-dropping-particle":"","parse-names":false,"suffix":""},{"dropping-particle":"","family":"Fisman","given":"Enrique Z.","non-dropping-particle":"","parse-names":false,"suffix":""},{"dropping-particle":"","family":"Leor","given":"Jonathan","non-dropping-particle":"","parse-names":false,"suffix":""},{"dropping-particle":"","family":"Freimark","given":"Dov","non-dropping-particle":"","parse-names":false,"suffix":""},{"dropping-particle":"","family":"Boyko","given":"Valentina","non-dropping-particle":"","parse-names":false,"suffix":""},{"dropping-particle":"","family":"Mandelzweig","given":"Lori","non-dropping-particle":"","parse-names":false,"suffix":""},{"dropping-particle":"","family":"Adler","given":"Yehuda","non-dropping-particle":"","parse-names":false,"suffix":""},{"dropping-particle":"","family":"Sherer","given":"Yaniv","non-dropping-particle":"","parse-names":false,"suffix":""},{"dropping-particle":"","family":"Behar","given":"Solomon","non-dropping-particle":"","parse-names":false,"suffix":""}],"container-title":"American Journal of Medicine","id":"ITEM-4","issue":"4","issued":{"date-parts":[["2003"]]},"page":"271-275","publisher":"Elsevier Inc.","title":"Functional class in patients with heart failure is associated with the development of diabetes","type":"article-journal","volume":"114"},"uris":["http://www.mendeley.com/documents/?uuid=5fbf481c-c63e-3830-aee1-c11c6f399666"]}],"mendeley":{"formattedCitation":"(28,61–63)","plainTextFormattedCitation":"(28,61–63)","previouslyFormattedCitation":"(28,61–63)"},"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(28,61–63)</w:t>
      </w:r>
      <w:r w:rsidR="000F3AD7" w:rsidRPr="004661E9">
        <w:rPr>
          <w:rFonts w:ascii="Arial" w:hAnsi="Arial" w:cs="Arial"/>
        </w:rPr>
        <w:fldChar w:fldCharType="end"/>
      </w:r>
      <w:r w:rsidR="007D3063" w:rsidRPr="004661E9">
        <w:rPr>
          <w:rFonts w:ascii="Arial" w:hAnsi="Arial" w:cs="Arial"/>
        </w:rPr>
        <w:t>.</w:t>
      </w:r>
    </w:p>
    <w:p w14:paraId="65368321" w14:textId="77777777" w:rsidR="007D3063" w:rsidRPr="004661E9" w:rsidRDefault="007D3063" w:rsidP="004661E9">
      <w:pPr>
        <w:spacing w:after="0" w:line="276" w:lineRule="auto"/>
        <w:rPr>
          <w:rFonts w:ascii="Arial" w:hAnsi="Arial" w:cs="Arial"/>
        </w:rPr>
      </w:pPr>
    </w:p>
    <w:p w14:paraId="53F7AD23" w14:textId="7C14DA18" w:rsidR="00457EDE" w:rsidRPr="004661E9" w:rsidRDefault="00457EDE" w:rsidP="004661E9">
      <w:pPr>
        <w:spacing w:after="0" w:line="276" w:lineRule="auto"/>
        <w:rPr>
          <w:rFonts w:ascii="Arial" w:hAnsi="Arial" w:cs="Arial"/>
          <w:b/>
          <w:bCs/>
          <w:caps/>
          <w:color w:val="4472C4" w:themeColor="accent1"/>
          <w:shd w:val="clear" w:color="auto" w:fill="FFFFFF"/>
        </w:rPr>
      </w:pPr>
      <w:r w:rsidRPr="004661E9">
        <w:rPr>
          <w:rFonts w:ascii="Arial" w:hAnsi="Arial" w:cs="Arial"/>
          <w:b/>
          <w:bCs/>
          <w:caps/>
          <w:color w:val="4472C4" w:themeColor="accent1"/>
          <w:shd w:val="clear" w:color="auto" w:fill="FFFFFF"/>
        </w:rPr>
        <w:t>Impact of Diabetes on Cardiac Structure and Function</w:t>
      </w:r>
    </w:p>
    <w:bookmarkEnd w:id="2"/>
    <w:p w14:paraId="46FFC620" w14:textId="77777777" w:rsidR="005E7017" w:rsidRPr="004661E9" w:rsidRDefault="005E7017" w:rsidP="004661E9">
      <w:pPr>
        <w:spacing w:after="0" w:line="276" w:lineRule="auto"/>
        <w:rPr>
          <w:rFonts w:ascii="Arial" w:hAnsi="Arial" w:cs="Arial"/>
          <w:b/>
          <w:bCs/>
          <w:caps/>
        </w:rPr>
      </w:pPr>
    </w:p>
    <w:p w14:paraId="5FB9FBBE" w14:textId="71877DCF" w:rsidR="00457EDE" w:rsidRPr="004661E9" w:rsidRDefault="006820E9" w:rsidP="004661E9">
      <w:pPr>
        <w:spacing w:after="0" w:line="276" w:lineRule="auto"/>
        <w:rPr>
          <w:rFonts w:ascii="Arial" w:hAnsi="Arial" w:cs="Arial"/>
        </w:rPr>
      </w:pPr>
      <w:bookmarkStart w:id="14" w:name="_Hlk146546790"/>
      <w:r w:rsidRPr="004661E9">
        <w:rPr>
          <w:rFonts w:ascii="Arial" w:hAnsi="Arial" w:cs="Arial"/>
        </w:rPr>
        <w:t xml:space="preserve">The </w:t>
      </w:r>
      <w:r w:rsidR="004B2D38" w:rsidRPr="004661E9">
        <w:rPr>
          <w:rFonts w:ascii="Arial" w:hAnsi="Arial" w:cs="Arial"/>
        </w:rPr>
        <w:t xml:space="preserve">frequent </w:t>
      </w:r>
      <w:r w:rsidRPr="004661E9">
        <w:rPr>
          <w:rFonts w:ascii="Arial" w:hAnsi="Arial" w:cs="Arial"/>
        </w:rPr>
        <w:t>coexistence</w:t>
      </w:r>
      <w:r w:rsidR="004B2D38" w:rsidRPr="004661E9">
        <w:rPr>
          <w:rFonts w:ascii="Arial" w:hAnsi="Arial" w:cs="Arial"/>
        </w:rPr>
        <w:t xml:space="preserve"> </w:t>
      </w:r>
      <w:r w:rsidR="00390475" w:rsidRPr="004661E9">
        <w:rPr>
          <w:rFonts w:ascii="Arial" w:hAnsi="Arial" w:cs="Arial"/>
        </w:rPr>
        <w:t xml:space="preserve">of </w:t>
      </w:r>
      <w:r w:rsidR="00A36DE2" w:rsidRPr="004661E9">
        <w:rPr>
          <w:rFonts w:ascii="Arial" w:hAnsi="Arial" w:cs="Arial"/>
        </w:rPr>
        <w:t>diabetes</w:t>
      </w:r>
      <w:r w:rsidR="004B2D38" w:rsidRPr="004661E9">
        <w:rPr>
          <w:rFonts w:ascii="Arial" w:hAnsi="Arial" w:cs="Arial"/>
        </w:rPr>
        <w:t xml:space="preserve"> with other comorbidities</w:t>
      </w:r>
      <w:r w:rsidR="00543EDD" w:rsidRPr="004661E9">
        <w:rPr>
          <w:rFonts w:ascii="Arial" w:hAnsi="Arial" w:cs="Arial"/>
        </w:rPr>
        <w:t>,</w:t>
      </w:r>
      <w:r w:rsidR="004B2D38" w:rsidRPr="004661E9">
        <w:rPr>
          <w:rFonts w:ascii="Arial" w:hAnsi="Arial" w:cs="Arial"/>
        </w:rPr>
        <w:t xml:space="preserve"> such as</w:t>
      </w:r>
      <w:r w:rsidRPr="004661E9">
        <w:rPr>
          <w:rFonts w:ascii="Arial" w:hAnsi="Arial" w:cs="Arial"/>
        </w:rPr>
        <w:t xml:space="preserve"> </w:t>
      </w:r>
      <w:r w:rsidR="006C258B" w:rsidRPr="004661E9">
        <w:rPr>
          <w:rFonts w:ascii="Arial" w:hAnsi="Arial" w:cs="Arial"/>
        </w:rPr>
        <w:t>hypertension</w:t>
      </w:r>
      <w:r w:rsidR="004B2D38" w:rsidRPr="004661E9">
        <w:rPr>
          <w:rFonts w:ascii="Arial" w:hAnsi="Arial" w:cs="Arial"/>
        </w:rPr>
        <w:t xml:space="preserve"> and </w:t>
      </w:r>
      <w:r w:rsidRPr="004661E9">
        <w:rPr>
          <w:rFonts w:ascii="Arial" w:hAnsi="Arial" w:cs="Arial"/>
        </w:rPr>
        <w:t>obesity</w:t>
      </w:r>
      <w:r w:rsidR="00543EDD" w:rsidRPr="004661E9">
        <w:rPr>
          <w:rFonts w:ascii="Arial" w:hAnsi="Arial" w:cs="Arial"/>
        </w:rPr>
        <w:t>,</w:t>
      </w:r>
      <w:r w:rsidR="004B2D38" w:rsidRPr="004661E9">
        <w:rPr>
          <w:rFonts w:ascii="Arial" w:hAnsi="Arial" w:cs="Arial"/>
        </w:rPr>
        <w:t xml:space="preserve"> </w:t>
      </w:r>
      <w:r w:rsidRPr="004661E9">
        <w:rPr>
          <w:rFonts w:ascii="Arial" w:hAnsi="Arial" w:cs="Arial"/>
        </w:rPr>
        <w:t>makes it difficult to understand the relative contribution of each disease entity in cardiac remodeling and dysfunction</w:t>
      </w:r>
      <w:r w:rsidR="004B2D38" w:rsidRPr="004661E9">
        <w:rPr>
          <w:rFonts w:ascii="Arial" w:hAnsi="Arial" w:cs="Arial"/>
        </w:rPr>
        <w:t xml:space="preserve"> in clinical practice</w:t>
      </w:r>
      <w:r w:rsidR="005E7017"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{"citationItems":[{"id":"ITEM-1","itemData":{"DOI":"10.1016/j.jacc.2017.07.792","ISSN":"15583597","abstract":"Background Type 2 diabetes mellitus (T2DM) may alter cardiac structure and function, but obesity, hypertension (HTN), or aging can induce similar abnormalities. Objectives This study sought to link cardiac phenotypes in T2DM patients with clinical profiles and outcomes using cluster analysis. Methods Baseline echocardiography and a composite endpoint (cardiovascular mortality and hospitalization) were evaluated in 842 T2DM patients from 2 prospective cohorts. A cluster analysis was performed on echocardiographic variables, and the association between clusters and clinical profiles and outcomes was assessed. Results Three clusters were identified. Cluster 1 patients had the lowest left ventricular (LV) mass index and ratio between early mitral inflow velocity and mitral annular early diastolic velocity (E/e′) ratio, had the highest left ventricular ejection fraction (LVEF), and were predominantly male with the lowest rate of obesity or HTN. Cluster 2 patients had the highest strain and highest E/e′ ratio, were the oldest, were predominantly female, and had the lowest rate of isolated T2DM (without HTN or obesity). Cluster 3 patients had the highest LV mass index and volumes and the lowest LVEF and strain, were predominantly male, and shared similar age and rate of obesity and HTN as cluster 1 patients. After follow-up of 67 months (interquartile range: 40 to 87), the composite endpoint occurred in 56 of 521 patients (10.8%). Clusters 2 (hazard ratio: 2.37; 95% confidence interval: 1.15 to 4.88) and 3 (hazard ratio: 2.19; 95% confidence interval: 1.00 to 4.82) had a similar outcome, which was worse than cluster 1. Conclusions Cluster analysis of echocardiographic variables identified 3 different echocardiographic phenotypes of T2DM patients that were associated with distinct clinical profiles and highlighted the prognostic value of LV remodeling and subclinical dysfunction.","author":[{"dropping-particle":"","family":"Ernande","given":"Laura","non-dropping-particle":"","parse-names":false,"suffix":""},{"dropping-particle":"","family":"Audureau","given":"Etienne","non-dropping-particle":"","parse-names":false,"suffix":""},{"dropping-particle":"","family":"Jellis","given":"Christine L.","non-dropping-particle":"","parse-names":false,"suffix":""},{"dropping-particle":"","family":"Bergerot","given":"Cyrille","non-dropping-particle":"","parse-names":false,"suffix":""},{"dropping-particle":"","family":"Henegar","given":"Corneliu","non-dropping-particle":"","parse-names":false,"suffix":""},{"dropping-particle":"","family":"Sawaki","given":"Daigo","non-dropping-particle":"","parse-names":false,"suffix":""},{"dropping-particle":"","family":"Czibik","given":"Gabor","non-dropping-particle":"","parse-names":false,"suffix":""},{"dropping-particle":"","family":"Volpi","given":"Chiara","non-dropping-particle":"","parse-names":false,"suffix":""},{"dropping-particle":"","family":"Canoui-Poitrine","given":"Florence","non-dropping-particle":"","parse-names":false,"suffix":""},{"dropping-particle":"","family":"Thibault","given":"Hélène","non-dropping-particle":"","parse-names":false,"suffix":""},{"dropping-particle":"","family":"Ternacle","given":"Julien","non-dropping-particle":"","parse-names":false,"suffix":""},{"dropping-particle":"","family":"Moulin","given":"Philippe","non-dropping-particle":"","parse-names":false,"suffix":""},{"dropping-particle":"","family":"Marwick","given":"Thomas H.","non-dropping-particle":"","parse-names":false,"suffix":""},{"dropping-particle":"","family":"Derumeaux","given":"Geneviève","non-dropping-particle":"","parse-names":false,"suffix":""}],"container-title":"Journal of the American College of Cardiology","id":"ITEM-1","issue":"14","issued":{"date-parts":[["2017","10","3"]]},"page":"1704-1716","publisher":"Elsevier USA","title":"Clinical Implications of Echocardiographic Phenotypes of Patients With Diabetes Mellitus","type":"article-journal","volume":"70"},"uris":["http://www.mendeley.com/documents/?uuid=fa2322b1-c5ed-398f-8a59-90093b3bdf51"]}],"mendeley":{"formattedCitation":"(65)","plainTextFormattedCitation":"(65)","previouslyFormattedCitation":"(65)"},"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(65)</w:t>
      </w:r>
      <w:r w:rsidR="000F3AD7" w:rsidRPr="004661E9">
        <w:rPr>
          <w:rFonts w:ascii="Arial" w:hAnsi="Arial" w:cs="Arial"/>
        </w:rPr>
        <w:fldChar w:fldCharType="end"/>
      </w:r>
      <w:r w:rsidR="005E7017" w:rsidRPr="004661E9">
        <w:rPr>
          <w:rFonts w:ascii="Arial" w:hAnsi="Arial" w:cs="Arial"/>
        </w:rPr>
        <w:t>.</w:t>
      </w:r>
      <w:r w:rsidRPr="004661E9">
        <w:rPr>
          <w:rFonts w:ascii="Arial" w:hAnsi="Arial" w:cs="Arial"/>
        </w:rPr>
        <w:t xml:space="preserve"> </w:t>
      </w:r>
      <w:r w:rsidR="008E11EF" w:rsidRPr="004661E9">
        <w:rPr>
          <w:rFonts w:ascii="Arial" w:hAnsi="Arial" w:cs="Arial"/>
        </w:rPr>
        <w:t>However,</w:t>
      </w:r>
      <w:r w:rsidR="004B2D38" w:rsidRPr="004661E9">
        <w:rPr>
          <w:rFonts w:ascii="Arial" w:hAnsi="Arial" w:cs="Arial"/>
        </w:rPr>
        <w:t xml:space="preserve"> growing evidence has supported an independent association between </w:t>
      </w:r>
      <w:r w:rsidR="00A36DE2" w:rsidRPr="004661E9">
        <w:rPr>
          <w:rFonts w:ascii="Arial" w:hAnsi="Arial" w:cs="Arial"/>
        </w:rPr>
        <w:t>diabetes</w:t>
      </w:r>
      <w:r w:rsidR="004B2D38" w:rsidRPr="004661E9">
        <w:rPr>
          <w:rFonts w:ascii="Arial" w:hAnsi="Arial" w:cs="Arial"/>
        </w:rPr>
        <w:t xml:space="preserve"> and </w:t>
      </w:r>
      <w:r w:rsidR="00543EDD" w:rsidRPr="004661E9">
        <w:rPr>
          <w:rFonts w:ascii="Arial" w:hAnsi="Arial" w:cs="Arial"/>
        </w:rPr>
        <w:t>various</w:t>
      </w:r>
      <w:r w:rsidR="00211DBF" w:rsidRPr="004661E9">
        <w:rPr>
          <w:rFonts w:ascii="Arial" w:hAnsi="Arial" w:cs="Arial"/>
        </w:rPr>
        <w:t xml:space="preserve"> </w:t>
      </w:r>
      <w:r w:rsidR="00543EDD" w:rsidRPr="004661E9">
        <w:rPr>
          <w:rFonts w:ascii="Arial" w:hAnsi="Arial" w:cs="Arial"/>
        </w:rPr>
        <w:t>alterations</w:t>
      </w:r>
      <w:r w:rsidR="00211DBF" w:rsidRPr="004661E9">
        <w:rPr>
          <w:rFonts w:ascii="Arial" w:hAnsi="Arial" w:cs="Arial"/>
        </w:rPr>
        <w:t xml:space="preserve"> in cardiac structure and function</w:t>
      </w:r>
      <w:r w:rsidR="00E8763D" w:rsidRPr="004661E9">
        <w:rPr>
          <w:rFonts w:ascii="Arial" w:hAnsi="Arial" w:cs="Arial"/>
        </w:rPr>
        <w:t>.</w:t>
      </w:r>
      <w:r w:rsidR="00211DBF" w:rsidRPr="004661E9">
        <w:rPr>
          <w:rFonts w:ascii="Arial" w:hAnsi="Arial" w:cs="Arial"/>
        </w:rPr>
        <w:t xml:space="preserve"> These </w:t>
      </w:r>
      <w:r w:rsidR="00543EDD" w:rsidRPr="004661E9">
        <w:rPr>
          <w:rFonts w:ascii="Arial" w:hAnsi="Arial" w:cs="Arial"/>
        </w:rPr>
        <w:t>asymptomatic subclinical alterations</w:t>
      </w:r>
      <w:r w:rsidR="00211DBF" w:rsidRPr="004661E9">
        <w:rPr>
          <w:rFonts w:ascii="Arial" w:hAnsi="Arial" w:cs="Arial"/>
        </w:rPr>
        <w:t xml:space="preserve"> at earlier stages can be detrimental and increase </w:t>
      </w:r>
      <w:r w:rsidR="008E11EF" w:rsidRPr="004661E9">
        <w:rPr>
          <w:rFonts w:ascii="Arial" w:hAnsi="Arial" w:cs="Arial"/>
        </w:rPr>
        <w:t xml:space="preserve">the </w:t>
      </w:r>
      <w:r w:rsidR="00211DBF" w:rsidRPr="004661E9">
        <w:rPr>
          <w:rFonts w:ascii="Arial" w:hAnsi="Arial" w:cs="Arial"/>
        </w:rPr>
        <w:t xml:space="preserve">risk of </w:t>
      </w:r>
      <w:r w:rsidR="00150E4D" w:rsidRPr="004661E9">
        <w:rPr>
          <w:rFonts w:ascii="Arial" w:hAnsi="Arial" w:cs="Arial"/>
        </w:rPr>
        <w:t xml:space="preserve">developing HF and </w:t>
      </w:r>
      <w:r w:rsidR="00211DBF" w:rsidRPr="004661E9">
        <w:rPr>
          <w:rFonts w:ascii="Arial" w:hAnsi="Arial" w:cs="Arial"/>
        </w:rPr>
        <w:t>CVD morbidity and mortality</w:t>
      </w:r>
      <w:r w:rsidR="00150E4D" w:rsidRPr="004661E9">
        <w:rPr>
          <w:rFonts w:ascii="Arial" w:hAnsi="Arial" w:cs="Arial"/>
        </w:rPr>
        <w:t xml:space="preserve"> in general</w:t>
      </w:r>
      <w:r w:rsidR="003B4C22">
        <w:rPr>
          <w:rFonts w:ascii="Arial" w:hAnsi="Arial" w:cs="Arial"/>
        </w:rPr>
        <w:t xml:space="preserve"> </w:t>
      </w:r>
      <w:r w:rsidR="00150E4D" w:rsidRPr="004661E9">
        <w:rPr>
          <w:rFonts w:ascii="Arial" w:hAnsi="Arial" w:cs="Arial"/>
        </w:rPr>
        <w:fldChar w:fldCharType="begin" w:fldLock="1"/>
      </w:r>
      <w:r w:rsidR="000962ED" w:rsidRPr="004661E9">
        <w:rPr>
          <w:rFonts w:ascii="Arial" w:hAnsi="Arial" w:cs="Arial"/>
        </w:rPr>
        <w:instrText>ADDIN CSL_CITATION {"citationItems":[{"id":"ITEM-1","itemData":{"DOI":"10.1016/J.JACC.2022.03.378","ISSN":"0735-1097","PMID":"35680178","abstract":"Background: The influence of diabetes on progression from preclinical heart failure (HF) stages to overt HF is poorly understood. Objectives: The purpose of this study was to characterize the influence of diabetes on the progression from preclinical HF stages (A or B based on the 2021 Universal Definition) to overt HF. Methods: We included 4,774 adults with preclinical HF (stage A [n = 1,551] or B [n = 3,223]) who attended the ARIC (Atherosclerosis Risk In Communities) study Visit 5 (2011-2013). Within each stage (A or B), we assessed the associations of diabetes and glycemic control (hemoglobin A1C [HbA1C] &lt;7% vs ≥7%) with progression to HF, and of cross-categories of HF stages (A vs B), diabetes, and glycemic control with incident HF. Results: Among the participants (mean age 75.4 years, 58% women, 20% Black), there were 470 HF events during 8.6 years of follow-up. Stage B participants with HbA1C ≥7% experienced clinical HF at a younger age than those with controlled diabetes or without diabetes (mean age 80 years vs 83 years vs 82 years; P &lt; 0.001). HbA1C ≥7% was more strongly associated with HF in stage B (HR: 1.83; 95% CI: 1.33-2.51) compared with stage A (HR: 1.52; 95% CI: 0.53-4.38). In cross-categories of preclinical HF stage and HbA1C, participants with stage B and HbA1C ≥7% had increased risk of HF progression compared with stage A without diabetes (HR: 7.56; 95% CI: 4.68-12.20). Conclusions: Among older adults with preclinical HF stages, uncontrolled diabetes was associated with substantial risk of HF progression. Our results suggest that targeting diabetes early in the HF process is critical.","author":[{"dropping-particle":"","family":"Echouffo-Tcheugui","given":"Justin B.","non-dropping-particle":"","parse-names":false,"suffix":""},{"dropping-particle":"","family":"Ndumele","given":"Chiadi E.","non-dropping-particle":"","parse-names":false,"suffix":""},{"dropping-particle":"","family":"Zhang","given":"Sui","non-dropping-particle":"","parse-names":false,"suffix":""},{"dropping-particle":"","family":"Florido","given":"Roberta","non-dropping-particle":"","parse-names":false,"suffix":""},{"dropping-particle":"","family":"Matsushita","given":"Kunihiro","non-dropping-particle":"","parse-names":false,"suffix":""},{"dropping-particle":"","family":"Coresh","given":"Josef","non-dropping-particle":"","parse-names":false,"suffix":""},{"dropping-particle":"","family":"Skali","given":"Hicham","non-dropping-particle":"","parse-names":false,"suffix":""},{"dropping-particle":"","family":"Shah","given":"Amil M.","non-dropping-particle":"","parse-names":false,"suffix":""},{"dropping-particle":"","family":"Selvin","given":"Elizabeth","non-dropping-particle":"","parse-names":false,"suffix":""}],"container-title":"Journal of the American College of Cardiology","id":"ITEM-1","issue":"23","issued":{"date-parts":[["2022","6","14"]]},"page":"2285-2293","publisher":"Elsevier","title":"Diabetes and Progression of Heart Failure: The Atherosclerosis Risk In Communities (ARIC) Study","type":"article-journal","volume":"79"},"uris":["http://www.mendeley.com/documents/?uuid=e0d15c41-b6b8-3ae7-ba1a-f61947790cf0"]}],"mendeley":{"formattedCitation":"(44)","plainTextFormattedCitation":"(44)","previouslyFormattedCitation":"(44)"},"properties":{"noteIndex":0},"schema":"https://github.com/citation-style-language/schema/raw/master/csl-citation.json"}</w:instrText>
      </w:r>
      <w:r w:rsidR="00150E4D" w:rsidRPr="004661E9">
        <w:rPr>
          <w:rFonts w:ascii="Arial" w:hAnsi="Arial" w:cs="Arial"/>
        </w:rPr>
        <w:fldChar w:fldCharType="separate"/>
      </w:r>
      <w:r w:rsidR="000962ED" w:rsidRPr="004661E9">
        <w:rPr>
          <w:rFonts w:ascii="Arial" w:hAnsi="Arial" w:cs="Arial"/>
          <w:noProof/>
        </w:rPr>
        <w:t>(44)</w:t>
      </w:r>
      <w:r w:rsidR="00150E4D" w:rsidRPr="004661E9">
        <w:rPr>
          <w:rFonts w:ascii="Arial" w:hAnsi="Arial" w:cs="Arial"/>
        </w:rPr>
        <w:fldChar w:fldCharType="end"/>
      </w:r>
      <w:r w:rsidR="00150E4D" w:rsidRPr="004661E9">
        <w:rPr>
          <w:rFonts w:ascii="Arial" w:hAnsi="Arial" w:cs="Arial"/>
        </w:rPr>
        <w:t>.</w:t>
      </w:r>
      <w:r w:rsidR="00211DBF" w:rsidRPr="004661E9">
        <w:rPr>
          <w:rFonts w:ascii="Arial" w:hAnsi="Arial" w:cs="Arial"/>
        </w:rPr>
        <w:t xml:space="preserve"> Recognizing these subclinical alterations is critical for </w:t>
      </w:r>
      <w:r w:rsidR="00543EDD" w:rsidRPr="004661E9">
        <w:rPr>
          <w:rFonts w:ascii="Arial" w:hAnsi="Arial" w:cs="Arial"/>
        </w:rPr>
        <w:t xml:space="preserve">the </w:t>
      </w:r>
      <w:r w:rsidR="00211DBF" w:rsidRPr="004661E9">
        <w:rPr>
          <w:rFonts w:ascii="Arial" w:hAnsi="Arial" w:cs="Arial"/>
        </w:rPr>
        <w:t>early identification of high</w:t>
      </w:r>
      <w:r w:rsidR="009E4373" w:rsidRPr="004661E9">
        <w:rPr>
          <w:rFonts w:ascii="Arial" w:hAnsi="Arial" w:cs="Arial"/>
        </w:rPr>
        <w:t>-</w:t>
      </w:r>
      <w:r w:rsidR="00211DBF" w:rsidRPr="004661E9">
        <w:rPr>
          <w:rFonts w:ascii="Arial" w:hAnsi="Arial" w:cs="Arial"/>
        </w:rPr>
        <w:t xml:space="preserve">risk patients and </w:t>
      </w:r>
      <w:r w:rsidR="00543EDD" w:rsidRPr="004661E9">
        <w:rPr>
          <w:rFonts w:ascii="Arial" w:hAnsi="Arial" w:cs="Arial"/>
        </w:rPr>
        <w:t>preventing</w:t>
      </w:r>
      <w:r w:rsidR="00211DBF" w:rsidRPr="004661E9">
        <w:rPr>
          <w:rFonts w:ascii="Arial" w:hAnsi="Arial" w:cs="Arial"/>
        </w:rPr>
        <w:t xml:space="preserve"> overt HF and diabetic </w:t>
      </w:r>
      <w:r w:rsidR="00165050" w:rsidRPr="004661E9">
        <w:rPr>
          <w:rFonts w:ascii="Arial" w:hAnsi="Arial" w:cs="Arial"/>
        </w:rPr>
        <w:t>cardiomyopathy</w:t>
      </w:r>
      <w:r w:rsidR="00211DBF" w:rsidRPr="004661E9">
        <w:rPr>
          <w:rFonts w:ascii="Arial" w:hAnsi="Arial" w:cs="Arial"/>
        </w:rPr>
        <w:t xml:space="preserve">. </w:t>
      </w:r>
    </w:p>
    <w:p w14:paraId="36A83ED9" w14:textId="77777777" w:rsidR="005E7017" w:rsidRPr="004661E9" w:rsidRDefault="005E7017" w:rsidP="004661E9">
      <w:pPr>
        <w:spacing w:after="0" w:line="276" w:lineRule="auto"/>
        <w:rPr>
          <w:rFonts w:ascii="Arial" w:hAnsi="Arial" w:cs="Arial"/>
        </w:rPr>
      </w:pPr>
    </w:p>
    <w:p w14:paraId="7CFB94AB" w14:textId="77777777" w:rsidR="00211DBF" w:rsidRPr="004661E9" w:rsidRDefault="009E4373" w:rsidP="004661E9">
      <w:pPr>
        <w:spacing w:after="0" w:line="276" w:lineRule="auto"/>
        <w:rPr>
          <w:rFonts w:ascii="Arial" w:hAnsi="Arial" w:cs="Arial"/>
          <w:b/>
          <w:bCs/>
          <w:color w:val="00B050"/>
        </w:rPr>
      </w:pPr>
      <w:r w:rsidRPr="004661E9">
        <w:rPr>
          <w:rFonts w:ascii="Arial" w:hAnsi="Arial" w:cs="Arial"/>
          <w:b/>
          <w:bCs/>
          <w:color w:val="00B050"/>
        </w:rPr>
        <w:t>Left Ventricular Hypertrophy</w:t>
      </w:r>
    </w:p>
    <w:p w14:paraId="15B42BD8" w14:textId="77777777" w:rsidR="005E7017" w:rsidRPr="004661E9" w:rsidRDefault="005E7017" w:rsidP="004661E9">
      <w:pPr>
        <w:spacing w:after="0" w:line="276" w:lineRule="auto"/>
        <w:rPr>
          <w:rFonts w:ascii="Arial" w:hAnsi="Arial" w:cs="Arial"/>
        </w:rPr>
      </w:pPr>
    </w:p>
    <w:p w14:paraId="5A834C7F" w14:textId="2306A51C" w:rsidR="009A3C83" w:rsidRPr="004661E9" w:rsidRDefault="00390475" w:rsidP="004661E9">
      <w:pPr>
        <w:spacing w:after="0" w:line="276" w:lineRule="auto"/>
        <w:rPr>
          <w:rFonts w:ascii="Arial" w:hAnsi="Arial" w:cs="Arial"/>
        </w:rPr>
      </w:pPr>
      <w:r w:rsidRPr="004661E9">
        <w:rPr>
          <w:rFonts w:ascii="Arial" w:hAnsi="Arial" w:cs="Arial"/>
        </w:rPr>
        <w:t>LV</w:t>
      </w:r>
      <w:r w:rsidR="009E4373" w:rsidRPr="004661E9">
        <w:rPr>
          <w:rFonts w:ascii="Arial" w:hAnsi="Arial" w:cs="Arial"/>
        </w:rPr>
        <w:t xml:space="preserve"> hypertrophy</w:t>
      </w:r>
      <w:r w:rsidRPr="004661E9">
        <w:rPr>
          <w:rFonts w:ascii="Arial" w:hAnsi="Arial" w:cs="Arial"/>
        </w:rPr>
        <w:t xml:space="preserve"> (LVH)</w:t>
      </w:r>
      <w:r w:rsidR="009E4373" w:rsidRPr="004661E9">
        <w:rPr>
          <w:rFonts w:ascii="Arial" w:hAnsi="Arial" w:cs="Arial"/>
        </w:rPr>
        <w:t xml:space="preserve"> is characterized by increased LV mass </w:t>
      </w:r>
      <w:r w:rsidR="00543EDD" w:rsidRPr="004661E9">
        <w:rPr>
          <w:rFonts w:ascii="Arial" w:hAnsi="Arial" w:cs="Arial"/>
        </w:rPr>
        <w:t>due to</w:t>
      </w:r>
      <w:r w:rsidR="002112B1" w:rsidRPr="004661E9">
        <w:rPr>
          <w:rFonts w:ascii="Arial" w:hAnsi="Arial" w:cs="Arial"/>
        </w:rPr>
        <w:t xml:space="preserve"> myocardial remodeling. LVH is usually caused by a</w:t>
      </w:r>
      <w:r w:rsidR="009E4373" w:rsidRPr="004661E9">
        <w:rPr>
          <w:rFonts w:ascii="Arial" w:hAnsi="Arial" w:cs="Arial"/>
        </w:rPr>
        <w:t xml:space="preserve"> complex interaction between </w:t>
      </w:r>
      <w:r w:rsidR="002112B1" w:rsidRPr="004661E9">
        <w:rPr>
          <w:rFonts w:ascii="Arial" w:hAnsi="Arial" w:cs="Arial"/>
        </w:rPr>
        <w:t>several factors</w:t>
      </w:r>
      <w:r w:rsidR="008E11EF" w:rsidRPr="004661E9">
        <w:rPr>
          <w:rFonts w:ascii="Arial" w:hAnsi="Arial" w:cs="Arial"/>
        </w:rPr>
        <w:t>,</w:t>
      </w:r>
      <w:r w:rsidR="002112B1" w:rsidRPr="004661E9">
        <w:rPr>
          <w:rFonts w:ascii="Arial" w:hAnsi="Arial" w:cs="Arial"/>
        </w:rPr>
        <w:t xml:space="preserve"> including </w:t>
      </w:r>
      <w:r w:rsidR="006C258B" w:rsidRPr="004661E9">
        <w:rPr>
          <w:rFonts w:ascii="Arial" w:hAnsi="Arial" w:cs="Arial"/>
        </w:rPr>
        <w:t>hypertension</w:t>
      </w:r>
      <w:r w:rsidR="002112B1" w:rsidRPr="004661E9">
        <w:rPr>
          <w:rFonts w:ascii="Arial" w:hAnsi="Arial" w:cs="Arial"/>
        </w:rPr>
        <w:t xml:space="preserve">, </w:t>
      </w:r>
      <w:r w:rsidR="00A36DE2" w:rsidRPr="004661E9">
        <w:rPr>
          <w:rFonts w:ascii="Arial" w:hAnsi="Arial" w:cs="Arial"/>
        </w:rPr>
        <w:t>diabetes</w:t>
      </w:r>
      <w:r w:rsidR="002112B1" w:rsidRPr="004661E9">
        <w:rPr>
          <w:rFonts w:ascii="Arial" w:hAnsi="Arial" w:cs="Arial"/>
        </w:rPr>
        <w:t xml:space="preserve">, </w:t>
      </w:r>
      <w:r w:rsidR="00CF736E" w:rsidRPr="004661E9">
        <w:rPr>
          <w:rFonts w:ascii="Arial" w:hAnsi="Arial" w:cs="Arial"/>
        </w:rPr>
        <w:t xml:space="preserve">metabolic syndrome, </w:t>
      </w:r>
      <w:r w:rsidR="002112B1" w:rsidRPr="004661E9">
        <w:rPr>
          <w:rFonts w:ascii="Arial" w:hAnsi="Arial" w:cs="Arial"/>
        </w:rPr>
        <w:t>obesity, gender, ethnicity, and genetic and neurohumoral factors</w:t>
      </w:r>
      <w:r w:rsidR="005E7017"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{"citationItems":[{"id":"ITEM-1","itemData":{"DOI":"10.1016/j.pcad.2019.11.009","ISSN":"18731740","PMID":"31759953","abstract":"Hypertension (HTN) is a major modifiable risk factor for cardiovascular disease (CVD) morbidity and mortality. The left ventricle (LV) is a primary target for HTN end-organ damage. In addition to being a marker of HTN, LV geometrical changes: concentric remodeling, concentric or eccentric LV hypertrophy (LVH) are major independent risk factors for not only CVD morbidity and mortality but also for all-cause mortality and neurological pathologies. Blood pressure control with lifestyle changes and antihypertensive agents has been demonstrated to prevent and regress LVH. Herein, we provide a comprehensive review of literature on the relationship between HTN and LV geometry abnormalities with a focus on diagnosis, prognosis, pathophysiological mechanisms, and treatment approaches.","author":[{"dropping-particle":"","family":"Yildiz","given":"Mehmet","non-dropping-particle":"","parse-names":false,"suffix":""},{"dropping-particle":"","family":"Oktay","given":"Ahmet Afşin","non-dropping-particle":"","parse-names":false,"suffix":""},{"dropping-particle":"","family":"Stewart","given":"Merrill H.","non-dropping-particle":"","parse-names":false,"suffix":""},{"dropping-particle":"V.","family":"Milani","given":"Richard","non-dropping-particle":"","parse-names":false,"suffix":""},{"dropping-particle":"","family":"Ventura","given":"Hector O.","non-dropping-particle":"","parse-names":false,"suffix":""},{"dropping-particle":"","family":"Lavie","given":"Carl J.","non-dropping-particle":"","parse-names":false,"suffix":""}],"container-title":"Progress in Cardiovascular Diseases","id":"ITEM-1","issued":{"date-parts":[["2020"]]},"page":"10-21","publisher":"W.B. Saunders","title":"Left ventricular hypertrophy and hypertension","type":"article-journal","volume":"63"},"uris":["http://www.mendeley.com/documents/?uuid=9d4e86af-85a7-3ab6-931d-c361770003ef"]}],"mendeley":{"formattedCitation":"(66)","plainTextFormattedCitation":"(66)","previouslyFormattedCitation":"(66)"},"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(66)</w:t>
      </w:r>
      <w:r w:rsidR="000F3AD7" w:rsidRPr="004661E9">
        <w:rPr>
          <w:rFonts w:ascii="Arial" w:hAnsi="Arial" w:cs="Arial"/>
        </w:rPr>
        <w:fldChar w:fldCharType="end"/>
      </w:r>
      <w:r w:rsidR="005E7017" w:rsidRPr="004661E9">
        <w:rPr>
          <w:rFonts w:ascii="Arial" w:hAnsi="Arial" w:cs="Arial"/>
        </w:rPr>
        <w:t>.</w:t>
      </w:r>
      <w:r w:rsidR="006613F6" w:rsidRPr="004661E9">
        <w:rPr>
          <w:rFonts w:ascii="Arial" w:hAnsi="Arial" w:cs="Arial"/>
        </w:rPr>
        <w:t xml:space="preserve"> There are t</w:t>
      </w:r>
      <w:r w:rsidR="009A3C83" w:rsidRPr="004661E9">
        <w:rPr>
          <w:rFonts w:ascii="Arial" w:hAnsi="Arial" w:cs="Arial"/>
        </w:rPr>
        <w:t>hree</w:t>
      </w:r>
      <w:r w:rsidR="006613F6" w:rsidRPr="004661E9">
        <w:rPr>
          <w:rFonts w:ascii="Arial" w:hAnsi="Arial" w:cs="Arial"/>
        </w:rPr>
        <w:t xml:space="preserve"> distinct </w:t>
      </w:r>
      <w:r w:rsidR="009A3C83" w:rsidRPr="004661E9">
        <w:rPr>
          <w:rFonts w:ascii="Arial" w:hAnsi="Arial" w:cs="Arial"/>
        </w:rPr>
        <w:t xml:space="preserve">LV </w:t>
      </w:r>
      <w:r w:rsidR="006613F6" w:rsidRPr="004661E9">
        <w:rPr>
          <w:rFonts w:ascii="Arial" w:hAnsi="Arial" w:cs="Arial"/>
        </w:rPr>
        <w:t xml:space="preserve">geometric </w:t>
      </w:r>
      <w:r w:rsidR="009A3C83" w:rsidRPr="004661E9">
        <w:rPr>
          <w:rFonts w:ascii="Arial" w:hAnsi="Arial" w:cs="Arial"/>
        </w:rPr>
        <w:t xml:space="preserve">abnormality </w:t>
      </w:r>
      <w:r w:rsidR="006613F6" w:rsidRPr="004661E9">
        <w:rPr>
          <w:rFonts w:ascii="Arial" w:hAnsi="Arial" w:cs="Arial"/>
        </w:rPr>
        <w:t>patterns</w:t>
      </w:r>
      <w:r w:rsidR="00D2537D" w:rsidRPr="004661E9">
        <w:rPr>
          <w:rFonts w:ascii="Arial" w:hAnsi="Arial" w:cs="Arial"/>
        </w:rPr>
        <w:t>:</w:t>
      </w:r>
      <w:r w:rsidR="006613F6" w:rsidRPr="004661E9">
        <w:rPr>
          <w:rFonts w:ascii="Arial" w:hAnsi="Arial" w:cs="Arial"/>
        </w:rPr>
        <w:t xml:space="preserve"> </w:t>
      </w:r>
      <w:r w:rsidR="009A3C83" w:rsidRPr="004661E9">
        <w:rPr>
          <w:rFonts w:ascii="Arial" w:hAnsi="Arial" w:cs="Arial"/>
        </w:rPr>
        <w:t xml:space="preserve">concentric remodeling (normal LV mass with increased relative wall thickness), </w:t>
      </w:r>
      <w:r w:rsidR="006613F6" w:rsidRPr="004661E9">
        <w:rPr>
          <w:rFonts w:ascii="Arial" w:hAnsi="Arial" w:cs="Arial"/>
        </w:rPr>
        <w:t>concentric LVH (</w:t>
      </w:r>
      <w:r w:rsidR="009A3C83" w:rsidRPr="004661E9">
        <w:rPr>
          <w:rFonts w:ascii="Arial" w:hAnsi="Arial" w:cs="Arial"/>
        </w:rPr>
        <w:t xml:space="preserve">increased LV mass and </w:t>
      </w:r>
      <w:r w:rsidR="006613F6" w:rsidRPr="004661E9">
        <w:rPr>
          <w:rFonts w:ascii="Arial" w:hAnsi="Arial" w:cs="Arial"/>
        </w:rPr>
        <w:t>increased relative wall thickness)</w:t>
      </w:r>
      <w:r w:rsidR="009A3C83" w:rsidRPr="004661E9">
        <w:rPr>
          <w:rFonts w:ascii="Arial" w:hAnsi="Arial" w:cs="Arial"/>
        </w:rPr>
        <w:t>,</w:t>
      </w:r>
      <w:r w:rsidR="006613F6" w:rsidRPr="004661E9">
        <w:rPr>
          <w:rFonts w:ascii="Arial" w:hAnsi="Arial" w:cs="Arial"/>
        </w:rPr>
        <w:t xml:space="preserve"> and eccentric LVH (</w:t>
      </w:r>
      <w:r w:rsidR="009A3C83" w:rsidRPr="004661E9">
        <w:rPr>
          <w:rFonts w:ascii="Arial" w:hAnsi="Arial" w:cs="Arial"/>
        </w:rPr>
        <w:t xml:space="preserve">increased LV mass and </w:t>
      </w:r>
      <w:r w:rsidR="006613F6" w:rsidRPr="004661E9">
        <w:rPr>
          <w:rFonts w:ascii="Arial" w:hAnsi="Arial" w:cs="Arial"/>
        </w:rPr>
        <w:t>normal relative wall thickness)</w:t>
      </w:r>
      <w:r w:rsidR="008E11EF" w:rsidRPr="004661E9">
        <w:rPr>
          <w:rFonts w:ascii="Arial" w:hAnsi="Arial" w:cs="Arial"/>
        </w:rPr>
        <w:t xml:space="preserve"> </w:t>
      </w:r>
      <w:r w:rsidR="009A3C83" w:rsidRPr="004661E9">
        <w:rPr>
          <w:rFonts w:ascii="Arial" w:hAnsi="Arial" w:cs="Arial"/>
        </w:rPr>
        <w:t>(</w:t>
      </w:r>
      <w:r w:rsidR="0065490E" w:rsidRPr="004661E9">
        <w:rPr>
          <w:rFonts w:ascii="Arial" w:hAnsi="Arial" w:cs="Arial"/>
        </w:rPr>
        <w:t xml:space="preserve">Figure </w:t>
      </w:r>
      <w:r w:rsidR="00AA26E4" w:rsidRPr="004661E9">
        <w:rPr>
          <w:rFonts w:ascii="Arial" w:hAnsi="Arial" w:cs="Arial"/>
        </w:rPr>
        <w:t>3</w:t>
      </w:r>
      <w:r w:rsidR="009A3C83" w:rsidRPr="004661E9">
        <w:rPr>
          <w:rFonts w:ascii="Arial" w:hAnsi="Arial" w:cs="Arial"/>
        </w:rPr>
        <w:t>)</w:t>
      </w:r>
      <w:r w:rsidR="005E7017" w:rsidRPr="004661E9">
        <w:rPr>
          <w:rFonts w:ascii="Arial" w:hAnsi="Arial" w:cs="Arial"/>
        </w:rPr>
        <w:t>.</w:t>
      </w:r>
      <w:r w:rsidR="002112B1" w:rsidRPr="004661E9">
        <w:rPr>
          <w:rFonts w:ascii="Arial" w:hAnsi="Arial" w:cs="Arial"/>
        </w:rPr>
        <w:t xml:space="preserve"> </w:t>
      </w:r>
    </w:p>
    <w:p w14:paraId="3D279BC4" w14:textId="77777777" w:rsidR="005E7017" w:rsidRPr="004661E9" w:rsidRDefault="005E7017" w:rsidP="004661E9">
      <w:pPr>
        <w:spacing w:after="0" w:line="276" w:lineRule="auto"/>
        <w:rPr>
          <w:rFonts w:ascii="Arial" w:hAnsi="Arial" w:cs="Arial"/>
        </w:rPr>
      </w:pPr>
    </w:p>
    <w:p w14:paraId="4BA3E79C" w14:textId="75F25838" w:rsidR="00B9715D" w:rsidRPr="004661E9" w:rsidRDefault="00B9715D" w:rsidP="004661E9">
      <w:pPr>
        <w:spacing w:after="0" w:line="276" w:lineRule="auto"/>
        <w:rPr>
          <w:rFonts w:ascii="Arial" w:hAnsi="Arial" w:cs="Arial"/>
        </w:rPr>
      </w:pPr>
      <w:r w:rsidRPr="004661E9">
        <w:rPr>
          <w:rFonts w:ascii="Arial" w:hAnsi="Arial" w:cs="Arial"/>
          <w:noProof/>
        </w:rPr>
        <w:lastRenderedPageBreak/>
        <w:drawing>
          <wp:inline distT="0" distB="0" distL="0" distR="0" wp14:anchorId="1D337FD2" wp14:editId="1528866F">
            <wp:extent cx="5170490" cy="466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3335" cy="4751058"/>
                    </a:xfrm>
                    <a:prstGeom prst="rect">
                      <a:avLst/>
                    </a:prstGeom>
                  </pic:spPr>
                </pic:pic>
              </a:graphicData>
            </a:graphic>
          </wp:inline>
        </w:drawing>
      </w:r>
    </w:p>
    <w:p w14:paraId="5FBF41F4" w14:textId="6A5FE559" w:rsidR="008D0C25" w:rsidRPr="004661E9" w:rsidRDefault="008D0C25" w:rsidP="004661E9">
      <w:pPr>
        <w:spacing w:after="0" w:line="276" w:lineRule="auto"/>
        <w:rPr>
          <w:rFonts w:ascii="Arial" w:hAnsi="Arial" w:cs="Arial"/>
          <w:b/>
        </w:rPr>
      </w:pPr>
      <w:r w:rsidRPr="004661E9">
        <w:rPr>
          <w:rFonts w:ascii="Arial" w:hAnsi="Arial" w:cs="Arial"/>
          <w:b/>
        </w:rPr>
        <w:t xml:space="preserve">Figure 3.  </w:t>
      </w:r>
      <w:r w:rsidR="00543EDD" w:rsidRPr="004661E9">
        <w:rPr>
          <w:rFonts w:ascii="Arial" w:hAnsi="Arial" w:cs="Arial"/>
          <w:b/>
        </w:rPr>
        <w:t xml:space="preserve">Based on linear measurements, </w:t>
      </w:r>
      <w:r w:rsidR="000962ED" w:rsidRPr="004661E9">
        <w:rPr>
          <w:rFonts w:ascii="Arial" w:hAnsi="Arial" w:cs="Arial"/>
          <w:b/>
        </w:rPr>
        <w:t>relative wall thickness and left ventricular mass index determine left ventricular geometric patterns</w:t>
      </w:r>
      <w:r w:rsidRPr="004661E9">
        <w:rPr>
          <w:rFonts w:ascii="Arial" w:hAnsi="Arial" w:cs="Arial"/>
          <w:b/>
        </w:rPr>
        <w:t xml:space="preserve">. </w:t>
      </w:r>
      <w:r w:rsidR="00F80BEA" w:rsidRPr="004661E9">
        <w:rPr>
          <w:rFonts w:ascii="Arial" w:hAnsi="Arial" w:cs="Arial"/>
          <w:b/>
        </w:rPr>
        <w:t>LVH, left ventricular hypertrophy</w:t>
      </w:r>
      <w:r w:rsidRPr="004661E9">
        <w:rPr>
          <w:rFonts w:ascii="Arial" w:hAnsi="Arial" w:cs="Arial"/>
          <w:b/>
        </w:rPr>
        <w:t>.</w:t>
      </w:r>
    </w:p>
    <w:p w14:paraId="2B02D2A2" w14:textId="1A057DFE" w:rsidR="00F80BEA" w:rsidRPr="004661E9" w:rsidRDefault="00F80BEA" w:rsidP="004661E9">
      <w:pPr>
        <w:spacing w:after="0" w:line="276" w:lineRule="auto"/>
        <w:rPr>
          <w:rFonts w:ascii="Arial" w:hAnsi="Arial" w:cs="Arial"/>
        </w:rPr>
      </w:pPr>
    </w:p>
    <w:p w14:paraId="57B0BE2F" w14:textId="76EECF39" w:rsidR="008D0C25" w:rsidRPr="004661E9" w:rsidRDefault="006613F6" w:rsidP="004661E9">
      <w:pPr>
        <w:spacing w:after="0" w:line="276" w:lineRule="auto"/>
        <w:rPr>
          <w:rFonts w:ascii="Arial" w:hAnsi="Arial" w:cs="Arial"/>
        </w:rPr>
      </w:pPr>
      <w:r w:rsidRPr="004661E9">
        <w:rPr>
          <w:rFonts w:ascii="Arial" w:hAnsi="Arial" w:cs="Arial"/>
        </w:rPr>
        <w:t>LVH has long been recognized as a target organ response and a</w:t>
      </w:r>
      <w:r w:rsidR="00E43FB0" w:rsidRPr="004661E9">
        <w:rPr>
          <w:rFonts w:ascii="Arial" w:hAnsi="Arial" w:cs="Arial"/>
        </w:rPr>
        <w:t xml:space="preserve"> strong</w:t>
      </w:r>
      <w:r w:rsidRPr="004661E9">
        <w:rPr>
          <w:rFonts w:ascii="Arial" w:hAnsi="Arial" w:cs="Arial"/>
        </w:rPr>
        <w:t xml:space="preserve"> independent risk factor for HF, </w:t>
      </w:r>
      <w:r w:rsidR="007D4B33" w:rsidRPr="004661E9">
        <w:rPr>
          <w:rFonts w:ascii="Arial" w:hAnsi="Arial" w:cs="Arial"/>
        </w:rPr>
        <w:t>CAD</w:t>
      </w:r>
      <w:r w:rsidRPr="004661E9">
        <w:rPr>
          <w:rFonts w:ascii="Arial" w:hAnsi="Arial" w:cs="Arial"/>
        </w:rPr>
        <w:t xml:space="preserve">, </w:t>
      </w:r>
      <w:r w:rsidR="0099436D" w:rsidRPr="004661E9">
        <w:rPr>
          <w:rFonts w:ascii="Arial" w:hAnsi="Arial" w:cs="Arial"/>
        </w:rPr>
        <w:t xml:space="preserve">stroke, </w:t>
      </w:r>
      <w:r w:rsidRPr="004661E9">
        <w:rPr>
          <w:rFonts w:ascii="Arial" w:hAnsi="Arial" w:cs="Arial"/>
        </w:rPr>
        <w:t>and CVD mortality</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{"citationItems":[{"id":"ITEM-1","itemData":{"DOI":"10.1016/j.pcad.2019.11.009","ISSN":"18731740","PMID":"31759953","abstract":"Hypertension (HTN) is a major modifiable risk factor for cardiovascular disease (CVD) morbidity and mortality. The left ventricle (LV) is a primary target for HTN end-organ damage. In addition to being a marker of HTN, LV geometrical changes: concentric remodeling, concentric or eccentric LV hypertrophy (LVH) are major independent risk factors for not only CVD morbidity and mortality but also for all-cause mortality and neurological pathologies. Blood pressure control with lifestyle changes and antihypertensive agents has been demonstrated to prevent and regress LVH. Herein, we provide a comprehensive review of literature on the relationship between HTN and LV geometry abnormalities with a focus on diagnosis, prognosis, pathophysiological mechanisms, and treatment approaches.","author":[{"dropping-particle":"","family":"Yildiz","given":"Mehmet","non-dropping-particle":"","parse-names":false,"suffix":""},{"dropping-particle":"","family":"Oktay","given":"Ahmet Afşin","non-dropping-particle":"","parse-names":false,"suffix":""},{"dropping-particle":"","family":"Stewart","given":"Merrill H.","non-dropping-particle":"","parse-names":false,"suffix":""},{"dropping-particle":"V.","family":"Milani","given":"Richard","non-dropping-particle":"","parse-names":false,"suffix":""},{"dropping-particle":"","family":"Ventura","given":"Hector O.","non-dropping-particle":"","parse-names":false,"suffix":""},{"dropping-particle":"","family":"Lavie","given":"Carl J.","non-dropping-particle":"","parse-names":false,"suffix":""}],"container-title":"Progress in Cardiovascular Diseases","id":"ITEM-1","issued":{"date-parts":[["2020"]]},"page":"10-21","publisher":"W.B. Saunders","title":"Left ventricular hypertrophy and hypertension","type":"article-journal","volume":"63"},"uris":["http://www.mendeley.com/documents/?uuid=9d4e86af-85a7-3ab6-931d-c361770003ef"]},{"id":"ITEM-2","itemData":{"DOI":"10.1016/j.jcmg.2018.03.015","ISSN":"18767591","abstract":"Objectives: This study sought to identify whether impaired global longitudinal strain (GLS), diastolic dysfunction (DD), or left atrial enlargement (LAE) should be added to stage B heart failure (SBHF) criteria in asymptomatic patients with type 2 diabetes mellitus. Background: SBHF is a precursor to clinical heart failure (HF), and its recognition justifies initiation of cardioprotective therapy. However, original definitions of SBHF were based on LV hypertrophy and impaired ejection fraction. Methods: Patients with asymptomatic type 2 diabetes mellitus ≥65 years of age (age 71 ± 4 years; 55% men) with preserved ejection fraction and no ischemic heart disease were recruited from a community-based population. All underwent a standard clinical evaluation, and a comprehensive echocardiogram, including assessment of left ventricular hypertrophy (LVH), LAE, DD (abnormal E/e′), and GLS (&lt;16%). Over a median follow-up of 1.5 years (range 0.5 to 3), 20 patients were lost to follow-up, and 290 individuals were entered into the final analyses. Results: In this asymptomatic group, LV dysfunction was identified in 30 (10%) by DD, 68 (23%) by LVH, 102 (35%) by LAE, and 68 (23%) by impaired GLS. New-onset HF developed in 45 patients and 4 died, giving an event rate of 112/1,000 person-years. Survival free of the composite endpoint (HF and death) was about 1.5-fold higher in patients without a normal, compared with an abnormal echocardiogram. LVH, LAE, and GLS &lt;16% were associated with increased risk of the composite endpoint, independent of ARIC risk score and glycosylated hemoglobin, but abnormal E/e′ was not. The addition of left atrial volume and GLS provided incremental value to the current standard of clinical risk (ARIC score) and LVH. In a competing-risks regression analysis, LVH (hazard ratio: 2.90; p &lt; 0.001) and GLS &lt;16% (hazard ratio: 2.26; p = 0.008), but not DD and LAE were associated with incident HF. Conclusions: Subclinical left ventricular systolic dysfunction is prevalent in asymptomatic elderly patients with type 2 diabetes mellitus, and impaired GLS is independent and incremental to LVH in the prediction of incident HF.","author":[{"dropping-particle":"","family":"Wang","given":"Ying","non-dropping-particle":"","parse-names":false,"suffix":""},{"dropping-particle":"","family":"Yang","given":"Hong","non-dropping-particle":"","parse-names":false,"suffix":""},{"dropping-particle":"","family":"Huynh","given":"Quan","non-dropping-particle":"","parse-names":false,"suffix":""},{"dropping-particle":"","family":"Nolan","given":"Mark","non-dropping-particle":"","parse-names":false,"suffix":""},{"dropping-particle":"","family":"Negishi","given":"Kazuaki","non-dropping-particle":"","parse-names":false,"suffix":""},{"dropping-particle":"","family":"Marwick","given":"Thomas H.","non-dropping-particle":"","parse-names":false,"suffix":""}],"container-title":"JACC: Cardiovascular Imaging","id":"ITEM-2","issue":"10","issued":{"date-parts":[["2018"]]},"page":"1390-1400","title":"Diagnosis of Nonischemic Stage B Heart Failure in Type 2 Diabetes Mellitus: Optimal Parameters for Prediction of Heart Failure","type":"article-journal","volume":"11"},"uris":["http://www.mendeley.com/documents/?uuid=015f7fd8-d1e2-4bcd-a327-448bd05e2534"]}],"mendeley":{"formattedCitation":"(66,67)","plainTextFormattedCitation":"(66,67)","previouslyFormattedCitation":"(66,67)"},"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(66,67)</w:t>
      </w:r>
      <w:r w:rsidR="000F3AD7" w:rsidRPr="004661E9">
        <w:rPr>
          <w:rFonts w:ascii="Arial" w:hAnsi="Arial" w:cs="Arial"/>
        </w:rPr>
        <w:fldChar w:fldCharType="end"/>
      </w:r>
      <w:r w:rsidR="008D0C25" w:rsidRPr="004661E9">
        <w:rPr>
          <w:rFonts w:ascii="Arial" w:hAnsi="Arial" w:cs="Arial"/>
        </w:rPr>
        <w:t>.</w:t>
      </w:r>
      <w:r w:rsidRPr="004661E9">
        <w:rPr>
          <w:rFonts w:ascii="Arial" w:hAnsi="Arial" w:cs="Arial"/>
        </w:rPr>
        <w:t xml:space="preserve"> </w:t>
      </w:r>
      <w:r w:rsidR="000E7B0F" w:rsidRPr="004661E9">
        <w:rPr>
          <w:rFonts w:ascii="Arial" w:hAnsi="Arial" w:cs="Arial"/>
        </w:rPr>
        <w:t>LVH leads to LV diastolic dysfunction by reduced LV compliance, impaired diastolic filling, prolonged isovolumetric relaxation</w:t>
      </w:r>
      <w:r w:rsidR="00D327DF" w:rsidRPr="004661E9">
        <w:rPr>
          <w:rFonts w:ascii="Arial" w:hAnsi="Arial" w:cs="Arial"/>
        </w:rPr>
        <w:t>,</w:t>
      </w:r>
      <w:r w:rsidR="000E7B0F" w:rsidRPr="004661E9">
        <w:rPr>
          <w:rFonts w:ascii="Arial" w:hAnsi="Arial" w:cs="Arial"/>
        </w:rPr>
        <w:t xml:space="preserve"> and </w:t>
      </w:r>
      <w:r w:rsidR="00543EDD" w:rsidRPr="004661E9">
        <w:rPr>
          <w:rFonts w:ascii="Arial" w:hAnsi="Arial" w:cs="Arial"/>
        </w:rPr>
        <w:t>increased</w:t>
      </w:r>
      <w:r w:rsidR="00390475" w:rsidRPr="004661E9">
        <w:rPr>
          <w:rFonts w:ascii="Arial" w:hAnsi="Arial" w:cs="Arial"/>
        </w:rPr>
        <w:t xml:space="preserve"> </w:t>
      </w:r>
      <w:r w:rsidR="000E7B0F" w:rsidRPr="004661E9">
        <w:rPr>
          <w:rFonts w:ascii="Arial" w:hAnsi="Arial" w:cs="Arial"/>
        </w:rPr>
        <w:t>LV and left atrial filling pressures</w:t>
      </w:r>
      <w:r w:rsidR="008D0C25"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{"citationItems":[{"id":"ITEM-1","itemData":{"DOI":"10.1016/j.pcad.2019.03.003","ISSN":"18731740","abstract":"Diabetes causes cardiomyopathy and increases the risk of heart failure independent of hypertension and coronary heart disease. This condition called “Diabetic Cardiomyopathy” (DCM) is becoming a well- known clinical entity. Recently, there has been substantial research exploring its molecular mechanisms, structural and functional changes, and possible development of therapeutic approaches for the prevention and treatment of DCM. This review summarizes the recent advancements to better understand fundamental molecular abnormalities that promote this cardiomyopathy and novel therapies for future research. Additionally, different diagnostic modalities, up to date screening tests to guide clinicians with early diagnosis and available current treatment options has been outlined.","author":[{"dropping-particle":"","family":"Murtaza","given":"Ghulam","non-dropping-particle":"","parse-names":false,"suffix":""},{"dropping-particle":"","family":"Virk","given":"Hafeez Ul Hassan Ul Hassan","non-dropping-particle":"","parse-names":false,"suffix":""},{"dropping-particle":"","family":"Khalid","given":"Muhammad","non-dropping-particle":"","parse-names":false,"suffix":""},{"dropping-particle":"","family":"Lavie","given":"Carl J. J.","non-dropping-particle":"","parse-names":false,"suffix":""},{"dropping-particle":"","family":"Ventura","given":"Hector","non-dropping-particle":"","parse-names":false,"suffix":""},{"dropping-particle":"","family":"Mukherjee","given":"Debabrata","non-dropping-particle":"","parse-names":false,"suffix":""},{"dropping-particle":"","family":"Ramu","given":"Vijay","non-dropping-particle":"","parse-names":false,"suffix":""},{"dropping-particle":"","family":"Bhogal","given":"Sukhdeep","non-dropping-particle":"","parse-names":false,"suffix":""},{"dropping-particle":"","family":"Kumar","given":"Gautam","non-dropping-particle":"","parse-names":false,"suffix":""},{"dropping-particle":"","family":"Shanmugasundaram","given":"Madhan","non-dropping-particle":"","parse-names":false,"suffix":""},{"dropping-particle":"","family":"Paul","given":"Timir K. K.","non-dropping-particle":"","parse-names":false,"suffix":""}],"container-title":"Progress in Cardiovascular Diseases","id":"ITEM-1","issue":"4","issued":{"date-parts":[["2019"]]},"page":"315-326","publisher":"Elsevier Inc.","title":"Diabetic cardiomyopathy - A comprehensive updated review","type":"article-journal","volume":"62"},"uris":["http://www.mendeley.com/documents/?uuid=c7ea2a94-ed27-416c-a134-e56110fb6c24"]}],"mendeley":{"formattedCitation":"(16)","plainTextFormattedCitation":"(16)","previouslyFormattedCitation":"(16)"},"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(16)</w:t>
      </w:r>
      <w:r w:rsidR="000F3AD7" w:rsidRPr="004661E9">
        <w:rPr>
          <w:rFonts w:ascii="Arial" w:hAnsi="Arial" w:cs="Arial"/>
        </w:rPr>
        <w:fldChar w:fldCharType="end"/>
      </w:r>
      <w:r w:rsidR="008D0C25" w:rsidRPr="004661E9">
        <w:rPr>
          <w:rFonts w:ascii="Arial" w:hAnsi="Arial" w:cs="Arial"/>
        </w:rPr>
        <w:t>.</w:t>
      </w:r>
      <w:r w:rsidR="000E7B0F" w:rsidRPr="004661E9">
        <w:rPr>
          <w:rFonts w:ascii="Arial" w:hAnsi="Arial" w:cs="Arial"/>
        </w:rPr>
        <w:t xml:space="preserve"> </w:t>
      </w:r>
      <w:r w:rsidR="0006292E" w:rsidRPr="004661E9">
        <w:rPr>
          <w:rFonts w:ascii="Arial" w:hAnsi="Arial" w:cs="Arial"/>
        </w:rPr>
        <w:t xml:space="preserve">The </w:t>
      </w:r>
      <w:r w:rsidR="000962ED" w:rsidRPr="004661E9">
        <w:rPr>
          <w:rFonts w:ascii="Arial" w:hAnsi="Arial" w:cs="Arial"/>
        </w:rPr>
        <w:t>universal definition of HF recognizes asymptomatic</w:t>
      </w:r>
      <w:r w:rsidR="008D35EB" w:rsidRPr="004661E9">
        <w:rPr>
          <w:rFonts w:ascii="Arial" w:hAnsi="Arial" w:cs="Arial"/>
        </w:rPr>
        <w:t xml:space="preserve"> </w:t>
      </w:r>
      <w:r w:rsidR="0006292E" w:rsidRPr="004661E9">
        <w:rPr>
          <w:rFonts w:ascii="Arial" w:hAnsi="Arial" w:cs="Arial"/>
        </w:rPr>
        <w:t>LVH</w:t>
      </w:r>
      <w:r w:rsidR="000962ED" w:rsidRPr="004661E9">
        <w:rPr>
          <w:rFonts w:ascii="Arial" w:hAnsi="Arial" w:cs="Arial"/>
        </w:rPr>
        <w:t>, LV systolic dysfunction, and LV diastolic dysfunction</w:t>
      </w:r>
      <w:r w:rsidR="0006292E" w:rsidRPr="004661E9">
        <w:rPr>
          <w:rFonts w:ascii="Arial" w:hAnsi="Arial" w:cs="Arial"/>
        </w:rPr>
        <w:t xml:space="preserve"> as</w:t>
      </w:r>
      <w:r w:rsidR="000962ED" w:rsidRPr="004661E9">
        <w:rPr>
          <w:rFonts w:ascii="Arial" w:hAnsi="Arial" w:cs="Arial"/>
        </w:rPr>
        <w:t xml:space="preserve"> “pre-</w:t>
      </w:r>
      <w:r w:rsidR="0006292E" w:rsidRPr="004661E9">
        <w:rPr>
          <w:rFonts w:ascii="Arial" w:hAnsi="Arial" w:cs="Arial"/>
        </w:rPr>
        <w:t>HF</w:t>
      </w:r>
      <w:r w:rsidR="000962ED" w:rsidRPr="004661E9">
        <w:rPr>
          <w:rFonts w:ascii="Arial" w:hAnsi="Arial" w:cs="Arial"/>
        </w:rPr>
        <w:t>”</w:t>
      </w:r>
      <w:r w:rsidR="0006292E" w:rsidRPr="004661E9">
        <w:rPr>
          <w:rFonts w:ascii="Arial" w:hAnsi="Arial" w:cs="Arial"/>
        </w:rPr>
        <w:t xml:space="preserve"> to emphasize the progressive nature of HF and</w:t>
      </w:r>
      <w:r w:rsidR="00C83557" w:rsidRPr="004661E9">
        <w:rPr>
          <w:rFonts w:ascii="Arial" w:hAnsi="Arial" w:cs="Arial"/>
        </w:rPr>
        <w:t xml:space="preserve"> the</w:t>
      </w:r>
      <w:r w:rsidR="0006292E" w:rsidRPr="004661E9">
        <w:rPr>
          <w:rFonts w:ascii="Arial" w:hAnsi="Arial" w:cs="Arial"/>
        </w:rPr>
        <w:t xml:space="preserve"> importance of </w:t>
      </w:r>
      <w:r w:rsidR="00390475" w:rsidRPr="004661E9">
        <w:rPr>
          <w:rFonts w:ascii="Arial" w:hAnsi="Arial" w:cs="Arial"/>
        </w:rPr>
        <w:t xml:space="preserve">HF </w:t>
      </w:r>
      <w:r w:rsidR="0006292E" w:rsidRPr="004661E9">
        <w:rPr>
          <w:rFonts w:ascii="Arial" w:hAnsi="Arial" w:cs="Arial"/>
        </w:rPr>
        <w:t>prevention</w:t>
      </w:r>
      <w:r w:rsidR="000962ED" w:rsidRPr="004661E9">
        <w:rPr>
          <w:rFonts w:ascii="Arial" w:hAnsi="Arial" w:cs="Arial"/>
        </w:rPr>
        <w:t xml:space="preserve"> </w:t>
      </w:r>
      <w:r w:rsidR="000962ED" w:rsidRPr="004661E9">
        <w:rPr>
          <w:rFonts w:ascii="Arial" w:hAnsi="Arial" w:cs="Arial"/>
        </w:rPr>
        <w:fldChar w:fldCharType="begin" w:fldLock="1"/>
      </w:r>
      <w:r w:rsidR="00D162D8" w:rsidRPr="004661E9">
        <w:rPr>
          <w:rFonts w:ascii="Arial" w:hAnsi="Arial" w:cs="Arial"/>
        </w:rPr>
        <w:instrText>ADDIN CSL_CITATION {"citationItems":[{"id":"ITEM-1","itemData":{"DOI":"10.1016/j.cardfail.2021.01.022","ISSN":"15328414","PMID":"33662581","abstract":"In this document, we propose a universal definition of heart failure (HF) as the following: HF is a clinical syndrome with symptoms and or signs caused by a structural and/or functional cardiac abnormality and corroborated by elevated natriuretic peptide levels and or objective evidence of pulmonary or systemic congestion. We propose revised stages of HF as follows. At-risk for HF (Stage A), for patients at risk for HF but without current or prior symptoms or signs of HF and without structural or biomarkers evidence of heart disease. Pre-HF (stage B), for patients without current or prior symptoms or signs of HF, but evidence of structural heart disease or abnormal cardiac function, or elevated natriuretic peptide levels. HF (Stage C), for patients with current or prior symptoms and/or signs of HF caused by a structural and/or functional cardiac abnormality. Advanced HF (Stage D), for patients with severe symptoms and/or signs of HF at rest, recurrent hospitalizations despite guideline-directed management and therapy (GDMT), refractory or intolerant to GDMT, requiring advanced therapies such as consideration for transplant, mechanical circulatory support, or palliative care. Finally, we propose a new and revised classification of HF according to left ventricular ejection fraction (LVEF). The classification includes HF with reduced EF (HFrEF): HF with an LVEF of ≤40%; HF with mildly reduced EF (HFmrEF): HF with an LVEF of 41% to 49%; HF with preserved EF (HFpEF): HF with an LVEF of ≥50%; and HF with improved EF (HFimpEF): HF with a baseline LVEF of ≤40%, a ≥10-point increase from baseline LVEF, and a second measurement of LVEF of &gt;40%.","author":[{"dropping-particle":"","family":"Bozkurt","given":"Biykem","non-dropping-particle":"","parse-names":false,"suffix":""},{"dropping-particle":"","family":"Coats","given":"Andrew JS","non-dropping-particle":"","parse-names":false,"suffix":""},{"dropping-particle":"","family":"Tsutsui","given":"Hiroyuki","non-dropping-particle":"","parse-names":false,"suffix":""},{"dropping-particle":"","family":"Abdelhamid","given":"Magdy","non-dropping-particle":"","parse-names":false,"suffix":""},{"dropping-particle":"","family":"Adamopoulos","given":"Stamatis","non-dropping-particle":"","parse-names":false,"suffix":""},{"dropping-particle":"","family":"Albert","given":"Nancy","non-dropping-particle":"","parse-names":false,"suffix":""},{"dropping-particle":"","family":"Anker","given":"Stefan D.","non-dropping-particle":"","parse-names":false,"suffix":""},{"dropping-particle":"","family":"Atherton","given":"John","non-dropping-particle":"","parse-names":false,"suffix":""},{"dropping-particle":"","family":"Böhm","given":"Michael","non-dropping-particle":"","parse-names":false,"suffix":""},{"dropping-particle":"","family":"Butler","given":"Javed","non-dropping-particle":"","parse-names":false,"suffix":""},{"dropping-particle":"","family":"Drazner","given":"Mark H.","non-dropping-particle":"","parse-names":false,"suffix":""},{"dropping-particle":"","family":"Felker","given":"G. Michael","non-dropping-particle":"","parse-names":false,"suffix":""},{"dropping-particle":"","family":"Filippatos","given":"Gerasimos","non-dropping-particle":"","parse-names":false,"suffix":""},{"dropping-particle":"","family":"Fonarow","given":"Gregg C.","non-dropping-particle":"","parse-names":false,"suffix":""},{"dropping-particle":"","family":"Fiuzat","given":"Mona","non-dropping-particle":"","parse-names":false,"suffix":""},{"dropping-particle":"","family":"Gomez-Mesa","given":"Juan–Esteban E.","non-dropping-particle":"","parse-names":false,"suffix":""},{"dropping-particle":"","family":"Heidenreich","given":"Paul","non-dropping-particle":"","parse-names":false,"suffix":""},{"dropping-particle":"","family":"Imamura","given":"Teruhiko","non-dropping-particle":"","parse-names":false,"suffix":""},{"dropping-particle":"","family":"Januzzi","given":"James","non-dropping-particle":"","parse-names":false,"suffix":""},{"dropping-particle":"","family":"Jankowska","given":"Ewa A.","non-dropping-particle":"","parse-names":false,"suffix":""},{"dropping-particle":"","family":"Khazanie","given":"Prateeti","non-dropping-particle":"","parse-names":false,"suffix":""},{"dropping-particle":"","family":"Kinugawa","given":"Koichiro","non-dropping-particle":"","parse-names":false,"suffix":""},{"dropping-particle":"","family":"Lam","given":"Carolyn S.P.","non-dropping-particle":"","parse-names":false,"suffix":""},{"dropping-particle":"","family":"Matsue","given":"Yuya","non-dropping-particle":"","parse-names":false,"suffix":""},{"dropping-particle":"","family":"Metra","given":"Marco","non-dropping-particle":"","parse-names":false,"suffix":""},{"dropping-particle":"","family":"Ohtani","given":"Tomohito","non-dropping-particle":"","parse-names":false,"suffix":""},{"dropping-particle":"","family":"Francesco Piepoli","given":"Massimo","non-dropping-particle":"","parse-names":false,"suffix":""},{"dropping-particle":"","family":"Ponikowski","given":"Piotr","non-dropping-particle":"","parse-names":false,"suffix":""},{"dropping-particle":"","family":"Rosano","given":"Giuseppe M.C.","non-dropping-particle":"","parse-names":false,"suffix":""},{"dropping-particle":"","family":"Sakata","given":"Yasushi","non-dropping-particle":"","parse-names":false,"suffix":""},{"dropping-particle":"","family":"SeferoviĆ","given":"Petar","non-dropping-particle":"","parse-names":false,"suffix":""},{"dropping-particle":"","family":"Starling","given":"Randall C.","non-dropping-particle":"","parse-names":false,"suffix":""},{"dropping-particle":"","family":"Teerlink","given":"John R.","non-dropping-particle":"","parse-names":false,"suffix":""},{"dropping-particle":"","family":"Vardeny","given":"Orly","non-dropping-particle":"","parse-names":false,"suffix":""},{"dropping-particle":"","family":"Yamamoto","given":"Kazuhiro","non-dropping-particle":"","parse-names":false,"suffix":""},{"dropping-particle":"","family":"Yancy","given":"Clyde","non-dropping-particle":"","parse-names":false,"suffix":""},{"dropping-particle":"","family":"Zhang","given":"Jian","non-dropping-particle":"","parse-names":false,"suffix":""},{"dropping-particle":"","family":"Zieroth","given":"Shelley","non-dropping-particle":"","parse-names":false,"suffix":""}],"container-title":"Journal of Cardiac Failure","id":"ITEM-1","issue":"4","issued":{"date-parts":[["2021"]]},"page":"387-413","title":"Universal Definition and Classification of Heart Failure: A Report of the Heart Failure Society of America, Heart Failure Association of the European Society of Cardiology, Japanese Heart Failure Society and Writing Committee of the Universal Definition o","type":"article-journal","volume":"27"},"uris":["http://www.mendeley.com/documents/?uuid=3b227a7a-1140-46ef-a25d-629ee7097486"]}],"mendeley":{"formattedCitation":"(5)","plainTextFormattedCitation":"(5)","previouslyFormattedCitation":"(5)"},"properties":{"noteIndex":0},"schema":"https://github.com/citation-style-language/schema/raw/master/csl-citation.json"}</w:instrText>
      </w:r>
      <w:r w:rsidR="000962ED" w:rsidRPr="004661E9">
        <w:rPr>
          <w:rFonts w:ascii="Arial" w:hAnsi="Arial" w:cs="Arial"/>
        </w:rPr>
        <w:fldChar w:fldCharType="separate"/>
      </w:r>
      <w:r w:rsidR="000962ED" w:rsidRPr="004661E9">
        <w:rPr>
          <w:rFonts w:ascii="Arial" w:hAnsi="Arial" w:cs="Arial"/>
          <w:noProof/>
        </w:rPr>
        <w:t>(5)</w:t>
      </w:r>
      <w:r w:rsidR="000962ED" w:rsidRPr="004661E9">
        <w:rPr>
          <w:rFonts w:ascii="Arial" w:hAnsi="Arial" w:cs="Arial"/>
        </w:rPr>
        <w:fldChar w:fldCharType="end"/>
      </w:r>
      <w:r w:rsidR="008D0C25" w:rsidRPr="004661E9">
        <w:rPr>
          <w:rFonts w:ascii="Arial" w:hAnsi="Arial" w:cs="Arial"/>
        </w:rPr>
        <w:t>.</w:t>
      </w:r>
      <w:r w:rsidR="0006292E" w:rsidRPr="004661E9">
        <w:rPr>
          <w:rFonts w:ascii="Arial" w:hAnsi="Arial" w:cs="Arial"/>
        </w:rPr>
        <w:t xml:space="preserve"> </w:t>
      </w:r>
    </w:p>
    <w:p w14:paraId="011878F9" w14:textId="77777777" w:rsidR="008D0C25" w:rsidRPr="004661E9" w:rsidRDefault="008D0C25" w:rsidP="004661E9">
      <w:pPr>
        <w:spacing w:after="0" w:line="276" w:lineRule="auto"/>
        <w:rPr>
          <w:rFonts w:ascii="Arial" w:hAnsi="Arial" w:cs="Arial"/>
        </w:rPr>
      </w:pPr>
    </w:p>
    <w:p w14:paraId="6BE9D623" w14:textId="342CAB55" w:rsidR="000E7B0F" w:rsidRPr="004661E9" w:rsidRDefault="00FF44F6" w:rsidP="004661E9">
      <w:pPr>
        <w:spacing w:after="0" w:line="276" w:lineRule="auto"/>
        <w:rPr>
          <w:rFonts w:ascii="Arial" w:hAnsi="Arial" w:cs="Arial"/>
        </w:rPr>
      </w:pPr>
      <w:r w:rsidRPr="004661E9">
        <w:rPr>
          <w:rFonts w:ascii="Arial" w:hAnsi="Arial" w:cs="Arial"/>
        </w:rPr>
        <w:t xml:space="preserve">LVH is common among </w:t>
      </w:r>
      <w:r w:rsidR="00861472" w:rsidRPr="004661E9">
        <w:rPr>
          <w:rFonts w:ascii="Arial" w:hAnsi="Arial" w:cs="Arial"/>
        </w:rPr>
        <w:t>adults</w:t>
      </w:r>
      <w:r w:rsidRPr="004661E9">
        <w:rPr>
          <w:rFonts w:ascii="Arial" w:hAnsi="Arial" w:cs="Arial"/>
        </w:rPr>
        <w:t xml:space="preserve"> with </w:t>
      </w:r>
      <w:r w:rsidR="00A36DE2" w:rsidRPr="004661E9">
        <w:rPr>
          <w:rFonts w:ascii="Arial" w:hAnsi="Arial" w:cs="Arial"/>
        </w:rPr>
        <w:t>diabetes</w:t>
      </w:r>
      <w:r w:rsidR="0015065B" w:rsidRPr="004661E9">
        <w:rPr>
          <w:rFonts w:ascii="Arial" w:hAnsi="Arial" w:cs="Arial"/>
        </w:rPr>
        <w:t>,</w:t>
      </w:r>
      <w:r w:rsidRPr="004661E9">
        <w:rPr>
          <w:rFonts w:ascii="Arial" w:hAnsi="Arial" w:cs="Arial"/>
        </w:rPr>
        <w:t xml:space="preserve"> with an estimated prevalence</w:t>
      </w:r>
      <w:r w:rsidR="005340E2" w:rsidRPr="004661E9">
        <w:rPr>
          <w:rFonts w:ascii="Arial" w:hAnsi="Arial" w:cs="Arial"/>
        </w:rPr>
        <w:t xml:space="preserve"> as high as</w:t>
      </w:r>
      <w:r w:rsidRPr="004661E9">
        <w:rPr>
          <w:rFonts w:ascii="Arial" w:hAnsi="Arial" w:cs="Arial"/>
        </w:rPr>
        <w:t xml:space="preserve"> 70%</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{"citationItems":[{"id":"ITEM-1","itemData":{"DOI":"10.1007/s00125-005-1896-y","ISSN":"0012186X","abstract":"Aims/hypothesis: Patients with type 2 diabetes mellitus are at greater cardiovascular risk than the general population. Although it is widely acknowledged that diabetes is a risk factor for coronary artery disease, the increased prevalence of potentially lethal left ventricular abnormalities in this population is less well appreciated. Methods: We carried out an echocardiographic study of 500 subjects with type 2 diabetes mellitus to assess the prevalence of left ventricular hypertrophy (LVH) and left ventricular systolic dysfunction (LVSD). We also assessed whether abnormalities in diastolic filling parameters were present. Results: Of the 371 patients in whom left ventricular mass could be successfully assessed, 264 had LVH (71%). Left ventricular systolic dysfunction was much less common, being present in 16/385 patients (4.2%). Long axis contraction was abnormal in 29/429 patients (6.8%). Diastolic filling abnormalities were present in 178/435 (41%) of patients who could be classified using the selected criteria. Conclusions: We conclude that left ventricular abnormalities are common in type 2 diabetic patients. As medical therapy is available for both LVH and LVSD and has been demonstrated to reduce cardiovascular death, these left ventricular abnormalities could be ideal targets for screening, followed by selective therapeutic intervention. © Springer-Verlag 2005.","author":[{"dropping-particle":"","family":"Dawson","given":"A.","non-dropping-particle":"","parse-names":false,"suffix":""},{"dropping-particle":"","family":"Morris","given":"A. D.","non-dropping-particle":"","parse-names":false,"suffix":""},{"dropping-particle":"","family":"Struthers","given":"A. D.","non-dropping-particle":"","parse-names":false,"suffix":""}],"container-title":"Diabetologia","id":"ITEM-1","issue":"10","issued":{"date-parts":[["2005","10"]]},"page":"1971-1979","title":"The epidemiology of left ventricular hypertrophy in type 2 diabetes mellitus","type":"article-journal","volume":"48"},"uris":["http://www.mendeley.com/documents/?uuid=b275c056-d674-3b5f-9101-32cf64b73fd1"]}],"mendeley":{"formattedCitation":"(68)","plainTextFormattedCitation":"(68)","previouslyFormattedCitation":"(68)"},"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(68)</w:t>
      </w:r>
      <w:r w:rsidR="000F3AD7" w:rsidRPr="004661E9">
        <w:rPr>
          <w:rFonts w:ascii="Arial" w:hAnsi="Arial" w:cs="Arial"/>
        </w:rPr>
        <w:fldChar w:fldCharType="end"/>
      </w:r>
      <w:r w:rsidR="008D0C25" w:rsidRPr="004661E9">
        <w:rPr>
          <w:rFonts w:ascii="Arial" w:hAnsi="Arial" w:cs="Arial"/>
        </w:rPr>
        <w:t>.</w:t>
      </w:r>
      <w:r w:rsidR="005340E2" w:rsidRPr="004661E9">
        <w:rPr>
          <w:rFonts w:ascii="Arial" w:hAnsi="Arial" w:cs="Arial"/>
        </w:rPr>
        <w:t xml:space="preserve"> A pooled analysis of 3 epidemiological cohort studies</w:t>
      </w:r>
      <w:r w:rsidR="00543EDD" w:rsidRPr="004661E9">
        <w:rPr>
          <w:rFonts w:ascii="Arial" w:hAnsi="Arial" w:cs="Arial"/>
        </w:rPr>
        <w:t>,</w:t>
      </w:r>
      <w:r w:rsidR="005340E2" w:rsidRPr="004661E9">
        <w:rPr>
          <w:rFonts w:ascii="Arial" w:hAnsi="Arial" w:cs="Arial"/>
        </w:rPr>
        <w:t xml:space="preserve"> including 2900 </w:t>
      </w:r>
      <w:r w:rsidR="007E4DA9" w:rsidRPr="004661E9">
        <w:rPr>
          <w:rFonts w:ascii="Arial" w:hAnsi="Arial" w:cs="Arial"/>
        </w:rPr>
        <w:t>individuals</w:t>
      </w:r>
      <w:r w:rsidR="005340E2" w:rsidRPr="004661E9">
        <w:rPr>
          <w:rFonts w:ascii="Arial" w:hAnsi="Arial" w:cs="Arial"/>
        </w:rPr>
        <w:t xml:space="preserve"> with T2DM and no know</w:t>
      </w:r>
      <w:r w:rsidR="00543EDD" w:rsidRPr="004661E9">
        <w:rPr>
          <w:rFonts w:ascii="Arial" w:hAnsi="Arial" w:cs="Arial"/>
        </w:rPr>
        <w:t>n</w:t>
      </w:r>
      <w:r w:rsidR="005340E2" w:rsidRPr="004661E9">
        <w:rPr>
          <w:rFonts w:ascii="Arial" w:hAnsi="Arial" w:cs="Arial"/>
        </w:rPr>
        <w:t xml:space="preserve"> CVD</w:t>
      </w:r>
      <w:r w:rsidR="00543EDD" w:rsidRPr="004661E9">
        <w:rPr>
          <w:rFonts w:ascii="Arial" w:hAnsi="Arial" w:cs="Arial"/>
        </w:rPr>
        <w:t>,</w:t>
      </w:r>
      <w:r w:rsidR="005340E2" w:rsidRPr="004661E9">
        <w:rPr>
          <w:rFonts w:ascii="Arial" w:hAnsi="Arial" w:cs="Arial"/>
        </w:rPr>
        <w:t xml:space="preserve"> demonstrated that 67% of the part</w:t>
      </w:r>
      <w:r w:rsidR="00543EDD" w:rsidRPr="004661E9">
        <w:rPr>
          <w:rFonts w:ascii="Arial" w:hAnsi="Arial" w:cs="Arial"/>
        </w:rPr>
        <w:t>i</w:t>
      </w:r>
      <w:r w:rsidR="005340E2" w:rsidRPr="004661E9">
        <w:rPr>
          <w:rFonts w:ascii="Arial" w:hAnsi="Arial" w:cs="Arial"/>
        </w:rPr>
        <w:t>cipants had at least one of the following echocardiographic abnormalities: LVH, left atrial enlargement, or diastolic dysfunction</w:t>
      </w:r>
      <w:r w:rsidR="00784A88" w:rsidRPr="004661E9">
        <w:rPr>
          <w:rFonts w:ascii="Arial" w:hAnsi="Arial" w:cs="Arial"/>
        </w:rPr>
        <w:t xml:space="preserve"> </w:t>
      </w:r>
      <w:r w:rsidR="00E77466" w:rsidRPr="004661E9">
        <w:rPr>
          <w:rFonts w:ascii="Arial" w:hAnsi="Arial" w:cs="Arial"/>
        </w:rPr>
        <w:fldChar w:fldCharType="begin" w:fldLock="1"/>
      </w:r>
      <w:r w:rsidR="000962ED" w:rsidRPr="004661E9">
        <w:rPr>
          <w:rFonts w:ascii="Arial" w:hAnsi="Arial" w:cs="Arial"/>
        </w:rPr>
        <w:instrText>ADDIN CSL_CITATION {"citationItems":[{"id":"ITEM-1","itemData":{"DOI":"10.1016/J.JACC.2022.03.378","ISSN":"0735-1097","PMID":"35680178","abstract":"Background: The influence of diabetes on progression from preclinical heart failure (HF) stages to overt HF is poorly understood. Objectives: The purpose of this study was to characterize the influence of diabetes on the progression from preclinical HF stages (A or B based on the 2021 Universal Definition) to overt HF. Methods: We included 4,774 adults with preclinical HF (stage A [n = 1,551] or B [n = 3,223]) who attended the ARIC (Atherosclerosis Risk In Communities) study Visit 5 (2011-2013). Within each stage (A or B), we assessed the associations of diabetes and glycemic control (hemoglobin A1C [HbA1C] &lt;7% vs ≥7%) with progression to HF, and of cross-categories of HF stages (A vs B), diabetes, and glycemic control with incident HF. Results: Among the participants (mean age 75.4 years, 58% women, 20% Black), there were 470 HF events during 8.6 years of follow-up. Stage B participants with HbA1C ≥7% experienced clinical HF at a younger age than those with controlled diabetes or without diabetes (mean age 80 years vs 83 years vs 82 years; P &lt; 0.001). HbA1C ≥7% was more strongly associated with HF in stage B (HR: 1.83; 95% CI: 1.33-2.51) compared with stage A (HR: 1.52; 95% CI: 0.53-4.38). In cross-categories of preclinical HF stage and HbA1C, participants with stage B and HbA1C ≥7% had increased risk of HF progression compared with stage A without diabetes (HR: 7.56; 95% CI: 4.68-12.20). Conclusions: Among older adults with preclinical HF stages, uncontrolled diabetes was associated with substantial risk of HF progression. Our results suggest that targeting diabetes early in the HF process is critical.","author":[{"dropping-particle":"","family":"Echouffo-Tcheugui","given":"Justin B.","non-dropping-particle":"","parse-names":false,"suffix":""},{"dropping-particle":"","family":"Ndumele","given":"Chiadi E.","non-dropping-particle":"","parse-names":false,"suffix":""},{"dropping-particle":"","family":"Zhang","given":"Sui","non-dropping-particle":"","parse-names":false,"suffix":""},{"dropping-particle":"","family":"Florido","given":"Roberta","non-dropping-particle":"","parse-names":false,"suffix":""},{"dropping-particle":"","family":"Matsushita","given":"Kunihiro","non-dropping-particle":"","parse-names":false,"suffix":""},{"dropping-particle":"","family":"Coresh","given":"Josef","non-dropping-particle":"","parse-names":false,"suffix":""},{"dropping-particle":"","family":"Skali","given":"Hicham","non-dropping-particle":"","parse-names":false,"suffix":""},{"dropping-particle":"","family":"Shah","given":"Amil M.","non-dropping-particle":"","parse-names":false,"suffix":""},{"dropping-particle":"","family":"Selvin","given":"Elizabeth","non-dropping-particle":"","parse-names":false,"suffix":""}],"container-title":"Journal of the American College of Cardiology","id":"ITEM-1","issue":"23","issued":{"date-parts":[["2022","6","14"]]},"page":"2285-2293","publisher":"Elsevier","title":"Diabetes and Progression of Heart Failure: The Atherosclerosis Risk In Communities (ARIC) Study","type":"article-journal","volume":"79"},"uris":["http://www.mendeley.com/documents/?uuid=e0d15c41-b6b8-3ae7-ba1a-f61947790cf0"]}],"mendeley":{"formattedCitation":"(44)","plainTextFormattedCitation":"(44)","previouslyFormattedCitation":"(44)"},"properties":{"noteIndex":0},"schema":"https://github.com/citation-style-language/schema/raw/master/csl-citation.json"}</w:instrText>
      </w:r>
      <w:r w:rsidR="00E77466" w:rsidRPr="004661E9">
        <w:rPr>
          <w:rFonts w:ascii="Arial" w:hAnsi="Arial" w:cs="Arial"/>
        </w:rPr>
        <w:fldChar w:fldCharType="separate"/>
      </w:r>
      <w:r w:rsidR="000962ED" w:rsidRPr="004661E9">
        <w:rPr>
          <w:rFonts w:ascii="Arial" w:hAnsi="Arial" w:cs="Arial"/>
          <w:noProof/>
        </w:rPr>
        <w:t>(44)</w:t>
      </w:r>
      <w:r w:rsidR="00E77466" w:rsidRPr="004661E9">
        <w:rPr>
          <w:rFonts w:ascii="Arial" w:hAnsi="Arial" w:cs="Arial"/>
        </w:rPr>
        <w:fldChar w:fldCharType="end"/>
      </w:r>
      <w:r w:rsidR="00784A88" w:rsidRPr="004661E9">
        <w:rPr>
          <w:rFonts w:ascii="Arial" w:hAnsi="Arial" w:cs="Arial"/>
        </w:rPr>
        <w:t>.</w:t>
      </w:r>
      <w:r w:rsidRPr="004661E9">
        <w:rPr>
          <w:rFonts w:ascii="Arial" w:hAnsi="Arial" w:cs="Arial"/>
        </w:rPr>
        <w:t xml:space="preserve"> </w:t>
      </w:r>
      <w:r w:rsidR="002F6C4A" w:rsidRPr="004661E9">
        <w:rPr>
          <w:rFonts w:ascii="Arial" w:hAnsi="Arial" w:cs="Arial"/>
        </w:rPr>
        <w:t xml:space="preserve">Coexistent </w:t>
      </w:r>
      <w:r w:rsidR="00397B46" w:rsidRPr="004661E9">
        <w:rPr>
          <w:rFonts w:ascii="Arial" w:hAnsi="Arial" w:cs="Arial"/>
        </w:rPr>
        <w:t>hypertension</w:t>
      </w:r>
      <w:r w:rsidR="002F6C4A" w:rsidRPr="004661E9">
        <w:rPr>
          <w:rFonts w:ascii="Arial" w:hAnsi="Arial" w:cs="Arial"/>
        </w:rPr>
        <w:t xml:space="preserve"> appears to be the </w:t>
      </w:r>
      <w:r w:rsidR="00EB714E" w:rsidRPr="004661E9">
        <w:rPr>
          <w:rFonts w:ascii="Arial" w:hAnsi="Arial" w:cs="Arial"/>
        </w:rPr>
        <w:t xml:space="preserve">main contributor to LVH in patients with </w:t>
      </w:r>
      <w:r w:rsidR="00397B46" w:rsidRPr="004661E9">
        <w:rPr>
          <w:rFonts w:ascii="Arial" w:hAnsi="Arial" w:cs="Arial"/>
        </w:rPr>
        <w:t>diabetes</w:t>
      </w:r>
      <w:r w:rsidR="008E53EB" w:rsidRPr="004661E9">
        <w:rPr>
          <w:rFonts w:ascii="Arial" w:hAnsi="Arial" w:cs="Arial"/>
        </w:rPr>
        <w:t xml:space="preserve"> </w:t>
      </w:r>
      <w:r w:rsidR="0094621E" w:rsidRPr="004661E9">
        <w:rPr>
          <w:rFonts w:ascii="Arial" w:hAnsi="Arial" w:cs="Arial"/>
        </w:rPr>
        <w:fldChar w:fldCharType="begin" w:fldLock="1"/>
      </w:r>
      <w:r w:rsidR="00E156CB" w:rsidRPr="004661E9">
        <w:rPr>
          <w:rFonts w:ascii="Arial" w:hAnsi="Arial" w:cs="Arial"/>
        </w:rPr>
        <w:instrText>ADDIN CSL_CITATION {"citationItems":[{"id":"ITEM-1","itemData":{"DOI":"10.1161/JAHA.122.026463","ISSN":"20479980","PMID":"36880997","abstract":"BACKGROUND: Diabetes and hypertension have been associated with adverse left ventricular (LV) remodeling. While they often occur concurrently, their individual effects are understudied. We aimed to assess the independent effects of diabetes and hypertension on LV remodeling in Black adults. METHODS AND RESULTS: The JHS (Jackson Heart Study) participants (n=4143 Black adults) with echocardiographic measures from baseline exam were stratified into 4 groups: neither diabetes nor hypertension (n=1643), only diabetes (n=152), only hypertension (n=1669), or both diabetes and hypertension (n=679). Echocardiographic measures of LV structure and function among these groups were evaluated by multivariable regression adjusting for covariates. Mean age of the participants was 52±1 years, and 63.7% were women. LV mass index was not different in participants with only diabetes compared with participants with neither diabetes nor hypertension (P=0.8). LV mass index was 7.9% (6.0 g/m2) higher in participants with only hypertension and 10.8% (8.1 g/m2) higher in participants with both diabetes and hypertension compared with those with neither (P&lt;0.001). LV wall thickness (relative, posterior, and septal) and brain natriuretic peptide levels in participants with only diabetes were not significantly higher than participants with neither (P&gt;0.05). However, participants with both diabetes and hypertension demonstrated higher LV wall thickness and brain natriuretic peptide levels than participants with neither (P&lt;0.05). CONCLUSIONS: In this cross-sectional analysis, diabetes was not associated with altered LV structure or function in Black adults unless participants also had hypertension. Our findings suggest hypertension is the main contributor to cardiac structural and functional changes in Black adults with diabetes.","author":[{"dropping-particle":"","family":"Hamid","given":"Arsalan","non-dropping-particle":"","parse-names":false,"suffix":""},{"dropping-particle":"","family":"Yimer","given":"Wondwosen K.","non-dropping-particle":"","parse-names":false,"suffix":""},{"dropping-particle":"","family":"Oshunbade","given":"Adebamike A.","non-dropping-particle":"","parse-names":false,"suffix":""},{"dropping-particle":"","family":"Kamimura","given":"Daisuke","non-dropping-particle":"","parse-names":false,"suffix":""},{"dropping-particle":"","family":"Clark","given":"Donald","non-dropping-particle":"","parse-names":false,"suffix":""},{"dropping-particle":"","family":"Fox","given":"Ervin R.","non-dropping-particle":"","parse-names":false,"suffix":""},{"dropping-particle":"","family":"Min","given":"Yuan I.","non-dropping-particle":"","parse-names":false,"suffix":""},{"dropping-particle":"","family":"Muntner","given":"Paul","non-dropping-particle":"","parse-names":false,"suffix":""},{"dropping-particle":"","family":"Shimbo","given":"Daichi","non-dropping-particle":"","parse-names":false,"suffix":""},{"dropping-particle":"","family":"Pandey","given":"Ambarish","non-dropping-particle":"","parse-names":false,"suffix":""},{"dropping-particle":"","family":"Shah","given":"Amil M.","non-dropping-particle":"","parse-names":false,"suffix":""},{"dropping-particle":"","family":"Mentz","given":"Robert J.","non-dropping-particle":"","parse-names":false,"suffix":""},{"dropping-particle":"","family":"Jones","given":"Daniel W.","non-dropping-particle":"","parse-names":false,"suffix":""},{"dropping-particle":"","family":"Bertoni","given":"Alain G.","non-dropping-particle":"","parse-names":false,"suffix":""},{"dropping-particle":"","family":"Hall","given":"John E.","non-dropping-particle":"","parse-names":false,"suffix":""},{"dropping-particle":"","family":"Correa","given":"Adolfo","non-dropping-particle":"","parse-names":false,"suffix":""},{"dropping-particle":"","family":"Butler","given":"Javed","non-dropping-particle":"","parse-names":false,"suffix":""},{"dropping-particle":"","family":"Hall","given":"Michael E.","non-dropping-particle":"","parse-names":false,"suffix":""}],"container-title":"Journal of the American Heart Association: Cardiovascular and Cerebrovascular Disease","id":"ITEM-1","issue":"6","issued":{"date-parts":[["2023","3","3"]]},"page":"26463","publisher":"Wiley-Blackwell","title":"Impact of Diabetes and Hypertension on Left Ventricular Structure and Function: The Jackson Heart Study","type":"article-journal","volume":"12"},"uris":["http://www.mendeley.com/documents/?uuid=c6874d6b-73f1-3510-90c0-e77d7bb74de1"]}],"mendeley":{"formattedCitation":"(69)","plainTextFormattedCitation":"(69)","previouslyFormattedCitation":"(69)"},"properties":{"noteIndex":0},"schema":"https://github.com/citation-style-language/schema/raw/master/csl-citation.json"}</w:instrText>
      </w:r>
      <w:r w:rsidR="0094621E" w:rsidRPr="004661E9">
        <w:rPr>
          <w:rFonts w:ascii="Arial" w:hAnsi="Arial" w:cs="Arial"/>
        </w:rPr>
        <w:fldChar w:fldCharType="separate"/>
      </w:r>
      <w:r w:rsidR="003C01B8" w:rsidRPr="004661E9">
        <w:rPr>
          <w:rFonts w:ascii="Arial" w:hAnsi="Arial" w:cs="Arial"/>
          <w:noProof/>
        </w:rPr>
        <w:t>(69)</w:t>
      </w:r>
      <w:r w:rsidR="0094621E" w:rsidRPr="004661E9">
        <w:rPr>
          <w:rFonts w:ascii="Arial" w:hAnsi="Arial" w:cs="Arial"/>
        </w:rPr>
        <w:fldChar w:fldCharType="end"/>
      </w:r>
      <w:r w:rsidR="00EB714E" w:rsidRPr="004661E9">
        <w:rPr>
          <w:rFonts w:ascii="Arial" w:hAnsi="Arial" w:cs="Arial"/>
        </w:rPr>
        <w:t>. However, several</w:t>
      </w:r>
      <w:r w:rsidR="000E7B0F" w:rsidRPr="004661E9">
        <w:rPr>
          <w:rFonts w:ascii="Arial" w:hAnsi="Arial" w:cs="Arial"/>
        </w:rPr>
        <w:t xml:space="preserve"> studies have </w:t>
      </w:r>
      <w:r w:rsidR="00EB714E" w:rsidRPr="004661E9">
        <w:rPr>
          <w:rFonts w:ascii="Arial" w:hAnsi="Arial" w:cs="Arial"/>
        </w:rPr>
        <w:t xml:space="preserve">also </w:t>
      </w:r>
      <w:r w:rsidR="000E7B0F" w:rsidRPr="004661E9">
        <w:rPr>
          <w:rFonts w:ascii="Arial" w:hAnsi="Arial" w:cs="Arial"/>
        </w:rPr>
        <w:t xml:space="preserve">demonstrated an independent association between </w:t>
      </w:r>
      <w:r w:rsidR="00A36DE2" w:rsidRPr="004661E9">
        <w:rPr>
          <w:rFonts w:ascii="Arial" w:hAnsi="Arial" w:cs="Arial"/>
        </w:rPr>
        <w:t>diabetes</w:t>
      </w:r>
      <w:r w:rsidR="000E7B0F" w:rsidRPr="004661E9">
        <w:rPr>
          <w:rFonts w:ascii="Arial" w:hAnsi="Arial" w:cs="Arial"/>
        </w:rPr>
        <w:t xml:space="preserve"> and LVH.</w:t>
      </w:r>
      <w:r w:rsidR="0099436D" w:rsidRPr="004661E9">
        <w:rPr>
          <w:rFonts w:ascii="Arial" w:hAnsi="Arial" w:cs="Arial"/>
        </w:rPr>
        <w:t xml:space="preserve"> In the Framingham Heart Study, </w:t>
      </w:r>
      <w:r w:rsidR="007E4DA9" w:rsidRPr="004661E9">
        <w:rPr>
          <w:rFonts w:ascii="Arial" w:hAnsi="Arial" w:cs="Arial"/>
        </w:rPr>
        <w:t xml:space="preserve">serum </w:t>
      </w:r>
      <w:r w:rsidR="0099436D" w:rsidRPr="004661E9">
        <w:rPr>
          <w:rFonts w:ascii="Arial" w:hAnsi="Arial" w:cs="Arial"/>
        </w:rPr>
        <w:t>glucose</w:t>
      </w:r>
      <w:r w:rsidR="007E4DA9" w:rsidRPr="004661E9">
        <w:rPr>
          <w:rFonts w:ascii="Arial" w:hAnsi="Arial" w:cs="Arial"/>
        </w:rPr>
        <w:t>, insulin levels,</w:t>
      </w:r>
      <w:r w:rsidR="0099436D" w:rsidRPr="004661E9">
        <w:rPr>
          <w:rFonts w:ascii="Arial" w:hAnsi="Arial" w:cs="Arial"/>
        </w:rPr>
        <w:t xml:space="preserve"> and </w:t>
      </w:r>
      <w:r w:rsidR="00C83557" w:rsidRPr="004661E9">
        <w:rPr>
          <w:rFonts w:ascii="Arial" w:hAnsi="Arial" w:cs="Arial"/>
        </w:rPr>
        <w:t>IR</w:t>
      </w:r>
      <w:r w:rsidR="0099436D" w:rsidRPr="004661E9">
        <w:rPr>
          <w:rFonts w:ascii="Arial" w:hAnsi="Arial" w:cs="Arial"/>
        </w:rPr>
        <w:t xml:space="preserve"> were significantly </w:t>
      </w:r>
      <w:r w:rsidR="0059301B" w:rsidRPr="004661E9">
        <w:rPr>
          <w:rFonts w:ascii="Arial" w:hAnsi="Arial" w:cs="Arial"/>
        </w:rPr>
        <w:t>linked to</w:t>
      </w:r>
      <w:r w:rsidR="0099436D" w:rsidRPr="004661E9">
        <w:rPr>
          <w:rFonts w:ascii="Arial" w:hAnsi="Arial" w:cs="Arial"/>
        </w:rPr>
        <w:t xml:space="preserve"> concentric LV remodeling</w:t>
      </w:r>
      <w:r w:rsidR="00F81FFC" w:rsidRPr="004661E9">
        <w:rPr>
          <w:rFonts w:ascii="Arial" w:hAnsi="Arial" w:cs="Arial"/>
        </w:rPr>
        <w:t xml:space="preserve">, a finding that was more striking in women than </w:t>
      </w:r>
      <w:r w:rsidR="00EB04B0" w:rsidRPr="004661E9">
        <w:rPr>
          <w:rFonts w:ascii="Arial" w:hAnsi="Arial" w:cs="Arial"/>
        </w:rPr>
        <w:lastRenderedPageBreak/>
        <w:t xml:space="preserve">in </w:t>
      </w:r>
      <w:r w:rsidR="00F81FFC" w:rsidRPr="004661E9">
        <w:rPr>
          <w:rFonts w:ascii="Arial" w:hAnsi="Arial" w:cs="Arial"/>
        </w:rPr>
        <w:t>m</w:t>
      </w:r>
      <w:r w:rsidR="008E11EF" w:rsidRPr="004661E9">
        <w:rPr>
          <w:rFonts w:ascii="Arial" w:hAnsi="Arial" w:cs="Arial"/>
        </w:rPr>
        <w:t>e</w:t>
      </w:r>
      <w:r w:rsidR="00F81FFC" w:rsidRPr="004661E9">
        <w:rPr>
          <w:rFonts w:ascii="Arial" w:hAnsi="Arial" w:cs="Arial"/>
        </w:rPr>
        <w:t>n</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{"citationItems":[{"id":"ITEM-1","itemData":{"DOI":"10.1161/CIRCIMAGING.109.911438","ISSN":"1942-0080","PMID":"20208015","abstract":"BACKGROUND Data regarding the relationships of diabetes, insulin resistance, and subclinical hyperinsulinemia/hyperglycemia with cardiac structure and function are conflicting. We sought to apply volumetric cardiovascular magnetic resonance (CMR) in a free-living cohort to potentially clarify these associations. METHODS AND RESULTS A total of 1603 Framingham Heart Study Offspring participants (age, 64+/-9 years; 55% women) underwent CMR to determine left ventricular mass (LVM), LVM to end-diastolic volume ratio (LVM/LVEDV), relative wall thickness (RWT), ejection fraction, cardiac output, and left atrial size. Data regarding insulin resistance (homeostasis model, HOMA-IR) and glycemia categories (normal, impaired insulinemia or glycemia, prediabetes, and diabetes) were determined. In a subgroup (253 men, 290 women) that underwent oral glucose tolerance testing, we related 2-hour insulin and glucose with CMR measures. In both men and women, all age-adjusted CMR measures increased across HOMA-IR quartiles, but multivariable-adjusted trends were significant only for LVM/ht(2.7) and LVM/LVEDV. LVM/LVEDV and RWT were higher in participants with prediabetes and diabetes (in both sexes) in age-adjusted models, but these associations remained significant after multivariable adjustment only in men. LVM/LVEDV was significantly associated with 2-hour insulin in men only, and RWT was significantly associated with 2-hour glucose in women only. In multivariable stepwise selection analyses, the inclusion of body mass index led to a loss in statistical significance. CONCLUSIONS Although insulin and glucose indices are associated with abnormalities in cardiac structure, insulin resistance and worsening glycemia are consistently and independently associated with LVM/LVEDV. These data implicate hyperglycemia and insulin resistance in concentric LV remodeling.","author":[{"dropping-particle":"","family":"Velagaleti","given":"Raghava S","non-dropping-particle":"","parse-names":false,"suffix":""},{"dropping-particle":"","family":"Gona","given":"Philimon","non-dropping-particle":"","parse-names":false,"suffix":""},{"dropping-particle":"","family":"Chuang","given":"Michael L","non-dropping-particle":"","parse-names":false,"suffix":""},{"dropping-particle":"","family":"Salton","given":"Carol J","non-dropping-particle":"","parse-names":false,"suffix":""},{"dropping-particle":"","family":"Fox","given":"Caroline S","non-dropping-particle":"","parse-names":false,"suffix":""},{"dropping-particle":"","family":"Blease","given":"Susan J","non-dropping-particle":"","parse-names":false,"suffix":""},{"dropping-particle":"","family":"Yeon","given":"Susan B","non-dropping-particle":"","parse-names":false,"suffix":""},{"dropping-particle":"","family":"Manning","given":"Warren J","non-dropping-particle":"","parse-names":false,"suffix":""},{"dropping-particle":"","family":"O'Donnell","given":"Christopher J","non-dropping-particle":"","parse-names":false,"suffix":""}],"container-title":"Circulation. Cardiovascular imaging","id":"ITEM-1","issue":"3","issued":{"date-parts":[["2010","5"]]},"page":"257-63","title":"Relations of insulin resistance and glycemic abnormalities to cardiovascular magnetic resonance measures of cardiac structure and function: the Framingham Heart Study.","type":"article-journal","volume":"3"},"uris":["http://www.mendeley.com/documents/?uuid=73ab2783-28eb-3956-9839-30f2bca9ed9a"]},{"id":"ITEM-2","itemData":{"DOI":"10.1161/01.CIR.0000045671.62860.98","ISSN":"00097322","abstract":"Background - Although insulin resistance has been implicated in the pathogenesis of left ventricular (LV) hypertrophy, previous studies have yielded inconsistent results and are limited by referral bias. Methods and Results - We examined the relations between echocardiographic LV measurements and glucose tolerance status in 2623 Framingham Study subjects (1514 women, mean age 53 years) free of myocardial infarction and heart failure. We also evaluated the relations of insulin resistance (homeostasis model, HOMA-IR) and LV and left atrial (LA) measures within the normal and abnormal glucose tolerance categories (the latter included impaired glucose tolerance, impaired fasting glucose, and newly diagnosed diabetes). LV mass (adjusted for age, height, heart rate, and systolic blood pressure) increased across categories of worsening glucose tolerance; the trend was more striking in women (P&lt;0.001) compared with men (P=0.054). In subjects with normal (n=2022) and abnormal glucose tolerance (n=327), covariate-adjusted LV mass and LV wall thickness increased across HOMA-IR quartiles in women (P&lt;0.001) but not men. In contrast, covariate-adjusted LA size increased with worsening glucose tolerance and across HOMA-IR quartiles in the normal and abnormal glucose tolerance groups in both sexes. Adjustment for body mass index considerably attenuated the relations of LV/LA measures and HOMA-IR, rendering them statistically nonsignificant in the normal glucose tolerance group. Conclusions - In our large community-based sample, LV mass and wall thickness increased with worsening glucose intolerance, an effect that was more striking in women compared with men. Insulin resistance was associated with increased LV mass in women alone, but this relation was largely accounted for by obesity.","author":[{"dropping-particle":"","family":"Rutter","given":"Martin K.","non-dropping-particle":"","parse-names":false,"suffix":""},{"dropping-particle":"","family":"Parise","given":"Helen","non-dropping-particle":"","parse-names":false,"suffix":""},{"dropping-particle":"","family":"Benjamin","given":"Emelia J.","non-dropping-particle":"","parse-names":false,"suffix":""},{"dropping-particle":"","family":"Levy","given":"Daniel","non-dropping-particle":"","parse-names":false,"suffix":""},{"dropping-particle":"","family":"Larson","given":"Martin G.","non-dropping-particle":"","parse-names":false,"suffix":""},{"dropping-particle":"","family":"Meigs","given":"James B.","non-dropping-particle":"","parse-names":false,"suffix":""},{"dropping-particle":"","family":"Nesto","given":"Richard W.","non-dropping-particle":"","parse-names":false,"suffix":""},{"dropping-particle":"","family":"Wilson","given":"Peter W.F.","non-dropping-particle":"","parse-names":false,"suffix":""},{"dropping-particle":"","family":"Vasan","given":"Ramachandran S.","non-dropping-particle":"","parse-names":false,"suffix":""}],"container-title":"Circulation","id":"ITEM-2","issue":"3","issued":{"date-parts":[["2003","1","28"]]},"page":"448-454","title":"Impact of glucose intolerance and insulin resistance on cardiac structure and function: Sex-related differences in the Framingham Heart Study","type":"article-journal","volume":"107"},"uris":["http://www.mendeley.com/documents/?uuid=2eabd09c-97f6-358e-8e7f-6b6bdb1fca20"]}],"mendeley":{"formattedCitation":"(70,71)","plainTextFormattedCitation":"(70,71)","previouslyFormattedCitation":"(70,71)"},"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(70,71)</w:t>
      </w:r>
      <w:r w:rsidR="000F3AD7" w:rsidRPr="004661E9">
        <w:rPr>
          <w:rFonts w:ascii="Arial" w:hAnsi="Arial" w:cs="Arial"/>
        </w:rPr>
        <w:fldChar w:fldCharType="end"/>
      </w:r>
      <w:r w:rsidR="008D0C25" w:rsidRPr="004661E9">
        <w:rPr>
          <w:rFonts w:ascii="Arial" w:hAnsi="Arial" w:cs="Arial"/>
        </w:rPr>
        <w:t>.</w:t>
      </w:r>
      <w:r w:rsidR="00D47C72" w:rsidRPr="004661E9">
        <w:rPr>
          <w:rFonts w:ascii="Arial" w:hAnsi="Arial" w:cs="Arial"/>
        </w:rPr>
        <w:t xml:space="preserve"> Results from a prospective cohort study with </w:t>
      </w:r>
      <w:r w:rsidR="00D327DF" w:rsidRPr="004661E9">
        <w:rPr>
          <w:rFonts w:ascii="Arial" w:hAnsi="Arial" w:cs="Arial"/>
        </w:rPr>
        <w:t xml:space="preserve">a </w:t>
      </w:r>
      <w:r w:rsidR="00D47C72" w:rsidRPr="004661E9">
        <w:rPr>
          <w:rFonts w:ascii="Arial" w:hAnsi="Arial" w:cs="Arial"/>
        </w:rPr>
        <w:t>25</w:t>
      </w:r>
      <w:r w:rsidR="00C83557" w:rsidRPr="004661E9">
        <w:rPr>
          <w:rFonts w:ascii="Arial" w:hAnsi="Arial" w:cs="Arial"/>
        </w:rPr>
        <w:t>-</w:t>
      </w:r>
      <w:r w:rsidR="00D47C72" w:rsidRPr="004661E9">
        <w:rPr>
          <w:rFonts w:ascii="Arial" w:hAnsi="Arial" w:cs="Arial"/>
        </w:rPr>
        <w:t>year follow-up period indicated that long-standing glycemic abnormalities have a cumulative effect on LV remodeling</w:t>
      </w:r>
      <w:r w:rsidR="0042727A" w:rsidRPr="004661E9">
        <w:rPr>
          <w:rFonts w:ascii="Arial" w:hAnsi="Arial" w:cs="Arial"/>
        </w:rPr>
        <w:t>,</w:t>
      </w:r>
      <w:r w:rsidR="00D47C72" w:rsidRPr="004661E9">
        <w:rPr>
          <w:rFonts w:ascii="Arial" w:hAnsi="Arial" w:cs="Arial"/>
        </w:rPr>
        <w:t xml:space="preserve"> and patients with early</w:t>
      </w:r>
      <w:r w:rsidR="008E11EF" w:rsidRPr="004661E9">
        <w:rPr>
          <w:rFonts w:ascii="Arial" w:hAnsi="Arial" w:cs="Arial"/>
        </w:rPr>
        <w:t>-</w:t>
      </w:r>
      <w:r w:rsidR="00D47C72" w:rsidRPr="004661E9">
        <w:rPr>
          <w:rFonts w:ascii="Arial" w:hAnsi="Arial" w:cs="Arial"/>
        </w:rPr>
        <w:t xml:space="preserve">onset </w:t>
      </w:r>
      <w:r w:rsidR="00A36DE2" w:rsidRPr="004661E9">
        <w:rPr>
          <w:rFonts w:ascii="Arial" w:hAnsi="Arial" w:cs="Arial"/>
        </w:rPr>
        <w:t>diabetes</w:t>
      </w:r>
      <w:r w:rsidR="00D47C72" w:rsidRPr="004661E9">
        <w:rPr>
          <w:rFonts w:ascii="Arial" w:hAnsi="Arial" w:cs="Arial"/>
        </w:rPr>
        <w:t xml:space="preserve"> </w:t>
      </w:r>
      <w:r w:rsidR="00390475" w:rsidRPr="004661E9">
        <w:rPr>
          <w:rFonts w:ascii="Arial" w:hAnsi="Arial" w:cs="Arial"/>
        </w:rPr>
        <w:t>tend to have</w:t>
      </w:r>
      <w:r w:rsidR="00D47C72" w:rsidRPr="004661E9">
        <w:rPr>
          <w:rFonts w:ascii="Arial" w:hAnsi="Arial" w:cs="Arial"/>
        </w:rPr>
        <w:t xml:space="preserve"> a </w:t>
      </w:r>
      <w:r w:rsidR="00861472" w:rsidRPr="004661E9">
        <w:rPr>
          <w:rFonts w:ascii="Arial" w:hAnsi="Arial" w:cs="Arial"/>
        </w:rPr>
        <w:t xml:space="preserve">worse degree of </w:t>
      </w:r>
      <w:r w:rsidR="00D47C72" w:rsidRPr="004661E9">
        <w:rPr>
          <w:rFonts w:ascii="Arial" w:hAnsi="Arial" w:cs="Arial"/>
        </w:rPr>
        <w:t>LVH</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{"citationItems":[{"id":"ITEM-1","itemData":{"DOI":"10.1016/j.jcmg.2016.02.033","ISSN":"18767591","abstract":"Objectives This study sought to investigate how cumulative exposure to glycemic abnormalities and trajectories of insulin resistance (IR) relate to left ventricular (LV) remodeling and function during young to middle adulthood. Background Cumulative exposure to glycemic abnormalities and trajectories of IR may adversely influence LV remodeling and function over a 25-year period in subjects who were young adults, predisposing individuals to heart failure later in life. Methods In the CARDIA (Coronary Artery Risk Development in Young Adults) Year 25 examination, 3,179 participants were identified with information on glucose metabolism; these participants were stratified into 4 subgroups: group 1 normal glucose tolerance (NGT), group 2 impaired glucose tolerance (IGT) or impaired fasting glucose, group 3 late diabetes mellitus (DM) (DM diagnosed at year 15 or later), and group 4 early DM (DM diagnosed at year 0 to year 15). Among the subgroup without DM, 3 trajectory groups of change in the homeostasis model assessment of IR were identified: low IR, moderate IR, and high IR. LV mass, relative wall thickness, LV ejection fraction (LVEF), longitudinal systolic strain (Ell), and early diastolic strain rate (Ell_SRe) at year 25 were assessed by echocardiography. Clinically relevant systolic and diastolic dysfunction were defined as LVEF &lt;50% for systolic dysfunction, and E/e′ ≥13 for diastolic dysfunction. Results The early DM group had less favorable LV mass (coefficient = 11.04; p &lt; 0.001), LVEF (coefficient = −2.72; p &lt; 0.05), Ell (coefficient = 1.53; p &lt; 0.001), and Ell_SRe (coefficient = −0.09; p &lt; 0.05) than did the NGT group. Being in the early DM group and having high hemoglobin A1c were independently associated with greater odds of having systolic dysfunction (odds ratio = 5.44; p &lt; 0.005) compared with the NGT group. High IR was associated with worse relative wall thickness (coefficient = 0.019; p &lt; 0.0001) and worse Ell, E′, and Ell_SRe, depending on obesity level. Conclusions Cumulative exposure to DM or higher IR beginning in early adulthood adversely impacts LV remodeling and function at middle age.","author":[{"dropping-particle":"","family":"Kishi","given":"Satoru","non-dropping-particle":"","parse-names":false,"suffix":""},{"dropping-particle":"","family":"Gidding","given":"Samuel S.","non-dropping-particle":"","parse-names":false,"suffix":""},{"dropping-particle":"","family":"Reis","given":"Jared P.","non-dropping-particle":"","parse-names":false,"suffix":""},{"dropping-particle":"","family":"Colangelo","given":"Laura A.","non-dropping-particle":"","parse-names":false,"suffix":""},{"dropping-particle":"","family":"Venkatesh","given":"Bharath A.","non-dropping-particle":"","parse-names":false,"suffix":""},{"dropping-particle":"","family":"Armstrong","given":"Anderson C.","non-dropping-particle":"","parse-names":false,"suffix":""},{"dropping-particle":"","family":"Isogawa","given":"Akihiro","non-dropping-particle":"","parse-names":false,"suffix":""},{"dropping-particle":"","family":"Lewis","given":"Cora E.","non-dropping-particle":"","parse-names":false,"suffix":""},{"dropping-particle":"","family":"Wu","given":"Colin","non-dropping-particle":"","parse-names":false,"suffix":""},{"dropping-particle":"","family":"Jacobs","given":"David R.","non-dropping-particle":"","parse-names":false,"suffix":""},{"dropping-particle":"","family":"Liu","given":"Kiang","non-dropping-particle":"","parse-names":false,"suffix":""},{"dropping-particle":"","family":"Lima","given":"João A.C.","non-dropping-particle":"","parse-names":false,"suffix":""}],"container-title":"JACC: Cardiovascular Imaging","id":"ITEM-1","issue":"2","issued":{"date-parts":[["2017","2","1"]]},"page":"105-114","publisher":"Elsevier Inc.","title":"Association of Insulin Resistance and Glycemic Metabolic Abnormalities With LV Structure and Function in Middle Age: The CARDIA Study","type":"article-journal","volume":"10"},"uris":["http://www.mendeley.com/documents/?uuid=51bdd24e-33d0-3004-8e96-514f490c51f5"]}],"mendeley":{"formattedCitation":"(72)","plainTextFormattedCitation":"(72)","previouslyFormattedCitation":"(72)"},"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(72)</w:t>
      </w:r>
      <w:r w:rsidR="000F3AD7" w:rsidRPr="004661E9">
        <w:rPr>
          <w:rFonts w:ascii="Arial" w:hAnsi="Arial" w:cs="Arial"/>
        </w:rPr>
        <w:fldChar w:fldCharType="end"/>
      </w:r>
      <w:r w:rsidR="008D0C25" w:rsidRPr="004661E9">
        <w:rPr>
          <w:rFonts w:ascii="Arial" w:hAnsi="Arial" w:cs="Arial"/>
        </w:rPr>
        <w:t>.</w:t>
      </w:r>
    </w:p>
    <w:p w14:paraId="7312B848" w14:textId="77777777" w:rsidR="008D0C25" w:rsidRPr="004661E9" w:rsidRDefault="008D0C25" w:rsidP="004661E9">
      <w:pPr>
        <w:spacing w:after="0" w:line="276" w:lineRule="auto"/>
        <w:rPr>
          <w:rFonts w:ascii="Arial" w:hAnsi="Arial" w:cs="Arial"/>
        </w:rPr>
      </w:pPr>
    </w:p>
    <w:p w14:paraId="795BABB8" w14:textId="2AD671D1" w:rsidR="008D0C25" w:rsidRPr="004661E9" w:rsidRDefault="00390475" w:rsidP="004661E9">
      <w:pPr>
        <w:spacing w:after="0" w:line="276" w:lineRule="auto"/>
        <w:rPr>
          <w:rFonts w:ascii="Arial" w:hAnsi="Arial" w:cs="Arial"/>
        </w:rPr>
      </w:pPr>
      <w:r w:rsidRPr="004661E9">
        <w:rPr>
          <w:rFonts w:ascii="Arial" w:hAnsi="Arial" w:cs="Arial"/>
        </w:rPr>
        <w:t>Diabetic cardiomyopathy may present with d</w:t>
      </w:r>
      <w:r w:rsidR="008E11EF" w:rsidRPr="004661E9">
        <w:rPr>
          <w:rFonts w:ascii="Arial" w:hAnsi="Arial" w:cs="Arial"/>
        </w:rPr>
        <w:t>istinct LVH features</w:t>
      </w:r>
      <w:r w:rsidR="008D0C25"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(34)</w:t>
      </w:r>
      <w:r w:rsidR="000F3AD7" w:rsidRPr="004661E9">
        <w:rPr>
          <w:rFonts w:ascii="Arial" w:hAnsi="Arial" w:cs="Arial"/>
        </w:rPr>
        <w:fldChar w:fldCharType="end"/>
      </w:r>
      <w:r w:rsidR="008D0C25" w:rsidRPr="004661E9">
        <w:rPr>
          <w:rFonts w:ascii="Arial" w:hAnsi="Arial" w:cs="Arial"/>
        </w:rPr>
        <w:t>.</w:t>
      </w:r>
      <w:r w:rsidR="009D7B2E" w:rsidRPr="004661E9">
        <w:rPr>
          <w:rFonts w:ascii="Arial" w:hAnsi="Arial" w:cs="Arial"/>
        </w:rPr>
        <w:t xml:space="preserve"> </w:t>
      </w:r>
      <w:r w:rsidR="00543EDD" w:rsidRPr="004661E9">
        <w:rPr>
          <w:rFonts w:ascii="Arial" w:hAnsi="Arial" w:cs="Arial"/>
        </w:rPr>
        <w:t>Thickened and stiff LV walls with normal LV volume usually characterize diabetic cardiomyopathy with HFpEF phenotyp</w:t>
      </w:r>
      <w:r w:rsidR="009D7B2E" w:rsidRPr="004661E9">
        <w:rPr>
          <w:rFonts w:ascii="Arial" w:hAnsi="Arial" w:cs="Arial"/>
        </w:rPr>
        <w:t xml:space="preserve">e. </w:t>
      </w:r>
      <w:r w:rsidR="008E11EF" w:rsidRPr="004661E9">
        <w:rPr>
          <w:rFonts w:ascii="Arial" w:hAnsi="Arial" w:cs="Arial"/>
        </w:rPr>
        <w:t>Furthermore,</w:t>
      </w:r>
      <w:r w:rsidR="009D7B2E" w:rsidRPr="004661E9">
        <w:rPr>
          <w:rFonts w:ascii="Arial" w:hAnsi="Arial" w:cs="Arial"/>
        </w:rPr>
        <w:t xml:space="preserve"> at the cellular level, cardiomyocytes appear hypertrophied with normal sarcomere structure and increased </w:t>
      </w:r>
      <w:r w:rsidR="00543EDD" w:rsidRPr="004661E9">
        <w:rPr>
          <w:rFonts w:ascii="Arial" w:hAnsi="Arial" w:cs="Arial"/>
        </w:rPr>
        <w:t>collagen depositio</w:t>
      </w:r>
      <w:r w:rsidR="009D7B2E" w:rsidRPr="004661E9">
        <w:rPr>
          <w:rFonts w:ascii="Arial" w:hAnsi="Arial" w:cs="Arial"/>
        </w:rPr>
        <w:t>n in the interstitial space.</w:t>
      </w:r>
      <w:r w:rsidR="007D020B" w:rsidRPr="004661E9">
        <w:rPr>
          <w:rFonts w:ascii="Arial" w:hAnsi="Arial" w:cs="Arial"/>
        </w:rPr>
        <w:t xml:space="preserve"> Contrarily, diabetic </w:t>
      </w:r>
      <w:r w:rsidR="00165050" w:rsidRPr="004661E9">
        <w:rPr>
          <w:rFonts w:ascii="Arial" w:hAnsi="Arial" w:cs="Arial"/>
        </w:rPr>
        <w:t>cardiomyopathy</w:t>
      </w:r>
      <w:r w:rsidR="007D020B" w:rsidRPr="004661E9">
        <w:rPr>
          <w:rFonts w:ascii="Arial" w:hAnsi="Arial" w:cs="Arial"/>
        </w:rPr>
        <w:t xml:space="preserve"> with HFrEF </w:t>
      </w:r>
      <w:r w:rsidRPr="004661E9">
        <w:rPr>
          <w:rFonts w:ascii="Arial" w:hAnsi="Arial" w:cs="Arial"/>
        </w:rPr>
        <w:t xml:space="preserve">phenotype </w:t>
      </w:r>
      <w:r w:rsidR="0059301B" w:rsidRPr="004661E9">
        <w:rPr>
          <w:rFonts w:ascii="Arial" w:hAnsi="Arial" w:cs="Arial"/>
        </w:rPr>
        <w:t>usually manifests</w:t>
      </w:r>
      <w:r w:rsidR="007D020B" w:rsidRPr="004661E9">
        <w:rPr>
          <w:rFonts w:ascii="Arial" w:hAnsi="Arial" w:cs="Arial"/>
        </w:rPr>
        <w:t xml:space="preserve"> with eccentric LVH with d</w:t>
      </w:r>
      <w:r w:rsidR="00EB04B0" w:rsidRPr="004661E9">
        <w:rPr>
          <w:rFonts w:ascii="Arial" w:hAnsi="Arial" w:cs="Arial"/>
        </w:rPr>
        <w:t>ilated LV volume. A</w:t>
      </w:r>
      <w:r w:rsidR="007D020B" w:rsidRPr="004661E9">
        <w:rPr>
          <w:rFonts w:ascii="Arial" w:hAnsi="Arial" w:cs="Arial"/>
        </w:rPr>
        <w:t>t the cellular level, cardiomyocytes appear to have damage with loss of sarcomeres and replacement of some cardiomyocytes with interstitial fibrosis</w:t>
      </w:r>
      <w:r w:rsidR="008D0C25"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{"citationItems":[{"id":"ITEM-1","itemData":{"DOI":"10.1093/eurheartj/ehv134","ISSN":"15229645","abstract":"Diabetes mellitus-related cardiomyopathy (DMCMP) was originally described as a dilated phenotype with eccentric left ventricular (LV) remodelling and systolic LV dysfunction. Recently however, clinical studies on DMCMP mainly describe a restrictive phenotype with concentric LV remodelling and diastolic LV dysfunction. Both phenotypes are not successive stages of DMCMP but evolve independently to respectively heart failure with preserved left ventricular ejection fraction (HFPEF) or reduced left ventricular ejection fraction (HFREF). Phenotype-specific pathophysiological mechanisms were recently proposed for LV remodelling and dysfunction in HFPEF and HFREF consisting of coronary microvascular endothelial dysfunction in HFPEF and cardiomyocyte cell death in HFREF. A similar preferential involvement of endothelial or cardiomyocyte cell compartments explains DMCMP development into distinct restrictive/HFPEF or dilated/HFREF phenotypes. Diabetes mellitus (DM)-related metabolic derangements such as hyperglycaemia, lipotoxicity, and hyperinsulinaemia favour development of DMCMP with restrictive/HFPEF phenotype, which is more prevalent in obese type 2 DM patients. In contrast, autoimmunity predisposes to a dilated/HFREF phenotype, which manifests itself more in autoimmune-prone type 1 DM patients. Finally, coronary microvascular rarefaction and advanced glycation end-products deposition are relevant to both phenotypes. Diagnosis of DMCMP requires impaired glucose metabolism and exclusion of coronary, valvular, hypertensive, or congenital heart disease and of viral, toxic, familial, or infiltrative cardiomyopathy. In addition, diagnosis of DMCMP with restrictive/HFPEF phenotype requires normal systolic LV function and diastolic LV dysfunction, whereas diagnosis of DMCMP with dilated/HFREF phenotype requires systolic LV dysfunction. Treatment of DMCMP with restrictive/HFPEF phenotype is limited to diuretics and lifestyle modification, whereas DMCMP with dilated/HFREF phenotype is treated in accordance to HF guidelines.","author":[{"dropping-particle":"","family":"Seferović","given":"Petar M.","non-dropping-particle":"","parse-names":false,"suffix":""},{"dropping-particle":"","family":"Paulus","given":"Walter J.","non-dropping-particle":"","parse-names":false,"suffix":""}],"container-title":"European Heart Journal","id":"ITEM-1","issue":"27","issued":{"date-parts":[["2015"]]},"page":"1718-1727","title":"Clinical diabetic cardiomyopathy: A two-faced disease with restrictive and dilated phenotypes","type":"article-journal","volume":"36"},"uris":["http://www.mendeley.com/documents/?uuid=34545fe8-79a9-4e76-a440-d9c8434b0a51"]}],"mendeley":{"formattedCitation":"(38)","plainTextFormattedCitation":"(38)","previouslyFormattedCitation":"(38)"},"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(38)</w:t>
      </w:r>
      <w:r w:rsidR="000F3AD7" w:rsidRPr="004661E9">
        <w:rPr>
          <w:rFonts w:ascii="Arial" w:hAnsi="Arial" w:cs="Arial"/>
        </w:rPr>
        <w:fldChar w:fldCharType="end"/>
      </w:r>
      <w:r w:rsidR="008D0C25" w:rsidRPr="004661E9">
        <w:rPr>
          <w:rFonts w:ascii="Arial" w:hAnsi="Arial" w:cs="Arial"/>
        </w:rPr>
        <w:t>.</w:t>
      </w:r>
    </w:p>
    <w:p w14:paraId="04C8F7D4" w14:textId="3E5260E3" w:rsidR="009D7B2E" w:rsidRPr="004661E9" w:rsidRDefault="007D020B" w:rsidP="004661E9">
      <w:pPr>
        <w:spacing w:after="0" w:line="276" w:lineRule="auto"/>
        <w:rPr>
          <w:rFonts w:ascii="Arial" w:hAnsi="Arial" w:cs="Arial"/>
        </w:rPr>
      </w:pPr>
      <w:r w:rsidRPr="004661E9">
        <w:rPr>
          <w:rFonts w:ascii="Arial" w:hAnsi="Arial" w:cs="Arial"/>
        </w:rPr>
        <w:t xml:space="preserve"> </w:t>
      </w:r>
      <w:r w:rsidR="009D7B2E" w:rsidRPr="004661E9">
        <w:rPr>
          <w:rFonts w:ascii="Arial" w:hAnsi="Arial" w:cs="Arial"/>
        </w:rPr>
        <w:t xml:space="preserve">  </w:t>
      </w:r>
    </w:p>
    <w:p w14:paraId="2CD834D7" w14:textId="77777777" w:rsidR="009E4373" w:rsidRPr="004661E9" w:rsidRDefault="00C83557" w:rsidP="004661E9">
      <w:pPr>
        <w:spacing w:after="0" w:line="276" w:lineRule="auto"/>
        <w:rPr>
          <w:rFonts w:ascii="Arial" w:hAnsi="Arial" w:cs="Arial"/>
          <w:b/>
          <w:bCs/>
          <w:color w:val="00B050"/>
        </w:rPr>
      </w:pPr>
      <w:r w:rsidRPr="004661E9">
        <w:rPr>
          <w:rFonts w:ascii="Arial" w:hAnsi="Arial" w:cs="Arial"/>
          <w:b/>
          <w:bCs/>
          <w:color w:val="00B050"/>
        </w:rPr>
        <w:t>LV</w:t>
      </w:r>
      <w:r w:rsidR="00406850" w:rsidRPr="004661E9">
        <w:rPr>
          <w:rFonts w:ascii="Arial" w:hAnsi="Arial" w:cs="Arial"/>
          <w:b/>
          <w:bCs/>
          <w:color w:val="00B050"/>
        </w:rPr>
        <w:t xml:space="preserve"> Diastolic Dysfunction</w:t>
      </w:r>
    </w:p>
    <w:p w14:paraId="0857F963" w14:textId="77777777" w:rsidR="008D0C25" w:rsidRPr="004661E9" w:rsidRDefault="008D0C25" w:rsidP="004661E9">
      <w:pPr>
        <w:spacing w:after="0" w:line="276" w:lineRule="auto"/>
        <w:rPr>
          <w:rFonts w:ascii="Arial" w:hAnsi="Arial" w:cs="Arial"/>
        </w:rPr>
      </w:pPr>
    </w:p>
    <w:p w14:paraId="7D6FF81D" w14:textId="76F03D39" w:rsidR="00925C35" w:rsidRPr="004661E9" w:rsidRDefault="00513A71" w:rsidP="004661E9">
      <w:pPr>
        <w:spacing w:after="0" w:line="276" w:lineRule="auto"/>
        <w:rPr>
          <w:rFonts w:ascii="Arial" w:hAnsi="Arial" w:cs="Arial"/>
        </w:rPr>
      </w:pPr>
      <w:r w:rsidRPr="004661E9">
        <w:rPr>
          <w:rFonts w:ascii="Arial" w:hAnsi="Arial" w:cs="Arial"/>
        </w:rPr>
        <w:t>D</w:t>
      </w:r>
      <w:r w:rsidR="000A4FE2" w:rsidRPr="004661E9">
        <w:rPr>
          <w:rFonts w:ascii="Arial" w:hAnsi="Arial" w:cs="Arial"/>
        </w:rPr>
        <w:t xml:space="preserve">iastolic dysfunction </w:t>
      </w:r>
      <w:r w:rsidRPr="004661E9">
        <w:rPr>
          <w:rFonts w:ascii="Arial" w:hAnsi="Arial" w:cs="Arial"/>
        </w:rPr>
        <w:t xml:space="preserve">is common among otherwise asymptomatic </w:t>
      </w:r>
      <w:r w:rsidR="00861472" w:rsidRPr="004661E9">
        <w:rPr>
          <w:rFonts w:ascii="Arial" w:hAnsi="Arial" w:cs="Arial"/>
        </w:rPr>
        <w:t>individuals</w:t>
      </w:r>
      <w:r w:rsidRPr="004661E9">
        <w:rPr>
          <w:rFonts w:ascii="Arial" w:hAnsi="Arial" w:cs="Arial"/>
        </w:rPr>
        <w:t xml:space="preserve"> with</w:t>
      </w:r>
      <w:r w:rsidR="000A4FE2" w:rsidRPr="004661E9">
        <w:rPr>
          <w:rFonts w:ascii="Arial" w:hAnsi="Arial" w:cs="Arial"/>
        </w:rPr>
        <w:t xml:space="preserve"> </w:t>
      </w:r>
      <w:r w:rsidR="00A36DE2" w:rsidRPr="004661E9">
        <w:rPr>
          <w:rFonts w:ascii="Arial" w:hAnsi="Arial" w:cs="Arial"/>
        </w:rPr>
        <w:t>diabetes</w:t>
      </w:r>
      <w:r w:rsidR="008E11EF" w:rsidRPr="004661E9">
        <w:rPr>
          <w:rFonts w:ascii="Arial" w:hAnsi="Arial" w:cs="Arial"/>
        </w:rPr>
        <w:t>,</w:t>
      </w:r>
      <w:r w:rsidRPr="004661E9">
        <w:rPr>
          <w:rFonts w:ascii="Arial" w:hAnsi="Arial" w:cs="Arial"/>
        </w:rPr>
        <w:t xml:space="preserve"> and its prevalence </w:t>
      </w:r>
      <w:r w:rsidR="007F6401" w:rsidRPr="004661E9">
        <w:rPr>
          <w:rFonts w:ascii="Arial" w:hAnsi="Arial" w:cs="Arial"/>
        </w:rPr>
        <w:t>var</w:t>
      </w:r>
      <w:r w:rsidR="008E11EF" w:rsidRPr="004661E9">
        <w:rPr>
          <w:rFonts w:ascii="Arial" w:hAnsi="Arial" w:cs="Arial"/>
        </w:rPr>
        <w:t>ies</w:t>
      </w:r>
      <w:r w:rsidR="007F6401" w:rsidRPr="004661E9">
        <w:rPr>
          <w:rFonts w:ascii="Arial" w:hAnsi="Arial" w:cs="Arial"/>
        </w:rPr>
        <w:t xml:space="preserve"> between</w:t>
      </w:r>
      <w:r w:rsidRPr="004661E9">
        <w:rPr>
          <w:rFonts w:ascii="Arial" w:hAnsi="Arial" w:cs="Arial"/>
        </w:rPr>
        <w:t xml:space="preserve"> 2</w:t>
      </w:r>
      <w:r w:rsidR="007F6401" w:rsidRPr="004661E9">
        <w:rPr>
          <w:rFonts w:ascii="Arial" w:hAnsi="Arial" w:cs="Arial"/>
        </w:rPr>
        <w:t>0</w:t>
      </w:r>
      <w:r w:rsidRPr="004661E9">
        <w:rPr>
          <w:rFonts w:ascii="Arial" w:hAnsi="Arial" w:cs="Arial"/>
        </w:rPr>
        <w:t>%</w:t>
      </w:r>
      <w:r w:rsidR="007F6401" w:rsidRPr="004661E9">
        <w:rPr>
          <w:rFonts w:ascii="Arial" w:hAnsi="Arial" w:cs="Arial"/>
        </w:rPr>
        <w:t xml:space="preserve"> </w:t>
      </w:r>
      <w:r w:rsidR="00D2537D" w:rsidRPr="004661E9">
        <w:rPr>
          <w:rFonts w:ascii="Arial" w:hAnsi="Arial" w:cs="Arial"/>
        </w:rPr>
        <w:t>and</w:t>
      </w:r>
      <w:r w:rsidR="007F6401" w:rsidRPr="004661E9">
        <w:rPr>
          <w:rFonts w:ascii="Arial" w:hAnsi="Arial" w:cs="Arial"/>
        </w:rPr>
        <w:t xml:space="preserve"> 60% depending on the diagnostic criteria used and </w:t>
      </w:r>
      <w:r w:rsidR="008E11EF" w:rsidRPr="004661E9">
        <w:rPr>
          <w:rFonts w:ascii="Arial" w:hAnsi="Arial" w:cs="Arial"/>
        </w:rPr>
        <w:t xml:space="preserve">the </w:t>
      </w:r>
      <w:r w:rsidR="007F6401" w:rsidRPr="004661E9">
        <w:rPr>
          <w:rFonts w:ascii="Arial" w:hAnsi="Arial" w:cs="Arial"/>
        </w:rPr>
        <w:t>population studied</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{"citationItems":[{"id":"ITEM-1","itemData":{"DOI":"10.1016/j.jacc.2009.12.003","ISSN":"1558-3597","PMID":"20117433","abstract":"OBJECTIVES The purpose of this study was to evaluate the outcomes of pre-clinical diastolic dysfunction in diabetic patients. BACKGROUND Studies have reported a high prevalence of pre-clinical diastolic dysfunction among patients with diabetes mellitus. METHODS We identified all diabetic patients with a tissue Doppler imaging assessment of diastolic function in Olmsted County, Minnesota, from 2001 to 2007. Diastolic dysfunction was defined as a passive transmitral left ventricular (LV) inflow velocity to tissue Doppler imaging velocity of the medial mitral annulus during passive filling (E/e') ratio &gt;15. The main outcome was the development of heart failure (HF). Secondary outcomes were the development of atrial fibrillation and death. RESULTS Overall, 1,760 diabetic patients with a tissue Doppler echocardiographic assessment of diastolic function were identified; 411 (23%) patients had diastolic dysfunction. Using multivariable Cox's proportional hazard modeling, we determined that for every 1-U increase in the passive transmitral LV inflow velocity to tissue Doppler imaging velocity of the medial mitral annulus during passive filling (E/e') ratio, the hazard ratio (HR) of HF increased by 3% (HR: 1.03; 95% confidence interval [CI]: 1.01 to 1.06; p = 0.006) and that diastolic dysfunction was associated with the subsequent development of HF after adjustment for age, sex, body mass index, hypertension, coronary disease, and echocardiographic parameters (HR: 1.61; 95% CI: 1.17 to 2.20; p = 0.003). The cumulative probability of the development of HF at 5 years for diabetic patients with diastolic dysfunction was 36.9% compared with 16.8% for patients without diastolic dysfunction (p &lt; 0.001). Furthermore, diabetic patients with diastolic dysfunction had a significantly higher mortality rate compared with those without diastolic dysfunction. CONCLUSIONS We demonstrated that an increase in the passive transmitral LV inflow velocity to tissue Doppler imaging velocity of the medial mitral annulus during passive filling (E/e') ratio in diabetic patients is associated with the subsequent development of HF and increased mortality independent of hypertension, coronary disease, or other echocardiographic parameters.","author":[{"dropping-particle":"","family":"From","given":"Aaron M","non-dropping-particle":"","parse-names":false,"suffix":""},{"dropping-particle":"","family":"Scott","given":"Christopher G","non-dropping-particle":"","parse-names":false,"suffix":""},{"dropping-particle":"","family":"Chen","given":"Horng H","non-dropping-particle":"","parse-names":false,"suffix":""}],"container-title":"Journal of the American College of Cardiology","id":"ITEM-1","issue":"4","issued":{"date-parts":[["2010","1","26"]]},"page":"300-5","title":"The development of heart failure in patients with diabetes mellitus and pre-clinical diastolic dysfunction a population-based study.","type":"article-journal","volume":"55"},"uris":["http://www.mendeley.com/documents/?uuid=4e1615b8-a0ee-3092-9d44-663735e3f757"]},{"id":"ITEM-2","itemData":{"DOI":"10.1016/j.jacc.2006.07.033","ISSN":"07351097","abstract":"Doppler echocardiography has largely contributed to show the existence of a distinct diabetic cardiomyopathy. Several studies have pointed out the evidence of left ventricular (LV) remodeling and hypertrophy in alterations of both midwall systolic mechanics and LV diastolic filling in diabetes mellitus (DM), independent of the coexistence of concomitant risk factors. Further progress will be provided by new ultrasound technologies in this clinical setting. The combination of pulsed tissue Doppler study of mitral annulus with transmitral inflow may be clinically valuable for obtaining information about left ventricular filling pressure (LVFP) and unmasking Doppler inflow pseudonormal pattern, a hinge point for the progression toward advanced heart failure. In the absence of epicardial coronary artery stenosis, the ultrasound assessment of coronary flow reserve (CFR) may identify the dysfunction of coronary microcirculation, in relation with glycemic levels, insulin resistance, sympathetic overdrive, endothelial dysfunction, abnormalities of the angiotensin-renin system, and LV remodeling/hypertrophy. Diastolic dysfunction and impairment of CFR may be associated in DM, with a likely common origin. In this view, a comprehensive transthoracic Doppler evaluation of diabetic patients should include the assessment of diastolic function and estimation of LVFP by tissue Doppler, and coronary microvascular function by CFR test. Additional analysis of regional wall motion during a stress test would be required in patients with suspected coronary artery disease, another cause of diastolic dysfunction. © 2006 American College of Cardiology Foundation.","author":[{"dropping-particle":"","family":"Galderisi","given":"Maurizio","non-dropping-particle":"","parse-names":false,"suffix":""}],"container-title":"Journal of the American College of Cardiology","id":"ITEM-2","issue":"8","issued":{"date-parts":[["2006","10","17"]]},"page":"1548-1551","title":"Diastolic Dysfunction and Diabetic Cardiomyopathy. Evaluation by Doppler Echocardiography","type":"article-journal","volume":"48"},"uris":["http://www.mendeley.com/documents/?uuid=2ef99b02-6dd0-3ce7-b772-34769443fc68"]},{"id":"ITEM-3","itemData":{"DOI":"10.1016/j.jacc.2017.11.019","ISSN":"15583597","abstract":"Heart failure is a complex clinical syndrome, the incidence and prevalence of which is increased in diabetes mellitus, pre-diabetes, and obesity. Although this may arise from underlying coronary artery disease, it often occurs in the absence of significant major epicardial coronary disease, and most commonly manifests as heart failure with preserved ejection fraction. Despite epidemiological evidence linking diabetes to heart failure incidence and outcome, the presence of a distinct primary “diabetic” cardiomyopathy has been difficult to prove, because the link between diabetes and heart failure is confounded by hypertension, microvascular dysfunction, and autonomic neuropathy. Nonetheless, several mechanistic associations at systemic, cardiac, and cellular/molecular levels explain different aspects of myocardial dysfunction, including impaired cardiac relaxation, compliance, and contractility. This review seeks to describe recent advances and limitations pertinent to integrating molecular mechanisms, clinical screening, and potential therapeutic avenues for this condition.","author":[{"dropping-particle":"","family":"Marwick","given":"Thomas H.","non-dropping-particle":"","parse-names":false,"suffix":""},{"dropping-particle":"","family":"Ritchie","given":"Rebecca","non-dropping-particle":"","parse-names":false,"suffix":""},{"dropping-particle":"","family":"Shaw","given":"Jonathan E.","non-dropping-particle":"","parse-names":false,"suffix":""},{"dropping-particle":"","family":"Kaye","given":"David","non-dropping-particle":"","parse-names":false,"suffix":""}],"container-title":"Journal of the American College of Cardiology","id":"ITEM-3","issue":"3","issued":{"date-parts":[["2018"]]},"page":"339-351","title":"Implications of Underlying Mechanisms for the Recognition and Management of Diabetic Cardiomyopathy","type":"article-journal","volume":"71"},"uris":["http://www.mendeley.com/documents/?uuid=5122dbc6-97c5-4483-b6a5-8e53be784e42"]}],"mendeley":{"formattedCitation":"(73–75)","plainTextFormattedCitation":"(73–75)","previouslyFormattedCitation":"(73–75)"},"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(73–75)</w:t>
      </w:r>
      <w:r w:rsidR="000F3AD7" w:rsidRPr="004661E9">
        <w:rPr>
          <w:rFonts w:ascii="Arial" w:hAnsi="Arial" w:cs="Arial"/>
        </w:rPr>
        <w:fldChar w:fldCharType="end"/>
      </w:r>
      <w:r w:rsidR="008D0C25" w:rsidRPr="004661E9">
        <w:rPr>
          <w:rFonts w:ascii="Arial" w:hAnsi="Arial" w:cs="Arial"/>
        </w:rPr>
        <w:t>.</w:t>
      </w:r>
      <w:r w:rsidR="006C537F" w:rsidRPr="004661E9">
        <w:rPr>
          <w:rFonts w:ascii="Arial" w:hAnsi="Arial" w:cs="Arial"/>
        </w:rPr>
        <w:t xml:space="preserve"> </w:t>
      </w:r>
      <w:r w:rsidR="00925C35" w:rsidRPr="004661E9">
        <w:rPr>
          <w:rFonts w:ascii="Arial" w:hAnsi="Arial" w:cs="Arial"/>
        </w:rPr>
        <w:t xml:space="preserve">Prospective cohort studies have confirmed that </w:t>
      </w:r>
      <w:r w:rsidR="00A36DE2" w:rsidRPr="004661E9">
        <w:rPr>
          <w:rFonts w:ascii="Arial" w:hAnsi="Arial" w:cs="Arial"/>
        </w:rPr>
        <w:t>diabetes</w:t>
      </w:r>
      <w:r w:rsidR="00925C35" w:rsidRPr="004661E9">
        <w:rPr>
          <w:rFonts w:ascii="Arial" w:hAnsi="Arial" w:cs="Arial"/>
        </w:rPr>
        <w:t xml:space="preserve"> and poor glycemic control </w:t>
      </w:r>
      <w:r w:rsidR="003934BD" w:rsidRPr="004661E9">
        <w:rPr>
          <w:rFonts w:ascii="Arial" w:hAnsi="Arial" w:cs="Arial"/>
        </w:rPr>
        <w:t>can</w:t>
      </w:r>
      <w:r w:rsidR="00925C35" w:rsidRPr="004661E9">
        <w:rPr>
          <w:rFonts w:ascii="Arial" w:hAnsi="Arial" w:cs="Arial"/>
        </w:rPr>
        <w:t xml:space="preserve"> independently </w:t>
      </w:r>
      <w:r w:rsidR="003934BD" w:rsidRPr="004661E9">
        <w:rPr>
          <w:rFonts w:ascii="Arial" w:hAnsi="Arial" w:cs="Arial"/>
        </w:rPr>
        <w:t>contribute to</w:t>
      </w:r>
      <w:r w:rsidR="00925C35" w:rsidRPr="004661E9">
        <w:rPr>
          <w:rFonts w:ascii="Arial" w:hAnsi="Arial" w:cs="Arial"/>
        </w:rPr>
        <w:t xml:space="preserve"> </w:t>
      </w:r>
      <w:r w:rsidR="008E11EF" w:rsidRPr="004661E9">
        <w:rPr>
          <w:rFonts w:ascii="Arial" w:hAnsi="Arial" w:cs="Arial"/>
        </w:rPr>
        <w:t xml:space="preserve">the </w:t>
      </w:r>
      <w:r w:rsidR="00925C35" w:rsidRPr="004661E9">
        <w:rPr>
          <w:rFonts w:ascii="Arial" w:hAnsi="Arial" w:cs="Arial"/>
        </w:rPr>
        <w:t>development of diastolic dysfunction</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{"citationItems":[{"id":"ITEM-1","itemData":{"DOI":"10.1016/j.jcmg.2016.02.033","ISSN":"18767591","abstract":"Objectives This study sought to investigate how cumulative exposure to glycemic abnormalities and trajectories of insulin resistance (IR) relate to left ventricular (LV) remodeling and function during young to middle adulthood. Background Cumulative exposure to glycemic abnormalities and trajectories of IR may adversely influence LV remodeling and function over a 25-year period in subjects who were young adults, predisposing individuals to heart failure later in life. Methods In the CARDIA (Coronary Artery Risk Development in Young Adults) Year 25 examination, 3,179 participants were identified with information on glucose metabolism; these participants were stratified into 4 subgroups: group 1 normal glucose tolerance (NGT), group 2 impaired glucose tolerance (IGT) or impaired fasting glucose, group 3 late diabetes mellitus (DM) (DM diagnosed at year 15 or later), and group 4 early DM (DM diagnosed at year 0 to year 15). Among the subgroup without DM, 3 trajectory groups of change in the homeostasis model assessment of IR were identified: low IR, moderate IR, and high IR. LV mass, relative wall thickness, LV ejection fraction (LVEF), longitudinal systolic strain (Ell), and early diastolic strain rate (Ell_SRe) at year 25 were assessed by echocardiography. Clinically relevant systolic and diastolic dysfunction were defined as LVEF &lt;50% for systolic dysfunction, and E/e′ ≥13 for diastolic dysfunction. Results The early DM group had less favorable LV mass (coefficient = 11.04; p &lt; 0.001), LVEF (coefficient = −2.72; p &lt; 0.05), Ell (coefficient = 1.53; p &lt; 0.001), and Ell_SRe (coefficient = −0.09; p &lt; 0.05) than did the NGT group. Being in the early DM group and having high hemoglobin A1c were independently associated with greater odds of having systolic dysfunction (odds ratio = 5.44; p &lt; 0.005) compared with the NGT group. High IR was associated with worse relative wall thickness (coefficient = 0.019; p &lt; 0.0001) and worse Ell, E′, and Ell_SRe, depending on obesity level. Conclusions Cumulative exposure to DM or higher IR beginning in early adulthood adversely impacts LV remodeling and function at middle age.","author":[{"dropping-particle":"","family":"Kishi","given":"Satoru","non-dropping-particle":"","parse-names":false,"suffix":""},{"dropping-particle":"","family":"Gidding","given":"Samuel S.","non-dropping-particle":"","parse-names":false,"suffix":""},{"dropping-particle":"","family":"Reis","given":"Jared P.","non-dropping-particle":"","parse-names":false,"suffix":""},{"dropping-particle":"","family":"Colangelo","given":"Laura A.","non-dropping-particle":"","parse-names":false,"suffix":""},{"dropping-particle":"","family":"Venkatesh","given":"Bharath A.","non-dropping-particle":"","parse-names":false,"suffix":""},{"dropping-particle":"","family":"Armstrong","given":"Anderson C.","non-dropping-particle":"","parse-names":false,"suffix":""},{"dropping-particle":"","family":"Isogawa","given":"Akihiro","non-dropping-particle":"","parse-names":false,"suffix":""},{"dropping-particle":"","family":"Lewis","given":"Cora E.","non-dropping-particle":"","parse-names":false,"suffix":""},{"dropping-particle":"","family":"Wu","given":"Colin","non-dropping-particle":"","parse-names":false,"suffix":""},{"dropping-particle":"","family":"Jacobs","given":"David R.","non-dropping-particle":"","parse-names":false,"suffix":""},{"dropping-particle":"","family":"Liu","given":"Kiang","non-dropping-particle":"","parse-names":false,"suffix":""},{"dropping-particle":"","family":"Lima","given":"João A.C.","non-dropping-particle":"","parse-names":false,"suffix":""}],"container-title":"JACC: Cardiovascular Imaging","id":"ITEM-1","issue":"2","issued":{"date-parts":[["2017","2","1"]]},"page":"105-114","publisher":"Elsevier Inc.","title":"Association of Insulin Resistance and Glycemic Metabolic Abnormalities With LV Structure and Function in Middle Age: The CARDIA Study","type":"article-journal","volume":"10"},"uris":["http://www.mendeley.com/documents/?uuid=51bdd24e-33d0-3004-8e96-514f490c51f5"]}],"mendeley":{"formattedCitation":"(72)","plainTextFormattedCitation":"(72)","previouslyFormattedCitation":"(72)"},"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(72)</w:t>
      </w:r>
      <w:r w:rsidR="000F3AD7" w:rsidRPr="004661E9">
        <w:rPr>
          <w:rFonts w:ascii="Arial" w:hAnsi="Arial" w:cs="Arial"/>
        </w:rPr>
        <w:fldChar w:fldCharType="end"/>
      </w:r>
      <w:r w:rsidR="008D0C25" w:rsidRPr="004661E9">
        <w:rPr>
          <w:rFonts w:ascii="Arial" w:hAnsi="Arial" w:cs="Arial"/>
        </w:rPr>
        <w:t>.</w:t>
      </w:r>
      <w:r w:rsidR="00925C35" w:rsidRPr="004661E9">
        <w:rPr>
          <w:rFonts w:ascii="Arial" w:hAnsi="Arial" w:cs="Arial"/>
        </w:rPr>
        <w:t xml:space="preserve"> </w:t>
      </w:r>
      <w:r w:rsidR="005276C1" w:rsidRPr="004661E9">
        <w:rPr>
          <w:rFonts w:ascii="Arial" w:hAnsi="Arial" w:cs="Arial"/>
        </w:rPr>
        <w:t xml:space="preserve">Even though diastolic dysfunction is often linked </w:t>
      </w:r>
      <w:r w:rsidR="00390475" w:rsidRPr="004661E9">
        <w:rPr>
          <w:rFonts w:ascii="Arial" w:hAnsi="Arial" w:cs="Arial"/>
        </w:rPr>
        <w:t>to</w:t>
      </w:r>
      <w:r w:rsidR="005276C1" w:rsidRPr="004661E9">
        <w:rPr>
          <w:rFonts w:ascii="Arial" w:hAnsi="Arial" w:cs="Arial"/>
        </w:rPr>
        <w:t xml:space="preserve"> LVH, it can occur in patients with </w:t>
      </w:r>
      <w:r w:rsidR="00A36DE2" w:rsidRPr="004661E9">
        <w:rPr>
          <w:rFonts w:ascii="Arial" w:hAnsi="Arial" w:cs="Arial"/>
        </w:rPr>
        <w:t>diabetes</w:t>
      </w:r>
      <w:r w:rsidR="0042727A" w:rsidRPr="004661E9">
        <w:rPr>
          <w:rFonts w:ascii="Arial" w:hAnsi="Arial" w:cs="Arial"/>
        </w:rPr>
        <w:t>,</w:t>
      </w:r>
      <w:r w:rsidR="005276C1" w:rsidRPr="004661E9">
        <w:rPr>
          <w:rFonts w:ascii="Arial" w:hAnsi="Arial" w:cs="Arial"/>
        </w:rPr>
        <w:t xml:space="preserve"> even in the absence of LVH</w:t>
      </w:r>
      <w:r w:rsidR="008D0C25"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(34)</w:t>
      </w:r>
      <w:r w:rsidR="000F3AD7" w:rsidRPr="004661E9">
        <w:rPr>
          <w:rFonts w:ascii="Arial" w:hAnsi="Arial" w:cs="Arial"/>
        </w:rPr>
        <w:fldChar w:fldCharType="end"/>
      </w:r>
      <w:r w:rsidR="008D0C25" w:rsidRPr="004661E9">
        <w:rPr>
          <w:rFonts w:ascii="Arial" w:hAnsi="Arial" w:cs="Arial"/>
        </w:rPr>
        <w:t>.</w:t>
      </w:r>
    </w:p>
    <w:p w14:paraId="0B03980D" w14:textId="77777777" w:rsidR="008D0C25" w:rsidRPr="004661E9" w:rsidRDefault="008D0C25" w:rsidP="004661E9">
      <w:pPr>
        <w:spacing w:after="0" w:line="276" w:lineRule="auto"/>
        <w:rPr>
          <w:rFonts w:ascii="Arial" w:hAnsi="Arial" w:cs="Arial"/>
        </w:rPr>
      </w:pPr>
    </w:p>
    <w:p w14:paraId="4B8E72D6" w14:textId="356A586D" w:rsidR="00406850" w:rsidRPr="004661E9" w:rsidRDefault="00E265CC" w:rsidP="004661E9">
      <w:pPr>
        <w:spacing w:after="0" w:line="276" w:lineRule="auto"/>
        <w:rPr>
          <w:rFonts w:ascii="Arial" w:hAnsi="Arial" w:cs="Arial"/>
        </w:rPr>
      </w:pPr>
      <w:r w:rsidRPr="004661E9">
        <w:rPr>
          <w:rFonts w:ascii="Arial" w:hAnsi="Arial" w:cs="Arial"/>
        </w:rPr>
        <w:t>Mild diastolic dysfunction (delayed myocardial relaxation)</w:t>
      </w:r>
      <w:r w:rsidR="000A4FE2" w:rsidRPr="004661E9">
        <w:rPr>
          <w:rFonts w:ascii="Arial" w:hAnsi="Arial" w:cs="Arial"/>
        </w:rPr>
        <w:t xml:space="preserve"> </w:t>
      </w:r>
      <w:r w:rsidRPr="004661E9">
        <w:rPr>
          <w:rFonts w:ascii="Arial" w:hAnsi="Arial" w:cs="Arial"/>
        </w:rPr>
        <w:t xml:space="preserve">has a weak prognostic significance. </w:t>
      </w:r>
      <w:r w:rsidR="008E11EF" w:rsidRPr="004661E9">
        <w:rPr>
          <w:rFonts w:ascii="Arial" w:hAnsi="Arial" w:cs="Arial"/>
        </w:rPr>
        <w:t>However,</w:t>
      </w:r>
      <w:r w:rsidRPr="004661E9">
        <w:rPr>
          <w:rFonts w:ascii="Arial" w:hAnsi="Arial" w:cs="Arial"/>
        </w:rPr>
        <w:t xml:space="preserve"> </w:t>
      </w:r>
      <w:r w:rsidR="008E11EF" w:rsidRPr="004661E9">
        <w:rPr>
          <w:rFonts w:ascii="Arial" w:hAnsi="Arial" w:cs="Arial"/>
        </w:rPr>
        <w:t xml:space="preserve">the </w:t>
      </w:r>
      <w:r w:rsidRPr="004661E9">
        <w:rPr>
          <w:rFonts w:ascii="Arial" w:hAnsi="Arial" w:cs="Arial"/>
        </w:rPr>
        <w:t xml:space="preserve">progression of diastolic dysfunction </w:t>
      </w:r>
      <w:r w:rsidR="00390475" w:rsidRPr="004661E9">
        <w:rPr>
          <w:rFonts w:ascii="Arial" w:hAnsi="Arial" w:cs="Arial"/>
        </w:rPr>
        <w:t xml:space="preserve">and </w:t>
      </w:r>
      <w:r w:rsidRPr="004661E9">
        <w:rPr>
          <w:rFonts w:ascii="Arial" w:hAnsi="Arial" w:cs="Arial"/>
        </w:rPr>
        <w:t>increased LV filling pressure</w:t>
      </w:r>
      <w:r w:rsidR="00390475" w:rsidRPr="004661E9">
        <w:rPr>
          <w:rFonts w:ascii="Arial" w:hAnsi="Arial" w:cs="Arial"/>
        </w:rPr>
        <w:t xml:space="preserve"> findings on echocardiography</w:t>
      </w:r>
      <w:r w:rsidRPr="004661E9">
        <w:rPr>
          <w:rFonts w:ascii="Arial" w:hAnsi="Arial" w:cs="Arial"/>
        </w:rPr>
        <w:t xml:space="preserve"> </w:t>
      </w:r>
      <w:r w:rsidR="003934BD" w:rsidRPr="004661E9">
        <w:rPr>
          <w:rFonts w:ascii="Arial" w:hAnsi="Arial" w:cs="Arial"/>
        </w:rPr>
        <w:t>predispose to the future risk of</w:t>
      </w:r>
      <w:r w:rsidRPr="004661E9">
        <w:rPr>
          <w:rFonts w:ascii="Arial" w:hAnsi="Arial" w:cs="Arial"/>
        </w:rPr>
        <w:t xml:space="preserve"> HF and mortality in patients with </w:t>
      </w:r>
      <w:r w:rsidR="00A36DE2" w:rsidRPr="004661E9">
        <w:rPr>
          <w:rFonts w:ascii="Arial" w:hAnsi="Arial" w:cs="Arial"/>
        </w:rPr>
        <w:t>diabetes</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{"citationItems":[{"id":"ITEM-1","itemData":{"DOI":"10.1016/j.jacc.2017.11.019","ISSN":"15583597","abstract":"Heart failure is a complex clinical syndrome, the incidence and prevalence of which is increased in diabetes mellitus, pre-diabetes, and obesity. Although this may arise from underlying coronary artery disease, it often occurs in the absence of significant major epicardial coronary disease, and most commonly manifests as heart failure with preserved ejection fraction. Despite epidemiological evidence linking diabetes to heart failure incidence and outcome, the presence of a distinct primary “diabetic” cardiomyopathy has been difficult to prove, because the link between diabetes and heart failure is confounded by hypertension, microvascular dysfunction, and autonomic neuropathy. Nonetheless, several mechanistic associations at systemic, cardiac, and cellular/molecular levels explain different aspects of myocardial dysfunction, including impaired cardiac relaxation, compliance, and contractility. This review seeks to describe recent advances and limitations pertinent to integrating molecular mechanisms, clinical screening, and potential therapeutic avenues for this condition.","author":[{"dropping-particle":"","family":"Marwick","given":"Thomas H.","non-dropping-particle":"","parse-names":false,"suffix":""},{"dropping-particle":"","family":"Ritchie","given":"Rebecca","non-dropping-particle":"","parse-names":false,"suffix":""},{"dropping-particle":"","family":"Shaw","given":"Jonathan E.","non-dropping-particle":"","parse-names":false,"suffix":""},{"dropping-particle":"","family":"Kaye","given":"David","non-dropping-particle":"","parse-names":false,"suffix":""}],"container-title":"Journal of the American College of Cardiology","id":"ITEM-1","issue":"3","issued":{"date-parts":[["2018"]]},"page":"339-351","title":"Implications of Underlying Mechanisms for the Recognition and Management of Diabetic Cardiomyopathy","type":"article-journal","volume":"71"},"uris":["http://www.mendeley.com/documents/?uuid=5122dbc6-97c5-4483-b6a5-8e53be784e42"]},{"id":"ITEM-2","itemData":{"DOI":"10.1016/j.jacc.2009.12.003","ISSN":"1558-3597","PMID":"20117433","abstract":"OBJECTIVES The purpose of this study was to evaluate the outcomes of pre-clinical diastolic dysfunction in diabetic patients. BACKGROUND Studies have reported a high prevalence of pre-clinical diastolic dysfunction among patients with diabetes mellitus. METHODS We identified all diabetic patients with a tissue Doppler imaging assessment of diastolic function in Olmsted County, Minnesota, from 2001 to 2007. Diastolic dysfunction was defined as a passive transmitral left ventricular (LV) inflow velocity to tissue Doppler imaging velocity of the medial mitral annulus during passive filling (E/e') ratio &gt;15. The main outcome was the development of heart failure (HF). Secondary outcomes were the development of atrial fibrillation and death. RESULTS Overall, 1,760 diabetic patients with a tissue Doppler echocardiographic assessment of diastolic function were identified; 411 (23%) patients had diastolic dysfunction. Using multivariable Cox's proportional hazard modeling, we determined that for every 1-U increase in the passive transmitral LV inflow velocity to tissue Doppler imaging velocity of the medial mitral annulus during passive filling (E/e') ratio, the hazard ratio (HR) of HF increased by 3% (HR: 1.03; 95% confidence interval [CI]: 1.01 to 1.06; p = 0.006) and that diastolic dysfunction was associated with the subsequent development of HF after adjustment for age, sex, body mass index, hypertension, coronary disease, and echocardiographic parameters (HR: 1.61; 95% CI: 1.17 to 2.20; p = 0.003). The cumulative probability of the development of HF at 5 years for diabetic patients with diastolic dysfunction was 36.9% compared with 16.8% for patients without diastolic dysfunction (p &lt; 0.001). Furthermore, diabetic patients with diastolic dysfunction had a significantly higher mortality rate compared with those without diastolic dysfunction. CONCLUSIONS We demonstrated that an increase in the passive transmitral LV inflow velocity to tissue Doppler imaging velocity of the medial mitral annulus during passive filling (E/e') ratio in diabetic patients is associated with the subsequent development of HF and increased mortality independent of hypertension, coronary disease, or other echocardiographic parameters.","author":[{"dropping-particle":"","family":"From","given":"Aaron M","non-dropping-particle":"","parse-names":false,"suffix":""},{"dropping-particle":"","family":"Scott","given":"Christopher G","non-dropping-particle":"","parse-names":false,"suffix":""},{"dropping-particle":"","family":"Chen","given":"Horng H","non-dropping-particle":"","parse-names":false,"suffix":""}],"container-title":"Journal of the American College of Cardiology","id":"ITEM-2","issue":"4","issued":{"date-parts":[["2010","1","26"]]},"page":"300-5","title":"The development of heart failure in patients with diabetes mellitus and pre-clinical diastolic dysfunction a population-based study.","type":"article-journal","volume":"55"},"uris":["http://www.mendeley.com/documents/?uuid=4e1615b8-a0ee-3092-9d44-663735e3f757"]}],"mendeley":{"formattedCitation":"(73,75)","plainTextFormattedCitation":"(73,75)","previouslyFormattedCitation":"(73,75)"},"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(73,75)</w:t>
      </w:r>
      <w:r w:rsidR="000F3AD7" w:rsidRPr="004661E9">
        <w:rPr>
          <w:rFonts w:ascii="Arial" w:hAnsi="Arial" w:cs="Arial"/>
        </w:rPr>
        <w:fldChar w:fldCharType="end"/>
      </w:r>
      <w:r w:rsidR="008D0C25" w:rsidRPr="004661E9">
        <w:rPr>
          <w:rFonts w:ascii="Arial" w:hAnsi="Arial" w:cs="Arial"/>
        </w:rPr>
        <w:t>.</w:t>
      </w:r>
      <w:r w:rsidRPr="004661E9">
        <w:rPr>
          <w:rFonts w:ascii="Arial" w:hAnsi="Arial" w:cs="Arial"/>
        </w:rPr>
        <w:t xml:space="preserve"> </w:t>
      </w:r>
      <w:r w:rsidR="005E7686" w:rsidRPr="004661E9">
        <w:rPr>
          <w:rFonts w:ascii="Arial" w:hAnsi="Arial" w:cs="Arial"/>
        </w:rPr>
        <w:t xml:space="preserve">Moreover, among asymptomatic </w:t>
      </w:r>
      <w:r w:rsidR="00861472" w:rsidRPr="004661E9">
        <w:rPr>
          <w:rFonts w:ascii="Arial" w:hAnsi="Arial" w:cs="Arial"/>
        </w:rPr>
        <w:t>individuals</w:t>
      </w:r>
      <w:r w:rsidR="005E7686" w:rsidRPr="004661E9">
        <w:rPr>
          <w:rFonts w:ascii="Arial" w:hAnsi="Arial" w:cs="Arial"/>
        </w:rPr>
        <w:t xml:space="preserve"> with baseline diastolic dysfunction, </w:t>
      </w:r>
      <w:r w:rsidR="00A36DE2" w:rsidRPr="004661E9">
        <w:rPr>
          <w:rFonts w:ascii="Arial" w:hAnsi="Arial" w:cs="Arial"/>
        </w:rPr>
        <w:t>diabetes</w:t>
      </w:r>
      <w:r w:rsidR="005E7686" w:rsidRPr="004661E9">
        <w:rPr>
          <w:rFonts w:ascii="Arial" w:hAnsi="Arial" w:cs="Arial"/>
        </w:rPr>
        <w:t xml:space="preserve"> is an independent predictor of progression to HFpEF or HFrEF</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{"citationItems":[{"id":"ITEM-1","itemData":{"DOI":"10.1016/j.amjcard.2017.03.005","ISSN":"18791913","abstract":"Preclinical diastolic dysfunction (PDD) is a well-known but poorly understood risk factor for heart failure. We aimed to investigate risk factors contributing to progression of PDD to heart failure with preserved ejection fraction (HFpEF) and heart failure with reduced ejection fraction (HFrEF). Patients with echocardiogram from 2003 to 2008 with left ventricular ejection fraction ≥50%, grade I diastolic dysfunction, and free of clinical heart failure were included. The end point was incident HFpEF or HFrEF. Cumulative probabilities were estimated and multivariable adjusted Cox proportional hazards regressions were performed to examine predictors of incident HFpEF and HFrEF. In total, 7,878 patients with PDD (79.2% nonwhite) were included. At the end of follow-up (median 5.9 years), 146 patients developed HFrEF, and 635 patients developed HFpEF. The 10-year cumulative probabilities of HFrEF and HFpEF were 3.1% and 12.6%, respectively. Incidence of HFrEF was significantly lower in non-Hispanic blacks (2.2%) compared with non-Hispanic whites (4.5%). Age, diabetes, myocardial infarction, and renal disease were independent predictors of both HFrEF and HFpEF. Male gender, cerebrovascular accident, and low baseline left ventricular ejection fraction were associated with HFrEF only; whereas pulmonary disease, blood urea nitrogen, and anemia were predictors of HFpEF only. In conclusion, our results revealed a distinct set of predictors of HFrEF and HFpEF in patients with PDD and underscored a differential approach of risk stratification, prevention, and early treatment based on heart failure subtypes.","author":[{"dropping-particle":"","family":"Zhang","given":"Lili","non-dropping-particle":"","parse-names":false,"suffix":""},{"dropping-particle":"","family":"Liebelt","given":"Jared J.","non-dropping-particle":"","parse-names":false,"suffix":""},{"dropping-particle":"","family":"Madan","given":"Nidhi","non-dropping-particle":"","parse-names":false,"suffix":""},{"dropping-particle":"","family":"Shan","given":"Jian","non-dropping-particle":"","parse-names":false,"suffix":""},{"dropping-particle":"","family":"Taub","given":"Cynthia C.","non-dropping-particle":"","parse-names":false,"suffix":""}],"container-title":"American Journal of Cardiology","id":"ITEM-1","issue":"11","issued":{"date-parts":[["2017","6","1"]]},"page":"1815-1820","publisher":"Elsevier Inc.","title":"Comparison of Predictors of Heart Failure With Preserved Versus Reduced Ejection Fraction in a Multiracial Cohort of Preclinical Left Ventricular Diastolic Dysfunction","type":"article-journal","volume":"119"},"uris":["http://www.mendeley.com/documents/?uuid=8106b097-8178-37ff-8212-87511f7c152c"]}],"mendeley":{"formattedCitation":"(76)","plainTextFormattedCitation":"(76)","previouslyFormattedCitation":"(76)"},"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(76)</w:t>
      </w:r>
      <w:r w:rsidR="000F3AD7" w:rsidRPr="004661E9">
        <w:rPr>
          <w:rFonts w:ascii="Arial" w:hAnsi="Arial" w:cs="Arial"/>
        </w:rPr>
        <w:fldChar w:fldCharType="end"/>
      </w:r>
      <w:r w:rsidR="008D0C25" w:rsidRPr="004661E9">
        <w:rPr>
          <w:rFonts w:ascii="Arial" w:hAnsi="Arial" w:cs="Arial"/>
        </w:rPr>
        <w:t>.</w:t>
      </w:r>
    </w:p>
    <w:p w14:paraId="5087D368" w14:textId="77777777" w:rsidR="008D0C25" w:rsidRPr="004661E9" w:rsidRDefault="008D0C25" w:rsidP="004661E9">
      <w:pPr>
        <w:spacing w:after="0" w:line="276" w:lineRule="auto"/>
        <w:rPr>
          <w:rFonts w:ascii="Arial" w:hAnsi="Arial" w:cs="Arial"/>
          <w:color w:val="00B050"/>
        </w:rPr>
      </w:pPr>
    </w:p>
    <w:p w14:paraId="32D850C9" w14:textId="77777777" w:rsidR="00406850" w:rsidRPr="004661E9" w:rsidRDefault="00C83557" w:rsidP="004661E9">
      <w:pPr>
        <w:spacing w:after="0" w:line="276" w:lineRule="auto"/>
        <w:rPr>
          <w:rFonts w:ascii="Arial" w:hAnsi="Arial" w:cs="Arial"/>
          <w:b/>
          <w:bCs/>
          <w:color w:val="00B050"/>
        </w:rPr>
      </w:pPr>
      <w:r w:rsidRPr="004661E9">
        <w:rPr>
          <w:rFonts w:ascii="Arial" w:hAnsi="Arial" w:cs="Arial"/>
          <w:b/>
          <w:bCs/>
          <w:color w:val="00B050"/>
        </w:rPr>
        <w:t>LV</w:t>
      </w:r>
      <w:r w:rsidR="00406850" w:rsidRPr="004661E9">
        <w:rPr>
          <w:rFonts w:ascii="Arial" w:hAnsi="Arial" w:cs="Arial"/>
          <w:b/>
          <w:bCs/>
          <w:color w:val="00B050"/>
        </w:rPr>
        <w:t xml:space="preserve"> Systolic Dysfunction</w:t>
      </w:r>
    </w:p>
    <w:p w14:paraId="1C6CD748" w14:textId="77777777" w:rsidR="008D0C25" w:rsidRPr="004661E9" w:rsidRDefault="008D0C25" w:rsidP="004661E9">
      <w:pPr>
        <w:spacing w:after="0" w:line="276" w:lineRule="auto"/>
        <w:rPr>
          <w:rFonts w:ascii="Arial" w:hAnsi="Arial" w:cs="Arial"/>
        </w:rPr>
      </w:pPr>
    </w:p>
    <w:p w14:paraId="2FA00F14" w14:textId="793EB88C" w:rsidR="009A3C83" w:rsidRPr="004661E9" w:rsidRDefault="00C830F7" w:rsidP="004661E9">
      <w:pPr>
        <w:spacing w:after="0" w:line="276" w:lineRule="auto"/>
        <w:rPr>
          <w:rFonts w:ascii="Arial" w:hAnsi="Arial" w:cs="Arial"/>
        </w:rPr>
      </w:pPr>
      <w:r w:rsidRPr="004661E9">
        <w:rPr>
          <w:rFonts w:ascii="Arial" w:hAnsi="Arial" w:cs="Arial"/>
        </w:rPr>
        <w:t xml:space="preserve">Traditionally, impaired </w:t>
      </w:r>
      <w:r w:rsidR="00390475" w:rsidRPr="004661E9">
        <w:rPr>
          <w:rFonts w:ascii="Arial" w:hAnsi="Arial" w:cs="Arial"/>
        </w:rPr>
        <w:t>LVEF</w:t>
      </w:r>
      <w:r w:rsidRPr="004661E9">
        <w:rPr>
          <w:rFonts w:ascii="Arial" w:hAnsi="Arial" w:cs="Arial"/>
        </w:rPr>
        <w:t xml:space="preserve"> </w:t>
      </w:r>
      <w:r w:rsidR="000962ED" w:rsidRPr="004661E9">
        <w:rPr>
          <w:rFonts w:ascii="Arial" w:hAnsi="Arial" w:cs="Arial"/>
        </w:rPr>
        <w:t>is the primary</w:t>
      </w:r>
      <w:r w:rsidRPr="004661E9">
        <w:rPr>
          <w:rFonts w:ascii="Arial" w:hAnsi="Arial" w:cs="Arial"/>
        </w:rPr>
        <w:t xml:space="preserve"> marker of cardiomyopathy and systolic dysfunction.</w:t>
      </w:r>
      <w:r w:rsidR="00397062" w:rsidRPr="004661E9">
        <w:rPr>
          <w:rFonts w:ascii="Arial" w:hAnsi="Arial" w:cs="Arial"/>
        </w:rPr>
        <w:t xml:space="preserve"> LV</w:t>
      </w:r>
      <w:r w:rsidR="00390475" w:rsidRPr="004661E9">
        <w:rPr>
          <w:rFonts w:ascii="Arial" w:hAnsi="Arial" w:cs="Arial"/>
        </w:rPr>
        <w:t xml:space="preserve">EF </w:t>
      </w:r>
      <w:r w:rsidR="00397062" w:rsidRPr="004661E9">
        <w:rPr>
          <w:rFonts w:ascii="Arial" w:hAnsi="Arial" w:cs="Arial"/>
        </w:rPr>
        <w:t>is a simple measure commonly used in</w:t>
      </w:r>
      <w:r w:rsidR="00390475" w:rsidRPr="004661E9">
        <w:rPr>
          <w:rFonts w:ascii="Arial" w:hAnsi="Arial" w:cs="Arial"/>
        </w:rPr>
        <w:t xml:space="preserve"> the </w:t>
      </w:r>
      <w:r w:rsidR="0077540D" w:rsidRPr="004661E9">
        <w:rPr>
          <w:rFonts w:ascii="Arial" w:hAnsi="Arial" w:cs="Arial"/>
        </w:rPr>
        <w:t>CV</w:t>
      </w:r>
      <w:r w:rsidR="00390475" w:rsidRPr="004661E9">
        <w:rPr>
          <w:rFonts w:ascii="Arial" w:hAnsi="Arial" w:cs="Arial"/>
        </w:rPr>
        <w:t xml:space="preserve"> </w:t>
      </w:r>
      <w:r w:rsidR="00397062" w:rsidRPr="004661E9">
        <w:rPr>
          <w:rFonts w:ascii="Arial" w:hAnsi="Arial" w:cs="Arial"/>
        </w:rPr>
        <w:t>risk evaluation and management of CVD. However, LVEF does not capture the full spectrum of myocardial function</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{"citationItems":[{"id":"ITEM-1","itemData":{"DOI":"10.1016/j.jcmg.2017.11.017","ISSN":"18767591","abstract":"Left ventricular (LV) ejection fraction (LVEF) is a simple measure of global systolic function that pervades the risk evaluation and management of many cardiovascular diseases. However, this parameter is limited not only by technical challenges, but also by pathophysiological entities where the ratio of stroke volume to LV cavity size is preserved. The assessment of global longitudinal strain (GLS) from speckle-tracking analysis of 2-dimensional echocardiography has become a clinically feasible alternative to LVEF for the measurement of myocardial function. Evidence gathered over the last decade has shown GLS to be more sensitive to left ventricular dysfunction (LVD) than LVEF and to provide additional prognostic information. The technology is validated, reproducible within an acceptable range, and widely available. GLS has been proposed as the test of choice in guidelines for monitoring of asymptomatic cardiotoxicity related to chemotherapy. It also has the potential to improve risk stratification, redefine criteria for disease classification, and determine treatment in asymptomatic LVD resulting from a variety of etiologies. GLS provides utility across the spectrum of heart failure (and LVEF) as well as in the evaluation of valvular heart disease. There is a strong case for incorporation of GLS into clinical decision making. This review appraises the evidence addressing the utility of GLS as a complementary metric to LVEF for incorporation into mainstream clinical practice.","author":[{"dropping-particle":"","family":"Potter","given":"Elizabeth","non-dropping-particle":"","parse-names":false,"suffix":""},{"dropping-particle":"","family":"Marwick","given":"Thomas H.","non-dropping-particle":"","parse-names":false,"suffix":""}],"container-title":"JACC: Cardiovascular Imaging","id":"ITEM-1","issue":"2P1","issued":{"date-parts":[["2018","2","1"]]},"page":"260-274","publisher":"Elsevier Inc.","title":"Assessment of Left Ventricular Function by Echocardiography: The Case for Routinely Adding Global Longitudinal Strain to Ejection Fraction","type":"article-journal","volume":"11"},"uris":["http://www.mendeley.com/documents/?uuid=ac3892ae-349a-3145-81e6-a7af106c3c24"]}],"mendeley":{"formattedCitation":"(77)","plainTextFormattedCitation":"(77)","previouslyFormattedCitation":"(77)"},"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(77)</w:t>
      </w:r>
      <w:r w:rsidR="000F3AD7" w:rsidRPr="004661E9">
        <w:rPr>
          <w:rFonts w:ascii="Arial" w:hAnsi="Arial" w:cs="Arial"/>
        </w:rPr>
        <w:fldChar w:fldCharType="end"/>
      </w:r>
      <w:r w:rsidR="008D0C25" w:rsidRPr="004661E9">
        <w:rPr>
          <w:rFonts w:ascii="Arial" w:hAnsi="Arial" w:cs="Arial"/>
        </w:rPr>
        <w:t>.</w:t>
      </w:r>
      <w:r w:rsidR="00397062" w:rsidRPr="004661E9">
        <w:rPr>
          <w:rFonts w:ascii="Arial" w:hAnsi="Arial" w:cs="Arial"/>
        </w:rPr>
        <w:t xml:space="preserve">  </w:t>
      </w:r>
      <w:r w:rsidR="007453EB" w:rsidRPr="004661E9">
        <w:rPr>
          <w:rFonts w:ascii="Arial" w:hAnsi="Arial" w:cs="Arial"/>
        </w:rPr>
        <w:t>Global longitudinal strain</w:t>
      </w:r>
      <w:r w:rsidR="00D51085" w:rsidRPr="004661E9">
        <w:rPr>
          <w:rFonts w:ascii="Arial" w:hAnsi="Arial" w:cs="Arial"/>
        </w:rPr>
        <w:t xml:space="preserve"> (GLS)</w:t>
      </w:r>
      <w:r w:rsidR="007453EB" w:rsidRPr="004661E9">
        <w:rPr>
          <w:rFonts w:ascii="Arial" w:hAnsi="Arial" w:cs="Arial"/>
        </w:rPr>
        <w:t xml:space="preserve"> evaluated by speckle-tracking echocardiography is </w:t>
      </w:r>
      <w:r w:rsidR="008E11EF" w:rsidRPr="004661E9">
        <w:rPr>
          <w:rFonts w:ascii="Arial" w:hAnsi="Arial" w:cs="Arial"/>
        </w:rPr>
        <w:t xml:space="preserve">a </w:t>
      </w:r>
      <w:r w:rsidR="00D51085" w:rsidRPr="004661E9">
        <w:rPr>
          <w:rFonts w:ascii="Arial" w:hAnsi="Arial" w:cs="Arial"/>
        </w:rPr>
        <w:t xml:space="preserve">robust technique </w:t>
      </w:r>
      <w:r w:rsidR="008E11EF" w:rsidRPr="004661E9">
        <w:rPr>
          <w:rFonts w:ascii="Arial" w:hAnsi="Arial" w:cs="Arial"/>
        </w:rPr>
        <w:t>that</w:t>
      </w:r>
      <w:r w:rsidR="00D51085" w:rsidRPr="004661E9">
        <w:rPr>
          <w:rFonts w:ascii="Arial" w:hAnsi="Arial" w:cs="Arial"/>
        </w:rPr>
        <w:t xml:space="preserve"> measures tissue deformation </w:t>
      </w:r>
      <w:r w:rsidR="008E11EF" w:rsidRPr="004661E9">
        <w:rPr>
          <w:rFonts w:ascii="Arial" w:hAnsi="Arial" w:cs="Arial"/>
        </w:rPr>
        <w:t>in</w:t>
      </w:r>
      <w:r w:rsidR="00D51085" w:rsidRPr="004661E9">
        <w:rPr>
          <w:rFonts w:ascii="Arial" w:hAnsi="Arial" w:cs="Arial"/>
        </w:rPr>
        <w:t xml:space="preserve"> a longitudinal direction </w:t>
      </w:r>
      <w:r w:rsidR="00AA26E4" w:rsidRPr="004661E9">
        <w:rPr>
          <w:rFonts w:ascii="Arial" w:hAnsi="Arial" w:cs="Arial"/>
        </w:rPr>
        <w:t>(Figure 4)</w:t>
      </w:r>
      <w:r w:rsidR="008D0C25" w:rsidRPr="004661E9">
        <w:rPr>
          <w:rFonts w:ascii="Arial" w:hAnsi="Arial" w:cs="Arial"/>
        </w:rPr>
        <w:t>.</w:t>
      </w:r>
      <w:r w:rsidR="00AA26E4" w:rsidRPr="004661E9">
        <w:rPr>
          <w:rFonts w:ascii="Arial" w:hAnsi="Arial" w:cs="Arial"/>
        </w:rPr>
        <w:t xml:space="preserve"> </w:t>
      </w:r>
      <w:r w:rsidRPr="004661E9">
        <w:rPr>
          <w:rFonts w:ascii="Arial" w:hAnsi="Arial" w:cs="Arial"/>
        </w:rPr>
        <w:t>Reduced GLS is a marker of reduced contractility</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{"citationItems":[{"id":"ITEM-1","itemData":{"DOI":"10.1016/j.jacc.2017.11.019","ISSN":"15583597","abstract":"Heart failure is a complex clinical syndrome, the incidence and prevalence of which is increased in diabetes mellitus, pre-diabetes, and obesity. Although this may arise from underlying coronary artery disease, it often occurs in the absence of significant major epicardial coronary disease, and most commonly manifests as heart failure with preserved ejection fraction. Despite epidemiological evidence linking diabetes to heart failure incidence and outcome, the presence of a distinct primary “diabetic” cardiomyopathy has been difficult to prove, because the link between diabetes and heart failure is confounded by hypertension, microvascular dysfunction, and autonomic neuropathy. Nonetheless, several mechanistic associations at systemic, cardiac, and cellular/molecular levels explain different aspects of myocardial dysfunction, including impaired cardiac relaxation, compliance, and contractility. This review seeks to describe recent advances and limitations pertinent to integrating molecular mechanisms, clinical screening, and potential therapeutic avenues for this condition.","author":[{"dropping-particle":"","family":"Marwick","given":"Thomas H.","non-dropping-particle":"","parse-names":false,"suffix":""},{"dropping-particle":"","family":"Ritchie","given":"Rebecca","non-dropping-particle":"","parse-names":false,"suffix":""},{"dropping-particle":"","family":"Shaw","given":"Jonathan E.","non-dropping-particle":"","parse-names":false,"suffix":""},{"dropping-particle":"","family":"Kaye","given":"David","non-dropping-particle":"","parse-names":false,"suffix":""}],"container-title":"Journal of the American College of Cardiology","id":"ITEM-1","issue":"3","issued":{"date-parts":[["2018"]]},"page":"339-351","title":"Implications of Underlying Mechanisms for the Recognition and Management of Diabetic Cardiomyopathy","type":"article-journal","volume":"71"},"uris":["http://www.mendeley.com/documents/?uuid=5122dbc6-97c5-4483-b6a5-8e53be784e42"]}],"mendeley":{"formattedCitation":"(75)","plainTextFormattedCitation":"(75)","previouslyFormattedCitation":"(75)"},"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(75)</w:t>
      </w:r>
      <w:r w:rsidR="000F3AD7" w:rsidRPr="004661E9">
        <w:rPr>
          <w:rFonts w:ascii="Arial" w:hAnsi="Arial" w:cs="Arial"/>
        </w:rPr>
        <w:fldChar w:fldCharType="end"/>
      </w:r>
      <w:r w:rsidR="008D0C25" w:rsidRPr="004661E9">
        <w:rPr>
          <w:rFonts w:ascii="Arial" w:hAnsi="Arial" w:cs="Arial"/>
        </w:rPr>
        <w:t>.</w:t>
      </w:r>
      <w:r w:rsidRPr="004661E9">
        <w:rPr>
          <w:rFonts w:ascii="Arial" w:hAnsi="Arial" w:cs="Arial"/>
        </w:rPr>
        <w:t xml:space="preserve"> </w:t>
      </w:r>
      <w:r w:rsidR="00D51085" w:rsidRPr="004661E9">
        <w:rPr>
          <w:rFonts w:ascii="Arial" w:hAnsi="Arial" w:cs="Arial"/>
        </w:rPr>
        <w:t xml:space="preserve">GLS is </w:t>
      </w:r>
      <w:r w:rsidR="007453EB" w:rsidRPr="004661E9">
        <w:rPr>
          <w:rFonts w:ascii="Arial" w:hAnsi="Arial" w:cs="Arial"/>
        </w:rPr>
        <w:t>more sensitive than conventional LV</w:t>
      </w:r>
      <w:r w:rsidR="00390475" w:rsidRPr="004661E9">
        <w:rPr>
          <w:rFonts w:ascii="Arial" w:hAnsi="Arial" w:cs="Arial"/>
        </w:rPr>
        <w:t xml:space="preserve">EF </w:t>
      </w:r>
      <w:r w:rsidR="007453EB" w:rsidRPr="004661E9">
        <w:rPr>
          <w:rFonts w:ascii="Arial" w:hAnsi="Arial" w:cs="Arial"/>
        </w:rPr>
        <w:t>as a measure of systolic function</w:t>
      </w:r>
      <w:r w:rsidR="00397062" w:rsidRPr="004661E9">
        <w:rPr>
          <w:rFonts w:ascii="Arial" w:hAnsi="Arial" w:cs="Arial"/>
        </w:rPr>
        <w:t xml:space="preserve"> and has </w:t>
      </w:r>
      <w:r w:rsidR="000962ED" w:rsidRPr="004661E9">
        <w:rPr>
          <w:rFonts w:ascii="Arial" w:hAnsi="Arial" w:cs="Arial"/>
        </w:rPr>
        <w:t xml:space="preserve">an </w:t>
      </w:r>
      <w:r w:rsidR="00397062" w:rsidRPr="004661E9">
        <w:rPr>
          <w:rFonts w:ascii="Arial" w:hAnsi="Arial" w:cs="Arial"/>
        </w:rPr>
        <w:t>additional prognostic value</w:t>
      </w:r>
      <w:r w:rsidR="008D0C2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{"citationItems":[{"id":"ITEM-1","itemData":{"DOI":"10.1093/eurheartj/ehv529","ISSN":"0195-668X","PMID":"26508168","abstract":"Myocardial strain is a principle for quantification of left ventricular (LV) function which is now feasible with speckle-tracking echocardiography. The best evaluated strain parameter is global longitudinal strain (GLS) which is more sensitive than left ventricular ejection fraction (LVEF) as a measure of systolic function, and may be used to identify sub-clinical LV dysfunction in cardiomyopathies. Furthermore, GLS is recommended as routine measurement in patients undergoing chemotherapy to detect reduction in LV function prior to fall in LVEF. Intersegmental variability in timing of peak myocardial strain has been proposed as predictor of risk of ventricular arrhythmias. Strain imaging may be applied to guide placement of the LV pacing lead in patients receiving cardiac resynchronization therapy. Strain may also be used to diagnose myocardial ischaemia, but the technology is not sufficiently standardized to be recommended as a general tool for this purpose. Peak systolic left atrial strain is a promising supplementary index of LV filling pressure. The strain imaging methodology is still undergoing development, and further clinical trials are needed to determine if clinical decisions based on strain imaging result in better outcome. With this important limitation in mind, strain may be applied clinically as a supplementary diagnostic method.","author":[{"dropping-particle":"","family":"Smiseth","given":"Otto A.","non-dropping-particle":"","parse-names":false,"suffix":""},{"dropping-particle":"","family":"Torp","given":"Hans","non-dropping-particle":"","parse-names":false,"suffix":""},{"dropping-particle":"","family":"Opdahl","given":"Anders","non-dropping-particle":"","parse-names":false,"suffix":""},{"dropping-particle":"","family":"Haugaa","given":"Kristina H.","non-dropping-particle":"","parse-names":false,"suffix":""},{"dropping-particle":"","family":"Urheim","given":"Stig","non-dropping-particle":"","parse-names":false,"suffix":""}],"container-title":"European Heart Journal","id":"ITEM-1","issue":"15","issued":{"date-parts":[["2016","4","14"]]},"page":"1196-1207","title":"Myocardial strain imaging: how useful is it in clinical decision making?","type":"article-journal","volume":"37"},"uris":["http://www.mendeley.com/documents/?uuid=b01ddd03-5e7a-42f4-8a5e-28fe24c32cad"]},{"id":"ITEM-2","itemData":{"DOI":"10.1016/j.jcmg.2017.11.017","ISSN":"18767591","abstract":"Left ventricular (LV) ejection fraction (LVEF) is a simple measure of global systolic function that pervades the risk evaluation and management of many cardiovascular diseases. However, this parameter is limited not only by technical challenges, but also by pathophysiological entities where the ratio of stroke volume to LV cavity size is preserved. The assessment of global longitudinal strain (GLS) from speckle-tracking analysis of 2-dimensional echocardiography has become a clinically feasible alternative to LVEF for the measurement of myocardial function. Evidence gathered over the last decade has shown GLS to be more sensitive to left ventricular dysfunction (LVD) than LVEF and to provide additional prognostic information. The technology is validated, reproducible within an acceptable range, and widely available. GLS has been proposed as the test of choice in guidelines for monitoring of asymptomatic cardiotoxicity related to chemotherapy. It also has the potential to improve risk stratification, redefine criteria for disease classification, and determine treatment in asymptomatic LVD resulting from a variety of etiologies. GLS provides utility across the spectrum of heart failure (and LVEF) as well as in the evaluation of valvular heart disease. There is a strong case for incorporation of GLS into clinical decision making. This review appraises the evidence addressing the utility of GLS as a complementary metric to LVEF for incorporation into mainstream clinical practice.","author":[{"dropping-particle":"","family":"Potter","given":"Elizabeth","non-dropping-particle":"","parse-names":false,"suffix":""},{"dropping-particle":"","family":"Marwick","given":"Thomas H.","non-dropping-particle":"","parse-names":false,"suffix":""}],"container-title":"JACC: Cardiovascular Imaging","id":"ITEM-2","issue":"2P1","issued":{"date-parts":[["2018","2","1"]]},"page":"260-274","publisher":"Elsevier Inc.","title":"Assessment of Left Ventricular Function by Echocardiography: The Case for Routinely Adding Global Longitudinal Strain to Ejection Fraction","type":"article-journal","volume":"11"},"uris":["http://www.mendeley.com/documents/?uuid=ac3892ae-349a-3145-81e6-a7af106c3c24"]}],"mendeley":{"formattedCitation":"(77,78)","plainTextFormattedCitation":"(77,78)","previouslyFormattedCitation":"(77,78)"},"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(77,78)</w:t>
      </w:r>
      <w:r w:rsidR="000F3AD7" w:rsidRPr="004661E9">
        <w:rPr>
          <w:rFonts w:ascii="Arial" w:hAnsi="Arial" w:cs="Arial"/>
        </w:rPr>
        <w:fldChar w:fldCharType="end"/>
      </w:r>
      <w:r w:rsidR="008D0C25" w:rsidRPr="004661E9">
        <w:rPr>
          <w:rFonts w:ascii="Arial" w:hAnsi="Arial" w:cs="Arial"/>
        </w:rPr>
        <w:t>.</w:t>
      </w:r>
      <w:r w:rsidR="007453EB" w:rsidRPr="004661E9">
        <w:rPr>
          <w:rFonts w:ascii="Arial" w:hAnsi="Arial" w:cs="Arial"/>
        </w:rPr>
        <w:t xml:space="preserve"> Therefore</w:t>
      </w:r>
      <w:r w:rsidR="00D51085" w:rsidRPr="004661E9">
        <w:rPr>
          <w:rFonts w:ascii="Arial" w:hAnsi="Arial" w:cs="Arial"/>
        </w:rPr>
        <w:t>,</w:t>
      </w:r>
      <w:r w:rsidR="007453EB" w:rsidRPr="004661E9">
        <w:rPr>
          <w:rFonts w:ascii="Arial" w:hAnsi="Arial" w:cs="Arial"/>
        </w:rPr>
        <w:t xml:space="preserve"> it is now commonly used </w:t>
      </w:r>
      <w:r w:rsidR="00543EDD" w:rsidRPr="004661E9">
        <w:rPr>
          <w:rFonts w:ascii="Arial" w:hAnsi="Arial" w:cs="Arial"/>
        </w:rPr>
        <w:t>to detect</w:t>
      </w:r>
      <w:r w:rsidR="007453EB" w:rsidRPr="004661E9">
        <w:rPr>
          <w:rFonts w:ascii="Arial" w:hAnsi="Arial" w:cs="Arial"/>
        </w:rPr>
        <w:t xml:space="preserve"> subclinical LV </w:t>
      </w:r>
      <w:r w:rsidR="00D51085" w:rsidRPr="004661E9">
        <w:rPr>
          <w:rFonts w:ascii="Arial" w:hAnsi="Arial" w:cs="Arial"/>
        </w:rPr>
        <w:t xml:space="preserve">systolic dysfunction. </w:t>
      </w:r>
    </w:p>
    <w:p w14:paraId="36D0ECA7" w14:textId="41D5E0D5" w:rsidR="00497283" w:rsidRPr="004661E9" w:rsidRDefault="00497283" w:rsidP="004661E9">
      <w:pPr>
        <w:spacing w:after="0" w:line="276" w:lineRule="auto"/>
        <w:rPr>
          <w:rFonts w:ascii="Arial" w:hAnsi="Arial" w:cs="Arial"/>
        </w:rPr>
      </w:pPr>
    </w:p>
    <w:p w14:paraId="451F108A" w14:textId="12A0F406" w:rsidR="00497283" w:rsidRPr="004661E9" w:rsidRDefault="00497283" w:rsidP="004661E9">
      <w:pPr>
        <w:spacing w:after="0" w:line="276" w:lineRule="auto"/>
        <w:rPr>
          <w:rFonts w:ascii="Arial" w:hAnsi="Arial" w:cs="Arial"/>
        </w:rPr>
      </w:pPr>
      <w:r w:rsidRPr="004661E9">
        <w:rPr>
          <w:rFonts w:ascii="Arial" w:hAnsi="Arial" w:cs="Arial"/>
          <w:noProof/>
        </w:rPr>
        <w:lastRenderedPageBreak/>
        <w:drawing>
          <wp:inline distT="0" distB="0" distL="0" distR="0" wp14:anchorId="43BE3DBB" wp14:editId="7DD4003B">
            <wp:extent cx="5943600" cy="4479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79290"/>
                    </a:xfrm>
                    <a:prstGeom prst="rect">
                      <a:avLst/>
                    </a:prstGeom>
                  </pic:spPr>
                </pic:pic>
              </a:graphicData>
            </a:graphic>
          </wp:inline>
        </w:drawing>
      </w:r>
    </w:p>
    <w:p w14:paraId="771CD9D8" w14:textId="25E6286C" w:rsidR="008D0C25" w:rsidRPr="004661E9" w:rsidRDefault="00497283" w:rsidP="004661E9">
      <w:pPr>
        <w:spacing w:after="0" w:line="276" w:lineRule="auto"/>
        <w:rPr>
          <w:rFonts w:ascii="Arial" w:hAnsi="Arial" w:cs="Arial"/>
          <w:b/>
          <w:bCs/>
        </w:rPr>
      </w:pPr>
      <w:r w:rsidRPr="004661E9">
        <w:rPr>
          <w:rFonts w:ascii="Arial" w:hAnsi="Arial" w:cs="Arial"/>
          <w:b/>
          <w:bCs/>
        </w:rPr>
        <w:t xml:space="preserve">Figure 4. Global longitudinal strain by speckle tracking echocardiography. Assessment of global longitudinal strain (GLS) in a healthy, asymptomatic individual with a GLS of -25%. The top row displays </w:t>
      </w:r>
      <w:r w:rsidR="00543EDD" w:rsidRPr="004661E9">
        <w:rPr>
          <w:rFonts w:ascii="Arial" w:hAnsi="Arial" w:cs="Arial"/>
          <w:b/>
          <w:bCs/>
        </w:rPr>
        <w:t xml:space="preserve">a </w:t>
      </w:r>
      <w:r w:rsidRPr="004661E9">
        <w:rPr>
          <w:rFonts w:ascii="Arial" w:hAnsi="Arial" w:cs="Arial"/>
          <w:b/>
          <w:bCs/>
        </w:rPr>
        <w:t xml:space="preserve">regional strain map superimposed on the grayscale two-dimensional echocardiographic images in apical four-chamber (A4C), apical two-chamber (A2C), and apical three-chamber (A3C) views. The bottom left bullseye displays regional longitudinal strain for each segment of a 16-segment </w:t>
      </w:r>
      <w:r w:rsidR="00543EDD" w:rsidRPr="004661E9">
        <w:rPr>
          <w:rFonts w:ascii="Arial" w:hAnsi="Arial" w:cs="Arial"/>
          <w:b/>
          <w:bCs/>
        </w:rPr>
        <w:t>left ventricle model</w:t>
      </w:r>
      <w:r w:rsidRPr="004661E9">
        <w:rPr>
          <w:rFonts w:ascii="Arial" w:hAnsi="Arial" w:cs="Arial"/>
          <w:b/>
          <w:bCs/>
        </w:rPr>
        <w:t>. Bright red denotes t</w:t>
      </w:r>
      <w:r w:rsidR="00D2537D" w:rsidRPr="004661E9">
        <w:rPr>
          <w:rFonts w:ascii="Arial" w:hAnsi="Arial" w:cs="Arial"/>
          <w:b/>
          <w:bCs/>
        </w:rPr>
        <w:t>he</w:t>
      </w:r>
      <w:r w:rsidRPr="004661E9">
        <w:rPr>
          <w:rFonts w:ascii="Arial" w:hAnsi="Arial" w:cs="Arial"/>
          <w:b/>
          <w:bCs/>
        </w:rPr>
        <w:t xml:space="preserve"> most negative normal values of GLS. The bottom right bullseye </w:t>
      </w:r>
      <w:r w:rsidR="00543EDD" w:rsidRPr="004661E9">
        <w:rPr>
          <w:rFonts w:ascii="Arial" w:hAnsi="Arial" w:cs="Arial"/>
          <w:b/>
          <w:bCs/>
        </w:rPr>
        <w:t>show</w:t>
      </w:r>
      <w:r w:rsidRPr="004661E9">
        <w:rPr>
          <w:rFonts w:ascii="Arial" w:hAnsi="Arial" w:cs="Arial"/>
          <w:b/>
          <w:bCs/>
        </w:rPr>
        <w:t xml:space="preserve">s the time (ms) between aortic valve opening and peak longitudinal strain, a measure of </w:t>
      </w:r>
      <w:r w:rsidR="00852B37" w:rsidRPr="004661E9">
        <w:rPr>
          <w:rFonts w:ascii="Arial" w:hAnsi="Arial" w:cs="Arial"/>
          <w:b/>
          <w:bCs/>
        </w:rPr>
        <w:t>desynchrony</w:t>
      </w:r>
      <w:r w:rsidRPr="004661E9">
        <w:rPr>
          <w:rFonts w:ascii="Arial" w:hAnsi="Arial" w:cs="Arial"/>
          <w:b/>
          <w:bCs/>
        </w:rPr>
        <w:t>, for each segment.</w:t>
      </w:r>
    </w:p>
    <w:p w14:paraId="7EE5805F" w14:textId="77777777" w:rsidR="00497283" w:rsidRPr="004661E9" w:rsidRDefault="00497283" w:rsidP="004661E9">
      <w:pPr>
        <w:spacing w:after="0" w:line="276" w:lineRule="auto"/>
        <w:rPr>
          <w:rFonts w:ascii="Arial" w:hAnsi="Arial" w:cs="Arial"/>
        </w:rPr>
      </w:pPr>
    </w:p>
    <w:p w14:paraId="1213E7B8" w14:textId="63C68A64" w:rsidR="008D0C25" w:rsidRPr="004661E9" w:rsidRDefault="0049543A" w:rsidP="004661E9">
      <w:pPr>
        <w:spacing w:after="0" w:line="276" w:lineRule="auto"/>
        <w:rPr>
          <w:rFonts w:ascii="Arial" w:hAnsi="Arial" w:cs="Arial"/>
        </w:rPr>
      </w:pPr>
      <w:r w:rsidRPr="004661E9">
        <w:rPr>
          <w:rFonts w:ascii="Arial" w:hAnsi="Arial" w:cs="Arial"/>
        </w:rPr>
        <w:t>Impaired GLS is highly prevalent in asymptomatic, normotensive patients with diabetes and normal LVEF</w:t>
      </w:r>
      <w:r w:rsidR="008D0C25"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{"citationItems":[{"id":"ITEM-1","itemData":{"DOI":"10.1016/j.jcmg.2018.03.015","ISSN":"18767591","abstract":"Objectives: This study sought to identify whether impaired global longitudinal strain (GLS), diastolic dysfunction (DD), or left atrial enlargement (LAE) should be added to stage B heart failure (SBHF) criteria in asymptomatic patients with type 2 diabetes mellitus. Background: SBHF is a precursor to clinical heart failure (HF), and its recognition justifies initiation of cardioprotective therapy. However, original definitions of SBHF were based on LV hypertrophy and impaired ejection fraction. Methods: Patients with asymptomatic type 2 diabetes mellitus ≥65 years of age (age 71 ± 4 years; 55% men) with preserved ejection fraction and no ischemic heart disease were recruited from a community-based population. All underwent a standard clinical evaluation, and a comprehensive echocardiogram, including assessment of left ventricular hypertrophy (LVH), LAE, DD (abnormal E/e′), and GLS (&lt;16%). Over a median follow-up of 1.5 years (range 0.5 to 3), 20 patients were lost to follow-up, and 290 individuals were entered into the final analyses. Results: In this asymptomatic group, LV dysfunction was identified in 30 (10%) by DD, 68 (23%) by LVH, 102 (35%) by LAE, and 68 (23%) by impaired GLS. New-onset HF developed in 45 patients and 4 died, giving an event rate of 112/1,000 person-years. Survival free of the composite endpoint (HF and death) was about 1.5-fold higher in patients without a normal, compared with an abnormal echocardiogram. LVH, LAE, and GLS &lt;16% were associated with increased risk of the composite endpoint, independent of ARIC risk score and glycosylated hemoglobin, but abnormal E/e′ was not. The addition of left atrial volume and GLS provided incremental value to the current standard of clinical risk (ARIC score) and LVH. In a competing-risks regression analysis, LVH (hazard ratio: 2.90; p &lt; 0.001) and GLS &lt;16% (hazard ratio: 2.26; p = 0.008), but not DD and LAE were associated with incident HF. Conclusions: Subclinical left ventricular systolic dysfunction is prevalent in asymptomatic elderly patients with type 2 diabetes mellitus, and impaired GLS is independent and incremental to LVH in the prediction of incident HF.","author":[{"dropping-particle":"","family":"Wang","given":"Ying","non-dropping-particle":"","parse-names":false,"suffix":""},{"dropping-particle":"","family":"Yang","given":"Hong","non-dropping-particle":"","parse-names":false,"suffix":""},{"dropping-particle":"","family":"Huynh","given":"Quan","non-dropping-particle":"","parse-names":false,"suffix":""},{"dropping-particle":"","family":"Nolan","given":"Mark","non-dropping-particle":"","parse-names":false,"suffix":""},{"dropping-particle":"","family":"Negishi","given":"Kazuaki","non-dropping-particle":"","parse-names":false,"suffix":""},{"dropping-particle":"","family":"Marwick","given":"Thomas H.","non-dropping-particle":"","parse-names":false,"suffix":""}],"container-title":"JACC: Cardiovascular Imaging","id":"ITEM-1","issue":"10","issued":{"date-parts":[["2018"]]},"page":"1390-1400","title":"Diagnosis of Nonischemic Stage B Heart Failure in Type 2 Diabetes Mellitus: Optimal Parameters for Prediction of Heart Failure","type":"article-journal","volume":"11"},"uris":["http://www.mendeley.com/documents/?uuid=015f7fd8-d1e2-4bcd-a327-448bd05e2534"]},{"id":"ITEM-2","itemData":{"DOI":"10.1136/heartjnl-2014-307391","ISSN":"1468201X","abstract":"Objective: New imaging techniques have permitted the detection of subclinical LV dysfunction (LVD) in up to half of patients with type 2 diabetes mellitus (DM) with a normal EF. However, the connection between early LVD and prognosis is unclear. This study aimed to define the long-term outcome of LVD associated with type 2 DM. Methods: In this prospective cohort study, 230 asymptomatic patients with type 2 DM underwent measurement of global longitudinal 2D strain (GLS) for detection of LVD and were followed for up to 10 years. All subjects had normal EF (≥50%) and no evidence of coronary artery disease at recruitment. Outcome data were obtained through centralised state-wide death and hospital admission registries. The primary endpoint was all-cause mortality and hospitalisation. Results: On study entry, almost half (45%) of the cohort had evidence of LVD as detected by GLS. Over a median follow-up of 7.4±2.6 years (range 0.6-9.7 years), 68 patients (30%) met the primary endpoint (LVD: 37%; normal LV function: 24%). GLS was independently associated with the primary endpoint (HR=1.10; p=0.04), as was systolic blood pressure (HR=1.02; p&lt;0.001) and levels of glycosylated haemoglobin (HR=1.28; p=0.011). Patients with LVD had significantly worse outcome than those without (χ2=4.73; p=0.030). Conclusions: Subclinical LVD is common in asymptomatic patients with type 2 DM, is readily detectable by GLS imaging and is independently associated with adverse outcome. Trial registration number: Australian and New Zealand Clinical Trials Registry (ACTRN12612001178831).","author":[{"dropping-particle":"","family":"Holland","given":"David J.","non-dropping-particle":"","parse-names":false,"suffix":""},{"dropping-particle":"","family":"Marwick","given":"Thomas H.","non-dropping-particle":"","parse-names":false,"suffix":""},{"dropping-particle":"","family":"Haluska","given":"Brian A.","non-dropping-particle":"","parse-names":false,"suffix":""},{"dropping-particle":"","family":"Leano","given":"Rodel","non-dropping-particle":"","parse-names":false,"suffix":""},{"dropping-particle":"","family":"Hordern","given":"Matthew D.","non-dropping-particle":"","parse-names":false,"suffix":""},{"dropping-particle":"","family":"Hare","given":"James L.","non-dropping-particle":"","parse-names":false,"suffix":""},{"dropping-particle":"","family":"Fang","given":"Zhi You","non-dropping-particle":"","parse-names":false,"suffix":""},{"dropping-particle":"","family":"Prins","given":"Johannes B.","non-dropping-particle":"","parse-names":false,"suffix":""},{"dropping-particle":"","family":"Stanton","given":"Tony","non-dropping-particle":"","parse-names":false,"suffix":""}],"container-title":"Heart","id":"ITEM-2","issue":"13","issued":{"date-parts":[["2015","7","1"]]},"page":"1061-1066","publisher":"BMJ Publishing Group","title":"Subclinical LV dysfunction and 10-year outcomes in type 2 diabetes mellitus","type":"article-journal","volume":"101"},"uris":["http://www.mendeley.com/documents/?uuid=7ccd67f2-13ce-3fc5-abe6-362840002972"]},{"id":"ITEM-3","itemData":{"DOI":"10.1253/circj.CJ-15-0012","ISSN":"1346-9843","abstract":"Background: It remains uncertain whether diabetes itself causes specific echocardiographic features of myocardial morphology and function in the absence of hypertension or ischemic heart disease. The purpose of the present study was to determine the characteristics of pure diabetic cardiomyopathy-related echocardiographic morphology and function using layer-by-layer evaluation with myocardial strain echocardiography. Methods and Results: We enrolled 104 patients with poorly controlled type 2 diabetes mellitus (mean HbA1c level, 10%) with (n=74) or without (n=40) hypertension and 24 age- and sex-matched healthy volunteers. Patients with coronary artery stenosis or structural heart disease were excluded. Myocardial layer-specific strain was analyzed by speckle tracking echocardiography. Compared with the healthy control group, the normotensive diabetes group showed no significant difference in ejection fraction, left ventricular mass index, diastolic properties, left atrial volume index, or B-type natriuretic protein (BNP) level, but global longitudinal strain and subendocardial radial strain were significantly deteriorated. The deterioration of longitudinal strain correlated with body mass index (R=0.49, P&lt;0.01) and blood pressure (R=0.36, P&lt;0.01) in the normotensive diabetes group. Conclusions: Deterioration of left ventricular longitudinal shortening accompanied by decreased subendocardial wall thickening are the characteristic functional abnormalities of diabetic cardiomyopathy in patients without hypertrophy, diastolic dysfunction, or elevated BNP. Obesity and blood pressure may also play important roles in this strain abnormality in asymptomatic patients with type 2 diabetes.","author":[{"dropping-particle":"","family":"Enomoto","given":"Mami","non-dropping-particle":"","parse-names":false,"suffix":""},{"dropping-particle":"","family":"Ishizu","given":"Tomoko","non-dropping-particle":"","parse-names":false,"suffix":""},{"dropping-particle":"","family":"Seo","given":"Yoshihiro","non-dropping-particle":"","parse-names":false,"suffix":""},{"dropping-particle":"","family":"Yamamoto","given":"Masayoshi","non-dropping-particle":"","parse-names":false,"suffix":""},{"dropping-particle":"","family":"Suzuki","given":"Hiroaki","non-dropping-particle":"","parse-names":false,"suffix":""},{"dropping-particle":"","family":"Shimano","given":"Hitoshi","non-dropping-particle":"","parse-names":false,"suffix":""},{"dropping-particle":"","family":"Kawakami","given":"Yasushi","non-dropping-particle":"","parse-names":false,"suffix":""},{"dropping-particle":"","family":"Aonuma","given":"Kazutaka","non-dropping-particle":"","parse-names":false,"suffix":""}],"container-title":"Circulation Journal","id":"ITEM-3","issue":"8","issued":{"date-parts":[["2015","7","24"]]},"page":"1749-1755","publisher":"Japanese Circulation Society","title":"Subendocardial Systolic Dysfunction in Asymptomatic Normotensive Diabetic Patients","type":"article-journal","volume":"79"},"uris":["http://www.mendeley.com/documents/?uuid=29a81f23-8db1-36cf-924f-e57842b22af7"]}],"mendeley":{"formattedCitation":"(67,79,80)","plainTextFormattedCitation":"(67,79,80)","previouslyFormattedCitation":"(67,79,80)"},"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(67,79,80)</w:t>
      </w:r>
      <w:r w:rsidRPr="004661E9">
        <w:rPr>
          <w:rFonts w:ascii="Arial" w:hAnsi="Arial" w:cs="Arial"/>
        </w:rPr>
        <w:fldChar w:fldCharType="end"/>
      </w:r>
      <w:r w:rsidR="008D0C25" w:rsidRPr="004661E9">
        <w:rPr>
          <w:rFonts w:ascii="Arial" w:hAnsi="Arial" w:cs="Arial"/>
        </w:rPr>
        <w:t>.</w:t>
      </w:r>
      <w:r w:rsidRPr="004661E9">
        <w:rPr>
          <w:rFonts w:ascii="Arial" w:hAnsi="Arial" w:cs="Arial"/>
        </w:rPr>
        <w:t xml:space="preserve"> Diabetes</w:t>
      </w:r>
      <w:r w:rsidR="000962ED" w:rsidRPr="004661E9">
        <w:rPr>
          <w:rFonts w:ascii="Arial" w:hAnsi="Arial" w:cs="Arial"/>
        </w:rPr>
        <w:t xml:space="preserve"> i</w:t>
      </w:r>
      <w:r w:rsidRPr="004661E9">
        <w:rPr>
          <w:rFonts w:ascii="Arial" w:hAnsi="Arial" w:cs="Arial"/>
        </w:rPr>
        <w:t xml:space="preserve">s associated with </w:t>
      </w:r>
      <w:r w:rsidR="00543EDD" w:rsidRPr="004661E9">
        <w:rPr>
          <w:rFonts w:ascii="Arial" w:hAnsi="Arial" w:cs="Arial"/>
        </w:rPr>
        <w:t>reduced</w:t>
      </w:r>
      <w:r w:rsidRPr="004661E9">
        <w:rPr>
          <w:rFonts w:ascii="Arial" w:hAnsi="Arial" w:cs="Arial"/>
        </w:rPr>
        <w:t xml:space="preserve"> GLS, even in adolescents and young adults with T1DM or T2DM</w:t>
      </w:r>
      <w:r w:rsidR="008D0C25"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{"citationItems":[{"id":"ITEM-1","itemData":{"DOI":"10.1111/pedi.12961","ISSN":"13995448","abstract":"Aims/hypothesis: Heart failure is a complication of type 2 diabetes (T2DM). Echocardiography can identify subclinical systolic dysfunction in adults with T2DM. We hypothesized that reduced systolic strain was present in youth with T2DM. Methods: Global longitudinal strain (GLS) was measured in 151 subjects with T2DM matched to lean (L = 146), and obese (O = 162) subjects (23.0 ± 4.0 years, 35% male, 63% African American). Anthropometrics, BP, HR, labs, and echocardiograms were obtained. ANOVA was performed to compare differences among groups, and ANCOVA to determine if T2DM remained an independent predictor after corrections. Results: BP, lipid levels, and metabolic control worsened and GLS was reduced from L to O to T2DM. BMI was lower in L than O or T2DM. Global longitudinal strain rate (GLSR) was lower and LVM/ht2.7 was higher in O and T2DM as compared to L (all P ≤.05). Presence of T2DM was an independent determinant of GLS and GLSR adjusted for most CV risk factors, but lost significance when BMI was added to the model. GLS = −21.6-age*0.088 - male*1.8 + 0.12*BMI + 0.045*DBP + 0.058*HR - 0.023*HDL (R2 = 0.38, P ≤.0001); GLSR = −1.20-male*0.093 + WHR*0.48 + DBP*0.0029 (R2 = 0.23, P ≤.0001). Conclusion: Both adiposity and T2DM have a deleterious effect on systolic cardiac function. Treatment of obesity in youth is necessary for prevention of future heart failure.","author":[{"dropping-particle":"","family":"Haley","given":"Jessica E.","non-dropping-particle":"","parse-names":false,"suffix":""},{"dropping-particle":"","family":"Zhiqian","given":"Gao","non-dropping-particle":"","parse-names":false,"suffix":""},{"dropping-particle":"","family":"Philip","given":"Khoury R.","non-dropping-particle":"","parse-names":false,"suffix":""},{"dropping-particle":"","family":"Nicolas","given":"Madsen L.","non-dropping-particle":"","parse-names":false,"suffix":""},{"dropping-particle":"","family":"Thomas","given":"Kimball R.","non-dropping-particle":"","parse-names":false,"suffix":""},{"dropping-particle":"","family":"Lawrence","given":"Dolan M.","non-dropping-particle":"","parse-names":false,"suffix":""},{"dropping-particle":"","family":"Elaine","given":"Urbina M.","non-dropping-particle":"","parse-names":false,"suffix":""}],"container-title":"Pediatric Diabetes","id":"ITEM-1","issue":"2","issued":{"date-parts":[["2020","3","1"]]},"page":"243-250","publisher":"Blackwell Publishing Ltd","title":"Reduction in myocardial strain is evident in adolescents and young adults with obesity and type 2 diabetes","type":"article-journal","volume":"21"},"uris":["http://www.mendeley.com/documents/?uuid=08f4a44b-7211-326f-b834-d5d5954a2e1a"]},{"id":"ITEM-2","itemData":{"DOI":"10.1111/pedi.12900","ISSN":"13995448","abstract":"Background: Cardiac dysfunction is a complication of type 1 diabetes mellitus (T1DM) with primary concern in adults. However, studies have evaluated left ventricle (LV) myocardial changes in pediatrics but not the long-term effect of T1DM in such vulnerable age. Therefore, we assessed LV functions in pediatric patients with long-duration T1DM using different echocardiographic modalities. Methods: Between July 2015 and March 2016, 48 T1DM patients were prospectively compared to 35 healthy controls. Pediatric patients with T1DM for 10 years or more were included in the study. Patients were subjected to history taking, clinical examination, glycated hemoglobin (HbA1c), and microalbuminuria measurements. Moreover, conventional echocardiography, tissue Doppler, and 2D speckle tracking were performed to analyze LV functions. Results: Mean age of patients was 15.5 ± 2 years, and mean T1DM duration was 11.7 ± 1.8 years. LV dimensions, EF and FS, and mass index did not statistically differ between groups, but E/E′ ratio was significantly higher in the diabetic group. Global longitudinal strain (GLS) and global circumferential strain (GCS) were significantly lower in diabetic patients compared with controls (P = 0.038; P = 0.001, respectively). Mean HbA1c was found to be a significant predictor of decreased GLS in the diabetic population (95% CI, 0.096-0.244; P = 0.001) but not predicting GCS. Microalbuminuria had no significance in predicting strain. Conclusions: Despite the long-duration of affection with T1DM during childhood in our patients, alterations on LV myocardial function could not be detected either clinically or by conventional echocardiography. Tissue Doppler and speckle tracking could be used in the follow up of myocardial status in pediatric diabetic patients.","author":[{"dropping-particle":"","family":"Rakha","given":"Shaimaa","non-dropping-particle":"","parse-names":false,"suffix":""},{"dropping-particle":"","family":"Aboelenin","given":"Hadil M.","non-dropping-particle":"","parse-names":false,"suffix":""}],"container-title":"Pediatric Diabetes","id":"ITEM-2","issue":"7","issued":{"date-parts":[["2019","11","1"]]},"page":"946-954","publisher":"Blackwell Publishing Ltd","title":"Left ventricular functions in pediatric patients with ten years or more type 1 diabetes mellitus: Conventional echocardiography, tissue Doppler, and two-dimensional speckle tracking study","type":"article-journal","volume":"20"},"uris":["http://www.mendeley.com/documents/?uuid=6b0581dc-295f-3d3e-a8b6-3d43916af3d4"]}],"mendeley":{"formattedCitation":"(81,82)","plainTextFormattedCitation":"(81,82)","previouslyFormattedCitation":"(81,82)"},"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(81,82)</w:t>
      </w:r>
      <w:r w:rsidRPr="004661E9">
        <w:rPr>
          <w:rFonts w:ascii="Arial" w:hAnsi="Arial" w:cs="Arial"/>
        </w:rPr>
        <w:fldChar w:fldCharType="end"/>
      </w:r>
      <w:r w:rsidR="008D0C25" w:rsidRPr="004661E9">
        <w:rPr>
          <w:rFonts w:ascii="Arial" w:hAnsi="Arial" w:cs="Arial"/>
        </w:rPr>
        <w:t>.</w:t>
      </w:r>
      <w:r w:rsidRPr="004661E9">
        <w:rPr>
          <w:rFonts w:ascii="Arial" w:hAnsi="Arial" w:cs="Arial"/>
        </w:rPr>
        <w:t xml:space="preserve"> Moreover, an inverse correlation exists between HbA1C and GLS regardless of diabetes status, race, and sex</w:t>
      </w:r>
      <w:r w:rsidR="008D0C25"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{"citationItems":[{"id":"ITEM-1","itemData":{"DOI":"10.1161/CIRCHEARTFAILURE.114.001990","ISSN":"19413297","abstract":"Background-Individuals with diabetes mellitus and pre-diabetes mellitus are at particularly high risk of incident heart failure or death, even after accounting for known confounders. Nevertheless, the extent of impairments in cardiac structure and function in elderly individuals with diabetes mellitus and pre-diabetes mellitus is not well known. We aimed to assess the relationship between echocardiographic measures of cardiac structure and function and dysglycemia. Methods and Results-We assessed measures of cardiac structure and function in 4419 participants without prevalent coronary heart disease or heart failure who attended the Atherosclerosis Risk In the Community (ARIC) visit 5 examination (2011-2013) and underwent transthoracic echocardiography (age, 75±6 years; 61% women, 23% black). Subjects were grouped across the dysglycemia spectrum as normal (39%), pre-diabetes mellitus (31%), or diabetes mellitus (30%) based on medical history, antidiabetic medication use, and glycated hemoglobin levels. Glycemic status was related to measures of cardiac structure and function. Worsening dysglycemia was associated with increased left ventricular mass, worse diastolic function, and subtle reduction in left ventricular systolic function (P≤0.01 for all). For every 1% higher glycated hemoglobin, left ventricular mass was higher by 3.0 g (95% confidence interval, 1.5-4.6 g), E/E′ by 0.5 (95% confidence interval, 0.4-0.7), and global longitudinal strain by 0.3% (95% confidence interval, 0.2-0.4) in multivariable analyses. Conclusions-In a large contemporary biracial cohort of elderly subjects without prevalent cardiovascular disease or heart failure, dysglycemia was associated with subtle and subclinical alterations of cardiac structure, and left ventricular systolic and diastolic function. It remains unclear whether these are sufficient to explain the heightened risk of heart failure in individuals with diabetes mellitus.","author":[{"dropping-particle":"","family":"Skali","given":"Hicham","non-dropping-particle":"","parse-names":false,"suffix":""},{"dropping-particle":"","family":"Shah","given":"Amil","non-dropping-particle":"","parse-names":false,"suffix":""},{"dropping-particle":"","family":"Gupta","given":"Deepak K.","non-dropping-particle":"","parse-names":false,"suffix":""},{"dropping-particle":"","family":"Cheng","given":"Susan","non-dropping-particle":"","parse-names":false,"suffix":""},{"dropping-particle":"","family":"Claggett","given":"Brian","non-dropping-particle":"","parse-names":false,"suffix":""},{"dropping-particle":"","family":"Liu","given":"Jiankang","non-dropping-particle":"","parse-names":false,"suffix":""},{"dropping-particle":"","family":"Bello","given":"Natalie","non-dropping-particle":"","parse-names":false,"suffix":""},{"dropping-particle":"","family":"Aguilar","given":"David","non-dropping-particle":"","parse-names":false,"suffix":""},{"dropping-particle":"","family":"Vardeny","given":"Orly","non-dropping-particle":"","parse-names":false,"suffix":""},{"dropping-particle":"","family":"Matsushita","given":"Kunihiro","non-dropping-particle":"","parse-names":false,"suffix":""},{"dropping-particle":"","family":"Selvin","given":"Elizabeth","non-dropping-particle":"","parse-names":false,"suffix":""},{"dropping-particle":"","family":"Solomon","given":"Scott","non-dropping-particle":"","parse-names":false,"suffix":""}],"container-title":"Circulation: Heart Failure","id":"ITEM-1","issue":"3","issued":{"date-parts":[["2015"]]},"page":"448-454","title":"Cardiac Structure and Function Across the Glycemic Spectrum in Elderly Men and Women Free of Prevalent Heart Disease: The Atherosclerosis Risk in the Community Study","type":"article-journal","volume":"8"},"uris":["http://www.mendeley.com/documents/?uuid=d20b3bd7-d5fd-4ff8-a6e0-c4851b89ecb3"]}],"mendeley":{"formattedCitation":"(83)","plainTextFormattedCitation":"(83)","previouslyFormattedCitation":"(83)"},"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(83)</w:t>
      </w:r>
      <w:r w:rsidRPr="004661E9">
        <w:rPr>
          <w:rFonts w:ascii="Arial" w:hAnsi="Arial" w:cs="Arial"/>
        </w:rPr>
        <w:fldChar w:fldCharType="end"/>
      </w:r>
      <w:r w:rsidR="008D0C25" w:rsidRPr="004661E9">
        <w:rPr>
          <w:rFonts w:ascii="Arial" w:hAnsi="Arial" w:cs="Arial"/>
        </w:rPr>
        <w:t>.</w:t>
      </w:r>
      <w:r w:rsidRPr="004661E9">
        <w:rPr>
          <w:rFonts w:ascii="Arial" w:hAnsi="Arial" w:cs="Arial"/>
        </w:rPr>
        <w:t xml:space="preserve"> </w:t>
      </w:r>
      <w:r w:rsidR="00D2537D" w:rsidRPr="004661E9">
        <w:rPr>
          <w:rFonts w:ascii="Arial" w:hAnsi="Arial" w:cs="Arial"/>
        </w:rPr>
        <w:t>N</w:t>
      </w:r>
      <w:r w:rsidRPr="004661E9">
        <w:rPr>
          <w:rFonts w:ascii="Arial" w:hAnsi="Arial" w:cs="Arial"/>
        </w:rPr>
        <w:t xml:space="preserve">ot surprisingly, impaired GLS is a </w:t>
      </w:r>
      <w:r w:rsidR="00543EDD" w:rsidRPr="004661E9">
        <w:rPr>
          <w:rFonts w:ascii="Arial" w:hAnsi="Arial" w:cs="Arial"/>
        </w:rPr>
        <w:t>robust</w:t>
      </w:r>
      <w:r w:rsidRPr="004661E9">
        <w:rPr>
          <w:rFonts w:ascii="Arial" w:hAnsi="Arial" w:cs="Arial"/>
        </w:rPr>
        <w:t xml:space="preserve"> independent predictor of new-onset HF and mortality in patients with diabetes</w:t>
      </w:r>
      <w:r w:rsidR="008D0C25"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{"citationItems":[{"id":"ITEM-1","itemData":{"DOI":"10.1016/j.jcmg.2018.03.015","ISSN":"18767591","abstract":"Objectives: This study sought to identify whether impaired global longitudinal strain (GLS), diastolic dysfunction (DD), or left atrial enlargement (LAE) should be added to stage B heart failure (SBHF) criteria in asymptomatic patients with type 2 diabetes mellitus. Background: SBHF is a precursor to clinical heart failure (HF), and its recognition justifies initiation of cardioprotective therapy. However, original definitions of SBHF were based on LV hypertrophy and impaired ejection fraction. Methods: Patients with asymptomatic type 2 diabetes mellitus ≥65 years of age (age 71 ± 4 years; 55% men) with preserved ejection fraction and no ischemic heart disease were recruited from a community-based population. All underwent a standard clinical evaluation, and a comprehensive echocardiogram, including assessment of left ventricular hypertrophy (LVH), LAE, DD (abnormal E/e′), and GLS (&lt;16%). Over a median follow-up of 1.5 years (range 0.5 to 3), 20 patients were lost to follow-up, and 290 individuals were entered into the final analyses. Results: In this asymptomatic group, LV dysfunction was identified in 30 (10%) by DD, 68 (23%) by LVH, 102 (35%) by LAE, and 68 (23%) by impaired GLS. New-onset HF developed in 45 patients and 4 died, giving an event rate of 112/1,000 person-years. Survival free of the composite endpoint (HF and death) was about 1.5-fold higher in patients without a normal, compared with an abnormal echocardiogram. LVH, LAE, and GLS &lt;16% were associated with increased risk of the composite endpoint, independent of ARIC risk score and glycosylated hemoglobin, but abnormal E/e′ was not. The addition of left atrial volume and GLS provided incremental value to the current standard of clinical risk (ARIC score) and LVH. In a competing-risks regression analysis, LVH (hazard ratio: 2.90; p &lt; 0.001) and GLS &lt;16% (hazard ratio: 2.26; p = 0.008), but not DD and LAE were associated with incident HF. Conclusions: Subclinical left ventricular systolic dysfunction is prevalent in asymptomatic elderly patients with type 2 diabetes mellitus, and impaired GLS is independent and incremental to LVH in the prediction of incident HF.","author":[{"dropping-particle":"","family":"Wang","given":"Ying","non-dropping-particle":"","parse-names":false,"suffix":""},{"dropping-particle":"","family":"Yang","given":"Hong","non-dropping-particle":"","parse-names":false,"suffix":""},{"dropping-particle":"","family":"Huynh","given":"Quan","non-dropping-particle":"","parse-names":false,"suffix":""},{"dropping-particle":"","family":"Nolan","given":"Mark","non-dropping-particle":"","parse-names":false,"suffix":""},{"dropping-particle":"","family":"Negishi","given":"Kazuaki","non-dropping-particle":"","parse-names":false,"suffix":""},{"dropping-particle":"","family":"Marwick","given":"Thomas H.","non-dropping-particle":"","parse-names":false,"suffix":""}],"container-title":"JACC: Cardiovascular Imaging","id":"ITEM-1","issue":"10","issued":{"date-parts":[["2018"]]},"page":"1390-1400","title":"Diagnosis of Nonischemic Stage B Heart Failure in Type 2 Diabetes Mellitus: Optimal Parameters for Prediction of Heart Failure","type":"article-journal","volume":"11"},"uris":["http://www.mendeley.com/documents/?uuid=015f7fd8-d1e2-4bcd-a327-448bd05e2534"]}],"mendeley":{"formattedCitation":"(67)","plainTextFormattedCitation":"(67)","previouslyFormattedCitation":"(67)"},"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(67)</w:t>
      </w:r>
      <w:r w:rsidRPr="004661E9">
        <w:rPr>
          <w:rFonts w:ascii="Arial" w:hAnsi="Arial" w:cs="Arial"/>
        </w:rPr>
        <w:fldChar w:fldCharType="end"/>
      </w:r>
      <w:r w:rsidR="008D0C25" w:rsidRPr="004661E9">
        <w:rPr>
          <w:rFonts w:ascii="Arial" w:hAnsi="Arial" w:cs="Arial"/>
        </w:rPr>
        <w:t>.</w:t>
      </w:r>
    </w:p>
    <w:p w14:paraId="2A6F46DC" w14:textId="743AE298" w:rsidR="0049543A" w:rsidRPr="004661E9" w:rsidRDefault="0049543A" w:rsidP="004661E9">
      <w:pPr>
        <w:spacing w:after="0" w:line="276" w:lineRule="auto"/>
        <w:rPr>
          <w:rFonts w:ascii="Arial" w:hAnsi="Arial" w:cs="Arial"/>
        </w:rPr>
      </w:pPr>
      <w:r w:rsidRPr="004661E9">
        <w:rPr>
          <w:rFonts w:ascii="Arial" w:hAnsi="Arial" w:cs="Arial"/>
        </w:rPr>
        <w:t xml:space="preserve">  </w:t>
      </w:r>
    </w:p>
    <w:p w14:paraId="09FE4289" w14:textId="30B59859" w:rsidR="0049543A" w:rsidRPr="004661E9" w:rsidRDefault="0049543A" w:rsidP="004661E9">
      <w:pPr>
        <w:spacing w:after="0" w:line="276" w:lineRule="auto"/>
        <w:rPr>
          <w:rFonts w:ascii="Arial" w:hAnsi="Arial" w:cs="Arial"/>
        </w:rPr>
      </w:pPr>
      <w:r w:rsidRPr="004661E9">
        <w:rPr>
          <w:rFonts w:ascii="Arial" w:hAnsi="Arial" w:cs="Arial"/>
        </w:rPr>
        <w:t xml:space="preserve">Diabetes </w:t>
      </w:r>
      <w:r w:rsidR="000962ED" w:rsidRPr="004661E9">
        <w:rPr>
          <w:rFonts w:ascii="Arial" w:hAnsi="Arial" w:cs="Arial"/>
        </w:rPr>
        <w:t>can lead to clinical</w:t>
      </w:r>
      <w:r w:rsidRPr="004661E9">
        <w:rPr>
          <w:rFonts w:ascii="Arial" w:hAnsi="Arial" w:cs="Arial"/>
        </w:rPr>
        <w:t xml:space="preserve"> HF syndrome in individuals with asymptomatic LV systolic dysfunction. A</w:t>
      </w:r>
      <w:r w:rsidR="00C83BB1" w:rsidRPr="004661E9">
        <w:rPr>
          <w:rFonts w:ascii="Arial" w:hAnsi="Arial" w:cs="Arial"/>
        </w:rPr>
        <w:t xml:space="preserve">n </w:t>
      </w:r>
      <w:r w:rsidRPr="004661E9">
        <w:rPr>
          <w:rFonts w:ascii="Arial" w:hAnsi="Arial" w:cs="Arial"/>
        </w:rPr>
        <w:t xml:space="preserve">RCT that included adults with asymptomatic LV systolic dysfunction </w:t>
      </w:r>
      <w:r w:rsidRPr="004661E9">
        <w:rPr>
          <w:rFonts w:ascii="Arial" w:hAnsi="Arial" w:cs="Arial"/>
        </w:rPr>
        <w:lastRenderedPageBreak/>
        <w:t>demonstrated that diabetes increased the risk of HF development by 53% and doubled the risk of HF hospitalization over a median follow-up of 3 years</w:t>
      </w:r>
      <w:r w:rsidR="008D0C25"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{"citationItems":[{"id":"ITEM-1","itemData":{"DOI":"10.2337/dc17-2583","ISSN":"19355548","abstract":"OBJECTIVE Although diabetes is well known to be common in prevalent heart failure (HF) and portends a poor prognosis, the role of diabetes in the development of incident HF is less well understood. We studied the role of diabetes in the transition from asymptomatic left ventricular systolic dysfunction (ALVSD) to overt HF in the prevention arm of the Studies of Left Ventricular Dysfunction (SOLVD-P). RESEARCH DESIGN AND METHODS We examined the development of symptomatic HF, HF hospitalization, and cardiovascular death according to diabetes status at baseline in patients in SOLVD-P. These outcomes were analyzed by using cumulative incidence curves and Cox regression models adjusted for age, sex, and other prognostic factors, including randomized treatment, HF severity, and comorbidity. RESULTS Of the 4,223 eligible participants, 647 (15%) had diabetes at baseline. Patients with diabetes were older and had a higher average weight, systolic blood pressure, and heart rate. During the median follow-up of 36 months, 861 of the 3,576 patients without diabetes (24%) developed HF compared with 214 of the 647 patients with diabetes (33%). In unadjusted analyses, patients with diabetes had a higher risk of development of HF (hazard ratio 1.53 [95% CI 1.32-1.78]; P &lt; 0.001), HF hospitalization (2.04 [1.65-2.52]; P &lt; 0.0001), and the composite outcome of development of HF or cardiovascular death (1.48 [1.30-1.69]; P &lt; 0.001). The effect of enalapril on outcomes was not modified by diabetes status. CONCLUSIONS In patients with ALVSD, diabetes is associated with an increased risk of developing HF. Development of HF is associated with an increased risk of death irrespective of diabetes status.","author":[{"dropping-particle":"","family":"Rørth","given":"Rasmus","non-dropping-particle":"","parse-names":false,"suffix":""},{"dropping-particle":"","family":"Jhund","given":"Pardeep S.","non-dropping-particle":"","parse-names":false,"suffix":""},{"dropping-particle":"","family":"Mogensen","given":"Ulrik M.","non-dropping-particle":"","parse-names":false,"suffix":""},{"dropping-particle":"","family":"Kristensen","given":"Søren L.","non-dropping-particle":"","parse-names":false,"suffix":""},{"dropping-particle":"","family":"Petrie","given":"Mark C.","non-dropping-particle":"","parse-names":false,"suffix":""},{"dropping-particle":"","family":"Køber","given":"Lars","non-dropping-particle":"","parse-names":false,"suffix":""},{"dropping-particle":"","family":"McMurray","given":"John J.V.","non-dropping-particle":"","parse-names":false,"suffix":""}],"container-title":"Diabetes Care","id":"ITEM-1","issue":"6","issued":{"date-parts":[["2018","6","1"]]},"page":"1285-1291","publisher":"American Diabetes Association Inc.","title":"Risk of incident heart failure in patients with diabetes and asymptomatic left ventricular systolic dysfunction","type":"article-journal","volume":"41"},"uris":["http://www.mendeley.com/documents/?uuid=022f2e27-0db7-35c6-90b3-d79578bc1e72"]}],"mendeley":{"formattedCitation":"(84)","plainTextFormattedCitation":"(84)","previouslyFormattedCitation":"(84)"},"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(84)</w:t>
      </w:r>
      <w:r w:rsidRPr="004661E9">
        <w:rPr>
          <w:rFonts w:ascii="Arial" w:hAnsi="Arial" w:cs="Arial"/>
        </w:rPr>
        <w:fldChar w:fldCharType="end"/>
      </w:r>
      <w:r w:rsidR="008D0C25" w:rsidRPr="004661E9">
        <w:rPr>
          <w:rFonts w:ascii="Arial" w:hAnsi="Arial" w:cs="Arial"/>
        </w:rPr>
        <w:t>.</w:t>
      </w:r>
      <w:r w:rsidRPr="004661E9">
        <w:rPr>
          <w:rFonts w:ascii="Arial" w:hAnsi="Arial" w:cs="Arial"/>
        </w:rPr>
        <w:t xml:space="preserve"> </w:t>
      </w:r>
    </w:p>
    <w:p w14:paraId="41A25836" w14:textId="77777777" w:rsidR="007E4DA9" w:rsidRPr="004661E9" w:rsidRDefault="007E4DA9" w:rsidP="004661E9">
      <w:pPr>
        <w:spacing w:after="0" w:line="276" w:lineRule="auto"/>
        <w:rPr>
          <w:rFonts w:ascii="Arial" w:hAnsi="Arial" w:cs="Arial"/>
        </w:rPr>
      </w:pPr>
    </w:p>
    <w:p w14:paraId="7A4B48B9" w14:textId="78D5363F" w:rsidR="0049543A" w:rsidRPr="004661E9" w:rsidRDefault="0049543A" w:rsidP="004661E9">
      <w:pPr>
        <w:spacing w:after="0" w:line="276" w:lineRule="auto"/>
        <w:rPr>
          <w:rFonts w:ascii="Arial" w:hAnsi="Arial" w:cs="Arial"/>
        </w:rPr>
      </w:pPr>
      <w:r w:rsidRPr="004661E9">
        <w:rPr>
          <w:rFonts w:ascii="Arial" w:hAnsi="Arial" w:cs="Arial"/>
        </w:rPr>
        <w:t>Better glycemic control in patients with diabetes can lead to improvements in LV systolic and diastolic function indices. In a prospective cohort study of subjects with uncontrolled T2DM, lowering of average HbA1c from 10.3% to 8.3% over 12 months was associated with a 21% increase in GLS and a 24% increase in septal e’ velocity, a marker of myocardial relaxation</w:t>
      </w:r>
      <w:r w:rsidR="008D0C25"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{"citationItems":[{"id":"ITEM-1","itemData":{"DOI":"10.1161/CIRCIMAGING.115.003643","ISSN":"1942-0080","PMID":"26962125","abstract":"BACKGROUND Patients with type 2 diabetes mellitus are at risk of heart failure. Specific therapeutic interventions for diabetic heart disease are still elusive. We aimed to examine the impact of improved glycemic control on left ventricular (LV) function in these patients. METHODS AND RESULTS A total of 105 subjects with type 2 diabetes mellitus (aged 54±10 years) and poor glycemic control received optimization of treatment for blood glucose, blood pressure, and cholesterol to recommended targets for 12 months. LV systolic and diastolic function, measured by LV global longitudinal strain (GLS) and septal e' velocities, were compared before and after optimization. At baseline, patients had impaired LV systolic (GLS -14.9±3.2%) and diastolic function (e' 6.2±1.7 cm/s). After 12 months, glycated hemoglobin (HbA1c) decreased from 10.3±2.4% to 8.3±2.0%, which was associated with significant relative improvement in GLS of 21% and septal e' of 24%. There was a progressively greater improvement in GLS as patients achieved a lower final HbA1c. Patients achieving an HbA1c of &lt;7.0% had the largest improvement. The 15 patients whose HbA1c worsened experienced a decline in GLS. Patients who improved their HbA1c by ≥1.0% had a significantly higher relative improvement in e' than those who did not (32% versus 8%; P=0.003). Baseline GLS, decrease in body mass index, and treatment with metformin were additional independent predictors of GLS improvement. CONCLUSIONS Improvements in glycemic control over a 12-month period led to improvements in LV systolic and diastolic function. This may have long-term prognostic implications.","author":[{"dropping-particle":"","family":"Leung","given":"Melissa","non-dropping-particle":"","parse-names":false,"suffix":""},{"dropping-particle":"","family":"Wong","given":"Vincent W","non-dropping-particle":"","parse-names":false,"suffix":""},{"dropping-particle":"","family":"Hudson","given":"Malcolm","non-dropping-particle":"","parse-names":false,"suffix":""},{"dropping-particle":"","family":"Leung","given":"Dominic Y","non-dropping-particle":"","parse-names":false,"suffix":""}],"container-title":"Circulation. Cardiovascular imaging","id":"ITEM-1","issue":"3","issued":{"date-parts":[["2016","3","1"]]},"page":"e003643","publisher":"Lippincott Williams and Wilkins","title":"Impact of Improved Glycemic Control on Cardiac Function in Type 2 Diabetes Mellitus.","type":"article-journal","volume":"9"},"uris":["http://www.mendeley.com/documents/?uuid=192d8508-ab62-3d72-b0e4-5fd4cfc18a6e"]}],"mendeley":{"formattedCitation":"(85)","plainTextFormattedCitation":"(85)","previouslyFormattedCitation":"(85)"},"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(85)</w:t>
      </w:r>
      <w:r w:rsidRPr="004661E9">
        <w:rPr>
          <w:rFonts w:ascii="Arial" w:hAnsi="Arial" w:cs="Arial"/>
        </w:rPr>
        <w:fldChar w:fldCharType="end"/>
      </w:r>
      <w:r w:rsidR="008D0C25" w:rsidRPr="004661E9">
        <w:rPr>
          <w:rFonts w:ascii="Arial" w:hAnsi="Arial" w:cs="Arial"/>
        </w:rPr>
        <w:t>.</w:t>
      </w:r>
    </w:p>
    <w:p w14:paraId="4ED5BD5C" w14:textId="77777777" w:rsidR="008D0C25" w:rsidRPr="004661E9" w:rsidRDefault="008D0C25" w:rsidP="004661E9">
      <w:pPr>
        <w:spacing w:after="0" w:line="276" w:lineRule="auto"/>
        <w:rPr>
          <w:rFonts w:ascii="Arial" w:hAnsi="Arial" w:cs="Arial"/>
        </w:rPr>
      </w:pPr>
    </w:p>
    <w:p w14:paraId="3531E1EF" w14:textId="418EC329" w:rsidR="0049543A" w:rsidRPr="004661E9" w:rsidRDefault="0049543A" w:rsidP="004661E9">
      <w:pPr>
        <w:spacing w:after="0" w:line="276" w:lineRule="auto"/>
        <w:rPr>
          <w:rFonts w:ascii="Arial" w:hAnsi="Arial" w:cs="Arial"/>
          <w:b/>
          <w:bCs/>
          <w:color w:val="4472C4" w:themeColor="accent1"/>
        </w:rPr>
      </w:pPr>
      <w:r w:rsidRPr="004661E9">
        <w:rPr>
          <w:rFonts w:ascii="Arial" w:hAnsi="Arial" w:cs="Arial"/>
          <w:b/>
          <w:bCs/>
          <w:color w:val="4472C4" w:themeColor="accent1"/>
        </w:rPr>
        <w:t>PATHOPHYSIOLOGIC LINKS BETWEEN DIABETES AND HF</w:t>
      </w:r>
    </w:p>
    <w:p w14:paraId="1CE1CC4C" w14:textId="77777777" w:rsidR="00497283" w:rsidRPr="004661E9" w:rsidRDefault="00497283" w:rsidP="004661E9">
      <w:pPr>
        <w:spacing w:after="0" w:line="276" w:lineRule="auto"/>
        <w:rPr>
          <w:rFonts w:ascii="Arial" w:hAnsi="Arial" w:cs="Arial"/>
          <w:b/>
          <w:bCs/>
        </w:rPr>
      </w:pPr>
    </w:p>
    <w:p w14:paraId="0D523184" w14:textId="5B369BE9" w:rsidR="003C75B4" w:rsidRPr="004661E9" w:rsidRDefault="0049543A" w:rsidP="004661E9">
      <w:pPr>
        <w:spacing w:after="0" w:line="276" w:lineRule="auto"/>
        <w:rPr>
          <w:rFonts w:ascii="Arial" w:hAnsi="Arial" w:cs="Arial"/>
        </w:rPr>
      </w:pPr>
      <w:r w:rsidRPr="004661E9">
        <w:rPr>
          <w:rFonts w:ascii="Arial" w:hAnsi="Arial" w:cs="Arial"/>
        </w:rPr>
        <w:t xml:space="preserve">A complex interplay between numerous mechanisms underlies the pathophysiologic links between diabetes and HF. These pathophysiologic mechanisms include but </w:t>
      </w:r>
      <w:r w:rsidR="00543EDD" w:rsidRPr="004661E9">
        <w:rPr>
          <w:rFonts w:ascii="Arial" w:hAnsi="Arial" w:cs="Arial"/>
        </w:rPr>
        <w:t xml:space="preserve">are </w:t>
      </w:r>
      <w:r w:rsidRPr="004661E9">
        <w:rPr>
          <w:rFonts w:ascii="Arial" w:hAnsi="Arial" w:cs="Arial"/>
        </w:rPr>
        <w:t>not limited to impaired cardiac insulin signaling, glucotoxicity, lipotoxicity, mitochondrial dysfunction, myocardial fibrosis, oxidative stress, impaired myocardial calcium handling, CV autonomic dysfunction, endocardial dysfunction, overactivation of the renin-angiotensin-aldosterone system</w:t>
      </w:r>
      <w:r w:rsidR="00497283" w:rsidRPr="004661E9">
        <w:rPr>
          <w:rFonts w:ascii="Arial" w:hAnsi="Arial" w:cs="Arial"/>
        </w:rPr>
        <w:t xml:space="preserve"> </w:t>
      </w:r>
      <w:r w:rsidRPr="004661E9">
        <w:rPr>
          <w:rFonts w:ascii="Arial" w:hAnsi="Arial" w:cs="Arial"/>
        </w:rPr>
        <w:fldChar w:fldCharType="begin" w:fldLock="1"/>
      </w:r>
      <w:r w:rsidR="000962ED" w:rsidRPr="004661E9">
        <w:rPr>
          <w:rFonts w:ascii="Arial" w:hAnsi="Arial" w:cs="Arial"/>
        </w:rPr>
        <w:instrText>ADDIN CSL_CITATION {"citationItems":[{"id":"ITEM-1","itemData":{"DOI":"10.1161/CIRCRESAHA.117.311586","ISSN":"15244571","abstract":"Heart failure and related morbidity and mortality are increasing at an alarming rate, in large part, because of increases in aging, obesity, and diabetes mellitus. The clinical outcomes associated with heart failure are considerably worse for patients with diabetes mellitus than for those without diabetes mellitus. In people with diabetes mellitus, the presence of myocardial dysfunction in the absence of overt clinical coronary artery disease, valvular disease, and other conventional cardiovascular risk factors, such as hypertension and dyslipidemia, has led to the descriptive terminology, diabetic cardiomyopathy. The prevalence of diabetic cardiomyopathy is increasing in parallel with the increase in diabetes mellitus. Diabetic cardiomyopathy is initially characterized by myocardial fibrosis, dysfunctional remodeling, and associated diastolic dysfunction, later by systolic dysfunction, and eventually by clinical heart failure. Impaired cardiac insulin metabolic signaling, mitochondrial dysfunction, increases in oxidative stress, reduced nitric oxide bioavailability, elevations in advanced glycation end products and collagen-based cardiomyocyte and extracellular matrix stiffness, impaired mitochondrial and cardiomyocyte calcium handling, inflammation, renin-angiotensin-aldosterone system activation, cardiac autonomic neuropathy, endoplasmic reticulum stress, microvascular dysfunction, and a myriad of cardiac metabolic abnormalities have all been implicated in the development and progression of diabetic cardiomyopathy. Molecular mechanisms linked to the underlying pathophysiological changes include abnormalities in AMP-Activated protein kinase, peroxisome proliferator-Activated receptors, O-linked N-Acetylglucosamine, protein kinase C, microRNA, and exosome pathways. The aim of this review is to provide a contemporary view of these instigators of diabetic cardiomyopathy, as well as mechanistically based strategies for the prevention and treatment of diabetic cardiomyopathy.","author":[{"dropping-particle":"","family":"Jia","given":"Guanghong","non-dropping-particle":"","parse-names":false,"suffix":""},{"dropping-particle":"","family":"Hill","given":"Michael A. A.","non-dropping-particle":"","parse-names":false,"suffix":""},{"dropping-particle":"","family":"Sowers","given":"James R. R.","non-dropping-particle":"","parse-names":false,"suffix":""}],"container-title":"Circulation Research","id":"ITEM-1","issue":"4","issued":{"date-parts":[["2018","2","1"]]},"page":"624-638","publisher":"Lippincott Williams and Wilkins","title":"Diabetic cardiomyopathy: An update of mechanisms contributing to this clinical entity","type":"article-journal","volume":"122"},"uris":["http://www.mendeley.com/documents/?uuid=43a20969-eaa0-4a81-ae95-93e52eb63579"]}],"mendeley":{"formattedCitation":"(7)","plainTextFormattedCitation":"(7)","previouslyFormattedCitation":"(7)"},"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(7)</w:t>
      </w:r>
      <w:r w:rsidRPr="004661E9">
        <w:rPr>
          <w:rFonts w:ascii="Arial" w:hAnsi="Arial" w:cs="Arial"/>
        </w:rPr>
        <w:fldChar w:fldCharType="end"/>
      </w:r>
      <w:r w:rsidRPr="004661E9">
        <w:rPr>
          <w:rFonts w:ascii="Arial" w:hAnsi="Arial" w:cs="Arial"/>
        </w:rPr>
        <w:t xml:space="preserve"> (Figure 5)</w:t>
      </w:r>
      <w:r w:rsidR="00497283" w:rsidRPr="004661E9">
        <w:rPr>
          <w:rFonts w:ascii="Arial" w:hAnsi="Arial" w:cs="Arial"/>
        </w:rPr>
        <w:t>.</w:t>
      </w:r>
      <w:r w:rsidRPr="004661E9">
        <w:rPr>
          <w:rFonts w:ascii="Arial" w:hAnsi="Arial" w:cs="Arial"/>
        </w:rPr>
        <w:t xml:space="preserve"> The relative contribution of each pathophysiologic mechanism and their relationship with the phenotype of diabetic cardiomyopathy are still </w:t>
      </w:r>
      <w:r w:rsidR="003C75B4" w:rsidRPr="004661E9">
        <w:rPr>
          <w:rFonts w:ascii="Arial" w:hAnsi="Arial" w:cs="Arial"/>
        </w:rPr>
        <w:t>poorly</w:t>
      </w:r>
      <w:r w:rsidRPr="004661E9">
        <w:rPr>
          <w:rFonts w:ascii="Arial" w:hAnsi="Arial" w:cs="Arial"/>
        </w:rPr>
        <w:t xml:space="preserve"> understood.</w:t>
      </w:r>
      <w:r w:rsidR="004248D9" w:rsidRPr="004661E9">
        <w:rPr>
          <w:rFonts w:ascii="Arial" w:hAnsi="Arial" w:cs="Arial"/>
        </w:rPr>
        <w:t xml:space="preserve"> The </w:t>
      </w:r>
      <w:r w:rsidR="002913A4" w:rsidRPr="004661E9">
        <w:rPr>
          <w:rFonts w:ascii="Arial" w:hAnsi="Arial" w:cs="Arial"/>
        </w:rPr>
        <w:t>pathophysiology of cardiomyopathy</w:t>
      </w:r>
      <w:r w:rsidR="00135E21" w:rsidRPr="004661E9">
        <w:rPr>
          <w:rFonts w:ascii="Arial" w:hAnsi="Arial" w:cs="Arial"/>
        </w:rPr>
        <w:t xml:space="preserve"> and HF</w:t>
      </w:r>
      <w:r w:rsidR="00072659" w:rsidRPr="004661E9">
        <w:rPr>
          <w:rFonts w:ascii="Arial" w:hAnsi="Arial" w:cs="Arial"/>
        </w:rPr>
        <w:t xml:space="preserve"> vary depending on the type of diabetes (T1DM vs. T2DM)</w:t>
      </w:r>
      <w:r w:rsidR="00253DFF" w:rsidRPr="004661E9">
        <w:rPr>
          <w:rFonts w:ascii="Arial" w:hAnsi="Arial" w:cs="Arial"/>
        </w:rPr>
        <w:t xml:space="preserve"> and type of HF (HFrEF vs. HFpEF)</w:t>
      </w:r>
      <w:r w:rsidR="00072659" w:rsidRPr="004661E9">
        <w:rPr>
          <w:rFonts w:ascii="Arial" w:hAnsi="Arial" w:cs="Arial"/>
        </w:rPr>
        <w:t xml:space="preserve"> </w:t>
      </w:r>
      <w:r w:rsidR="00E61E48" w:rsidRPr="004661E9">
        <w:rPr>
          <w:rFonts w:ascii="Arial" w:hAnsi="Arial" w:cs="Arial"/>
        </w:rPr>
        <w:fldChar w:fldCharType="begin" w:fldLock="1"/>
      </w:r>
      <w:r w:rsidR="00E156CB" w:rsidRPr="004661E9">
        <w:rPr>
          <w:rFonts w:ascii="Arial" w:hAnsi="Arial" w:cs="Arial"/>
        </w:rPr>
        <w:instrText>ADDIN CSL_CITATION {"citationItems":[{"id":"ITEM-1","itemData":{"DOI":"10.1016/j.jchf.2021.05.019","ISSN":"22131779","PMID":"34325884","abstract":"Diabetes promotes the development of both heart failure with a reduced ejection fraction and heart failure with a preserved ejection fraction through diverse mechanisms, which are likely mediated through hyperinsulinemia rather than hyperglycemia. Diabetes promotes nutrient surplus signaling (through Akt and mammalian target of rapamycin complex 1) and inhibits nutrient deprivation signaling (through sirtuin-1 and its downstream effectors); this suppresses autophagy and promotes endoplasmic reticulum and oxidative stress and mitochondrial dysfunction, thereby undermining the health of diabetic cardiomyocytes. The hyperinsulinemia of diabetes may also activate sodium-hydrogen exchangers in cardiomyocytes (leading to injury and loss) and in the proximal renal tubules (leading to sodium retention). Diabetes may cause epicardial adipose tissue expansion, and the resulting secretion of proinflammatory adipocytokines onto the adjoining myocardium can lead to coronary microcirculatory dysfunction and myocardial inflammation and fibrosis. Interestingly, sodium-glucose cotransporter 2 (SGLT2) inhibitors—the only class of antidiabetic medication that reduces serious heart failure events—may act to mitigate each of these mechanisms. SGLT2 inhibitors up-regulate sirtuin-1 and its downstream effectors and autophagic flux, thus explaining the actions of these drugs to reduce oxidative stress, normalize mitochondrial structure and function, and mute proinflammatory pathways in the stressed myocardium. Inhibition of SGLT2 may also lead to a reduction in the activity of sodium-hydrogen exchangers in the kidney (leading to diuresis) and in the heart (attenuating the development of cardiac hypertrophy and systolic dysfunction). Finally, SGLT2 inhibitors reduce the mass and mute the adverse biology of epicardial adipose tissue (and reduce the secretion of leptin), thus explaining the capacity of these drugs to mitigate myocardial inflammation, microcirculatory dysfunction, and fibrosis, and improve ventricular filling dynamics. The pathophysiological mechanisms by which SGLT2 inhibitors may benefit heart failure likely differ depending on ejection fraction, but each represents interference with distinct pathways by which hyperinsulinemia may adversely affect cardiac structure and function.","author":[{"dropping-particle":"","family":"Packer","given":"Milton","non-dropping-particle":"","parse-names":false,"suffix":""}],"container-title":"JACC: Heart Failure","id":"ITEM-1","issue":"8","issued":{"date-parts":[["2021"]]},"page":"535-549","title":"Differential Pathophysiological Mechanisms in Heart Failure With a Reduced or Preserved Ejection Fraction in Diabetes","type":"article-journal","volume":"9"},"uris":["http://www.mendeley.com/documents/?uuid=c68f900c-27cd-4e9b-a88a-93cfdb815c3e"]}],"mendeley":{"formattedCitation":"(86)","plainTextFormattedCitation":"(86)","previouslyFormattedCitation":"(86)"},"properties":{"noteIndex":0},"schema":"https://github.com/citation-style-language/schema/raw/master/csl-citation.json"}</w:instrText>
      </w:r>
      <w:r w:rsidR="00E61E48" w:rsidRPr="004661E9">
        <w:rPr>
          <w:rFonts w:ascii="Arial" w:hAnsi="Arial" w:cs="Arial"/>
        </w:rPr>
        <w:fldChar w:fldCharType="separate"/>
      </w:r>
      <w:r w:rsidR="003C01B8" w:rsidRPr="004661E9">
        <w:rPr>
          <w:rFonts w:ascii="Arial" w:hAnsi="Arial" w:cs="Arial"/>
          <w:noProof/>
        </w:rPr>
        <w:t>(86)</w:t>
      </w:r>
      <w:r w:rsidR="00E61E48" w:rsidRPr="004661E9">
        <w:rPr>
          <w:rFonts w:ascii="Arial" w:hAnsi="Arial" w:cs="Arial"/>
        </w:rPr>
        <w:fldChar w:fldCharType="end"/>
      </w:r>
      <w:r w:rsidR="00072659" w:rsidRPr="004661E9">
        <w:rPr>
          <w:rFonts w:ascii="Arial" w:hAnsi="Arial" w:cs="Arial"/>
        </w:rPr>
        <w:t>.</w:t>
      </w:r>
    </w:p>
    <w:p w14:paraId="5908132F" w14:textId="77777777" w:rsidR="001C412B" w:rsidRPr="004661E9" w:rsidRDefault="001C412B" w:rsidP="004661E9">
      <w:pPr>
        <w:spacing w:after="0" w:line="276" w:lineRule="auto"/>
        <w:rPr>
          <w:rFonts w:ascii="Arial" w:hAnsi="Arial" w:cs="Arial"/>
        </w:rPr>
      </w:pPr>
    </w:p>
    <w:p w14:paraId="5330E243" w14:textId="3764E232" w:rsidR="00497283" w:rsidRPr="004661E9" w:rsidRDefault="00417E22" w:rsidP="004661E9">
      <w:pPr>
        <w:spacing w:after="0" w:line="276" w:lineRule="auto"/>
        <w:rPr>
          <w:rFonts w:ascii="Arial" w:hAnsi="Arial" w:cs="Arial"/>
        </w:rPr>
      </w:pPr>
      <w:r w:rsidRPr="004661E9">
        <w:rPr>
          <w:rFonts w:ascii="Arial" w:hAnsi="Arial" w:cs="Arial"/>
          <w:noProof/>
        </w:rPr>
        <w:drawing>
          <wp:inline distT="0" distB="0" distL="0" distR="0" wp14:anchorId="344664D1" wp14:editId="3997E940">
            <wp:extent cx="6404888" cy="21965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6404888" cy="2196548"/>
                    </a:xfrm>
                    <a:prstGeom prst="rect">
                      <a:avLst/>
                    </a:prstGeom>
                  </pic:spPr>
                </pic:pic>
              </a:graphicData>
            </a:graphic>
          </wp:inline>
        </w:drawing>
      </w:r>
    </w:p>
    <w:p w14:paraId="52D7F5D7" w14:textId="20D0659F" w:rsidR="00497283" w:rsidRPr="004661E9" w:rsidRDefault="00417E22" w:rsidP="004661E9">
      <w:pPr>
        <w:spacing w:after="0" w:line="276" w:lineRule="auto"/>
        <w:rPr>
          <w:rFonts w:ascii="Arial" w:hAnsi="Arial" w:cs="Arial"/>
          <w:b/>
          <w:bCs/>
        </w:rPr>
      </w:pPr>
      <w:r w:rsidRPr="004661E9">
        <w:rPr>
          <w:rFonts w:ascii="Arial" w:hAnsi="Arial" w:cs="Arial"/>
          <w:b/>
          <w:bCs/>
        </w:rPr>
        <w:t>Figure 5. Pathophysiological mechanisms, subclinical abnormalities, and clinical manifestations of diabetic cardiomyopathy. AGEs, advanced glycation end-products; CMP, cardiomyopathy; EF, ejection fraction; HF, heart failure; LV, left ventricular; RAAS, renin-angiotensin-aldosterone system.</w:t>
      </w:r>
      <w:r w:rsidR="0042727A" w:rsidRPr="004661E9">
        <w:rPr>
          <w:rFonts w:ascii="Arial" w:hAnsi="Arial" w:cs="Arial"/>
          <w:b/>
          <w:bCs/>
        </w:rPr>
        <w:t xml:space="preserve"> </w:t>
      </w:r>
      <w:r w:rsidR="00543EDD" w:rsidRPr="004661E9">
        <w:rPr>
          <w:rFonts w:ascii="Arial" w:hAnsi="Arial" w:cs="Arial"/>
          <w:b/>
          <w:bCs/>
        </w:rPr>
        <w:t>*</w:t>
      </w:r>
      <w:r w:rsidRPr="004661E9">
        <w:rPr>
          <w:rFonts w:ascii="Arial" w:hAnsi="Arial" w:cs="Arial"/>
          <w:b/>
          <w:bCs/>
        </w:rPr>
        <w:t>In patients with type-1 diabetes mellitus.</w:t>
      </w:r>
    </w:p>
    <w:p w14:paraId="75AC3C65" w14:textId="77777777" w:rsidR="00417E22" w:rsidRPr="004661E9" w:rsidRDefault="00417E22" w:rsidP="004661E9">
      <w:pPr>
        <w:spacing w:after="0" w:line="276" w:lineRule="auto"/>
        <w:rPr>
          <w:rFonts w:ascii="Arial" w:hAnsi="Arial" w:cs="Arial"/>
          <w:b/>
          <w:bCs/>
        </w:rPr>
      </w:pPr>
    </w:p>
    <w:p w14:paraId="2BB2B24B" w14:textId="040870B1" w:rsidR="0049543A" w:rsidRPr="004661E9" w:rsidRDefault="0049543A" w:rsidP="004661E9">
      <w:pPr>
        <w:spacing w:after="0" w:line="276" w:lineRule="auto"/>
        <w:rPr>
          <w:rFonts w:ascii="Arial" w:hAnsi="Arial" w:cs="Arial"/>
          <w:b/>
          <w:bCs/>
        </w:rPr>
      </w:pPr>
      <w:r w:rsidRPr="004661E9">
        <w:rPr>
          <w:rFonts w:ascii="Arial" w:hAnsi="Arial" w:cs="Arial"/>
          <w:b/>
          <w:bCs/>
          <w:color w:val="00B050"/>
        </w:rPr>
        <w:t>Alterations in Myocardial Energy Substrate</w:t>
      </w:r>
    </w:p>
    <w:p w14:paraId="71B49D84" w14:textId="77777777" w:rsidR="00497283" w:rsidRPr="004661E9" w:rsidRDefault="00497283" w:rsidP="004661E9">
      <w:pPr>
        <w:spacing w:after="0" w:line="276" w:lineRule="auto"/>
        <w:rPr>
          <w:rFonts w:ascii="Arial" w:hAnsi="Arial" w:cs="Arial"/>
        </w:rPr>
      </w:pPr>
    </w:p>
    <w:p w14:paraId="016EAFDB" w14:textId="197EB8B6" w:rsidR="0049543A" w:rsidRPr="004661E9" w:rsidRDefault="0049543A" w:rsidP="004661E9">
      <w:pPr>
        <w:spacing w:after="0" w:line="276" w:lineRule="auto"/>
        <w:rPr>
          <w:rFonts w:ascii="Arial" w:hAnsi="Arial" w:cs="Arial"/>
        </w:rPr>
      </w:pPr>
      <w:r w:rsidRPr="004661E9">
        <w:rPr>
          <w:rFonts w:ascii="Arial" w:hAnsi="Arial" w:cs="Arial"/>
        </w:rPr>
        <w:t>Under normal circumstances, the heart predominantly consumes free fatty acids (FFA; ~70%) and glucose (~30%) and can adapt its choice of fuels depending on their availability</w:t>
      </w:r>
      <w:r w:rsidR="00417E22" w:rsidRPr="004661E9">
        <w:rPr>
          <w:rFonts w:ascii="Arial" w:hAnsi="Arial" w:cs="Arial"/>
        </w:rPr>
        <w:t xml:space="preserve"> </w:t>
      </w:r>
      <w:r w:rsidRPr="004661E9">
        <w:rPr>
          <w:rFonts w:ascii="Arial" w:hAnsi="Arial" w:cs="Arial"/>
        </w:rPr>
        <w:fldChar w:fldCharType="begin" w:fldLock="1"/>
      </w:r>
      <w:r w:rsidR="000962ED" w:rsidRPr="004661E9">
        <w:rPr>
          <w:rFonts w:ascii="Arial" w:hAnsi="Arial" w:cs="Arial"/>
        </w:rPr>
        <w:instrText>ADDIN CSL_CITATION {"citationItems":[{"id":"ITEM-1","itemData":{"DOI":"10.1093/eurheartj/ehy596","ISSN":"15229645","PMID":"30295797","author":[{"dropping-particle":"","family":"Maack","given":"Christoph","non-dropping-particle":"","parse-names":false,"suffix":""},{"dropping-particle":"","family":"Lehrke","given":"Michael","non-dropping-particle":"","parse-names":false,"suffix":""},{"dropping-particle":"","family":"Backs","given":"Johannes","non-dropping-particle":"","parse-names":false,"suffix":""},{"dropping-particle":"","family":"Heinzel","given":"Frank R. R.","non-dropping-particle":"","parse-names":false,"suffix":""},{"dropping-particle":"","family":"Hulot","given":"Jean Sebastien Sebastien","non-dropping-particle":"","parse-names":false,"suffix":""},{"dropping-particle":"","family":"Marx","given":"Nikolaus","non-dropping-particle":"","parse-names":false,"suffix":""},{"dropping-particle":"","family":"Paulus","given":"Walter J. J.","non-dropping-particle":"","parse-names":false,"suffix":""},{"dropping-particle":"","family":"Rossignol","given":"Patrick","non-dropping-particle":"","parse-names":false,"suffix":""},{"dropping-particle":"","family":"Taegtmeyer","given":"Heinrich","non-dropping-particle":"","parse-names":false,"suffix":""},{"dropping-particle":"","family":"Bauersachs","given":"Johann","non-dropping-particle":"","parse-names":false,"suffix":""},{"dropping-particle":"","family":"Bayes-Genis","given":"Antoni","non-dropping-particle":"","parse-names":false,"suffix":""},{"dropping-particle":"","family":"Brutsaert","given":"Dirk","non-dropping-particle":"","parse-names":false,"suffix":""},{"dropping-particle":"","family":"Bugger","given":"Heiko","non-dropping-particle":"","parse-names":false,"suffix":""},{"dropping-particle":"","family":"Clarke","given":"Kieran","non-dropping-particle":"","parse-names":false,"suffix":""},{"dropping-particle":"","family":"Cosentino","given":"Francesco","non-dropping-particle":"","parse-names":false,"suffix":""},{"dropping-particle":"","family":"Keulenaer","given":"Gilles","non-dropping-particle":"De","parse-names":false,"suffix":""},{"dropping-particle":"","family":"Cas","given":"Alessandra Dei Dei","non-dropping-particle":"","parse-names":false,"suffix":""},{"dropping-particle":"","family":"González","given":"Arantxa","non-dropping-particle":"","parse-names":false,"suffix":""},{"dropping-particle":"","family":"Huelsmann","given":"Martin","non-dropping-particle":"","parse-names":false,"suffix":""},{"dropping-particle":"","family":"Iaccarino","given":"Guido","non-dropping-particle":"","parse-names":false,"suffix":""},{"dropping-particle":"","family":"Lunde","given":"Ida Gjervold Gjervold","non-dropping-particle":"","parse-names":false,"suffix":""},{"dropping-particle":"","family":"Lyon","given":"Alexander R. R.","non-dropping-particle":"","parse-names":false,"suffix":""},{"dropping-particle":"","family":"Pollesello","given":"Piero","non-dropping-particle":"","parse-names":false,"suffix":""},{"dropping-particle":"","family":"Rena","given":"Graham","non-dropping-particle":"","parse-names":false,"suffix":""},{"dropping-particle":"","family":"Riksen","given":"Niels P. P.","non-dropping-particle":"","parse-names":false,"suffix":""},{"dropping-particle":"","family":"Rosano","given":"Giuseppe","non-dropping-particle":"","parse-names":false,"suffix":""},{"dropping-particle":"","family":"Staels","given":"Bart","non-dropping-particle":"","parse-names":false,"suffix":""},{"dropping-particle":"","family":"Laake","given":"Linda W. W.","non-dropping-particle":"Van","parse-names":false,"suffix":""},{"dropping-particle":"","family":"Wanner","given":"Christoph","non-dropping-particle":"","parse-names":false,"suffix":""},{"dropping-particle":"","family":"Farmakis","given":"Dimitrios","non-dropping-particle":"","parse-names":false,"suffix":""},{"dropping-particle":"","family":"Filippatos","given":"Gerasimos","non-dropping-particle":"","parse-names":false,"suffix":""},{"dropping-particle":"","family":"Ruschitzka","given":"Frank","non-dropping-particle":"","parse-names":false,"suffix":""},{"dropping-particle":"","family":"Seferovic","given":"Petar","non-dropping-particle":"","parse-names":false,"suffix":""},{"dropping-particle":"","family":"Boer","given":"Rudolf A. A.","non-dropping-particle":"De","parse-names":false,"suffix":""},{"dropping-particle":"","family":"Heymans","given":"Stephane","non-dropping-particle":"","parse-names":false,"suffix":""}],"container-title":"European Heart Journal","id":"ITEM-1","issue":"48","issued":{"date-parts":[["2018"]]},"page":"4243-4254","title":"Heart failure and diabetes: Metabolic alterations and therapeutic interventions: A state-of-The-Art review from the Translational Research Committee of the Heart Failure Association-European Society of Cardiology","type":"article-journal","volume":"39"},"uris":["http://www.mendeley.com/documents/?uuid=09c23ef8-0dac-4dba-82b8-3aa1c7e28443"]}],"mendeley":{"formattedCitation":"(15)","plainTextFormattedCitation":"(15)","previouslyFormattedCitation":"(15)"},"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(15)</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In T2DM, cardiomyocyte substrate utilization shifts towards FFA, and glucose utilization decreases in response to IR. As a result, the heart becomes metabolically less flexible and almost </w:t>
      </w:r>
      <w:r w:rsidRPr="004661E9">
        <w:rPr>
          <w:rFonts w:ascii="Arial" w:hAnsi="Arial" w:cs="Arial"/>
        </w:rPr>
        <w:lastRenderedPageBreak/>
        <w:t>completely reliant on FFA. These alterations lead to inefficien</w:t>
      </w:r>
      <w:r w:rsidR="00543EDD" w:rsidRPr="004661E9">
        <w:rPr>
          <w:rFonts w:ascii="Arial" w:hAnsi="Arial" w:cs="Arial"/>
        </w:rPr>
        <w:t>t energy metabolism since FFA oxidation requires more oxygen for energy production than</w:t>
      </w:r>
      <w:r w:rsidRPr="004661E9">
        <w:rPr>
          <w:rFonts w:ascii="Arial" w:hAnsi="Arial" w:cs="Arial"/>
        </w:rPr>
        <w:t xml:space="preserve"> glucose or ketone bodies</w:t>
      </w:r>
      <w:r w:rsidR="00417E22"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10.1093/eurheartj/ehy596","ISSN":"15229645","PMID":"30295797","author":[{"dropping-particle":"","family":"Maack","given":"Christoph","non-dropping-particle":"","parse-names":false,"suffix":""},{"dropping-particle":"","family":"Lehrke","given":"Michael","non-dropping-particle":"","parse-names":false,"suffix":""},{"dropping-particle":"","family":"Backs","given":"Johannes","non-dropping-particle":"","parse-names":false,"suffix":""},{"dropping-particle":"","family":"Heinzel","given":"Frank R. R.","non-dropping-particle":"","parse-names":false,"suffix":""},{"dropping-particle":"","family":"Hulot","given":"Jean Sebastien Sebastien","non-dropping-particle":"","parse-names":false,"suffix":""},{"dropping-particle":"","family":"Marx","given":"Nikolaus","non-dropping-particle":"","parse-names":false,"suffix":""},{"dropping-particle":"","family":"Paulus","given":"Walter J. J.","non-dropping-particle":"","parse-names":false,"suffix":""},{"dropping-particle":"","family":"Rossignol","given":"Patrick","non-dropping-particle":"","parse-names":false,"suffix":""},{"dropping-particle":"","family":"Taegtmeyer","given":"Heinrich","non-dropping-particle":"","parse-names":false,"suffix":""},{"dropping-particle":"","family":"Bauersachs","given":"Johann","non-dropping-particle":"","parse-names":false,"suffix":""},{"dropping-particle":"","family":"Bayes-Genis","given":"Antoni","non-dropping-particle":"","parse-names":false,"suffix":""},{"dropping-particle":"","family":"Brutsaert","given":"Dirk","non-dropping-particle":"","parse-names":false,"suffix":""},{"dropping-particle":"","family":"Bugger","given":"Heiko","non-dropping-particle":"","parse-names":false,"suffix":""},{"dropping-particle":"","family":"Clarke","given":"Kieran","non-dropping-particle":"","parse-names":false,"suffix":""},{"dropping-particle":"","family":"Cosentino","given":"Francesco","non-dropping-particle":"","parse-names":false,"suffix":""},{"dropping-particle":"","family":"Keulenaer","given":"Gilles","non-dropping-particle":"De","parse-names":false,"suffix":""},{"dropping-particle":"","family":"Cas","given":"Alessandra Dei Dei","non-dropping-particle":"","parse-names":false,"suffix":""},{"dropping-particle":"","family":"González","given":"Arantxa","non-dropping-particle":"","parse-names":false,"suffix":""},{"dropping-particle":"","family":"Huelsmann","given":"Martin","non-dropping-particle":"","parse-names":false,"suffix":""},{"dropping-particle":"","family":"Iaccarino","given":"Guido","non-dropping-particle":"","parse-names":false,"suffix":""},{"dropping-particle":"","family":"Lunde","given":"Ida Gjervold Gjervold","non-dropping-particle":"","parse-names":false,"suffix":""},{"dropping-particle":"","family":"Lyon","given":"Alexander R. R.","non-dropping-particle":"","parse-names":false,"suffix":""},{"dropping-particle":"","family":"Pollesello","given":"Piero","non-dropping-particle":"","parse-names":false,"suffix":""},{"dropping-particle":"","family":"Rena","given":"Graham","non-dropping-particle":"","parse-names":false,"suffix":""},{"dropping-particle":"","family":"Riksen","given":"Niels P. P.","non-dropping-particle":"","parse-names":false,"suffix":""},{"dropping-particle":"","family":"Rosano","given":"Giuseppe","non-dropping-particle":"","parse-names":false,"suffix":""},{"dropping-particle":"","family":"Staels","given":"Bart","non-dropping-particle":"","parse-names":false,"suffix":""},{"dropping-particle":"","family":"Laake","given":"Linda W. W.","non-dropping-particle":"Van","parse-names":false,"suffix":""},{"dropping-particle":"","family":"Wanner","given":"Christoph","non-dropping-particle":"","parse-names":false,"suffix":""},{"dropping-particle":"","family":"Farmakis","given":"Dimitrios","non-dropping-particle":"","parse-names":false,"suffix":""},{"dropping-particle":"","family":"Filippatos","given":"Gerasimos","non-dropping-particle":"","parse-names":false,"suffix":""},{"dropping-particle":"","family":"Ruschitzka","given":"Frank","non-dropping-particle":"","parse-names":false,"suffix":""},{"dropping-particle":"","family":"Seferovic","given":"Petar","non-dropping-particle":"","parse-names":false,"suffix":""},{"dropping-particle":"","family":"Boer","given":"Rudolf A. A.","non-dropping-particle":"De","parse-names":false,"suffix":""},{"dropping-particle":"","family":"Heymans","given":"Stephane","non-dropping-particle":"","parse-names":false,"suffix":""}],"container-title":"European Heart Journal","id":"ITEM-1","issue":"48","issued":{"date-parts":[["2018"]]},"page":"4243-4254","title":"Heart failure and diabetes: Metabolic alterations and therapeutic interventions: A state-of-The-Art review from the Translational Research Committee of the Heart Failure Association-European Society of Cardiology","type":"article-journal","volume":"39"},"uris":["http://www.mendeley.com/documents/?uuid=09c23ef8-0dac-4dba-82b8-3aa1c7e28443"]},{"id":"ITEM-2","itemData":{"DOI":"10.1038/s41569-018-0044-6","ISSN":"17595010","abstract":"The heart consumes large amounts of energy in the form of ATP that is continuously replenished by oxidative phosphorylation in mitochondria and, to a lesser extent, by glycolysis. To adapt the ATP supply efficiently to the constantly varying demand of cardiac myocytes, a complex network of enzymatic and signalling pathways controls the metabolic flux of substrates towards their oxidation in mitochondria. In patients with heart failure, derangements of substrate utilization and intermediate metabolism, an energetic deficit, and oxidative stress are thought to underlie contractile dysfunction and the progression of the disease. In this Review, we give an overview of the physiological processes of cardiac energy metabolism and their pathological alterations in heart failure and diabetes mellitus. Although the energetic deficit in failing hearts-discovered &gt;2 decades ago-might account for contractile dysfunction during maximal exertion, we suggest that the alterations of intermediate substrate metabolism and oxidative stress rather than an ATP deficit per se account for maladaptive cardiac remodelling and dysfunction under resting conditions. Treatments targeting substrate utilization and/or oxidative stress in mitochondria are currently being tested in patients with heart failure and might be promising tools to improve cardiac function beyond that achieved with neuroendocrine inhibition.","author":[{"dropping-particle":"","family":"Bertero","given":"Edoardo","non-dropping-particle":"","parse-names":false,"suffix":""},{"dropping-particle":"","family":"Maack","given":"Christoph","non-dropping-particle":"","parse-names":false,"suffix":""}],"container-title":"Nature Reviews Cardiology","id":"ITEM-2","issue":"8","issued":{"date-parts":[["2018"]]},"page":"457-470","publisher":"Springer US","title":"Metabolic remodelling in heart failure","type":"article-journal","volume":"15"},"uris":["http://www.mendeley.com/documents/?uuid=899003b7-ef29-4b33-b909-3cd628efd2ec"]}],"mendeley":{"formattedCitation":"(15,87)","plainTextFormattedCitation":"(15,87)","previouslyFormattedCitation":"(15,87)"},"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(15,87)</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Moreover, the increased FFA uptake causes the accumulation of triglycerides in the cardiomyocytes and promotes lipotoxicity, mitochondrial dysfunction, oxidative stress, and apoptosis</w:t>
      </w:r>
      <w:r w:rsidR="00417E22" w:rsidRPr="004661E9">
        <w:rPr>
          <w:rFonts w:ascii="Arial" w:hAnsi="Arial" w:cs="Arial"/>
        </w:rPr>
        <w:t xml:space="preserve"> </w:t>
      </w:r>
      <w:r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(34)</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A prospective study elegantly evaluated the impact of diabetes on lipid accumulation by analyzing endomyocardial biopsy samples from 158 adult heart transplant recipients</w:t>
      </w:r>
      <w:r w:rsidR="00417E22"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{"citationItems":[{"id":"ITEM-1","itemData":{"DOI":"10.1016/j.jacc.2020.01.018","ISSN":"15583597","abstract":"Background: Early pathogenesis of diabetic cardiomyopathy (DMCM) may involve lipotoxicity of cardiomyocytes in the context of hyperglycemia. There are many preclinical studies of DMCM pathogenesis, but the human evidence is still poorly understood. Objectives: By using a nondiabetic mellitus (non-DM) heart transplanted (HTX) in diabetes mellitus (DM) recipients, this study conducted a serial study of human heart transplant recipients evaluating cardiac effects of diabetic milieu (hyperglycemia and insulin resistance) on lipotoxic-mediated injury. We evaluated cardiomyocyte morpho-pathology by seriated biopsies of healthy implanted hearts in DM recipients during 12-month follow-up from HTX. Because metformin reduces ectopic lipid accumulation, we evaluated the effects of the drug in a nonrandomized subgroup. Methods: The DMCM-AHEAD (Diabetes and Lipid Accumulation and Heart Transplant) prospective ongoing study (NCT03546062) evaluated 158 first HTX recipients (82 non-DM, 76 DM of whom 35 [46%] were receiving metformin). HTX recipients were undergoing clinical standard evaluation (metabolic status, echocardiography, coronary computed tomography angiography, and endomyocardial biopsies). Biopsies evaluated immune response, Oil Red-O staining, ceramide, and triacylglycerol levels. Lipotoxic factors and insulin resistance were evaluated by reverse transcriptase–polymerase chain reaction. Results: There was a significant early and progressive cardiomyocyte lipid accumulation in DM but not in non-DM recipients (p = 0.019). In the subgroup receiving metformin, independently from immunosuppressive therapy that was similar among groups, lipid accumulation was reduced in comparison with DM recipients not receiving the drug (hazard ratio: 6.597; 95% confidence interval: 2.516 to 17.296; p &lt; 0.001). Accordingly, lipotoxic factors were increased in DM versus non-DM recipients, and, relevantly, metformin use was associated with fewer lipotoxic factors. Conclusions: Early pathogenesis of human DMCM started with cardiomyocyte lipid accumulation following HTX in DM recipients. Metformin use was associated with reduced lipid accumulation independently of immunosuppressive therapy. This may constitute a novel target for therapy of DMCM.","author":[{"dropping-particle":"","family":"Marfella","given":"Raffaele","non-dropping-particle":"","parse-names":false,"suffix":""},{"dropping-particle":"","family":"Amarelli","given":"Cristiano","non-dropping-particle":"","parse-names":false,"suffix":""},{"dropping-particle":"","family":"Cacciatore","given":"Francesco","non-dropping-particle":"","parse-names":false,"suffix":""},{"dropping-particle":"","family":"Balestrieri","given":"Maria Luisa","non-dropping-particle":"","parse-names":false,"suffix":""},{"dropping-particle":"","family":"Mansueto","given":"Gelsomina","non-dropping-particle":"","parse-names":false,"suffix":""},{"dropping-particle":"","family":"D'Onofrio","given":"Nunzia","non-dropping-particle":"","parse-names":false,"suffix":""},{"dropping-particle":"","family":"Esposito","given":"Salvatore","non-dropping-particle":"","parse-names":false,"suffix":""},{"dropping-particle":"","family":"Mattucci","given":"Irene","non-dropping-particle":"","parse-names":false,"suffix":""},{"dropping-particle":"","family":"Salerno","given":"Gemma","non-dropping-particle":"","parse-names":false,"suffix":""},{"dropping-particle":"","family":"Feo","given":"Marisa","non-dropping-particle":"De","parse-names":false,"suffix":""},{"dropping-particle":"","family":"D'Amico","given":"Michele","non-dropping-particle":"","parse-names":false,"suffix":""},{"dropping-particle":"","family":"Golino","given":"Paolo","non-dropping-particle":"","parse-names":false,"suffix":""},{"dropping-particle":"","family":"Maiello","given":"Ciro","non-dropping-particle":"","parse-names":false,"suffix":""},{"dropping-particle":"","family":"Paolisso","given":"Giuseppe","non-dropping-particle":"","parse-names":false,"suffix":""},{"dropping-particle":"","family":"Napoli","given":"Claudio","non-dropping-particle":"","parse-names":false,"suffix":""}],"container-title":"Journal of the American College of Cardiology","id":"ITEM-1","issue":"11","issued":{"date-parts":[["2020","3","24"]]},"page":"1249-1262","publisher":"Elsevier USA","title":"Lipid Accumulation in Hearts Transplanted From Nondiabetic Donors to Diabetic Recipients","type":"article-journal","volume":"75"},"uris":["http://www.mendeley.com/documents/?uuid=0e7193cb-dac7-3dbf-8acf-8b5a81b405a5"]}],"mendeley":{"formattedCitation":"(88)","plainTextFormattedCitation":"(88)","previouslyFormattedCitation":"(88)"},"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(88)</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The investigators demonstrated that cardiomyocyte samples of transplanted healthy hearts begin to show evidence of lipid accumulation (triacylglycerol and ceramide) as early as three months after a transplant in diabetic recipients. In comparison, no lipid accumulation was present in cardiomyocyte samples of transplant</w:t>
      </w:r>
      <w:r w:rsidR="003C75B4" w:rsidRPr="004661E9">
        <w:rPr>
          <w:rFonts w:ascii="Arial" w:hAnsi="Arial" w:cs="Arial"/>
        </w:rPr>
        <w:t xml:space="preserve"> </w:t>
      </w:r>
      <w:r w:rsidRPr="004661E9">
        <w:rPr>
          <w:rFonts w:ascii="Arial" w:hAnsi="Arial" w:cs="Arial"/>
        </w:rPr>
        <w:t xml:space="preserve">recipients without diabetes. Not surprisingly, cardiomyocyte lipid accumulation was an independent predictor of early systolic and diastolic dysfunction in recipients with diabetes after 12 months of a transplant. </w:t>
      </w:r>
    </w:p>
    <w:p w14:paraId="4AE589CC" w14:textId="77777777" w:rsidR="00417E22" w:rsidRPr="004661E9" w:rsidRDefault="00417E22" w:rsidP="004661E9">
      <w:pPr>
        <w:spacing w:after="0" w:line="276" w:lineRule="auto"/>
        <w:rPr>
          <w:rFonts w:ascii="Arial" w:hAnsi="Arial" w:cs="Arial"/>
        </w:rPr>
      </w:pPr>
    </w:p>
    <w:p w14:paraId="0E5D186A" w14:textId="77D0E607" w:rsidR="0049543A" w:rsidRPr="004661E9" w:rsidRDefault="00E95895" w:rsidP="004661E9">
      <w:pPr>
        <w:spacing w:after="0" w:line="276" w:lineRule="auto"/>
        <w:rPr>
          <w:rFonts w:ascii="Arial" w:hAnsi="Arial" w:cs="Arial"/>
          <w:b/>
          <w:bCs/>
          <w:color w:val="00B050"/>
        </w:rPr>
      </w:pPr>
      <w:r w:rsidRPr="004661E9">
        <w:rPr>
          <w:rFonts w:ascii="Arial" w:hAnsi="Arial" w:cs="Arial"/>
          <w:b/>
          <w:bCs/>
          <w:color w:val="00B050"/>
        </w:rPr>
        <w:t xml:space="preserve">Hyperinsulinemia and </w:t>
      </w:r>
      <w:r w:rsidR="0049543A" w:rsidRPr="004661E9">
        <w:rPr>
          <w:rFonts w:ascii="Arial" w:hAnsi="Arial" w:cs="Arial"/>
          <w:b/>
          <w:bCs/>
          <w:color w:val="00B050"/>
        </w:rPr>
        <w:t>Insulin Resistance</w:t>
      </w:r>
    </w:p>
    <w:p w14:paraId="697E31B2" w14:textId="77777777" w:rsidR="00417E22" w:rsidRPr="004661E9" w:rsidRDefault="00417E22" w:rsidP="004661E9">
      <w:pPr>
        <w:spacing w:after="0" w:line="276" w:lineRule="auto"/>
        <w:rPr>
          <w:rFonts w:ascii="Arial" w:hAnsi="Arial" w:cs="Arial"/>
        </w:rPr>
      </w:pPr>
    </w:p>
    <w:p w14:paraId="4F96A7D6" w14:textId="3A01A3AE" w:rsidR="00417E22" w:rsidRPr="004661E9" w:rsidRDefault="0049543A" w:rsidP="004661E9">
      <w:pPr>
        <w:spacing w:after="0" w:line="276" w:lineRule="auto"/>
        <w:rPr>
          <w:rFonts w:ascii="Arial" w:hAnsi="Arial" w:cs="Arial"/>
        </w:rPr>
      </w:pPr>
      <w:r w:rsidRPr="004661E9">
        <w:rPr>
          <w:rFonts w:ascii="Arial" w:hAnsi="Arial" w:cs="Arial"/>
        </w:rPr>
        <w:t>In broad terms, IR is defined as the inability of insulin to carry on its metabolic actions at the cellular level</w:t>
      </w:r>
      <w:r w:rsidR="00417E22" w:rsidRPr="004661E9">
        <w:rPr>
          <w:rFonts w:ascii="Arial" w:hAnsi="Arial" w:cs="Arial"/>
        </w:rPr>
        <w:t xml:space="preserve"> </w:t>
      </w:r>
      <w:r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(34)</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IR is the central defect in the pathogenesis of metabolic syndrome and T2DM. Moreover, HF is a well-known insulin-resistant state, and HF risk and prognosis are markedly affected by IR</w:t>
      </w:r>
      <w:r w:rsidR="00417E22"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{"citationItems":[{"id":"ITEM-1","itemData":{"DOI":"10.1016/j.jacc.2005.02.093","ISSN":"1558-3597","PMID":"16168285","abstract":"OBJECTIVES The aim of this study was to determine the significance of insulin resistance as an independent risk factor for impaired prognosis in patients with chronic heart failure (CHF). BACKGROUND In CHF, impaired insulin sensitivity (S(I)) indicates abnormal energy metabolism and is related to decreased exercise capacity and muscle fatigue. The relationship between insulin resistance (i.e., low S(I)) and survival in patients with CHF has not been established. METHODS We prospectively studied 105 male patients with CHF due to ischemic (63%) or non-ischemic (37%) etiology. All patients were in clinically stable condition (age 62 +/- 1 year, New York Heart Association [NYHA] functional class 2.6 +/- 0.1, left ventricular ejection fraction [LVEF] 28 +/- 2%, peak oxygen uptake [Vo(2)] 18.2 +/- 0.7 ml/kg/min). Insulin sensitivity was assessed from glucose and insulin dynamic profiles during an intravenous glucose tolerance test using the minimal model technique. RESULTS During a mean follow-up period of 44 +/- 4 months, 53 patients (50%) died. Patients with S(I) below the median value (median: 1.82 min(-1) x microU x ml(-1).10(4); n = 52) had worse survival (at two years 61% [range 47% to 74%]) than patients with S(I) above the median value (n = 53; at two years 83% [range 73% to 93%]; risk ratio [RR] 0.38, 95% confidence interval [CI] 0.21 to 0.67; p = 0.001). Both patient groups were similar in terms of age, NYHA functional class, and body composition parameters (dual-energy X-ray absorptiometric scan; p &gt; 0.2), but patients with a lower S(I) had a lower LVEF (24 +/- 2% vs. 33 +/- 3%) and peak Vo(2) (16.8 +/- 1.0 ml/kg/min vs. 19.7 +/- 1.0 ml/kg/min; both p &lt; 0.05). On univariate Cox analysis, higher S(I) predicted better survival (RR 0.56, 95% CI 0.35 to 0.89; p = 0.015). On stepwise multivariate analysis, S(I) predicted mortality independently of other variables. CONCLUSIONS In patients with CHF, lower S(I) relates to higher mortality, independent of body composition and established prognosticators. Impaired S(I) may have implications in the pathophysiology of CHF disease progression. Therapeutically targeting impaired insulin sensitivity may potentially be beneficial in patients with CHF.","author":[{"dropping-particle":"","family":"Doehner","given":"Wolfram","non-dropping-particle":"","parse-names":false,"suffix":""},{"dropping-particle":"","family":"Rauchhaus","given":"Mathias","non-dropping-particle":"","parse-names":false,"suffix":""},{"dropping-particle":"","family":"Ponikowski","given":"Piotr","non-dropping-particle":"","parse-names":false,"suffix":""},{"dropping-particle":"","family":"Godsland","given":"Ian F","non-dropping-particle":"","parse-names":false,"suffix":""},{"dropping-particle":"","family":"Haehling","given":"Stephan","non-dropping-particle":"von","parse-names":false,"suffix":""},{"dropping-particle":"","family":"Okonko","given":"Darlington O","non-dropping-particle":"","parse-names":false,"suffix":""},{"dropping-particle":"","family":"Leyva","given":"Francisco","non-dropping-particle":"","parse-names":false,"suffix":""},{"dropping-particle":"","family":"Proudler","given":"Anthony J","non-dropping-particle":"","parse-names":false,"suffix":""},{"dropping-particle":"","family":"Coats","given":"Andrew J S","non-dropping-particle":"","parse-names":false,"suffix":""},{"dropping-particle":"","family":"Anker","given":"Stefan D","non-dropping-particle":"","parse-names":false,"suffix":""}],"container-title":"Journal of the American College of Cardiology","id":"ITEM-1","issue":"6","issued":{"date-parts":[["2005","9","20"]]},"page":"1019-26","title":"Impaired insulin sensitivity as an independent risk factor for mortality in patients with stable chronic heart failure.","type":"article-journal","volume":"46"},"uris":["http://www.mendeley.com/documents/?uuid=343aa535-91ec-3bbb-abbc-5987ec75288c"]},{"id":"ITEM-2","itemData":{"DOI":"10.1016/j.cpcardiol.2017.05.001","ISSN":"15356280","abstract":"Diabetes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Cardiology","id":"ITEM-2","issue":"3","issued":{"date-parts":[["2018","3","1"]]},"page":"68-110","publisher":"Mosby Inc.","title":"Pathophysiology and Prevention of Heart Disease in Diabetes Mellitus","type":"article-journal","volume":"43"},"uris":["http://www.mendeley.com/documents/?uuid=ec026bfc-04b9-3538-8098-b7eb6404bbe2"]}],"mendeley":{"formattedCitation":"(34,89)","plainTextFormattedCitation":"(34,89)","previouslyFormattedCitation":"(34,89)"},"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(34,89)</w:t>
      </w:r>
      <w:r w:rsidRPr="004661E9">
        <w:rPr>
          <w:rFonts w:ascii="Arial" w:hAnsi="Arial" w:cs="Arial"/>
        </w:rPr>
        <w:fldChar w:fldCharType="end"/>
      </w:r>
      <w:r w:rsidR="00417E22" w:rsidRPr="004661E9">
        <w:rPr>
          <w:rFonts w:ascii="Arial" w:hAnsi="Arial" w:cs="Arial"/>
        </w:rPr>
        <w:t>.</w:t>
      </w:r>
    </w:p>
    <w:p w14:paraId="247E424C" w14:textId="6BFFCE35" w:rsidR="0049543A" w:rsidRPr="004661E9" w:rsidRDefault="0049543A" w:rsidP="004661E9">
      <w:pPr>
        <w:spacing w:after="0" w:line="276" w:lineRule="auto"/>
        <w:rPr>
          <w:rFonts w:ascii="Arial" w:hAnsi="Arial" w:cs="Arial"/>
        </w:rPr>
      </w:pPr>
      <w:r w:rsidRPr="004661E9">
        <w:rPr>
          <w:rFonts w:ascii="Arial" w:hAnsi="Arial" w:cs="Arial"/>
        </w:rPr>
        <w:t xml:space="preserve">  </w:t>
      </w:r>
    </w:p>
    <w:p w14:paraId="1AC22DE6" w14:textId="156A9423" w:rsidR="0049543A" w:rsidRPr="004661E9" w:rsidRDefault="0049543A" w:rsidP="004661E9">
      <w:pPr>
        <w:spacing w:after="0" w:line="276" w:lineRule="auto"/>
        <w:rPr>
          <w:rFonts w:ascii="Arial" w:hAnsi="Arial" w:cs="Arial"/>
        </w:rPr>
      </w:pPr>
      <w:r w:rsidRPr="004661E9">
        <w:rPr>
          <w:rFonts w:ascii="Arial" w:hAnsi="Arial" w:cs="Arial"/>
        </w:rPr>
        <w:t>IR increases lipolysis, hepatic lipogenesis, and hepatic gluconeogenesis. These changes lead to substrate overload and myocardial dysfunction through lipo</w:t>
      </w:r>
      <w:r w:rsidR="007E4DA9" w:rsidRPr="004661E9">
        <w:rPr>
          <w:rFonts w:ascii="Arial" w:hAnsi="Arial" w:cs="Arial"/>
        </w:rPr>
        <w:t>toxicity</w:t>
      </w:r>
      <w:r w:rsidRPr="004661E9">
        <w:rPr>
          <w:rFonts w:ascii="Arial" w:hAnsi="Arial" w:cs="Arial"/>
        </w:rPr>
        <w:t xml:space="preserve"> and glucotoxicity</w:t>
      </w:r>
      <w:r w:rsidR="00417E22"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{"citationItems":[{"id":"ITEM-1","itemData":{"DOI":"10.1016/j.jacc.2017.11.019","ISSN":"15583597","abstract":"Heart failure is a complex clinical syndrome, the incidence and prevalence of which is increased in diabetes mellitus, pre-diabetes, and obesity. Although this may arise from underlying coronary artery disease, it often occurs in the absence of significant major epicardial coronary disease, and most commonly manifests as heart failure with preserved ejection fraction. Despite epidemiological evidence linking diabetes to heart failure incidence and outcome, the presence of a distinct primary “diabetic” cardiomyopathy has been difficult to prove, because the link between diabetes and heart failure is confounded by hypertension, microvascular dysfunction, and autonomic neuropathy. Nonetheless, several mechanistic associations at systemic, cardiac, and cellular/molecular levels explain different aspects of myocardial dysfunction, including impaired cardiac relaxation, compliance, and contractility. This review seeks to describe recent advances and limitations pertinent to integrating molecular mechanisms, clinical screening, and potential therapeutic avenues for this condition.","author":[{"dropping-particle":"","family":"Marwick","given":"Thomas H.","non-dropping-particle":"","parse-names":false,"suffix":""},{"dropping-particle":"","family":"Ritchie","given":"Rebecca","non-dropping-particle":"","parse-names":false,"suffix":""},{"dropping-particle":"","family":"Shaw","given":"Jonathan E.","non-dropping-particle":"","parse-names":false,"suffix":""},{"dropping-particle":"","family":"Kaye","given":"David","non-dropping-particle":"","parse-names":false,"suffix":""}],"container-title":"Journal of the American College of Cardiology","id":"ITEM-1","issue":"3","issued":{"date-parts":[["2018"]]},"page":"339-351","title":"Implications of Underlying Mechanisms for the Recognition and Management of Diabetic Cardiomyopathy","type":"article-journal","volume":"71"},"uris":["http://www.mendeley.com/documents/?uuid=5122dbc6-97c5-4483-b6a5-8e53be784e42"]}],"mendeley":{"formattedCitation":"(75)","plainTextFormattedCitation":"(75)","previouslyFormattedCitation":"(75)"},"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(75)</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IR and related hyperinsulinemia can affect the signaling pathways involved in cardiomyocyte hypertrophy</w:t>
      </w:r>
      <w:r w:rsidR="00417E22" w:rsidRPr="004661E9">
        <w:rPr>
          <w:rFonts w:ascii="Arial" w:hAnsi="Arial" w:cs="Arial"/>
        </w:rPr>
        <w:t xml:space="preserve"> </w:t>
      </w:r>
      <w:r w:rsidRPr="004661E9">
        <w:rPr>
          <w:rFonts w:ascii="Arial" w:hAnsi="Arial" w:cs="Arial"/>
        </w:rPr>
        <w:fldChar w:fldCharType="begin" w:fldLock="1"/>
      </w:r>
      <w:r w:rsidR="000962ED" w:rsidRPr="004661E9">
        <w:rPr>
          <w:rFonts w:ascii="Arial" w:hAnsi="Arial" w:cs="Arial"/>
        </w:rPr>
        <w:instrText>ADDIN CSL_CITATION {"citationItems":[{"id":"ITEM-1","itemData":{"DOI":"10.1093/eurheartj/ehv134","ISSN":"15229645","abstract":"Diabetes mellitus-related cardiomyopathy (DMCMP) was originally described as a dilated phenotype with eccentric left ventricular (LV) remodelling and systolic LV dysfunction. Recently however, clinical studies on DMCMP mainly describe a restrictive phenotype with concentric LV remodelling and diastolic LV dysfunction. Both phenotypes are not successive stages of DMCMP but evolve independently to respectively heart failure with preserved left ventricular ejection fraction (HFPEF) or reduced left ventricular ejection fraction (HFREF). Phenotype-specific pathophysiological mechanisms were recently proposed for LV remodelling and dysfunction in HFPEF and HFREF consisting of coronary microvascular endothelial dysfunction in HFPEF and cardiomyocyte cell death in HFREF. A similar preferential involvement of endothelial or cardiomyocyte cell compartments explains DMCMP development into distinct restrictive/HFPEF or dilated/HFREF phenotypes. Diabetes mellitus (DM)-related metabolic derangements such as hyperglycaemia, lipotoxicity, and hyperinsulinaemia favour development of DMCMP with restrictive/HFPEF phenotype, which is more prevalent in obese type 2 DM patients. In contrast, autoimmunity predisposes to a dilated/HFREF phenotype, which manifests itself more in autoimmune-prone type 1 DM patients. Finally, coronary microvascular rarefaction and advanced glycation end-products deposition are relevant to both phenotypes. Diagnosis of DMCMP requires impaired glucose metabolism and exclusion of coronary, valvular, hypertensive, or congenital heart disease and of viral, toxic, familial, or infiltrative cardiomyopathy. In addition, diagnosis of DMCMP with restrictive/HFPEF phenotype requires normal systolic LV function and diastolic LV dysfunction, whereas diagnosis of DMCMP with dilated/HFREF phenotype requires systolic LV dysfunction. Treatment of DMCMP with restrictive/HFPEF phenotype is limited to diuretics and lifestyle modification, whereas DMCMP with dilated/HFREF phenotype is treated in accordance to HF guidelines.","author":[{"dropping-particle":"","family":"Seferović","given":"Petar M.","non-dropping-particle":"","parse-names":false,"suffix":""},{"dropping-particle":"","family":"Paulus","given":"Walter J.","non-dropping-particle":"","parse-names":false,"suffix":""}],"container-title":"European Heart Journal","id":"ITEM-1","issue":"27","issued":{"date-parts":[["2015"]]},"page":"1718-1727","title":"Clinical diabetic cardiomyopathy: A two-faced disease with restrictive and dilated phenotypes","type":"article-journal","volume":"36"},"uris":["http://www.mendeley.com/documents/?uuid=34545fe8-79a9-4e76-a440-d9c8434b0a51"]}],"mendeley":{"formattedCitation":"(38)","plainTextFormattedCitation":"(38)","previouslyFormattedCitation":"(38)"},"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(38)</w:t>
      </w:r>
      <w:r w:rsidRPr="004661E9">
        <w:rPr>
          <w:rFonts w:ascii="Arial" w:hAnsi="Arial" w:cs="Arial"/>
        </w:rPr>
        <w:fldChar w:fldCharType="end"/>
      </w:r>
      <w:r w:rsidR="00417E22" w:rsidRPr="004661E9">
        <w:rPr>
          <w:rFonts w:ascii="Arial" w:hAnsi="Arial" w:cs="Arial"/>
        </w:rPr>
        <w:t>.</w:t>
      </w:r>
    </w:p>
    <w:p w14:paraId="3BF07666" w14:textId="77777777" w:rsidR="00417E22" w:rsidRPr="004661E9" w:rsidRDefault="00417E22" w:rsidP="004661E9">
      <w:pPr>
        <w:spacing w:after="0" w:line="276" w:lineRule="auto"/>
        <w:rPr>
          <w:rFonts w:ascii="Arial" w:hAnsi="Arial" w:cs="Arial"/>
        </w:rPr>
      </w:pPr>
    </w:p>
    <w:p w14:paraId="266788F1" w14:textId="77777777" w:rsidR="0049543A" w:rsidRPr="004661E9" w:rsidRDefault="0049543A" w:rsidP="004661E9">
      <w:pPr>
        <w:spacing w:after="0" w:line="276" w:lineRule="auto"/>
        <w:rPr>
          <w:rFonts w:ascii="Arial" w:hAnsi="Arial" w:cs="Arial"/>
          <w:b/>
          <w:bCs/>
          <w:color w:val="00B050"/>
        </w:rPr>
      </w:pPr>
      <w:r w:rsidRPr="004661E9">
        <w:rPr>
          <w:rFonts w:ascii="Arial" w:hAnsi="Arial" w:cs="Arial"/>
          <w:b/>
          <w:bCs/>
          <w:color w:val="00B050"/>
        </w:rPr>
        <w:t>Oxidative Stress</w:t>
      </w:r>
    </w:p>
    <w:p w14:paraId="3ED4AB9A" w14:textId="77777777" w:rsidR="00417E22" w:rsidRPr="004661E9" w:rsidRDefault="00417E22" w:rsidP="004661E9">
      <w:pPr>
        <w:spacing w:after="0" w:line="276" w:lineRule="auto"/>
        <w:rPr>
          <w:rFonts w:ascii="Arial" w:hAnsi="Arial" w:cs="Arial"/>
        </w:rPr>
      </w:pPr>
    </w:p>
    <w:p w14:paraId="6CFD401B" w14:textId="31E6ABB1" w:rsidR="0049543A" w:rsidRPr="004661E9" w:rsidRDefault="0049543A" w:rsidP="004661E9">
      <w:pPr>
        <w:spacing w:after="0" w:line="276" w:lineRule="auto"/>
        <w:rPr>
          <w:rFonts w:ascii="Arial" w:hAnsi="Arial" w:cs="Arial"/>
        </w:rPr>
      </w:pPr>
      <w:r w:rsidRPr="004661E9">
        <w:rPr>
          <w:rFonts w:ascii="Arial" w:hAnsi="Arial" w:cs="Arial"/>
        </w:rPr>
        <w:t>Oxidative stress is the imbalance between the increased generation of reactive oxygen species and reduced antioxidant defense</w:t>
      </w:r>
      <w:r w:rsidR="00417E22"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{"citationItems":[{"id":"ITEM-1","itemData":{"DOI":"10.1016/j.jacc.2017.11.019","ISSN":"15583597","abstract":"Heart failure is a complex clinical syndrome, the incidence and prevalence of which is increased in diabetes mellitus, pre-diabetes, and obesity. Although this may arise from underlying coronary artery disease, it often occurs in the absence of significant major epicardial coronary disease, and most commonly manifests as heart failure with preserved ejection fraction. Despite epidemiological evidence linking diabetes to heart failure incidence and outcome, the presence of a distinct primary “diabetic” cardiomyopathy has been difficult to prove, because the link between diabetes and heart failure is confounded by hypertension, microvascular dysfunction, and autonomic neuropathy. Nonetheless, several mechanistic associations at systemic, cardiac, and cellular/molecular levels explain different aspects of myocardial dysfunction, including impaired cardiac relaxation, compliance, and contractility. This review seeks to describe recent advances and limitations pertinent to integrating molecular mechanisms, clinical screening, and potential therapeutic avenues for this condition.","author":[{"dropping-particle":"","family":"Marwick","given":"Thomas H.","non-dropping-particle":"","parse-names":false,"suffix":""},{"dropping-particle":"","family":"Ritchie","given":"Rebecca","non-dropping-particle":"","parse-names":false,"suffix":""},{"dropping-particle":"","family":"Shaw","given":"Jonathan E.","non-dropping-particle":"","parse-names":false,"suffix":""},{"dropping-particle":"","family":"Kaye","given":"David","non-dropping-particle":"","parse-names":false,"suffix":""}],"container-title":"Journal of the American College of Cardiology","id":"ITEM-1","issue":"3","issued":{"date-parts":[["2018"]]},"page":"339-351","title":"Implications of Underlying Mechanisms for the Recognition and Management of Diabetic Cardiomyopathy","type":"article-journal","volume":"71"},"uris":["http://www.mendeley.com/documents/?uuid=5122dbc6-97c5-4483-b6a5-8e53be784e42"]}],"mendeley":{"formattedCitation":"(75)","plainTextFormattedCitation":"(75)","previouslyFormattedCitation":"(75)"},"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(75)</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Exposure to hyperglycemia induces oxidative stress by activating NADPH oxidase, promoting mitochondrial production of superoxides, and increasing </w:t>
      </w:r>
      <w:r w:rsidR="00A77502" w:rsidRPr="004661E9">
        <w:rPr>
          <w:rFonts w:ascii="Arial" w:hAnsi="Arial" w:cs="Arial"/>
        </w:rPr>
        <w:t xml:space="preserve">the </w:t>
      </w:r>
      <w:r w:rsidRPr="004661E9">
        <w:rPr>
          <w:rFonts w:ascii="Arial" w:hAnsi="Arial" w:cs="Arial"/>
        </w:rPr>
        <w:t>formation of advanced glycation end products (AGEs) due to nonenzymatic glycation and oxidation of proteins and lipids</w:t>
      </w:r>
      <w:r w:rsidR="00417E22"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Mellitus","type":"article-journal","volume":"43"},"uris":["http://www.mendeley.com/documents/?uuid=ec026bfc-04b9-3538-8098-b7eb6404bbe2"]},{"id":"ITEM-2","itemData":{"DOI":"10.1038/s41569-018-0044-6","ISSN":"17595010","abstract":"The heart consumes large amounts of energy in the form of ATP that is continuously replenished by oxidative phosphorylation in mitochondria and, to a lesser extent, by glycolysis. To adapt the ATP supply efficiently to the constantly varying demand of cardiac myocytes, a complex network of enzymatic and signalling pathways controls the metabolic flux of substrates towards their oxidation in mitochondria. In patients with heart failure, derangements of substrate utilization and intermediate metabolism, an energetic deficit, and oxidative stress are thought to underlie contractile dysfunction and the progression of the disease. In this Review, we give an overview of the physiological processes of cardiac energy metabolism and their pathological alterations in heart failure and diabetes mellitus. Although the energetic deficit in failing hearts-discovered &gt;2 decades ago-might account for contractile dysfunction during maximal exertion, we suggest that the alterations of intermediate substrate metabolism and oxidative stress rather than an ATP deficit per se account for maladaptive cardiac remodelling and dysfunction under resting conditions. Treatments targeting substrate utilization and/or oxidative stress in mitochondria are currently being tested in patients with heart failure and might be promising tools to improve cardiac function beyond that achieved with neuroendocrine inhibition.","author":[{"dropping-particle":"","family":"Bertero","given":"Edoardo","non-dropping-particle":"","parse-names":false,"suffix":""},{"dropping-particle":"","family":"Maack","given":"Christoph","non-dropping-particle":"","parse-names":false,"suffix":""}],"container-title":"Nature Reviews Cardiology","id":"ITEM-2","issue":"8","issued":{"date-parts":[["2018"]]},"page":"457-470","publisher":"Springer US","title":"Metabolic remodelling in heart failure","type":"article-journal","volume":"15"},"uris":["http://www.mendeley.com/documents/?uuid=899003b7-ef29-4b33-b909-3cd628efd2ec"]}],"mendeley":{"formattedCitation":"(34,87)","plainTextFormattedCitation":"(34,87)","previouslyFormattedCitation":"(34,87)"},"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(34,87)</w:t>
      </w:r>
      <w:r w:rsidRPr="004661E9">
        <w:rPr>
          <w:rFonts w:ascii="Arial" w:hAnsi="Arial" w:cs="Arial"/>
        </w:rPr>
        <w:fldChar w:fldCharType="end"/>
      </w:r>
      <w:r w:rsidR="00417E22" w:rsidRPr="004661E9">
        <w:rPr>
          <w:rFonts w:ascii="Arial" w:hAnsi="Arial" w:cs="Arial"/>
        </w:rPr>
        <w:t>.</w:t>
      </w:r>
    </w:p>
    <w:p w14:paraId="4504CF89" w14:textId="77777777" w:rsidR="00417E22" w:rsidRPr="004661E9" w:rsidRDefault="00417E22" w:rsidP="004661E9">
      <w:pPr>
        <w:spacing w:after="0" w:line="276" w:lineRule="auto"/>
        <w:rPr>
          <w:rFonts w:ascii="Arial" w:hAnsi="Arial" w:cs="Arial"/>
        </w:rPr>
      </w:pPr>
    </w:p>
    <w:p w14:paraId="4A9136FE" w14:textId="118C5669" w:rsidR="0049543A" w:rsidRPr="004661E9" w:rsidRDefault="0049543A" w:rsidP="004661E9">
      <w:pPr>
        <w:spacing w:after="0" w:line="276" w:lineRule="auto"/>
        <w:rPr>
          <w:rFonts w:ascii="Arial" w:hAnsi="Arial" w:cs="Arial"/>
        </w:rPr>
      </w:pPr>
      <w:r w:rsidRPr="004661E9">
        <w:rPr>
          <w:rFonts w:ascii="Arial" w:hAnsi="Arial" w:cs="Arial"/>
        </w:rPr>
        <w:t>Oxidative stress contributes to increased cardiac remodeling, reduced cardiac contractility and relaxation, and impaired cardiomyocyte calcium handling</w:t>
      </w:r>
      <w:r w:rsidR="00417E22" w:rsidRPr="004661E9">
        <w:rPr>
          <w:rFonts w:ascii="Arial" w:hAnsi="Arial" w:cs="Arial"/>
        </w:rPr>
        <w:t xml:space="preserve"> </w:t>
      </w:r>
      <w:r w:rsidRPr="004661E9">
        <w:rPr>
          <w:rFonts w:ascii="Arial" w:hAnsi="Arial" w:cs="Arial"/>
        </w:rPr>
        <w:fldChar w:fldCharType="begin" w:fldLock="1"/>
      </w:r>
      <w:r w:rsidR="00E156CB" w:rsidRPr="004661E9">
        <w:rPr>
          <w:rFonts w:ascii="Arial" w:hAnsi="Arial" w:cs="Arial"/>
        </w:rPr>
        <w:instrText>ADDIN CSL_CITATION {"citationItems":[{"id":"ITEM-1","itemData":{"DOI":"10.1016/j.jacc.2017.11.019","ISSN":"15583597","abstract":"Heart failure is a complex clinical syndrome, the incidence and prevalence of which is increased in diabetes mellitus, pre-diabetes, and obesity. Although this may arise from underlying coronary artery disease, it often occurs in the absence of significant major epicardial coronary disease, and most commonly manifests as heart failure with preserved ejection fraction. Despite epidemiological evidence linking diabetes to heart failure incidence and outcome, the presence of a distinct primary “diabetic” cardiomyopathy has been difficult to prove, because the link between diabetes and heart failure is confounded by hypertension, microvascular dysfunction, and autonomic neuropathy. Nonetheless, several mechanistic associations at systemic, cardiac, and cellular/molecular levels explain different aspects of myocardial dysfunction, including impaired cardiac relaxation, compliance, and contractility. This review seeks to describe recent advances and limitations pertinent to integrating molecular mechanisms, clinical screening, and potential therapeutic avenues for this condition.","author":[{"dropping-particle":"","family":"Marwick","given":"Thomas H.","non-dropping-particle":"","parse-names":false,"suffix":""},{"dropping-particle":"","family":"Ritchie","given":"Rebecca","non-dropping-particle":"","parse-names":false,"suffix":""},{"dropping-particle":"","family":"Shaw","given":"Jonathan E.","non-dropping-particle":"","parse-names":false,"suffix":""},{"dropping-particle":"","family":"Kaye","given":"David","non-dropping-particle":"","parse-names":false,"suffix":""}],"container-title":"Journal of the American College of Cardiology","id":"ITEM-1","issue":"3","issued":{"date-parts":[["2018"]]},"page":"339-351","title":"Implications of Underlying Mechanisms for the Recognition and Management of Diabetic Cardiomyopathy","type":"article-journal","volume":"71"},"uris":["http://www.mendeley.com/documents/?uuid=5122dbc6-97c5-4483-b6a5-8e53be784e42"]}],"mendeley":{"formattedCitation":"(75)","plainTextFormattedCitation":"(75)","previouslyFormattedCitation":"(75)"},"properties":{"noteIndex":0},"schema":"https://github.com/citation-style-language/schema/raw/master/csl-citation.json"}</w:instrText>
      </w:r>
      <w:r w:rsidRPr="004661E9">
        <w:rPr>
          <w:rFonts w:ascii="Arial" w:hAnsi="Arial" w:cs="Arial"/>
        </w:rPr>
        <w:fldChar w:fldCharType="separate"/>
      </w:r>
      <w:r w:rsidR="003C01B8" w:rsidRPr="004661E9">
        <w:rPr>
          <w:rFonts w:ascii="Arial" w:hAnsi="Arial" w:cs="Arial"/>
          <w:noProof/>
        </w:rPr>
        <w:t>(75)</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Moreover, oxidative stress contributes to myocardial dysfunction by causing protein and DNA damage, increasing myocardial inflammation, and impairing intracellular signaling pathways</w:t>
      </w:r>
      <w:r w:rsidR="00417E22" w:rsidRPr="004661E9">
        <w:rPr>
          <w:rFonts w:ascii="Arial" w:hAnsi="Arial" w:cs="Arial"/>
        </w:rPr>
        <w:t xml:space="preserve"> </w:t>
      </w:r>
      <w:r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Pr="004661E9">
        <w:rPr>
          <w:rFonts w:ascii="Arial" w:hAnsi="Arial" w:cs="Arial"/>
        </w:rPr>
        <w:fldChar w:fldCharType="separate"/>
      </w:r>
      <w:r w:rsidR="000962ED" w:rsidRPr="004661E9">
        <w:rPr>
          <w:rFonts w:ascii="Arial" w:hAnsi="Arial" w:cs="Arial"/>
          <w:noProof/>
        </w:rPr>
        <w:t>(34)</w:t>
      </w:r>
      <w:r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w:t>
      </w:r>
    </w:p>
    <w:p w14:paraId="3FF79526" w14:textId="77777777" w:rsidR="0049543A" w:rsidRPr="004661E9" w:rsidRDefault="0049543A" w:rsidP="004661E9">
      <w:pPr>
        <w:spacing w:after="0" w:line="276" w:lineRule="auto"/>
        <w:rPr>
          <w:rFonts w:ascii="Arial" w:hAnsi="Arial" w:cs="Arial"/>
        </w:rPr>
      </w:pPr>
    </w:p>
    <w:p w14:paraId="3CA07B94" w14:textId="77777777" w:rsidR="0049543A" w:rsidRPr="004661E9" w:rsidRDefault="0049543A" w:rsidP="004661E9">
      <w:pPr>
        <w:spacing w:after="0" w:line="276" w:lineRule="auto"/>
        <w:rPr>
          <w:rFonts w:ascii="Arial" w:hAnsi="Arial" w:cs="Arial"/>
          <w:b/>
          <w:bCs/>
          <w:color w:val="00B050"/>
        </w:rPr>
      </w:pPr>
      <w:r w:rsidRPr="004661E9">
        <w:rPr>
          <w:rFonts w:ascii="Arial" w:hAnsi="Arial" w:cs="Arial"/>
          <w:b/>
          <w:bCs/>
          <w:color w:val="00B050"/>
        </w:rPr>
        <w:t>Endoplasmic Reticulum Stress and Impaired Calcium Handling</w:t>
      </w:r>
    </w:p>
    <w:p w14:paraId="06538C8A" w14:textId="77777777" w:rsidR="00417E22" w:rsidRPr="004661E9" w:rsidRDefault="00417E22" w:rsidP="004661E9">
      <w:pPr>
        <w:spacing w:after="0" w:line="276" w:lineRule="auto"/>
        <w:rPr>
          <w:rFonts w:ascii="Arial" w:hAnsi="Arial" w:cs="Arial"/>
        </w:rPr>
      </w:pPr>
    </w:p>
    <w:p w14:paraId="73B1BD92" w14:textId="252BA94E" w:rsidR="0049543A" w:rsidRPr="004661E9" w:rsidRDefault="00DC2B62" w:rsidP="004661E9">
      <w:pPr>
        <w:spacing w:after="0" w:line="276" w:lineRule="auto"/>
        <w:rPr>
          <w:rFonts w:ascii="Arial" w:hAnsi="Arial" w:cs="Arial"/>
        </w:rPr>
      </w:pPr>
      <w:r w:rsidRPr="004661E9">
        <w:rPr>
          <w:rFonts w:ascii="Arial" w:hAnsi="Arial" w:cs="Arial"/>
        </w:rPr>
        <w:t xml:space="preserve">Myocardial intracellular calcium </w:t>
      </w:r>
      <w:r w:rsidR="003E22D6" w:rsidRPr="004661E9">
        <w:rPr>
          <w:rFonts w:ascii="Arial" w:hAnsi="Arial" w:cs="Arial"/>
        </w:rPr>
        <w:t xml:space="preserve">levels </w:t>
      </w:r>
      <w:r w:rsidR="007B0419" w:rsidRPr="004661E9">
        <w:rPr>
          <w:rFonts w:ascii="Arial" w:hAnsi="Arial" w:cs="Arial"/>
        </w:rPr>
        <w:t>regulate myocardial contractility</w:t>
      </w:r>
      <w:r w:rsidR="00E164D5" w:rsidRPr="004661E9">
        <w:rPr>
          <w:rFonts w:ascii="Arial" w:hAnsi="Arial" w:cs="Arial"/>
        </w:rPr>
        <w:t xml:space="preserve"> during </w:t>
      </w:r>
      <w:r w:rsidR="00543EDD" w:rsidRPr="004661E9">
        <w:rPr>
          <w:rFonts w:ascii="Arial" w:hAnsi="Arial" w:cs="Arial"/>
        </w:rPr>
        <w:t xml:space="preserve">a </w:t>
      </w:r>
      <w:r w:rsidR="00E164D5" w:rsidRPr="004661E9">
        <w:rPr>
          <w:rFonts w:ascii="Arial" w:hAnsi="Arial" w:cs="Arial"/>
        </w:rPr>
        <w:t xml:space="preserve">cardiac cycle. </w:t>
      </w:r>
      <w:r w:rsidR="00883DD4" w:rsidRPr="004661E9">
        <w:rPr>
          <w:rFonts w:ascii="Arial" w:hAnsi="Arial" w:cs="Arial"/>
        </w:rPr>
        <w:t>Alteration</w:t>
      </w:r>
      <w:r w:rsidR="003C75B4" w:rsidRPr="004661E9">
        <w:rPr>
          <w:rFonts w:ascii="Arial" w:hAnsi="Arial" w:cs="Arial"/>
        </w:rPr>
        <w:t>s</w:t>
      </w:r>
      <w:r w:rsidR="00883DD4" w:rsidRPr="004661E9">
        <w:rPr>
          <w:rFonts w:ascii="Arial" w:hAnsi="Arial" w:cs="Arial"/>
        </w:rPr>
        <w:t xml:space="preserve"> </w:t>
      </w:r>
      <w:r w:rsidR="00081151" w:rsidRPr="004661E9">
        <w:rPr>
          <w:rFonts w:ascii="Arial" w:hAnsi="Arial" w:cs="Arial"/>
        </w:rPr>
        <w:t xml:space="preserve">in </w:t>
      </w:r>
      <w:r w:rsidR="004D0652" w:rsidRPr="004661E9">
        <w:rPr>
          <w:rFonts w:ascii="Arial" w:hAnsi="Arial" w:cs="Arial"/>
        </w:rPr>
        <w:t xml:space="preserve">the complex mechanism of </w:t>
      </w:r>
      <w:r w:rsidR="00081151" w:rsidRPr="004661E9">
        <w:rPr>
          <w:rFonts w:ascii="Arial" w:hAnsi="Arial" w:cs="Arial"/>
        </w:rPr>
        <w:t>calcium handling can impact myocardial</w:t>
      </w:r>
      <w:r w:rsidR="004D0652" w:rsidRPr="004661E9">
        <w:rPr>
          <w:rFonts w:ascii="Arial" w:hAnsi="Arial" w:cs="Arial"/>
        </w:rPr>
        <w:t xml:space="preserve"> contraction and relaxation </w:t>
      </w:r>
      <w:r w:rsidR="005900D9" w:rsidRPr="004661E9">
        <w:rPr>
          <w:rFonts w:ascii="Arial" w:hAnsi="Arial" w:cs="Arial"/>
        </w:rPr>
        <w:fldChar w:fldCharType="begin" w:fldLock="1"/>
      </w:r>
      <w:r w:rsidR="00E156CB" w:rsidRPr="004661E9">
        <w:rPr>
          <w:rFonts w:ascii="Arial" w:hAnsi="Arial" w:cs="Arial"/>
        </w:rPr>
        <w:instrText>ADDIN CSL_CITATION {"citationItems":[{"id":"ITEM-1","itemData":{"DOI":"10.1186/s12933-023-01755-1","ISSN":"14752840","PMID":"36804872","abstract":"Diabetes mellitus is one of the prime risk factors for cardiovascular complications and is linked with high morbidity and mortality. Diabetic cardiomyopathy (DCM) often manifests as reduced cardiac contractility, myocardial fibrosis, diastolic dysfunction, and chronic heart failure. Inflammation, changes in calcium (Ca2+) handling and cardiomyocyte loss are often implicated in the development and progression of DCM. Although the existence of DCM was established nearly four decades ago, the exact mechanisms underlying this disease pathophysiology is constantly evolving. Furthermore, the complex pathophysiology of DCM is linked with exosomes, which has recently shown to facilitate intercellular (cell-to-cell) communication through biomolecules such as micro RNA (miRNA), proteins, enzymes, cell surface receptors, growth factors, cytokines, and lipids. Inflammatory response and Ca2+ signaling are interrelated and DCM has been known to adversely affect many of these signaling molecules either qualitatively and/or quantitatively. In this literature review, we have demonstrated that Ca2+ regulators are tightly controlled at different molecular and cellular levels during various biological processes in the heart. Inflammatory mediators, miRNA and exosomes are shown to interact with these regulators, however how these mediators are linked to Ca2+ handling during DCM pathogenesis remains elusive. Thus, further investigations are needed to understand the mechanisms to restore cardiac Ca2+ homeostasis and function, and to serve as potential therapeutic targets in the treatment of DCM.","author":[{"dropping-particle":"","family":"Sanganalmath","given":"Santosh K.","non-dropping-particle":"","parse-names":false,"suffix":""},{"dropping-particle":"","family":"Dubey","given":"Shubham","non-dropping-particle":"","parse-names":false,"suffix":""},{"dropping-particle":"","family":"Veeranki","given":"Sudhakar","non-dropping-particle":"","parse-names":false,"suffix":""},{"dropping-particle":"","family":"Narisetty","given":"Keerthy","non-dropping-particle":"","parse-names":false,"suffix":""},{"dropping-particle":"","family":"Krishnamurthy","given":"Prasanna","non-dropping-particle":"","parse-names":false,"suffix":""}],"container-title":"Cardiovascular Diabetology","id":"ITEM-1","issue":"1","issued":{"date-parts":[["2023"]]},"page":"1-22","publisher":"BioMed Central","title":"The interplay of inflammation, exosomes and Ca2+ dynamics in diabetic cardiomyopathy","type":"article-journal","volume":"22"},"uris":["http://www.mendeley.com/documents/?uuid=b3466fad-4f39-439a-ba43-61a7140d30bc"]}],"mendeley":{"formattedCitation":"(90)","plainTextFormattedCitation":"(90)","previouslyFormattedCitation":"(90)"},"properties":{"noteIndex":0},"schema":"https://github.com/citation-style-language/schema/raw/master/csl-citation.json"}</w:instrText>
      </w:r>
      <w:r w:rsidR="005900D9" w:rsidRPr="004661E9">
        <w:rPr>
          <w:rFonts w:ascii="Arial" w:hAnsi="Arial" w:cs="Arial"/>
        </w:rPr>
        <w:fldChar w:fldCharType="separate"/>
      </w:r>
      <w:r w:rsidR="003C01B8" w:rsidRPr="004661E9">
        <w:rPr>
          <w:rFonts w:ascii="Arial" w:hAnsi="Arial" w:cs="Arial"/>
          <w:noProof/>
        </w:rPr>
        <w:t>(90)</w:t>
      </w:r>
      <w:r w:rsidR="005900D9" w:rsidRPr="004661E9">
        <w:rPr>
          <w:rFonts w:ascii="Arial" w:hAnsi="Arial" w:cs="Arial"/>
        </w:rPr>
        <w:fldChar w:fldCharType="end"/>
      </w:r>
      <w:r w:rsidR="004D0652" w:rsidRPr="004661E9">
        <w:rPr>
          <w:rFonts w:ascii="Arial" w:hAnsi="Arial" w:cs="Arial"/>
        </w:rPr>
        <w:t>.</w:t>
      </w:r>
      <w:r w:rsidR="00081151" w:rsidRPr="004661E9">
        <w:rPr>
          <w:rFonts w:ascii="Arial" w:hAnsi="Arial" w:cs="Arial"/>
        </w:rPr>
        <w:t xml:space="preserve"> </w:t>
      </w:r>
      <w:r w:rsidR="0049543A" w:rsidRPr="004661E9">
        <w:rPr>
          <w:rFonts w:ascii="Arial" w:hAnsi="Arial" w:cs="Arial"/>
        </w:rPr>
        <w:t>The endoplasmic reticulum has a major role in Ca</w:t>
      </w:r>
      <w:r w:rsidR="0049543A" w:rsidRPr="004661E9">
        <w:rPr>
          <w:rFonts w:ascii="Arial" w:hAnsi="Arial" w:cs="Arial"/>
          <w:vertAlign w:val="superscript"/>
        </w:rPr>
        <w:t>2+</w:t>
      </w:r>
      <w:r w:rsidR="0049543A" w:rsidRPr="004661E9">
        <w:rPr>
          <w:rFonts w:ascii="Arial" w:hAnsi="Arial" w:cs="Arial"/>
        </w:rPr>
        <w:t xml:space="preserve"> handling, lipid synthesis, and protein folding and modification</w:t>
      </w:r>
      <w:r w:rsidR="00417E22" w:rsidRPr="004661E9">
        <w:rPr>
          <w:rFonts w:ascii="Arial" w:hAnsi="Arial" w:cs="Arial"/>
        </w:rPr>
        <w:t xml:space="preserve"> </w:t>
      </w:r>
      <w:r w:rsidR="0049543A" w:rsidRPr="004661E9">
        <w:rPr>
          <w:rFonts w:ascii="Arial" w:hAnsi="Arial" w:cs="Arial"/>
        </w:rPr>
        <w:fldChar w:fldCharType="begin" w:fldLock="1"/>
      </w:r>
      <w:r w:rsidR="00E156CB" w:rsidRPr="004661E9">
        <w:rPr>
          <w:rFonts w:ascii="Arial" w:hAnsi="Arial" w:cs="Arial"/>
        </w:rPr>
        <w:instrText>ADDIN CSL_CITATION {"citationItems":[{"id":"ITEM-1","itemData":{"DOI":"10.1007/s00125-017-4390-4","ISSN":"14320428","abstract":"Diabetic cardiomyopathy is characterised in its early stages by diastolic relaxation abnormalities and later by clinical heart failure in the absence of dyslipidaemia, hypertension and coronary artery disease. Insulin resistance, hyperinsulinaemia and hyperglycaemia are each independent risk factors for the development of diabetic cardiomyopathy. The pathophysiological factors in diabetes that drive the development of cardiomyopathy include systemic metabolic disorders, inappropriate activation of the renin–angiotensin–aldosterone system, subcellular component abnormalities, oxidative stress, inflammation and dysfunctional immune modulation. These abnormalities collectively promote cardiac tissue interstitial fibrosis, cardiac stiffness/diastolic dysfunction and, later, systolic dysfunction, precipitating the syndrome of clinical heart failure. Recent evidence has revealed that dysregulation of coronary endothelial cells and exosomes also contributes to the pathology behind diabetic cardiomyopathy. Herein, we review the relationships among insulin resistance/hyperinsulinaemia, hyperglycaemia and the development of cardiac dysfunction. We summarise the current understanding of the pathophysiological mechanisms in diabetic cardiomyopathy and explore potential preventative and therapeutic strategies.","author":[{"dropping-particle":"","family":"Jia","given":"Guanghong","non-dropping-particle":"","parse-names":false,"suffix":""},{"dropping-particle":"","family":"Whaley-Connell","given":"Adam","non-dropping-particle":"","parse-names":false,"suffix":""},{"dropping-particle":"","family":"Sowers","given":"James R.","non-dropping-particle":"","parse-names":false,"suffix":""}],"container-title":"Diabetologia","id":"ITEM-1","issue":"1","issued":{"date-parts":[["2018","1","1"]]},"page":"21-28","publisher":"Springer Verlag","title":"Diabetic cardiomyopathy: a hyperglycaemia- and insulin-resistance-induced heart disease","type":"article-journal","volume":"61"},"uris":["http://www.mendeley.com/documents/?uuid=a1b702bc-ae6a-3a4b-b5a1-9445557a7e0b"]}],"mendeley":{"formattedCitation":"(91)","plainTextFormattedCitation":"(91)","previouslyFormattedCitation":"(91)"},"properties":{"noteIndex":0},"schema":"https://github.com/citation-style-language/schema/raw/master/csl-citation.json"}</w:instrText>
      </w:r>
      <w:r w:rsidR="0049543A" w:rsidRPr="004661E9">
        <w:rPr>
          <w:rFonts w:ascii="Arial" w:hAnsi="Arial" w:cs="Arial"/>
        </w:rPr>
        <w:fldChar w:fldCharType="separate"/>
      </w:r>
      <w:r w:rsidR="003C01B8" w:rsidRPr="004661E9">
        <w:rPr>
          <w:rFonts w:ascii="Arial" w:hAnsi="Arial" w:cs="Arial"/>
          <w:noProof/>
        </w:rPr>
        <w:t>(91)</w:t>
      </w:r>
      <w:r w:rsidR="0049543A" w:rsidRPr="004661E9">
        <w:rPr>
          <w:rFonts w:ascii="Arial" w:hAnsi="Arial" w:cs="Arial"/>
        </w:rPr>
        <w:fldChar w:fldCharType="end"/>
      </w:r>
      <w:r w:rsidR="00417E22" w:rsidRPr="004661E9">
        <w:rPr>
          <w:rFonts w:ascii="Arial" w:hAnsi="Arial" w:cs="Arial"/>
        </w:rPr>
        <w:t>.</w:t>
      </w:r>
      <w:r w:rsidR="0049543A" w:rsidRPr="004661E9">
        <w:rPr>
          <w:rFonts w:ascii="Arial" w:hAnsi="Arial" w:cs="Arial"/>
        </w:rPr>
        <w:t xml:space="preserve"> Moreover, cytosolic Ca</w:t>
      </w:r>
      <w:r w:rsidR="0049543A" w:rsidRPr="004661E9">
        <w:rPr>
          <w:rFonts w:ascii="Arial" w:hAnsi="Arial" w:cs="Arial"/>
          <w:vertAlign w:val="superscript"/>
        </w:rPr>
        <w:t>2+</w:t>
      </w:r>
      <w:r w:rsidR="0049543A" w:rsidRPr="004661E9">
        <w:rPr>
          <w:rFonts w:ascii="Arial" w:hAnsi="Arial" w:cs="Arial"/>
        </w:rPr>
        <w:t xml:space="preserve"> levels </w:t>
      </w:r>
      <w:r w:rsidR="00543EDD" w:rsidRPr="004661E9">
        <w:rPr>
          <w:rFonts w:ascii="Arial" w:hAnsi="Arial" w:cs="Arial"/>
        </w:rPr>
        <w:t>regulate</w:t>
      </w:r>
      <w:r w:rsidR="0049543A" w:rsidRPr="004661E9">
        <w:rPr>
          <w:rFonts w:ascii="Arial" w:hAnsi="Arial" w:cs="Arial"/>
        </w:rPr>
        <w:t xml:space="preserve"> </w:t>
      </w:r>
      <w:r w:rsidR="0049543A" w:rsidRPr="004661E9">
        <w:rPr>
          <w:rFonts w:ascii="Arial" w:hAnsi="Arial" w:cs="Arial"/>
        </w:rPr>
        <w:lastRenderedPageBreak/>
        <w:t>cellular metabolism</w:t>
      </w:r>
      <w:r w:rsidR="00F776F1" w:rsidRPr="004661E9">
        <w:rPr>
          <w:rFonts w:ascii="Arial" w:hAnsi="Arial" w:cs="Arial"/>
        </w:rPr>
        <w:t xml:space="preserve"> and</w:t>
      </w:r>
      <w:r w:rsidR="0049543A" w:rsidRPr="004661E9">
        <w:rPr>
          <w:rFonts w:ascii="Arial" w:hAnsi="Arial" w:cs="Arial"/>
        </w:rPr>
        <w:t xml:space="preserve"> cell signaling. Hyperglycemia and IR trigger endoplasmic reticulum stress</w:t>
      </w:r>
      <w:r w:rsidR="00543EDD" w:rsidRPr="004661E9">
        <w:rPr>
          <w:rFonts w:ascii="Arial" w:hAnsi="Arial" w:cs="Arial"/>
        </w:rPr>
        <w:t>, leading to unfolded proteins accumulating and impairing</w:t>
      </w:r>
      <w:r w:rsidR="0049543A" w:rsidRPr="004661E9">
        <w:rPr>
          <w:rFonts w:ascii="Arial" w:hAnsi="Arial" w:cs="Arial"/>
        </w:rPr>
        <w:t xml:space="preserve"> Ca</w:t>
      </w:r>
      <w:r w:rsidR="0049543A" w:rsidRPr="004661E9">
        <w:rPr>
          <w:rFonts w:ascii="Arial" w:hAnsi="Arial" w:cs="Arial"/>
          <w:vertAlign w:val="superscript"/>
        </w:rPr>
        <w:t>2+</w:t>
      </w:r>
      <w:r w:rsidR="0049543A" w:rsidRPr="004661E9">
        <w:rPr>
          <w:rFonts w:ascii="Arial" w:hAnsi="Arial" w:cs="Arial"/>
        </w:rPr>
        <w:t xml:space="preserve"> handling. In diabetic cardiomyopathy, impair</w:t>
      </w:r>
      <w:r w:rsidR="00543EDD" w:rsidRPr="004661E9">
        <w:rPr>
          <w:rFonts w:ascii="Arial" w:hAnsi="Arial" w:cs="Arial"/>
        </w:rPr>
        <w:t>ed</w:t>
      </w:r>
      <w:r w:rsidR="0049543A" w:rsidRPr="004661E9">
        <w:rPr>
          <w:rFonts w:ascii="Arial" w:hAnsi="Arial" w:cs="Arial"/>
        </w:rPr>
        <w:t xml:space="preserve"> Ca</w:t>
      </w:r>
      <w:r w:rsidR="0049543A" w:rsidRPr="004661E9">
        <w:rPr>
          <w:rFonts w:ascii="Arial" w:hAnsi="Arial" w:cs="Arial"/>
          <w:vertAlign w:val="superscript"/>
        </w:rPr>
        <w:t>2+</w:t>
      </w:r>
      <w:r w:rsidR="0049543A" w:rsidRPr="004661E9">
        <w:rPr>
          <w:rFonts w:ascii="Arial" w:hAnsi="Arial" w:cs="Arial"/>
        </w:rPr>
        <w:t xml:space="preserve"> reuptake by </w:t>
      </w:r>
      <w:r w:rsidR="00543EDD" w:rsidRPr="004661E9">
        <w:rPr>
          <w:rFonts w:ascii="Arial" w:hAnsi="Arial" w:cs="Arial"/>
        </w:rPr>
        <w:t xml:space="preserve">the </w:t>
      </w:r>
      <w:r w:rsidR="0049543A" w:rsidRPr="004661E9">
        <w:rPr>
          <w:rFonts w:ascii="Arial" w:hAnsi="Arial" w:cs="Arial"/>
        </w:rPr>
        <w:t xml:space="preserve">endoplasmic reticulum </w:t>
      </w:r>
      <w:r w:rsidR="00543EDD" w:rsidRPr="004661E9">
        <w:rPr>
          <w:rFonts w:ascii="Arial" w:hAnsi="Arial" w:cs="Arial"/>
        </w:rPr>
        <w:t>prolongs</w:t>
      </w:r>
      <w:r w:rsidR="0049543A" w:rsidRPr="004661E9">
        <w:rPr>
          <w:rFonts w:ascii="Arial" w:hAnsi="Arial" w:cs="Arial"/>
        </w:rPr>
        <w:t xml:space="preserve"> diastolic relaxation time</w:t>
      </w:r>
      <w:r w:rsidR="00417E22" w:rsidRPr="004661E9">
        <w:rPr>
          <w:rFonts w:ascii="Arial" w:hAnsi="Arial" w:cs="Arial"/>
        </w:rPr>
        <w:t xml:space="preserve"> </w:t>
      </w:r>
      <w:r w:rsidR="0049543A" w:rsidRPr="004661E9">
        <w:rPr>
          <w:rFonts w:ascii="Arial" w:hAnsi="Arial" w:cs="Arial"/>
        </w:rPr>
        <w:fldChar w:fldCharType="begin" w:fldLock="1"/>
      </w:r>
      <w:r w:rsidR="00E156CB" w:rsidRPr="004661E9">
        <w:rPr>
          <w:rFonts w:ascii="Arial" w:hAnsi="Arial" w:cs="Arial"/>
        </w:rPr>
        <w:instrText>ADDIN CSL_CITATION {"citationItems":[{"id":"ITEM-1","itemData":{"DOI":"10.1007/s00125-017-4390-4","ISSN":"14320428","abstract":"Diabetic cardiomyopathy is characterised in its early stages by diastolic relaxation abnormalities and later by clinical heart failure in the absence of dyslipidaemia, hypertension and coronary artery disease. Insulin resistance, hyperinsulinaemia and hyperglycaemia are each independent risk factors for the development of diabetic cardiomyopathy. The pathophysiological factors in diabetes that drive the development of cardiomyopathy include systemic metabolic disorders, inappropriate activation of the renin–angiotensin–aldosterone system, subcellular component abnormalities, oxidative stress, inflammation and dysfunctional immune modulation. These abnormalities collectively promote cardiac tissue interstitial fibrosis, cardiac stiffness/diastolic dysfunction and, later, systolic dysfunction, precipitating the syndrome of clinical heart failure. Recent evidence has revealed that dysregulation of coronary endothelial cells and exosomes also contributes to the pathology behind diabetic cardiomyopathy. Herein, we review the relationships among insulin resistance/hyperinsulinaemia, hyperglycaemia and the development of cardiac dysfunction. We summarise the current understanding of the pathophysiological mechanisms in diabetic cardiomyopathy and explore potential preventative and therapeutic strategies.","author":[{"dropping-particle":"","family":"Jia","given":"Guanghong","non-dropping-particle":"","parse-names":false,"suffix":""},{"dropping-particle":"","family":"Whaley-Connell","given":"Adam","non-dropping-particle":"","parse-names":false,"suffix":""},{"dropping-particle":"","family":"Sowers","given":"James R.","non-dropping-particle":"","parse-names":false,"suffix":""}],"container-title":"Diabetologia","id":"ITEM-1","issue":"1","issued":{"date-parts":[["2018","1","1"]]},"page":"21-28","publisher":"Springer Verlag","title":"Diabetic cardiomyopathy: a hyperglycaemia- and insulin-resistance-induced heart disease","type":"article-journal","volume":"61"},"uris":["http://www.mendeley.com/documents/?uuid=a1b702bc-ae6a-3a4b-b5a1-9445557a7e0b"]}],"mendeley":{"formattedCitation":"(91)","plainTextFormattedCitation":"(91)","previouslyFormattedCitation":"(91)"},"properties":{"noteIndex":0},"schema":"https://github.com/citation-style-language/schema/raw/master/csl-citation.json"}</w:instrText>
      </w:r>
      <w:r w:rsidR="0049543A" w:rsidRPr="004661E9">
        <w:rPr>
          <w:rFonts w:ascii="Arial" w:hAnsi="Arial" w:cs="Arial"/>
        </w:rPr>
        <w:fldChar w:fldCharType="separate"/>
      </w:r>
      <w:r w:rsidR="003C01B8" w:rsidRPr="004661E9">
        <w:rPr>
          <w:rFonts w:ascii="Arial" w:hAnsi="Arial" w:cs="Arial"/>
          <w:noProof/>
        </w:rPr>
        <w:t>(91)</w:t>
      </w:r>
      <w:r w:rsidR="0049543A" w:rsidRPr="004661E9">
        <w:rPr>
          <w:rFonts w:ascii="Arial" w:hAnsi="Arial" w:cs="Arial"/>
        </w:rPr>
        <w:fldChar w:fldCharType="end"/>
      </w:r>
      <w:r w:rsidR="00417E22" w:rsidRPr="004661E9">
        <w:rPr>
          <w:rFonts w:ascii="Arial" w:hAnsi="Arial" w:cs="Arial"/>
        </w:rPr>
        <w:t>.</w:t>
      </w:r>
      <w:r w:rsidR="0049543A" w:rsidRPr="004661E9">
        <w:rPr>
          <w:rFonts w:ascii="Arial" w:hAnsi="Arial" w:cs="Arial"/>
        </w:rPr>
        <w:t xml:space="preserve"> Studies on animal models have indicated that impaired cardiomyocyte Ca</w:t>
      </w:r>
      <w:r w:rsidR="0049543A" w:rsidRPr="004661E9">
        <w:rPr>
          <w:rFonts w:ascii="Arial" w:hAnsi="Arial" w:cs="Arial"/>
          <w:vertAlign w:val="superscript"/>
        </w:rPr>
        <w:t>2+</w:t>
      </w:r>
      <w:r w:rsidR="0049543A" w:rsidRPr="004661E9">
        <w:rPr>
          <w:rFonts w:ascii="Arial" w:hAnsi="Arial" w:cs="Arial"/>
        </w:rPr>
        <w:t xml:space="preserve"> handling plays a </w:t>
      </w:r>
      <w:r w:rsidR="00543EDD" w:rsidRPr="004661E9">
        <w:rPr>
          <w:rFonts w:ascii="Arial" w:hAnsi="Arial" w:cs="Arial"/>
        </w:rPr>
        <w:t>crucial</w:t>
      </w:r>
      <w:r w:rsidR="0049543A" w:rsidRPr="004661E9">
        <w:rPr>
          <w:rFonts w:ascii="Arial" w:hAnsi="Arial" w:cs="Arial"/>
        </w:rPr>
        <w:t xml:space="preserve"> role in </w:t>
      </w:r>
      <w:r w:rsidR="002C0E36" w:rsidRPr="004661E9">
        <w:rPr>
          <w:rFonts w:ascii="Arial" w:hAnsi="Arial" w:cs="Arial"/>
        </w:rPr>
        <w:t xml:space="preserve">the pathophysiology of diabetic cardiomyopathy </w:t>
      </w:r>
      <w:r w:rsidR="00874626" w:rsidRPr="004661E9">
        <w:rPr>
          <w:rFonts w:ascii="Arial" w:hAnsi="Arial" w:cs="Arial"/>
        </w:rPr>
        <w:fldChar w:fldCharType="begin" w:fldLock="1"/>
      </w:r>
      <w:r w:rsidR="00E156CB" w:rsidRPr="004661E9">
        <w:rPr>
          <w:rFonts w:ascii="Arial" w:hAnsi="Arial" w:cs="Arial"/>
        </w:rPr>
        <w:instrText>ADDIN CSL_CITATION {"citationItems":[{"id":"ITEM-1","itemData":{"DOI":"10.1161/CIRCRESAHA.117.311586","ISSN":"15244571","abstract":"Heart failure and related morbidity and mortality are increasing at an alarming rate, in large part, because of increases in aging, obesity, and diabetes mellitus. The clinical outcomes associated with heart failure are considerably worse for patients with diabetes mellitus than for those without diabetes mellitus. In people with diabetes mellitus, the presence of myocardial dysfunction in the absence of overt clinical coronary artery disease, valvular disease, and other conventional cardiovascular risk factors, such as hypertension and dyslipidemia, has led to the descriptive terminology, diabetic cardiomyopathy. The prevalence of diabetic cardiomyopathy is increasing in parallel with the increase in diabetes mellitus. Diabetic cardiomyopathy is initially characterized by myocardial fibrosis, dysfunctional remodeling, and associated diastolic dysfunction, later by systolic dysfunction, and eventually by clinical heart failure. Impaired cardiac insulin metabolic signaling, mitochondrial dysfunction, increases in oxidative stress, reduced nitric oxide bioavailability, elevations in advanced glycation end products and collagen-based cardiomyocyte and extracellular matrix stiffness, impaired mitochondrial and cardiomyocyte calcium handling, inflammation, renin-angiotensin-aldosterone system activation, cardiac autonomic neuropathy, endoplasmic reticulum stress, microvascular dysfunction, and a myriad of cardiac metabolic abnormalities have all been implicated in the development and progression of diabetic cardiomyopathy. Molecular mechanisms linked to the underlying pathophysiological changes include abnormalities in AMP-Activated protein kinase, peroxisome proliferator-Activated receptors, O-linked N-Acetylglucosamine, protein kinase C, microRNA, and exosome pathways. The aim of this review is to provide a contemporary view of these instigators of diabetic cardiomyopathy, as well as mechanistically based strategies for the prevention and treatment of diabetic cardiomyopathy.","author":[{"dropping-particle":"","family":"Jia","given":"Guanghong","non-dropping-particle":"","parse-names":false,"suffix":""},{"dropping-particle":"","family":"Hill","given":"Michael A. A.","non-dropping-particle":"","parse-names":false,"suffix":""},{"dropping-particle":"","family":"Sowers","given":"James R. R.","non-dropping-particle":"","parse-names":false,"suffix":""}],"container-title":"Circulation Research","id":"ITEM-1","issue":"4","issued":{"date-parts":[["2018","2","1"]]},"page":"624-638","publisher":"Lippincott Williams and Wilkins","title":"Diabetic cardiomyopathy: An update of mechanisms contributing to this clinical entity","type":"article-journal","volume":"122"},"uris":["http://www.mendeley.com/documents/?uuid=43a20969-eaa0-4a81-ae95-93e52eb63579"]},{"id":"ITEM-2","itemData":{"DOI":"10.1186/s12933-023-01755-1","ISSN":"14752840","PMID":"36804872","abstract":"Diabetes mellitus is one of the prime risk factors for cardiovascular complications and is linked with high morbidity and mortality. Diabetic cardiomyopathy (DCM) often manifests as reduced cardiac contractility, myocardial fibrosis, diastolic dysfunction, and chronic heart failure. Inflammation, changes in calcium (Ca2+) handling and cardiomyocyte loss are often implicated in the development and progression of DCM. Although the existence of DCM was established nearly four decades ago, the exact mechanisms underlying this disease pathophysiology is constantly evolving. Furthermore, the complex pathophysiology of DCM is linked with exosomes, which has recently shown to facilitate intercellular (cell-to-cell) communication through biomolecules such as micro RNA (miRNA), proteins, enzymes, cell surface receptors, growth factors, cytokines, and lipids. Inflammatory response and Ca2+ signaling are interrelated and DCM has been known to adversely affect many of these signaling molecules either qualitatively and/or quantitatively. In this literature review, we have demonstrated that Ca2+ regulators are tightly controlled at different molecular and cellular levels during various biological processes in the heart. Inflammatory mediators, miRNA and exosomes are shown to interact with these regulators, however how these mediators are linked to Ca2+ handling during DCM pathogenesis remains elusive. Thus, further investigations are needed to understand the mechanisms to restore cardiac Ca2+ homeostasis and function, and to serve as potential therapeutic targets in the treatment of DCM.","author":[{"dropping-particle":"","family":"Sanganalmath","given":"Santosh K.","non-dropping-particle":"","parse-names":false,"suffix":""},{"dropping-particle":"","family":"Dubey","given":"Shubham","non-dropping-particle":"","parse-names":false,"suffix":""},{"dropping-particle":"","family":"Veeranki","given":"Sudhakar","non-dropping-particle":"","parse-names":false,"suffix":""},{"dropping-particle":"","family":"Narisetty","given":"Keerthy","non-dropping-particle":"","parse-names":false,"suffix":""},{"dropping-particle":"","family":"Krishnamurthy","given":"Prasanna","non-dropping-particle":"","parse-names":false,"suffix":""}],"container-title":"Cardiovascular Diabetology","id":"ITEM-2","issue":"1","issued":{"date-parts":[["2023"]]},"page":"1-22","publisher":"BioMed Central","title":"The interplay of inflammation, exosomes and Ca2+ dynamics in diabetic cardiomyopathy","type":"article-journal","volume":"22"},"uris":["http://www.mendeley.com/documents/?uuid=b3466fad-4f39-439a-ba43-61a7140d30bc"]}],"mendeley":{"formattedCitation":"(7,90)","plainTextFormattedCitation":"(7,90)","previouslyFormattedCitation":"(7,90)"},"properties":{"noteIndex":0},"schema":"https://github.com/citation-style-language/schema/raw/master/csl-citation.json"}</w:instrText>
      </w:r>
      <w:r w:rsidR="00874626" w:rsidRPr="004661E9">
        <w:rPr>
          <w:rFonts w:ascii="Arial" w:hAnsi="Arial" w:cs="Arial"/>
        </w:rPr>
        <w:fldChar w:fldCharType="separate"/>
      </w:r>
      <w:r w:rsidR="003C01B8" w:rsidRPr="004661E9">
        <w:rPr>
          <w:rFonts w:ascii="Arial" w:hAnsi="Arial" w:cs="Arial"/>
          <w:noProof/>
        </w:rPr>
        <w:t>(7,90)</w:t>
      </w:r>
      <w:r w:rsidR="00874626" w:rsidRPr="004661E9">
        <w:rPr>
          <w:rFonts w:ascii="Arial" w:hAnsi="Arial" w:cs="Arial"/>
        </w:rPr>
        <w:fldChar w:fldCharType="end"/>
      </w:r>
      <w:r w:rsidR="00417E22" w:rsidRPr="004661E9">
        <w:rPr>
          <w:rFonts w:ascii="Arial" w:hAnsi="Arial" w:cs="Arial"/>
        </w:rPr>
        <w:t>.</w:t>
      </w:r>
      <w:r w:rsidR="0049543A" w:rsidRPr="004661E9">
        <w:rPr>
          <w:rFonts w:ascii="Arial" w:hAnsi="Arial" w:cs="Arial"/>
        </w:rPr>
        <w:t xml:space="preserve"> </w:t>
      </w:r>
    </w:p>
    <w:p w14:paraId="5C7611E0" w14:textId="7492BFCF" w:rsidR="00172895" w:rsidRPr="004661E9" w:rsidRDefault="00172895" w:rsidP="004661E9">
      <w:pPr>
        <w:spacing w:after="0" w:line="276" w:lineRule="auto"/>
        <w:rPr>
          <w:rFonts w:ascii="Arial" w:hAnsi="Arial" w:cs="Arial"/>
        </w:rPr>
      </w:pPr>
    </w:p>
    <w:p w14:paraId="0543138D" w14:textId="77777777" w:rsidR="00451B55" w:rsidRPr="004661E9" w:rsidRDefault="00451B55" w:rsidP="004661E9">
      <w:pPr>
        <w:spacing w:after="0" w:line="276" w:lineRule="auto"/>
        <w:rPr>
          <w:rFonts w:ascii="Arial" w:hAnsi="Arial" w:cs="Arial"/>
          <w:b/>
          <w:bCs/>
          <w:color w:val="00B050"/>
        </w:rPr>
      </w:pPr>
      <w:r w:rsidRPr="004661E9">
        <w:rPr>
          <w:rFonts w:ascii="Arial" w:hAnsi="Arial" w:cs="Arial"/>
          <w:b/>
          <w:bCs/>
          <w:color w:val="00B050"/>
        </w:rPr>
        <w:t>Endothelial</w:t>
      </w:r>
      <w:r w:rsidR="00CF253F" w:rsidRPr="004661E9">
        <w:rPr>
          <w:rFonts w:ascii="Arial" w:hAnsi="Arial" w:cs="Arial"/>
          <w:b/>
          <w:bCs/>
          <w:color w:val="00B050"/>
        </w:rPr>
        <w:t xml:space="preserve"> and Microvascular</w:t>
      </w:r>
      <w:r w:rsidRPr="004661E9">
        <w:rPr>
          <w:rFonts w:ascii="Arial" w:hAnsi="Arial" w:cs="Arial"/>
          <w:b/>
          <w:bCs/>
          <w:color w:val="00B050"/>
        </w:rPr>
        <w:t xml:space="preserve"> Dysfunction</w:t>
      </w:r>
    </w:p>
    <w:p w14:paraId="7761C886" w14:textId="77777777" w:rsidR="00417E22" w:rsidRPr="004661E9" w:rsidRDefault="00417E22" w:rsidP="004661E9">
      <w:pPr>
        <w:spacing w:after="0" w:line="276" w:lineRule="auto"/>
        <w:rPr>
          <w:rFonts w:ascii="Arial" w:hAnsi="Arial" w:cs="Arial"/>
        </w:rPr>
      </w:pPr>
    </w:p>
    <w:p w14:paraId="1F664077" w14:textId="0EEB2C01" w:rsidR="00417E22" w:rsidRPr="004661E9" w:rsidRDefault="006C41B3" w:rsidP="004661E9">
      <w:pPr>
        <w:spacing w:after="0" w:line="276" w:lineRule="auto"/>
        <w:rPr>
          <w:rFonts w:ascii="Arial" w:hAnsi="Arial" w:cs="Arial"/>
        </w:rPr>
      </w:pPr>
      <w:r w:rsidRPr="004661E9">
        <w:rPr>
          <w:rFonts w:ascii="Arial" w:hAnsi="Arial" w:cs="Arial"/>
        </w:rPr>
        <w:t>Endothelial dysfunction</w:t>
      </w:r>
      <w:r w:rsidR="00A17C81" w:rsidRPr="004661E9">
        <w:rPr>
          <w:rFonts w:ascii="Arial" w:hAnsi="Arial" w:cs="Arial"/>
        </w:rPr>
        <w:t>,</w:t>
      </w:r>
      <w:r w:rsidRPr="004661E9">
        <w:rPr>
          <w:rFonts w:ascii="Arial" w:hAnsi="Arial" w:cs="Arial"/>
        </w:rPr>
        <w:t xml:space="preserve"> which disturbs endothelial-cardiomyocyte communication and vascular function</w:t>
      </w:r>
      <w:r w:rsidR="0015065B" w:rsidRPr="004661E9">
        <w:rPr>
          <w:rFonts w:ascii="Arial" w:hAnsi="Arial" w:cs="Arial"/>
        </w:rPr>
        <w:t>,</w:t>
      </w:r>
      <w:r w:rsidRPr="004661E9">
        <w:rPr>
          <w:rFonts w:ascii="Arial" w:hAnsi="Arial" w:cs="Arial"/>
        </w:rPr>
        <w:t xml:space="preserve"> </w:t>
      </w:r>
      <w:r w:rsidR="00543EDD" w:rsidRPr="004661E9">
        <w:rPr>
          <w:rFonts w:ascii="Arial" w:hAnsi="Arial" w:cs="Arial"/>
        </w:rPr>
        <w:t xml:space="preserve">is </w:t>
      </w:r>
      <w:r w:rsidR="007E4DA9" w:rsidRPr="004661E9">
        <w:rPr>
          <w:rFonts w:ascii="Arial" w:hAnsi="Arial" w:cs="Arial"/>
        </w:rPr>
        <w:t>common in patients with diabetes and</w:t>
      </w:r>
      <w:r w:rsidR="00D67CC4" w:rsidRPr="004661E9">
        <w:rPr>
          <w:rFonts w:ascii="Arial" w:hAnsi="Arial" w:cs="Arial"/>
        </w:rPr>
        <w:t xml:space="preserve"> </w:t>
      </w:r>
      <w:r w:rsidRPr="004661E9">
        <w:rPr>
          <w:rFonts w:ascii="Arial" w:hAnsi="Arial" w:cs="Arial"/>
        </w:rPr>
        <w:t>CV</w:t>
      </w:r>
      <w:r w:rsidR="00D67CC4" w:rsidRPr="004661E9">
        <w:rPr>
          <w:rFonts w:ascii="Arial" w:hAnsi="Arial" w:cs="Arial"/>
        </w:rPr>
        <w:t>D</w:t>
      </w:r>
      <w:r w:rsidR="00417E22"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10.1093/eurheartj/ehy596","ISSN":"15229645","PMID":"30295797","author":[{"dropping-particle":"","family":"Maack","given":"Christoph","non-dropping-particle":"","parse-names":false,"suffix":""},{"dropping-particle":"","family":"Lehrke","given":"Michael","non-dropping-particle":"","parse-names":false,"suffix":""},{"dropping-particle":"","family":"Backs","given":"Johannes","non-dropping-particle":"","parse-names":false,"suffix":""},{"dropping-particle":"","family":"Heinzel","given":"Frank R. R.","non-dropping-particle":"","parse-names":false,"suffix":""},{"dropping-particle":"","family":"Hulot","given":"Jean Sebastien Sebastien","non-dropping-particle":"","parse-names":false,"suffix":""},{"dropping-particle":"","family":"Marx","given":"Nikolaus","non-dropping-particle":"","parse-names":false,"suffix":""},{"dropping-particle":"","family":"Paulus","given":"Walter J. J.","non-dropping-particle":"","parse-names":false,"suffix":""},{"dropping-particle":"","family":"Rossignol","given":"Patrick","non-dropping-particle":"","parse-names":false,"suffix":""},{"dropping-particle":"","family":"Taegtmeyer","given":"Heinrich","non-dropping-particle":"","parse-names":false,"suffix":""},{"dropping-particle":"","family":"Bauersachs","given":"Johann","non-dropping-particle":"","parse-names":false,"suffix":""},{"dropping-particle":"","family":"Bayes-Genis","given":"Antoni","non-dropping-particle":"","parse-names":false,"suffix":""},{"dropping-particle":"","family":"Brutsaert","given":"Dirk","non-dropping-particle":"","parse-names":false,"suffix":""},{"dropping-particle":"","family":"Bugger","given":"Heiko","non-dropping-particle":"","parse-names":false,"suffix":""},{"dropping-particle":"","family":"Clarke","given":"Kieran","non-dropping-particle":"","parse-names":false,"suffix":""},{"dropping-particle":"","family":"Cosentino","given":"Francesco","non-dropping-particle":"","parse-names":false,"suffix":""},{"dropping-particle":"","family":"Keulenaer","given":"Gilles","non-dropping-particle":"De","parse-names":false,"suffix":""},{"dropping-particle":"","family":"Cas","given":"Alessandra Dei Dei","non-dropping-particle":"","parse-names":false,"suffix":""},{"dropping-particle":"","family":"González","given":"Arantxa","non-dropping-particle":"","parse-names":false,"suffix":""},{"dropping-particle":"","family":"Huelsmann","given":"Martin","non-dropping-particle":"","parse-names":false,"suffix":""},{"dropping-particle":"","family":"Iaccarino","given":"Guido","non-dropping-particle":"","parse-names":false,"suffix":""},{"dropping-particle":"","family":"Lunde","given":"Ida Gjervold Gjervold","non-dropping-particle":"","parse-names":false,"suffix":""},{"dropping-particle":"","family":"Lyon","given":"Alexander R. R.","non-dropping-particle":"","parse-names":false,"suffix":""},{"dropping-particle":"","family":"Pollesello","given":"Piero","non-dropping-particle":"","parse-names":false,"suffix":""},{"dropping-particle":"","family":"Rena","given":"Graham","non-dropping-particle":"","parse-names":false,"suffix":""},{"dropping-particle":"","family":"Riksen","given":"Niels P. P.","non-dropping-particle":"","parse-names":false,"suffix":""},{"dropping-particle":"","family":"Rosano","given":"Giuseppe","non-dropping-particle":"","parse-names":false,"suffix":""},{"dropping-particle":"","family":"Staels","given":"Bart","non-dropping-particle":"","parse-names":false,"suffix":""},{"dropping-particle":"","family":"Laake","given":"Linda W. W.","non-dropping-particle":"Van","parse-names":false,"suffix":""},{"dropping-particle":"","family":"Wanner","given":"Christoph","non-dropping-particle":"","parse-names":false,"suffix":""},{"dropping-particle":"","family":"Farmakis","given":"Dimitrios","non-dropping-particle":"","parse-names":false,"suffix":""},{"dropping-particle":"","family":"Filippatos","given":"Gerasimos","non-dropping-particle":"","parse-names":false,"suffix":""},{"dropping-particle":"","family":"Ruschitzka","given":"Frank","non-dropping-particle":"","parse-names":false,"suffix":""},{"dropping-particle":"","family":"Seferovic","given":"Petar","non-dropping-particle":"","parse-names":false,"suffix":""},{"dropping-particle":"","family":"Boer","given":"Rudolf A. A.","non-dropping-particle":"De","parse-names":false,"suffix":""},{"dropping-particle":"","family":"Heymans","given":"Stephane","non-dropping-particle":"","parse-names":false,"suffix":""}],"container-title":"European Heart Journal","id":"ITEM-1","issue":"48","issued":{"date-parts":[["2018"]]},"page":"4243-4254","title":"Heart failure and diabetes: Metabolic alterations and therapeutic interventions: A state-of-The-Art review from the Translational Research Committee of the Heart Failure Association-European Society of Cardiology","type":"article-journal","volume":"39"},"uris":["http://www.mendeley.com/documents/?uuid=09c23ef8-0dac-4dba-82b8-3aa1c7e28443"]}],"mendeley":{"formattedCitation":"(15)","plainTextFormattedCitation":"(15)","previouslyFormattedCitation":"(15)"},"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(15)</w:t>
      </w:r>
      <w:r w:rsidR="000F3AD7"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w:t>
      </w:r>
      <w:r w:rsidR="004D4E8B" w:rsidRPr="004661E9">
        <w:rPr>
          <w:rFonts w:ascii="Arial" w:hAnsi="Arial" w:cs="Arial"/>
        </w:rPr>
        <w:t>D</w:t>
      </w:r>
      <w:r w:rsidR="00A36DE2" w:rsidRPr="004661E9">
        <w:rPr>
          <w:rFonts w:ascii="Arial" w:hAnsi="Arial" w:cs="Arial"/>
        </w:rPr>
        <w:t>iabetes</w:t>
      </w:r>
      <w:r w:rsidR="00CF253F" w:rsidRPr="004661E9">
        <w:rPr>
          <w:rFonts w:ascii="Arial" w:hAnsi="Arial" w:cs="Arial"/>
        </w:rPr>
        <w:t xml:space="preserve"> induce</w:t>
      </w:r>
      <w:r w:rsidR="004D4E8B" w:rsidRPr="004661E9">
        <w:rPr>
          <w:rFonts w:ascii="Arial" w:hAnsi="Arial" w:cs="Arial"/>
        </w:rPr>
        <w:t>s</w:t>
      </w:r>
      <w:r w:rsidR="00CF253F" w:rsidRPr="004661E9">
        <w:rPr>
          <w:rFonts w:ascii="Arial" w:hAnsi="Arial" w:cs="Arial"/>
        </w:rPr>
        <w:t xml:space="preserve"> </w:t>
      </w:r>
      <w:r w:rsidR="0015065B" w:rsidRPr="004661E9">
        <w:rPr>
          <w:rFonts w:ascii="Arial" w:hAnsi="Arial" w:cs="Arial"/>
        </w:rPr>
        <w:t xml:space="preserve">the </w:t>
      </w:r>
      <w:r w:rsidR="00CF253F" w:rsidRPr="004661E9">
        <w:rPr>
          <w:rFonts w:ascii="Arial" w:hAnsi="Arial" w:cs="Arial"/>
        </w:rPr>
        <w:t>deposition of AGEs in the endothelial and smooth muscle cells of the myocardial microvasculature</w:t>
      </w:r>
      <w:r w:rsidR="00417E22"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{"citationItems":[{"id":"ITEM-1","itemData":{"DOI":"10.1161/CIRCULATIONAHA.111.025270","ISSN":"1524-4539","PMID":"21844073","abstract":"BACKGROUND Aortic stenosis (AS) and diabetes mellitus (DM) are frequent comorbidities in aging populations. In heart failure, DM worsens diastolic left ventricular (LV) dysfunction, thereby adversely affecting symptoms and prognosis. Effects of DM on diastolic LV function were therefore assessed in aortic stenosis, and underlying myocardial mechanisms were identified. METHODS AND RESULTS Patients referred for aortic valve replacement were subdivided into patients with AS and no DM (AS; n=46) and patients with AS and DM (AS-DM; n=16). Preoperative Doppler echocardiography and hemodynamics were implemented with perioperative LV biopsies. Histomorphometry and immunohistochemistry quantified myocardial collagen volume fraction and myocardial advanced glycation end product deposition. Isolated cardiomyocytes were stretched to 2.2-μm sarcomere length to measure resting tension (F(passive)). Expression and phosphorylation of titin isoforms were analyzed with gel electrophoresis with ProQ Diamond and SYPRO Ruby stains. Reduced LV end-diastolic distensibility in AS-DM was evident from higher LV end-diastolic pressure (21±1 mm Hg for AS versus 28±4 mm Hg for AS-DM; P=0.04) at comparable LV end-diastolic volume index and attributed to higher myocardial collagen volume fraction (AS, 12.9±1.1% versus AS-DM, 18.2±2.6%; P&lt;0.001), more advanced glycation end product deposition in arterioles, venules, and capillaries (AS, 14.4±2.1 score per 1 mm(2) versus AS-DM, 31.4±6.1 score per 1 mm2; P=0.03), and higher F(passive) (AS, 3.5±1.7 kN/m2 versus AS-DM, 5.1±0.7 kN/m2; P=0.04). Significant hypophosphorylation of the stiff N2B titin isoform in AS-DM explained the higher F(passive) and normalization of F(passive) after in vitro treatment with protein kinase A. CONCLUSIONS Worse diastolic LV dysfunction in AS-DM predisposes to heart failure and results from more myocardial fibrosis, more intramyocardial vascular advanced glycation end product deposition, and higher cardiomyocyte F(passive), which was related to hypophosphorylation of the N2B titin isoform.","author":[{"dropping-particle":"","family":"Falcão-Pires","given":"Inês","non-dropping-particle":"","parse-names":false,"suffix":""},{"dropping-particle":"","family":"Hamdani","given":"Nazha","non-dropping-particle":"","parse-names":false,"suffix":""},{"dropping-particle":"","family":"Borbély","given":"Attila","non-dropping-particle":"","parse-names":false,"suffix":""},{"dropping-particle":"","family":"Gavina","given":"Cristina","non-dropping-particle":"","parse-names":false,"suffix":""},{"dropping-particle":"","family":"Schalkwijk","given":"Casper G","non-dropping-particle":"","parse-names":false,"suffix":""},{"dropping-particle":"","family":"Velden","given":"Jolanda","non-dropping-particle":"van der","parse-names":false,"suffix":""},{"dropping-particle":"","family":"Heerebeek","given":"Loek","non-dropping-particle":"van","parse-names":false,"suffix":""},{"dropping-particle":"","family":"Stienen","given":"Ger J M","non-dropping-particle":"","parse-names":false,"suffix":""},{"dropping-particle":"","family":"Niessen","given":"Hans W M","non-dropping-particle":"","parse-names":false,"suffix":""},{"dropping-particle":"","family":"Leite-Moreira","given":"Adelino F","non-dropping-particle":"","parse-names":false,"suffix":""},{"dropping-particle":"","family":"Paulus","given":"Walter J","non-dropping-particle":"","parse-names":false,"suffix":""}],"container-title":"Circulation","id":"ITEM-1","issue":"10","issued":{"date-parts":[["2011","9","6"]]},"page":"1151-9","title":"Diabetes mellitus worsens diastolic left ventricular dysfunction in aortic stenosis through altered myocardial structure and cardiomyocyte stiffness.","type":"article-journal","volume":"124"},"uris":["http://www.mendeley.com/documents/?uuid=e4f01c01-8a69-3884-ba87-6866cbde512c"]}],"mendeley":{"formattedCitation":"(92)","plainTextFormattedCitation":"(92)","previouslyFormattedCitation":"(92)"},"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(92)</w:t>
      </w:r>
      <w:r w:rsidR="000F3AD7" w:rsidRPr="004661E9">
        <w:rPr>
          <w:rFonts w:ascii="Arial" w:hAnsi="Arial" w:cs="Arial"/>
        </w:rPr>
        <w:fldChar w:fldCharType="end"/>
      </w:r>
      <w:r w:rsidR="00417E22" w:rsidRPr="004661E9">
        <w:rPr>
          <w:rFonts w:ascii="Arial" w:hAnsi="Arial" w:cs="Arial"/>
        </w:rPr>
        <w:t>.</w:t>
      </w:r>
      <w:r w:rsidR="00CF253F" w:rsidRPr="004661E9">
        <w:rPr>
          <w:rFonts w:ascii="Arial" w:hAnsi="Arial" w:cs="Arial"/>
        </w:rPr>
        <w:t xml:space="preserve"> </w:t>
      </w:r>
      <w:r w:rsidR="00A17C81" w:rsidRPr="004661E9">
        <w:rPr>
          <w:rFonts w:ascii="Arial" w:hAnsi="Arial" w:cs="Arial"/>
        </w:rPr>
        <w:t>Furthermore,</w:t>
      </w:r>
      <w:r w:rsidR="00CF253F" w:rsidRPr="004661E9">
        <w:rPr>
          <w:rFonts w:ascii="Arial" w:hAnsi="Arial" w:cs="Arial"/>
        </w:rPr>
        <w:t xml:space="preserve"> the </w:t>
      </w:r>
      <w:r w:rsidR="004D4E8B" w:rsidRPr="004661E9">
        <w:rPr>
          <w:rFonts w:ascii="Arial" w:hAnsi="Arial" w:cs="Arial"/>
        </w:rPr>
        <w:t xml:space="preserve">deposition of </w:t>
      </w:r>
      <w:r w:rsidR="00CF253F" w:rsidRPr="004661E9">
        <w:rPr>
          <w:rFonts w:ascii="Arial" w:hAnsi="Arial" w:cs="Arial"/>
        </w:rPr>
        <w:t>AGEs triggers vascular inflammation</w:t>
      </w:r>
      <w:r w:rsidR="00A17C81" w:rsidRPr="004661E9">
        <w:rPr>
          <w:rFonts w:ascii="Arial" w:hAnsi="Arial" w:cs="Arial"/>
        </w:rPr>
        <w:t>,</w:t>
      </w:r>
      <w:r w:rsidR="00CF253F" w:rsidRPr="004661E9">
        <w:rPr>
          <w:rFonts w:ascii="Arial" w:hAnsi="Arial" w:cs="Arial"/>
        </w:rPr>
        <w:t xml:space="preserve"> which reduces endothelial </w:t>
      </w:r>
      <w:r w:rsidR="00532911" w:rsidRPr="004661E9">
        <w:rPr>
          <w:rFonts w:ascii="Arial" w:hAnsi="Arial" w:cs="Arial"/>
        </w:rPr>
        <w:t>nitric oxide</w:t>
      </w:r>
      <w:r w:rsidR="00CF253F" w:rsidRPr="004661E9">
        <w:rPr>
          <w:rFonts w:ascii="Arial" w:hAnsi="Arial" w:cs="Arial"/>
        </w:rPr>
        <w:t xml:space="preserve"> production. </w:t>
      </w:r>
      <w:r w:rsidR="00543EDD" w:rsidRPr="004661E9">
        <w:rPr>
          <w:rFonts w:ascii="Arial" w:hAnsi="Arial" w:cs="Arial"/>
        </w:rPr>
        <w:t>Low myocardial nitric oxide bioavailability levels</w:t>
      </w:r>
      <w:r w:rsidR="00CF253F" w:rsidRPr="004661E9">
        <w:rPr>
          <w:rFonts w:ascii="Arial" w:hAnsi="Arial" w:cs="Arial"/>
        </w:rPr>
        <w:t xml:space="preserve"> predispose to </w:t>
      </w:r>
      <w:r w:rsidR="00AB68BC" w:rsidRPr="004661E9">
        <w:rPr>
          <w:rFonts w:ascii="Arial" w:hAnsi="Arial" w:cs="Arial"/>
        </w:rPr>
        <w:t>concentric LV remodeling and diastolic dysfunction</w:t>
      </w:r>
      <w:r w:rsidR="00417E22"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{"citationItems":[{"id":"ITEM-1","itemData":{"DOI":"10.1093/eurheartj/ehv134","ISSN":"15229645","abstract":"Diabetes mellitus-related cardiomyopathy (DMCMP) was originally described as a dilated phenotype with eccentric left ventricular (LV) remodelling and systolic LV dysfunction. Recently however, clinical studies on DMCMP mainly describe a restrictive phenotype with concentric LV remodelling and diastolic LV dysfunction. Both phenotypes are not successive stages of DMCMP but evolve independently to respectively heart failure with preserved left ventricular ejection fraction (HFPEF) or reduced left ventricular ejection fraction (HFREF). Phenotype-specific pathophysiological mechanisms were recently proposed for LV remodelling and dysfunction in HFPEF and HFREF consisting of coronary microvascular endothelial dysfunction in HFPEF and cardiomyocyte cell death in HFREF. A similar preferential involvement of endothelial or cardiomyocyte cell compartments explains DMCMP development into distinct restrictive/HFPEF or dilated/HFREF phenotypes. Diabetes mellitus (DM)-related metabolic derangements such as hyperglycaemia, lipotoxicity, and hyperinsulinaemia favour development of DMCMP with restrictive/HFPEF phenotype, which is more prevalent in obese type 2 DM patients. In contrast, autoimmunity predisposes to a dilated/HFREF phenotype, which manifests itself more in autoimmune-prone type 1 DM patients. Finally, coronary microvascular rarefaction and advanced glycation end-products deposition are relevant to both phenotypes. Diagnosis of DMCMP requires impaired glucose metabolism and exclusion of coronary, valvular, hypertensive, or congenital heart disease and of viral, toxic, familial, or infiltrative cardiomyopathy. In addition, diagnosis of DMCMP with restrictive/HFPEF phenotype requires normal systolic LV function and diastolic LV dysfunction, whereas diagnosis of DMCMP with dilated/HFREF phenotype requires systolic LV dysfunction. Treatment of DMCMP with restrictive/HFPEF phenotype is limited to diuretics and lifestyle modification, whereas DMCMP with dilated/HFREF phenotype is treated in accordance to HF guidelines.","author":[{"dropping-particle":"","family":"Seferović","given":"Petar M.","non-dropping-particle":"","parse-names":false,"suffix":""},{"dropping-particle":"","family":"Paulus","given":"Walter J.","non-dropping-particle":"","parse-names":false,"suffix":""}],"container-title":"European Heart Journal","id":"ITEM-1","issue":"27","issued":{"date-parts":[["2015"]]},"page":"1718-1727","title":"Clinical diabetic cardiomyopathy: A two-faced disease with restrictive and dilated phenotypes","type":"article-journal","volume":"36"},"uris":["http://www.mendeley.com/documents/?uuid=34545fe8-79a9-4e76-a440-d9c8434b0a51"]}],"mendeley":{"formattedCitation":"(38)","plainTextFormattedCitation":"(38)","previouslyFormattedCitation":"(38)"},"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(38)</w:t>
      </w:r>
      <w:r w:rsidR="000F3AD7" w:rsidRPr="004661E9">
        <w:rPr>
          <w:rFonts w:ascii="Arial" w:hAnsi="Arial" w:cs="Arial"/>
        </w:rPr>
        <w:fldChar w:fldCharType="end"/>
      </w:r>
      <w:r w:rsidR="00417E22" w:rsidRPr="004661E9">
        <w:rPr>
          <w:rFonts w:ascii="Arial" w:hAnsi="Arial" w:cs="Arial"/>
        </w:rPr>
        <w:t>.</w:t>
      </w:r>
      <w:r w:rsidR="00AB68BC" w:rsidRPr="004661E9">
        <w:rPr>
          <w:rFonts w:ascii="Arial" w:hAnsi="Arial" w:cs="Arial"/>
        </w:rPr>
        <w:t xml:space="preserve"> </w:t>
      </w:r>
      <w:r w:rsidR="004D4E8B" w:rsidRPr="004661E9">
        <w:rPr>
          <w:rFonts w:ascii="Arial" w:hAnsi="Arial" w:cs="Arial"/>
        </w:rPr>
        <w:t>D</w:t>
      </w:r>
      <w:r w:rsidR="00A36DE2" w:rsidRPr="004661E9">
        <w:rPr>
          <w:rFonts w:ascii="Arial" w:hAnsi="Arial" w:cs="Arial"/>
        </w:rPr>
        <w:t>iabetes</w:t>
      </w:r>
      <w:r w:rsidR="00AB68BC" w:rsidRPr="004661E9">
        <w:rPr>
          <w:rFonts w:ascii="Arial" w:hAnsi="Arial" w:cs="Arial"/>
        </w:rPr>
        <w:t xml:space="preserve"> has</w:t>
      </w:r>
      <w:r w:rsidR="004D4E8B" w:rsidRPr="004661E9">
        <w:rPr>
          <w:rFonts w:ascii="Arial" w:hAnsi="Arial" w:cs="Arial"/>
        </w:rPr>
        <w:t xml:space="preserve"> also</w:t>
      </w:r>
      <w:r w:rsidR="00AB68BC" w:rsidRPr="004661E9">
        <w:rPr>
          <w:rFonts w:ascii="Arial" w:hAnsi="Arial" w:cs="Arial"/>
        </w:rPr>
        <w:t xml:space="preserve"> been </w:t>
      </w:r>
      <w:r w:rsidR="003934BD" w:rsidRPr="004661E9">
        <w:rPr>
          <w:rFonts w:ascii="Arial" w:hAnsi="Arial" w:cs="Arial"/>
        </w:rPr>
        <w:t>linked to</w:t>
      </w:r>
      <w:r w:rsidR="00AB68BC" w:rsidRPr="004661E9">
        <w:rPr>
          <w:rFonts w:ascii="Arial" w:hAnsi="Arial" w:cs="Arial"/>
        </w:rPr>
        <w:t xml:space="preserve"> capillary rarefaction and pericyte loss</w:t>
      </w:r>
      <w:r w:rsidR="005F3EF4" w:rsidRPr="004661E9">
        <w:rPr>
          <w:rFonts w:ascii="Arial" w:hAnsi="Arial" w:cs="Arial"/>
        </w:rPr>
        <w:t>. Microcirculatory rarefaction can impair myocardial perfusion, reduce coronary flow reserve</w:t>
      </w:r>
      <w:r w:rsidR="00A17C81" w:rsidRPr="004661E9">
        <w:rPr>
          <w:rFonts w:ascii="Arial" w:hAnsi="Arial" w:cs="Arial"/>
        </w:rPr>
        <w:t>,</w:t>
      </w:r>
      <w:r w:rsidR="005F3EF4" w:rsidRPr="004661E9">
        <w:rPr>
          <w:rFonts w:ascii="Arial" w:hAnsi="Arial" w:cs="Arial"/>
        </w:rPr>
        <w:t xml:space="preserve"> lead to</w:t>
      </w:r>
      <w:r w:rsidR="00197EA6" w:rsidRPr="004661E9">
        <w:rPr>
          <w:rFonts w:ascii="Arial" w:hAnsi="Arial" w:cs="Arial"/>
        </w:rPr>
        <w:t xml:space="preserve"> tissue hypoxia, increase </w:t>
      </w:r>
      <w:r w:rsidR="00AB68BC" w:rsidRPr="004661E9">
        <w:rPr>
          <w:rFonts w:ascii="Arial" w:hAnsi="Arial" w:cs="Arial"/>
        </w:rPr>
        <w:t>myocardial stiffness</w:t>
      </w:r>
      <w:r w:rsidR="00A17C81" w:rsidRPr="004661E9">
        <w:rPr>
          <w:rFonts w:ascii="Arial" w:hAnsi="Arial" w:cs="Arial"/>
        </w:rPr>
        <w:t>,</w:t>
      </w:r>
      <w:r w:rsidR="00AB68BC" w:rsidRPr="004661E9">
        <w:rPr>
          <w:rFonts w:ascii="Arial" w:hAnsi="Arial" w:cs="Arial"/>
        </w:rPr>
        <w:t xml:space="preserve"> and decrease contractility</w:t>
      </w:r>
      <w:r w:rsidR="00417E22"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{"citationItems":[{"id":"ITEM-1","itemData":{"DOI":"10.1016/j.jacc.2016.10.058","ISSN":"15583597","abstract":"Background Diabetes mellitus causes microcirculatory rarefaction and may impair the responsiveness of ischemic myocardium to proangiogenic factors. Objectives This study sought to determine whether microvascular destabilization affects organ function and therapeutic neovascularization in diabetes mellitus. Methods The authors obtained myocardial samples from patients with end-stage heart failure at time of transplant, with or without diabetes mellitus. Diabetic (db) and wild-type (wt) pigs were used to analyze myocardial vascularization and function. Chronic ischemia was induced percutaneously (day 0) in the circumflex artery. At day 28, recombinant adeno-associated virus (rAAV) (5 × 1012 viral particles encoding vascular endothelial growth factor-A [VEGF-A] or thymosin beta 4 [Tβ4]) was applied regionally. CD31+ capillaries per high power field (c/hpf) and NG2+ pericyte coverage were analyzed. Global myocardial function (ejection fraction [EF] and left ventricular end-diastolic pressure) was assessed at days 28 and 56. Results Diabetic human myocardial explants revealed capillary rarefaction and pericyte loss compared to nondiabetic explants. Hyperglycemia in db pigs, even without ischemia, induced capillary rarefaction in the myocardium (163 ± 14 c/hpf in db vs. 234 ± 8 c/hpf in wt hearts; p &lt; 0.005), concomitant with a distinct loss of EF (44.9% vs. 53.4% in nondiabetic controls; p &lt; 0.05). Capillary density further decreased in chronic ischemic hearts, as did EF (both p &lt; 0.05). Treatment with rAAV.Tβ4 enhanced capillary density and maturation in db hearts less efficiently than in wt hearts, similar to collateral growth. rAAV.VEGF-A, though stimulating angiogenesis, induced neither pericyte recruitment nor collateral growth. As a result, rAAV.Tβ4 but not rAAV.VEGF-A improved EF in db hearts (34.5 ± 1.4%), but less so than in wt hearts (44.8 ± 1.5%). Conclusions Diabetes mellitus destabilized microvascular vessels of the heart, affecting the amplitude of therapeutic neovascularization via rAAV.Tβ4 in a translational large animal model of hibernating myocardium.","author":[{"dropping-particle":"","family":"Hinkel","given":"Rabea","non-dropping-particle":"","parse-names":false,"suffix":""},{"dropping-particle":"","family":"Hoewe","given":"Andrea","non-dropping-particle":"","parse-names":false,"suffix":""},{"dropping-particle":"","family":"Renner","given":"Simone","non-dropping-particle":"","parse-names":false,"suffix":""},{"dropping-particle":"","family":"Ng","given":"Judy","non-dropping-particle":"","parse-names":false,"suffix":""},{"dropping-particle":"","family":"Lee","given":"Seungmin","non-dropping-particle":"","parse-names":false,"suffix":""},{"dropping-particle":"","family":"Klett","given":"Katharina","non-dropping-particle":"","parse-names":false,"suffix":""},{"dropping-particle":"","family":"Kaczmarek","given":"Veronika","non-dropping-particle":"","parse-names":false,"suffix":""},{"dropping-particle":"","family":"Moretti","given":"Alessandra","non-dropping-particle":"","parse-names":false,"suffix":""},{"dropping-particle":"","family":"Laugwitz","given":"Karl Ludwig","non-dropping-particle":"","parse-names":false,"suffix":""},{"dropping-particle":"","family":"Skroblin","given":"Philipp","non-dropping-particle":"","parse-names":false,"suffix":""},{"dropping-particle":"","family":"Mayr","given":"Manuel","non-dropping-particle":"","parse-names":false,"suffix":""},{"dropping-particle":"","family":"Milting","given":"Hendrik","non-dropping-particle":"","parse-names":false,"suffix":""},{"dropping-particle":"","family":"Dendorfer","given":"Andreas","non-dropping-particle":"","parse-names":false,"suffix":""},{"dropping-particle":"","family":"Reichart","given":"Bruno","non-dropping-particle":"","parse-names":false,"suffix":""},{"dropping-particle":"","family":"Wolf","given":"Eckhard","non-dropping-particle":"","parse-names":false,"suffix":""},{"dropping-particle":"","family":"Kupatt","given":"Christian","non-dropping-particle":"","parse-names":false,"suffix":""}],"container-title":"Journal of the American College of Cardiology","id":"ITEM-1","issue":"2","issued":{"date-parts":[["2017","1","17"]]},"page":"131-143","publisher":"Elsevier USA","title":"Diabetes Mellitus–Induced Microvascular Destabilization in the Myocardium","type":"article-journal","volume":"69"},"uris":["http://www.mendeley.com/documents/?uuid=cb801c99-e9a7-350e-a7bb-663ecb0ec450"]},{"id":"ITEM-2","itemData":{"DOI":"10.1093/eurheartj/ehv134","ISSN":"15229645","abstract":"Diabetes mellitus-related cardiomyopathy (DMCMP) was originally described as a dilated phenotype with eccentric left ventricular (LV) remodelling and systolic LV dysfunction. Recently however, clinical studies on DMCMP mainly describe a restrictive phenotype with concentric LV remodelling and diastolic LV dysfunction. Both phenotypes are not successive stages of DMCMP but evolve independently to respectively heart failure with preserved left ventricular ejection fraction (HFPEF) or reduced left ventricular ejection fraction (HFREF). Phenotype-specific pathophysiological mechanisms were recently proposed for LV remodelling and dysfunction in HFPEF and HFREF consisting of coronary microvascular endothelial dysfunction in HFPEF and cardiomyocyte cell death in HFREF. A similar preferential involvement of endothelial or cardiomyocyte cell compartments explains DMCMP development into distinct restrictive/HFPEF or dilated/HFREF phenotypes. Diabetes mellitus (DM)-related metabolic derangements such as hyperglycaemia, lipotoxicity, and hyperinsulinaemia favour development of DMCMP with restrictive/HFPEF phenotype, which is more prevalent in obese type 2 DM patients. In contrast, autoimmunity predisposes to a dilated/HFREF phenotype, which manifests itself more in autoimmune-prone type 1 DM patients. Finally, coronary microvascular rarefaction and advanced glycation end-products deposition are relevant to both phenotypes. Diagnosis of DMCMP requires impaired glucose metabolism and exclusion of coronary, valvular, hypertensive, or congenital heart disease and of viral, toxic, familial, or infiltrative cardiomyopathy. In addition, diagnosis of DMCMP with restrictive/HFPEF phenotype requires normal systolic LV function and diastolic LV dysfunction, whereas diagnosis of DMCMP with dilated/HFREF phenotype requires systolic LV dysfunction. Treatment of DMCMP with restrictive/HFPEF phenotype is limited to diuretics and lifestyle modification, whereas DMCMP with dilated/HFREF phenotype is treated in accordance to HF guidelines.","author":[{"dropping-particle":"","family":"Seferović","given":"Petar M.","non-dropping-particle":"","parse-names":false,"suffix":""},{"dropping-particle":"","family":"Paulus","given":"Walter J.","non-dropping-particle":"","parse-names":false,"suffix":""}],"container-title":"European Heart Journal","id":"ITEM-2","issue":"27","issued":{"date-parts":[["2015"]]},"page":"1718-1727","title":"Clinical diabetic cardiomyopathy: A two-faced disease with restrictive and dilated phenotypes","type":"article-journal","volume":"36"},"uris":["http://www.mendeley.com/documents/?uuid=34545fe8-79a9-4e76-a440-d9c8434b0a51"]}],"mendeley":{"formattedCitation":"(38,93)","plainTextFormattedCitation":"(38,93)","previouslyFormattedCitation":"(38,93)"},"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(38,93)</w:t>
      </w:r>
      <w:r w:rsidR="000F3AD7" w:rsidRPr="004661E9">
        <w:rPr>
          <w:rFonts w:ascii="Arial" w:hAnsi="Arial" w:cs="Arial"/>
        </w:rPr>
        <w:fldChar w:fldCharType="end"/>
      </w:r>
      <w:r w:rsidR="00417E22" w:rsidRPr="004661E9">
        <w:rPr>
          <w:rFonts w:ascii="Arial" w:hAnsi="Arial" w:cs="Arial"/>
        </w:rPr>
        <w:t>.</w:t>
      </w:r>
      <w:r w:rsidR="002C6814" w:rsidRPr="004661E9">
        <w:rPr>
          <w:rFonts w:ascii="Arial" w:hAnsi="Arial" w:cs="Arial"/>
        </w:rPr>
        <w:t xml:space="preserve"> </w:t>
      </w:r>
    </w:p>
    <w:p w14:paraId="7951C19D" w14:textId="593D4AAA" w:rsidR="00451B55" w:rsidRPr="004661E9" w:rsidRDefault="00AB68BC" w:rsidP="004661E9">
      <w:pPr>
        <w:spacing w:after="0" w:line="276" w:lineRule="auto"/>
        <w:rPr>
          <w:rFonts w:ascii="Arial" w:hAnsi="Arial" w:cs="Arial"/>
        </w:rPr>
      </w:pPr>
      <w:r w:rsidRPr="004661E9">
        <w:rPr>
          <w:rFonts w:ascii="Arial" w:hAnsi="Arial" w:cs="Arial"/>
        </w:rPr>
        <w:t xml:space="preserve">  </w:t>
      </w:r>
      <w:r w:rsidR="00CF253F" w:rsidRPr="004661E9">
        <w:rPr>
          <w:rFonts w:ascii="Arial" w:hAnsi="Arial" w:cs="Arial"/>
        </w:rPr>
        <w:t xml:space="preserve"> </w:t>
      </w:r>
    </w:p>
    <w:p w14:paraId="507DA97B" w14:textId="77777777" w:rsidR="00451B55" w:rsidRPr="004661E9" w:rsidRDefault="00451B55" w:rsidP="004661E9">
      <w:pPr>
        <w:spacing w:after="0" w:line="276" w:lineRule="auto"/>
        <w:rPr>
          <w:rFonts w:ascii="Arial" w:hAnsi="Arial" w:cs="Arial"/>
          <w:b/>
          <w:bCs/>
          <w:color w:val="00B050"/>
        </w:rPr>
      </w:pPr>
      <w:r w:rsidRPr="004661E9">
        <w:rPr>
          <w:rFonts w:ascii="Arial" w:hAnsi="Arial" w:cs="Arial"/>
          <w:b/>
          <w:bCs/>
          <w:color w:val="00B050"/>
        </w:rPr>
        <w:t>Inflammation</w:t>
      </w:r>
    </w:p>
    <w:p w14:paraId="62AF9126" w14:textId="77777777" w:rsidR="00417E22" w:rsidRPr="004661E9" w:rsidRDefault="00417E22" w:rsidP="004661E9">
      <w:pPr>
        <w:spacing w:after="0" w:line="276" w:lineRule="auto"/>
        <w:rPr>
          <w:rFonts w:ascii="Arial" w:hAnsi="Arial" w:cs="Arial"/>
        </w:rPr>
      </w:pPr>
    </w:p>
    <w:p w14:paraId="5D197136" w14:textId="035B43E9" w:rsidR="008D5195" w:rsidRPr="004661E9" w:rsidRDefault="00197EA6" w:rsidP="004661E9">
      <w:pPr>
        <w:spacing w:after="0" w:line="276" w:lineRule="auto"/>
        <w:rPr>
          <w:rFonts w:ascii="Arial" w:hAnsi="Arial" w:cs="Arial"/>
        </w:rPr>
      </w:pPr>
      <w:r w:rsidRPr="004661E9">
        <w:rPr>
          <w:rFonts w:ascii="Arial" w:hAnsi="Arial" w:cs="Arial"/>
        </w:rPr>
        <w:t xml:space="preserve">Systemic inflammation </w:t>
      </w:r>
      <w:r w:rsidR="003C75B4" w:rsidRPr="004661E9">
        <w:rPr>
          <w:rFonts w:ascii="Arial" w:hAnsi="Arial" w:cs="Arial"/>
        </w:rPr>
        <w:t>is</w:t>
      </w:r>
      <w:r w:rsidRPr="004661E9">
        <w:rPr>
          <w:rFonts w:ascii="Arial" w:hAnsi="Arial" w:cs="Arial"/>
        </w:rPr>
        <w:t xml:space="preserve"> a central component of the association between obesity, </w:t>
      </w:r>
      <w:r w:rsidR="00A36DE2" w:rsidRPr="004661E9">
        <w:rPr>
          <w:rFonts w:ascii="Arial" w:hAnsi="Arial" w:cs="Arial"/>
        </w:rPr>
        <w:t>diabetes</w:t>
      </w:r>
      <w:r w:rsidRPr="004661E9">
        <w:rPr>
          <w:rFonts w:ascii="Arial" w:hAnsi="Arial" w:cs="Arial"/>
        </w:rPr>
        <w:t xml:space="preserve">, </w:t>
      </w:r>
      <w:r w:rsidR="007D4B33" w:rsidRPr="004661E9">
        <w:rPr>
          <w:rFonts w:ascii="Arial" w:hAnsi="Arial" w:cs="Arial"/>
        </w:rPr>
        <w:t>CAD</w:t>
      </w:r>
      <w:r w:rsidRPr="004661E9">
        <w:rPr>
          <w:rFonts w:ascii="Arial" w:hAnsi="Arial" w:cs="Arial"/>
        </w:rPr>
        <w:t>, and HF</w:t>
      </w:r>
      <w:r w:rsidR="00417E22"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(34)</w:t>
      </w:r>
      <w:r w:rsidR="000F3AD7" w:rsidRPr="004661E9">
        <w:rPr>
          <w:rFonts w:ascii="Arial" w:hAnsi="Arial" w:cs="Arial"/>
        </w:rPr>
        <w:fldChar w:fldCharType="end"/>
      </w:r>
      <w:r w:rsidR="00417E22" w:rsidRPr="004661E9">
        <w:rPr>
          <w:rFonts w:ascii="Arial" w:hAnsi="Arial" w:cs="Arial"/>
        </w:rPr>
        <w:t>.</w:t>
      </w:r>
      <w:r w:rsidRPr="004661E9">
        <w:rPr>
          <w:rFonts w:ascii="Arial" w:hAnsi="Arial" w:cs="Arial"/>
        </w:rPr>
        <w:t xml:space="preserve"> In individuals with obesity, the exp</w:t>
      </w:r>
      <w:r w:rsidR="003C75B4" w:rsidRPr="004661E9">
        <w:rPr>
          <w:rFonts w:ascii="Arial" w:hAnsi="Arial" w:cs="Arial"/>
        </w:rPr>
        <w:t>a</w:t>
      </w:r>
      <w:r w:rsidRPr="004661E9">
        <w:rPr>
          <w:rFonts w:ascii="Arial" w:hAnsi="Arial" w:cs="Arial"/>
        </w:rPr>
        <w:t xml:space="preserve">nding adipose tissue recruits immune cells </w:t>
      </w:r>
      <w:r w:rsidR="007E4DA9" w:rsidRPr="004661E9">
        <w:rPr>
          <w:rFonts w:ascii="Arial" w:hAnsi="Arial" w:cs="Arial"/>
        </w:rPr>
        <w:t xml:space="preserve">and causes </w:t>
      </w:r>
      <w:r w:rsidR="00C97981" w:rsidRPr="004661E9">
        <w:rPr>
          <w:rFonts w:ascii="Arial" w:hAnsi="Arial" w:cs="Arial"/>
        </w:rPr>
        <w:t>overproduction of proinflammatory cytokines</w:t>
      </w:r>
      <w:r w:rsidR="007E4DA9" w:rsidRPr="004661E9">
        <w:rPr>
          <w:rFonts w:ascii="Arial" w:hAnsi="Arial" w:cs="Arial"/>
        </w:rPr>
        <w:t>,</w:t>
      </w:r>
      <w:r w:rsidR="00C97981" w:rsidRPr="004661E9">
        <w:rPr>
          <w:rFonts w:ascii="Arial" w:hAnsi="Arial" w:cs="Arial"/>
        </w:rPr>
        <w:t xml:space="preserve"> </w:t>
      </w:r>
      <w:r w:rsidR="007E4DA9" w:rsidRPr="004661E9">
        <w:rPr>
          <w:rFonts w:ascii="Arial" w:hAnsi="Arial" w:cs="Arial"/>
        </w:rPr>
        <w:t>leading</w:t>
      </w:r>
      <w:r w:rsidR="00C97981" w:rsidRPr="004661E9">
        <w:rPr>
          <w:rFonts w:ascii="Arial" w:hAnsi="Arial" w:cs="Arial"/>
        </w:rPr>
        <w:t xml:space="preserve"> to obesity-</w:t>
      </w:r>
      <w:r w:rsidR="008907A7" w:rsidRPr="004661E9">
        <w:rPr>
          <w:rFonts w:ascii="Arial" w:hAnsi="Arial" w:cs="Arial"/>
        </w:rPr>
        <w:t>mediated</w:t>
      </w:r>
      <w:r w:rsidR="00C97981" w:rsidRPr="004661E9">
        <w:rPr>
          <w:rFonts w:ascii="Arial" w:hAnsi="Arial" w:cs="Arial"/>
        </w:rPr>
        <w:t xml:space="preserve"> chronic inflammation</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{"citationItems":[{"id":"ITEM-1","itemData":{"DOI":"10.1073/pnas.1215840110","ISBN":"1091-6490 (Electronic)\\r0027-8424 (Linking)","ISSN":"1091-6490","PMID":"23479618","abstract":"Patients with type 2 diabetes (T2D) have disease-associated changes in B-cell function, but the role these changes play in disease pathogenesis is not well established. Data herein show B cells from obese mice produce a proinflammatory cytokine profile compared with B cells from lean mice. Complementary in vivo studies show that obese B cell-null mice have decreased systemic inflammation, inflammatory B- and T-cell cytokines, adipose tissue inflammation, and insulin resistance (IR) compared with obese WT mice. Reduced inflammation in obese/insulin resistant B cell-null mice associates with an increased percentage of anti-inflammatory regulatory T cells (Tregs). This increase contrasts with the sharply decreased percentage of Tregs in obese compared with lean WT mice and suggests that B cells may be critical regulators of T-cell functions previously shown to play important roles in IR. We demonstrate that B cells from T2D (but not non-T2D) subjects support proinflammatory T-cell function in obesity/T2D through contact-dependent mechanisms. In contrast, human monocytes increase proinflammatory T-cell cytokines in both T2D and non-T2D analyses. These data support the conclusion that B cells are critical regulators of inflammation in T2D due to their direct ability to promote proinflammatory T-cell function and secrete a proinflammatory cytokine profile. Thus, B cells are potential therapeutic targets for T2D.","author":[{"dropping-particle":"","family":"DeFuria","given":"Jason","non-dropping-particle":"","parse-names":false,"suffix":""},{"dropping-particle":"","family":"Belkina","given":"Anna C","non-dropping-particle":"","parse-names":false,"suffix":""},{"dropping-particle":"","family":"Jagannathan-Bogdan","given":"Madhumita","non-dropping-particle":"","parse-names":false,"suffix":""},{"dropping-particle":"","family":"Snyder-Cappione","given":"Jennifer","non-dropping-particle":"","parse-names":false,"suffix":""},{"dropping-particle":"","family":"Carr","given":"Jordan David","non-dropping-particle":"","parse-names":false,"suffix":""},{"dropping-particle":"","family":"Nersesova","given":"Yanina R","non-dropping-particle":"","parse-names":false,"suffix":""},{"dropping-particle":"","family":"Markham","given":"Douglas","non-dropping-particle":"","parse-names":false,"suffix":""},{"dropping-particle":"","family":"Strissel","given":"Katherine J","non-dropping-particle":"","parse-names":false,"suffix":""},{"dropping-particle":"","family":"Watkins","given":"Amanda a","non-dropping-particle":"","parse-names":false,"suffix":""},{"dropping-particle":"","family":"Zhu","given":"Min","non-dropping-particle":"","parse-names":false,"suffix":""},{"dropping-particle":"","family":"Allen","given":"Jessica","non-dropping-particle":"","parse-names":false,"suffix":""},{"dropping-particle":"","family":"Bouchard","given":"Jacqueline","non-dropping-particle":"","parse-names":false,"suffix":""},{"dropping-particle":"","family":"Toraldo","given":"Gianluca","non-dropping-particle":"","parse-names":false,"suffix":""},{"dropping-particle":"","family":"Jasuja","given":"Ravi","non-dropping-particle":"","parse-names":false,"suffix":""},{"dropping-particle":"","family":"Obin","given":"Martin S","non-dropping-particle":"","parse-names":false,"suffix":""},{"dropping-particle":"","family":"McDonnell","given":"Marie E","non-dropping-particle":"","parse-names":false,"suffix":""},{"dropping-particle":"","family":"Apovian","given":"Caroline","non-dropping-particle":"","parse-names":false,"suffix":""},{"dropping-particle":"V","family":"Denis","given":"Gerald","non-dropping-particle":"","parse-names":false,"suffix":""},{"dropping-particle":"","family":"Nikolajczyk","given":"Barbara S","non-dropping-particle":"","parse-names":false,"suffix":""}],"container-title":"Proceedings of the National Academy of Sciences of the United States of America","id":"ITEM-1","issue":"13","issued":{"date-parts":[["2013"]]},"page":"5133-8","title":"B cells promote inflammation in obesity and type 2 diabetes through regulation of T-cell function and an inflammatory cytokine profile.","type":"article-journal","volume":"110"},"uris":["http://www.mendeley.com/documents/?uuid=98ca84c2-3030-4c7a-98bf-df4afc2d538f"]}],"mendeley":{"formattedCitation":"(94)","plainTextFormattedCitation":"(94)","previouslyFormattedCitation":"(94)"},"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(94)</w:t>
      </w:r>
      <w:r w:rsidR="000F3AD7" w:rsidRPr="004661E9">
        <w:rPr>
          <w:rFonts w:ascii="Arial" w:hAnsi="Arial" w:cs="Arial"/>
        </w:rPr>
        <w:fldChar w:fldCharType="end"/>
      </w:r>
      <w:r w:rsidR="008D5195" w:rsidRPr="004661E9">
        <w:rPr>
          <w:rFonts w:ascii="Arial" w:hAnsi="Arial" w:cs="Arial"/>
        </w:rPr>
        <w:t>.</w:t>
      </w:r>
      <w:r w:rsidR="00C97981" w:rsidRPr="004661E9">
        <w:rPr>
          <w:rFonts w:ascii="Arial" w:hAnsi="Arial" w:cs="Arial"/>
        </w:rPr>
        <w:t xml:space="preserve">  </w:t>
      </w:r>
      <w:r w:rsidR="00CE51CF" w:rsidRPr="004661E9">
        <w:rPr>
          <w:rFonts w:ascii="Arial" w:hAnsi="Arial" w:cs="Arial"/>
        </w:rPr>
        <w:t>C</w:t>
      </w:r>
      <w:r w:rsidR="00C97981" w:rsidRPr="004661E9">
        <w:rPr>
          <w:rFonts w:ascii="Arial" w:hAnsi="Arial" w:cs="Arial"/>
        </w:rPr>
        <w:t>hronic low-grade inflammation predisposes to IR and T2DM</w:t>
      </w:r>
      <w:r w:rsidR="00E52DB7" w:rsidRPr="004661E9">
        <w:rPr>
          <w:rFonts w:ascii="Arial" w:hAnsi="Arial" w:cs="Arial"/>
        </w:rPr>
        <w:t xml:space="preserve"> and </w:t>
      </w:r>
      <w:r w:rsidR="003C75B4" w:rsidRPr="004661E9">
        <w:rPr>
          <w:rFonts w:ascii="Arial" w:hAnsi="Arial" w:cs="Arial"/>
        </w:rPr>
        <w:t>contributes to</w:t>
      </w:r>
      <w:r w:rsidR="00E52DB7" w:rsidRPr="004661E9">
        <w:rPr>
          <w:rFonts w:ascii="Arial" w:hAnsi="Arial" w:cs="Arial"/>
        </w:rPr>
        <w:t xml:space="preserve"> </w:t>
      </w:r>
      <w:r w:rsidR="00A36DE2" w:rsidRPr="004661E9">
        <w:rPr>
          <w:rFonts w:ascii="Arial" w:hAnsi="Arial" w:cs="Arial"/>
        </w:rPr>
        <w:t>diabetes</w:t>
      </w:r>
      <w:r w:rsidR="00E52DB7" w:rsidRPr="004661E9">
        <w:rPr>
          <w:rFonts w:ascii="Arial" w:hAnsi="Arial" w:cs="Arial"/>
        </w:rPr>
        <w:t>-related complications</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{"citationItems":[{"id":"ITEM-1","itemData":{"DOI":"10.1073/pnas.1215840110","ISBN":"1091-6490 (Electronic)\\r0027-8424 (Linking)","ISSN":"1091-6490","PMID":"23479618","abstract":"Patients with type 2 diabetes (T2D) have disease-associated changes in B-cell function, but the role these changes play in disease pathogenesis is not well established. Data herein show B cells from obese mice produce a proinflammatory cytokine profile compared with B cells from lean mice. Complementary in vivo studies show that obese B cell-null mice have decreased systemic inflammation, inflammatory B- and T-cell cytokines, adipose tissue inflammation, and insulin resistance (IR) compared with obese WT mice. Reduced inflammation in obese/insulin resistant B cell-null mice associates with an increased percentage of anti-inflammatory regulatory T cells (Tregs). This increase contrasts with the sharply decreased percentage of Tregs in obese compared with lean WT mice and suggests that B cells may be critical regulators of T-cell functions previously shown to play important roles in IR. We demonstrate that B cells from T2D (but not non-T2D) subjects support proinflammatory T-cell function in obesity/T2D through contact-dependent mechanisms. In contrast, human monocytes increase proinflammatory T-cell cytokines in both T2D and non-T2D analyses. These data support the conclusion that B cells are critical regulators of inflammation in T2D due to their direct ability to promote proinflammatory T-cell function and secrete a proinflammatory cytokine profile. Thus, B cells are potential therapeutic targets for T2D.","author":[{"dropping-particle":"","family":"DeFuria","given":"Jason","non-dropping-particle":"","parse-names":false,"suffix":""},{"dropping-particle":"","family":"Belkina","given":"Anna C","non-dropping-particle":"","parse-names":false,"suffix":""},{"dropping-particle":"","family":"Jagannathan-Bogdan","given":"Madhumita","non-dropping-particle":"","parse-names":false,"suffix":""},{"dropping-particle":"","family":"Snyder-Cappione","given":"Jennifer","non-dropping-particle":"","parse-names":false,"suffix":""},{"dropping-particle":"","family":"Carr","given":"Jordan David","non-dropping-particle":"","parse-names":false,"suffix":""},{"dropping-particle":"","family":"Nersesova","given":"Yanina R","non-dropping-particle":"","parse-names":false,"suffix":""},{"dropping-particle":"","family":"Markham","given":"Douglas","non-dropping-particle":"","parse-names":false,"suffix":""},{"dropping-particle":"","family":"Strissel","given":"Katherine J","non-dropping-particle":"","parse-names":false,"suffix":""},{"dropping-particle":"","family":"Watkins","given":"Amanda a","non-dropping-particle":"","parse-names":false,"suffix":""},{"dropping-particle":"","family":"Zhu","given":"Min","non-dropping-particle":"","parse-names":false,"suffix":""},{"dropping-particle":"","family":"Allen","given":"Jessica","non-dropping-particle":"","parse-names":false,"suffix":""},{"dropping-particle":"","family":"Bouchard","given":"Jacqueline","non-dropping-particle":"","parse-names":false,"suffix":""},{"dropping-particle":"","family":"Toraldo","given":"Gianluca","non-dropping-particle":"","parse-names":false,"suffix":""},{"dropping-particle":"","family":"Jasuja","given":"Ravi","non-dropping-particle":"","parse-names":false,"suffix":""},{"dropping-particle":"","family":"Obin","given":"Martin S","non-dropping-particle":"","parse-names":false,"suffix":""},{"dropping-particle":"","family":"McDonnell","given":"Marie E","non-dropping-particle":"","parse-names":false,"suffix":""},{"dropping-particle":"","family":"Apovian","given":"Caroline","non-dropping-particle":"","parse-names":false,"suffix":""},{"dropping-particle":"V","family":"Denis","given":"Gerald","non-dropping-particle":"","parse-names":false,"suffix":""},{"dropping-particle":"","family":"Nikolajczyk","given":"Barbara S","non-dropping-particle":"","parse-names":false,"suffix":""}],"container-title":"Proceedings of the National Academy of Sciences of the United States of America","id":"ITEM-1","issue":"13","issued":{"date-parts":[["2013"]]},"page":"5133-8","title":"B cells promote inflammation in obesity and type 2 diabetes through regulation of T-cell function and an inflammatory cytokine profile.","type":"article-journal","volume":"110"},"uris":["http://www.mendeley.com/documents/?uuid=98ca84c2-3030-4c7a-98bf-df4afc2d538f"]}],"mendeley":{"formattedCitation":"(94)","plainTextFormattedCitation":"(94)","previouslyFormattedCitation":"(94)"},"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(94)</w:t>
      </w:r>
      <w:r w:rsidR="000F3AD7" w:rsidRPr="004661E9">
        <w:rPr>
          <w:rFonts w:ascii="Arial" w:hAnsi="Arial" w:cs="Arial"/>
        </w:rPr>
        <w:fldChar w:fldCharType="end"/>
      </w:r>
      <w:r w:rsidR="008D5195" w:rsidRPr="004661E9">
        <w:rPr>
          <w:rFonts w:ascii="Arial" w:hAnsi="Arial" w:cs="Arial"/>
        </w:rPr>
        <w:t>.</w:t>
      </w:r>
      <w:r w:rsidR="00C97981" w:rsidRPr="004661E9">
        <w:rPr>
          <w:rFonts w:ascii="Arial" w:hAnsi="Arial" w:cs="Arial"/>
        </w:rPr>
        <w:t xml:space="preserve"> Similar</w:t>
      </w:r>
      <w:r w:rsidR="00A17C81" w:rsidRPr="004661E9">
        <w:rPr>
          <w:rFonts w:ascii="Arial" w:hAnsi="Arial" w:cs="Arial"/>
        </w:rPr>
        <w:t>ly</w:t>
      </w:r>
      <w:r w:rsidR="00C97981" w:rsidRPr="004661E9">
        <w:rPr>
          <w:rFonts w:ascii="Arial" w:hAnsi="Arial" w:cs="Arial"/>
        </w:rPr>
        <w:t>, systemic inflammation is highly prevalent in patients with HF</w:t>
      </w:r>
      <w:r w:rsidR="00A17C81" w:rsidRPr="004661E9">
        <w:rPr>
          <w:rFonts w:ascii="Arial" w:hAnsi="Arial" w:cs="Arial"/>
        </w:rPr>
        <w:t>,</w:t>
      </w:r>
      <w:r w:rsidR="00C97981" w:rsidRPr="004661E9">
        <w:rPr>
          <w:rFonts w:ascii="Arial" w:hAnsi="Arial" w:cs="Arial"/>
        </w:rPr>
        <w:t xml:space="preserve"> </w:t>
      </w:r>
      <w:r w:rsidR="00543EDD" w:rsidRPr="004661E9">
        <w:rPr>
          <w:rFonts w:ascii="Arial" w:hAnsi="Arial" w:cs="Arial"/>
        </w:rPr>
        <w:t>contributing</w:t>
      </w:r>
      <w:r w:rsidR="00C97981" w:rsidRPr="004661E9">
        <w:rPr>
          <w:rFonts w:ascii="Arial" w:hAnsi="Arial" w:cs="Arial"/>
        </w:rPr>
        <w:t xml:space="preserve"> to the development, progression, and poor prognosis of HF regardless of LVEF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{"citationItems":[{"id":"ITEM-1","itemData":{"DOI":"10.1016/j.jacc.2020.01.014","ISSN":"15583597","abstract":"It has long been observed that heart failure (HF) is associated with measures of systemic inflammation. In recent years, there have been significant advancements in our understanding of how inflammation contributes to the pathogenesis and progression of HF. However, although numerous studies have validated the association between measures of inflammation and HF severity and prognosis, clinical trials of anti-inflammatory therapies have proven mostly unsuccessful. On this backdrop emerges the yet unmet goal of targeting precise phenotypes within the syndrome of HF; if such precise definitions can be realized, and with better understanding of the roles played by specific inflammatory mediators, the expectation is that targeted anti-inflammatory therapies may improve prognosis in patients whose HF is driven by inflammatory pathobiology. Here, the authors describe mechanistic links between inflammation and HF, discuss traditional and novel inflammatory biomarkers, and summarize the latest evidence from clinical trials of anti-inflammatory therapies.","author":[{"dropping-particle":"","family":"Murphy","given":"Sean P.","non-dropping-particle":"","parse-names":false,"suffix":""},{"dropping-particle":"","family":"Kakkar","given":"Rahul","non-dropping-particle":"","parse-names":false,"suffix":""},{"dropping-particle":"","family":"McCarthy","given":"Cian P.","non-dropping-particle":"","parse-names":false,"suffix":""},{"dropping-particle":"","family":"Januzzi","given":"James L.","non-dropping-particle":"","parse-names":false,"suffix":""}],"container-title":"Journal of the American College of Cardiology","id":"ITEM-1","issue":"11","issued":{"date-parts":[["2020","3","24"]]},"page":"1324-1340","publisher":"Elsevier USA","title":"Inflammation in Heart Failure: JACC State-of-the-Art Review","type":"article-journal","volume":"75"},"uris":["http://www.mendeley.com/documents/?uuid=79c4093e-55f5-3c6a-a801-38a94863b4ae"]}],"mendeley":{"formattedCitation":"(95)","plainTextFormattedCitation":"(95)","previouslyFormattedCitation":"(95)"},"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(95)</w:t>
      </w:r>
      <w:r w:rsidR="000F3AD7" w:rsidRPr="004661E9">
        <w:rPr>
          <w:rFonts w:ascii="Arial" w:hAnsi="Arial" w:cs="Arial"/>
        </w:rPr>
        <w:fldChar w:fldCharType="end"/>
      </w:r>
      <w:r w:rsidR="008D5195" w:rsidRPr="004661E9">
        <w:rPr>
          <w:rFonts w:ascii="Arial" w:hAnsi="Arial" w:cs="Arial"/>
        </w:rPr>
        <w:t>.</w:t>
      </w:r>
      <w:r w:rsidR="00C97981" w:rsidRPr="004661E9">
        <w:rPr>
          <w:rFonts w:ascii="Arial" w:hAnsi="Arial" w:cs="Arial"/>
        </w:rPr>
        <w:t xml:space="preserve"> </w:t>
      </w:r>
      <w:r w:rsidR="007E4DA9" w:rsidRPr="004661E9">
        <w:rPr>
          <w:rFonts w:ascii="Arial" w:hAnsi="Arial" w:cs="Arial"/>
        </w:rPr>
        <w:t>A</w:t>
      </w:r>
      <w:r w:rsidR="00E52DB7" w:rsidRPr="004661E9">
        <w:rPr>
          <w:rFonts w:ascii="Arial" w:hAnsi="Arial" w:cs="Arial"/>
        </w:rPr>
        <w:t>nimal model</w:t>
      </w:r>
      <w:r w:rsidR="007E4DA9" w:rsidRPr="004661E9">
        <w:rPr>
          <w:rFonts w:ascii="Arial" w:hAnsi="Arial" w:cs="Arial"/>
        </w:rPr>
        <w:t xml:space="preserve"> </w:t>
      </w:r>
      <w:r w:rsidR="00E52DB7" w:rsidRPr="004661E9">
        <w:rPr>
          <w:rFonts w:ascii="Arial" w:hAnsi="Arial" w:cs="Arial"/>
        </w:rPr>
        <w:t>s</w:t>
      </w:r>
      <w:r w:rsidR="007E4DA9" w:rsidRPr="004661E9">
        <w:rPr>
          <w:rFonts w:ascii="Arial" w:hAnsi="Arial" w:cs="Arial"/>
        </w:rPr>
        <w:t>tudies</w:t>
      </w:r>
      <w:r w:rsidR="00C97981" w:rsidRPr="004661E9">
        <w:rPr>
          <w:rFonts w:ascii="Arial" w:hAnsi="Arial" w:cs="Arial"/>
        </w:rPr>
        <w:t xml:space="preserve"> </w:t>
      </w:r>
      <w:r w:rsidR="007C7514" w:rsidRPr="004661E9">
        <w:rPr>
          <w:rFonts w:ascii="Arial" w:hAnsi="Arial" w:cs="Arial"/>
        </w:rPr>
        <w:t xml:space="preserve">have shown a complex interaction between various inflammatory pathways implicated in cardiac inflammation and </w:t>
      </w:r>
      <w:r w:rsidR="00543EDD" w:rsidRPr="004661E9">
        <w:rPr>
          <w:rFonts w:ascii="Arial" w:hAnsi="Arial" w:cs="Arial"/>
        </w:rPr>
        <w:t xml:space="preserve">the </w:t>
      </w:r>
      <w:r w:rsidR="007C7514" w:rsidRPr="004661E9">
        <w:rPr>
          <w:rFonts w:ascii="Arial" w:hAnsi="Arial" w:cs="Arial"/>
        </w:rPr>
        <w:t xml:space="preserve">development of diabetic </w:t>
      </w:r>
      <w:r w:rsidR="00165050" w:rsidRPr="004661E9">
        <w:rPr>
          <w:rFonts w:ascii="Arial" w:hAnsi="Arial" w:cs="Arial"/>
        </w:rPr>
        <w:t>cardiomyopathy</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{"citationItems":[{"id":"ITEM-1","itemData":{"DOI":"10.2337/db15-0568","ISSN":"1939327X","abstract":"The mechanisms for the development of diabetic cardiomyopathy remain largely unknown. Methylglyoxal (MG) can accumulate and promote inflammation and vascular damage in diabetes. We examined if overexpression of the MG-metabolizing enzyme glyoxalase 1 (GLO1) in macrophages and the vasculature could reduce MG-induced inflammation and prevent ventricular dysfunction in diabetes. Hyperglycemia increased circulating inflammatory markers in wild-type (WT) but not in GLO1-overexpressing mice. Endothelial cell number was reduced in WT-diabetic hearts compared with nondiabetic controls, whereas GLO1 overexpression preserved capillary density. Neuregulin production, endothelial nitric oxide synthase dimerization, and Bcl-2 expression in endothelial cells was maintained in the hearts of GLO1-diabetic mice and corresponded to less myocardial cell death compared with the WT-diabetic group. Lower receptor for advanced glycation end products and tumor necrosis factor-α (TNF-α) levels were also observed in GLO1-diabetic versus WT-diabetic mice. Over a period of 8 weeks of hyperglycemia, GLO1 overexpression delayed and limited the loss of cardiac function. In vitro, MG and TNF-α were shown to synergize in promoting endothelial cell death, which was associated with increased angiopoietin 2 expression and reduced Bcl-2 expression. These results suggest that MG in diabetes increases inflammation, leading to endothelial cell loss. This contributes to the development of diabetic cardiomyopathy and identifies MG-induced endothelial inflammation as a target for therapy.","author":[{"dropping-particle":"","family":"Vulesevic","given":"Branka","non-dropping-particle":"","parse-names":false,"suffix":""},{"dropping-particle":"","family":"McNeill","given":"Brian","non-dropping-particle":"","parse-names":false,"suffix":""},{"dropping-particle":"","family":"Giacco","given":"Ferdinando","non-dropping-particle":"","parse-names":false,"suffix":""},{"dropping-particle":"","family":"Maeda","given":"Kay","non-dropping-particle":"","parse-names":false,"suffix":""},{"dropping-particle":"","family":"Blackburn","given":"Nick J.R.","non-dropping-particle":"","parse-names":false,"suffix":""},{"dropping-particle":"","family":"Brownlee","given":"Michael","non-dropping-particle":"","parse-names":false,"suffix":""},{"dropping-particle":"","family":"Milne","given":"Ross W.","non-dropping-particle":"","parse-names":false,"suffix":""},{"dropping-particle":"","family":"Suuronen","given":"Erik J.","non-dropping-particle":"","parse-names":false,"suffix":""}],"container-title":"Diabetes","id":"ITEM-1","issue":"6","issued":{"date-parts":[["2016","6","1"]]},"page":"1699-1713","publisher":"American Diabetes Association Inc.","title":"Methylglyoxal-induced endothelial cell loss and inflammation contribute to the development of diabetic cardiomyopathy","type":"article-journal","volume":"65"},"uris":["http://www.mendeley.com/documents/?uuid=0a0f0563-286b-3d89-bb57-a2a781ab86a6"]},{"id":"ITEM-2","itemData":{"DOI":"10.2337/db18-1231","ISSN":"1939327X","abstract":"CCR2 has been proven to play an important role in diabetes. However, the role of CCR2 in diabetic cardiomyopathy has not been examined. In this study, we investigated the effects of cardiac CCR2 on diabetic cardiomyopathy. We created a model of streptozotocin (STZ)–induced diabetic cardiomyopathy. Expression of CCR2 was upregulated in the hearts of STZ-induced diabetic mice. CCR2 knockout significantly improved STZ-induced cardiac dysfunction and fibrosis. Moreover, deletion of CCR2 inhibited STZ-induced apoptosis and the production of STZ-induced reactive oxygen species in the heart. CCR2 knockout resulted in M2 polarization in hearts of STZ-treated mice. Treatment with a CCR2 inhibitor reversed hyperglycemia-induced cardiac dysfunction in db/db mice. These results suggest that CCR2-induced inflammation and oxidative stress in the heart are involved in the development of diabetic cardiomyopathy and that CCR2 could be a novel target for therapy.","author":[{"dropping-particle":"","family":"Tan","given":"Xin","non-dropping-particle":"","parse-names":false,"suffix":""},{"dropping-particle":"","family":"Hu","given":"Lizhi","non-dropping-particle":"","parse-names":false,"suffix":""},{"dropping-particle":"","family":"Shu","given":"Zhiping","non-dropping-particle":"","parse-names":false,"suffix":""},{"dropping-particle":"","family":"Chen","given":"Long","non-dropping-particle":"","parse-names":false,"suffix":""},{"dropping-particle":"","family":"Li","given":"Xiangrao","non-dropping-particle":"","parse-names":false,"suffix":""},{"dropping-particle":"","family":"Du","given":"Meng","non-dropping-particle":"","parse-names":false,"suffix":""},{"dropping-particle":"","family":"Sun","given":"Dan","non-dropping-particle":"","parse-names":false,"suffix":""},{"dropping-particle":"","family":"Mao","given":"Xiaoxiang","non-dropping-particle":"","parse-names":false,"suffix":""},{"dropping-particle":"","family":"Deng","given":"Shan","non-dropping-particle":"","parse-names":false,"suffix":""},{"dropping-particle":"","family":"Huang","given":"Kai","non-dropping-particle":"","parse-names":false,"suffix":""},{"dropping-particle":"","family":"Zhang","given":"Fengxiao","non-dropping-particle":"","parse-names":false,"suffix":""}],"container-title":"Diabetes","id":"ITEM-2","issue":"11","issued":{"date-parts":[["2019","11","1"]]},"page":"2063-2073","publisher":"American Diabetes Association Inc.","title":"Role of CCR2 in the development of streptozotocin-treated diabetic cardiomyopathy","type":"article-journal","volume":"68"},"uris":["http://www.mendeley.com/documents/?uuid=b8301bb0-3748-3660-816f-4afdc9927626"]}],"mendeley":{"formattedCitation":"(96,97)","plainTextFormattedCitation":"(96,97)","previouslyFormattedCitation":"(96,97)"},"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(96,97)</w:t>
      </w:r>
      <w:r w:rsidR="000F3AD7" w:rsidRPr="004661E9">
        <w:rPr>
          <w:rFonts w:ascii="Arial" w:hAnsi="Arial" w:cs="Arial"/>
        </w:rPr>
        <w:fldChar w:fldCharType="end"/>
      </w:r>
      <w:r w:rsidR="008D5195" w:rsidRPr="004661E9">
        <w:rPr>
          <w:rFonts w:ascii="Arial" w:hAnsi="Arial" w:cs="Arial"/>
        </w:rPr>
        <w:t>.</w:t>
      </w:r>
      <w:r w:rsidR="00543EDD" w:rsidRPr="004661E9">
        <w:rPr>
          <w:rFonts w:ascii="Arial" w:hAnsi="Arial" w:cs="Arial"/>
        </w:rPr>
        <w:t xml:space="preserve"> </w:t>
      </w:r>
      <w:r w:rsidR="002037E9" w:rsidRPr="004661E9">
        <w:rPr>
          <w:rFonts w:ascii="Arial" w:hAnsi="Arial" w:cs="Arial"/>
        </w:rPr>
        <w:t xml:space="preserve">One potential link between HF and </w:t>
      </w:r>
      <w:r w:rsidR="00934BE7" w:rsidRPr="004661E9">
        <w:rPr>
          <w:rFonts w:ascii="Arial" w:hAnsi="Arial" w:cs="Arial"/>
        </w:rPr>
        <w:t>diabetes</w:t>
      </w:r>
      <w:r w:rsidR="002037E9" w:rsidRPr="004661E9">
        <w:rPr>
          <w:rFonts w:ascii="Arial" w:hAnsi="Arial" w:cs="Arial"/>
        </w:rPr>
        <w:t xml:space="preserve"> </w:t>
      </w:r>
      <w:r w:rsidR="00D54AB0" w:rsidRPr="004661E9">
        <w:rPr>
          <w:rFonts w:ascii="Arial" w:hAnsi="Arial" w:cs="Arial"/>
        </w:rPr>
        <w:t xml:space="preserve">is S100A12, an inflammatory protein </w:t>
      </w:r>
      <w:r w:rsidR="00543EDD" w:rsidRPr="004661E9">
        <w:rPr>
          <w:rFonts w:ascii="Arial" w:hAnsi="Arial" w:cs="Arial"/>
        </w:rPr>
        <w:t>that</w:t>
      </w:r>
      <w:r w:rsidR="00D54AB0" w:rsidRPr="004661E9">
        <w:rPr>
          <w:rFonts w:ascii="Arial" w:hAnsi="Arial" w:cs="Arial"/>
        </w:rPr>
        <w:t xml:space="preserve"> increase</w:t>
      </w:r>
      <w:r w:rsidR="00543EDD" w:rsidRPr="004661E9">
        <w:rPr>
          <w:rFonts w:ascii="Arial" w:hAnsi="Arial" w:cs="Arial"/>
        </w:rPr>
        <w:t>s</w:t>
      </w:r>
      <w:r w:rsidR="00D54AB0" w:rsidRPr="004661E9">
        <w:rPr>
          <w:rFonts w:ascii="Arial" w:hAnsi="Arial" w:cs="Arial"/>
        </w:rPr>
        <w:t xml:space="preserve"> with hyperglycemic stress.</w:t>
      </w:r>
      <w:r w:rsidR="007857FA" w:rsidRPr="004661E9">
        <w:rPr>
          <w:rFonts w:ascii="Arial" w:hAnsi="Arial" w:cs="Arial"/>
        </w:rPr>
        <w:t xml:space="preserve"> A prospe</w:t>
      </w:r>
      <w:r w:rsidR="00224350" w:rsidRPr="004661E9">
        <w:rPr>
          <w:rFonts w:ascii="Arial" w:hAnsi="Arial" w:cs="Arial"/>
        </w:rPr>
        <w:t xml:space="preserve">ctive cohort study including </w:t>
      </w:r>
      <w:r w:rsidR="00AE0B66" w:rsidRPr="004661E9">
        <w:rPr>
          <w:rFonts w:ascii="Arial" w:hAnsi="Arial" w:cs="Arial"/>
        </w:rPr>
        <w:t xml:space="preserve">1345 patients with T2DM demonstrated an independent association between increased A100A12 </w:t>
      </w:r>
      <w:r w:rsidR="00FA3F51" w:rsidRPr="004661E9">
        <w:rPr>
          <w:rFonts w:ascii="Arial" w:hAnsi="Arial" w:cs="Arial"/>
        </w:rPr>
        <w:t>and risk of HF hospitalization</w:t>
      </w:r>
      <w:r w:rsidR="00332BC5" w:rsidRPr="004661E9">
        <w:rPr>
          <w:rFonts w:ascii="Arial" w:hAnsi="Arial" w:cs="Arial"/>
        </w:rPr>
        <w:t xml:space="preserve"> </w:t>
      </w:r>
      <w:r w:rsidR="00E868E1" w:rsidRPr="004661E9">
        <w:rPr>
          <w:rFonts w:ascii="Arial" w:hAnsi="Arial" w:cs="Arial"/>
        </w:rPr>
        <w:fldChar w:fldCharType="begin" w:fldLock="1"/>
      </w:r>
      <w:r w:rsidR="00E156CB" w:rsidRPr="004661E9">
        <w:rPr>
          <w:rFonts w:ascii="Arial" w:hAnsi="Arial" w:cs="Arial"/>
        </w:rPr>
        <w:instrText>ADDIN CSL_CITATION {"citationItems":[{"id":"ITEM-1","itemData":{"DOI":"10.1002/EHF2.14036","ISSN":"2055-5822","PMID":"36637406","abstract":"Aims: The hyperglycaemic stress induces the release of inflammatory proteins such as S100A12, one of the endogenous ligands of the receptors for advanced glycation end products (RAGE). Chronic activation of RAGE has multiple deleterious effects in target tissues such as the heart and the vessels by promoting oxidative stress, inflammation by the release of cytokines, macrophages infiltration, and vascular cell migration and proliferation, causing ultimately endothelial cell and cardiomyocyte dysfunction. The aim of our study was to investigate the prognostic value of circulating S100A12 beyond established cardiovascular risk factors (CVRF) for heart failure (HF) and major adverse cardiovascular events (MACE) in a cohort of patients with type 2 diabetes. Methods and results: Serum S100A12 concentrations were measured at baseline in 1345 type 2 diabetes patients (58% men, 64 ± 11 years) recruited in the SURDIAGENE prospective cohort. Endpoints were the occurrence of acute HF requiring hospitalization (HHF) and MACE. We used a proportional hazard model adjusted for established CVRF (age, sex, duration of diabetes, estimated glomerular filtration rate, albumin/creatinine ratio, history of coronary artery disease) and serum S100A12. During the median follow-up of 84 months, 210 (16%) and 505 (38%) patients developed HHF and MACE, respectively. Baseline serum S100A12 concentrations were associated with an increased risk of HHF [hazard ratio (HR) (95% confidence interval) 1.28 (1.01–1.62)], but not MACE [1.04 (0.90–1.20)]. After adjustment for CVRF, S100A12 concentrations remained significantly associated with an increased risk of HHF [1.29 (1.01–1.65)]. In a sub-analysis, patients with high probability of pre-existing HF [N terminal pro brain natriuretic peptide (NT-proBNP) &gt;1000 pg/mL, n = 87] were excluded. In the remaining 1258 patients, the association of serum S100A12 with the risk of HHF tended to be more pronounced [1.39 (1.06–1.83)]. When including the gold standard HF marker NT-proBNP in the model, the prognostic value of S100A12 for HHF did not reach significance. Youden method performed at 7 years for HHF prediction yielded an optimal cut-off for S100A12 concentration of 49 ng/mL (sensitivity 53.3, specificity 52.2). Compared with those with S100A12 ≤ 49 ng/mL, patients with S100A12 &gt; 49 ng/mL had a significantly increased risk of HHF in the univariate model [HR = 1.58 (1.19–2.09), P = 0.0015] but also in the multivariate model [HR = 1.63 (1.23–2.1…","author":[{"dropping-particle":"","family":"Gellen","given":"Barnabas","non-dropping-particle":"","parse-names":false,"suffix":""},{"dropping-particle":"","family":"Thorin-Trescases","given":"Nathalie","non-dropping-particle":"","parse-names":false,"suffix":""},{"dropping-particle":"","family":"Thorin","given":"Eric","non-dropping-particle":"","parse-names":false,"suffix":""},{"dropping-particle":"","family":"Gand","given":"Elise","non-dropping-particle":"","parse-names":false,"suffix":""},{"dropping-particle":"","family":"Ragot","given":"Stephanie","non-dropping-particle":"","parse-names":false,"suffix":""},{"dropping-particle":"","family":"Montaigne","given":"David","non-dropping-particle":"","parse-names":false,"suffix":""},{"dropping-particle":"","family":"Pucheu","given":"Yann","non-dropping-particle":"","parse-names":false,"suffix":""},{"dropping-particle":"","family":"Mohammedi","given":"Kamel","non-dropping-particle":"","parse-names":false,"suffix":""},{"dropping-particle":"","family":"Gatault","given":"Philippe","non-dropping-particle":"","parse-names":false,"suffix":""},{"dropping-particle":"","family":"Potier","given":"Louis","non-dropping-particle":"","parse-names":false,"suffix":""},{"dropping-particle":"","family":"Liuu","given":"Evelyne","non-dropping-particle":"","parse-names":false,"suffix":""},{"dropping-particle":"","family":"Hadjadj","given":"Samy","non-dropping-particle":"","parse-names":false,"suffix":""},{"dropping-particle":"","family":"Saulnier","given":"Pierre Jean","non-dropping-particle":"","parse-names":false,"suffix":""},{"dropping-particle":"","family":"Hadjadj","given":"Samy","non-dropping-particle":"","parse-names":false,"suffix":""},{"dropping-particle":"","family":"Marechaud","given":"Richard","non-dropping-particle":"","parse-names":false,"suffix":""},{"dropping-particle":"","family":"Ragot","given":"Stéphanie","non-dropping-particle":"","parse-names":false,"suffix":""},{"dropping-particle":"","family":"Piguel","given":"Xavier","non-dropping-particle":"","parse-names":false,"suffix":""},{"dropping-particle":"","family":"Saulnier","given":"Pierre Jean","non-dropping-particle":"","parse-names":false,"suffix":""},{"dropping-particle":"","family":"Javaugue","given":"Vincent","non-dropping-particle":"","parse-names":false,"suffix":""},{"dropping-particle":"","family":"Gand","given":"Elise","non-dropping-particle":"","parse-names":false,"suffix":""},{"dropping-particle":"","family":"Hulin-Delmotte","given":"Charlotte","non-dropping-particle":"","parse-names":false,"suffix":""},{"dropping-particle":"","family":"Llatty","given":"Pierre","non-dropping-particle":"","parse-names":false,"suffix":""},{"dropping-particle":"","family":"Ducrocq","given":"Gregory","non-dropping-particle":"","parse-names":false,"suffix":""},{"dropping-particle":"","family":"Roussel","given":"Ronan","non-dropping-particle":"","parse-names":false,"suffix":""},{"dropping-particle":"","family":"Rigalleau","given":"Vincent","non-dropping-particle":"","parse-names":false,"suffix":""},{"dropping-particle":"","family":"Pucheu","given":"Yann","non-dropping-particle":"","parse-names":false,"suffix":""},{"dropping-particle":"","family":"Zaoui","given":"Philippe","non-dropping-particle":"","parse-names":false,"suffix":""},{"dropping-particle":"","family":"Montaigne","given":"David","non-dropping-particle":"","parse-names":false,"suffix":""},{"dropping-particle":"","family":"Halimi","given":"Jean Michel","non-dropping-particle":"","parse-names":false,"suffix":""},{"dropping-particle":"","family":"Gatault","given":"Philippe","non-dropping-particle":"","parse-names":false,"suffix":""},{"dropping-particle":"","family":"Sosner","given":"Philippe","non-dropping-particle":"","parse-names":false,"suffix":""},{"dropping-particle":"","family":"Gellen","given":"Barnabas","non-dropping-particle":"","parse-names":false,"suffix":""}],"container-title":"ESC heart failure","id":"ITEM-1","issue":"6","issued":{"date-parts":[["2022","12","1"]]},"page":"3909-3919","publisher":"ESC Heart Fail","title":"Increased serum S100A12 levels are associated with higher risk of acute heart failure in patients with type 2 diabetes","type":"article-journal","volume":"9"},"uris":["http://www.mendeley.com/documents/?uuid=7a509ed2-e756-35c1-9181-5b324856275c"]}],"mendeley":{"formattedCitation":"(98)","plainTextFormattedCitation":"(98)","previouslyFormattedCitation":"(98)"},"properties":{"noteIndex":0},"schema":"https://github.com/citation-style-language/schema/raw/master/csl-citation.json"}</w:instrText>
      </w:r>
      <w:r w:rsidR="00E868E1" w:rsidRPr="004661E9">
        <w:rPr>
          <w:rFonts w:ascii="Arial" w:hAnsi="Arial" w:cs="Arial"/>
        </w:rPr>
        <w:fldChar w:fldCharType="separate"/>
      </w:r>
      <w:r w:rsidR="003C01B8" w:rsidRPr="004661E9">
        <w:rPr>
          <w:rFonts w:ascii="Arial" w:hAnsi="Arial" w:cs="Arial"/>
          <w:noProof/>
        </w:rPr>
        <w:t>(98)</w:t>
      </w:r>
      <w:r w:rsidR="00E868E1" w:rsidRPr="004661E9">
        <w:rPr>
          <w:rFonts w:ascii="Arial" w:hAnsi="Arial" w:cs="Arial"/>
        </w:rPr>
        <w:fldChar w:fldCharType="end"/>
      </w:r>
      <w:r w:rsidR="00FA3F51" w:rsidRPr="004661E9">
        <w:rPr>
          <w:rFonts w:ascii="Arial" w:hAnsi="Arial" w:cs="Arial"/>
        </w:rPr>
        <w:t xml:space="preserve">. </w:t>
      </w:r>
    </w:p>
    <w:p w14:paraId="189CA029" w14:textId="4BB8FFDD" w:rsidR="00A67F42" w:rsidRPr="004661E9" w:rsidRDefault="00A67F42" w:rsidP="004661E9">
      <w:pPr>
        <w:spacing w:after="0" w:line="276" w:lineRule="auto"/>
        <w:rPr>
          <w:rFonts w:ascii="Arial" w:hAnsi="Arial" w:cs="Arial"/>
        </w:rPr>
      </w:pPr>
    </w:p>
    <w:p w14:paraId="133C9941" w14:textId="4F9DFEC8" w:rsidR="00A67F42" w:rsidRPr="004661E9" w:rsidRDefault="00A67F42" w:rsidP="004661E9">
      <w:pPr>
        <w:spacing w:after="0" w:line="276" w:lineRule="auto"/>
        <w:rPr>
          <w:rFonts w:ascii="Arial" w:hAnsi="Arial" w:cs="Arial"/>
          <w:b/>
          <w:bCs/>
          <w:color w:val="00B050"/>
        </w:rPr>
      </w:pPr>
      <w:r w:rsidRPr="004661E9">
        <w:rPr>
          <w:rFonts w:ascii="Arial" w:hAnsi="Arial" w:cs="Arial"/>
          <w:b/>
          <w:bCs/>
          <w:color w:val="00B050"/>
        </w:rPr>
        <w:t>Epicardial Adipose Tissue Expansion</w:t>
      </w:r>
    </w:p>
    <w:p w14:paraId="7B440FBA" w14:textId="7D1C40F0" w:rsidR="00A67F42" w:rsidRPr="004661E9" w:rsidRDefault="00A67F42" w:rsidP="004661E9">
      <w:pPr>
        <w:spacing w:after="0" w:line="276" w:lineRule="auto"/>
        <w:rPr>
          <w:rFonts w:ascii="Arial" w:hAnsi="Arial" w:cs="Arial"/>
        </w:rPr>
      </w:pPr>
    </w:p>
    <w:p w14:paraId="3FF42675" w14:textId="3A64BF26" w:rsidR="00A67F42" w:rsidRPr="004661E9" w:rsidRDefault="00581007" w:rsidP="004661E9">
      <w:pPr>
        <w:spacing w:after="0" w:line="276" w:lineRule="auto"/>
        <w:rPr>
          <w:rFonts w:ascii="Arial" w:hAnsi="Arial" w:cs="Arial"/>
        </w:rPr>
      </w:pPr>
      <w:r w:rsidRPr="004661E9">
        <w:rPr>
          <w:rFonts w:ascii="Arial" w:hAnsi="Arial" w:cs="Arial"/>
        </w:rPr>
        <w:t>Diabetes and obesity can independently contribute to the expansion</w:t>
      </w:r>
      <w:r w:rsidR="00B7404E" w:rsidRPr="004661E9">
        <w:rPr>
          <w:rFonts w:ascii="Arial" w:hAnsi="Arial" w:cs="Arial"/>
        </w:rPr>
        <w:t xml:space="preserve"> and transformation</w:t>
      </w:r>
      <w:r w:rsidRPr="004661E9">
        <w:rPr>
          <w:rFonts w:ascii="Arial" w:hAnsi="Arial" w:cs="Arial"/>
        </w:rPr>
        <w:t xml:space="preserve"> of epicardial adi</w:t>
      </w:r>
      <w:r w:rsidR="001B0856" w:rsidRPr="004661E9">
        <w:rPr>
          <w:rFonts w:ascii="Arial" w:hAnsi="Arial" w:cs="Arial"/>
        </w:rPr>
        <w:t xml:space="preserve">pose tissue </w:t>
      </w:r>
      <w:r w:rsidR="0033474C" w:rsidRPr="004661E9">
        <w:rPr>
          <w:rFonts w:ascii="Arial" w:hAnsi="Arial" w:cs="Arial"/>
        </w:rPr>
        <w:fldChar w:fldCharType="begin" w:fldLock="1"/>
      </w:r>
      <w:r w:rsidR="00E156CB" w:rsidRPr="004661E9">
        <w:rPr>
          <w:rFonts w:ascii="Arial" w:hAnsi="Arial" w:cs="Arial"/>
        </w:rPr>
        <w:instrText>ADDIN CSL_CITATION {"citationItems":[{"id":"ITEM-1","itemData":{"DOI":"10.1016/j.jchf.2021.05.019","ISSN":"22131779","PMID":"34325884","abstract":"Diabetes promotes the development of both heart failure with a reduced ejection fraction and heart failure with a preserved ejection fraction through diverse mechanisms, which are likely mediated through hyperinsulinemia rather than hyperglycemia. Diabetes promotes nutrient surplus signaling (through Akt and mammalian target of rapamycin complex 1) and inhibits nutrient deprivation signaling (through sirtuin-1 and its downstream effectors); this suppresses autophagy and promotes endoplasmic reticulum and oxidative stress and mitochondrial dysfunction, thereby undermining the health of diabetic cardiomyocytes. The hyperinsulinemia of diabetes may also activate sodium-hydrogen exchangers in cardiomyocytes (leading to injury and loss) and in the proximal renal tubules (leading to sodium retention). Diabetes may cause epicardial adipose tissue expansion, and the resulting secretion of proinflammatory adipocytokines onto the adjoining myocardium can lead to coronary microcirculatory dysfunction and myocardial inflammation and fibrosis. Interestingly, sodium-glucose cotransporter 2 (SGLT2) inhibitors—the only class of antidiabetic medication that reduces serious heart failure events—may act to mitigate each of these mechanisms. SGLT2 inhibitors up-regulate sirtuin-1 and its downstream effectors and autophagic flux, thus explaining the actions of these drugs to reduce oxidative stress, normalize mitochondrial structure and function, and mute proinflammatory pathways in the stressed myocardium. Inhibition of SGLT2 may also lead to a reduction in the activity of sodium-hydrogen exchangers in the kidney (leading to diuresis) and in the heart (attenuating the development of cardiac hypertrophy and systolic dysfunction). Finally, SGLT2 inhibitors reduce the mass and mute the adverse biology of epicardial adipose tissue (and reduce the secretion of leptin), thus explaining the capacity of these drugs to mitigate myocardial inflammation, microcirculatory dysfunction, and fibrosis, and improve ventricular filling dynamics. The pathophysiological mechanisms by which SGLT2 inhibitors may benefit heart failure likely differ depending on ejection fraction, but each represents interference with distinct pathways by which hyperinsulinemia may adversely affect cardiac structure and function.","author":[{"dropping-particle":"","family":"Packer","given":"Milton","non-dropping-particle":"","parse-names":false,"suffix":""}],"container-title":"JACC: Heart Failure","id":"ITEM-1","issue":"8","issued":{"date-parts":[["2021"]]},"page":"535-549","title":"Differential Pathophysiological Mechanisms in Heart Failure With a Reduced or Preserved Ejection Fraction in Diabetes","type":"article-journal","volume":"9"},"uris":["http://www.mendeley.com/documents/?uuid=c68f900c-27cd-4e9b-a88a-93cfdb815c3e"]},{"id":"ITEM-2","itemData":{"DOI":"10.1016/j.amjcard.2014.05.057","ISSN":"18791913","PMID":"25037677","abstract":"Epicardial adipose tissue (EAT) has been shown to have important effects on the development of coronary artery disease (CAD) through local paracrine influences on the vascular bed. We compared a cohort of asymptomatic patients with type II diabetes mellitus (DM) without known CAD to an age- and gender-matched group of asymptomatic patients without DM from the CTRAD (Cardiac CT's Role in Asymptomatic Patients with DM-II) study in which patients underwent a cardiac computed tomography angiogram, for early detection of CAD. Mean EAT volumes of 118.6 ± 43.0 and 70.0 ± 44.0 cm3 were found in the DM and non-DM groups, respectively. When stratified by the presence and severity of CAD, it was found that in the DM (p = 0.003) and non-DM groups (p &lt;0.001), there was a statistically significant increase in EAT volume as the patients were found to have increasingly severe CAD. After adjusting for age, race, gender, DM, hypertension, insulin use, body mass index, and coronary artery calcium (CAC) score, the presence of &gt;120 cm3 of EAT was found to be highly correlated with the presence of significant CAD (adjusted odds ratio 4.47, 95% confidence interval 1.35 to 14.82). We found that not only is EAT volume an independent predictor of CAD but that an increasing volume of EAT predicted increasing severity of CAD even after adjustment for CAC score. © 2014 Elsevier Inc. All rights reserved.","author":[{"dropping-particle":"","family":"Groves","given":"Elliott M.","non-dropping-particle":"","parse-names":false,"suffix":""},{"dropping-particle":"","family":"Erande","given":"Ashwini S.","non-dropping-particle":"","parse-names":false,"suffix":""},{"dropping-particle":"","family":"Le","given":"Christine","non-dropping-particle":"","parse-names":false,"suffix":""},{"dropping-particle":"","family":"Salcedo","given":"Jonathan","non-dropping-particle":"","parse-names":false,"suffix":""},{"dropping-particle":"","family":"Hoang","given":"Khiet C.","non-dropping-particle":"","parse-names":false,"suffix":""},{"dropping-particle":"","family":"Kumar","given":"Shivesh","non-dropping-particle":"","parse-names":false,"suffix":""},{"dropping-particle":"","family":"Mohar","given":"Dilbahar S.","non-dropping-particle":"","parse-names":false,"suffix":""},{"dropping-particle":"","family":"Saremi","given":"Farhood","non-dropping-particle":"","parse-names":false,"suffix":""},{"dropping-particle":"","family":"Im","given":"Jiye","non-dropping-particle":"","parse-names":false,"suffix":""},{"dropping-particle":"","family":"Agrawal","given":"Yashwant","non-dropping-particle":"","parse-names":false,"suffix":""},{"dropping-particle":"","family":"Nadeswaran","given":"Pradeep","non-dropping-particle":"","parse-names":false,"suffix":""},{"dropping-particle":"","family":"Naderi","given":"Nassim","non-dropping-particle":"","parse-names":false,"suffix":""},{"dropping-particle":"","family":"Malik","given":"Shaista","non-dropping-particle":"","parse-names":false,"suffix":""}],"container-title":"American Journal of Cardiology","id":"ITEM-2","issue":"5","issued":{"date-parts":[["2014"]]},"page":"686-691","publisher":"Elsevier Inc.","title":"Comparison of epicardial adipose tissue volume and coronary artery disease severity in asymptomatic adults with versus without diabetes mellitus","type":"article-journal","volume":"114"},"uris":["http://www.mendeley.com/documents/?uuid=65148d65-aa37-446e-b1a4-c6ca0ae0709b"]}],"mendeley":{"formattedCitation":"(86,99)","plainTextFormattedCitation":"(86,99)","previouslyFormattedCitation":"(86,99)"},"properties":{"noteIndex":0},"schema":"https://github.com/citation-style-language/schema/raw/master/csl-citation.json"}</w:instrText>
      </w:r>
      <w:r w:rsidR="0033474C" w:rsidRPr="004661E9">
        <w:rPr>
          <w:rFonts w:ascii="Arial" w:hAnsi="Arial" w:cs="Arial"/>
        </w:rPr>
        <w:fldChar w:fldCharType="separate"/>
      </w:r>
      <w:r w:rsidR="003C01B8" w:rsidRPr="004661E9">
        <w:rPr>
          <w:rFonts w:ascii="Arial" w:hAnsi="Arial" w:cs="Arial"/>
          <w:noProof/>
        </w:rPr>
        <w:t>(86,99)</w:t>
      </w:r>
      <w:r w:rsidR="0033474C" w:rsidRPr="004661E9">
        <w:rPr>
          <w:rFonts w:ascii="Arial" w:hAnsi="Arial" w:cs="Arial"/>
        </w:rPr>
        <w:fldChar w:fldCharType="end"/>
      </w:r>
      <w:r w:rsidR="001B0856" w:rsidRPr="004661E9">
        <w:rPr>
          <w:rFonts w:ascii="Arial" w:hAnsi="Arial" w:cs="Arial"/>
        </w:rPr>
        <w:t xml:space="preserve">. </w:t>
      </w:r>
      <w:r w:rsidR="00030A7B" w:rsidRPr="004661E9">
        <w:rPr>
          <w:rFonts w:ascii="Arial" w:hAnsi="Arial" w:cs="Arial"/>
        </w:rPr>
        <w:t xml:space="preserve">Epicardial adipose tissue expansion has been associated with </w:t>
      </w:r>
      <w:r w:rsidR="00DB69E6" w:rsidRPr="004661E9">
        <w:rPr>
          <w:rFonts w:ascii="Arial" w:hAnsi="Arial" w:cs="Arial"/>
        </w:rPr>
        <w:t xml:space="preserve">LV systolic and diastolic dysfunction in patients </w:t>
      </w:r>
      <w:r w:rsidR="008E515B" w:rsidRPr="004661E9">
        <w:rPr>
          <w:rFonts w:ascii="Arial" w:hAnsi="Arial" w:cs="Arial"/>
        </w:rPr>
        <w:t xml:space="preserve">with T2DM </w:t>
      </w:r>
      <w:r w:rsidR="008C1FA3" w:rsidRPr="004661E9">
        <w:rPr>
          <w:rFonts w:ascii="Arial" w:hAnsi="Arial" w:cs="Arial"/>
        </w:rPr>
        <w:fldChar w:fldCharType="begin" w:fldLock="1"/>
      </w:r>
      <w:r w:rsidR="00E156CB" w:rsidRPr="004661E9">
        <w:rPr>
          <w:rFonts w:ascii="Arial" w:hAnsi="Arial" w:cs="Arial"/>
        </w:rPr>
        <w:instrText>ADDIN CSL_CITATION {"citationItems":[{"id":"ITEM-1","itemData":{"DOI":"10.1111/dom.13758","ISSN":"14631326","PMID":"31050126","abstract":"The aim of this study was to investigate the association of epicardial (EAT) and pericardial (PAT) adipose tissues with myocardial function in type 2 diabetes (T2D). EAT and PAT were measured by ultrasound in 770 patients with T2D and 234 age- and sex-matched non-diabetic controls. Echocardiography was performed, including tissue Doppler imaging and 2D speckle tracking. Patients with T2D versus controls had increased EAT (4.6 ± 1.8 mm vs. 3.4 ± 1.2 mm, P &lt; 0.0001) and PAT (6.3 ± 2.8 mm vs. 5.3 ± 2.4 mm, P &lt; 0.0001). EAT and PAT were associated with structural cardiac measures both in T2D patients and controls (all P &lt; 0.043), but only in T2D patients with functional measures: PAT was associated with impaired global longitudinal strain [beta coefficient (SE)] [0.11% (0.04), P = 0.002], while EAT was associated with reduced diastolic function by lateral early diastolic myocardial velocity (e’lat) [−0.31 (0.05) cm/s, P = 0.001], mitral inflow velocities: peak early (E)/peak atrial (A) ratio [−0.02 (0.01), P = 0.001] and lateral E/e’lat [0.36 (0.10), P &lt; 0.001]. However, no interaction was found between diabetes status and PAT (P = 0.75) or EAT (P = 0.45). Adipose tissue in intimate relation to the myocardium is higher in patients with T2D versus controls and is associated with functional myocardial measures in T2D.","author":[{"dropping-particle":"","family":"Christensen","given":"Regitse H.","non-dropping-particle":"","parse-names":false,"suffix":""},{"dropping-particle":"","family":"Hansen","given":"Christian S.","non-dropping-particle":"","parse-names":false,"suffix":""},{"dropping-particle":"","family":"Scholten","given":"Bernt Johan","non-dropping-particle":"von","parse-names":false,"suffix":""},{"dropping-particle":"","family":"Jensen","given":"Magnus T.","non-dropping-particle":"","parse-names":false,"suffix":""},{"dropping-particle":"","family":"Pedersen","given":"Bente K.","non-dropping-particle":"","parse-names":false,"suffix":""},{"dropping-particle":"","family":"Schnohr","given":"Peter","non-dropping-particle":"","parse-names":false,"suffix":""},{"dropping-particle":"","family":"Vilsbøll","given":"Tina","non-dropping-particle":"","parse-names":false,"suffix":""},{"dropping-particle":"","family":"Rossing","given":"Peter","non-dropping-particle":"","parse-names":false,"suffix":""},{"dropping-particle":"","family":"Jørgensen","given":"Peter G.","non-dropping-particle":"","parse-names":false,"suffix":""}],"container-title":"Diabetes, Obesity and Metabolism","id":"ITEM-1","issue":"8","issued":{"date-parts":[["2019"]]},"page":"2006-2011","title":"Epicardial and pericardial adipose tissues are associated with reduced diastolic and systolic function in type 2 diabetes","type":"article-journal","volume":"21"},"uris":["http://www.mendeley.com/documents/?uuid=e0ff2917-6220-4a1a-a2aa-27f1bd6c5c3b"]}],"mendeley":{"formattedCitation":"(100)","plainTextFormattedCitation":"(100)","previouslyFormattedCitation":"(100)"},"properties":{"noteIndex":0},"schema":"https://github.com/citation-style-language/schema/raw/master/csl-citation.json"}</w:instrText>
      </w:r>
      <w:r w:rsidR="008C1FA3" w:rsidRPr="004661E9">
        <w:rPr>
          <w:rFonts w:ascii="Arial" w:hAnsi="Arial" w:cs="Arial"/>
        </w:rPr>
        <w:fldChar w:fldCharType="separate"/>
      </w:r>
      <w:r w:rsidR="003C01B8" w:rsidRPr="004661E9">
        <w:rPr>
          <w:rFonts w:ascii="Arial" w:hAnsi="Arial" w:cs="Arial"/>
          <w:noProof/>
        </w:rPr>
        <w:t>(100)</w:t>
      </w:r>
      <w:r w:rsidR="008C1FA3" w:rsidRPr="004661E9">
        <w:rPr>
          <w:rFonts w:ascii="Arial" w:hAnsi="Arial" w:cs="Arial"/>
        </w:rPr>
        <w:fldChar w:fldCharType="end"/>
      </w:r>
      <w:r w:rsidR="008E515B" w:rsidRPr="004661E9">
        <w:rPr>
          <w:rFonts w:ascii="Arial" w:hAnsi="Arial" w:cs="Arial"/>
        </w:rPr>
        <w:t xml:space="preserve">. </w:t>
      </w:r>
      <w:r w:rsidR="00CB0D33" w:rsidRPr="004661E9">
        <w:rPr>
          <w:rFonts w:ascii="Arial" w:hAnsi="Arial" w:cs="Arial"/>
        </w:rPr>
        <w:t>E</w:t>
      </w:r>
      <w:r w:rsidR="004A35A5" w:rsidRPr="004661E9">
        <w:rPr>
          <w:rFonts w:ascii="Arial" w:hAnsi="Arial" w:cs="Arial"/>
        </w:rPr>
        <w:t xml:space="preserve">picardial fat </w:t>
      </w:r>
      <w:r w:rsidR="00CB0D33" w:rsidRPr="004661E9">
        <w:rPr>
          <w:rFonts w:ascii="Arial" w:hAnsi="Arial" w:cs="Arial"/>
        </w:rPr>
        <w:t xml:space="preserve">volume correlates with myocardial fibrosis </w:t>
      </w:r>
      <w:r w:rsidR="00CB0D33" w:rsidRPr="004661E9">
        <w:rPr>
          <w:rFonts w:ascii="Arial" w:hAnsi="Arial" w:cs="Arial"/>
        </w:rPr>
        <w:fldChar w:fldCharType="begin" w:fldLock="1"/>
      </w:r>
      <w:r w:rsidR="00E156CB" w:rsidRPr="004661E9">
        <w:rPr>
          <w:rFonts w:ascii="Arial" w:hAnsi="Arial" w:cs="Arial"/>
        </w:rPr>
        <w:instrText>ADDIN CSL_CITATION {"citationItems":[{"id":"ITEM-1","itemData":{"DOI":"10.1161/CIRCIMAGING.117.007372/FORMAT/EPUB","ISSN":"19420080","PMID":"30354491","abstract":"Background Current understanding of metabolic heart disease consists of a myriad of different pathophysiological mechanisms. Epicardial adipose tissue (EAT) is increasingly recognized as metabolically active and associated with adverse cardiovascular outcomes. The present study aimed to investigate the effect of increased EAT volume index on left ventricular (LV) myocardial fat content and burden of interstitial myocardial fibrosis and their subsequent effects on LV myocardial contractile function. Methods and Results A total of 40 volunteers (mean age, 35±10 years; 26 males) of varying body mass index (25.0±4.1 kg/m2; range, 19.3-36.3 kg/m2) and without diabetes mellitus or hypertension were prospectively recruited. EAT volume index, LV myocardial fat content, and extracellular volume were quantified by magnetic resonance imaging. LV myocardial contractile function was quantified by speckle tracking echocardiography global longitudinal strain on the same day as magnetic resonance imaging examination. Mean total EAT volume index, LV myocardial fat content, and extracellular volume were 30.0±19.6 cm3/m2, 5.06%±1.18%, and 27.5%±0.5%, respectively. On multivariable analyses, increased EAT volume index and insulin resistance were independently associated with both increased LV myocardial fat content content and higher burden of interstitial myocardial fibrosis. Furthermore, increased EAT volume index was independently associated with LV global longitudinal strain. Conclusions Increased EAT volume index and insulin resistance were independently associated with increased myocardial fat accumulation and interstitial myocardial fibrosis. Increased EAT volume index was associated with detrimental effects on myocardial contractile function as evidenced by a reduction in LV global longitudinal strain.","author":[{"dropping-particle":"","family":"Ng","given":"Arnold C.T.","non-dropping-particle":"","parse-names":false,"suffix":""},{"dropping-particle":"","family":"Strudwick","given":"Mark","non-dropping-particle":"","parse-names":false,"suffix":""},{"dropping-particle":"","family":"Geest","given":"Rob J.","non-dropping-particle":"van der","parse-names":false,"suffix":""},{"dropping-particle":"","family":"Ng","given":"Austin C.C.","non-dropping-particle":"","parse-names":false,"suffix":""},{"dropping-particle":"","family":"Gillinder","given":"Lisa","non-dropping-particle":"","parse-names":false,"suffix":""},{"dropping-particle":"","family":"Goo","given":"Shi Yi","non-dropping-particle":"","parse-names":false,"suffix":""},{"dropping-particle":"","family":"Cowin","given":"Gary","non-dropping-particle":"","parse-names":false,"suffix":""},{"dropping-particle":"","family":"Delgado","given":"Victoria","non-dropping-particle":"","parse-names":false,"suffix":""},{"dropping-particle":"","family":"Wang","given":"William Y.S.","non-dropping-particle":"","parse-names":false,"suffix":""},{"dropping-particle":"","family":"Bax","given":"Jeroen J.","non-dropping-particle":"","parse-names":false,"suffix":""}],"container-title":"Circulation. Cardiovascular imaging","id":"ITEM-1","issue":"8","issued":{"date-parts":[["2018","8","1"]]},"page":"e007372","publisher":"NLM (Medline)","title":"Impact of Epicardial Adipose Tissue, Left Ventricular Myocardial Fat Content, and Interstitial Fibrosis on Myocardial Contractile Function","type":"article-journal","volume":"11"},"uris":["http://www.mendeley.com/documents/?uuid=91c23653-dcba-3438-b8e8-193921806855"]}],"mendeley":{"formattedCitation":"(101)","plainTextFormattedCitation":"(101)","previouslyFormattedCitation":"(101)"},"properties":{"noteIndex":0},"schema":"https://github.com/citation-style-language/schema/raw/master/csl-citation.json"}</w:instrText>
      </w:r>
      <w:r w:rsidR="00CB0D33" w:rsidRPr="004661E9">
        <w:rPr>
          <w:rFonts w:ascii="Arial" w:hAnsi="Arial" w:cs="Arial"/>
        </w:rPr>
        <w:fldChar w:fldCharType="separate"/>
      </w:r>
      <w:r w:rsidR="003C01B8" w:rsidRPr="004661E9">
        <w:rPr>
          <w:rFonts w:ascii="Arial" w:hAnsi="Arial" w:cs="Arial"/>
          <w:noProof/>
        </w:rPr>
        <w:t>(101)</w:t>
      </w:r>
      <w:r w:rsidR="00CB0D33" w:rsidRPr="004661E9">
        <w:rPr>
          <w:rFonts w:ascii="Arial" w:hAnsi="Arial" w:cs="Arial"/>
        </w:rPr>
        <w:fldChar w:fldCharType="end"/>
      </w:r>
      <w:r w:rsidR="00CB0D33" w:rsidRPr="004661E9">
        <w:rPr>
          <w:rFonts w:ascii="Arial" w:hAnsi="Arial" w:cs="Arial"/>
        </w:rPr>
        <w:t xml:space="preserve">, vascular stiffness </w:t>
      </w:r>
      <w:r w:rsidR="00CB0D33" w:rsidRPr="004661E9">
        <w:rPr>
          <w:rFonts w:ascii="Arial" w:hAnsi="Arial" w:cs="Arial"/>
        </w:rPr>
        <w:fldChar w:fldCharType="begin" w:fldLock="1"/>
      </w:r>
      <w:r w:rsidR="00E156CB" w:rsidRPr="004661E9">
        <w:rPr>
          <w:rFonts w:ascii="Arial" w:hAnsi="Arial" w:cs="Arial"/>
        </w:rPr>
        <w:instrText>ADDIN CSL_CITATION {"citationItems":[{"id":"ITEM-1","itemData":{"DOI":"10.1186/s12872-018-0770-z","ISSN":"14712261","PMID":"29433433","abstract":"Background: Epicardial adipose tissue (EAT) is an emerging cardio-metabolic risk factor and has been shown to correlate with adverse cardiovascular (CV) outcome; however the underlying pathophysiology of this link is not well understood. The aim of this study was to evaluate the relationship between EAT and a comprehensive panel of cardiovascular risk biomarkers and pulse wave velocity (PWV) and indexed left ventricular mass (LVMI) in a cohort of patients with cardiovascular disease (CVD) and diabetes compared to controls. Methods: One hundred forty-five participants (mean age 63.9±8.1years; 61% male) were evaluated. All patients underwent cardiovascular magnetic resonance (CMR) examination and PWV. EAT measurements from CMR were performed on the 4-chamber view. Blood samples were taken and a range of CV biomarkers was evaluated. Results: EAT measurements were significantly higher in the groups with CVD, with or without T2DM compared to patients without CVD or T2DM (group 1 EAT 15.9±5.5cm2 vs. group 4 EAT 11.8±4.1cm2, p=0.001; group 3 EAT 15.1±4.3cm2 vs. group 4 EAT 11.8±4.1cm2, p=0.024). EAT was independently associated with IL-6 (beta 0.2, p=0.019). When added to clinical variables, both EAT (beta 0.16, p=0.035) and IL-6 (beta 0.26, p=0.003) were independently associated with PWV. EAT was significantly associated with LVMI in a univariable analysis but not when added to significant clinical variables. Conclusions: In patients with cardio-metabolic disease, EAT was independently associated with PWV. EAT may be associated with CVD risk due to an increase in systemic vascular inflammation. Whether targeting EAT may reduce inflammation and/or cardiovascular risk should be evaluated in prospective studies.","author":[{"dropping-particle":"","family":"Al-Talabany","given":"Shaween","non-dropping-particle":"","parse-names":false,"suffix":""},{"dropping-particle":"","family":"Mordi","given":"Ify","non-dropping-particle":"","parse-names":false,"suffix":""},{"dropping-particle":"","family":"Graeme Houston","given":"J.","non-dropping-particle":"","parse-names":false,"suffix":""},{"dropping-particle":"","family":"Colhoun","given":"Helen M.","non-dropping-particle":"","parse-names":false,"suffix":""},{"dropping-particle":"","family":"Weir-McCall","given":"Jonathan R.","non-dropping-particle":"","parse-names":false,"suffix":""},{"dropping-particle":"","family":"Matthew","given":"Shona Z.","non-dropping-particle":"","parse-names":false,"suffix":""},{"dropping-particle":"","family":"Looker","given":"Helen C.","non-dropping-particle":"","parse-names":false,"suffix":""},{"dropping-particle":"","family":"Levin","given":"Daniel","non-dropping-particle":"","parse-names":false,"suffix":""},{"dropping-particle":"","family":"Belch","given":"Jill J.F.","non-dropping-particle":"","parse-names":false,"suffix":""},{"dropping-particle":"","family":"Dove","given":"Fiona","non-dropping-particle":"","parse-names":false,"suffix":""},{"dropping-particle":"","family":"Khan","given":"Faisel","non-dropping-particle":"","parse-names":false,"suffix":""},{"dropping-particle":"","family":"Lang","given":"Chim C.","non-dropping-particle":"","parse-names":false,"suffix":""}],"container-title":"BMC Cardiovascular Disorders","id":"ITEM-1","issue":"1","issued":{"date-parts":[["2018"]]},"page":"1-8","publisher":"BMC Cardiovascular Disorders","title":"Epicardial adipose tissue is related to arterial stiffness and inflammation in patients with cardiovascular disease and type 2 diabetes","type":"article-journal","volume":"18"},"uris":["http://www.mendeley.com/documents/?uuid=7bd39965-03d5-4748-a8eb-021f77c0a57f"]}],"mendeley":{"formattedCitation":"(102)","plainTextFormattedCitation":"(102)","previouslyFormattedCitation":"(102)"},"properties":{"noteIndex":0},"schema":"https://github.com/citation-style-language/schema/raw/master/csl-citation.json"}</w:instrText>
      </w:r>
      <w:r w:rsidR="00CB0D33" w:rsidRPr="004661E9">
        <w:rPr>
          <w:rFonts w:ascii="Arial" w:hAnsi="Arial" w:cs="Arial"/>
        </w:rPr>
        <w:fldChar w:fldCharType="separate"/>
      </w:r>
      <w:r w:rsidR="003C01B8" w:rsidRPr="004661E9">
        <w:rPr>
          <w:rFonts w:ascii="Arial" w:hAnsi="Arial" w:cs="Arial"/>
          <w:noProof/>
        </w:rPr>
        <w:t>(102)</w:t>
      </w:r>
      <w:r w:rsidR="00CB0D33" w:rsidRPr="004661E9">
        <w:rPr>
          <w:rFonts w:ascii="Arial" w:hAnsi="Arial" w:cs="Arial"/>
        </w:rPr>
        <w:fldChar w:fldCharType="end"/>
      </w:r>
      <w:r w:rsidR="00CB0D33" w:rsidRPr="004661E9">
        <w:rPr>
          <w:rFonts w:ascii="Arial" w:hAnsi="Arial" w:cs="Arial"/>
        </w:rPr>
        <w:t xml:space="preserve">, and reduced coronary microcirculation </w:t>
      </w:r>
      <w:r w:rsidR="00CB0D33" w:rsidRPr="004661E9">
        <w:rPr>
          <w:rFonts w:ascii="Arial" w:hAnsi="Arial" w:cs="Arial"/>
        </w:rPr>
        <w:fldChar w:fldCharType="begin" w:fldLock="1"/>
      </w:r>
      <w:r w:rsidR="00E156CB" w:rsidRPr="004661E9">
        <w:rPr>
          <w:rFonts w:ascii="Arial" w:hAnsi="Arial" w:cs="Arial"/>
        </w:rPr>
        <w:instrText>ADDIN CSL_CITATION {"citationItems":[{"id":"ITEM-1","itemData":{"DOI":"10.1016/j.cjca.2017.08.001","ISSN":"0828282X","PMID":"28974326","abstract":"Background Obesity is related to left ventricular (LV) diastolic dysfunction, although its pathophysiological mechanism remains unclear. Epicardial adipose tissue (EAT) is an ectopic fat with paracrine effects on coronary circulation and myocardium. We hypothesized that left ventricle–specific (periventricular) EAT may deteriorate diastolic function by impairing coronary microcirculation. Methods In protocol 1, 74 patients without obstructive narrowing of the left anterior descending artery on multidetector computed tomography (MDCT) underwent coronary flow reserve (CFR) examination to evaluate the relationship between EAT and coronary microcirculation. In protocol 2, 372 patients who underwent both MDCT and serial transthoracic Doppler echocardiographic (TTDE) examinations were enrolled to investigate the impact of periventricular EAT on changes in diastolic function. EAT volume was measured by MDCT. CFR and diastolic function were assessed by TTDE. Deterioration of LV diastolic function was defined as a ≥ 20% decrease in early diastolic mitral annular velocity. Results CFR was significantly correlated with periventricular EAT volume (r = −0.37; P = 0.001), but not with total EAT volume (r = −0.21; P = 0.071). Periventricular EAT volume (P = 0.010) was significantly associated with CFR independent of cardiovascular risk factors. Among the 372 patients who had serial TTDE examinations, the frequency of deteriorated LV diastolic function was lowest in the lower tertile of periventricular EAT, intermediate in the middle tertile, and highest in the upper tertile (12.9%, 21.0%, and 25.8%, respectively; P = 0.037). Age, diabetes mellitus, and periventricular EAT volume were significantly associated with deterioration of LV diastolic function (all P &lt; 0.05). Conclusions This study demonstrated the close association of periventricular EAT with impaired CFR and deteriorated LV diastolic function.","author":[{"dropping-particle":"","family":"Nakanishi","given":"Koki","non-dropping-particle":"","parse-names":false,"suffix":""},{"dropping-particle":"","family":"Fukuda","given":"Shota","non-dropping-particle":"","parse-names":false,"suffix":""},{"dropping-particle":"","family":"Tanaka","given":"Atsushi","non-dropping-particle":"","parse-names":false,"suffix":""},{"dropping-particle":"","family":"Otsuka","given":"Kenichiro","non-dropping-particle":"","parse-names":false,"suffix":""},{"dropping-particle":"","family":"Taguchi","given":"Haruyuki","non-dropping-particle":"","parse-names":false,"suffix":""},{"dropping-particle":"","family":"Shimada","given":"Kenei","non-dropping-particle":"","parse-names":false,"suffix":""}],"container-title":"Canadian Journal of Cardiology","id":"ITEM-1","issue":"11","issued":{"date-parts":[["2017"]]},"page":"1489-1497","publisher":"Canadian Cardiovascular Society","title":"Relationships Between Periventricular Epicardial Adipose Tissue Accumulation, Coronary Microcirculation, and Left Ventricular Diastolic Dysfunction","type":"article-journal","volume":"33"},"uris":["http://www.mendeley.com/documents/?uuid=b40d32e2-7d1e-4520-a98b-7c4e9fbc6d06"]}],"mendeley":{"formattedCitation":"(103)","plainTextFormattedCitation":"(103)","previouslyFormattedCitation":"(103)"},"properties":{"noteIndex":0},"schema":"https://github.com/citation-style-language/schema/raw/master/csl-citation.json"}</w:instrText>
      </w:r>
      <w:r w:rsidR="00CB0D33" w:rsidRPr="004661E9">
        <w:rPr>
          <w:rFonts w:ascii="Arial" w:hAnsi="Arial" w:cs="Arial"/>
        </w:rPr>
        <w:fldChar w:fldCharType="separate"/>
      </w:r>
      <w:r w:rsidR="003C01B8" w:rsidRPr="004661E9">
        <w:rPr>
          <w:rFonts w:ascii="Arial" w:hAnsi="Arial" w:cs="Arial"/>
          <w:noProof/>
        </w:rPr>
        <w:t>(103)</w:t>
      </w:r>
      <w:r w:rsidR="00CB0D33" w:rsidRPr="004661E9">
        <w:rPr>
          <w:rFonts w:ascii="Arial" w:hAnsi="Arial" w:cs="Arial"/>
        </w:rPr>
        <w:fldChar w:fldCharType="end"/>
      </w:r>
      <w:r w:rsidR="00CB0D33" w:rsidRPr="004661E9">
        <w:rPr>
          <w:rFonts w:ascii="Arial" w:hAnsi="Arial" w:cs="Arial"/>
        </w:rPr>
        <w:t xml:space="preserve">. Epicardial adipose tissue expansion and transformation </w:t>
      </w:r>
      <w:r w:rsidR="00B7404E" w:rsidRPr="004661E9">
        <w:rPr>
          <w:rFonts w:ascii="Arial" w:hAnsi="Arial" w:cs="Arial"/>
        </w:rPr>
        <w:t>contribute to the alterations in the cardiac structure and function through several pathophysiological mechanisms such as proinflammatory effects of adipokines (i.e.</w:t>
      </w:r>
      <w:r w:rsidR="00543EDD" w:rsidRPr="004661E9">
        <w:rPr>
          <w:rFonts w:ascii="Arial" w:hAnsi="Arial" w:cs="Arial"/>
        </w:rPr>
        <w:t>,</w:t>
      </w:r>
      <w:r w:rsidR="00B7404E" w:rsidRPr="004661E9">
        <w:rPr>
          <w:rFonts w:ascii="Arial" w:hAnsi="Arial" w:cs="Arial"/>
        </w:rPr>
        <w:t xml:space="preserve"> leptin, tumor necrosis factor-a, interleukin-1b and interleukin-6) secreted from epicardial fat and oxidative stress induced by reactive oxygen species released from adipocytes </w:t>
      </w:r>
      <w:r w:rsidR="00B7404E" w:rsidRPr="004661E9">
        <w:rPr>
          <w:rFonts w:ascii="Arial" w:hAnsi="Arial" w:cs="Arial"/>
        </w:rPr>
        <w:fldChar w:fldCharType="begin" w:fldLock="1"/>
      </w:r>
      <w:r w:rsidR="00E156CB" w:rsidRPr="004661E9">
        <w:rPr>
          <w:rFonts w:ascii="Arial" w:hAnsi="Arial" w:cs="Arial"/>
        </w:rPr>
        <w:instrText>ADDIN CSL_CITATION {"citationItems":[{"id":"ITEM-1","itemData":{"DOI":"10.1016/j.jcmg.2016.11.018","ISSN":"18767591","PMID":"28330656","author":[{"dropping-particle":"","family":"Lavie","given":"Carl J.","non-dropping-particle":"","parse-names":false,"suffix":""},{"dropping-particle":"","family":"Oktay","given":"Ahmet Afşin","non-dropping-particle":"","parse-names":false,"suffix":""},{"dropping-particle":"","family":"Pandey","given":"Ambarish","non-dropping-particle":"","parse-names":false,"suffix":""}],"container-title":"JACC: Cardiovascular Imaging","id":"ITEM-1","issue":"9","issued":{"date-parts":[["2017"]]},"page":"1028-1030","title":"Pericardial Fat and CVD: Is All Fat Created Equally?","type":"article-journal","volume":"10"},"uris":["http://www.mendeley.com/documents/?uuid=6b439a05-2fd5-4f36-a2f0-ec1c72d89f8d"]},{"id":"ITEM-2","itemData":{"DOI":"10.1016/j.jchf.2021.05.019","ISSN":"22131779","PMID":"34325884","abstract":"Diabetes promotes the development of both heart failure with a reduced ejection fraction and heart failure with a preserved ejection fraction through diverse mechanisms, which are likely mediated through hyperinsulinemia rather than hyperglycemia. Diabetes promotes nutrient surplus signaling (through Akt and mammalian target of rapamycin complex 1) and inhibits nutrient deprivation signaling (through sirtuin-1 and its downstream effectors); this suppresses autophagy and promotes endoplasmic reticulum and oxidative stress and mitochondrial dysfunction, thereby undermining the health of diabetic cardiomyocytes. The hyperinsulinemia of diabetes may also activate sodium-hydrogen exchangers in cardiomyocytes (leading to injury and loss) and in the proximal renal tubules (leading to sodium retention). Diabetes may cause epicardial adipose tissue expansion, and the resulting secretion of proinflammatory adipocytokines onto the adjoining myocardium can lead to coronary microcirculatory dysfunction and myocardial inflammation and fibrosis. Interestingly, sodium-glucose cotransporter 2 (SGLT2) inhibitors—the only class of antidiabetic medication that reduces serious heart failure events—may act to mitigate each of these mechanisms. SGLT2 inhibitors up-regulate sirtuin-1 and its downstream effectors and autophagic flux, thus explaining the actions of these drugs to reduce oxidative stress, normalize mitochondrial structure and function, and mute proinflammatory pathways in the stressed myocardium. Inhibition of SGLT2 may also lead to a reduction in the activity of sodium-hydrogen exchangers in the kidney (leading to diuresis) and in the heart (attenuating the development of cardiac hypertrophy and systolic dysfunction). Finally, SGLT2 inhibitors reduce the mass and mute the adverse biology of epicardial adipose tissue (and reduce the secretion of leptin), thus explaining the capacity of these drugs to mitigate myocardial inflammation, microcirculatory dysfunction, and fibrosis, and improve ventricular filling dynamics. The pathophysiological mechanisms by which SGLT2 inhibitors may benefit heart failure likely differ depending on ejection fraction, but each represents interference with distinct pathways by which hyperinsulinemia may adversely affect cardiac structure and function.","author":[{"dropping-particle":"","family":"Packer","given":"Milton","non-dropping-particle":"","parse-names":false,"suffix":""}],"container-title":"JACC: Heart Failure","id":"ITEM-2","issue":"8","issued":{"date-parts":[["2021"]]},"page":"535-549","title":"Differential Pathophysiological Mechanisms in Heart Failure With a Reduced or Preserved Ejection Fraction in Diabetes","type":"article-journal","volume":"9"},"uris":["http://www.mendeley.com/documents/?uuid=c68f900c-27cd-4e9b-a88a-93cfdb815c3e"]}],"mendeley":{"formattedCitation":"(86,104)","plainTextFormattedCitation":"(86,104)","previouslyFormattedCitation":"(86,104)"},"properties":{"noteIndex":0},"schema":"https://github.com/citation-style-language/schema/raw/master/csl-citation.json"}</w:instrText>
      </w:r>
      <w:r w:rsidR="00B7404E" w:rsidRPr="004661E9">
        <w:rPr>
          <w:rFonts w:ascii="Arial" w:hAnsi="Arial" w:cs="Arial"/>
        </w:rPr>
        <w:fldChar w:fldCharType="separate"/>
      </w:r>
      <w:r w:rsidR="003C01B8" w:rsidRPr="004661E9">
        <w:rPr>
          <w:rFonts w:ascii="Arial" w:hAnsi="Arial" w:cs="Arial"/>
          <w:noProof/>
        </w:rPr>
        <w:t>(86,104)</w:t>
      </w:r>
      <w:r w:rsidR="00B7404E" w:rsidRPr="004661E9">
        <w:rPr>
          <w:rFonts w:ascii="Arial" w:hAnsi="Arial" w:cs="Arial"/>
        </w:rPr>
        <w:fldChar w:fldCharType="end"/>
      </w:r>
      <w:r w:rsidR="00B7404E" w:rsidRPr="004661E9">
        <w:rPr>
          <w:rFonts w:ascii="Arial" w:hAnsi="Arial" w:cs="Arial"/>
        </w:rPr>
        <w:t xml:space="preserve">. </w:t>
      </w:r>
    </w:p>
    <w:p w14:paraId="7FDBC0DA" w14:textId="4FBE92FA" w:rsidR="00451B55" w:rsidRPr="004661E9" w:rsidRDefault="00197EA6" w:rsidP="004661E9">
      <w:pPr>
        <w:spacing w:after="0" w:line="276" w:lineRule="auto"/>
        <w:rPr>
          <w:rFonts w:ascii="Arial" w:hAnsi="Arial" w:cs="Arial"/>
        </w:rPr>
      </w:pPr>
      <w:r w:rsidRPr="004661E9">
        <w:rPr>
          <w:rFonts w:ascii="Arial" w:hAnsi="Arial" w:cs="Arial"/>
        </w:rPr>
        <w:lastRenderedPageBreak/>
        <w:t xml:space="preserve"> </w:t>
      </w:r>
      <w:r w:rsidR="00451B55" w:rsidRPr="004661E9">
        <w:rPr>
          <w:rFonts w:ascii="Arial" w:hAnsi="Arial" w:cs="Arial"/>
        </w:rPr>
        <w:t xml:space="preserve"> </w:t>
      </w:r>
    </w:p>
    <w:p w14:paraId="2C825DFD" w14:textId="77777777" w:rsidR="00DE6DF3" w:rsidRPr="004661E9" w:rsidRDefault="00DE6DF3" w:rsidP="004661E9">
      <w:pPr>
        <w:spacing w:after="0" w:line="276" w:lineRule="auto"/>
        <w:rPr>
          <w:rFonts w:ascii="Arial" w:hAnsi="Arial" w:cs="Arial"/>
          <w:b/>
          <w:bCs/>
          <w:color w:val="00B050"/>
        </w:rPr>
      </w:pPr>
      <w:r w:rsidRPr="004661E9">
        <w:rPr>
          <w:rFonts w:ascii="Arial" w:hAnsi="Arial" w:cs="Arial"/>
          <w:b/>
          <w:bCs/>
          <w:color w:val="00B050"/>
        </w:rPr>
        <w:t xml:space="preserve">Autoimmunity </w:t>
      </w:r>
    </w:p>
    <w:p w14:paraId="408D01A8" w14:textId="77777777" w:rsidR="008D5195" w:rsidRPr="004661E9" w:rsidRDefault="008D5195" w:rsidP="004661E9">
      <w:pPr>
        <w:spacing w:after="0" w:line="276" w:lineRule="auto"/>
        <w:rPr>
          <w:rFonts w:ascii="Arial" w:hAnsi="Arial" w:cs="Arial"/>
        </w:rPr>
      </w:pPr>
    </w:p>
    <w:p w14:paraId="205C70E1" w14:textId="2A78D33A" w:rsidR="00451B55" w:rsidRPr="004661E9" w:rsidRDefault="003C75B4" w:rsidP="004661E9">
      <w:pPr>
        <w:spacing w:after="0" w:line="276" w:lineRule="auto"/>
        <w:rPr>
          <w:rFonts w:ascii="Arial" w:hAnsi="Arial" w:cs="Arial"/>
        </w:rPr>
      </w:pPr>
      <w:r w:rsidRPr="004661E9">
        <w:rPr>
          <w:rFonts w:ascii="Arial" w:hAnsi="Arial" w:cs="Arial"/>
        </w:rPr>
        <w:t>Autoimmunity is implicated</w:t>
      </w:r>
      <w:r w:rsidR="00DE6DF3" w:rsidRPr="004661E9">
        <w:rPr>
          <w:rFonts w:ascii="Arial" w:hAnsi="Arial" w:cs="Arial"/>
        </w:rPr>
        <w:t xml:space="preserve"> in the pathogenesis of CVD among patients with T1DM</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{"citationItems":[{"id":"ITEM-1","itemData":{"DOI":"10.1093/eurheartj/ehv134","ISSN":"15229645","abstract":"Diabetes mellitus-related cardiomyopathy (DMCMP) was originally described as a dilated phenotype with eccentric left ventricular (LV) remodelling and systolic LV dysfunction. Recently however, clinical studies on DMCMP mainly describe a restrictive phenotype with concentric LV remodelling and diastolic LV dysfunction. Both phenotypes are not successive stages of DMCMP but evolve independently to respectively heart failure with preserved left ventricular ejection fraction (HFPEF) or reduced left ventricular ejection fraction (HFREF). Phenotype-specific pathophysiological mechanisms were recently proposed for LV remodelling and dysfunction in HFPEF and HFREF consisting of coronary microvascular endothelial dysfunction in HFPEF and cardiomyocyte cell death in HFREF. A similar preferential involvement of endothelial or cardiomyocyte cell compartments explains DMCMP development into distinct restrictive/HFPEF or dilated/HFREF phenotypes. Diabetes mellitus (DM)-related metabolic derangements such as hyperglycaemia, lipotoxicity, and hyperinsulinaemia favour development of DMCMP with restrictive/HFPEF phenotype, which is more prevalent in obese type 2 DM patients. In contrast, autoimmunity predisposes to a dilated/HFREF phenotype, which manifests itself more in autoimmune-prone type 1 DM patients. Finally, coronary microvascular rarefaction and advanced glycation end-products deposition are relevant to both phenotypes. Diagnosis of DMCMP requires impaired glucose metabolism and exclusion of coronary, valvular, hypertensive, or congenital heart disease and of viral, toxic, familial, or infiltrative cardiomyopathy. In addition, diagnosis of DMCMP with restrictive/HFPEF phenotype requires normal systolic LV function and diastolic LV dysfunction, whereas diagnosis of DMCMP with dilated/HFREF phenotype requires systolic LV dysfunction. Treatment of DMCMP with restrictive/HFPEF phenotype is limited to diuretics and lifestyle modification, whereas DMCMP with dilated/HFREF phenotype is treated in accordance to HF guidelines.","author":[{"dropping-particle":"","family":"Seferović","given":"Petar M.","non-dropping-particle":"","parse-names":false,"suffix":""},{"dropping-particle":"","family":"Paulus","given":"Walter J.","non-dropping-particle":"","parse-names":false,"suffix":""}],"container-title":"European Heart Journal","id":"ITEM-1","issue":"27","issued":{"date-parts":[["2015"]]},"page":"1718-1727","title":"Clinical diabetic cardiomyopathy: A two-faced disease with restrictive and dilated phenotypes","type":"article-journal","volume":"36"},"uris":["http://www.mendeley.com/documents/?uuid=34545fe8-79a9-4e76-a440-d9c8434b0a51"]},{"id":"ITEM-2","itemData":{"DOI":"10.3109/08916934.2015.1134509","ISSN":"1607842X","abstract":"Diabetic cardiomyopathy (DC) is an independent phenotype of diabetic cardiovascular disease. The understanding of the pathogenesis of DC in young patients with type 1 diabetes (T1D) is limited. The cardiac insults of diabetic ketoacidosis (DKA) and progression of DC could include development of antibodies (Abs) to cardiac self-antigens (SAgs) such as: myosin (M), vimentin (V) and k-alpha 1 tubulin (Kα1T). The goal of this study is to determine if the insults of severe DKA and its inflammatory cascade are associated with immune responses to SAgs. Development of Abs to the SAgs were determined by an ELISA using sera collected at three time points in relation to severe DKA (pH &lt; 7.2). Results demonstrate significant differences between the development of Abs to VIM and a previously reported diastolic abnormality (DA) during DKA and its treatment and a NDA group at 2-3 months post DKA (p = 0.0452). A significant association is present between T1D duration (&lt;3 years) and Abs to Kα1T (p = 0.0134). Further, Abs to MYO and VIM are associated with inflammatory cytokines. We propose that severe DKA initiates the synthesis of Abs to cardiac SAgs that are involved in the early immunopathogenesis of DC in young patients with T1D.","author":[{"dropping-particle":"","family":"Hoffman","given":"William H.","non-dropping-particle":"","parse-names":false,"suffix":""},{"dropping-particle":"","family":"Sharma","given":"Monal","non-dropping-particle":"","parse-names":false,"suffix":""},{"dropping-particle":"","family":"Cihakova","given":"Daniela","non-dropping-particle":"","parse-names":false,"suffix":""},{"dropping-particle":"V.","family":"Talor","given":"Monica","non-dropping-particle":"","parse-names":false,"suffix":""},{"dropping-particle":"","family":"Rose","given":"Noel R.","non-dropping-particle":"","parse-names":false,"suffix":""},{"dropping-particle":"","family":"Mohanakumar","given":"T.","non-dropping-particle":"","parse-names":false,"suffix":""},{"dropping-particle":"","family":"Passmore","given":"Gregory G.","non-dropping-particle":"","parse-names":false,"suffix":""}],"container-title":"Autoimmunity","id":"ITEM-2","issue":"3","issued":{"date-parts":[["2016","4","2"]]},"page":"188-196","publisher":"Taylor and Francis Ltd","title":"Cardiac antibody production to self-antigens in children and adolescents during and following the correction of severe diabetic ketoacidosis","type":"article-journal","volume":"49"},"uris":["http://www.mendeley.com/documents/?uuid=19d5beb2-cde0-354a-94ee-ca6c674912a5"]}],"mendeley":{"formattedCitation":"(38,105)","plainTextFormattedCitation":"(38,105)","previouslyFormattedCitation":"(38,105)"},"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(38,105)</w:t>
      </w:r>
      <w:r w:rsidR="000F3AD7" w:rsidRPr="004661E9">
        <w:rPr>
          <w:rFonts w:ascii="Arial" w:hAnsi="Arial" w:cs="Arial"/>
        </w:rPr>
        <w:fldChar w:fldCharType="end"/>
      </w:r>
      <w:r w:rsidR="008D5195" w:rsidRPr="004661E9">
        <w:rPr>
          <w:rFonts w:ascii="Arial" w:hAnsi="Arial" w:cs="Arial"/>
        </w:rPr>
        <w:t>.</w:t>
      </w:r>
      <w:r w:rsidR="00DE6DF3" w:rsidRPr="004661E9">
        <w:rPr>
          <w:rFonts w:ascii="Arial" w:hAnsi="Arial" w:cs="Arial"/>
        </w:rPr>
        <w:t xml:space="preserve"> A recent report from a prospective cohort study showed that </w:t>
      </w:r>
      <w:r w:rsidR="00D67CC4" w:rsidRPr="004661E9">
        <w:rPr>
          <w:rFonts w:ascii="Arial" w:hAnsi="Arial" w:cs="Arial"/>
        </w:rPr>
        <w:t>participants</w:t>
      </w:r>
      <w:r w:rsidR="00DE6DF3" w:rsidRPr="004661E9">
        <w:rPr>
          <w:rFonts w:ascii="Arial" w:hAnsi="Arial" w:cs="Arial"/>
        </w:rPr>
        <w:t xml:space="preserve"> with T1DM and uncontrolled glycemia (HbA1c </w:t>
      </w:r>
      <m:oMath>
        <m:r>
          <w:rPr>
            <w:rFonts w:ascii="Cambria Math" w:hAnsi="Cambria Math" w:cs="Arial"/>
          </w:rPr>
          <m:t>≥</m:t>
        </m:r>
      </m:oMath>
      <w:r w:rsidR="00DE6DF3" w:rsidRPr="004661E9">
        <w:rPr>
          <w:rFonts w:ascii="Arial" w:hAnsi="Arial" w:cs="Arial"/>
        </w:rPr>
        <w:t xml:space="preserve"> 9.0%) </w:t>
      </w:r>
      <w:r w:rsidR="002B15E5" w:rsidRPr="004661E9">
        <w:rPr>
          <w:rFonts w:ascii="Arial" w:hAnsi="Arial" w:cs="Arial"/>
        </w:rPr>
        <w:t>have a high prevalence of cardiac autoantibodies with an antibody profile similar to that seen in patients with chronic Chagas cardiomyopathy</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{"citationItems":[{"id":"ITEM-1","itemData":{"DOI":"10.1161/CIRCULATIONAHA.118.036068","ISSN":"0009-7322","abstract":"BACKGROUND: Poor glycemic control is associated with increased risk of cardiovascular disease (CVD) in type 1 diabetes mellitus (T1DM); however, little is known about mechanisms specific to T1DM. In T1DM, myocardial injury can induce persistent cardiac autoimmunity. Chronic hyperglycemia causes myocardial injury, raising the possibility that hyperglycemia-induced cardiac autoimmunity could contribute to long-term CVD complications in T1DM. METHODS: We measured the prevalence and profiles of cardiac autoantibodies (AAbs) in longitudinal samples from the DCCT (Diabetes Control and Complications Trial) in participants with mean hemoglobin A1c(HbA1c) ≥9.0% (n=83) and ≤7.0% (n=83) during DCCT. We assessed subsequent coronary artery calcification (measured once during years 7–9 in the post-DCCT EDIC [Epidemiology of Diabetes Interventions and Complications] observational study), high-sensitivity C-reactive protein (measured during EDIC years 4–6), and CVD events (defined as nonfatal myocardial infarction, stroke, death resulting from CVD, heart failure, or coronary artery bypass graft) over a 26-year median followup. Cardiac AAbs were also measured in matched patients with type 2 diabetes mellitus with HbA1c≥9.0% (n=70) and ≤7.0% (n=140) and, as a control for cardiac autoimmunity, patients with Chagas cardiomyopathy (n=51). RESULTS: Apart from HbA1clevels, the DCCT groups shared similar CVD risk factors at the beginning and end of DCCT. The DCCT HbA1c≥9.0% group showed markedly higher cardiac AAb levels than the HbA1c≤7.0% group during DCCT, with a progressive increase and decrease in AAb levels over time in the 2 groups, respectively (P&lt;0.001). In the HbA1c≥9.0% group, 46%, 22%, and 11% tested positive for ≥1, ≥2, and ≥3 different cardiac AAb types, respectively, similar to patients with Chagas cardiomyopathy, compared with 2%, 1%, and 0% in the HbA1c≤7.0% group. Glycemic control was not associated with AAb prevalence in type 2 diabetes mellitus. Positivity for ≥2 AAbs during DCCT was associated with increased risk of CVD events (4 of 6; hazard ratio, 16.1; 95% CI, 3.0–88.2) and, in multivariable analyses, with detectable coronary artery calcification (13 of 31; odds ratio, 60.1; 95% CI, 8.4–410.0). Patients with ≥2 AAbs subsequently also showed elevated high-sensitivity C-reactive protein levels (6.0 mg/L versus 1.4 mg/L in patients with ≤1 AAbs; P=0.003). CONCLUSIONS: Poor glycemic control is associated with cardiac autoimmunity in T1DM. Furthermore, cardi…","author":[{"dropping-particle":"","family":"Sousa","given":"Giovane R.","non-dropping-particle":"","parse-names":false,"suffix":""},{"dropping-particle":"","family":"Pober","given":"David","non-dropping-particle":"","parse-names":false,"suffix":""},{"dropping-particle":"","family":"Galderisi","given":"Alfonso","non-dropping-particle":"","parse-names":false,"suffix":""},{"dropping-particle":"","family":"Lv","given":"HuiJuan","non-dropping-particle":"","parse-names":false,"suffix":""},{"dropping-particle":"","family":"Yu","given":"Liping","non-dropping-particle":"","parse-names":false,"suffix":""},{"dropping-particle":"","family":"Pereira","given":"Alexandre C.","non-dropping-particle":"","parse-names":false,"suffix":""},{"dropping-particle":"","family":"Doria","given":"Alessandro","non-dropping-particle":"","parse-names":false,"suffix":""},{"dropping-particle":"","family":"Kosiborod","given":"Mikhail","non-dropping-particle":"","parse-names":false,"suffix":""},{"dropping-particle":"","family":"Lipes","given":"Myra A.","non-dropping-particle":"","parse-names":false,"suffix":""}],"container-title":"Circulation","id":"ITEM-1","issue":"6","issued":{"date-parts":[["2019","2","5"]]},"page":"730-743","publisher":"Lippincott Williams and Wilkins","title":"Glycemic Control, Cardiac Autoimmunity, and Long-Term Risk of Cardiovascular Disease in Type 1 Diabetes Mellitus","type":"article-journal","volume":"139"},"uris":["http://www.mendeley.com/documents/?uuid=30d87044-6294-3f15-8290-622521d2f18f"]}],"mendeley":{"formattedCitation":"(106)","plainTextFormattedCitation":"(106)","previouslyFormattedCitation":"(106)"},"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(106)</w:t>
      </w:r>
      <w:r w:rsidR="000F3AD7" w:rsidRPr="004661E9">
        <w:rPr>
          <w:rFonts w:ascii="Arial" w:hAnsi="Arial" w:cs="Arial"/>
        </w:rPr>
        <w:fldChar w:fldCharType="end"/>
      </w:r>
      <w:r w:rsidR="008D5195" w:rsidRPr="004661E9">
        <w:rPr>
          <w:rFonts w:ascii="Arial" w:hAnsi="Arial" w:cs="Arial"/>
        </w:rPr>
        <w:t>.</w:t>
      </w:r>
      <w:r w:rsidR="002B15E5" w:rsidRPr="004661E9">
        <w:rPr>
          <w:rFonts w:ascii="Arial" w:hAnsi="Arial" w:cs="Arial"/>
        </w:rPr>
        <w:t xml:space="preserve"> Moreover, cardiac autoantibody positivity </w:t>
      </w:r>
      <w:r w:rsidR="00543EDD" w:rsidRPr="004661E9">
        <w:rPr>
          <w:rFonts w:ascii="Arial" w:hAnsi="Arial" w:cs="Arial"/>
        </w:rPr>
        <w:t>predicted</w:t>
      </w:r>
      <w:r w:rsidR="002B15E5" w:rsidRPr="004661E9">
        <w:rPr>
          <w:rFonts w:ascii="Arial" w:hAnsi="Arial" w:cs="Arial"/>
        </w:rPr>
        <w:t xml:space="preserve"> </w:t>
      </w:r>
      <w:r w:rsidR="002B15E5" w:rsidRPr="004661E9">
        <w:rPr>
          <w:rFonts w:ascii="Arial" w:hAnsi="Arial" w:cs="Arial"/>
          <w:shd w:val="clear" w:color="auto" w:fill="FFFFFF"/>
        </w:rPr>
        <w:t xml:space="preserve">elevated </w:t>
      </w:r>
      <w:r w:rsidR="00A2479A" w:rsidRPr="004661E9">
        <w:rPr>
          <w:rFonts w:ascii="Arial" w:hAnsi="Arial" w:cs="Arial"/>
          <w:shd w:val="clear" w:color="auto" w:fill="FFFFFF"/>
        </w:rPr>
        <w:t>high</w:t>
      </w:r>
      <w:r w:rsidR="00543EDD" w:rsidRPr="004661E9">
        <w:rPr>
          <w:rFonts w:ascii="Arial" w:hAnsi="Arial" w:cs="Arial"/>
          <w:shd w:val="clear" w:color="auto" w:fill="FFFFFF"/>
        </w:rPr>
        <w:t>-</w:t>
      </w:r>
      <w:r w:rsidR="00A2479A" w:rsidRPr="004661E9">
        <w:rPr>
          <w:rFonts w:ascii="Arial" w:hAnsi="Arial" w:cs="Arial"/>
          <w:shd w:val="clear" w:color="auto" w:fill="FFFFFF"/>
        </w:rPr>
        <w:t>sensitivity C-reactive protein</w:t>
      </w:r>
      <w:r w:rsidR="002B15E5" w:rsidRPr="004661E9">
        <w:rPr>
          <w:rFonts w:ascii="Arial" w:hAnsi="Arial" w:cs="Arial"/>
          <w:shd w:val="clear" w:color="auto" w:fill="FFFFFF"/>
        </w:rPr>
        <w:t xml:space="preserve"> and </w:t>
      </w:r>
      <w:r w:rsidR="00A2479A" w:rsidRPr="004661E9">
        <w:rPr>
          <w:rFonts w:ascii="Arial" w:hAnsi="Arial" w:cs="Arial"/>
          <w:shd w:val="clear" w:color="auto" w:fill="FFFFFF"/>
        </w:rPr>
        <w:t xml:space="preserve">the </w:t>
      </w:r>
      <w:r w:rsidR="002B15E5" w:rsidRPr="004661E9">
        <w:rPr>
          <w:rFonts w:ascii="Arial" w:hAnsi="Arial" w:cs="Arial"/>
          <w:shd w:val="clear" w:color="auto" w:fill="FFFFFF"/>
        </w:rPr>
        <w:t>future risk of CVD events.</w:t>
      </w:r>
      <w:r w:rsidR="00616DAB" w:rsidRPr="004661E9">
        <w:rPr>
          <w:rFonts w:ascii="Arial" w:hAnsi="Arial" w:cs="Arial"/>
          <w:shd w:val="clear" w:color="auto" w:fill="FFFFFF"/>
        </w:rPr>
        <w:t xml:space="preserve"> Interestingly, cardiac autoimmunity was lower in </w:t>
      </w:r>
      <w:r w:rsidR="00D67CC4" w:rsidRPr="004661E9">
        <w:rPr>
          <w:rFonts w:ascii="Arial" w:hAnsi="Arial" w:cs="Arial"/>
          <w:shd w:val="clear" w:color="auto" w:fill="FFFFFF"/>
        </w:rPr>
        <w:t>participants</w:t>
      </w:r>
      <w:r w:rsidR="00616DAB" w:rsidRPr="004661E9">
        <w:rPr>
          <w:rFonts w:ascii="Arial" w:hAnsi="Arial" w:cs="Arial"/>
          <w:shd w:val="clear" w:color="auto" w:fill="FFFFFF"/>
        </w:rPr>
        <w:t xml:space="preserve"> with controlled T1DM (HbA1c &lt;7.0%) compared to those with uncontrolled </w:t>
      </w:r>
      <w:r w:rsidR="00616DAB" w:rsidRPr="004661E9">
        <w:rPr>
          <w:rFonts w:ascii="Arial" w:hAnsi="Arial" w:cs="Arial"/>
        </w:rPr>
        <w:t xml:space="preserve">(HbA1c </w:t>
      </w:r>
      <m:oMath>
        <m:r>
          <w:rPr>
            <w:rFonts w:ascii="Cambria Math" w:hAnsi="Cambria Math" w:cs="Arial"/>
          </w:rPr>
          <m:t>≥</m:t>
        </m:r>
      </m:oMath>
      <w:r w:rsidR="00616DAB" w:rsidRPr="004661E9">
        <w:rPr>
          <w:rFonts w:ascii="Arial" w:hAnsi="Arial" w:cs="Arial"/>
        </w:rPr>
        <w:t>9.0%)</w:t>
      </w:r>
      <w:r w:rsidR="00F80255" w:rsidRPr="004661E9">
        <w:rPr>
          <w:rFonts w:ascii="Arial" w:hAnsi="Arial" w:cs="Arial"/>
          <w:shd w:val="clear" w:color="auto" w:fill="FFFFFF"/>
        </w:rPr>
        <w:t>.</w:t>
      </w:r>
      <w:r w:rsidR="000D3E65" w:rsidRPr="004661E9">
        <w:rPr>
          <w:rFonts w:ascii="Arial" w:hAnsi="Arial" w:cs="Arial"/>
          <w:shd w:val="clear" w:color="auto" w:fill="FFFFFF"/>
        </w:rPr>
        <w:t xml:space="preserve"> </w:t>
      </w:r>
      <w:r w:rsidR="00F80255" w:rsidRPr="004661E9">
        <w:rPr>
          <w:rFonts w:ascii="Arial" w:hAnsi="Arial" w:cs="Arial"/>
          <w:shd w:val="clear" w:color="auto" w:fill="FFFFFF"/>
        </w:rPr>
        <w:t xml:space="preserve">The specific role of cardiac autoimmunity in </w:t>
      </w:r>
      <w:r w:rsidR="00A17C81" w:rsidRPr="004661E9">
        <w:rPr>
          <w:rFonts w:ascii="Arial" w:hAnsi="Arial" w:cs="Arial"/>
          <w:shd w:val="clear" w:color="auto" w:fill="FFFFFF"/>
        </w:rPr>
        <w:t xml:space="preserve">the </w:t>
      </w:r>
      <w:r w:rsidR="00F80255" w:rsidRPr="004661E9">
        <w:rPr>
          <w:rFonts w:ascii="Arial" w:hAnsi="Arial" w:cs="Arial"/>
          <w:shd w:val="clear" w:color="auto" w:fill="FFFFFF"/>
        </w:rPr>
        <w:t xml:space="preserve">development and progression of diabetic </w:t>
      </w:r>
      <w:r w:rsidR="00165050" w:rsidRPr="004661E9">
        <w:rPr>
          <w:rFonts w:ascii="Arial" w:hAnsi="Arial" w:cs="Arial"/>
        </w:rPr>
        <w:t>cardiomyopathy</w:t>
      </w:r>
      <w:r w:rsidR="00F80255" w:rsidRPr="004661E9">
        <w:rPr>
          <w:rFonts w:ascii="Arial" w:hAnsi="Arial" w:cs="Arial"/>
          <w:shd w:val="clear" w:color="auto" w:fill="FFFFFF"/>
        </w:rPr>
        <w:t xml:space="preserve"> remains to be further explored. </w:t>
      </w:r>
    </w:p>
    <w:p w14:paraId="57CF8C00" w14:textId="77777777" w:rsidR="008D5195" w:rsidRPr="004661E9" w:rsidRDefault="008D5195" w:rsidP="004661E9">
      <w:pPr>
        <w:spacing w:after="0" w:line="276" w:lineRule="auto"/>
        <w:rPr>
          <w:rFonts w:ascii="Arial" w:hAnsi="Arial" w:cs="Arial"/>
          <w:b/>
          <w:bCs/>
        </w:rPr>
      </w:pPr>
    </w:p>
    <w:p w14:paraId="15632389" w14:textId="07C95131" w:rsidR="00451B55" w:rsidRPr="004661E9" w:rsidRDefault="00451B55" w:rsidP="004661E9">
      <w:pPr>
        <w:spacing w:after="0" w:line="276" w:lineRule="auto"/>
        <w:rPr>
          <w:rFonts w:ascii="Arial" w:hAnsi="Arial" w:cs="Arial"/>
          <w:b/>
          <w:bCs/>
          <w:color w:val="00B050"/>
        </w:rPr>
      </w:pPr>
      <w:r w:rsidRPr="004661E9">
        <w:rPr>
          <w:rFonts w:ascii="Arial" w:hAnsi="Arial" w:cs="Arial"/>
          <w:b/>
          <w:bCs/>
          <w:color w:val="00B050"/>
        </w:rPr>
        <w:t xml:space="preserve">Overactivation of </w:t>
      </w:r>
      <w:r w:rsidR="00543EDD" w:rsidRPr="004661E9">
        <w:rPr>
          <w:rFonts w:ascii="Arial" w:hAnsi="Arial" w:cs="Arial"/>
          <w:b/>
          <w:bCs/>
          <w:color w:val="00B050"/>
        </w:rPr>
        <w:t xml:space="preserve">the </w:t>
      </w:r>
      <w:r w:rsidRPr="004661E9">
        <w:rPr>
          <w:rFonts w:ascii="Arial" w:hAnsi="Arial" w:cs="Arial"/>
          <w:b/>
          <w:bCs/>
          <w:color w:val="00B050"/>
        </w:rPr>
        <w:t>Renin-Angiotensin-Aldosterone System</w:t>
      </w:r>
    </w:p>
    <w:p w14:paraId="7B66BC59" w14:textId="77777777" w:rsidR="008D5195" w:rsidRPr="004661E9" w:rsidRDefault="008D5195" w:rsidP="004661E9">
      <w:pPr>
        <w:spacing w:after="0" w:line="276" w:lineRule="auto"/>
        <w:rPr>
          <w:rFonts w:ascii="Arial" w:hAnsi="Arial" w:cs="Arial"/>
        </w:rPr>
      </w:pPr>
    </w:p>
    <w:p w14:paraId="503075FA" w14:textId="51DC13A5" w:rsidR="008D5195" w:rsidRPr="004661E9" w:rsidRDefault="008C5378" w:rsidP="004661E9">
      <w:pPr>
        <w:spacing w:after="0" w:line="276" w:lineRule="auto"/>
        <w:rPr>
          <w:rFonts w:ascii="Arial" w:hAnsi="Arial" w:cs="Arial"/>
        </w:rPr>
      </w:pPr>
      <w:r w:rsidRPr="004661E9">
        <w:rPr>
          <w:rFonts w:ascii="Arial" w:hAnsi="Arial" w:cs="Arial"/>
        </w:rPr>
        <w:t xml:space="preserve">Overactivation of </w:t>
      </w:r>
      <w:r w:rsidR="00A17C81" w:rsidRPr="004661E9">
        <w:rPr>
          <w:rFonts w:ascii="Arial" w:hAnsi="Arial" w:cs="Arial"/>
        </w:rPr>
        <w:t xml:space="preserve">the </w:t>
      </w:r>
      <w:r w:rsidRPr="004661E9">
        <w:rPr>
          <w:rFonts w:ascii="Arial" w:hAnsi="Arial" w:cs="Arial"/>
        </w:rPr>
        <w:t>renin-angiotensin-aldosterone system</w:t>
      </w:r>
      <w:r w:rsidR="009906B3" w:rsidRPr="004661E9">
        <w:rPr>
          <w:rFonts w:ascii="Arial" w:hAnsi="Arial" w:cs="Arial"/>
        </w:rPr>
        <w:t xml:space="preserve"> (RAAS)</w:t>
      </w:r>
      <w:r w:rsidRPr="004661E9">
        <w:rPr>
          <w:rFonts w:ascii="Arial" w:hAnsi="Arial" w:cs="Arial"/>
        </w:rPr>
        <w:t xml:space="preserve"> constitutes a </w:t>
      </w:r>
      <w:r w:rsidR="00543EDD" w:rsidRPr="004661E9">
        <w:rPr>
          <w:rFonts w:ascii="Arial" w:hAnsi="Arial" w:cs="Arial"/>
        </w:rPr>
        <w:t>robust</w:t>
      </w:r>
      <w:r w:rsidRPr="004661E9">
        <w:rPr>
          <w:rFonts w:ascii="Arial" w:hAnsi="Arial" w:cs="Arial"/>
        </w:rPr>
        <w:t xml:space="preserve"> </w:t>
      </w:r>
      <w:r w:rsidR="008D5195" w:rsidRPr="004661E9">
        <w:rPr>
          <w:rFonts w:ascii="Arial" w:hAnsi="Arial" w:cs="Arial"/>
        </w:rPr>
        <w:t>p</w:t>
      </w:r>
      <w:r w:rsidRPr="004661E9">
        <w:rPr>
          <w:rFonts w:ascii="Arial" w:hAnsi="Arial" w:cs="Arial"/>
        </w:rPr>
        <w:t xml:space="preserve">athophysiologic link between </w:t>
      </w:r>
      <w:r w:rsidR="00A36DE2" w:rsidRPr="004661E9">
        <w:rPr>
          <w:rFonts w:ascii="Arial" w:hAnsi="Arial" w:cs="Arial"/>
        </w:rPr>
        <w:t>diabetes</w:t>
      </w:r>
      <w:r w:rsidRPr="004661E9">
        <w:rPr>
          <w:rFonts w:ascii="Arial" w:hAnsi="Arial" w:cs="Arial"/>
        </w:rPr>
        <w:t xml:space="preserve">, obesity, </w:t>
      </w:r>
      <w:r w:rsidR="006C258B" w:rsidRPr="004661E9">
        <w:rPr>
          <w:rFonts w:ascii="Arial" w:hAnsi="Arial" w:cs="Arial"/>
        </w:rPr>
        <w:t>hypertension</w:t>
      </w:r>
      <w:r w:rsidRPr="004661E9">
        <w:rPr>
          <w:rFonts w:ascii="Arial" w:hAnsi="Arial" w:cs="Arial"/>
        </w:rPr>
        <w:t xml:space="preserve">, and </w:t>
      </w:r>
      <w:r w:rsidR="006C258B" w:rsidRPr="004661E9">
        <w:rPr>
          <w:rFonts w:ascii="Arial" w:hAnsi="Arial" w:cs="Arial"/>
        </w:rPr>
        <w:t>HF</w:t>
      </w:r>
      <w:r w:rsidR="008D5195"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(34)</w:t>
      </w:r>
      <w:r w:rsidR="000F3AD7" w:rsidRPr="004661E9">
        <w:rPr>
          <w:rFonts w:ascii="Arial" w:hAnsi="Arial" w:cs="Arial"/>
        </w:rPr>
        <w:fldChar w:fldCharType="end"/>
      </w:r>
      <w:r w:rsidR="008D5195" w:rsidRPr="004661E9">
        <w:rPr>
          <w:rFonts w:ascii="Arial" w:hAnsi="Arial" w:cs="Arial"/>
        </w:rPr>
        <w:t>.</w:t>
      </w:r>
      <w:r w:rsidR="00E86E9E" w:rsidRPr="004661E9">
        <w:rPr>
          <w:rFonts w:ascii="Arial" w:hAnsi="Arial" w:cs="Arial"/>
        </w:rPr>
        <w:t xml:space="preserve"> </w:t>
      </w:r>
      <w:r w:rsidR="00572702" w:rsidRPr="004661E9">
        <w:rPr>
          <w:rFonts w:ascii="Arial" w:hAnsi="Arial" w:cs="Arial"/>
        </w:rPr>
        <w:t xml:space="preserve">The </w:t>
      </w:r>
      <w:r w:rsidR="00543EDD" w:rsidRPr="004661E9">
        <w:rPr>
          <w:rFonts w:ascii="Arial" w:hAnsi="Arial" w:cs="Arial"/>
        </w:rPr>
        <w:t>typical</w:t>
      </w:r>
      <w:r w:rsidR="00572702" w:rsidRPr="004661E9">
        <w:rPr>
          <w:rFonts w:ascii="Arial" w:hAnsi="Arial" w:cs="Arial"/>
        </w:rPr>
        <w:t xml:space="preserve"> features of RAAS overactivation are elevated serum angiotensin and aldosterone levels and </w:t>
      </w:r>
      <w:r w:rsidR="00A13863" w:rsidRPr="004661E9">
        <w:rPr>
          <w:rFonts w:ascii="Arial" w:hAnsi="Arial" w:cs="Arial"/>
        </w:rPr>
        <w:t xml:space="preserve">the </w:t>
      </w:r>
      <w:r w:rsidR="00572702" w:rsidRPr="004661E9">
        <w:rPr>
          <w:rFonts w:ascii="Arial" w:hAnsi="Arial" w:cs="Arial"/>
        </w:rPr>
        <w:t>upregulation of angiotensin and mineralocorticoid receptors</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{"citationItems":[{"id":"ITEM-1","itemData":{"DOI":"10.1007/s00125-017-4390-4","ISSN":"14320428","abstract":"Diabetic cardiomyopathy is characterised in its early stages by diastolic relaxation abnormalities and later by clinical heart failure in the absence of dyslipidaemia, hypertension and coronary artery disease. Insulin resistance, hyperinsulinaemia and hyperglycaemia are each independent risk factors for the development of diabetic cardiomyopathy. The pathophysiological factors in diabetes that drive the development of cardiomyopathy include systemic metabolic disorders, inappropriate activation of the renin–angiotensin–aldosterone system, subcellular component abnormalities, oxidative stress, inflammation and dysfunctional immune modulation. These abnormalities collectively promote cardiac tissue interstitial fibrosis, cardiac stiffness/diastolic dysfunction and, later, systolic dysfunction, precipitating the syndrome of clinical heart failure. Recent evidence has revealed that dysregulation of coronary endothelial cells and exosomes also contributes to the pathology behind diabetic cardiomyopathy. Herein, we review the relationships among insulin resistance/hyperinsulinaemia, hyperglycaemia and the development of cardiac dysfunction. We summarise the current understanding of the pathophysiological mechanisms in diabetic cardiomyopathy and explore potential preventative and therapeutic strategies.","author":[{"dropping-particle":"","family":"Jia","given":"Guanghong","non-dropping-particle":"","parse-names":false,"suffix":""},{"dropping-particle":"","family":"Whaley-Connell","given":"Adam","non-dropping-particle":"","parse-names":false,"suffix":""},{"dropping-particle":"","family":"Sowers","given":"James R.","non-dropping-particle":"","parse-names":false,"suffix":""}],"container-title":"Diabetologia","id":"ITEM-1","issue":"1","issued":{"date-parts":[["2018","1","1"]]},"page":"21-28","publisher":"Springer Verlag","title":"Diabetic cardiomyopathy: a hyperglycaemia- and insulin-resistance-induced heart disease","type":"article-journal","volume":"61"},"uris":["http://www.mendeley.com/documents/?uuid=a1b702bc-ae6a-3a4b-b5a1-9445557a7e0b"]},{"id":"ITEM-2","itemData":{"DOI":"10.1042/cs0900189","ISSN":"01435221","PMID":"8777824","abstract":"1. In insulin-dependent diabetes mellitus, hyperglycaemia has a profound effect on renal and systemic haemodynamic function. The mechanism for this is unknown. 2. We conducted a study in 11 males with insulin-dependent diabetes mellitus, within 6 years of diagnosis. We examined the neurohumoral, haemodynamic and renal variables during euglycaemia (4.0-6.0 mmol/l) and after a 12 h period of hyperglycaemia (8.5-10.5 mmol/l). Subjects were examined in a sodium-replete state during supine rest and during simulated orthostatic stress induced by lower body negative pressure at -15 mmHg. 3. Variations in glycaemia markedly influenced plasma renin activity, which was increased at baseline during hyperglycaemia (3.82 ± 0.66 pmol of angiotensin I h-1 ml-1 compared with 2.13 ± 0.33 pmol of angiotensin I h-1 ml-1 during euglycaemia, P= 0.009), and rose further during simulated orthostatic stress. Mean arterial pressure was also elevated during hyperglycaemia (89 ± 2 mmHg compared with 81 ± 3 mmHg during euglycaemia, P = 0.03), both at rest and during orthostatic stress. 4. The renal haemodynamic effects of hyperglycaemia included maintenance of glomerular filtration rate in the face of significant declines in renal blood flow, and a probable increase in filtration fraction (0.21 ± 0.01 compared with 0.18 ± 0.01 during euglycaemia, P = 0.06). The responses of mean arterial pressure and renal blood flow to simulated orthostatic stress were not affected by hyperglycaemia, but the forearm vascular response was significantly augmented. 5. These data suggest that sustained hyperglycaemia activates the renin-angiotensin system, thereby increasing systemic and renal vasomotor tone. Over time such changes may have deleterious microvascular consequences.","author":[{"dropping-particle":"","family":"Miller","given":"Judith A.","non-dropping-particle":"","parse-names":false,"suffix":""},{"dropping-particle":"","family":"Floras","given":"John S.","non-dropping-particle":"","parse-names":false,"suffix":""},{"dropping-particle":"","family":"Zinman","given":"Bernard","non-dropping-particle":"","parse-names":false,"suffix":""},{"dropping-particle":"","family":"Skorecki","given":"Karl L.","non-dropping-particle":"","parse-names":false,"suffix":""},{"dropping-particle":"","family":"Logan","given":"Alexander G.","non-dropping-particle":"","parse-names":false,"suffix":""}],"container-title":"Clinical Science","id":"ITEM-2","issue":"3","issued":{"date-parts":[["1996"]]},"page":"189-195","publisher":"Portland Press Ltd","title":"Effect of hyperglycaemia on arterial pressure, plasma renin activity and renal function in early diabetes","type":"article-journal","volume":"90"},"uris":["http://www.mendeley.com/documents/?uuid=205f263b-ce46-36e7-8246-2427cded7456"]}],"mendeley":{"formattedCitation":"(91,107)","plainTextFormattedCitation":"(91,107)","previouslyFormattedCitation":"(91,107)"},"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(91,107)</w:t>
      </w:r>
      <w:r w:rsidR="000F3AD7" w:rsidRPr="004661E9">
        <w:rPr>
          <w:rFonts w:ascii="Arial" w:hAnsi="Arial" w:cs="Arial"/>
        </w:rPr>
        <w:fldChar w:fldCharType="end"/>
      </w:r>
      <w:r w:rsidR="008D5195" w:rsidRPr="004661E9">
        <w:rPr>
          <w:rFonts w:ascii="Arial" w:hAnsi="Arial" w:cs="Arial"/>
        </w:rPr>
        <w:t>.</w:t>
      </w:r>
      <w:r w:rsidR="00572702" w:rsidRPr="004661E9">
        <w:rPr>
          <w:rFonts w:ascii="Arial" w:hAnsi="Arial" w:cs="Arial"/>
        </w:rPr>
        <w:t xml:space="preserve"> </w:t>
      </w:r>
      <w:r w:rsidR="00EB04B0" w:rsidRPr="004661E9">
        <w:rPr>
          <w:rFonts w:ascii="Arial" w:hAnsi="Arial" w:cs="Arial"/>
        </w:rPr>
        <w:t>There i</w:t>
      </w:r>
      <w:r w:rsidR="003934BD" w:rsidRPr="004661E9">
        <w:rPr>
          <w:rFonts w:ascii="Arial" w:hAnsi="Arial" w:cs="Arial"/>
        </w:rPr>
        <w:t xml:space="preserve">s a bidirectional relationship between RAAS activation and dysglycemia. </w:t>
      </w:r>
      <w:r w:rsidR="00E86E9E" w:rsidRPr="004661E9">
        <w:rPr>
          <w:rFonts w:ascii="Arial" w:hAnsi="Arial" w:cs="Arial"/>
        </w:rPr>
        <w:t xml:space="preserve">Hyperglycemia and IR </w:t>
      </w:r>
      <w:r w:rsidR="003934BD" w:rsidRPr="004661E9">
        <w:rPr>
          <w:rFonts w:ascii="Arial" w:hAnsi="Arial" w:cs="Arial"/>
        </w:rPr>
        <w:t xml:space="preserve">can activate the </w:t>
      </w:r>
      <w:r w:rsidR="00A2479A" w:rsidRPr="004661E9">
        <w:rPr>
          <w:rFonts w:ascii="Arial" w:hAnsi="Arial" w:cs="Arial"/>
        </w:rPr>
        <w:t>RAAS</w:t>
      </w:r>
      <w:r w:rsidR="0015065B" w:rsidRPr="004661E9">
        <w:rPr>
          <w:rFonts w:ascii="Arial" w:hAnsi="Arial" w:cs="Arial"/>
        </w:rPr>
        <w:t>,</w:t>
      </w:r>
      <w:r w:rsidR="003934BD" w:rsidRPr="004661E9">
        <w:rPr>
          <w:rFonts w:ascii="Arial" w:hAnsi="Arial" w:cs="Arial"/>
        </w:rPr>
        <w:t xml:space="preserve"> and in return</w:t>
      </w:r>
      <w:r w:rsidR="0015065B" w:rsidRPr="004661E9">
        <w:rPr>
          <w:rFonts w:ascii="Arial" w:hAnsi="Arial" w:cs="Arial"/>
        </w:rPr>
        <w:t>,</w:t>
      </w:r>
      <w:r w:rsidR="00572702" w:rsidRPr="004661E9">
        <w:rPr>
          <w:rFonts w:ascii="Arial" w:hAnsi="Arial" w:cs="Arial"/>
        </w:rPr>
        <w:t xml:space="preserve"> RAAS induces systemic and cardiac </w:t>
      </w:r>
      <w:r w:rsidR="009906B3" w:rsidRPr="004661E9">
        <w:rPr>
          <w:rFonts w:ascii="Arial" w:hAnsi="Arial" w:cs="Arial"/>
        </w:rPr>
        <w:t>IR</w:t>
      </w:r>
      <w:r w:rsidR="00572702" w:rsidRPr="004661E9">
        <w:rPr>
          <w:rFonts w:ascii="Arial" w:hAnsi="Arial" w:cs="Arial"/>
        </w:rPr>
        <w:t xml:space="preserve"> and contributes to oxidative stress in cardiomyocytes by increasing the activity of NADPH oxidase</w:t>
      </w:r>
      <w:r w:rsidR="008D5195"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{"citationItems":[{"id":"ITEM-1","itemData":{"DOI":"10.1161/CIRCRESAHA.117.311586","ISSN":"15244571","abstract":"Heart failure and related morbidity and mortality are increasing at an alarming rate, in large part, because of increases in aging, obesity, and diabetes mellitus. The clinical outcomes associated with heart failure are considerably worse for patients with diabetes mellitus than for those without diabetes mellitus. In people with diabetes mellitus, the presence of myocardial dysfunction in the absence of overt clinical coronary artery disease, valvular disease, and other conventional cardiovascular risk factors, such as hypertension and dyslipidemia, has led to the descriptive terminology, diabetic cardiomyopathy. The prevalence of diabetic cardiomyopathy is increasing in parallel with the increase in diabetes mellitus. Diabetic cardiomyopathy is initially characterized by myocardial fibrosis, dysfunctional remodeling, and associated diastolic dysfunction, later by systolic dysfunction, and eventually by clinical heart failure. Impaired cardiac insulin metabolic signaling, mitochondrial dysfunction, increases in oxidative stress, reduced nitric oxide bioavailability, elevations in advanced glycation end products and collagen-based cardiomyocyte and extracellular matrix stiffness, impaired mitochondrial and cardiomyocyte calcium handling, inflammation, renin-angiotensin-aldosterone system activation, cardiac autonomic neuropathy, endoplasmic reticulum stress, microvascular dysfunction, and a myriad of cardiac metabolic abnormalities have all been implicated in the development and progression of diabetic cardiomyopathy. Molecular mechanisms linked to the underlying pathophysiological changes include abnormalities in AMP-Activated protein kinase, peroxisome proliferator-Activated receptors, O-linked N-Acetylglucosamine, protein kinase C, microRNA, and exosome pathways. The aim of this review is to provide a contemporary view of these instigators of diabetic cardiomyopathy, as well as mechanistically based strategies for the prevention and treatment of diabetic cardiomyopathy.","author":[{"dropping-particle":"","family":"Jia","given":"Guanghong","non-dropping-particle":"","parse-names":false,"suffix":""},{"dropping-particle":"","family":"Hill","given":"Michael A. A.","non-dropping-particle":"","parse-names":false,"suffix":""},{"dropping-particle":"","family":"Sowers","given":"James R. R.","non-dropping-particle":"","parse-names":false,"suffix":""}],"container-title":"Circulation Research","id":"ITEM-1","issue":"4","issued":{"date-parts":[["2018","2","1"]]},"page":"624-638","publisher":"Lippincott Williams and Wilkins","title":"Diabetic cardiomyopathy: An update of mechanisms contributing to this clinical entity","type":"article-journal","volume":"122"},"uris":["http://www.mendeley.com/documents/?uuid=43a20969-eaa0-4a81-ae95-93e52eb63579"]}],"mendeley":{"formattedCitation":"(7)","plainTextFormattedCitation":"(7)","previouslyFormattedCitation":"(7)"},"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(7)</w:t>
      </w:r>
      <w:r w:rsidR="000F3AD7" w:rsidRPr="004661E9">
        <w:rPr>
          <w:rFonts w:ascii="Arial" w:hAnsi="Arial" w:cs="Arial"/>
        </w:rPr>
        <w:fldChar w:fldCharType="end"/>
      </w:r>
      <w:r w:rsidR="008D5195" w:rsidRPr="004661E9">
        <w:rPr>
          <w:rFonts w:ascii="Arial" w:hAnsi="Arial" w:cs="Arial"/>
        </w:rPr>
        <w:t>.</w:t>
      </w:r>
    </w:p>
    <w:p w14:paraId="1756F04D" w14:textId="6A8D778E" w:rsidR="00451B55" w:rsidRPr="004661E9" w:rsidRDefault="00572702" w:rsidP="004661E9">
      <w:pPr>
        <w:spacing w:after="0" w:line="276" w:lineRule="auto"/>
        <w:rPr>
          <w:rFonts w:ascii="Arial" w:hAnsi="Arial" w:cs="Arial"/>
        </w:rPr>
      </w:pPr>
      <w:r w:rsidRPr="004661E9">
        <w:rPr>
          <w:rFonts w:ascii="Arial" w:hAnsi="Arial" w:cs="Arial"/>
        </w:rPr>
        <w:t xml:space="preserve"> </w:t>
      </w:r>
    </w:p>
    <w:p w14:paraId="1ECB822F" w14:textId="77777777" w:rsidR="00451B55" w:rsidRPr="004661E9" w:rsidRDefault="00451B55" w:rsidP="004661E9">
      <w:pPr>
        <w:spacing w:after="0" w:line="276" w:lineRule="auto"/>
        <w:rPr>
          <w:rFonts w:ascii="Arial" w:hAnsi="Arial" w:cs="Arial"/>
          <w:b/>
          <w:bCs/>
          <w:color w:val="00B050"/>
        </w:rPr>
      </w:pPr>
      <w:r w:rsidRPr="004661E9">
        <w:rPr>
          <w:rFonts w:ascii="Arial" w:hAnsi="Arial" w:cs="Arial"/>
          <w:b/>
          <w:bCs/>
          <w:color w:val="00B050"/>
        </w:rPr>
        <w:t>Autonomic Dysfunction</w:t>
      </w:r>
    </w:p>
    <w:p w14:paraId="7A27A42B" w14:textId="77777777" w:rsidR="008D5195" w:rsidRPr="004661E9" w:rsidRDefault="008D5195" w:rsidP="004661E9">
      <w:pPr>
        <w:spacing w:after="0" w:line="276" w:lineRule="auto"/>
        <w:rPr>
          <w:rFonts w:ascii="Arial" w:hAnsi="Arial" w:cs="Arial"/>
        </w:rPr>
      </w:pPr>
    </w:p>
    <w:p w14:paraId="1BA11C4F" w14:textId="32290A0F" w:rsidR="008D5195" w:rsidRPr="004661E9" w:rsidRDefault="00451B55" w:rsidP="004661E9">
      <w:pPr>
        <w:spacing w:after="0" w:line="276" w:lineRule="auto"/>
        <w:rPr>
          <w:rFonts w:ascii="Arial" w:hAnsi="Arial" w:cs="Arial"/>
        </w:rPr>
      </w:pPr>
      <w:r w:rsidRPr="004661E9">
        <w:rPr>
          <w:rFonts w:ascii="Arial" w:hAnsi="Arial" w:cs="Arial"/>
        </w:rPr>
        <w:t>Autonomic</w:t>
      </w:r>
      <w:r w:rsidR="005161C8" w:rsidRPr="004661E9">
        <w:rPr>
          <w:rFonts w:ascii="Arial" w:hAnsi="Arial" w:cs="Arial"/>
        </w:rPr>
        <w:t xml:space="preserve"> nervous system dysfunction is highly prevalent in patients with </w:t>
      </w:r>
      <w:r w:rsidR="00A36DE2" w:rsidRPr="004661E9">
        <w:rPr>
          <w:rFonts w:ascii="Arial" w:hAnsi="Arial" w:cs="Arial"/>
        </w:rPr>
        <w:t>diabetes</w:t>
      </w:r>
      <w:r w:rsidR="005161C8" w:rsidRPr="004661E9">
        <w:rPr>
          <w:rFonts w:ascii="Arial" w:hAnsi="Arial" w:cs="Arial"/>
        </w:rPr>
        <w:t xml:space="preserve">. </w:t>
      </w:r>
      <w:r w:rsidR="007E4DA9" w:rsidRPr="004661E9">
        <w:rPr>
          <w:rFonts w:ascii="Arial" w:hAnsi="Arial" w:cs="Arial"/>
        </w:rPr>
        <w:t>CV autonomic neuropathy (</w:t>
      </w:r>
      <w:r w:rsidR="00F669FA" w:rsidRPr="004661E9">
        <w:rPr>
          <w:rFonts w:ascii="Arial" w:hAnsi="Arial" w:cs="Arial"/>
        </w:rPr>
        <w:t>CAN</w:t>
      </w:r>
      <w:r w:rsidR="007E4DA9" w:rsidRPr="004661E9">
        <w:rPr>
          <w:rFonts w:ascii="Arial" w:hAnsi="Arial" w:cs="Arial"/>
        </w:rPr>
        <w:t>)</w:t>
      </w:r>
      <w:r w:rsidR="00F669FA" w:rsidRPr="004661E9">
        <w:rPr>
          <w:rFonts w:ascii="Arial" w:hAnsi="Arial" w:cs="Arial"/>
        </w:rPr>
        <w:t xml:space="preserve"> </w:t>
      </w:r>
      <w:r w:rsidR="004E73B3" w:rsidRPr="004661E9">
        <w:rPr>
          <w:rFonts w:ascii="Arial" w:hAnsi="Arial" w:cs="Arial"/>
        </w:rPr>
        <w:t>differentially impact</w:t>
      </w:r>
      <w:r w:rsidR="00576CC9" w:rsidRPr="004661E9">
        <w:rPr>
          <w:rFonts w:ascii="Arial" w:hAnsi="Arial" w:cs="Arial"/>
        </w:rPr>
        <w:t>s</w:t>
      </w:r>
      <w:r w:rsidR="004E73B3" w:rsidRPr="004661E9">
        <w:rPr>
          <w:rFonts w:ascii="Arial" w:hAnsi="Arial" w:cs="Arial"/>
        </w:rPr>
        <w:t xml:space="preserve"> the </w:t>
      </w:r>
      <w:r w:rsidR="00543EDD" w:rsidRPr="004661E9">
        <w:rPr>
          <w:rFonts w:ascii="Arial" w:hAnsi="Arial" w:cs="Arial"/>
        </w:rPr>
        <w:t>cardiac innervation's sympathetic and parasympathetic components, leading</w:t>
      </w:r>
      <w:r w:rsidR="004E73B3" w:rsidRPr="004661E9">
        <w:rPr>
          <w:rFonts w:ascii="Arial" w:hAnsi="Arial" w:cs="Arial"/>
        </w:rPr>
        <w:t xml:space="preserve"> to </w:t>
      </w:r>
      <w:r w:rsidR="00835D37" w:rsidRPr="004661E9">
        <w:rPr>
          <w:rFonts w:ascii="Arial" w:hAnsi="Arial" w:cs="Arial"/>
        </w:rPr>
        <w:t xml:space="preserve">sympathetic overactivation </w:t>
      </w:r>
      <w:r w:rsidR="004E73B3" w:rsidRPr="004661E9">
        <w:rPr>
          <w:rFonts w:ascii="Arial" w:hAnsi="Arial" w:cs="Arial"/>
        </w:rPr>
        <w:t>in the earlier stages</w:t>
      </w:r>
      <w:r w:rsidR="008D5195"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{"citationItems":[{"id":"ITEM-1","itemData":{"DOI":"10.1016/j.pcad.2019.03.003","ISSN":"18731740","abstract":"Diabetes causes cardiomyopathy and increases the risk of heart failure independent of hypertension and coronary heart disease. This condition called “Diabetic Cardiomyopathy” (DCM) is becoming a well- known clinical entity. Recently, there has been substantial research exploring its molecular mechanisms, structural and functional changes, and possible development of therapeutic approaches for the prevention and treatment of DCM. This review summarizes the recent advancements to better understand fundamental molecular abnormalities that promote this cardiomyopathy and novel therapies for future research. Additionally, different diagnostic modalities, up to date screening tests to guide clinicians with early diagnosis and available current treatment options has been outlined.","author":[{"dropping-particle":"","family":"Murtaza","given":"Ghulam","non-dropping-particle":"","parse-names":false,"suffix":""},{"dropping-particle":"","family":"Virk","given":"Hafeez Ul Hassan Ul Hassan","non-dropping-particle":"","parse-names":false,"suffix":""},{"dropping-particle":"","family":"Khalid","given":"Muhammad","non-dropping-particle":"","parse-names":false,"suffix":""},{"dropping-particle":"","family":"Lavie","given":"Carl J. J.","non-dropping-particle":"","parse-names":false,"suffix":""},{"dropping-particle":"","family":"Ventura","given":"Hector","non-dropping-particle":"","parse-names":false,"suffix":""},{"dropping-particle":"","family":"Mukherjee","given":"Debabrata","non-dropping-particle":"","parse-names":false,"suffix":""},{"dropping-particle":"","family":"Ramu","given":"Vijay","non-dropping-particle":"","parse-names":false,"suffix":""},{"dropping-particle":"","family":"Bhogal","given":"Sukhdeep","non-dropping-particle":"","parse-names":false,"suffix":""},{"dropping-particle":"","family":"Kumar","given":"Gautam","non-dropping-particle":"","parse-names":false,"suffix":""},{"dropping-particle":"","family":"Shanmugasundaram","given":"Madhan","non-dropping-particle":"","parse-names":false,"suffix":""},{"dropping-particle":"","family":"Paul","given":"Timir K. K.","non-dropping-particle":"","parse-names":false,"suffix":""}],"container-title":"Progress in Cardiovascular Diseases","id":"ITEM-1","issue":"4","issued":{"date-parts":[["2019"]]},"page":"315-326","publisher":"Elsevier Inc.","title":"Diabetic cardiomyopathy - A comprehensive updated review","type":"article-journal","volume":"62"},"uris":["http://www.mendeley.com/documents/?uuid=c7ea2a94-ed27-416c-a134-e56110fb6c24"]}],"mendeley":{"formattedCitation":"(16)","plainTextFormattedCitation":"(16)","previouslyFormattedCitation":"(16)"},"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(16)</w:t>
      </w:r>
      <w:r w:rsidR="000F3AD7" w:rsidRPr="004661E9">
        <w:rPr>
          <w:rFonts w:ascii="Arial" w:hAnsi="Arial" w:cs="Arial"/>
        </w:rPr>
        <w:fldChar w:fldCharType="end"/>
      </w:r>
      <w:r w:rsidR="008D5195" w:rsidRPr="004661E9">
        <w:rPr>
          <w:rFonts w:ascii="Arial" w:hAnsi="Arial" w:cs="Arial"/>
        </w:rPr>
        <w:t>.</w:t>
      </w:r>
      <w:r w:rsidR="00835D37" w:rsidRPr="004661E9">
        <w:rPr>
          <w:rFonts w:ascii="Arial" w:hAnsi="Arial" w:cs="Arial"/>
        </w:rPr>
        <w:t xml:space="preserve"> </w:t>
      </w:r>
      <w:r w:rsidR="008D5195" w:rsidRPr="004661E9">
        <w:rPr>
          <w:rFonts w:ascii="Arial" w:hAnsi="Arial" w:cs="Arial"/>
        </w:rPr>
        <w:t>T</w:t>
      </w:r>
      <w:r w:rsidR="004E73B3" w:rsidRPr="004661E9">
        <w:rPr>
          <w:rFonts w:ascii="Arial" w:hAnsi="Arial" w:cs="Arial"/>
        </w:rPr>
        <w:t xml:space="preserve">his imbalance is believed to </w:t>
      </w:r>
      <w:r w:rsidR="006012C7" w:rsidRPr="004661E9">
        <w:rPr>
          <w:rFonts w:ascii="Arial" w:hAnsi="Arial" w:cs="Arial"/>
        </w:rPr>
        <w:t>contribute to</w:t>
      </w:r>
      <w:r w:rsidR="004E73B3" w:rsidRPr="004661E9">
        <w:rPr>
          <w:rFonts w:ascii="Arial" w:hAnsi="Arial" w:cs="Arial"/>
        </w:rPr>
        <w:t xml:space="preserve"> </w:t>
      </w:r>
      <w:r w:rsidR="00A17C81" w:rsidRPr="004661E9">
        <w:rPr>
          <w:rFonts w:ascii="Arial" w:hAnsi="Arial" w:cs="Arial"/>
        </w:rPr>
        <w:t xml:space="preserve">the </w:t>
      </w:r>
      <w:r w:rsidR="004E73B3" w:rsidRPr="004661E9">
        <w:rPr>
          <w:rFonts w:ascii="Arial" w:hAnsi="Arial" w:cs="Arial"/>
        </w:rPr>
        <w:t xml:space="preserve">pathogenesis of CVD. CAN </w:t>
      </w:r>
      <w:r w:rsidR="003934BD" w:rsidRPr="004661E9">
        <w:rPr>
          <w:rFonts w:ascii="Arial" w:hAnsi="Arial" w:cs="Arial"/>
        </w:rPr>
        <w:t>induces</w:t>
      </w:r>
      <w:r w:rsidR="004E73B3" w:rsidRPr="004661E9">
        <w:rPr>
          <w:rFonts w:ascii="Arial" w:hAnsi="Arial" w:cs="Arial"/>
        </w:rPr>
        <w:t xml:space="preserve"> </w:t>
      </w:r>
      <w:r w:rsidR="00873E8D" w:rsidRPr="004661E9">
        <w:rPr>
          <w:rFonts w:ascii="Arial" w:hAnsi="Arial" w:cs="Arial"/>
        </w:rPr>
        <w:t>LV</w:t>
      </w:r>
      <w:r w:rsidR="004E73B3" w:rsidRPr="004661E9">
        <w:rPr>
          <w:rFonts w:ascii="Arial" w:hAnsi="Arial" w:cs="Arial"/>
        </w:rPr>
        <w:t xml:space="preserve"> remodeling, LV systolic and diastolic dysfunction, and myocardial ischemia</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{"citationItems":[{"id":"ITEM-1","itemData":{"DOI":"10.1016/j.jacc.2012.10.028","ISBN":"1558-3597 (Electronic)\\r0735-1097 (Linking)","ISSN":"07351097","PMID":"23265339","abstract":"Objectives: The goal of these studies was to determine the association between cardiovascular autonomic neuropathy (CAN) and indices of left ventricle (LV) structure and function in patients with type 1 diabetes (T1DM) in the DCCT/EDIC (Diabetes Control and Complications Trial /Epidemiology of Diabetes Interventions and Complications) study. Background: The pathophysiology of LV dysfunction in T1DM remains unclear, especially when the LV ejection fraction (EF) is preserved. Whether CAN is associated with LV dysfunction is unclear. Methods: Indices of LV structure and function were obtained by cardiac magnetic resonance imaging (CMRI). CAN was assessed by cardiovascular reflex testing (R-R response to paced breathing, Valsalva ratio, and blood pressure response to standing). Analyses were performed in 966 DCCT/EDIC participants with valid CMRI and CAN data (mean age 51 years, 52% men, mean diabetes duration 29 years, and mean glycosylated hemoglobin 7.9%). Results: Systolic function (EF, end-systolic and end-diastolic volumes, stroke volumes) was not different in 371 subjects with CAN compared with 595 subjects without CAN. In multiple-adjusted analyses, participants with either abnormal R-R variation or a composite of abnormal R-R variation, abnormal Valsalva ratio, and postural blood pressure changes had significantly higher LV mass, mass-to-volume-ratio, and cardiac output compared with those with normal tests (p &lt; 0.0001 for all). After further adjustment for traditional cardiovascular risk factors, subjects with abnormal R-R variation had higher LV mass and cardiac output compared with those with a normal R-R variation (p &lt; 0.05). Conclusions: In this large cohort of patients with T1DM, CAN is associated with increased LV mass and concentric remodeling as assessed by CMRI independent of age, sex, and other factors. (Diabetes Control and Complications Trial [DCCT]; NCT00360815) (Epidemiology of Diabetes Interventions and Complications [EDIC]; NCT00360893) ?? 2013 American College of Cardiology Foundation.","author":[{"dropping-particle":"","family":"Pop-Busui","given":"Rodica","non-dropping-particle":"","parse-names":false,"suffix":""},{"dropping-particle":"","family":"Cleary","given":"Patricia A.","non-dropping-particle":"","parse-names":false,"suffix":""},{"dropping-particle":"","family":"Braffett","given":"Barbara H.","non-dropping-particle":"","parse-names":false,"suffix":""},{"dropping-particle":"","family":"Martin","given":"Catherine L.","non-dropping-particle":"","parse-names":false,"suffix":""},{"dropping-particle":"","family":"Herman","given":"William H.","non-dropping-particle":"","parse-names":false,"suffix":""},{"dropping-particle":"","family":"Low","given":"Phillip A.","non-dropping-particle":"","parse-names":false,"suffix":""},{"dropping-particle":"","family":"Lima","given":"Joao A C","non-dropping-particle":"","parse-names":false,"suffix":""},{"dropping-particle":"","family":"Bluemke","given":"David A.","non-dropping-particle":"","parse-names":false,"suffix":""}],"container-title":"Journal of the American College of Cardiology","id":"ITEM-1","issue":"4","issued":{"date-parts":[["2013"]]},"page":"447-454","publisher":"Elsevier Inc.","title":"Association between cardiovascular autonomic neuropathy and left ventricular dysfunction: DCCT/EDIC study (diabetes control and complications trial/epidemiology of diabetes interventions and complications)","type":"article-journal","volume":"61"},"uris":["http://www.mendeley.com/documents/?uuid=d242b930-4190-4b5e-8f9f-9e76c425d1e6"]},{"id":"ITEM-2","itemData":{"DOI":"10.1016/j.jcmg.2010.09.014","ISSN":"1936878X","PMID":"21163448","abstract":"Objectives The purpose of this study was to investigate the independent association between global cardiac autonomic neuropathy (CAN) and left ventricular (LV) dysfunction in addition to regional associations of LV dysinnervation and function, in patients with type 2 diabetes mellitus (T2DM). Background CAN represents a potential mechanism in the etiology of nonischemic diabetic cardiomyopathy. Methods Clinical measures of CAN based on total spectral power of heart rate variability and cardiac reflex testing and echocardiographic assessment of LV function were performed in 118 patients with type 2 diabetes mellitus. Systolic and diastolic function were defined at rest and peak exercise using peak systolic and peak early diastolic (Em) tissue velocities, calculated in 6 basal- and mid-segments using color tissue Doppler. Iodine 123-metaiodobenzylguanidine imaging was performed in 33 patients to directly quantify global (heart/mediastinum ratio) and regional LV sympathetic integrity. Results Patients with CAN demonstrated higher resting heart rate, systolic and mean blood pressures, aortic stiffness, hemoglobin A1c, and urine albumin/creatinine ratio, in addition to lower peak heart rate, chronotropic index, and exercise capacity. Diastolic function (Em) was associated with CAN, evidenced by total spectral power (r = 0.42, p &lt; 0.001) and heart/mediastinum ratio (r = 0.41, p = 0.017). Diastolic function (Em) at rest and systolic function (peak systolic tissue velocity) at rest and exercise were significantly reduced in patients with CAN. Furthermore, total spectral power was associated with Em independent of age, hypertension, metabolic factors, and other relevant contributors to LV dysfunction (β = 0.20, p = 0.035). Relative regional tracer deficits indicative of local denervation were predominant in the anterior and lateral walls (p &lt; 0.001). Associations with regional Em, independent of global iodine 123-metaiodobenzylguanidine uptake, were identified exclusively in mid-anterior (β = 0.45, p = 0.01) and mid-lateral walls (β = 0.34, p = 0.03). However, no association was found between regional denervation and systolic or diastolic dyssynchrony. Conclusions The diastolic dysfunction of type 2 diabetes mellitus shows associations with both regional markers of sympathetic integrity and clinical markers of autonomic neuropathy. © 2010 American College of Cardiology Foundation.","author":[{"dropping-particle":"","family":"Sacre","given":"Julian W.","non-dropping-particle":"","parse-names":false,"suffix":""},{"dropping-particle":"","family":"Franjic","given":"Bennett","non-dropping-particle":"","parse-names":false,"suffix":""},{"dropping-particle":"","family":"Jellis","given":"Christine L.","non-dropping-particle":"","parse-names":false,"suffix":""},{"dropping-particle":"","family":"Jenkins","given":"Carly","non-dropping-particle":"","parse-names":false,"suffix":""},{"dropping-particle":"","family":"Coombes","given":"Jeff S.","non-dropping-particle":"","parse-names":false,"suffix":""},{"dropping-particle":"","family":"Marwick","given":"Thomas H.","non-dropping-particle":"","parse-names":false,"suffix":""}],"container-title":"JACC: Cardiovascular Imaging","id":"ITEM-2","issue":"12","issued":{"date-parts":[["2010"]]},"page":"1207-1215","title":"Association of cardiac autonomic neuropathy with subclinical myocardial dysfunction in type 2 diabetes","type":"article-journal","volume":"3"},"uris":["http://www.mendeley.com/documents/?uuid=a5a555b0-92b0-4258-a8b5-ac15c4af7057"]},{"id":"ITEM-3","itemData":{"DOI":"10.1002/dmrr.1239","ISBN":"1520-7560","ISSN":"15207552","PMID":"21695768","abstract":"The Cardiovascular Autonomic Neuropathy (CAN) Subcommittee of the Toronto Consensus Panel on Diabetic Neuropathy worked to update CAN guidelines, with regard to epidemiology, clinical impact, diagnosis, usefulness of CAN testing, and management. CAN is the impairment of cardiovascular autonomic control in the setting of diabetes after exclusion of other causes. The prevalence of confirmed CAN is around 20%, and increases up to 65% with age and diabetes duration. Established risk factors for CAN are glycaemic control in type 1 and a combination of hypertension, dyslipidaemia, obesity, and glycaemic control in type 2 diabetes. CAN is a risk marker of mortality and cardiovascular morbidity, and possibly a progression promoter of diabetic nephropathy. Criteria for CAN diagnosis and staging are: (1) one abnormal cardiovagal test result identifies possible or early CAN; (2) at least two abnormal cardiovagal test results are required for definite or confirmed CAN; and (3) the presence of orthostatic hypotension in addition to abnormal heart rate test results identifies severe or advanced CAN. Progressive stages of CAN are associated with increasingly worse prognosis. CAN assessment is relevant in clinical practice for (1) diagnosis of CAN clinical forms, (2) detection and tailored treatment of CAN clinical correlates (e.g. tachycardia, orthostatic hypotension, non-dipping, QT interval prolongation), (3) risk stratification for diabetic complications and cardiovascular morbidity and mortality, and (4) modulation of targets of diabetes therapy. Evidence on the cost-effectiveness of CAN testing is lacking. Apart from the preventive role of intensive glycaemic control in type 1 diabetes, recommendations cannot be made for most therapeutic approaches to CAN.","author":[{"dropping-particle":"","family":"Spallone","given":"Vincenza","non-dropping-particle":"","parse-names":false,"suffix":""},{"dropping-particle":"","family":"Ziegler","given":"Dan","non-dropping-particle":"","parse-names":false,"suffix":""},{"dropping-particle":"","family":"Freeman","given":"Roy","non-dropping-particle":"","parse-names":false,"suffix":""},{"dropping-particle":"","family":"Bernardi","given":"Luciano","non-dropping-particle":"","parse-names":false,"suffix":""},{"dropping-particle":"","family":"Frontoni","given":"Simona","non-dropping-particle":"","parse-names":false,"suffix":""},{"dropping-particle":"","family":"Pop-Busui","given":"Rodica","non-dropping-particle":"","parse-names":false,"suffix":""},{"dropping-particle":"","family":"Stevens","given":"Martin","non-dropping-particle":"","parse-names":false,"suffix":""},{"dropping-particle":"","family":"Kempler","given":"Peter","non-dropping-particle":"","parse-names":false,"suffix":""},{"dropping-particle":"","family":"Hilsted","given":"Jannik","non-dropping-particle":"","parse-names":false,"suffix":""},{"dropping-particle":"","family":"Tesfaye","given":"Solomon","non-dropping-particle":"","parse-names":false,"suffix":""},{"dropping-particle":"","family":"Low","given":"Phillip","non-dropping-particle":"","parse-names":false,"suffix":""},{"dropping-particle":"","family":"Valensi","given":"Paul","non-dropping-particle":"","parse-names":false,"suffix":""}],"container-title":"Diabetes/Metabolism Research and Reviews","id":"ITEM-3","issue":"7","issued":{"date-parts":[["2011"]]},"page":"639-653","title":"Cardiovascular autonomic neuropathy in diabetes: Clinical impact, assessment, diagnosis, and management","type":"article-journal","volume":"27"},"uris":["http://www.mendeley.com/documents/?uuid=ceddf6bb-ac4f-4955-b3e7-a8594e17d121"]}],"mendeley":{"formattedCitation":"(108–110)","plainTextFormattedCitation":"(108–110)","previouslyFormattedCitation":"(108–110)"},"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(108–110)</w:t>
      </w:r>
      <w:r w:rsidR="000F3AD7" w:rsidRPr="004661E9">
        <w:rPr>
          <w:rFonts w:ascii="Arial" w:hAnsi="Arial" w:cs="Arial"/>
        </w:rPr>
        <w:fldChar w:fldCharType="end"/>
      </w:r>
      <w:r w:rsidR="008D5195" w:rsidRPr="004661E9">
        <w:rPr>
          <w:rFonts w:ascii="Arial" w:hAnsi="Arial" w:cs="Arial"/>
        </w:rPr>
        <w:t>.</w:t>
      </w:r>
      <w:r w:rsidR="0045792E" w:rsidRPr="004661E9">
        <w:rPr>
          <w:rFonts w:ascii="Arial" w:hAnsi="Arial" w:cs="Arial"/>
        </w:rPr>
        <w:t xml:space="preserve"> CAN is usually asymptomatic at earlier stages</w:t>
      </w:r>
      <w:r w:rsidR="00A17C81" w:rsidRPr="004661E9">
        <w:rPr>
          <w:rFonts w:ascii="Arial" w:hAnsi="Arial" w:cs="Arial"/>
        </w:rPr>
        <w:t>,</w:t>
      </w:r>
      <w:r w:rsidR="0045792E" w:rsidRPr="004661E9">
        <w:rPr>
          <w:rFonts w:ascii="Arial" w:hAnsi="Arial" w:cs="Arial"/>
        </w:rPr>
        <w:t xml:space="preserve"> and at advanced stages</w:t>
      </w:r>
      <w:r w:rsidR="00A17C81" w:rsidRPr="004661E9">
        <w:rPr>
          <w:rFonts w:ascii="Arial" w:hAnsi="Arial" w:cs="Arial"/>
        </w:rPr>
        <w:t>,</w:t>
      </w:r>
      <w:r w:rsidR="0045792E" w:rsidRPr="004661E9">
        <w:rPr>
          <w:rFonts w:ascii="Arial" w:hAnsi="Arial" w:cs="Arial"/>
        </w:rPr>
        <w:t xml:space="preserve"> it may present with resting tachycardia, orthostatic hypotension, abnormal </w:t>
      </w:r>
      <w:r w:rsidR="00BA1EAD" w:rsidRPr="004661E9">
        <w:rPr>
          <w:rFonts w:ascii="Arial" w:hAnsi="Arial" w:cs="Arial"/>
        </w:rPr>
        <w:t>BP</w:t>
      </w:r>
      <w:r w:rsidR="0045792E" w:rsidRPr="004661E9">
        <w:rPr>
          <w:rFonts w:ascii="Arial" w:hAnsi="Arial" w:cs="Arial"/>
        </w:rPr>
        <w:t xml:space="preserve"> regulation, blunted heart rate response to exercise, and impaired heart rate variability</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Mellitus","type":"article-journal","volume":"43"},"uris":["http://www.mendeley.com/documents/?uuid=ec026bfc-04b9-3538-8098-b7eb6404bbe2"]},{"id":"ITEM-2","itemData":{"DOI":"10.3389/fnins.2018.00591","ISSN":"1662453X","abstract":"Autonomic nervous system (ANS) imbalance manifesting as cardiac autonomic neuropathy in the diabetic population is an important predictor of cardiovascular events. Symptoms and signs of ANS dysfunction, such as resting heart rate elevations, diminished blood pressure responses to standing, and altered time and frequency domain measures of heart rate variability in response to deep breathing, standing, and the Valsalva maneuver, should be elicited from all patients with diabetes and prediabetes. With the recognition of the presence of ANS imbalance or for its prevention, a rigorous regime should be implemented with lifestyle modification, physical activity, and cautious use of medications that lower blood glucose. Rather than intensifying diabetes control, a regimen tailored to the individual risk of autonomic imbalance should be implemented. New agents that may improve autonomic function, such as SGLT2 inhibitors, should be considered and the use of incretins monitored. One of the central mechanisms of dysfunction is disturbance of the hypothalamic cardiac clock, a consequence of dopamine deficiency that leads to sympathetic dominance, insulin resistance, and features of the metabolic syndrome. An improvement in ANS balance may be critical to reducing cardiovascular events, cardiac failure, and early mortality in the diabetic population.","author":[{"dropping-particle":"","family":"Vinik","given":"Aaron I.","non-dropping-particle":"","parse-names":false,"suffix":""},{"dropping-particle":"","family":"Casellini","given":"Carolina","non-dropping-particle":"","parse-names":false,"suffix":""},{"dropping-particle":"","family":"Parson","given":"Henri K.","non-dropping-particle":"","parse-names":false,"suffix":""},{"dropping-particle":"","family":"Colberg","given":"Sheri R.","non-dropping-particle":"","parse-names":false,"suffix":""},{"dropping-particle":"","family":"Nevoret","given":"Marie Laure","non-dropping-particle":"","parse-names":false,"suffix":""}],"container-title":"Frontiers in Neuroscience","id":"ITEM-2","issue":"AUG","issued":{"date-parts":[["2018","8","27"]]},"page":"591","publisher":"Frontiers Media S.A.","title":"Cardiac autonomic neuropathy in diabetes: A predictor of cardiometabolic events","type":"article-journal","volume":"12"},"uris":["http://www.mendeley.com/documents/?uuid=eaf81618-0d17-3a59-851e-7656d18b1cea"]}],"mendeley":{"formattedCitation":"(34,111)","plainTextFormattedCitation":"(34,111)","previouslyFormattedCitation":"(34,111)"},"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(34,111)</w:t>
      </w:r>
      <w:r w:rsidR="000F3AD7" w:rsidRPr="004661E9">
        <w:rPr>
          <w:rFonts w:ascii="Arial" w:hAnsi="Arial" w:cs="Arial"/>
        </w:rPr>
        <w:fldChar w:fldCharType="end"/>
      </w:r>
      <w:r w:rsidR="008D5195" w:rsidRPr="004661E9">
        <w:rPr>
          <w:rFonts w:ascii="Arial" w:hAnsi="Arial" w:cs="Arial"/>
        </w:rPr>
        <w:t>.</w:t>
      </w:r>
    </w:p>
    <w:p w14:paraId="004E09A3" w14:textId="6D34BF70" w:rsidR="00451B55" w:rsidRPr="004661E9" w:rsidRDefault="0045792E" w:rsidP="004661E9">
      <w:pPr>
        <w:spacing w:after="0" w:line="276" w:lineRule="auto"/>
        <w:rPr>
          <w:rFonts w:ascii="Arial" w:hAnsi="Arial" w:cs="Arial"/>
        </w:rPr>
      </w:pPr>
      <w:r w:rsidRPr="004661E9">
        <w:rPr>
          <w:rFonts w:ascii="Arial" w:hAnsi="Arial" w:cs="Arial"/>
        </w:rPr>
        <w:t xml:space="preserve">  </w:t>
      </w:r>
      <w:r w:rsidR="004E73B3" w:rsidRPr="004661E9">
        <w:rPr>
          <w:rFonts w:ascii="Arial" w:hAnsi="Arial" w:cs="Arial"/>
        </w:rPr>
        <w:t xml:space="preserve"> </w:t>
      </w:r>
    </w:p>
    <w:p w14:paraId="4CD46D68" w14:textId="77777777" w:rsidR="00DC359D" w:rsidRPr="004661E9" w:rsidRDefault="00DC359D" w:rsidP="004661E9">
      <w:pPr>
        <w:spacing w:after="0" w:line="276" w:lineRule="auto"/>
        <w:rPr>
          <w:rFonts w:ascii="Arial" w:hAnsi="Arial" w:cs="Arial"/>
          <w:b/>
          <w:bCs/>
          <w:color w:val="00B050"/>
        </w:rPr>
      </w:pPr>
      <w:r w:rsidRPr="004661E9">
        <w:rPr>
          <w:rFonts w:ascii="Arial" w:hAnsi="Arial" w:cs="Arial"/>
          <w:b/>
          <w:bCs/>
          <w:color w:val="00B050"/>
        </w:rPr>
        <w:t>Myocardial Fibrosis</w:t>
      </w:r>
    </w:p>
    <w:p w14:paraId="1EB02D81" w14:textId="77777777" w:rsidR="008D5195" w:rsidRPr="004661E9" w:rsidRDefault="008D5195" w:rsidP="004661E9">
      <w:pPr>
        <w:spacing w:after="0" w:line="276" w:lineRule="auto"/>
        <w:rPr>
          <w:rFonts w:ascii="Arial" w:hAnsi="Arial" w:cs="Arial"/>
        </w:rPr>
      </w:pPr>
    </w:p>
    <w:p w14:paraId="0C761BA8" w14:textId="14E41284" w:rsidR="00EB04B0" w:rsidRPr="004661E9" w:rsidRDefault="00DC359D" w:rsidP="004661E9">
      <w:pPr>
        <w:spacing w:after="0" w:line="276" w:lineRule="auto"/>
        <w:rPr>
          <w:rFonts w:ascii="Arial" w:hAnsi="Arial" w:cs="Arial"/>
        </w:rPr>
      </w:pPr>
      <w:r w:rsidRPr="004661E9">
        <w:rPr>
          <w:rFonts w:ascii="Arial" w:hAnsi="Arial" w:cs="Arial"/>
        </w:rPr>
        <w:t>Myocardial fibrosis</w:t>
      </w:r>
      <w:r w:rsidR="003D7C87" w:rsidRPr="004661E9">
        <w:rPr>
          <w:rFonts w:ascii="Arial" w:hAnsi="Arial" w:cs="Arial"/>
        </w:rPr>
        <w:t>, detected by histopathology or cardiac MRI,</w:t>
      </w:r>
      <w:r w:rsidRPr="004661E9">
        <w:rPr>
          <w:rFonts w:ascii="Arial" w:hAnsi="Arial" w:cs="Arial"/>
        </w:rPr>
        <w:t xml:space="preserve"> is a hallmark of diabetes</w:t>
      </w:r>
      <w:r w:rsidR="00EF52F7" w:rsidRPr="004661E9">
        <w:rPr>
          <w:rFonts w:ascii="Arial" w:hAnsi="Arial" w:cs="Arial"/>
        </w:rPr>
        <w:t>-</w:t>
      </w:r>
      <w:r w:rsidRPr="004661E9">
        <w:rPr>
          <w:rFonts w:ascii="Arial" w:hAnsi="Arial" w:cs="Arial"/>
        </w:rPr>
        <w:t xml:space="preserve">induced cardiac remodeling and </w:t>
      </w:r>
      <w:r w:rsidR="00861472" w:rsidRPr="004661E9">
        <w:rPr>
          <w:rFonts w:ascii="Arial" w:hAnsi="Arial" w:cs="Arial"/>
        </w:rPr>
        <w:t>related</w:t>
      </w:r>
      <w:r w:rsidRPr="004661E9">
        <w:rPr>
          <w:rFonts w:ascii="Arial" w:hAnsi="Arial" w:cs="Arial"/>
        </w:rPr>
        <w:t xml:space="preserve"> myocardial dysfunction.</w:t>
      </w:r>
      <w:r w:rsidR="007D732F" w:rsidRPr="004661E9">
        <w:rPr>
          <w:rFonts w:ascii="Arial" w:hAnsi="Arial" w:cs="Arial"/>
        </w:rPr>
        <w:t xml:space="preserve"> In patients with diabetes</w:t>
      </w:r>
      <w:r w:rsidR="00B660B9" w:rsidRPr="004661E9">
        <w:rPr>
          <w:rFonts w:ascii="Arial" w:hAnsi="Arial" w:cs="Arial"/>
        </w:rPr>
        <w:t xml:space="preserve">, </w:t>
      </w:r>
      <w:r w:rsidR="003C75B4" w:rsidRPr="004661E9">
        <w:rPr>
          <w:rFonts w:ascii="Arial" w:hAnsi="Arial" w:cs="Arial"/>
        </w:rPr>
        <w:t>the</w:t>
      </w:r>
      <w:r w:rsidR="00AC7743" w:rsidRPr="004661E9">
        <w:rPr>
          <w:rFonts w:ascii="Arial" w:hAnsi="Arial" w:cs="Arial"/>
        </w:rPr>
        <w:t xml:space="preserve"> </w:t>
      </w:r>
      <w:r w:rsidR="00E1394C" w:rsidRPr="004661E9">
        <w:rPr>
          <w:rFonts w:ascii="Arial" w:hAnsi="Arial" w:cs="Arial"/>
        </w:rPr>
        <w:t>degree of myocardial fibrosis</w:t>
      </w:r>
      <w:r w:rsidR="00AC7743" w:rsidRPr="004661E9">
        <w:rPr>
          <w:rFonts w:ascii="Arial" w:hAnsi="Arial" w:cs="Arial"/>
        </w:rPr>
        <w:t xml:space="preserve"> directly correlates with HbA1c levels</w:t>
      </w:r>
      <w:r w:rsidR="00A21315" w:rsidRPr="004661E9">
        <w:rPr>
          <w:rFonts w:ascii="Arial" w:hAnsi="Arial" w:cs="Arial"/>
        </w:rPr>
        <w:t xml:space="preserve"> </w:t>
      </w:r>
      <w:r w:rsidR="000F7CD6" w:rsidRPr="004661E9">
        <w:rPr>
          <w:rFonts w:ascii="Arial" w:hAnsi="Arial" w:cs="Arial"/>
        </w:rPr>
        <w:fldChar w:fldCharType="begin" w:fldLock="1"/>
      </w:r>
      <w:r w:rsidR="00E156CB" w:rsidRPr="004661E9">
        <w:rPr>
          <w:rFonts w:ascii="Arial" w:hAnsi="Arial" w:cs="Arial"/>
        </w:rPr>
        <w:instrText>ADDIN CSL_CITATION {"citationItems":[{"id":"ITEM-1","itemData":{"DOI":"10.1016/j.jcmg.2021.12.008","ISSN":"18767591","PMID":"35512952","abstract":"Objectives: This systematic review and meta-analysis investigated the association of diabetes and glycemic control with myocardial fibrosis (MF). Background: MF is associated with an increased risk of heart failure, coronary artery disease, arrhythmias, and death. Diabetes may influence the development of MF, but evidence is inconsistent. Methods: The authors searched EMBASE, Medline Ovid, Cochrane CENTRAL, Web of Science, and Google Scholar for observational and interventional studies investigating the association of diabetes, glycemic control, and antidiabetic medication with MF assessed by histology and cardiac magnetic resonance (ie, extracellular volume fraction [ECV%] and T1 time). Results: A total of 32 studies (88% exclusively on type 2 diabetes) involving 5,053 participants were included in the systematic review. Meta-analyses showed that diabetes was associated with a higher degree of MF assessed by histological collagen volume fraction (n = 6 studies; mean difference: 5.80; 95% CI: 2.00-9.59) and ECV% (13 studies; mean difference: 2.09; 95% CI: 0.92-3.27), but not by native or postcontrast T1 time. Higher glycosylated hemoglobin levels were associated with higher degrees of MF. Conclusions: Diabetes is associated with higher degree of MF assessed by histology and ECV% but not by T1 time. In patients with diabetes, worse glycemic control was associated with higher MF degrees. These findings mostly apply to type 2 diabetes and warrant further investigation into whether these associations are causal and which medications could attenuate MF in patients with diabetes.","author":[{"dropping-particle":"","family":"Salvador","given":"Dante B.","non-dropping-particle":"","parse-names":false,"suffix":""},{"dropping-particle":"","family":"Gamba","given":"Magda R.","non-dropping-particle":"","parse-names":false,"suffix":""},{"dropping-particle":"","family":"Gonzalez-Jaramillo","given":"Nathalia","non-dropping-particle":"","parse-names":false,"suffix":""},{"dropping-particle":"","family":"Gonzalez-Jaramillo","given":"Valentina","non-dropping-particle":"","parse-names":false,"suffix":""},{"dropping-particle":"","family":"Raguindin","given":"Peter Francis N.","non-dropping-particle":"","parse-names":false,"suffix":""},{"dropping-particle":"","family":"Minder","given":"Beatrice","non-dropping-particle":"","parse-names":false,"suffix":""},{"dropping-particle":"","family":"Gräni","given":"Christoph","non-dropping-particle":"","parse-names":false,"suffix":""},{"dropping-particle":"","family":"Wilhelm","given":"Matthias","non-dropping-particle":"","parse-names":false,"suffix":""},{"dropping-particle":"","family":"Stettler","given":"Christoph","non-dropping-particle":"","parse-names":false,"suffix":""},{"dropping-particle":"","family":"Doria","given":"Alessandro","non-dropping-particle":"","parse-names":false,"suffix":""},{"dropping-particle":"","family":"Franco","given":"Oscar H.","non-dropping-particle":"","parse-names":false,"suffix":""},{"dropping-particle":"","family":"Muka","given":"Taulant","non-dropping-particle":"","parse-names":false,"suffix":""},{"dropping-particle":"","family":"Bano","given":"Arjola","non-dropping-particle":"","parse-names":false,"suffix":""}],"container-title":"JACC: Cardiovascular Imaging","id":"ITEM-1","issue":"5","issued":{"date-parts":[["2022"]]},"page":"796-808","title":"Diabetes and Myocardial Fibrosis: A Systematic Review and Meta-Analysis","type":"article-journal","volume":"15"},"uris":["http://www.mendeley.com/documents/?uuid=23a69ec5-1b58-4236-a1f9-c0c206ab830c"]}],"mendeley":{"formattedCitation":"(112)","plainTextFormattedCitation":"(112)","previouslyFormattedCitation":"(112)"},"properties":{"noteIndex":0},"schema":"https://github.com/citation-style-language/schema/raw/master/csl-citation.json"}</w:instrText>
      </w:r>
      <w:r w:rsidR="000F7CD6" w:rsidRPr="004661E9">
        <w:rPr>
          <w:rFonts w:ascii="Arial" w:hAnsi="Arial" w:cs="Arial"/>
        </w:rPr>
        <w:fldChar w:fldCharType="separate"/>
      </w:r>
      <w:r w:rsidR="003C01B8" w:rsidRPr="004661E9">
        <w:rPr>
          <w:rFonts w:ascii="Arial" w:hAnsi="Arial" w:cs="Arial"/>
          <w:noProof/>
        </w:rPr>
        <w:t>(112)</w:t>
      </w:r>
      <w:r w:rsidR="000F7CD6" w:rsidRPr="004661E9">
        <w:rPr>
          <w:rFonts w:ascii="Arial" w:hAnsi="Arial" w:cs="Arial"/>
        </w:rPr>
        <w:fldChar w:fldCharType="end"/>
      </w:r>
      <w:r w:rsidR="00E1394C" w:rsidRPr="004661E9">
        <w:rPr>
          <w:rFonts w:ascii="Arial" w:hAnsi="Arial" w:cs="Arial"/>
        </w:rPr>
        <w:t xml:space="preserve">. </w:t>
      </w:r>
      <w:r w:rsidR="00EF52F7" w:rsidRPr="004661E9">
        <w:rPr>
          <w:rFonts w:ascii="Arial" w:hAnsi="Arial" w:cs="Arial"/>
        </w:rPr>
        <w:t xml:space="preserve">Diabetes-induced myocardial fibrosis is characterized by the remodeling of extracellular matrix with the deposition </w:t>
      </w:r>
      <w:r w:rsidR="00873E8D" w:rsidRPr="004661E9">
        <w:rPr>
          <w:rFonts w:ascii="Arial" w:hAnsi="Arial" w:cs="Arial"/>
        </w:rPr>
        <w:t xml:space="preserve">and crosslinking </w:t>
      </w:r>
      <w:r w:rsidR="00EF52F7" w:rsidRPr="004661E9">
        <w:rPr>
          <w:rFonts w:ascii="Arial" w:hAnsi="Arial" w:cs="Arial"/>
        </w:rPr>
        <w:t>of stiff collagen, progressive elimination of muscular fibrils, perivascular fibrosis, basement membrane thickening, coronary microvascular sclerosis, and formation o</w:t>
      </w:r>
      <w:r w:rsidR="00A17C81" w:rsidRPr="004661E9">
        <w:rPr>
          <w:rFonts w:ascii="Arial" w:hAnsi="Arial" w:cs="Arial"/>
        </w:rPr>
        <w:t>f</w:t>
      </w:r>
      <w:r w:rsidR="00EF52F7" w:rsidRPr="004661E9">
        <w:rPr>
          <w:rFonts w:ascii="Arial" w:hAnsi="Arial" w:cs="Arial"/>
        </w:rPr>
        <w:t xml:space="preserve"> microaneurysms</w:t>
      </w:r>
      <w:r w:rsidR="008D5195"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{"citationItems":[{"id":"ITEM-1","itemData":{"DOI":"10.1016/j.pcad.2019.03.003","ISSN":"18731740","abstract":"Diabetes causes cardiomyopathy and increases the risk of heart failure independent of hypertension and coronary heart disease. This condition called “Diabetic Cardiomyopathy” (DCM) is becoming a well- known clinical entity. Recently, there has been substantial research exploring its molecular mechanisms, structural and functional changes, and possible development of therapeutic approaches for the prevention and treatment of DCM. This review summarizes the recent advancements to better understand fundamental molecular abnormalities that promote this cardiomyopathy and novel therapies for future research. Additionally, different diagnostic modalities, up to date screening tests to guide clinicians with early diagnosis and available current treatment options has been outlined.","author":[{"dropping-particle":"","family":"Murtaza","given":"Ghulam","non-dropping-particle":"","parse-names":false,"suffix":""},{"dropping-particle":"","family":"Virk","given":"Hafeez Ul Hassan Ul Hassan","non-dropping-particle":"","parse-names":false,"suffix":""},{"dropping-particle":"","family":"Khalid","given":"Muhammad","non-dropping-particle":"","parse-names":false,"suffix":""},{"dropping-particle":"","family":"Lavie","given":"Carl J. J.","non-dropping-particle":"","parse-names":false,"suffix":""},{"dropping-particle":"","family":"Ventura","given":"Hector","non-dropping-particle":"","parse-names":false,"suffix":""},{"dropping-particle":"","family":"Mukherjee","given":"Debabrata","non-dropping-particle":"","parse-names":false,"suffix":""},{"dropping-particle":"","family":"Ramu","given":"Vijay","non-dropping-particle":"","parse-names":false,"suffix":""},{"dropping-particle":"","family":"Bhogal","given":"Sukhdeep","non-dropping-particle":"","parse-names":false,"suffix":""},{"dropping-particle":"","family":"Kumar","given":"Gautam","non-dropping-particle":"","parse-names":false,"suffix":""},{"dropping-particle":"","family":"Shanmugasundaram","given":"Madhan","non-dropping-particle":"","parse-names":false,"suffix":""},{"dropping-particle":"","family":"Paul","given":"Timir K. K.","non-dropping-particle":"","parse-names":false,"suffix":""}],"container-title":"Progress in Cardiovascular Diseases","id":"ITEM-1","issue":"4","issued":{"date-parts":[["2019"]]},"page":"315-326","publisher":"Elsevier Inc.","title":"Diabetic cardiomyopathy - A comprehensive updated review","type":"article-journal","volume":"62"},"uris":["http://www.mendeley.com/documents/?uuid=c7ea2a94-ed27-416c-a134-e56110fb6c24"]}],"mendeley":{"formattedCitation":"(16)","plainTextFormattedCitation":"(16)","previouslyFormattedCitation":"(16)"},"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(16)</w:t>
      </w:r>
      <w:r w:rsidR="000F3AD7" w:rsidRPr="004661E9">
        <w:rPr>
          <w:rFonts w:ascii="Arial" w:hAnsi="Arial" w:cs="Arial"/>
        </w:rPr>
        <w:fldChar w:fldCharType="end"/>
      </w:r>
      <w:r w:rsidR="008D5195" w:rsidRPr="004661E9">
        <w:rPr>
          <w:rFonts w:ascii="Arial" w:hAnsi="Arial" w:cs="Arial"/>
        </w:rPr>
        <w:t>.</w:t>
      </w:r>
      <w:r w:rsidR="00EF52F7" w:rsidRPr="004661E9">
        <w:rPr>
          <w:rFonts w:ascii="Arial" w:hAnsi="Arial" w:cs="Arial"/>
        </w:rPr>
        <w:t xml:space="preserve"> Myocardial fibrosis </w:t>
      </w:r>
      <w:r w:rsidR="001B0606" w:rsidRPr="004661E9">
        <w:rPr>
          <w:rFonts w:ascii="Arial" w:hAnsi="Arial" w:cs="Arial"/>
        </w:rPr>
        <w:t xml:space="preserve">is often considered an end product of various </w:t>
      </w:r>
      <w:r w:rsidR="001B0606" w:rsidRPr="004661E9">
        <w:rPr>
          <w:rFonts w:ascii="Arial" w:hAnsi="Arial" w:cs="Arial"/>
        </w:rPr>
        <w:lastRenderedPageBreak/>
        <w:t xml:space="preserve">pathophysiologic abnormalities such as hyperglycemia, hyperinsulinemia, oxidative stress, CAN, inflammation, and the </w:t>
      </w:r>
      <w:r w:rsidR="008D5195" w:rsidRPr="004661E9">
        <w:rPr>
          <w:rFonts w:ascii="Arial" w:hAnsi="Arial" w:cs="Arial"/>
        </w:rPr>
        <w:t>o</w:t>
      </w:r>
      <w:r w:rsidR="001B0606" w:rsidRPr="004661E9">
        <w:rPr>
          <w:rFonts w:ascii="Arial" w:hAnsi="Arial" w:cs="Arial"/>
        </w:rPr>
        <w:t xml:space="preserve">veractivation of RAAS. </w:t>
      </w:r>
    </w:p>
    <w:p w14:paraId="014FB448" w14:textId="77777777" w:rsidR="008D5195" w:rsidRPr="004661E9" w:rsidRDefault="008D5195" w:rsidP="004661E9">
      <w:pPr>
        <w:spacing w:after="0" w:line="276" w:lineRule="auto"/>
        <w:rPr>
          <w:rFonts w:ascii="Arial" w:hAnsi="Arial" w:cs="Arial"/>
        </w:rPr>
      </w:pPr>
    </w:p>
    <w:p w14:paraId="2A0FBAF9" w14:textId="08FF5AC2" w:rsidR="003A48E6" w:rsidRPr="004661E9" w:rsidRDefault="00046EB9" w:rsidP="004661E9">
      <w:pPr>
        <w:spacing w:after="0" w:line="276" w:lineRule="auto"/>
        <w:rPr>
          <w:rFonts w:ascii="Arial" w:hAnsi="Arial" w:cs="Arial"/>
          <w:b/>
          <w:bCs/>
          <w:color w:val="00B050"/>
        </w:rPr>
      </w:pPr>
      <w:r w:rsidRPr="004661E9">
        <w:rPr>
          <w:rFonts w:ascii="Arial" w:hAnsi="Arial" w:cs="Arial"/>
          <w:b/>
          <w:bCs/>
          <w:color w:val="00B050"/>
        </w:rPr>
        <w:t>Apoptosis</w:t>
      </w:r>
    </w:p>
    <w:p w14:paraId="1BD62877" w14:textId="77777777" w:rsidR="008D5195" w:rsidRPr="004661E9" w:rsidRDefault="008D5195" w:rsidP="004661E9">
      <w:pPr>
        <w:spacing w:after="0" w:line="276" w:lineRule="auto"/>
        <w:rPr>
          <w:rFonts w:ascii="Arial" w:hAnsi="Arial" w:cs="Arial"/>
        </w:rPr>
      </w:pPr>
    </w:p>
    <w:p w14:paraId="282723DE" w14:textId="2E712F8F" w:rsidR="008D5195" w:rsidRPr="004661E9" w:rsidRDefault="00046EB9" w:rsidP="004661E9">
      <w:pPr>
        <w:spacing w:after="0" w:line="276" w:lineRule="auto"/>
        <w:rPr>
          <w:rFonts w:ascii="Arial" w:hAnsi="Arial" w:cs="Arial"/>
        </w:rPr>
      </w:pPr>
      <w:r w:rsidRPr="004661E9">
        <w:rPr>
          <w:rFonts w:ascii="Arial" w:hAnsi="Arial" w:cs="Arial"/>
        </w:rPr>
        <w:t xml:space="preserve">Apoptosis, the process of programmed cell death, has been implicated in the development of diabetic </w:t>
      </w:r>
      <w:r w:rsidR="00165050" w:rsidRPr="004661E9">
        <w:rPr>
          <w:rFonts w:ascii="Arial" w:hAnsi="Arial" w:cs="Arial"/>
        </w:rPr>
        <w:t>cardiomyopathy</w:t>
      </w:r>
      <w:r w:rsidRPr="004661E9">
        <w:rPr>
          <w:rFonts w:ascii="Arial" w:hAnsi="Arial" w:cs="Arial"/>
        </w:rPr>
        <w:t xml:space="preserve"> and HF</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{"citationItems":[{"id":"ITEM-1","itemData":{"DOI":"10.1016/j.yjmcc.2013.10.014","ISBN":"1095-8584 (Electronic)\\r0022-2828 (Linking)","ISSN":"10958584","PMID":"24513079","abstract":"Diabetic cardiomyopathy is characterized by ventricular dysfunction that occurs in diabetic patients independent of coronary artery disease, hypertension, and any other cardiovascular diseases. Diabetic cardiomyopathy has become a major cause of diabetes-related mortality. Thus, an urgent need exists to clarify the mechanism of pathogenesis. Emerging evidence demonstrates that diabetes induces cardiomyocyte apoptosis and suppresses cardiac autophagy, indicating that the interplay between the autophagy and apoptotic cell death pathways is important in the pathogenesis of diabetic cardiomyopathy. This review highlights recent advances in the crosstalk between autophagy and apoptosis and its importance in the development of diabetic cardiomyopathy. This article is part of a Special Issue entitled \"Protein Quality Control, the Ubiquitin Proteasome System, and Autophagy\". ?? 2013 Elsevier Ltd.","author":[{"dropping-particle":"","family":"Ouyang","given":"Changhan","non-dropping-particle":"","parse-names":false,"suffix":""},{"dropping-particle":"","family":"You","given":"Jieyun","non-dropping-particle":"","parse-names":false,"suffix":""},{"dropping-particle":"","family":"Xie","given":"Zhonglin","non-dropping-particle":"","parse-names":false,"suffix":""}],"container-title":"Journal of Molecular and Cellular Cardiology","id":"ITEM-1","issue":"2014","issued":{"date-parts":[["2014"]]},"page":"71-80","publisher":"Elsevier Ltd","title":"The interplay between autophagy and apoptosis in the diabetic heart","type":"article-journal","volume":"71"},"uris":["http://www.mendeley.com/documents/?uuid=7b04985a-be63-410e-a9c5-aa63dd05e01b"]}],"mendeley":{"formattedCitation":"(113)","plainTextFormattedCitation":"(113)","previouslyFormattedCitation":"(113)"},"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(113)</w:t>
      </w:r>
      <w:r w:rsidR="000F3AD7" w:rsidRPr="004661E9">
        <w:rPr>
          <w:rFonts w:ascii="Arial" w:hAnsi="Arial" w:cs="Arial"/>
        </w:rPr>
        <w:fldChar w:fldCharType="end"/>
      </w:r>
      <w:r w:rsidR="008D5195" w:rsidRPr="004661E9">
        <w:rPr>
          <w:rFonts w:ascii="Arial" w:hAnsi="Arial" w:cs="Arial"/>
        </w:rPr>
        <w:t>.</w:t>
      </w:r>
      <w:r w:rsidRPr="004661E9">
        <w:rPr>
          <w:rFonts w:ascii="Arial" w:hAnsi="Arial" w:cs="Arial"/>
        </w:rPr>
        <w:t xml:space="preserve"> Studies from animal models and human subjects </w:t>
      </w:r>
      <w:r w:rsidR="00CE48C4" w:rsidRPr="004661E9">
        <w:rPr>
          <w:rFonts w:ascii="Arial" w:hAnsi="Arial" w:cs="Arial"/>
        </w:rPr>
        <w:t>have demonstrated a strong association between hyperglycemia and cardiomyocyte apoptosis</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{"citationItems":[{"id":"ITEM-1","itemData":{"DOI":"10.1055/s-2007-985823","ISSN":"00185043","PMID":"17846975","abstract":"BACKGROUND: Dilated cardiomyopathy (DCM) has been suggested to be a consequence of a prior viral infection leading to a chronic inflammatory and immunological reaction that leads to a structural and functional deterioration of the heart. Nevertheless, the results of present studies are conflicting, regarding the natural course of heart diseases associated with detection of viral genome and inflammation. On the other hand, diabetes mellitus (DM) is the leading endocrine disorder worldwide and sufficient to induce a cardiomyopathy. It is not known whether DM contributes to the clinical picture of cardiomyopathy associated with the presence of viral genome or inflammatory cells in the myocardium. Therefore, the present study was undertaken to compare histological, immunohistochemical, biochemical, and functional data as well as the outcome of patients presenting with DCM and positive for DM with patients negative for DM to evaluate for a diabetic contribution in the course of the disease. METHODS: A total of 216 patients were biopsied between January 1998 and April 2003. From 197 patients diagnosed as having DCM, we were able to complete data set regarding the presence of DM in 108 patients, 20 patients with and 88 patients without DM. RESULTS: There was no significant difference regarding age, gender, body mass index, presence of viral genome and inflammatory cells in the myocardium, left ventricular function and diameter, and the degree of heart insufficiency. There was a significant difference of apoptotic cells in the myocardium of patients with DCM and DM compared to patients with DCM alone (1.7+/-1.9 vs. 0.2+/-0.4, p=0.028). During the follow-up of 16 months, left ventricular function improved in both groups significantly, but not between the groups. Death or transplantation-free survival was not significantly different. CONCLUSION: The different findings regarding the presence of apoptotic cells suggest a contribution of pathobiological pathways in the patients with DM to the underlying heart disease.","author":[{"dropping-particle":"","family":"Kuethe","given":"F.","non-dropping-particle":"","parse-names":false,"suffix":""},{"dropping-particle":"","family":"Sigusch","given":"H. H.","non-dropping-particle":"","parse-names":false,"suffix":""},{"dropping-particle":"","family":"Bornstein","given":"S. R.","non-dropping-particle":"","parse-names":false,"suffix":""},{"dropping-particle":"","family":"Hilbig","given":"K.","non-dropping-particle":"","parse-names":false,"suffix":""},{"dropping-particle":"","family":"Kamvissi","given":"V.","non-dropping-particle":"","parse-names":false,"suffix":""},{"dropping-particle":"","family":"Figulla","given":"H. R.","non-dropping-particle":"","parse-names":false,"suffix":""}],"container-title":"Hormone and Metabolic Research","id":"ITEM-1","issue":"9","issued":{"date-parts":[["2007"]]},"page":"672-676","title":"Apoptosis in patients with dilated cardiomyopathy and diabetes: A feature of diabetic cardiomyopathy?","type":"article-journal","volume":"39"},"uris":["http://www.mendeley.com/documents/?uuid=be2d3429-17ba-4a06-86b1-4432cf6925d5"]},{"id":"ITEM-2","itemData":{"DOI":"10.2337/db12-0533","ISSN":"00121797","abstract":"Diabetic cardiomyopathy is associated with suppression of cardiac autophagy, and activation of AMP-activated protein kinase (AMPK) restores cardiac autophagy and prevents cardiomyopathy in diabetic mice, albeit by an unknown mechanism. We hypothesized that AMPK-induced autophagy ameliorates diabetic cardiomyopathy by inhibiting cardiomyocyte apoptosis and examined the effects of AMPK on the interaction between Beclin1 and Bcl-2, a switch between autophagy and apoptosis, in diabetic mice and high glucose-treated H9c2 cardiac myoblast cells. Exposure of H9c2 cells to high glucose reduced AMPK activity, inhibited Jun NH2-terminal kinase 1 (JNK1)-B-cell lymphoma 2 (Bcl-2) signaling, and promoted Beclin1 binding to Bcl-2. Conversely, activation of AMPK by metformin stimulated JNK1-Bcl-2 signaling and disrupted the Beclin1-Bcl-2 complex. Activation of AMPK, which normalized cardiac autophagy, attenuated high glucose-induced apoptosis in cultured H9c2 cells. This effect was attenuated by inhibition of autophagy. Finally, chronic administration of metformin in diabetic mice restored cardiac autophagy by activating JNK1-Bcl-2 pathways and dissociating Beclin1 and Bcl-2. The induction of autophagy protected against cardiac apoptosis and improved cardiac structure and function in diabetic mice. We concluded that dissociation of Bcl-2 from Beclin1 may be an important mechanism for preventing diabetic cardiomyopathy via AMPK activation that restores autophagy and protects against cardiac apoptosis. © 2013 by the American Diabetes Association.","author":[{"dropping-particle":"","family":"He","given":"Chaoyong","non-dropping-particle":"","parse-names":false,"suffix":""},{"dropping-particle":"","family":"Zhu","given":"Huaiping","non-dropping-particle":"","parse-names":false,"suffix":""},{"dropping-particle":"","family":"Li","given":"Hongliang","non-dropping-particle":"","parse-names":false,"suffix":""},{"dropping-particle":"","family":"Zou","given":"Ming Hui","non-dropping-particle":"","parse-names":false,"suffix":""},{"dropping-particle":"","family":"Xie","given":"Zhonglin","non-dropping-particle":"","parse-names":false,"suffix":""}],"container-title":"Diabetes","id":"ITEM-2","issue":"4","issued":{"date-parts":[["2013","4","1"]]},"page":"1270-1281","publisher":"American Diabetes Association","title":"Dissociation of Bcl-2-Beclin1 complex by activated AMPK enhances cardiac autophagy and protects against cardiomyocyte apoptosis in diabetes","type":"article-journal","volume":"62"},"uris":["http://www.mendeley.com/documents/?uuid=a0ded1b9-5ce4-34f6-8e69-17c45cdffb84"]}],"mendeley":{"formattedCitation":"(114,115)","plainTextFormattedCitation":"(114,115)","previouslyFormattedCitation":"(114,115)"},"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(114,115)</w:t>
      </w:r>
      <w:r w:rsidR="000F3AD7" w:rsidRPr="004661E9">
        <w:rPr>
          <w:rFonts w:ascii="Arial" w:hAnsi="Arial" w:cs="Arial"/>
        </w:rPr>
        <w:fldChar w:fldCharType="end"/>
      </w:r>
      <w:r w:rsidR="008D5195" w:rsidRPr="004661E9">
        <w:rPr>
          <w:rFonts w:ascii="Arial" w:hAnsi="Arial" w:cs="Arial"/>
        </w:rPr>
        <w:t>.</w:t>
      </w:r>
      <w:r w:rsidR="00CE48C4" w:rsidRPr="004661E9">
        <w:rPr>
          <w:rFonts w:ascii="Arial" w:hAnsi="Arial" w:cs="Arial"/>
        </w:rPr>
        <w:t xml:space="preserve"> The primary drivers of </w:t>
      </w:r>
      <w:r w:rsidR="00BA466B" w:rsidRPr="004661E9">
        <w:rPr>
          <w:rFonts w:ascii="Arial" w:hAnsi="Arial" w:cs="Arial"/>
        </w:rPr>
        <w:t xml:space="preserve">cardiomyocyte </w:t>
      </w:r>
      <w:r w:rsidR="00CE48C4" w:rsidRPr="004661E9">
        <w:rPr>
          <w:rFonts w:ascii="Arial" w:hAnsi="Arial" w:cs="Arial"/>
        </w:rPr>
        <w:t xml:space="preserve">apoptosis </w:t>
      </w:r>
      <w:r w:rsidR="00BA466B" w:rsidRPr="004661E9">
        <w:rPr>
          <w:rFonts w:ascii="Arial" w:hAnsi="Arial" w:cs="Arial"/>
        </w:rPr>
        <w:t xml:space="preserve">in </w:t>
      </w:r>
      <w:r w:rsidR="00A36DE2" w:rsidRPr="004661E9">
        <w:rPr>
          <w:rFonts w:ascii="Arial" w:hAnsi="Arial" w:cs="Arial"/>
        </w:rPr>
        <w:t>diabetes</w:t>
      </w:r>
      <w:r w:rsidR="00BA466B" w:rsidRPr="004661E9">
        <w:rPr>
          <w:rFonts w:ascii="Arial" w:hAnsi="Arial" w:cs="Arial"/>
        </w:rPr>
        <w:t xml:space="preserve"> are</w:t>
      </w:r>
      <w:r w:rsidR="00CE48C4" w:rsidRPr="004661E9">
        <w:rPr>
          <w:rFonts w:ascii="Arial" w:hAnsi="Arial" w:cs="Arial"/>
        </w:rPr>
        <w:t xml:space="preserve"> oxidative stress, endoplasmic reticulum stress, and </w:t>
      </w:r>
      <w:r w:rsidR="00BA466B" w:rsidRPr="004661E9">
        <w:rPr>
          <w:rFonts w:ascii="Arial" w:hAnsi="Arial" w:cs="Arial"/>
        </w:rPr>
        <w:t>dysregulation of autophagy, the lysosomal process that degrades and recycles cellular proteins and organelles</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Mellitus","type":"article-journal","volume":"43"},"uris":["http://www.mendeley.com/documents/?uuid=ec026bfc-04b9-3538-8098-b7eb6404bbe2"]},{"id":"ITEM-2","itemData":{"DOI":"10.2337/db19-0423","ISSN":"1939327X","abstract":"Chronic heart failure is a common complication in patients with type 2 diabetes mellitus (T2DM). T2DM is associated with disturbed metabolism of fat, which can result in excessive accumulation of lipids in cardiac muscle. In the current study, we assessed mitochondrial oxidation of carbohydrates and fatty acids, lipid accumulation, endoplasmic reticulum (ER) stress, and apoptosis in diabetic left ventricle. Left ventricular myocardium from 37 patients (a group of patients with diabetes and a group of patients without diabetes [ejection fraction &gt;50%]) undergoing coronary artery bypass graft surgery was obtained by subepicardial needle biopsy. The group with diabetes had a significantly decreased rate of mitochondrial respiration fueled by palmitoyl-carnitine that correlated with blood glucose dysregulation, while there was no difference in oxidation of pyruvate. Diabetic myocardium also had significantly decreased activity of hydroxyacyl-CoA dehydrogenase (HADHA) and accumulated more lipid droplets and ceramide. Also, markers of ER stress response (GRP78 and CHOP) and apoptosis (cleaved caspase-3) were elevated in diabetic myocardium. These results show that, even in the absence of contractile failure, diabetic heart exhibits a decreased mitochondrial capacity for b-oxidation, increased accumulation of intracellular lipids, ER stress, and greater degree of apoptosis. Lower efficiency of mitochondrial fatty acid oxidation may represent a potential target in combating negative effects of diabetes on the heart.","author":[{"dropping-particle":"","family":"Ljubkovic","given":"Marko","non-dropping-particle":"","parse-names":false,"suffix":""},{"dropping-particle":"","family":"Gressette","given":"Melanie","non-dropping-particle":"","parse-names":false,"suffix":""},{"dropping-particle":"","family":"Bulat","given":"Cristijan","non-dropping-particle":"","parse-names":false,"suffix":""},{"dropping-particle":"","family":"Cavar","given":"Marija","non-dropping-particle":"","parse-names":false,"suffix":""},{"dropping-particle":"","family":"Bakovic","given":"Darija","non-dropping-particle":"","parse-names":false,"suffix":""},{"dropping-particle":"","family":"Fabijanic","given":"Damir","non-dropping-particle":"","parse-names":false,"suffix":""},{"dropping-particle":"","family":"Grkovic","given":"Ivica","non-dropping-particle":"","parse-names":false,"suffix":""},{"dropping-particle":"","family":"Lemaire","given":"Christophe","non-dropping-particle":"","parse-names":false,"suffix":""},{"dropping-particle":"","family":"Marinovic","given":"Jasna","non-dropping-particle":"","parse-names":false,"suffix":""}],"container-title":"Diabetes","id":"ITEM-2","issue":"10","issued":{"date-parts":[["2019","10","1"]]},"page":"1924-1933","publisher":"American Diabetes Association Inc.","title":"Disturbed fatty acid oxidation, endoplasmic reticulum stress, and apoptosis in left ventricle of patients with type 2 diabetes","type":"article-journal","volume":"68"},"uris":["http://www.mendeley.com/documents/?uuid=0894b384-25a7-38e0-be10-3e04fee67175"]}],"mendeley":{"formattedCitation":"(34,116)","plainTextFormattedCitation":"(34,116)","previouslyFormattedCitation":"(34,116)"},"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(34,116)</w:t>
      </w:r>
      <w:r w:rsidR="000F3AD7" w:rsidRPr="004661E9">
        <w:rPr>
          <w:rFonts w:ascii="Arial" w:hAnsi="Arial" w:cs="Arial"/>
        </w:rPr>
        <w:fldChar w:fldCharType="end"/>
      </w:r>
      <w:r w:rsidR="008D5195" w:rsidRPr="004661E9">
        <w:rPr>
          <w:rFonts w:ascii="Arial" w:hAnsi="Arial" w:cs="Arial"/>
        </w:rPr>
        <w:t>.</w:t>
      </w:r>
    </w:p>
    <w:p w14:paraId="3884AC1D" w14:textId="16D2983D" w:rsidR="00046EB9" w:rsidRPr="004661E9" w:rsidRDefault="00BA466B" w:rsidP="004661E9">
      <w:pPr>
        <w:spacing w:after="0" w:line="276" w:lineRule="auto"/>
        <w:rPr>
          <w:rFonts w:ascii="Arial" w:hAnsi="Arial" w:cs="Arial"/>
        </w:rPr>
      </w:pPr>
      <w:r w:rsidRPr="004661E9">
        <w:rPr>
          <w:rFonts w:ascii="Arial" w:hAnsi="Arial" w:cs="Arial"/>
        </w:rPr>
        <w:t xml:space="preserve"> </w:t>
      </w:r>
      <w:r w:rsidR="00046EB9" w:rsidRPr="004661E9">
        <w:rPr>
          <w:rFonts w:ascii="Arial" w:hAnsi="Arial" w:cs="Arial"/>
        </w:rPr>
        <w:t xml:space="preserve"> </w:t>
      </w:r>
    </w:p>
    <w:p w14:paraId="54CB9D37" w14:textId="77777777" w:rsidR="00D14A9A" w:rsidRPr="00D71C11" w:rsidRDefault="00D14A9A" w:rsidP="004661E9">
      <w:pPr>
        <w:spacing w:after="0" w:line="276" w:lineRule="auto"/>
        <w:rPr>
          <w:rFonts w:ascii="Arial" w:hAnsi="Arial" w:cs="Arial"/>
          <w:b/>
          <w:bCs/>
          <w:caps/>
          <w:color w:val="0070C0"/>
        </w:rPr>
      </w:pPr>
      <w:r w:rsidRPr="00D71C11">
        <w:rPr>
          <w:rFonts w:ascii="Arial" w:hAnsi="Arial" w:cs="Arial"/>
          <w:b/>
          <w:bCs/>
          <w:caps/>
          <w:color w:val="0070C0"/>
        </w:rPr>
        <w:t xml:space="preserve">Prognostic Implications of </w:t>
      </w:r>
      <w:r w:rsidR="00A36DE2" w:rsidRPr="00D71C11">
        <w:rPr>
          <w:rFonts w:ascii="Arial" w:hAnsi="Arial" w:cs="Arial"/>
          <w:b/>
          <w:bCs/>
          <w:caps/>
          <w:color w:val="0070C0"/>
        </w:rPr>
        <w:t>DIABETES</w:t>
      </w:r>
      <w:r w:rsidRPr="00D71C11">
        <w:rPr>
          <w:rFonts w:ascii="Arial" w:hAnsi="Arial" w:cs="Arial"/>
          <w:b/>
          <w:bCs/>
          <w:caps/>
          <w:color w:val="0070C0"/>
        </w:rPr>
        <w:t xml:space="preserve"> in </w:t>
      </w:r>
      <w:r w:rsidR="009906B3" w:rsidRPr="00D71C11">
        <w:rPr>
          <w:rFonts w:ascii="Arial" w:hAnsi="Arial" w:cs="Arial"/>
          <w:b/>
          <w:bCs/>
          <w:caps/>
          <w:color w:val="0070C0"/>
        </w:rPr>
        <w:t>HF</w:t>
      </w:r>
    </w:p>
    <w:bookmarkEnd w:id="14"/>
    <w:p w14:paraId="5AEBD955" w14:textId="77777777" w:rsidR="008D5195" w:rsidRPr="004661E9" w:rsidRDefault="008D5195" w:rsidP="004661E9">
      <w:pPr>
        <w:spacing w:after="0" w:line="276" w:lineRule="auto"/>
        <w:rPr>
          <w:rFonts w:ascii="Arial" w:hAnsi="Arial" w:cs="Arial"/>
        </w:rPr>
      </w:pPr>
    </w:p>
    <w:p w14:paraId="1BF27E41" w14:textId="4801A37C" w:rsidR="00A634F8" w:rsidRPr="004661E9" w:rsidRDefault="00371089" w:rsidP="004661E9">
      <w:pPr>
        <w:spacing w:after="0" w:line="276" w:lineRule="auto"/>
        <w:rPr>
          <w:rFonts w:ascii="Arial" w:hAnsi="Arial" w:cs="Arial"/>
        </w:rPr>
      </w:pPr>
      <w:bookmarkStart w:id="15" w:name="_Hlk146546850"/>
      <w:r w:rsidRPr="004661E9">
        <w:rPr>
          <w:rFonts w:ascii="Arial" w:hAnsi="Arial" w:cs="Arial"/>
        </w:rPr>
        <w:t>Data from epidemiologic studies and clinical trial</w:t>
      </w:r>
      <w:r w:rsidR="007161A3" w:rsidRPr="004661E9">
        <w:rPr>
          <w:rFonts w:ascii="Arial" w:hAnsi="Arial" w:cs="Arial"/>
        </w:rPr>
        <w:t>s</w:t>
      </w:r>
      <w:r w:rsidRPr="004661E9">
        <w:rPr>
          <w:rFonts w:ascii="Arial" w:hAnsi="Arial" w:cs="Arial"/>
        </w:rPr>
        <w:t xml:space="preserve"> have consistently demonstrated that </w:t>
      </w:r>
      <w:bookmarkStart w:id="16" w:name="_Hlk43803914"/>
      <w:r w:rsidR="00D67CC4" w:rsidRPr="004661E9">
        <w:rPr>
          <w:rFonts w:ascii="Arial" w:hAnsi="Arial" w:cs="Arial"/>
        </w:rPr>
        <w:t>individuals</w:t>
      </w:r>
      <w:r w:rsidR="00C972A2" w:rsidRPr="004661E9">
        <w:rPr>
          <w:rFonts w:ascii="Arial" w:hAnsi="Arial" w:cs="Arial"/>
        </w:rPr>
        <w:t xml:space="preserve"> with </w:t>
      </w:r>
      <w:r w:rsidR="009F2954" w:rsidRPr="004661E9">
        <w:rPr>
          <w:rFonts w:ascii="Arial" w:hAnsi="Arial" w:cs="Arial"/>
        </w:rPr>
        <w:t xml:space="preserve">concurrent diabetes and </w:t>
      </w:r>
      <w:r w:rsidR="00C972A2" w:rsidRPr="004661E9">
        <w:rPr>
          <w:rFonts w:ascii="Arial" w:hAnsi="Arial" w:cs="Arial"/>
        </w:rPr>
        <w:t>HF hav</w:t>
      </w:r>
      <w:r w:rsidR="00904B95" w:rsidRPr="004661E9">
        <w:rPr>
          <w:rFonts w:ascii="Arial" w:hAnsi="Arial" w:cs="Arial"/>
        </w:rPr>
        <w:t>e</w:t>
      </w:r>
      <w:r w:rsidR="00FE1853" w:rsidRPr="004661E9">
        <w:rPr>
          <w:rFonts w:ascii="Arial" w:hAnsi="Arial" w:cs="Arial"/>
        </w:rPr>
        <w:t xml:space="preserve"> impaired quality of life</w:t>
      </w:r>
      <w:r w:rsidR="00904B95" w:rsidRPr="004661E9">
        <w:rPr>
          <w:rFonts w:ascii="Arial" w:hAnsi="Arial" w:cs="Arial"/>
        </w:rPr>
        <w:t>, are at high risk of hospitalization</w:t>
      </w:r>
      <w:r w:rsidR="000E7904" w:rsidRPr="004661E9">
        <w:rPr>
          <w:rFonts w:ascii="Arial" w:hAnsi="Arial" w:cs="Arial"/>
        </w:rPr>
        <w:t xml:space="preserve"> </w:t>
      </w:r>
      <w:r w:rsidR="00D2537D" w:rsidRPr="004661E9">
        <w:rPr>
          <w:rFonts w:ascii="Arial" w:hAnsi="Arial" w:cs="Arial"/>
        </w:rPr>
        <w:t xml:space="preserve">and </w:t>
      </w:r>
      <w:r w:rsidR="000E7904" w:rsidRPr="004661E9">
        <w:rPr>
          <w:rFonts w:ascii="Arial" w:hAnsi="Arial" w:cs="Arial"/>
        </w:rPr>
        <w:t>mortality</w:t>
      </w:r>
      <w:r w:rsidR="0015065B" w:rsidRPr="004661E9">
        <w:rPr>
          <w:rFonts w:ascii="Arial" w:hAnsi="Arial" w:cs="Arial"/>
        </w:rPr>
        <w:t>,</w:t>
      </w:r>
      <w:r w:rsidR="00FE1853" w:rsidRPr="004661E9">
        <w:rPr>
          <w:rFonts w:ascii="Arial" w:hAnsi="Arial" w:cs="Arial"/>
        </w:rPr>
        <w:t xml:space="preserve"> and </w:t>
      </w:r>
      <w:r w:rsidR="00904B95" w:rsidRPr="004661E9">
        <w:rPr>
          <w:rFonts w:ascii="Arial" w:hAnsi="Arial" w:cs="Arial"/>
        </w:rPr>
        <w:t xml:space="preserve">have </w:t>
      </w:r>
      <w:r w:rsidR="00C972A2" w:rsidRPr="004661E9">
        <w:rPr>
          <w:rFonts w:ascii="Arial" w:hAnsi="Arial" w:cs="Arial"/>
        </w:rPr>
        <w:t>a</w:t>
      </w:r>
      <w:r w:rsidR="00904B95" w:rsidRPr="004661E9">
        <w:rPr>
          <w:rFonts w:ascii="Arial" w:hAnsi="Arial" w:cs="Arial"/>
        </w:rPr>
        <w:t>n overall</w:t>
      </w:r>
      <w:r w:rsidR="00C972A2" w:rsidRPr="004661E9">
        <w:rPr>
          <w:rFonts w:ascii="Arial" w:hAnsi="Arial" w:cs="Arial"/>
        </w:rPr>
        <w:t xml:space="preserve"> poor prognosis</w:t>
      </w:r>
      <w:bookmarkEnd w:id="16"/>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{"citationItems":[{"id":"ITEM-1","itemData":{"DOI":"10.1161/CIRCHEARTFAILURE.115.002560","ISSN":"19413297","abstract":"The prevalence of pre-diabetes mellitus and its consequences in patients with heart failure and reduced ejection fraction are not known. We investigated these in the Prospective Comparison of ARNI With ACEI to Determine Impact on Global Mortality and Morbidity in Heart Failure (PARADIGM-HF) trial. Methods and Results-We examined clinical outcomes in 8399 patients with heart failure and reduced ejection fraction according to history of diabetes mellitus and glycemic status (baseline hemoglobin A1c [HbA1c]: &lt;6.0% [&lt;42 mmol/mol], 6.0%-6.4% [42-47 mmol/mol; pre-diabetes mellitus], and ≥6.5% [≥48 mmol/mol; diabetes mellitus]), in Cox regression models adjusted for known predictors of poor outcome. Patients with a history of diabetes mellitus (n=2907 [35%]) had a higher risk of the primary composite outcome of heart failure hospitalization or cardiovascular mortality compared with those without a history of diabetes mellitus: adjusted hazard ratio, 1.38; 95% confidence interval, 1.25 to 1.52; P&lt;0.001. HbA1c measurement showed that an additional 1106 (13% of total) patients had undiagnosed diabetes mellitus and 2103 (25%) had pre-diabetes mellitus. The hazard ratio for patients with undiagnosed diabetes mellitus (HbA1c, &gt;6.5%) and known diabetes mellitus compared with those with HbA1c&lt;6.0% was 1.39 (1.17-1.64); P&lt;0.001 and 1.64 (1.43-1.87); P&lt;0.001, respectively. Patients with pre-diabetes mellitus were also at higher risk (hazard ratio, 1.27 [1.10-1.47]; P&lt;0.001) compared with those with HbA1c&lt;6.0%. The benefit of LCZ696 (sacubitril/valsartan) compared with enalapril was consistent across the range of HbA1c in the trial. Conclusions-In patients with heart failure and reduced ejection fraction, dysglycemia is common and pre-diabetes mellitus is associated with a higher risk of adverse cardiovascular outcomes (compared with patients with no diabetes mellitus and HbA1c &lt;6.0%). LCZ696 was beneficial compared with enalapril, irrespective of glycemic status.","author":[{"dropping-particle":"","family":"Kristensen","given":"Søren L.","non-dropping-particle":"","parse-names":false,"suffix":""},{"dropping-particle":"","family":"Preiss","given":"David","non-dropping-particle":"","parse-names":false,"suffix":""},{"dropping-particle":"","family":"Jhund","given":"Pardeep S.","non-dropping-particle":"","parse-names":false,"suffix":""},{"dropping-particle":"","family":"Squire","given":"Iain","non-dropping-particle":"","parse-names":false,"suffix":""},{"dropping-particle":"","family":"Cardoso","given":"Jose Silva","non-dropping-particle":"","parse-names":false,"suffix":""},{"dropping-particle":"","family":"Merkely","given":"Bela","non-dropping-particle":"","parse-names":false,"suffix":""},{"dropping-particle":"","family":"Martinez","given":"Felipe","non-dropping-particle":"","parse-names":false,"suffix":""},{"dropping-particle":"","family":"Starling","given":"Randall C.","non-dropping-particle":"","parse-names":false,"suffix":""},{"dropping-particle":"","family":"Desai","given":"Akshay S.","non-dropping-particle":"","parse-names":false,"suffix":""},{"dropping-particle":"","family":"Lefkowitz","given":"Martin P.","non-dropping-particle":"","parse-names":false,"suffix":""},{"dropping-particle":"","family":"Rizkala","given":"Adel R.","non-dropping-particle":"","parse-names":false,"suffix":""},{"dropping-particle":"","family":"Rouleau","given":"Jean L.","non-dropping-particle":"","parse-names":false,"suffix":""},{"dropping-particle":"","family":"Shi","given":"Victor C.","non-dropping-particle":"","parse-names":false,"suffix":""},{"dropping-particle":"","family":"Solomon","given":"Scott D.","non-dropping-particle":"","parse-names":false,"suffix":""},{"dropping-particle":"","family":"Swedberg","given":"Karl","non-dropping-particle":"","parse-names":false,"suffix":""},{"dropping-particle":"","family":"Zile","given":"Michael R.","non-dropping-particle":"","parse-names":false,"suffix":""},{"dropping-particle":"","family":"McMurray","given":"John J.V.","non-dropping-particle":"","parse-names":false,"suffix":""},{"dropping-particle":"","family":"Packer","given":"Milton","non-dropping-particle":"","parse-names":false,"suffix":""}],"container-title":"Circulation: Heart Failure","id":"ITEM-1","issue":"1","issued":{"date-parts":[["2016"]]},"page":"1-12","title":"Risk Related to Pre-Diabetes Mellitus and Diabetes Mellitus in Heart Failure with Reduced Ejection Fraction: Insights from Prospective Comparison of ARNI with ACEI to Determine Impact on Global Mortality and Morbidity in Heart Failure Trial","type":"article-journal","volume":"9"},"uris":["http://www.mendeley.com/documents/?uuid=3c815d27-4d84-4c4d-8bba-b6f00dcf5589"]},{"id":"ITEM-2","itemData":{"DOI":"10.2337/dc17-0544","ISSN":"19355548","abstract":"OBJECTIVE We studied differences in long-term (i.e., 10 year) prognosis among patients with acute heart failure (HF) with and without diabetes over the last three decades. In addition, we investigated whether the degree of prognostic improvement in that period was comparable between patients with and without diabetes. RESEARCH DESIGN AND METHODS This prospective registry included all consecutive patients aged 18 years and older admitted to the Intensive Coronary Care Unit with acute HF in the period of 1985- 2008. A total of 1,810 patients were included; 384 patients (21%) had diabetes. The outcome measure was the composite of all-cause mortality, heart transplantation, and left ventricular assist device implantation after 10-year follow-up. RESULTS The 10-year outcome in patients with diabetes was significantly worse than in those without diabetes (87% vs. 76%; adjusted hazard ratio [HR] 1.17 [95% CI 1.02-1.33]). Patients admitted in the last decade had a significantly lower 10-year event rate than patients admitted in the first two decades, both among patients without diabetes (adjusted HR 0.86 [95% CI 0.75-0.99]) and patients with diabetes (adjusted HR 0.80 [95% CI 0.63-1.00]). CONCLUSIONS The long-term outcome of patients with diabetes is worse than that of patients without diabetes. However, the long-term prognosis improved over time in both groups. Importantly, this improvement in long-term prognosis was comparable in patients with and without diabetes. Despite these promising results, more awareness for diabetes in patients with acute HF is necessary and there is still need for optimal treatment of diabetes in acute HF.","author":[{"dropping-particle":"","family":"Berge","given":"Jan C.","non-dropping-particle":"Van Den","parse-names":false,"suffix":""},{"dropping-particle":"","family":"Constantinescu","given":"Alina A.","non-dropping-particle":"","parse-names":false,"suffix":""},{"dropping-particle":"","family":"Boiten","given":"Hendrik J.","non-dropping-particle":"","parse-names":false,"suffix":""},{"dropping-particle":"","family":"Domburg","given":"Ron T.","non-dropping-particle":"Van","parse-names":false,"suffix":""},{"dropping-particle":"","family":"Deckers","given":"Jaap W.","non-dropping-particle":"","parse-names":false,"suffix":""},{"dropping-particle":"","family":"Akkerhuis","given":"K. Martijn","non-dropping-particle":"","parse-names":false,"suffix":""}],"container-title":"Diabetes Care","id":"ITEM-2","issue":"1","issued":{"date-parts":[["2018","1","1"]]},"page":"143-149","publisher":"American Diabetes Association Inc.","title":"Short- and long-term prognosis of patients with acute heart failure with and without diabetes: Changes over the last three decades","type":"article-journal","volume":"41"},"uris":["http://www.mendeley.com/documents/?uuid=05983de5-e37d-3f65-a9bd-b30da0c3680e"]}],"mendeley":{"formattedCitation":"(33,117)","plainTextFormattedCitation":"(33,117)","previouslyFormattedCitation":"(33,117)"},"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(33,117)</w:t>
      </w:r>
      <w:r w:rsidR="000F3AD7" w:rsidRPr="004661E9">
        <w:rPr>
          <w:rFonts w:ascii="Arial" w:hAnsi="Arial" w:cs="Arial"/>
        </w:rPr>
        <w:fldChar w:fldCharType="end"/>
      </w:r>
      <w:r w:rsidR="008D5195" w:rsidRPr="004661E9">
        <w:rPr>
          <w:rFonts w:ascii="Arial" w:hAnsi="Arial" w:cs="Arial"/>
        </w:rPr>
        <w:t>.</w:t>
      </w:r>
      <w:r w:rsidR="00A634F8" w:rsidRPr="004661E9">
        <w:rPr>
          <w:rFonts w:ascii="Arial" w:hAnsi="Arial" w:cs="Arial"/>
        </w:rPr>
        <w:t xml:space="preserve"> In addition, </w:t>
      </w:r>
      <w:r w:rsidR="00D54D2A" w:rsidRPr="004661E9">
        <w:rPr>
          <w:rFonts w:ascii="Arial" w:hAnsi="Arial" w:cs="Arial"/>
        </w:rPr>
        <w:t xml:space="preserve">coexistent prediabetes </w:t>
      </w:r>
      <w:r w:rsidR="00D62098">
        <w:rPr>
          <w:rFonts w:ascii="Arial" w:hAnsi="Arial" w:cs="Arial"/>
        </w:rPr>
        <w:t xml:space="preserve">also </w:t>
      </w:r>
      <w:r w:rsidR="00D54D2A" w:rsidRPr="004661E9">
        <w:rPr>
          <w:rFonts w:ascii="Arial" w:hAnsi="Arial" w:cs="Arial"/>
        </w:rPr>
        <w:t>appear</w:t>
      </w:r>
      <w:r w:rsidR="00543EDD" w:rsidRPr="004661E9">
        <w:rPr>
          <w:rFonts w:ascii="Arial" w:hAnsi="Arial" w:cs="Arial"/>
        </w:rPr>
        <w:t>s</w:t>
      </w:r>
      <w:r w:rsidR="00D54D2A" w:rsidRPr="004661E9">
        <w:rPr>
          <w:rFonts w:ascii="Arial" w:hAnsi="Arial" w:cs="Arial"/>
        </w:rPr>
        <w:t xml:space="preserve"> to </w:t>
      </w:r>
      <w:r w:rsidR="00543EDD" w:rsidRPr="004661E9">
        <w:rPr>
          <w:rFonts w:ascii="Arial" w:hAnsi="Arial" w:cs="Arial"/>
        </w:rPr>
        <w:t xml:space="preserve">increase the </w:t>
      </w:r>
      <w:r w:rsidR="00D54D2A" w:rsidRPr="004661E9">
        <w:rPr>
          <w:rFonts w:ascii="Arial" w:hAnsi="Arial" w:cs="Arial"/>
        </w:rPr>
        <w:t>risk of morbidity and mortality in patients with HF</w:t>
      </w:r>
      <w:r w:rsidR="0007333E" w:rsidRPr="004661E9">
        <w:rPr>
          <w:rFonts w:ascii="Arial" w:hAnsi="Arial" w:cs="Arial"/>
        </w:rPr>
        <w:t xml:space="preserve"> as well</w:t>
      </w:r>
      <w:r w:rsidR="00D54D2A" w:rsidRPr="004661E9">
        <w:rPr>
          <w:rFonts w:ascii="Arial" w:hAnsi="Arial" w:cs="Arial"/>
        </w:rPr>
        <w:t xml:space="preserve"> </w:t>
      </w:r>
      <w:r w:rsidR="00C354FF" w:rsidRPr="004661E9">
        <w:rPr>
          <w:rFonts w:ascii="Arial" w:hAnsi="Arial" w:cs="Arial"/>
        </w:rPr>
        <w:fldChar w:fldCharType="begin" w:fldLock="1"/>
      </w:r>
      <w:r w:rsidR="00E156CB" w:rsidRPr="004661E9">
        <w:rPr>
          <w:rFonts w:ascii="Arial" w:hAnsi="Arial" w:cs="Arial"/>
        </w:rPr>
        <w:instrText>ADDIN CSL_CITATION {"citationItems":[{"id":"ITEM-1","itemData":{"DOI":"10.1056/nejmoa2206286","ISSN":"0028-4793","PMID":"36027570","abstract":"BACKGROUND Sodium-glucose cotransporter 2 (SGLT2) inhibitors reduce the risk of hospitalization for heart failure and cardiovascular death among patients with chronic heart failure and a left ventricular ejection fraction of 40% or less. Whether SGLT2 inhibitors are effective in patients with a higher left ventricular ejection fraction remains less certain. METHODS We randomly assigned 6263 patients with heart failure and a left ventricular ejection fraction of more than 40% to receive dapagliflozin (at a dose of 10 mg once daily) or matching placebo, in addition to usual therapy. The primary outcome was a composite of worsening heart failure (which was defined as either an unplanned hospitalization for heart failure or an urgent visit for heart failure) or cardiovascular death, as assessed in a time-to-event analysis. RESULTS Over a median of 2.3 years, the primary outcome occurred in 512 of 3131 patients (16.4%) in the dapagliflozin group and in 610 of 3132 patients (19.5%) in the placebo group (hazard ratio, 0.82; 95% confidence interval [CI], 0.73 to 0.92; P&lt;0.001). Worsening heart failure occurred in 368 patients (11.8%) in the dapagliflozin group and in 455 patients (14.5%) in the placebo group (hazard ratio, 0.79; 95% CI, 0.69 to 0.91); cardiovascular death occurred in 231 patients (7.4%) and 261 patients (8.3%), respectively (hazard ratio, 0.88; 95% CI, 0.74 to 1.05). Total events and symptom burden were lower in the dapagliflozin group than in the placebo group. Results were similar among patients with a left ventricular ejection fraction of 60% or more and those with a left ventricular ejection fraction of less than 60%, and results were similar in prespecified subgroups, including patients with or without diabetes. The incidence of adverse events was similar in the two groups. CONCLUSIONS Dapagliflozin reduced the combined risk of worsening heart failure or cardiovascular death among patients with heart failure and a mildly reduced or preserved ejection fraction. (Funded by AstraZeneca; DELIVER ClinicalTrials.gov number, NCT03619213.).","author":[{"dropping-particle":"","family":"Solomon","given":"Scott D.","non-dropping-particle":"","parse-names":false,"suffix":""},{"dropping-particle":"","family":"McMurray","given":"John J.V.","non-dropping-particle":"","parse-names":false,"suffix":""},{"dropping-particle":"","family":"Claggett","given":"Brian","non-dropping-particle":"","parse-names":false,"suffix":""},{"dropping-particle":"","family":"Boer","given":"Rudolf A.","non-dropping-particle":"de","parse-names":false,"suffix":""},{"dropping-particle":"","family":"DeMets","given":"David","non-dropping-particle":"","parse-names":false,"suffix":""},{"dropping-particle":"","family":"Hernandez","given":"Adrian F.","non-dropping-particle":"","parse-names":false,"suffix":""},{"dropping-particle":"","family":"Inzucchi","given":"Silvio E.","non-dropping-particle":"","parse-names":false,"suffix":""},{"dropping-particle":"","family":"Kosiborod","given":"Mikhail N.","non-dropping-particle":"","parse-names":false,"suffix":""},{"dropping-particle":"","family":"Lam","given":"Carolyn S.P.","non-dropping-particle":"","parse-names":false,"suffix":""},{"dropping-particle":"","family":"Martinez","given":"Felipe","non-dropping-particle":"","parse-names":false,"suffix":""},{"dropping-particle":"","family":"Shah","given":"Sanjiv J.","non-dropping-particle":"","parse-names":false,"suffix":""},{"dropping-particle":"","family":"Desai","given":"Akshay S.","non-dropping-particle":"","parse-names":false,"suffix":""},{"dropping-particle":"","family":"Jhund","given":"Pardeep S.","non-dropping-particle":"","parse-names":false,"suffix":""},{"dropping-particle":"","family":"Belohlavek","given":"Jan","non-dropping-particle":"","parse-names":false,"suffix":""},{"dropping-particle":"","family":"Chiang","given":"Chern-En","non-dropping-particle":"","parse-names":false,"suffix":""},{"dropping-particle":"","family":"Borleffs","given":"C. Jan Willem","non-dropping-particle":"","parse-names":false,"suffix":""},{"dropping-particle":"","family":"Comin-Colet","given":"Josep","non-dropping-particle":"","parse-names":false,"suffix":""},{"dropping-particle":"","family":"Dobreanu","given":"Dan","non-dropping-particle":"","parse-names":false,"suffix":""},{"dropping-particle":"","family":"Drozdz","given":"Jaroslaw","non-dropping-particle":"","parse-names":false,"suffix":""},{"dropping-particle":"","family":"Fang","given":"James C.","non-dropping-particle":"","parse-names":false,"suffix":""},{"dropping-particle":"","family":"Alcocer-Gamba","given":"Marco Antonio","non-dropping-particle":"","parse-names":false,"suffix":""},{"dropping-particle":"","family":"Habeeb","given":"Waleed","non-dropping-particle":"Al","parse-names":false,"suffix":""},{"dropping-particle":"","family":"Han","given":"Yaling","non-dropping-particle":"","parse-names":false,"suffix":""},{"dropping-particle":"","family":"Cabrera Honorio","given":"Jose Walter","non-dropping-particle":"","parse-names":false,"suffix":""},{"dropping-particle":"","family":"Janssens","given":"Stefan P.","non-dropping-particle":"","parse-names":false,"suffix":""},{"dropping-particle":"","family":"Katova","given":"Tzvetana","non-dropping-particle":"","parse-names":false,"suffix":""},{"dropping-particle":"","family":"Kitakaze","given":"Masafumi","non-dropping-particle":"","parse-names":false,"suffix":""},{"dropping-particle":"","family":"Merkely","given":"Béla","non-dropping-particle":"","parse-names":false,"suffix":""},{"dropping-particle":"","family":"O’Meara","given":"Eileen","non-dropping-particle":"","parse-names":false,"suffix":""},{"dropping-particle":"","family":"Saraiva","given":"Jose Francisco Kerr","non-dropping-particle":"","parse-names":false,"suffix":""},{"dropping-particle":"","family":"Tereshchenko","given":"Sergey N.","non-dropping-particle":"","parse-names":false,"suffix":""},{"dropping-particle":"","family":"Thierer","given":"Jorge","non-dropping-particle":"","parse-names":false,"suffix":""},{"dropping-particle":"","family":"Vaduganathan","given":"Muthiah","non-dropping-particle":"","parse-names":false,"suffix":""},{"dropping-particle":"","family":"Vardeny","given":"Orly","non-dropping-particle":"","parse-names":false,"suffix":""},{"dropping-particle":"","family":"Verma","given":"Subodh","non-dropping-particle":"","parse-names":false,"suffix":""},{"dropping-particle":"","family":"Pham","given":"Vinh Nguyen","non-dropping-particle":"","parse-names":false,"suffix":""},{"dropping-particle":"","family":"Wilderäng","given":"Ulrica","non-dropping-particle":"","parse-names":false,"suffix":""},{"dropping-particle":"","family":"Zaozerska","given":"Natalia","non-dropping-particle":"","parse-names":false,"suffix":""},{"dropping-particle":"","family":"Bachus","given":"Erasmus","non-dropping-particle":"","parse-names":false,"suffix":""},{"dropping-particle":"","family":"Lindholm","given":"Daniel","non-dropping-particle":"","parse-names":false,"suffix":""},{"dropping-particle":"","family":"Petersson","given":"Magnus","non-dropping-particle":"","parse-names":false,"suffix":""},{"dropping-particle":"","family":"Langkilde","given":"Anna Maria","non-dropping-particle":"","parse-names":false,"suffix":""}],"container-title":"New England Journal of Medicine","id":"ITEM-1","issue":"12","issued":{"date-parts":[["2022"]]},"page":"1089-1098","title":"Dapagliflozin in Heart Failure with Mildly Reduced or Preserved Ejection Fraction","type":"article-journal","volume":"387"},"uris":["http://www.mendeley.com/documents/?uuid=ac3caf30-03fb-4a64-8882-c6c5c2520074"]}],"mendeley":{"formattedCitation":"(118)","plainTextFormattedCitation":"(118)","previouslyFormattedCitation":"(118)"},"properties":{"noteIndex":0},"schema":"https://github.com/citation-style-language/schema/raw/master/csl-citation.json"}</w:instrText>
      </w:r>
      <w:r w:rsidR="00C354FF" w:rsidRPr="004661E9">
        <w:rPr>
          <w:rFonts w:ascii="Arial" w:hAnsi="Arial" w:cs="Arial"/>
        </w:rPr>
        <w:fldChar w:fldCharType="separate"/>
      </w:r>
      <w:r w:rsidR="003C01B8" w:rsidRPr="004661E9">
        <w:rPr>
          <w:rFonts w:ascii="Arial" w:hAnsi="Arial" w:cs="Arial"/>
          <w:noProof/>
        </w:rPr>
        <w:t>(118)</w:t>
      </w:r>
      <w:r w:rsidR="00C354FF" w:rsidRPr="004661E9">
        <w:rPr>
          <w:rFonts w:ascii="Arial" w:hAnsi="Arial" w:cs="Arial"/>
        </w:rPr>
        <w:fldChar w:fldCharType="end"/>
      </w:r>
      <w:r w:rsidR="00D54D2A" w:rsidRPr="004661E9">
        <w:rPr>
          <w:rFonts w:ascii="Arial" w:hAnsi="Arial" w:cs="Arial"/>
        </w:rPr>
        <w:t xml:space="preserve">. </w:t>
      </w:r>
      <w:r w:rsidR="00C972A2" w:rsidRPr="004661E9">
        <w:rPr>
          <w:rFonts w:ascii="Arial" w:hAnsi="Arial" w:cs="Arial"/>
        </w:rPr>
        <w:t xml:space="preserve"> </w:t>
      </w:r>
    </w:p>
    <w:p w14:paraId="445C3D04" w14:textId="77777777" w:rsidR="00A634F8" w:rsidRPr="004661E9" w:rsidRDefault="00A634F8" w:rsidP="004661E9">
      <w:pPr>
        <w:spacing w:after="0" w:line="276" w:lineRule="auto"/>
        <w:rPr>
          <w:rFonts w:ascii="Arial" w:hAnsi="Arial" w:cs="Arial"/>
        </w:rPr>
      </w:pPr>
    </w:p>
    <w:p w14:paraId="225B282A" w14:textId="581B50D7" w:rsidR="000E5685" w:rsidRPr="004661E9" w:rsidRDefault="00FB5A7D" w:rsidP="004661E9">
      <w:pPr>
        <w:spacing w:after="0" w:line="276" w:lineRule="auto"/>
        <w:rPr>
          <w:rFonts w:ascii="Arial" w:hAnsi="Arial" w:cs="Arial"/>
        </w:rPr>
      </w:pPr>
      <w:r w:rsidRPr="004661E9">
        <w:rPr>
          <w:rFonts w:ascii="Arial" w:hAnsi="Arial" w:cs="Arial"/>
        </w:rPr>
        <w:t xml:space="preserve">A large meta-analysis </w:t>
      </w:r>
      <w:r w:rsidR="0001355D" w:rsidRPr="004661E9">
        <w:rPr>
          <w:rFonts w:ascii="Arial" w:hAnsi="Arial" w:cs="Arial"/>
        </w:rPr>
        <w:t>including</w:t>
      </w:r>
      <w:r w:rsidR="00683DF5" w:rsidRPr="004661E9">
        <w:rPr>
          <w:rFonts w:ascii="Arial" w:hAnsi="Arial" w:cs="Arial"/>
        </w:rPr>
        <w:t xml:space="preserve"> &gt;380</w:t>
      </w:r>
      <w:r w:rsidR="004C38CF" w:rsidRPr="004661E9">
        <w:rPr>
          <w:rFonts w:ascii="Arial" w:hAnsi="Arial" w:cs="Arial"/>
        </w:rPr>
        <w:t>,</w:t>
      </w:r>
      <w:r w:rsidR="00683DF5" w:rsidRPr="004661E9">
        <w:rPr>
          <w:rFonts w:ascii="Arial" w:hAnsi="Arial" w:cs="Arial"/>
        </w:rPr>
        <w:t xml:space="preserve">000 </w:t>
      </w:r>
      <w:r w:rsidR="00D67CC4" w:rsidRPr="004661E9">
        <w:rPr>
          <w:rFonts w:ascii="Arial" w:hAnsi="Arial" w:cs="Arial"/>
        </w:rPr>
        <w:t>subjects</w:t>
      </w:r>
      <w:r w:rsidR="0001355D" w:rsidRPr="004661E9">
        <w:rPr>
          <w:rFonts w:ascii="Arial" w:hAnsi="Arial" w:cs="Arial"/>
        </w:rPr>
        <w:t xml:space="preserve"> with acute and chronic </w:t>
      </w:r>
      <w:r w:rsidR="007378DE" w:rsidRPr="004661E9">
        <w:rPr>
          <w:rFonts w:ascii="Arial" w:hAnsi="Arial" w:cs="Arial"/>
        </w:rPr>
        <w:t>HF</w:t>
      </w:r>
      <w:r w:rsidR="0001355D" w:rsidRPr="004661E9">
        <w:rPr>
          <w:rFonts w:ascii="Arial" w:hAnsi="Arial" w:cs="Arial"/>
        </w:rPr>
        <w:t xml:space="preserve"> </w:t>
      </w:r>
      <w:r w:rsidR="00683DF5" w:rsidRPr="004661E9">
        <w:rPr>
          <w:rFonts w:ascii="Arial" w:hAnsi="Arial" w:cs="Arial"/>
        </w:rPr>
        <w:t>from 43 registries and clinical trials revealed that</w:t>
      </w:r>
      <w:r w:rsidR="007378DE" w:rsidRPr="004661E9">
        <w:rPr>
          <w:rFonts w:ascii="Arial" w:hAnsi="Arial" w:cs="Arial"/>
        </w:rPr>
        <w:t xml:space="preserve"> </w:t>
      </w:r>
      <w:r w:rsidR="0007333E" w:rsidRPr="004661E9">
        <w:rPr>
          <w:rFonts w:ascii="Arial" w:hAnsi="Arial" w:cs="Arial"/>
        </w:rPr>
        <w:t xml:space="preserve">diabetes was associated with </w:t>
      </w:r>
      <w:r w:rsidR="00543EDD" w:rsidRPr="004661E9">
        <w:rPr>
          <w:rFonts w:ascii="Arial" w:hAnsi="Arial" w:cs="Arial"/>
        </w:rPr>
        <w:t xml:space="preserve">a </w:t>
      </w:r>
      <w:r w:rsidR="00683DF5" w:rsidRPr="004661E9">
        <w:rPr>
          <w:rFonts w:ascii="Arial" w:hAnsi="Arial" w:cs="Arial"/>
        </w:rPr>
        <w:t xml:space="preserve">28% increased risk </w:t>
      </w:r>
      <w:r w:rsidR="004C38CF" w:rsidRPr="004661E9">
        <w:rPr>
          <w:rFonts w:ascii="Arial" w:hAnsi="Arial" w:cs="Arial"/>
        </w:rPr>
        <w:t xml:space="preserve">of </w:t>
      </w:r>
      <w:r w:rsidR="00683DF5" w:rsidRPr="004661E9">
        <w:rPr>
          <w:rFonts w:ascii="Arial" w:hAnsi="Arial" w:cs="Arial"/>
        </w:rPr>
        <w:t xml:space="preserve">all-cause mortality and ~35% increased risk of both CV death and hospitalization (mostly </w:t>
      </w:r>
      <w:r w:rsidR="009906B3" w:rsidRPr="004661E9">
        <w:rPr>
          <w:rFonts w:ascii="Arial" w:hAnsi="Arial" w:cs="Arial"/>
        </w:rPr>
        <w:t xml:space="preserve">from </w:t>
      </w:r>
      <w:r w:rsidR="00683DF5" w:rsidRPr="004661E9">
        <w:rPr>
          <w:rFonts w:ascii="Arial" w:hAnsi="Arial" w:cs="Arial"/>
        </w:rPr>
        <w:t>HF)</w:t>
      </w:r>
      <w:r w:rsidR="007378DE" w:rsidRPr="004661E9">
        <w:rPr>
          <w:rFonts w:ascii="Arial" w:hAnsi="Arial" w:cs="Arial"/>
        </w:rPr>
        <w:t xml:space="preserve"> over a </w:t>
      </w:r>
      <w:r w:rsidR="00D129E6" w:rsidRPr="004661E9">
        <w:rPr>
          <w:rFonts w:ascii="Arial" w:hAnsi="Arial" w:cs="Arial"/>
        </w:rPr>
        <w:t>three</w:t>
      </w:r>
      <w:r w:rsidR="007378DE" w:rsidRPr="004661E9">
        <w:rPr>
          <w:rFonts w:ascii="Arial" w:hAnsi="Arial" w:cs="Arial"/>
        </w:rPr>
        <w:t xml:space="preserve"> year follow up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{"citationItems":[{"id":"ITEM-1","itemData":{"DOI":"10.2337/dc17-0697","ISSN":"19355548","abstract":"OBJECTIVE Several studies have explored the impact of diabetes on mortality in patients with heart failure (HF). However, the extent towhich diabetesmay confer risk ofmortality and hospitalization in this patient population remains imperfectly known. Here we examine the independent prognostic impact of diabetes on the long-term risk of mortality and hospitalization in patients with HF. RESEARCH DESIGN AND METHODS PubMed, Scopus, and Web of Science from January 1990 to October 2016 were the data sources used. We included large (n ≥ 1,000) observational registries and randomized controlled trials with a follow-up duration of at least 1 year. Eligible studies were selected according to predefined keywords and clinical outcomes. Data from selected studies were extracted, and meta-analysis was performed using randomeffects modeling. RESULTS A total of 31 registries and 12 clinical trials with 381,725 patients with acute and chronic HF and 102,036 all-cause deaths over a median follow-up of 3 years were included in the final analysis. Diabetes was associated with a higher risk of all-cause death (random-effects hazard ratio [HR] 1.28 [95% CI 1.21, 1.35]), cardiovascular death (1.34 [1.20, 1.49]), hospitalization (1.35 [1.20, 1.50]), and the combined end point of all-cause death or hospitalization (1.41 [1.29, 1.53]). The impact of diabetes onmortality and hospitalizationwas greater in patientswith chronicHF than in those with acute HF. Limitations included high heterogeneity and varying degrees of confounder adjustment across individual studies. CONCLUSIONS This updated meta-analysis shows that the presence of diabetes per se adversely affects long-term survival and risk of hospitalization in patients with acute and chronic HF.","author":[{"dropping-particle":"","family":"Dauriz","given":"Marco","non-dropping-particle":"","parse-names":false,"suffix":""},{"dropping-particle":"","family":"Mantovani","given":"Alessandro","non-dropping-particle":"","parse-names":false,"suffix":""},{"dropping-particle":"","family":"Bonapace","given":"Stefano","non-dropping-particle":"","parse-names":false,"suffix":""},{"dropping-particle":"","family":"Verlato","given":"Giuseppe","non-dropping-particle":"","parse-names":false,"suffix":""},{"dropping-particle":"","family":"Zoppini","given":"Giacomo","non-dropping-particle":"","parse-names":false,"suffix":""},{"dropping-particle":"","family":"Bonora","given":"Enzo","non-dropping-particle":"","parse-names":false,"suffix":""},{"dropping-particle":"","family":"Targher","given":"Giovanni","non-dropping-particle":"","parse-names":false,"suffix":""}],"container-title":"Diabetes Care","id":"ITEM-1","issue":"11","issued":{"date-parts":[["2017","11","1"]]},"page":"1597-1605","publisher":"American Diabetes Association Inc.","title":"Prognostic impact of diabetes on long-term survival outcomes in patients with heart failure: A meta-analysis","type":"article-journal","volume":"40"},"uris":["http://www.mendeley.com/documents/?uuid=a7565659-7e02-3f36-b4c1-6baf96e4a65e"]}],"mendeley":{"formattedCitation":"(119)","plainTextFormattedCitation":"(119)","previouslyFormattedCitation":"(119)"},"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(119)</w:t>
      </w:r>
      <w:r w:rsidR="000F3AD7" w:rsidRPr="004661E9">
        <w:rPr>
          <w:rFonts w:ascii="Arial" w:hAnsi="Arial" w:cs="Arial"/>
        </w:rPr>
        <w:fldChar w:fldCharType="end"/>
      </w:r>
      <w:r w:rsidR="008D5195" w:rsidRPr="004661E9">
        <w:rPr>
          <w:rFonts w:ascii="Arial" w:hAnsi="Arial" w:cs="Arial"/>
        </w:rPr>
        <w:t>.</w:t>
      </w:r>
      <w:r w:rsidR="007378DE" w:rsidRPr="004661E9">
        <w:rPr>
          <w:rFonts w:ascii="Arial" w:hAnsi="Arial" w:cs="Arial"/>
        </w:rPr>
        <w:t xml:space="preserve"> Interestingly, the adverse impact of diabetes on the risk of hospitalization and mortality did not differ according to </w:t>
      </w:r>
      <w:r w:rsidR="00543EDD" w:rsidRPr="004661E9">
        <w:rPr>
          <w:rFonts w:ascii="Arial" w:hAnsi="Arial" w:cs="Arial"/>
        </w:rPr>
        <w:t xml:space="preserve">the </w:t>
      </w:r>
      <w:r w:rsidR="007378DE" w:rsidRPr="004661E9">
        <w:rPr>
          <w:rFonts w:ascii="Arial" w:hAnsi="Arial" w:cs="Arial"/>
        </w:rPr>
        <w:t xml:space="preserve">LVEF group (≤35% vs. &gt;35%) but was </w:t>
      </w:r>
      <w:r w:rsidR="00D129E6" w:rsidRPr="004661E9">
        <w:rPr>
          <w:rFonts w:ascii="Arial" w:hAnsi="Arial" w:cs="Arial"/>
        </w:rPr>
        <w:t>high</w:t>
      </w:r>
      <w:r w:rsidR="007378DE" w:rsidRPr="004661E9">
        <w:rPr>
          <w:rFonts w:ascii="Arial" w:hAnsi="Arial" w:cs="Arial"/>
        </w:rPr>
        <w:t>er in patients with chronic</w:t>
      </w:r>
      <w:r w:rsidR="00272516" w:rsidRPr="004661E9">
        <w:rPr>
          <w:rFonts w:ascii="Arial" w:hAnsi="Arial" w:cs="Arial"/>
        </w:rPr>
        <w:t xml:space="preserve"> HF</w:t>
      </w:r>
      <w:r w:rsidR="007378DE" w:rsidRPr="004661E9">
        <w:rPr>
          <w:rFonts w:ascii="Arial" w:hAnsi="Arial" w:cs="Arial"/>
        </w:rPr>
        <w:t xml:space="preserve"> than those with acute HF. </w:t>
      </w:r>
      <w:r w:rsidR="008E2092" w:rsidRPr="004661E9">
        <w:rPr>
          <w:rFonts w:ascii="Arial" w:hAnsi="Arial" w:cs="Arial"/>
        </w:rPr>
        <w:t>Observational studies have suggested a U-shaped relationship between HbA1c and mortality in patients with coexisting HF and diabetes. Aguliar et al. reported</w:t>
      </w:r>
      <w:r w:rsidR="003C75B4" w:rsidRPr="004661E9">
        <w:rPr>
          <w:rFonts w:ascii="Arial" w:hAnsi="Arial" w:cs="Arial"/>
        </w:rPr>
        <w:t xml:space="preserve"> that HbA1c of 7.1% to ≤7.8% was associated with the lowest risk of mortality when compared with the other quantiles of HbA1c </w:t>
      </w:r>
      <w:r w:rsidR="008E2092" w:rsidRPr="004661E9">
        <w:rPr>
          <w:rFonts w:ascii="Arial" w:hAnsi="Arial" w:cs="Arial"/>
        </w:rPr>
        <w:t xml:space="preserve">in a cohort of ambulatory patients with HF who were receiving medical therapy for diabetes in </w:t>
      </w:r>
      <w:r w:rsidR="0015065B" w:rsidRPr="004661E9">
        <w:rPr>
          <w:rFonts w:ascii="Arial" w:hAnsi="Arial" w:cs="Arial"/>
        </w:rPr>
        <w:t xml:space="preserve">the </w:t>
      </w:r>
      <w:r w:rsidR="008E2092" w:rsidRPr="004661E9">
        <w:rPr>
          <w:rFonts w:ascii="Arial" w:hAnsi="Arial" w:cs="Arial"/>
        </w:rPr>
        <w:t xml:space="preserve">early 2000s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{"citationItems":[{"id":"ITEM-1","itemData":{"DOI":"10.1016/j.jacc.2009.04.049","ISSN":"07351097","abstract":"Objectives: This study was designed to examine the relationship between glycosylated hemoglobin (HbA1C) and adverse outcomes in diabetic patients with established heart failure (HF). Background: Despite the common coexistence of diabetes and HF, previous studies examining the association between HbA1C and outcomes in this population have been limited and have reported discrepant results. Methods: We assessed the association between increasing quintiles (Q1 to Q5) of HbA1C and risk of death or risk of HF hospitalization by conducting a retrospective study in a national cohort of 5,815 veterans with HF and diabetes treated in ambulatory clinics at Veterans Affairs medical centers. Results: At 2 years of follow-up, death occurred in 25% of patients in Q1 (HbA1C ≤6.4%), 23% in Q2 (6.4% &lt; HbA1c ≤7.1%), 17.7% in Q3 (7.1% &lt; HbA1c ≤7.8%), 22.5% in Q4 (7.8% &lt; HbA1c ≤9.0%), and 23.2% in Q5 (HbA1c &gt;9.0%). After adjustment for potential confounders, the middle quintile (Q3) had reduced mortality when compared with the lowest quintile (risk-adjusted hazard ratio: 0.73, 95% confidence interval: 0.61 to 0.88, p = 0.001). Hospitalization rates for HF at 2 years increased with increasing quintiles of HbA1C (Q1: 13.3%, Q2: 13.1%, Q3: 15.5%, Q4: 16.4%, and Q5: 18.2%), but this association was not statistically significant when adjusted for potential confounders. Conclusions: The association between mortality and HbA1C in diabetic patients with HF appears U-shaped, with the lowest risk of death in those patients with modest glucose control (7.1% &lt; HbA1C ≤7.8%). Future prospective studies are necessary to define optimal treatment goals in these patients. © 2009 American College of Cardiology Foundation.","author":[{"dropping-particle":"","family":"Aguilar","given":"David","non-dropping-particle":"","parse-names":false,"suffix":""},{"dropping-particle":"","family":"Bozkurt","given":"Biykem","non-dropping-particle":"","parse-names":false,"suffix":""},{"dropping-particle":"","family":"Ramasubbu","given":"Kumudha","non-dropping-particle":"","parse-names":false,"suffix":""},{"dropping-particle":"","family":"Deswal","given":"Anita","non-dropping-particle":"","parse-names":false,"suffix":""}],"container-title":"Journal of the American College of Cardiology","id":"ITEM-1","issue":"5","issued":{"date-parts":[["2009","7","28"]]},"page":"422-428","publisher":"Elsevier","title":"Relationship of Hemoglobin A1C and Mortality in Heart Failure Patients With Diabetes","type":"article-journal","volume":"54"},"uris":["http://www.mendeley.com/documents/?uuid=d769a690-6209-39a0-b2d7-feb7a9e91b50"]}],"mendeley":{"formattedCitation":"(120)","plainTextFormattedCitation":"(120)","previouslyFormattedCitation":"(120)"},"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(120)</w:t>
      </w:r>
      <w:r w:rsidR="000F3AD7" w:rsidRPr="004661E9">
        <w:rPr>
          <w:rFonts w:ascii="Arial" w:hAnsi="Arial" w:cs="Arial"/>
        </w:rPr>
        <w:fldChar w:fldCharType="end"/>
      </w:r>
      <w:r w:rsidR="008D5195" w:rsidRPr="004661E9">
        <w:rPr>
          <w:rFonts w:ascii="Arial" w:hAnsi="Arial" w:cs="Arial"/>
        </w:rPr>
        <w:t>.</w:t>
      </w:r>
    </w:p>
    <w:p w14:paraId="340A1A4C" w14:textId="77777777" w:rsidR="008D5195" w:rsidRPr="004661E9" w:rsidRDefault="008D5195" w:rsidP="004661E9">
      <w:pPr>
        <w:spacing w:after="0" w:line="276" w:lineRule="auto"/>
        <w:rPr>
          <w:rFonts w:ascii="Arial" w:hAnsi="Arial" w:cs="Arial"/>
        </w:rPr>
      </w:pPr>
    </w:p>
    <w:p w14:paraId="1E209D4A" w14:textId="3A6FB400" w:rsidR="00904B95" w:rsidRPr="004661E9" w:rsidRDefault="00D036FA" w:rsidP="004661E9">
      <w:pPr>
        <w:spacing w:after="0" w:line="276" w:lineRule="auto"/>
        <w:rPr>
          <w:rFonts w:ascii="Arial" w:hAnsi="Arial" w:cs="Arial"/>
        </w:rPr>
      </w:pPr>
      <w:r w:rsidRPr="004661E9">
        <w:rPr>
          <w:rFonts w:ascii="Arial" w:hAnsi="Arial" w:cs="Arial"/>
        </w:rPr>
        <w:t xml:space="preserve">Several potential mechanisms have been proposed to </w:t>
      </w:r>
      <w:r w:rsidR="0007333E" w:rsidRPr="004661E9">
        <w:rPr>
          <w:rFonts w:ascii="Arial" w:hAnsi="Arial" w:cs="Arial"/>
        </w:rPr>
        <w:t>explain</w:t>
      </w:r>
      <w:r w:rsidRPr="004661E9">
        <w:rPr>
          <w:rFonts w:ascii="Arial" w:hAnsi="Arial" w:cs="Arial"/>
        </w:rPr>
        <w:t xml:space="preserve"> the prognostic impacts of </w:t>
      </w:r>
      <w:r w:rsidR="00A36DE2" w:rsidRPr="004661E9">
        <w:rPr>
          <w:rFonts w:ascii="Arial" w:hAnsi="Arial" w:cs="Arial"/>
        </w:rPr>
        <w:t>diabetes</w:t>
      </w:r>
      <w:r w:rsidRPr="004661E9">
        <w:rPr>
          <w:rFonts w:ascii="Arial" w:hAnsi="Arial" w:cs="Arial"/>
        </w:rPr>
        <w:t xml:space="preserve"> in HF. </w:t>
      </w:r>
      <w:r w:rsidR="00344A77" w:rsidRPr="004661E9">
        <w:rPr>
          <w:rFonts w:ascii="Arial" w:hAnsi="Arial" w:cs="Arial"/>
        </w:rPr>
        <w:t xml:space="preserve">Diabetes is linked to multimorbidity, which </w:t>
      </w:r>
      <w:r w:rsidR="00D67CC4" w:rsidRPr="004661E9">
        <w:rPr>
          <w:rFonts w:ascii="Arial" w:hAnsi="Arial" w:cs="Arial"/>
        </w:rPr>
        <w:t>significant</w:t>
      </w:r>
      <w:r w:rsidR="0015065B" w:rsidRPr="004661E9">
        <w:rPr>
          <w:rFonts w:ascii="Arial" w:hAnsi="Arial" w:cs="Arial"/>
        </w:rPr>
        <w:t>ly</w:t>
      </w:r>
      <w:r w:rsidR="00D67CC4" w:rsidRPr="004661E9">
        <w:rPr>
          <w:rFonts w:ascii="Arial" w:hAnsi="Arial" w:cs="Arial"/>
        </w:rPr>
        <w:t xml:space="preserve"> </w:t>
      </w:r>
      <w:r w:rsidR="00344A77" w:rsidRPr="004661E9">
        <w:rPr>
          <w:rFonts w:ascii="Arial" w:hAnsi="Arial" w:cs="Arial"/>
        </w:rPr>
        <w:t xml:space="preserve">alters </w:t>
      </w:r>
      <w:r w:rsidR="00D67CC4" w:rsidRPr="004661E9">
        <w:rPr>
          <w:rFonts w:ascii="Arial" w:hAnsi="Arial" w:cs="Arial"/>
        </w:rPr>
        <w:t>HF</w:t>
      </w:r>
      <w:r w:rsidR="00344A77" w:rsidRPr="004661E9">
        <w:rPr>
          <w:rFonts w:ascii="Arial" w:hAnsi="Arial" w:cs="Arial"/>
        </w:rPr>
        <w:t xml:space="preserve"> outcomes. Moreover, diabetes induces</w:t>
      </w:r>
      <w:r w:rsidR="00904B95" w:rsidRPr="004661E9">
        <w:rPr>
          <w:rFonts w:ascii="Arial" w:hAnsi="Arial" w:cs="Arial"/>
        </w:rPr>
        <w:t xml:space="preserve"> </w:t>
      </w:r>
      <w:r w:rsidR="00344A77" w:rsidRPr="004661E9">
        <w:rPr>
          <w:rFonts w:ascii="Arial" w:hAnsi="Arial" w:cs="Arial"/>
        </w:rPr>
        <w:t>myocardial</w:t>
      </w:r>
      <w:r w:rsidR="00904B95" w:rsidRPr="004661E9">
        <w:rPr>
          <w:rFonts w:ascii="Arial" w:hAnsi="Arial" w:cs="Arial"/>
        </w:rPr>
        <w:t xml:space="preserve"> fibrosis, inflammation, and endothelial dysfunction</w:t>
      </w:r>
      <w:r w:rsidR="00543EDD" w:rsidRPr="004661E9">
        <w:rPr>
          <w:rFonts w:ascii="Arial" w:hAnsi="Arial" w:cs="Arial"/>
        </w:rPr>
        <w:t>, leading</w:t>
      </w:r>
      <w:r w:rsidR="00344A77" w:rsidRPr="004661E9">
        <w:rPr>
          <w:rFonts w:ascii="Arial" w:hAnsi="Arial" w:cs="Arial"/>
        </w:rPr>
        <w:t xml:space="preserve"> to </w:t>
      </w:r>
      <w:r w:rsidR="00904B95" w:rsidRPr="004661E9">
        <w:rPr>
          <w:rFonts w:ascii="Arial" w:hAnsi="Arial" w:cs="Arial"/>
        </w:rPr>
        <w:t>higher LV pressures, poor functional status, and impaired exercise capacity in patients with HF</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{"citationItems":[{"id":"ITEM-1","itemData":{"DOI":"10.1016/j.jacc.2018.11.033","ISSN":"15583597","abstract":"Heart failure with preserved ejection fraction (HFpEF) is now the most common form of HF, affecting over 3 million adults in the United States alone. HFpEF is a heterogenous syndrome. One important phenotype may be related to comorbid conditions, including diabetes mellitus (DM). DM has a prevalence of approximately 45% in HFpEF, but characteristics and outcomes of this population are poorly understood. In this review, the authors summarize data from several clinical trials of HFpEF therapeutics and provide original data from a large cohort using the Get With The Guidelines-HF registry, which together suggest that DM is associated with increased morbidity and long-term mortality in HFpEF. The authors then discuss several common pathological mechanisms in HFpEF and DM, including sodium retention, metabolic derangements, impaired skeletal muscle function, and potential therapeutic targets. As the understanding of comorbid HFpEF and DM improves, it is hoped clinicians will be better equipped to offer effective, patient-centered treatments.","author":[{"dropping-particle":"","family":"McHugh","given":"Kelly","non-dropping-particle":"","parse-names":false,"suffix":""},{"dropping-particle":"","family":"DeVore","given":"Adam D.","non-dropping-particle":"","parse-names":false,"suffix":""},{"dropping-particle":"","family":"Wu","given":"Jingjing","non-dropping-particle":"","parse-names":false,"suffix":""},{"dropping-particle":"","family":"Matsouaka","given":"Roland A.","non-dropping-particle":"","parse-names":false,"suffix":""},{"dropping-particle":"","family":"Fonarow","given":"Gregg C.","non-dropping-particle":"","parse-names":false,"suffix":""},{"dropping-particle":"","family":"Heidenreich","given":"Paul A.","non-dropping-particle":"","parse-names":false,"suffix":""},{"dropping-particle":"","family":"Yancy","given":"Clyde W.","non-dropping-particle":"","parse-names":false,"suffix":""},{"dropping-particle":"","family":"Green","given":"Jennifer B.","non-dropping-particle":"","parse-names":false,"suffix":""},{"dropping-particle":"","family":"Altman","given":"Natasha","non-dropping-particle":"","parse-names":false,"suffix":""},{"dropping-particle":"","family":"Hernandez","given":"Adrian F.","non-dropping-particle":"","parse-names":false,"suffix":""}],"container-title":"Journal of the American College of Cardiology","id":"ITEM-1","issue":"5","issued":{"date-parts":[["2019","2","12"]]},"page":"602-611","publisher":"Elsevier USA","title":"Heart Failure With Preserved Ejection Fraction and Diabetes: JACC State-of-the-Art Review","type":"article-journal","volume":"73"},"uris":["http://www.mendeley.com/documents/?uuid=97f38cde-7e00-3407-bd1f-790839003219"]},{"id":"ITEM-2","itemData":{"DOI":"10.1093/eurheartj/ehn153","ISSN":"1522-9645","PMID":"18413309","abstract":"AIMS To determine whether the risk of adverse cardiovascular (CV) outcomes associated with diabetes differs in patients with low and preserved ejection fraction (EF) heart failure (HF). METHODS AND RESULTS We analysed outcomes in the Candesartan in Heart failure-Assessment of Reduction in Mortality and morbidity (CHARM) programme which randomized 7599 patients with symptomatic HF and a broad range of EF. The prevalence of diabetes was 28.3% in patients with preserved EF (&gt;40%) and 28.5% in those with low EF (&lt;or=40%). Diabetes was associated with a greater relative risk of CV death or HF hospitalization in patients with preserved EF [hazard ratio (HR) 2.0 (1.70-2.36)] than in patients with low EF [HR 1.60 (1.44-1.77); interaction test P = 0.0009]. For all-cause mortality, the risk conferred by diabetes was similar in both low and preserved EF groups. The effect of candesartan in reducing CV morbidity and mortality outcomes was not modified by having diabetes at baseline (P = 0.09 test for interaction). CONCLUSION Diabetes was an independent predictor of CV morbidity and mortality in patients with HF, regardless of EF. The relative risk of CV death or HF hospitalization conferred by diabetes was significantly greater in patients with preserved when compared with those with low EF HF.","author":[{"dropping-particle":"","family":"MacDonald","given":"Michael R","non-dropping-particle":"","parse-names":false,"suffix":""},{"dropping-particle":"","family":"Petrie","given":"Mark C","non-dropping-particle":"","parse-names":false,"suffix":""},{"dropping-particle":"","family":"Varyani","given":"Fumi","non-dropping-particle":"","parse-names":false,"suffix":""},{"dropping-particle":"","family":"Ostergren","given":"Jan","non-dropping-particle":"","parse-names":false,"suffix":""},{"dropping-particle":"","family":"Michelson","given":"Eric L","non-dropping-particle":"","parse-names":false,"suffix":""},{"dropping-particle":"","family":"Young","given":"James B","non-dropping-particle":"","parse-names":false,"suffix":""},{"dropping-particle":"","family":"Solomon","given":"Scott D","non-dropping-particle":"","parse-names":false,"suffix":""},{"dropping-particle":"","family":"Granger","given":"Christopher B","non-dropping-particle":"","parse-names":false,"suffix":""},{"dropping-particle":"","family":"Swedberg","given":"Karl","non-dropping-particle":"","parse-names":false,"suffix":""},{"dropping-particle":"","family":"Yusuf","given":"Salim","non-dropping-particle":"","parse-names":false,"suffix":""},{"dropping-particle":"","family":"Pfeffer","given":"Marc A","non-dropping-particle":"","parse-names":false,"suffix":""},{"dropping-particle":"V","family":"McMurray","given":"John J","non-dropping-particle":"","parse-names":false,"suffix":""},{"dropping-particle":"","family":"CHARM Investigators","given":"","non-dropping-particle":"","parse-names":false,"suffix":""}],"container-title":"European heart journal","id":"ITEM-2","issue":"11","issued":{"date-parts":[["2008","6"]]},"page":"1377-85","title":"Impact of diabetes on outcomes in patients with low and preserved ejection fraction heart failure: an analysis of the Candesartan in Heart failure: Assessment of Reduction in Mortality and morbidity (CHARM) programme.","type":"article-journal","volume":"29"},"uris":["http://www.mendeley.com/documents/?uuid=c12044fb-f201-3c42-bb84-94fd8632c617"]},{"id":"ITEM-3","itemData":{"DOI":"10.1016/j.amjcard.2009.09.041","ISSN":"00029149","abstract":"Heart failure (HF) with preserved left ventricular ejection fraction (LVEF) and diabetes commonly coexist, but the impact of diabetes on HF outcomes in patients with HF and preserved LVEF has not been well studied. We assessed the risk of HF death or hospitalization for worsening HF associated with diabetes by studying 987 patients with HF and preserved LVEF enrolled in the Digitalis Investigation Group (DIG) ancillary study. Diabetics (n = 285, 28.9%) were younger, had a larger body mass index, faster heart rate, and higher pulse pressure than nondiabetics. Diabetics were also more likely to be women, have a history of hypertension, ischemic cause for HF, and were more likely to be treated with diuretics. During the mean follow-up of 37 months, 88 (30.9%) diabetics and 133 (19.0%) nondiabetics developed the primary outcome of HF hospitalization or HF death. After adjustments for baseline differences, diabetes was associated with a 68% increased risk of HF hospitalization or HF death (adjusted hazard ratio 1.68, 95% confidence interval 1.26 to 2.25, p &lt;0.001). In conclusion, in patients with HF and preserved LVEF, diabetes is associated with significantly increased risk of developing adverse HF outcomes. © 2010 Elsevier Inc. All rights reserved.","author":[{"dropping-particle":"","family":"Aguilar","given":"David","non-dropping-particle":"","parse-names":false,"suffix":""},{"dropping-particle":"","family":"Deswal","given":"Anita","non-dropping-particle":"","parse-names":false,"suffix":""},{"dropping-particle":"","family":"Ramasubbu","given":"Kumudha","non-dropping-particle":"","parse-names":false,"suffix":""},{"dropping-particle":"","family":"Mann","given":"Douglas L.","non-dropping-particle":"","parse-names":false,"suffix":""},{"dropping-particle":"","family":"Bozkurt","given":"Biykem","non-dropping-particle":"","parse-names":false,"suffix":""}],"container-title":"American Journal of Cardiology","id":"ITEM-3","issue":"3","issued":{"date-parts":[["2010","2","1"]]},"page":"373-377","publisher":"Excerpta Medica","title":"Comparison of Patients With Heart Failure and Preserved Left Ventricular Ejection Fraction Among Those With Versus Without Diabetes Mellitus","type":"article-journal","volume":"105"},"uris":["http://www.mendeley.com/documents/?uuid=ea9efed9-c800-3f2e-9e60-424e8000b47d"]},{"id":"ITEM-4","itemData":{"DOI":"10.1161/CIRCULATIONAHA.116.024593","ISSN":"0009-7322","PMID":"28052977","abstract":"Background: In patients with heart failure and preserved ejection fraction, little is known about the characteristics of, and outcomes in, those with and without diabetes mellitus. Methods: We examined clinical and echocardiographic characteristics and outcomes in the I-Preserve trial (Irbesartan in Heart Failure With Preserved Ejection Fraction) according to history of diabetes mellitus. Cox regression models were used to estimate hazard ratios for cardiovascular outcomes adjusted for known predictors, including age, sex, natriuretic peptides, and comorbidity. Echocardiographic data were available in 745 patients and were additionally adjusted for in supplementary analyses. Results: Overall, 1134 of 4128 patients (27%) had diabetes mellitus. Compared with those without diabetes mellitus, they were more likely to have a history of myocardial infarction (28% versus 22%), higher body mass index (31 versus 29 kg/m2), worse Minnesota Living With Heart Failure score (48 versus 40), higher median N-terminal pro-B-type natriuretic peptide concentration (403 versus 320 pg/mL; all P&lt;0.01), more signs of congestion, but no significant difference in left ventricular ejection fraction. Patients with diabetes mellitus had a greater left ventricular mass and left atrial area than patients without diabetes mellitus. Doppler E-wave velocity (86 versus 76 cm/s; P&lt;0.0001) and the E/e' ratio (11.7 versus 10.4; P=0.010) were higher in patients with diabetes mellitus. Over a median follow-up of 4.1 years, cardiovascular death or heart failure hospitalization occurred in 34% of patients with diabetes mellitus versus 22% of those without diabetes mellitus (adjusted hazard ratio, 1.75; 95% confidence interval, 1.49-2.05), and 28% versus 19% of patients with and without diabetes mellitus died (adjusted hazard ratio, 1.59; confidence interval, 1.33-1.91). Conclusions: In heart failure with preserved ejection fraction, patients with diabetes mellitus have more signs of congestion, worse quality of life, higher N-terminal pro-B-type natriuretic peptide levels, and a poorer prognosis. They also display greater structural and functional echocardiographic abnormalities. Further investigation is needed to determine the mediators of the adverse impact of diabetes mellitus on outcomes in heart failure with preserved ejection fraction and whether they are modifiable. Clinical Trial Registration: URL: http://www.clinicaltrials.gov. Unique identifier: NCT00095238.","author":[{"dropping-particle":"","family":"Kristensen","given":"Søren L.","non-dropping-particle":"","parse-names":false,"suffix":""},{"dropping-particle":"","family":"Mogensen","given":"Ulrik M.","non-dropping-particle":"","parse-names":false,"suffix":""},{"dropping-particle":"","family":"Jhund","given":"Pardeep S.","non-dropping-particle":"","parse-names":false,"suffix":""},{"dropping-particle":"","family":"Petrie","given":"Mark C.","non-dropping-particle":"","parse-names":false,"suffix":""},{"dropping-particle":"","family":"Preiss","given":"David","non-dropping-particle":"","parse-names":false,"suffix":""},{"dropping-particle":"","family":"Win","given":"Sithu","non-dropping-particle":"","parse-names":false,"suffix":""},{"dropping-particle":"","family":"Køber","given":"Lars","non-dropping-particle":"","parse-names":false,"suffix":""},{"dropping-particle":"","family":"McKelvie","given":"Robert S.","non-dropping-particle":"","parse-names":false,"suffix":""},{"dropping-particle":"","family":"Zile","given":"Michael R.","non-dropping-particle":"","parse-names":false,"suffix":""},{"dropping-particle":"","family":"Anand","given":"Inder S.","non-dropping-particle":"","parse-names":false,"suffix":""},{"dropping-particle":"","family":"Komajda","given":"Michel","non-dropping-particle":"","parse-names":false,"suffix":""},{"dropping-particle":"","family":"Gottdiener","given":"John S.","non-dropping-particle":"","parse-names":false,"suffix":""},{"dropping-particle":"","family":"Carson","given":"Peter E.","non-dropping-particle":"","parse-names":false,"suffix":""},{"dropping-particle":"V.","family":"McMurray","given":"John J.","non-dropping-particle":"","parse-names":false,"suffix":""}],"container-title":"Circulation","id":"ITEM-4","issue":"8","issued":{"date-parts":[["2017","2","21"]]},"page":"724-735","publisher":"Lippincott Williams and Wilkins","title":"Clinical and Echocardiographic Characteristics and Cardiovascular Outcomes According to Diabetes Status in Patients With Heart Failure and Preserved Ejection FractionClinical Perspective","type":"article-journal","volume":"135"},"uris":["http://www.mendeley.com/documents/?uuid=85a685dc-23f6-3911-b522-9ab818a606eb"]},{"id":"ITEM-5","itemData":{"DOI":"10.1016/j.jacc.2014.05.030","ISSN":"15583597","abstract":"Background The RELAX (Phosphodiesterase-5 Inhibition to Improve Clinical Status and Exercise Capacity in Heart Failure with Preserved Ejection Fraction) study was a multicenter, randomized trial of sildenafil versus placebo in heart failure with preserved ejection fraction (HFpEF) with rigorous entry criteria and extensive phenotypic characterization of participants. Objectives The aim of this study was to characterize clinical features, exercise capacity, and outcomes in patients with HFpEF with or without diabetes and gain insight into contributing pathophysiological mechanisms. Methods The RELAX study enrolled 216 stable outpatients with heart failure, an ejection fraction ≥50%, increased natriuretic peptide or intracardiac pressures, and reduced exercise capacity. Prospectively collected data included echocardiography, cardiac magnetic resonance, a comprehensive biomarker panel, exercise testing, and clinical events over 6 months. Results Compared with nondiabetic patients (n = 123), diabetic HFpEF patients (n = 93) were younger, more obese, and more often male and had a higher prevalence of hypertension, renal dysfunction, pulmonary disease, and vascular disease (p &lt; 0.05 for all). Uric acid, C-reactive protein, galectin-3, carboxy-terminal telopeptide of collagen type I, and endothelin-1 levels were higher in diabetic patients (p &lt; 0.05 for all). Diabetic patients had more ventricular hypertrophy, but systolic and diastolic ventricular function parameters were similar in diabetic and nondiabetic patients except for a trend toward higher filling pressures (E/e′) in diabetic patients. Diabetic patients had worse maximal (peak oxygen uptake) and submaximal (6-min walk distance) exercise capacity (p &lt; 0.01 for both). Diabetic patients were more likely to have been hospitalized for heart failure in the year before study entry (47% vs. 28%, p = 0.004) and had a higher incidence of cardiac or renal hospitalization at 6 months after enrollment (23.7% vs. 4.9%, p &lt; 0.001). Conclusions HFpEF patients with diabetes are at increased risk of hospitalization and have reduced exercise capacity. Multimorbidity, impaired chronotropic reserve, left ventricular hypertrophy, and activation of inflammatory, pro-oxidative, vasoconstrictor, and profibrotic pathways may contribute to adverse outcomes in HFpEF patients with diabetes. (Evaluating the Effectiveness of Sildenafil at Improving Health Outcomes and Exercise Ability in People With Diastolic Heart Failure [The RE…","author":[{"dropping-particle":"","family":"Lindman","given":"Brian R.","non-dropping-particle":"","parse-names":false,"suffix":""},{"dropping-particle":"","family":"Dávila-Román","given":"Victor G.","non-dropping-particle":"","parse-names":false,"suffix":""},{"dropping-particle":"","family":"Mann","given":"Douglas L.","non-dropping-particle":"","parse-names":false,"suffix":""},{"dropping-particle":"","family":"McNulty","given":"Steven","non-dropping-particle":"","parse-names":false,"suffix":""},{"dropping-particle":"","family":"Semigran","given":"Marc J.","non-dropping-particle":"","parse-names":false,"suffix":""},{"dropping-particle":"","family":"Lewis","given":"Gregory D.","non-dropping-particle":"","parse-names":false,"suffix":""},{"dropping-particle":"","family":"Las Fuentes","given":"Lisa","non-dropping-particle":"De","parse-names":false,"suffix":""},{"dropping-particle":"","family":"Joseph","given":"Susan M.","non-dropping-particle":"","parse-names":false,"suffix":""},{"dropping-particle":"","family":"Vader","given":"Justin","non-dropping-particle":"","parse-names":false,"suffix":""},{"dropping-particle":"","family":"Hernandez","given":"Adrian F.","non-dropping-particle":"","parse-names":false,"suffix":""},{"dropping-particle":"","family":"Redfield","given":"Margaret M.","non-dropping-particle":"","parse-names":false,"suffix":""}],"container-title":"Journal of the American College of Cardiology","id":"ITEM-5","issue":"6","issued":{"date-parts":[["2014","8","12"]]},"page":"541-549","publisher":"Elsevier USA","title":"Cardiovascular phenotype in HFpEF patients with or without diabetes: A RELAX trial ancillary study","type":"article-journal","volume":"64"},"uris":["http://www.mendeley.com/documents/?uuid=40783122-0554-3954-8757-f5a5ad72fd21"]}],"mendeley":{"formattedCitation":"(121–125)","plainTextFormattedCitation":"(121–125)","previouslyFormattedCitation":"(121–125)"},"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(121–125)</w:t>
      </w:r>
      <w:r w:rsidR="000F3AD7" w:rsidRPr="004661E9">
        <w:rPr>
          <w:rFonts w:ascii="Arial" w:hAnsi="Arial" w:cs="Arial"/>
        </w:rPr>
        <w:fldChar w:fldCharType="end"/>
      </w:r>
      <w:r w:rsidR="008D5195" w:rsidRPr="004661E9">
        <w:rPr>
          <w:rFonts w:ascii="Arial" w:hAnsi="Arial" w:cs="Arial"/>
        </w:rPr>
        <w:t>.</w:t>
      </w:r>
      <w:r w:rsidR="00904B95" w:rsidRPr="004661E9">
        <w:rPr>
          <w:rFonts w:ascii="Arial" w:hAnsi="Arial" w:cs="Arial"/>
        </w:rPr>
        <w:t xml:space="preserve"> </w:t>
      </w:r>
      <w:r w:rsidR="00A36DE2" w:rsidRPr="004661E9">
        <w:rPr>
          <w:rFonts w:ascii="Arial" w:hAnsi="Arial" w:cs="Arial"/>
        </w:rPr>
        <w:t>Diabetes</w:t>
      </w:r>
      <w:r w:rsidRPr="004661E9">
        <w:rPr>
          <w:rFonts w:ascii="Arial" w:hAnsi="Arial" w:cs="Arial"/>
        </w:rPr>
        <w:t xml:space="preserve"> </w:t>
      </w:r>
      <w:r w:rsidR="008907A7" w:rsidRPr="004661E9">
        <w:rPr>
          <w:rFonts w:ascii="Arial" w:hAnsi="Arial" w:cs="Arial"/>
        </w:rPr>
        <w:t>predisposes</w:t>
      </w:r>
      <w:r w:rsidRPr="004661E9">
        <w:rPr>
          <w:rFonts w:ascii="Arial" w:hAnsi="Arial" w:cs="Arial"/>
        </w:rPr>
        <w:t xml:space="preserve"> neurohumoral overactivation and alterations of renal sodium handling, which may lead to congestion, cardiorenal syndrome, and impaired diuretic responsiveness</w:t>
      </w:r>
      <w:r w:rsidR="008D5195"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{"citationItems":[{"id":"ITEM-1","itemData":{"DOI":"10.1016/j.jacc.2018.11.033","ISSN":"15583597","abstract":"Heart failure with preserved ejection fraction (HFpEF) is now the most common form of HF, affecting over 3 million adults in the United States alone. HFpEF is a heterogenous syndrome. One important phenotype may be related to comorbid conditions, including diabetes mellitus (DM). DM has a prevalence of approximately 45% in HFpEF, but characteristics and outcomes of this population are poorly understood. In this review, the authors summarize data from several clinical trials of HFpEF therapeutics and provide original data from a large cohort using the Get With The Guidelines-HF registry, which together suggest that DM is associated with increased morbidity and long-term mortality in HFpEF. The authors then discuss several common pathological mechanisms in HFpEF and DM, including sodium retention, metabolic derangements, impaired skeletal muscle function, and potential therapeutic targets. As the understanding of comorbid HFpEF and DM improves, it is hoped clinicians will be better equipped to offer effective, patient-centered treatments.","author":[{"dropping-particle":"","family":"McHugh","given":"Kelly","non-dropping-particle":"","parse-names":false,"suffix":""},{"dropping-particle":"","family":"DeVore","given":"Adam D.","non-dropping-particle":"","parse-names":false,"suffix":""},{"dropping-particle":"","family":"Wu","given":"Jingjing","non-dropping-particle":"","parse-names":false,"suffix":""},{"dropping-particle":"","family":"Matsouaka","given":"Roland A.","non-dropping-particle":"","parse-names":false,"suffix":""},{"dropping-particle":"","family":"Fonarow","given":"Gregg C.","non-dropping-particle":"","parse-names":false,"suffix":""},{"dropping-particle":"","family":"Heidenreich","given":"Paul A.","non-dropping-particle":"","parse-names":false,"suffix":""},{"dropping-particle":"","family":"Yancy","given":"Clyde W.","non-dropping-particle":"","parse-names":false,"suffix":""},{"dropping-particle":"","family":"Green","given":"Jennifer B.","non-dropping-particle":"","parse-names":false,"suffix":""},{"dropping-particle":"","family":"Altman","given":"Natasha","non-dropping-particle":"","parse-names":false,"suffix":""},{"dropping-particle":"","family":"Hernandez","given":"Adrian F.","non-dropping-particle":"","parse-names":false,"suffix":""}],"container-title":"Journal of the American College of Cardiology","id":"ITEM-1","issue":"5","issued":{"date-parts":[["2019","2","12"]]},"page":"602-611","publisher":"Elsevier USA","title":"Heart Failure With Preserved Ejection Fraction and Diabetes: JACC State-of-the-Art Review","type":"article-journal","volume":"73"},"uris":["http://www.mendeley.com/documents/?uuid=97f38cde-7e00-3407-bd1f-790839003219"]}],"mendeley":{"formattedCitation":"(121)","plainTextFormattedCitation":"(121)","previouslyFormattedCitation":"(121)"},"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(121)</w:t>
      </w:r>
      <w:r w:rsidR="000F3AD7" w:rsidRPr="004661E9">
        <w:rPr>
          <w:rFonts w:ascii="Arial" w:hAnsi="Arial" w:cs="Arial"/>
        </w:rPr>
        <w:fldChar w:fldCharType="end"/>
      </w:r>
      <w:r w:rsidR="008D5195" w:rsidRPr="004661E9">
        <w:rPr>
          <w:rFonts w:ascii="Arial" w:hAnsi="Arial" w:cs="Arial"/>
        </w:rPr>
        <w:t>.</w:t>
      </w:r>
      <w:r w:rsidR="00AB3DFE" w:rsidRPr="004661E9">
        <w:rPr>
          <w:rFonts w:ascii="Arial" w:hAnsi="Arial" w:cs="Arial"/>
        </w:rPr>
        <w:t xml:space="preserve"> Also, hyperglycemia in patients with </w:t>
      </w:r>
      <w:r w:rsidR="00A36DE2" w:rsidRPr="004661E9">
        <w:rPr>
          <w:rFonts w:ascii="Arial" w:hAnsi="Arial" w:cs="Arial"/>
        </w:rPr>
        <w:t>diabetes</w:t>
      </w:r>
      <w:r w:rsidR="00AB3DFE" w:rsidRPr="004661E9">
        <w:rPr>
          <w:rFonts w:ascii="Arial" w:hAnsi="Arial" w:cs="Arial"/>
        </w:rPr>
        <w:t xml:space="preserve"> upregulates</w:t>
      </w:r>
      <w:r w:rsidR="00576CC9" w:rsidRPr="004661E9">
        <w:rPr>
          <w:rFonts w:ascii="Arial" w:hAnsi="Arial" w:cs="Arial"/>
        </w:rPr>
        <w:t xml:space="preserve"> </w:t>
      </w:r>
      <w:r w:rsidR="00590B04" w:rsidRPr="004661E9">
        <w:rPr>
          <w:rFonts w:ascii="Arial" w:hAnsi="Arial" w:cs="Arial"/>
        </w:rPr>
        <w:t>SGLT2</w:t>
      </w:r>
      <w:r w:rsidR="00D129E6" w:rsidRPr="004661E9">
        <w:rPr>
          <w:rFonts w:ascii="Arial" w:hAnsi="Arial" w:cs="Arial"/>
        </w:rPr>
        <w:t>,</w:t>
      </w:r>
      <w:r w:rsidR="00AB3DFE" w:rsidRPr="004661E9">
        <w:rPr>
          <w:rFonts w:ascii="Arial" w:hAnsi="Arial" w:cs="Arial"/>
        </w:rPr>
        <w:t xml:space="preserve"> which leads to increased renal sodium absorption and volume expansion</w:t>
      </w:r>
      <w:r w:rsidR="00FC7CE7"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{"citationItems":[{"id":"ITEM-1","itemData":{"DOI":"10.1016/j.jacc.2018.11.033","ISSN":"15583597","abstract":"Heart failure with preserved ejection fraction (HFpEF) is now the most common form of HF, affecting over 3 million adults in the United States alone. HFpEF is a heterogenous syndrome. One important phenotype may be related to comorbid conditions, including diabetes mellitus (DM). DM has a prevalence of approximately 45% in HFpEF, but characteristics and outcomes of this population are poorly understood. In this review, the authors summarize data from several clinical trials of HFpEF therapeutics and provide original data from a large cohort using the Get With The Guidelines-HF registry, which together suggest that DM is associated with increased morbidity and long-term mortality in HFpEF. The authors then discuss several common pathological mechanisms in HFpEF and DM, including sodium retention, metabolic derangements, impaired skeletal muscle function, and potential therapeutic targets. As the understanding of comorbid HFpEF and DM improves, it is hoped clinicians will be better equipped to offer effective, patient-centered treatments.","author":[{"dropping-particle":"","family":"McHugh","given":"Kelly","non-dropping-particle":"","parse-names":false,"suffix":""},{"dropping-particle":"","family":"DeVore","given":"Adam D.","non-dropping-particle":"","parse-names":false,"suffix":""},{"dropping-particle":"","family":"Wu","given":"Jingjing","non-dropping-particle":"","parse-names":false,"suffix":""},{"dropping-particle":"","family":"Matsouaka","given":"Roland A.","non-dropping-particle":"","parse-names":false,"suffix":""},{"dropping-particle":"","family":"Fonarow","given":"Gregg C.","non-dropping-particle":"","parse-names":false,"suffix":""},{"dropping-particle":"","family":"Heidenreich","given":"Paul A.","non-dropping-particle":"","parse-names":false,"suffix":""},{"dropping-particle":"","family":"Yancy","given":"Clyde W.","non-dropping-particle":"","parse-names":false,"suffix":""},{"dropping-particle":"","family":"Green","given":"Jennifer B.","non-dropping-particle":"","parse-names":false,"suffix":""},{"dropping-particle":"","family":"Altman","given":"Natasha","non-dropping-particle":"","parse-names":false,"suffix":""},{"dropping-particle":"","family":"Hernandez","given":"Adrian F.","non-dropping-particle":"","parse-names":false,"suffix":""}],"container-title":"Journal of the American College of Cardiology","id":"ITEM-1","issue":"5","issued":{"date-parts":[["2019","2","12"]]},"page":"602-611","publisher":"Elsevier USA","title":"Heart Failure With Preserved Ejection Fraction and Diabetes: JACC State-of-the-Art Review","type":"article-journal","volume":"73"},"uris":["http://www.mendeley.com/documents/?uuid=97f38cde-7e00-3407-bd1f-790839003219"]}],"mendeley":{"formattedCitation":"(121)","plainTextFormattedCitation":"(121)","previouslyFormattedCitation":"(121)"},"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(121)</w:t>
      </w:r>
      <w:r w:rsidR="000F3AD7" w:rsidRPr="004661E9">
        <w:rPr>
          <w:rFonts w:ascii="Arial" w:hAnsi="Arial" w:cs="Arial"/>
        </w:rPr>
        <w:fldChar w:fldCharType="end"/>
      </w:r>
      <w:r w:rsidR="00FC7CE7" w:rsidRPr="004661E9">
        <w:rPr>
          <w:rFonts w:ascii="Arial" w:hAnsi="Arial" w:cs="Arial"/>
        </w:rPr>
        <w:t>.</w:t>
      </w:r>
      <w:r w:rsidR="004C6EAB" w:rsidRPr="004661E9">
        <w:rPr>
          <w:rFonts w:ascii="Arial" w:hAnsi="Arial" w:cs="Arial"/>
        </w:rPr>
        <w:t xml:space="preserve"> Moreover, </w:t>
      </w:r>
      <w:r w:rsidR="00543EDD" w:rsidRPr="004661E9">
        <w:rPr>
          <w:rFonts w:ascii="Arial" w:hAnsi="Arial" w:cs="Arial"/>
        </w:rPr>
        <w:t xml:space="preserve">the </w:t>
      </w:r>
      <w:r w:rsidR="004C6EAB" w:rsidRPr="004661E9">
        <w:rPr>
          <w:rFonts w:ascii="Arial" w:hAnsi="Arial" w:cs="Arial"/>
        </w:rPr>
        <w:t xml:space="preserve">increased burden of ischemic heart disease and other </w:t>
      </w:r>
      <w:r w:rsidR="008907A7" w:rsidRPr="004661E9">
        <w:rPr>
          <w:rFonts w:ascii="Arial" w:hAnsi="Arial" w:cs="Arial"/>
        </w:rPr>
        <w:t xml:space="preserve">diabetes-related </w:t>
      </w:r>
      <w:r w:rsidR="004C6EAB" w:rsidRPr="004661E9">
        <w:rPr>
          <w:rFonts w:ascii="Arial" w:hAnsi="Arial" w:cs="Arial"/>
        </w:rPr>
        <w:t>comorbidities</w:t>
      </w:r>
      <w:r w:rsidR="00B304F3" w:rsidRPr="004661E9">
        <w:rPr>
          <w:rFonts w:ascii="Arial" w:hAnsi="Arial" w:cs="Arial"/>
        </w:rPr>
        <w:t>, such as CKD,</w:t>
      </w:r>
      <w:r w:rsidR="004C6EAB" w:rsidRPr="004661E9">
        <w:rPr>
          <w:rFonts w:ascii="Arial" w:hAnsi="Arial" w:cs="Arial"/>
        </w:rPr>
        <w:t xml:space="preserve"> contribute to the detrimental effects </w:t>
      </w:r>
      <w:r w:rsidR="00543EDD" w:rsidRPr="004661E9">
        <w:rPr>
          <w:rFonts w:ascii="Arial" w:hAnsi="Arial" w:cs="Arial"/>
        </w:rPr>
        <w:t>of</w:t>
      </w:r>
      <w:r w:rsidR="004C6EAB" w:rsidRPr="004661E9">
        <w:rPr>
          <w:rFonts w:ascii="Arial" w:hAnsi="Arial" w:cs="Arial"/>
        </w:rPr>
        <w:t xml:space="preserve"> HF</w:t>
      </w:r>
      <w:r w:rsidR="00FC7CE7"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{"citationItems":[{"id":"ITEM-1","itemData":{"DOI":"10.1161/CIRCULATIONAHA.114.014796","ISSN":"15244539","abstract":"Background-Despite the known association of diabetes mellitus with cardiovascular events, there are few contemporary data on the long-term outcomes from international cohorts of patients with diabetes mellitus. We sought to describe cardiovascular outcomes at 4 years and to identify predictors of these events in patients with diabetes mellitus. Methods and Results-The Reduction of Atherothrombosis for Continued Health (REACH) registry is an international registry of patients at high risk of atherothrombosis or established atherothrombosis. Four-year event rates in patients with diabetes mellitus were determined with the corrected group prognosis method. Of the 45 227 patients in the REACH registry who had follow-up at 4 years, 43.6% (n=19 699) had diabetes mellitus at baseline. The overall risk and hazard ratio (HR) of cardiovascular death, nonfatal myocardial infarction, or nonfatal stroke were greater in patients with diabetes compared with patients without diabetes (16.5% versus 13.1%; adjusted HR, 1.27; 95% confidence interval [CI] 1.19-1.35). There was also an increase in both cardiovascular death (8.9% versus 6.0%; adjusted HR, 1.38; 95% CI, 1.26-1.52) and overall death (14.3% versus 9.9%; adjusted HR, 1.40; 95% CI, 1.30-1.51). Diabetes mellitus was associated with a 33% greater risk of hospitalization for heart failure (9.4% versus 5.9%; adjusted odds ratio, 1.33; 95% CI, 1.18-1.50). In patients with diabetes mellitus, heart failure at baseline was independently associated with cardiovascular death (adjusted HR, 2.45; 95% CI, 2.17-2.77; P&lt;0.001) and hospitalization for heart failure (adjusted odds ratio, 4.72; 95% CI, 4.22-5.29; P&lt;0.001). Conclusions-Diabetes mellitus substantially increases the risk of death, ischemic events, and heart failure. Patients with both diabetes mellitus and heart failure are at particularly elevated risk of cardiovascular death, highlighting the need for additional therapies in this high-risk population.","author":[{"dropping-particle":"","family":"Cavender","given":"Matthew A.","non-dropping-particle":"","parse-names":false,"suffix":""},{"dropping-particle":"","family":"Steg","given":"Ph Gabriel","non-dropping-particle":"","parse-names":false,"suffix":""},{"dropping-particle":"","family":"Smith","given":"Sidney C.","non-dropping-particle":"","parse-names":false,"suffix":""},{"dropping-particle":"","family":"Eagle","given":"Kim","non-dropping-particle":"","parse-names":false,"suffix":""},{"dropping-particle":"","family":"Ohman","given":"E. Magnus","non-dropping-particle":"","parse-names":false,"suffix":""},{"dropping-particle":"","family":"Goto","given":"Shinya","non-dropping-particle":"","parse-names":false,"suffix":""},{"dropping-particle":"","family":"Kuder","given":"Julia","non-dropping-particle":"","parse-names":false,"suffix":""},{"dropping-particle":"","family":"Im","given":"Kyungah","non-dropping-particle":"","parse-names":false,"suffix":""},{"dropping-particle":"","family":"Wilson","given":"Peter W.F.","non-dropping-particle":"","parse-names":false,"suffix":""},{"dropping-particle":"","family":"Bhatt","given":"Deepak L.","non-dropping-particle":"","parse-names":false,"suffix":""}],"container-title":"Circulation","id":"ITEM-1","issue":"10","issued":{"date-parts":[["2015"]]},"page":"923-931","title":"Impact of Diabetes Mellitus on Hospitalization for Heart Failure, Cardiovascular Events, and Death: Outcomes at 4 Years from the Reduction of Atherothrombosis for Continued Health (REACH) Registry","type":"article-journal","volume":"132"},"uris":["http://www.mendeley.com/documents/?uuid=2306aa25-6968-4e96-8872-bb5a57bb2d3f"]}],"mendeley":{"formattedCitation":"(126)","plainTextFormattedCitation":"(126)","previouslyFormattedCitation":"(126)"},"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(126)</w:t>
      </w:r>
      <w:r w:rsidR="000F3AD7" w:rsidRPr="004661E9">
        <w:rPr>
          <w:rFonts w:ascii="Arial" w:hAnsi="Arial" w:cs="Arial"/>
        </w:rPr>
        <w:fldChar w:fldCharType="end"/>
      </w:r>
      <w:r w:rsidR="00FC7CE7" w:rsidRPr="004661E9">
        <w:rPr>
          <w:rFonts w:ascii="Arial" w:hAnsi="Arial" w:cs="Arial"/>
        </w:rPr>
        <w:t>.</w:t>
      </w:r>
    </w:p>
    <w:p w14:paraId="030F4F89" w14:textId="77777777" w:rsidR="00FC7CE7" w:rsidRPr="004661E9" w:rsidRDefault="00FC7CE7" w:rsidP="004661E9">
      <w:pPr>
        <w:spacing w:after="0" w:line="276" w:lineRule="auto"/>
        <w:rPr>
          <w:rFonts w:ascii="Arial" w:hAnsi="Arial" w:cs="Arial"/>
        </w:rPr>
      </w:pPr>
    </w:p>
    <w:p w14:paraId="196F4986" w14:textId="1D4E4A1C" w:rsidR="00B14A93" w:rsidRPr="004661E9" w:rsidRDefault="00B304F3" w:rsidP="004661E9">
      <w:pPr>
        <w:spacing w:after="0" w:line="276" w:lineRule="auto"/>
        <w:rPr>
          <w:rFonts w:ascii="Arial" w:hAnsi="Arial" w:cs="Arial"/>
        </w:rPr>
      </w:pPr>
      <w:r w:rsidRPr="004661E9">
        <w:rPr>
          <w:rFonts w:ascii="Arial" w:hAnsi="Arial" w:cs="Arial"/>
        </w:rPr>
        <w:lastRenderedPageBreak/>
        <w:t xml:space="preserve">Data from </w:t>
      </w:r>
      <w:r w:rsidR="00D2537D" w:rsidRPr="004661E9">
        <w:rPr>
          <w:rFonts w:ascii="Arial" w:hAnsi="Arial" w:cs="Arial"/>
        </w:rPr>
        <w:t xml:space="preserve">the </w:t>
      </w:r>
      <w:r w:rsidRPr="004661E9">
        <w:rPr>
          <w:rFonts w:ascii="Arial" w:hAnsi="Arial" w:cs="Arial"/>
        </w:rPr>
        <w:t>Swedish Heart Failure Registry</w:t>
      </w:r>
      <w:r w:rsidR="004C6EAB" w:rsidRPr="004661E9">
        <w:rPr>
          <w:rFonts w:ascii="Arial" w:hAnsi="Arial" w:cs="Arial"/>
        </w:rPr>
        <w:t xml:space="preserve"> demonstrated that </w:t>
      </w:r>
      <w:r w:rsidR="00543EDD" w:rsidRPr="004661E9">
        <w:rPr>
          <w:rFonts w:ascii="Arial" w:hAnsi="Arial" w:cs="Arial"/>
        </w:rPr>
        <w:t xml:space="preserve">the </w:t>
      </w:r>
      <w:r w:rsidRPr="004661E9">
        <w:rPr>
          <w:rFonts w:ascii="Arial" w:hAnsi="Arial" w:cs="Arial"/>
        </w:rPr>
        <w:t xml:space="preserve">diabetes-associated </w:t>
      </w:r>
      <w:r w:rsidR="004C6EAB" w:rsidRPr="004661E9">
        <w:rPr>
          <w:rFonts w:ascii="Arial" w:hAnsi="Arial" w:cs="Arial"/>
        </w:rPr>
        <w:t xml:space="preserve">mortality risk </w:t>
      </w:r>
      <w:r w:rsidRPr="004661E9">
        <w:rPr>
          <w:rFonts w:ascii="Arial" w:hAnsi="Arial" w:cs="Arial"/>
        </w:rPr>
        <w:t>is</w:t>
      </w:r>
      <w:r w:rsidR="004C6EAB" w:rsidRPr="004661E9">
        <w:rPr>
          <w:rFonts w:ascii="Arial" w:hAnsi="Arial" w:cs="Arial"/>
        </w:rPr>
        <w:t xml:space="preserve"> more pronounced in </w:t>
      </w:r>
      <w:r w:rsidR="0055331D" w:rsidRPr="004661E9">
        <w:rPr>
          <w:rFonts w:ascii="Arial" w:hAnsi="Arial" w:cs="Arial"/>
        </w:rPr>
        <w:t>individuals</w:t>
      </w:r>
      <w:r w:rsidR="004C6EAB" w:rsidRPr="004661E9">
        <w:rPr>
          <w:rFonts w:ascii="Arial" w:hAnsi="Arial" w:cs="Arial"/>
        </w:rPr>
        <w:t xml:space="preserve"> with HF of ischemic etiology than those with nonischemic etiology</w:t>
      </w:r>
      <w:r w:rsidR="00FC7CE7"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{"citationItems":[{"id":"ITEM-1","itemData":{"DOI":"10.1016/j.jacc.2016.06.061","ISSN":"15583597","abstract":"Background Heart failure (HF) is a common and serious complication in type 2 diabetes mellitus (T2DM). The prognosis of ischemic HF and impact of revascularization in such patients have not been investigated fully in a patient population representing everyday practice. Objectives This study examined the impact of ischemic versus nonischemic HF and previous revascularization on long-term prognosis in an unselected population of patients with and without T2DM. Methods Patients stratified by diabetes status and ischemic or nonischemic HF and history of revascularization in the Swedish Heart Failure Registry (SwedeHF) from 2003 to 2011 were followed up for mortality predictors and longevity. A propensity score analysis was applied to evaluate the impact of previous revascularization. Results Among 35,163 HF patients, those with T2DM were younger, and 90% had 1 or more associated comorbidities. Ischemic heart disease (IHD) occurred in 62% of patients with T2DM and 47% of those without T2DM, of whom 53% and 48%, respectively, had previously undergone revascularization. T2DM predicted mortality regardless of the presence of IHD, with adjusted hazard ratios (HRs) and 95% confidence intervals (CIs) of 1.40 (1.33 to 1.46) and 1.30 (1.22 to 1.39) in those with and without IHD, respectively. Patients with both T2DM and IHD had the highest mortality, which was further accentuated by the absence of previous revascularization (adjusted HR: 0.82 in favor of such treatment; 95% CI: 0.75 to 0.91). Propensity score adjustment did not change these results (HR: 0.87; 95% CI: 0.78 to 0.96). Revascularization did not abolish the impact of T2DM, which predicted mortality in those with (HR: 1.36; 95% CI: 1.24 to 1.48) and without (HR: 1.45; 95% CI: 1.33 to 1.56) a history of revascularization. Conclusions Ninety percent of HF patients with T2DM have preventable comorbidities. IHD in patients with T2DM had an especially negative influence on mortality, an impact that was beneficially influenced by previous revascularization.","author":[{"dropping-particle":"","family":"Johansson","given":"Isabelle","non-dropping-particle":"","parse-names":false,"suffix":""},{"dropping-particle":"","family":"Dahlström","given":"Ulf","non-dropping-particle":"","parse-names":false,"suffix":""},{"dropping-particle":"","family":"Edner","given":"Magnus","non-dropping-particle":"","parse-names":false,"suffix":""},{"dropping-particle":"","family":"Näsman","given":"Per","non-dropping-particle":"","parse-names":false,"suffix":""},{"dropping-particle":"","family":"Rydén","given":"Lars","non-dropping-particle":"","parse-names":false,"suffix":""},{"dropping-particle":"","family":"Norhammar","given":"Anna","non-dropping-particle":"","parse-names":false,"suffix":""}],"container-title":"Journal of the American College of Cardiology","id":"ITEM-1","issue":"13","issued":{"date-parts":[["2016","9","27"]]},"page":"1404-1416","publisher":"Elsevier USA","title":"Prognostic Implications of Type 2 Diabetes Mellitus in Ischemic and Nonischemic Heart Failure","type":"article-journal","volume":"68"},"uris":["http://www.mendeley.com/documents/?uuid=d7bfadd7-f920-31a4-8a53-63fb0d706ee6"]}],"mendeley":{"formattedCitation":"(43)","plainTextFormattedCitation":"(43)","previouslyFormattedCitation":"(43)"},"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(43)</w:t>
      </w:r>
      <w:r w:rsidR="000F3AD7" w:rsidRPr="004661E9">
        <w:rPr>
          <w:rFonts w:ascii="Arial" w:hAnsi="Arial" w:cs="Arial"/>
        </w:rPr>
        <w:fldChar w:fldCharType="end"/>
      </w:r>
      <w:r w:rsidR="00FC7CE7" w:rsidRPr="004661E9">
        <w:rPr>
          <w:rFonts w:ascii="Arial" w:hAnsi="Arial" w:cs="Arial"/>
        </w:rPr>
        <w:t>.</w:t>
      </w:r>
      <w:r w:rsidR="00C40162" w:rsidRPr="004661E9">
        <w:rPr>
          <w:rFonts w:ascii="Arial" w:hAnsi="Arial" w:cs="Arial"/>
        </w:rPr>
        <w:t xml:space="preserve"> </w:t>
      </w:r>
      <w:r w:rsidR="0093277B" w:rsidRPr="004661E9">
        <w:rPr>
          <w:rFonts w:ascii="Arial" w:hAnsi="Arial" w:cs="Arial"/>
        </w:rPr>
        <w:t xml:space="preserve">The </w:t>
      </w:r>
      <w:r w:rsidR="004C6EAB" w:rsidRPr="004661E9">
        <w:rPr>
          <w:rFonts w:ascii="Arial" w:hAnsi="Arial" w:cs="Arial"/>
        </w:rPr>
        <w:t xml:space="preserve">2-year survival rate was less than 50% among </w:t>
      </w:r>
      <w:r w:rsidR="0055331D" w:rsidRPr="004661E9">
        <w:rPr>
          <w:rFonts w:ascii="Arial" w:hAnsi="Arial" w:cs="Arial"/>
        </w:rPr>
        <w:t>those</w:t>
      </w:r>
      <w:r w:rsidR="004C6EAB" w:rsidRPr="004661E9">
        <w:rPr>
          <w:rFonts w:ascii="Arial" w:hAnsi="Arial" w:cs="Arial"/>
        </w:rPr>
        <w:t xml:space="preserve"> with HF, T2DM</w:t>
      </w:r>
      <w:r w:rsidR="0015065B" w:rsidRPr="004661E9">
        <w:rPr>
          <w:rFonts w:ascii="Arial" w:hAnsi="Arial" w:cs="Arial"/>
        </w:rPr>
        <w:t>,</w:t>
      </w:r>
      <w:r w:rsidR="004C6EAB" w:rsidRPr="004661E9">
        <w:rPr>
          <w:rFonts w:ascii="Arial" w:hAnsi="Arial" w:cs="Arial"/>
        </w:rPr>
        <w:t xml:space="preserve"> and ischemic heart disease. </w:t>
      </w:r>
    </w:p>
    <w:p w14:paraId="6CA5E10E" w14:textId="77777777" w:rsidR="00B14A93" w:rsidRPr="004661E9" w:rsidRDefault="00B14A93" w:rsidP="004661E9">
      <w:pPr>
        <w:spacing w:after="0" w:line="276" w:lineRule="auto"/>
        <w:rPr>
          <w:rFonts w:ascii="Arial" w:hAnsi="Arial" w:cs="Arial"/>
        </w:rPr>
      </w:pPr>
    </w:p>
    <w:p w14:paraId="64E54CD5" w14:textId="4D5992A1" w:rsidR="0007333E" w:rsidRPr="004661E9" w:rsidRDefault="00D129E6" w:rsidP="004661E9">
      <w:pPr>
        <w:spacing w:after="0" w:line="276" w:lineRule="auto"/>
        <w:rPr>
          <w:rFonts w:ascii="Arial" w:hAnsi="Arial" w:cs="Arial"/>
        </w:rPr>
      </w:pPr>
      <w:r w:rsidRPr="004661E9">
        <w:rPr>
          <w:rFonts w:ascii="Arial" w:hAnsi="Arial" w:cs="Arial"/>
        </w:rPr>
        <w:t>The p</w:t>
      </w:r>
      <w:r w:rsidR="004C6EAB" w:rsidRPr="004661E9">
        <w:rPr>
          <w:rFonts w:ascii="Arial" w:hAnsi="Arial" w:cs="Arial"/>
        </w:rPr>
        <w:t xml:space="preserve">resence of </w:t>
      </w:r>
      <w:r w:rsidR="004069F7" w:rsidRPr="004661E9">
        <w:rPr>
          <w:rFonts w:ascii="Arial" w:hAnsi="Arial" w:cs="Arial"/>
        </w:rPr>
        <w:t xml:space="preserve">preexisting </w:t>
      </w:r>
      <w:r w:rsidR="004C6EAB" w:rsidRPr="004661E9">
        <w:rPr>
          <w:rFonts w:ascii="Arial" w:hAnsi="Arial" w:cs="Arial"/>
        </w:rPr>
        <w:t xml:space="preserve">microvascular </w:t>
      </w:r>
      <w:r w:rsidR="004069F7" w:rsidRPr="004661E9">
        <w:rPr>
          <w:rFonts w:ascii="Arial" w:hAnsi="Arial" w:cs="Arial"/>
        </w:rPr>
        <w:t xml:space="preserve">disease is an independent risk factor for the risk of </w:t>
      </w:r>
      <w:r w:rsidR="008D4849" w:rsidRPr="004661E9">
        <w:rPr>
          <w:rFonts w:ascii="Arial" w:hAnsi="Arial" w:cs="Arial"/>
        </w:rPr>
        <w:t>future HF events in patients with T2DM</w:t>
      </w:r>
      <w:r w:rsidR="00761BFC" w:rsidRPr="004661E9">
        <w:rPr>
          <w:rFonts w:ascii="Arial" w:hAnsi="Arial" w:cs="Arial"/>
        </w:rPr>
        <w:t xml:space="preserve"> </w:t>
      </w:r>
      <w:r w:rsidR="00FD3336" w:rsidRPr="004661E9">
        <w:rPr>
          <w:rFonts w:ascii="Arial" w:hAnsi="Arial" w:cs="Arial"/>
        </w:rPr>
        <w:fldChar w:fldCharType="begin" w:fldLock="1"/>
      </w:r>
      <w:r w:rsidR="000962ED" w:rsidRPr="004661E9">
        <w:rPr>
          <w:rFonts w:ascii="Arial" w:hAnsi="Arial" w:cs="Arial"/>
        </w:rPr>
        <w:instrText>ADDIN CSL_CITATION {"citationItems":[{"id":"ITEM-1","itemData":{"DOI":"10.1016/J.JACC.2022.03.378","ISSN":"0735-1097","PMID":"35680178","abstract":"Background: The influence of diabetes on progression from preclinical heart failure (HF) stages to overt HF is poorly understood. Objectives: The purpose of this study was to characterize the influence of diabetes on the progression from preclinical HF stages (A or B based on the 2021 Universal Definition) to overt HF. Methods: We included 4,774 adults with preclinical HF (stage A [n = 1,551] or B [n = 3,223]) who attended the ARIC (Atherosclerosis Risk In Communities) study Visit 5 (2011-2013). Within each stage (A or B), we assessed the associations of diabetes and glycemic control (hemoglobin A1C [HbA1C] &lt;7% vs ≥7%) with progression to HF, and of cross-categories of HF stages (A vs B), diabetes, and glycemic control with incident HF. Results: Among the participants (mean age 75.4 years, 58% women, 20% Black), there were 470 HF events during 8.6 years of follow-up. Stage B participants with HbA1C ≥7% experienced clinical HF at a younger age than those with controlled diabetes or without diabetes (mean age 80 years vs 83 years vs 82 years; P &lt; 0.001). HbA1C ≥7% was more strongly associated with HF in stage B (HR: 1.83; 95% CI: 1.33-2.51) compared with stage A (HR: 1.52; 95% CI: 0.53-4.38). In cross-categories of preclinical HF stage and HbA1C, participants with stage B and HbA1C ≥7% had increased risk of HF progression compared with stage A without diabetes (HR: 7.56; 95% CI: 4.68-12.20). Conclusions: Among older adults with preclinical HF stages, uncontrolled diabetes was associated with substantial risk of HF progression. Our results suggest that targeting diabetes early in the HF process is critical.","author":[{"dropping-particle":"","family":"Echouffo-Tcheugui","given":"Justin B.","non-dropping-particle":"","parse-names":false,"suffix":""},{"dropping-particle":"","family":"Ndumele","given":"Chiadi E.","non-dropping-particle":"","parse-names":false,"suffix":""},{"dropping-particle":"","family":"Zhang","given":"Sui","non-dropping-particle":"","parse-names":false,"suffix":""},{"dropping-particle":"","family":"Florido","given":"Roberta","non-dropping-particle":"","parse-names":false,"suffix":""},{"dropping-particle":"","family":"Matsushita","given":"Kunihiro","non-dropping-particle":"","parse-names":false,"suffix":""},{"dropping-particle":"","family":"Coresh","given":"Josef","non-dropping-particle":"","parse-names":false,"suffix":""},{"dropping-particle":"","family":"Skali","given":"Hicham","non-dropping-particle":"","parse-names":false,"suffix":""},{"dropping-particle":"","family":"Shah","given":"Amil M.","non-dropping-particle":"","parse-names":false,"suffix":""},{"dropping-particle":"","family":"Selvin","given":"Elizabeth","non-dropping-particle":"","parse-names":false,"suffix":""}],"container-title":"Journal of the American College of Cardiology","id":"ITEM-1","issue":"23","issued":{"date-parts":[["2022","6","14"]]},"page":"2285-2293","publisher":"Elsevier","title":"Diabetes and Progression of Heart Failure: The Atherosclerosis Risk In Communities (ARIC) Study","type":"article-journal","volume":"79"},"uris":["http://www.mendeley.com/documents/?uuid=e0d15c41-b6b8-3ae7-ba1a-f61947790cf0"]}],"mendeley":{"formattedCitation":"(44)","plainTextFormattedCitation":"(44)","previouslyFormattedCitation":"(44)"},"properties":{"noteIndex":0},"schema":"https://github.com/citation-style-language/schema/raw/master/csl-citation.json"}</w:instrText>
      </w:r>
      <w:r w:rsidR="00FD3336" w:rsidRPr="004661E9">
        <w:rPr>
          <w:rFonts w:ascii="Arial" w:hAnsi="Arial" w:cs="Arial"/>
        </w:rPr>
        <w:fldChar w:fldCharType="separate"/>
      </w:r>
      <w:r w:rsidR="000962ED" w:rsidRPr="004661E9">
        <w:rPr>
          <w:rFonts w:ascii="Arial" w:hAnsi="Arial" w:cs="Arial"/>
          <w:noProof/>
        </w:rPr>
        <w:t>(44)</w:t>
      </w:r>
      <w:r w:rsidR="00FD3336" w:rsidRPr="004661E9">
        <w:rPr>
          <w:rFonts w:ascii="Arial" w:hAnsi="Arial" w:cs="Arial"/>
        </w:rPr>
        <w:fldChar w:fldCharType="end"/>
      </w:r>
      <w:r w:rsidR="008D4849" w:rsidRPr="004661E9">
        <w:rPr>
          <w:rFonts w:ascii="Arial" w:hAnsi="Arial" w:cs="Arial"/>
        </w:rPr>
        <w:t>.</w:t>
      </w:r>
      <w:r w:rsidR="004C6EAB" w:rsidRPr="004661E9">
        <w:rPr>
          <w:rFonts w:ascii="Arial" w:hAnsi="Arial" w:cs="Arial"/>
        </w:rPr>
        <w:t xml:space="preserve"> </w:t>
      </w:r>
      <w:r w:rsidR="008D4849" w:rsidRPr="004661E9">
        <w:rPr>
          <w:rFonts w:ascii="Arial" w:hAnsi="Arial" w:cs="Arial"/>
        </w:rPr>
        <w:t>In addition, microvascular disease</w:t>
      </w:r>
      <w:r w:rsidR="004C6EAB" w:rsidRPr="004661E9">
        <w:rPr>
          <w:rFonts w:ascii="Arial" w:hAnsi="Arial" w:cs="Arial"/>
        </w:rPr>
        <w:t xml:space="preserve"> portends </w:t>
      </w:r>
      <w:r w:rsidRPr="004661E9">
        <w:rPr>
          <w:rFonts w:ascii="Arial" w:hAnsi="Arial" w:cs="Arial"/>
        </w:rPr>
        <w:t xml:space="preserve">an </w:t>
      </w:r>
      <w:r w:rsidR="004C6EAB" w:rsidRPr="004661E9">
        <w:rPr>
          <w:rFonts w:ascii="Arial" w:hAnsi="Arial" w:cs="Arial"/>
        </w:rPr>
        <w:t>increased risk of mortality and morbidity in patients with HF. A post</w:t>
      </w:r>
      <w:r w:rsidR="001442C8" w:rsidRPr="004661E9">
        <w:rPr>
          <w:rFonts w:ascii="Arial" w:hAnsi="Arial" w:cs="Arial"/>
        </w:rPr>
        <w:t xml:space="preserve"> </w:t>
      </w:r>
      <w:r w:rsidR="004C6EAB" w:rsidRPr="004661E9">
        <w:rPr>
          <w:rFonts w:ascii="Arial" w:hAnsi="Arial" w:cs="Arial"/>
        </w:rPr>
        <w:t xml:space="preserve">hoc analysis </w:t>
      </w:r>
      <w:r w:rsidRPr="004661E9">
        <w:rPr>
          <w:rFonts w:ascii="Arial" w:hAnsi="Arial" w:cs="Arial"/>
        </w:rPr>
        <w:t xml:space="preserve">of </w:t>
      </w:r>
      <w:r w:rsidR="0007333E" w:rsidRPr="004661E9">
        <w:rPr>
          <w:rFonts w:ascii="Arial" w:hAnsi="Arial" w:cs="Arial"/>
        </w:rPr>
        <w:t>a large RCT</w:t>
      </w:r>
    </w:p>
    <w:p w14:paraId="02FDB9BC" w14:textId="02ED4E66" w:rsidR="00FC7CE7" w:rsidRPr="004661E9" w:rsidRDefault="004C6EAB" w:rsidP="004661E9">
      <w:pPr>
        <w:spacing w:after="0" w:line="276" w:lineRule="auto"/>
        <w:rPr>
          <w:rFonts w:ascii="Arial" w:hAnsi="Arial" w:cs="Arial"/>
        </w:rPr>
      </w:pPr>
      <w:r w:rsidRPr="004661E9">
        <w:rPr>
          <w:rFonts w:ascii="Arial" w:hAnsi="Arial" w:cs="Arial"/>
        </w:rPr>
        <w:t xml:space="preserve">demonstrated a significant association between </w:t>
      </w:r>
      <w:r w:rsidR="00543EDD" w:rsidRPr="004661E9">
        <w:rPr>
          <w:rFonts w:ascii="Arial" w:hAnsi="Arial" w:cs="Arial"/>
        </w:rPr>
        <w:t xml:space="preserve">a </w:t>
      </w:r>
      <w:r w:rsidRPr="004661E9">
        <w:rPr>
          <w:rFonts w:ascii="Arial" w:hAnsi="Arial" w:cs="Arial"/>
        </w:rPr>
        <w:t xml:space="preserve">history of microvascular complications and future risk of adverse events among </w:t>
      </w:r>
      <w:r w:rsidR="0055331D" w:rsidRPr="004661E9">
        <w:rPr>
          <w:rFonts w:ascii="Arial" w:hAnsi="Arial" w:cs="Arial"/>
        </w:rPr>
        <w:t>study subjects</w:t>
      </w:r>
      <w:r w:rsidRPr="004661E9">
        <w:rPr>
          <w:rFonts w:ascii="Arial" w:hAnsi="Arial" w:cs="Arial"/>
        </w:rPr>
        <w:t xml:space="preserve"> with </w:t>
      </w:r>
      <w:r w:rsidR="00A36DE2" w:rsidRPr="004661E9">
        <w:rPr>
          <w:rFonts w:ascii="Arial" w:hAnsi="Arial" w:cs="Arial"/>
        </w:rPr>
        <w:t>diabetes</w:t>
      </w:r>
      <w:r w:rsidRPr="004661E9">
        <w:rPr>
          <w:rFonts w:ascii="Arial" w:hAnsi="Arial" w:cs="Arial"/>
        </w:rPr>
        <w:t xml:space="preserve"> and HFpEF</w:t>
      </w:r>
      <w:r w:rsidR="00FC7CE7"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{"citationItems":[{"id":"ITEM-1","itemData":{"DOI":"10.2337/dc17-0755","ISSN":"19355548","abstract":"OBJECTIVE This study examined the prognostic significance of diabetes and microvascular complications in patients with heart failure with preserved ejection fraction (HFpEF). RESEARCH DESIGN AND METHODS This analysis included 3,385 patients (mean age 69±9.6 years; 49%male; 89%white) with HFpEF fromthe Treatment of Preserved Cardiac Function Heart FailureWith an Aldosterone Antagonist Trial (TOPCAT). Diabetes and microvascular complications were ascertained by self-reported history and medical record review.Microvascular complications included neuropathy, nephropathy, and retinopathy. Outcomes included hospitalization, hospitalization for heart failure, death, and cardiovascular death. Cox regressionwas used to examine the risk of each outcome associatedwith diabetes and microvascular complications. RESULTS Of the 1,109 subjects (32%) with diabetes, 352 (32%) had at least one microvascular complication. Patients with diabetes and microvascular complications had an increased risk for hospitalization (no diabetes: Referent; diabetes + no microvascular complication: Hazard ratio [HR] 1.18, 95% CI 1.01, 1.37; diabetes + microvascular complications: HR 1.54, 95% CI 1.25, 1.89; P-trend &lt;0.001), hospitalization for heart failure (no diabetes: Referent; diabetes + no microvascular complication: HR 1.51, 95%CI 1.14, 1.99; diabetes + microvascular complications: HR 1.97, 95%CI 1.38, 2.80; P-trend &lt;0.001), death (no diabetes: Referent; diabetes + no microvascular complication: HR 1.35, 95% CI 1.04, 1.75; diabetes + microvascular complications: HR 1.73, 95%CI 1.22, 2.45; P-trend = 0.0017), and cardiovascular death (no diabetes: Referent; diabetes + no microvascular complication: HR 1.34, 95% CI 0.96, 1.86; diabetes + microvascular complications: HR 1.70, 95% CI 1.09, 2.65; P-trend = 0.018). When the analysis was limited to participants who reported prior hospitalization for heart failure (n = 2,449), a higher risk of rehospitalization for heart failure was observed across diabetes categories (no diabetes: Referent; diabetes + no microvascular complication: HR 1.40, 95%CI 1.01, 1.96; diabetes +microvascular complications:HR 1.78, 95% CI 1.18, 2.70; P-trend = 0.0036). CONCLUSIONS Diabetes is associated with adverse cardiovascular outcomes in HFpEF, and the inherent risk of adverse outcomes in HFpEF patients with diabetes varies by the presence of microvascular complications.","author":[{"dropping-particle":"","family":"Sandesara","given":"Pratik B.","non-dropping-particle":"","parse-names":false,"suffix":""},{"dropping-particle":"","family":"O'Neal","given":"Wesley T.","non-dropping-particle":"","parse-names":false,"suffix":""},{"dropping-particle":"","family":"Kelli","given":"Heval M.","non-dropping-particle":"","parse-names":false,"suffix":""},{"dropping-particle":"","family":"Samman-Tahhan","given":"Ayman","non-dropping-particle":"","parse-names":false,"suffix":""},{"dropping-particle":"","family":"Hammadah","given":"Muhammad","non-dropping-particle":"","parse-names":false,"suffix":""},{"dropping-particle":"","family":"Quyyumi","given":"Arshed A.","non-dropping-particle":"","parse-names":false,"suffix":""},{"dropping-particle":"","family":"Sperling","given":"Laurence S.","non-dropping-particle":"","parse-names":false,"suffix":""}],"container-title":"Diabetes Care","id":"ITEM-1","issue":"1","issued":{"date-parts":[["2018","1","1"]]},"page":"150-155","publisher":"American Diabetes Association Inc.","title":"The prognostic significance of diabetes and microvascular complications in patients with heart failure with preserved ejection fraction","type":"article-journal","volume":"41"},"uris":["http://www.mendeley.com/documents/?uuid=3c918320-163c-3565-877a-3d70daad7456"]}],"mendeley":{"formattedCitation":"(127)","plainTextFormattedCitation":"(127)","previouslyFormattedCitation":"(127)"},"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(127)</w:t>
      </w:r>
      <w:r w:rsidR="000F3AD7" w:rsidRPr="004661E9">
        <w:rPr>
          <w:rFonts w:ascii="Arial" w:hAnsi="Arial" w:cs="Arial"/>
        </w:rPr>
        <w:fldChar w:fldCharType="end"/>
      </w:r>
      <w:r w:rsidR="00FC7CE7" w:rsidRPr="004661E9">
        <w:rPr>
          <w:rFonts w:ascii="Arial" w:hAnsi="Arial" w:cs="Arial"/>
        </w:rPr>
        <w:t>.</w:t>
      </w:r>
    </w:p>
    <w:p w14:paraId="643EE50A" w14:textId="10009FC3" w:rsidR="007C7514" w:rsidRPr="004661E9" w:rsidRDefault="004C6EAB" w:rsidP="004661E9">
      <w:pPr>
        <w:spacing w:after="0" w:line="276" w:lineRule="auto"/>
        <w:rPr>
          <w:rFonts w:ascii="Arial" w:hAnsi="Arial" w:cs="Arial"/>
        </w:rPr>
      </w:pPr>
      <w:r w:rsidRPr="004661E9">
        <w:rPr>
          <w:rFonts w:ascii="Arial" w:hAnsi="Arial" w:cs="Arial"/>
        </w:rPr>
        <w:t xml:space="preserve">  </w:t>
      </w:r>
    </w:p>
    <w:p w14:paraId="5BE5A392" w14:textId="5ACB161F" w:rsidR="009906B3" w:rsidRPr="004661E9" w:rsidRDefault="00D14A9A" w:rsidP="004661E9">
      <w:pPr>
        <w:spacing w:after="0" w:line="276" w:lineRule="auto"/>
        <w:rPr>
          <w:rFonts w:ascii="Arial" w:hAnsi="Arial" w:cs="Arial"/>
          <w:b/>
          <w:bCs/>
          <w:color w:val="4472C4" w:themeColor="accent1"/>
        </w:rPr>
      </w:pPr>
      <w:r w:rsidRPr="004661E9">
        <w:rPr>
          <w:rFonts w:ascii="Arial" w:hAnsi="Arial" w:cs="Arial"/>
          <w:b/>
          <w:bCs/>
          <w:caps/>
          <w:color w:val="4472C4" w:themeColor="accent1"/>
        </w:rPr>
        <w:t xml:space="preserve">Prevention of </w:t>
      </w:r>
      <w:r w:rsidR="002B627B" w:rsidRPr="004661E9">
        <w:rPr>
          <w:rFonts w:ascii="Arial" w:hAnsi="Arial" w:cs="Arial"/>
          <w:b/>
          <w:bCs/>
          <w:caps/>
          <w:color w:val="4472C4" w:themeColor="accent1"/>
        </w:rPr>
        <w:t>hf</w:t>
      </w:r>
      <w:r w:rsidRPr="004661E9">
        <w:rPr>
          <w:rFonts w:ascii="Arial" w:hAnsi="Arial" w:cs="Arial"/>
          <w:b/>
          <w:bCs/>
          <w:caps/>
          <w:color w:val="4472C4" w:themeColor="accent1"/>
        </w:rPr>
        <w:t xml:space="preserve"> in Patients with </w:t>
      </w:r>
      <w:r w:rsidR="00A36DE2" w:rsidRPr="004661E9">
        <w:rPr>
          <w:rFonts w:ascii="Arial" w:hAnsi="Arial" w:cs="Arial"/>
          <w:b/>
          <w:bCs/>
          <w:caps/>
          <w:color w:val="4472C4" w:themeColor="accent1"/>
        </w:rPr>
        <w:t>DIABETES</w:t>
      </w:r>
    </w:p>
    <w:p w14:paraId="6A616F69" w14:textId="77777777" w:rsidR="00FC7CE7" w:rsidRPr="004661E9" w:rsidRDefault="00FC7CE7" w:rsidP="004661E9">
      <w:pPr>
        <w:spacing w:after="0" w:line="276" w:lineRule="auto"/>
        <w:rPr>
          <w:rFonts w:ascii="Arial" w:hAnsi="Arial" w:cs="Arial"/>
        </w:rPr>
      </w:pPr>
    </w:p>
    <w:p w14:paraId="60270897" w14:textId="2DC74A22" w:rsidR="003C01B8" w:rsidRPr="004661E9" w:rsidRDefault="00F35988" w:rsidP="004661E9">
      <w:pPr>
        <w:spacing w:after="0" w:line="276" w:lineRule="auto"/>
        <w:rPr>
          <w:rFonts w:ascii="Arial" w:hAnsi="Arial" w:cs="Arial"/>
        </w:rPr>
      </w:pPr>
      <w:r w:rsidRPr="004661E9">
        <w:rPr>
          <w:rFonts w:ascii="Arial" w:hAnsi="Arial" w:cs="Arial"/>
        </w:rPr>
        <w:t xml:space="preserve">The critical importance of </w:t>
      </w:r>
      <w:r w:rsidR="00FF3C12" w:rsidRPr="004661E9">
        <w:rPr>
          <w:rFonts w:ascii="Arial" w:hAnsi="Arial" w:cs="Arial"/>
        </w:rPr>
        <w:t>HF</w:t>
      </w:r>
      <w:r w:rsidRPr="004661E9">
        <w:rPr>
          <w:rFonts w:ascii="Arial" w:hAnsi="Arial" w:cs="Arial"/>
        </w:rPr>
        <w:t xml:space="preserve"> prevention is underscored by HF staging</w:t>
      </w:r>
      <w:r w:rsidR="00A77502" w:rsidRPr="004661E9">
        <w:rPr>
          <w:rFonts w:ascii="Arial" w:hAnsi="Arial" w:cs="Arial"/>
        </w:rPr>
        <w:t>,</w:t>
      </w:r>
      <w:r w:rsidRPr="004661E9">
        <w:rPr>
          <w:rFonts w:ascii="Arial" w:hAnsi="Arial" w:cs="Arial"/>
        </w:rPr>
        <w:t xml:space="preserve"> where risk factors such as hypertension and diabetes are classified as stage A</w:t>
      </w:r>
      <w:r w:rsidR="00E156CB" w:rsidRPr="004661E9">
        <w:rPr>
          <w:rFonts w:ascii="Arial" w:hAnsi="Arial" w:cs="Arial"/>
        </w:rPr>
        <w:t xml:space="preserve"> (at risk for HF)</w:t>
      </w:r>
      <w:r w:rsidR="00C931D4" w:rsidRPr="004661E9">
        <w:rPr>
          <w:rFonts w:ascii="Arial" w:hAnsi="Arial" w:cs="Arial"/>
        </w:rPr>
        <w:t xml:space="preserve"> </w:t>
      </w:r>
      <w:r w:rsidR="00546947" w:rsidRPr="004661E9">
        <w:rPr>
          <w:rFonts w:ascii="Arial" w:hAnsi="Arial" w:cs="Arial"/>
        </w:rPr>
        <w:fldChar w:fldCharType="begin" w:fldLock="1"/>
      </w:r>
      <w:r w:rsidR="00300576"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00546947" w:rsidRPr="004661E9">
        <w:rPr>
          <w:rFonts w:ascii="Arial" w:hAnsi="Arial" w:cs="Arial"/>
        </w:rPr>
        <w:fldChar w:fldCharType="separate"/>
      </w:r>
      <w:r w:rsidR="00E0281E" w:rsidRPr="004661E9">
        <w:rPr>
          <w:rFonts w:ascii="Arial" w:hAnsi="Arial" w:cs="Arial"/>
          <w:noProof/>
        </w:rPr>
        <w:t>(3)</w:t>
      </w:r>
      <w:r w:rsidR="00546947" w:rsidRPr="004661E9">
        <w:rPr>
          <w:rFonts w:ascii="Arial" w:hAnsi="Arial" w:cs="Arial"/>
        </w:rPr>
        <w:fldChar w:fldCharType="end"/>
      </w:r>
      <w:r w:rsidR="00FC7CE7" w:rsidRPr="004661E9">
        <w:rPr>
          <w:rFonts w:ascii="Arial" w:hAnsi="Arial" w:cs="Arial"/>
        </w:rPr>
        <w:t>.</w:t>
      </w:r>
      <w:r w:rsidRPr="004661E9">
        <w:rPr>
          <w:rFonts w:ascii="Arial" w:hAnsi="Arial" w:cs="Arial"/>
        </w:rPr>
        <w:t xml:space="preserve"> </w:t>
      </w:r>
      <w:r w:rsidR="00344A77" w:rsidRPr="004661E9">
        <w:rPr>
          <w:rFonts w:ascii="Arial" w:hAnsi="Arial" w:cs="Arial"/>
        </w:rPr>
        <w:t xml:space="preserve">Because of the detrimental prognostic impact of </w:t>
      </w:r>
      <w:r w:rsidR="00FF3C12" w:rsidRPr="004661E9">
        <w:rPr>
          <w:rFonts w:ascii="Arial" w:hAnsi="Arial" w:cs="Arial"/>
        </w:rPr>
        <w:t xml:space="preserve">clinical </w:t>
      </w:r>
      <w:r w:rsidR="00344A77" w:rsidRPr="004661E9">
        <w:rPr>
          <w:rFonts w:ascii="Arial" w:hAnsi="Arial" w:cs="Arial"/>
        </w:rPr>
        <w:t xml:space="preserve">HF, </w:t>
      </w:r>
      <w:bookmarkStart w:id="17" w:name="_Hlk43804090"/>
      <w:r w:rsidR="00344A77" w:rsidRPr="004661E9">
        <w:rPr>
          <w:rFonts w:ascii="Arial" w:hAnsi="Arial" w:cs="Arial"/>
        </w:rPr>
        <w:t>t</w:t>
      </w:r>
      <w:r w:rsidR="00693714" w:rsidRPr="004661E9">
        <w:rPr>
          <w:rFonts w:ascii="Arial" w:hAnsi="Arial" w:cs="Arial"/>
        </w:rPr>
        <w:t>he prevention</w:t>
      </w:r>
      <w:r w:rsidR="00344A77" w:rsidRPr="004661E9">
        <w:rPr>
          <w:rFonts w:ascii="Arial" w:hAnsi="Arial" w:cs="Arial"/>
        </w:rPr>
        <w:t xml:space="preserve"> of</w:t>
      </w:r>
      <w:r w:rsidR="00693714" w:rsidRPr="004661E9">
        <w:rPr>
          <w:rFonts w:ascii="Arial" w:hAnsi="Arial" w:cs="Arial"/>
        </w:rPr>
        <w:t xml:space="preserve"> </w:t>
      </w:r>
      <w:r w:rsidR="00344A77" w:rsidRPr="004661E9">
        <w:rPr>
          <w:rFonts w:ascii="Arial" w:hAnsi="Arial" w:cs="Arial"/>
        </w:rPr>
        <w:t xml:space="preserve">asymptomatic </w:t>
      </w:r>
      <w:r w:rsidR="00167B33" w:rsidRPr="004661E9">
        <w:rPr>
          <w:rFonts w:ascii="Arial" w:hAnsi="Arial" w:cs="Arial"/>
        </w:rPr>
        <w:t>cardiac remodeling and dysfunction</w:t>
      </w:r>
      <w:r w:rsidR="00344A77" w:rsidRPr="004661E9">
        <w:rPr>
          <w:rFonts w:ascii="Arial" w:hAnsi="Arial" w:cs="Arial"/>
        </w:rPr>
        <w:t xml:space="preserve"> (</w:t>
      </w:r>
      <w:r w:rsidR="00E156CB" w:rsidRPr="004661E9">
        <w:rPr>
          <w:rFonts w:ascii="Arial" w:hAnsi="Arial" w:cs="Arial"/>
        </w:rPr>
        <w:t>pre-</w:t>
      </w:r>
      <w:r w:rsidR="00344A77" w:rsidRPr="004661E9">
        <w:rPr>
          <w:rFonts w:ascii="Arial" w:hAnsi="Arial" w:cs="Arial"/>
        </w:rPr>
        <w:t>HF</w:t>
      </w:r>
      <w:r w:rsidR="00E156CB" w:rsidRPr="004661E9">
        <w:rPr>
          <w:rFonts w:ascii="Arial" w:hAnsi="Arial" w:cs="Arial"/>
        </w:rPr>
        <w:t>, stage B</w:t>
      </w:r>
      <w:r w:rsidR="00344A77" w:rsidRPr="004661E9">
        <w:rPr>
          <w:rFonts w:ascii="Arial" w:hAnsi="Arial" w:cs="Arial"/>
        </w:rPr>
        <w:t xml:space="preserve">) and symptomatic </w:t>
      </w:r>
      <w:r w:rsidR="00693714" w:rsidRPr="004661E9">
        <w:rPr>
          <w:rFonts w:ascii="Arial" w:hAnsi="Arial" w:cs="Arial"/>
        </w:rPr>
        <w:t>HF</w:t>
      </w:r>
      <w:r w:rsidR="00344A77" w:rsidRPr="004661E9">
        <w:rPr>
          <w:rFonts w:ascii="Arial" w:hAnsi="Arial" w:cs="Arial"/>
        </w:rPr>
        <w:t xml:space="preserve"> (stage C)</w:t>
      </w:r>
      <w:r w:rsidR="00693714" w:rsidRPr="004661E9">
        <w:rPr>
          <w:rFonts w:ascii="Arial" w:hAnsi="Arial" w:cs="Arial"/>
        </w:rPr>
        <w:t xml:space="preserve"> </w:t>
      </w:r>
      <w:r w:rsidR="006B5CEE" w:rsidRPr="004661E9">
        <w:rPr>
          <w:rFonts w:ascii="Arial" w:hAnsi="Arial" w:cs="Arial"/>
        </w:rPr>
        <w:t xml:space="preserve">are among the </w:t>
      </w:r>
      <w:r w:rsidR="00693714" w:rsidRPr="004661E9">
        <w:rPr>
          <w:rFonts w:ascii="Arial" w:hAnsi="Arial" w:cs="Arial"/>
        </w:rPr>
        <w:t>primary goal</w:t>
      </w:r>
      <w:r w:rsidR="006B5CEE" w:rsidRPr="004661E9">
        <w:rPr>
          <w:rFonts w:ascii="Arial" w:hAnsi="Arial" w:cs="Arial"/>
        </w:rPr>
        <w:t>s</w:t>
      </w:r>
      <w:r w:rsidR="00693714" w:rsidRPr="004661E9">
        <w:rPr>
          <w:rFonts w:ascii="Arial" w:hAnsi="Arial" w:cs="Arial"/>
        </w:rPr>
        <w:t xml:space="preserve"> </w:t>
      </w:r>
      <w:r w:rsidR="00167B33" w:rsidRPr="004661E9">
        <w:rPr>
          <w:rFonts w:ascii="Arial" w:hAnsi="Arial" w:cs="Arial"/>
        </w:rPr>
        <w:t>of the</w:t>
      </w:r>
      <w:r w:rsidR="00693714" w:rsidRPr="004661E9">
        <w:rPr>
          <w:rFonts w:ascii="Arial" w:hAnsi="Arial" w:cs="Arial"/>
        </w:rPr>
        <w:t xml:space="preserve"> management of</w:t>
      </w:r>
      <w:r w:rsidR="00344A77" w:rsidRPr="004661E9">
        <w:rPr>
          <w:rFonts w:ascii="Arial" w:hAnsi="Arial" w:cs="Arial"/>
        </w:rPr>
        <w:t xml:space="preserve"> patients with</w:t>
      </w:r>
      <w:r w:rsidR="00693714" w:rsidRPr="004661E9">
        <w:rPr>
          <w:rFonts w:ascii="Arial" w:hAnsi="Arial" w:cs="Arial"/>
        </w:rPr>
        <w:t xml:space="preserve"> </w:t>
      </w:r>
      <w:r w:rsidR="00A36DE2" w:rsidRPr="004661E9">
        <w:rPr>
          <w:rFonts w:ascii="Arial" w:hAnsi="Arial" w:cs="Arial"/>
        </w:rPr>
        <w:t>diabetes</w:t>
      </w:r>
      <w:r w:rsidR="00FC7CE7" w:rsidRPr="004661E9">
        <w:rPr>
          <w:rFonts w:ascii="Arial" w:hAnsi="Arial" w:cs="Arial"/>
        </w:rPr>
        <w:t xml:space="preserve"> </w:t>
      </w:r>
      <w:bookmarkEnd w:id="17"/>
      <w:r w:rsidR="000F3AD7" w:rsidRPr="004661E9">
        <w:rPr>
          <w:rFonts w:ascii="Arial" w:hAnsi="Arial" w:cs="Arial"/>
        </w:rPr>
        <w:fldChar w:fldCharType="begin" w:fldLock="1"/>
      </w:r>
      <w:r w:rsidR="00E156CB" w:rsidRPr="004661E9">
        <w:rPr>
          <w:rFonts w:ascii="Arial" w:hAnsi="Arial" w:cs="Arial"/>
        </w:rPr>
        <w:instrText>ADDIN CSL_CITATION {"citationItems":[{"id":"ITEM-1","itemData":{"DOI":"10.1007/s11886-018-1050-3","ISSN":"15343170","PMID":"30259198","abstract":"Purpose of Review: Type 2 diabetes mellitus (DM) is a major risk factor for the development of heart failure (HF). In patients with DM, preventing HF using diabetes medications should be an imperative for primary care physicians and cardiologists alike. Recent Findings: Prior studies with DPP-IV inhibitors, thiazolidinediones (TZDs), and GLP-1 agonists have demonstrated either a neutral effect on HF or increased HF hospitalizations. Two recent large-scale randomized controlled trials (RCTs), EMPA-REG OUTCOME and CANVAS, compared sodium glucose transporter-2 inhibitor (SGLT-2i) to placebo. Use of SGLT-2i led to a substantial reduction in HF events and hospitalizations in patients with DM, with or without history of HF. Summary: Use of SGLT-2i therapy has been shown to reduce HF in patients with DM.","author":[{"dropping-particle":"","family":"Bassi","given":"Nikhil","non-dropping-particle":"","parse-names":false,"suffix":""},{"dropping-particle":"","family":"Fonarow","given":"Gregg C","non-dropping-particle":"","parse-names":false,"suffix":""}],"container-title":"Current Cardiology Reports","id":"ITEM-1","issue":"11","issued":{"date-parts":[["2018"]]},"page":"1-7","publisher":"Current Cardiology Reports","title":"Prevention of Heart Failure in Patients with Diabetes: Role of Diabetes Medications","type":"article-journal","volume":"20"},"uris":["http://www.mendeley.com/documents/?uuid=dac8a4d5-6a88-408f-bec2-d1854d33934f"]}],"mendeley":{"formattedCitation":"(128)","plainTextFormattedCitation":"(128)","previouslyFormattedCitation":"(128)"},"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(128)</w:t>
      </w:r>
      <w:r w:rsidR="000F3AD7" w:rsidRPr="004661E9">
        <w:rPr>
          <w:rFonts w:ascii="Arial" w:hAnsi="Arial" w:cs="Arial"/>
        </w:rPr>
        <w:fldChar w:fldCharType="end"/>
      </w:r>
      <w:r w:rsidR="00FC7CE7" w:rsidRPr="004661E9">
        <w:rPr>
          <w:rFonts w:ascii="Arial" w:hAnsi="Arial" w:cs="Arial"/>
        </w:rPr>
        <w:t>.</w:t>
      </w:r>
      <w:r w:rsidR="00693714" w:rsidRPr="004661E9">
        <w:rPr>
          <w:rFonts w:ascii="Arial" w:hAnsi="Arial" w:cs="Arial"/>
        </w:rPr>
        <w:t xml:space="preserve"> </w:t>
      </w:r>
    </w:p>
    <w:p w14:paraId="56A1BF47" w14:textId="1633F637" w:rsidR="00E156CB" w:rsidRPr="004661E9" w:rsidRDefault="00E156CB" w:rsidP="004661E9">
      <w:pPr>
        <w:spacing w:after="0" w:line="276" w:lineRule="auto"/>
        <w:rPr>
          <w:rFonts w:ascii="Arial" w:hAnsi="Arial" w:cs="Arial"/>
        </w:rPr>
      </w:pPr>
    </w:p>
    <w:p w14:paraId="62795347" w14:textId="13B2ABCE" w:rsidR="00E156CB" w:rsidRPr="004661E9" w:rsidRDefault="00E156CB" w:rsidP="004661E9">
      <w:pPr>
        <w:spacing w:after="0" w:line="276" w:lineRule="auto"/>
        <w:rPr>
          <w:rFonts w:ascii="Arial" w:hAnsi="Arial" w:cs="Arial"/>
          <w:b/>
          <w:bCs/>
          <w:color w:val="00B050"/>
        </w:rPr>
      </w:pPr>
      <w:r w:rsidRPr="004661E9">
        <w:rPr>
          <w:rFonts w:ascii="Arial" w:hAnsi="Arial" w:cs="Arial"/>
          <w:b/>
          <w:bCs/>
          <w:color w:val="00B050"/>
        </w:rPr>
        <w:t>Prevention of HF by Preventing Diabetes</w:t>
      </w:r>
    </w:p>
    <w:p w14:paraId="02DF3666" w14:textId="77777777" w:rsidR="003C01B8" w:rsidRPr="004661E9" w:rsidRDefault="003C01B8" w:rsidP="004661E9">
      <w:pPr>
        <w:spacing w:after="0" w:line="276" w:lineRule="auto"/>
        <w:rPr>
          <w:rFonts w:ascii="Arial" w:hAnsi="Arial" w:cs="Arial"/>
        </w:rPr>
      </w:pPr>
    </w:p>
    <w:p w14:paraId="13C10A4F" w14:textId="631839F2" w:rsidR="00A57018" w:rsidRPr="004661E9" w:rsidRDefault="00E156CB" w:rsidP="004661E9">
      <w:pPr>
        <w:spacing w:after="0" w:line="276" w:lineRule="auto"/>
        <w:rPr>
          <w:rFonts w:ascii="Arial" w:hAnsi="Arial" w:cs="Arial"/>
        </w:rPr>
      </w:pPr>
      <w:r w:rsidRPr="004661E9">
        <w:rPr>
          <w:rFonts w:ascii="Arial" w:hAnsi="Arial" w:cs="Arial"/>
        </w:rPr>
        <w:t>P</w:t>
      </w:r>
      <w:r w:rsidR="009D7C14" w:rsidRPr="004661E9">
        <w:rPr>
          <w:rFonts w:ascii="Arial" w:hAnsi="Arial" w:cs="Arial"/>
        </w:rPr>
        <w:t>reventi</w:t>
      </w:r>
      <w:r w:rsidR="00FF3C12" w:rsidRPr="004661E9">
        <w:rPr>
          <w:rFonts w:ascii="Arial" w:hAnsi="Arial" w:cs="Arial"/>
        </w:rPr>
        <w:t>ng the</w:t>
      </w:r>
      <w:r w:rsidR="00344A77" w:rsidRPr="004661E9">
        <w:rPr>
          <w:rFonts w:ascii="Arial" w:hAnsi="Arial" w:cs="Arial"/>
        </w:rPr>
        <w:t xml:space="preserve"> </w:t>
      </w:r>
      <w:r w:rsidR="009D7C14" w:rsidRPr="004661E9">
        <w:rPr>
          <w:rFonts w:ascii="Arial" w:hAnsi="Arial" w:cs="Arial"/>
        </w:rPr>
        <w:t xml:space="preserve">onset of diabetes during young adulthood or middle age </w:t>
      </w:r>
      <w:r w:rsidR="00FF3C12" w:rsidRPr="004661E9">
        <w:rPr>
          <w:rFonts w:ascii="Arial" w:hAnsi="Arial" w:cs="Arial"/>
        </w:rPr>
        <w:t>is an effective strategy for reducing</w:t>
      </w:r>
      <w:r w:rsidR="009D7C14" w:rsidRPr="004661E9">
        <w:rPr>
          <w:rFonts w:ascii="Arial" w:hAnsi="Arial" w:cs="Arial"/>
        </w:rPr>
        <w:t xml:space="preserve"> HF </w:t>
      </w:r>
      <w:r w:rsidR="00FF3C12" w:rsidRPr="004661E9">
        <w:rPr>
          <w:rFonts w:ascii="Arial" w:hAnsi="Arial" w:cs="Arial"/>
        </w:rPr>
        <w:t xml:space="preserve">risk </w:t>
      </w:r>
      <w:r w:rsidR="009D7C14" w:rsidRPr="004661E9">
        <w:rPr>
          <w:rFonts w:ascii="Arial" w:hAnsi="Arial" w:cs="Arial"/>
        </w:rPr>
        <w:t xml:space="preserve">later in life. </w:t>
      </w:r>
      <w:r w:rsidR="00A57018" w:rsidRPr="004661E9">
        <w:rPr>
          <w:rFonts w:ascii="Arial" w:hAnsi="Arial" w:cs="Arial"/>
        </w:rPr>
        <w:t>An analysis o</w:t>
      </w:r>
      <w:r w:rsidR="00344A77" w:rsidRPr="004661E9">
        <w:rPr>
          <w:rFonts w:ascii="Arial" w:hAnsi="Arial" w:cs="Arial"/>
        </w:rPr>
        <w:t>f</w:t>
      </w:r>
      <w:r w:rsidR="00A57018" w:rsidRPr="004661E9">
        <w:rPr>
          <w:rFonts w:ascii="Arial" w:hAnsi="Arial" w:cs="Arial"/>
        </w:rPr>
        <w:t xml:space="preserve"> a large pooled </w:t>
      </w:r>
      <w:r w:rsidR="00167B33" w:rsidRPr="004661E9">
        <w:rPr>
          <w:rFonts w:ascii="Arial" w:hAnsi="Arial" w:cs="Arial"/>
        </w:rPr>
        <w:t xml:space="preserve">US </w:t>
      </w:r>
      <w:r w:rsidR="00A57018" w:rsidRPr="004661E9">
        <w:rPr>
          <w:rFonts w:ascii="Arial" w:hAnsi="Arial" w:cs="Arial"/>
        </w:rPr>
        <w:t>cohort evaluated the cumulative and relative impact of the absence of five modifiable HF risk factors (diabetes, hypertension, obesity, dyslipidemia, smoking) in middle age (45 to 55 years of age)</w:t>
      </w:r>
      <w:r w:rsidR="00FC7CE7" w:rsidRPr="004661E9">
        <w:rPr>
          <w:rFonts w:ascii="Arial" w:hAnsi="Arial" w:cs="Arial"/>
        </w:rPr>
        <w:t xml:space="preserve"> </w:t>
      </w:r>
      <w:r w:rsidR="000F3AD7" w:rsidRPr="004661E9">
        <w:rPr>
          <w:rFonts w:ascii="Arial" w:hAnsi="Arial" w:cs="Arial"/>
        </w:rPr>
        <w:fldChar w:fldCharType="begin" w:fldLock="1"/>
      </w:r>
      <w:r w:rsidRPr="004661E9">
        <w:rPr>
          <w:rFonts w:ascii="Arial" w:hAnsi="Arial" w:cs="Arial"/>
        </w:rPr>
        <w:instrText>ADDIN CSL_CITATION {"citationItems":[{"id":"ITEM-1","itemData":{"DOI":"10.1016/j.jchf.2016.08.001","ISSN":"22131779","abstract":"Objectives This study was designed to quantify the relationship between the absence of heart failure risk factors in middle age and incident heart failure, heart failure-free survival, and overall survival. Background Quantification of years lived free from heart failure in the context of risk factor burden in mid-life may improve risk communication and prevention efforts. Methods We conducted a pooled, individual-level analysis sampling from communities across the United States as part of 4 cohort studies: the Framingham Heart, Framingham Offspring, Chicago Heart Association Detection Project in Industry, and ARIC (Atherosclerosis Risk In Communities) studies. Participants with and without hypertension (blood pressure ≥140/90 mm Hg or treatment), obesity (body mass index ≥30 kg/m2), or diabetes (fasting glucose ≥126 mg/dl or treatment), and combinations of these factors, at index ages of 45 years and 55 years through 95 years. Competing risk-adjusted Cox models, a modified Kaplan-Meier estimator, and Irwin's restricted mean were used to estimate the association between the absence of risk factors at mid-life and incident heart failure, heart failure-free survival, and overall survival. Results For participants at age 45 years, over 516,537 person-years of follow-up, 1,677 incident heart failure events occurred. Men and women with no risk factors, compared to those with all 3, had 73% to 85% lower risks of incident heart failure. Men and women without hypertension, obesity, or diabetes at age 45 years lived on average 34.7 years and 38.0 years without incident heart failure, and they lived on average an additional 3 years to 15 years longer free of heart failure than those with 1, 2, or 3 risk factors. Similar trends were seen when stratified by race and at index age 55 years. Conclusions Prevention of hypertension, obesity, and diabetes by ages 45 years and 55 years may substantially prolong heart failure-free survival, decrease heart failure-related morbidity, and reduce the public health impact of heart failure.","author":[{"dropping-particle":"","family":"Ahmad","given":"Faraz S.","non-dropping-particle":"","parse-names":false,"suffix":""},{"dropping-particle":"","family":"Ning","given":"Hongyan","non-dropping-particle":"","parse-names":false,"suffix":""},{"dropping-particle":"","family":"Rich","given":"Jonathan D.","non-dropping-particle":"","parse-names":false,"suffix":""},{"dropping-particle":"","family":"Yancy","given":"Clyde W.","non-dropping-particle":"","parse-names":false,"suffix":""},{"dropping-particle":"","family":"Lloyd-Jones","given":"Donald M.","non-dropping-particle":"","parse-names":false,"suffix":""},{"dropping-particle":"","family":"Wilkins","given":"John T.","non-dropping-particle":"","parse-names":false,"suffix":""}],"container-title":"JACC: Heart Failure","id":"ITEM-1","issue":"12","issued":{"date-parts":[["2016","12","1"]]},"page":"911-919","publisher":"Elsevier Inc.","title":"Hypertension, Obesity, Diabetes, and Heart Failure–Free Survival: The Cardiovascular Disease Lifetime Risk Pooling Project","type":"article-journal","volume":"4"},"uris":["http://www.mendeley.com/documents/?uuid=4bc57889-6775-3cb6-b237-841bf98442f9"]}],"mendeley":{"formattedCitation":"(129)","plainTextFormattedCitation":"(129)","previouslyFormattedCitation":"(129)"},"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(129)</w:t>
      </w:r>
      <w:r w:rsidR="000F3AD7" w:rsidRPr="004661E9">
        <w:rPr>
          <w:rFonts w:ascii="Arial" w:hAnsi="Arial" w:cs="Arial"/>
        </w:rPr>
        <w:fldChar w:fldCharType="end"/>
      </w:r>
      <w:r w:rsidR="00FC7CE7" w:rsidRPr="004661E9">
        <w:rPr>
          <w:rFonts w:ascii="Arial" w:hAnsi="Arial" w:cs="Arial"/>
        </w:rPr>
        <w:t>.</w:t>
      </w:r>
      <w:r w:rsidR="00A57018" w:rsidRPr="004661E9">
        <w:rPr>
          <w:rFonts w:ascii="Arial" w:hAnsi="Arial" w:cs="Arial"/>
        </w:rPr>
        <w:t xml:space="preserve"> The data showed that the absence of diabetes in middle age </w:t>
      </w:r>
      <w:r w:rsidR="00543EDD" w:rsidRPr="004661E9">
        <w:rPr>
          <w:rFonts w:ascii="Arial" w:hAnsi="Arial" w:cs="Arial"/>
        </w:rPr>
        <w:t>strongly predicted</w:t>
      </w:r>
      <w:r w:rsidR="00A57018" w:rsidRPr="004661E9">
        <w:rPr>
          <w:rFonts w:ascii="Arial" w:hAnsi="Arial" w:cs="Arial"/>
        </w:rPr>
        <w:t xml:space="preserve"> HF</w:t>
      </w:r>
      <w:r w:rsidR="00543EDD" w:rsidRPr="004661E9">
        <w:rPr>
          <w:rFonts w:ascii="Arial" w:hAnsi="Arial" w:cs="Arial"/>
        </w:rPr>
        <w:t>-</w:t>
      </w:r>
      <w:r w:rsidR="00A57018" w:rsidRPr="004661E9">
        <w:rPr>
          <w:rFonts w:ascii="Arial" w:hAnsi="Arial" w:cs="Arial"/>
        </w:rPr>
        <w:t>free survival</w:t>
      </w:r>
      <w:r w:rsidR="00543EDD" w:rsidRPr="004661E9">
        <w:rPr>
          <w:rFonts w:ascii="Arial" w:hAnsi="Arial" w:cs="Arial"/>
        </w:rPr>
        <w:t>,</w:t>
      </w:r>
      <w:r w:rsidR="00A57018" w:rsidRPr="004661E9">
        <w:rPr>
          <w:rFonts w:ascii="Arial" w:hAnsi="Arial" w:cs="Arial"/>
        </w:rPr>
        <w:t xml:space="preserve"> with a more than 60% lower risk of incident HF </w:t>
      </w:r>
      <w:r w:rsidR="00543EDD" w:rsidRPr="004661E9">
        <w:rPr>
          <w:rFonts w:ascii="Arial" w:hAnsi="Arial" w:cs="Arial"/>
        </w:rPr>
        <w:t>than</w:t>
      </w:r>
      <w:r w:rsidR="00A57018" w:rsidRPr="004661E9">
        <w:rPr>
          <w:rFonts w:ascii="Arial" w:hAnsi="Arial" w:cs="Arial"/>
        </w:rPr>
        <w:t xml:space="preserve"> those with diabetes. </w:t>
      </w:r>
      <w:r w:rsidR="0093277B" w:rsidRPr="004661E9">
        <w:rPr>
          <w:rFonts w:ascii="Arial" w:hAnsi="Arial" w:cs="Arial"/>
        </w:rPr>
        <w:t>In addition</w:t>
      </w:r>
      <w:r w:rsidR="00A57018" w:rsidRPr="004661E9">
        <w:rPr>
          <w:rFonts w:ascii="Arial" w:hAnsi="Arial" w:cs="Arial"/>
        </w:rPr>
        <w:t>, subjects without diabetes, hypertension, and obesity at ages 45 to 55 years, compared to those with all 3 of these risk factors, had an average &gt;10 years longer HF-free survival and 13 years longer overall survival</w:t>
      </w:r>
      <w:r w:rsidR="00FC7CE7" w:rsidRPr="004661E9">
        <w:rPr>
          <w:rFonts w:ascii="Arial" w:hAnsi="Arial" w:cs="Arial"/>
        </w:rPr>
        <w:t xml:space="preserve"> </w:t>
      </w:r>
      <w:r w:rsidR="000F3AD7" w:rsidRPr="004661E9">
        <w:rPr>
          <w:rFonts w:ascii="Arial" w:hAnsi="Arial" w:cs="Arial"/>
        </w:rPr>
        <w:fldChar w:fldCharType="begin" w:fldLock="1"/>
      </w:r>
      <w:r w:rsidRPr="004661E9">
        <w:rPr>
          <w:rFonts w:ascii="Arial" w:hAnsi="Arial" w:cs="Arial"/>
        </w:rPr>
        <w:instrText>ADDIN CSL_CITATION {"citationItems":[{"id":"ITEM-1","itemData":{"DOI":"10.1016/j.jchf.2016.08.001","ISSN":"22131779","abstract":"Objectives This study was designed to quantify the relationship between the absence of heart failure risk factors in middle age and incident heart failure, heart failure-free survival, and overall survival. Background Quantification of years lived free from heart failure in the context of risk factor burden in mid-life may improve risk communication and prevention efforts. Methods We conducted a pooled, individual-level analysis sampling from communities across the United States as part of 4 cohort studies: the Framingham Heart, Framingham Offspring, Chicago Heart Association Detection Project in Industry, and ARIC (Atherosclerosis Risk In Communities) studies. Participants with and without hypertension (blood pressure ≥140/90 mm Hg or treatment), obesity (body mass index ≥30 kg/m2), or diabetes (fasting glucose ≥126 mg/dl or treatment), and combinations of these factors, at index ages of 45 years and 55 years through 95 years. Competing risk-adjusted Cox models, a modified Kaplan-Meier estimator, and Irwin's restricted mean were used to estimate the association between the absence of risk factors at mid-life and incident heart failure, heart failure-free survival, and overall survival. Results For participants at age 45 years, over 516,537 person-years of follow-up, 1,677 incident heart failure events occurred. Men and women with no risk factors, compared to those with all 3, had 73% to 85% lower risks of incident heart failure. Men and women without hypertension, obesity, or diabetes at age 45 years lived on average 34.7 years and 38.0 years without incident heart failure, and they lived on average an additional 3 years to 15 years longer free of heart failure than those with 1, 2, or 3 risk factors. Similar trends were seen when stratified by race and at index age 55 years. Conclusions Prevention of hypertension, obesity, and diabetes by ages 45 years and 55 years may substantially prolong heart failure-free survival, decrease heart failure-related morbidity, and reduce the public health impact of heart failure.","author":[{"dropping-particle":"","family":"Ahmad","given":"Faraz S.","non-dropping-particle":"","parse-names":false,"suffix":""},{"dropping-particle":"","family":"Ning","given":"Hongyan","non-dropping-particle":"","parse-names":false,"suffix":""},{"dropping-particle":"","family":"Rich","given":"Jonathan D.","non-dropping-particle":"","parse-names":false,"suffix":""},{"dropping-particle":"","family":"Yancy","given":"Clyde W.","non-dropping-particle":"","parse-names":false,"suffix":""},{"dropping-particle":"","family":"Lloyd-Jones","given":"Donald M.","non-dropping-particle":"","parse-names":false,"suffix":""},{"dropping-particle":"","family":"Wilkins","given":"John T.","non-dropping-particle":"","parse-names":false,"suffix":""}],"container-title":"JACC: Heart Failure","id":"ITEM-1","issue":"12","issued":{"date-parts":[["2016","12","1"]]},"page":"911-919","publisher":"Elsevier Inc.","title":"Hypertension, Obesity, Diabetes, and Heart Failure–Free Survival: The Cardiovascular Disease Lifetime Risk Pooling Project","type":"article-journal","volume":"4"},"uris":["http://www.mendeley.com/documents/?uuid=4bc57889-6775-3cb6-b237-841bf98442f9"]}],"mendeley":{"formattedCitation":"(129)","plainTextFormattedCitation":"(129)","previouslyFormattedCitation":"(129)"},"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(129)</w:t>
      </w:r>
      <w:r w:rsidR="000F3AD7" w:rsidRPr="004661E9">
        <w:rPr>
          <w:rFonts w:ascii="Arial" w:hAnsi="Arial" w:cs="Arial"/>
        </w:rPr>
        <w:fldChar w:fldCharType="end"/>
      </w:r>
      <w:r w:rsidR="00FC7CE7" w:rsidRPr="004661E9">
        <w:rPr>
          <w:rFonts w:ascii="Arial" w:hAnsi="Arial" w:cs="Arial"/>
        </w:rPr>
        <w:t>.</w:t>
      </w:r>
    </w:p>
    <w:p w14:paraId="7E62D307" w14:textId="3046B399" w:rsidR="003C01B8" w:rsidRPr="004661E9" w:rsidRDefault="003C01B8" w:rsidP="004661E9">
      <w:pPr>
        <w:spacing w:after="0" w:line="276" w:lineRule="auto"/>
        <w:rPr>
          <w:rFonts w:ascii="Arial" w:hAnsi="Arial" w:cs="Arial"/>
        </w:rPr>
      </w:pPr>
    </w:p>
    <w:p w14:paraId="6A02BCED" w14:textId="77777777" w:rsidR="003C01B8" w:rsidRPr="004661E9" w:rsidRDefault="003C01B8" w:rsidP="004661E9">
      <w:pPr>
        <w:spacing w:after="0" w:line="276" w:lineRule="auto"/>
        <w:rPr>
          <w:rFonts w:ascii="Arial" w:hAnsi="Arial" w:cs="Arial"/>
          <w:b/>
          <w:bCs/>
          <w:color w:val="00B050"/>
        </w:rPr>
      </w:pPr>
      <w:r w:rsidRPr="004661E9">
        <w:rPr>
          <w:rFonts w:ascii="Arial" w:hAnsi="Arial" w:cs="Arial"/>
          <w:b/>
          <w:bCs/>
          <w:color w:val="00B050"/>
        </w:rPr>
        <w:t>Prediction of HF Risk in Patients with DM</w:t>
      </w:r>
    </w:p>
    <w:p w14:paraId="0616BFD2" w14:textId="77777777" w:rsidR="003C01B8" w:rsidRPr="004661E9" w:rsidRDefault="003C01B8" w:rsidP="004661E9">
      <w:pPr>
        <w:spacing w:after="0" w:line="276" w:lineRule="auto"/>
        <w:rPr>
          <w:rFonts w:ascii="Arial" w:hAnsi="Arial" w:cs="Arial"/>
        </w:rPr>
      </w:pPr>
    </w:p>
    <w:p w14:paraId="664A2510" w14:textId="34F88827" w:rsidR="00E156CB" w:rsidRPr="004661E9" w:rsidRDefault="003C01B8" w:rsidP="004661E9">
      <w:pPr>
        <w:spacing w:after="0" w:line="276" w:lineRule="auto"/>
        <w:rPr>
          <w:rFonts w:ascii="Arial" w:hAnsi="Arial" w:cs="Arial"/>
        </w:rPr>
      </w:pPr>
      <w:r w:rsidRPr="004661E9">
        <w:rPr>
          <w:rFonts w:ascii="Arial" w:hAnsi="Arial" w:cs="Arial"/>
        </w:rPr>
        <w:t>HF risk stratification is essential for</w:t>
      </w:r>
      <w:r w:rsidR="00FF3C12" w:rsidRPr="004661E9">
        <w:rPr>
          <w:rFonts w:ascii="Arial" w:hAnsi="Arial" w:cs="Arial"/>
        </w:rPr>
        <w:t xml:space="preserve"> </w:t>
      </w:r>
      <w:r w:rsidRPr="004661E9">
        <w:rPr>
          <w:rFonts w:ascii="Arial" w:hAnsi="Arial" w:cs="Arial"/>
        </w:rPr>
        <w:t xml:space="preserve">prevention in patients with DM or prediabetes who do not have ASCVD. </w:t>
      </w:r>
      <w:r w:rsidR="00E156CB" w:rsidRPr="004661E9">
        <w:rPr>
          <w:rFonts w:ascii="Arial" w:hAnsi="Arial" w:cs="Arial"/>
        </w:rPr>
        <w:t xml:space="preserve">Even though echocardiography can detect cardiac remodeling in patients with diabetes, its use is not </w:t>
      </w:r>
      <w:r w:rsidR="001C412B" w:rsidRPr="004661E9">
        <w:rPr>
          <w:rFonts w:ascii="Arial" w:hAnsi="Arial" w:cs="Arial"/>
        </w:rPr>
        <w:t>routinely</w:t>
      </w:r>
      <w:r w:rsidR="00E156CB" w:rsidRPr="004661E9">
        <w:rPr>
          <w:rFonts w:ascii="Arial" w:hAnsi="Arial" w:cs="Arial"/>
        </w:rPr>
        <w:t xml:space="preserve"> recommended for asymptomatic individuals because of concerns about cost-effectiveness </w:t>
      </w:r>
      <w:r w:rsidR="00E156CB" w:rsidRPr="004661E9">
        <w:rPr>
          <w:rFonts w:ascii="Arial" w:hAnsi="Arial" w:cs="Arial"/>
        </w:rPr>
        <w:fldChar w:fldCharType="begin" w:fldLock="1"/>
      </w:r>
      <w:r w:rsidR="00E156CB" w:rsidRPr="004661E9">
        <w:rPr>
          <w:rFonts w:ascii="Arial" w:hAnsi="Arial" w:cs="Arial"/>
        </w:rPr>
        <w:instrText>ADDIN CSL_CITATION {"citationItems":[{"id":"ITEM-1","itemData":{"DOI":"10.2337/dci22-0014","ISSN":"19355548","PMID":"35796765","abstract":"Heart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Association.","author":[{"dropping-particle":"","family":"Pop-Busui","given":"Rodica","non-dropping-particle":"","parse-names":false,"suffix":""},{"dropping-particle":"","family":"Januzzi","given":"James L.","non-dropping-particle":"","parse-names":false,"suffix":""},{"dropping-particle":"","family":"Bruemmer","given":"Dennis","non-dropping-particle":"","parse-names":false,"suffix":""},{"dropping-particle":"","family":"Butalia","given":"Sonia","non-dropping-particle":"","parse-names":false,"suffix":""},{"dropping-particle":"","family":"Green","given":"Jennifer B.","non-dropping-particle":"","parse-names":false,"suffix":""},{"dropping-particle":"","family":"Horton","given":"William B.","non-dropping-particle":"","parse-names":false,"suffix":""},{"dropping-particle":"","family":"Knight","given":"Colette","non-dropping-particle":"","parse-names":false,"suffix":""},{"dropping-particle":"","family":"Levi","given":"Moshe","non-dropping-particle":"","parse-names":false,"suffix":""},{"dropping-particle":"","family":"Rasouli","given":"Neda","non-dropping-particle":"","parse-names":false,"suffix":""},{"dropping-particle":"","family":"Richardson","given":"Caroline R.","non-dropping-particle":"","parse-names":false,"suffix":""}],"container-title":"Diabetes Care","id":"ITEM-1","issue":"7","issued":{"date-parts":[["2022"]]},"page":"1670-1690","title":"Heart Failure: An Underappreciated Complication of Diabetes. A Consensus Report of the American Diabetes Association","type":"article-journal","volume":"45"},"uris":["http://www.mendeley.com/documents/?uuid=9cfe0b5b-12ab-49ad-9df0-35aeca50b558"]}],"mendeley":{"formattedCitation":"(4)","plainTextFormattedCitation":"(4)","previouslyFormattedCitation":"(4)"},"properties":{"noteIndex":0},"schema":"https://github.com/citation-style-language/schema/raw/master/csl-citation.json"}</w:instrText>
      </w:r>
      <w:r w:rsidR="00E156CB" w:rsidRPr="004661E9">
        <w:rPr>
          <w:rFonts w:ascii="Arial" w:hAnsi="Arial" w:cs="Arial"/>
        </w:rPr>
        <w:fldChar w:fldCharType="separate"/>
      </w:r>
      <w:r w:rsidR="00E156CB" w:rsidRPr="004661E9">
        <w:rPr>
          <w:rFonts w:ascii="Arial" w:hAnsi="Arial" w:cs="Arial"/>
          <w:noProof/>
        </w:rPr>
        <w:t>(4)</w:t>
      </w:r>
      <w:r w:rsidR="00E156CB" w:rsidRPr="004661E9">
        <w:rPr>
          <w:rFonts w:ascii="Arial" w:hAnsi="Arial" w:cs="Arial"/>
        </w:rPr>
        <w:fldChar w:fldCharType="end"/>
      </w:r>
      <w:r w:rsidR="00E156CB" w:rsidRPr="004661E9">
        <w:rPr>
          <w:rFonts w:ascii="Arial" w:hAnsi="Arial" w:cs="Arial"/>
        </w:rPr>
        <w:t xml:space="preserve">. However, measuring natriuretic peptides or high-sensitivity cardiac troponin can help identify patients with pre-HF or those at risk of progression to HF. Therefore, patients with diabetes should have a measurement of natriuretic peptides or high-sensitivity cardiac troponin yearly to identify high-risk individuals and assist with HF prevention </w:t>
      </w:r>
      <w:r w:rsidR="00E156CB" w:rsidRPr="004661E9">
        <w:rPr>
          <w:rFonts w:ascii="Arial" w:hAnsi="Arial" w:cs="Arial"/>
        </w:rPr>
        <w:fldChar w:fldCharType="begin" w:fldLock="1"/>
      </w:r>
      <w:r w:rsidR="00E156CB" w:rsidRPr="004661E9">
        <w:rPr>
          <w:rFonts w:ascii="Arial" w:hAnsi="Arial" w:cs="Arial"/>
        </w:rPr>
        <w:instrText>ADDIN CSL_CITATION {"citationItems":[{"id":"ITEM-1","itemData":{"DOI":"10.2337/dci22-0014","ISSN":"19355548","PMID":"35796765","abstract":"Heart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Association.","author":[{"dropping-particle":"","family":"Pop-Busui","given":"Rodica","non-dropping-particle":"","parse-names":false,"suffix":""},{"dropping-particle":"","family":"Januzzi","given":"James L.","non-dropping-particle":"","parse-names":false,"suffix":""},{"dropping-particle":"","family":"Bruemmer","given":"Dennis","non-dropping-particle":"","parse-names":false,"suffix":""},{"dropping-particle":"","family":"Butalia","given":"Sonia","non-dropping-particle":"","parse-names":false,"suffix":""},{"dropping-particle":"","family":"Green","given":"Jennifer B.","non-dropping-particle":"","parse-names":false,"suffix":""},{"dropping-particle":"","family":"Horton","given":"William B.","non-dropping-particle":"","parse-names":false,"suffix":""},{"dropping-particle":"","family":"Knight","given":"Colette","non-dropping-particle":"","parse-names":false,"suffix":""},{"dropping-particle":"","family":"Levi","given":"Moshe","non-dropping-particle":"","parse-names":false,"suffix":""},{"dropping-particle":"","family":"Rasouli","given":"Neda","non-dropping-particle":"","parse-names":false,"suffix":""},{"dropping-particle":"","family":"Richardson","given":"Caroline R.","non-dropping-particle":"","parse-names":false,"suffix":""}],"container-title":"Diabetes Care","id":"ITEM-1","issue":"7","issued":{"date-parts":[["2022"]]},"page":"1670-1690","title":"Heart Failure: An Underappreciated Complication of Diabetes. A Consensus Report of the American Diabetes Association","type":"article-journal","volume":"45"},"uris":["http://www.mendeley.com/documents/?uuid=9cfe0b5b-12ab-49ad-9df0-35aeca50b558"]}],"mendeley":{"formattedCitation":"(4)","plainTextFormattedCitation":"(4)","previouslyFormattedCitation":"(4)"},"properties":{"noteIndex":0},"schema":"https://github.com/citation-style-language/schema/raw/master/csl-citation.json"}</w:instrText>
      </w:r>
      <w:r w:rsidR="00E156CB" w:rsidRPr="004661E9">
        <w:rPr>
          <w:rFonts w:ascii="Arial" w:hAnsi="Arial" w:cs="Arial"/>
        </w:rPr>
        <w:fldChar w:fldCharType="separate"/>
      </w:r>
      <w:r w:rsidR="00E156CB" w:rsidRPr="004661E9">
        <w:rPr>
          <w:rFonts w:ascii="Arial" w:hAnsi="Arial" w:cs="Arial"/>
          <w:noProof/>
        </w:rPr>
        <w:t>(4)</w:t>
      </w:r>
      <w:r w:rsidR="00E156CB" w:rsidRPr="004661E9">
        <w:rPr>
          <w:rFonts w:ascii="Arial" w:hAnsi="Arial" w:cs="Arial"/>
        </w:rPr>
        <w:fldChar w:fldCharType="end"/>
      </w:r>
      <w:r w:rsidR="00E156CB" w:rsidRPr="004661E9">
        <w:rPr>
          <w:rFonts w:ascii="Arial" w:hAnsi="Arial" w:cs="Arial"/>
        </w:rPr>
        <w:t>.</w:t>
      </w:r>
    </w:p>
    <w:p w14:paraId="6051B1A2" w14:textId="77777777" w:rsidR="00E156CB" w:rsidRPr="004661E9" w:rsidRDefault="00E156CB" w:rsidP="004661E9">
      <w:pPr>
        <w:spacing w:after="0" w:line="276" w:lineRule="auto"/>
        <w:rPr>
          <w:rFonts w:ascii="Arial" w:hAnsi="Arial" w:cs="Arial"/>
        </w:rPr>
      </w:pPr>
    </w:p>
    <w:p w14:paraId="2364B865" w14:textId="7DEC05DE" w:rsidR="003C01B8" w:rsidRPr="004661E9" w:rsidRDefault="003C01B8" w:rsidP="004661E9">
      <w:pPr>
        <w:spacing w:after="0" w:line="276" w:lineRule="auto"/>
        <w:rPr>
          <w:rFonts w:ascii="Arial" w:hAnsi="Arial" w:cs="Arial"/>
        </w:rPr>
      </w:pPr>
      <w:r w:rsidRPr="004661E9">
        <w:rPr>
          <w:rFonts w:ascii="Arial" w:hAnsi="Arial" w:cs="Arial"/>
        </w:rPr>
        <w:t xml:space="preserve">Several risk prediction tools and algorithms have been developed to predict incident HF in patients with dysglycemia. Pandey et al. described a simple biomarker-based risk score </w:t>
      </w:r>
      <w:r w:rsidRPr="004661E9">
        <w:rPr>
          <w:rFonts w:ascii="Arial" w:hAnsi="Arial" w:cs="Arial"/>
        </w:rPr>
        <w:lastRenderedPageBreak/>
        <w:t>including high-sensitivity cardiac troponin T ≥6 ng/l, high-sensitivity C-reactive protein ≥3 mg/l, N-terminal pro-B-type natriuretic peptide</w:t>
      </w:r>
      <w:r w:rsidR="00FF3C12" w:rsidRPr="004661E9">
        <w:rPr>
          <w:rFonts w:ascii="Arial" w:hAnsi="Arial" w:cs="Arial"/>
        </w:rPr>
        <w:t xml:space="preserve"> (NT-proBNP)</w:t>
      </w:r>
      <w:r w:rsidRPr="004661E9">
        <w:rPr>
          <w:rFonts w:ascii="Arial" w:hAnsi="Arial" w:cs="Arial"/>
        </w:rPr>
        <w:t xml:space="preserve"> ≥125 pg/ml, and LVH by ECG, with each abnormal parameter counting as 1 point. This risk score was tested in participants from 3 major US cohort studies. </w:t>
      </w:r>
      <w:r w:rsidR="00D2537D" w:rsidRPr="004661E9">
        <w:rPr>
          <w:rFonts w:ascii="Arial" w:hAnsi="Arial" w:cs="Arial"/>
        </w:rPr>
        <w:t>T</w:t>
      </w:r>
      <w:r w:rsidRPr="004661E9">
        <w:rPr>
          <w:rFonts w:ascii="Arial" w:hAnsi="Arial" w:cs="Arial"/>
        </w:rPr>
        <w:t xml:space="preserve">his risk score had good risk stratification for predicting 5-year incident HF risk in patients with both </w:t>
      </w:r>
      <w:r w:rsidR="00FF3C12" w:rsidRPr="004661E9">
        <w:rPr>
          <w:rFonts w:ascii="Arial" w:hAnsi="Arial" w:cs="Arial"/>
        </w:rPr>
        <w:t>diabetes</w:t>
      </w:r>
      <w:r w:rsidRPr="004661E9">
        <w:rPr>
          <w:rFonts w:ascii="Arial" w:hAnsi="Arial" w:cs="Arial"/>
        </w:rPr>
        <w:t xml:space="preserve"> and prediabetes </w:t>
      </w:r>
      <w:r w:rsidRPr="004661E9">
        <w:rPr>
          <w:rFonts w:ascii="Arial" w:hAnsi="Arial" w:cs="Arial"/>
        </w:rPr>
        <w:fldChar w:fldCharType="begin" w:fldLock="1"/>
      </w:r>
      <w:r w:rsidR="00E156CB" w:rsidRPr="004661E9">
        <w:rPr>
          <w:rFonts w:ascii="Arial" w:hAnsi="Arial" w:cs="Arial"/>
        </w:rPr>
        <w:instrText>ADDIN CSL_CITATION {"citationItems":[{"id":"ITEM-1","itemData":{"DOI":"10.1016/j.jchf.2020.10.013","abstract":"OBJECTIVES This study evaluated the application of a biomarker-based risk score to identify individuals with dys-glycemia who are at high risk for incident heart failure (HF) and to inform allocation of effective preventive interventions. BACKGROUND Risk stratification tools to identify patients with diabetes and pre-diabetes at highest risk for HF are","author":[{"dropping-particle":"","family":"Pandey","given":"Ambarish","non-dropping-particle":"","parse-names":false,"suffix":""},{"dropping-particle":"","family":"Vaduganathan","given":"Muthiah","non-dropping-particle":"","parse-names":false,"suffix":""},{"dropping-particle":"V","family":"Patel","given":"Kershaw","non-dropping-particle":"","parse-names":false,"suffix":""},{"dropping-particle":"","family":"Ayers","given":"Colby","non-dropping-particle":"","parse-names":false,"suffix":""},{"dropping-particle":"","family":"Ballantyne","given":"Christie M","non-dropping-particle":"","parse-names":false,"suffix":""},{"dropping-particle":"","family":"Kosiborod","given":"Mikhail N","non-dropping-particle":"","parse-names":false,"suffix":""},{"dropping-particle":"","family":"Carnethon","given":"Mercedes","non-dropping-particle":"","parse-names":false,"suffix":""},{"dropping-particle":"","family":"Defilippi","given":"Christopher","non-dropping-particle":"","parse-names":false,"suffix":""},{"dropping-particle":"","family":"Mcguire","given":"Darren K","non-dropping-particle":"","parse-names":false,"suffix":""},{"dropping-particle":"","family":"Khan","given":"Sadiya S","non-dropping-particle":"","parse-names":false,"suffix":""},{"dropping-particle":"","family":"Caughey","given":"Melissa C","non-dropping-particle":"","parse-names":false,"suffix":""},{"dropping-particle":"","family":"Lemos","given":"James A","non-dropping-particle":"De","parse-names":false,"suffix":""},{"dropping-particle":"","family":"Everett","given":"Brendan M","non-dropping-particle":"","parse-names":false,"suffix":""}],"id":"ITEM-1","issued":{"date-parts":[["2021"]]},"title":"Biomarker-Based Risk Prediction of Incident Heart Failure in Pre-Diabetes and Diabetes","type":"article-journal"},"uris":["http://www.mendeley.com/documents/?uuid=146c1f7a-6dd4-3c97-b5b8-2cb0597cfb36"]}],"mendeley":{"formattedCitation":"(130)","plainTextFormattedCitation":"(130)","previouslyFormattedCitation":"(130)"},"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(130)</w:t>
      </w:r>
      <w:r w:rsidRPr="004661E9">
        <w:rPr>
          <w:rFonts w:ascii="Arial" w:hAnsi="Arial" w:cs="Arial"/>
        </w:rPr>
        <w:fldChar w:fldCharType="end"/>
      </w:r>
      <w:r w:rsidRPr="004661E9">
        <w:rPr>
          <w:rFonts w:ascii="Arial" w:hAnsi="Arial" w:cs="Arial"/>
        </w:rPr>
        <w:t>. More complex risk prediction tools (WATCH-DM and TRS-HF</w:t>
      </w:r>
      <w:r w:rsidRPr="004661E9">
        <w:rPr>
          <w:rFonts w:ascii="Arial" w:hAnsi="Arial" w:cs="Arial"/>
          <w:vertAlign w:val="subscript"/>
        </w:rPr>
        <w:t>DM</w:t>
      </w:r>
      <w:r w:rsidRPr="004661E9">
        <w:rPr>
          <w:rFonts w:ascii="Arial" w:hAnsi="Arial" w:cs="Arial"/>
        </w:rPr>
        <w:t xml:space="preserve">) incorporating a more extensive list of clinical variables have also been developed. Validation studies on participants from different clinical trials demonstrated that these risk scores could stratify HF risk among patients with T2DM </w:t>
      </w:r>
      <w:r w:rsidRPr="004661E9">
        <w:rPr>
          <w:rFonts w:ascii="Arial" w:hAnsi="Arial" w:cs="Arial"/>
        </w:rPr>
        <w:fldChar w:fldCharType="begin" w:fldLock="1"/>
      </w:r>
      <w:r w:rsidR="00E156CB" w:rsidRPr="004661E9">
        <w:rPr>
          <w:rFonts w:ascii="Arial" w:hAnsi="Arial" w:cs="Arial"/>
        </w:rPr>
        <w:instrText>ADDIN CSL_CITATION {"citationItems":[{"id":"ITEM-1","itemData":{"DOI":"10.1161/CIRCULATIONAHA.119.042685","ISSN":"15244539","PMID":"31474116","abstract":"Background: Patients with type 2 diabetes mellitus (T2DM) are at increased risk of developing heart failure. Sodium-glucose cotransporter-2 inhibitors reduce the risk of hospitalization for heart f...","author":[{"dropping-particle":"","family":"Berg","given":"David D.","non-dropping-particle":"","parse-names":false,"suffix":""},{"dropping-particle":"","family":"Wiviott","given":"Stephen D.","non-dropping-particle":"","parse-names":false,"suffix":""},{"dropping-particle":"","family":"Scirica","given":"Benjamin M.","non-dropping-particle":"","parse-names":false,"suffix":""},{"dropping-particle":"","family":"Gurmu","given":"Yared","non-dropping-particle":"","parse-names":false,"suffix":""},{"dropping-particle":"","family":"Mosenzon","given":"Ofri","non-dropping-particle":"","parse-names":false,"suffix":""},{"dropping-particle":"","family":"Murphy","given":"Sabina A.","non-dropping-particle":"","parse-names":false,"suffix":""},{"dropping-particle":"","family":"Bhatt","given":"Deepak L.","non-dropping-particle":"","parse-names":false,"suffix":""},{"dropping-particle":"","family":"Leiter","given":"Lawrence A.","non-dropping-particle":"","parse-names":false,"suffix":""},{"dropping-particle":"","family":"McGuire","given":"Darren K.","non-dropping-particle":"","parse-names":false,"suffix":""},{"dropping-particle":"","family":"Wilding","given":"John P.H.","non-dropping-particle":"","parse-names":false,"suffix":""},{"dropping-particle":"","family":"Johanson","given":"Per","non-dropping-particle":"","parse-names":false,"suffix":""},{"dropping-particle":"","family":"Johansson","given":"Peter A.","non-dropping-particle":"","parse-names":false,"suffix":""},{"dropping-particle":"","family":"Langkilde","given":"Anna Maria","non-dropping-particle":"","parse-names":false,"suffix":""},{"dropping-particle":"","family":"Raz","given":"Itamar","non-dropping-particle":"","parse-names":false,"suffix":""},{"dropping-particle":"","family":"Braunwald","given":"Eugene","non-dropping-particle":"","parse-names":false,"suffix":""},{"dropping-particle":"","family":"Sabatine","given":"Marc S.","non-dropping-particle":"","parse-names":false,"suffix":""}],"container-title":"Circulation","id":"ITEM-1","issue":"19","issued":{"date-parts":[["2019","11","5"]]},"page":"1569-1577","publisher":"Lippincott Williams &amp; Wilkins Hagerstown, MD","title":"Heart Failure Risk Stratification and Efficacy of Sodium-Glucose Cotransporter-2 Inhibitors in Patients With Type 2 Diabetes Mellitus","type":"article-journal","volume":"140"},"uris":["http://www.mendeley.com/documents/?uuid=4aaf1900-f752-3907-a02c-f3c08ce6d719"]},{"id":"ITEM-2","itemData":{"DOI":"10.1161/JAHA.121.024094","abstract":"BACKGROUND: The WATCH-DM (weight [body mass index], age, hypertension, creatinine, high-density lipoprotein cholesterol, diabetes control [fasting plasma glucose], ECG QRS duration, myocardial infarction, and coronary artery bypass grafting) and TRS-HF DM (Thrombolysis in Myocardial Infarction [TIMI] risk score for heart failure in diabetes) risk scores were developed to predict risk of heart failure (HF) among individuals with type 2 diabetes. WATCH-DM was developed to predict incident HF, whereas TRS-HF DM predicts HF hospitalization among patients with and without a prior HF history. We evaluated the model performance of both scores to predict incident HF events among patients with type 2 diabetes and no history of HF hospitalization across different cohorts and clinical settings with varying baseline risk.","author":[{"dropping-particle":"","family":"Segar","given":"Matthew W","non-dropping-particle":"","parse-names":false,"suffix":""},{"dropping-particle":"V","family":"Patel","given":"Kershaw","non-dropping-particle":"","parse-names":false,"suffix":""},{"dropping-particle":"","family":"Hellkamp","given":"Anne S","non-dropping-particle":"","parse-names":false,"suffix":""},{"dropping-particle":"","family":"Vaduganathan","given":"Muthiah","non-dropping-particle":"","parse-names":false,"suffix":""},{"dropping-particle":"","family":"Lokhnygina","given":"Yuliya","non-dropping-particle":"","parse-names":false,"suffix":""},{"dropping-particle":"","family":"Green","given":"Jennifer B","non-dropping-particle":"","parse-names":false,"suffix":""},{"dropping-particle":"","family":"Wan","given":"Siu-Hin","non-dropping-particle":"","parse-names":false,"suffix":""},{"dropping-particle":"","family":"Kolkailah","given":"Ahmed A","non-dropping-particle":"","parse-names":false,"suffix":""},{"dropping-particle":"","family":"Holman","given":"Rury R","non-dropping-particle":"","parse-names":false,"suffix":""},{"dropping-particle":"","family":"Peterson","given":"Eric D","non-dropping-particle":"","parse-names":false,"suffix":""},{"dropping-particle":"","family":"Kannan","given":"Vaishnavi","non-dropping-particle":"","parse-names":false,"suffix":""},{"dropping-particle":"","family":"Willett","given":"Duwayne L","non-dropping-particle":"","parse-names":false,"suffix":""},{"dropping-particle":"","family":"McGuire","given":"Darren K","non-dropping-particle":"","parse-names":false,"suffix":""},{"dropping-particle":"","family":"Pandey","given":"Ambarish","non-dropping-particle":"","parse-names":false,"suffix":""}],"container-title":"Journal of the American Heart Association J Am Heart Assoc","id":"ITEM-2","issued":{"date-parts":[["2022"]]},"page":"24094","title":"Validation of the WATCH-DM and TRS-HF DM Risk Scores to Predict the Risk of Incident Hospitalization for Heart Failure Among Adults With Type 2 Diabetes: A Multicohort Analysis","type":"article-journal","volume":"11"},"uris":["http://www.mendeley.com/documents/?uuid=8ab11dfe-cb20-3a9b-85a6-9bcc52eeb204"]},{"id":"ITEM-3","itemData":{"DOI":"10.2337/DC19-0587/-/DC1","ISSN":"19355548","PMID":"31519694","abstract":"OBJECTIVE To develop and validate a novel, machine learning–derived model to predict the risk of heart failure (HF) among patients with type 2 diabetes mellitus (T2DM). RESEARCH DESIGN AND METHODS Using data from 8,756 patients free at baseline of HF, with &lt;10% missing data, and enrolled in the Action to Control Cardiovascular Risk in Diabetes (ACCORD) trial, we used random survival forest (RSF) methods, a nonparametric decision tree machine learning approach, to identify predictors of incident HF. The RSF model was externally validated in a cohort of individuals with T2DM using the Antihypertensive and Lipid-Lowering Treatment to Prevent Heart Attack Trial (ALLHAT). RESULTS Over a median follow-up of 4.9 years, 319 patients (3.6%) developed incident HF. The RSF models demonstrated better discrimination than the best performing Cox-based method (C-index 0.77 [95% CI 0.75–0.80] vs. 0.73 [0.70–0.76] respectively) and had acceptable calibration (Hosmer-Lemeshow statistic x2 5 9.63, P 5 0.29) in the internal validation data set. From the identified predictors, an integer-based risk score for 5-year HF incidence was created: the WATCH-DM (Weight [BMI], Age, hyperTension, Creatinine, HDL-C, Diabetes control [fasting plasma glucose], QRS Duration, MI, and CABG) risk score. Each 1-unit increment in the risk score was associated with a 24% higher relative risk of HF within 5 years. The cumulative 5-year incidence of HF increased in a graded fashion from 1.1% in quintile 1 (WATCH-DM score £7) to 17.4% in quintile 5 (WATCH-DM score ‡14). In the external validation cohort, the RSF-based risk prediction model and the WATCH-DM risk score performed well with good discrimination (C-index 5 0.74 and 0.70, respectively), acceptable calibration (P ‡0.20 for both), and broad risk stratification (5-year HF risk range from 2.5 to 18.7% across quintiles 1–5). CONCLUSIONS We developed and validated a novel, machine learning–derived risk score that integrates readily available clinical, laboratory, and electrocardiographic variables to predict the risk of HF among outpatients with T2DM.","author":[{"dropping-particle":"","family":"Segar","given":"Matthew W.","non-dropping-particle":"","parse-names":false,"suffix":""},{"dropping-particle":"","family":"Vaduganathan","given":"Muthiah","non-dropping-particle":"","parse-names":false,"suffix":""},{"dropping-particle":"V.","family":"Patel","given":"Kershaw","non-dropping-particle":"","parse-names":false,"suffix":""},{"dropping-particle":"","family":"McGuire","given":"Darren K.","non-dropping-particle":"","parse-names":false,"suffix":""},{"dropping-particle":"","family":"Butler","given":"Javed","non-dropping-particle":"","parse-names":false,"suffix":""},{"dropping-particle":"","family":"Fonarow","given":"Gregg C.","non-dropping-particle":"","parse-names":false,"suffix":""},{"dropping-particle":"","family":"Basit","given":"Mujeeb","non-dropping-particle":"","parse-names":false,"suffix":""},{"dropping-particle":"","family":"Kannan","given":"Vaishnavi","non-dropping-particle":"","parse-names":false,"suffix":""},{"dropping-particle":"","family":"Grodin","given":"Justin L.","non-dropping-particle":"","parse-names":false,"suffix":""},{"dropping-particle":"","family":"Everett","given":"Brendan","non-dropping-particle":"","parse-names":false,"suffix":""},{"dropping-particle":"","family":"Willett","given":"Duwayne","non-dropping-particle":"","parse-names":false,"suffix":""},{"dropping-particle":"","family":"Berry","given":"Jarett","non-dropping-particle":"","parse-names":false,"suffix":""},{"dropping-particle":"","family":"Pandey","given":"Ambarish","non-dropping-particle":"","parse-names":false,"suffix":""}],"container-title":"Diabetes Care","id":"ITEM-3","issue":"12","issued":{"date-parts":[["2019","12","1"]]},"page":"2298-2306","publisher":"American Diabetes Association Inc.","title":"Machine learning to predict the risk of incident heart failure hospitalization among patients with diabetes: The WATCH-DM risk score","type":"article-journal","volume":"42"},"uris":["http://www.mendeley.com/documents/?uuid=33b1f1c4-d73d-340b-97a6-147b5ca5e496"]}],"mendeley":{"formattedCitation":"(131–133)","plainTextFormattedCitation":"(131–133)","previouslyFormattedCitation":"(131–133)"},"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(131–133)</w:t>
      </w:r>
      <w:r w:rsidRPr="004661E9">
        <w:rPr>
          <w:rFonts w:ascii="Arial" w:hAnsi="Arial" w:cs="Arial"/>
        </w:rPr>
        <w:fldChar w:fldCharType="end"/>
      </w:r>
      <w:r w:rsidRPr="004661E9">
        <w:rPr>
          <w:rFonts w:ascii="Arial" w:hAnsi="Arial" w:cs="Arial"/>
        </w:rPr>
        <w:t xml:space="preserve">. However, prospective studies have not evaluated these risk scores, and their clinical utility remains uncertain.   </w:t>
      </w:r>
    </w:p>
    <w:p w14:paraId="02AAE1FB" w14:textId="77777777" w:rsidR="00FC7CE7" w:rsidRPr="004661E9" w:rsidRDefault="00FC7CE7" w:rsidP="004661E9">
      <w:pPr>
        <w:spacing w:after="0" w:line="276" w:lineRule="auto"/>
        <w:rPr>
          <w:rFonts w:ascii="Arial" w:hAnsi="Arial" w:cs="Arial"/>
        </w:rPr>
      </w:pPr>
    </w:p>
    <w:p w14:paraId="6FB52C3F" w14:textId="449111CA" w:rsidR="00EF6B6D" w:rsidRPr="004661E9" w:rsidRDefault="00EF6B6D" w:rsidP="004661E9">
      <w:pPr>
        <w:spacing w:after="0" w:line="276" w:lineRule="auto"/>
        <w:rPr>
          <w:rFonts w:ascii="Arial" w:hAnsi="Arial" w:cs="Arial"/>
        </w:rPr>
      </w:pPr>
      <w:r w:rsidRPr="004661E9">
        <w:rPr>
          <w:rFonts w:ascii="Arial" w:hAnsi="Arial" w:cs="Arial"/>
        </w:rPr>
        <w:t xml:space="preserve">Glycemic control, obesity management, </w:t>
      </w:r>
      <w:r w:rsidR="005B339C" w:rsidRPr="004661E9">
        <w:rPr>
          <w:rFonts w:ascii="Arial" w:hAnsi="Arial" w:cs="Arial"/>
        </w:rPr>
        <w:t xml:space="preserve">and </w:t>
      </w:r>
      <w:r w:rsidR="00A5128A" w:rsidRPr="004661E9">
        <w:rPr>
          <w:rFonts w:ascii="Arial" w:hAnsi="Arial" w:cs="Arial"/>
        </w:rPr>
        <w:t>BP</w:t>
      </w:r>
      <w:r w:rsidRPr="004661E9">
        <w:rPr>
          <w:rFonts w:ascii="Arial" w:hAnsi="Arial" w:cs="Arial"/>
        </w:rPr>
        <w:t xml:space="preserve"> control</w:t>
      </w:r>
      <w:r w:rsidR="005B339C" w:rsidRPr="004661E9">
        <w:rPr>
          <w:rFonts w:ascii="Arial" w:hAnsi="Arial" w:cs="Arial"/>
        </w:rPr>
        <w:t xml:space="preserve"> </w:t>
      </w:r>
      <w:r w:rsidRPr="004661E9">
        <w:rPr>
          <w:rFonts w:ascii="Arial" w:hAnsi="Arial" w:cs="Arial"/>
        </w:rPr>
        <w:t xml:space="preserve">are well-established therapeutic options to lower </w:t>
      </w:r>
      <w:r w:rsidR="00344A77" w:rsidRPr="004661E9">
        <w:rPr>
          <w:rFonts w:ascii="Arial" w:hAnsi="Arial" w:cs="Arial"/>
        </w:rPr>
        <w:t xml:space="preserve">the </w:t>
      </w:r>
      <w:r w:rsidRPr="004661E9">
        <w:rPr>
          <w:rFonts w:ascii="Arial" w:hAnsi="Arial" w:cs="Arial"/>
        </w:rPr>
        <w:t xml:space="preserve">risk of microvascular or macrovascular complications in patients with diabetes. The clinical </w:t>
      </w:r>
      <w:r w:rsidR="00861472" w:rsidRPr="004661E9">
        <w:rPr>
          <w:rFonts w:ascii="Arial" w:hAnsi="Arial" w:cs="Arial"/>
        </w:rPr>
        <w:t>implications</w:t>
      </w:r>
      <w:r w:rsidRPr="004661E9">
        <w:rPr>
          <w:rFonts w:ascii="Arial" w:hAnsi="Arial" w:cs="Arial"/>
        </w:rPr>
        <w:t xml:space="preserve"> of these therapeutic options in HF prevention will be reviewed here. </w:t>
      </w:r>
    </w:p>
    <w:p w14:paraId="1089E11F" w14:textId="77777777" w:rsidR="00FC7CE7" w:rsidRPr="004661E9" w:rsidRDefault="00FC7CE7" w:rsidP="004661E9">
      <w:pPr>
        <w:spacing w:after="0" w:line="276" w:lineRule="auto"/>
        <w:rPr>
          <w:rFonts w:ascii="Arial" w:hAnsi="Arial" w:cs="Arial"/>
        </w:rPr>
      </w:pPr>
    </w:p>
    <w:p w14:paraId="146F6BE5" w14:textId="48ACDDDF" w:rsidR="00C0648C" w:rsidRPr="004661E9" w:rsidRDefault="00C0648C" w:rsidP="004661E9">
      <w:pPr>
        <w:spacing w:after="0" w:line="276" w:lineRule="auto"/>
        <w:rPr>
          <w:rFonts w:ascii="Arial" w:hAnsi="Arial" w:cs="Arial"/>
          <w:b/>
          <w:bCs/>
          <w:color w:val="00B050"/>
        </w:rPr>
      </w:pPr>
      <w:r w:rsidRPr="004661E9">
        <w:rPr>
          <w:rFonts w:ascii="Arial" w:hAnsi="Arial" w:cs="Arial"/>
          <w:b/>
          <w:bCs/>
          <w:color w:val="00B050"/>
        </w:rPr>
        <w:t xml:space="preserve">Impact of </w:t>
      </w:r>
      <w:r w:rsidR="00934BE7" w:rsidRPr="004661E9">
        <w:rPr>
          <w:rFonts w:ascii="Arial" w:hAnsi="Arial" w:cs="Arial"/>
          <w:b/>
          <w:bCs/>
          <w:color w:val="00B050"/>
        </w:rPr>
        <w:t>Blood Pressure</w:t>
      </w:r>
      <w:r w:rsidRPr="004661E9">
        <w:rPr>
          <w:rFonts w:ascii="Arial" w:hAnsi="Arial" w:cs="Arial"/>
          <w:b/>
          <w:bCs/>
          <w:color w:val="00B050"/>
        </w:rPr>
        <w:t xml:space="preserve"> Control on </w:t>
      </w:r>
      <w:r w:rsidR="002B627B" w:rsidRPr="004661E9">
        <w:rPr>
          <w:rFonts w:ascii="Arial" w:hAnsi="Arial" w:cs="Arial"/>
          <w:b/>
          <w:bCs/>
          <w:color w:val="00B050"/>
        </w:rPr>
        <w:t>HF</w:t>
      </w:r>
      <w:r w:rsidRPr="004661E9">
        <w:rPr>
          <w:rFonts w:ascii="Arial" w:hAnsi="Arial" w:cs="Arial"/>
          <w:b/>
          <w:bCs/>
          <w:color w:val="00B050"/>
        </w:rPr>
        <w:t xml:space="preserve"> Prevention</w:t>
      </w:r>
    </w:p>
    <w:p w14:paraId="282A1940" w14:textId="77777777" w:rsidR="00FC7CE7" w:rsidRPr="004661E9" w:rsidRDefault="00FC7CE7" w:rsidP="004661E9">
      <w:pPr>
        <w:spacing w:after="0" w:line="276" w:lineRule="auto"/>
        <w:rPr>
          <w:rFonts w:ascii="Arial" w:hAnsi="Arial" w:cs="Arial"/>
        </w:rPr>
      </w:pPr>
    </w:p>
    <w:p w14:paraId="7B64A800" w14:textId="0EE73CE4" w:rsidR="00FC7CE7" w:rsidRPr="004661E9" w:rsidRDefault="00A36DE2" w:rsidP="004661E9">
      <w:pPr>
        <w:spacing w:after="0" w:line="276" w:lineRule="auto"/>
        <w:rPr>
          <w:rFonts w:ascii="Arial" w:hAnsi="Arial" w:cs="Arial"/>
        </w:rPr>
      </w:pPr>
      <w:r w:rsidRPr="004661E9">
        <w:rPr>
          <w:rFonts w:ascii="Arial" w:hAnsi="Arial" w:cs="Arial"/>
        </w:rPr>
        <w:t>Diabetes</w:t>
      </w:r>
      <w:r w:rsidR="00E068A5" w:rsidRPr="004661E9">
        <w:rPr>
          <w:rFonts w:ascii="Arial" w:hAnsi="Arial" w:cs="Arial"/>
        </w:rPr>
        <w:t xml:space="preserve"> and </w:t>
      </w:r>
      <w:r w:rsidR="006C258B" w:rsidRPr="004661E9">
        <w:rPr>
          <w:rFonts w:ascii="Arial" w:hAnsi="Arial" w:cs="Arial"/>
        </w:rPr>
        <w:t>hypertension</w:t>
      </w:r>
      <w:r w:rsidR="00E068A5" w:rsidRPr="004661E9">
        <w:rPr>
          <w:rFonts w:ascii="Arial" w:hAnsi="Arial" w:cs="Arial"/>
        </w:rPr>
        <w:t xml:space="preserve"> commonly coexist because of the overlap of underlying risk factors and pathophysiological mechanisms</w:t>
      </w:r>
      <w:r w:rsidR="00FC7CE7" w:rsidRPr="004661E9">
        <w:rPr>
          <w:rFonts w:ascii="Arial" w:hAnsi="Arial" w:cs="Arial"/>
        </w:rPr>
        <w:t xml:space="preserve"> </w:t>
      </w:r>
      <w:r w:rsidR="000F3AD7" w:rsidRPr="004661E9">
        <w:rPr>
          <w:rFonts w:ascii="Arial" w:hAnsi="Arial" w:cs="Arial"/>
        </w:rPr>
        <w:fldChar w:fldCharType="begin" w:fldLock="1"/>
      </w:r>
      <w:r w:rsidR="003C01B8" w:rsidRPr="004661E9">
        <w:rPr>
          <w:rFonts w:ascii="Arial" w:hAnsi="Arial" w:cs="Arial"/>
        </w:rPr>
        <w:instrText xml:space="preserve">ADDIN CSL_CITATION {"citationItems":[{"id":"ITEM-1","itemData":{"DOI":"10.1097/HCO.0000000000000748","ISBN":"0000000000000","ISSN":"15317080","PMID":"32371623","abstract":"PURPOSE OF REVIEW: Herein, we provide a review of the recent literature on the epidemiological and pathophysiological relationship between hypertension (HTN) and diabetes mellitus, along with prognostic implications and current treatment concepts. RECENT FINDINGS: Diabetes mellitus affects </w:instrText>
      </w:r>
      <w:r w:rsidR="003C01B8" w:rsidRPr="004661E9">
        <w:rPr>
          <w:rFonts w:ascii="Cambria Math" w:hAnsi="Cambria Math" w:cs="Cambria Math"/>
        </w:rPr>
        <w:instrText>∼</w:instrText>
      </w:r>
      <w:r w:rsidR="003C01B8" w:rsidRPr="004661E9">
        <w:rPr>
          <w:rFonts w:ascii="Arial" w:hAnsi="Arial" w:cs="Arial"/>
        </w:rPr>
        <w:instrText>10% of US adults. The prevalence of HTN in adults with diabetes mellitus was 76.3% or 66.0% based on the definitions used by guidelines. There exist differences among major society guidelines regarding the definition of HTN and target blood pressure (BP) levels. Recent basic and clinical research studies have shed light on pathophysiologic and genetic links between HTN and diabetes mellitus. Randomized controlled trials over the past 5 years have confirmed the favorable BP and cardiovascular risk reduction by antidiabetic agents. SUMMARY: HTN and diabetes mellitus are 'silent killers' with rising global prevalence. The development of HTN and diabetes mellitus tracks each other over time. The coexistence of both clinical entities synergistically contributes to micro- and macro-vasculopathy along with cardiovascular and all-cause mortality. Various shared mechanisms underlie the pathophysiological relationship between HTN and diabetes mellitus. Moreover, BP reduction with lifestyle interventions and antihypertensive agents is a primary target for reducing cardiovascular risk among patients with HTN and diabetes mellitus.","author":[{"dropping-particle":"","family":"Yildiz","given":"Mehmet","non-dropping-particle":"","parse-names":false,"suffix":""},{"dropping-particle":"","family":"Esenboğa","given":"Kerim","non-dropping-particle":"","parse-names":false,"suffix":""},{"dropping-particle":"","family":"Oktay","given":"Ahmet Afşin","non-dropping-particle":"","parse-names":false,"suffix":""}],"container-title":"Current opinion in cardiology","id":"ITEM-1","issue":"4","issued":{"date-parts":[["2020"]]},"page":"397-404","title":"Hypertension and diabetes mellitus: highlights of a complex relationship","type":"article-journal","volume":"35"},"uris":["http://www.mendeley.com/documents/?uuid=a126b767-2401-45e3-94a7-f99674782a01"]},{"id":"ITEM-2","itemData":{"PMID":"25905256","abstract":"The coexistence of diabetes and hypertension worsens clinical outcomes with respect to both microvascular and macrovascular disease. Diabetes management should therefore be comprised of a multifaceted approach that targets optimal blood pressure and lipid management in addition to glycemic control. The pathophysiology of hypertension in diabetes involves maladaptive changes and complex interactions between the autonomic nervous system, mechanical forces, renin-angiotensin-aldosterone system as well as individual and environmental factors. Multiple high-quality randomized controlled trials have shown reduced morbidity with reduction of elevated blood pressure in people with diabetes. A general blood pressure goal of less than 140/80 mmHg appears to be reasonable for most people with diabetes. Attention should be given to individual risk factors and co-morbidities with a more aggressive goal of less than 130/80 mmHg in patients with higher risk of cardiovascular disease if this goal can be achieved without undue side effects. Appropriate selection of therapy and consideration of each medication’s side-effect profile is paramount. Some drug classes can counteract the adverse effects of other medications and thus combinations should be chosen after due deliberation. Angiotensin converting enzyme inhibitors and angiotensin receptor blockers remain the preferred agents, while combined use of these agents is not recommended due to poor renal outcomes. With the availability of newer antihyperglycemic agents, consideration should be given to their antihypertensive effects when added for additional glycemic control.","author":[{"dropping-particle":"","family":"Khangura","given":"Darshan S","non-dropping-particle":"","parse-names":false,"suffix":""},{"dropping-particle":"","family":"Waqar Salam","given":"Muhammad","non-dropping-particle":"","parse-names":false,"suffix":""},{"dropping-particle":"","family":"Brietzke","given":"Stephen A","non-dropping-particle":"","parse-names":false,"suffix":""},{"dropping-particle":"","family":"Sowers","given":"James R","non-dropping-particle":"","parse-names":false,"suffix":""}],"container-title":"Endotext","editor":[{"dropping-particle":"","family":"Feingold","given":"Kenneth R","non-dropping-particle":"","parse-names":false,"suffix":""},{"dropping-particle":"","family":"Anawalt","given":"Bradley","non-dropping-particle":"","parse-names":false,"suffix":""},{"dropping-particle":"","family":"Boyce","given":"Alison","non-dropping-particle":"","parse-names":false,"suffix":""},{"dropping-particle":"","family":"Chrousos","given":"George","non-dropping-particle":"","parse-names":false,"suffix":""},{"dropping-particle":"","family":"Dungan","given":"Kathleen","non-dropping-particle":"","parse-names":false,"suffix":""},{"dropping-particle":"","family":"Grossman","given":"Ashley","non-dropping-particle":"","parse-names":false,"suffix":""},{"dropping-particle":"","family":"Hershman","given":"Jerome M","non-dropping-particle":"","parse-names":false,"suffix":""},{"dropping-particle":"","family":"Kaltsas","given":"Gregory","non-dropping-particle":"","parse-names":false,"suffix":""},{"dropping-particle":"","family":"Koch","given":"Christian","non-dropping-particle":"","parse-names":false,"suffix":""},{"dropping-particle":"","family":"Kopp","given":"Peter","non-dropping-particle":"","parse-names":false,"suffix":""},{"dropping-particle":"","family":"Korbonits","given":"Márta","non-dropping-particle":"","parse-names":false,"suffix":""},{"dropping-particle":"","family":"McLachlan","given":"Robert","non-dropping-particle":"","parse-names":false,"suffix":""},{"dropping-particle":"","family":"Morley","given":"John E","non-dropping-particle":"","parse-names":false,"suffix":""},{"dropping-particle":"","family":"New","given":"Maria","non-dropping-particle":"","parse-names":false,"suffix":""},{"dropping-particle":"","family":"Perreault","given":"Leigh","non-dropping-particle":"","parse-names":false,"suffix":""},{"dropping-particle":"","family":"Purnell","given":"Jonathan","non-dropping-particle":"","parse-names":false,"suffix":""},{"dropping-particle":"","family":"Rebar","given":"Robert","non-dropping-particle":"","parse-names":false,"suffix":""},{"dropping-particle":"","family":"Singer","given":"Frederick","non-dropping-particle":"","parse-names":false,"suffix":""},{"dropping-particle":"","family":"Trence","given":"Dace L","non-dropping-particle":"","parse-names":false,"suffix":""},{"dropping-particle":"","family":"Vinik","given":"Aaron","non-dropping-particle":"","parse-names":false,"suffix":""},{"dropping-particle":"","family":"Wilson","given":"Don P","non-dropping-particle":"","parse-names":false,"suffix":""}],"id":"ITEM-2","issued":{"date-parts":[["2018"]]},"language":"eng","publisher":"MDText.com, Inc.; 2000","publisher-place":"South Dartmouth (MA)","title":"Hypertension in Diabetes.","type":"chapter"},"uris":["http://www.mendeley.com/documents/?uuid=8d3a90e1-6cd8-420e-af1e-d2e900c8ffd8"]}],"mendeley":{"formattedCitation":"(134,135)","plainTextFormattedCitation":"(134,135)","previouslyFormattedCitation":"(134,135)"},"properties":{"noteIndex":0},"schema":"https://github.com/citation-style-language/schema/raw/master/csl-citation.json"}</w:instrText>
      </w:r>
      <w:r w:rsidR="000F3AD7" w:rsidRPr="004661E9">
        <w:rPr>
          <w:rFonts w:ascii="Arial" w:hAnsi="Arial" w:cs="Arial"/>
        </w:rPr>
        <w:fldChar w:fldCharType="separate"/>
      </w:r>
      <w:r w:rsidR="00752DF4" w:rsidRPr="004661E9">
        <w:rPr>
          <w:rFonts w:ascii="Arial" w:hAnsi="Arial" w:cs="Arial"/>
          <w:noProof/>
        </w:rPr>
        <w:t>(134,135)</w:t>
      </w:r>
      <w:r w:rsidR="000F3AD7" w:rsidRPr="004661E9">
        <w:rPr>
          <w:rFonts w:ascii="Arial" w:hAnsi="Arial" w:cs="Arial"/>
        </w:rPr>
        <w:fldChar w:fldCharType="end"/>
      </w:r>
      <w:r w:rsidR="00FC7CE7" w:rsidRPr="004661E9">
        <w:rPr>
          <w:rFonts w:ascii="Arial" w:hAnsi="Arial" w:cs="Arial"/>
        </w:rPr>
        <w:t>.</w:t>
      </w:r>
      <w:r w:rsidR="00E068A5" w:rsidRPr="004661E9">
        <w:rPr>
          <w:rFonts w:ascii="Arial" w:hAnsi="Arial" w:cs="Arial"/>
        </w:rPr>
        <w:t xml:space="preserve"> </w:t>
      </w:r>
      <w:r w:rsidR="00E46E8C" w:rsidRPr="004661E9">
        <w:rPr>
          <w:rFonts w:ascii="Arial" w:hAnsi="Arial" w:cs="Arial"/>
        </w:rPr>
        <w:t>The</w:t>
      </w:r>
      <w:r w:rsidR="00E068A5" w:rsidRPr="004661E9">
        <w:rPr>
          <w:rFonts w:ascii="Arial" w:hAnsi="Arial" w:cs="Arial"/>
        </w:rPr>
        <w:t xml:space="preserve"> coexistence of </w:t>
      </w:r>
      <w:r w:rsidRPr="004661E9">
        <w:rPr>
          <w:rFonts w:ascii="Arial" w:hAnsi="Arial" w:cs="Arial"/>
        </w:rPr>
        <w:t>diabetes</w:t>
      </w:r>
      <w:r w:rsidR="00E068A5" w:rsidRPr="004661E9">
        <w:rPr>
          <w:rFonts w:ascii="Arial" w:hAnsi="Arial" w:cs="Arial"/>
        </w:rPr>
        <w:t xml:space="preserve"> and </w:t>
      </w:r>
      <w:r w:rsidR="006C258B" w:rsidRPr="004661E9">
        <w:rPr>
          <w:rFonts w:ascii="Arial" w:hAnsi="Arial" w:cs="Arial"/>
        </w:rPr>
        <w:t>hypertension</w:t>
      </w:r>
      <w:r w:rsidR="00E068A5" w:rsidRPr="004661E9">
        <w:rPr>
          <w:rFonts w:ascii="Arial" w:hAnsi="Arial" w:cs="Arial"/>
        </w:rPr>
        <w:t xml:space="preserve"> synergistically contributes</w:t>
      </w:r>
      <w:r w:rsidR="00D129E6" w:rsidRPr="004661E9">
        <w:rPr>
          <w:rFonts w:ascii="Arial" w:hAnsi="Arial" w:cs="Arial"/>
        </w:rPr>
        <w:t xml:space="preserve"> to</w:t>
      </w:r>
      <w:r w:rsidR="00E068A5" w:rsidRPr="004661E9">
        <w:rPr>
          <w:rFonts w:ascii="Arial" w:hAnsi="Arial" w:cs="Arial"/>
        </w:rPr>
        <w:t xml:space="preserve"> the risk of microvascular and macrovascular complications</w:t>
      </w:r>
      <w:r w:rsidR="00D42EB8" w:rsidRPr="004661E9">
        <w:rPr>
          <w:rFonts w:ascii="Arial" w:hAnsi="Arial" w:cs="Arial"/>
        </w:rPr>
        <w:t xml:space="preserve"> and</w:t>
      </w:r>
      <w:r w:rsidR="00E068A5" w:rsidRPr="004661E9">
        <w:rPr>
          <w:rFonts w:ascii="Arial" w:hAnsi="Arial" w:cs="Arial"/>
        </w:rPr>
        <w:t xml:space="preserve"> </w:t>
      </w:r>
      <w:r w:rsidR="0077540D" w:rsidRPr="004661E9">
        <w:rPr>
          <w:rFonts w:ascii="Arial" w:hAnsi="Arial" w:cs="Arial"/>
        </w:rPr>
        <w:t>C</w:t>
      </w:r>
      <w:r w:rsidR="00D42EB8" w:rsidRPr="004661E9">
        <w:rPr>
          <w:rFonts w:ascii="Arial" w:hAnsi="Arial" w:cs="Arial"/>
        </w:rPr>
        <w:t>VD</w:t>
      </w:r>
      <w:r w:rsidR="00E068A5" w:rsidRPr="004661E9">
        <w:rPr>
          <w:rFonts w:ascii="Arial" w:hAnsi="Arial" w:cs="Arial"/>
        </w:rPr>
        <w:t>. Therefore, BP control</w:t>
      </w:r>
      <w:r w:rsidR="00923433" w:rsidRPr="004661E9">
        <w:rPr>
          <w:rFonts w:ascii="Arial" w:hAnsi="Arial" w:cs="Arial"/>
        </w:rPr>
        <w:t xml:space="preserve"> with lifestyle modifications and antihypertensive medications</w:t>
      </w:r>
      <w:r w:rsidR="00E068A5" w:rsidRPr="004661E9">
        <w:rPr>
          <w:rFonts w:ascii="Arial" w:hAnsi="Arial" w:cs="Arial"/>
        </w:rPr>
        <w:t xml:space="preserve"> is a primary target for reducing the risk of complications </w:t>
      </w:r>
      <w:r w:rsidR="0055331D" w:rsidRPr="004661E9">
        <w:rPr>
          <w:rFonts w:ascii="Arial" w:hAnsi="Arial" w:cs="Arial"/>
        </w:rPr>
        <w:t>due to coexisting</w:t>
      </w:r>
      <w:r w:rsidR="00E068A5" w:rsidRPr="004661E9">
        <w:rPr>
          <w:rFonts w:ascii="Arial" w:hAnsi="Arial" w:cs="Arial"/>
        </w:rPr>
        <w:t xml:space="preserve"> </w:t>
      </w:r>
      <w:r w:rsidRPr="004661E9">
        <w:rPr>
          <w:rFonts w:ascii="Arial" w:hAnsi="Arial" w:cs="Arial"/>
        </w:rPr>
        <w:t>diabetes</w:t>
      </w:r>
      <w:r w:rsidR="00E068A5" w:rsidRPr="004661E9">
        <w:rPr>
          <w:rFonts w:ascii="Arial" w:hAnsi="Arial" w:cs="Arial"/>
        </w:rPr>
        <w:t xml:space="preserve"> and </w:t>
      </w:r>
      <w:r w:rsidR="006C258B" w:rsidRPr="004661E9">
        <w:rPr>
          <w:rFonts w:ascii="Arial" w:hAnsi="Arial" w:cs="Arial"/>
        </w:rPr>
        <w:t>hypertension</w:t>
      </w:r>
      <w:r w:rsidR="00FC7CE7" w:rsidRPr="004661E9">
        <w:rPr>
          <w:rFonts w:ascii="Arial" w:hAnsi="Arial" w:cs="Arial"/>
        </w:rPr>
        <w:t xml:space="preserve"> </w:t>
      </w:r>
      <w:r w:rsidR="000F3AD7" w:rsidRPr="004661E9">
        <w:rPr>
          <w:rFonts w:ascii="Arial" w:hAnsi="Arial" w:cs="Arial"/>
        </w:rPr>
        <w:fldChar w:fldCharType="begin" w:fldLock="1"/>
      </w:r>
      <w:r w:rsidR="003C01B8" w:rsidRPr="004661E9">
        <w:rPr>
          <w:rFonts w:ascii="Arial" w:hAnsi="Arial" w:cs="Arial"/>
        </w:rPr>
        <w:instrText xml:space="preserve">ADDIN CSL_CITATION {"citationItems":[{"id":"ITEM-1","itemData":{"DOI":"10.1097/HCO.0000000000000748","ISBN":"0000000000000","ISSN":"15317080","PMID":"32371623","abstract":"PURPOSE OF REVIEW: Herein, we provide a review of the recent literature on the epidemiological and pathophysiological relationship between hypertension (HTN) and diabetes mellitus, along with prognostic implications and current treatment concepts. RECENT FINDINGS: Diabetes mellitus affects </w:instrText>
      </w:r>
      <w:r w:rsidR="003C01B8" w:rsidRPr="004661E9">
        <w:rPr>
          <w:rFonts w:ascii="Cambria Math" w:hAnsi="Cambria Math" w:cs="Cambria Math"/>
        </w:rPr>
        <w:instrText>∼</w:instrText>
      </w:r>
      <w:r w:rsidR="003C01B8" w:rsidRPr="004661E9">
        <w:rPr>
          <w:rFonts w:ascii="Arial" w:hAnsi="Arial" w:cs="Arial"/>
        </w:rPr>
        <w:instrText>10% of US adults. The prevalence of HTN in adults with diabetes mellitus was 76.3% or 66.0% based on the definitions used by guidelines. There exist differences among major society guidelines regarding the definition of HTN and target blood pressure (BP) levels. Recent basic and clinical research studies have shed light on pathophysiologic and genetic links between HTN and diabetes mellitus. Randomized controlled trials over the past 5 years have confirmed the favorable BP and cardiovascular risk reduction by antidiabetic agents. SUMMARY: HTN and diabetes mellitus are 'silent killers' with rising global prevalence. The development of HTN and diabetes mellitus tracks each other over time. The coexistence of both clinical entities synergistically contributes to micro- and macro-vasculopathy along with cardiovascular and all-cause mortality. Various shared mechanisms underlie the pathophysiological relationship between HTN and diabetes mellitus. Moreover, BP reduction with lifestyle interventions and antihypertensive agents is a primary target for reducing cardiovascular risk among patients with HTN and diabetes mellitus.","author":[{"dropping-particle":"","family":"Yildiz","given":"Mehmet","non-dropping-particle":"","parse-names":false,"suffix":""},{"dropping-particle":"","family":"Esenboğa","given":"Kerim","non-dropping-particle":"","parse-names":false,"suffix":""},{"dropping-particle":"","family":"Oktay","given":"Ahmet Afşin","non-dropping-particle":"","parse-names":false,"suffix":""}],"container-title":"Current opinion in cardiology","id":"ITEM-1","issue":"4","issued":{"date-parts":[["2020"]]},"page":"397-404","title":"Hypertension and diabetes mellitus: highlights of a complex relationship","type":"article-journal","volume":"35"},"uris":["http://www.mendeley.com/documents/?uuid=a126b767-2401-45e3-94a7-f99674782a01"]}],"mendeley":{"formattedCitation":"(134)","plainTextFormattedCitation":"(134)","previouslyFormattedCitation":"(134)"},"properties":{"noteIndex":0},"schema":"https://github.com/citation-style-language/schema/raw/master/csl-citation.json"}</w:instrText>
      </w:r>
      <w:r w:rsidR="000F3AD7" w:rsidRPr="004661E9">
        <w:rPr>
          <w:rFonts w:ascii="Arial" w:hAnsi="Arial" w:cs="Arial"/>
        </w:rPr>
        <w:fldChar w:fldCharType="separate"/>
      </w:r>
      <w:r w:rsidR="00752DF4" w:rsidRPr="004661E9">
        <w:rPr>
          <w:rFonts w:ascii="Arial" w:hAnsi="Arial" w:cs="Arial"/>
          <w:noProof/>
        </w:rPr>
        <w:t>(134)</w:t>
      </w:r>
      <w:r w:rsidR="000F3AD7" w:rsidRPr="004661E9">
        <w:rPr>
          <w:rFonts w:ascii="Arial" w:hAnsi="Arial" w:cs="Arial"/>
        </w:rPr>
        <w:fldChar w:fldCharType="end"/>
      </w:r>
      <w:r w:rsidR="00FC7CE7" w:rsidRPr="004661E9">
        <w:rPr>
          <w:rFonts w:ascii="Arial" w:hAnsi="Arial" w:cs="Arial"/>
        </w:rPr>
        <w:t>.</w:t>
      </w:r>
      <w:r w:rsidR="00E22D28" w:rsidRPr="004661E9">
        <w:rPr>
          <w:rFonts w:ascii="Arial" w:hAnsi="Arial" w:cs="Arial"/>
        </w:rPr>
        <w:t xml:space="preserve"> </w:t>
      </w:r>
      <w:r w:rsidR="00FF3C12" w:rsidRPr="004661E9">
        <w:rPr>
          <w:rFonts w:ascii="Arial" w:hAnsi="Arial" w:cs="Arial"/>
        </w:rPr>
        <w:t>T</w:t>
      </w:r>
      <w:r w:rsidR="00A756DF" w:rsidRPr="004661E9">
        <w:rPr>
          <w:rFonts w:ascii="Arial" w:hAnsi="Arial" w:cs="Arial"/>
        </w:rPr>
        <w:t xml:space="preserve">he </w:t>
      </w:r>
      <w:r w:rsidR="00D42EB8" w:rsidRPr="004661E9">
        <w:rPr>
          <w:rFonts w:ascii="Arial" w:hAnsi="Arial" w:cs="Arial"/>
        </w:rPr>
        <w:t xml:space="preserve">ACC/AHA </w:t>
      </w:r>
      <w:r w:rsidR="00A756DF" w:rsidRPr="004661E9">
        <w:rPr>
          <w:rFonts w:ascii="Arial" w:hAnsi="Arial" w:cs="Arial"/>
        </w:rPr>
        <w:t xml:space="preserve">guidelines </w:t>
      </w:r>
      <w:r w:rsidR="00D42EB8" w:rsidRPr="004661E9">
        <w:rPr>
          <w:rFonts w:ascii="Arial" w:hAnsi="Arial" w:cs="Arial"/>
        </w:rPr>
        <w:t xml:space="preserve">recommend </w:t>
      </w:r>
      <w:r w:rsidR="00543EDD" w:rsidRPr="004661E9">
        <w:rPr>
          <w:rFonts w:ascii="Arial" w:hAnsi="Arial" w:cs="Arial"/>
        </w:rPr>
        <w:t>initiating</w:t>
      </w:r>
      <w:r w:rsidR="00A756DF" w:rsidRPr="004661E9">
        <w:rPr>
          <w:rFonts w:ascii="Arial" w:hAnsi="Arial" w:cs="Arial"/>
        </w:rPr>
        <w:t xml:space="preserve"> </w:t>
      </w:r>
      <w:r w:rsidR="0015065B" w:rsidRPr="004661E9">
        <w:rPr>
          <w:rFonts w:ascii="Arial" w:hAnsi="Arial" w:cs="Arial"/>
        </w:rPr>
        <w:t xml:space="preserve">an </w:t>
      </w:r>
      <w:r w:rsidR="00A756DF" w:rsidRPr="004661E9">
        <w:rPr>
          <w:rFonts w:ascii="Arial" w:hAnsi="Arial" w:cs="Arial"/>
        </w:rPr>
        <w:t xml:space="preserve">antihypertensive agent when patients with </w:t>
      </w:r>
      <w:r w:rsidRPr="004661E9">
        <w:rPr>
          <w:rFonts w:ascii="Arial" w:hAnsi="Arial" w:cs="Arial"/>
        </w:rPr>
        <w:t>diabetes</w:t>
      </w:r>
      <w:r w:rsidR="00A756DF" w:rsidRPr="004661E9">
        <w:rPr>
          <w:rFonts w:ascii="Arial" w:hAnsi="Arial" w:cs="Arial"/>
        </w:rPr>
        <w:t xml:space="preserve"> have an office BP of </w:t>
      </w:r>
      <w:r w:rsidR="00FC7CE7" w:rsidRPr="004661E9">
        <w:rPr>
          <w:rFonts w:ascii="Arial" w:hAnsi="Arial" w:cs="Arial"/>
        </w:rPr>
        <w:t>≥</w:t>
      </w:r>
      <w:r w:rsidR="00A756DF" w:rsidRPr="004661E9">
        <w:rPr>
          <w:rFonts w:ascii="Arial" w:hAnsi="Arial" w:cs="Arial"/>
        </w:rPr>
        <w:t xml:space="preserve">140/90 mmHg. The recommended BP target is below 140/90 mmHg for low-risk patients and below 130/80 for individuals with established or high risk for </w:t>
      </w:r>
      <w:r w:rsidR="00861472" w:rsidRPr="004661E9">
        <w:rPr>
          <w:rFonts w:ascii="Arial" w:hAnsi="Arial" w:cs="Arial"/>
        </w:rPr>
        <w:t xml:space="preserve">atherosclerotic </w:t>
      </w:r>
      <w:r w:rsidR="00A756DF" w:rsidRPr="004661E9">
        <w:rPr>
          <w:rFonts w:ascii="Arial" w:hAnsi="Arial" w:cs="Arial"/>
        </w:rPr>
        <w:t>CVD</w:t>
      </w:r>
      <w:r w:rsidR="00FC7CE7" w:rsidRPr="004661E9">
        <w:rPr>
          <w:rFonts w:ascii="Arial" w:hAnsi="Arial" w:cs="Arial"/>
        </w:rPr>
        <w:t xml:space="preserve"> </w:t>
      </w:r>
      <w:r w:rsidR="000F3AD7" w:rsidRPr="004661E9">
        <w:rPr>
          <w:rFonts w:ascii="Arial" w:hAnsi="Arial" w:cs="Arial"/>
        </w:rPr>
        <w:fldChar w:fldCharType="begin" w:fldLock="1"/>
      </w:r>
      <w:r w:rsidR="003C01B8" w:rsidRPr="004661E9">
        <w:rPr>
          <w:rFonts w:ascii="Arial" w:hAnsi="Arial" w:cs="Arial"/>
        </w:rPr>
        <w:instrText>ADDIN CSL_CITATION {"citationItems":[{"id":"ITEM-1","itemData":{"DOI":"10.1016/j.jash.2018.06.010","ISSN":"19331711","abstract":"Glenn N. Levine, MD, FACC, FAHA, Chair Patrick T. O’Gara, MD, MACC, FAHA, Chair-Elect Jonathan L. Halperin, MD, FACC, FAHA, Immediate Past Chair Sana M. Al-Khatib, MD, MHS, FACC, FAHA Joshua A. Beckman, MD, MS, FAHA Kim K. Birtcher, MS, PharmD, AACC Biykem Bozkurt, MD, PhD, FACC, FAHA","author":[{"dropping-particle":"","family":"Whelton","given":"Paul K.","non-dropping-particle":"","parse-names":false,"suffix":""},{"dropping-particle":"","family":"Carey","given":"Robert M.","non-dropping-particle":"","parse-names":false,"suffix":""},{"dropping-particle":"","family":"Aronow","given":"Wilbert S.","non-dropping-particle":"","parse-names":false,"suffix":""},{"dropping-particle":"","family":"Casey","given":"Donald E.","non-dropping-particle":"","parse-names":false,"suffix":""},{"dropping-particle":"","family":"Collins","given":"Karen J.","non-dropping-particle":"","parse-names":false,"suffix":""},{"dropping-particle":"","family":"Dennison Himmelfarb","given":"Cheryl","non-dropping-particle":"","parse-names":false,"suffix":""},{"dropping-particle":"","family":"DePalma","given":"Sondra M.","non-dropping-particle":"","parse-names":false,"suffix":""},{"dropping-particle":"","family":"Gidding","given":"Samuel","non-dropping-particle":"","parse-names":false,"suffix":""},{"dropping-particle":"","family":"Jamerson","given":"Kenneth A.","non-dropping-particle":"","parse-names":false,"suffix":""},{"dropping-particle":"","family":"Jones","given":"Daniel W.","non-dropping-particle":"","parse-names":false,"suffix":""},{"dropping-particle":"","family":"MacLaughlin","given":"Eric J.","non-dropping-particle":"","parse-names":false,"suffix":""},{"dropping-particle":"","family":"Muntner","given":"Paul","non-dropping-particle":"","parse-names":false,"suffix":""},{"dropping-particle":"","family":"Ovbiagele","given":"Bruce","non-dropping-particle":"","parse-names":false,"suffix":""},{"dropping-particle":"","family":"Smith","given":"Sidney C.","non-dropping-particle":"","parse-names":false,"suffix":""},{"dropping-particle":"","family":"Spencer","given":"Crystal C.","non-dropping-particle":"","parse-names":false,"suffix":""},{"dropping-particle":"","family":"Stafford","given":"Randall S.","non-dropping-particle":"","parse-names":false,"suffix":""},{"dropping-particle":"","family":"Taler","given":"Sandra J.","non-dropping-particle":"","parse-names":false,"suffix":""},{"dropping-particle":"","family":"Thomas","given":"Randal J.","non-dropping-particle":"","parse-names":false,"suffix":""},{"dropping-particle":"","family":"Williams","given":"Kim A.","non-dropping-particle":"","parse-names":false,"suffix":""},{"dropping-particle":"","family":"Williamson","given":"Jeff D.","non-dropping-particle":"","parse-names":false,"suffix":""},{"dropping-particle":"","family":"Wright","given":"Jackson T.","non-dropping-particle":"","parse-names":false,"suffix":""}],"container-title":"JACC","id":"ITEM-1","issue":"19","issued":{"date-parts":[["2018"]]},"note":"2017 HTN guideline suggest screening for DM by fasting blood glucose. The guidelines *** in precision of BP target in adults with hypertesion and diabetes\n\n+\n\n- in 2017 American College of Cardiology/American Heart Association re-defined the threshold/goal for hypertension as &amp;gt;=130/80 mm Hg in the light meta-analysis of 19 randomized clinical trials including landmark SPRINT trial.","page":"e127-e248","title":"2017 ACC/AHA/AAPA/ABC/ACPM/AGS/APhA/ASH/ASPC/NMA/PCNA Guideline for the Prevention, Detection, Evaluation, and Management of High Blood Pressure in Adults: Executive Summary","type":"article-journal","volume":"71"},"uris":["http://www.mendeley.com/documents/?uuid=cc010c43-1bda-4fcb-9d6d-1775b3e27889"]}],"mendeley":{"formattedCitation":"(136)","plainTextFormattedCitation":"(136)","previouslyFormattedCitation":"(136)"},"properties":{"noteIndex":0},"schema":"https://github.com/citation-style-language/schema/raw/master/csl-citation.json"}</w:instrText>
      </w:r>
      <w:r w:rsidR="000F3AD7" w:rsidRPr="004661E9">
        <w:rPr>
          <w:rFonts w:ascii="Arial" w:hAnsi="Arial" w:cs="Arial"/>
        </w:rPr>
        <w:fldChar w:fldCharType="separate"/>
      </w:r>
      <w:r w:rsidR="00752DF4" w:rsidRPr="004661E9">
        <w:rPr>
          <w:rFonts w:ascii="Arial" w:hAnsi="Arial" w:cs="Arial"/>
          <w:noProof/>
        </w:rPr>
        <w:t>(136)</w:t>
      </w:r>
      <w:r w:rsidR="000F3AD7" w:rsidRPr="004661E9">
        <w:rPr>
          <w:rFonts w:ascii="Arial" w:hAnsi="Arial" w:cs="Arial"/>
        </w:rPr>
        <w:fldChar w:fldCharType="end"/>
      </w:r>
      <w:r w:rsidR="00FC7CE7" w:rsidRPr="004661E9">
        <w:rPr>
          <w:rFonts w:ascii="Arial" w:hAnsi="Arial" w:cs="Arial"/>
        </w:rPr>
        <w:t>.</w:t>
      </w:r>
    </w:p>
    <w:p w14:paraId="118ADF2D" w14:textId="221ADB88" w:rsidR="00E068A5" w:rsidRPr="004661E9" w:rsidRDefault="002E1816" w:rsidP="004661E9">
      <w:pPr>
        <w:spacing w:after="0" w:line="276" w:lineRule="auto"/>
        <w:rPr>
          <w:rFonts w:ascii="Arial" w:hAnsi="Arial" w:cs="Arial"/>
        </w:rPr>
      </w:pPr>
      <w:r w:rsidRPr="004661E9">
        <w:rPr>
          <w:rFonts w:ascii="Arial" w:hAnsi="Arial" w:cs="Arial"/>
        </w:rPr>
        <w:t xml:space="preserve"> </w:t>
      </w:r>
    </w:p>
    <w:p w14:paraId="17A0708E" w14:textId="623F72AF" w:rsidR="00F4352A" w:rsidRPr="004661E9" w:rsidRDefault="005B339C" w:rsidP="004661E9">
      <w:pPr>
        <w:spacing w:after="0" w:line="276" w:lineRule="auto"/>
        <w:rPr>
          <w:rFonts w:ascii="Arial" w:hAnsi="Arial" w:cs="Arial"/>
        </w:rPr>
      </w:pPr>
      <w:bookmarkStart w:id="18" w:name="_Hlk43804241"/>
      <w:r w:rsidRPr="004661E9">
        <w:rPr>
          <w:rFonts w:ascii="Arial" w:hAnsi="Arial" w:cs="Arial"/>
        </w:rPr>
        <w:t>BP</w:t>
      </w:r>
      <w:r w:rsidR="00F4352A" w:rsidRPr="004661E9">
        <w:rPr>
          <w:rFonts w:ascii="Arial" w:hAnsi="Arial" w:cs="Arial"/>
        </w:rPr>
        <w:t xml:space="preserve"> lowering </w:t>
      </w:r>
      <w:r w:rsidRPr="004661E9">
        <w:rPr>
          <w:rFonts w:ascii="Arial" w:hAnsi="Arial" w:cs="Arial"/>
        </w:rPr>
        <w:t xml:space="preserve">has strong benefits </w:t>
      </w:r>
      <w:r w:rsidR="00F4352A" w:rsidRPr="004661E9">
        <w:rPr>
          <w:rFonts w:ascii="Arial" w:hAnsi="Arial" w:cs="Arial"/>
        </w:rPr>
        <w:t xml:space="preserve">in </w:t>
      </w:r>
      <w:r w:rsidR="00543EDD" w:rsidRPr="004661E9">
        <w:rPr>
          <w:rFonts w:ascii="Arial" w:hAnsi="Arial" w:cs="Arial"/>
        </w:rPr>
        <w:t>preventing</w:t>
      </w:r>
      <w:r w:rsidR="00F4352A" w:rsidRPr="004661E9">
        <w:rPr>
          <w:rFonts w:ascii="Arial" w:hAnsi="Arial" w:cs="Arial"/>
        </w:rPr>
        <w:t xml:space="preserve"> </w:t>
      </w:r>
      <w:r w:rsidR="00D129E6" w:rsidRPr="004661E9">
        <w:rPr>
          <w:rFonts w:ascii="Arial" w:hAnsi="Arial" w:cs="Arial"/>
        </w:rPr>
        <w:t>HF</w:t>
      </w:r>
      <w:r w:rsidR="00523D57" w:rsidRPr="004661E9">
        <w:rPr>
          <w:rFonts w:ascii="Arial" w:hAnsi="Arial" w:cs="Arial"/>
        </w:rPr>
        <w:t xml:space="preserve"> among individuals with </w:t>
      </w:r>
      <w:r w:rsidR="00A36DE2" w:rsidRPr="004661E9">
        <w:rPr>
          <w:rFonts w:ascii="Arial" w:hAnsi="Arial" w:cs="Arial"/>
        </w:rPr>
        <w:t>diabetes</w:t>
      </w:r>
      <w:r w:rsidR="00FC7CE7" w:rsidRPr="004661E9">
        <w:rPr>
          <w:rFonts w:ascii="Arial" w:hAnsi="Arial" w:cs="Arial"/>
        </w:rPr>
        <w:t xml:space="preserve"> </w:t>
      </w:r>
      <w:bookmarkEnd w:id="18"/>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{"citationItems":[{"id":"ITEM-1","itemData":{"DOI":"10.1016/j.hfc.2019.06.008","ISSN":"15517136","PMID":"31472890","abstract":"Diabetes is strongly associated with development of cardiovascular disease and poor cardiovascular outcomes. Management of hypertension reduces cardiovascular outcomes among patients with diabetes. Many studies have examined the benefits of various classes of antihypertensives among patients with diabetes. Based on these, the American Diabetes Association has advised that all patients (particularly those with microalbuminuria) be treated first with an angiotensin-converting enzyme inhibitor or an aldosterone receptor blocker followed by a calcium channel blocker or diuretic. Recently, sodium glucose transporter 2 inhibitors have been identified for their benefit in blood pressure control and cardiovascular risk reduction in patients with diabetes.","author":[{"dropping-particle":"","family":"Bensimhon","given":"Hannah F.","non-dropping-particle":"","parse-names":false,"suffix":""},{"dropping-particle":"","family":"Cavender","given":"Matthew A.","non-dropping-particle":"","parse-names":false,"suffix":""}],"container-title":"Heart Failure Clinics","id":"ITEM-1","issue":"4","issued":{"date-parts":[["2019"]]},"page":"551-563","title":"Hypertension Treatment in Diabetes: Focus on Heart Failure Prevention","type":"article-journal","volume":"15"},"uris":["http://www.mendeley.com/documents/?uuid=a3fe645b-3cc1-4125-903b-3679e0501afa"]}],"mendeley":{"formattedCitation":"(35)","plainTextFormattedCitation":"(35)","previouslyFormattedCitation":"(35)"},"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(35)</w:t>
      </w:r>
      <w:r w:rsidR="000F3AD7" w:rsidRPr="004661E9">
        <w:rPr>
          <w:rFonts w:ascii="Arial" w:hAnsi="Arial" w:cs="Arial"/>
        </w:rPr>
        <w:fldChar w:fldCharType="end"/>
      </w:r>
      <w:r w:rsidR="00FC7CE7" w:rsidRPr="004661E9">
        <w:rPr>
          <w:rFonts w:ascii="Arial" w:hAnsi="Arial" w:cs="Arial"/>
        </w:rPr>
        <w:t>.</w:t>
      </w:r>
      <w:r w:rsidR="00523D57" w:rsidRPr="004661E9">
        <w:rPr>
          <w:rFonts w:ascii="Arial" w:hAnsi="Arial" w:cs="Arial"/>
        </w:rPr>
        <w:t xml:space="preserve"> </w:t>
      </w:r>
      <w:r w:rsidR="00D129E6" w:rsidRPr="004661E9">
        <w:rPr>
          <w:rFonts w:ascii="Arial" w:hAnsi="Arial" w:cs="Arial"/>
        </w:rPr>
        <w:t>However,</w:t>
      </w:r>
      <w:r w:rsidR="00523D57" w:rsidRPr="004661E9">
        <w:rPr>
          <w:rFonts w:ascii="Arial" w:hAnsi="Arial" w:cs="Arial"/>
        </w:rPr>
        <w:t xml:space="preserve"> the magnitude of this benefit appears to be smaller in patients with </w:t>
      </w:r>
      <w:r w:rsidR="00A36DE2" w:rsidRPr="004661E9">
        <w:rPr>
          <w:rFonts w:ascii="Arial" w:hAnsi="Arial" w:cs="Arial"/>
        </w:rPr>
        <w:t>diabetes</w:t>
      </w:r>
      <w:r w:rsidR="00523D57" w:rsidRPr="004661E9">
        <w:rPr>
          <w:rFonts w:ascii="Arial" w:hAnsi="Arial" w:cs="Arial"/>
        </w:rPr>
        <w:t xml:space="preserve"> than </w:t>
      </w:r>
      <w:r w:rsidR="00543EDD" w:rsidRPr="004661E9">
        <w:rPr>
          <w:rFonts w:ascii="Arial" w:hAnsi="Arial" w:cs="Arial"/>
        </w:rPr>
        <w:t xml:space="preserve">in </w:t>
      </w:r>
      <w:r w:rsidR="00523D57" w:rsidRPr="004661E9">
        <w:rPr>
          <w:rFonts w:ascii="Arial" w:hAnsi="Arial" w:cs="Arial"/>
        </w:rPr>
        <w:t xml:space="preserve">those without </w:t>
      </w:r>
      <w:r w:rsidR="00A36DE2" w:rsidRPr="004661E9">
        <w:rPr>
          <w:rFonts w:ascii="Arial" w:hAnsi="Arial" w:cs="Arial"/>
        </w:rPr>
        <w:t>diabetes</w:t>
      </w:r>
      <w:r w:rsidR="00523D57" w:rsidRPr="004661E9">
        <w:rPr>
          <w:rFonts w:ascii="Arial" w:hAnsi="Arial" w:cs="Arial"/>
        </w:rPr>
        <w:t>.</w:t>
      </w:r>
      <w:r w:rsidR="00F4352A" w:rsidRPr="004661E9">
        <w:rPr>
          <w:rFonts w:ascii="Arial" w:hAnsi="Arial" w:cs="Arial"/>
        </w:rPr>
        <w:t xml:space="preserve"> </w:t>
      </w:r>
      <w:r w:rsidR="00923433" w:rsidRPr="004661E9">
        <w:rPr>
          <w:rFonts w:ascii="Arial" w:hAnsi="Arial" w:cs="Arial"/>
        </w:rPr>
        <w:t>Large meta-analyses</w:t>
      </w:r>
      <w:r w:rsidR="00F4352A" w:rsidRPr="004661E9">
        <w:rPr>
          <w:rFonts w:ascii="Arial" w:hAnsi="Arial" w:cs="Arial"/>
        </w:rPr>
        <w:t xml:space="preserve"> </w:t>
      </w:r>
      <w:r w:rsidRPr="004661E9">
        <w:rPr>
          <w:rFonts w:ascii="Arial" w:hAnsi="Arial" w:cs="Arial"/>
        </w:rPr>
        <w:t xml:space="preserve">of </w:t>
      </w:r>
      <w:r w:rsidR="00F4352A" w:rsidRPr="004661E9">
        <w:rPr>
          <w:rFonts w:ascii="Arial" w:hAnsi="Arial" w:cs="Arial"/>
        </w:rPr>
        <w:t xml:space="preserve">RCTs of </w:t>
      </w:r>
      <w:r w:rsidR="00A5128A" w:rsidRPr="004661E9">
        <w:rPr>
          <w:rFonts w:ascii="Arial" w:hAnsi="Arial" w:cs="Arial"/>
        </w:rPr>
        <w:t>BP</w:t>
      </w:r>
      <w:r w:rsidR="00D129E6" w:rsidRPr="004661E9">
        <w:rPr>
          <w:rFonts w:ascii="Arial" w:hAnsi="Arial" w:cs="Arial"/>
        </w:rPr>
        <w:t>-</w:t>
      </w:r>
      <w:r w:rsidR="00F4352A" w:rsidRPr="004661E9">
        <w:rPr>
          <w:rFonts w:ascii="Arial" w:hAnsi="Arial" w:cs="Arial"/>
        </w:rPr>
        <w:t xml:space="preserve">lowering </w:t>
      </w:r>
      <w:r w:rsidR="00A5128A" w:rsidRPr="004661E9">
        <w:rPr>
          <w:rFonts w:ascii="Arial" w:hAnsi="Arial" w:cs="Arial"/>
        </w:rPr>
        <w:t xml:space="preserve">therapy </w:t>
      </w:r>
      <w:r w:rsidR="00F4352A" w:rsidRPr="004661E9">
        <w:rPr>
          <w:rFonts w:ascii="Arial" w:hAnsi="Arial" w:cs="Arial"/>
        </w:rPr>
        <w:t>demonstrated that every 10 mmHg reduction i</w:t>
      </w:r>
      <w:r w:rsidR="00D129E6" w:rsidRPr="004661E9">
        <w:rPr>
          <w:rFonts w:ascii="Arial" w:hAnsi="Arial" w:cs="Arial"/>
        </w:rPr>
        <w:t>n</w:t>
      </w:r>
      <w:r w:rsidR="00F4352A" w:rsidRPr="004661E9">
        <w:rPr>
          <w:rFonts w:ascii="Arial" w:hAnsi="Arial" w:cs="Arial"/>
        </w:rPr>
        <w:t xml:space="preserve"> </w:t>
      </w:r>
      <w:r w:rsidR="00A5128A" w:rsidRPr="004661E9">
        <w:rPr>
          <w:rFonts w:ascii="Arial" w:hAnsi="Arial" w:cs="Arial"/>
        </w:rPr>
        <w:t>systolic BP (</w:t>
      </w:r>
      <w:r w:rsidR="00F4352A" w:rsidRPr="004661E9">
        <w:rPr>
          <w:rFonts w:ascii="Arial" w:hAnsi="Arial" w:cs="Arial"/>
        </w:rPr>
        <w:t>SBP</w:t>
      </w:r>
      <w:r w:rsidR="00A5128A" w:rsidRPr="004661E9">
        <w:rPr>
          <w:rFonts w:ascii="Arial" w:hAnsi="Arial" w:cs="Arial"/>
        </w:rPr>
        <w:t>)</w:t>
      </w:r>
      <w:r w:rsidR="00F4352A" w:rsidRPr="004661E9">
        <w:rPr>
          <w:rFonts w:ascii="Arial" w:hAnsi="Arial" w:cs="Arial"/>
        </w:rPr>
        <w:t xml:space="preserve"> was associated with </w:t>
      </w:r>
      <w:r w:rsidR="00D129E6" w:rsidRPr="004661E9">
        <w:rPr>
          <w:rFonts w:ascii="Arial" w:hAnsi="Arial" w:cs="Arial"/>
        </w:rPr>
        <w:t xml:space="preserve">a </w:t>
      </w:r>
      <w:r w:rsidR="002E3B49" w:rsidRPr="004661E9">
        <w:rPr>
          <w:rFonts w:ascii="Arial" w:hAnsi="Arial" w:cs="Arial"/>
        </w:rPr>
        <w:t>16%</w:t>
      </w:r>
      <w:r w:rsidR="00923433" w:rsidRPr="004661E9">
        <w:rPr>
          <w:rFonts w:ascii="Arial" w:hAnsi="Arial" w:cs="Arial"/>
        </w:rPr>
        <w:t xml:space="preserve"> to 25%</w:t>
      </w:r>
      <w:r w:rsidR="002E3B49" w:rsidRPr="004661E9">
        <w:rPr>
          <w:rFonts w:ascii="Arial" w:hAnsi="Arial" w:cs="Arial"/>
        </w:rPr>
        <w:t xml:space="preserve"> </w:t>
      </w:r>
      <w:r w:rsidRPr="004661E9">
        <w:rPr>
          <w:rFonts w:ascii="Arial" w:hAnsi="Arial" w:cs="Arial"/>
        </w:rPr>
        <w:t>lower risk of</w:t>
      </w:r>
      <w:r w:rsidR="00923433" w:rsidRPr="004661E9">
        <w:rPr>
          <w:rFonts w:ascii="Arial" w:hAnsi="Arial" w:cs="Arial"/>
        </w:rPr>
        <w:t xml:space="preserve"> HF</w:t>
      </w:r>
      <w:r w:rsidR="002E3B49" w:rsidRPr="004661E9">
        <w:rPr>
          <w:rFonts w:ascii="Arial" w:hAnsi="Arial" w:cs="Arial"/>
        </w:rPr>
        <w:t xml:space="preserve"> among individuals with </w:t>
      </w:r>
      <w:r w:rsidR="00A36DE2" w:rsidRPr="004661E9">
        <w:rPr>
          <w:rFonts w:ascii="Arial" w:hAnsi="Arial" w:cs="Arial"/>
        </w:rPr>
        <w:t>diabetes</w:t>
      </w:r>
      <w:r w:rsidR="00923433" w:rsidRPr="004661E9">
        <w:rPr>
          <w:rFonts w:ascii="Arial" w:hAnsi="Arial" w:cs="Arial"/>
        </w:rPr>
        <w:t xml:space="preserve"> and</w:t>
      </w:r>
      <w:r w:rsidR="00D129E6" w:rsidRPr="004661E9">
        <w:rPr>
          <w:rFonts w:ascii="Arial" w:hAnsi="Arial" w:cs="Arial"/>
        </w:rPr>
        <w:t xml:space="preserve"> </w:t>
      </w:r>
      <w:r w:rsidR="00923433" w:rsidRPr="004661E9">
        <w:rPr>
          <w:rFonts w:ascii="Arial" w:hAnsi="Arial" w:cs="Arial"/>
        </w:rPr>
        <w:t xml:space="preserve">25% to 43% </w:t>
      </w:r>
      <w:r w:rsidRPr="004661E9">
        <w:rPr>
          <w:rFonts w:ascii="Arial" w:hAnsi="Arial" w:cs="Arial"/>
        </w:rPr>
        <w:t xml:space="preserve">risk </w:t>
      </w:r>
      <w:r w:rsidR="00923433" w:rsidRPr="004661E9">
        <w:rPr>
          <w:rFonts w:ascii="Arial" w:hAnsi="Arial" w:cs="Arial"/>
        </w:rPr>
        <w:t xml:space="preserve">reduction among those without </w:t>
      </w:r>
      <w:r w:rsidR="00A36DE2" w:rsidRPr="004661E9">
        <w:rPr>
          <w:rFonts w:ascii="Arial" w:hAnsi="Arial" w:cs="Arial"/>
        </w:rPr>
        <w:t>diabetes</w:t>
      </w:r>
      <w:r w:rsidR="00FC7CE7" w:rsidRPr="004661E9">
        <w:rPr>
          <w:rFonts w:ascii="Arial" w:hAnsi="Arial" w:cs="Arial"/>
        </w:rPr>
        <w:t xml:space="preserve"> </w:t>
      </w:r>
      <w:r w:rsidR="000F3AD7" w:rsidRPr="004661E9">
        <w:rPr>
          <w:rFonts w:ascii="Arial" w:hAnsi="Arial" w:cs="Arial"/>
        </w:rPr>
        <w:fldChar w:fldCharType="begin" w:fldLock="1"/>
      </w:r>
      <w:r w:rsidR="003C01B8" w:rsidRPr="004661E9">
        <w:rPr>
          <w:rFonts w:ascii="Arial" w:hAnsi="Arial" w:cs="Arial"/>
        </w:rPr>
        <w:instrText>ADDIN CSL_CITATION {"citationItems":[{"id":"ITEM-1","itemData":{"DOI":"10.1016/S0140-6736(15)01225-8","ISSN":"1474547X","abstract":"Summary Background The benefits of blood pressure lowering treatment for prevention of cardiovascular disease are well established. However, the extent to which these effects differ by baseline blood pressure, presence of comorbidities, or drug class is less clear. We therefore performed a systematic review and meta-analysis to clarify these differences. Method For this systematic review and meta-analysis, we searched MEDLINE for large-scale blood pressure lowering trials, published between Jan 1, 1966, and July 7, 2015, and we searched the medical literature to identify trials up to Nov 9, 2015. All randomised controlled trials of blood pressure lowering treatment were eligible for inclusion if they included a minimum of 1000 patient-years of follow-up in each study arm. No trials were excluded because of presence of baseline comorbidities, and trials of antihypertensive drugs for indications other than hypertension were eligible. We extracted summary-level data about study characteristics and the outcomes of major cardiovascular disease events, coronary heart disease, stroke, heart failure, renal failure, and all-cause mortality. We used inverse variance weighted fixed-effects meta-analyses to pool the estimates. Results We identified 123 studies with 613 815 participants for the tabular meta-analysis. Meta-regression analyses showed relative risk reductions proportional to the magnitude of the blood pressure reductions achieved. Every 10 mm Hg reduction in systolic blood pressure significantly reduced the risk of major cardiovascular disease events (relative risk [RR] 0·80, 95% CI 0·77-0·83), coronary heart disease (0·83, 0·78-0·88), stroke (0·73, 0·68-0·77), and heart failure (0·72, 0·67-0·78), which, in the populations studied, led to a significant 13% reduction in all-cause mortality (0·87, 0·84-0·91). However, the effect on renal failure was not significant (0·95, 0·84-1·07). Similar proportional risk reductions (per 10 mm Hg lower systolic blood pressure) were noted in trials with higher mean baseline systolic blood pressure and trials with lower mean baseline systolic blood pressure (all ptrend&gt;0·05). There was no clear evidence that proportional risk reductions in major cardiovascular disease differed by baseline disease history, except for diabetes and chronic kidney disease, for which smaller, but significant, risk reductions were detected. β blockers were inferior to other drugs for the prevention of major cardiovascular disease events, str…","author":[{"dropping-particle":"","family":"Ettehad","given":"Dena","non-dropping-particle":"","parse-names":false,"suffix":""},{"dropping-particle":"","family":"Emdin","given":"Connor A.","non-dropping-particle":"","parse-names":false,"suffix":""},{"dropping-particle":"","family":"Kiran","given":"Amit","non-dropping-particle":"","parse-names":false,"suffix":""},{"dropping-particle":"","family":"Anderson","given":"Simon G.","non-dropping-particle":"","parse-names":false,"suffix":""},{"dropping-particle":"","family":"Callender","given":"Thomas","non-dropping-particle":"","parse-names":false,"suffix":""},{"dropping-particle":"","family":"Emberson","given":"Jonathan","non-dropping-particle":"","parse-names":false,"suffix":""},{"dropping-particle":"","family":"Chalmers","given":"John","non-dropping-particle":"","parse-names":false,"suffix":""},{"dropping-particle":"","family":"Rodgers","given":"Anthony","non-dropping-particle":"","parse-names":false,"suffix":""},{"dropping-particle":"","family":"Rahimi","given":"Kazem","non-dropping-particle":"","parse-names":false,"suffix":""}],"container-title":"The Lancet","id":"ITEM-1","issue":"10022","issued":{"date-parts":[["2016"]]},"page":"957-967","publisher":"Elsevier Ltd","title":"Blood pressure lowering for prevention of cardiovascular disease and death: A systematic review and meta-analysis","type":"article-journal","volume":"387"},"uris":["http://www.mendeley.com/documents/?uuid=0eb28fc3-dff6-41d0-be9d-12b9cbc519c6"]},{"id":"ITEM-2","itemData":{"DOI":"10.1097/HJH.0000000000001276","ISBN":"0000000000","ISSN":"14735598","abstract":"Background: Type 2 diabetes mellitus is associated with an increased risk of hypertension, and cardiovascular and renal disease, and it has been recommended that management of hypertension should be more aggressive in presence than in absence of diabetes mellitus, but the matter is controversial at present. Objectives: Meta-analysing all available randomized controlled trials (RCTs) to compare the effects on cardiovascular and renal outcomes of blood pressure BP lowering to different systolic BP (SBP) and diastolic BP (DBP) levels or by different drug classes in patients with and without diabetes mellitus. Methods: The database consisted of 72 BP-lowering RCTs (260 210 patients) and 50 head-to-head drug comparison RCTs (247 006). Among these two sets, RCTs or RCT subgroups separately reporting data from patients with and without diabetes mellitus were identified, and stratified by in-treatment achieved SBP and DBP, by drug class compared with placebo, and drug class compared with all other classes. Risk ratios and 95% confidence intervals, and absolute risk reductions of six fatal and nonfatal cardiovascular outcomes, all-cause death, and endstage renal disease (ESRD) were calculated (random-effects model) separately for diabetes mellitus and no diabetes mellitus, and compared by interaction analysis. Results: We identified 41 RCTs providing data on 61 772 patients with diabetes mellitus and 40 RCTs providing data on 191 353 patients without diabetes mellitus. For achieved SBP at least 140mmHg, relative and absolute reductions of most cardiovascular outcomes were significantly greater in diabetes mellitus than no diabetes mellitus, whereas for achieved SBP below 130mmHg, the difference disappeared or reversed (greater outcome reduction in no diabetes mellitus). Significant ESRD reduction was found only in diabetes mellitus, but it was greatest when achieved SBP was at least 140mmHg, and no further effect was found at SBP below 140mmHg. All antihypertensive drug classes reduced cardiovascular risk vs. placebo in diabetes mellitus and no diabetes mellitus, but angiotensin-converting enzyme inhibitors were the only class more effective in diabetes mellitus than in no diabetes mellitus. When compared to other classes, renin-angiotensin system blockers were equally effective in cardiovascular prevention in no diabetes mellitus, but moderately, though significantly, more effective in diabetes mellitus. Conclusion: BP-lowering treatment significantly and impor…","author":[{"dropping-particle":"","family":"Thomopoulos","given":"Costas","non-dropping-particle":"","parse-names":false,"suffix":""},{"dropping-particle":"","family":"Parati","given":"Gianfranco","non-dropping-particle":"","parse-names":false,"suffix":""},{"dropping-particle":"","family":"Zanchetti","given":"Alberto","non-dropping-particle":"","parse-names":false,"suffix":""}],"container-title":"Journal of Hypertension","id":"ITEM-2","issue":"5","issued":{"date-parts":[["2017"]]},"page":"922-944","title":"Effects of blood-pressure-lowering treatment on outcome incidence in hypertension:10-Should blood pressure management differ in hypertensive patients with and without diabetes mellitus? Overview and meta-analyses of randomized trials","type":"article-journal","volume":"35"},"uris":["http://www.mendeley.com/documents/?uuid=da17abd1-0c66-48d5-a9fc-b2be8ac15a63"]}],"mendeley":{"formattedCitation":"(137,138)","plainTextFormattedCitation":"(137,138)","previouslyFormattedCitation":"(137,138)"},"properties":{"noteIndex":0},"schema":"https://github.com/citation-style-language/schema/raw/master/csl-citation.json"}</w:instrText>
      </w:r>
      <w:r w:rsidR="000F3AD7" w:rsidRPr="004661E9">
        <w:rPr>
          <w:rFonts w:ascii="Arial" w:hAnsi="Arial" w:cs="Arial"/>
        </w:rPr>
        <w:fldChar w:fldCharType="separate"/>
      </w:r>
      <w:r w:rsidR="00752DF4" w:rsidRPr="004661E9">
        <w:rPr>
          <w:rFonts w:ascii="Arial" w:hAnsi="Arial" w:cs="Arial"/>
          <w:noProof/>
        </w:rPr>
        <w:t>(137,138)</w:t>
      </w:r>
      <w:r w:rsidR="000F3AD7" w:rsidRPr="004661E9">
        <w:rPr>
          <w:rFonts w:ascii="Arial" w:hAnsi="Arial" w:cs="Arial"/>
        </w:rPr>
        <w:fldChar w:fldCharType="end"/>
      </w:r>
      <w:r w:rsidR="00FC7CE7" w:rsidRPr="004661E9">
        <w:rPr>
          <w:rFonts w:ascii="Arial" w:hAnsi="Arial" w:cs="Arial"/>
        </w:rPr>
        <w:t>.</w:t>
      </w:r>
      <w:r w:rsidR="008D4B34" w:rsidRPr="004661E9">
        <w:rPr>
          <w:rFonts w:ascii="Arial" w:hAnsi="Arial" w:cs="Arial"/>
        </w:rPr>
        <w:t xml:space="preserve"> The </w:t>
      </w:r>
      <w:r w:rsidR="00A50DA6" w:rsidRPr="004661E9">
        <w:rPr>
          <w:rFonts w:ascii="Arial" w:hAnsi="Arial" w:cs="Arial"/>
        </w:rPr>
        <w:t>landmark ACCORD BP (</w:t>
      </w:r>
      <w:r w:rsidR="008D4B34" w:rsidRPr="004661E9">
        <w:rPr>
          <w:rFonts w:ascii="Arial" w:hAnsi="Arial" w:cs="Arial"/>
        </w:rPr>
        <w:t xml:space="preserve">Action to Control Cardiovascular Risk in Diabetes </w:t>
      </w:r>
      <w:r w:rsidR="00A50DA6" w:rsidRPr="004661E9">
        <w:rPr>
          <w:rFonts w:ascii="Arial" w:hAnsi="Arial" w:cs="Arial"/>
        </w:rPr>
        <w:t>B</w:t>
      </w:r>
      <w:r w:rsidR="008D4B34" w:rsidRPr="004661E9">
        <w:rPr>
          <w:rFonts w:ascii="Arial" w:hAnsi="Arial" w:cs="Arial"/>
        </w:rPr>
        <w:t xml:space="preserve">lood </w:t>
      </w:r>
      <w:r w:rsidR="00A50DA6" w:rsidRPr="004661E9">
        <w:rPr>
          <w:rFonts w:ascii="Arial" w:hAnsi="Arial" w:cs="Arial"/>
        </w:rPr>
        <w:t>P</w:t>
      </w:r>
      <w:r w:rsidR="008D4B34" w:rsidRPr="004661E9">
        <w:rPr>
          <w:rFonts w:ascii="Arial" w:hAnsi="Arial" w:cs="Arial"/>
        </w:rPr>
        <w:t>ressure</w:t>
      </w:r>
      <w:r w:rsidRPr="004661E9">
        <w:rPr>
          <w:rFonts w:ascii="Arial" w:hAnsi="Arial" w:cs="Arial"/>
        </w:rPr>
        <w:t>)</w:t>
      </w:r>
      <w:r w:rsidR="008D4B34" w:rsidRPr="004661E9">
        <w:rPr>
          <w:rFonts w:ascii="Arial" w:hAnsi="Arial" w:cs="Arial"/>
        </w:rPr>
        <w:t xml:space="preserve"> trial compared the impact of intensive (SBP goal &lt;120 mmHg) versus standard BP control (SBP &lt;140 mmHg) on </w:t>
      </w:r>
      <w:r w:rsidR="00D42EB8" w:rsidRPr="004661E9">
        <w:rPr>
          <w:rFonts w:ascii="Arial" w:hAnsi="Arial" w:cs="Arial"/>
        </w:rPr>
        <w:t>major adverse CV events (</w:t>
      </w:r>
      <w:r w:rsidR="008D4B34" w:rsidRPr="004661E9">
        <w:rPr>
          <w:rFonts w:ascii="Arial" w:hAnsi="Arial" w:cs="Arial"/>
        </w:rPr>
        <w:t>MACE</w:t>
      </w:r>
      <w:r w:rsidR="00D42EB8" w:rsidRPr="004661E9">
        <w:rPr>
          <w:rFonts w:ascii="Arial" w:hAnsi="Arial" w:cs="Arial"/>
        </w:rPr>
        <w:t>)</w:t>
      </w:r>
      <w:r w:rsidR="008D4B34" w:rsidRPr="004661E9">
        <w:rPr>
          <w:rFonts w:ascii="Arial" w:hAnsi="Arial" w:cs="Arial"/>
        </w:rPr>
        <w:t xml:space="preserve"> in hypertensive patients with </w:t>
      </w:r>
      <w:r w:rsidR="00A36DE2" w:rsidRPr="004661E9">
        <w:rPr>
          <w:rFonts w:ascii="Arial" w:hAnsi="Arial" w:cs="Arial"/>
        </w:rPr>
        <w:t>diabetes</w:t>
      </w:r>
      <w:r w:rsidR="00FC7CE7" w:rsidRPr="004661E9">
        <w:rPr>
          <w:rFonts w:ascii="Arial" w:hAnsi="Arial" w:cs="Arial"/>
        </w:rPr>
        <w:t xml:space="preserve"> </w:t>
      </w:r>
      <w:r w:rsidR="000F3AD7" w:rsidRPr="004661E9">
        <w:rPr>
          <w:rFonts w:ascii="Arial" w:hAnsi="Arial" w:cs="Arial"/>
        </w:rPr>
        <w:fldChar w:fldCharType="begin" w:fldLock="1"/>
      </w:r>
      <w:r w:rsidR="003C01B8" w:rsidRPr="004661E9">
        <w:rPr>
          <w:rFonts w:ascii="Arial" w:hAnsi="Arial" w:cs="Arial"/>
        </w:rPr>
        <w:instrText>ADDIN CSL_CITATION {"citationItems":[{"id":"ITEM-1","itemData":{"DOI":"10.1056/NEJMoa1001286","ISSN":"0028-4793","author":[{"dropping-particle":"","family":"Accord-BP-Study-Group","given":"","non-dropping-particle":"","parse-names":false,"suffix":""}],"container-title":"New England Journal of Medicine","id":"ITEM-1","issue":"17","issued":{"date-parts":[["2010","4","29"]]},"page":"1575-1585","title":"Effects of Intensive Blood-Pressure Control in Type 2 Diabetes Mellitus","type":"article-journal","volume":"362"},"uris":["http://www.mendeley.com/documents/?uuid=29dd15c6-d39a-42aa-84a6-f9b47adf7049"]}],"mendeley":{"formattedCitation":"(139)","plainTextFormattedCitation":"(139)","previouslyFormattedCitation":"(139)"},"properties":{"noteIndex":0},"schema":"https://github.com/citation-style-language/schema/raw/master/csl-citation.json"}</w:instrText>
      </w:r>
      <w:r w:rsidR="000F3AD7" w:rsidRPr="004661E9">
        <w:rPr>
          <w:rFonts w:ascii="Arial" w:hAnsi="Arial" w:cs="Arial"/>
        </w:rPr>
        <w:fldChar w:fldCharType="separate"/>
      </w:r>
      <w:r w:rsidR="00752DF4" w:rsidRPr="004661E9">
        <w:rPr>
          <w:rFonts w:ascii="Arial" w:hAnsi="Arial" w:cs="Arial"/>
          <w:noProof/>
        </w:rPr>
        <w:t>(139)</w:t>
      </w:r>
      <w:r w:rsidR="000F3AD7" w:rsidRPr="004661E9">
        <w:rPr>
          <w:rFonts w:ascii="Arial" w:hAnsi="Arial" w:cs="Arial"/>
        </w:rPr>
        <w:fldChar w:fldCharType="end"/>
      </w:r>
      <w:r w:rsidR="00FC7CE7" w:rsidRPr="004661E9">
        <w:rPr>
          <w:rFonts w:ascii="Arial" w:hAnsi="Arial" w:cs="Arial"/>
        </w:rPr>
        <w:t>.</w:t>
      </w:r>
      <w:r w:rsidR="008D4B34" w:rsidRPr="004661E9">
        <w:rPr>
          <w:rFonts w:ascii="Arial" w:hAnsi="Arial" w:cs="Arial"/>
        </w:rPr>
        <w:t xml:space="preserve"> In this trial, intensive BP control did not</w:t>
      </w:r>
      <w:r w:rsidRPr="004661E9">
        <w:rPr>
          <w:rFonts w:ascii="Arial" w:hAnsi="Arial" w:cs="Arial"/>
        </w:rPr>
        <w:t xml:space="preserve"> improve the risk of</w:t>
      </w:r>
      <w:r w:rsidR="008D4B34" w:rsidRPr="004661E9">
        <w:rPr>
          <w:rFonts w:ascii="Arial" w:hAnsi="Arial" w:cs="Arial"/>
        </w:rPr>
        <w:t xml:space="preserve"> MACE</w:t>
      </w:r>
      <w:r w:rsidR="002E1816" w:rsidRPr="004661E9">
        <w:rPr>
          <w:rFonts w:ascii="Arial" w:hAnsi="Arial" w:cs="Arial"/>
        </w:rPr>
        <w:t xml:space="preserve"> or HF</w:t>
      </w:r>
      <w:r w:rsidRPr="004661E9">
        <w:rPr>
          <w:rFonts w:ascii="Arial" w:hAnsi="Arial" w:cs="Arial"/>
        </w:rPr>
        <w:t xml:space="preserve"> </w:t>
      </w:r>
      <w:r w:rsidR="008D4B34" w:rsidRPr="004661E9">
        <w:rPr>
          <w:rFonts w:ascii="Arial" w:hAnsi="Arial" w:cs="Arial"/>
        </w:rPr>
        <w:t xml:space="preserve">but increased </w:t>
      </w:r>
      <w:r w:rsidR="008907A7" w:rsidRPr="004661E9">
        <w:rPr>
          <w:rFonts w:ascii="Arial" w:hAnsi="Arial" w:cs="Arial"/>
        </w:rPr>
        <w:t xml:space="preserve">the </w:t>
      </w:r>
      <w:r w:rsidR="008D4B34" w:rsidRPr="004661E9">
        <w:rPr>
          <w:rFonts w:ascii="Arial" w:hAnsi="Arial" w:cs="Arial"/>
        </w:rPr>
        <w:t>risk of adverse events. Therefore, the 20</w:t>
      </w:r>
      <w:r w:rsidR="00ED3ADA" w:rsidRPr="004661E9">
        <w:rPr>
          <w:rFonts w:ascii="Arial" w:hAnsi="Arial" w:cs="Arial"/>
        </w:rPr>
        <w:t>18</w:t>
      </w:r>
      <w:r w:rsidR="008D4B34" w:rsidRPr="004661E9">
        <w:rPr>
          <w:rFonts w:ascii="Arial" w:hAnsi="Arial" w:cs="Arial"/>
        </w:rPr>
        <w:t xml:space="preserve"> European Society of Cardiology</w:t>
      </w:r>
      <w:r w:rsidR="00A5128A" w:rsidRPr="004661E9">
        <w:rPr>
          <w:rFonts w:ascii="Arial" w:hAnsi="Arial" w:cs="Arial"/>
        </w:rPr>
        <w:t xml:space="preserve"> (ESC)</w:t>
      </w:r>
      <w:r w:rsidR="008D4B34" w:rsidRPr="004661E9">
        <w:rPr>
          <w:rFonts w:ascii="Arial" w:hAnsi="Arial" w:cs="Arial"/>
        </w:rPr>
        <w:t xml:space="preserve">/European Society of Hypertension guidelines for the management of arterial </w:t>
      </w:r>
      <w:r w:rsidR="006C258B" w:rsidRPr="004661E9">
        <w:rPr>
          <w:rFonts w:ascii="Arial" w:hAnsi="Arial" w:cs="Arial"/>
        </w:rPr>
        <w:t>hypertension</w:t>
      </w:r>
      <w:r w:rsidR="008D4B34" w:rsidRPr="004661E9">
        <w:rPr>
          <w:rFonts w:ascii="Arial" w:hAnsi="Arial" w:cs="Arial"/>
        </w:rPr>
        <w:t xml:space="preserve"> recommend</w:t>
      </w:r>
      <w:r w:rsidR="00AD5969" w:rsidRPr="004661E9">
        <w:rPr>
          <w:rFonts w:ascii="Arial" w:hAnsi="Arial" w:cs="Arial"/>
        </w:rPr>
        <w:t>ed</w:t>
      </w:r>
      <w:r w:rsidR="008D4B34" w:rsidRPr="004661E9">
        <w:rPr>
          <w:rFonts w:ascii="Arial" w:hAnsi="Arial" w:cs="Arial"/>
        </w:rPr>
        <w:t xml:space="preserve"> avoiding a target SBP &lt;120 mmHg in patients with </w:t>
      </w:r>
      <w:r w:rsidR="00A36DE2" w:rsidRPr="004661E9">
        <w:rPr>
          <w:rFonts w:ascii="Arial" w:hAnsi="Arial" w:cs="Arial"/>
        </w:rPr>
        <w:t>diabetes</w:t>
      </w:r>
      <w:r w:rsidR="00FC7CE7" w:rsidRPr="004661E9">
        <w:rPr>
          <w:rFonts w:ascii="Arial" w:hAnsi="Arial" w:cs="Arial"/>
        </w:rPr>
        <w:t xml:space="preserve"> </w:t>
      </w:r>
      <w:r w:rsidR="000F3AD7" w:rsidRPr="004661E9">
        <w:rPr>
          <w:rFonts w:ascii="Arial" w:hAnsi="Arial" w:cs="Arial"/>
        </w:rPr>
        <w:fldChar w:fldCharType="begin" w:fldLock="1"/>
      </w:r>
      <w:r w:rsidR="003C01B8" w:rsidRPr="004661E9">
        <w:rPr>
          <w:rFonts w:ascii="Arial" w:hAnsi="Arial" w:cs="Arial"/>
        </w:rPr>
        <w:instrText>ADDIN CSL_CITATION {"citationItems":[{"id":"ITEM-1","itemData":{"DOI":"10.1093/eurheartj/ehy339","ISSN":"15229645","PMID":"30165516","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 L.","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 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 E.","non-dropping-particle":"","parse-names":false,"suffix":""},{"dropping-particle":"","family":"Shlyakhto","given":"Evgeny","non-dropping-particle":"","parse-names":false,"suffix":""},{"dropping-particle":"","family":"Tsioufis","given":"Costas","non-dropping-particle":"","parse-names":false,"suffix":""},{"dropping-particle":"","family":"Aboyans","given":"Victor","non-dropping-particle":"","parse-names":false,"suffix":""},{"dropping-particle":"","family":"Desormais","given":"Ileana","non-dropping-particle":"","parse-names":false,"suffix":""},{"dropping-particle":"","family":"Backer","given":"Guy","non-dropping-particle":"De","parse-names":false,"suffix":""},{"dropping-particle":"","family":"Heagerty","given":"Anthony M.","non-dropping-particle":"","parse-names":false,"suffix":""},{"dropping-particle":"","family":"Agewall","given":"Stefan","non-dropping-particle":"","parse-names":false,"suffix":""},{"dropping-particle":"","family":"Bochud","given":"Murielle","non-dropping-particle":"","parse-names":false,"suffix":""},{"dropping-particle":"","family":"Borghi","given":"Claudio","non-dropping-particle":"","parse-names":false,"suffix":""},{"dropping-particle":"","family":"Boutouyrie","given":"Pierre","non-dropping-particle":"","parse-names":false,"suffix":""},{"dropping-particle":"","family":"Brguljan","given":"Jana","non-dropping-particle":"","parse-names":false,"suffix":""},{"dropping-particle":"","family":"Bueno","given":"Héctor","non-dropping-particle":"","parse-names":false,"suffix":""},{"dropping-particle":"","family":"Caiani","given":"Enrico G.","non-dropping-particle":"","parse-names":false,"suffix":""},{"dropping-particle":"","family":"Carlberg","given":"Bo","non-dropping-particle":"","parse-names":false,"suffix":""},{"dropping-particle":"","family":"Chapman","given":"Neil","non-dropping-particle":"","parse-names":false,"suffix":""},{"dropping-particle":"","family":"Cífková","given":"Renata","non-dropping-particle":"","parse-names":false,"suffix":""},{"dropping-particle":"","family":"Cleland","given":"John G.F.","non-dropping-particle":"","parse-names":false,"suffix":""},{"dropping-particle":"","family":"Collet","given":"Jean Philippe","non-dropping-particle":"","parse-names":false,"suffix":""},{"dropping-particle":"","family":"Coman","given":"Ioan Mircea","non-dropping-particle":"","parse-names":false,"suffix":""},{"dropping-particle":"","family":"Leeuw","given":"Peter W.","non-dropping-particle":"De","parse-names":false,"suffix":""},{"dropping-particle":"","family":"Delgado","given":"Victoria","non-dropping-particle":"","parse-names":false,"suffix":""},{"dropping-particle":"","family":"Dendale","given":"Paul","non-dropping-particle":"","parse-names":false,"suffix":""},{"dropping-particle":"","family":"Diener","given":"Hans Christoph","non-dropping-particle":"","parse-names":false,"suffix":""},{"dropping-particle":"","family":"Dorobantu","given":"Maria","non-dropping-particle":"","parse-names":false,"suffix":""},{"dropping-particle":"","family":"Fagard","given":"Robert","non-dropping-particle":"","parse-names":false,"suffix":""},{"dropping-particle":"","family":"Farsang","given":"Csaba","non-dropping-particle":"","parse-names":false,"suffix":""},{"dropping-particle":"","family":"Ferrini","given":"Marc","non-dropping-particle":"","parse-names":false,"suffix":""},{"dropping-particle":"","family":"Graham","given":"Ian M.","non-dropping-particle":"","parse-names":false,"suffix":""},{"dropping-particle":"","family":"Grassi","given":"Guido","non-dropping-particle":"","parse-names":false,"suffix":""},{"dropping-particle":"","family":"Haller","given":"Hermann","non-dropping-particle":"","parse-names":false,"suffix":""},{"dropping-particle":"","family":"Hobbs","given":"F. D.Richard","non-dropping-particle":"","parse-names":false,"suffix":""},{"dropping-particle":"","family":"Jelakovic","given":"Bojan","non-dropping-particle":"","parse-names":false,"suffix":""},{"dropping-particle":"","family":"Jennings","given":"Catriona","non-dropping-particle":"","parse-names":false,"suffix":""},{"dropping-particle":"","family":"Katus","given":"Hugo A.","non-dropping-particle":"","parse-names":false,"suffix":""},{"dropping-particle":"","family":"Kroon","given":"Abraham A.","non-dropping-particle":"","parse-names":false,"suffix":""},{"dropping-particle":"","family":"Leclercq","given":"Christophe","non-dropping-particle":"","parse-names":false,"suffix":""},{"dropping-particle":"","family":"Lovic","given":"Dragan","non-dropping-particle":"","parse-names":false,"suffix":""},{"dropping-particle":"","family":"Lurbe","given":"Empar","non-dropping-particle":"","parse-names":false,"suffix":""},{"dropping-particle":"","family":"Manolis","given":"Athanasios J.","non-dropping-particle":"","parse-names":false,"suffix":""},{"dropping-particle":"","family":"McDonagh","given":"Theresa A.","non-dropping-particle":"","parse-names":false,"suffix":""},{"dropping-particle":"","family":"Messerli","given":"Franz","non-dropping-particle":"","parse-names":false,"suffix":""},{"dropping-particle":"","family":"Muiesan","given":"Maria Lorenza","non-dropping-particle":"","parse-names":false,"suffix":""},{"dropping-particle":"","family":"Nixdorff","given":"Uwe","non-dropping-particle":"","parse-names":false,"suffix":""},{"dropping-particle":"","family":"Olsen","given":"Michael Hecht","non-dropping-particle":"","parse-names":false,"suffix":""},{"dropping-particle":"","family":"Parati","given":"Gianfranco","non-dropping-particle":"","parse-names":false,"suffix":""},{"dropping-particle":"","family":"Perk","given":"Joep","non-dropping-particle":"","parse-names":false,"suffix":""},{"dropping-particle":"","family":"Piepoli","given":"Massimo Francesco","non-dropping-particle":"","parse-names":false,"suffix":""},{"dropping-particle":"","family":"Polonia","given":"Jorge","non-dropping-particle":"","parse-names":false,"suffix":""},{"dropping-particle":"","family":"Ponikowski","given":"Piotr","non-dropping-particle":"","parse-names":false,"suffix":""},{"dropping-particle":"","family":"Richter","given":"Dimitrios J.","non-dropping-particle":"","parse-names":false,"suffix":""},{"dropping-particle":"","family":"Rimoldi","given":"Stefano F.","non-dropping-particle":"","parse-names":false,"suffix":""},{"dropping-particle":"","family":"Roffi","given":"Marco","non-dropping-particle":"","parse-names":false,"suffix":""},{"dropping-particle":"","family":"Sattar","given":"Naveed","non-dropping-particle":"","parse-names":false,"suffix":""},{"dropping-particle":"","family":"Seferovic","given":"Petar M.","non-dropping-particle":"","parse-names":false,"suffix":""},{"dropping-particle":"","family":"Simpson","given":"Iain A.","non-dropping-particle":"","parse-names":false,"suffix":""},{"dropping-particle":"","family":"Sousa-Uva","given":"Miguel","non-dropping-particle":"","parse-names":false,"suffix":""},{"dropping-particle":"V.","family":"Stanton","given":"Alice","non-dropping-particle":"","parse-names":false,"suffix":""},{"dropping-particle":"","family":"Borne","given":"Philippe","non-dropping-particle":"Van De","parse-names":false,"suffix":""},{"dropping-particle":"","family":"Vardas","given":"Panos","non-dropping-particle":"","parse-names":false,"suffix":""},{"dropping-particle":"","family":"Volpe","given":"Massimo","non-dropping-particle":"","parse-names":false,"suffix":""},{"dropping-particle":"","family":"Wassmann","given":"Sven","non-dropping-particle":"","parse-names":false,"suffix":""},{"dropping-particle":"","family":"Windecker","given":"Stephan","non-dropping-particle":"","parse-names":false,"suffix":""},{"dropping-particle":"","family":"Zamorano","given":"Jose Luis","non-dropping-particle":"","parse-names":false,"suffix":""}],"container-title":"European Heart Journal","id":"ITEM-1","issue":"33","issued":{"date-parts":[["2018","9","1"]]},"page":"3021-3104","publisher":"Oxford University Press","title":"2018 ESC/ESH Guidelines for themanagement of arterial hypertension","type":"article-journal","volume":"39"},"uris":["http://www.mendeley.com/documents/?uuid=5e63810c-8670-4117-a0ed-7552c87dd52b"]}],"mendeley":{"formattedCitation":"(140)","plainTextFormattedCitation":"(140)","previouslyFormattedCitation":"(140)"},"properties":{"noteIndex":0},"schema":"https://github.com/citation-style-language/schema/raw/master/csl-citation.json"}</w:instrText>
      </w:r>
      <w:r w:rsidR="000F3AD7" w:rsidRPr="004661E9">
        <w:rPr>
          <w:rFonts w:ascii="Arial" w:hAnsi="Arial" w:cs="Arial"/>
        </w:rPr>
        <w:fldChar w:fldCharType="separate"/>
      </w:r>
      <w:r w:rsidR="00752DF4" w:rsidRPr="004661E9">
        <w:rPr>
          <w:rFonts w:ascii="Arial" w:hAnsi="Arial" w:cs="Arial"/>
          <w:noProof/>
        </w:rPr>
        <w:t>(140)</w:t>
      </w:r>
      <w:r w:rsidR="000F3AD7" w:rsidRPr="004661E9">
        <w:rPr>
          <w:rFonts w:ascii="Arial" w:hAnsi="Arial" w:cs="Arial"/>
        </w:rPr>
        <w:fldChar w:fldCharType="end"/>
      </w:r>
      <w:r w:rsidR="00FC7CE7" w:rsidRPr="004661E9">
        <w:rPr>
          <w:rFonts w:ascii="Arial" w:hAnsi="Arial" w:cs="Arial"/>
        </w:rPr>
        <w:t>.</w:t>
      </w:r>
    </w:p>
    <w:p w14:paraId="1554EC02" w14:textId="77777777" w:rsidR="00FC7CE7" w:rsidRPr="004661E9" w:rsidRDefault="00FC7CE7" w:rsidP="004661E9">
      <w:pPr>
        <w:spacing w:after="0" w:line="276" w:lineRule="auto"/>
        <w:rPr>
          <w:rFonts w:ascii="Arial" w:hAnsi="Arial" w:cs="Arial"/>
        </w:rPr>
      </w:pPr>
    </w:p>
    <w:p w14:paraId="3BEB4B50" w14:textId="5E4E6EB3" w:rsidR="00FC7CE7" w:rsidRPr="004661E9" w:rsidRDefault="00E32683" w:rsidP="004661E9">
      <w:pPr>
        <w:spacing w:after="0" w:line="276" w:lineRule="auto"/>
        <w:rPr>
          <w:rFonts w:ascii="Arial" w:hAnsi="Arial" w:cs="Arial"/>
        </w:rPr>
      </w:pPr>
      <w:r w:rsidRPr="004661E9">
        <w:rPr>
          <w:rFonts w:ascii="Arial" w:hAnsi="Arial" w:cs="Arial"/>
        </w:rPr>
        <w:t xml:space="preserve">The antihypertensive drug classes with strong </w:t>
      </w:r>
      <w:r w:rsidR="0077540D" w:rsidRPr="004661E9">
        <w:rPr>
          <w:rFonts w:ascii="Arial" w:hAnsi="Arial" w:cs="Arial"/>
        </w:rPr>
        <w:t>CV</w:t>
      </w:r>
      <w:r w:rsidRPr="004661E9">
        <w:rPr>
          <w:rFonts w:ascii="Arial" w:hAnsi="Arial" w:cs="Arial"/>
        </w:rPr>
        <w:t xml:space="preserve"> risk reduction in </w:t>
      </w:r>
      <w:r w:rsidR="0055331D" w:rsidRPr="004661E9">
        <w:rPr>
          <w:rFonts w:ascii="Arial" w:hAnsi="Arial" w:cs="Arial"/>
        </w:rPr>
        <w:t>individuals</w:t>
      </w:r>
      <w:r w:rsidRPr="004661E9">
        <w:rPr>
          <w:rFonts w:ascii="Arial" w:hAnsi="Arial" w:cs="Arial"/>
        </w:rPr>
        <w:t xml:space="preserve"> with </w:t>
      </w:r>
      <w:r w:rsidR="00A36DE2" w:rsidRPr="004661E9">
        <w:rPr>
          <w:rFonts w:ascii="Arial" w:hAnsi="Arial" w:cs="Arial"/>
        </w:rPr>
        <w:t>diabetes</w:t>
      </w:r>
      <w:r w:rsidRPr="004661E9">
        <w:rPr>
          <w:rFonts w:ascii="Arial" w:hAnsi="Arial" w:cs="Arial"/>
        </w:rPr>
        <w:t xml:space="preserve"> are thiazide diuretics, a</w:t>
      </w:r>
      <w:r w:rsidR="00ED3ADA" w:rsidRPr="004661E9">
        <w:rPr>
          <w:rFonts w:ascii="Arial" w:hAnsi="Arial" w:cs="Arial"/>
        </w:rPr>
        <w:t>ngiotensin-converting enzyme (ACE) inhibitors</w:t>
      </w:r>
      <w:r w:rsidRPr="004661E9">
        <w:rPr>
          <w:rFonts w:ascii="Arial" w:hAnsi="Arial" w:cs="Arial"/>
        </w:rPr>
        <w:t>, angiotensin receptor blockers (ARBs), and dihydropyridine calcium channel blockers. Therefore, any of these agents can be considered a</w:t>
      </w:r>
      <w:r w:rsidR="00543EDD" w:rsidRPr="004661E9">
        <w:rPr>
          <w:rFonts w:ascii="Arial" w:hAnsi="Arial" w:cs="Arial"/>
        </w:rPr>
        <w:t xml:space="preserve"> first-line therapy for lowering BP</w:t>
      </w:r>
      <w:r w:rsidRPr="004661E9">
        <w:rPr>
          <w:rFonts w:ascii="Arial" w:hAnsi="Arial" w:cs="Arial"/>
        </w:rPr>
        <w:t xml:space="preserve"> in </w:t>
      </w:r>
      <w:r w:rsidR="0055331D" w:rsidRPr="004661E9">
        <w:rPr>
          <w:rFonts w:ascii="Arial" w:hAnsi="Arial" w:cs="Arial"/>
        </w:rPr>
        <w:t>individuals</w:t>
      </w:r>
      <w:r w:rsidRPr="004661E9">
        <w:rPr>
          <w:rFonts w:ascii="Arial" w:hAnsi="Arial" w:cs="Arial"/>
        </w:rPr>
        <w:t xml:space="preserve"> with </w:t>
      </w:r>
      <w:r w:rsidR="00A36DE2" w:rsidRPr="004661E9">
        <w:rPr>
          <w:rFonts w:ascii="Arial" w:hAnsi="Arial" w:cs="Arial"/>
        </w:rPr>
        <w:t>diabetes</w:t>
      </w:r>
      <w:r w:rsidRPr="004661E9">
        <w:rPr>
          <w:rFonts w:ascii="Arial" w:hAnsi="Arial" w:cs="Arial"/>
        </w:rPr>
        <w:t xml:space="preserve">. Because of </w:t>
      </w:r>
      <w:r w:rsidRPr="004661E9">
        <w:rPr>
          <w:rFonts w:ascii="Arial" w:hAnsi="Arial" w:cs="Arial"/>
        </w:rPr>
        <w:lastRenderedPageBreak/>
        <w:t>their renal protection</w:t>
      </w:r>
      <w:r w:rsidR="0015065B" w:rsidRPr="004661E9">
        <w:rPr>
          <w:rFonts w:ascii="Arial" w:hAnsi="Arial" w:cs="Arial"/>
        </w:rPr>
        <w:t xml:space="preserve"> benefits</w:t>
      </w:r>
      <w:r w:rsidRPr="004661E9">
        <w:rPr>
          <w:rFonts w:ascii="Arial" w:hAnsi="Arial" w:cs="Arial"/>
        </w:rPr>
        <w:t xml:space="preserve">, </w:t>
      </w:r>
      <w:r w:rsidR="00222389" w:rsidRPr="004661E9">
        <w:rPr>
          <w:rFonts w:ascii="Arial" w:hAnsi="Arial" w:cs="Arial"/>
        </w:rPr>
        <w:t xml:space="preserve">an ACE inhibitor or an ARB should be </w:t>
      </w:r>
      <w:r w:rsidR="0015065B" w:rsidRPr="004661E9">
        <w:rPr>
          <w:rFonts w:ascii="Arial" w:hAnsi="Arial" w:cs="Arial"/>
        </w:rPr>
        <w:t xml:space="preserve">a part of </w:t>
      </w:r>
      <w:r w:rsidR="00222389" w:rsidRPr="004661E9">
        <w:rPr>
          <w:rFonts w:ascii="Arial" w:hAnsi="Arial" w:cs="Arial"/>
        </w:rPr>
        <w:t xml:space="preserve">the initial therapy for </w:t>
      </w:r>
      <w:r w:rsidR="0055331D" w:rsidRPr="004661E9">
        <w:rPr>
          <w:rFonts w:ascii="Arial" w:hAnsi="Arial" w:cs="Arial"/>
        </w:rPr>
        <w:t>those</w:t>
      </w:r>
      <w:r w:rsidR="00222389" w:rsidRPr="004661E9">
        <w:rPr>
          <w:rFonts w:ascii="Arial" w:hAnsi="Arial" w:cs="Arial"/>
        </w:rPr>
        <w:t xml:space="preserve"> with albuminuria</w:t>
      </w:r>
      <w:r w:rsidR="00FC7CE7" w:rsidRPr="004661E9">
        <w:rPr>
          <w:rFonts w:ascii="Arial" w:hAnsi="Arial" w:cs="Arial"/>
        </w:rPr>
        <w:t xml:space="preserve"> </w:t>
      </w:r>
      <w:r w:rsidR="001C412B" w:rsidRPr="004661E9">
        <w:rPr>
          <w:rFonts w:ascii="Arial" w:hAnsi="Arial" w:cs="Arial"/>
        </w:rPr>
        <w:fldChar w:fldCharType="begin" w:fldLock="1"/>
      </w:r>
      <w:r w:rsidR="001C412B" w:rsidRPr="004661E9">
        <w:rPr>
          <w:rFonts w:ascii="Arial" w:hAnsi="Arial" w:cs="Arial"/>
        </w:rPr>
        <w:instrText>ADDIN CSL_CITATION {"citationItems":[{"id":"ITEM-1","itemData":{"DOI":"10.1016/j.jash.2018.06.010","ISSN":"19331711","abstract":"Glenn N. Levine, MD, FACC, FAHA, Chair Patrick T. O’Gara, MD, MACC, FAHA, Chair-Elect Jonathan L. Halperin, MD, FACC, FAHA, Immediate Past Chair Sana M. Al-Khatib, MD, MHS, FACC, FAHA Joshua A. Beckman, MD, MS, FAHA Kim K. Birtcher, MS, PharmD, AACC Biykem Bozkurt, MD, PhD, FACC, FAHA","author":[{"dropping-particle":"","family":"Whelton","given":"Paul K.","non-dropping-particle":"","parse-names":false,"suffix":""},{"dropping-particle":"","family":"Carey","given":"Robert M.","non-dropping-particle":"","parse-names":false,"suffix":""},{"dropping-particle":"","family":"Aronow","given":"Wilbert S.","non-dropping-particle":"","parse-names":false,"suffix":""},{"dropping-particle":"","family":"Casey","given":"Donald E.","non-dropping-particle":"","parse-names":false,"suffix":""},{"dropping-particle":"","family":"Collins","given":"Karen J.","non-dropping-particle":"","parse-names":false,"suffix":""},{"dropping-particle":"","family":"Dennison Himmelfarb","given":"Cheryl","non-dropping-particle":"","parse-names":false,"suffix":""},{"dropping-particle":"","family":"DePalma","given":"Sondra M.","non-dropping-particle":"","parse-names":false,"suffix":""},{"dropping-particle":"","family":"Gidding","given":"Samuel","non-dropping-particle":"","parse-names":false,"suffix":""},{"dropping-particle":"","family":"Jamerson","given":"Kenneth A.","non-dropping-particle":"","parse-names":false,"suffix":""},{"dropping-particle":"","family":"Jones","given":"Daniel W.","non-dropping-particle":"","parse-names":false,"suffix":""},{"dropping-particle":"","family":"MacLaughlin","given":"Eric J.","non-dropping-particle":"","parse-names":false,"suffix":""},{"dropping-particle":"","family":"Muntner","given":"Paul","non-dropping-particle":"","parse-names":false,"suffix":""},{"dropping-particle":"","family":"Ovbiagele","given":"Bruce","non-dropping-particle":"","parse-names":false,"suffix":""},{"dropping-particle":"","family":"Smith","given":"Sidney C.","non-dropping-particle":"","parse-names":false,"suffix":""},{"dropping-particle":"","family":"Spencer","given":"Crystal C.","non-dropping-particle":"","parse-names":false,"suffix":""},{"dropping-particle":"","family":"Stafford","given":"Randall S.","non-dropping-particle":"","parse-names":false,"suffix":""},{"dropping-particle":"","family":"Taler","given":"Sandra J.","non-dropping-particle":"","parse-names":false,"suffix":""},{"dropping-particle":"","family":"Thomas","given":"Randal J.","non-dropping-particle":"","parse-names":false,"suffix":""},{"dropping-particle":"","family":"Williams","given":"Kim A.","non-dropping-particle":"","parse-names":false,"suffix":""},{"dropping-particle":"","family":"Williamson","given":"Jeff D.","non-dropping-particle":"","parse-names":false,"suffix":""},{"dropping-particle":"","family":"Wright","given":"Jackson T.","non-dropping-particle":"","parse-names":false,"suffix":""}],"container-title":"JACC","id":"ITEM-1","issue":"19","issued":{"date-parts":[["2018"]]},"note":"2017 HTN guideline suggest screening for DM by fasting blood glucose. The guidelines *** in precision of BP target in adults with hypertesion and diabetes\n\n+\n\n- in 2017 American College of Cardiology/American Heart Association re-defined the threshold/goal for hypertension as &amp;gt;=130/80 mm Hg in the light meta-analysis of 19 randomized clinical trials including landmark SPRINT trial.","page":"e127-e248","title":"2017 ACC/AHA/AAPA/ABC/ACPM/AGS/APhA/ASH/ASPC/NMA/PCNA Guideline for the Prevention, Detection, Evaluation, and Management of High Blood Pressure in Adults: Executive Summary","type":"article-journal","volume":"71"},"uris":["http://www.mendeley.com/documents/?uuid=cc010c43-1bda-4fcb-9d6d-1775b3e27889"]},{"id":"ITEM-2","itemData":{"DOI":"10.2337/dc23-S010","ISSN":"19355548","PMID":"36507632","abstract":"The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S.","non-dropping-particle":"","parse-names":false,"suffix":""},{"dropping-particle":"","family":"Das","given":"Sandeep R.","non-dropping-particle":"","parse-names":false,"suffix":""},{"dropping-particle":"","family":"Hilliard","given":"Marisa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Kosiborod","given":"Mikhail","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Care","id":"ITEM-2","issue":"January","issued":{"date-parts":[["2023"]]},"page":"S158-S190","title":"10. Cardiovascular Disease and Risk Management: Standards of Care in Diabetes—2023","type":"article-journal","volume":"46"},"uris":["http://www.mendeley.com/documents/?uuid=7002a8c8-d784-44d2-8b19-a77cc70b7b35"]}],"mendeley":{"formattedCitation":"(136,141)","plainTextFormattedCitation":"(136,141)","previouslyFormattedCitation":"(136,141)"},"properties":{"noteIndex":0},"schema":"https://github.com/citation-style-language/schema/raw/master/csl-citation.json"}</w:instrText>
      </w:r>
      <w:r w:rsidR="001C412B" w:rsidRPr="004661E9">
        <w:rPr>
          <w:rFonts w:ascii="Arial" w:hAnsi="Arial" w:cs="Arial"/>
        </w:rPr>
        <w:fldChar w:fldCharType="separate"/>
      </w:r>
      <w:r w:rsidR="001C412B" w:rsidRPr="004661E9">
        <w:rPr>
          <w:rFonts w:ascii="Arial" w:hAnsi="Arial" w:cs="Arial"/>
          <w:noProof/>
        </w:rPr>
        <w:t>(136,141)</w:t>
      </w:r>
      <w:r w:rsidR="001C412B" w:rsidRPr="004661E9">
        <w:rPr>
          <w:rFonts w:ascii="Arial" w:hAnsi="Arial" w:cs="Arial"/>
        </w:rPr>
        <w:fldChar w:fldCharType="end"/>
      </w:r>
      <w:r w:rsidR="00FC7CE7" w:rsidRPr="004661E9">
        <w:rPr>
          <w:rFonts w:ascii="Arial" w:hAnsi="Arial" w:cs="Arial"/>
        </w:rPr>
        <w:t>.</w:t>
      </w:r>
      <w:r w:rsidRPr="004661E9">
        <w:rPr>
          <w:rFonts w:ascii="Arial" w:hAnsi="Arial" w:cs="Arial"/>
        </w:rPr>
        <w:t xml:space="preserve"> </w:t>
      </w:r>
      <w:r w:rsidR="00222389" w:rsidRPr="004661E9">
        <w:rPr>
          <w:rFonts w:ascii="Arial" w:hAnsi="Arial" w:cs="Arial"/>
        </w:rPr>
        <w:t>It should be noted that beta</w:t>
      </w:r>
      <w:r w:rsidR="00D129E6" w:rsidRPr="004661E9">
        <w:rPr>
          <w:rFonts w:ascii="Arial" w:hAnsi="Arial" w:cs="Arial"/>
        </w:rPr>
        <w:t>-</w:t>
      </w:r>
      <w:r w:rsidR="00222389" w:rsidRPr="004661E9">
        <w:rPr>
          <w:rFonts w:ascii="Arial" w:hAnsi="Arial" w:cs="Arial"/>
        </w:rPr>
        <w:t xml:space="preserve">blockers are not among the first-line antihypertensive agents for patients with or without </w:t>
      </w:r>
      <w:r w:rsidR="00A36DE2" w:rsidRPr="004661E9">
        <w:rPr>
          <w:rFonts w:ascii="Arial" w:hAnsi="Arial" w:cs="Arial"/>
        </w:rPr>
        <w:t>diabetes</w:t>
      </w:r>
      <w:r w:rsidR="00222389" w:rsidRPr="004661E9">
        <w:rPr>
          <w:rFonts w:ascii="Arial" w:hAnsi="Arial" w:cs="Arial"/>
        </w:rPr>
        <w:t xml:space="preserve">. Because there is insufficient evidence on </w:t>
      </w:r>
      <w:r w:rsidR="00D129E6" w:rsidRPr="004661E9">
        <w:rPr>
          <w:rFonts w:ascii="Arial" w:hAnsi="Arial" w:cs="Arial"/>
        </w:rPr>
        <w:t xml:space="preserve">the </w:t>
      </w:r>
      <w:r w:rsidR="00222389" w:rsidRPr="004661E9">
        <w:rPr>
          <w:rFonts w:ascii="Arial" w:hAnsi="Arial" w:cs="Arial"/>
        </w:rPr>
        <w:t>mortality benefits of beta</w:t>
      </w:r>
      <w:r w:rsidR="00D129E6" w:rsidRPr="004661E9">
        <w:rPr>
          <w:rFonts w:ascii="Arial" w:hAnsi="Arial" w:cs="Arial"/>
        </w:rPr>
        <w:t>-</w:t>
      </w:r>
      <w:r w:rsidR="00222389" w:rsidRPr="004661E9">
        <w:rPr>
          <w:rFonts w:ascii="Arial" w:hAnsi="Arial" w:cs="Arial"/>
        </w:rPr>
        <w:t xml:space="preserve">blockers when used for the sole purpose of BP reduction in the absence of </w:t>
      </w:r>
      <w:r w:rsidR="006C258B" w:rsidRPr="004661E9">
        <w:rPr>
          <w:rFonts w:ascii="Arial" w:hAnsi="Arial" w:cs="Arial"/>
        </w:rPr>
        <w:t>HF</w:t>
      </w:r>
      <w:r w:rsidR="00222389" w:rsidRPr="004661E9">
        <w:rPr>
          <w:rFonts w:ascii="Arial" w:hAnsi="Arial" w:cs="Arial"/>
        </w:rPr>
        <w:t xml:space="preserve"> or </w:t>
      </w:r>
      <w:r w:rsidR="007D4B33" w:rsidRPr="004661E9">
        <w:rPr>
          <w:rFonts w:ascii="Arial" w:hAnsi="Arial" w:cs="Arial"/>
        </w:rPr>
        <w:t>CAD</w:t>
      </w:r>
      <w:r w:rsidR="00FC7CE7" w:rsidRPr="004661E9">
        <w:rPr>
          <w:rFonts w:ascii="Arial" w:hAnsi="Arial" w:cs="Arial"/>
        </w:rPr>
        <w:t xml:space="preserve"> </w:t>
      </w:r>
      <w:r w:rsidR="001C412B" w:rsidRPr="004661E9">
        <w:rPr>
          <w:rFonts w:ascii="Arial" w:hAnsi="Arial" w:cs="Arial"/>
        </w:rPr>
        <w:fldChar w:fldCharType="begin" w:fldLock="1"/>
      </w:r>
      <w:r w:rsidR="001C412B" w:rsidRPr="004661E9">
        <w:rPr>
          <w:rFonts w:ascii="Arial" w:hAnsi="Arial" w:cs="Arial"/>
        </w:rPr>
        <w:instrText>ADDIN CSL_CITATION {"citationItems":[{"id":"ITEM-1","itemData":{"DOI":"10.1016/j.jash.2018.06.010","ISSN":"19331711","abstract":"Glenn N. Levine, MD, FACC, FAHA, Chair Patrick T. O’Gara, MD, MACC, FAHA, Chair-Elect Jonathan L. Halperin, MD, FACC, FAHA, Immediate Past Chair Sana M. Al-Khatib, MD, MHS, FACC, FAHA Joshua A. Beckman, MD, MS, FAHA Kim K. Birtcher, MS, PharmD, AACC Biykem Bozkurt, MD, PhD, FACC, FAHA","author":[{"dropping-particle":"","family":"Whelton","given":"Paul K.","non-dropping-particle":"","parse-names":false,"suffix":""},{"dropping-particle":"","family":"Carey","given":"Robert M.","non-dropping-particle":"","parse-names":false,"suffix":""},{"dropping-particle":"","family":"Aronow","given":"Wilbert S.","non-dropping-particle":"","parse-names":false,"suffix":""},{"dropping-particle":"","family":"Casey","given":"Donald E.","non-dropping-particle":"","parse-names":false,"suffix":""},{"dropping-particle":"","family":"Collins","given":"Karen J.","non-dropping-particle":"","parse-names":false,"suffix":""},{"dropping-particle":"","family":"Dennison Himmelfarb","given":"Cheryl","non-dropping-particle":"","parse-names":false,"suffix":""},{"dropping-particle":"","family":"DePalma","given":"Sondra M.","non-dropping-particle":"","parse-names":false,"suffix":""},{"dropping-particle":"","family":"Gidding","given":"Samuel","non-dropping-particle":"","parse-names":false,"suffix":""},{"dropping-particle":"","family":"Jamerson","given":"Kenneth A.","non-dropping-particle":"","parse-names":false,"suffix":""},{"dropping-particle":"","family":"Jones","given":"Daniel W.","non-dropping-particle":"","parse-names":false,"suffix":""},{"dropping-particle":"","family":"MacLaughlin","given":"Eric J.","non-dropping-particle":"","parse-names":false,"suffix":""},{"dropping-particle":"","family":"Muntner","given":"Paul","non-dropping-particle":"","parse-names":false,"suffix":""},{"dropping-particle":"","family":"Ovbiagele","given":"Bruce","non-dropping-particle":"","parse-names":false,"suffix":""},{"dropping-particle":"","family":"Smith","given":"Sidney C.","non-dropping-particle":"","parse-names":false,"suffix":""},{"dropping-particle":"","family":"Spencer","given":"Crystal C.","non-dropping-particle":"","parse-names":false,"suffix":""},{"dropping-particle":"","family":"Stafford","given":"Randall S.","non-dropping-particle":"","parse-names":false,"suffix":""},{"dropping-particle":"","family":"Taler","given":"Sandra J.","non-dropping-particle":"","parse-names":false,"suffix":""},{"dropping-particle":"","family":"Thomas","given":"Randal J.","non-dropping-particle":"","parse-names":false,"suffix":""},{"dropping-particle":"","family":"Williams","given":"Kim A.","non-dropping-particle":"","parse-names":false,"suffix":""},{"dropping-particle":"","family":"Williamson","given":"Jeff D.","non-dropping-particle":"","parse-names":false,"suffix":""},{"dropping-particle":"","family":"Wright","given":"Jackson T.","non-dropping-particle":"","parse-names":false,"suffix":""}],"container-title":"JACC","id":"ITEM-1","issue":"19","issued":{"date-parts":[["2018"]]},"note":"2017 HTN guideline suggest screening for DM by fasting blood glucose. The guidelines *** in precision of BP target in adults with hypertesion and diabetes\n\n+\n\n- in 2017 American College of Cardiology/American Heart Association re-defined the threshold/goal for hypertension as &amp;gt;=130/80 mm Hg in the light meta-analysis of 19 randomized clinical trials including landmark SPRINT trial.","page":"e127-e248","title":"2017 ACC/AHA/AAPA/ABC/ACPM/AGS/APhA/ASH/ASPC/NMA/PCNA Guideline for the Prevention, Detection, Evaluation, and Management of High Blood Pressure in Adults: Executive Summary","type":"article-journal","volume":"71"},"uris":["http://www.mendeley.com/documents/?uuid=cc010c43-1bda-4fcb-9d6d-1775b3e27889"]},{"id":"ITEM-2","itemData":{"DOI":"10.2337/dc23-S010","ISSN":"19355548","PMID":"36507632","abstract":"The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S.","non-dropping-particle":"","parse-names":false,"suffix":""},{"dropping-particle":"","family":"Das","given":"Sandeep R.","non-dropping-particle":"","parse-names":false,"suffix":""},{"dropping-particle":"","family":"Hilliard","given":"Marisa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Kosiborod","given":"Mikhail","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Care","id":"ITEM-2","issue":"January","issued":{"date-parts":[["2023"]]},"page":"S158-S190","title":"10. Cardiovascular Disease and Risk Management: Standards of Care in Diabetes—2023","type":"article-journal","volume":"46"},"uris":["http://www.mendeley.com/documents/?uuid=7002a8c8-d784-44d2-8b19-a77cc70b7b35"]}],"mendeley":{"formattedCitation":"(136,141)","plainTextFormattedCitation":"(136,141)","previouslyFormattedCitation":"(136,141)"},"properties":{"noteIndex":0},"schema":"https://github.com/citation-style-language/schema/raw/master/csl-citation.json"}</w:instrText>
      </w:r>
      <w:r w:rsidR="001C412B" w:rsidRPr="004661E9">
        <w:rPr>
          <w:rFonts w:ascii="Arial" w:hAnsi="Arial" w:cs="Arial"/>
        </w:rPr>
        <w:fldChar w:fldCharType="separate"/>
      </w:r>
      <w:r w:rsidR="001C412B" w:rsidRPr="004661E9">
        <w:rPr>
          <w:rFonts w:ascii="Arial" w:hAnsi="Arial" w:cs="Arial"/>
          <w:noProof/>
        </w:rPr>
        <w:t>(136,141)</w:t>
      </w:r>
      <w:r w:rsidR="001C412B" w:rsidRPr="004661E9">
        <w:rPr>
          <w:rFonts w:ascii="Arial" w:hAnsi="Arial" w:cs="Arial"/>
        </w:rPr>
        <w:fldChar w:fldCharType="end"/>
      </w:r>
      <w:r w:rsidR="00FC7CE7" w:rsidRPr="004661E9">
        <w:rPr>
          <w:rFonts w:ascii="Arial" w:hAnsi="Arial" w:cs="Arial"/>
        </w:rPr>
        <w:t>.</w:t>
      </w:r>
      <w:r w:rsidR="00222389" w:rsidRPr="004661E9">
        <w:rPr>
          <w:rFonts w:ascii="Arial" w:hAnsi="Arial" w:cs="Arial"/>
        </w:rPr>
        <w:t xml:space="preserve"> </w:t>
      </w:r>
      <w:r w:rsidR="00A50DA6" w:rsidRPr="004661E9">
        <w:rPr>
          <w:rFonts w:ascii="Arial" w:hAnsi="Arial" w:cs="Arial"/>
        </w:rPr>
        <w:t>The landmark Antihypertensive and Lipid-Lowering Treatment to Prevent Heart Attack (ALLHAT) has been the largest trial designed to assess the relative efficacy of different antihypertensive agents in protection against CVD.</w:t>
      </w:r>
      <w:r w:rsidR="00F01E49" w:rsidRPr="004661E9">
        <w:rPr>
          <w:rFonts w:ascii="Arial" w:hAnsi="Arial" w:cs="Arial"/>
        </w:rPr>
        <w:t xml:space="preserve"> The results of this trial demonstrated that chlorthalidone (a thiazide diuretic) was superior to lisinopril (an ACE inhibitor) and amlodipine (a </w:t>
      </w:r>
      <w:r w:rsidR="00A5128A" w:rsidRPr="004661E9">
        <w:rPr>
          <w:rFonts w:ascii="Arial" w:hAnsi="Arial" w:cs="Arial"/>
        </w:rPr>
        <w:t>calcium-channel blocker</w:t>
      </w:r>
      <w:r w:rsidR="00F01E49" w:rsidRPr="004661E9">
        <w:rPr>
          <w:rFonts w:ascii="Arial" w:hAnsi="Arial" w:cs="Arial"/>
        </w:rPr>
        <w:t xml:space="preserve">) </w:t>
      </w:r>
      <w:r w:rsidR="00AD5969" w:rsidRPr="004661E9">
        <w:rPr>
          <w:rFonts w:ascii="Arial" w:hAnsi="Arial" w:cs="Arial"/>
        </w:rPr>
        <w:t>in</w:t>
      </w:r>
      <w:r w:rsidR="00F01E49" w:rsidRPr="004661E9">
        <w:rPr>
          <w:rFonts w:ascii="Arial" w:hAnsi="Arial" w:cs="Arial"/>
        </w:rPr>
        <w:t xml:space="preserve"> </w:t>
      </w:r>
      <w:r w:rsidR="00D129E6" w:rsidRPr="004661E9">
        <w:rPr>
          <w:rFonts w:ascii="Arial" w:hAnsi="Arial" w:cs="Arial"/>
        </w:rPr>
        <w:t xml:space="preserve">the </w:t>
      </w:r>
      <w:r w:rsidR="00F01E49" w:rsidRPr="004661E9">
        <w:rPr>
          <w:rFonts w:ascii="Arial" w:hAnsi="Arial" w:cs="Arial"/>
        </w:rPr>
        <w:t xml:space="preserve">prevention of HF among patients with or without </w:t>
      </w:r>
      <w:r w:rsidR="00A36DE2" w:rsidRPr="004661E9">
        <w:rPr>
          <w:rFonts w:ascii="Arial" w:hAnsi="Arial" w:cs="Arial"/>
        </w:rPr>
        <w:t>diabetes</w:t>
      </w:r>
      <w:r w:rsidR="00FC7CE7"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{"citationItems":[{"id":"ITEM-1","itemData":{"DOI":"10.1001/archinte.165.12.1401","ISSN":"00039926","abstract":"Background: Optimal first-step antihypertensive drug therapy in type 2 diabetes mellitus (DM) or impaired fasting glucose levels (IFG) is uncertain. We wished to determine whether treatment with a calcium channel blocker or an angiotensin-converting enzyme inhibitor decreases clinical complications compared with treatment with a thiazide-type diuretic in DM, IFG, and normoglycemia (NG). Methods: Active-controlled trial in 31 512 adults, 55 years or older, with hypertension and at least 1 other risk factor for coronary heart disease, stratified into DM (n = 13 101), IFG (n = 1399), and NG (n = 17 012) groups on the basis of national guidelines. Participants were randomly assigned to double-blind first-step treatment with chlorthalidone, 12.5 to 25 mg/d, amlodipine besylate, 2.5 to 10 mg/d, or lisinopril, 10 to 40 mg/d. We conducted an intention-to-treat analysis of fatal coronary heart disease or nonfatal myocardial infarction (primary outcome), total mortality, and other clinical complications. Results: There was no significant difference in relative risk (RR) for the primary outcome in DM or NG participants assigned to amlodipine or lisinopril vs chlorthalidone or in IFG participants assigned to lisinopril vs chlorthalidone. A significantly higher RR (95% confidence interval) was noted for the primary outcome in IFG participants assigned to amlodipine vs chlorthalidone (1.73 [1.10-2.72]). Stroke was more common in NG participants assigned to lisinopril vs chlorthalidone (1.31 [1.10-1.57]). Heart failure was more common in DM and NG participants assigned to amlodipine (1.39 [1.22-1.59] and 1.30 [1.12-1.51], respectively) or lisinopril (1.15 [1.00-1.32] and 1.19 [1.02-1.39], respectively) vs chlorthalidone. Conclusion: Our results provide no evidence of superiority for treatment with calcium channel blockers or angiotensin-converting enzyme inhibitors compared with a thiazide-type diuretic during first-step antihypertensive therapy in DM, IFG, or NG. ©2005 American Medical Association. All rights reserved.","author":[{"dropping-particle":"","family":"Whelton","given":"Paul K.","non-dropping-particle":"","parse-names":false,"suffix":""},{"dropping-particle":"","family":"Barzilay","given":"Joshua","non-dropping-particle":"","parse-names":false,"suffix":""},{"dropping-particle":"","family":"Cushman","given":"William C.","non-dropping-particle":"","parse-names":false,"suffix":""},{"dropping-particle":"","family":"Davis","given":"Barry R.","non-dropping-particle":"","parse-names":false,"suffix":""},{"dropping-particle":"","family":"Ilamathi","given":"Ekambaram","non-dropping-particle":"","parse-names":false,"suffix":""},{"dropping-particle":"","family":"Kostis","given":"John B.","non-dropping-particle":"","parse-names":false,"suffix":""},{"dropping-particle":"","family":"Leenen","given":"Frans H.H.","non-dropping-particle":"","parse-names":false,"suffix":""},{"dropping-particle":"","family":"Louis","given":"Gail T.","non-dropping-particle":"","parse-names":false,"suffix":""},{"dropping-particle":"","family":"Margolis","given":"Karen L.","non-dropping-particle":"","parse-names":false,"suffix":""},{"dropping-particle":"","family":"Mathis","given":"David E.","non-dropping-particle":"","parse-names":false,"suffix":""},{"dropping-particle":"","family":"Moloo","given":"Jamal","non-dropping-particle":"","parse-names":false,"suffix":""},{"dropping-particle":"","family":"Nwachuku","given":"Chuke","non-dropping-particle":"","parse-names":false,"suffix":""},{"dropping-particle":"","family":"Panebianco","given":"Deborah","non-dropping-particle":"","parse-names":false,"suffix":""},{"dropping-particle":"","family":"Parish","given":"David C.","non-dropping-particle":"","parse-names":false,"suffix":""},{"dropping-particle":"","family":"Pressel","given":"Sara","non-dropping-particle":"","parse-names":false,"suffix":""},{"dropping-particle":"","family":"Simmons","given":"Debra L.","non-dropping-particle":"","parse-names":false,"suffix":""},{"dropping-particle":"","family":"Thadani","given":"Udho","non-dropping-particle":"","parse-names":false,"suffix":""}],"container-title":"Archives of Internal Medicine","id":"ITEM-1","issue":"12","issued":{"date-parts":[["2005","6","13"]]},"page":"1401-1409","publisher":"American Medical Association","title":"Clinical outcomes in antihypertensive treatment of type 2 diabetes, impaired fasting glucose concentration, and normoglycemia: Antihypertensive and Lipid-Lowering Treatment to Prevent Heart Attack Trial (ALLHAT)","type":"article-journal","volume":"165"},"uris":["http://www.mendeley.com/documents/?uuid=e1071de0-38ca-3ac5-a9e8-a4fe5eaddd4c"]},{"id":"ITEM-2","itemData":{"DOI":"10.1001/archinternmed.2009.60","ISSN":"00039926","abstract":"The Antihypertensive and Lipid-Lowering Treatment to Prevent Heart Attack Trial (ALLHAT) is reevaluated considering information from new clinical trials, meta-analyses, and recent subgroup and explanatory analyses from ALLHAT, especially those regarding heart failure (HF) and the association of drug treatment with new-onset diabetes mellitus (DM) and its cardiovascular disease (CVD) consequences. Chlorthalidone was superior to (1) doxazosin mesylate in preventing combined CVD (CCVD) (risk ratio [RR], 1.20; 95% confidence interval [CI], 1.13-1.27), especially HF (RR, 1.80; 95% CI, 1.40-2.22) and stroke (RR, 1.26; 95% CI, 1.10-1.46); (2) lisinopril in preventing CCVD (RR, 1.10; 95% CI, 1.05-1.16), including stroke (in black persons only) and HF (RR, 1.20; 95% CI, 1.09-1.34); and (3) amlodipine besylate in preventing HF, overall (by 28%) and in hospitalized or fatal cases (by 26%). Central independent blinded reassessment of HF hospitalizations confirmed each comparison. Results were consistent by age, sex, race (except for stroke and CCVD), DM status, metabolic syndrome status, and renal function level. Neither amlodipine nor lisinopril was superior to chlorthalidone in preventing end-stage renal disease overall, by DM status, or by renal function level. In the chlorthalidone arm, new-onset DM was not significantly associated with CCVD (RR, 0.96; 95% CI, 0.88-2.42). Evidence from subsequent analyses of ALLHAT and other clinical outcome trials confirm that neither alpha-blockers, angiotensin-converting enzyme inhibitors, nor calcium channel blockers surpass thiazide-type diuretics (at appropriate dosage) as initial therapy for reduction of cardiovascular or renal risk. Thiazides are superior in preventing HF, and new-onset DM associated with thiazides does not increase CVD outcomes.","author":[{"dropping-particle":"","family":"Wright","given":"Jackson T.","non-dropping-particle":"","parse-names":false,"suffix":""},{"dropping-particle":"","family":"Probstfield","given":"Jeffrey L.","non-dropping-particle":"","parse-names":false,"suffix":""},{"dropping-particle":"","family":"Cushman","given":"William C.","non-dropping-particle":"","parse-names":false,"suffix":""},{"dropping-particle":"","family":"Pressel","given":"Sara L.","non-dropping-particle":"","parse-names":false,"suffix":""},{"dropping-particle":"","family":"Cutler","given":"Jeffrey A.","non-dropping-particle":"","parse-names":false,"suffix":""},{"dropping-particle":"","family":"Davis","given":"Barry R.","non-dropping-particle":"","parse-names":false,"suffix":""},{"dropping-particle":"","family":"Einhorn","given":"Paula T.","non-dropping-particle":"","parse-names":false,"suffix":""},{"dropping-particle":"","family":"Rahman","given":"Mahboob","non-dropping-particle":"","parse-names":false,"suffix":""},{"dropping-particle":"","family":"Whelton","given":"Paul K.","non-dropping-particle":"","parse-names":false,"suffix":""},{"dropping-particle":"","family":"Ford","given":"Charles E.","non-dropping-particle":"","parse-names":false,"suffix":""},{"dropping-particle":"","family":"Haywood","given":"L. Julian","non-dropping-particle":"","parse-names":false,"suffix":""},{"dropping-particle":"","family":"Margolis","given":"Karen L.","non-dropping-particle":"","parse-names":false,"suffix":""},{"dropping-particle":"","family":"Oparil","given":"Suzanne","non-dropping-particle":"","parse-names":false,"suffix":""},{"dropping-particle":"","family":"Black","given":"Henry R.","non-dropping-particle":"","parse-names":false,"suffix":""},{"dropping-particle":"","family":"Alderman","given":"Michael H.","non-dropping-particle":"","parse-names":false,"suffix":""}],"container-title":"Archives of Internal Medicine","id":"ITEM-2","issue":"9","issued":{"date-parts":[["2009","5","11"]]},"page":"832-842","title":"ALLHAT findings revisited in the context of subsequent analyses, other trials, and meta-analyses","type":"article-journal","volume":"169"},"uris":["http://www.mendeley.com/documents/?uuid=01cc7bde-5525-391e-92e2-6f8dd533b18b"]}],"mendeley":{"formattedCitation":"(142,143)","plainTextFormattedCitation":"(142,143)","previouslyFormattedCitation":"(142,143)"},"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(142,143)</w:t>
      </w:r>
      <w:r w:rsidR="000F3AD7" w:rsidRPr="004661E9">
        <w:rPr>
          <w:rFonts w:ascii="Arial" w:hAnsi="Arial" w:cs="Arial"/>
        </w:rPr>
        <w:fldChar w:fldCharType="end"/>
      </w:r>
      <w:r w:rsidR="00FC7CE7" w:rsidRPr="004661E9">
        <w:rPr>
          <w:rFonts w:ascii="Arial" w:hAnsi="Arial" w:cs="Arial"/>
        </w:rPr>
        <w:t>.</w:t>
      </w:r>
      <w:r w:rsidR="00F01E49" w:rsidRPr="004661E9">
        <w:rPr>
          <w:rFonts w:ascii="Arial" w:hAnsi="Arial" w:cs="Arial"/>
        </w:rPr>
        <w:t xml:space="preserve"> </w:t>
      </w:r>
      <w:r w:rsidR="004E557E" w:rsidRPr="004661E9">
        <w:rPr>
          <w:rFonts w:ascii="Arial" w:hAnsi="Arial" w:cs="Arial"/>
        </w:rPr>
        <w:t xml:space="preserve">A </w:t>
      </w:r>
      <w:r w:rsidR="00C02BDB" w:rsidRPr="004661E9">
        <w:rPr>
          <w:rFonts w:ascii="Arial" w:hAnsi="Arial" w:cs="Arial"/>
        </w:rPr>
        <w:t xml:space="preserve">subsequent </w:t>
      </w:r>
      <w:r w:rsidR="004E557E" w:rsidRPr="004661E9">
        <w:rPr>
          <w:rFonts w:ascii="Arial" w:hAnsi="Arial" w:cs="Arial"/>
        </w:rPr>
        <w:t>large meta-analysis of RCTs revealed that</w:t>
      </w:r>
      <w:r w:rsidR="00C02BDB" w:rsidRPr="004661E9">
        <w:rPr>
          <w:rFonts w:ascii="Arial" w:hAnsi="Arial" w:cs="Arial"/>
        </w:rPr>
        <w:t xml:space="preserve"> </w:t>
      </w:r>
      <w:r w:rsidR="004E557E" w:rsidRPr="004661E9">
        <w:rPr>
          <w:rFonts w:ascii="Arial" w:hAnsi="Arial" w:cs="Arial"/>
        </w:rPr>
        <w:t xml:space="preserve">diuretics and renin-angiotensin system blockers were independently superior to other antihypertensive agents </w:t>
      </w:r>
      <w:r w:rsidR="00C02BDB" w:rsidRPr="004661E9">
        <w:rPr>
          <w:rFonts w:ascii="Arial" w:hAnsi="Arial" w:cs="Arial"/>
        </w:rPr>
        <w:t xml:space="preserve">in the prevention of HF </w:t>
      </w:r>
      <w:r w:rsidR="004E557E" w:rsidRPr="004661E9">
        <w:rPr>
          <w:rFonts w:ascii="Arial" w:hAnsi="Arial" w:cs="Arial"/>
        </w:rPr>
        <w:t xml:space="preserve">among patients with </w:t>
      </w:r>
      <w:r w:rsidR="00A36DE2" w:rsidRPr="004661E9">
        <w:rPr>
          <w:rFonts w:ascii="Arial" w:hAnsi="Arial" w:cs="Arial"/>
        </w:rPr>
        <w:t>diabetes</w:t>
      </w:r>
      <w:r w:rsidR="00FC7CE7" w:rsidRPr="004661E9">
        <w:rPr>
          <w:rFonts w:ascii="Arial" w:hAnsi="Arial" w:cs="Arial"/>
        </w:rPr>
        <w:t xml:space="preserve"> </w:t>
      </w:r>
      <w:r w:rsidR="000F3AD7" w:rsidRPr="004661E9">
        <w:rPr>
          <w:rFonts w:ascii="Arial" w:hAnsi="Arial" w:cs="Arial"/>
        </w:rPr>
        <w:fldChar w:fldCharType="begin" w:fldLock="1"/>
      </w:r>
      <w:r w:rsidR="003C01B8" w:rsidRPr="004661E9">
        <w:rPr>
          <w:rFonts w:ascii="Arial" w:hAnsi="Arial" w:cs="Arial"/>
        </w:rPr>
        <w:instrText>ADDIN CSL_CITATION {"citationItems":[{"id":"ITEM-1","itemData":{"DOI":"10.1097/HJH.0000000000001276","ISBN":"0000000000","ISSN":"14735598","abstract":"Background: Type 2 diabetes mellitus is associated with an increased risk of hypertension, and cardiovascular and renal disease, and it has been recommended that management of hypertension should be more aggressive in presence than in absence of diabetes mellitus, but the matter is controversial at present. Objectives: Meta-analysing all available randomized controlled trials (RCTs) to compare the effects on cardiovascular and renal outcomes of blood pressure BP lowering to different systolic BP (SBP) and diastolic BP (DBP) levels or by different drug classes in patients with and without diabetes mellitus. Methods: The database consisted of 72 BP-lowering RCTs (260 210 patients) and 50 head-to-head drug comparison RCTs (247 006). Among these two sets, RCTs or RCT subgroups separately reporting data from patients with and without diabetes mellitus were identified, and stratified by in-treatment achieved SBP and DBP, by drug class compared with placebo, and drug class compared with all other classes. Risk ratios and 95% confidence intervals, and absolute risk reductions of six fatal and nonfatal cardiovascular outcomes, all-cause death, and endstage renal disease (ESRD) were calculated (random-effects model) separately for diabetes mellitus and no diabetes mellitus, and compared by interaction analysis. Results: We identified 41 RCTs providing data on 61 772 patients with diabetes mellitus and 40 RCTs providing data on 191 353 patients without diabetes mellitus. For achieved SBP at least 140mmHg, relative and absolute reductions of most cardiovascular outcomes were significantly greater in diabetes mellitus than no diabetes mellitus, whereas for achieved SBP below 130mmHg, the difference disappeared or reversed (greater outcome reduction in no diabetes mellitus). Significant ESRD reduction was found only in diabetes mellitus, but it was greatest when achieved SBP was at least 140mmHg, and no further effect was found at SBP below 140mmHg. All antihypertensive drug classes reduced cardiovascular risk vs. placebo in diabetes mellitus and no diabetes mellitus, but angiotensin-converting enzyme inhibitors were the only class more effective in diabetes mellitus than in no diabetes mellitus. When compared to other classes, renin-angiotensin system blockers were equally effective in cardiovascular prevention in no diabetes mellitus, but moderately, though significantly, more effective in diabetes mellitus. Conclusion: BP-lowering treatment significantly and impor…","author":[{"dropping-particle":"","family":"Thomopoulos","given":"Costas","non-dropping-particle":"","parse-names":false,"suffix":""},{"dropping-particle":"","family":"Parati","given":"Gianfranco","non-dropping-particle":"","parse-names":false,"suffix":""},{"dropping-particle":"","family":"Zanchetti","given":"Alberto","non-dropping-particle":"","parse-names":false,"suffix":""}],"container-title":"Journal of Hypertension","id":"ITEM-1","issue":"5","issued":{"date-parts":[["2017"]]},"page":"922-944","title":"Effects of blood-pressure-lowering treatment on outcome incidence in hypertension:10-Should blood pressure management differ in hypertensive patients with and without diabetes mellitus? Overview and meta-analyses of randomized trials","type":"article-journal","volume":"35"},"uris":["http://www.mendeley.com/documents/?uuid=da17abd1-0c66-48d5-a9fc-b2be8ac15a63"]}],"mendeley":{"formattedCitation":"(138)","plainTextFormattedCitation":"(138)","previouslyFormattedCitation":"(138)"},"properties":{"noteIndex":0},"schema":"https://github.com/citation-style-language/schema/raw/master/csl-citation.json"}</w:instrText>
      </w:r>
      <w:r w:rsidR="000F3AD7" w:rsidRPr="004661E9">
        <w:rPr>
          <w:rFonts w:ascii="Arial" w:hAnsi="Arial" w:cs="Arial"/>
        </w:rPr>
        <w:fldChar w:fldCharType="separate"/>
      </w:r>
      <w:r w:rsidR="00752DF4" w:rsidRPr="004661E9">
        <w:rPr>
          <w:rFonts w:ascii="Arial" w:hAnsi="Arial" w:cs="Arial"/>
          <w:noProof/>
        </w:rPr>
        <w:t>(138)</w:t>
      </w:r>
      <w:r w:rsidR="000F3AD7" w:rsidRPr="004661E9">
        <w:rPr>
          <w:rFonts w:ascii="Arial" w:hAnsi="Arial" w:cs="Arial"/>
        </w:rPr>
        <w:fldChar w:fldCharType="end"/>
      </w:r>
      <w:r w:rsidR="00FC7CE7" w:rsidRPr="004661E9">
        <w:rPr>
          <w:rFonts w:ascii="Arial" w:hAnsi="Arial" w:cs="Arial"/>
        </w:rPr>
        <w:t>.</w:t>
      </w:r>
    </w:p>
    <w:p w14:paraId="32A6E389" w14:textId="4773DA8E" w:rsidR="002E1CA4" w:rsidRPr="004661E9" w:rsidRDefault="002E1CA4" w:rsidP="004661E9">
      <w:pPr>
        <w:spacing w:after="0" w:line="276" w:lineRule="auto"/>
        <w:rPr>
          <w:rFonts w:ascii="Arial" w:hAnsi="Arial" w:cs="Arial"/>
        </w:rPr>
      </w:pPr>
    </w:p>
    <w:p w14:paraId="429466FB" w14:textId="0A87A5D1" w:rsidR="002E1CA4" w:rsidRPr="004661E9" w:rsidRDefault="002E1CA4" w:rsidP="004661E9">
      <w:pPr>
        <w:spacing w:after="0" w:line="276" w:lineRule="auto"/>
        <w:rPr>
          <w:rFonts w:ascii="Arial" w:hAnsi="Arial" w:cs="Arial"/>
        </w:rPr>
      </w:pPr>
      <w:r w:rsidRPr="004661E9">
        <w:rPr>
          <w:rFonts w:ascii="Arial" w:hAnsi="Arial" w:cs="Arial"/>
        </w:rPr>
        <w:t xml:space="preserve">Loop diuretics are considered to have a neutral effect on glycemic control in patients with diabetes. Evidence from posthoc analysis and meta-analysis of antihypertensive drug trials has shown a small but significant association between thiazide diuretic use and higher fasting plasma glucose </w:t>
      </w:r>
      <w:r w:rsidRPr="004661E9">
        <w:rPr>
          <w:rFonts w:ascii="Arial" w:hAnsi="Arial" w:cs="Arial"/>
        </w:rPr>
        <w:fldChar w:fldCharType="begin" w:fldLock="1"/>
      </w:r>
      <w:r w:rsidR="001C412B" w:rsidRPr="004661E9">
        <w:rPr>
          <w:rFonts w:ascii="Arial" w:hAnsi="Arial" w:cs="Arial"/>
        </w:rPr>
        <w:instrText>ADDIN CSL_CITATION {"citationItems":[{"id":"ITEM-1","itemData":{"DOI":"10.1007/s11892-018-0976-6","ISSN":"15390829","PMID":"29399724","abstract":"Purpose of Review: In patients with prediabetes or type 2 diabetes, the use of thiazides as antihypertensive agents has been challenged because associated metabolic adverse events, including new-onset diabetes. Recent Findings: These metabolic disturbances are less marked with low-dose thiazides and, in most but not all studies, with thiazide-like diuretics (chlorthalidone, indapamide) than with thiazide-type diuretics (hydrochlorothiazide). In post hoc analyses of subgroups of patients with hypertension and type 2 diabetes, thiazides resulted in a significant reduction in cardiovascular events, all-cause mortality, and hospitalization for heart failure compared to placebo and generally were shown to be non-inferior to other antihypertensive agents. Summary: Benefits attributed to thiazide diuretics in terms of cardiovascular event reduction outweigh the risk of worsening glucose control in type 2 diabetes and of new-onset diabetes in non-diabetic patients. Thiazides still play a key role in the management of patients with type 2 diabetes and hypertension.","author":[{"dropping-particle":"","family":"Scheen","given":"André J","non-dropping-particle":"","parse-names":false,"suffix":""}],"container-title":"Current Diabetes Reports","id":"ITEM-1","issue":"2","issued":{"date-parts":[["2018"]]},"page":"1-13","title":"Type 2 Diabetes and Thiazide Diuretics","type":"article-journal","volume":"18"},"uris":["http://www.mendeley.com/documents/?uuid=21d97ee0-41f8-49dd-81d9-b5ad51ffa9ce"]}],"mendeley":{"formattedCitation":"(144)","plainTextFormattedCitation":"(144)","previouslyFormattedCitation":"(144)"},"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(144)</w:t>
      </w:r>
      <w:r w:rsidRPr="004661E9">
        <w:rPr>
          <w:rFonts w:ascii="Arial" w:hAnsi="Arial" w:cs="Arial"/>
        </w:rPr>
        <w:fldChar w:fldCharType="end"/>
      </w:r>
      <w:r w:rsidRPr="004661E9">
        <w:rPr>
          <w:rFonts w:ascii="Arial" w:hAnsi="Arial" w:cs="Arial"/>
        </w:rPr>
        <w:t xml:space="preserve">. A meta-analysis of 26 RCTs demonstrated that thiazide diuretic use was associated with a 4.6 mg/dL higher fasting plasma glucose than non-thiazide agents or placebo in patients with hypertension </w:t>
      </w:r>
      <w:r w:rsidRPr="004661E9">
        <w:rPr>
          <w:rFonts w:ascii="Arial" w:hAnsi="Arial" w:cs="Arial"/>
        </w:rPr>
        <w:fldChar w:fldCharType="begin" w:fldLock="1"/>
      </w:r>
      <w:r w:rsidR="001C412B" w:rsidRPr="004661E9">
        <w:rPr>
          <w:rFonts w:ascii="Arial" w:hAnsi="Arial" w:cs="Arial"/>
        </w:rPr>
        <w:instrText>ADDIN CSL_CITATION {"citationItems":[{"id":"ITEM-1","itemData":{"DOI":"10.1111/jch.12679","ISSN":"15246175","abstract":"Patients receiving thiazide diuretics have a higher risk of impaired glucose tolerance or even incident diabetes, but the change of blood glucose level varies across different trials. The aim of this study was to investigate the glycemic changes in hypertensive patients with thiazide-type diuretics. Twenty-six randomized trials involving 16,162 participants were included. Thiazide-type diuretics were found to increase fasting plasma glucose (FPG) compared with nonthiazide agents or placebo or nontreatment (mean difference [MD], 0.27 mmol/L [4.86 mg/dL]; 95% confidence interval [CI], 0.15-0.39). Patients receiving lower doses of thiazides (hydrochlorothiazide or chlorthalidone ≤25 mg daily) had less change in FPG (MD, 0.15 mmol/L [2.7 mg/dL]; 95% CI, 0.03-0.27) than those receiving higher doses (MD, 0.60 mmol/L [10.8 mg/dL]; 95% CI, 0.39-0.82), revealed by the subgroup analysis of thiazides vs calcium channel blockers. Thiazide-type diuretics are associated with significant but small adverse glycemic effects in hypertensive patients. Treatment with a lower dose might reduce or avoid glycemic changes.","author":[{"dropping-particle":"","family":"Zhang","given":"Xiaodan","non-dropping-particle":"","parse-names":false,"suffix":""},{"dropping-particle":"","family":"Zhao","given":"Qingyu","non-dropping-particle":"","parse-names":false,"suffix":""}],"container-title":"The Journal of Clinical Hypertension","id":"ITEM-1","issue":"4","issued":{"date-parts":[["2016","4","1"]]},"page":"342-351","publisher":"Blackwell Publishing Inc.","title":"Association of Thiazide-Type Diuretics With Glycemic Changes in Hypertensive Patients: A Systematic Review and Meta-Analysis of Randomized Controlled Clinical Trials","type":"article-journal","volume":"18"},"uris":["http://www.mendeley.com/documents/?uuid=2849e25f-0d20-3c1c-b630-5fe07a19d8a7"]}],"mendeley":{"formattedCitation":"(145)","plainTextFormattedCitation":"(145)","previouslyFormattedCitation":"(145)"},"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(145)</w:t>
      </w:r>
      <w:r w:rsidRPr="004661E9">
        <w:rPr>
          <w:rFonts w:ascii="Arial" w:hAnsi="Arial" w:cs="Arial"/>
        </w:rPr>
        <w:fldChar w:fldCharType="end"/>
      </w:r>
      <w:r w:rsidRPr="004661E9">
        <w:rPr>
          <w:rFonts w:ascii="Arial" w:hAnsi="Arial" w:cs="Arial"/>
        </w:rPr>
        <w:t xml:space="preserve">. A possible link between thiazide diuretic use and new-onset diabetes in patients with hypertension was supported by some studies </w:t>
      </w:r>
      <w:r w:rsidRPr="004661E9">
        <w:rPr>
          <w:rFonts w:ascii="Arial" w:hAnsi="Arial" w:cs="Arial"/>
        </w:rPr>
        <w:fldChar w:fldCharType="begin" w:fldLock="1"/>
      </w:r>
      <w:r w:rsidR="001C412B" w:rsidRPr="004661E9">
        <w:rPr>
          <w:rFonts w:ascii="Arial" w:hAnsi="Arial" w:cs="Arial"/>
        </w:rPr>
        <w:instrText>ADDIN CSL_CITATION {"citationItems":[{"id":"ITEM-1","itemData":{"DOI":"10.1016/S0140-6736(07)60108-1","ISSN":"01406736","PMID":"17240286","abstract":"Background: The effect of different classes of antihypertensive drugs on incident diabetes mellitus is controversial because traditional meta-analyses are hindered by heterogeneity across trials and the absence of trials comparing angiotensin-converting-enzyme (ACE) inhibitors with angiotensin-receptor blockers (ARB). We therefore undertook a network meta-analysis, which accounts for both direct and indirect comparisons to assess the effects of antihypertensive agents on incident diabetes. Methods: We undertook a systematic review up to Sept 15, 2006, and identified 48 randomised groups of 22 clinical trials with 143 153 participants who did not have diabetes at randomisation and so were eligible for inclusion in our analysis. 17 trials enrolled patients with hypertension, three enrolled high-risk patients, and one enrolled those with heart failure. The main outcome was the proportion of patients who developed diabetes. Findings: Intitial drug therapy used in the trials (and the number of patients with diabetes of the total number at risk) included: an ARB (1189 of 14 185, or 8·38%), ACE inhibitor (1618 of 22 941, or 7·05%), calcium-channel blocker (CCB, 2791 of 38 607, or 7·23%), placebo (1686 of 24 767, or 6·81%), β blocker (2705 of 35 745, or 7·57%), or diuretic (998 of 18 699, or 5·34%). With an initial diuretic as the standard of comparison (eight groups), the degree of incoherence (a measure of how closely the entire network fits together) was small (ω=0·000017, eight degrees of freedom). The odds ratios were: ARB (five groups) 0·57 (95% CI 0·46-0·72, p&lt;0·0001); ACE inhibitor (eight groups) 0·67 (0·56-0·80, p&lt;0·0001); CCB (nine groups): 0·75 (0·62-0·90, p=0·002); placebo (nine groups) 0·77 (0·63-0·94, p = 0·009); β blocker (nine groups) 0·90 (0·75-1·09, p=0·30). These estimates changed little in many sensitivity analyses. Interpretation: The association of antihypertensive drugs with incident diabetes is therefore lowest for ARB and ACE inhibitors followed by CCB and placebo, β blockers and diuretics in rank order. © 2007 Elsevier Ltd. All rights reserved.","author":[{"dropping-particle":"","family":"Elliott","given":"William J.","non-dropping-particle":"","parse-names":false,"suffix":""},{"dropping-particle":"","family":"Meyer","given":"Peter M.","non-dropping-particle":"","parse-names":false,"suffix":""}],"container-title":"Lancet","id":"ITEM-1","issue":"9557","issued":{"date-parts":[["2007","1","20"]]},"page":"201-207","publisher":"Elsevier Limited","title":"Incident diabetes in clinical trials of antihypertensive drugs: a network meta-analysis","type":"article-journal","volume":"369"},"uris":["http://www.mendeley.com/documents/?uuid=7625a809-aa04-392c-90a7-df3b1b157418"]}],"mendeley":{"formattedCitation":"(146)","plainTextFormattedCitation":"(146)","previouslyFormattedCitation":"(146)"},"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(146)</w:t>
      </w:r>
      <w:r w:rsidRPr="004661E9">
        <w:rPr>
          <w:rFonts w:ascii="Arial" w:hAnsi="Arial" w:cs="Arial"/>
        </w:rPr>
        <w:fldChar w:fldCharType="end"/>
      </w:r>
      <w:r w:rsidRPr="004661E9">
        <w:rPr>
          <w:rFonts w:ascii="Arial" w:hAnsi="Arial" w:cs="Arial"/>
        </w:rPr>
        <w:t xml:space="preserve"> but not all </w:t>
      </w:r>
      <w:r w:rsidRPr="004661E9">
        <w:rPr>
          <w:rFonts w:ascii="Arial" w:hAnsi="Arial" w:cs="Arial"/>
        </w:rPr>
        <w:fldChar w:fldCharType="begin" w:fldLock="1"/>
      </w:r>
      <w:r w:rsidR="001C412B" w:rsidRPr="004661E9">
        <w:rPr>
          <w:rFonts w:ascii="Arial" w:hAnsi="Arial" w:cs="Arial"/>
        </w:rPr>
        <w:instrText>ADDIN CSL_CITATION {"citationItems":[{"id":"ITEM-1","itemData":{"DOI":"10.1111/jcmm.13096","ISSN":"1582-4934","PMID":"28230330","abstract":"Hypertensive patients usually have a higher risk of new-onset diabetes mellitus (NOD) which may trigger cardiovascular diseases. In this study, the effectiveness of six antihypertensive agents with respect to NOD prevention in hypertensive patients was assessed. A network meta-analysis was conducted to compare the efficacy of specific drug classes. PubMed and Embase databases were searched for relevant articles. Results of the pairwised meta-analysis were illustrated by odd ratios (OR) and a corresponding 95% confidence interval (CI). The probabilities and outcome of each treatment were ranked and summarized using the surface under the cumulative ranking curve (SUCRA).Twenty-three trials were identified, including 224,832 patients with an average follow-up period of 3.9 ± 1.0 years. The network meta-analysis showed that patients treated by angiotensin II receptor blockers (ARBs) were associated with a lower risk of NOD compared to placebo (PCB), calcium channel blockers (CCBs) and β-blockers, while diuretic appeared to be ineffective for NOD prevention. Network meta-analysis results of specific drugs showed that enalapril exhibited distinct advantages and hydrochlorothiazide also exhibited a reliable performance. Our results suggested that both ARBs and angiotensin converse enzyme inhibitors (ACEIs), especially candesartan and enalapril, were preferable for NOD prevention in hypertensive patients. Hydrochlorothiazide also exhibited a reliable performance in comparison with other agents.","author":[{"dropping-particle":"","family":"Yang","given":"Yang","non-dropping-particle":"","parse-names":false,"suffix":""},{"dropping-particle":"","family":"Xu","given":"Huilan","non-dropping-particle":"","parse-names":false,"suffix":""}],"container-title":"Journal of cellular and molecular medicine","id":"ITEM-1","issue":"9","issued":{"date-parts":[["2017","9","1"]]},"page":"1742-1750","publisher":"Blackwell Publishing Inc.","title":"Comparing six antihypertensive medication classes for preventing new-onset diabetes mellitus among hypertensive patients: a network meta-analysis.","type":"article-journal","volume":"21"},"uris":["http://www.mendeley.com/documents/?uuid=cc09b2d5-29b3-3085-aadb-b18c75d4d737"]}],"mendeley":{"formattedCitation":"(147)","plainTextFormattedCitation":"(147)","previouslyFormattedCitation":"(147)"},"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(147)</w:t>
      </w:r>
      <w:r w:rsidRPr="004661E9">
        <w:rPr>
          <w:rFonts w:ascii="Arial" w:hAnsi="Arial" w:cs="Arial"/>
        </w:rPr>
        <w:fldChar w:fldCharType="end"/>
      </w:r>
      <w:r w:rsidRPr="004661E9">
        <w:rPr>
          <w:rFonts w:ascii="Arial" w:hAnsi="Arial" w:cs="Arial"/>
        </w:rPr>
        <w:t xml:space="preserve">. Overall, the CV benefits of thiazide diuretics outweigh the risk of new-onset diabetes in non-diabetic individuals and the risk of uncontrolled glycemia in patients with diabetes </w:t>
      </w:r>
      <w:r w:rsidRPr="004661E9">
        <w:rPr>
          <w:rFonts w:ascii="Arial" w:hAnsi="Arial" w:cs="Arial"/>
        </w:rPr>
        <w:fldChar w:fldCharType="begin" w:fldLock="1"/>
      </w:r>
      <w:r w:rsidR="001C412B" w:rsidRPr="004661E9">
        <w:rPr>
          <w:rFonts w:ascii="Arial" w:hAnsi="Arial" w:cs="Arial"/>
        </w:rPr>
        <w:instrText>ADDIN CSL_CITATION {"citationItems":[{"id":"ITEM-1","itemData":{"DOI":"10.1007/s11892-018-0976-6","ISSN":"15390829","PMID":"29399724","abstract":"Purpose of Review: In patients with prediabetes or type 2 diabetes, the use of thiazides as antihypertensive agents has been challenged because associated metabolic adverse events, including new-onset diabetes. Recent Findings: These metabolic disturbances are less marked with low-dose thiazides and, in most but not all studies, with thiazide-like diuretics (chlorthalidone, indapamide) than with thiazide-type diuretics (hydrochlorothiazide). In post hoc analyses of subgroups of patients with hypertension and type 2 diabetes, thiazides resulted in a significant reduction in cardiovascular events, all-cause mortality, and hospitalization for heart failure compared to placebo and generally were shown to be non-inferior to other antihypertensive agents. Summary: Benefits attributed to thiazide diuretics in terms of cardiovascular event reduction outweigh the risk of worsening glucose control in type 2 diabetes and of new-onset diabetes in non-diabetic patients. Thiazides still play a key role in the management of patients with type 2 diabetes and hypertension.","author":[{"dropping-particle":"","family":"Scheen","given":"André J","non-dropping-particle":"","parse-names":false,"suffix":""}],"container-title":"Current Diabetes Reports","id":"ITEM-1","issue":"2","issued":{"date-parts":[["2018"]]},"page":"1-13","title":"Type 2 Diabetes and Thiazide Diuretics","type":"article-journal","volume":"18"},"uris":["http://www.mendeley.com/documents/?uuid=21d97ee0-41f8-49dd-81d9-b5ad51ffa9ce"]}],"mendeley":{"formattedCitation":"(144)","plainTextFormattedCitation":"(144)","previouslyFormattedCitation":"(144)"},"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(144)</w:t>
      </w:r>
      <w:r w:rsidRPr="004661E9">
        <w:rPr>
          <w:rFonts w:ascii="Arial" w:hAnsi="Arial" w:cs="Arial"/>
        </w:rPr>
        <w:fldChar w:fldCharType="end"/>
      </w:r>
      <w:r w:rsidRPr="004661E9">
        <w:rPr>
          <w:rFonts w:ascii="Arial" w:hAnsi="Arial" w:cs="Arial"/>
        </w:rPr>
        <w:t xml:space="preserve">. Therefore, neither hypertension nor HF management guidelines recommend avoidance of thiazide diuretics in patients with or at risk for diabetes. </w:t>
      </w:r>
    </w:p>
    <w:p w14:paraId="3B96AEE0" w14:textId="1EBF90E2" w:rsidR="00CD3432" w:rsidRPr="004661E9" w:rsidRDefault="00CD3432" w:rsidP="004661E9">
      <w:pPr>
        <w:spacing w:after="0" w:line="276" w:lineRule="auto"/>
        <w:rPr>
          <w:rFonts w:ascii="Arial" w:hAnsi="Arial" w:cs="Arial"/>
        </w:rPr>
      </w:pPr>
    </w:p>
    <w:p w14:paraId="3625E8D9" w14:textId="419D9522" w:rsidR="00CD3432" w:rsidRPr="004661E9" w:rsidRDefault="00AB47AD" w:rsidP="004661E9">
      <w:pPr>
        <w:spacing w:after="0" w:line="276" w:lineRule="auto"/>
        <w:rPr>
          <w:rFonts w:ascii="Arial" w:hAnsi="Arial" w:cs="Arial"/>
        </w:rPr>
      </w:pPr>
      <w:r w:rsidRPr="004661E9">
        <w:rPr>
          <w:rFonts w:ascii="Arial" w:hAnsi="Arial" w:cs="Arial"/>
        </w:rPr>
        <w:t>The ACC/AHA guidelines recommend the use of s</w:t>
      </w:r>
      <w:r w:rsidR="004C321D" w:rsidRPr="004661E9">
        <w:rPr>
          <w:rFonts w:ascii="Arial" w:hAnsi="Arial" w:cs="Arial"/>
        </w:rPr>
        <w:t>teroidal mineralocorticoid receptor antagonists</w:t>
      </w:r>
      <w:r w:rsidR="00BA1383" w:rsidRPr="004661E9">
        <w:rPr>
          <w:rFonts w:ascii="Arial" w:hAnsi="Arial" w:cs="Arial"/>
        </w:rPr>
        <w:t xml:space="preserve"> (</w:t>
      </w:r>
      <w:r w:rsidR="00474C09" w:rsidRPr="004661E9">
        <w:rPr>
          <w:rFonts w:ascii="Arial" w:hAnsi="Arial" w:cs="Arial"/>
        </w:rPr>
        <w:t>MRA</w:t>
      </w:r>
      <w:r w:rsidR="00543EDD" w:rsidRPr="004661E9">
        <w:rPr>
          <w:rFonts w:ascii="Arial" w:hAnsi="Arial" w:cs="Arial"/>
        </w:rPr>
        <w:t>,</w:t>
      </w:r>
      <w:r w:rsidR="00474C09" w:rsidRPr="004661E9">
        <w:rPr>
          <w:rFonts w:ascii="Arial" w:hAnsi="Arial" w:cs="Arial"/>
        </w:rPr>
        <w:t xml:space="preserve"> </w:t>
      </w:r>
      <w:r w:rsidR="00BA1383" w:rsidRPr="004661E9">
        <w:rPr>
          <w:rFonts w:ascii="Arial" w:hAnsi="Arial" w:cs="Arial"/>
        </w:rPr>
        <w:t>i.e.</w:t>
      </w:r>
      <w:r w:rsidR="00543EDD" w:rsidRPr="004661E9">
        <w:rPr>
          <w:rFonts w:ascii="Arial" w:hAnsi="Arial" w:cs="Arial"/>
        </w:rPr>
        <w:t>,</w:t>
      </w:r>
      <w:r w:rsidR="00BA1383" w:rsidRPr="004661E9">
        <w:rPr>
          <w:rFonts w:ascii="Arial" w:hAnsi="Arial" w:cs="Arial"/>
        </w:rPr>
        <w:t xml:space="preserve"> spironolactone and eplerenone)</w:t>
      </w:r>
      <w:r w:rsidR="0024381F" w:rsidRPr="004661E9">
        <w:rPr>
          <w:rFonts w:ascii="Arial" w:hAnsi="Arial" w:cs="Arial"/>
        </w:rPr>
        <w:t xml:space="preserve"> as an add-on therapy to the first</w:t>
      </w:r>
      <w:r w:rsidR="00543EDD" w:rsidRPr="004661E9">
        <w:rPr>
          <w:rFonts w:ascii="Arial" w:hAnsi="Arial" w:cs="Arial"/>
        </w:rPr>
        <w:t>-</w:t>
      </w:r>
      <w:r w:rsidR="0024381F" w:rsidRPr="004661E9">
        <w:rPr>
          <w:rFonts w:ascii="Arial" w:hAnsi="Arial" w:cs="Arial"/>
        </w:rPr>
        <w:t xml:space="preserve">line antihypertensive agents </w:t>
      </w:r>
      <w:r w:rsidR="002B2EBE" w:rsidRPr="004661E9">
        <w:rPr>
          <w:rFonts w:ascii="Arial" w:hAnsi="Arial" w:cs="Arial"/>
        </w:rPr>
        <w:t xml:space="preserve">in the treatment of </w:t>
      </w:r>
      <w:r w:rsidR="009B56E7" w:rsidRPr="004661E9">
        <w:rPr>
          <w:rFonts w:ascii="Arial" w:hAnsi="Arial" w:cs="Arial"/>
        </w:rPr>
        <w:t xml:space="preserve">resistant hypertension </w:t>
      </w:r>
      <w:r w:rsidR="005E6FF9" w:rsidRPr="004661E9">
        <w:rPr>
          <w:rFonts w:ascii="Arial" w:hAnsi="Arial" w:cs="Arial"/>
        </w:rPr>
        <w:fldChar w:fldCharType="begin" w:fldLock="1"/>
      </w:r>
      <w:r w:rsidR="003C01B8" w:rsidRPr="004661E9">
        <w:rPr>
          <w:rFonts w:ascii="Arial" w:hAnsi="Arial" w:cs="Arial"/>
        </w:rPr>
        <w:instrText>ADDIN CSL_CITATION {"citationItems":[{"id":"ITEM-1","itemData":{"DOI":"10.1016/j.jash.2018.06.010","ISSN":"19331711","abstract":"Glenn N. Levine, MD, FACC, FAHA, Chair Patrick T. O’Gara, MD, MACC, FAHA, Chair-Elect Jonathan L. Halperin, MD, FACC, FAHA, Immediate Past Chair Sana M. Al-Khatib, MD, MHS, FACC, FAHA Joshua A. Beckman, MD, MS, FAHA Kim K. Birtcher, MS, PharmD, AACC Biykem Bozkurt, MD, PhD, FACC, FAHA","author":[{"dropping-particle":"","family":"Whelton","given":"Paul K.","non-dropping-particle":"","parse-names":false,"suffix":""},{"dropping-particle":"","family":"Carey","given":"Robert M.","non-dropping-particle":"","parse-names":false,"suffix":""},{"dropping-particle":"","family":"Aronow","given":"Wilbert S.","non-dropping-particle":"","parse-names":false,"suffix":""},{"dropping-particle":"","family":"Casey","given":"Donald E.","non-dropping-particle":"","parse-names":false,"suffix":""},{"dropping-particle":"","family":"Collins","given":"Karen J.","non-dropping-particle":"","parse-names":false,"suffix":""},{"dropping-particle":"","family":"Dennison Himmelfarb","given":"Cheryl","non-dropping-particle":"","parse-names":false,"suffix":""},{"dropping-particle":"","family":"DePalma","given":"Sondra M.","non-dropping-particle":"","parse-names":false,"suffix":""},{"dropping-particle":"","family":"Gidding","given":"Samuel","non-dropping-particle":"","parse-names":false,"suffix":""},{"dropping-particle":"","family":"Jamerson","given":"Kenneth A.","non-dropping-particle":"","parse-names":false,"suffix":""},{"dropping-particle":"","family":"Jones","given":"Daniel W.","non-dropping-particle":"","parse-names":false,"suffix":""},{"dropping-particle":"","family":"MacLaughlin","given":"Eric J.","non-dropping-particle":"","parse-names":false,"suffix":""},{"dropping-particle":"","family":"Muntner","given":"Paul","non-dropping-particle":"","parse-names":false,"suffix":""},{"dropping-particle":"","family":"Ovbiagele","given":"Bruce","non-dropping-particle":"","parse-names":false,"suffix":""},{"dropping-particle":"","family":"Smith","given":"Sidney C.","non-dropping-particle":"","parse-names":false,"suffix":""},{"dropping-particle":"","family":"Spencer","given":"Crystal C.","non-dropping-particle":"","parse-names":false,"suffix":""},{"dropping-particle":"","family":"Stafford","given":"Randall S.","non-dropping-particle":"","parse-names":false,"suffix":""},{"dropping-particle":"","family":"Taler","given":"Sandra J.","non-dropping-particle":"","parse-names":false,"suffix":""},{"dropping-particle":"","family":"Thomas","given":"Randal J.","non-dropping-particle":"","parse-names":false,"suffix":""},{"dropping-particle":"","family":"Williams","given":"Kim A.","non-dropping-particle":"","parse-names":false,"suffix":""},{"dropping-particle":"","family":"Williamson","given":"Jeff D.","non-dropping-particle":"","parse-names":false,"suffix":""},{"dropping-particle":"","family":"Wright","given":"Jackson T.","non-dropping-particle":"","parse-names":false,"suffix":""}],"container-title":"JACC","id":"ITEM-1","issue":"19","issued":{"date-parts":[["2018"]]},"note":"2017 HTN guideline suggest screening for DM by fasting blood glucose. The guidelines *** in precision of BP target in adults with hypertesion and diabetes\n\n+\n\n- in 2017 American College of Cardiology/American Heart Association re-defined the threshold/goal for hypertension as &amp;gt;=130/80 mm Hg in the light meta-analysis of 19 randomized clinical trials including landmark SPRINT trial.","page":"e127-e248","title":"2017 ACC/AHA/AAPA/ABC/ACPM/AGS/APhA/ASH/ASPC/NMA/PCNA Guideline for the Prevention, Detection, Evaluation, and Management of High Blood Pressure in Adults: Executive Summary","type":"article-journal","volume":"71"},"uris":["http://www.mendeley.com/documents/?uuid=cc010c43-1bda-4fcb-9d6d-1775b3e27889"]}],"mendeley":{"formattedCitation":"(136)","plainTextFormattedCitation":"(136)","previouslyFormattedCitation":"(136)"},"properties":{"noteIndex":0},"schema":"https://github.com/citation-style-language/schema/raw/master/csl-citation.json"}</w:instrText>
      </w:r>
      <w:r w:rsidR="005E6FF9" w:rsidRPr="004661E9">
        <w:rPr>
          <w:rFonts w:ascii="Arial" w:hAnsi="Arial" w:cs="Arial"/>
        </w:rPr>
        <w:fldChar w:fldCharType="separate"/>
      </w:r>
      <w:r w:rsidR="00752DF4" w:rsidRPr="004661E9">
        <w:rPr>
          <w:rFonts w:ascii="Arial" w:hAnsi="Arial" w:cs="Arial"/>
          <w:noProof/>
        </w:rPr>
        <w:t>(136)</w:t>
      </w:r>
      <w:r w:rsidR="005E6FF9" w:rsidRPr="004661E9">
        <w:rPr>
          <w:rFonts w:ascii="Arial" w:hAnsi="Arial" w:cs="Arial"/>
        </w:rPr>
        <w:fldChar w:fldCharType="end"/>
      </w:r>
      <w:r w:rsidR="009B56E7" w:rsidRPr="004661E9">
        <w:rPr>
          <w:rFonts w:ascii="Arial" w:hAnsi="Arial" w:cs="Arial"/>
        </w:rPr>
        <w:t>.</w:t>
      </w:r>
      <w:r w:rsidR="00C67330" w:rsidRPr="004661E9">
        <w:rPr>
          <w:rFonts w:ascii="Arial" w:hAnsi="Arial" w:cs="Arial"/>
        </w:rPr>
        <w:t xml:space="preserve"> Besides modest BP reduction, </w:t>
      </w:r>
      <w:r w:rsidR="008C1E3A" w:rsidRPr="004661E9">
        <w:rPr>
          <w:rFonts w:ascii="Arial" w:hAnsi="Arial" w:cs="Arial"/>
        </w:rPr>
        <w:t>these agents can provide anti-fibrotic, anti-infla</w:t>
      </w:r>
      <w:r w:rsidR="00543EDD" w:rsidRPr="004661E9">
        <w:rPr>
          <w:rFonts w:ascii="Arial" w:hAnsi="Arial" w:cs="Arial"/>
        </w:rPr>
        <w:t>m</w:t>
      </w:r>
      <w:r w:rsidR="008C1E3A" w:rsidRPr="004661E9">
        <w:rPr>
          <w:rFonts w:ascii="Arial" w:hAnsi="Arial" w:cs="Arial"/>
        </w:rPr>
        <w:t>matory, and anti-proteinuric benefits</w:t>
      </w:r>
      <w:r w:rsidR="00603E6F" w:rsidRPr="004661E9">
        <w:rPr>
          <w:rFonts w:ascii="Arial" w:hAnsi="Arial" w:cs="Arial"/>
        </w:rPr>
        <w:t xml:space="preserve"> </w:t>
      </w:r>
      <w:r w:rsidR="00342A86" w:rsidRPr="004661E9">
        <w:rPr>
          <w:rFonts w:ascii="Arial" w:hAnsi="Arial" w:cs="Arial"/>
        </w:rPr>
        <w:fldChar w:fldCharType="begin" w:fldLock="1"/>
      </w:r>
      <w:r w:rsidR="001C412B" w:rsidRPr="004661E9">
        <w:rPr>
          <w:rFonts w:ascii="Arial" w:hAnsi="Arial" w:cs="Arial"/>
        </w:rPr>
        <w:instrText>ADDIN CSL_CITATION {"citationItems":[{"id":"ITEM-1","itemData":{"DOI":"10.1016/S0140-6736(15)00257-3","ISSN":"1474547X","PMID":"26414968","abstract":"Summary Background Optimal drug treatment for patients with resistant hypertension is undefined. We aimed to test the hypotheses that resistant hypertension is most often caused by excessive sodium retention, and that spironolactone would therefore be superior to non-diuretic add-on drugs at lowering blood pressure. Methods In this double-blind, placebo-controlled, crossover trial, we enrolled patients aged 18-79 years with seated clinic systolic blood pressure 140 mm Hg or greater (or ≥135 mm Hg for patients with diabetes) and home systolic blood pressure (18 readings over 4 days) 130 mm Hg or greater, despite treatment for at least 3 months with maximally tolerated doses of three drugs, from 12 secondary and two primary care sites in the UK. Patients rotated, in a preassigned, randomised order, through 12 weeks of once daily treatment with each of spironolactone (25-50 mg), bisoprolol (5-10 mg), doxazosin modified release (4-8 mg), and placebo, in addition to their baseline blood pressure drugs. Random assignment was done via a central computer system. Investigators and patients were masked to the identity of drugs, and to their sequence allocation. The dose was doubled after 6 weeks of each cycle. The hierarchical primary endpoints were the difference in averaged home systolic blood pressure between spironolactone and placebo, followed (if significant) by the difference in home systolic blood pressure between spironolactone and the average of the other two active drugs, followed by the difference in home systolic blood pressure between spironolactone and each of the other two drugs. Analysis was by intention to treat. The trial is registered with EudraCT number 2008-007149-30, and ClinicalTrials.gov number, NCT02369081. Findings Between May 15, 2009, and July 8, 2014, we screened 436 patients, of whom 335 were randomly assigned. After 21 were excluded, 285 patients received spironolactone, 282 doxazosin, 285 bisoprolol, and 274 placebo; 230 patients completed all treatment cycles. The average reduction in home systolic blood pressure by spironolactone was superior to placebo (-8·70 mm Hg [95% CI -9·72 to -7·69]; p&lt;0·0001), superior to the mean of the other two active treatments (doxazosin and bisoprolol; -4·26 [-5·13 to -3·38]; p&lt;0·0001), and superior when compared with the individual treatments; versus doxazosin (-4·03 [-5·04 to -3·02]; p&lt;0·0001) and versus bisoprolol (-4·48 [-5·50 to -3·46]; p&lt;0·0001). Spironolactone was the most effective blood pr…","author":[{"dropping-particle":"","family":"Williams","given":"Bryan","non-dropping-particle":"","parse-names":false,"suffix":""},{"dropping-particle":"","family":"Macdonald","given":"Thomas M.","non-dropping-particle":"","parse-names":false,"suffix":""},{"dropping-particle":"","family":"Morant","given":"Steve","non-dropping-particle":"","parse-names":false,"suffix":""},{"dropping-particle":"","family":"Webb","given":"David J.","non-dropping-particle":"","parse-names":false,"suffix":""},{"dropping-particle":"","family":"Sever","given":"Peter","non-dropping-particle":"","parse-names":false,"suffix":""},{"dropping-particle":"","family":"McInnes","given":"Gordon","non-dropping-particle":"","parse-names":false,"suffix":""},{"dropping-particle":"","family":"Ford","given":"Ian","non-dropping-particle":"","parse-names":false,"suffix":""},{"dropping-particle":"","family":"Cruickshank","given":"J. Kennedy","non-dropping-particle":"","parse-names":false,"suffix":""},{"dropping-particle":"","family":"Caulfield","given":"Mark J.","non-dropping-particle":"","parse-names":false,"suffix":""},{"dropping-particle":"","family":"Salsbury","given":"Jackie","non-dropping-particle":"","parse-names":false,"suffix":""},{"dropping-particle":"","family":"Mackenzie","given":"Isla","non-dropping-particle":"","parse-names":false,"suffix":""},{"dropping-particle":"","family":"Padmanabhan","given":"Sandosh","non-dropping-particle":"","parse-names":false,"suffix":""},{"dropping-particle":"","family":"Brown","given":"Morris J.","non-dropping-particle":"","parse-names":false,"suffix":""}],"container-title":"The Lancet","id":"ITEM-1","issue":"10008","issued":{"date-parts":[["2015"]]},"page":"2059-2068","title":"Spironolactone versus placebo, bisoprolol, and doxazosin to determine the optimal treatment for drug-resistant hypertension (PATHWAY-2): A randomised, double-blind, crossover trial","type":"article-journal","volume":"386"},"uris":["http://www.mendeley.com/documents/?uuid=066a2403-6fdf-4c90-b145-97de794c91e5"]},{"id":"ITEM-2","itemData":{"DOI":"10.1093/eurheartj/ehaa736","ISSN":"15229645","PMID":"33099609","abstract":"This review covers the last 80 years of remarkable progress in the development of mineralocorticoid receptor (MR) antagonists (MRAs) from synthesis of the first mineralocorticoid to trials of nonsteroidal MRAs. The MR is a nuclear receptor expressed in many tissues/cell types including the kidney, heart, immune cells, and fibroblasts. The MR directly affects target gene expression-primarily fluid, electrolyte and haemodynamic homeostasis, and also, but less appreciated, tissue remodelling. Pathophysiological overactivation of the MR leads to inflammation and fibrosis in cardiorenal disease. We discuss the mechanisms of action of nonsteroidal MRAs and how they differ from steroidal MRAs. Nonsteroidal MRAs have demonstrated important differences in their distribution, binding mode to the MR and subsequent gene expression. For example, the novel nonsteroidal MRA finerenone has a balanced distribution between the heart and kidney compared with spironolactone, which is preferentially concentrated in the kidneys. Compared with eplerenone, equinatriuretic doses of finerenone show more potent anti-inflammatory and anti-fibrotic effects on the kidney in rodent models. Overall, nonsteroidal MRAs appear to demonstrate a better benefit-risk ratio than steroidal MRAs, where risk is measured as the propensity for hyperkalaemia. Among patients with Type 2 diabetes, several Phase II studies of finerenone show promising results, supporting benefits on the heart and kidneys. Furthermore, finerenone significantly reduced the combined primary endpoint (chronic kidney disease progression, kidney failure, or kidney death) vs. placebo when added to the standard of care in a large Phase III trial.","author":[{"dropping-particle":"","family":"Agarwal","given":"Rajiv","non-dropping-particle":"","parse-names":false,"suffix":""},{"dropping-particle":"","family":"Kolkhof","given":"Peter","non-dropping-particle":"","parse-names":false,"suffix":""},{"dropping-particle":"","family":"Bakris","given":"George","non-dropping-particle":"","parse-names":false,"suffix":""},{"dropping-particle":"","family":"Bauersachs","given":"Johann","non-dropping-particle":"","parse-names":false,"suffix":""},{"dropping-particle":"","family":"Haller","given":"Hermann","non-dropping-particle":"","parse-names":false,"suffix":""},{"dropping-particle":"","family":"Wada","given":"Takashi","non-dropping-particle":"","parse-names":false,"suffix":""},{"dropping-particle":"","family":"Zannad","given":"Faiez","non-dropping-particle":"","parse-names":false,"suffix":""}],"container-title":"European Heart Journal","id":"ITEM-2","issue":"2","issued":{"date-parts":[["2021"]]},"page":"152-161","title":"Steroidal and non-steroidal mineralocorticoid receptor antagonists in cardiorenal medicine","type":"article-journal","volume":"42"},"uris":["http://www.mendeley.com/documents/?uuid=673b4ef3-77e3-4ed1-a4b4-ac80a586e40e"]}],"mendeley":{"formattedCitation":"(148,149)","plainTextFormattedCitation":"(148,149)","previouslyFormattedCitation":"(148,149)"},"properties":{"noteIndex":0},"schema":"https://github.com/citation-style-language/schema/raw/master/csl-citation.json"}</w:instrText>
      </w:r>
      <w:r w:rsidR="00342A86" w:rsidRPr="004661E9">
        <w:rPr>
          <w:rFonts w:ascii="Arial" w:hAnsi="Arial" w:cs="Arial"/>
        </w:rPr>
        <w:fldChar w:fldCharType="separate"/>
      </w:r>
      <w:r w:rsidR="001C412B" w:rsidRPr="004661E9">
        <w:rPr>
          <w:rFonts w:ascii="Arial" w:hAnsi="Arial" w:cs="Arial"/>
          <w:noProof/>
        </w:rPr>
        <w:t>(148,149)</w:t>
      </w:r>
      <w:r w:rsidR="00342A86" w:rsidRPr="004661E9">
        <w:rPr>
          <w:rFonts w:ascii="Arial" w:hAnsi="Arial" w:cs="Arial"/>
        </w:rPr>
        <w:fldChar w:fldCharType="end"/>
      </w:r>
      <w:r w:rsidR="008C1E3A" w:rsidRPr="004661E9">
        <w:rPr>
          <w:rFonts w:ascii="Arial" w:hAnsi="Arial" w:cs="Arial"/>
        </w:rPr>
        <w:t>.</w:t>
      </w:r>
      <w:r w:rsidR="008D4FEC" w:rsidRPr="004661E9">
        <w:rPr>
          <w:rFonts w:ascii="Arial" w:hAnsi="Arial" w:cs="Arial"/>
        </w:rPr>
        <w:t xml:space="preserve"> </w:t>
      </w:r>
      <w:r w:rsidR="00161079" w:rsidRPr="004661E9">
        <w:rPr>
          <w:rFonts w:ascii="Arial" w:hAnsi="Arial" w:cs="Arial"/>
        </w:rPr>
        <w:t>The clinical CV benefits of these agents</w:t>
      </w:r>
      <w:r w:rsidR="006F12D7" w:rsidRPr="004661E9">
        <w:rPr>
          <w:rFonts w:ascii="Arial" w:hAnsi="Arial" w:cs="Arial"/>
        </w:rPr>
        <w:t xml:space="preserve"> have been proven in patients with HFrE</w:t>
      </w:r>
      <w:r w:rsidR="005C2F01" w:rsidRPr="004661E9">
        <w:rPr>
          <w:rFonts w:ascii="Arial" w:hAnsi="Arial" w:cs="Arial"/>
        </w:rPr>
        <w:t>F</w:t>
      </w:r>
      <w:r w:rsidR="006F12D7" w:rsidRPr="004661E9">
        <w:rPr>
          <w:rFonts w:ascii="Arial" w:hAnsi="Arial" w:cs="Arial"/>
        </w:rPr>
        <w:t xml:space="preserve">. </w:t>
      </w:r>
      <w:r w:rsidR="005C2F01" w:rsidRPr="004661E9">
        <w:rPr>
          <w:rFonts w:ascii="Arial" w:hAnsi="Arial" w:cs="Arial"/>
        </w:rPr>
        <w:t xml:space="preserve">However, we lack </w:t>
      </w:r>
      <w:r w:rsidR="00601BD9" w:rsidRPr="004661E9">
        <w:rPr>
          <w:rFonts w:ascii="Arial" w:hAnsi="Arial" w:cs="Arial"/>
        </w:rPr>
        <w:t>large</w:t>
      </w:r>
      <w:r w:rsidR="00543EDD" w:rsidRPr="004661E9">
        <w:rPr>
          <w:rFonts w:ascii="Arial" w:hAnsi="Arial" w:cs="Arial"/>
        </w:rPr>
        <w:t>-</w:t>
      </w:r>
      <w:r w:rsidR="00601BD9" w:rsidRPr="004661E9">
        <w:rPr>
          <w:rFonts w:ascii="Arial" w:hAnsi="Arial" w:cs="Arial"/>
        </w:rPr>
        <w:t xml:space="preserve">scale </w:t>
      </w:r>
      <w:r w:rsidR="00FF3C12" w:rsidRPr="004661E9">
        <w:rPr>
          <w:rFonts w:ascii="Arial" w:hAnsi="Arial" w:cs="Arial"/>
        </w:rPr>
        <w:t>RCTs</w:t>
      </w:r>
      <w:r w:rsidR="00601BD9" w:rsidRPr="004661E9">
        <w:rPr>
          <w:rFonts w:ascii="Arial" w:hAnsi="Arial" w:cs="Arial"/>
        </w:rPr>
        <w:t xml:space="preserve"> demonstrating </w:t>
      </w:r>
      <w:r w:rsidR="00A810F2" w:rsidRPr="004661E9">
        <w:rPr>
          <w:rFonts w:ascii="Arial" w:hAnsi="Arial" w:cs="Arial"/>
        </w:rPr>
        <w:t xml:space="preserve">their CV benefits </w:t>
      </w:r>
      <w:r w:rsidR="00F26D96" w:rsidRPr="004661E9">
        <w:rPr>
          <w:rFonts w:ascii="Arial" w:hAnsi="Arial" w:cs="Arial"/>
        </w:rPr>
        <w:t>in primary prevention setting</w:t>
      </w:r>
      <w:r w:rsidR="00543EDD" w:rsidRPr="004661E9">
        <w:rPr>
          <w:rFonts w:ascii="Arial" w:hAnsi="Arial" w:cs="Arial"/>
        </w:rPr>
        <w:t>s</w:t>
      </w:r>
      <w:r w:rsidR="00F26D96" w:rsidRPr="004661E9">
        <w:rPr>
          <w:rFonts w:ascii="Arial" w:hAnsi="Arial" w:cs="Arial"/>
        </w:rPr>
        <w:t xml:space="preserve"> among patients with </w:t>
      </w:r>
      <w:r w:rsidR="00934BE7" w:rsidRPr="004661E9">
        <w:rPr>
          <w:rFonts w:ascii="Arial" w:hAnsi="Arial" w:cs="Arial"/>
        </w:rPr>
        <w:t>hypertension</w:t>
      </w:r>
      <w:r w:rsidR="00640855" w:rsidRPr="004661E9">
        <w:rPr>
          <w:rFonts w:ascii="Arial" w:hAnsi="Arial" w:cs="Arial"/>
        </w:rPr>
        <w:t xml:space="preserve"> </w:t>
      </w:r>
      <w:r w:rsidR="00903417" w:rsidRPr="004661E9">
        <w:rPr>
          <w:rFonts w:ascii="Arial" w:hAnsi="Arial" w:cs="Arial"/>
        </w:rPr>
        <w:t>or</w:t>
      </w:r>
      <w:r w:rsidR="00640855" w:rsidRPr="004661E9">
        <w:rPr>
          <w:rFonts w:ascii="Arial" w:hAnsi="Arial" w:cs="Arial"/>
        </w:rPr>
        <w:t xml:space="preserve"> diabetes.</w:t>
      </w:r>
      <w:r w:rsidR="00C454D1" w:rsidRPr="004661E9">
        <w:rPr>
          <w:rFonts w:ascii="Arial" w:hAnsi="Arial" w:cs="Arial"/>
        </w:rPr>
        <w:t xml:space="preserve"> In a small RCT including 140 patients</w:t>
      </w:r>
      <w:r w:rsidR="00AE00B2" w:rsidRPr="004661E9">
        <w:rPr>
          <w:rFonts w:ascii="Arial" w:hAnsi="Arial" w:cs="Arial"/>
        </w:rPr>
        <w:t xml:space="preserve"> with T2DM </w:t>
      </w:r>
      <w:r w:rsidR="00665387" w:rsidRPr="004661E9">
        <w:rPr>
          <w:rFonts w:ascii="Arial" w:hAnsi="Arial" w:cs="Arial"/>
        </w:rPr>
        <w:t>and high CV</w:t>
      </w:r>
      <w:r w:rsidR="0061174F" w:rsidRPr="004661E9">
        <w:rPr>
          <w:rFonts w:ascii="Arial" w:hAnsi="Arial" w:cs="Arial"/>
        </w:rPr>
        <w:t>D</w:t>
      </w:r>
      <w:r w:rsidR="00665387" w:rsidRPr="004661E9">
        <w:rPr>
          <w:rFonts w:ascii="Arial" w:hAnsi="Arial" w:cs="Arial"/>
        </w:rPr>
        <w:t xml:space="preserve"> risk, </w:t>
      </w:r>
      <w:r w:rsidR="00543EDD" w:rsidRPr="004661E9">
        <w:rPr>
          <w:rFonts w:ascii="Arial" w:hAnsi="Arial" w:cs="Arial"/>
        </w:rPr>
        <w:t>adding high-dose eplerenone to standard treatment reduced LV mass and decreased</w:t>
      </w:r>
      <w:r w:rsidR="00790318" w:rsidRPr="004661E9">
        <w:rPr>
          <w:rFonts w:ascii="Arial" w:hAnsi="Arial" w:cs="Arial"/>
        </w:rPr>
        <w:t xml:space="preserve"> NT-ProBNP and a circulating serum marker of myocardial </w:t>
      </w:r>
      <w:r w:rsidR="00866E28" w:rsidRPr="004661E9">
        <w:rPr>
          <w:rFonts w:ascii="Arial" w:hAnsi="Arial" w:cs="Arial"/>
        </w:rPr>
        <w:t xml:space="preserve">fibrosis </w:t>
      </w:r>
      <w:r w:rsidR="00E9687D" w:rsidRPr="004661E9">
        <w:rPr>
          <w:rFonts w:ascii="Arial" w:hAnsi="Arial" w:cs="Arial"/>
        </w:rPr>
        <w:fldChar w:fldCharType="begin" w:fldLock="1"/>
      </w:r>
      <w:r w:rsidR="001C412B" w:rsidRPr="004661E9">
        <w:rPr>
          <w:rFonts w:ascii="Arial" w:hAnsi="Arial" w:cs="Arial"/>
        </w:rPr>
        <w:instrText>ADDIN CSL_CITATION {"citationItems":[{"id":"ITEM-1","itemData":{"DOI":"10.1016/j.jchf.2021.02.016","ISSN":"22131779","PMID":"34325885","abstract":"Objectives: This study investigated the impact of the MR antagonist (MRA) eplerenone on LVM in type 2 diabetes patients at high risk for cardiovascular disease (CVD). Background: MRA activation is associated with cardiac fibrosis and increased left ventricular mass (LVM), which is an independent predictor of adverse CVD, including heart failure in patients with type 2 diabetes. Methods: A prespecified analysis of secondary endpoints in a randomized, double-blinded clinical trial of 140 patients with type 2 diabetes at high risk of or established CVD. Patients were randomized to receive high-dose eplerenone therapy (100 mg–200 mg) or placebo as an add-on to standard care for 26 weeks. Indexed LVM (LVMi) and T1 time were measured using cardiac magnetic resonance (CMR) imaging. Biomarkers included N-terminal pro–B-type natriuretic peptide (NT-proBNP), pro-collagen type I N-terminal propeptide (P1NP), and type III N-terminal propeptide (P3NP). Results: Of 140 patients in the MIRAD trial, 104 patients were subject to CMR imaging (eplerenone: 54 patients; placebo: 50 patients). Mean LVMi at baseline was 74.2 ± 16 g/m2. The treatment effect (ie, between-group differences) was a decrease of 3.7 g/m2 following the eplerenone treatment (95% CI: −6.7 to −0.7; P = 0.017), with a corresponding decrease in absolute LVM. Plasma NT-proBNP concentrations decreased by 22% (P = 0.017) using eplerenone compared with placebo, and P1NP decreased 3.3 ng/mL (P = 0.019). No differences in T1 times or P3NP concentrations were observed between groups. Conclusions: The addition of high-dose eplerenone in high-risk type 2 diabetes was associated with a clear reduction in LVMi and in NT-proBNP and P1NP levels, which may suggest a clinical benefit in heart failure prevention. (EU Clinical trials: Mineralocorticoid Receptor Antagonists in Type 2 Diabetes [MIRAD]; 2015-002519-14)","author":[{"dropping-particle":"","family":"Brandt-Jacobsen","given":"Niels H.","non-dropping-particle":"","parse-names":false,"suffix":""},{"dropping-particle":"","family":"Lav Madsen","given":"Per","non-dropping-particle":"","parse-names":false,"suffix":""},{"dropping-particle":"","family":"Johansen","given":"Marie Louise","non-dropping-particle":"","parse-names":false,"suffix":""},{"dropping-particle":"","family":"Rasmussen","given":"Jon J.","non-dropping-particle":"","parse-names":false,"suffix":""},{"dropping-particle":"","family":"Forman","given":"Julie L.","non-dropping-particle":"","parse-names":false,"suffix":""},{"dropping-particle":"","family":"Holm","given":"Maria R.","non-dropping-particle":"","parse-names":false,"suffix":""},{"dropping-particle":"","family":"Rye Jørgensen","given":"Niklas","non-dropping-particle":"","parse-names":false,"suffix":""},{"dropping-particle":"","family":"Faber","given":"Jens","non-dropping-particle":"","parse-names":false,"suffix":""},{"dropping-particle":"","family":"Rossignol","given":"Patrick","non-dropping-particle":"","parse-names":false,"suffix":""},{"dropping-particle":"","family":"Schou","given":"Morten","non-dropping-particle":"","parse-names":false,"suffix":""},{"dropping-particle":"","family":"Kistorp","given":"Caroline","non-dropping-particle":"","parse-names":false,"suffix":""}],"container-title":"JACC: Heart Failure","id":"ITEM-1","issue":"8","issued":{"date-parts":[["2021"]]},"page":"550-558","title":"Mineralocorticoid Receptor Antagonist Improves Cardiac Structure in Type 2 Diabetes: Data From the MIRAD Trial","type":"article-journal","volume":"9"},"uris":["http://www.mendeley.com/documents/?uuid=e940ca90-a052-4f31-9c6d-b197d4941677"]}],"mendeley":{"formattedCitation":"(150)","plainTextFormattedCitation":"(150)","previouslyFormattedCitation":"(150)"},"properties":{"noteIndex":0},"schema":"https://github.com/citation-style-language/schema/raw/master/csl-citation.json"}</w:instrText>
      </w:r>
      <w:r w:rsidR="00E9687D" w:rsidRPr="004661E9">
        <w:rPr>
          <w:rFonts w:ascii="Arial" w:hAnsi="Arial" w:cs="Arial"/>
        </w:rPr>
        <w:fldChar w:fldCharType="separate"/>
      </w:r>
      <w:r w:rsidR="001C412B" w:rsidRPr="004661E9">
        <w:rPr>
          <w:rFonts w:ascii="Arial" w:hAnsi="Arial" w:cs="Arial"/>
          <w:noProof/>
        </w:rPr>
        <w:t>(150)</w:t>
      </w:r>
      <w:r w:rsidR="00E9687D" w:rsidRPr="004661E9">
        <w:rPr>
          <w:rFonts w:ascii="Arial" w:hAnsi="Arial" w:cs="Arial"/>
        </w:rPr>
        <w:fldChar w:fldCharType="end"/>
      </w:r>
      <w:r w:rsidR="00866E28" w:rsidRPr="004661E9">
        <w:rPr>
          <w:rFonts w:ascii="Arial" w:hAnsi="Arial" w:cs="Arial"/>
        </w:rPr>
        <w:t xml:space="preserve">. </w:t>
      </w:r>
      <w:r w:rsidR="00F35C4E" w:rsidRPr="004661E9">
        <w:rPr>
          <w:rFonts w:ascii="Arial" w:hAnsi="Arial" w:cs="Arial"/>
        </w:rPr>
        <w:t xml:space="preserve">Our knowledge </w:t>
      </w:r>
      <w:r w:rsidR="00543EDD" w:rsidRPr="004661E9">
        <w:rPr>
          <w:rFonts w:ascii="Arial" w:hAnsi="Arial" w:cs="Arial"/>
        </w:rPr>
        <w:t xml:space="preserve">of </w:t>
      </w:r>
      <w:r w:rsidR="00F35C4E" w:rsidRPr="004661E9">
        <w:rPr>
          <w:rFonts w:ascii="Arial" w:hAnsi="Arial" w:cs="Arial"/>
        </w:rPr>
        <w:t xml:space="preserve">MRAs </w:t>
      </w:r>
      <w:r w:rsidR="00543EDD" w:rsidRPr="004661E9">
        <w:rPr>
          <w:rFonts w:ascii="Arial" w:hAnsi="Arial" w:cs="Arial"/>
        </w:rPr>
        <w:t xml:space="preserve">in patients with diabetes </w:t>
      </w:r>
      <w:r w:rsidR="00F35C4E" w:rsidRPr="004661E9">
        <w:rPr>
          <w:rFonts w:ascii="Arial" w:hAnsi="Arial" w:cs="Arial"/>
        </w:rPr>
        <w:t xml:space="preserve">has </w:t>
      </w:r>
      <w:r w:rsidR="007E1438" w:rsidRPr="004661E9">
        <w:rPr>
          <w:rFonts w:ascii="Arial" w:hAnsi="Arial" w:cs="Arial"/>
        </w:rPr>
        <w:t xml:space="preserve">expanded with </w:t>
      </w:r>
      <w:r w:rsidR="008C0480" w:rsidRPr="004661E9">
        <w:rPr>
          <w:rFonts w:ascii="Arial" w:hAnsi="Arial" w:cs="Arial"/>
        </w:rPr>
        <w:t>two Phase III</w:t>
      </w:r>
      <w:r w:rsidR="007E1438" w:rsidRPr="004661E9">
        <w:rPr>
          <w:rFonts w:ascii="Arial" w:hAnsi="Arial" w:cs="Arial"/>
        </w:rPr>
        <w:t xml:space="preserve"> landmark </w:t>
      </w:r>
      <w:r w:rsidR="00FF3C12" w:rsidRPr="004661E9">
        <w:rPr>
          <w:rFonts w:ascii="Arial" w:hAnsi="Arial" w:cs="Arial"/>
        </w:rPr>
        <w:t xml:space="preserve">RCTs </w:t>
      </w:r>
      <w:r w:rsidR="007C31BE" w:rsidRPr="004661E9">
        <w:rPr>
          <w:rFonts w:ascii="Arial" w:hAnsi="Arial" w:cs="Arial"/>
        </w:rPr>
        <w:t xml:space="preserve">evaluating the cardiorenal benefits of Fineranone, a recently discovered non-steroidal MRA </w:t>
      </w:r>
      <w:r w:rsidR="008D60DC" w:rsidRPr="004661E9">
        <w:rPr>
          <w:rFonts w:ascii="Arial" w:hAnsi="Arial" w:cs="Arial"/>
        </w:rPr>
        <w:t>with high affinity and specificity for the mineralocorticoid receptor</w:t>
      </w:r>
      <w:r w:rsidR="00354105" w:rsidRPr="004661E9">
        <w:rPr>
          <w:rFonts w:ascii="Arial" w:hAnsi="Arial" w:cs="Arial"/>
        </w:rPr>
        <w:t xml:space="preserve"> </w:t>
      </w:r>
      <w:r w:rsidR="0081665E" w:rsidRPr="004661E9">
        <w:rPr>
          <w:rFonts w:ascii="Arial" w:hAnsi="Arial" w:cs="Arial"/>
        </w:rPr>
        <w:fldChar w:fldCharType="begin" w:fldLock="1"/>
      </w:r>
      <w:r w:rsidR="001C412B" w:rsidRPr="004661E9">
        <w:rPr>
          <w:rFonts w:ascii="Arial" w:hAnsi="Arial" w:cs="Arial"/>
        </w:rPr>
        <w:instrText>ADDIN CSL_CITATION {"citationItems":[{"id":"ITEM-1","itemData":{"DOI":"10.1093/eurheartj/ehac299","ISSN":"15229645","PMID":"35713973","abstract":"Despite existing treatments, patients with heart failure and chronic kidney disease (CKD) remain at high risk for adverse outcomes and progression to end-stage disease. Steroidal mineralocorticoid receptor antagonists (MRAs) such as spironolactone and eplerenone reduce mortality but remain under-prescribed due to the perceived risk of hyperkalaemia and hormonal side effects. The discovery of non-steroidal MRAs represents a major new dimension in cardiorenal disease therapy. Non-steroidal MRAs have high affinity and specificity for the mineralocorticoid receptor (MR) and differ from both steroidal agents and each other with respect to important physiochemical, pharmacodynamic, and pharmacokinetic parameters. Similar to their steroidal counterparts, they have beneficial anti-inflammatory, anti-remodelling, and anti-fibrotic properties in the kidneys, heart, and vasculature. There are several non-steroidal MRAs under development and clinical assessment; of these, only esaxerenone and finerenone are approved for treatment globally. In Japan, esaxerenone is approved for essential hypertension and has been studied in diabetic nephropathy. Compared with steroidal MRAs, finerenone more potently inhibits MR co-regulator recruitment and fibrosis and distributes more evenly between the heart and kidneys. The landmark Phase III trials FIGARO-DKD and FIDELIO-DKD demonstrated that finerenone-reduced major kidney and cardiovascular events on top of maximally tolerated renin-angiotensin-aldosterone system inhibition in patients with CKD associated with Type 2 diabetes. Non-steroidal MRAs are currently under evaluation in heart failure and for synergistic treatment with sodium-glucose contransporter 2 inhibitors. These ground-breaking agents could become an important therapy across the spectrum of cardiorenal disease.","author":[{"dropping-particle":"","family":"Pandey","given":"Arjun K.","non-dropping-particle":"","parse-names":false,"suffix":""},{"dropping-particle":"","family":"Bhatt","given":"Deepak L.","non-dropping-particle":"","parse-names":false,"suffix":""},{"dropping-particle":"","family":"Cosentino","given":"Francesco","non-dropping-particle":"","parse-names":false,"suffix":""},{"dropping-particle":"","family":"Marx","given":"Nikolaus","non-dropping-particle":"","parse-names":false,"suffix":""},{"dropping-particle":"","family":"Rotstein","given":"Ori","non-dropping-particle":"","parse-names":false,"suffix":""},{"dropping-particle":"","family":"Pitt","given":"Bertram","non-dropping-particle":"","parse-names":false,"suffix":""},{"dropping-particle":"","family":"Pandey","given":"Ambarish","non-dropping-particle":"","parse-names":false,"suffix":""},{"dropping-particle":"","family":"Butler","given":"Javed","non-dropping-particle":"","parse-names":false,"suffix":""},{"dropping-particle":"","family":"Verma","given":"Subodh","non-dropping-particle":"","parse-names":false,"suffix":""}],"container-title":"European Heart Journal","id":"ITEM-1","issue":"31","issued":{"date-parts":[["2022"]]},"page":"2931-2945","publisher":"Oxford University Press","title":"Non-steroidal mineralocorticoid receptor antagonists in cardiorenal disease","type":"article-journal","volume":"43"},"uris":["http://www.mendeley.com/documents/?uuid=ac98d965-08b4-4763-95f7-1136513ad54b"]}],"mendeley":{"formattedCitation":"(151)","plainTextFormattedCitation":"(151)","previouslyFormattedCitation":"(151)"},"properties":{"noteIndex":0},"schema":"https://github.com/citation-style-language/schema/raw/master/csl-citation.json"}</w:instrText>
      </w:r>
      <w:r w:rsidR="0081665E" w:rsidRPr="004661E9">
        <w:rPr>
          <w:rFonts w:ascii="Arial" w:hAnsi="Arial" w:cs="Arial"/>
        </w:rPr>
        <w:fldChar w:fldCharType="separate"/>
      </w:r>
      <w:r w:rsidR="001C412B" w:rsidRPr="004661E9">
        <w:rPr>
          <w:rFonts w:ascii="Arial" w:hAnsi="Arial" w:cs="Arial"/>
          <w:noProof/>
        </w:rPr>
        <w:t>(151)</w:t>
      </w:r>
      <w:r w:rsidR="0081665E" w:rsidRPr="004661E9">
        <w:rPr>
          <w:rFonts w:ascii="Arial" w:hAnsi="Arial" w:cs="Arial"/>
        </w:rPr>
        <w:fldChar w:fldCharType="end"/>
      </w:r>
      <w:r w:rsidR="008D60DC" w:rsidRPr="004661E9">
        <w:rPr>
          <w:rFonts w:ascii="Arial" w:hAnsi="Arial" w:cs="Arial"/>
        </w:rPr>
        <w:t xml:space="preserve">. </w:t>
      </w:r>
      <w:r w:rsidR="002D3486" w:rsidRPr="004661E9">
        <w:rPr>
          <w:rFonts w:ascii="Arial" w:hAnsi="Arial" w:cs="Arial"/>
        </w:rPr>
        <w:t xml:space="preserve">FIDELIO-DKD and </w:t>
      </w:r>
      <w:r w:rsidR="00C6335E" w:rsidRPr="004661E9">
        <w:rPr>
          <w:rFonts w:ascii="Arial" w:hAnsi="Arial" w:cs="Arial"/>
        </w:rPr>
        <w:t xml:space="preserve">FIGARO-DKD </w:t>
      </w:r>
      <w:r w:rsidR="00883824" w:rsidRPr="004661E9">
        <w:rPr>
          <w:rFonts w:ascii="Arial" w:hAnsi="Arial" w:cs="Arial"/>
        </w:rPr>
        <w:t xml:space="preserve">trials demonstrated that </w:t>
      </w:r>
      <w:r w:rsidR="003A2B7C" w:rsidRPr="004661E9">
        <w:rPr>
          <w:rFonts w:ascii="Arial" w:hAnsi="Arial" w:cs="Arial"/>
        </w:rPr>
        <w:t>fineranone therapy on top of maximally tolerated RAAS inhibitor treat</w:t>
      </w:r>
      <w:r w:rsidR="001B17A7" w:rsidRPr="004661E9">
        <w:rPr>
          <w:rFonts w:ascii="Arial" w:hAnsi="Arial" w:cs="Arial"/>
        </w:rPr>
        <w:t>ment was renally protective and</w:t>
      </w:r>
      <w:r w:rsidR="00F33A4B" w:rsidRPr="004661E9">
        <w:rPr>
          <w:rFonts w:ascii="Arial" w:hAnsi="Arial" w:cs="Arial"/>
        </w:rPr>
        <w:t xml:space="preserve"> reduced the risk of</w:t>
      </w:r>
      <w:r w:rsidR="001B17A7" w:rsidRPr="004661E9">
        <w:rPr>
          <w:rFonts w:ascii="Arial" w:hAnsi="Arial" w:cs="Arial"/>
        </w:rPr>
        <w:t xml:space="preserve"> </w:t>
      </w:r>
      <w:r w:rsidR="00543EDD" w:rsidRPr="004661E9">
        <w:rPr>
          <w:rFonts w:ascii="Arial" w:hAnsi="Arial" w:cs="Arial"/>
        </w:rPr>
        <w:t xml:space="preserve">the </w:t>
      </w:r>
      <w:r w:rsidR="008B0B5A" w:rsidRPr="004661E9">
        <w:rPr>
          <w:rFonts w:ascii="Arial" w:hAnsi="Arial" w:cs="Arial"/>
        </w:rPr>
        <w:t xml:space="preserve">primary endpoint of </w:t>
      </w:r>
      <w:r w:rsidR="00934BE7" w:rsidRPr="004661E9">
        <w:rPr>
          <w:rFonts w:ascii="Arial" w:hAnsi="Arial" w:cs="Arial"/>
        </w:rPr>
        <w:t>CVD</w:t>
      </w:r>
      <w:r w:rsidR="001B17A7" w:rsidRPr="004661E9">
        <w:rPr>
          <w:rFonts w:ascii="Arial" w:hAnsi="Arial" w:cs="Arial"/>
        </w:rPr>
        <w:t xml:space="preserve"> outcomes</w:t>
      </w:r>
      <w:r w:rsidR="008B0B5A" w:rsidRPr="004661E9">
        <w:rPr>
          <w:rFonts w:ascii="Arial" w:hAnsi="Arial" w:cs="Arial"/>
        </w:rPr>
        <w:t xml:space="preserve"> in patients with T2DM and </w:t>
      </w:r>
      <w:r w:rsidR="00AC75E6" w:rsidRPr="004661E9">
        <w:rPr>
          <w:rFonts w:ascii="Arial" w:hAnsi="Arial" w:cs="Arial"/>
        </w:rPr>
        <w:t>CKD</w:t>
      </w:r>
      <w:r w:rsidR="00BD7110" w:rsidRPr="004661E9">
        <w:rPr>
          <w:rFonts w:ascii="Arial" w:hAnsi="Arial" w:cs="Arial"/>
        </w:rPr>
        <w:t xml:space="preserve"> </w:t>
      </w:r>
      <w:r w:rsidR="00E60D4C" w:rsidRPr="004661E9">
        <w:rPr>
          <w:rFonts w:ascii="Arial" w:hAnsi="Arial" w:cs="Arial"/>
        </w:rPr>
        <w:fldChar w:fldCharType="begin" w:fldLock="1"/>
      </w:r>
      <w:r w:rsidR="001C412B" w:rsidRPr="004661E9">
        <w:rPr>
          <w:rFonts w:ascii="Arial" w:hAnsi="Arial" w:cs="Arial"/>
        </w:rPr>
        <w:instrText>ADDIN CSL_CITATION {"citationItems":[{"id":"ITEM-1","itemData":{"DOI":"10.1056/nejmoa2025845","ISSN":"0028-4793","PMID":"33264825","abstract":"Abstract Background Finerenone, a nonsteroidal, selective mineralocorticoid receptor antagonist, reduced albuminuria in short-term trials involving patients with chronic kidney disease (CKD) and ty...","author":[{"dropping-particle":"","family":"Bakris","given":"George L.","non-dropping-particle":"","parse-names":false,"suffix":""},{"dropping-particle":"","family":"Agarwal","given":"Rajiv","non-dropping-particle":"","parse-names":false,"suffix":""},{"dropping-particle":"","family":"Anker","given":"Stefan D.","non-dropping-particle":"","parse-names":false,"suffix":""},{"dropping-particle":"","family":"Pitt","given":"Bertram","non-dropping-particle":"","parse-names":false,"suffix":""},{"dropping-particle":"","family":"Ruilope","given":"Luis M.","non-dropping-particle":"","parse-names":false,"suffix":""},{"dropping-particle":"","family":"Rossing","given":"Peter","non-dropping-particle":"","parse-names":false,"suffix":""},{"dropping-particle":"","family":"Kolkhof","given":"Peter","non-dropping-particle":"","parse-names":false,"suffix":""},{"dropping-particle":"","family":"Nowack","given":"Christina","non-dropping-particle":"","parse-names":false,"suffix":""},{"dropping-particle":"","family":"Schloemer","given":"Patrick","non-dropping-particle":"","parse-names":false,"suffix":""},{"dropping-particle":"","family":"Joseph","given":"Amer","non-dropping-particle":"","parse-names":false,"suffix":""},{"dropping-particle":"","family":"Filippatos","given":"Gerasimos","non-dropping-particle":"","parse-names":false,"suffix":""}],"container-title":"New England Journal of Medicine","id":"ITEM-1","issue":"23","issued":{"date-parts":[["2020"]]},"page":"2219-2229","title":"Effect of Finerenone on Chronic Kidney Disease Outcomes in Type 2 Diabetes","type":"article-journal","volume":"383"},"uris":["http://www.mendeley.com/documents/?uuid=9208883a-8c1f-4abf-8e88-e539f015812d"]},{"id":"ITEM-2","itemData":{"DOI":"10.1056/nejmoa2110956","ISSN":"0028-4793","PMID":"34449181","abstract":"Background: Finerenone, a selective nonsteroidal mineralocorticoid receptor antagonist, has favorable effects on cardiorenal outcomes in patients with predominantly stage 3 or 4 chronic kidney disease (CKD) with severely elevated albuminuria and type 2 diabetes. The use of finerenone in patients with type 2 diabetes and a wider range of CKD is unclear. Methods: In this double-blind trial, we randomly assigned patients with CKD and type 2 diabetes to receive finerenone or placebo. Eligible patients had a urinary albumin-to-creatinine ratio (with albumin measured in milligrams and creatinine measured in grams) of 30 to less than 300 and an estimated glomerular filtration rate (eGFR) of 25 to 90 ml per minute per 1.73 m2 of body-surface area (stage 2 to 4 CKD) or a urinary albumin-to-creatinine ratio of 300 to 5000 and an eGFR of at least 60 ml per minute per 1.73 m2 (stage 1 or 2 CKD). Patients were treated with renin-angiotensin system blockade that had been adjusted before randomization to the maximum dose on the manufacturer's label that did not cause unacceptable side effects. The primary outcome, assessed in a time-to-event analysis, was a composite of death from cardiovascular causes, nonfatal myocardial infarction, nonfatal stroke, or hospitalization for heart failure. The first secondary outcome was a composite of kidney failure, a sustained decrease from baseline of at least 40% in the eGFR, or death from renal causes. Safety was assessed as investigator-reported adverse events. Results: A total of 7437 patients underwent randomization. Among the patients included in the analysis, during a median follow-up of 3.4 years, a primary outcome event occurred in 458 of 3686 patients (12.4%) in the finerenone group and in 519 of 3666 (14.2%) in the placebo group (hazard ratio, 0.87; 95% confidence interval [CI], 0.76 to 0.98; P = 0.03), with the benefit driven primarily by a lower incidence of hospitalization for heart failure (hazard ratio, 0.71; 95% CI, 0.56 to 0.90). The secondary composite outcome occurred in 350 patients (9.5%) in the finerenone group and in 395 (10.8%) in the placebo group (hazard ratio, 0.87; 95% CI, 0.76 to 1.01). The overall frequency of adverse events did not differ substantially between groups. The incidence of hyperkalemia-related discontinuation of the trial regimen was higher with finerenone (1.2%) than with placebo (0.4%). Conclusions: Among patients with type 2 diabetes and stage 2 to 4 CKD with moderately elevated albumi…","author":[{"dropping-particle":"","family":"Pitt","given":"Bertram","non-dropping-particle":"","parse-names":false,"suffix":""},{"dropping-particle":"","family":"Filippatos","given":"Gerasimos","non-dropping-particle":"","parse-names":false,"suffix":""},{"dropping-particle":"","family":"Agarwal","given":"Rajiv","non-dropping-particle":"","parse-names":false,"suffix":""},{"dropping-particle":"","family":"Anker","given":"Stefan D.","non-dropping-particle":"","parse-names":false,"suffix":""},{"dropping-particle":"","family":"Bakris","given":"George L.","non-dropping-particle":"","parse-names":false,"suffix":""},{"dropping-particle":"","family":"Rossing","given":"Peter","non-dropping-particle":"","parse-names":false,"suffix":""},{"dropping-particle":"","family":"Joseph","given":"Amer","non-dropping-particle":"","parse-names":false,"suffix":""},{"dropping-particle":"","family":"Kolkhof","given":"Peter","non-dropping-particle":"","parse-names":false,"suffix":""},{"dropping-particle":"","family":"Nowack","given":"Christina","non-dropping-particle":"","parse-names":false,"suffix":""},{"dropping-particle":"","family":"Schloemer","given":"Patrick","non-dropping-particle":"","parse-names":false,"suffix":""},{"dropping-particle":"","family":"Ruilope","given":"Luis M.","non-dropping-particle":"","parse-names":false,"suffix":""}],"container-title":"New England Journal of Medicine","id":"ITEM-2","issue":"24","issued":{"date-parts":[["2021"]]},"page":"2252-2263","title":"Cardiovascular Events with Finerenone in Kidney Disease and Type 2 Diabetes","type":"article-journal","volume":"385"},"uris":["http://www.mendeley.com/documents/?uuid=79b0fe99-b60b-4270-a109-fa404ae14f91"]}],"mendeley":{"formattedCitation":"(152,153)","plainTextFormattedCitation":"(152,153)","previouslyFormattedCitation":"(152,153)"},"properties":{"noteIndex":0},"schema":"https://github.com/citation-style-language/schema/raw/master/csl-citation.json"}</w:instrText>
      </w:r>
      <w:r w:rsidR="00E60D4C" w:rsidRPr="004661E9">
        <w:rPr>
          <w:rFonts w:ascii="Arial" w:hAnsi="Arial" w:cs="Arial"/>
        </w:rPr>
        <w:fldChar w:fldCharType="separate"/>
      </w:r>
      <w:r w:rsidR="001C412B" w:rsidRPr="004661E9">
        <w:rPr>
          <w:rFonts w:ascii="Arial" w:hAnsi="Arial" w:cs="Arial"/>
          <w:noProof/>
        </w:rPr>
        <w:t>(152,153)</w:t>
      </w:r>
      <w:r w:rsidR="00E60D4C" w:rsidRPr="004661E9">
        <w:rPr>
          <w:rFonts w:ascii="Arial" w:hAnsi="Arial" w:cs="Arial"/>
        </w:rPr>
        <w:fldChar w:fldCharType="end"/>
      </w:r>
      <w:r w:rsidR="008B0B5A" w:rsidRPr="004661E9">
        <w:rPr>
          <w:rFonts w:ascii="Arial" w:hAnsi="Arial" w:cs="Arial"/>
        </w:rPr>
        <w:t xml:space="preserve">. </w:t>
      </w:r>
      <w:r w:rsidR="0078264C" w:rsidRPr="004661E9">
        <w:rPr>
          <w:rFonts w:ascii="Arial" w:hAnsi="Arial" w:cs="Arial"/>
        </w:rPr>
        <w:t>More specifically,</w:t>
      </w:r>
      <w:r w:rsidR="00236D2D" w:rsidRPr="004661E9">
        <w:rPr>
          <w:rFonts w:ascii="Arial" w:hAnsi="Arial" w:cs="Arial"/>
        </w:rPr>
        <w:t xml:space="preserve"> fineranone therapy significantly reduced the risk of hospitalization for HF</w:t>
      </w:r>
      <w:r w:rsidR="005C248F" w:rsidRPr="004661E9">
        <w:rPr>
          <w:rFonts w:ascii="Arial" w:hAnsi="Arial" w:cs="Arial"/>
        </w:rPr>
        <w:t xml:space="preserve"> (HR; </w:t>
      </w:r>
      <w:r w:rsidR="00354105" w:rsidRPr="004661E9">
        <w:rPr>
          <w:rFonts w:ascii="Arial" w:hAnsi="Arial" w:cs="Arial"/>
        </w:rPr>
        <w:t>0.71 [95% CI, 0.56-0.90]</w:t>
      </w:r>
      <w:r w:rsidR="005C248F" w:rsidRPr="004661E9">
        <w:rPr>
          <w:rFonts w:ascii="Arial" w:hAnsi="Arial" w:cs="Arial"/>
        </w:rPr>
        <w:t>)</w:t>
      </w:r>
      <w:r w:rsidR="00236D2D" w:rsidRPr="004661E9">
        <w:rPr>
          <w:rFonts w:ascii="Arial" w:hAnsi="Arial" w:cs="Arial"/>
        </w:rPr>
        <w:t xml:space="preserve"> </w:t>
      </w:r>
      <w:r w:rsidR="005C248F" w:rsidRPr="004661E9">
        <w:rPr>
          <w:rFonts w:ascii="Arial" w:hAnsi="Arial" w:cs="Arial"/>
        </w:rPr>
        <w:t>in the FIGARO-DKD trial</w:t>
      </w:r>
      <w:r w:rsidR="00354105" w:rsidRPr="004661E9">
        <w:rPr>
          <w:rFonts w:ascii="Arial" w:hAnsi="Arial" w:cs="Arial"/>
        </w:rPr>
        <w:t xml:space="preserve"> </w:t>
      </w:r>
      <w:r w:rsidR="00354105" w:rsidRPr="004661E9">
        <w:rPr>
          <w:rFonts w:ascii="Arial" w:hAnsi="Arial" w:cs="Arial"/>
        </w:rPr>
        <w:fldChar w:fldCharType="begin" w:fldLock="1"/>
      </w:r>
      <w:r w:rsidR="001C412B" w:rsidRPr="004661E9">
        <w:rPr>
          <w:rFonts w:ascii="Arial" w:hAnsi="Arial" w:cs="Arial"/>
        </w:rPr>
        <w:instrText>ADDIN CSL_CITATION {"citationItems":[{"id":"ITEM-1","itemData":{"DOI":"10.1056/nejmoa2110956","ISSN":"0028-4793","PMID":"34449181","abstract":"Background: Finerenone, a selective nonsteroidal mineralocorticoid receptor antagonist, has favorable effects on cardiorenal outcomes in patients with predominantly stage 3 or 4 chronic kidney disease (CKD) with severely elevated albuminuria and type 2 diabetes. The use of finerenone in patients with type 2 diabetes and a wider range of CKD is unclear. Methods: In this double-blind trial, we randomly assigned patients with CKD and type 2 diabetes to receive finerenone or placebo. Eligible patients had a urinary albumin-to-creatinine ratio (with albumin measured in milligrams and creatinine measured in grams) of 30 to less than 300 and an estimated glomerular filtration rate (eGFR) of 25 to 90 ml per minute per 1.73 m2 of body-surface area (stage 2 to 4 CKD) or a urinary albumin-to-creatinine ratio of 300 to 5000 and an eGFR of at least 60 ml per minute per 1.73 m2 (stage 1 or 2 CKD). Patients were treated with renin-angiotensin system blockade that had been adjusted before randomization to the maximum dose on the manufacturer's label that did not cause unacceptable side effects. The primary outcome, assessed in a time-to-event analysis, was a composite of death from cardiovascular causes, nonfatal myocardial infarction, nonfatal stroke, or hospitalization for heart failure. The first secondary outcome was a composite of kidney failure, a sustained decrease from baseline of at least 40% in the eGFR, or death from renal causes. Safety was assessed as investigator-reported adverse events. Results: A total of 7437 patients underwent randomization. Among the patients included in the analysis, during a median follow-up of 3.4 years, a primary outcome event occurred in 458 of 3686 patients (12.4%) in the finerenone group and in 519 of 3666 (14.2%) in the placebo group (hazard ratio, 0.87; 95% confidence interval [CI], 0.76 to 0.98; P = 0.03), with the benefit driven primarily by a lower incidence of hospitalization for heart failure (hazard ratio, 0.71; 95% CI, 0.56 to 0.90). The secondary composite outcome occurred in 350 patients (9.5%) in the finerenone group and in 395 (10.8%) in the placebo group (hazard ratio, 0.87; 95% CI, 0.76 to 1.01). The overall frequency of adverse events did not differ substantially between groups. The incidence of hyperkalemia-related discontinuation of the trial regimen was higher with finerenone (1.2%) than with placebo (0.4%). Conclusions: Among patients with type 2 diabetes and stage 2 to 4 CKD with moderately elevated albumi…","author":[{"dropping-particle":"","family":"Pitt","given":"Bertram","non-dropping-particle":"","parse-names":false,"suffix":""},{"dropping-particle":"","family":"Filippatos","given":"Gerasimos","non-dropping-particle":"","parse-names":false,"suffix":""},{"dropping-particle":"","family":"Agarwal","given":"Rajiv","non-dropping-particle":"","parse-names":false,"suffix":""},{"dropping-particle":"","family":"Anker","given":"Stefan D.","non-dropping-particle":"","parse-names":false,"suffix":""},{"dropping-particle":"","family":"Bakris","given":"George L.","non-dropping-particle":"","parse-names":false,"suffix":""},{"dropping-particle":"","family":"Rossing","given":"Peter","non-dropping-particle":"","parse-names":false,"suffix":""},{"dropping-particle":"","family":"Joseph","given":"Amer","non-dropping-particle":"","parse-names":false,"suffix":""},{"dropping-particle":"","family":"Kolkhof","given":"Peter","non-dropping-particle":"","parse-names":false,"suffix":""},{"dropping-particle":"","family":"Nowack","given":"Christina","non-dropping-particle":"","parse-names":false,"suffix":""},{"dropping-particle":"","family":"Schloemer","given":"Patrick","non-dropping-particle":"","parse-names":false,"suffix":""},{"dropping-particle":"","family":"Ruilope","given":"Luis M.","non-dropping-particle":"","parse-names":false,"suffix":""}],"container-title":"New England Journal of Medicine","id":"ITEM-1","issue":"24","issued":{"date-parts":[["2021"]]},"page":"2252-2263","title":"Cardiovascular Events with Finerenone in Kidney Disease and Type 2 Diabetes","type":"article-journal","volume":"385"},"uris":["http://www.mendeley.com/documents/?uuid=79b0fe99-b60b-4270-a109-fa404ae14f91"]}],"mendeley":{"formattedCitation":"(153)","plainTextFormattedCitation":"(153)","previouslyFormattedCitation":"(153)"},"properties":{"noteIndex":0},"schema":"https://github.com/citation-style-language/schema/raw/master/csl-citation.json"}</w:instrText>
      </w:r>
      <w:r w:rsidR="00354105" w:rsidRPr="004661E9">
        <w:rPr>
          <w:rFonts w:ascii="Arial" w:hAnsi="Arial" w:cs="Arial"/>
        </w:rPr>
        <w:fldChar w:fldCharType="separate"/>
      </w:r>
      <w:r w:rsidR="001C412B" w:rsidRPr="004661E9">
        <w:rPr>
          <w:rFonts w:ascii="Arial" w:hAnsi="Arial" w:cs="Arial"/>
          <w:noProof/>
        </w:rPr>
        <w:t>(153)</w:t>
      </w:r>
      <w:r w:rsidR="00354105" w:rsidRPr="004661E9">
        <w:rPr>
          <w:rFonts w:ascii="Arial" w:hAnsi="Arial" w:cs="Arial"/>
        </w:rPr>
        <w:fldChar w:fldCharType="end"/>
      </w:r>
      <w:r w:rsidR="005C248F" w:rsidRPr="004661E9">
        <w:rPr>
          <w:rFonts w:ascii="Arial" w:hAnsi="Arial" w:cs="Arial"/>
        </w:rPr>
        <w:t>.</w:t>
      </w:r>
      <w:r w:rsidR="003A06C9" w:rsidRPr="004661E9">
        <w:rPr>
          <w:rFonts w:ascii="Arial" w:hAnsi="Arial" w:cs="Arial"/>
        </w:rPr>
        <w:t xml:space="preserve"> Based on these results, </w:t>
      </w:r>
      <w:r w:rsidR="002F378C" w:rsidRPr="004661E9">
        <w:rPr>
          <w:rFonts w:ascii="Arial" w:hAnsi="Arial" w:cs="Arial"/>
        </w:rPr>
        <w:t xml:space="preserve">the </w:t>
      </w:r>
      <w:r w:rsidR="001C412B" w:rsidRPr="004661E9">
        <w:rPr>
          <w:rFonts w:ascii="Arial" w:hAnsi="Arial" w:cs="Arial"/>
        </w:rPr>
        <w:t>U.S. Food and Drug Administration (</w:t>
      </w:r>
      <w:r w:rsidR="002F378C" w:rsidRPr="004661E9">
        <w:rPr>
          <w:rFonts w:ascii="Arial" w:hAnsi="Arial" w:cs="Arial"/>
        </w:rPr>
        <w:t>FDA</w:t>
      </w:r>
      <w:r w:rsidR="001C412B" w:rsidRPr="004661E9">
        <w:rPr>
          <w:rFonts w:ascii="Arial" w:hAnsi="Arial" w:cs="Arial"/>
        </w:rPr>
        <w:t>)</w:t>
      </w:r>
      <w:r w:rsidR="002F378C" w:rsidRPr="004661E9">
        <w:rPr>
          <w:rFonts w:ascii="Arial" w:hAnsi="Arial" w:cs="Arial"/>
        </w:rPr>
        <w:t xml:space="preserve"> recently approved fineranone</w:t>
      </w:r>
      <w:r w:rsidR="00D37B4E" w:rsidRPr="004661E9">
        <w:rPr>
          <w:rFonts w:ascii="Arial" w:hAnsi="Arial" w:cs="Arial"/>
        </w:rPr>
        <w:t xml:space="preserve"> to reduce the risk of </w:t>
      </w:r>
      <w:r w:rsidR="00D42EB8" w:rsidRPr="004661E9">
        <w:rPr>
          <w:rFonts w:ascii="Arial" w:hAnsi="Arial" w:cs="Arial"/>
        </w:rPr>
        <w:t>estimated glomerular filtration rate (</w:t>
      </w:r>
      <w:r w:rsidR="00D37B4E" w:rsidRPr="004661E9">
        <w:rPr>
          <w:rFonts w:ascii="Arial" w:hAnsi="Arial" w:cs="Arial"/>
        </w:rPr>
        <w:t>eGFR</w:t>
      </w:r>
      <w:r w:rsidR="00D42EB8" w:rsidRPr="004661E9">
        <w:rPr>
          <w:rFonts w:ascii="Arial" w:hAnsi="Arial" w:cs="Arial"/>
        </w:rPr>
        <w:t>)</w:t>
      </w:r>
      <w:r w:rsidR="00D37B4E" w:rsidRPr="004661E9">
        <w:rPr>
          <w:rFonts w:ascii="Arial" w:hAnsi="Arial" w:cs="Arial"/>
        </w:rPr>
        <w:t xml:space="preserve"> </w:t>
      </w:r>
      <w:r w:rsidR="00D37B4E" w:rsidRPr="004661E9">
        <w:rPr>
          <w:rFonts w:ascii="Arial" w:hAnsi="Arial" w:cs="Arial"/>
        </w:rPr>
        <w:lastRenderedPageBreak/>
        <w:t>decline, end-stage renal disease, CV</w:t>
      </w:r>
      <w:r w:rsidR="00855F66" w:rsidRPr="004661E9">
        <w:rPr>
          <w:rFonts w:ascii="Arial" w:hAnsi="Arial" w:cs="Arial"/>
        </w:rPr>
        <w:t>D</w:t>
      </w:r>
      <w:r w:rsidR="00D37B4E" w:rsidRPr="004661E9">
        <w:rPr>
          <w:rFonts w:ascii="Arial" w:hAnsi="Arial" w:cs="Arial"/>
        </w:rPr>
        <w:t xml:space="preserve"> death</w:t>
      </w:r>
      <w:r w:rsidR="00342722" w:rsidRPr="004661E9">
        <w:rPr>
          <w:rFonts w:ascii="Arial" w:hAnsi="Arial" w:cs="Arial"/>
        </w:rPr>
        <w:t>, non-fatal MI</w:t>
      </w:r>
      <w:r w:rsidR="00543EDD" w:rsidRPr="004661E9">
        <w:rPr>
          <w:rFonts w:ascii="Arial" w:hAnsi="Arial" w:cs="Arial"/>
        </w:rPr>
        <w:t>,</w:t>
      </w:r>
      <w:r w:rsidR="00342722" w:rsidRPr="004661E9">
        <w:rPr>
          <w:rFonts w:ascii="Arial" w:hAnsi="Arial" w:cs="Arial"/>
        </w:rPr>
        <w:t xml:space="preserve"> and </w:t>
      </w:r>
      <w:r w:rsidR="00543EDD" w:rsidRPr="004661E9">
        <w:rPr>
          <w:rFonts w:ascii="Arial" w:hAnsi="Arial" w:cs="Arial"/>
        </w:rPr>
        <w:t>HF hospitalization in patients</w:t>
      </w:r>
      <w:r w:rsidR="00342722" w:rsidRPr="004661E9">
        <w:rPr>
          <w:rFonts w:ascii="Arial" w:hAnsi="Arial" w:cs="Arial"/>
        </w:rPr>
        <w:t xml:space="preserve"> with CKD and T2DM</w:t>
      </w:r>
      <w:r w:rsidR="00F24ACD" w:rsidRPr="004661E9">
        <w:rPr>
          <w:rFonts w:ascii="Arial" w:hAnsi="Arial" w:cs="Arial"/>
        </w:rPr>
        <w:t xml:space="preserve"> </w:t>
      </w:r>
      <w:r w:rsidR="00F24ACD" w:rsidRPr="004661E9">
        <w:rPr>
          <w:rFonts w:ascii="Arial" w:hAnsi="Arial" w:cs="Arial"/>
        </w:rPr>
        <w:fldChar w:fldCharType="begin" w:fldLock="1"/>
      </w:r>
      <w:r w:rsidR="001C412B" w:rsidRPr="004661E9">
        <w:rPr>
          <w:rFonts w:ascii="Arial" w:hAnsi="Arial" w:cs="Arial"/>
        </w:rPr>
        <w:instrText>ADDIN CSL_CITATION {"citationItems":[{"id":"ITEM-1","itemData":{"DOI":"10.1093/eurheartj/ehac299","ISSN":"15229645","PMID":"35713973","abstract":"Despite existing treatments, patients with heart failure and chronic kidney disease (CKD) remain at high risk for adverse outcomes and progression to end-stage disease. Steroidal mineralocorticoid receptor antagonists (MRAs) such as spironolactone and eplerenone reduce mortality but remain under-prescribed due to the perceived risk of hyperkalaemia and hormonal side effects. The discovery of non-steroidal MRAs represents a major new dimension in cardiorenal disease therapy. Non-steroidal MRAs have high affinity and specificity for the mineralocorticoid receptor (MR) and differ from both steroidal agents and each other with respect to important physiochemical, pharmacodynamic, and pharmacokinetic parameters. Similar to their steroidal counterparts, they have beneficial anti-inflammatory, anti-remodelling, and anti-fibrotic properties in the kidneys, heart, and vasculature. There are several non-steroidal MRAs under development and clinical assessment; of these, only esaxerenone and finerenone are approved for treatment globally. In Japan, esaxerenone is approved for essential hypertension and has been studied in diabetic nephropathy. Compared with steroidal MRAs, finerenone more potently inhibits MR co-regulator recruitment and fibrosis and distributes more evenly between the heart and kidneys. The landmark Phase III trials FIGARO-DKD and FIDELIO-DKD demonstrated that finerenone-reduced major kidney and cardiovascular events on top of maximally tolerated renin-angiotensin-aldosterone system inhibition in patients with CKD associated with Type 2 diabetes. Non-steroidal MRAs are currently under evaluation in heart failure and for synergistic treatment with sodium-glucose contransporter 2 inhibitors. These ground-breaking agents could become an important therapy across the spectrum of cardiorenal disease.","author":[{"dropping-particle":"","family":"Pandey","given":"Arjun K.","non-dropping-particle":"","parse-names":false,"suffix":""},{"dropping-particle":"","family":"Bhatt","given":"Deepak L.","non-dropping-particle":"","parse-names":false,"suffix":""},{"dropping-particle":"","family":"Cosentino","given":"Francesco","non-dropping-particle":"","parse-names":false,"suffix":""},{"dropping-particle":"","family":"Marx","given":"Nikolaus","non-dropping-particle":"","parse-names":false,"suffix":""},{"dropping-particle":"","family":"Rotstein","given":"Ori","non-dropping-particle":"","parse-names":false,"suffix":""},{"dropping-particle":"","family":"Pitt","given":"Bertram","non-dropping-particle":"","parse-names":false,"suffix":""},{"dropping-particle":"","family":"Pandey","given":"Ambarish","non-dropping-particle":"","parse-names":false,"suffix":""},{"dropping-particle":"","family":"Butler","given":"Javed","non-dropping-particle":"","parse-names":false,"suffix":""},{"dropping-particle":"","family":"Verma","given":"Subodh","non-dropping-particle":"","parse-names":false,"suffix":""}],"container-title":"European Heart Journal","id":"ITEM-1","issue":"31","issued":{"date-parts":[["2022"]]},"page":"2931-2945","publisher":"Oxford University Press","title":"Non-steroidal mineralocorticoid receptor antagonists in cardiorenal disease","type":"article-journal","volume":"43"},"uris":["http://www.mendeley.com/documents/?uuid=ac98d965-08b4-4763-95f7-1136513ad54b"]}],"mendeley":{"formattedCitation":"(151)","plainTextFormattedCitation":"(151)","previouslyFormattedCitation":"(151)"},"properties":{"noteIndex":0},"schema":"https://github.com/citation-style-language/schema/raw/master/csl-citation.json"}</w:instrText>
      </w:r>
      <w:r w:rsidR="00F24ACD" w:rsidRPr="004661E9">
        <w:rPr>
          <w:rFonts w:ascii="Arial" w:hAnsi="Arial" w:cs="Arial"/>
        </w:rPr>
        <w:fldChar w:fldCharType="separate"/>
      </w:r>
      <w:r w:rsidR="001C412B" w:rsidRPr="004661E9">
        <w:rPr>
          <w:rFonts w:ascii="Arial" w:hAnsi="Arial" w:cs="Arial"/>
          <w:noProof/>
        </w:rPr>
        <w:t>(151)</w:t>
      </w:r>
      <w:r w:rsidR="00F24ACD" w:rsidRPr="004661E9">
        <w:rPr>
          <w:rFonts w:ascii="Arial" w:hAnsi="Arial" w:cs="Arial"/>
        </w:rPr>
        <w:fldChar w:fldCharType="end"/>
      </w:r>
      <w:r w:rsidR="00342722" w:rsidRPr="004661E9">
        <w:rPr>
          <w:rFonts w:ascii="Arial" w:hAnsi="Arial" w:cs="Arial"/>
        </w:rPr>
        <w:t xml:space="preserve">. </w:t>
      </w:r>
      <w:r w:rsidR="002F378C" w:rsidRPr="004661E9">
        <w:rPr>
          <w:rFonts w:ascii="Arial" w:hAnsi="Arial" w:cs="Arial"/>
        </w:rPr>
        <w:t xml:space="preserve"> </w:t>
      </w:r>
      <w:r w:rsidR="005C248F" w:rsidRPr="004661E9">
        <w:rPr>
          <w:rFonts w:ascii="Arial" w:hAnsi="Arial" w:cs="Arial"/>
        </w:rPr>
        <w:t xml:space="preserve"> </w:t>
      </w:r>
      <w:r w:rsidR="00236D2D" w:rsidRPr="004661E9">
        <w:rPr>
          <w:rFonts w:ascii="Arial" w:hAnsi="Arial" w:cs="Arial"/>
        </w:rPr>
        <w:t xml:space="preserve"> </w:t>
      </w:r>
    </w:p>
    <w:p w14:paraId="010ABBB3" w14:textId="55731B4D" w:rsidR="00ED3ADA" w:rsidRPr="004661E9" w:rsidRDefault="004E557E" w:rsidP="004661E9">
      <w:pPr>
        <w:spacing w:after="0" w:line="276" w:lineRule="auto"/>
        <w:rPr>
          <w:rFonts w:ascii="Arial" w:hAnsi="Arial" w:cs="Arial"/>
        </w:rPr>
      </w:pPr>
      <w:r w:rsidRPr="004661E9">
        <w:rPr>
          <w:rFonts w:ascii="Arial" w:hAnsi="Arial" w:cs="Arial"/>
        </w:rPr>
        <w:t xml:space="preserve">  </w:t>
      </w:r>
      <w:r w:rsidR="00A50DA6" w:rsidRPr="004661E9">
        <w:rPr>
          <w:rFonts w:ascii="Arial" w:hAnsi="Arial" w:cs="Arial"/>
        </w:rPr>
        <w:t xml:space="preserve">   </w:t>
      </w:r>
    </w:p>
    <w:p w14:paraId="13CF79C7" w14:textId="4CB51CF2" w:rsidR="005511DB" w:rsidRPr="004661E9" w:rsidRDefault="005511DB" w:rsidP="004661E9">
      <w:pPr>
        <w:spacing w:after="0" w:line="276" w:lineRule="auto"/>
        <w:rPr>
          <w:rFonts w:ascii="Arial" w:hAnsi="Arial" w:cs="Arial"/>
          <w:b/>
          <w:bCs/>
          <w:color w:val="00B050"/>
        </w:rPr>
      </w:pPr>
      <w:r w:rsidRPr="004661E9">
        <w:rPr>
          <w:rFonts w:ascii="Arial" w:hAnsi="Arial" w:cs="Arial"/>
          <w:b/>
          <w:bCs/>
          <w:color w:val="00B050"/>
        </w:rPr>
        <w:t>Obesity Management and Lifestyle Modifications</w:t>
      </w:r>
    </w:p>
    <w:p w14:paraId="5B24446F" w14:textId="77777777" w:rsidR="00FC7CE7" w:rsidRPr="004661E9" w:rsidRDefault="00FC7CE7" w:rsidP="004661E9">
      <w:pPr>
        <w:spacing w:after="0" w:line="276" w:lineRule="auto"/>
        <w:rPr>
          <w:rFonts w:ascii="Arial" w:hAnsi="Arial" w:cs="Arial"/>
          <w:b/>
          <w:bCs/>
        </w:rPr>
      </w:pPr>
    </w:p>
    <w:p w14:paraId="42144BEF" w14:textId="7E8605AA" w:rsidR="00464ECD" w:rsidRPr="004661E9" w:rsidRDefault="00ED741D" w:rsidP="004661E9">
      <w:pPr>
        <w:spacing w:after="0" w:line="276" w:lineRule="auto"/>
        <w:rPr>
          <w:rFonts w:ascii="Arial" w:hAnsi="Arial" w:cs="Arial"/>
        </w:rPr>
      </w:pPr>
      <w:r w:rsidRPr="004661E9">
        <w:rPr>
          <w:rFonts w:ascii="Arial" w:hAnsi="Arial" w:cs="Arial"/>
        </w:rPr>
        <w:t>Studies have consistently demonstrated that purposeful weight reduction, achieved via diet, exercise, or bariatric surgery</w:t>
      </w:r>
      <w:r w:rsidR="00543EDD" w:rsidRPr="004661E9">
        <w:rPr>
          <w:rFonts w:ascii="Arial" w:hAnsi="Arial" w:cs="Arial"/>
        </w:rPr>
        <w:t>,</w:t>
      </w:r>
      <w:r w:rsidRPr="004661E9">
        <w:rPr>
          <w:rFonts w:ascii="Arial" w:hAnsi="Arial" w:cs="Arial"/>
        </w:rPr>
        <w:t xml:space="preserve"> ha</w:t>
      </w:r>
      <w:r w:rsidR="00543EDD" w:rsidRPr="004661E9">
        <w:rPr>
          <w:rFonts w:ascii="Arial" w:hAnsi="Arial" w:cs="Arial"/>
        </w:rPr>
        <w:t>s</w:t>
      </w:r>
      <w:r w:rsidRPr="004661E9">
        <w:rPr>
          <w:rFonts w:ascii="Arial" w:hAnsi="Arial" w:cs="Arial"/>
        </w:rPr>
        <w:t xml:space="preserve"> favorable impacts on glycemic control, </w:t>
      </w:r>
      <w:r w:rsidR="004B4E14" w:rsidRPr="004661E9">
        <w:rPr>
          <w:rFonts w:ascii="Arial" w:hAnsi="Arial" w:cs="Arial"/>
        </w:rPr>
        <w:t>IR</w:t>
      </w:r>
      <w:r w:rsidRPr="004661E9">
        <w:rPr>
          <w:rFonts w:ascii="Arial" w:hAnsi="Arial" w:cs="Arial"/>
        </w:rPr>
        <w:t xml:space="preserve">, </w:t>
      </w:r>
      <w:r w:rsidR="00566758" w:rsidRPr="004661E9">
        <w:rPr>
          <w:rFonts w:ascii="Arial" w:hAnsi="Arial" w:cs="Arial"/>
        </w:rPr>
        <w:t>BP</w:t>
      </w:r>
      <w:r w:rsidRPr="004661E9">
        <w:rPr>
          <w:rFonts w:ascii="Arial" w:hAnsi="Arial" w:cs="Arial"/>
        </w:rPr>
        <w:t>, and lipid profiles</w:t>
      </w:r>
      <w:r w:rsidR="00FD2929" w:rsidRPr="004661E9">
        <w:rPr>
          <w:rFonts w:ascii="Arial" w:hAnsi="Arial" w:cs="Arial"/>
        </w:rPr>
        <w:t xml:space="preserve"> and reduce</w:t>
      </w:r>
      <w:r w:rsidR="00543EDD" w:rsidRPr="004661E9">
        <w:rPr>
          <w:rFonts w:ascii="Arial" w:hAnsi="Arial" w:cs="Arial"/>
        </w:rPr>
        <w:t>s</w:t>
      </w:r>
      <w:r w:rsidR="00FD2929" w:rsidRPr="004661E9">
        <w:rPr>
          <w:rFonts w:ascii="Arial" w:hAnsi="Arial" w:cs="Arial"/>
        </w:rPr>
        <w:t xml:space="preserve"> the need for antidiabetics</w:t>
      </w:r>
      <w:r w:rsidRPr="004661E9">
        <w:rPr>
          <w:rFonts w:ascii="Arial" w:hAnsi="Arial" w:cs="Arial"/>
        </w:rPr>
        <w:t xml:space="preserve"> in obese individuals with </w:t>
      </w:r>
      <w:r w:rsidR="00FD2929" w:rsidRPr="004661E9">
        <w:rPr>
          <w:rFonts w:ascii="Arial" w:hAnsi="Arial" w:cs="Arial"/>
        </w:rPr>
        <w:t>T2</w:t>
      </w:r>
      <w:r w:rsidRPr="004661E9">
        <w:rPr>
          <w:rFonts w:ascii="Arial" w:hAnsi="Arial" w:cs="Arial"/>
        </w:rPr>
        <w:t>DM</w:t>
      </w:r>
      <w:r w:rsidR="00FC7CE7"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Mellitus","type":"article-journal","volume":"43"},"uris":["http://www.mendeley.com/documents/?uuid=ec026bfc-04b9-3538-8098-b7eb6404bbe2"]},{"id":"ITEM-2","itemData":{"DOI":"10.1056/NEJMoa1212914","author":[{"dropping-particle":"","family":"The","given":"(Look AHEAD Researh Group)","non-dropping-particle":"","parse-names":false,"suffix":""}],"container-title":"New England Journal of Medicine","id":"ITEM-2","issue":"2","issued":{"date-parts":[["2013"]]},"page":"145-154","title":"Cardiovascular Effects of Intensive Lifestyle Intervention in Type 2 Diabetes","type":"article-journal","volume":"369"},"uris":["http://www.mendeley.com/documents/?uuid=4ef8df4f-b7bf-400e-a383-425afebebe60"]},{"id":"ITEM-3","itemData":{"DOI":"10.1001/archinternmed.2010.334","ISBN":"1538-3679 (Electronic)\\n0003-9926 (Linking)","ISSN":"1538-3679","PMID":"20876408","abstract":"BACKGROUND: Lifestyle interventions produce short-term improvements in glycemia and cardiovascular disease (CVD) risk factors in individuals with type 2 diabetes mellitus, but no long-term data are available. We examined the effects of lifestyle intervention on changes in weight, fitness, and CVD risk factors during a 4-year study.\\n\\nMETHODS: The Look AHEAD (Action for Health in Diabetes) trial is a multicenter randomized clinical trial comparing the effects of an intensive lifestyle intervention (ILI) and diabetes support and education (DSE; the control group) on the incidence of major CVD events in 5145 overweight or obese individuals (59.5% female; mean age, 58.7 years) with type 2 diabetes mellitus. More than 93% of participants provided outcomes data at each annual assessment.\\n\\nRESULTS: Averaged across 4 years, ILI participants had a greater percentage of weight loss than DSE participants (-6.15% vs -0.88%; P &lt; .001) and greater improvements in treadmill fitness (12.74% vs 1.96%; P &lt; .001), hemoglobin A(1c) level (-0.36% vs -0.09%; P &lt; .001), systolic (-5.33 vs -2.97 mm Hg; P &lt; .001) and diastolic (-2.92 vs -2.48 mm Hg; P = .01) blood pressure, and levels of high-density lipoprotein cholesterol (3.67 vs 1.97 mg/dL; P &lt; .001) and triglycerides (-25.56 vs -19.75 mg/dL; P &lt; .001). Reductions in low-density lipoprotein cholesterol levels were greater in DSE than ILI participants (-11.27 vs -12.84 mg/dL; P = .009) owing to greater use of medications to lower lipid levels in the DSE group. At 4 years, ILI participants maintained greater improvements than DSE participants in weight, fitness, hemoglobin A(1c) levels, systolic blood pressure, and high-density lipoprotein cholesterol levels.\\n\\nCONCLUSIONS: Intensive lifestyle intervention can produce sustained weight loss and improvements in fitness, glycemic control, and CVD risk factors in individuals with type 2 diabetes. Whether these differences in risk factors translate to reduction in CVD events will ultimately be addressed by the Look AHEAD trial.\\n\\nTRIAL REGISTRATION: clinicaltrials.gov Identifier: NCT00017953.","author":[{"dropping-particle":"","family":"Wing","given":"Rena R","non-dropping-particle":"","parse-names":false,"suffix":""}],"container-title":"Archives of internal medicine","id":"ITEM-3","issue":"17","issued":{"date-parts":[["2010"]]},"page":"1566-75","title":"Long-term effects of a lifestyle intervention on weight and cardiovascular risk factors in individuals with type 2 diabetes mellitus: four-year results of the Look AHEAD trial.","type":"article-journal","volume":"170"},"uris":["http://www.mendeley.com/documents/?uuid=1a65756f-7652-42ce-879a-2d930d28cbfc"]}],"mendeley":{"formattedCitation":"(34,154,155)","plainTextFormattedCitation":"(34,154,155)","previouslyFormattedCitation":"(34,154,155)"},"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(34,154,155)</w:t>
      </w:r>
      <w:r w:rsidR="000F3AD7" w:rsidRPr="004661E9">
        <w:rPr>
          <w:rFonts w:ascii="Arial" w:hAnsi="Arial" w:cs="Arial"/>
        </w:rPr>
        <w:fldChar w:fldCharType="end"/>
      </w:r>
      <w:r w:rsidR="00FC7CE7" w:rsidRPr="004661E9">
        <w:rPr>
          <w:rFonts w:ascii="Arial" w:hAnsi="Arial" w:cs="Arial"/>
        </w:rPr>
        <w:t>.</w:t>
      </w:r>
      <w:r w:rsidR="00FD2929" w:rsidRPr="004661E9">
        <w:rPr>
          <w:rFonts w:ascii="Arial" w:hAnsi="Arial" w:cs="Arial"/>
        </w:rPr>
        <w:t xml:space="preserve"> Moreover, weight reduction can delay </w:t>
      </w:r>
      <w:r w:rsidR="00344A77" w:rsidRPr="004661E9">
        <w:rPr>
          <w:rFonts w:ascii="Arial" w:hAnsi="Arial" w:cs="Arial"/>
        </w:rPr>
        <w:t xml:space="preserve">the </w:t>
      </w:r>
      <w:r w:rsidR="00FD2929" w:rsidRPr="004661E9">
        <w:rPr>
          <w:rFonts w:ascii="Arial" w:hAnsi="Arial" w:cs="Arial"/>
        </w:rPr>
        <w:t>progression from prediabetes to T2DM</w:t>
      </w:r>
      <w:r w:rsidR="00FC7CE7"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{"citationItems":[{"id":"ITEM-1","itemData":{"DOI":"10.1056/NEJMoa012512","abstract":"Background Type 2 diabetes affects approximately 8 percent of adults in the United States. Some risk factors — elevated plasma glucose concentrations in the fasting state and after an oral glucose load, overweight, and a sedentary lifestyle — are potentially reversible. We hypothesized that modifying these factors with a lifestyle-intervention program or the administration of metformin would prevent or delay the development of diabetes. Methods We randomly assigned 3234 nondiabetic persons with elevated fasting and post-load plasma glucose concentrations to placebo, metformin (850 mg twice daily), or a lifestyle-modification program with the goals of at least a 7 percent weight loss and at least 150 minutes of physical activity per week. The mean age of the participants was 51 years, and the mean body-mass index (the weight in kilograms divided by the square of the height in meters) was 34.0; 68 percent were women, and 45 percent were members of minority groups. Results The average follow-up was 2.8 years...","author":[{"dropping-particle":"","family":"Diabetes Prevention Program Research Group","given":"","non-dropping-particle":"","parse-names":false,"suffix":""}],"container-title":"New England Journal of Medicine","id":"ITEM-1","issue":"6","issued":{"date-parts":[["2002","2","7"]]},"page":"393-403","publisher":"Massachusetts Medical Society","title":"Reduction in the Incidence of Type 2 Diabetes with Lifestyle Intervention or Metformin","type":"article-journal","volume":"346"},"uris":["http://www.mendeley.com/documents/?uuid=fba22c65-1516-4bc9-bd18-6ad89c3d3cee"]}],"mendeley":{"formattedCitation":"(156)","plainTextFormattedCitation":"(156)","previouslyFormattedCitation":"(156)"},"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(156)</w:t>
      </w:r>
      <w:r w:rsidR="000F3AD7" w:rsidRPr="004661E9">
        <w:rPr>
          <w:rFonts w:ascii="Arial" w:hAnsi="Arial" w:cs="Arial"/>
        </w:rPr>
        <w:fldChar w:fldCharType="end"/>
      </w:r>
      <w:r w:rsidR="00FC7CE7" w:rsidRPr="004661E9">
        <w:rPr>
          <w:rFonts w:ascii="Arial" w:hAnsi="Arial" w:cs="Arial"/>
        </w:rPr>
        <w:t>.</w:t>
      </w:r>
      <w:r w:rsidR="00FD2929" w:rsidRPr="004661E9">
        <w:rPr>
          <w:rFonts w:ascii="Arial" w:hAnsi="Arial" w:cs="Arial"/>
        </w:rPr>
        <w:t xml:space="preserve"> </w:t>
      </w:r>
      <w:r w:rsidR="00E35097" w:rsidRPr="004661E9">
        <w:rPr>
          <w:rFonts w:ascii="Arial" w:hAnsi="Arial" w:cs="Arial"/>
        </w:rPr>
        <w:t xml:space="preserve">The </w:t>
      </w:r>
      <w:r w:rsidR="00EE1A6F" w:rsidRPr="004661E9">
        <w:rPr>
          <w:rFonts w:ascii="Arial" w:hAnsi="Arial" w:cs="Arial"/>
        </w:rPr>
        <w:t>ADA recommends</w:t>
      </w:r>
      <w:r w:rsidRPr="004661E9">
        <w:rPr>
          <w:rFonts w:ascii="Arial" w:hAnsi="Arial" w:cs="Arial"/>
        </w:rPr>
        <w:t xml:space="preserve"> </w:t>
      </w:r>
      <w:r w:rsidR="00EE1A6F" w:rsidRPr="004661E9">
        <w:rPr>
          <w:rFonts w:ascii="Arial" w:hAnsi="Arial" w:cs="Arial"/>
        </w:rPr>
        <w:t xml:space="preserve">lifestyle modification to achieve at least </w:t>
      </w:r>
      <w:r w:rsidR="00FC7CE7" w:rsidRPr="004661E9">
        <w:rPr>
          <w:rFonts w:ascii="Arial" w:hAnsi="Arial" w:cs="Arial"/>
        </w:rPr>
        <w:t xml:space="preserve">a </w:t>
      </w:r>
      <w:r w:rsidR="00EE1A6F" w:rsidRPr="004661E9">
        <w:rPr>
          <w:rFonts w:ascii="Arial" w:hAnsi="Arial" w:cs="Arial"/>
        </w:rPr>
        <w:t xml:space="preserve">5% weight loss for all overweight or obese </w:t>
      </w:r>
      <w:r w:rsidR="0055331D" w:rsidRPr="004661E9">
        <w:rPr>
          <w:rFonts w:ascii="Arial" w:hAnsi="Arial" w:cs="Arial"/>
        </w:rPr>
        <w:t>individuals</w:t>
      </w:r>
      <w:r w:rsidR="00EE1A6F" w:rsidRPr="004661E9">
        <w:rPr>
          <w:rFonts w:ascii="Arial" w:hAnsi="Arial" w:cs="Arial"/>
        </w:rPr>
        <w:t xml:space="preserve"> with prediabetes or </w:t>
      </w:r>
      <w:r w:rsidR="00A36DE2" w:rsidRPr="004661E9">
        <w:rPr>
          <w:rFonts w:ascii="Arial" w:hAnsi="Arial" w:cs="Arial"/>
        </w:rPr>
        <w:t>diabetes</w:t>
      </w:r>
      <w:r w:rsidR="00D42EB8" w:rsidRPr="004661E9">
        <w:rPr>
          <w:rFonts w:ascii="Arial" w:hAnsi="Arial" w:cs="Arial"/>
        </w:rPr>
        <w:t xml:space="preserve"> </w:t>
      </w:r>
      <w:r w:rsidR="00D42EB8" w:rsidRPr="004661E9">
        <w:rPr>
          <w:rFonts w:ascii="Arial" w:hAnsi="Arial" w:cs="Arial"/>
        </w:rPr>
        <w:fldChar w:fldCharType="begin" w:fldLock="1"/>
      </w:r>
      <w:r w:rsidR="001C412B" w:rsidRPr="004661E9">
        <w:rPr>
          <w:rFonts w:ascii="Arial" w:hAnsi="Arial" w:cs="Arial"/>
        </w:rPr>
        <w:instrText>ADDIN CSL_CITATION {"citationItems":[{"id":"ITEM-1","itemData":{"DOI":"10.2337/dc23-S005","ISSN":"19355548","PMID":"36507648","abstract":"The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C.","non-dropping-particle":"","parse-names":false,"suffix":""},{"dropping-particle":"","family":"Young-Hyman","given":"Deborah","non-dropping-particle":"","parse-names":false,"suffix":""},{"dropping-particle":"","family":"Gabbay","given":"Robert A.","non-dropping-particle":"","parse-names":false,"suffix":""}],"container-title":"Diabetes Care","id":"ITEM-1","issue":"January","issued":{"date-parts":[["2023"]]},"page":"S68-S96","title":"5. Facilitating Positive Health Behaviors and Well-being to Improve Health Outcomes: Standards of Care in Diabetes—2023","type":"article-journal","volume":"46"},"uris":["http://www.mendeley.com/documents/?uuid=c6742367-49d6-4a31-b399-dbe0f8182694"]}],"mendeley":{"formattedCitation":"(157)","plainTextFormattedCitation":"(157)","previouslyFormattedCitation":"(157)"},"properties":{"noteIndex":0},"schema":"https://github.com/citation-style-language/schema/raw/master/csl-citation.json"}</w:instrText>
      </w:r>
      <w:r w:rsidR="00D42EB8" w:rsidRPr="004661E9">
        <w:rPr>
          <w:rFonts w:ascii="Arial" w:hAnsi="Arial" w:cs="Arial"/>
        </w:rPr>
        <w:fldChar w:fldCharType="separate"/>
      </w:r>
      <w:r w:rsidR="001C412B" w:rsidRPr="004661E9">
        <w:rPr>
          <w:rFonts w:ascii="Arial" w:hAnsi="Arial" w:cs="Arial"/>
          <w:noProof/>
        </w:rPr>
        <w:t>(157)</w:t>
      </w:r>
      <w:r w:rsidR="00D42EB8" w:rsidRPr="004661E9">
        <w:rPr>
          <w:rFonts w:ascii="Arial" w:hAnsi="Arial" w:cs="Arial"/>
        </w:rPr>
        <w:fldChar w:fldCharType="end"/>
      </w:r>
      <w:r w:rsidR="00FC7CE7" w:rsidRPr="004661E9">
        <w:rPr>
          <w:rFonts w:ascii="Arial" w:hAnsi="Arial" w:cs="Arial"/>
        </w:rPr>
        <w:t>.</w:t>
      </w:r>
      <w:r w:rsidR="00EE1A6F" w:rsidRPr="004661E9">
        <w:rPr>
          <w:rFonts w:ascii="Arial" w:hAnsi="Arial" w:cs="Arial"/>
        </w:rPr>
        <w:t xml:space="preserve"> </w:t>
      </w:r>
      <w:r w:rsidR="00815884" w:rsidRPr="004661E9">
        <w:rPr>
          <w:rFonts w:ascii="Arial" w:hAnsi="Arial" w:cs="Arial"/>
        </w:rPr>
        <w:t>Also</w:t>
      </w:r>
      <w:r w:rsidR="00D129E6" w:rsidRPr="004661E9">
        <w:rPr>
          <w:rFonts w:ascii="Arial" w:hAnsi="Arial" w:cs="Arial"/>
        </w:rPr>
        <w:t>,</w:t>
      </w:r>
      <w:r w:rsidR="00815884" w:rsidRPr="004661E9">
        <w:rPr>
          <w:rFonts w:ascii="Arial" w:hAnsi="Arial" w:cs="Arial"/>
        </w:rPr>
        <w:t xml:space="preserve"> the guidelines emphasize the need for </w:t>
      </w:r>
      <w:r w:rsidR="00D129E6" w:rsidRPr="004661E9">
        <w:rPr>
          <w:rFonts w:ascii="Arial" w:hAnsi="Arial" w:cs="Arial"/>
        </w:rPr>
        <w:t xml:space="preserve">an </w:t>
      </w:r>
      <w:r w:rsidR="00815884" w:rsidRPr="004661E9">
        <w:rPr>
          <w:rFonts w:ascii="Arial" w:hAnsi="Arial" w:cs="Arial"/>
        </w:rPr>
        <w:t xml:space="preserve">individualized medical nutrition therapy program for </w:t>
      </w:r>
      <w:r w:rsidR="0055331D" w:rsidRPr="004661E9">
        <w:rPr>
          <w:rFonts w:ascii="Arial" w:hAnsi="Arial" w:cs="Arial"/>
        </w:rPr>
        <w:t>individuals</w:t>
      </w:r>
      <w:r w:rsidR="00815884" w:rsidRPr="004661E9">
        <w:rPr>
          <w:rFonts w:ascii="Arial" w:hAnsi="Arial" w:cs="Arial"/>
        </w:rPr>
        <w:t xml:space="preserve"> with </w:t>
      </w:r>
      <w:r w:rsidR="00A36DE2" w:rsidRPr="004661E9">
        <w:rPr>
          <w:rFonts w:ascii="Arial" w:hAnsi="Arial" w:cs="Arial"/>
        </w:rPr>
        <w:t>diabetes</w:t>
      </w:r>
      <w:r w:rsidR="00815884" w:rsidRPr="004661E9">
        <w:rPr>
          <w:rFonts w:ascii="Arial" w:hAnsi="Arial" w:cs="Arial"/>
        </w:rPr>
        <w:t xml:space="preserve"> to achieve treatment goals. The recommended exercise regimen for most </w:t>
      </w:r>
      <w:r w:rsidR="0055331D" w:rsidRPr="004661E9">
        <w:rPr>
          <w:rFonts w:ascii="Arial" w:hAnsi="Arial" w:cs="Arial"/>
        </w:rPr>
        <w:t>individuals</w:t>
      </w:r>
      <w:r w:rsidR="00815884" w:rsidRPr="004661E9">
        <w:rPr>
          <w:rFonts w:ascii="Arial" w:hAnsi="Arial" w:cs="Arial"/>
        </w:rPr>
        <w:t xml:space="preserve"> with T1DM and T2DM is at least 150 minutes of moderate to vigorous aerobic activity per week, spread over at least </w:t>
      </w:r>
      <w:r w:rsidR="00D129E6" w:rsidRPr="004661E9">
        <w:rPr>
          <w:rFonts w:ascii="Arial" w:hAnsi="Arial" w:cs="Arial"/>
        </w:rPr>
        <w:t>three</w:t>
      </w:r>
      <w:r w:rsidR="00815884" w:rsidRPr="004661E9">
        <w:rPr>
          <w:rFonts w:ascii="Arial" w:hAnsi="Arial" w:cs="Arial"/>
        </w:rPr>
        <w:t xml:space="preserve"> days/week, and </w:t>
      </w:r>
      <w:r w:rsidR="00543EDD" w:rsidRPr="004661E9">
        <w:rPr>
          <w:rFonts w:ascii="Arial" w:hAnsi="Arial" w:cs="Arial"/>
        </w:rPr>
        <w:t xml:space="preserve">an </w:t>
      </w:r>
      <w:r w:rsidR="00815884" w:rsidRPr="004661E9">
        <w:rPr>
          <w:rFonts w:ascii="Arial" w:hAnsi="Arial" w:cs="Arial"/>
        </w:rPr>
        <w:t>additional 2-3 sessions/week of resistance exercise</w:t>
      </w:r>
      <w:r w:rsidR="00D42EB8" w:rsidRPr="004661E9">
        <w:rPr>
          <w:rFonts w:ascii="Arial" w:hAnsi="Arial" w:cs="Arial"/>
        </w:rPr>
        <w:t xml:space="preserve"> </w:t>
      </w:r>
      <w:r w:rsidR="00D42EB8" w:rsidRPr="004661E9">
        <w:rPr>
          <w:rFonts w:ascii="Arial" w:hAnsi="Arial" w:cs="Arial"/>
        </w:rPr>
        <w:fldChar w:fldCharType="begin" w:fldLock="1"/>
      </w:r>
      <w:r w:rsidR="001C412B" w:rsidRPr="004661E9">
        <w:rPr>
          <w:rFonts w:ascii="Arial" w:hAnsi="Arial" w:cs="Arial"/>
        </w:rPr>
        <w:instrText>ADDIN CSL_CITATION {"citationItems":[{"id":"ITEM-1","itemData":{"DOI":"10.2337/dc23-S005","ISSN":"19355548","PMID":"36507648","abstract":"The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C.","non-dropping-particle":"","parse-names":false,"suffix":""},{"dropping-particle":"","family":"Young-Hyman","given":"Deborah","non-dropping-particle":"","parse-names":false,"suffix":""},{"dropping-particle":"","family":"Gabbay","given":"Robert A.","non-dropping-particle":"","parse-names":false,"suffix":""}],"container-title":"Diabetes Care","id":"ITEM-1","issue":"January","issued":{"date-parts":[["2023"]]},"page":"S68-S96","title":"5. Facilitating Positive Health Behaviors and Well-being to Improve Health Outcomes: Standards of Care in Diabetes—2023","type":"article-journal","volume":"46"},"uris":["http://www.mendeley.com/documents/?uuid=c6742367-49d6-4a31-b399-dbe0f8182694"]}],"mendeley":{"formattedCitation":"(157)","plainTextFormattedCitation":"(157)","previouslyFormattedCitation":"(157)"},"properties":{"noteIndex":0},"schema":"https://github.com/citation-style-language/schema/raw/master/csl-citation.json"}</w:instrText>
      </w:r>
      <w:r w:rsidR="00D42EB8" w:rsidRPr="004661E9">
        <w:rPr>
          <w:rFonts w:ascii="Arial" w:hAnsi="Arial" w:cs="Arial"/>
        </w:rPr>
        <w:fldChar w:fldCharType="separate"/>
      </w:r>
      <w:r w:rsidR="001C412B" w:rsidRPr="004661E9">
        <w:rPr>
          <w:rFonts w:ascii="Arial" w:hAnsi="Arial" w:cs="Arial"/>
          <w:noProof/>
        </w:rPr>
        <w:t>(157)</w:t>
      </w:r>
      <w:r w:rsidR="00D42EB8" w:rsidRPr="004661E9">
        <w:rPr>
          <w:rFonts w:ascii="Arial" w:hAnsi="Arial" w:cs="Arial"/>
        </w:rPr>
        <w:fldChar w:fldCharType="end"/>
      </w:r>
      <w:r w:rsidR="00464ECD" w:rsidRPr="004661E9">
        <w:rPr>
          <w:rFonts w:ascii="Arial" w:hAnsi="Arial" w:cs="Arial"/>
        </w:rPr>
        <w:t xml:space="preserve">. </w:t>
      </w:r>
      <w:bookmarkStart w:id="19" w:name="_Hlk43804388"/>
    </w:p>
    <w:p w14:paraId="05D70206" w14:textId="77777777" w:rsidR="00464ECD" w:rsidRPr="004661E9" w:rsidRDefault="00464ECD" w:rsidP="004661E9">
      <w:pPr>
        <w:spacing w:after="0" w:line="276" w:lineRule="auto"/>
        <w:rPr>
          <w:rFonts w:ascii="Arial" w:hAnsi="Arial" w:cs="Arial"/>
        </w:rPr>
      </w:pPr>
    </w:p>
    <w:p w14:paraId="03778CD5" w14:textId="1F7DE1F0" w:rsidR="00D06404" w:rsidRPr="004661E9" w:rsidRDefault="00FD2929" w:rsidP="004661E9">
      <w:pPr>
        <w:spacing w:after="0" w:line="276" w:lineRule="auto"/>
        <w:rPr>
          <w:rFonts w:ascii="Arial" w:hAnsi="Arial" w:cs="Arial"/>
        </w:rPr>
      </w:pPr>
      <w:r w:rsidRPr="004661E9">
        <w:rPr>
          <w:rFonts w:ascii="Arial" w:hAnsi="Arial" w:cs="Arial"/>
        </w:rPr>
        <w:t>Despite the</w:t>
      </w:r>
      <w:r w:rsidR="00861472" w:rsidRPr="004661E9">
        <w:rPr>
          <w:rFonts w:ascii="Arial" w:hAnsi="Arial" w:cs="Arial"/>
        </w:rPr>
        <w:t xml:space="preserve"> well-established</w:t>
      </w:r>
      <w:r w:rsidRPr="004661E9">
        <w:rPr>
          <w:rFonts w:ascii="Arial" w:hAnsi="Arial" w:cs="Arial"/>
        </w:rPr>
        <w:t xml:space="preserve"> favorable effects of weight loss in patients with </w:t>
      </w:r>
      <w:r w:rsidR="00A36DE2" w:rsidRPr="004661E9">
        <w:rPr>
          <w:rFonts w:ascii="Arial" w:hAnsi="Arial" w:cs="Arial"/>
        </w:rPr>
        <w:t>diabetes</w:t>
      </w:r>
      <w:r w:rsidRPr="004661E9">
        <w:rPr>
          <w:rFonts w:ascii="Arial" w:hAnsi="Arial" w:cs="Arial"/>
        </w:rPr>
        <w:t xml:space="preserve">, the role of </w:t>
      </w:r>
      <w:r w:rsidR="00861472" w:rsidRPr="004661E9">
        <w:rPr>
          <w:rFonts w:ascii="Arial" w:hAnsi="Arial" w:cs="Arial"/>
        </w:rPr>
        <w:t xml:space="preserve">lifestyle changes and </w:t>
      </w:r>
      <w:r w:rsidRPr="004661E9">
        <w:rPr>
          <w:rFonts w:ascii="Arial" w:hAnsi="Arial" w:cs="Arial"/>
        </w:rPr>
        <w:t>weight loss</w:t>
      </w:r>
      <w:r w:rsidR="0015065B" w:rsidRPr="004661E9">
        <w:rPr>
          <w:rFonts w:ascii="Arial" w:hAnsi="Arial" w:cs="Arial"/>
        </w:rPr>
        <w:t xml:space="preserve"> in</w:t>
      </w:r>
      <w:r w:rsidR="00861472" w:rsidRPr="004661E9">
        <w:rPr>
          <w:rFonts w:ascii="Arial" w:hAnsi="Arial" w:cs="Arial"/>
        </w:rPr>
        <w:t xml:space="preserve"> </w:t>
      </w:r>
      <w:r w:rsidR="00543EDD" w:rsidRPr="004661E9">
        <w:rPr>
          <w:rFonts w:ascii="Arial" w:hAnsi="Arial" w:cs="Arial"/>
        </w:rPr>
        <w:t>preventing</w:t>
      </w:r>
      <w:r w:rsidRPr="004661E9">
        <w:rPr>
          <w:rFonts w:ascii="Arial" w:hAnsi="Arial" w:cs="Arial"/>
        </w:rPr>
        <w:t xml:space="preserve"> HF </w:t>
      </w:r>
      <w:r w:rsidR="0015065B" w:rsidRPr="004661E9">
        <w:rPr>
          <w:rFonts w:ascii="Arial" w:hAnsi="Arial" w:cs="Arial"/>
        </w:rPr>
        <w:t>among</w:t>
      </w:r>
      <w:r w:rsidRPr="004661E9">
        <w:rPr>
          <w:rFonts w:ascii="Arial" w:hAnsi="Arial" w:cs="Arial"/>
        </w:rPr>
        <w:t xml:space="preserve"> </w:t>
      </w:r>
      <w:r w:rsidR="00861472" w:rsidRPr="004661E9">
        <w:rPr>
          <w:rFonts w:ascii="Arial" w:hAnsi="Arial" w:cs="Arial"/>
        </w:rPr>
        <w:t xml:space="preserve">diabetic </w:t>
      </w:r>
      <w:r w:rsidRPr="004661E9">
        <w:rPr>
          <w:rFonts w:ascii="Arial" w:hAnsi="Arial" w:cs="Arial"/>
        </w:rPr>
        <w:t xml:space="preserve">patients remains </w:t>
      </w:r>
      <w:r w:rsidR="00861472" w:rsidRPr="004661E9">
        <w:rPr>
          <w:rFonts w:ascii="Arial" w:hAnsi="Arial" w:cs="Arial"/>
        </w:rPr>
        <w:t>uncertain</w:t>
      </w:r>
      <w:r w:rsidRPr="004661E9">
        <w:rPr>
          <w:rFonts w:ascii="Arial" w:hAnsi="Arial" w:cs="Arial"/>
        </w:rPr>
        <w:t>.</w:t>
      </w:r>
      <w:bookmarkEnd w:id="19"/>
      <w:r w:rsidR="00566758" w:rsidRPr="004661E9">
        <w:rPr>
          <w:rFonts w:ascii="Arial" w:hAnsi="Arial" w:cs="Arial"/>
        </w:rPr>
        <w:t xml:space="preserve"> </w:t>
      </w:r>
      <w:r w:rsidR="006566A9" w:rsidRPr="004661E9">
        <w:rPr>
          <w:rFonts w:ascii="Arial" w:hAnsi="Arial" w:cs="Arial"/>
        </w:rPr>
        <w:t>A meta-analys</w:t>
      </w:r>
      <w:r w:rsidR="00472110" w:rsidRPr="004661E9">
        <w:rPr>
          <w:rFonts w:ascii="Arial" w:hAnsi="Arial" w:cs="Arial"/>
        </w:rPr>
        <w:t>is of 36 prospective cohort studies published before 2014 demonstrated that</w:t>
      </w:r>
      <w:r w:rsidR="00E434EF" w:rsidRPr="004661E9">
        <w:rPr>
          <w:rFonts w:ascii="Arial" w:hAnsi="Arial" w:cs="Arial"/>
        </w:rPr>
        <w:t xml:space="preserve"> achieving recommended </w:t>
      </w:r>
      <w:r w:rsidR="008B7001" w:rsidRPr="004661E9">
        <w:rPr>
          <w:rFonts w:ascii="Arial" w:hAnsi="Arial" w:cs="Arial"/>
        </w:rPr>
        <w:t>physical activity</w:t>
      </w:r>
      <w:r w:rsidR="00E434EF" w:rsidRPr="004661E9">
        <w:rPr>
          <w:rFonts w:ascii="Arial" w:hAnsi="Arial" w:cs="Arial"/>
        </w:rPr>
        <w:t> levels (150 minutes of moderate</w:t>
      </w:r>
      <w:r w:rsidR="00E434EF" w:rsidRPr="004661E9">
        <w:rPr>
          <w:rFonts w:ascii="Cambria Math" w:hAnsi="Cambria Math" w:cs="Cambria Math"/>
        </w:rPr>
        <w:t>‐</w:t>
      </w:r>
      <w:r w:rsidR="00E434EF" w:rsidRPr="004661E9">
        <w:rPr>
          <w:rFonts w:ascii="Arial" w:hAnsi="Arial" w:cs="Arial"/>
        </w:rPr>
        <w:t>intensity aerobic activity per week) was associated with</w:t>
      </w:r>
      <w:r w:rsidR="000D0409" w:rsidRPr="004661E9">
        <w:rPr>
          <w:rFonts w:ascii="Arial" w:hAnsi="Arial" w:cs="Arial"/>
        </w:rPr>
        <w:t xml:space="preserve"> </w:t>
      </w:r>
      <w:r w:rsidR="00AB7280" w:rsidRPr="004661E9">
        <w:rPr>
          <w:rFonts w:ascii="Arial" w:hAnsi="Arial" w:cs="Arial"/>
        </w:rPr>
        <w:t>reduced</w:t>
      </w:r>
      <w:r w:rsidR="000D0409" w:rsidRPr="004661E9">
        <w:rPr>
          <w:rFonts w:ascii="Arial" w:hAnsi="Arial" w:cs="Arial"/>
        </w:rPr>
        <w:t xml:space="preserve"> risk of </w:t>
      </w:r>
      <w:r w:rsidR="00D06404" w:rsidRPr="004661E9">
        <w:rPr>
          <w:rFonts w:ascii="Arial" w:hAnsi="Arial" w:cs="Arial"/>
        </w:rPr>
        <w:t>inciden</w:t>
      </w:r>
      <w:r w:rsidR="00AB7280" w:rsidRPr="004661E9">
        <w:rPr>
          <w:rFonts w:ascii="Arial" w:hAnsi="Arial" w:cs="Arial"/>
        </w:rPr>
        <w:t>t</w:t>
      </w:r>
      <w:r w:rsidR="00D06404" w:rsidRPr="004661E9">
        <w:rPr>
          <w:rFonts w:ascii="Arial" w:hAnsi="Arial" w:cs="Arial"/>
        </w:rPr>
        <w:t xml:space="preserve"> HF (relative risk; 0.81 [0.76, 0.86]) in patients with diabetes</w:t>
      </w:r>
      <w:r w:rsidR="00163BBD" w:rsidRPr="004661E9">
        <w:rPr>
          <w:rFonts w:ascii="Arial" w:hAnsi="Arial" w:cs="Arial"/>
        </w:rPr>
        <w:t xml:space="preserve"> </w:t>
      </w:r>
      <w:r w:rsidR="00163BBD" w:rsidRPr="004661E9">
        <w:rPr>
          <w:rFonts w:ascii="Arial" w:hAnsi="Arial" w:cs="Arial"/>
        </w:rPr>
        <w:fldChar w:fldCharType="begin" w:fldLock="1"/>
      </w:r>
      <w:r w:rsidR="00E156CB" w:rsidRPr="004661E9">
        <w:rPr>
          <w:rFonts w:ascii="Arial" w:hAnsi="Arial" w:cs="Arial"/>
        </w:rPr>
        <w:instrText>ADDIN CSL_CITATION {"citationItems":[{"id":"ITEM-1","itemData":{"DOI":"10.1016/j.jcmg.2021.12.008","ISSN":"18767591","PMID":"35512952","abstract":"Objectives: This systematic review and meta-analysis investigated the association of diabetes and glycemic control with myocardial fibrosis (MF). Background: MF is associated with an increased risk of heart failure, coronary artery disease, arrhythmias, and death. Diabetes may influence the development of MF, but evidence is inconsistent. Methods: The authors searched EMBASE, Medline Ovid, Cochrane CENTRAL, Web of Science, and Google Scholar for observational and interventional studies investigating the association of diabetes, glycemic control, and antidiabetic medication with MF assessed by histology and cardiac magnetic resonance (ie, extracellular volume fraction [ECV%] and T1 time). Results: A total of 32 studies (88% exclusively on type 2 diabetes) involving 5,053 participants were included in the systematic review. Meta-analyses showed that diabetes was associated with a higher degree of MF assessed by histological collagen volume fraction (n = 6 studies; mean difference: 5.80; 95% CI: 2.00-9.59) and ECV% (13 studies; mean difference: 2.09; 95% CI: 0.92-3.27), but not by native or postcontrast T1 time. Higher glycosylated hemoglobin levels were associated with higher degrees of MF. Conclusions: Diabetes is associated with higher degree of MF assessed by histology and ECV% but not by T1 time. In patients with diabetes, worse glycemic control was associated with higher MF degrees. These findings mostly apply to type 2 diabetes and warrant further investigation into whether these associations are causal and which medications could attenuate MF in patients with diabetes.","author":[{"dropping-particle":"","family":"Salvador","given":"Dante B.","non-dropping-particle":"","parse-names":false,"suffix":""},{"dropping-particle":"","family":"Gamba","given":"Magda R.","non-dropping-particle":"","parse-names":false,"suffix":""},{"dropping-particle":"","family":"Gonzalez-Jaramillo","given":"Nathalia","non-dropping-particle":"","parse-names":false,"suffix":""},{"dropping-particle":"","family":"Gonzalez-Jaramillo","given":"Valentina","non-dropping-particle":"","parse-names":false,"suffix":""},{"dropping-particle":"","family":"Raguindin","given":"Peter Francis N.","non-dropping-particle":"","parse-names":false,"suffix":""},{"dropping-particle":"","family":"Minder","given":"Beatrice","non-dropping-particle":"","parse-names":false,"suffix":""},{"dropping-particle":"","family":"Gräni","given":"Christoph","non-dropping-particle":"","parse-names":false,"suffix":""},{"dropping-particle":"","family":"Wilhelm","given":"Matthias","non-dropping-particle":"","parse-names":false,"suffix":""},{"dropping-particle":"","family":"Stettler","given":"Christoph","non-dropping-particle":"","parse-names":false,"suffix":""},{"dropping-particle":"","family":"Doria","given":"Alessandro","non-dropping-particle":"","parse-names":false,"suffix":""},{"dropping-particle":"","family":"Franco","given":"Oscar H.","non-dropping-particle":"","parse-names":false,"suffix":""},{"dropping-particle":"","family":"Muka","given":"Taulant","non-dropping-particle":"","parse-names":false,"suffix":""},{"dropping-particle":"","family":"Bano","given":"Arjola","non-dropping-particle":"","parse-names":false,"suffix":""}],"container-title":"JACC: Cardiovascular Imaging","id":"ITEM-1","issue":"5","issued":{"date-parts":[["2022"]]},"page":"796-808","title":"Diabetes and Myocardial Fibrosis: A Systematic Review and Meta-Analysis","type":"article-journal","volume":"15"},"uris":["http://www.mendeley.com/documents/?uuid=23a69ec5-1b58-4236-a1f9-c0c206ab830c"]}],"mendeley":{"formattedCitation":"(112)","plainTextFormattedCitation":"(112)","previouslyFormattedCitation":"(112)"},"properties":{"noteIndex":0},"schema":"https://github.com/citation-style-language/schema/raw/master/csl-citation.json"}</w:instrText>
      </w:r>
      <w:r w:rsidR="00163BBD" w:rsidRPr="004661E9">
        <w:rPr>
          <w:rFonts w:ascii="Arial" w:hAnsi="Arial" w:cs="Arial"/>
        </w:rPr>
        <w:fldChar w:fldCharType="separate"/>
      </w:r>
      <w:r w:rsidR="003C01B8" w:rsidRPr="004661E9">
        <w:rPr>
          <w:rFonts w:ascii="Arial" w:hAnsi="Arial" w:cs="Arial"/>
          <w:noProof/>
        </w:rPr>
        <w:t>(112)</w:t>
      </w:r>
      <w:r w:rsidR="00163BBD" w:rsidRPr="004661E9">
        <w:rPr>
          <w:rFonts w:ascii="Arial" w:hAnsi="Arial" w:cs="Arial"/>
        </w:rPr>
        <w:fldChar w:fldCharType="end"/>
      </w:r>
      <w:r w:rsidR="00163BBD" w:rsidRPr="004661E9">
        <w:rPr>
          <w:rFonts w:ascii="Arial" w:hAnsi="Arial" w:cs="Arial"/>
        </w:rPr>
        <w:t>.</w:t>
      </w:r>
    </w:p>
    <w:p w14:paraId="0A5A865D" w14:textId="77777777" w:rsidR="00D06404" w:rsidRPr="004661E9" w:rsidRDefault="00D06404" w:rsidP="004661E9">
      <w:pPr>
        <w:spacing w:after="0" w:line="276" w:lineRule="auto"/>
        <w:rPr>
          <w:rFonts w:ascii="Arial" w:hAnsi="Arial" w:cs="Arial"/>
        </w:rPr>
      </w:pPr>
    </w:p>
    <w:p w14:paraId="086D63C7" w14:textId="28B5904D" w:rsidR="00464ECD" w:rsidRPr="004661E9" w:rsidRDefault="006841B6" w:rsidP="004661E9">
      <w:pPr>
        <w:spacing w:after="0" w:line="276" w:lineRule="auto"/>
        <w:rPr>
          <w:rFonts w:ascii="Arial" w:hAnsi="Arial" w:cs="Arial"/>
        </w:rPr>
      </w:pPr>
      <w:r w:rsidRPr="004661E9">
        <w:rPr>
          <w:rFonts w:ascii="Arial" w:hAnsi="Arial" w:cs="Arial"/>
        </w:rPr>
        <w:t xml:space="preserve">The Look AHEAD (Action for Health in Diabetes) has been the largest RCT evaluating the </w:t>
      </w:r>
      <w:r w:rsidR="00A5128A" w:rsidRPr="004661E9">
        <w:rPr>
          <w:rFonts w:ascii="Arial" w:hAnsi="Arial" w:cs="Arial"/>
        </w:rPr>
        <w:t>CV</w:t>
      </w:r>
      <w:r w:rsidRPr="004661E9">
        <w:rPr>
          <w:rFonts w:ascii="Arial" w:hAnsi="Arial" w:cs="Arial"/>
        </w:rPr>
        <w:t xml:space="preserve"> effects of </w:t>
      </w:r>
      <w:r w:rsidR="00D129E6" w:rsidRPr="004661E9">
        <w:rPr>
          <w:rFonts w:ascii="Arial" w:hAnsi="Arial" w:cs="Arial"/>
        </w:rPr>
        <w:t xml:space="preserve">an </w:t>
      </w:r>
      <w:r w:rsidRPr="004661E9">
        <w:rPr>
          <w:rFonts w:ascii="Arial" w:hAnsi="Arial" w:cs="Arial"/>
        </w:rPr>
        <w:t xml:space="preserve">intensive lifestyle intervention that promoted weight loss through decreased caloric intake and increased physical activity in </w:t>
      </w:r>
      <w:r w:rsidR="00427A03" w:rsidRPr="004661E9">
        <w:rPr>
          <w:rFonts w:ascii="Arial" w:hAnsi="Arial" w:cs="Arial"/>
        </w:rPr>
        <w:t xml:space="preserve">overweight or obese </w:t>
      </w:r>
      <w:r w:rsidR="0055331D" w:rsidRPr="004661E9">
        <w:rPr>
          <w:rFonts w:ascii="Arial" w:hAnsi="Arial" w:cs="Arial"/>
        </w:rPr>
        <w:t>participants</w:t>
      </w:r>
      <w:r w:rsidRPr="004661E9">
        <w:rPr>
          <w:rFonts w:ascii="Arial" w:hAnsi="Arial" w:cs="Arial"/>
        </w:rPr>
        <w:t xml:space="preserve"> with T2DM</w:t>
      </w:r>
      <w:r w:rsidR="00464ECD"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{"citationItems":[{"id":"ITEM-1","itemData":{"DOI":"10.1056/NEJMoa1212914","author":[{"dropping-particle":"","family":"The","given":"(Look AHEAD Researh Group)","non-dropping-particle":"","parse-names":false,"suffix":""}],"container-title":"New England Journal of Medicine","id":"ITEM-1","issue":"2","issued":{"date-parts":[["2013"]]},"page":"145-154","title":"Cardiovascular Effects of Intensive Lifestyle Intervention in Type 2 Diabetes","type":"article-journal","volume":"369"},"uris":["http://www.mendeley.com/documents/?uuid=4ef8df4f-b7bf-400e-a383-425afebebe60"]}],"mendeley":{"formattedCitation":"(154)","plainTextFormattedCitation":"(154)","previouslyFormattedCitation":"(154)"},"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(154)</w:t>
      </w:r>
      <w:r w:rsidR="000F3AD7" w:rsidRPr="004661E9">
        <w:rPr>
          <w:rFonts w:ascii="Arial" w:hAnsi="Arial" w:cs="Arial"/>
        </w:rPr>
        <w:fldChar w:fldCharType="end"/>
      </w:r>
      <w:r w:rsidR="00464ECD" w:rsidRPr="004661E9">
        <w:rPr>
          <w:rFonts w:ascii="Arial" w:hAnsi="Arial" w:cs="Arial"/>
        </w:rPr>
        <w:t>.</w:t>
      </w:r>
      <w:r w:rsidR="00427A03" w:rsidRPr="004661E9">
        <w:rPr>
          <w:rFonts w:ascii="Arial" w:hAnsi="Arial" w:cs="Arial"/>
        </w:rPr>
        <w:t xml:space="preserve"> The </w:t>
      </w:r>
      <w:r w:rsidR="0055331D" w:rsidRPr="004661E9">
        <w:rPr>
          <w:rFonts w:ascii="Arial" w:hAnsi="Arial" w:cs="Arial"/>
        </w:rPr>
        <w:t>study subjects</w:t>
      </w:r>
      <w:r w:rsidR="00427A03" w:rsidRPr="004661E9">
        <w:rPr>
          <w:rFonts w:ascii="Arial" w:hAnsi="Arial" w:cs="Arial"/>
        </w:rPr>
        <w:t xml:space="preserve"> in the intensive lifestyle intervention group lost 8.6% of body weight at </w:t>
      </w:r>
      <w:r w:rsidR="00D129E6" w:rsidRPr="004661E9">
        <w:rPr>
          <w:rFonts w:ascii="Arial" w:hAnsi="Arial" w:cs="Arial"/>
        </w:rPr>
        <w:t>one</w:t>
      </w:r>
      <w:r w:rsidR="00427A03" w:rsidRPr="004661E9">
        <w:rPr>
          <w:rFonts w:ascii="Arial" w:hAnsi="Arial" w:cs="Arial"/>
        </w:rPr>
        <w:t xml:space="preserve"> year and</w:t>
      </w:r>
      <w:r w:rsidR="00543EDD" w:rsidRPr="004661E9">
        <w:rPr>
          <w:rFonts w:ascii="Arial" w:hAnsi="Arial" w:cs="Arial"/>
        </w:rPr>
        <w:t>,</w:t>
      </w:r>
      <w:r w:rsidR="00427A03" w:rsidRPr="004661E9">
        <w:rPr>
          <w:rFonts w:ascii="Arial" w:hAnsi="Arial" w:cs="Arial"/>
        </w:rPr>
        <w:t xml:space="preserve"> by the end of </w:t>
      </w:r>
      <w:r w:rsidR="00543EDD" w:rsidRPr="004661E9">
        <w:rPr>
          <w:rFonts w:ascii="Arial" w:hAnsi="Arial" w:cs="Arial"/>
        </w:rPr>
        <w:t xml:space="preserve">the </w:t>
      </w:r>
      <w:r w:rsidR="00427A03" w:rsidRPr="004661E9">
        <w:rPr>
          <w:rFonts w:ascii="Arial" w:hAnsi="Arial" w:cs="Arial"/>
        </w:rPr>
        <w:t>10-year follow</w:t>
      </w:r>
      <w:r w:rsidR="00543EDD" w:rsidRPr="004661E9">
        <w:rPr>
          <w:rFonts w:ascii="Arial" w:hAnsi="Arial" w:cs="Arial"/>
        </w:rPr>
        <w:t>-</w:t>
      </w:r>
      <w:r w:rsidR="00427A03" w:rsidRPr="004661E9">
        <w:rPr>
          <w:rFonts w:ascii="Arial" w:hAnsi="Arial" w:cs="Arial"/>
        </w:rPr>
        <w:t>up</w:t>
      </w:r>
      <w:r w:rsidR="00543EDD" w:rsidRPr="004661E9">
        <w:rPr>
          <w:rFonts w:ascii="Arial" w:hAnsi="Arial" w:cs="Arial"/>
        </w:rPr>
        <w:t>,</w:t>
      </w:r>
      <w:r w:rsidR="00427A03" w:rsidRPr="004661E9">
        <w:rPr>
          <w:rFonts w:ascii="Arial" w:hAnsi="Arial" w:cs="Arial"/>
        </w:rPr>
        <w:t xml:space="preserve"> maintained a modest (6%) weight loss compared to 3.5% in the control group. Despite the achieved relative weight loss and improve</w:t>
      </w:r>
      <w:r w:rsidR="00543EDD" w:rsidRPr="004661E9">
        <w:rPr>
          <w:rFonts w:ascii="Arial" w:hAnsi="Arial" w:cs="Arial"/>
        </w:rPr>
        <w:t>d</w:t>
      </w:r>
      <w:r w:rsidR="00427A03" w:rsidRPr="004661E9">
        <w:rPr>
          <w:rFonts w:ascii="Arial" w:hAnsi="Arial" w:cs="Arial"/>
        </w:rPr>
        <w:t xml:space="preserve"> physical fitness and HbA1c, the intensive lifestyle intervention did not </w:t>
      </w:r>
      <w:r w:rsidR="003E6429" w:rsidRPr="004661E9">
        <w:rPr>
          <w:rFonts w:ascii="Arial" w:hAnsi="Arial" w:cs="Arial"/>
        </w:rPr>
        <w:t>reduce the risk of CV</w:t>
      </w:r>
      <w:r w:rsidR="00861472" w:rsidRPr="004661E9">
        <w:rPr>
          <w:rFonts w:ascii="Arial" w:hAnsi="Arial" w:cs="Arial"/>
        </w:rPr>
        <w:t>D</w:t>
      </w:r>
      <w:r w:rsidR="003E6429" w:rsidRPr="004661E9">
        <w:rPr>
          <w:rFonts w:ascii="Arial" w:hAnsi="Arial" w:cs="Arial"/>
        </w:rPr>
        <w:t xml:space="preserve"> mortality and morbidity, including HF risk</w:t>
      </w:r>
      <w:r w:rsidR="00D129E6" w:rsidRPr="004661E9">
        <w:rPr>
          <w:rFonts w:ascii="Arial" w:hAnsi="Arial" w:cs="Arial"/>
        </w:rPr>
        <w:t>,</w:t>
      </w:r>
      <w:r w:rsidR="003F137D" w:rsidRPr="004661E9">
        <w:rPr>
          <w:rFonts w:ascii="Arial" w:hAnsi="Arial" w:cs="Arial"/>
        </w:rPr>
        <w:t xml:space="preserve"> which was a secondary outcome</w:t>
      </w:r>
      <w:r w:rsidR="003E6429" w:rsidRPr="004661E9">
        <w:rPr>
          <w:rFonts w:ascii="Arial" w:hAnsi="Arial" w:cs="Arial"/>
        </w:rPr>
        <w:t>.</w:t>
      </w:r>
      <w:r w:rsidR="00B10397" w:rsidRPr="004661E9">
        <w:rPr>
          <w:rFonts w:ascii="Arial" w:hAnsi="Arial" w:cs="Arial"/>
        </w:rPr>
        <w:t xml:space="preserve"> </w:t>
      </w:r>
      <w:r w:rsidR="003F137D" w:rsidRPr="004661E9">
        <w:rPr>
          <w:rFonts w:ascii="Arial" w:hAnsi="Arial" w:cs="Arial"/>
        </w:rPr>
        <w:t xml:space="preserve">A </w:t>
      </w:r>
      <w:r w:rsidR="00220397" w:rsidRPr="004661E9">
        <w:rPr>
          <w:rFonts w:ascii="Arial" w:hAnsi="Arial" w:cs="Arial"/>
        </w:rPr>
        <w:t>post</w:t>
      </w:r>
      <w:r w:rsidR="00543EDD" w:rsidRPr="004661E9">
        <w:rPr>
          <w:rFonts w:ascii="Arial" w:hAnsi="Arial" w:cs="Arial"/>
        </w:rPr>
        <w:t xml:space="preserve"> </w:t>
      </w:r>
      <w:r w:rsidR="00220397" w:rsidRPr="004661E9">
        <w:rPr>
          <w:rFonts w:ascii="Arial" w:hAnsi="Arial" w:cs="Arial"/>
        </w:rPr>
        <w:t xml:space="preserve">hoc </w:t>
      </w:r>
      <w:r w:rsidR="003F137D" w:rsidRPr="004661E9">
        <w:rPr>
          <w:rFonts w:ascii="Arial" w:hAnsi="Arial" w:cs="Arial"/>
        </w:rPr>
        <w:t>analysis by Pandey et al. evaluated the impact of cardiorespiratory fitness</w:t>
      </w:r>
      <w:r w:rsidR="00212E8C" w:rsidRPr="004661E9">
        <w:rPr>
          <w:rFonts w:ascii="Arial" w:hAnsi="Arial" w:cs="Arial"/>
        </w:rPr>
        <w:t xml:space="preserve"> </w:t>
      </w:r>
      <w:r w:rsidR="003F137D" w:rsidRPr="004661E9">
        <w:rPr>
          <w:rFonts w:ascii="Arial" w:hAnsi="Arial" w:cs="Arial"/>
        </w:rPr>
        <w:t>and the degree of weight loss on the HF risk among the Look AHEAD trial participants</w:t>
      </w:r>
      <w:r w:rsidR="007D032C" w:rsidRPr="004661E9">
        <w:rPr>
          <w:rFonts w:ascii="Arial" w:hAnsi="Arial" w:cs="Arial"/>
        </w:rPr>
        <w:t xml:space="preserve"> with an extended follow-up period</w:t>
      </w:r>
      <w:r w:rsidR="00464ECD"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{"citationItems":[{"id":"ITEM-1","itemData":{"DOI":"10.1161/CIRCULATIONAHA.119.044865","ISSN":"15244539","PMID":"32134326","abstract":"Background: Type 2 diabetes mellitus (T2DM) is associated with a higher risk for heart failure (HF). The impact of a lifestyle intervention and changes in cardiorespiratory fitness (CRF) and body mass index on risk for HF is not well established. Methods: Participants from the Look AHEAD trial (Action for Health in Diabetes) without prevalent HF were included. Time-to-event analyses were used to compare the risk of incident HF between the intensive lifestyle intervention and diabetes support and education groups. The associations of baseline measures of CRF estimated from a maximal treadmill test, body mass index, and longitudinal changes in these parameters with risk of HF were evaluated with multivariable adjusted Cox models. Results: Among the 5109 trial participants, there was no significant difference in the risk of incident HF (n=257) between the intensive lifestyle intervention and the diabetes support and education groups (hazard ratio, 0.96 [95% CI, 0.75-1.23]) over a median follow-up of 12.4 years. In the most adjusted Cox models, the risk of HF was 39% and 62% lower among moderate fit (tertile 2: Hazard ratio, 0.61 [95% CI, 0.44-0.83]) and high fit (tertile 3: Hazard ratio, 0.38 [95% CI, 0.24-0.59]) groups, respectively (referent group: Low fit, tertile 1). Among HF subtypes, after adjustment for traditional cardiovascular risk factors and interval incidence of myocardial infarction, baseline CRF was not significantly associated with risk of incident HF with reduced ejection fraction. In contrast, the risk of incident HF with preserved ejection fraction was 40% lower in the moderate fit group and 77% lower in the high fit group. Baseline body mass index also was not associated with risk of incident HF, HF with preserved ejection fraction, or HF with reduced ejection fraction after adjustment for CRF and traditional cardiovascular risk factors. Among participants with repeat CRF assessments (n=3902), improvements in CRF and weight loss over a 4-year follow-up were significantly associated with lower risk of HF (hazard ratio per 10% increase in CRF, 0.90 [95% CI, 0.82-0.99]; per 10% decrease in body mass index, 0.80 [95% CI, 0.69-0.94]). Conclusions: Among participants with type 2 diabetes mellitus in the Look AHEAD trial, the intensive lifestyle intervention did not appear to modify the risk of HF. Higher baseline CRF and sustained improvements in CRF and weight loss were associated with lower risk of HF.","author":[{"dropping-particle":"","family":"Pandey","given":"Ambarish","non-dropping-particle":"","parse-names":false,"suffix":""},{"dropping-particle":"V","family":"Patel","given":"Kershaw","non-dropping-particle":"","parse-names":false,"suffix":""},{"dropping-particle":"","family":"Bahnson","given":"Judy L","non-dropping-particle":"","parse-names":false,"suffix":""},{"dropping-particle":"","family":"Gaussoin","given":"Sarah A","non-dropping-particle":"","parse-names":false,"suffix":""},{"dropping-particle":"","family":"Martin","given":"Corby K","non-dropping-particle":"","parse-names":false,"suffix":""},{"dropping-particle":"","family":"Balasubramanyam","given":"Ashok","non-dropping-particle":"","parse-names":false,"suffix":""},{"dropping-particle":"","family":"Johnson","given":"Karen C","non-dropping-particle":"","parse-names":false,"suffix":""},{"dropping-particle":"","family":"Mcguire","given":"Darren K.","non-dropping-particle":"","parse-names":false,"suffix":""},{"dropping-particle":"","family":"Bertoni","given":"Alain G","non-dropping-particle":"","parse-names":false,"suffix":""},{"dropping-particle":"","family":"Kitzman","given":"Dalane","non-dropping-particle":"","parse-names":false,"suffix":""},{"dropping-particle":"","family":"Berry","given":"Jarett D","non-dropping-particle":"","parse-names":false,"suffix":""}],"container-title":"Circulation","id":"ITEM-1","issue":"16","issued":{"date-parts":[["2020","3","5"]]},"page":"1295-1306","title":"Association of Intensive Lifestyle Intervention, Fitness, and Body Mass Index with Risk of Heart Failure in Overweight or Obese Adults with Type 2 Diabetes Mellitus: An Analysis from the Look AHEAD Trial","type":"article-journal","volume":"141"},"uris":["http://www.mendeley.com/documents/?uuid=61d9bca3-1a74-3fdf-8b11-d5796205c1ed"]}],"mendeley":{"formattedCitation":"(158)","plainTextFormattedCitation":"(158)","previouslyFormattedCitation":"(158)"},"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(158)</w:t>
      </w:r>
      <w:r w:rsidR="000F3AD7" w:rsidRPr="004661E9">
        <w:rPr>
          <w:rFonts w:ascii="Arial" w:hAnsi="Arial" w:cs="Arial"/>
        </w:rPr>
        <w:fldChar w:fldCharType="end"/>
      </w:r>
      <w:r w:rsidR="00464ECD" w:rsidRPr="004661E9">
        <w:rPr>
          <w:rFonts w:ascii="Arial" w:hAnsi="Arial" w:cs="Arial"/>
        </w:rPr>
        <w:t>.</w:t>
      </w:r>
      <w:r w:rsidR="00CF70BC" w:rsidRPr="004661E9">
        <w:rPr>
          <w:rFonts w:ascii="Arial" w:hAnsi="Arial" w:cs="Arial"/>
        </w:rPr>
        <w:t xml:space="preserve"> The investigators observed</w:t>
      </w:r>
      <w:r w:rsidR="007D032C" w:rsidRPr="004661E9">
        <w:rPr>
          <w:rFonts w:ascii="Arial" w:hAnsi="Arial" w:cs="Arial"/>
        </w:rPr>
        <w:t xml:space="preserve"> a 20% reduction in incident HF risk </w:t>
      </w:r>
      <w:r w:rsidR="00AD5969" w:rsidRPr="004661E9">
        <w:rPr>
          <w:rFonts w:ascii="Arial" w:hAnsi="Arial" w:cs="Arial"/>
        </w:rPr>
        <w:t>as a</w:t>
      </w:r>
      <w:r w:rsidR="007D032C" w:rsidRPr="004661E9">
        <w:rPr>
          <w:rFonts w:ascii="Arial" w:hAnsi="Arial" w:cs="Arial"/>
        </w:rPr>
        <w:t xml:space="preserve"> response to a 10% reduction in BMI over a 4-year follow</w:t>
      </w:r>
      <w:r w:rsidR="00543EDD" w:rsidRPr="004661E9">
        <w:rPr>
          <w:rFonts w:ascii="Arial" w:hAnsi="Arial" w:cs="Arial"/>
        </w:rPr>
        <w:t>-</w:t>
      </w:r>
      <w:r w:rsidR="007D032C" w:rsidRPr="004661E9">
        <w:rPr>
          <w:rFonts w:ascii="Arial" w:hAnsi="Arial" w:cs="Arial"/>
        </w:rPr>
        <w:t xml:space="preserve">up. Moreover, </w:t>
      </w:r>
      <w:r w:rsidR="00543EDD" w:rsidRPr="004661E9">
        <w:rPr>
          <w:rFonts w:ascii="Arial" w:hAnsi="Arial" w:cs="Arial"/>
        </w:rPr>
        <w:t xml:space="preserve">a </w:t>
      </w:r>
      <w:r w:rsidR="007D032C" w:rsidRPr="004661E9">
        <w:rPr>
          <w:rFonts w:ascii="Arial" w:hAnsi="Arial" w:cs="Arial"/>
        </w:rPr>
        <w:t xml:space="preserve">higher baseline </w:t>
      </w:r>
      <w:r w:rsidR="00923838" w:rsidRPr="004661E9">
        <w:rPr>
          <w:rFonts w:ascii="Arial" w:hAnsi="Arial" w:cs="Arial"/>
        </w:rPr>
        <w:t xml:space="preserve">and improvement of </w:t>
      </w:r>
      <w:r w:rsidR="00A5128A" w:rsidRPr="004661E9">
        <w:rPr>
          <w:rFonts w:ascii="Arial" w:hAnsi="Arial" w:cs="Arial"/>
        </w:rPr>
        <w:t>cardiorespiratory fitness</w:t>
      </w:r>
      <w:r w:rsidR="00212E8C" w:rsidRPr="004661E9">
        <w:rPr>
          <w:rFonts w:ascii="Arial" w:hAnsi="Arial" w:cs="Arial"/>
        </w:rPr>
        <w:t xml:space="preserve"> over time </w:t>
      </w:r>
      <w:r w:rsidR="008907A7" w:rsidRPr="004661E9">
        <w:rPr>
          <w:rFonts w:ascii="Arial" w:hAnsi="Arial" w:cs="Arial"/>
        </w:rPr>
        <w:t>predicted</w:t>
      </w:r>
      <w:r w:rsidR="00212E8C" w:rsidRPr="004661E9">
        <w:rPr>
          <w:rFonts w:ascii="Arial" w:hAnsi="Arial" w:cs="Arial"/>
        </w:rPr>
        <w:t xml:space="preserve"> </w:t>
      </w:r>
      <w:r w:rsidR="00D129E6" w:rsidRPr="004661E9">
        <w:rPr>
          <w:rFonts w:ascii="Arial" w:hAnsi="Arial" w:cs="Arial"/>
        </w:rPr>
        <w:t xml:space="preserve">a </w:t>
      </w:r>
      <w:r w:rsidR="00212E8C" w:rsidRPr="004661E9">
        <w:rPr>
          <w:rFonts w:ascii="Arial" w:hAnsi="Arial" w:cs="Arial"/>
        </w:rPr>
        <w:t xml:space="preserve">lower risk of incident HF. Interestingly, subgroup analysis revealed a more significant </w:t>
      </w:r>
      <w:r w:rsidR="008907A7" w:rsidRPr="004661E9">
        <w:rPr>
          <w:rFonts w:ascii="Arial" w:hAnsi="Arial" w:cs="Arial"/>
        </w:rPr>
        <w:t>correlation</w:t>
      </w:r>
      <w:r w:rsidR="00212E8C" w:rsidRPr="004661E9">
        <w:rPr>
          <w:rFonts w:ascii="Arial" w:hAnsi="Arial" w:cs="Arial"/>
        </w:rPr>
        <w:t xml:space="preserve"> between baseline </w:t>
      </w:r>
      <w:r w:rsidR="00923838" w:rsidRPr="004661E9">
        <w:rPr>
          <w:rFonts w:ascii="Arial" w:hAnsi="Arial" w:cs="Arial"/>
        </w:rPr>
        <w:t xml:space="preserve">fitness </w:t>
      </w:r>
      <w:r w:rsidR="00212E8C" w:rsidRPr="004661E9">
        <w:rPr>
          <w:rFonts w:ascii="Arial" w:hAnsi="Arial" w:cs="Arial"/>
        </w:rPr>
        <w:t>and incident HFpEF than incident HFrEF.</w:t>
      </w:r>
      <w:r w:rsidR="006A19FC" w:rsidRPr="004661E9">
        <w:rPr>
          <w:rFonts w:ascii="Arial" w:hAnsi="Arial" w:cs="Arial"/>
        </w:rPr>
        <w:t xml:space="preserve"> </w:t>
      </w:r>
      <w:r w:rsidR="00212E8C" w:rsidRPr="004661E9">
        <w:rPr>
          <w:rFonts w:ascii="Arial" w:hAnsi="Arial" w:cs="Arial"/>
        </w:rPr>
        <w:t xml:space="preserve"> Future </w:t>
      </w:r>
      <w:r w:rsidR="004A2062" w:rsidRPr="004661E9">
        <w:rPr>
          <w:rFonts w:ascii="Arial" w:hAnsi="Arial" w:cs="Arial"/>
        </w:rPr>
        <w:t xml:space="preserve">dedicated </w:t>
      </w:r>
      <w:r w:rsidR="00212E8C" w:rsidRPr="004661E9">
        <w:rPr>
          <w:rFonts w:ascii="Arial" w:hAnsi="Arial" w:cs="Arial"/>
        </w:rPr>
        <w:t xml:space="preserve">studies are needed to explore the </w:t>
      </w:r>
      <w:r w:rsidR="004A2062" w:rsidRPr="004661E9">
        <w:rPr>
          <w:rFonts w:ascii="Arial" w:hAnsi="Arial" w:cs="Arial"/>
        </w:rPr>
        <w:t xml:space="preserve">HF risk reduction effects of more intense weight loss and exercise training interventions </w:t>
      </w:r>
      <w:r w:rsidR="00D129E6" w:rsidRPr="004661E9">
        <w:rPr>
          <w:rFonts w:ascii="Arial" w:hAnsi="Arial" w:cs="Arial"/>
        </w:rPr>
        <w:t>to promote</w:t>
      </w:r>
      <w:r w:rsidR="004A2062" w:rsidRPr="004661E9">
        <w:rPr>
          <w:rFonts w:ascii="Arial" w:hAnsi="Arial" w:cs="Arial"/>
        </w:rPr>
        <w:t xml:space="preserve"> sustained improvements in body weight and </w:t>
      </w:r>
      <w:r w:rsidR="00923838" w:rsidRPr="004661E9">
        <w:rPr>
          <w:rFonts w:ascii="Arial" w:hAnsi="Arial" w:cs="Arial"/>
        </w:rPr>
        <w:t>cardiorespiratory fitness</w:t>
      </w:r>
      <w:r w:rsidR="004A2062" w:rsidRPr="004661E9">
        <w:rPr>
          <w:rFonts w:ascii="Arial" w:hAnsi="Arial" w:cs="Arial"/>
        </w:rPr>
        <w:t xml:space="preserve"> in patients with T2DM</w:t>
      </w:r>
      <w:r w:rsidR="00464ECD"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{"citationItems":[{"id":"ITEM-1","itemData":{"DOI":"10.1161/CIRCULATIONAHA.119.044865","ISSN":"15244539","PMID":"32134326","abstract":"Background: Type 2 diabetes mellitus (T2DM) is associated with a higher risk for heart failure (HF). The impact of a lifestyle intervention and changes in cardiorespiratory fitness (CRF) and body mass index on risk for HF is not well established. Methods: Participants from the Look AHEAD trial (Action for Health in Diabetes) without prevalent HF were included. Time-to-event analyses were used to compare the risk of incident HF between the intensive lifestyle intervention and diabetes support and education groups. The associations of baseline measures of CRF estimated from a maximal treadmill test, body mass index, and longitudinal changes in these parameters with risk of HF were evaluated with multivariable adjusted Cox models. Results: Among the 5109 trial participants, there was no significant difference in the risk of incident HF (n=257) between the intensive lifestyle intervention and the diabetes support and education groups (hazard ratio, 0.96 [95% CI, 0.75-1.23]) over a median follow-up of 12.4 years. In the most adjusted Cox models, the risk of HF was 39% and 62% lower among moderate fit (tertile 2: Hazard ratio, 0.61 [95% CI, 0.44-0.83]) and high fit (tertile 3: Hazard ratio, 0.38 [95% CI, 0.24-0.59]) groups, respectively (referent group: Low fit, tertile 1). Among HF subtypes, after adjustment for traditional cardiovascular risk factors and interval incidence of myocardial infarction, baseline CRF was not significantly associated with risk of incident HF with reduced ejection fraction. In contrast, the risk of incident HF with preserved ejection fraction was 40% lower in the moderate fit group and 77% lower in the high fit group. Baseline body mass index also was not associated with risk of incident HF, HF with preserved ejection fraction, or HF with reduced ejection fraction after adjustment for CRF and traditional cardiovascular risk factors. Among participants with repeat CRF assessments (n=3902), improvements in CRF and weight loss over a 4-year follow-up were significantly associated with lower risk of HF (hazard ratio per 10% increase in CRF, 0.90 [95% CI, 0.82-0.99]; per 10% decrease in body mass index, 0.80 [95% CI, 0.69-0.94]). Conclusions: Among participants with type 2 diabetes mellitus in the Look AHEAD trial, the intensive lifestyle intervention did not appear to modify the risk of HF. Higher baseline CRF and sustained improvements in CRF and weight loss were associated with lower risk of HF.","author":[{"dropping-particle":"","family":"Pandey","given":"Ambarish","non-dropping-particle":"","parse-names":false,"suffix":""},{"dropping-particle":"V","family":"Patel","given":"Kershaw","non-dropping-particle":"","parse-names":false,"suffix":""},{"dropping-particle":"","family":"Bahnson","given":"Judy L","non-dropping-particle":"","parse-names":false,"suffix":""},{"dropping-particle":"","family":"Gaussoin","given":"Sarah A","non-dropping-particle":"","parse-names":false,"suffix":""},{"dropping-particle":"","family":"Martin","given":"Corby K","non-dropping-particle":"","parse-names":false,"suffix":""},{"dropping-particle":"","family":"Balasubramanyam","given":"Ashok","non-dropping-particle":"","parse-names":false,"suffix":""},{"dropping-particle":"","family":"Johnson","given":"Karen C","non-dropping-particle":"","parse-names":false,"suffix":""},{"dropping-particle":"","family":"Mcguire","given":"Darren K.","non-dropping-particle":"","parse-names":false,"suffix":""},{"dropping-particle":"","family":"Bertoni","given":"Alain G","non-dropping-particle":"","parse-names":false,"suffix":""},{"dropping-particle":"","family":"Kitzman","given":"Dalane","non-dropping-particle":"","parse-names":false,"suffix":""},{"dropping-particle":"","family":"Berry","given":"Jarett D","non-dropping-particle":"","parse-names":false,"suffix":""}],"container-title":"Circulation","id":"ITEM-1","issue":"16","issued":{"date-parts":[["2020","3","5"]]},"page":"1295-1306","title":"Association of Intensive Lifestyle Intervention, Fitness, and Body Mass Index with Risk of Heart Failure in Overweight or Obese Adults with Type 2 Diabetes Mellitus: An Analysis from the Look AHEAD Trial","type":"article-journal","volume":"141"},"uris":["http://www.mendeley.com/documents/?uuid=61d9bca3-1a74-3fdf-8b11-d5796205c1ed"]}],"mendeley":{"formattedCitation":"(158)","plainTextFormattedCitation":"(158)","previouslyFormattedCitation":"(158)"},"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(158)</w:t>
      </w:r>
      <w:r w:rsidR="000F3AD7" w:rsidRPr="004661E9">
        <w:rPr>
          <w:rFonts w:ascii="Arial" w:hAnsi="Arial" w:cs="Arial"/>
        </w:rPr>
        <w:fldChar w:fldCharType="end"/>
      </w:r>
      <w:r w:rsidR="00464ECD" w:rsidRPr="004661E9">
        <w:rPr>
          <w:rFonts w:ascii="Arial" w:hAnsi="Arial" w:cs="Arial"/>
        </w:rPr>
        <w:t>.</w:t>
      </w:r>
    </w:p>
    <w:p w14:paraId="4B64AB6E" w14:textId="2D1136BB" w:rsidR="005511DB" w:rsidRPr="004661E9" w:rsidRDefault="004A2062" w:rsidP="004661E9">
      <w:pPr>
        <w:spacing w:after="0" w:line="276" w:lineRule="auto"/>
        <w:rPr>
          <w:rFonts w:ascii="Arial" w:hAnsi="Arial" w:cs="Arial"/>
        </w:rPr>
      </w:pPr>
      <w:r w:rsidRPr="004661E9">
        <w:rPr>
          <w:rFonts w:ascii="Arial" w:hAnsi="Arial" w:cs="Arial"/>
        </w:rPr>
        <w:t xml:space="preserve"> </w:t>
      </w:r>
    </w:p>
    <w:p w14:paraId="1FBE18A1" w14:textId="39896164" w:rsidR="00464ECD" w:rsidRPr="004661E9" w:rsidRDefault="00F84911" w:rsidP="004661E9">
      <w:pPr>
        <w:spacing w:after="0" w:line="276" w:lineRule="auto"/>
        <w:rPr>
          <w:rFonts w:ascii="Arial" w:hAnsi="Arial" w:cs="Arial"/>
        </w:rPr>
      </w:pPr>
      <w:r w:rsidRPr="004661E9">
        <w:rPr>
          <w:rFonts w:ascii="Arial" w:hAnsi="Arial" w:cs="Arial"/>
        </w:rPr>
        <w:t xml:space="preserve">Metabolic </w:t>
      </w:r>
      <w:r w:rsidR="00175133" w:rsidRPr="004661E9">
        <w:rPr>
          <w:rFonts w:ascii="Arial" w:hAnsi="Arial" w:cs="Arial"/>
        </w:rPr>
        <w:t>surgeries</w:t>
      </w:r>
      <w:r w:rsidRPr="004661E9">
        <w:rPr>
          <w:rFonts w:ascii="Arial" w:hAnsi="Arial" w:cs="Arial"/>
        </w:rPr>
        <w:t>,</w:t>
      </w:r>
      <w:r w:rsidR="00175133" w:rsidRPr="004661E9">
        <w:rPr>
          <w:rFonts w:ascii="Arial" w:hAnsi="Arial" w:cs="Arial"/>
        </w:rPr>
        <w:t xml:space="preserve"> </w:t>
      </w:r>
      <w:r w:rsidRPr="004661E9">
        <w:rPr>
          <w:rFonts w:ascii="Arial" w:hAnsi="Arial" w:cs="Arial"/>
        </w:rPr>
        <w:t xml:space="preserve">when performed as a part of </w:t>
      </w:r>
      <w:r w:rsidR="00D129E6" w:rsidRPr="004661E9">
        <w:rPr>
          <w:rFonts w:ascii="Arial" w:hAnsi="Arial" w:cs="Arial"/>
        </w:rPr>
        <w:t xml:space="preserve">a </w:t>
      </w:r>
      <w:r w:rsidRPr="004661E9">
        <w:rPr>
          <w:rFonts w:ascii="Arial" w:hAnsi="Arial" w:cs="Arial"/>
        </w:rPr>
        <w:t xml:space="preserve">comprehensive weight management </w:t>
      </w:r>
      <w:r w:rsidR="00464ECD" w:rsidRPr="004661E9">
        <w:rPr>
          <w:rFonts w:ascii="Arial" w:hAnsi="Arial" w:cs="Arial"/>
        </w:rPr>
        <w:t>strategy</w:t>
      </w:r>
      <w:r w:rsidRPr="004661E9">
        <w:rPr>
          <w:rFonts w:ascii="Arial" w:hAnsi="Arial" w:cs="Arial"/>
        </w:rPr>
        <w:t xml:space="preserve">, </w:t>
      </w:r>
      <w:r w:rsidR="00175133" w:rsidRPr="004661E9">
        <w:rPr>
          <w:rFonts w:ascii="Arial" w:hAnsi="Arial" w:cs="Arial"/>
        </w:rPr>
        <w:t xml:space="preserve">are effective treatment options for achieving </w:t>
      </w:r>
      <w:r w:rsidR="00543EDD" w:rsidRPr="004661E9">
        <w:rPr>
          <w:rFonts w:ascii="Arial" w:hAnsi="Arial" w:cs="Arial"/>
        </w:rPr>
        <w:t>more significant</w:t>
      </w:r>
      <w:r w:rsidR="00861472" w:rsidRPr="004661E9">
        <w:rPr>
          <w:rFonts w:ascii="Arial" w:hAnsi="Arial" w:cs="Arial"/>
        </w:rPr>
        <w:t xml:space="preserve"> and durable</w:t>
      </w:r>
      <w:r w:rsidR="00175133" w:rsidRPr="004661E9">
        <w:rPr>
          <w:rFonts w:ascii="Arial" w:hAnsi="Arial" w:cs="Arial"/>
        </w:rPr>
        <w:t xml:space="preserve"> weight loss in individuals with severe obesity</w:t>
      </w:r>
      <w:r w:rsidR="00464ECD"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{"citationItems":[{"id":"ITEM-1","itemData":{"DOI":"10.1016/j.jacc.2017.12.014","ISSN":"15583597","abstract":"The alarming rise in the worldwide prevalence of obesity is paralleled by an increasing burden of type 2 diabetes mellitus. Metabolic surgery is the most effective means of obtaining substantial and durable weight loss in individuals with obesity. Randomized trials have recently shown the superiority of surgery over medical treatment alone in achieving improved glycemic control, as well as a reduction in cardiovascular risk factors. The mechanisms seem to extend beyond the magnitude of weight loss alone and include improvements in incretin profiles, insulin secretion, and insulin sensitivity. Moreover, observational data suggest that the reduction in cardiovascular risk factors translates to better patient outcomes. This review describes commonly used metabolic surgical procedures and their current indications and summarizes the evidence related to weight loss and glycemic outcomes. It further examines their potential effects on cardiovascular outcomes and mortality and discusses future perspectives.","author":[{"dropping-particle":"","family":"Pareek","given":"Manan","non-dropping-particle":"","parse-names":false,"suffix":""},{"dropping-particle":"","family":"Schauer","given":"Philip R.","non-dropping-particle":"","parse-names":false,"suffix":""},{"dropping-particle":"","family":"Kaplan","given":"Lee M.","non-dropping-particle":"","parse-names":false,"suffix":""},{"dropping-particle":"","family":"Leiter","given":"Lawrence A.","non-dropping-particle":"","parse-names":false,"suffix":""},{"dropping-particle":"","family":"Rubino","given":"Francesco","non-dropping-particle":"","parse-names":false,"suffix":""},{"dropping-particle":"","family":"Bhatt","given":"Deepak L.","non-dropping-particle":"","parse-names":false,"suffix":""}],"container-title":"Journal of the American College of Cardiology","id":"ITEM-1","issue":"6","issued":{"date-parts":[["2018","2","13"]]},"page":"670-687","publisher":"Elsevier USA","title":"Metabolic Surgery: Weight Loss, Diabetes, and Beyond","type":"article-journal","volume":"71"},"uris":["http://www.mendeley.com/documents/?uuid=9ea2aa53-9c3b-3545-95ac-29b96523bb9b"]}],"mendeley":{"formattedCitation":"(159)","plainTextFormattedCitation":"(159)","previouslyFormattedCitation":"(159)"},"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(159)</w:t>
      </w:r>
      <w:r w:rsidR="000F3AD7" w:rsidRPr="004661E9">
        <w:rPr>
          <w:rFonts w:ascii="Arial" w:hAnsi="Arial" w:cs="Arial"/>
        </w:rPr>
        <w:fldChar w:fldCharType="end"/>
      </w:r>
      <w:r w:rsidR="00464ECD" w:rsidRPr="004661E9">
        <w:rPr>
          <w:rFonts w:ascii="Arial" w:hAnsi="Arial" w:cs="Arial"/>
        </w:rPr>
        <w:t>.</w:t>
      </w:r>
      <w:r w:rsidRPr="004661E9">
        <w:rPr>
          <w:rFonts w:ascii="Arial" w:hAnsi="Arial" w:cs="Arial"/>
        </w:rPr>
        <w:t xml:space="preserve"> </w:t>
      </w:r>
      <w:r w:rsidR="0055331D" w:rsidRPr="004661E9">
        <w:rPr>
          <w:rFonts w:ascii="Arial" w:hAnsi="Arial" w:cs="Arial"/>
        </w:rPr>
        <w:t>Individuals</w:t>
      </w:r>
      <w:r w:rsidRPr="004661E9">
        <w:rPr>
          <w:rFonts w:ascii="Arial" w:hAnsi="Arial" w:cs="Arial"/>
        </w:rPr>
        <w:t xml:space="preserve"> with T2DM and severe obesity who undergo </w:t>
      </w:r>
      <w:r w:rsidRPr="004661E9">
        <w:rPr>
          <w:rFonts w:ascii="Arial" w:hAnsi="Arial" w:cs="Arial"/>
        </w:rPr>
        <w:lastRenderedPageBreak/>
        <w:t xml:space="preserve">metabolic surgeries experience improvement in glycemic control and insulin sensitivity and </w:t>
      </w:r>
      <w:r w:rsidR="00BA591D" w:rsidRPr="004661E9">
        <w:rPr>
          <w:rFonts w:ascii="Arial" w:hAnsi="Arial" w:cs="Arial"/>
        </w:rPr>
        <w:t>may have</w:t>
      </w:r>
      <w:r w:rsidRPr="004661E9">
        <w:rPr>
          <w:rFonts w:ascii="Arial" w:hAnsi="Arial" w:cs="Arial"/>
        </w:rPr>
        <w:t xml:space="preserve"> remission of </w:t>
      </w:r>
      <w:r w:rsidR="00A36DE2" w:rsidRPr="004661E9">
        <w:rPr>
          <w:rFonts w:ascii="Arial" w:hAnsi="Arial" w:cs="Arial"/>
        </w:rPr>
        <w:t>diabetes</w:t>
      </w:r>
      <w:r w:rsidR="00464ECD"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{"citationItems":[{"id":"ITEM-1","itemData":{"DOI":"10.1016/j.jacc.2017.12.014","ISSN":"15583597","abstract":"The alarming rise in the worldwide prevalence of obesity is paralleled by an increasing burden of type 2 diabetes mellitus. Metabolic surgery is the most effective means of obtaining substantial and durable weight loss in individuals with obesity. Randomized trials have recently shown the superiority of surgery over medical treatment alone in achieving improved glycemic control, as well as a reduction in cardiovascular risk factors. The mechanisms seem to extend beyond the magnitude of weight loss alone and include improvements in incretin profiles, insulin secretion, and insulin sensitivity. Moreover, observational data suggest that the reduction in cardiovascular risk factors translates to better patient outcomes. This review describes commonly used metabolic surgical procedures and their current indications and summarizes the evidence related to weight loss and glycemic outcomes. It further examines their potential effects on cardiovascular outcomes and mortality and discusses future perspectives.","author":[{"dropping-particle":"","family":"Pareek","given":"Manan","non-dropping-particle":"","parse-names":false,"suffix":""},{"dropping-particle":"","family":"Schauer","given":"Philip R.","non-dropping-particle":"","parse-names":false,"suffix":""},{"dropping-particle":"","family":"Kaplan","given":"Lee M.","non-dropping-particle":"","parse-names":false,"suffix":""},{"dropping-particle":"","family":"Leiter","given":"Lawrence A.","non-dropping-particle":"","parse-names":false,"suffix":""},{"dropping-particle":"","family":"Rubino","given":"Francesco","non-dropping-particle":"","parse-names":false,"suffix":""},{"dropping-particle":"","family":"Bhatt","given":"Deepak L.","non-dropping-particle":"","parse-names":false,"suffix":""}],"container-title":"Journal of the American College of Cardiology","id":"ITEM-1","issue":"6","issued":{"date-parts":[["2018","2","13"]]},"page":"670-687","publisher":"Elsevier USA","title":"Metabolic Surgery: Weight Loss, Diabetes, and Beyond","type":"article-journal","volume":"71"},"uris":["http://www.mendeley.com/documents/?uuid=9ea2aa53-9c3b-3545-95ac-29b96523bb9b"]}],"mendeley":{"formattedCitation":"(159)","plainTextFormattedCitation":"(159)","previouslyFormattedCitation":"(159)"},"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(159)</w:t>
      </w:r>
      <w:r w:rsidR="000F3AD7" w:rsidRPr="004661E9">
        <w:rPr>
          <w:rFonts w:ascii="Arial" w:hAnsi="Arial" w:cs="Arial"/>
        </w:rPr>
        <w:fldChar w:fldCharType="end"/>
      </w:r>
      <w:r w:rsidR="00464ECD" w:rsidRPr="004661E9">
        <w:rPr>
          <w:rFonts w:ascii="Arial" w:hAnsi="Arial" w:cs="Arial"/>
        </w:rPr>
        <w:t>.</w:t>
      </w:r>
      <w:r w:rsidR="00B10397" w:rsidRPr="004661E9">
        <w:rPr>
          <w:rFonts w:ascii="Arial" w:hAnsi="Arial" w:cs="Arial"/>
        </w:rPr>
        <w:t xml:space="preserve"> </w:t>
      </w:r>
      <w:r w:rsidR="00125337" w:rsidRPr="004661E9">
        <w:rPr>
          <w:rFonts w:ascii="Arial" w:hAnsi="Arial" w:cs="Arial"/>
        </w:rPr>
        <w:t>Evidence from RCTs and observational studies ha</w:t>
      </w:r>
      <w:r w:rsidR="00543EDD" w:rsidRPr="004661E9">
        <w:rPr>
          <w:rFonts w:ascii="Arial" w:hAnsi="Arial" w:cs="Arial"/>
        </w:rPr>
        <w:t>s</w:t>
      </w:r>
      <w:r w:rsidR="00125337" w:rsidRPr="004661E9">
        <w:rPr>
          <w:rFonts w:ascii="Arial" w:hAnsi="Arial" w:cs="Arial"/>
        </w:rPr>
        <w:t xml:space="preserve"> demonstrated that metabolic surgery, as compared to conventional lifestyle modifications and medical therapy, </w:t>
      </w:r>
      <w:r w:rsidR="008907A7" w:rsidRPr="004661E9">
        <w:rPr>
          <w:rFonts w:ascii="Arial" w:hAnsi="Arial" w:cs="Arial"/>
        </w:rPr>
        <w:t xml:space="preserve">can reduce </w:t>
      </w:r>
      <w:r w:rsidR="00125337" w:rsidRPr="004661E9">
        <w:rPr>
          <w:rFonts w:ascii="Arial" w:hAnsi="Arial" w:cs="Arial"/>
        </w:rPr>
        <w:t xml:space="preserve">overall </w:t>
      </w:r>
      <w:r w:rsidR="00923838" w:rsidRPr="004661E9">
        <w:rPr>
          <w:rFonts w:ascii="Arial" w:hAnsi="Arial" w:cs="Arial"/>
        </w:rPr>
        <w:t>CV</w:t>
      </w:r>
      <w:r w:rsidR="00125337" w:rsidRPr="004661E9">
        <w:rPr>
          <w:rFonts w:ascii="Arial" w:hAnsi="Arial" w:cs="Arial"/>
        </w:rPr>
        <w:t xml:space="preserve"> risk and improve </w:t>
      </w:r>
      <w:r w:rsidR="00543EDD" w:rsidRPr="004661E9">
        <w:rPr>
          <w:rFonts w:ascii="Arial" w:hAnsi="Arial" w:cs="Arial"/>
        </w:rPr>
        <w:t xml:space="preserve">the </w:t>
      </w:r>
      <w:r w:rsidR="00125337" w:rsidRPr="004661E9">
        <w:rPr>
          <w:rFonts w:ascii="Arial" w:hAnsi="Arial" w:cs="Arial"/>
        </w:rPr>
        <w:t xml:space="preserve">quality of life in </w:t>
      </w:r>
      <w:r w:rsidR="0055331D" w:rsidRPr="004661E9">
        <w:rPr>
          <w:rFonts w:ascii="Arial" w:hAnsi="Arial" w:cs="Arial"/>
        </w:rPr>
        <w:t>individuals</w:t>
      </w:r>
      <w:r w:rsidR="00125337" w:rsidRPr="004661E9">
        <w:rPr>
          <w:rFonts w:ascii="Arial" w:hAnsi="Arial" w:cs="Arial"/>
        </w:rPr>
        <w:t xml:space="preserve"> with T2DM and severe obesity</w:t>
      </w:r>
      <w:r w:rsidR="00344A77"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{"citationItems":[{"id":"ITEM-1","itemData":{"DOI":"10.1016/S0140-6736(15)00075-6","ISSN":"1474547X","abstract":"Background: Randomised controlled trials have shown that bariatric surgery is more effective than conventional treatment for the short-term control of type-2 diabetes. However, published studies are characterised by a relatively short follow-up. We aimed to assess 5 year outcomes from our randomised trial designed to compare surgery with conventional medical treatment for the treatment of type 2 diabetes in obese patients. Methods: We did our open-label, randomised controlled trial at one diabetes centre in Italy. Patients aged 30-60 years with a body-mass index of 35 kg/m2 or more and a history of type 2 diabetes lasting at least 5 years were randomly assigned (1:1:1), via a computer-generated randomisation procedure, to receive either medical treatment or surgery by Roux-en-Y gastric bypass or biliopancreatic diversion. Participants were aware of treatment allocation before the operation and study investigators were aware from the point of randomisation. The primary endpoint was the rate of diabetes remission at 2 years, defined as a glycated haemaglobin A1c (HbA1c) concentration of 6·5% or less (≤47·5 mmol/mol) and a fasting glucose concentration of 5·6 mmol/L or less without active pharmacological treatment for 1 year. Here we analyse glycaemic and metabolic control, cardiovascular risk, medication use, quality of life, and long-term complications 5 years after randomisation. Analysis was by intention to treat for the primary endpoint and by per protocol for the 5 year follow-up. This study is registered with ClinicalTrials.gov, number NCT00888836. Findings: Between April 27, 2009, and Oct 31, 2009, we randomly assigned 60 patients to receive either medical treatment (n=20) or surgery by gastric bypass (n=20) or biliopancreatic diversion (n=20); 53 (88%) patients completed 5 years' follow-up. Overall, 19 (50%) of the 38 surgical patients (seven [37%] of 19 in the gastric bypass group and 12 [63%] of 19 in the bilipancreatic diversion group) maintained diabetes remission at 5 years, compared with none of the 15 medically treated patients (p=0·0007). We recorded relapse of hyperglycaemia in eight (53%) of the 15 patients who achieved 2 year remission in the gastric bypass group and seven (37%) of the 19 patients who achieved 2 year remission in the biliopancreatic diversion group. Eight (42%) patients who underwent gastric bypass and 13 (68%) patients who underwent biliopancreatic diversion had an HbA1c concentration of 6·5% or less (≤47·5 mmol/mol) w…","author":[{"dropping-particle":"","family":"Mingrone","given":"Geltrude","non-dropping-particle":"","parse-names":false,"suffix":""},{"dropping-particle":"","family":"Panunzi","given":"Simona","non-dropping-particle":"","parse-names":false,"suffix":""},{"dropping-particle":"","family":"Gaetano","given":"Andrea","non-dropping-particle":"De","parse-names":false,"suffix":""},{"dropping-particle":"","family":"Guidone","given":"Caterina","non-dropping-particle":"","parse-names":false,"suffix":""},{"dropping-particle":"","family":"Iaconelli","given":"Amerigo","non-dropping-particle":"","parse-names":false,"suffix":""},{"dropping-particle":"","family":"Nanni","given":"Giuseppe","non-dropping-particle":"","parse-names":false,"suffix":""},{"dropping-particle":"","family":"Castagneto","given":"Marco","non-dropping-particle":"","parse-names":false,"suffix":""},{"dropping-particle":"","family":"Bornstein","given":"Stefan","non-dropping-particle":"","parse-names":false,"suffix":""},{"dropping-particle":"","family":"Rubino","given":"Francesco","non-dropping-particle":"","parse-names":false,"suffix":""}],"container-title":"The Lancet","id":"ITEM-1","issue":"9997","issued":{"date-parts":[["2015","9","5"]]},"page":"964-973","publisher":"Lancet Publishing Group","title":"Bariatric-metabolic surgery versus conventional medical treatment in obese patients with type 2 diabetes: 5 Year follow-up of an open-label, single-centre, randomised controlled trial","type":"article-journal","volume":"386"},"uris":["http://www.mendeley.com/documents/?uuid=7dc33969-e696-359c-bd46-786e63558b7b"]},{"id":"ITEM-2","itemData":{"DOI":"10.1056/NEJMoa1600869","ISSN":"0028-4793","abstract":"BACKGROUND Long-Term results from randomized, controlled trials that compare medical therapy with surgical therapy in patients with type 2 diabetes are limited. METHODS We assessed outcomes 5 years after 150 patients who had type 2 diabetes and a bodymass index (BMI; the weight in kilograms divided by the square of the height in meters) of 27 to 43 were randomly assigned to receive intensive medical therapy alone or intensive medical therapy plus Roux-en-Y gastric bypass or sleeve gastrectomy. The primary outcome was a glycated hemoglobin level of 6.0% or less with or without the use of diabetes medications. RESULTS Of the 150 patients who underwent randomization, 1 patient died during the 5-year follow-up period; 134 of the remaining 149 patients (90%) completed 5 years of followup. At baseline, the mean (?}SD) age of the 134 patients was 49?}8 years, 66% were women, the mean glycated hemoglobin level was 9.2?}1.5%, and the mean BMI was 37?}3.5. At 5 years, the criterion for the primary end point was met by 2 of 38 patients (5%) who received medical therapy alone, as compared with 14 of 49 patients (29%) who underwent gastric bypass (unadjusted P = 0.01, adjusted P = 0.03, P = 0.08 in the intentionto-Treat analysis) and 11 of 47 patients (23%) who underwent sleeve gastrectomy (unadjusted P = 0.03, adjusted P = 0.07, P = 0.17 in the intention-To-Treat analysis). Patients who underwent surgical procedures had a greater mean percentage reduction from baseline in glycated hemoglobin level than did patients who received medical therapy alone (2.1% vs. 0.3%, P = 0.003). At 5 years, changes from baseline observed in the gastric-bypass and sleeve-gastrectomy groups were superior to the changes seen in the medical-Therapy group with respect to body weight (-23%, -19%, and -5% in the gastric-bypass, sleevegastrectomy, and medical-Therapy groups, respectively), triglyceride level (-40%, -29%, and -8%), high-density lipoprotein cholesterol level (32%, 30%, and 7%), use of insulin (-35%, -34%, and -13%), and quality-of-life measures (general health score increases of 17, 16, and 0.3; scores on the RAND 36-Item Health Survey ranged from 0 to 100, with higher scores indicating better health) (P&lt;0.05 for all comparisons). No major late surgical complications were reported except for one reoperation. CONCLUSIONS Five-year outcome data showed that, among patients with type 2 diabetes and a BMI of 27 to 43, bariatric surgery plus intensive medical therapy was more effect…","author":[{"dropping-particle":"","family":"Schauer","given":"Philip R.","non-dropping-particle":"","parse-names":false,"suffix":""},{"dropping-particle":"","family":"Bhatt","given":"Deepak L.","non-dropping-particle":"","parse-names":false,"suffix":""},{"dropping-particle":"","family":"Kirwan","given":"John P.","non-dropping-particle":"","parse-names":false,"suffix":""},{"dropping-particle":"","family":"Wolski","given":"Kathy","non-dropping-particle":"","parse-names":false,"suffix":""},{"dropping-particle":"","family":"Aminian","given":"Ali","non-dropping-particle":"","parse-names":false,"suffix":""},{"dropping-particle":"","family":"Brethauer","given":"Stacy A.","non-dropping-particle":"","parse-names":false,"suffix":""},{"dropping-particle":"","family":"Navaneethan","given":"Sankar D.","non-dropping-particle":"","parse-names":false,"suffix":""},{"dropping-particle":"","family":"Singh","given":"Rishi P.","non-dropping-particle":"","parse-names":false,"suffix":""},{"dropping-particle":"","family":"Pothier","given":"Claire E.","non-dropping-particle":"","parse-names":false,"suffix":""},{"dropping-particle":"","family":"Nissen","given":"Steven E.","non-dropping-particle":"","parse-names":false,"suffix":""},{"dropping-particle":"","family":"Kashyap","given":"Sangeeta R.","non-dropping-particle":"","parse-names":false,"suffix":""}],"container-title":"New England Journal of Medicine","id":"ITEM-2","issue":"7","issued":{"date-parts":[["2017","2","16"]]},"page":"641-651","publisher":"Massachussetts Medical Society","title":"Bariatric Surgery versus Intensive Medical Therapy for Diabetes — 5-Year Outcomes","type":"article-journal","volume":"376"},"uris":["http://www.mendeley.com/documents/?uuid=8f024d59-d750-3ce3-b10f-14350bee21e0"]},{"id":"ITEM-3","itemData":{"DOI":"10.1001/jama.2018.14619","ISSN":"15383598","PMID":"30326126","abstract":"Importance: Macrovascular disease is a leading cause of morbidity and mortality for patients with type 2 diabetes, and medical management, including lifestyle changes, may not be successful at lowering risk. Objective: To investigate the relationship between bariatric surgery and incident macrovascular (coronary artery disease and cerebrovascular diseases) events in patients with severe obesity and type 2 diabetes. Design, Setting, and Participants: In this retrospective, matched cohort study, patients with severe obesity (body mass index ≥35) aged 19 to 79 years with diabetes who underwent bariatric surgery from 2005 to 2011 in 4 integrated health systems in the United States (n = 5301) were matched to 14934 control patients on site, age, sex, body mass index, hemoglobin A1c, insulin use, observed diabetes duration, and prior health care utilization, with follow-up through September 2015. Exposures: Bariatric procedures (76% Roux-en-Y gastric bypass, 17% sleeve gastrectomy, and 7% adjustable gastric banding) were compared with usual care for diabetes. Main Outcomes and Measures: Multivariable-adjusted Cox regression analysis investigated time to incident macrovascular disease (defined as first occurrence of coronary artery disease [acute myocardial infarction, unstable angina, percutaneous coronary intervention, or coronary artery bypass grafting] or cerebrovascular events [ischemic stroke, hemorrhagic stroke, carotid stenting, or carotid endarterectomy]). Secondary outcomes included coronary artery disease and cerebrovascular outcomes separately. Results: Among a combined 20235 surgical and nonsurgical patients, the mean (SD) age was 50 (10) years; 76% of the surgical and 75% of the nonsurgical patients were female; and the baseline mean (SD) body mass index was 44.7 (6.9) and 43.8 (6.7) in the surgical and nonsurgical groups, respectively. At the end of the study period, there were 106 macrovascular events in surgical patients (including 37 cerebrovascular and 78 coronary artery events over a median of 4.7 years; interquartile range, 3.2-6.2 years) and 596 events in the matched control patients (including 227 cerebrovascular and 398 coronary artery events over a median of 4.6 years; interquartile range, 3.1-6.1 years). Bariatric surgery was associated with a lower composite incidence of macrovascular events at 5 years (2.1% in the surgical group vs 4.3% in the nonsurgical group; hazard ratio, 0.60 [95% CI, 0.42-0.86]), as well as a lower incidence of…","author":[{"dropping-particle":"","family":"Fisher","given":"David P.","non-dropping-particle":"","parse-names":false,"suffix":""},{"dropping-particle":"","family":"Johnson","given":"Eric","non-dropping-particle":"","parse-names":false,"suffix":""},{"dropping-particle":"","family":"Haneuse","given":"Sebastien","non-dropping-particle":"","parse-names":false,"suffix":""},{"dropping-particle":"","family":"Arterburn","given":"David","non-dropping-particle":"","parse-names":false,"suffix":""},{"dropping-particle":"","family":"Coleman","given":"Karen J.","non-dropping-particle":"","parse-names":false,"suffix":""},{"dropping-particle":"","family":"O'Connor","given":"Patrick J.","non-dropping-particle":"","parse-names":false,"suffix":""},{"dropping-particle":"","family":"O'Brien","given":"Rebecca","non-dropping-particle":"","parse-names":false,"suffix":""},{"dropping-particle":"","family":"Bogart","given":"Andy","non-dropping-particle":"","parse-names":false,"suffix":""},{"dropping-particle":"","family":"Theis","given":"Mary Kay","non-dropping-particle":"","parse-names":false,"suffix":""},{"dropping-particle":"","family":"Anau","given":"Jane","non-dropping-particle":"","parse-names":false,"suffix":""},{"dropping-particle":"","family":"Schroeder","given":"Emily B.","non-dropping-particle":"","parse-names":false,"suffix":""},{"dropping-particle":"","family":"Sidney","given":"Stephen","non-dropping-particle":"","parse-names":false,"suffix":""}],"container-title":"JAMA - Journal of the American Medical Association","id":"ITEM-3","issue":"15","issued":{"date-parts":[["2018","10","16"]]},"page":"1570-1582","publisher":"American Medical Association","title":"Association between Bariatric Surgery and Macrovascular Disease Outcomes in Patients with Type 2 Diabetes and Severe Obesity","type":"article-journal","volume":"320"},"uris":["http://www.mendeley.com/documents/?uuid=8c277f9a-387c-3891-98e7-2f92c9bfed81"]}],"mendeley":{"formattedCitation":"(160–162)","plainTextFormattedCitation":"(160–162)","previouslyFormattedCitation":"(160–162)"},"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(160–162)</w:t>
      </w:r>
      <w:r w:rsidR="000F3AD7" w:rsidRPr="004661E9">
        <w:rPr>
          <w:rFonts w:ascii="Arial" w:hAnsi="Arial" w:cs="Arial"/>
        </w:rPr>
        <w:fldChar w:fldCharType="end"/>
      </w:r>
      <w:r w:rsidR="00464ECD" w:rsidRPr="004661E9">
        <w:rPr>
          <w:rFonts w:ascii="Arial" w:hAnsi="Arial" w:cs="Arial"/>
        </w:rPr>
        <w:t>.</w:t>
      </w:r>
      <w:r w:rsidR="00D151D6" w:rsidRPr="004661E9">
        <w:rPr>
          <w:rFonts w:ascii="Arial" w:hAnsi="Arial" w:cs="Arial"/>
        </w:rPr>
        <w:t xml:space="preserve"> </w:t>
      </w:r>
      <w:r w:rsidR="001E2B37" w:rsidRPr="004661E9">
        <w:rPr>
          <w:rFonts w:ascii="Arial" w:hAnsi="Arial" w:cs="Arial"/>
        </w:rPr>
        <w:t>The i</w:t>
      </w:r>
      <w:r w:rsidR="00D151D6" w:rsidRPr="004661E9">
        <w:rPr>
          <w:rFonts w:ascii="Arial" w:hAnsi="Arial" w:cs="Arial"/>
        </w:rPr>
        <w:t>mpact of metabolic surgeries on incident HF risk ha</w:t>
      </w:r>
      <w:r w:rsidR="00D129E6" w:rsidRPr="004661E9">
        <w:rPr>
          <w:rFonts w:ascii="Arial" w:hAnsi="Arial" w:cs="Arial"/>
        </w:rPr>
        <w:t>s</w:t>
      </w:r>
      <w:r w:rsidR="00D151D6" w:rsidRPr="004661E9">
        <w:rPr>
          <w:rFonts w:ascii="Arial" w:hAnsi="Arial" w:cs="Arial"/>
        </w:rPr>
        <w:t xml:space="preserve"> not </w:t>
      </w:r>
      <w:r w:rsidR="00543EDD" w:rsidRPr="004661E9">
        <w:rPr>
          <w:rFonts w:ascii="Arial" w:hAnsi="Arial" w:cs="Arial"/>
        </w:rPr>
        <w:t>yet been evaluated in large-scale RCTs</w:t>
      </w:r>
      <w:r w:rsidR="00D151D6" w:rsidRPr="004661E9">
        <w:rPr>
          <w:rFonts w:ascii="Arial" w:hAnsi="Arial" w:cs="Arial"/>
        </w:rPr>
        <w:t>. In a large</w:t>
      </w:r>
      <w:r w:rsidR="00A53D77" w:rsidRPr="004661E9">
        <w:rPr>
          <w:rFonts w:ascii="Arial" w:hAnsi="Arial" w:cs="Arial"/>
        </w:rPr>
        <w:t xml:space="preserve"> nationwide</w:t>
      </w:r>
      <w:r w:rsidR="00D151D6" w:rsidRPr="004661E9">
        <w:rPr>
          <w:rFonts w:ascii="Arial" w:hAnsi="Arial" w:cs="Arial"/>
        </w:rPr>
        <w:t xml:space="preserve"> </w:t>
      </w:r>
      <w:r w:rsidR="00A53D77" w:rsidRPr="004661E9">
        <w:rPr>
          <w:rFonts w:ascii="Arial" w:hAnsi="Arial" w:cs="Arial"/>
        </w:rPr>
        <w:t xml:space="preserve">prospective </w:t>
      </w:r>
      <w:r w:rsidR="00D151D6" w:rsidRPr="004661E9">
        <w:rPr>
          <w:rFonts w:ascii="Arial" w:hAnsi="Arial" w:cs="Arial"/>
        </w:rPr>
        <w:t>observation</w:t>
      </w:r>
      <w:r w:rsidR="00A53D77" w:rsidRPr="004661E9">
        <w:rPr>
          <w:rFonts w:ascii="Arial" w:hAnsi="Arial" w:cs="Arial"/>
        </w:rPr>
        <w:t>al</w:t>
      </w:r>
      <w:r w:rsidR="00D151D6" w:rsidRPr="004661E9">
        <w:rPr>
          <w:rFonts w:ascii="Arial" w:hAnsi="Arial" w:cs="Arial"/>
        </w:rPr>
        <w:t xml:space="preserve"> study of obese individuals without </w:t>
      </w:r>
      <w:r w:rsidR="00D129E6" w:rsidRPr="004661E9">
        <w:rPr>
          <w:rFonts w:ascii="Arial" w:hAnsi="Arial" w:cs="Arial"/>
        </w:rPr>
        <w:t xml:space="preserve">a </w:t>
      </w:r>
      <w:r w:rsidR="00D151D6" w:rsidRPr="004661E9">
        <w:rPr>
          <w:rFonts w:ascii="Arial" w:hAnsi="Arial" w:cs="Arial"/>
        </w:rPr>
        <w:t xml:space="preserve">known history of HF, </w:t>
      </w:r>
      <w:r w:rsidR="00A53D77" w:rsidRPr="004661E9">
        <w:rPr>
          <w:rFonts w:ascii="Arial" w:hAnsi="Arial" w:cs="Arial"/>
        </w:rPr>
        <w:t xml:space="preserve">metabolic surgery was associated with </w:t>
      </w:r>
      <w:r w:rsidR="00D129E6" w:rsidRPr="004661E9">
        <w:rPr>
          <w:rFonts w:ascii="Arial" w:hAnsi="Arial" w:cs="Arial"/>
        </w:rPr>
        <w:t xml:space="preserve">a </w:t>
      </w:r>
      <w:r w:rsidR="00A53D77" w:rsidRPr="004661E9">
        <w:rPr>
          <w:rFonts w:ascii="Arial" w:hAnsi="Arial" w:cs="Arial"/>
        </w:rPr>
        <w:t xml:space="preserve">&gt;50% reduction in the risk of incident </w:t>
      </w:r>
      <w:r w:rsidR="006C258B" w:rsidRPr="004661E9">
        <w:rPr>
          <w:rFonts w:ascii="Arial" w:hAnsi="Arial" w:cs="Arial"/>
        </w:rPr>
        <w:t>HF</w:t>
      </w:r>
      <w:r w:rsidR="00464ECD"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{"citationItems":[{"id":"ITEM-1","itemData":{"DOI":"10.1161/CIRCULATIONAHA.116.025629","ISSN":"0009-7322","PMID":"28258170","abstract":"Background -Associations of obesity with incidence of heart failure have been observed, but the causality is uncertain. We hypothesized that gastric bypass surgery leads to lower incidence of heart failure compared to intensive lifestyle modification in obese people. Methods -We included obese people without previous heart failure from a Swedish nationwide registry of people treated with a structured intensive lifestyle program, and the Scandinavian Obesity Surgery Registry. All analyses used inverse probability weights, based on baseline body-mass index and a propensity score estimated using baseline variables. Treatment groups were well balanced regarding weight, body mass index and most potential confounders. Associations of treatment with heart failure incidence, as defined in the National Patient Register, were analyzed using Cox regression. Results -The 25,804 gastric bypass surgery patients had on average lost 18.8 kg more weight after 1 year, and 22.6 kg more after 2 years, than the 13,701 lifestyle modification patients. During a median of 4.1 years, surgery patients had lower heart failure incidence than lifestyle modification patients (hazard ratio 0.54, 95% CI 0.36-0.82). A 10 kg achieved weight loss after 1 year was related to a hazard ratio for heart failure of 0.77, 95% confidence interval 0.60 to 0.97, in both treatment groups combined. Results were robust in sensitivity analyses. Conclusions -Gastric bypass surgery was associated with approximately one half the incidence of heart failure compared with intensive lifestyle modification in this study of two large nationwide registries. We also observed a graded association between increasing weight loss and decreasing risk of heart failure.","author":[{"dropping-particle":"","family":"Sundström","given":"Johan","non-dropping-particle":"","parse-names":false,"suffix":""},{"dropping-particle":"","family":"Bruze","given":"Gustaf","non-dropping-particle":"","parse-names":false,"suffix":""},{"dropping-particle":"","family":"Ottosson","given":"Johan","non-dropping-particle":"","parse-names":false,"suffix":""},{"dropping-particle":"","family":"Marcus","given":"Claude","non-dropping-particle":"","parse-names":false,"suffix":""},{"dropping-particle":"","family":"Näslund","given":"Ingmar","non-dropping-particle":"","parse-names":false,"suffix":""},{"dropping-particle":"","family":"Neovius","given":"Martin","non-dropping-particle":"","parse-names":false,"suffix":""}],"container-title":"Circulation","id":"ITEM-1","issue":"17","issued":{"date-parts":[["2017","4","25"]]},"page":"1577-1585","publisher":"Lippincott Williams and Wilkins","title":"Weight Loss and Heart FailureClinical Perspective","type":"article-journal","volume":"135"},"uris":["http://www.mendeley.com/documents/?uuid=68dcfdbc-72bd-32af-8d1c-a84ba127d513"]}],"mendeley":{"formattedCitation":"(163)","plainTextFormattedCitation":"(163)","previouslyFormattedCitation":"(163)"},"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(163)</w:t>
      </w:r>
      <w:r w:rsidR="000F3AD7" w:rsidRPr="004661E9">
        <w:rPr>
          <w:rFonts w:ascii="Arial" w:hAnsi="Arial" w:cs="Arial"/>
        </w:rPr>
        <w:fldChar w:fldCharType="end"/>
      </w:r>
      <w:r w:rsidR="00464ECD" w:rsidRPr="004661E9">
        <w:rPr>
          <w:rFonts w:ascii="Arial" w:hAnsi="Arial" w:cs="Arial"/>
        </w:rPr>
        <w:t>.</w:t>
      </w:r>
      <w:r w:rsidR="00A53D77" w:rsidRPr="004661E9">
        <w:rPr>
          <w:rFonts w:ascii="Arial" w:hAnsi="Arial" w:cs="Arial"/>
        </w:rPr>
        <w:t xml:space="preserve"> Another retrospective cohort study from the Cleveland Clinic Health System in the U</w:t>
      </w:r>
      <w:r w:rsidR="00923838" w:rsidRPr="004661E9">
        <w:rPr>
          <w:rFonts w:ascii="Arial" w:hAnsi="Arial" w:cs="Arial"/>
        </w:rPr>
        <w:t>.</w:t>
      </w:r>
      <w:r w:rsidR="00A53D77" w:rsidRPr="004661E9">
        <w:rPr>
          <w:rFonts w:ascii="Arial" w:hAnsi="Arial" w:cs="Arial"/>
        </w:rPr>
        <w:t>S</w:t>
      </w:r>
      <w:r w:rsidR="00923838" w:rsidRPr="004661E9">
        <w:rPr>
          <w:rFonts w:ascii="Arial" w:hAnsi="Arial" w:cs="Arial"/>
        </w:rPr>
        <w:t>.</w:t>
      </w:r>
      <w:r w:rsidR="00AD09F8" w:rsidRPr="004661E9">
        <w:rPr>
          <w:rFonts w:ascii="Arial" w:hAnsi="Arial" w:cs="Arial"/>
        </w:rPr>
        <w:t xml:space="preserve"> demonstrated that metabolic surgery among patients with T2DM and obesity was associated with approximately 40% relative reduction of</w:t>
      </w:r>
      <w:r w:rsidR="00923838" w:rsidRPr="004661E9">
        <w:rPr>
          <w:rFonts w:ascii="Arial" w:hAnsi="Arial" w:cs="Arial"/>
        </w:rPr>
        <w:t xml:space="preserve"> major adverse CV event</w:t>
      </w:r>
      <w:r w:rsidR="00AD09F8" w:rsidRPr="004661E9">
        <w:rPr>
          <w:rFonts w:ascii="Arial" w:hAnsi="Arial" w:cs="Arial"/>
        </w:rPr>
        <w:t xml:space="preserve"> risk and more than 60% relative reduction of incident HF risk over a median follow-up of 3.9 years</w:t>
      </w:r>
      <w:r w:rsidR="00464ECD"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{"citationItems":[{"id":"ITEM-1","itemData":{"DOI":"10.1001/jama.2019.14231","ISSN":"15383598","PMID":"31475297","abstract":"Importance: Although metabolic surgery (defined as procedures that influence metabolism by inducing weight loss and altering gastrointestinal physiology) significantly improves cardiometabolic risk factors, the effect on cardiovascular outcomes has been less well characterized. Objective: To investigate the relationship between metabolic surgery and incident major adverse cardiovascular events (MACE) in patients with type 2 diabetes and obesity. Design, Setting, and Participants: Of 287438 adult patients with diabetes in the Cleveland Clinic Health System in the United States between 1998 and 2017, 2287 patients underwent metabolic surgery. In this retrospective cohort study, these patients were matched 1:5 to nonsurgical patients with diabetes and obesity (body mass index [BMI] ≥30), resulting in 11435 control patients, with follow-up through December 2018. Exposures: Metabolic gastrointestinal surgical procedures vs usual care for type 2 diabetes and obesity. Main Outcomes and Measures: The primary outcome was the incidence of extended MACE (composite of 6 outcomes), defined as first occurrence of all-cause mortality, coronary artery events, cerebrovascular events, heart failure, nephropathy, and atrial fibrillation. Secondary end points included 3-component MACE (myocardial infarction, ischemic stroke, and mortality) and the 6 individual components of the primary end point. Results: Among the 13722 study participants, the distribution of baseline covariates was balanced between the surgical group and the nonsurgical group, including female sex (65.5% vs 64.2%), median age (52.5 vs 54.8 years), BMI (45.1 vs 42.6), and glycated hemoglobin level (7.1% vs 7.1%). The overall median follow-up duration was 3.9 years (interquartile range, 1.9-6.1 years). At the end of the study period, 385 patients in the surgical group and 3243 patients in the nonsurgical group experienced a primary end point (cumulative incidence at 8-years, 30.8% [95% CI, 27.6%-34.0%] in the surgical group and 47.7% [95% CI, 46.1%-49.2%] in the nonsurgical group [P &lt;.001]; absolute 8-year risk difference [ARD], 16.9% [95% CI, 13.1%-20.4%]; adjusted hazard ratio [HR], 0.61 [95% CI, 0.55-0.69]). All 7 prespecified secondary outcomes showed statistically significant differences in favor of metabolic surgery, including mortality. All-cause mortality occurred in 112 patients in the metabolic surgery group and 1111 patients in the nonsurgical group (cumulative incidence at 8 years, 10.0% [95% C…","author":[{"dropping-particle":"","family":"Aminian","given":"Ali","non-dropping-particle":"","parse-names":false,"suffix":""},{"dropping-particle":"","family":"Zajichek","given":"Alexander","non-dropping-particle":"","parse-names":false,"suffix":""},{"dropping-particle":"","family":"Arterburn","given":"David E.","non-dropping-particle":"","parse-names":false,"suffix":""},{"dropping-particle":"","family":"Wolski","given":"Kathy E.","non-dropping-particle":"","parse-names":false,"suffix":""},{"dropping-particle":"","family":"Brethauer","given":"Stacy A.","non-dropping-particle":"","parse-names":false,"suffix":""},{"dropping-particle":"","family":"Schauer","given":"Philip R.","non-dropping-particle":"","parse-names":false,"suffix":""},{"dropping-particle":"","family":"Kattan","given":"Michael W.","non-dropping-particle":"","parse-names":false,"suffix":""},{"dropping-particle":"","family":"Nissen","given":"Steven E.","non-dropping-particle":"","parse-names":false,"suffix":""}],"container-title":"JAMA - Journal of the American Medical Association","id":"ITEM-1","issue":"13","issued":{"date-parts":[["2019"]]},"page":"1271-1282","title":"Association of Metabolic Surgery with Major Adverse Cardiovascular Outcomes in Patients with Type 2 Diabetes and Obesity","type":"article-journal","volume":"322"},"uris":["http://www.mendeley.com/documents/?uuid=efb1f1e8-b92e-49ed-9760-4d2998f56aab"]}],"mendeley":{"formattedCitation":"(164)","plainTextFormattedCitation":"(164)","previouslyFormattedCitation":"(164)"},"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(164)</w:t>
      </w:r>
      <w:r w:rsidR="000F3AD7" w:rsidRPr="004661E9">
        <w:rPr>
          <w:rFonts w:ascii="Arial" w:hAnsi="Arial" w:cs="Arial"/>
        </w:rPr>
        <w:fldChar w:fldCharType="end"/>
      </w:r>
      <w:r w:rsidR="00464ECD" w:rsidRPr="004661E9">
        <w:rPr>
          <w:rFonts w:ascii="Arial" w:hAnsi="Arial" w:cs="Arial"/>
        </w:rPr>
        <w:t>.</w:t>
      </w:r>
    </w:p>
    <w:p w14:paraId="701166D3" w14:textId="166BC8D7" w:rsidR="00175133" w:rsidRPr="004661E9" w:rsidRDefault="00175133" w:rsidP="004661E9">
      <w:pPr>
        <w:spacing w:after="0" w:line="276" w:lineRule="auto"/>
        <w:rPr>
          <w:rFonts w:ascii="Arial" w:hAnsi="Arial" w:cs="Arial"/>
        </w:rPr>
      </w:pPr>
    </w:p>
    <w:p w14:paraId="66A2964D" w14:textId="5B7FC81E" w:rsidR="004943F1" w:rsidRPr="004661E9" w:rsidRDefault="00D14A9A" w:rsidP="004661E9">
      <w:pPr>
        <w:spacing w:after="0" w:line="276" w:lineRule="auto"/>
        <w:rPr>
          <w:rFonts w:ascii="Arial" w:hAnsi="Arial" w:cs="Arial"/>
          <w:b/>
          <w:bCs/>
          <w:color w:val="00B050"/>
        </w:rPr>
      </w:pPr>
      <w:r w:rsidRPr="004661E9">
        <w:rPr>
          <w:rFonts w:ascii="Arial" w:hAnsi="Arial" w:cs="Arial"/>
          <w:b/>
          <w:bCs/>
          <w:color w:val="00B050"/>
        </w:rPr>
        <w:t xml:space="preserve">Impact of </w:t>
      </w:r>
      <w:r w:rsidR="00FE2166">
        <w:rPr>
          <w:rFonts w:ascii="Arial" w:hAnsi="Arial" w:cs="Arial"/>
          <w:b/>
          <w:bCs/>
          <w:color w:val="00B050"/>
        </w:rPr>
        <w:t>G</w:t>
      </w:r>
      <w:r w:rsidRPr="004661E9">
        <w:rPr>
          <w:rFonts w:ascii="Arial" w:hAnsi="Arial" w:cs="Arial"/>
          <w:b/>
          <w:bCs/>
          <w:color w:val="00B050"/>
        </w:rPr>
        <w:t xml:space="preserve">lycemic </w:t>
      </w:r>
      <w:r w:rsidR="00FE2166">
        <w:rPr>
          <w:rFonts w:ascii="Arial" w:hAnsi="Arial" w:cs="Arial"/>
          <w:b/>
          <w:bCs/>
          <w:color w:val="00B050"/>
        </w:rPr>
        <w:t>C</w:t>
      </w:r>
      <w:r w:rsidRPr="004661E9">
        <w:rPr>
          <w:rFonts w:ascii="Arial" w:hAnsi="Arial" w:cs="Arial"/>
          <w:b/>
          <w:bCs/>
          <w:color w:val="00B050"/>
        </w:rPr>
        <w:t>ontrol</w:t>
      </w:r>
    </w:p>
    <w:p w14:paraId="1E472D17" w14:textId="77777777" w:rsidR="00464ECD" w:rsidRPr="004661E9" w:rsidRDefault="00464ECD" w:rsidP="004661E9">
      <w:pPr>
        <w:spacing w:after="0" w:line="276" w:lineRule="auto"/>
        <w:rPr>
          <w:rFonts w:ascii="Arial" w:hAnsi="Arial" w:cs="Arial"/>
        </w:rPr>
      </w:pPr>
    </w:p>
    <w:p w14:paraId="066CE650" w14:textId="422B5C05" w:rsidR="00450ADF" w:rsidRPr="004661E9" w:rsidRDefault="0064169C" w:rsidP="004661E9">
      <w:pPr>
        <w:spacing w:after="0" w:line="276" w:lineRule="auto"/>
        <w:rPr>
          <w:rFonts w:ascii="Arial" w:hAnsi="Arial" w:cs="Arial"/>
        </w:rPr>
      </w:pPr>
      <w:r w:rsidRPr="004661E9">
        <w:rPr>
          <w:rFonts w:ascii="Arial" w:hAnsi="Arial" w:cs="Arial"/>
        </w:rPr>
        <w:t xml:space="preserve">In patients with T1DM and T2DM, intensive glycemic control </w:t>
      </w:r>
      <w:r w:rsidR="008907A7" w:rsidRPr="004661E9">
        <w:rPr>
          <w:rFonts w:ascii="Arial" w:hAnsi="Arial" w:cs="Arial"/>
        </w:rPr>
        <w:t>significantly reduces</w:t>
      </w:r>
      <w:r w:rsidRPr="004661E9">
        <w:rPr>
          <w:rFonts w:ascii="Arial" w:hAnsi="Arial" w:cs="Arial"/>
        </w:rPr>
        <w:t xml:space="preserve"> the risk and severity of </w:t>
      </w:r>
      <w:r w:rsidR="00154D2A" w:rsidRPr="004661E9">
        <w:rPr>
          <w:rFonts w:ascii="Arial" w:hAnsi="Arial" w:cs="Arial"/>
        </w:rPr>
        <w:t>microvascular</w:t>
      </w:r>
      <w:r w:rsidRPr="004661E9">
        <w:rPr>
          <w:rFonts w:ascii="Arial" w:hAnsi="Arial" w:cs="Arial"/>
        </w:rPr>
        <w:t xml:space="preserve"> complications</w:t>
      </w:r>
      <w:r w:rsidR="00A80DC6" w:rsidRPr="004661E9">
        <w:rPr>
          <w:rFonts w:ascii="Arial" w:hAnsi="Arial" w:cs="Arial"/>
        </w:rPr>
        <w:t xml:space="preserve"> </w:t>
      </w:r>
      <w:r w:rsidR="000F3AD7" w:rsidRPr="004661E9">
        <w:rPr>
          <w:rFonts w:ascii="Arial" w:hAnsi="Arial" w:cs="Arial"/>
        </w:rPr>
        <w:fldChar w:fldCharType="begin" w:fldLock="1"/>
      </w:r>
      <w:r w:rsidR="000962ED" w:rsidRPr="004661E9">
        <w:rPr>
          <w:rFonts w:ascii="Arial" w:hAnsi="Arial" w:cs="Arial"/>
        </w:rPr>
        <w:instrText>ADDIN CSL_CITATION {"citationItems":[{"id":"ITEM-1","itemData":{"DOI":"10.1016/j.cpcardiol.2017.05.001","ISSN":"15356280","abstract":"Diabetes mellitus (DM) has become a public health problem worldwide, and it has large implications for cardiovascular disease (CVD). In this article, we discuss the etiology and pathophysiology of CVD in DM including the effects of abnormal glucose homeostasis, genetic factors, epigenetics, apoptosis, common pathophysiological mechanisms shared by both DM and CVD, and contributions of other comorbidities. We then cover the pathogenesis of both atherosclerotic disease and cardiomyopathy in relation to DM. Finally, we discuss the prevention of heart disease in DM with a focus on hypertension and dyslipidemia management, weight loss, lifestyle changes, antiplatelet therapy, and glycemic control.","author":[{"dropping-particle":"","family":"Oktay","given":"Ahmet Afşin","non-dropping-particle":"","parse-names":false,"suffix":""},{"dropping-particle":"","family":"Akturk","given":"Halis Kaan","non-dropping-particle":"","parse-names":false,"suffix":""},{"dropping-particle":"","family":"Esenboğa","given":"Kerim","non-dropping-particle":"","parse-names":false,"suffix":""},{"dropping-particle":"","family":"Javed","given":"Fahad","non-dropping-particle":"","parse-names":false,"suffix":""},{"dropping-particle":"","family":"Polin","given":"Nichole M.","non-dropping-particle":"","parse-names":false,"suffix":""},{"dropping-particle":"","family":"Jahangir","given":"Eiman","non-dropping-particle":"","parse-names":false,"suffix":""}],"container-title":"Current Problems in Cardiology","id":"ITEM-1","issue":"3","issued":{"date-parts":[["2018","3","1"]]},"page":"68-110","publisher":"Mosby Inc.","title":"Pathophysiology and Prevention of Heart Disease in Diabetes Mellitus","type":"article-journal","volume":"43"},"uris":["http://www.mendeley.com/documents/?uuid=ec026bfc-04b9-3538-8098-b7eb6404bbe2"]}],"mendeley":{"formattedCitation":"(34)","plainTextFormattedCitation":"(34)","previouslyFormattedCitation":"(34)"},"properties":{"noteIndex":0},"schema":"https://github.com/citation-style-language/schema/raw/master/csl-citation.json"}</w:instrText>
      </w:r>
      <w:r w:rsidR="000F3AD7" w:rsidRPr="004661E9">
        <w:rPr>
          <w:rFonts w:ascii="Arial" w:hAnsi="Arial" w:cs="Arial"/>
        </w:rPr>
        <w:fldChar w:fldCharType="separate"/>
      </w:r>
      <w:r w:rsidR="000962ED" w:rsidRPr="004661E9">
        <w:rPr>
          <w:rFonts w:ascii="Arial" w:hAnsi="Arial" w:cs="Arial"/>
          <w:noProof/>
        </w:rPr>
        <w:t>(34)</w:t>
      </w:r>
      <w:r w:rsidR="000F3AD7" w:rsidRPr="004661E9">
        <w:rPr>
          <w:rFonts w:ascii="Arial" w:hAnsi="Arial" w:cs="Arial"/>
        </w:rPr>
        <w:fldChar w:fldCharType="end"/>
      </w:r>
      <w:r w:rsidR="00A80DC6" w:rsidRPr="004661E9">
        <w:rPr>
          <w:rFonts w:ascii="Arial" w:hAnsi="Arial" w:cs="Arial"/>
        </w:rPr>
        <w:t>.</w:t>
      </w:r>
      <w:r w:rsidR="00154D2A" w:rsidRPr="004661E9">
        <w:rPr>
          <w:rFonts w:ascii="Arial" w:hAnsi="Arial" w:cs="Arial"/>
        </w:rPr>
        <w:t xml:space="preserve"> However, </w:t>
      </w:r>
      <w:bookmarkStart w:id="20" w:name="_Hlk43804602"/>
      <w:r w:rsidR="00154D2A" w:rsidRPr="004661E9">
        <w:rPr>
          <w:rFonts w:ascii="Arial" w:hAnsi="Arial" w:cs="Arial"/>
        </w:rPr>
        <w:t>despite the s</w:t>
      </w:r>
      <w:r w:rsidR="00543EDD" w:rsidRPr="004661E9">
        <w:rPr>
          <w:rFonts w:ascii="Arial" w:hAnsi="Arial" w:cs="Arial"/>
        </w:rPr>
        <w:t>olid</w:t>
      </w:r>
      <w:r w:rsidR="00154D2A" w:rsidRPr="004661E9">
        <w:rPr>
          <w:rFonts w:ascii="Arial" w:hAnsi="Arial" w:cs="Arial"/>
        </w:rPr>
        <w:t xml:space="preserve"> epidemiologic link between </w:t>
      </w:r>
      <w:r w:rsidR="005511DB" w:rsidRPr="004661E9">
        <w:rPr>
          <w:rFonts w:ascii="Arial" w:hAnsi="Arial" w:cs="Arial"/>
        </w:rPr>
        <w:t>poor glycemic control</w:t>
      </w:r>
      <w:r w:rsidR="00154D2A" w:rsidRPr="004661E9">
        <w:rPr>
          <w:rFonts w:ascii="Arial" w:hAnsi="Arial" w:cs="Arial"/>
        </w:rPr>
        <w:t xml:space="preserve"> and HF risk, the effects of intensified glycemic control in preventi</w:t>
      </w:r>
      <w:r w:rsidR="00543EDD" w:rsidRPr="004661E9">
        <w:rPr>
          <w:rFonts w:ascii="Arial" w:hAnsi="Arial" w:cs="Arial"/>
        </w:rPr>
        <w:t>ng</w:t>
      </w:r>
      <w:r w:rsidR="00154D2A" w:rsidRPr="004661E9">
        <w:rPr>
          <w:rFonts w:ascii="Arial" w:hAnsi="Arial" w:cs="Arial"/>
        </w:rPr>
        <w:t xml:space="preserve"> HF remain controversial.</w:t>
      </w:r>
      <w:bookmarkEnd w:id="20"/>
      <w:r w:rsidR="00154D2A" w:rsidRPr="004661E9">
        <w:rPr>
          <w:rFonts w:ascii="Arial" w:hAnsi="Arial" w:cs="Arial"/>
        </w:rPr>
        <w:t xml:space="preserve"> </w:t>
      </w:r>
      <w:r w:rsidR="00543EDD" w:rsidRPr="004661E9">
        <w:rPr>
          <w:rFonts w:ascii="Arial" w:hAnsi="Arial" w:cs="Arial"/>
        </w:rPr>
        <w:t>Early</w:t>
      </w:r>
      <w:r w:rsidR="00A4774F" w:rsidRPr="004661E9">
        <w:rPr>
          <w:rFonts w:ascii="Arial" w:hAnsi="Arial" w:cs="Arial"/>
        </w:rPr>
        <w:t xml:space="preserve"> </w:t>
      </w:r>
      <w:r w:rsidR="004B7578" w:rsidRPr="004661E9">
        <w:rPr>
          <w:rFonts w:ascii="Arial" w:hAnsi="Arial" w:cs="Arial"/>
        </w:rPr>
        <w:t xml:space="preserve">clinical trials </w:t>
      </w:r>
      <w:r w:rsidR="00D129E6" w:rsidRPr="004661E9">
        <w:rPr>
          <w:rFonts w:ascii="Arial" w:hAnsi="Arial" w:cs="Arial"/>
        </w:rPr>
        <w:t>that</w:t>
      </w:r>
      <w:r w:rsidR="004B7578" w:rsidRPr="004661E9">
        <w:rPr>
          <w:rFonts w:ascii="Arial" w:hAnsi="Arial" w:cs="Arial"/>
        </w:rPr>
        <w:t xml:space="preserve"> established the </w:t>
      </w:r>
      <w:r w:rsidR="00887F43" w:rsidRPr="004661E9">
        <w:rPr>
          <w:rFonts w:ascii="Arial" w:hAnsi="Arial" w:cs="Arial"/>
        </w:rPr>
        <w:t>CV</w:t>
      </w:r>
      <w:r w:rsidR="004B7578" w:rsidRPr="004661E9">
        <w:rPr>
          <w:rFonts w:ascii="Arial" w:hAnsi="Arial" w:cs="Arial"/>
        </w:rPr>
        <w:t xml:space="preserve"> benefits and risks of intensive glycemic control did not include HF as a primary endpoint. </w:t>
      </w:r>
      <w:r w:rsidR="00D129E6" w:rsidRPr="004661E9">
        <w:rPr>
          <w:rFonts w:ascii="Arial" w:hAnsi="Arial" w:cs="Arial"/>
        </w:rPr>
        <w:t>However,</w:t>
      </w:r>
      <w:r w:rsidR="004B7578" w:rsidRPr="004661E9">
        <w:rPr>
          <w:rFonts w:ascii="Arial" w:hAnsi="Arial" w:cs="Arial"/>
        </w:rPr>
        <w:t xml:space="preserve"> post hoc or secondary outcome analyses </w:t>
      </w:r>
      <w:r w:rsidR="00887F43" w:rsidRPr="004661E9">
        <w:rPr>
          <w:rFonts w:ascii="Arial" w:hAnsi="Arial" w:cs="Arial"/>
        </w:rPr>
        <w:t>of prospective trial</w:t>
      </w:r>
      <w:r w:rsidR="001E2B37" w:rsidRPr="004661E9">
        <w:rPr>
          <w:rFonts w:ascii="Arial" w:hAnsi="Arial" w:cs="Arial"/>
        </w:rPr>
        <w:t>s</w:t>
      </w:r>
      <w:r w:rsidR="00887F43" w:rsidRPr="004661E9">
        <w:rPr>
          <w:rFonts w:ascii="Arial" w:hAnsi="Arial" w:cs="Arial"/>
        </w:rPr>
        <w:t xml:space="preserve"> </w:t>
      </w:r>
      <w:r w:rsidR="004B7578" w:rsidRPr="004661E9">
        <w:rPr>
          <w:rFonts w:ascii="Arial" w:hAnsi="Arial" w:cs="Arial"/>
        </w:rPr>
        <w:t>have shed light on the relationship between glycemic control and HF prevention</w:t>
      </w:r>
      <w:r w:rsidR="00BA591D" w:rsidRPr="004661E9">
        <w:rPr>
          <w:rFonts w:ascii="Arial" w:hAnsi="Arial" w:cs="Arial"/>
        </w:rPr>
        <w:t xml:space="preserve">. </w:t>
      </w:r>
    </w:p>
    <w:p w14:paraId="2E0DE280" w14:textId="77777777" w:rsidR="00A80DC6" w:rsidRPr="004661E9" w:rsidRDefault="00A80DC6" w:rsidP="004661E9">
      <w:pPr>
        <w:spacing w:after="0" w:line="276" w:lineRule="auto"/>
        <w:rPr>
          <w:rFonts w:ascii="Arial" w:hAnsi="Arial" w:cs="Arial"/>
        </w:rPr>
      </w:pPr>
    </w:p>
    <w:p w14:paraId="3F089176" w14:textId="776E42D7" w:rsidR="00A80DC6" w:rsidRPr="004661E9" w:rsidRDefault="001A09A5" w:rsidP="004661E9">
      <w:pPr>
        <w:spacing w:after="0" w:line="276" w:lineRule="auto"/>
        <w:rPr>
          <w:rFonts w:ascii="Arial" w:hAnsi="Arial" w:cs="Arial"/>
        </w:rPr>
      </w:pPr>
      <w:r w:rsidRPr="004661E9">
        <w:rPr>
          <w:rFonts w:ascii="Arial" w:hAnsi="Arial" w:cs="Arial"/>
        </w:rPr>
        <w:t xml:space="preserve">In the UK </w:t>
      </w:r>
      <w:r w:rsidR="00BA591D" w:rsidRPr="004661E9">
        <w:rPr>
          <w:rFonts w:ascii="Arial" w:hAnsi="Arial" w:cs="Arial"/>
        </w:rPr>
        <w:t>P</w:t>
      </w:r>
      <w:r w:rsidRPr="004661E9">
        <w:rPr>
          <w:rFonts w:ascii="Arial" w:hAnsi="Arial" w:cs="Arial"/>
        </w:rPr>
        <w:t xml:space="preserve">rospective </w:t>
      </w:r>
      <w:r w:rsidR="00BA591D" w:rsidRPr="004661E9">
        <w:rPr>
          <w:rFonts w:ascii="Arial" w:hAnsi="Arial" w:cs="Arial"/>
        </w:rPr>
        <w:t>S</w:t>
      </w:r>
      <w:r w:rsidRPr="004661E9">
        <w:rPr>
          <w:rFonts w:ascii="Arial" w:hAnsi="Arial" w:cs="Arial"/>
        </w:rPr>
        <w:t xml:space="preserve">tudy of </w:t>
      </w:r>
      <w:r w:rsidR="00BA591D" w:rsidRPr="004661E9">
        <w:rPr>
          <w:rFonts w:ascii="Arial" w:hAnsi="Arial" w:cs="Arial"/>
        </w:rPr>
        <w:t>D</w:t>
      </w:r>
      <w:r w:rsidRPr="004661E9">
        <w:rPr>
          <w:rFonts w:ascii="Arial" w:hAnsi="Arial" w:cs="Arial"/>
        </w:rPr>
        <w:t xml:space="preserve">iabetes (UKPDS) published more than 20 years ago, intensive glycemic control with metformin, sulfonylureas, or insulin was compared to conventional therapy in </w:t>
      </w:r>
      <w:r w:rsidR="0055331D" w:rsidRPr="004661E9">
        <w:rPr>
          <w:rFonts w:ascii="Arial" w:hAnsi="Arial" w:cs="Arial"/>
        </w:rPr>
        <w:t>adults</w:t>
      </w:r>
      <w:r w:rsidRPr="004661E9">
        <w:rPr>
          <w:rFonts w:ascii="Arial" w:hAnsi="Arial" w:cs="Arial"/>
        </w:rPr>
        <w:t xml:space="preserve"> with</w:t>
      </w:r>
      <w:r w:rsidR="00D80D2D" w:rsidRPr="004661E9">
        <w:rPr>
          <w:rFonts w:ascii="Arial" w:hAnsi="Arial" w:cs="Arial"/>
        </w:rPr>
        <w:t xml:space="preserve"> recently diagnosed</w:t>
      </w:r>
      <w:r w:rsidRPr="004661E9">
        <w:rPr>
          <w:rFonts w:ascii="Arial" w:hAnsi="Arial" w:cs="Arial"/>
        </w:rPr>
        <w:t xml:space="preserve"> T2DM. A post</w:t>
      </w:r>
      <w:r w:rsidR="00D129E6" w:rsidRPr="004661E9">
        <w:rPr>
          <w:rFonts w:ascii="Arial" w:hAnsi="Arial" w:cs="Arial"/>
        </w:rPr>
        <w:t xml:space="preserve"> </w:t>
      </w:r>
      <w:r w:rsidRPr="004661E9">
        <w:rPr>
          <w:rFonts w:ascii="Arial" w:hAnsi="Arial" w:cs="Arial"/>
        </w:rPr>
        <w:t>hoc analysis of the main trial demonstrated that each 1% reduction in mean HbA1</w:t>
      </w:r>
      <w:r w:rsidR="00AD5969" w:rsidRPr="004661E9">
        <w:rPr>
          <w:rFonts w:ascii="Arial" w:hAnsi="Arial" w:cs="Arial"/>
        </w:rPr>
        <w:t>c</w:t>
      </w:r>
      <w:r w:rsidRPr="004661E9">
        <w:rPr>
          <w:rFonts w:ascii="Arial" w:hAnsi="Arial" w:cs="Arial"/>
        </w:rPr>
        <w:t xml:space="preserve"> was associated with a 16% decrease in incident HF</w:t>
      </w:r>
      <w:r w:rsidR="00A80DC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{"citationItems":[{"id":"ITEM-1","itemData":{"DOI":"10.1136/bmj.321.7258.405","ISSN":"09598146","PMID":"10938048","abstract":"Objective. To determine the relation between exposure to glycaemia over time and the risk of macrovascular or microvascular complications in patients with type 2 diabetes. Design. Prospective observational study Setting. 23 hospital based clinics in England, Scotland, and Northern Ireland. Participants. 4585 white, Asian Indian, and Afro-Caribbean UKPDS patients, whether randomised or not to treatment, were included in analyses of incidence; of these, 3642 were included in analyses of relative risk. Outcome measures. Primary predefined aggregate clinical outcomes: any end point or deaths related to diabetes and all cause mortality. Secondary aggregate outcomes: myocardial infarction, stroke, amputation (including death from peripheral vascular disease), and microvascular disease (predominantly retinal photo-coagulation). Since end points: non-fatal heart failure and cataract extraction. Risk reduction associated with a 1% reduction in updated mean HbA(1c) adjusted for possible confounders at diagnosis of diabetes. Results. The incidence of clinical complications was significantly associated with glycaemia. Each 1% reduction in updated mean HbA(1c) was associated with reductions in risk of 21% for any end point related to diabetes (95% confidence interval 17% to 24%, P &lt; 0.0001), 21%, for deaths related to diabetes (15% to 27%, P &lt; 0.0001), 14% for myocardial infarction (8%, to 21%, P &lt; 0.0001), and 37% for microvascular complications (33% to 41%, P &lt; 0.0001). No threshold of risk was observed for any end point. Conclusions. In patients with type 2 diabetes the risk of diabetic complications was strongly associated with previous hyperglycaemia. Any reduction in HbA(1c) is likely to reduce the risk of complications, with the lowest risk being in those with HbA(1c) values in the normal range (&lt; 6.0%).","author":[{"dropping-particle":"","family":"Stratton","given":"Irene M.","non-dropping-particle":"","parse-names":false,"suffix":""},{"dropping-particle":"","family":"Adler","given":"Amanda I.","non-dropping-particle":"","parse-names":false,"suffix":""},{"dropping-particle":"","family":"Neil","given":"H. Andrew W.","non-dropping-particle":"","parse-names":false,"suffix":""},{"dropping-particle":"","family":"Matthews","given":"David R.","non-dropping-particle":"","parse-names":false,"suffix":""},{"dropping-particle":"","family":"Manley","given":"Susan E.","non-dropping-particle":"","parse-names":false,"suffix":""},{"dropping-particle":"","family":"Cull","given":"Carole A.","non-dropping-particle":"","parse-names":false,"suffix":""},{"dropping-particle":"","family":"Hadden","given":"David","non-dropping-particle":"","parse-names":false,"suffix":""},{"dropping-particle":"","family":"Turner","given":"Robert C.","non-dropping-particle":"","parse-names":false,"suffix":""},{"dropping-particle":"","family":"Holman","given":"Rury R.","non-dropping-particle":"","parse-names":false,"suffix":""}],"container-title":"British Medical Journal","id":"ITEM-1","issue":"7258","issued":{"date-parts":[["2000","8","12"]]},"page":"405-412","publisher":"British Medical Journal Publishing Group","title":"Association of glycaemia with macrovascular and microvascular complications of type 2 diabetes (UKPDS 35): Prospective observational study","type":"article-journal","volume":"321"},"uris":["http://www.mendeley.com/documents/?uuid=016b6c79-9206-3c5d-86e7-3332b9316c8f"]}],"mendeley":{"formattedCitation":"(165)","plainTextFormattedCitation":"(165)","previouslyFormattedCitation":"(165)"},"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(165)</w:t>
      </w:r>
      <w:r w:rsidR="000F3AD7" w:rsidRPr="004661E9">
        <w:rPr>
          <w:rFonts w:ascii="Arial" w:hAnsi="Arial" w:cs="Arial"/>
        </w:rPr>
        <w:fldChar w:fldCharType="end"/>
      </w:r>
      <w:r w:rsidR="00A80DC6" w:rsidRPr="004661E9">
        <w:rPr>
          <w:rFonts w:ascii="Arial" w:hAnsi="Arial" w:cs="Arial"/>
        </w:rPr>
        <w:t>.</w:t>
      </w:r>
      <w:r w:rsidRPr="004661E9">
        <w:rPr>
          <w:rFonts w:ascii="Arial" w:hAnsi="Arial" w:cs="Arial"/>
        </w:rPr>
        <w:t xml:space="preserve"> </w:t>
      </w:r>
      <w:r w:rsidR="00D80D2D" w:rsidRPr="004661E9">
        <w:rPr>
          <w:rFonts w:ascii="Arial" w:hAnsi="Arial" w:cs="Arial"/>
        </w:rPr>
        <w:t xml:space="preserve">However, </w:t>
      </w:r>
      <w:r w:rsidR="00BA591D" w:rsidRPr="004661E9">
        <w:rPr>
          <w:rFonts w:ascii="Arial" w:hAnsi="Arial" w:cs="Arial"/>
        </w:rPr>
        <w:t xml:space="preserve">similar results were not replicated by </w:t>
      </w:r>
      <w:r w:rsidR="00D80D2D" w:rsidRPr="004661E9">
        <w:rPr>
          <w:rFonts w:ascii="Arial" w:hAnsi="Arial" w:cs="Arial"/>
        </w:rPr>
        <w:t>subsequent large</w:t>
      </w:r>
      <w:r w:rsidR="00543EDD" w:rsidRPr="004661E9">
        <w:rPr>
          <w:rFonts w:ascii="Arial" w:hAnsi="Arial" w:cs="Arial"/>
        </w:rPr>
        <w:t>-</w:t>
      </w:r>
      <w:r w:rsidR="00D80D2D" w:rsidRPr="004661E9">
        <w:rPr>
          <w:rFonts w:ascii="Arial" w:hAnsi="Arial" w:cs="Arial"/>
        </w:rPr>
        <w:t xml:space="preserve">scale </w:t>
      </w:r>
      <w:r w:rsidR="00AD5969" w:rsidRPr="004661E9">
        <w:rPr>
          <w:rFonts w:ascii="Arial" w:hAnsi="Arial" w:cs="Arial"/>
        </w:rPr>
        <w:t>RCTs</w:t>
      </w:r>
      <w:r w:rsidR="00D80D2D" w:rsidRPr="004661E9">
        <w:rPr>
          <w:rFonts w:ascii="Arial" w:hAnsi="Arial" w:cs="Arial"/>
        </w:rPr>
        <w:t xml:space="preserve"> </w:t>
      </w:r>
      <w:r w:rsidR="00AD7D72" w:rsidRPr="004661E9">
        <w:rPr>
          <w:rFonts w:ascii="Arial" w:hAnsi="Arial" w:cs="Arial"/>
        </w:rPr>
        <w:t>such as the ACCORD</w:t>
      </w:r>
      <w:r w:rsidR="00AB20B2">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{"citationItems":[{"id":"ITEM-1","itemData":{"DOI":"10.1056/NEJMoa0802743","ISSN":"15334406","PMID":"18539917","abstract":"Background Epidemiologic studies have shown a relationship between glycated hemoglobin levels and cardiovascular events in patients with type 2 diabetes. We investigated whether intensive therapy to target normal glycated hemoglobin levels would reduce cardiovascular events in patients with type 2 diabetes who had either established cardiovascular disease or additional cardiovascular risk factors. Methods In this randomized study, 10,250 patients (mean age, 60.2 years) with a median glycated hemoglobin level of 8.1% were assigned to receive intensive therapy (targeting a glycated hemoglobin level below 6.0%) or standard therapy (targeting a level from 7.0 to 7.9%). Of these patients, 37% were women, and 7% had had a previous cardiovascular event. The primary outcome was a composite of nonfatal myocardial infarction, nonfatal stroke, or death from cardiovascular causes. The finding of higher mortality in the intensive-therapy group led to a discontinuation of intensive therapy after a mean of 3.5 years of follow-up. Results At 1 year, stable median glycated hemoglobin levels of 6.4% and 7.5% were achieved in the intensive-therapy group and the standard-therapy group, respectively. During follow-up, the primary outcome occurred in 70 patients in the intensive-therapy group, as compared with 359 in the standard-therapy group (hazard ratio, 0.88; 92% confidence interval [CI], 0.76 to 1.04; P = 0.16). At the same time, 255 patients in the intensive-therapy group died, as compared with 203 patients in the standardtherapy group (hazard ratio, 1.22; 92% CI, 1.01 to 1.45; P = 0.04). Hypoglycemia requiring assistance and weight gain of more than 10 kg were more frequent in the intensive-therapy group (P&lt;0.001). Conclusions As compared with standard therapy, the use of intensive therapy to target normal glycated hemoglobin levels for 3.5 years increased mortality and did not significantly reduce major cardiovascular events. These findings identify a previously unrecognized harm of intensive glucose lowering in high-risk patients with type 2 diabetes. (ClinicalTrials.gov number, NCT00000600.).","author":[{"dropping-particle":"","family":"Gerstein","given":"Hertzel C.","non-dropping-particle":"","parse-names":false,"suffix":""},{"dropping-particle":"","family":"Miller","given":"Michael E.","non-dropping-particle":"","parse-names":false,"suffix":""},{"dropping-particle":"","family":"Byington","given":"Robert P.","non-dropping-particle":"","parse-names":false,"suffix":""},{"dropping-particle":"","family":"Goff","given":"David C.","non-dropping-particle":"","parse-names":false,"suffix":""},{"dropping-particle":"","family":"Bigger","given":"J. Thomas","non-dropping-particle":"","parse-names":false,"suffix":""}],"container-title":"New England Journal of Medicine","id":"ITEM-1","issue":"24","issued":{"date-parts":[["2008","6","12"]]},"page":"2545-2559","publisher":"Massachussetts Medical Society","title":"Effects of intensive glucose lowering in type 2 diabetes","type":"article-journal","volume":"358"},"uris":["http://www.mendeley.com/documents/?uuid=b952237e-faf0-3eca-b9fa-55027afaece6"]},{"id":"ITEM-2","itemData":{"DOI":"10.1056/NEJMoa1006524","ISSN":"15334406","PMID":"21366473","abstract":"BACKGROUND: Intensive glucose lowering has previously been shown to increase mortality among persons with advanced type 2 diabetes and a high risk of cardiovascular disease. This report describes the 5-year outcomes of a mean of 3.7 years of intensive glucose lowering on mortality and key cardiovascular events. METHODS: We randomly assigned participants with type 2 diabetes and cardiovascular disease or additional cardiovascular risk factors to receive intensive therapy (targeting a glycated hemoglobin level below 6.0%) or standard therapy (targeting a level of 7 to 7.9%). After termination of the intensive therapy, due to higher mortality in the intensive-therapy group, the target glycated hemoglobin level was 7 to 7.9% for all participants, who were followed until the planned end of the trial. RESULTS: Before the intensive therapy was terminated, the intensive-therapy group did not differ significantly from the standard-therapy group in the rate of the primary outcome (a composite of nonfatal myocardial infarction, nonfatal stroke, or death from cardiovascular causes) (P = 0.13) but had more deaths from any cause (primarily cardiovascular) (hazard ratio, 1.21; 95% confidence interval [CI], 1.02 to 1.44) and fewer nonfatal myocardial infarctions (hazard ratio, 0.79; 95% CI, 0.66 to 0.95). These trends persisted during the entire follow-up period (hazard ratio for death, 1.19; 95% CI, 1.03 to 1.38; and hazard ratio for nonfatal myocardial infarction, 0.82; 95% CI, 0.70 to 0.96). After the intensive intervention was terminated, the median glycated hemoglobin level in the intensive-therapy group rose from 6.4% to 7.2%, and the use of glucose-lowering medications and rates of severe hypoglycemia and other adverse events were similar in the two groups. CONCLUSIONS: As compared with standard therapy, the use of intensive therapy for 3.7 years to target a glycated hemoglobin level below 6% reduced 5-year nonfatal myocardial infarctions but increased 5-year mortality. Such a strategy cannot be recommended for high-risk patients with advanced type 2 diabetes. (Funded by the National Heart, Lung and Blood Institute; ClinicalTrials.gov number, NCT00000620.) Copyright © 2011 Massachusetts Medical Society.","author":[{"dropping-particle":"","family":"Gerstein","given":"Hertzel C.","non-dropping-particle":"","parse-names":false,"suffix":""},{"dropping-particle":"","family":"Miller","given":"Michael E.","non-dropping-particle":"","parse-names":false,"suffix":""},{"dropping-particle":"","family":"Genuth","given":"Saul","non-dropping-particle":"","parse-names":false,"suffix":""},{"dropping-particle":"","family":"Ismail-Beigi","given":"Faramarz","non-dropping-particle":"","parse-names":false,"suffix":""},{"dropping-particle":"","family":"Buse","given":"John B.","non-dropping-particle":"","parse-names":false,"suffix":""},{"dropping-particle":"","family":"Goff","given":"David C.","non-dropping-particle":"","parse-names":false,"suffix":""},{"dropping-particle":"","family":"Probstfield","given":"Jeffrey L.","non-dropping-particle":"","parse-names":false,"suffix":""},{"dropping-particle":"","family":"Cushman","given":"William C.","non-dropping-particle":"","parse-names":false,"suffix":""},{"dropping-particle":"","family":"Ginsberg","given":"Henry N.","non-dropping-particle":"","parse-names":false,"suffix":""},{"dropping-particle":"","family":"Thomas Bigger","given":"J.","non-dropping-particle":"","parse-names":false,"suffix":""},{"dropping-particle":"","family":"Grimm","given":"Richard H.","non-dropping-particle":"","parse-names":false,"suffix":""},{"dropping-particle":"","family":"Byington","given":"Robert P.","non-dropping-particle":"","parse-names":false,"suffix":""},{"dropping-particle":"","family":"Rosenberg","given":"Yves D.","non-dropping-particle":"","parse-names":false,"suffix":""},{"dropping-particle":"","family":"Friedewald","given":"William T.","non-dropping-particle":"","parse-names":false,"suffix":""}],"container-title":"New England Journal of Medicine","id":"ITEM-2","issue":"9","issued":{"date-parts":[["2011"]]},"page":"818-828","title":"Long-term effects of intensive glucose lowering on cardiovascular outcomes","type":"article-journal","volume":"364"},"uris":["http://www.mendeley.com/documents/?uuid=41ee1dc2-5cab-41b5-baf8-7d7fa22c9aee"]}],"mendeley":{"formattedCitation":"(166,167)","plainTextFormattedCitation":"(166,167)","previouslyFormattedCitation":"(166,167)"},"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(166,167)</w:t>
      </w:r>
      <w:r w:rsidR="000F3AD7" w:rsidRPr="004661E9">
        <w:rPr>
          <w:rFonts w:ascii="Arial" w:hAnsi="Arial" w:cs="Arial"/>
        </w:rPr>
        <w:fldChar w:fldCharType="end"/>
      </w:r>
      <w:r w:rsidR="00AD7D72" w:rsidRPr="004661E9">
        <w:rPr>
          <w:rFonts w:ascii="Arial" w:hAnsi="Arial" w:cs="Arial"/>
        </w:rPr>
        <w:t xml:space="preserve">, the </w:t>
      </w:r>
      <w:r w:rsidR="00887F43" w:rsidRPr="004661E9">
        <w:rPr>
          <w:rFonts w:ascii="Arial" w:hAnsi="Arial" w:cs="Arial"/>
        </w:rPr>
        <w:t>ADVANCE (</w:t>
      </w:r>
      <w:r w:rsidR="00AD7D72" w:rsidRPr="004661E9">
        <w:rPr>
          <w:rFonts w:ascii="Arial" w:hAnsi="Arial" w:cs="Arial"/>
        </w:rPr>
        <w:t>Action in Diabetes and Vascular Disease: Preterax and Diamicron Modified Release Controlled Evaluation</w:t>
      </w:r>
      <w:r w:rsidR="00AB20B2">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{"citationItems":[{"id":"ITEM-1","itemData":{"DOI":"10.1056/NEJMoa0802987","ISSN":"15334406","PMID":"18539916","abstract":"Background: In patients with type 2 diabetes, the effects of intensive glucose control on vascular outcomes remain uncertain. Methods: We randomly assigned 11,140 patients with type 2 diabetes to undergo either standard glucose control or intensive glucose control, defined as the use of gliclazide (modified release) plus other drugs as required to achieve a glycated hemoglobin value of 6.5% or less. Primary end points were composites of major macrovascular events (death from cardiovascular causes, nonfatal myocardial infarction, or nonfatal stroke) and major microvascular events (new or worsening nephropathy or retinopathy), assessed both jointly and separately. Results: After a median of 5 years of follow-up, the mean glycated hemoglobin level was lower in the intensive-control group (6.5%) than in the standard-control group (7.3%). Intensive control reduced the incidence of combined major macrovascular and microvascular events (18.1%, vs. 20.0% with standard control; hazard ratio, 0.90; 95% confidence interval [CI], 0.82 to 0.98; P = 0.01), as well as that of major microvascular events (9.4% vs. 10.9%; hazard ratio, 0.86; 95% CI, 0.77 to 0.97; P = 0.01), primarily because of a reduction in the incidence of nephropathy (4.1% vs. 5.2%; hazard ratio, 0.79; 95% CI, 0.66 to 0.93; P = 0.006), with no significant effect on retinopathy (P = 0.50). There were no significant effects of the type of glucose control on major macrovascular events (hazard ratio with intensive control, 0.94; 95% CI, 0.84 to 1.06; P = 0.32), death from cardiovascular causes (hazard ratio with intensive control, 0.88; 95% CI, 0.74 to 1.04; P = 0.12), or death from any cause (hazard ratio with intensive control, 0.93; 95% CI, 0.83 to 1.06; P = 0.28). Severe hypoglycemia, although uncommon, was more common in the intensive-control group (2.7%, vs. 1.5% in the standard-control group; hazard ratio, 1.86; 95% CI, 1.42 to 2.40; P&lt;0.001). Conclusions: A strategy of intensive glucose control, involving gliclazide (modified release) and other drugs as required, that lowered the glycated hemoglobin value to 6.5% yielded a 10% relative reduction in the combined outcome of major macrovascular and microvascular events, primarily as a consequence of a 21% relative reduction in nephropathy. (ClinicalTrials.gov number, NCT00145925.). Copyright © 2008 Massachusetts Medical Society.","author":[{"dropping-particle":"","family":"Patel","given":"Anushka","non-dropping-particle":"","parse-names":false,"suffix":""},{"dropping-particle":"","family":"MacMahon","given":"Stephen","non-dropping-particle":"","parse-names":false,"suffix":""},{"dropping-particle":"","family":"Chalmers","given":"John","non-dropping-particle":"","parse-names":false,"suffix":""},{"dropping-particle":"","family":"Neal","given":"Bruce","non-dropping-particle":"","parse-names":false,"suffix":""},{"dropping-particle":"","family":"Billot","given":"Laurent","non-dropping-particle":"","parse-names":false,"suffix":""},{"dropping-particle":"","family":"Woodward","given":"Mark","non-dropping-particle":"","parse-names":false,"suffix":""},{"dropping-particle":"","family":"Marre","given":"Michel","non-dropping-particle":"","parse-names":false,"suffix":""},{"dropping-particle":"","family":"Cooper","given":"Mark","non-dropping-particle":"","parse-names":false,"suffix":""},{"dropping-particle":"","family":"Glasziou","given":"Paul","non-dropping-particle":"","parse-names":false,"suffix":""},{"dropping-particle":"","family":"Grobbee","given":"Diederick","non-dropping-particle":"","parse-names":false,"suffix":""},{"dropping-particle":"","family":"Hamet","given":"Pavel","non-dropping-particle":"","parse-names":false,"suffix":""},{"dropping-particle":"","family":"Harrap","given":"Stephen","non-dropping-particle":"","parse-names":false,"suffix":""},{"dropping-particle":"","family":"Heller","given":"Simon","non-dropping-particle":"","parse-names":false,"suffix":""},{"dropping-particle":"","family":"Liu","given":"Lisheng","non-dropping-particle":"","parse-names":false,"suffix":""},{"dropping-particle":"","family":"Mancia","given":"Giuseppe","non-dropping-particle":"","parse-names":false,"suffix":""},{"dropping-particle":"","family":"Mogensen","given":"Carl Erik","non-dropping-particle":"","parse-names":false,"suffix":""},{"dropping-particle":"","family":"Pan","given":"Changyu","non-dropping-particle":"","parse-names":false,"suffix":""},{"dropping-particle":"","family":"Poulter","given":"Neil","non-dropping-particle":"","parse-names":false,"suffix":""},{"dropping-particle":"","family":"Rodgers","given":"Anthony","non-dropping-particle":"","parse-names":false,"suffix":""},{"dropping-particle":"","family":"Williams","given":"Bryan","non-dropping-particle":"","parse-names":false,"suffix":""},{"dropping-particle":"","family":"Bompoint","given":"Severine","non-dropping-particle":"","parse-names":false,"suffix":""},{"dropping-particle":"","family":"Galan","given":"Bastiaan E.","non-dropping-particle":"De","parse-names":false,"suffix":""},{"dropping-particle":"","family":"Joshi","given":"Rohina","non-dropping-particle":"","parse-names":false,"suffix":""},{"dropping-particle":"","family":"Travert","given":"Florence","non-dropping-particle":"","parse-names":false,"suffix":""}],"container-title":"New England Journal of Medicine","id":"ITEM-1","issue":"24","issued":{"date-parts":[["2008","6","12"]]},"page":"2560-2572","publisher":"Massachussetts Medical Society","title":"Intensive blood glucose control and vascular outcomes in patients with type 2 diabetes","type":"article-journal","volume":"358"},"uris":["http://www.mendeley.com/documents/?uuid=4e675a5c-0cdb-3dcc-9606-c0fa2087e58f"]}],"mendeley":{"formattedCitation":"(168)","plainTextFormattedCitation":"(168)","previouslyFormattedCitation":"(168)"},"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(168)</w:t>
      </w:r>
      <w:r w:rsidR="000F3AD7" w:rsidRPr="004661E9">
        <w:rPr>
          <w:rFonts w:ascii="Arial" w:hAnsi="Arial" w:cs="Arial"/>
        </w:rPr>
        <w:fldChar w:fldCharType="end"/>
      </w:r>
      <w:r w:rsidR="00AD7D72" w:rsidRPr="004661E9">
        <w:rPr>
          <w:rFonts w:ascii="Arial" w:hAnsi="Arial" w:cs="Arial"/>
        </w:rPr>
        <w:t xml:space="preserve">, </w:t>
      </w:r>
      <w:r w:rsidR="001E2B37" w:rsidRPr="004661E9">
        <w:rPr>
          <w:rFonts w:ascii="Arial" w:hAnsi="Arial" w:cs="Arial"/>
        </w:rPr>
        <w:t xml:space="preserve">and </w:t>
      </w:r>
      <w:r w:rsidR="00AD7D72" w:rsidRPr="004661E9">
        <w:rPr>
          <w:rFonts w:ascii="Arial" w:hAnsi="Arial" w:cs="Arial"/>
        </w:rPr>
        <w:t xml:space="preserve">the </w:t>
      </w:r>
      <w:r w:rsidR="00887F43" w:rsidRPr="004661E9">
        <w:rPr>
          <w:rFonts w:ascii="Arial" w:hAnsi="Arial" w:cs="Arial"/>
        </w:rPr>
        <w:t>VADT (</w:t>
      </w:r>
      <w:r w:rsidR="002566E7" w:rsidRPr="004661E9">
        <w:rPr>
          <w:rFonts w:ascii="Arial" w:hAnsi="Arial" w:cs="Arial"/>
        </w:rPr>
        <w:t>Veterans Affair Diabetes Trial)</w:t>
      </w:r>
      <w:r w:rsidR="00AB20B2">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{"citationItems":[{"id":"ITEM-1","itemData":{"DOI":"10.1056/NEJMoa0808431","ISSN":"0028-4793","abstract":"BACKGROUND: The effects of intensive glucose control on cardiovascular events in patients with longstanding type 2 diabetes mellitus remain uncertain. METHODS: We randomly assigned 1791 military veterans (mean age, 60.4 years) who had a suboptimal response to therapy for type 2 diabetes to receive either intensive or standard glucose control. Other cardiovascular risk factors were treated uniformly. The mean number of years since the diagnosis of diabetes was 11.5, and 40% of the patients had already had a cardiovascular event. The goal in the intensive-therapy group was an absolute reduction of 1.5 percentage points in the glycated hemoglobin level, as compared with the standard-therapy group. The primary outcome was the time from randomization to the first occurrence of a major cardiovascular event, a composite of myocardial infarction, stroke, death from cardiovascular causes, congestive heart failure, surgery for vascular disease, inoperable coronary disease, and amputation for ischemic gangrene. RESULTS: The median follow-up was 5.6 years. Median glycated hemoglobin levels were 8.4% in the standard-therapy group and 6.9% in the intensive-therapy group. The primary outcome occurred in 264 patients in the standard-therapy group and 235 patients in the intensive-therapy group (hazard ratio in the intensive-therapy group, 0.88; 95% confidence interval [CI], 0.74 to 1.05; P = 0.14). There was no significant difference between the two groups in any component of the primary outcome or in the rate of death from any cause (hazard ratio, 1.07; 95% CI, 0.81 to 1.42; P = 0.62). No differences between the two groups were observed for microvascular complications. The rates of adverse events, predominantly hypoglycemia, were 17.6% in the standard-therapy group and 24.1% in the intensive-therapy group. CONCLUSIONS: Intensive glucose control in patients with poorly controlled type 2 diabetes had no significant effect on the rates of major cardiovascular events, death, or microvascular complications. (ClinicalTrials.gov number, NCT00032487.) Copyright © 2009 Massachusetts Medical Society.","author":[{"dropping-particle":"","family":"Duckworth","given":"William","non-dropping-particle":"","parse-names":false,"suffix":""},{"dropping-particle":"","family":"Abraira","given":"Carlos","non-dropping-particle":"","parse-names":false,"suffix":""},{"dropping-particle":"","family":"Moritz","given":"Thomas","non-dropping-particle":"","parse-names":false,"suffix":""},{"dropping-particle":"","family":"Reda","given":"Domenic","non-dropping-particle":"","parse-names":false,"suffix":""},{"dropping-particle":"","family":"Emanuele","given":"Nicholas","non-dropping-particle":"","parse-names":false,"suffix":""},{"dropping-particle":"","family":"Reaven","given":"Peter D.","non-dropping-particle":"","parse-names":false,"suffix":""},{"dropping-particle":"","family":"Zieve","given":"Franklin J.","non-dropping-particle":"","parse-names":false,"suffix":""},{"dropping-particle":"","family":"Marks","given":"Jennifer","non-dropping-particle":"","parse-names":false,"suffix":""},{"dropping-particle":"","family":"Davis","given":"Stephen N.","non-dropping-particle":"","parse-names":false,"suffix":""},{"dropping-particle":"","family":"Hayward","given":"Rodney","non-dropping-particle":"","parse-names":false,"suffix":""},{"dropping-particle":"","family":"Warren","given":"Stuart R.","non-dropping-particle":"","parse-names":false,"suffix":""},{"dropping-particle":"","family":"Goldman","given":"Steven","non-dropping-particle":"","parse-names":false,"suffix":""},{"dropping-particle":"","family":"McCarren","given":"Madeline","non-dropping-particle":"","parse-names":false,"suffix":""},{"dropping-particle":"","family":"Vitek","given":"Mary Ellen","non-dropping-particle":"","parse-names":false,"suffix":""},{"dropping-particle":"","family":"Henderson","given":"William G.","non-dropping-particle":"","parse-names":false,"suffix":""},{"dropping-particle":"","family":"Huang","given":"Grant D.","non-dropping-particle":"","parse-names":false,"suffix":""}],"container-title":"New England Journal of Medicine","id":"ITEM-1","issue":"2","issued":{"date-parts":[["2009","1","8"]]},"page":"129-139","publisher":"Massachussetts Medical Society","title":"Glucose Control and Vascular Complications in Veterans with Type 2 Diabetes","type":"article-journal","volume":"360"},"uris":["http://www.mendeley.com/documents/?uuid=2876fd7c-c5ab-31f7-afdd-562780c8a774"]}],"mendeley":{"formattedCitation":"(169)","plainTextFormattedCitation":"(169)","previouslyFormattedCitation":"(169)"},"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(169)</w:t>
      </w:r>
      <w:r w:rsidR="000F3AD7" w:rsidRPr="004661E9">
        <w:rPr>
          <w:rFonts w:ascii="Arial" w:hAnsi="Arial" w:cs="Arial"/>
        </w:rPr>
        <w:fldChar w:fldCharType="end"/>
      </w:r>
      <w:r w:rsidR="002566E7" w:rsidRPr="004661E9">
        <w:rPr>
          <w:rFonts w:ascii="Arial" w:hAnsi="Arial" w:cs="Arial"/>
        </w:rPr>
        <w:t xml:space="preserve"> </w:t>
      </w:r>
      <w:r w:rsidR="00BA591D" w:rsidRPr="004661E9">
        <w:rPr>
          <w:rFonts w:ascii="Arial" w:hAnsi="Arial" w:cs="Arial"/>
        </w:rPr>
        <w:t xml:space="preserve">which </w:t>
      </w:r>
      <w:r w:rsidR="002566E7" w:rsidRPr="004661E9">
        <w:rPr>
          <w:rFonts w:ascii="Arial" w:hAnsi="Arial" w:cs="Arial"/>
        </w:rPr>
        <w:t>failed to show any reduction i</w:t>
      </w:r>
      <w:r w:rsidR="00D129E6" w:rsidRPr="004661E9">
        <w:rPr>
          <w:rFonts w:ascii="Arial" w:hAnsi="Arial" w:cs="Arial"/>
        </w:rPr>
        <w:t>n</w:t>
      </w:r>
      <w:r w:rsidR="002566E7" w:rsidRPr="004661E9">
        <w:rPr>
          <w:rFonts w:ascii="Arial" w:hAnsi="Arial" w:cs="Arial"/>
        </w:rPr>
        <w:t xml:space="preserve"> HF risk with intensive glucose control in patients with T2DM. </w:t>
      </w:r>
      <w:r w:rsidR="00D2537D" w:rsidRPr="004661E9">
        <w:rPr>
          <w:rFonts w:ascii="Arial" w:hAnsi="Arial" w:cs="Arial"/>
        </w:rPr>
        <w:t>C</w:t>
      </w:r>
      <w:r w:rsidR="00B94559" w:rsidRPr="004661E9">
        <w:rPr>
          <w:rFonts w:ascii="Arial" w:hAnsi="Arial" w:cs="Arial"/>
        </w:rPr>
        <w:t xml:space="preserve">onsistently, a meta-analysis of all these trials showed no overall effect of intensive glucose control on HF risk despite a modest (9%) reduction in </w:t>
      </w:r>
      <w:r w:rsidR="00887F43" w:rsidRPr="004661E9">
        <w:rPr>
          <w:rFonts w:ascii="Arial" w:hAnsi="Arial" w:cs="Arial"/>
        </w:rPr>
        <w:t xml:space="preserve">the </w:t>
      </w:r>
      <w:r w:rsidR="00B94559" w:rsidRPr="004661E9">
        <w:rPr>
          <w:rFonts w:ascii="Arial" w:hAnsi="Arial" w:cs="Arial"/>
        </w:rPr>
        <w:t xml:space="preserve">risk of major </w:t>
      </w:r>
      <w:r w:rsidR="00887F43" w:rsidRPr="004661E9">
        <w:rPr>
          <w:rFonts w:ascii="Arial" w:hAnsi="Arial" w:cs="Arial"/>
        </w:rPr>
        <w:t>CV</w:t>
      </w:r>
      <w:r w:rsidR="00B94559" w:rsidRPr="004661E9">
        <w:rPr>
          <w:rFonts w:ascii="Arial" w:hAnsi="Arial" w:cs="Arial"/>
        </w:rPr>
        <w:t xml:space="preserve"> outcomes</w:t>
      </w:r>
      <w:r w:rsidR="00A80DC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{"citationItems":[{"id":"ITEM-1","itemData":{"DOI":"10.1007/s00125-009-1470-0","ISSN":"0012186X","PMID":"19655124","abstract":"Aims/hypothesis: Improved glucose control in type 2 diabetes is known to reduce the risk of microvascular events. There is, however, continuing uncertainty about its impact on macrovascular disease. The aim of these analyses was to generate more precise estimates of the effects of more-intensive, compared with less-intensive, glucose control on the risk of major cardiovascular events amongst patients with type 2 diabetes. Methods: A prospectively planned group-level meta-analysis in which characteristics of trials to be included, outcomes of interest, analyses and subgroup definitions were all pre-specified. Results: A total of 27,049 participants and 2,370 major vascular events contributed to the meta-analyses. Allocation to more-intensive, compared with less-intensive, glucose control reduced the risk of major cardiovascular events by 9% (HR 0.91, 95% CI 0.84-0.99), primarily because of a 15% reduced risk of myocardial infarction (HR 0.85, 95% CI 0.76-0.94). Mortality was not decreased, with non-significant HRs of 1.04 for all-cause mortality (95% CI 0.90-1.20) and 1.10 for cardiovascular death (95% CI 0.84-1.42). Intensively treated participants had significantly more major hypoglycaemic events (HR 2.48, 95% CI 1.91-3.21). Exploratory subgroup analyses suggested the possibility of a differential effect for major cardiovascular events in participants with and without macrovascular disease (HR 1.00, 95% CI 0.89-1.13, vs HR 0.84, 95% CI 0.74-0.94, respectively; interaction p=0.04). Conclusions/interpretation: Targeting more-intensive glucose lowering modestly reduced major macrovascular events and increased major hypoglycaemia over 4.4 years in persons with type 2 diabetes. The analyses suggest that glucose-lowering regimens should be tailored to the individual. © 2009 Springer-Verlag.","author":[{"dropping-particle":"","family":"Turnbull","given":"F. M.","non-dropping-particle":"","parse-names":false,"suffix":""},{"dropping-particle":"","family":"Abraira","given":"C.","non-dropping-particle":"","parse-names":false,"suffix":""},{"dropping-particle":"","family":"Anderson","given":"R. J.","non-dropping-particle":"","parse-names":false,"suffix":""},{"dropping-particle":"","family":"Byington","given":"R. P.","non-dropping-particle":"","parse-names":false,"suffix":""},{"dropping-particle":"","family":"Chalmers","given":"J. P.","non-dropping-particle":"","parse-names":false,"suffix":""},{"dropping-particle":"","family":"Duckworth","given":"W. C.","non-dropping-particle":"","parse-names":false,"suffix":""},{"dropping-particle":"","family":"Evans","given":"G. W.","non-dropping-particle":"","parse-names":false,"suffix":""},{"dropping-particle":"","family":"Gerstein","given":"H. C.","non-dropping-particle":"","parse-names":false,"suffix":""},{"dropping-particle":"","family":"Holman","given":"R. R.","non-dropping-particle":"","parse-names":false,"suffix":""},{"dropping-particle":"","family":"Moritz","given":"T. E.","non-dropping-particle":"","parse-names":false,"suffix":""},{"dropping-particle":"","family":"Neal","given":"B. C.","non-dropping-particle":"","parse-names":false,"suffix":""},{"dropping-particle":"","family":"Ninomiya","given":"T.","non-dropping-particle":"","parse-names":false,"suffix":""},{"dropping-particle":"","family":"Patel","given":"A. A.","non-dropping-particle":"","parse-names":false,"suffix":""},{"dropping-particle":"","family":"Paul","given":"S. K.","non-dropping-particle":"","parse-names":false,"suffix":""},{"dropping-particle":"","family":"Travert","given":"F.","non-dropping-particle":"","parse-names":false,"suffix":""},{"dropping-particle":"","family":"Woodward","given":"M.","non-dropping-particle":"","parse-names":false,"suffix":""}],"container-title":"Diabetologia","id":"ITEM-1","issue":"11","issued":{"date-parts":[["2009","11","5"]]},"page":"2288-2298","publisher":"Springer","title":"Intensive glucose control and macrovascular outcomes in type 2 diabetes","type":"article-journal","volume":"52"},"uris":["http://www.mendeley.com/documents/?uuid=724e08fe-a116-34a0-9072-789932ebc6a2"]}],"mendeley":{"formattedCitation":"(170)","plainTextFormattedCitation":"(170)","previouslyFormattedCitation":"(170)"},"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(170)</w:t>
      </w:r>
      <w:r w:rsidR="000F3AD7" w:rsidRPr="004661E9">
        <w:rPr>
          <w:rFonts w:ascii="Arial" w:hAnsi="Arial" w:cs="Arial"/>
        </w:rPr>
        <w:fldChar w:fldCharType="end"/>
      </w:r>
      <w:r w:rsidR="00A80DC6" w:rsidRPr="004661E9">
        <w:rPr>
          <w:rFonts w:ascii="Arial" w:hAnsi="Arial" w:cs="Arial"/>
        </w:rPr>
        <w:t>.</w:t>
      </w:r>
      <w:r w:rsidR="00B94559" w:rsidRPr="004661E9">
        <w:rPr>
          <w:rFonts w:ascii="Arial" w:hAnsi="Arial" w:cs="Arial"/>
        </w:rPr>
        <w:t xml:space="preserve"> </w:t>
      </w:r>
      <w:r w:rsidR="00624060" w:rsidRPr="004661E9">
        <w:rPr>
          <w:rFonts w:ascii="Arial" w:hAnsi="Arial" w:cs="Arial"/>
        </w:rPr>
        <w:t>These observations confirmed that blood</w:t>
      </w:r>
      <w:r w:rsidR="00D129E6" w:rsidRPr="004661E9">
        <w:rPr>
          <w:rFonts w:ascii="Arial" w:hAnsi="Arial" w:cs="Arial"/>
        </w:rPr>
        <w:t>-</w:t>
      </w:r>
      <w:r w:rsidR="00624060" w:rsidRPr="004661E9">
        <w:rPr>
          <w:rFonts w:ascii="Arial" w:hAnsi="Arial" w:cs="Arial"/>
        </w:rPr>
        <w:t>glucose</w:t>
      </w:r>
      <w:r w:rsidR="00D129E6" w:rsidRPr="004661E9">
        <w:rPr>
          <w:rFonts w:ascii="Arial" w:hAnsi="Arial" w:cs="Arial"/>
        </w:rPr>
        <w:t>-</w:t>
      </w:r>
      <w:r w:rsidR="00624060" w:rsidRPr="004661E9">
        <w:rPr>
          <w:rFonts w:ascii="Arial" w:hAnsi="Arial" w:cs="Arial"/>
        </w:rPr>
        <w:t xml:space="preserve">lowering and improvement of HbA1c are </w:t>
      </w:r>
      <w:r w:rsidR="00543EDD" w:rsidRPr="004661E9">
        <w:rPr>
          <w:rFonts w:ascii="Arial" w:hAnsi="Arial" w:cs="Arial"/>
        </w:rPr>
        <w:t>in</w:t>
      </w:r>
      <w:r w:rsidR="00624060" w:rsidRPr="004661E9">
        <w:rPr>
          <w:rFonts w:ascii="Arial" w:hAnsi="Arial" w:cs="Arial"/>
        </w:rPr>
        <w:t xml:space="preserve">sufficient targets for </w:t>
      </w:r>
      <w:r w:rsidR="00543EDD" w:rsidRPr="004661E9">
        <w:rPr>
          <w:rFonts w:ascii="Arial" w:hAnsi="Arial" w:cs="Arial"/>
        </w:rPr>
        <w:t>preventing</w:t>
      </w:r>
      <w:r w:rsidR="00624060" w:rsidRPr="004661E9">
        <w:rPr>
          <w:rFonts w:ascii="Arial" w:hAnsi="Arial" w:cs="Arial"/>
        </w:rPr>
        <w:t xml:space="preserve"> HF in patients with </w:t>
      </w:r>
      <w:r w:rsidR="00887F43" w:rsidRPr="004661E9">
        <w:rPr>
          <w:rFonts w:ascii="Arial" w:hAnsi="Arial" w:cs="Arial"/>
        </w:rPr>
        <w:t>diabetes</w:t>
      </w:r>
      <w:r w:rsidR="00624060" w:rsidRPr="004661E9">
        <w:rPr>
          <w:rFonts w:ascii="Arial" w:hAnsi="Arial" w:cs="Arial"/>
        </w:rPr>
        <w:t xml:space="preserve">. </w:t>
      </w:r>
    </w:p>
    <w:p w14:paraId="1ACC327A" w14:textId="64201D15" w:rsidR="0064169C" w:rsidRPr="004661E9" w:rsidRDefault="00624060" w:rsidP="004661E9">
      <w:pPr>
        <w:spacing w:after="0" w:line="276" w:lineRule="auto"/>
        <w:rPr>
          <w:rFonts w:ascii="Arial" w:hAnsi="Arial" w:cs="Arial"/>
        </w:rPr>
      </w:pPr>
      <w:r w:rsidRPr="004661E9">
        <w:rPr>
          <w:rFonts w:ascii="Arial" w:hAnsi="Arial" w:cs="Arial"/>
        </w:rPr>
        <w:t xml:space="preserve"> </w:t>
      </w:r>
      <w:r w:rsidR="00B94559" w:rsidRPr="004661E9">
        <w:rPr>
          <w:rFonts w:ascii="Arial" w:hAnsi="Arial" w:cs="Arial"/>
        </w:rPr>
        <w:t xml:space="preserve"> </w:t>
      </w:r>
    </w:p>
    <w:p w14:paraId="26B93AA1" w14:textId="0A021B50" w:rsidR="00630B86" w:rsidRPr="004661E9" w:rsidRDefault="00450ADF" w:rsidP="004661E9">
      <w:pPr>
        <w:spacing w:after="0" w:line="276" w:lineRule="auto"/>
        <w:rPr>
          <w:rFonts w:ascii="Arial" w:hAnsi="Arial" w:cs="Arial"/>
        </w:rPr>
      </w:pPr>
      <w:r w:rsidRPr="004661E9">
        <w:rPr>
          <w:rFonts w:ascii="Arial" w:hAnsi="Arial" w:cs="Arial"/>
        </w:rPr>
        <w:t xml:space="preserve">The </w:t>
      </w:r>
      <w:r w:rsidR="00543EDD" w:rsidRPr="004661E9">
        <w:rPr>
          <w:rFonts w:ascii="Arial" w:hAnsi="Arial" w:cs="Arial"/>
        </w:rPr>
        <w:t>treatment section below discusses the impact of specific antidiabetic agents on the prevention of HF in high-risk patients</w:t>
      </w:r>
      <w:r w:rsidRPr="004661E9">
        <w:rPr>
          <w:rFonts w:ascii="Arial" w:hAnsi="Arial" w:cs="Arial"/>
        </w:rPr>
        <w:t xml:space="preserve">. </w:t>
      </w:r>
    </w:p>
    <w:p w14:paraId="7AD1EDF8" w14:textId="77777777" w:rsidR="00A80DC6" w:rsidRPr="004661E9" w:rsidRDefault="00A80DC6" w:rsidP="004661E9">
      <w:pPr>
        <w:spacing w:after="0" w:line="276" w:lineRule="auto"/>
        <w:rPr>
          <w:rFonts w:ascii="Arial" w:hAnsi="Arial" w:cs="Arial"/>
          <w:b/>
          <w:bCs/>
          <w:caps/>
        </w:rPr>
      </w:pPr>
    </w:p>
    <w:p w14:paraId="2B0AF0D5" w14:textId="46C125BF" w:rsidR="00100E28" w:rsidRPr="004661E9" w:rsidRDefault="00D14A9A" w:rsidP="004661E9">
      <w:pPr>
        <w:spacing w:after="0" w:line="276" w:lineRule="auto"/>
        <w:rPr>
          <w:rFonts w:ascii="Arial" w:hAnsi="Arial" w:cs="Arial"/>
          <w:b/>
          <w:bCs/>
          <w:color w:val="4472C4" w:themeColor="accent1"/>
        </w:rPr>
      </w:pPr>
      <w:r w:rsidRPr="004661E9">
        <w:rPr>
          <w:rFonts w:ascii="Arial" w:hAnsi="Arial" w:cs="Arial"/>
          <w:b/>
          <w:bCs/>
          <w:caps/>
          <w:color w:val="4472C4" w:themeColor="accent1"/>
        </w:rPr>
        <w:t xml:space="preserve">Treatment of </w:t>
      </w:r>
      <w:r w:rsidR="008E11EF" w:rsidRPr="004661E9">
        <w:rPr>
          <w:rFonts w:ascii="Arial" w:hAnsi="Arial" w:cs="Arial"/>
          <w:b/>
          <w:bCs/>
          <w:caps/>
          <w:color w:val="4472C4" w:themeColor="accent1"/>
        </w:rPr>
        <w:t>HF</w:t>
      </w:r>
      <w:r w:rsidRPr="004661E9">
        <w:rPr>
          <w:rFonts w:ascii="Arial" w:hAnsi="Arial" w:cs="Arial"/>
          <w:b/>
          <w:bCs/>
          <w:caps/>
          <w:color w:val="4472C4" w:themeColor="accent1"/>
        </w:rPr>
        <w:t xml:space="preserve"> in Patients with </w:t>
      </w:r>
      <w:r w:rsidR="00A36DE2" w:rsidRPr="004661E9">
        <w:rPr>
          <w:rFonts w:ascii="Arial" w:hAnsi="Arial" w:cs="Arial"/>
          <w:b/>
          <w:bCs/>
          <w:caps/>
          <w:color w:val="4472C4" w:themeColor="accent1"/>
        </w:rPr>
        <w:t>diabetes</w:t>
      </w:r>
    </w:p>
    <w:bookmarkEnd w:id="15"/>
    <w:p w14:paraId="2B98F4F3" w14:textId="77777777" w:rsidR="00A80DC6" w:rsidRPr="004661E9" w:rsidRDefault="00A80DC6" w:rsidP="004661E9">
      <w:pPr>
        <w:spacing w:after="0" w:line="276" w:lineRule="auto"/>
        <w:rPr>
          <w:rFonts w:ascii="Arial" w:hAnsi="Arial" w:cs="Arial"/>
        </w:rPr>
      </w:pPr>
    </w:p>
    <w:p w14:paraId="489541E8" w14:textId="6D4AE3FB" w:rsidR="00A80DC6" w:rsidRPr="004661E9" w:rsidRDefault="00100E28" w:rsidP="004661E9">
      <w:pPr>
        <w:spacing w:after="0" w:line="276" w:lineRule="auto"/>
        <w:rPr>
          <w:rFonts w:ascii="Arial" w:hAnsi="Arial" w:cs="Arial"/>
        </w:rPr>
      </w:pPr>
      <w:bookmarkStart w:id="21" w:name="_Hlk146546906"/>
      <w:r w:rsidRPr="004661E9">
        <w:rPr>
          <w:rFonts w:ascii="Arial" w:hAnsi="Arial" w:cs="Arial"/>
        </w:rPr>
        <w:t xml:space="preserve">The primary objectives in </w:t>
      </w:r>
      <w:r w:rsidR="00543EDD" w:rsidRPr="004661E9">
        <w:rPr>
          <w:rFonts w:ascii="Arial" w:hAnsi="Arial" w:cs="Arial"/>
        </w:rPr>
        <w:t>managing</w:t>
      </w:r>
      <w:r w:rsidRPr="004661E9">
        <w:rPr>
          <w:rFonts w:ascii="Arial" w:hAnsi="Arial" w:cs="Arial"/>
        </w:rPr>
        <w:t xml:space="preserve"> HF are to </w:t>
      </w:r>
      <w:r w:rsidR="00FF3C12" w:rsidRPr="004661E9">
        <w:rPr>
          <w:rFonts w:ascii="Arial" w:hAnsi="Arial" w:cs="Arial"/>
        </w:rPr>
        <w:t xml:space="preserve">reduce mortality, prevent HF hospitalization, and </w:t>
      </w:r>
      <w:r w:rsidRPr="004661E9">
        <w:rPr>
          <w:rFonts w:ascii="Arial" w:hAnsi="Arial" w:cs="Arial"/>
        </w:rPr>
        <w:t>improve patients’ clinical status, quality of life</w:t>
      </w:r>
      <w:r w:rsidR="00543EDD" w:rsidRPr="004661E9">
        <w:rPr>
          <w:rFonts w:ascii="Arial" w:hAnsi="Arial" w:cs="Arial"/>
        </w:rPr>
        <w:t>,</w:t>
      </w:r>
      <w:r w:rsidRPr="004661E9">
        <w:rPr>
          <w:rFonts w:ascii="Arial" w:hAnsi="Arial" w:cs="Arial"/>
        </w:rPr>
        <w:t xml:space="preserve"> and functional capacity </w:t>
      </w:r>
      <w:r w:rsidR="007F45AE" w:rsidRPr="004661E9">
        <w:rPr>
          <w:rFonts w:ascii="Arial" w:hAnsi="Arial" w:cs="Arial"/>
        </w:rPr>
        <w:fldChar w:fldCharType="begin" w:fldLock="1"/>
      </w:r>
      <w:r w:rsidR="000962ED" w:rsidRPr="004661E9">
        <w:rPr>
          <w:rFonts w:ascii="Arial" w:hAnsi="Arial" w:cs="Arial"/>
        </w:rPr>
        <w:instrText>ADDIN CSL_CITATION {"citationItems":[{"id":"ITEM-1","itemData":{"DOI":"10.1093/EURHEARTJ/EHAB368","ISSN":"0195-668X","PMID":"34447992","author":[{"dropping-particle":"","family":"McDonagh","given":"Theresa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Journal","id":"ITEM-1","issue":"36","issued":{"date-parts":[["2021","9","21"]]},"page":"3599-3726","publisher":"Oxford University Press, Gb","title":"2021 ESC Guidelines for the diagnosis and treatment of acute and chronic heart  failure.","type":"article-journal","volume":"42"},"uris":["http://www.mendeley.com/documents/?uuid=2cc1c7ef-2814-493f-9f64-867c45458bfb"]}],"mendeley":{"formattedCitation":"(18)","plainTextFormattedCitation":"(18)","previouslyFormattedCitation":"(18)"},"properties":{"noteIndex":0},"schema":"https://github.com/citation-style-language/schema/raw/master/csl-citation.json"}</w:instrText>
      </w:r>
      <w:r w:rsidR="007F45AE" w:rsidRPr="004661E9">
        <w:rPr>
          <w:rFonts w:ascii="Arial" w:hAnsi="Arial" w:cs="Arial"/>
        </w:rPr>
        <w:fldChar w:fldCharType="separate"/>
      </w:r>
      <w:r w:rsidR="000962ED" w:rsidRPr="004661E9">
        <w:rPr>
          <w:rFonts w:ascii="Arial" w:hAnsi="Arial" w:cs="Arial"/>
          <w:noProof/>
        </w:rPr>
        <w:t>(18)</w:t>
      </w:r>
      <w:r w:rsidR="007F45AE" w:rsidRPr="004661E9">
        <w:rPr>
          <w:rFonts w:ascii="Arial" w:hAnsi="Arial" w:cs="Arial"/>
        </w:rPr>
        <w:fldChar w:fldCharType="end"/>
      </w:r>
      <w:r w:rsidR="00A80DC6" w:rsidRPr="004661E9">
        <w:rPr>
          <w:rFonts w:ascii="Arial" w:hAnsi="Arial" w:cs="Arial"/>
        </w:rPr>
        <w:t>.</w:t>
      </w:r>
      <w:r w:rsidR="002F7C09" w:rsidRPr="004661E9">
        <w:rPr>
          <w:rFonts w:ascii="Arial" w:hAnsi="Arial" w:cs="Arial"/>
        </w:rPr>
        <w:t xml:space="preserve"> </w:t>
      </w:r>
      <w:r w:rsidR="001824C9" w:rsidRPr="004661E9">
        <w:rPr>
          <w:rFonts w:ascii="Arial" w:hAnsi="Arial" w:cs="Arial"/>
        </w:rPr>
        <w:t xml:space="preserve">The major components of </w:t>
      </w:r>
      <w:r w:rsidR="00FF3C12" w:rsidRPr="004661E9">
        <w:rPr>
          <w:rFonts w:ascii="Arial" w:hAnsi="Arial" w:cs="Arial"/>
        </w:rPr>
        <w:t>managing</w:t>
      </w:r>
      <w:r w:rsidR="001824C9" w:rsidRPr="004661E9">
        <w:rPr>
          <w:rFonts w:ascii="Arial" w:hAnsi="Arial" w:cs="Arial"/>
        </w:rPr>
        <w:t xml:space="preserve"> </w:t>
      </w:r>
      <w:r w:rsidR="00FF3C12" w:rsidRPr="004661E9">
        <w:rPr>
          <w:rFonts w:ascii="Arial" w:hAnsi="Arial" w:cs="Arial"/>
        </w:rPr>
        <w:t xml:space="preserve">HF </w:t>
      </w:r>
      <w:r w:rsidR="001824C9" w:rsidRPr="004661E9">
        <w:rPr>
          <w:rFonts w:ascii="Arial" w:hAnsi="Arial" w:cs="Arial"/>
        </w:rPr>
        <w:t xml:space="preserve">are </w:t>
      </w:r>
      <w:r w:rsidR="00FF3C12" w:rsidRPr="004661E9">
        <w:rPr>
          <w:rFonts w:ascii="Arial" w:hAnsi="Arial" w:cs="Arial"/>
        </w:rPr>
        <w:t xml:space="preserve">lifestyle changes, </w:t>
      </w:r>
      <w:r w:rsidR="001824C9" w:rsidRPr="004661E9">
        <w:rPr>
          <w:rFonts w:ascii="Arial" w:hAnsi="Arial" w:cs="Arial"/>
        </w:rPr>
        <w:t>education and support for HF self-</w:t>
      </w:r>
      <w:r w:rsidR="001824C9" w:rsidRPr="004661E9">
        <w:rPr>
          <w:rFonts w:ascii="Arial" w:hAnsi="Arial" w:cs="Arial"/>
        </w:rPr>
        <w:lastRenderedPageBreak/>
        <w:t xml:space="preserve">management, monitoring, </w:t>
      </w:r>
      <w:r w:rsidR="00543EDD" w:rsidRPr="004661E9">
        <w:rPr>
          <w:rFonts w:ascii="Arial" w:hAnsi="Arial" w:cs="Arial"/>
        </w:rPr>
        <w:t>control</w:t>
      </w:r>
      <w:r w:rsidR="001824C9" w:rsidRPr="004661E9">
        <w:rPr>
          <w:rFonts w:ascii="Arial" w:hAnsi="Arial" w:cs="Arial"/>
        </w:rPr>
        <w:t xml:space="preserve"> of the underlying causes and associated comorbidities, pharmacologic therapy,</w:t>
      </w:r>
      <w:r w:rsidR="007D424B" w:rsidRPr="004661E9">
        <w:rPr>
          <w:rFonts w:ascii="Arial" w:hAnsi="Arial" w:cs="Arial"/>
        </w:rPr>
        <w:t xml:space="preserve"> cardiac rehabilitation,</w:t>
      </w:r>
      <w:r w:rsidR="001824C9" w:rsidRPr="004661E9">
        <w:rPr>
          <w:rFonts w:ascii="Arial" w:hAnsi="Arial" w:cs="Arial"/>
        </w:rPr>
        <w:t xml:space="preserve"> </w:t>
      </w:r>
      <w:r w:rsidR="007D424B" w:rsidRPr="004661E9">
        <w:rPr>
          <w:rFonts w:ascii="Arial" w:hAnsi="Arial" w:cs="Arial"/>
        </w:rPr>
        <w:t>device therapies, mechanical circulatory support</w:t>
      </w:r>
      <w:r w:rsidR="0015065B" w:rsidRPr="004661E9">
        <w:rPr>
          <w:rFonts w:ascii="Arial" w:hAnsi="Arial" w:cs="Arial"/>
        </w:rPr>
        <w:t>,</w:t>
      </w:r>
      <w:r w:rsidR="007D424B" w:rsidRPr="004661E9">
        <w:rPr>
          <w:rFonts w:ascii="Arial" w:hAnsi="Arial" w:cs="Arial"/>
        </w:rPr>
        <w:t xml:space="preserve"> and cardiac transplantation</w:t>
      </w:r>
      <w:r w:rsidR="00A80DC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{"citationItems":[{"id":"ITEM-1","itemData":{"author":[{"dropping-particle":"","family":"Colucci","given":"Wilson S.","non-dropping-particle":"","parse-names":false,"suffix":""}],"container-title":"UpToDate","id":"ITEM-1","issued":{"date-parts":[["2020"]]},"title":"Overview of the management of heart failure with reduced ejection fraction in adults","type":"chapter"},"uris":["http://www.mendeley.com/documents/?uuid=94f7d8b9-4484-4bd0-a33c-ddd7f5b3f5a4"]}],"mendeley":{"formattedCitation":"(171)","plainTextFormattedCitation":"(171)","previouslyFormattedCitation":"(171)"},"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(171)</w:t>
      </w:r>
      <w:r w:rsidR="000F3AD7" w:rsidRPr="004661E9">
        <w:rPr>
          <w:rFonts w:ascii="Arial" w:hAnsi="Arial" w:cs="Arial"/>
        </w:rPr>
        <w:fldChar w:fldCharType="end"/>
      </w:r>
      <w:r w:rsidR="00A80DC6" w:rsidRPr="004661E9">
        <w:rPr>
          <w:rFonts w:ascii="Arial" w:hAnsi="Arial" w:cs="Arial"/>
        </w:rPr>
        <w:t>.</w:t>
      </w:r>
      <w:r w:rsidR="006D08DF" w:rsidRPr="004661E9">
        <w:rPr>
          <w:rFonts w:ascii="Arial" w:hAnsi="Arial" w:cs="Arial"/>
        </w:rPr>
        <w:t xml:space="preserve"> The major society guidelines for the management of patients with HF include the ACC/AHA</w:t>
      </w:r>
      <w:r w:rsidR="00AD6C34" w:rsidRPr="004661E9">
        <w:rPr>
          <w:rFonts w:ascii="Arial" w:hAnsi="Arial" w:cs="Arial"/>
        </w:rPr>
        <w:t>/HFSA</w:t>
      </w:r>
      <w:r w:rsidR="006D08DF" w:rsidRPr="004661E9">
        <w:rPr>
          <w:rFonts w:ascii="Arial" w:hAnsi="Arial" w:cs="Arial"/>
        </w:rPr>
        <w:t xml:space="preserve"> guideline</w:t>
      </w:r>
      <w:r w:rsidR="003C2D84" w:rsidRPr="004661E9">
        <w:rPr>
          <w:rFonts w:ascii="Arial" w:hAnsi="Arial" w:cs="Arial"/>
        </w:rPr>
        <w:t>s</w:t>
      </w:r>
      <w:r w:rsidR="00AD6C34" w:rsidRPr="004661E9">
        <w:rPr>
          <w:rFonts w:ascii="Arial" w:hAnsi="Arial" w:cs="Arial"/>
        </w:rPr>
        <w:t xml:space="preserve"> published in </w:t>
      </w:r>
      <w:r w:rsidR="00B51E16" w:rsidRPr="004661E9">
        <w:rPr>
          <w:rFonts w:ascii="Arial" w:hAnsi="Arial" w:cs="Arial"/>
        </w:rPr>
        <w:t xml:space="preserve">2022 </w:t>
      </w:r>
      <w:r w:rsidR="00B51E16" w:rsidRPr="004661E9">
        <w:rPr>
          <w:rFonts w:ascii="Arial" w:hAnsi="Arial" w:cs="Arial"/>
        </w:rPr>
        <w:fldChar w:fldCharType="begin" w:fldLock="1"/>
      </w:r>
      <w:r w:rsidR="00300576"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00B51E16" w:rsidRPr="004661E9">
        <w:rPr>
          <w:rFonts w:ascii="Arial" w:hAnsi="Arial" w:cs="Arial"/>
        </w:rPr>
        <w:fldChar w:fldCharType="separate"/>
      </w:r>
      <w:r w:rsidR="00E0281E" w:rsidRPr="004661E9">
        <w:rPr>
          <w:rFonts w:ascii="Arial" w:hAnsi="Arial" w:cs="Arial"/>
          <w:noProof/>
        </w:rPr>
        <w:t>(3)</w:t>
      </w:r>
      <w:r w:rsidR="00B51E16" w:rsidRPr="004661E9">
        <w:rPr>
          <w:rFonts w:ascii="Arial" w:hAnsi="Arial" w:cs="Arial"/>
        </w:rPr>
        <w:fldChar w:fldCharType="end"/>
      </w:r>
      <w:r w:rsidR="006D08DF" w:rsidRPr="004661E9">
        <w:rPr>
          <w:rFonts w:ascii="Arial" w:hAnsi="Arial" w:cs="Arial"/>
        </w:rPr>
        <w:t xml:space="preserve"> </w:t>
      </w:r>
      <w:r w:rsidR="00782AE5" w:rsidRPr="004661E9">
        <w:rPr>
          <w:rFonts w:ascii="Arial" w:hAnsi="Arial" w:cs="Arial"/>
        </w:rPr>
        <w:t xml:space="preserve">and </w:t>
      </w:r>
      <w:r w:rsidR="00D2537D" w:rsidRPr="004661E9">
        <w:rPr>
          <w:rFonts w:ascii="Arial" w:hAnsi="Arial" w:cs="Arial"/>
        </w:rPr>
        <w:t xml:space="preserve">the </w:t>
      </w:r>
      <w:r w:rsidR="00C7214B" w:rsidRPr="004661E9">
        <w:rPr>
          <w:rFonts w:ascii="Arial" w:hAnsi="Arial" w:cs="Arial"/>
        </w:rPr>
        <w:t>European Society of Cardiology (</w:t>
      </w:r>
      <w:r w:rsidR="006D08DF" w:rsidRPr="004661E9">
        <w:rPr>
          <w:rFonts w:ascii="Arial" w:hAnsi="Arial" w:cs="Arial"/>
        </w:rPr>
        <w:t>ESC</w:t>
      </w:r>
      <w:r w:rsidR="00C7214B" w:rsidRPr="004661E9">
        <w:rPr>
          <w:rFonts w:ascii="Arial" w:hAnsi="Arial" w:cs="Arial"/>
        </w:rPr>
        <w:t>)</w:t>
      </w:r>
      <w:r w:rsidR="006D08DF" w:rsidRPr="004661E9">
        <w:rPr>
          <w:rFonts w:ascii="Arial" w:hAnsi="Arial" w:cs="Arial"/>
        </w:rPr>
        <w:t xml:space="preserve"> guidelines</w:t>
      </w:r>
      <w:r w:rsidR="003C2D84" w:rsidRPr="004661E9">
        <w:rPr>
          <w:rFonts w:ascii="Arial" w:hAnsi="Arial" w:cs="Arial"/>
        </w:rPr>
        <w:t xml:space="preserve"> published in 202</w:t>
      </w:r>
      <w:r w:rsidR="005F1116" w:rsidRPr="004661E9">
        <w:rPr>
          <w:rFonts w:ascii="Arial" w:hAnsi="Arial" w:cs="Arial"/>
        </w:rPr>
        <w:t>1</w:t>
      </w:r>
      <w:r w:rsidR="003C2D84" w:rsidRPr="004661E9">
        <w:rPr>
          <w:rFonts w:ascii="Arial" w:hAnsi="Arial" w:cs="Arial"/>
        </w:rPr>
        <w:t xml:space="preserve"> </w:t>
      </w:r>
      <w:r w:rsidR="00FB7299" w:rsidRPr="004661E9">
        <w:rPr>
          <w:rFonts w:ascii="Arial" w:hAnsi="Arial" w:cs="Arial"/>
        </w:rPr>
        <w:fldChar w:fldCharType="begin" w:fldLock="1"/>
      </w:r>
      <w:r w:rsidR="000962ED" w:rsidRPr="004661E9">
        <w:rPr>
          <w:rFonts w:ascii="Arial" w:hAnsi="Arial" w:cs="Arial"/>
        </w:rPr>
        <w:instrText>ADDIN CSL_CITATION {"citationItems":[{"id":"ITEM-1","itemData":{"DOI":"10.1093/EURHEARTJ/EHAB368","ISSN":"0195-668X","PMID":"34447992","author":[{"dropping-particle":"","family":"McDonagh","given":"Theresa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Journal","id":"ITEM-1","issue":"36","issued":{"date-parts":[["2021","9","21"]]},"page":"3599-3726","publisher":"Oxford University Press, Gb","title":"2021 ESC Guidelines for the diagnosis and treatment of acute and chronic heart  failure.","type":"article-journal","volume":"42"},"uris":["http://www.mendeley.com/documents/?uuid=8794b8f4-60fd-3779-bdef-8728849d7db3"]}],"mendeley":{"formattedCitation":"(18)","plainTextFormattedCitation":"(18)","previouslyFormattedCitation":"(18)"},"properties":{"noteIndex":0},"schema":"https://github.com/citation-style-language/schema/raw/master/csl-citation.json"}</w:instrText>
      </w:r>
      <w:r w:rsidR="00FB7299" w:rsidRPr="004661E9">
        <w:rPr>
          <w:rFonts w:ascii="Arial" w:hAnsi="Arial" w:cs="Arial"/>
        </w:rPr>
        <w:fldChar w:fldCharType="separate"/>
      </w:r>
      <w:r w:rsidR="000962ED" w:rsidRPr="004661E9">
        <w:rPr>
          <w:rFonts w:ascii="Arial" w:hAnsi="Arial" w:cs="Arial"/>
          <w:noProof/>
        </w:rPr>
        <w:t>(18)</w:t>
      </w:r>
      <w:r w:rsidR="00FB7299" w:rsidRPr="004661E9">
        <w:rPr>
          <w:rFonts w:ascii="Arial" w:hAnsi="Arial" w:cs="Arial"/>
        </w:rPr>
        <w:fldChar w:fldCharType="end"/>
      </w:r>
      <w:r w:rsidR="00A80DC6" w:rsidRPr="004661E9">
        <w:rPr>
          <w:rFonts w:ascii="Arial" w:hAnsi="Arial" w:cs="Arial"/>
        </w:rPr>
        <w:t>.</w:t>
      </w:r>
    </w:p>
    <w:p w14:paraId="5DC5D3A6" w14:textId="1BC0A561" w:rsidR="00100E28" w:rsidRPr="004661E9" w:rsidRDefault="006D08DF" w:rsidP="004661E9">
      <w:pPr>
        <w:spacing w:after="0" w:line="276" w:lineRule="auto"/>
        <w:rPr>
          <w:rFonts w:ascii="Arial" w:hAnsi="Arial" w:cs="Arial"/>
        </w:rPr>
      </w:pPr>
      <w:r w:rsidRPr="004661E9">
        <w:rPr>
          <w:rFonts w:ascii="Arial" w:hAnsi="Arial" w:cs="Arial"/>
        </w:rPr>
        <w:t xml:space="preserve"> </w:t>
      </w:r>
    </w:p>
    <w:p w14:paraId="095570F5" w14:textId="1D615A9E" w:rsidR="00E50BCF" w:rsidRPr="004661E9" w:rsidRDefault="009B439A" w:rsidP="004661E9">
      <w:pPr>
        <w:spacing w:after="0" w:line="276" w:lineRule="auto"/>
        <w:rPr>
          <w:rFonts w:ascii="Arial" w:hAnsi="Arial" w:cs="Arial"/>
        </w:rPr>
      </w:pPr>
      <w:r w:rsidRPr="004661E9">
        <w:rPr>
          <w:rFonts w:ascii="Arial" w:hAnsi="Arial" w:cs="Arial"/>
        </w:rPr>
        <w:t>The</w:t>
      </w:r>
      <w:r w:rsidR="004328B9" w:rsidRPr="004661E9">
        <w:rPr>
          <w:rFonts w:ascii="Arial" w:hAnsi="Arial" w:cs="Arial"/>
        </w:rPr>
        <w:t xml:space="preserve"> main components of lifestyle changes recommended for patients with HF</w:t>
      </w:r>
      <w:r w:rsidRPr="004661E9">
        <w:rPr>
          <w:rFonts w:ascii="Arial" w:hAnsi="Arial" w:cs="Arial"/>
        </w:rPr>
        <w:t xml:space="preserve"> are physical exercise, smoking cessation, restriction of or abstinence from alcohol consumption, dietary modifications, and avoidance of obesity</w:t>
      </w:r>
      <w:r w:rsidR="00F96120" w:rsidRPr="004661E9">
        <w:rPr>
          <w:rFonts w:ascii="Arial" w:hAnsi="Arial" w:cs="Arial"/>
        </w:rPr>
        <w:t xml:space="preserve"> </w:t>
      </w:r>
      <w:r w:rsidR="00F96120" w:rsidRPr="004661E9">
        <w:rPr>
          <w:rFonts w:ascii="Arial" w:hAnsi="Arial" w:cs="Arial"/>
        </w:rPr>
        <w:fldChar w:fldCharType="begin" w:fldLock="1"/>
      </w:r>
      <w:r w:rsidR="000962ED" w:rsidRPr="004661E9">
        <w:rPr>
          <w:rFonts w:ascii="Arial" w:hAnsi="Arial" w:cs="Arial"/>
        </w:rPr>
        <w:instrText>ADDIN CSL_CITATION {"citationItems":[{"id":"ITEM-1","itemData":{"DOI":"10.1093/EURHEARTJ/EHAB368","ISSN":"0195-668X","PMID":"34447992","author":[{"dropping-particle":"","family":"McDonagh","given":"Theresa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Journal","id":"ITEM-1","issue":"36","issued":{"date-parts":[["2021","9","21"]]},"page":"3599-3726","publisher":"Oxford University Press, Gb","title":"2021 ESC Guidelines for the diagnosis and treatment of acute and chronic heart  failure.","type":"article-journal","volume":"42"},"uris":["http://www.mendeley.com/documents/?uuid=2cc1c7ef-2814-493f-9f64-867c45458bfb"]}],"mendeley":{"formattedCitation":"(18)","plainTextFormattedCitation":"(18)","previouslyFormattedCitation":"(18)"},"properties":{"noteIndex":0},"schema":"https://github.com/citation-style-language/schema/raw/master/csl-citation.json"}</w:instrText>
      </w:r>
      <w:r w:rsidR="00F96120" w:rsidRPr="004661E9">
        <w:rPr>
          <w:rFonts w:ascii="Arial" w:hAnsi="Arial" w:cs="Arial"/>
        </w:rPr>
        <w:fldChar w:fldCharType="separate"/>
      </w:r>
      <w:r w:rsidR="000962ED" w:rsidRPr="004661E9">
        <w:rPr>
          <w:rFonts w:ascii="Arial" w:hAnsi="Arial" w:cs="Arial"/>
          <w:noProof/>
        </w:rPr>
        <w:t>(18)</w:t>
      </w:r>
      <w:r w:rsidR="00F96120" w:rsidRPr="004661E9">
        <w:rPr>
          <w:rFonts w:ascii="Arial" w:hAnsi="Arial" w:cs="Arial"/>
        </w:rPr>
        <w:fldChar w:fldCharType="end"/>
      </w:r>
      <w:r w:rsidR="00A80DC6" w:rsidRPr="004661E9">
        <w:rPr>
          <w:rFonts w:ascii="Arial" w:hAnsi="Arial" w:cs="Arial"/>
        </w:rPr>
        <w:t>.</w:t>
      </w:r>
      <w:r w:rsidR="004328B9" w:rsidRPr="004661E9">
        <w:rPr>
          <w:rFonts w:ascii="Arial" w:hAnsi="Arial" w:cs="Arial"/>
        </w:rPr>
        <w:t xml:space="preserve"> </w:t>
      </w:r>
      <w:r w:rsidR="00543EDD" w:rsidRPr="004661E9">
        <w:rPr>
          <w:rFonts w:ascii="Arial" w:hAnsi="Arial" w:cs="Arial"/>
        </w:rPr>
        <w:t>ACC/AHA/HFSA</w:t>
      </w:r>
      <w:r w:rsidR="00E50BCF" w:rsidRPr="004661E9">
        <w:rPr>
          <w:rFonts w:ascii="Arial" w:hAnsi="Arial" w:cs="Arial"/>
        </w:rPr>
        <w:t xml:space="preserve"> and</w:t>
      </w:r>
      <w:r w:rsidR="004328B9" w:rsidRPr="004661E9">
        <w:rPr>
          <w:rFonts w:ascii="Arial" w:hAnsi="Arial" w:cs="Arial"/>
        </w:rPr>
        <w:t xml:space="preserve"> </w:t>
      </w:r>
      <w:r w:rsidR="00E50BCF" w:rsidRPr="004661E9">
        <w:rPr>
          <w:rFonts w:ascii="Arial" w:hAnsi="Arial" w:cs="Arial"/>
        </w:rPr>
        <w:t>ESC</w:t>
      </w:r>
      <w:r w:rsidR="00543EDD" w:rsidRPr="004661E9">
        <w:rPr>
          <w:rFonts w:ascii="Arial" w:hAnsi="Arial" w:cs="Arial"/>
        </w:rPr>
        <w:t xml:space="preserve"> guidelines</w:t>
      </w:r>
      <w:r w:rsidR="00E50BCF" w:rsidRPr="004661E9">
        <w:rPr>
          <w:rFonts w:ascii="Arial" w:hAnsi="Arial" w:cs="Arial"/>
        </w:rPr>
        <w:t xml:space="preserve"> strongly recommend regular aerobic exercise and exercise training to improve functional capacity and symptoms in patients with HF who </w:t>
      </w:r>
      <w:r w:rsidR="004328B9" w:rsidRPr="004661E9">
        <w:rPr>
          <w:rFonts w:ascii="Arial" w:hAnsi="Arial" w:cs="Arial"/>
        </w:rPr>
        <w:t>can</w:t>
      </w:r>
      <w:r w:rsidR="00E50BCF" w:rsidRPr="004661E9">
        <w:rPr>
          <w:rFonts w:ascii="Arial" w:hAnsi="Arial" w:cs="Arial"/>
        </w:rPr>
        <w:t xml:space="preserve"> participate. </w:t>
      </w:r>
      <w:r w:rsidR="00482AE1" w:rsidRPr="004661E9">
        <w:rPr>
          <w:rFonts w:ascii="Arial" w:hAnsi="Arial" w:cs="Arial"/>
        </w:rPr>
        <w:t>The ACC/AHA</w:t>
      </w:r>
      <w:r w:rsidR="004B6D98" w:rsidRPr="004661E9">
        <w:rPr>
          <w:rFonts w:ascii="Arial" w:hAnsi="Arial" w:cs="Arial"/>
        </w:rPr>
        <w:t>/HFSA</w:t>
      </w:r>
      <w:r w:rsidR="00482AE1" w:rsidRPr="004661E9">
        <w:rPr>
          <w:rFonts w:ascii="Arial" w:hAnsi="Arial" w:cs="Arial"/>
        </w:rPr>
        <w:t xml:space="preserve"> guideline indicated that </w:t>
      </w:r>
      <w:r w:rsidR="00F91664" w:rsidRPr="004661E9">
        <w:rPr>
          <w:rFonts w:ascii="Arial" w:hAnsi="Arial" w:cs="Arial"/>
        </w:rPr>
        <w:t xml:space="preserve">avoiding excessive </w:t>
      </w:r>
      <w:r w:rsidR="00482AE1" w:rsidRPr="004661E9">
        <w:rPr>
          <w:rFonts w:ascii="Arial" w:hAnsi="Arial" w:cs="Arial"/>
        </w:rPr>
        <w:t xml:space="preserve">dietary sodium </w:t>
      </w:r>
      <w:r w:rsidR="00BA33BD" w:rsidRPr="004661E9">
        <w:rPr>
          <w:rFonts w:ascii="Arial" w:hAnsi="Arial" w:cs="Arial"/>
        </w:rPr>
        <w:t>intake</w:t>
      </w:r>
      <w:r w:rsidR="00482AE1" w:rsidRPr="004661E9">
        <w:rPr>
          <w:rFonts w:ascii="Arial" w:hAnsi="Arial" w:cs="Arial"/>
        </w:rPr>
        <w:t xml:space="preserve"> is reasonable (class IIa) for patients with symptomatic HF to reduce congestive symptoms</w:t>
      </w:r>
      <w:r w:rsidR="008751D5" w:rsidRPr="004661E9">
        <w:rPr>
          <w:rFonts w:ascii="Arial" w:hAnsi="Arial" w:cs="Arial"/>
        </w:rPr>
        <w:t xml:space="preserve"> </w:t>
      </w:r>
      <w:r w:rsidR="008751D5" w:rsidRPr="004661E9">
        <w:rPr>
          <w:rFonts w:ascii="Arial" w:hAnsi="Arial" w:cs="Arial"/>
        </w:rPr>
        <w:fldChar w:fldCharType="begin" w:fldLock="1"/>
      </w:r>
      <w:r w:rsidR="00300576"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008751D5" w:rsidRPr="004661E9">
        <w:rPr>
          <w:rFonts w:ascii="Arial" w:hAnsi="Arial" w:cs="Arial"/>
        </w:rPr>
        <w:fldChar w:fldCharType="separate"/>
      </w:r>
      <w:r w:rsidR="00E0281E" w:rsidRPr="004661E9">
        <w:rPr>
          <w:rFonts w:ascii="Arial" w:hAnsi="Arial" w:cs="Arial"/>
          <w:noProof/>
        </w:rPr>
        <w:t>(3)</w:t>
      </w:r>
      <w:r w:rsidR="008751D5" w:rsidRPr="004661E9">
        <w:rPr>
          <w:rFonts w:ascii="Arial" w:hAnsi="Arial" w:cs="Arial"/>
        </w:rPr>
        <w:fldChar w:fldCharType="end"/>
      </w:r>
      <w:r w:rsidR="00A80DC6" w:rsidRPr="004661E9">
        <w:rPr>
          <w:rFonts w:ascii="Arial" w:hAnsi="Arial" w:cs="Arial"/>
        </w:rPr>
        <w:t>.</w:t>
      </w:r>
      <w:r w:rsidR="00A60B81" w:rsidRPr="004661E9">
        <w:rPr>
          <w:rFonts w:ascii="Arial" w:hAnsi="Arial" w:cs="Arial"/>
        </w:rPr>
        <w:t xml:space="preserve"> However, because of </w:t>
      </w:r>
      <w:r w:rsidR="0015065B" w:rsidRPr="004661E9">
        <w:rPr>
          <w:rFonts w:ascii="Arial" w:hAnsi="Arial" w:cs="Arial"/>
        </w:rPr>
        <w:t xml:space="preserve">a </w:t>
      </w:r>
      <w:r w:rsidR="00A60B81" w:rsidRPr="004661E9">
        <w:rPr>
          <w:rFonts w:ascii="Arial" w:hAnsi="Arial" w:cs="Arial"/>
        </w:rPr>
        <w:t xml:space="preserve">lack of </w:t>
      </w:r>
      <w:r w:rsidR="00543EDD" w:rsidRPr="004661E9">
        <w:rPr>
          <w:rFonts w:ascii="Arial" w:hAnsi="Arial" w:cs="Arial"/>
        </w:rPr>
        <w:t>affirmative</w:t>
      </w:r>
      <w:r w:rsidR="00A60B81" w:rsidRPr="004661E9">
        <w:rPr>
          <w:rFonts w:ascii="Arial" w:hAnsi="Arial" w:cs="Arial"/>
        </w:rPr>
        <w:t xml:space="preserve"> evidence from clinical trials, the guidelines did not provide precise recommendations about the limit of daily sodium intake and whether i</w:t>
      </w:r>
      <w:r w:rsidR="0015065B" w:rsidRPr="004661E9">
        <w:rPr>
          <w:rFonts w:ascii="Arial" w:hAnsi="Arial" w:cs="Arial"/>
        </w:rPr>
        <w:t>t</w:t>
      </w:r>
      <w:r w:rsidR="00A60B81" w:rsidRPr="004661E9">
        <w:rPr>
          <w:rFonts w:ascii="Arial" w:hAnsi="Arial" w:cs="Arial"/>
        </w:rPr>
        <w:t xml:space="preserve"> should vary depending o</w:t>
      </w:r>
      <w:r w:rsidR="0015065B" w:rsidRPr="004661E9">
        <w:rPr>
          <w:rFonts w:ascii="Arial" w:hAnsi="Arial" w:cs="Arial"/>
        </w:rPr>
        <w:t>n</w:t>
      </w:r>
      <w:r w:rsidR="00A60B81" w:rsidRPr="004661E9">
        <w:rPr>
          <w:rFonts w:ascii="Arial" w:hAnsi="Arial" w:cs="Arial"/>
        </w:rPr>
        <w:t xml:space="preserve"> </w:t>
      </w:r>
      <w:r w:rsidR="00543EDD" w:rsidRPr="004661E9">
        <w:rPr>
          <w:rFonts w:ascii="Arial" w:hAnsi="Arial" w:cs="Arial"/>
        </w:rPr>
        <w:t xml:space="preserve">the </w:t>
      </w:r>
      <w:r w:rsidR="00A60B81" w:rsidRPr="004661E9">
        <w:rPr>
          <w:rFonts w:ascii="Arial" w:hAnsi="Arial" w:cs="Arial"/>
        </w:rPr>
        <w:t>type, stage, or severity of HF</w:t>
      </w:r>
      <w:r w:rsidR="00787C52" w:rsidRPr="004661E9">
        <w:rPr>
          <w:rFonts w:ascii="Arial" w:hAnsi="Arial" w:cs="Arial"/>
        </w:rPr>
        <w:t xml:space="preserve"> or comorbidities</w:t>
      </w:r>
      <w:r w:rsidR="00A60B81" w:rsidRPr="004661E9">
        <w:rPr>
          <w:rFonts w:ascii="Arial" w:hAnsi="Arial" w:cs="Arial"/>
        </w:rPr>
        <w:t>.</w:t>
      </w:r>
      <w:r w:rsidR="00787C52" w:rsidRPr="004661E9">
        <w:rPr>
          <w:rFonts w:ascii="Arial" w:hAnsi="Arial" w:cs="Arial"/>
        </w:rPr>
        <w:t xml:space="preserve"> </w:t>
      </w:r>
    </w:p>
    <w:p w14:paraId="684F76F3" w14:textId="77777777" w:rsidR="00A80DC6" w:rsidRPr="004661E9" w:rsidRDefault="00A80DC6" w:rsidP="004661E9">
      <w:pPr>
        <w:spacing w:after="0" w:line="276" w:lineRule="auto"/>
        <w:rPr>
          <w:rFonts w:ascii="Arial" w:hAnsi="Arial" w:cs="Arial"/>
          <w:b/>
          <w:bCs/>
        </w:rPr>
      </w:pPr>
    </w:p>
    <w:p w14:paraId="2DDB1ED4" w14:textId="2295CFBE" w:rsidR="008B6914" w:rsidRPr="004661E9" w:rsidRDefault="008B6914" w:rsidP="004661E9">
      <w:pPr>
        <w:spacing w:after="0" w:line="276" w:lineRule="auto"/>
        <w:rPr>
          <w:rFonts w:ascii="Arial" w:hAnsi="Arial" w:cs="Arial"/>
          <w:b/>
          <w:bCs/>
          <w:color w:val="00B050"/>
        </w:rPr>
      </w:pPr>
      <w:r w:rsidRPr="004661E9">
        <w:rPr>
          <w:rFonts w:ascii="Arial" w:hAnsi="Arial" w:cs="Arial"/>
          <w:b/>
          <w:bCs/>
          <w:color w:val="00B050"/>
        </w:rPr>
        <w:t xml:space="preserve">Diuretic Therapy in </w:t>
      </w:r>
      <w:r w:rsidR="004B4E14" w:rsidRPr="004661E9">
        <w:rPr>
          <w:rFonts w:ascii="Arial" w:hAnsi="Arial" w:cs="Arial"/>
          <w:b/>
          <w:bCs/>
          <w:color w:val="00B050"/>
        </w:rPr>
        <w:t>HF</w:t>
      </w:r>
    </w:p>
    <w:p w14:paraId="6A3F8026" w14:textId="77777777" w:rsidR="00A80DC6" w:rsidRPr="004661E9" w:rsidRDefault="00A80DC6" w:rsidP="004661E9">
      <w:pPr>
        <w:spacing w:after="0" w:line="276" w:lineRule="auto"/>
        <w:rPr>
          <w:rFonts w:ascii="Arial" w:hAnsi="Arial" w:cs="Arial"/>
        </w:rPr>
      </w:pPr>
    </w:p>
    <w:p w14:paraId="4A3A6ADB" w14:textId="1F5DA904" w:rsidR="008B6914" w:rsidRPr="004661E9" w:rsidRDefault="004A556B" w:rsidP="004661E9">
      <w:pPr>
        <w:spacing w:after="0" w:line="276" w:lineRule="auto"/>
        <w:rPr>
          <w:rFonts w:ascii="Arial" w:hAnsi="Arial" w:cs="Arial"/>
        </w:rPr>
      </w:pPr>
      <w:r w:rsidRPr="004661E9">
        <w:rPr>
          <w:rFonts w:ascii="Arial" w:hAnsi="Arial" w:cs="Arial"/>
        </w:rPr>
        <w:t xml:space="preserve">Diuretics increase urinary sodium excretion and reduce physical signs and symptoms of congestion in </w:t>
      </w:r>
      <w:r w:rsidR="00543EDD" w:rsidRPr="004661E9">
        <w:rPr>
          <w:rFonts w:ascii="Arial" w:hAnsi="Arial" w:cs="Arial"/>
        </w:rPr>
        <w:t>HF patients by inhibiting sodium or chloride reabsorption</w:t>
      </w:r>
      <w:r w:rsidRPr="004661E9">
        <w:rPr>
          <w:rFonts w:ascii="Arial" w:hAnsi="Arial" w:cs="Arial"/>
        </w:rPr>
        <w:t xml:space="preserve"> in the renal tubules. Loop diuretics such as bumetanide, furosemide, and torsemide act </w:t>
      </w:r>
      <w:r w:rsidR="00E00564" w:rsidRPr="004661E9">
        <w:rPr>
          <w:rFonts w:ascii="Arial" w:hAnsi="Arial" w:cs="Arial"/>
        </w:rPr>
        <w:t>in</w:t>
      </w:r>
      <w:r w:rsidRPr="004661E9">
        <w:rPr>
          <w:rFonts w:ascii="Arial" w:hAnsi="Arial" w:cs="Arial"/>
        </w:rPr>
        <w:t xml:space="preserve"> the loop of Henle</w:t>
      </w:r>
      <w:r w:rsidR="00543EDD" w:rsidRPr="004661E9">
        <w:rPr>
          <w:rFonts w:ascii="Arial" w:hAnsi="Arial" w:cs="Arial"/>
        </w:rPr>
        <w:t>,</w:t>
      </w:r>
      <w:r w:rsidR="00007309" w:rsidRPr="004661E9">
        <w:rPr>
          <w:rFonts w:ascii="Arial" w:hAnsi="Arial" w:cs="Arial"/>
        </w:rPr>
        <w:t xml:space="preserve"> w</w:t>
      </w:r>
      <w:r w:rsidRPr="004661E9">
        <w:rPr>
          <w:rFonts w:ascii="Arial" w:hAnsi="Arial" w:cs="Arial"/>
        </w:rPr>
        <w:t xml:space="preserve">hereas thiazide diuretics such as hydrochlorothiazide, metolazone, </w:t>
      </w:r>
      <w:r w:rsidR="00CC6B9C" w:rsidRPr="004661E9">
        <w:rPr>
          <w:rFonts w:ascii="Arial" w:hAnsi="Arial" w:cs="Arial"/>
        </w:rPr>
        <w:t>chlorthalidone</w:t>
      </w:r>
      <w:r w:rsidRPr="004661E9">
        <w:rPr>
          <w:rFonts w:ascii="Arial" w:hAnsi="Arial" w:cs="Arial"/>
        </w:rPr>
        <w:t>, and potassium-sparing diuretics such as spironolactone, eplerenone</w:t>
      </w:r>
      <w:r w:rsidR="00E00564" w:rsidRPr="004661E9">
        <w:rPr>
          <w:rFonts w:ascii="Arial" w:hAnsi="Arial" w:cs="Arial"/>
        </w:rPr>
        <w:t>,</w:t>
      </w:r>
      <w:r w:rsidRPr="004661E9">
        <w:rPr>
          <w:rFonts w:ascii="Arial" w:hAnsi="Arial" w:cs="Arial"/>
        </w:rPr>
        <w:t xml:space="preserve"> and triamterene act </w:t>
      </w:r>
      <w:r w:rsidR="00E00564" w:rsidRPr="004661E9">
        <w:rPr>
          <w:rFonts w:ascii="Arial" w:hAnsi="Arial" w:cs="Arial"/>
        </w:rPr>
        <w:t>in</w:t>
      </w:r>
      <w:r w:rsidRPr="004661E9">
        <w:rPr>
          <w:rFonts w:ascii="Arial" w:hAnsi="Arial" w:cs="Arial"/>
        </w:rPr>
        <w:t xml:space="preserve"> the distal position of the tubule</w:t>
      </w:r>
      <w:r w:rsidR="00007309"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10.1093/eurheartj/ehw128","ISSN":"15229645","PMID":"27206819","author":[{"dropping-particle":"","family":"Ponikowski","given":"Piotr","non-dropping-particle":"","parse-names":false,"suffix":""},{"dropping-particle":"","family":"Voors","given":"Adriaan A. A.","non-dropping-particle":"","parse-names":false,"suffix":""},{"dropping-particle":"","family":"Anker","given":"Stefan D. D.","non-dropping-particle":"","parse-names":false,"suffix":""},{"dropping-particle":"","family":"Bueno","given":"Héctor","non-dropping-particle":"","parse-names":false,"suffix":""},{"dropping-particle":"","family":"Cleland","given":"John G.F. G.F.","non-dropping-particle":"","parse-names":false,"suffix":""},{"dropping-particle":"","family":"Coats","given":"Andrew J.S. J.S.","non-dropping-particle":"","parse-names":false,"suffix":""},{"dropping-particle":"","family":"Falk","given":"Volkmar","non-dropping-particle":"","parse-names":false,"suffix":""},{"dropping-particle":"","family":"González-Juanatey","given":"José Ramón Ramón","non-dropping-particle":"","parse-names":false,"suffix":""},{"dropping-particle":"","family":"Harjola","given":"Veli Pekka Pekka","non-dropping-particle":"","parse-names":false,"suffix":""},{"dropping-particle":"","family":"Jankowska","given":"Ewa A. A.","non-dropping-particle":"","parse-names":false,"suffix":""},{"dropping-particle":"","family":"Jessup","given":"Mariell","non-dropping-particle":"","parse-names":false,"suffix":""},{"dropping-particle":"","family":"Linde","given":"Cecilia","non-dropping-particle":"","parse-names":false,"suffix":""},{"dropping-particle":"","family":"Nihoyannopoulos","given":"Petros","non-dropping-particle":"","parse-names":false,"suffix":""},{"dropping-particle":"","family":"Parissis","given":"John T. T.","non-dropping-particle":"","parse-names":false,"suffix":""},{"dropping-particle":"","family":"Pieske","given":"Burkert","non-dropping-particle":"","parse-names":false,"suffix":""},{"dropping-particle":"","family":"Riley","given":"Jillian P. P.","non-dropping-particle":"","parse-names":false,"suffix":""},{"dropping-particle":"","family":"Rosano","given":"Giuseppe M.C. M.C.","non-dropping-particle":"","parse-names":false,"suffix":""},{"dropping-particle":"","family":"Ruilope","given":"Luis M. M.","non-dropping-particle":"","parse-names":false,"suffix":""},{"dropping-particle":"","family":"Ruschitzka","given":"Frank","non-dropping-particle":"","parse-names":false,"suffix":""},{"dropping-particle":"","family":"Rutten","given":"Frans H. H.","non-dropping-particle":"","parse-names":false,"suffix":""},{"dropping-particle":"","family":"Meer","given":"Peter","non-dropping-particle":"Van Der","parse-names":false,"suffix":""},{"dropping-particle":"","family":"Sisakian","given":"Hamayak S. S.","non-dropping-particle":"","parse-names":false,"suffix":""},{"dropping-particle":"","family":"Isayev","given":"Elnur","non-dropping-particle":"","parse-names":false,"suffix":""},{"dropping-particle":"","family":"Kurlianskaya","given":"Alena","non-dropping-particle":"","parse-names":false,"suffix":""},{"dropping-particle":"","family":"Mullens","given":"Wilfried","non-dropping-particle":"","parse-names":false,"suffix":""},{"dropping-particle":"","family":"Tokmakova","given":"Mariya","non-dropping-particle":"","parse-names":false,"suffix":""},{"dropping-particle":"","family":"Agathangelou","given":"Petros","non-dropping-particle":"","parse-names":false,"suffix":""},{"dropping-particle":"","family":"Melenovsky","given":"Vojtech","non-dropping-particle":"","parse-names":false,"suffix":""},{"dropping-particle":"","family":"Wiggers","given":"Henrik","non-dropping-particle":"","parse-names":false,"suffix":""},{"dropping-particle":"","family":"Hassanein","given":"Mahmoud","non-dropping-particle":"","parse-names":false,"suffix":""},{"dropping-particle":"","family":"Uuetoa","given":"Tiina","non-dropping-particle":"","parse-names":false,"suffix":""},{"dropping-particle":"","family":"Lommi","given":"Jyri","non-dropping-particle":"","parse-names":false,"suffix":""},{"dropping-particle":"","family":"Kostovska","given":"Elizabeta Srbinovska Srbinovska","non-dropping-particle":"","parse-names":false,"suffix":""},{"dropping-particle":"","family":"Juilliere","given":"Yves","non-dropping-particle":"","parse-names":false,"suffix":""},{"dropping-particle":"","family":"Aladashvili","given":"Alexander","non-dropping-particle":"","parse-names":false,"suffix":""},{"dropping-particle":"","family":"Luchner","given":"Andreas","non-dropping-particle":"","parse-names":false,"suffix":""},{"dropping-particle":"","family":"Chrysohoou","given":"Christina","non-dropping-particle":"","parse-names":false,"suffix":""},{"dropping-particle":"","family":"Nyolczas","given":"Noemi","non-dropping-particle":"","parse-names":false,"suffix":""},{"dropping-particle":"","family":"Thorgeirsson","given":"Gestur","non-dropping-particle":"","parse-names":false,"suffix":""},{"dropping-particle":"","family":"Weinstein","given":"Jean Marc Marc","non-dropping-particle":"","parse-names":false,"suffix":""},{"dropping-particle":"Di","family":"Lenarda","given":"Andrea Di","non-dropping-particle":"","parse-names":false,"suffix":""},{"dropping-particle":"","family":"Aidargaliyeva","given":"Nazipa","non-dropping-particle":"","parse-names":false,"suffix":""},{"dropping-particle":"","family":"Bajraktari","given":"Gani","non-dropping-particle":"","parse-names":false,"suffix":""},{"dropping-particle":"","family":"Beishenkulov","given":"Medet","non-dropping-particle":"","parse-names":false,"suffix":""},{"dropping-particle":"","family":"Kamzola","given":"Ginta","non-dropping-particle":"","parse-names":false,"suffix":""},{"dropping-particle":"","family":"Abdel-Massih","given":"Tony","non-dropping-particle":"","parse-names":false,"suffix":""},{"dropping-particle":"","family":"Celutkiene","given":"Jelena","non-dropping-particle":"","parse-names":false,"suffix":""},{"dropping-particle":"","family":"Noppe","given":"Stephanie","non-dropping-particle":"","parse-names":false,"suffix":""},{"dropping-particle":"","family":"Cassar","given":"Andrew","non-dropping-particle":"","parse-names":false,"suffix":""},{"dropping-particle":"","family":"Vataman","given":"Eleonora","non-dropping-particle":"","parse-names":false,"suffix":""},{"dropping-particle":"","family":"AbirKhalil","given":"Saadia","non-dropping-particle":"","parse-names":false,"suffix":""},{"dropping-particle":"","family":"Pol","given":"Petra","non-dropping-particle":"van","parse-names":false,"suffix":""},{"dropping-particle":"","family":"Mo","given":"Rune","non-dropping-particle":"","parse-names":false,"suffix":""},{"dropping-particle":"","family":"Straburzynska-Migaj","given":"Ewa","non-dropping-particle":"","parse-names":false,"suffix":""},{"dropping-particle":"","family":"Fonseca","given":"Candida","non-dropping-particle":"","parse-names":false,"suffix":""},{"dropping-particle":"","family":"Chioncel","given":"Ovidiu","non-dropping-particle":"","parse-names":false,"suffix":""},{"dropping-particle":"","family":"Shlyakhto","given":"Evgeny","non-dropping-particle":"","parse-names":false,"suffix":""},{"dropping-particle":"","family":"Zavatta","given":"Marco","non-dropping-particle":"","parse-names":false,"suffix":""},{"dropping-particle":"","family":"Otasevic","given":"Petar","non-dropping-particle":"","parse-names":false,"suffix":""},{"dropping-particle":"","family":"Goncalvesova","given":"Eva","non-dropping-particle":"","parse-names":false,"suffix":""},{"dropping-particle":"","family":"Lainscak","given":"Mitja","non-dropping-particle":"","parse-names":false,"suffix":""},{"dropping-particle":"","family":"Molina","given":"Beatriz Dıaz Dıaz","non-dropping-particle":"","parse-names":false,"suffix":""},{"dropping-particle":"","family":"Schaufelberger","given":"Maria","non-dropping-particle":"","parse-names":false,"suffix":""},{"dropping-particle":"","family":"Suter","given":"Thomas","non-dropping-particle":"","parse-names":false,"suffix":""},{"dropping-particle":"","family":"Yılmaz","given":"Mehmet Birhan Birhan","non-dropping-particle":"","parse-names":false,"suffix":""},{"dropping-particle":"","family":"Voronkov","given":"Leonid","non-dropping-particle":"","parse-names":false,"suffix":""},{"dropping-particle":"","family":"Davies","given":"Ceri","non-dropping-particle":"","parse-names":false,"suffix":""}],"container-title":"European Heart Journal","id":"ITEM-1","issue":"27","issued":{"date-parts":[["2016"]]},"page":"2129-2200m","title":"2016 ESC Guidelines for the diagnosis and treatment of acute and chronic heart failure","type":"article-journal","volume":"37"},"uris":["http://www.mendeley.com/documents/?uuid=1ec083f6-c066-41a5-af72-80099e89face"]}],"mendeley":{"formattedCitation":"(172)","plainTextFormattedCitation":"(172)","previouslyFormattedCitation":"(172)"},"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(172)</w:t>
      </w:r>
      <w:r w:rsidR="000F3AD7" w:rsidRPr="004661E9">
        <w:rPr>
          <w:rFonts w:ascii="Arial" w:hAnsi="Arial" w:cs="Arial"/>
        </w:rPr>
        <w:fldChar w:fldCharType="end"/>
      </w:r>
      <w:r w:rsidR="00007309" w:rsidRPr="004661E9">
        <w:rPr>
          <w:rFonts w:ascii="Arial" w:hAnsi="Arial" w:cs="Arial"/>
        </w:rPr>
        <w:t>.</w:t>
      </w:r>
      <w:r w:rsidR="006740FF" w:rsidRPr="004661E9">
        <w:rPr>
          <w:rFonts w:ascii="Arial" w:hAnsi="Arial" w:cs="Arial"/>
        </w:rPr>
        <w:t xml:space="preserve"> Loop diuretics</w:t>
      </w:r>
      <w:r w:rsidR="00E00564" w:rsidRPr="004661E9">
        <w:rPr>
          <w:rFonts w:ascii="Arial" w:hAnsi="Arial" w:cs="Arial"/>
        </w:rPr>
        <w:t>,</w:t>
      </w:r>
      <w:r w:rsidR="006740FF" w:rsidRPr="004661E9">
        <w:rPr>
          <w:rFonts w:ascii="Arial" w:hAnsi="Arial" w:cs="Arial"/>
        </w:rPr>
        <w:t xml:space="preserve"> which produce a shorter and more intense diuresis than thiazides, are usually the preferred agents for achieving and maint</w:t>
      </w:r>
      <w:r w:rsidR="00543EDD" w:rsidRPr="004661E9">
        <w:rPr>
          <w:rFonts w:ascii="Arial" w:hAnsi="Arial" w:cs="Arial"/>
        </w:rPr>
        <w:t>aining</w:t>
      </w:r>
      <w:r w:rsidR="006740FF" w:rsidRPr="004661E9">
        <w:rPr>
          <w:rFonts w:ascii="Arial" w:hAnsi="Arial" w:cs="Arial"/>
        </w:rPr>
        <w:t xml:space="preserve"> euvolemia</w:t>
      </w:r>
      <w:r w:rsidR="00657F7C" w:rsidRPr="004661E9">
        <w:rPr>
          <w:rFonts w:ascii="Arial" w:hAnsi="Arial" w:cs="Arial"/>
        </w:rPr>
        <w:t xml:space="preserve"> and </w:t>
      </w:r>
      <w:r w:rsidR="00E00564" w:rsidRPr="004661E9">
        <w:rPr>
          <w:rFonts w:ascii="Arial" w:hAnsi="Arial" w:cs="Arial"/>
        </w:rPr>
        <w:t>reducing</w:t>
      </w:r>
      <w:r w:rsidR="00657F7C" w:rsidRPr="004661E9">
        <w:rPr>
          <w:rFonts w:ascii="Arial" w:hAnsi="Arial" w:cs="Arial"/>
        </w:rPr>
        <w:t xml:space="preserve"> the risk of HF hospitalization</w:t>
      </w:r>
      <w:r w:rsidR="006740FF" w:rsidRPr="004661E9">
        <w:rPr>
          <w:rFonts w:ascii="Arial" w:hAnsi="Arial" w:cs="Arial"/>
        </w:rPr>
        <w:t xml:space="preserve"> in patients with HF. Large</w:t>
      </w:r>
      <w:r w:rsidR="00543EDD" w:rsidRPr="004661E9">
        <w:rPr>
          <w:rFonts w:ascii="Arial" w:hAnsi="Arial" w:cs="Arial"/>
        </w:rPr>
        <w:t>-</w:t>
      </w:r>
      <w:r w:rsidR="006740FF" w:rsidRPr="004661E9">
        <w:rPr>
          <w:rFonts w:ascii="Arial" w:hAnsi="Arial" w:cs="Arial"/>
        </w:rPr>
        <w:t xml:space="preserve">scale RCTs have not evaluated the effects of </w:t>
      </w:r>
      <w:r w:rsidR="00E00564" w:rsidRPr="004661E9">
        <w:rPr>
          <w:rFonts w:ascii="Arial" w:hAnsi="Arial" w:cs="Arial"/>
        </w:rPr>
        <w:t xml:space="preserve">the </w:t>
      </w:r>
      <w:r w:rsidR="006740FF" w:rsidRPr="004661E9">
        <w:rPr>
          <w:rFonts w:ascii="Arial" w:hAnsi="Arial" w:cs="Arial"/>
        </w:rPr>
        <w:t xml:space="preserve">loop and thiazide diuretics on mortality and morbidity in patients with HF. </w:t>
      </w:r>
    </w:p>
    <w:p w14:paraId="3E22241B" w14:textId="5EF992F1" w:rsidR="00CC6B9C" w:rsidRPr="004661E9" w:rsidRDefault="003C254A" w:rsidP="004661E9">
      <w:pPr>
        <w:spacing w:after="0" w:line="276" w:lineRule="auto"/>
        <w:rPr>
          <w:rFonts w:ascii="Arial" w:hAnsi="Arial" w:cs="Arial"/>
        </w:rPr>
      </w:pPr>
      <w:r w:rsidRPr="004661E9">
        <w:rPr>
          <w:rFonts w:ascii="Arial" w:hAnsi="Arial" w:cs="Arial"/>
        </w:rPr>
        <w:t xml:space="preserve">   </w:t>
      </w:r>
    </w:p>
    <w:p w14:paraId="3ED003C3" w14:textId="32A8E418" w:rsidR="00126066" w:rsidRPr="004661E9" w:rsidRDefault="001714BC" w:rsidP="004661E9">
      <w:pPr>
        <w:spacing w:after="0" w:line="276" w:lineRule="auto"/>
        <w:rPr>
          <w:rFonts w:ascii="Arial" w:hAnsi="Arial" w:cs="Arial"/>
          <w:b/>
          <w:bCs/>
          <w:color w:val="00B050"/>
        </w:rPr>
      </w:pPr>
      <w:r w:rsidRPr="004661E9">
        <w:rPr>
          <w:rFonts w:ascii="Arial" w:hAnsi="Arial" w:cs="Arial"/>
          <w:b/>
          <w:bCs/>
          <w:color w:val="00B050"/>
        </w:rPr>
        <w:t>First</w:t>
      </w:r>
      <w:r w:rsidR="00543EDD" w:rsidRPr="004661E9">
        <w:rPr>
          <w:rFonts w:ascii="Arial" w:hAnsi="Arial" w:cs="Arial"/>
          <w:b/>
          <w:bCs/>
          <w:color w:val="00B050"/>
        </w:rPr>
        <w:t>-</w:t>
      </w:r>
      <w:r w:rsidRPr="004661E9">
        <w:rPr>
          <w:rFonts w:ascii="Arial" w:hAnsi="Arial" w:cs="Arial"/>
          <w:b/>
          <w:bCs/>
          <w:color w:val="00B050"/>
        </w:rPr>
        <w:t xml:space="preserve">Line </w:t>
      </w:r>
      <w:r w:rsidR="00126066" w:rsidRPr="004661E9">
        <w:rPr>
          <w:rFonts w:ascii="Arial" w:hAnsi="Arial" w:cs="Arial"/>
          <w:b/>
          <w:bCs/>
          <w:color w:val="00B050"/>
        </w:rPr>
        <w:t>Pharmacological Treatment of HFrEF</w:t>
      </w:r>
    </w:p>
    <w:p w14:paraId="1BFFDF27" w14:textId="77777777" w:rsidR="00007309" w:rsidRPr="004661E9" w:rsidRDefault="00007309" w:rsidP="004661E9">
      <w:pPr>
        <w:spacing w:after="0" w:line="276" w:lineRule="auto"/>
        <w:rPr>
          <w:rFonts w:ascii="Arial" w:hAnsi="Arial" w:cs="Arial"/>
        </w:rPr>
      </w:pPr>
    </w:p>
    <w:p w14:paraId="4D2D3584" w14:textId="33AC85A2" w:rsidR="00F732FB" w:rsidRPr="004661E9" w:rsidRDefault="00126066" w:rsidP="004661E9">
      <w:pPr>
        <w:spacing w:after="0" w:line="276" w:lineRule="auto"/>
        <w:rPr>
          <w:rFonts w:ascii="Arial" w:hAnsi="Arial" w:cs="Arial"/>
        </w:rPr>
      </w:pPr>
      <w:r w:rsidRPr="004661E9">
        <w:rPr>
          <w:rFonts w:ascii="Arial" w:hAnsi="Arial" w:cs="Arial"/>
        </w:rPr>
        <w:t>Neurohumoral antagonists (RAAS inhibitors and beta-blockers)</w:t>
      </w:r>
      <w:r w:rsidR="00FF3C12" w:rsidRPr="004661E9">
        <w:rPr>
          <w:rFonts w:ascii="Arial" w:hAnsi="Arial" w:cs="Arial"/>
        </w:rPr>
        <w:t xml:space="preserve"> and SGLT2 inhibitors </w:t>
      </w:r>
      <w:r w:rsidR="00C01698" w:rsidRPr="004661E9">
        <w:rPr>
          <w:rFonts w:ascii="Arial" w:hAnsi="Arial" w:cs="Arial"/>
        </w:rPr>
        <w:t>with proven morbidity and mortality benefits</w:t>
      </w:r>
      <w:r w:rsidR="00FF3C12" w:rsidRPr="004661E9">
        <w:rPr>
          <w:rFonts w:ascii="Arial" w:hAnsi="Arial" w:cs="Arial"/>
        </w:rPr>
        <w:t xml:space="preserve"> are </w:t>
      </w:r>
      <w:r w:rsidRPr="004661E9">
        <w:rPr>
          <w:rFonts w:ascii="Arial" w:hAnsi="Arial" w:cs="Arial"/>
        </w:rPr>
        <w:t xml:space="preserve">the cornerstone </w:t>
      </w:r>
      <w:r w:rsidR="00983DB6" w:rsidRPr="004661E9">
        <w:rPr>
          <w:rFonts w:ascii="Arial" w:hAnsi="Arial" w:cs="Arial"/>
        </w:rPr>
        <w:t>of guideline</w:t>
      </w:r>
      <w:r w:rsidR="00E00564" w:rsidRPr="004661E9">
        <w:rPr>
          <w:rFonts w:ascii="Arial" w:hAnsi="Arial" w:cs="Arial"/>
        </w:rPr>
        <w:t>-</w:t>
      </w:r>
      <w:r w:rsidR="00983DB6" w:rsidRPr="004661E9">
        <w:rPr>
          <w:rFonts w:ascii="Arial" w:hAnsi="Arial" w:cs="Arial"/>
        </w:rPr>
        <w:t>directed medical therapy for</w:t>
      </w:r>
      <w:r w:rsidRPr="004661E9">
        <w:rPr>
          <w:rFonts w:ascii="Arial" w:hAnsi="Arial" w:cs="Arial"/>
        </w:rPr>
        <w:t xml:space="preserve"> patients with chronic HFrEF</w:t>
      </w:r>
      <w:r w:rsidR="00007309"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{"citationItems":[{"id":"ITEM-1","itemData":{"DOI":"10.1016/j.jacc.2019.03.478","ISSN":"15583597","PMID":"31146820","abstract":"The 2013 (with updates in 2016 and 2017) American College of Cardiology/American Heart Association and 2016 European Society of Cardiology guidelines provide practical evidence-based clinical guidelines for the diagnosis and treatment of both acute and chronic heart failure (HF). Both guidelines address noninvasive and invasive testing to establish the diagnosis of HF with reduced ejection fraction and HF with preserved ejection fraction. Extensive trial evidence supports the use of guideline-directed medical therapy and device-based therapies for the optimal management of patients with HF with reduced ejection fraction. Specific recommendations are also provided for HF with preserved ejection fraction although the evidence is substantially weaker. Management of medical comorbidities is now addressed in both guidelines. Acute HF and end-stage disease requiring advanced therapies are also discussed. This review compares specific recommendations across the spectrum of HF phenotypes and disease severity, highlights areas where differences exist, and lists consequential studies published since the latest guidelines.","author":[{"dropping-particle":"","family":"Meer","given":"Peter","non-dropping-particle":"van der","parse-names":false,"suffix":""},{"dropping-particle":"","family":"Gaggin","given":"Hanna K.","non-dropping-particle":"","parse-names":false,"suffix":""},{"dropping-particle":"","family":"Dec","given":"G. William","non-dropping-particle":"","parse-names":false,"suffix":""}],"container-title":"Journal of the American College of Cardiology","id":"ITEM-1","issue":"21","issued":{"date-parts":[["2019"]]},"page":"2756-2768","title":"ACC/AHA Versus ESC Guidelines on Heart Failure: JACC Guideline Comparison","type":"article-journal","volume":"73"},"uris":["http://www.mendeley.com/documents/?uuid=bfebe589-dee3-4030-aaba-39d89eee6e8f"]}],"mendeley":{"formattedCitation":"(173)","plainTextFormattedCitation":"(173)","previouslyFormattedCitation":"(173)"},"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(173)</w:t>
      </w:r>
      <w:r w:rsidR="000F3AD7" w:rsidRPr="004661E9">
        <w:rPr>
          <w:rFonts w:ascii="Arial" w:hAnsi="Arial" w:cs="Arial"/>
        </w:rPr>
        <w:fldChar w:fldCharType="end"/>
      </w:r>
      <w:r w:rsidR="00007309" w:rsidRPr="004661E9">
        <w:rPr>
          <w:rFonts w:ascii="Arial" w:hAnsi="Arial" w:cs="Arial"/>
        </w:rPr>
        <w:t>.</w:t>
      </w:r>
      <w:r w:rsidRPr="004661E9">
        <w:rPr>
          <w:rFonts w:ascii="Arial" w:hAnsi="Arial" w:cs="Arial"/>
        </w:rPr>
        <w:t xml:space="preserve"> </w:t>
      </w:r>
      <w:r w:rsidR="00F732FB" w:rsidRPr="004661E9">
        <w:rPr>
          <w:rFonts w:ascii="Arial" w:hAnsi="Arial" w:cs="Arial"/>
        </w:rPr>
        <w:t xml:space="preserve">The guidelines generally do not recommend specific therapeutic approaches in patients with diabetes compared to those without diabetes. </w:t>
      </w:r>
    </w:p>
    <w:p w14:paraId="6C6AFC10" w14:textId="77777777" w:rsidR="00007309" w:rsidRPr="004661E9" w:rsidRDefault="00007309" w:rsidP="004661E9">
      <w:pPr>
        <w:spacing w:after="0" w:line="276" w:lineRule="auto"/>
        <w:rPr>
          <w:rFonts w:ascii="Arial" w:hAnsi="Arial" w:cs="Arial"/>
        </w:rPr>
      </w:pPr>
    </w:p>
    <w:p w14:paraId="5A6AF573" w14:textId="43541677" w:rsidR="006D37EE" w:rsidRPr="004661E9" w:rsidRDefault="006D37EE" w:rsidP="004661E9">
      <w:pPr>
        <w:spacing w:after="0" w:line="276" w:lineRule="auto"/>
        <w:rPr>
          <w:rFonts w:ascii="Arial" w:hAnsi="Arial" w:cs="Arial"/>
          <w:iCs/>
        </w:rPr>
      </w:pPr>
      <w:r w:rsidRPr="004661E9">
        <w:rPr>
          <w:rFonts w:ascii="Arial" w:hAnsi="Arial" w:cs="Arial"/>
          <w:iCs/>
          <w:color w:val="FF0000"/>
        </w:rPr>
        <w:t>RAAS</w:t>
      </w:r>
      <w:r w:rsidR="00914674" w:rsidRPr="004661E9">
        <w:rPr>
          <w:rFonts w:ascii="Arial" w:hAnsi="Arial" w:cs="Arial"/>
          <w:iCs/>
          <w:color w:val="FF0000"/>
        </w:rPr>
        <w:t xml:space="preserve"> </w:t>
      </w:r>
      <w:r w:rsidR="00007309" w:rsidRPr="004661E9">
        <w:rPr>
          <w:rFonts w:ascii="Arial" w:hAnsi="Arial" w:cs="Arial"/>
          <w:iCs/>
          <w:color w:val="FF0000"/>
        </w:rPr>
        <w:t>AND</w:t>
      </w:r>
      <w:r w:rsidR="00914674" w:rsidRPr="004661E9">
        <w:rPr>
          <w:rFonts w:ascii="Arial" w:hAnsi="Arial" w:cs="Arial"/>
          <w:iCs/>
          <w:color w:val="FF0000"/>
        </w:rPr>
        <w:t xml:space="preserve"> N</w:t>
      </w:r>
      <w:r w:rsidR="00007309" w:rsidRPr="004661E9">
        <w:rPr>
          <w:rFonts w:ascii="Arial" w:hAnsi="Arial" w:cs="Arial"/>
          <w:iCs/>
          <w:color w:val="FF0000"/>
        </w:rPr>
        <w:t>EPRILYSIN INHIBITORS</w:t>
      </w:r>
      <w:r w:rsidR="00007309" w:rsidRPr="004661E9">
        <w:rPr>
          <w:rFonts w:ascii="Arial" w:hAnsi="Arial" w:cs="Arial"/>
          <w:iCs/>
        </w:rPr>
        <w:t xml:space="preserve"> </w:t>
      </w:r>
    </w:p>
    <w:p w14:paraId="575FA603" w14:textId="77777777" w:rsidR="00007309" w:rsidRPr="004661E9" w:rsidRDefault="00007309" w:rsidP="004661E9">
      <w:pPr>
        <w:spacing w:after="0" w:line="276" w:lineRule="auto"/>
        <w:rPr>
          <w:rFonts w:ascii="Arial" w:hAnsi="Arial" w:cs="Arial"/>
        </w:rPr>
      </w:pPr>
    </w:p>
    <w:p w14:paraId="54571737" w14:textId="1408C74E" w:rsidR="00126066" w:rsidRPr="004661E9" w:rsidRDefault="00A86B12" w:rsidP="004661E9">
      <w:pPr>
        <w:spacing w:after="0" w:line="276" w:lineRule="auto"/>
        <w:rPr>
          <w:rFonts w:ascii="Arial" w:hAnsi="Arial" w:cs="Arial"/>
        </w:rPr>
      </w:pPr>
      <w:r w:rsidRPr="004661E9">
        <w:rPr>
          <w:rFonts w:ascii="Arial" w:hAnsi="Arial" w:cs="Arial"/>
        </w:rPr>
        <w:t xml:space="preserve">The guidelines from </w:t>
      </w:r>
      <w:r w:rsidR="00126066" w:rsidRPr="004661E9">
        <w:rPr>
          <w:rFonts w:ascii="Arial" w:hAnsi="Arial" w:cs="Arial"/>
        </w:rPr>
        <w:t>AHA/ACC</w:t>
      </w:r>
      <w:r w:rsidR="00A41D03" w:rsidRPr="004661E9">
        <w:rPr>
          <w:rFonts w:ascii="Arial" w:hAnsi="Arial" w:cs="Arial"/>
        </w:rPr>
        <w:t>/HFSA</w:t>
      </w:r>
      <w:r w:rsidRPr="004661E9">
        <w:rPr>
          <w:rFonts w:ascii="Arial" w:hAnsi="Arial" w:cs="Arial"/>
        </w:rPr>
        <w:t xml:space="preserve"> </w:t>
      </w:r>
      <w:r w:rsidRPr="004661E9">
        <w:rPr>
          <w:rFonts w:ascii="Arial" w:hAnsi="Arial" w:cs="Arial"/>
        </w:rPr>
        <w:fldChar w:fldCharType="begin" w:fldLock="1"/>
      </w:r>
      <w:r w:rsidR="00300576"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Pr="004661E9">
        <w:rPr>
          <w:rFonts w:ascii="Arial" w:hAnsi="Arial" w:cs="Arial"/>
        </w:rPr>
        <w:fldChar w:fldCharType="separate"/>
      </w:r>
      <w:r w:rsidR="00E0281E" w:rsidRPr="004661E9">
        <w:rPr>
          <w:rFonts w:ascii="Arial" w:hAnsi="Arial" w:cs="Arial"/>
          <w:noProof/>
        </w:rPr>
        <w:t>(3)</w:t>
      </w:r>
      <w:r w:rsidRPr="004661E9">
        <w:rPr>
          <w:rFonts w:ascii="Arial" w:hAnsi="Arial" w:cs="Arial"/>
        </w:rPr>
        <w:fldChar w:fldCharType="end"/>
      </w:r>
      <w:r w:rsidR="00126066" w:rsidRPr="004661E9">
        <w:rPr>
          <w:rFonts w:ascii="Arial" w:hAnsi="Arial" w:cs="Arial"/>
        </w:rPr>
        <w:t xml:space="preserve"> and ESC</w:t>
      </w:r>
      <w:r w:rsidR="004025C0" w:rsidRPr="004661E9">
        <w:rPr>
          <w:rFonts w:ascii="Arial" w:hAnsi="Arial" w:cs="Arial"/>
        </w:rPr>
        <w:t xml:space="preserve"> </w:t>
      </w:r>
      <w:r w:rsidR="004025C0" w:rsidRPr="004661E9">
        <w:rPr>
          <w:rFonts w:ascii="Arial" w:hAnsi="Arial" w:cs="Arial"/>
        </w:rPr>
        <w:fldChar w:fldCharType="begin" w:fldLock="1"/>
      </w:r>
      <w:r w:rsidR="000962ED" w:rsidRPr="004661E9">
        <w:rPr>
          <w:rFonts w:ascii="Arial" w:hAnsi="Arial" w:cs="Arial"/>
        </w:rPr>
        <w:instrText>ADDIN CSL_CITATION {"citationItems":[{"id":"ITEM-1","itemData":{"DOI":"10.1093/EURHEARTJ/EHAB368","ISSN":"0195-668X","PMID":"34447992","author":[{"dropping-particle":"","family":"McDonagh","given":"Theresa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Journal","id":"ITEM-1","issue":"36","issued":{"date-parts":[["2021","9","21"]]},"page":"3599-3726","publisher":"Oxford University Press, Gb","title":"2021 ESC Guidelines for the diagnosis and treatment of acute and chronic heart  failure.","type":"article-journal","volume":"42"},"uris":["http://www.mendeley.com/documents/?uuid=2cc1c7ef-2814-493f-9f64-867c45458bfb"]}],"mendeley":{"formattedCitation":"(18)","plainTextFormattedCitation":"(18)","previouslyFormattedCitation":"(18)"},"properties":{"noteIndex":0},"schema":"https://github.com/citation-style-language/schema/raw/master/csl-citation.json"}</w:instrText>
      </w:r>
      <w:r w:rsidR="004025C0" w:rsidRPr="004661E9">
        <w:rPr>
          <w:rFonts w:ascii="Arial" w:hAnsi="Arial" w:cs="Arial"/>
        </w:rPr>
        <w:fldChar w:fldCharType="separate"/>
      </w:r>
      <w:r w:rsidR="000962ED" w:rsidRPr="004661E9">
        <w:rPr>
          <w:rFonts w:ascii="Arial" w:hAnsi="Arial" w:cs="Arial"/>
          <w:noProof/>
        </w:rPr>
        <w:t>(18)</w:t>
      </w:r>
      <w:r w:rsidR="004025C0" w:rsidRPr="004661E9">
        <w:rPr>
          <w:rFonts w:ascii="Arial" w:hAnsi="Arial" w:cs="Arial"/>
        </w:rPr>
        <w:fldChar w:fldCharType="end"/>
      </w:r>
      <w:r w:rsidR="00126066" w:rsidRPr="004661E9">
        <w:rPr>
          <w:rFonts w:ascii="Arial" w:hAnsi="Arial" w:cs="Arial"/>
        </w:rPr>
        <w:t xml:space="preserve"> recommend</w:t>
      </w:r>
      <w:r w:rsidR="00C01698" w:rsidRPr="004661E9">
        <w:rPr>
          <w:rFonts w:ascii="Arial" w:hAnsi="Arial" w:cs="Arial"/>
        </w:rPr>
        <w:t xml:space="preserve"> (Class I)</w:t>
      </w:r>
      <w:r w:rsidR="00126066" w:rsidRPr="004661E9">
        <w:rPr>
          <w:rFonts w:ascii="Arial" w:hAnsi="Arial" w:cs="Arial"/>
        </w:rPr>
        <w:t xml:space="preserve"> the use of</w:t>
      </w:r>
      <w:r w:rsidR="001C5996" w:rsidRPr="004661E9">
        <w:rPr>
          <w:rFonts w:ascii="Arial" w:hAnsi="Arial" w:cs="Arial"/>
        </w:rPr>
        <w:t xml:space="preserve"> </w:t>
      </w:r>
      <w:r w:rsidR="00115AC0" w:rsidRPr="004661E9">
        <w:rPr>
          <w:rFonts w:ascii="Arial" w:hAnsi="Arial" w:cs="Arial"/>
        </w:rPr>
        <w:t>angiotensin receptor-neprilysin inhibitor (ARNI; sacubitril/valsartan)</w:t>
      </w:r>
      <w:r w:rsidR="00680803" w:rsidRPr="004661E9">
        <w:rPr>
          <w:rFonts w:ascii="Arial" w:hAnsi="Arial" w:cs="Arial"/>
        </w:rPr>
        <w:t xml:space="preserve"> </w:t>
      </w:r>
      <w:r w:rsidR="00E311C3" w:rsidRPr="004661E9">
        <w:rPr>
          <w:rFonts w:ascii="Arial" w:hAnsi="Arial" w:cs="Arial"/>
        </w:rPr>
        <w:t>as a first</w:t>
      </w:r>
      <w:r w:rsidR="00543EDD" w:rsidRPr="004661E9">
        <w:rPr>
          <w:rFonts w:ascii="Arial" w:hAnsi="Arial" w:cs="Arial"/>
        </w:rPr>
        <w:t>-</w:t>
      </w:r>
      <w:r w:rsidR="00E311C3" w:rsidRPr="004661E9">
        <w:rPr>
          <w:rFonts w:ascii="Arial" w:hAnsi="Arial" w:cs="Arial"/>
        </w:rPr>
        <w:t>line therapy</w:t>
      </w:r>
      <w:r w:rsidR="00C01698" w:rsidRPr="004661E9">
        <w:rPr>
          <w:rFonts w:ascii="Arial" w:hAnsi="Arial" w:cs="Arial"/>
        </w:rPr>
        <w:t xml:space="preserve"> for patients with HFrEF</w:t>
      </w:r>
      <w:r w:rsidR="00E311C3" w:rsidRPr="004661E9">
        <w:rPr>
          <w:rFonts w:ascii="Arial" w:hAnsi="Arial" w:cs="Arial"/>
        </w:rPr>
        <w:t xml:space="preserve"> (</w:t>
      </w:r>
      <w:r w:rsidR="00471A81" w:rsidRPr="004661E9">
        <w:rPr>
          <w:rFonts w:ascii="Arial" w:hAnsi="Arial" w:cs="Arial"/>
        </w:rPr>
        <w:t>New York Heart Association [</w:t>
      </w:r>
      <w:r w:rsidR="00E311C3" w:rsidRPr="004661E9">
        <w:rPr>
          <w:rFonts w:ascii="Arial" w:hAnsi="Arial" w:cs="Arial"/>
        </w:rPr>
        <w:t>NY</w:t>
      </w:r>
      <w:r w:rsidR="004D057D" w:rsidRPr="004661E9">
        <w:rPr>
          <w:rFonts w:ascii="Arial" w:hAnsi="Arial" w:cs="Arial"/>
        </w:rPr>
        <w:t>HA</w:t>
      </w:r>
      <w:r w:rsidR="00471A81" w:rsidRPr="004661E9">
        <w:rPr>
          <w:rFonts w:ascii="Arial" w:hAnsi="Arial" w:cs="Arial"/>
        </w:rPr>
        <w:t>]</w:t>
      </w:r>
      <w:r w:rsidR="004D057D" w:rsidRPr="004661E9">
        <w:rPr>
          <w:rFonts w:ascii="Arial" w:hAnsi="Arial" w:cs="Arial"/>
        </w:rPr>
        <w:t xml:space="preserve"> Class II or III</w:t>
      </w:r>
      <w:r w:rsidR="00E311C3" w:rsidRPr="004661E9">
        <w:rPr>
          <w:rFonts w:ascii="Arial" w:hAnsi="Arial" w:cs="Arial"/>
        </w:rPr>
        <w:t>)</w:t>
      </w:r>
      <w:r w:rsidR="00C01698" w:rsidRPr="004661E9">
        <w:rPr>
          <w:rFonts w:ascii="Arial" w:hAnsi="Arial" w:cs="Arial"/>
        </w:rPr>
        <w:t>.</w:t>
      </w:r>
      <w:r w:rsidR="001575BC" w:rsidRPr="004661E9">
        <w:rPr>
          <w:rFonts w:ascii="Arial" w:hAnsi="Arial" w:cs="Arial"/>
        </w:rPr>
        <w:t xml:space="preserve"> ACE</w:t>
      </w:r>
      <w:r w:rsidR="00655E15" w:rsidRPr="004661E9">
        <w:rPr>
          <w:rFonts w:ascii="Arial" w:hAnsi="Arial" w:cs="Arial"/>
        </w:rPr>
        <w:t xml:space="preserve"> </w:t>
      </w:r>
      <w:r w:rsidR="00E837C5" w:rsidRPr="004661E9">
        <w:rPr>
          <w:rFonts w:ascii="Arial" w:hAnsi="Arial" w:cs="Arial"/>
        </w:rPr>
        <w:t xml:space="preserve">inhibitors </w:t>
      </w:r>
      <w:r w:rsidR="00D2537D" w:rsidRPr="004661E9">
        <w:rPr>
          <w:rFonts w:ascii="Arial" w:hAnsi="Arial" w:cs="Arial"/>
        </w:rPr>
        <w:t>(Class I recommendation) are recommended</w:t>
      </w:r>
      <w:r w:rsidR="005A007A" w:rsidRPr="004661E9">
        <w:rPr>
          <w:rFonts w:ascii="Arial" w:hAnsi="Arial" w:cs="Arial"/>
        </w:rPr>
        <w:t xml:space="preserve"> to reduce</w:t>
      </w:r>
      <w:r w:rsidR="005648F6" w:rsidRPr="004661E9">
        <w:rPr>
          <w:rFonts w:ascii="Arial" w:hAnsi="Arial" w:cs="Arial"/>
        </w:rPr>
        <w:t xml:space="preserve"> the risk of</w:t>
      </w:r>
      <w:r w:rsidR="005A007A" w:rsidRPr="004661E9">
        <w:rPr>
          <w:rFonts w:ascii="Arial" w:hAnsi="Arial" w:cs="Arial"/>
        </w:rPr>
        <w:t xml:space="preserve"> morbidity and mortality</w:t>
      </w:r>
      <w:r w:rsidR="005648F6" w:rsidRPr="004661E9">
        <w:rPr>
          <w:rFonts w:ascii="Arial" w:hAnsi="Arial" w:cs="Arial"/>
        </w:rPr>
        <w:t xml:space="preserve"> in patients with HFrEF</w:t>
      </w:r>
      <w:r w:rsidR="005A007A" w:rsidRPr="004661E9">
        <w:rPr>
          <w:rFonts w:ascii="Arial" w:hAnsi="Arial" w:cs="Arial"/>
        </w:rPr>
        <w:t xml:space="preserve"> </w:t>
      </w:r>
      <w:r w:rsidR="00843EE6" w:rsidRPr="004661E9">
        <w:rPr>
          <w:rFonts w:ascii="Arial" w:hAnsi="Arial" w:cs="Arial"/>
        </w:rPr>
        <w:t xml:space="preserve">when </w:t>
      </w:r>
      <w:r w:rsidR="00543EDD" w:rsidRPr="004661E9">
        <w:rPr>
          <w:rFonts w:ascii="Arial" w:hAnsi="Arial" w:cs="Arial"/>
        </w:rPr>
        <w:t>using</w:t>
      </w:r>
      <w:r w:rsidR="00843EE6" w:rsidRPr="004661E9">
        <w:rPr>
          <w:rFonts w:ascii="Arial" w:hAnsi="Arial" w:cs="Arial"/>
        </w:rPr>
        <w:t xml:space="preserve"> ARNI is not feasible.</w:t>
      </w:r>
      <w:r w:rsidR="001575BC" w:rsidRPr="004661E9">
        <w:rPr>
          <w:rFonts w:ascii="Arial" w:hAnsi="Arial" w:cs="Arial"/>
        </w:rPr>
        <w:t xml:space="preserve"> </w:t>
      </w:r>
      <w:r w:rsidR="00C01698" w:rsidRPr="004661E9">
        <w:rPr>
          <w:rFonts w:ascii="Arial" w:hAnsi="Arial" w:cs="Arial"/>
        </w:rPr>
        <w:t xml:space="preserve">ARBs are considered acceptable vasodilator treatment </w:t>
      </w:r>
      <w:r w:rsidR="00C01698" w:rsidRPr="004661E9">
        <w:rPr>
          <w:rFonts w:ascii="Arial" w:hAnsi="Arial" w:cs="Arial"/>
        </w:rPr>
        <w:lastRenderedPageBreak/>
        <w:t>options (class I</w:t>
      </w:r>
      <w:r w:rsidR="00575B45" w:rsidRPr="004661E9">
        <w:rPr>
          <w:rFonts w:ascii="Arial" w:hAnsi="Arial" w:cs="Arial"/>
        </w:rPr>
        <w:t xml:space="preserve"> recommendation</w:t>
      </w:r>
      <w:r w:rsidR="00C01698" w:rsidRPr="004661E9">
        <w:rPr>
          <w:rFonts w:ascii="Arial" w:hAnsi="Arial" w:cs="Arial"/>
        </w:rPr>
        <w:t xml:space="preserve">) </w:t>
      </w:r>
      <w:r w:rsidR="005203E8" w:rsidRPr="004661E9">
        <w:rPr>
          <w:rFonts w:ascii="Arial" w:hAnsi="Arial" w:cs="Arial"/>
        </w:rPr>
        <w:t xml:space="preserve">as a first-line alternative to ACE inhibitors </w:t>
      </w:r>
      <w:r w:rsidR="00C01698" w:rsidRPr="004661E9">
        <w:rPr>
          <w:rFonts w:ascii="Arial" w:hAnsi="Arial" w:cs="Arial"/>
        </w:rPr>
        <w:t>for patients intolerant of ACE inhibitors because of cough or angioedema</w:t>
      </w:r>
      <w:r w:rsidR="009E2678" w:rsidRPr="004661E9">
        <w:rPr>
          <w:rFonts w:ascii="Arial" w:hAnsi="Arial" w:cs="Arial"/>
        </w:rPr>
        <w:t xml:space="preserve"> and when </w:t>
      </w:r>
      <w:r w:rsidR="00543EDD" w:rsidRPr="004661E9">
        <w:rPr>
          <w:rFonts w:ascii="Arial" w:hAnsi="Arial" w:cs="Arial"/>
        </w:rPr>
        <w:t>using</w:t>
      </w:r>
      <w:r w:rsidR="009E2678" w:rsidRPr="004661E9">
        <w:rPr>
          <w:rFonts w:ascii="Arial" w:hAnsi="Arial" w:cs="Arial"/>
        </w:rPr>
        <w:t xml:space="preserve"> ARNI is not </w:t>
      </w:r>
      <w:r w:rsidR="00606BF0" w:rsidRPr="004661E9">
        <w:rPr>
          <w:rFonts w:ascii="Arial" w:hAnsi="Arial" w:cs="Arial"/>
        </w:rPr>
        <w:t>feasible</w:t>
      </w:r>
      <w:r w:rsidR="00543EDD" w:rsidRPr="004661E9">
        <w:rPr>
          <w:rFonts w:ascii="Arial" w:hAnsi="Arial" w:cs="Arial"/>
        </w:rPr>
        <w:t>.</w:t>
      </w:r>
    </w:p>
    <w:p w14:paraId="76D79F4D" w14:textId="77777777" w:rsidR="00606BF0" w:rsidRPr="004661E9" w:rsidRDefault="00606BF0" w:rsidP="004661E9">
      <w:pPr>
        <w:spacing w:after="0" w:line="276" w:lineRule="auto"/>
        <w:rPr>
          <w:rFonts w:ascii="Arial" w:hAnsi="Arial" w:cs="Arial"/>
        </w:rPr>
      </w:pPr>
    </w:p>
    <w:p w14:paraId="49B1856E" w14:textId="034ABFD9" w:rsidR="00007309" w:rsidRPr="004661E9" w:rsidRDefault="008E2E52" w:rsidP="004661E9">
      <w:pPr>
        <w:spacing w:after="0" w:line="276" w:lineRule="auto"/>
        <w:rPr>
          <w:rFonts w:ascii="Arial" w:hAnsi="Arial" w:cs="Arial"/>
        </w:rPr>
      </w:pPr>
      <w:bookmarkStart w:id="22" w:name="_Hlk43804729"/>
      <w:r w:rsidRPr="004661E9">
        <w:rPr>
          <w:rFonts w:ascii="Arial" w:hAnsi="Arial" w:cs="Arial"/>
        </w:rPr>
        <w:t>Subgroup analysis</w:t>
      </w:r>
      <w:r w:rsidR="009B55A4" w:rsidRPr="004661E9">
        <w:rPr>
          <w:rFonts w:ascii="Arial" w:hAnsi="Arial" w:cs="Arial"/>
        </w:rPr>
        <w:t xml:space="preserve"> or meta-analysis</w:t>
      </w:r>
      <w:r w:rsidRPr="004661E9">
        <w:rPr>
          <w:rFonts w:ascii="Arial" w:hAnsi="Arial" w:cs="Arial"/>
        </w:rPr>
        <w:t xml:space="preserve"> of major HF </w:t>
      </w:r>
      <w:r w:rsidR="00D42EB8" w:rsidRPr="004661E9">
        <w:rPr>
          <w:rFonts w:ascii="Arial" w:hAnsi="Arial" w:cs="Arial"/>
        </w:rPr>
        <w:t>trials</w:t>
      </w:r>
      <w:r w:rsidRPr="004661E9">
        <w:rPr>
          <w:rFonts w:ascii="Arial" w:hAnsi="Arial" w:cs="Arial"/>
        </w:rPr>
        <w:t xml:space="preserve"> demonstrated that the effectiveness of RAAS</w:t>
      </w:r>
      <w:r w:rsidR="00914674" w:rsidRPr="004661E9">
        <w:rPr>
          <w:rFonts w:ascii="Arial" w:hAnsi="Arial" w:cs="Arial"/>
        </w:rPr>
        <w:t xml:space="preserve"> and neprilysin</w:t>
      </w:r>
      <w:r w:rsidRPr="004661E9">
        <w:rPr>
          <w:rFonts w:ascii="Arial" w:hAnsi="Arial" w:cs="Arial"/>
        </w:rPr>
        <w:t xml:space="preserve"> inhibitors in HF does not vary based on patients’ diabetes status</w:t>
      </w:r>
      <w:r w:rsidR="00FF3C12" w:rsidRPr="004661E9">
        <w:rPr>
          <w:rFonts w:ascii="Arial" w:hAnsi="Arial" w:cs="Arial"/>
        </w:rPr>
        <w:t>.</w:t>
      </w:r>
      <w:r w:rsidRPr="004661E9">
        <w:rPr>
          <w:rFonts w:ascii="Arial" w:hAnsi="Arial" w:cs="Arial"/>
        </w:rPr>
        <w:t xml:space="preserve"> </w:t>
      </w:r>
      <w:r w:rsidR="00FF3C12" w:rsidRPr="004661E9">
        <w:rPr>
          <w:rFonts w:ascii="Arial" w:hAnsi="Arial" w:cs="Arial"/>
        </w:rPr>
        <w:t>T</w:t>
      </w:r>
      <w:r w:rsidR="001C5996" w:rsidRPr="004661E9">
        <w:rPr>
          <w:rFonts w:ascii="Arial" w:hAnsi="Arial" w:cs="Arial"/>
        </w:rPr>
        <w:t xml:space="preserve">herapy with </w:t>
      </w:r>
      <w:r w:rsidRPr="004661E9">
        <w:rPr>
          <w:rFonts w:ascii="Arial" w:hAnsi="Arial" w:cs="Arial"/>
        </w:rPr>
        <w:t>ACE</w:t>
      </w:r>
      <w:r w:rsidR="00FF3C12" w:rsidRPr="004661E9">
        <w:rPr>
          <w:rFonts w:ascii="Arial" w:hAnsi="Arial" w:cs="Arial"/>
        </w:rPr>
        <w:t xml:space="preserve"> </w:t>
      </w:r>
      <w:r w:rsidRPr="004661E9">
        <w:rPr>
          <w:rFonts w:ascii="Arial" w:hAnsi="Arial" w:cs="Arial"/>
        </w:rPr>
        <w:t xml:space="preserve">inhibitors, ARBs, </w:t>
      </w:r>
      <w:r w:rsidR="001C5996" w:rsidRPr="004661E9">
        <w:rPr>
          <w:rFonts w:ascii="Arial" w:hAnsi="Arial" w:cs="Arial"/>
        </w:rPr>
        <w:t>or an</w:t>
      </w:r>
      <w:r w:rsidRPr="004661E9">
        <w:rPr>
          <w:rFonts w:ascii="Arial" w:hAnsi="Arial" w:cs="Arial"/>
        </w:rPr>
        <w:t xml:space="preserve"> ARNI</w:t>
      </w:r>
      <w:r w:rsidR="00FF3C12" w:rsidRPr="004661E9">
        <w:rPr>
          <w:rFonts w:ascii="Arial" w:hAnsi="Arial" w:cs="Arial"/>
        </w:rPr>
        <w:t xml:space="preserve"> reduces the risk of </w:t>
      </w:r>
      <w:r w:rsidRPr="004661E9">
        <w:rPr>
          <w:rFonts w:ascii="Arial" w:hAnsi="Arial" w:cs="Arial"/>
        </w:rPr>
        <w:t>morbidity and mortality among HF patients without</w:t>
      </w:r>
      <w:r w:rsidR="00FF3C12" w:rsidRPr="004661E9">
        <w:rPr>
          <w:rFonts w:ascii="Arial" w:hAnsi="Arial" w:cs="Arial"/>
        </w:rPr>
        <w:t xml:space="preserve"> significant effect variation based on</w:t>
      </w:r>
      <w:r w:rsidRPr="004661E9">
        <w:rPr>
          <w:rFonts w:ascii="Arial" w:hAnsi="Arial" w:cs="Arial"/>
        </w:rPr>
        <w:t xml:space="preserve"> diabetes</w:t>
      </w:r>
      <w:bookmarkEnd w:id="22"/>
      <w:r w:rsidR="00FF3C12" w:rsidRPr="004661E9">
        <w:rPr>
          <w:rFonts w:ascii="Arial" w:hAnsi="Arial" w:cs="Arial"/>
        </w:rPr>
        <w:t xml:space="preserve"> status</w:t>
      </w:r>
      <w:r w:rsidR="00007309"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{"citationItems":[{"id":"ITEM-1","itemData":{"DOI":"10.1161/CIR.0000000000000691","ISSN":"15244539","abstract":"Type 2 diabetes mellitus is a risk factor for incident heart failure and increases the risk of morbidity and mortality in patients with established disease. Secular trends in the prevalence of diabetes mellitus and heart failure forecast a growing burden of disease and underscore the need for effective therapeutic strategies. Recent clinical trials have demonstrated the shared pathophysiology between diabetes mellitus and heart failure, the synergistic effect of managing both conditions, and the potential for diabetes mellitus therapies to modulate the risk of heart failure outcomes. This scientific statement on diabetes mellitus and heart failure summarizes the epidemiology, pathophysiology, and impact of diabetes mellitus and its control on outcomes in heart failure; reviews the approach to pharmacological therapy and lifestyle modification in patients with diabetes mellitus and heart failure; highlights the value of multidisciplinary interventions to improve clinical outcomes in this population; and outlines priorities for future research.","author":[{"dropping-particle":"","family":"Dunlay","given":"Shannon M.","non-dropping-particle":"","parse-names":false,"suffix":""},{"dropping-particle":"","family":"Givertz","given":"Michael M.","non-dropping-particle":"","parse-names":false,"suffix":""},{"dropping-particle":"","family":"Aguilar","given":"David","non-dropping-particle":"","parse-names":false,"suffix":""},{"dropping-particle":"","family":"Allen","given":"Larry A.","non-dropping-particle":"","parse-names":false,"suffix":""},{"dropping-particle":"","family":"Chan","given":"Michael","non-dropping-particle":"","parse-names":false,"suffix":""},{"dropping-particle":"","family":"Desai","given":"Akshay S.","non-dropping-particle":"","parse-names":false,"suffix":""},{"dropping-particle":"","family":"Deswal","given":"Anita","non-dropping-particle":"","parse-names":false,"suffix":""},{"dropping-particle":"","family":"Dickson","given":"Victoria Vaughan","non-dropping-particle":"","parse-names":false,"suffix":""},{"dropping-particle":"","family":"Kosiborod","given":"Mikhail N.","non-dropping-particle":"","parse-names":false,"suffix":""},{"dropping-particle":"","family":"Lekavich","given":"Carolyn L.","non-dropping-particle":"","parse-names":false,"suffix":""},{"dropping-particle":"","family":"McCoy","given":"Rozalina G.","non-dropping-particle":"","parse-names":false,"suffix":""},{"dropping-particle":"","family":"Mentz","given":"Robert J.","non-dropping-particle":"","parse-names":false,"suffix":""},{"dropping-particle":"","family":"Piña","given":"Ileana L.","non-dropping-particle":"","parse-names":false,"suffix":""}],"container-title":"Circulation","id":"ITEM-1","issue":"7","issued":{"date-parts":[["2019","8","13"]]},"page":"e294-e324","publisher":"NLM (Medline)","title":"Type 2 Diabetes Mellitus and Heart Failure: A Scientific Statement From the American Heart Association and the Heart Failure Society of America: This statement does not represent an update of the 2017 ACC/AHA/HFSA heart failure guideline update","type":"article-journal","volume":"140"},"uris":["http://www.mendeley.com/documents/?uuid=d8a0ff7b-f41e-3868-bb28-789c4cd03165"]},{"id":"ITEM-2","itemData":{"DOI":"10.1093/eurheartj/ehn153","ISSN":"1522-9645","PMID":"18413309","abstract":"AIMS To determine whether the risk of adverse cardiovascular (CV) outcomes associated with diabetes differs in patients with low and preserved ejection fraction (EF) heart failure (HF). METHODS AND RESULTS We analysed outcomes in the Candesartan in Heart failure-Assessment of Reduction in Mortality and morbidity (CHARM) programme which randomized 7599 patients with symptomatic HF and a broad range of EF. The prevalence of diabetes was 28.3% in patients with preserved EF (&gt;40%) and 28.5% in those with low EF (&lt;or=40%). Diabetes was associated with a greater relative risk of CV death or HF hospitalization in patients with preserved EF [hazard ratio (HR) 2.0 (1.70-2.36)] than in patients with low EF [HR 1.60 (1.44-1.77); interaction test P = 0.0009]. For all-cause mortality, the risk conferred by diabetes was similar in both low and preserved EF groups. The effect of candesartan in reducing CV morbidity and mortality outcomes was not modified by having diabetes at baseline (P = 0.09 test for interaction). CONCLUSION Diabetes was an independent predictor of CV morbidity and mortality in patients with HF, regardless of EF. The relative risk of CV death or HF hospitalization conferred by diabetes was significantly greater in patients with preserved when compared with those with low EF HF.","author":[{"dropping-particle":"","family":"MacDonald","given":"Michael R","non-dropping-particle":"","parse-names":false,"suffix":""},{"dropping-particle":"","family":"Petrie","given":"Mark C","non-dropping-particle":"","parse-names":false,"suffix":""},{"dropping-particle":"","family":"Varyani","given":"Fumi","non-dropping-particle":"","parse-names":false,"suffix":""},{"dropping-particle":"","family":"Ostergren","given":"Jan","non-dropping-particle":"","parse-names":false,"suffix":""},{"dropping-particle":"","family":"Michelson","given":"Eric L","non-dropping-particle":"","parse-names":false,"suffix":""},{"dropping-particle":"","family":"Young","given":"James B","non-dropping-particle":"","parse-names":false,"suffix":""},{"dropping-particle":"","family":"Solomon","given":"Scott D","non-dropping-particle":"","parse-names":false,"suffix":""},{"dropping-particle":"","family":"Granger","given":"Christopher B","non-dropping-particle":"","parse-names":false,"suffix":""},{"dropping-particle":"","family":"Swedberg","given":"Karl","non-dropping-particle":"","parse-names":false,"suffix":""},{"dropping-particle":"","family":"Yusuf","given":"Salim","non-dropping-particle":"","parse-names":false,"suffix":""},{"dropping-particle":"","family":"Pfeffer","given":"Marc A","non-dropping-particle":"","parse-names":false,"suffix":""},{"dropping-particle":"V","family":"McMurray","given":"John J","non-dropping-particle":"","parse-names":false,"suffix":""},{"dropping-particle":"","family":"CHARM Investigators","given":"","non-dropping-particle":"","parse-names":false,"suffix":""}],"container-title":"European heart journal","id":"ITEM-2","issue":"11","issued":{"date-parts":[["2008","6"]]},"page":"1377-85","title":"Impact of diabetes on outcomes in patients with low and preserved ejection fraction heart failure: an analysis of the Candesartan in Heart failure: Assessment of Reduction in Mortality and morbidity (CHARM) programme.","type":"article-journal","volume":"29"},"uris":["http://www.mendeley.com/documents/?uuid=c12044fb-f201-3c42-bb84-94fd8632c617"]},{"id":"ITEM-3","itemData":{"DOI":"10.1016/S0735-1097(03)00262-6","ISSN":"07351097","abstract":"OBJECTIVES: This study sought to assess the effect of angiotensin-converting enzyme (ACE) inhibitors and beta-blockers on all-cause mortality in patients with left ventricular (LV) systolic dysfunction according to gender, race, and the presence of diabetes. BACKGROUND: Major randomized clinical trials have established that ACE inhibitors and beta-blockers have life-saving benefits in patients with LV systolic dysfunction. Most patients enrolled in these trials were Caucasian men. Whether an equal effect is achieved in women, non-Caucasians, and patients with major comorbidities has not been established. METHODS: The authors performed a meta-analysis of published and individual patient data from the 12 largest randomized clinical trials of ACE inhibitors and beta-blockers to produce random effects estimates of mortality for subgroups. RESULTS: Data support beneficial reductions in all-cause mortality for the use of beta-blockers in men and women, the use of ACE inhibitors and some beta-blockers in black and white patients, and the use of ACE inhibitors and beta-blockers in patients with or without diabetes. Women with symptomatic LV systolic dysfunction probably benefit from ACE inhibitors, but women with asymptomatic LV systolic dysfunction may not have reduced mortality when treated with ACE inhibitors (pooled relative risk = 0.96; 95% confidence interval: 0.75 to 1.22). The pooled estimate of three beta-blocker studies supports a beneficial effect in black patients with heart failure, but one study assessing bucindolol reported a nonsignificant increase in mortality. CONCLUSIONS: Angiotensin-converting enzyme inhibitors and beta-blockers provide life-saving benefits in most of the subpopulations assessed. Women with asymptomatic LV systolic dysfunction may not achieve a mortality benefit when treated with ACE inhibitors. © 2003 by the American College of Cardiology Foundation.","author":[{"dropping-particle":"","family":"Shekelle","given":"Paul G.","non-dropping-particle":"","parse-names":false,"suffix":""},{"dropping-particle":"","family":"Rich","given":"Michael W.","non-dropping-particle":"","parse-names":false,"suffix":""},{"dropping-particle":"","family":"Morton","given":"Sally C.","non-dropping-particle":"","parse-names":false,"suffix":""},{"dropping-particle":"","family":"Atkinson","given":"Sid W.","non-dropping-particle":"","parse-names":false,"suffix":""},{"dropping-particle":"","family":"Tu","given":"Wenli","non-dropping-particle":"","parse-names":false,"suffix":""},{"dropping-particle":"","family":"Maglione","given":"Margaret","non-dropping-particle":"","parse-names":false,"suffix":""},{"dropping-particle":"","family":"Rhodes","given":"Shannon","non-dropping-particle":"","parse-names":false,"suffix":""},{"dropping-particle":"","family":"Barrett","given":"Michael","non-dropping-particle":"","parse-names":false,"suffix":""},{"dropping-particle":"","family":"Fonarow","given":"Gregg C.","non-dropping-particle":"","parse-names":false,"suffix":""},{"dropping-particle":"","family":"Greenberg","given":"Barry","non-dropping-particle":"","parse-names":false,"suffix":""},{"dropping-particle":"","family":"Heidenreich","given":"Paul A.","non-dropping-particle":"","parse-names":false,"suffix":""},{"dropping-particle":"","family":"Knabel","given":"Tom","non-dropping-particle":"","parse-names":false,"suffix":""},{"dropping-particle":"","family":"Konstam","given":"Marvin A.","non-dropping-particle":"","parse-names":false,"suffix":""},{"dropping-particle":"","family":"Steimle","given":"Anthony","non-dropping-particle":"","parse-names":false,"suffix":""},{"dropping-particle":"","family":"Stevenson","given":"Lynne Warner","non-dropping-particle":"","parse-names":false,"suffix":""}],"container-title":"Journal of the American College of Cardiology","id":"ITEM-3","issue":"9","issued":{"date-parts":[["2003","5","7"]]},"page":"1529-1538","publisher":"Elsevier Inc.","title":"Efficacy of angiotensin-converting enzyme inhibitors and beta-blockers in the management of left ventricular systolic dysfunction according to race, gender, and diabetic status: A meta-analysis of major clinical trials","type":"article-journal","volume":"41"},"uris":["http://www.mendeley.com/documents/?uuid=770f06e4-4ac1-39a9-8bf3-6e3a5cccb28d"]},{"id":"ITEM-4","itemData":{"DOI":"10.1161/CIRCHEARTFAILURE.115.002560","ISSN":"19413297","abstract":"The prevalence of pre-diabetes mellitus and its consequences in patients with heart failure and reduced ejection fraction are not known. We investigated these in the Prospective Comparison of ARNI With ACEI to Determine Impact on Global Mortality and Morbidity in Heart Failure (PARADIGM-HF) trial. Methods and Results-We examined clinical outcomes in 8399 patients with heart failure and reduced ejection fraction according to history of diabetes mellitus and glycemic status (baseline hemoglobin A1c [HbA1c]: &lt;6.0% [&lt;42 mmol/mol], 6.0%-6.4% [42-47 mmol/mol; pre-diabetes mellitus], and ≥6.5% [≥48 mmol/mol; diabetes mellitus]), in Cox regression models adjusted for known predictors of poor outcome. Patients with a history of diabetes mellitus (n=2907 [35%]) had a higher risk of the primary composite outcome of heart failure hospitalization or cardiovascular mortality compared with those without a history of diabetes mellitus: adjusted hazard ratio, 1.38; 95% confidence interval, 1.25 to 1.52; P&lt;0.001. HbA1c measurement showed that an additional 1106 (13% of total) patients had undiagnosed diabetes mellitus and 2103 (25%) had pre-diabetes mellitus. The hazard ratio for patients with undiagnosed diabetes mellitus (HbA1c, &gt;6.5%) and known diabetes mellitus compared with those with HbA1c&lt;6.0% was 1.39 (1.17-1.64); P&lt;0.001 and 1.64 (1.43-1.87); P&lt;0.001, respectively. Patients with pre-diabetes mellitus were also at higher risk (hazard ratio, 1.27 [1.10-1.47]; P&lt;0.001) compared with those with HbA1c&lt;6.0%. The benefit of LCZ696 (sacubitril/valsartan) compared with enalapril was consistent across the range of HbA1c in the trial. Conclusions-In patients with heart failure and reduced ejection fraction, dysglycemia is common and pre-diabetes mellitus is associated with a higher risk of adverse cardiovascular outcomes (compared with patients with no diabetes mellitus and HbA1c &lt;6.0%). LCZ696 was beneficial compared with enalapril, irrespective of glycemic status.","author":[{"dropping-particle":"","family":"Kristensen","given":"Søren L.","non-dropping-particle":"","parse-names":false,"suffix":""},{"dropping-particle":"","family":"Preiss","given":"David","non-dropping-particle":"","parse-names":false,"suffix":""},{"dropping-particle":"","family":"Jhund","given":"Pardeep S.","non-dropping-particle":"","parse-names":false,"suffix":""},{"dropping-particle":"","family":"Squire","given":"Iain","non-dropping-particle":"","parse-names":false,"suffix":""},{"dropping-particle":"","family":"Cardoso","given":"Jose Silva","non-dropping-particle":"","parse-names":false,"suffix":""},{"dropping-particle":"","family":"Merkely","given":"Bela","non-dropping-particle":"","parse-names":false,"suffix":""},{"dropping-particle":"","family":"Martinez","given":"Felipe","non-dropping-particle":"","parse-names":false,"suffix":""},{"dropping-particle":"","family":"Starling","given":"Randall C.","non-dropping-particle":"","parse-names":false,"suffix":""},{"dropping-particle":"","family":"Desai","given":"Akshay S.","non-dropping-particle":"","parse-names":false,"suffix":""},{"dropping-particle":"","family":"Lefkowitz","given":"Martin P.","non-dropping-particle":"","parse-names":false,"suffix":""},{"dropping-particle":"","family":"Rizkala","given":"Adel R.","non-dropping-particle":"","parse-names":false,"suffix":""},{"dropping-particle":"","family":"Rouleau","given":"Jean L.","non-dropping-particle":"","parse-names":false,"suffix":""},{"dropping-particle":"","family":"Shi","given":"Victor C.","non-dropping-particle":"","parse-names":false,"suffix":""},{"dropping-particle":"","family":"Solomon","given":"Scott D.","non-dropping-particle":"","parse-names":false,"suffix":""},{"dropping-particle":"","family":"Swedberg","given":"Karl","non-dropping-particle":"","parse-names":false,"suffix":""},{"dropping-particle":"","family":"Zile","given":"Michael R.","non-dropping-particle":"","parse-names":false,"suffix":""},{"dropping-particle":"","family":"McMurray","given":"John J.V.","non-dropping-particle":"","parse-names":false,"suffix":""},{"dropping-particle":"","family":"Packer","given":"Milton","non-dropping-particle":"","parse-names":false,"suffix":""}],"container-title":"Circulation: Heart Failure","id":"ITEM-4","issue":"1","issued":{"date-parts":[["2016"]]},"page":"1-12","title":"Risk Related to Pre-Diabetes Mellitus and Diabetes Mellitus in Heart Failure with Reduced Ejection Fraction: Insights from Prospective Comparison of ARNI with ACEI to Determine Impact on Global Mortality and Morbidity in Heart Failure Trial","type":"article-journal","volume":"9"},"uris":["http://www.mendeley.com/documents/?uuid=3c815d27-4d84-4c4d-8bba-b6f00dcf5589"]}],"mendeley":{"formattedCitation":"(33,61,122,174)","plainTextFormattedCitation":"(33,61,122,174)","previouslyFormattedCitation":"(33,61,122,174)"},"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(33,61,122,174)</w:t>
      </w:r>
      <w:r w:rsidR="000F3AD7" w:rsidRPr="004661E9">
        <w:rPr>
          <w:rFonts w:ascii="Arial" w:hAnsi="Arial" w:cs="Arial"/>
        </w:rPr>
        <w:fldChar w:fldCharType="end"/>
      </w:r>
      <w:r w:rsidR="00007309" w:rsidRPr="004661E9">
        <w:rPr>
          <w:rFonts w:ascii="Arial" w:hAnsi="Arial" w:cs="Arial"/>
        </w:rPr>
        <w:t>.</w:t>
      </w:r>
      <w:r w:rsidR="00904696" w:rsidRPr="004661E9">
        <w:rPr>
          <w:rFonts w:ascii="Arial" w:hAnsi="Arial" w:cs="Arial"/>
        </w:rPr>
        <w:t xml:space="preserve"> In addition, ARNI therapy </w:t>
      </w:r>
      <w:r w:rsidR="00446F4F" w:rsidRPr="004661E9">
        <w:rPr>
          <w:rFonts w:ascii="Arial" w:hAnsi="Arial" w:cs="Arial"/>
        </w:rPr>
        <w:t xml:space="preserve">provides </w:t>
      </w:r>
      <w:r w:rsidR="00543EDD" w:rsidRPr="004661E9">
        <w:rPr>
          <w:rFonts w:ascii="Arial" w:hAnsi="Arial" w:cs="Arial"/>
        </w:rPr>
        <w:t xml:space="preserve">a </w:t>
      </w:r>
      <w:r w:rsidR="00446F4F" w:rsidRPr="004661E9">
        <w:rPr>
          <w:rFonts w:ascii="Arial" w:hAnsi="Arial" w:cs="Arial"/>
        </w:rPr>
        <w:t xml:space="preserve">similar degree of </w:t>
      </w:r>
      <w:r w:rsidR="00B42C18" w:rsidRPr="004661E9">
        <w:rPr>
          <w:rFonts w:ascii="Arial" w:hAnsi="Arial" w:cs="Arial"/>
        </w:rPr>
        <w:t>natriuretic peptide improvement and cardiac reverse remodeling in patients with or withou</w:t>
      </w:r>
      <w:r w:rsidR="00543EDD" w:rsidRPr="004661E9">
        <w:rPr>
          <w:rFonts w:ascii="Arial" w:hAnsi="Arial" w:cs="Arial"/>
        </w:rPr>
        <w:t>t</w:t>
      </w:r>
      <w:r w:rsidR="00FF3C12" w:rsidRPr="004661E9">
        <w:rPr>
          <w:rFonts w:ascii="Arial" w:hAnsi="Arial" w:cs="Arial"/>
        </w:rPr>
        <w:t xml:space="preserve"> diabetes</w:t>
      </w:r>
      <w:r w:rsidR="00B42C18" w:rsidRPr="004661E9">
        <w:rPr>
          <w:rFonts w:ascii="Arial" w:hAnsi="Arial" w:cs="Arial"/>
        </w:rPr>
        <w:t xml:space="preserve"> </w:t>
      </w:r>
      <w:r w:rsidR="003E00DC" w:rsidRPr="004661E9">
        <w:rPr>
          <w:rFonts w:ascii="Arial" w:hAnsi="Arial" w:cs="Arial"/>
        </w:rPr>
        <w:fldChar w:fldCharType="begin" w:fldLock="1"/>
      </w:r>
      <w:r w:rsidR="001C412B" w:rsidRPr="004661E9">
        <w:rPr>
          <w:rFonts w:ascii="Arial" w:hAnsi="Arial" w:cs="Arial"/>
        </w:rPr>
        <w:instrText>ADDIN CSL_CITATION {"citationItems":[{"id":"ITEM-1","itemData":{"DOI":"10.1016/J.JCHF.2020.09.014","ISSN":"2213-1779","PMID":"33309581","abstract":"Objective: This study sought to determine whether patients with heart failure and reduced ejection fraction (HFrEF) with type 2 diabetes mellitus (T2DM) have similar reverse cardiac remodeling with sacubitril/valsartan as patients without T2DM. Background: Sacubitril/valsartan promotes reverse cardiac remodeling and improves outcomes in patients with HFrEF. Patients with HFrEF with T2DM have worse prognosis than those without T2DM. Methods: In this post hoc analysis of PROVE-HF (Prospective Study of Biomarkers, Symptom Improvement, and Ventricular Remodeling During Sacubitril/Valsartan Therapy for Heart Failure), we examined changes in N-terminal pro–b-type natriuretic peptide (NT-proBNP), measures of cardiac remodeling, and Kansas City Cardiomyopathy Questionnaire Overall Summary (KCCQ-OS) scores from baseline to 12 months following initiation of sacubitril/valsartan between patients with HFrEF with and without T2DM. Using latent growth curve modeling, we evaluated the longitudinal association between changes in NT-proBNP, left ventricular ejection fraction, and KCCQ-OS. Results: Among 794 patients enrolled, 361 (45.5%) had T2DM. NT-proBNP concentrations were modestly higher at baseline among patients with T2DM but were reduced after initiation of sacubitril/valsartan. Cross-sectional improvement was observed in left ventricular ejection fraction (T2DM: 28.3% at baseline and 37% at 12 months vs. non-T2DM: 28.1% at baseline and 38.3% at 12 months) and KCCQ-OS (T2DM: 71 at baseline and 83 at 12 months vs. non-T2DM: 76 at baseline and 88 at 12 months). Similar changes were also observed for other echocardiographic measures. In longitudinal analyses, the average NT-proBNP change was similar in patients with T2DM (–5.6% vs. –7.1% per 90-day interval; p = 0.64), whereas improvements in KCCQ-OS scores were slightly smaller (2.1 vs. 3.46 per 90-day interval; p = 0.07). Conclusions: Sacubitril/valsartan favorably affects natriuretic peptide levels, reverse cardiac remodeling, and health status in patients with HFrEF with and without T2DM. (Effects of Sacubitril/Valsartan Therapy on Biomarkers, Myocardial Remodeling and Outcomes [PROVE-HF]; NCT02887183)","author":[{"dropping-particle":"","family":"Khan","given":"Muhammad Shahzeb","non-dropping-particle":"","parse-names":false,"suffix":""},{"dropping-particle":"","family":"Felker","given":"G. Michael","non-dropping-particle":"","parse-names":false,"suffix":""},{"dropping-particle":"","family":"Piña","given":"Ileana L.","non-dropping-particle":"","parse-names":false,"suffix":""},{"dropping-particle":"","family":"Camacho","given":"Alexander","non-dropping-particle":"","parse-names":false,"suffix":""},{"dropping-particle":"","family":"Bapat","given":"Devavrat","non-dropping-particle":"","parse-names":false,"suffix":""},{"dropping-particle":"","family":"Ibrahim","given":"Nasrien E.","non-dropping-particle":"","parse-names":false,"suffix":""},{"dropping-particle":"","family":"Maisel","given":"Alan S.","non-dropping-particle":"","parse-names":false,"suffix":""},{"dropping-particle":"","family":"Prescott","given":"Margaret F.","non-dropping-particle":"","parse-names":false,"suffix":""},{"dropping-particle":"","family":"Ward","given":"Jonathan H.","non-dropping-particle":"","parse-names":false,"suffix":""},{"dropping-particle":"","family":"Solomon","given":"Scott D.","non-dropping-particle":"","parse-names":false,"suffix":""},{"dropping-particle":"","family":"Januzzi","given":"James L.","non-dropping-particle":"","parse-names":false,"suffix":""},{"dropping-particle":"","family":"Butler","given":"Javed","non-dropping-particle":"","parse-names":false,"suffix":""}],"container-title":"JACC: Heart Failure","id":"ITEM-1","issue":"2","issued":{"date-parts":[["2021","2","1"]]},"page":"137-145","publisher":"Elsevier","title":"Reverse Cardiac Remodeling Following Initiation of Sacubitril/Valsartan in Patients With Heart Failure With and Without Diabetes","type":"article-journal","volume":"9"},"uris":["http://www.mendeley.com/documents/?uuid=2df1ba90-3490-354f-9acb-d23acaada084"]}],"mendeley":{"formattedCitation":"(175)","plainTextFormattedCitation":"(175)","previouslyFormattedCitation":"(175)"},"properties":{"noteIndex":0},"schema":"https://github.com/citation-style-language/schema/raw/master/csl-citation.json"}</w:instrText>
      </w:r>
      <w:r w:rsidR="003E00DC" w:rsidRPr="004661E9">
        <w:rPr>
          <w:rFonts w:ascii="Arial" w:hAnsi="Arial" w:cs="Arial"/>
        </w:rPr>
        <w:fldChar w:fldCharType="separate"/>
      </w:r>
      <w:r w:rsidR="001C412B" w:rsidRPr="004661E9">
        <w:rPr>
          <w:rFonts w:ascii="Arial" w:hAnsi="Arial" w:cs="Arial"/>
          <w:noProof/>
        </w:rPr>
        <w:t>(175)</w:t>
      </w:r>
      <w:r w:rsidR="003E00DC" w:rsidRPr="004661E9">
        <w:rPr>
          <w:rFonts w:ascii="Arial" w:hAnsi="Arial" w:cs="Arial"/>
        </w:rPr>
        <w:fldChar w:fldCharType="end"/>
      </w:r>
      <w:r w:rsidR="00B42C18" w:rsidRPr="004661E9">
        <w:rPr>
          <w:rFonts w:ascii="Arial" w:hAnsi="Arial" w:cs="Arial"/>
        </w:rPr>
        <w:t xml:space="preserve">. </w:t>
      </w:r>
    </w:p>
    <w:p w14:paraId="2C227C0A" w14:textId="56AD1954" w:rsidR="008E2E52" w:rsidRPr="004661E9" w:rsidRDefault="008E2E52" w:rsidP="004661E9">
      <w:pPr>
        <w:spacing w:after="0" w:line="276" w:lineRule="auto"/>
        <w:rPr>
          <w:rFonts w:ascii="Arial" w:hAnsi="Arial" w:cs="Arial"/>
        </w:rPr>
      </w:pPr>
      <w:r w:rsidRPr="004661E9">
        <w:rPr>
          <w:rFonts w:ascii="Arial" w:hAnsi="Arial" w:cs="Arial"/>
        </w:rPr>
        <w:t xml:space="preserve"> </w:t>
      </w:r>
    </w:p>
    <w:p w14:paraId="41FD440E" w14:textId="6D26022D" w:rsidR="00FB5048" w:rsidRPr="004661E9" w:rsidRDefault="00E37E5A" w:rsidP="004661E9">
      <w:pPr>
        <w:spacing w:after="0" w:line="276" w:lineRule="auto"/>
        <w:rPr>
          <w:rFonts w:ascii="Arial" w:hAnsi="Arial" w:cs="Arial"/>
        </w:rPr>
      </w:pPr>
      <w:r w:rsidRPr="004661E9">
        <w:rPr>
          <w:rFonts w:ascii="Arial" w:hAnsi="Arial" w:cs="Arial"/>
        </w:rPr>
        <w:t>Post</w:t>
      </w:r>
      <w:r w:rsidR="00950391" w:rsidRPr="004661E9">
        <w:rPr>
          <w:rFonts w:ascii="Arial" w:hAnsi="Arial" w:cs="Arial"/>
        </w:rPr>
        <w:t xml:space="preserve"> </w:t>
      </w:r>
      <w:r w:rsidRPr="004661E9">
        <w:rPr>
          <w:rFonts w:ascii="Arial" w:hAnsi="Arial" w:cs="Arial"/>
        </w:rPr>
        <w:t xml:space="preserve">hoc analysis of RCTs revealed that </w:t>
      </w:r>
      <w:r w:rsidR="00A0451E" w:rsidRPr="004661E9">
        <w:rPr>
          <w:rFonts w:ascii="Arial" w:hAnsi="Arial" w:cs="Arial"/>
        </w:rPr>
        <w:t>ACE inhibitors and ARBs m</w:t>
      </w:r>
      <w:r w:rsidR="006C3EBB" w:rsidRPr="004661E9">
        <w:rPr>
          <w:rFonts w:ascii="Arial" w:hAnsi="Arial" w:cs="Arial"/>
        </w:rPr>
        <w:t>ight</w:t>
      </w:r>
      <w:r w:rsidR="00A0451E" w:rsidRPr="004661E9">
        <w:rPr>
          <w:rFonts w:ascii="Arial" w:hAnsi="Arial" w:cs="Arial"/>
        </w:rPr>
        <w:t xml:space="preserve"> reduce the risk of incident diabetes in patients with HFrEF</w:t>
      </w:r>
      <w:r w:rsidR="00007309"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{"citationItems":[{"id":"ITEM-1","itemData":{"DOI":"10.1161/CIR.0000000000000691","ISSN":"15244539","abstract":"Type 2 diabetes mellitus is a risk factor for incident heart failure and increases the risk of morbidity and mortality in patients with established disease. Secular trends in the prevalence of diabetes mellitus and heart failure forecast a growing burden of disease and underscore the need for effective therapeutic strategies. Recent clinical trials have demonstrated the shared pathophysiology between diabetes mellitus and heart failure, the synergistic effect of managing both conditions, and the potential for diabetes mellitus therapies to modulate the risk of heart failure outcomes. This scientific statement on diabetes mellitus and heart failure summarizes the epidemiology, pathophysiology, and impact of diabetes mellitus and its control on outcomes in heart failure; reviews the approach to pharmacological therapy and lifestyle modification in patients with diabetes mellitus and heart failure; highlights the value of multidisciplinary interventions to improve clinical outcomes in this population; and outlines priorities for future research.","author":[{"dropping-particle":"","family":"Dunlay","given":"Shannon M.","non-dropping-particle":"","parse-names":false,"suffix":""},{"dropping-particle":"","family":"Givertz","given":"Michael M.","non-dropping-particle":"","parse-names":false,"suffix":""},{"dropping-particle":"","family":"Aguilar","given":"David","non-dropping-particle":"","parse-names":false,"suffix":""},{"dropping-particle":"","family":"Allen","given":"Larry A.","non-dropping-particle":"","parse-names":false,"suffix":""},{"dropping-particle":"","family":"Chan","given":"Michael","non-dropping-particle":"","parse-names":false,"suffix":""},{"dropping-particle":"","family":"Desai","given":"Akshay S.","non-dropping-particle":"","parse-names":false,"suffix":""},{"dropping-particle":"","family":"Deswal","given":"Anita","non-dropping-particle":"","parse-names":false,"suffix":""},{"dropping-particle":"","family":"Dickson","given":"Victoria Vaughan","non-dropping-particle":"","parse-names":false,"suffix":""},{"dropping-particle":"","family":"Kosiborod","given":"Mikhail N.","non-dropping-particle":"","parse-names":false,"suffix":""},{"dropping-particle":"","family":"Lekavich","given":"Carolyn L.","non-dropping-particle":"","parse-names":false,"suffix":""},{"dropping-particle":"","family":"McCoy","given":"Rozalina G.","non-dropping-particle":"","parse-names":false,"suffix":""},{"dropping-particle":"","family":"Mentz","given":"Robert J.","non-dropping-particle":"","parse-names":false,"suffix":""},{"dropping-particle":"","family":"Piña","given":"Ileana L.","non-dropping-particle":"","parse-names":false,"suffix":""}],"container-title":"Circulation","id":"ITEM-1","issue":"7","issued":{"date-parts":[["2019","8","13"]]},"page":"e294-e324","publisher":"NLM (Medline)","title":"Type 2 Diabetes Mellitus and Heart Failure: A Scientific Statement From the American Heart Association and the Heart Failure Society of America: This statement does not represent an update of the 2017 ACC/AHA/HFSA heart failure guideline update","type":"article-journal","volume":"140"},"uris":["http://www.mendeley.com/documents/?uuid=d8a0ff7b-f41e-3868-bb28-789c4cd03165"]},{"id":"ITEM-2","itemData":{"ISBN":"1524-4539","PMID":"15983242","abstract":"BACKGROUND: Diabetes is a risk factor for heart failure, and both conditions are increasing. Identifying treatments that prevent both conditions will be clinically important. We previously reported that candesartan (an angiotensin receptor blocker) reduces cardiovascular mortality and heart failure hospitalizations in heart failure patients (CHARM: Candesartan in Heart Failure-Assessment of Reduction in Mortality and Morbidity Program). METHODS AND RESULTS: We assessed the impact of candesartan versus placebo on the development of diabetes, a predefined secondary outcome in a randomized, controlled, double-blind study involving 5436 of the 7601 patients with heart failure, irrespective of ejection fraction, who did not have a diagnosis of diabetes at entry into the trial. Patients received candesartan (target of 32 mg once daily) or matching placebo for 2 to 4 years. One hundred sixty-three (6.0%) individuals in the candesartan group developed diabetes, as compared with 202 (7.4%) in the placebo group (hazard ratio [HR], 0.78 with a 95% confidence interval [CI] of 0.64 to 0.96; P=0.020). The composite end point of death or diabetes occurred in 692 (25.2%) and 779 (28.6%), respectively, in the candesartan and placebo groups (HR, 0.86; 95% CI, 0.78 to 0.95; P=0.004). The results were not statistically heterogeneous in the various subgroups examined, although the apparent magnitude of benefit appeared to be smaller among those treated concomitantly with angiotensin-converting enzyme inhibitors at trial entry (HR, 0.88; 95% CI, 0.65 to 1.20) compared with those not receiving these drugs (HR, 0.71; 95% CI, 0.53 to 0.93; P for heterogeneity, 0.28). CONCLUSIONS: The angiotensin receptor blocker candesartan appears to prevent diabetes in heart failure patients, suggesting that the renin-angiotensin axis is implicated in glucose regulation.","author":[{"dropping-particle":"","family":"Yusuf","given":"S","non-dropping-particle":"","parse-names":false,"suffix":""},{"dropping-particle":"","family":"Ostergren","given":"J B","non-dropping-particle":"","parse-names":false,"suffix":""},{"dropping-particle":"","family":"Gerstein","given":"H C","non-dropping-particle":"","parse-names":false,"suffix":""},{"dropping-particle":"","family":"Pfeffer","given":"M A","non-dropping-particle":"","parse-names":false,"suffix":""},{"dropping-particle":"","family":"Swedberg","given":"K","non-dropping-particle":"","parse-names":false,"suffix":""},{"dropping-particle":"","family":"Granger","given":"C B","non-dropping-particle":"","parse-names":false,"suffix":""},{"dropping-particle":"","family":"Olofsson","given":"B","non-dropping-particle":"","parse-names":false,"suffix":""},{"dropping-particle":"","family":"Probstfield","given":"J","non-dropping-particle":"","parse-names":false,"suffix":""},{"dropping-particle":"V","family":"McMurray","given":"J","non-dropping-particle":"","parse-names":false,"suffix":""},{"dropping-particle":"","family":"Mortality","given":"Candesartan in Heart Failure-Assessment of Reduction in","non-dropping-particle":"","parse-names":false,"suffix":""},{"dropping-particle":"","family":"Morbidity Program","given":"Investigators","non-dropping-particle":"","parse-names":false,"suffix":""}],"container-title":"Circulation","id":"ITEM-2","issue":"1","issued":{"date-parts":[["2005"]]},"page":"48-53","title":"Effects of candesartan on the development of a new diagnosis of diabetes mellitus in patients with heart failure.[Erratum appears in Circulation. 2005 Oct 25;112(7):e292]","type":"article-journal","volume":"112"},"uris":["http://www.mendeley.com/documents/?uuid=908fae01-943f-3ed9-a7ea-d36c08956b78"]},{"id":"ITEM-3","itemData":{"DOI":"10.1161/01.CIR.0000054611.89228.92","ISSN":"00097322","PMID":"12628950","abstract":"Background - Diabetes mellitus is a predictor of morbidity and mortality in patients with heart failure. The effect of angiotensin-converting enzyme (ACE) inhibitors on the prevention of diabetes in patients with left ventricular dysfunction is unknown. The aim of this retrospective study was to assess the effect of the ACE inhibitor enalapril on the incidence of diabetes in the group of patients from the Montreal Heart Institute enrolled in the Studies of Left Ventricular Dysfunction (SOLVD). Methods and Results - Clinical charts were evaluated for fasting plasma glucose (FPG) levels by blinded reviewers. A diagnosis of diabetes was made when a FPG ≥ 126 mg/dL (7 mmol/L) was found at 2 visits (follow-up, 2.9 ± 1.0 years). Of the 391 patients enrolled at the Montreal Heart Institute, 291 were not diabetic (FPG &lt; 126 mg/dL without a history of diabetes), 153 of these were on enalapril and 138 were on placebo. Baseline characteristics were similar in the 2 groups. Forty patients developed diabetes during follow-up, 9 (5.9%) in the enalapril group and 31 (22.4%) in the placebo group (P&lt;0.0001). By multivariate analysis, enalapril remained the most powerful predictor for risk reduction of developing diabetes (hazard ratio, 0.22; 95% confidence intervals, 0.10 to 0.46; P&lt;0.0001). The effect of enalapril was striking in the subgroup of patients with impaired FPG (110 mg/dL [6.1 mmol/L] ≤FPG &lt; 126 mg/dL) at baseline: 1 patient (3.3%) in the enalapril group versus 12 (48.0%) in the placebo group developed diabetes (P&lt;0.0001). Conclusions - Enalapril significantly reduces the incidence of diabetes in patients with left ventricular dysfunction, especially those with impaired FPG.","author":[{"dropping-particle":"","family":"Vermes","given":"Emmanuelle","non-dropping-particle":"","parse-names":false,"suffix":""},{"dropping-particle":"","family":"Ducharme","given":"Anique","non-dropping-particle":"","parse-names":false,"suffix":""},{"dropping-particle":"","family":"Bourassa","given":"Martial G.","non-dropping-particle":"","parse-names":false,"suffix":""},{"dropping-particle":"","family":"Lessard","given":"Myriam","non-dropping-particle":"","parse-names":false,"suffix":""},{"dropping-particle":"","family":"White","given":"Michel","non-dropping-particle":"","parse-names":false,"suffix":""},{"dropping-particle":"","family":"Tardif","given":"Jean Claude","non-dropping-particle":"","parse-names":false,"suffix":""}],"container-title":"Circulation","id":"ITEM-3","issue":"9","issued":{"date-parts":[["2003","3","11"]]},"page":"1291-1296","title":"Enalapril reduces the incidence of diabetes in patients with chronic heart failure: Insight from the studies of left ventricular dysfunction (SOLVD)","type":"article-journal","volume":"107"},"uris":["http://www.mendeley.com/documents/?uuid=98773af9-2315-3432-90ff-5cf315285c1c"]}],"mendeley":{"formattedCitation":"(59,61,176)","plainTextFormattedCitation":"(59,61,176)","previouslyFormattedCitation":"(59,61,176)"},"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(59,61,176)</w:t>
      </w:r>
      <w:r w:rsidR="000F3AD7" w:rsidRPr="004661E9">
        <w:rPr>
          <w:rFonts w:ascii="Arial" w:hAnsi="Arial" w:cs="Arial"/>
        </w:rPr>
        <w:fldChar w:fldCharType="end"/>
      </w:r>
      <w:r w:rsidR="00007309" w:rsidRPr="004661E9">
        <w:rPr>
          <w:rFonts w:ascii="Arial" w:hAnsi="Arial" w:cs="Arial"/>
        </w:rPr>
        <w:t>.</w:t>
      </w:r>
      <w:r w:rsidRPr="004661E9">
        <w:rPr>
          <w:rFonts w:ascii="Arial" w:hAnsi="Arial" w:cs="Arial"/>
        </w:rPr>
        <w:t xml:space="preserve"> However, the data on the impact of </w:t>
      </w:r>
      <w:r w:rsidR="00FF3C12" w:rsidRPr="004661E9">
        <w:rPr>
          <w:rFonts w:ascii="Arial" w:hAnsi="Arial" w:cs="Arial"/>
        </w:rPr>
        <w:t>these agents</w:t>
      </w:r>
      <w:r w:rsidRPr="004661E9">
        <w:rPr>
          <w:rFonts w:ascii="Arial" w:hAnsi="Arial" w:cs="Arial"/>
        </w:rPr>
        <w:t xml:space="preserve"> on glycemic control in patients with HF and preexisting </w:t>
      </w:r>
      <w:r w:rsidR="004B4E14" w:rsidRPr="004661E9">
        <w:rPr>
          <w:rFonts w:ascii="Arial" w:hAnsi="Arial" w:cs="Arial"/>
        </w:rPr>
        <w:t>diabetes</w:t>
      </w:r>
      <w:r w:rsidRPr="004661E9">
        <w:rPr>
          <w:rFonts w:ascii="Arial" w:hAnsi="Arial" w:cs="Arial"/>
        </w:rPr>
        <w:t xml:space="preserve"> remain</w:t>
      </w:r>
      <w:r w:rsidR="00FF3C12" w:rsidRPr="004661E9">
        <w:rPr>
          <w:rFonts w:ascii="Arial" w:hAnsi="Arial" w:cs="Arial"/>
        </w:rPr>
        <w:t>s</w:t>
      </w:r>
      <w:r w:rsidRPr="004661E9">
        <w:rPr>
          <w:rFonts w:ascii="Arial" w:hAnsi="Arial" w:cs="Arial"/>
        </w:rPr>
        <w:t xml:space="preserve"> limited.</w:t>
      </w:r>
      <w:r w:rsidR="004C15AF" w:rsidRPr="004661E9">
        <w:rPr>
          <w:rFonts w:ascii="Arial" w:hAnsi="Arial" w:cs="Arial"/>
        </w:rPr>
        <w:t xml:space="preserve"> Neprilysin inhibition with sacubitril appear</w:t>
      </w:r>
      <w:r w:rsidR="006C3EBB" w:rsidRPr="004661E9">
        <w:rPr>
          <w:rFonts w:ascii="Arial" w:hAnsi="Arial" w:cs="Arial"/>
        </w:rPr>
        <w:t>s</w:t>
      </w:r>
      <w:r w:rsidR="004C15AF" w:rsidRPr="004661E9">
        <w:rPr>
          <w:rFonts w:ascii="Arial" w:hAnsi="Arial" w:cs="Arial"/>
        </w:rPr>
        <w:t xml:space="preserve"> </w:t>
      </w:r>
      <w:r w:rsidR="00523989" w:rsidRPr="004661E9">
        <w:rPr>
          <w:rFonts w:ascii="Arial" w:hAnsi="Arial" w:cs="Arial"/>
        </w:rPr>
        <w:t xml:space="preserve">to have more favorable </w:t>
      </w:r>
      <w:r w:rsidR="00543EDD" w:rsidRPr="004661E9">
        <w:rPr>
          <w:rFonts w:ascii="Arial" w:hAnsi="Arial" w:cs="Arial"/>
        </w:rPr>
        <w:t>effe</w:t>
      </w:r>
      <w:r w:rsidR="00523989" w:rsidRPr="004661E9">
        <w:rPr>
          <w:rFonts w:ascii="Arial" w:hAnsi="Arial" w:cs="Arial"/>
        </w:rPr>
        <w:t xml:space="preserve">cts on glycemic control </w:t>
      </w:r>
      <w:r w:rsidR="00543EDD" w:rsidRPr="004661E9">
        <w:rPr>
          <w:rFonts w:ascii="Arial" w:hAnsi="Arial" w:cs="Arial"/>
        </w:rPr>
        <w:t>than</w:t>
      </w:r>
      <w:r w:rsidR="00523989" w:rsidRPr="004661E9">
        <w:rPr>
          <w:rFonts w:ascii="Arial" w:hAnsi="Arial" w:cs="Arial"/>
        </w:rPr>
        <w:t xml:space="preserve"> ACE</w:t>
      </w:r>
      <w:r w:rsidR="00543EDD" w:rsidRPr="004661E9">
        <w:rPr>
          <w:rFonts w:ascii="Arial" w:hAnsi="Arial" w:cs="Arial"/>
        </w:rPr>
        <w:t xml:space="preserve"> </w:t>
      </w:r>
      <w:r w:rsidR="00523989" w:rsidRPr="004661E9">
        <w:rPr>
          <w:rFonts w:ascii="Arial" w:hAnsi="Arial" w:cs="Arial"/>
        </w:rPr>
        <w:t>inhibitors</w:t>
      </w:r>
      <w:r w:rsidR="00007309" w:rsidRPr="004661E9">
        <w:rPr>
          <w:rFonts w:ascii="Arial" w:hAnsi="Arial" w:cs="Arial"/>
        </w:rPr>
        <w:t xml:space="preserve"> </w:t>
      </w:r>
      <w:r w:rsidR="000F3AD7" w:rsidRPr="004661E9">
        <w:rPr>
          <w:rFonts w:ascii="Arial" w:hAnsi="Arial" w:cs="Arial"/>
        </w:rPr>
        <w:fldChar w:fldCharType="begin" w:fldLock="1"/>
      </w:r>
      <w:r w:rsidR="00E156CB" w:rsidRPr="004661E9">
        <w:rPr>
          <w:rFonts w:ascii="Arial" w:hAnsi="Arial" w:cs="Arial"/>
        </w:rPr>
        <w:instrText>ADDIN CSL_CITATION {"citationItems":[{"id":"ITEM-1","itemData":{"DOI":"10.1161/CIR.0000000000000691","ISSN":"15244539","abstract":"Type 2 diabetes mellitus is a risk factor for incident heart failure and increases the risk of morbidity and mortality in patients with established disease. Secular trends in the prevalence of diabetes mellitus and heart failure forecast a growing burden of disease and underscore the need for effective therapeutic strategies. Recent clinical trials have demonstrated the shared pathophysiology between diabetes mellitus and heart failure, the synergistic effect of managing both conditions, and the potential for diabetes mellitus therapies to modulate the risk of heart failure outcomes. This scientific statement on diabetes mellitus and heart failure summarizes the epidemiology, pathophysiology, and impact of diabetes mellitus and its control on outcomes in heart failure; reviews the approach to pharmacological therapy and lifestyle modification in patients with diabetes mellitus and heart failure; highlights the value of multidisciplinary interventions to improve clinical outcomes in this population; and outlines priorities for future research.","author":[{"dropping-particle":"","family":"Dunlay","given":"Shannon M.","non-dropping-particle":"","parse-names":false,"suffix":""},{"dropping-particle":"","family":"Givertz","given":"Michael M.","non-dropping-particle":"","parse-names":false,"suffix":""},{"dropping-particle":"","family":"Aguilar","given":"David","non-dropping-particle":"","parse-names":false,"suffix":""},{"dropping-particle":"","family":"Allen","given":"Larry A.","non-dropping-particle":"","parse-names":false,"suffix":""},{"dropping-particle":"","family":"Chan","given":"Michael","non-dropping-particle":"","parse-names":false,"suffix":""},{"dropping-particle":"","family":"Desai","given":"Akshay S.","non-dropping-particle":"","parse-names":false,"suffix":""},{"dropping-particle":"","family":"Deswal","given":"Anita","non-dropping-particle":"","parse-names":false,"suffix":""},{"dropping-particle":"","family":"Dickson","given":"Victoria Vaughan","non-dropping-particle":"","parse-names":false,"suffix":""},{"dropping-particle":"","family":"Kosiborod","given":"Mikhail N.","non-dropping-particle":"","parse-names":false,"suffix":""},{"dropping-particle":"","family":"Lekavich","given":"Carolyn L.","non-dropping-particle":"","parse-names":false,"suffix":""},{"dropping-particle":"","family":"McCoy","given":"Rozalina G.","non-dropping-particle":"","parse-names":false,"suffix":""},{"dropping-particle":"","family":"Mentz","given":"Robert J.","non-dropping-particle":"","parse-names":false,"suffix":""},{"dropping-particle":"","family":"Piña","given":"Ileana L.","non-dropping-particle":"","parse-names":false,"suffix":""}],"container-title":"Circulation","id":"ITEM-1","issue":"7","issued":{"date-parts":[["2019","8","13"]]},"page":"e294-e324","publisher":"NLM (Medline)","title":"Type 2 Diabetes Mellitus and Heart Failure: A Scientific Statement From the American Heart Association and the Heart Failure Society of America: This statement does not represent an update of the 2017 ACC/AHA/HFSA heart failure guideline update","type":"article-journal","volume":"140"},"uris":["http://www.mendeley.com/documents/?uuid=d8a0ff7b-f41e-3868-bb28-789c4cd03165"]}],"mendeley":{"formattedCitation":"(61)","plainTextFormattedCitation":"(61)","previouslyFormattedCitation":"(61)"},"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(61)</w:t>
      </w:r>
      <w:r w:rsidR="000F3AD7" w:rsidRPr="004661E9">
        <w:rPr>
          <w:rFonts w:ascii="Arial" w:hAnsi="Arial" w:cs="Arial"/>
        </w:rPr>
        <w:fldChar w:fldCharType="end"/>
      </w:r>
      <w:r w:rsidR="00007309" w:rsidRPr="004661E9">
        <w:rPr>
          <w:rFonts w:ascii="Arial" w:hAnsi="Arial" w:cs="Arial"/>
        </w:rPr>
        <w:t>.</w:t>
      </w:r>
      <w:r w:rsidR="00523989" w:rsidRPr="004661E9">
        <w:rPr>
          <w:rFonts w:ascii="Arial" w:hAnsi="Arial" w:cs="Arial"/>
        </w:rPr>
        <w:t xml:space="preserve"> </w:t>
      </w:r>
      <w:r w:rsidRPr="004661E9">
        <w:rPr>
          <w:rFonts w:ascii="Arial" w:hAnsi="Arial" w:cs="Arial"/>
        </w:rPr>
        <w:t xml:space="preserve">In the PARADIGM-HF trial, </w:t>
      </w:r>
      <w:r w:rsidR="004C15AF" w:rsidRPr="004661E9">
        <w:rPr>
          <w:rFonts w:ascii="Arial" w:hAnsi="Arial" w:cs="Arial"/>
        </w:rPr>
        <w:t xml:space="preserve">HFrEF </w:t>
      </w:r>
      <w:r w:rsidRPr="004661E9">
        <w:rPr>
          <w:rFonts w:ascii="Arial" w:hAnsi="Arial" w:cs="Arial"/>
        </w:rPr>
        <w:t>patients enrolled in the enalapril and sacu</w:t>
      </w:r>
      <w:r w:rsidR="006C3EBB" w:rsidRPr="004661E9">
        <w:rPr>
          <w:rFonts w:ascii="Arial" w:hAnsi="Arial" w:cs="Arial"/>
        </w:rPr>
        <w:t>b</w:t>
      </w:r>
      <w:r w:rsidRPr="004661E9">
        <w:rPr>
          <w:rFonts w:ascii="Arial" w:hAnsi="Arial" w:cs="Arial"/>
        </w:rPr>
        <w:t>itril-valsartan arms experienced an average</w:t>
      </w:r>
      <w:r w:rsidR="00FF3C12" w:rsidRPr="004661E9">
        <w:rPr>
          <w:rFonts w:ascii="Arial" w:hAnsi="Arial" w:cs="Arial"/>
        </w:rPr>
        <w:t xml:space="preserve"> of 0.16% and 0.26% HbA1c</w:t>
      </w:r>
      <w:r w:rsidRPr="004661E9">
        <w:rPr>
          <w:rFonts w:ascii="Arial" w:hAnsi="Arial" w:cs="Arial"/>
        </w:rPr>
        <w:t xml:space="preserve"> reduction after one year of treatment</w:t>
      </w:r>
      <w:r w:rsidR="00007309"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{"citationItems":[{"id":"ITEM-1","itemData":{"DOI":"10.1016/S2213-8587(17)30087-6","ISSN":"22138595","abstract":"Background Diabetes is an independent risk factor for heart failure progression. Sacubitril/valsartan, a combination angiotensin receptor-neprilysin inhibitor, improves morbidity and mortality in patients with heart failure with reduced ejection fraction (HFrEF), compared with the angiotensin-converting enzyme inhibitor enalapril, and improves peripheral insulin sensitivity in obese hypertensive patients. We aimed to investigate the effect of sacubitril/valsartan versus enalapril on HbA1c and time to first-time initiation of insulin or oral antihyperglycaemic drugs in patients with diabetes and HFrEF. Methods In a post-hoc analysis of the PARADIGM-HF trial, we included 3778 patients with known diabetes or an HbA1c ≥6·5% at screening out of 8399 patients with HFrEF who were randomly assigned to treatment with sacubitril/valsartan or enalapril. Of these patients, most (98%) had type 2 diabetes. We assessed changes in HbA1c, triglycerides, HDL cholesterol and BMI in a mixed effects longitudinal analysis model. Time to initiation of oral antihyperglycaemic drugs or insulin in subjects previously not treated with these agents were compared between treatment groups. Findings There were no significant differences in HbA1c concentrations between randomised groups at screening. During the first year of follow-up, HbA1c concentrations decreased by 0·16% (SD 1·40) in the enalapril group and 0·26% (SD 1·25) in the sacubitril/valsartan group (between-group reduction 0·13%, 95% CI 0·05–0·22, p=0·0023). HbA1c concentrations were persistently lower in the sacubitril/valsartan group than in the enalapril group over the 3-year follow-up (between-group reduction 0·14%, 95% CI 0·06–0·23, p=0·0055). New use of insulin was 29% lower in patients receiving sacubitril/valsartan (114 [7%] patients) compared with patients receiving enalapril (153 [10%]; hazard ratio 0·71, 95% CI 0·56–0·90, p=0·0052). Similarly, fewer patients were started on oral antihyperglycaemic therapy (0·77, 0·58–1·02, p=0·073) in the sacubitril/valsartan group. Interpretation Patients with diabetes and HFrEF enrolled in PARADIGM-HF who received sacubitril/valsartan had a greater long-term reduction in HbA1c than those receiving enalapril. These data suggest that sacubitril/valsartan might enhance glycaemic control in patients with diabetes and HFrEF. Funding Novartis.","author":[{"dropping-particle":"","family":"Seferovic","given":"Jelena P.","non-dropping-particle":"","parse-names":false,"suffix":""},{"dropping-particle":"","family":"Claggett","given":"Brian","non-dropping-particle":"","parse-names":false,"suffix":""},{"dropping-particle":"","family":"Seidelmann","given":"Sara B.","non-dropping-particle":"","parse-names":false,"suffix":""},{"dropping-particle":"","family":"Seely","given":"Ellen W.","non-dropping-particle":"","parse-names":false,"suffix":""},{"dropping-particle":"","family":"Packer","given":"Milton","non-dropping-particle":"","parse-names":false,"suffix":""},{"dropping-particle":"","family":"Zile","given":"Michael R.","non-dropping-particle":"","parse-names":false,"suffix":""},{"dropping-particle":"","family":"Rouleau","given":"Jean L.","non-dropping-particle":"","parse-names":false,"suffix":""},{"dropping-particle":"","family":"Swedberg","given":"Karl","non-dropping-particle":"","parse-names":false,"suffix":""},{"dropping-particle":"","family":"Lefkowitz","given":"Martin","non-dropping-particle":"","parse-names":false,"suffix":""},{"dropping-particle":"","family":"Shi","given":"Victor C.","non-dropping-particle":"","parse-names":false,"suffix":""},{"dropping-particle":"","family":"Desai","given":"Akshay S.","non-dropping-particle":"","parse-names":false,"suffix":""},{"dropping-particle":"","family":"McMurray","given":"John J.V.","non-dropping-particle":"","parse-names":false,"suffix":""},{"dropping-particle":"","family":"Solomon","given":"Scott D.","non-dropping-particle":"","parse-names":false,"suffix":""}],"container-title":"The Lancet Diabetes and Endocrinology","id":"ITEM-1","issue":"5","issued":{"date-parts":[["2017","5","1"]]},"page":"333-340","publisher":"Lancet Publishing Group","title":"Effect of sacubitril/valsartan versus enalapril on glycaemic control in patients with heart failure and diabetes: a post-hoc analysis from the PARADIGM-HF trial","type":"article-journal","volume":"5"},"uris":["http://www.mendeley.com/documents/?uuid=52dc63e1-aef0-359f-9976-388ced2d23ee"]}],"mendeley":{"formattedCitation":"(177)","plainTextFormattedCitation":"(177)","previouslyFormattedCitation":"(177)"},"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(177)</w:t>
      </w:r>
      <w:r w:rsidR="000F3AD7" w:rsidRPr="004661E9">
        <w:rPr>
          <w:rFonts w:ascii="Arial" w:hAnsi="Arial" w:cs="Arial"/>
        </w:rPr>
        <w:fldChar w:fldCharType="end"/>
      </w:r>
      <w:r w:rsidR="00007309" w:rsidRPr="004661E9">
        <w:rPr>
          <w:rFonts w:ascii="Arial" w:hAnsi="Arial" w:cs="Arial"/>
        </w:rPr>
        <w:t>.</w:t>
      </w:r>
      <w:r w:rsidR="004C15AF" w:rsidRPr="004661E9">
        <w:rPr>
          <w:rFonts w:ascii="Arial" w:hAnsi="Arial" w:cs="Arial"/>
        </w:rPr>
        <w:t xml:space="preserve"> In addition, sacubitril-valsartan use was associated with a 29% reduction in new insulin use </w:t>
      </w:r>
      <w:r w:rsidR="00543EDD" w:rsidRPr="004661E9">
        <w:rPr>
          <w:rFonts w:ascii="Arial" w:hAnsi="Arial" w:cs="Arial"/>
        </w:rPr>
        <w:t>compared to</w:t>
      </w:r>
      <w:r w:rsidR="004C15AF" w:rsidRPr="004661E9">
        <w:rPr>
          <w:rFonts w:ascii="Arial" w:hAnsi="Arial" w:cs="Arial"/>
        </w:rPr>
        <w:t xml:space="preserve"> enalapril. </w:t>
      </w:r>
    </w:p>
    <w:p w14:paraId="6487401C" w14:textId="77777777" w:rsidR="00007309" w:rsidRPr="004661E9" w:rsidRDefault="00007309" w:rsidP="004661E9">
      <w:pPr>
        <w:spacing w:after="0" w:line="276" w:lineRule="auto"/>
        <w:rPr>
          <w:rFonts w:ascii="Arial" w:hAnsi="Arial" w:cs="Arial"/>
        </w:rPr>
      </w:pPr>
    </w:p>
    <w:p w14:paraId="6C2D9994" w14:textId="2F0CA179" w:rsidR="00CF5776" w:rsidRPr="004661E9" w:rsidRDefault="004C15AF" w:rsidP="004661E9">
      <w:pPr>
        <w:spacing w:after="0" w:line="276" w:lineRule="auto"/>
        <w:rPr>
          <w:rFonts w:ascii="Arial" w:hAnsi="Arial" w:cs="Arial"/>
        </w:rPr>
      </w:pPr>
      <w:r w:rsidRPr="004661E9">
        <w:rPr>
          <w:rFonts w:ascii="Arial" w:hAnsi="Arial" w:cs="Arial"/>
        </w:rPr>
        <w:t xml:space="preserve">Diabetes confers a higher risk of diabetic nephropathy and </w:t>
      </w:r>
      <w:r w:rsidR="00AC75E6" w:rsidRPr="004661E9">
        <w:rPr>
          <w:rFonts w:ascii="Arial" w:hAnsi="Arial" w:cs="Arial"/>
        </w:rPr>
        <w:t>CKD</w:t>
      </w:r>
      <w:r w:rsidRPr="004661E9">
        <w:rPr>
          <w:rFonts w:ascii="Arial" w:hAnsi="Arial" w:cs="Arial"/>
        </w:rPr>
        <w:t>. Diabetic nephropathy can lead to increased renal sodium retention and a higher risk of hyperkalemia. Therefore, it is critical to monitor serum electrolytes and creatinine when starting or escalating the dose of RAAS inhibitors in patients with HF and diabetes</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{"citationItems":[{"id":"ITEM-1","itemData":{"DOI":"10.1002/ejhf.1170","ISSN":"13889842","abstract":"The coexistence of type 2 diabetes mellitus (T2DM) and heart failure (HF), either with reduced (HFrEF) or preserved ejection fraction (HFpEF), is frequent (30–40% of patients) and associated with a higher risk of HF hospitalization, all-cause and cardiovascular (CV) mortality. The most important causes of HF in T2DM are coronary artery disease, arterial hypertension and a direct detrimental effect of T2DM on the myocardium. T2DM is often unrecognized in HF patients, and vice versa, which emphasizes the importance of an active search for both disorders in the clinical practice. There are no specific limitations to HF treatment in T2DM. Subanalyses of trials addressing HF treatment in the general population have shown that all HF therapies are similarly effective regardless of T2DM. Concerning T2DM treatment in HF patients, most guidelines currently recommend metformin as the first-line choice. Sulphonylureas and insulin have been the traditional second- and third-line therapies although their safety in HF is equivocal. Neither glucagon-like preptide-1 (GLP-1) receptor agonists, nor dipeptidyl peptidase-4 (DPP4) inhibitors reduce the risk for HF hospitalization. Indeed, a DPP4 inhibitor, saxagliptin, has been associated with a higher risk of HF hospitalization. Thiazolidinediones (pioglitazone and rosiglitazone) are contraindicated in patients with (or at risk of) HF. In recent trials, sodium–glucose co-transporter-2 (SGLT2) inhibitors, empagliflozin and canagliflozin, have both shown a significant reduction in HF hospitalization in patients with established CV disease or at risk of CV disease. Several ongoing trials should provide an insight into the effectiveness of SGLT2 inhibitors in patients with HFrEF and HFpEF in the absence of T2DM.","author":[{"dropping-particle":"","family":"Seferović","given":"Petar M.","non-dropping-particle":"","parse-names":false,"suffix":""},{"dropping-particle":"","family":"Petrie","given":"Mark C.","non-dropping-particle":"","parse-names":false,"suffix":""},{"dropping-particle":"","family":"Filippatos","given":"Gerasimos S.","non-dropping-particle":"","parse-names":false,"suffix":""},{"dropping-particle":"","family":"Anker","given":"Stefan D.","non-dropping-particle":"","parse-names":false,"suffix":""},{"dropping-particle":"","family":"Rosano","given":"Giuseppe","non-dropping-particle":"","parse-names":false,"suffix":""},{"dropping-particle":"","family":"Bauersachs","given":"Johann","non-dropping-particle":"","parse-names":false,"suffix":""},{"dropping-particle":"","family":"Paulus","given":"Walter J.","non-dropping-particle":"","parse-names":false,"suffix":""},{"dropping-particle":"","family":"Komajda","given":"Michel","non-dropping-particle":"","parse-names":false,"suffix":""},{"dropping-particle":"","family":"Cosentino","given":"Francesco","non-dropping-particle":"","parse-names":false,"suffix":""},{"dropping-particle":"","family":"Boer","given":"Rudolf A.","non-dropping-particle":"de","parse-names":false,"suffix":""},{"dropping-particle":"","family":"Farmakis","given":"Dimitrios","non-dropping-particle":"","parse-names":false,"suffix":""},{"dropping-particle":"","family":"Doehner","given":"Wolfram","non-dropping-particle":"","parse-names":false,"suffix":""},{"dropping-particle":"","family":"Lambrinou","given":"Ekaterini","non-dropping-particle":"","parse-names":false,"suffix":""},{"dropping-particle":"","family":"Lopatin","given":"Yuri","non-dropping-particle":"","parse-names":false,"suffix":""},{"dropping-particle":"","family":"Piepoli","given":"Massimo F.","non-dropping-particle":"","parse-names":false,"suffix":""},{"dropping-particle":"","family":"Theodorakis","given":"Michael J.","non-dropping-particle":"","parse-names":false,"suffix":""},{"dropping-particle":"","family":"Wiggers","given":"Henrik","non-dropping-particle":"","parse-names":false,"suffix":""},{"dropping-particle":"","family":"Lekakis","given":"John","non-dropping-particle":"","parse-names":false,"suffix":""},{"dropping-particle":"","family":"Mebazaa","given":"Alexandre","non-dropping-particle":"","parse-names":false,"suffix":""},{"dropping-particle":"","family":"Mamas","given":"Mamas A.","non-dropping-particle":"","parse-names":false,"suffix":""},{"dropping-particle":"","family":"Tschöpe","given":"Carsten","non-dropping-particle":"","parse-names":false,"suffix":""},{"dropping-particle":"","family":"Hoes","given":"Arno W.","non-dropping-particle":"","parse-names":false,"suffix":""},{"dropping-particle":"","family":"Seferović","given":"Jelena P.","non-dropping-particle":"","parse-names":false,"suffix":""},{"dropping-particle":"","family":"Logue","given":"Jennifer","non-dropping-particle":"","parse-names":false,"suffix":""},{"dropping-particle":"","family":"McDonagh","given":"Theresa","non-dropping-particle":"","parse-names":false,"suffix":""},{"dropping-particle":"","family":"Riley","given":"Jillian P.","non-dropping-particle":"","parse-names":false,"suffix":""},{"dropping-particle":"","family":"Milinković","given":"Ivan","non-dropping-particle":"","parse-names":false,"suffix":""},{"dropping-particle":"","family":"Polovina","given":"Marija","non-dropping-particle":"","parse-names":false,"suffix":""},{"dropping-particle":"","family":"Veldhuisen","given":"Dirk J.","non-dropping-particle":"van","parse-names":false,"suffix":""},{"dropping-particle":"","family":"Lainscak","given":"Mitja","non-dropping-particle":"","parse-names":false,"suffix":""},{"dropping-particle":"","family":"Maggioni","given":"Aldo P.","non-dropping-particle":"","parse-names":false,"suffix":""},{"dropping-particle":"","family":"Ruschitzka","given":"Frank","non-dropping-particle":"","parse-names":false,"suffix":""},{"dropping-particle":"","family":"McMurray","given":"John J.V.","non-dropping-particle":"","parse-names":false,"suffix":""}],"container-title":"European Journal of Heart Failure","id":"ITEM-1","issue":"5","issued":{"date-parts":[["2018","5","1"]]},"page":"853-872","publisher":"John Wiley and Sons Ltd","title":"Type 2 diabetes mellitus and heart failure: a position statement from the Heart Failure Association of the European Society of Cardiology","type":"article-journal","volume":"20"},"uris":["http://www.mendeley.com/documents/?uuid=1e89e78d-7ba3-390a-87dc-eb3c97d7d3a9"]}],"mendeley":{"formattedCitation":"(178)","plainTextFormattedCitation":"(178)","previouslyFormattedCitation":"(178)"},"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(178)</w:t>
      </w:r>
      <w:r w:rsidR="000F3AD7" w:rsidRPr="004661E9">
        <w:rPr>
          <w:rFonts w:ascii="Arial" w:hAnsi="Arial" w:cs="Arial"/>
        </w:rPr>
        <w:fldChar w:fldCharType="end"/>
      </w:r>
      <w:r w:rsidR="00CF5776" w:rsidRPr="004661E9">
        <w:rPr>
          <w:rFonts w:ascii="Arial" w:hAnsi="Arial" w:cs="Arial"/>
        </w:rPr>
        <w:t>.</w:t>
      </w:r>
      <w:r w:rsidR="00D112AD" w:rsidRPr="004661E9">
        <w:rPr>
          <w:rFonts w:ascii="Arial" w:hAnsi="Arial" w:cs="Arial"/>
        </w:rPr>
        <w:t xml:space="preserve"> Of note, ARNI therapy may cause a higher rate of hypotension than ACE inhibitors or ARB </w:t>
      </w:r>
      <w:r w:rsidR="00D112AD" w:rsidRPr="004661E9">
        <w:rPr>
          <w:rFonts w:ascii="Arial" w:hAnsi="Arial" w:cs="Arial"/>
        </w:rPr>
        <w:fldChar w:fldCharType="begin" w:fldLock="1"/>
      </w:r>
      <w:r w:rsidR="00D112AD" w:rsidRPr="004661E9">
        <w:rPr>
          <w:rFonts w:ascii="Arial" w:hAnsi="Arial" w:cs="Arial"/>
        </w:rPr>
        <w:instrText>ADDIN CSL_CITATION {"citationItems":[{"id":"ITEM-1","itemData":{"DOI":"10.2337/dci22-0014","ISSN":"19355548","PMID":"35796765","abstract":"Heart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Association.","author":[{"dropping-particle":"","family":"Pop-Busui","given":"Rodica","non-dropping-particle":"","parse-names":false,"suffix":""},{"dropping-particle":"","family":"Januzzi","given":"James L.","non-dropping-particle":"","parse-names":false,"suffix":""},{"dropping-particle":"","family":"Bruemmer","given":"Dennis","non-dropping-particle":"","parse-names":false,"suffix":""},{"dropping-particle":"","family":"Butalia","given":"Sonia","non-dropping-particle":"","parse-names":false,"suffix":""},{"dropping-particle":"","family":"Green","given":"Jennifer B.","non-dropping-particle":"","parse-names":false,"suffix":""},{"dropping-particle":"","family":"Horton","given":"William B.","non-dropping-particle":"","parse-names":false,"suffix":""},{"dropping-particle":"","family":"Knight","given":"Colette","non-dropping-particle":"","parse-names":false,"suffix":""},{"dropping-particle":"","family":"Levi","given":"Moshe","non-dropping-particle":"","parse-names":false,"suffix":""},{"dropping-particle":"","family":"Rasouli","given":"Neda","non-dropping-particle":"","parse-names":false,"suffix":""},{"dropping-particle":"","family":"Richardson","given":"Caroline R.","non-dropping-particle":"","parse-names":false,"suffix":""}],"container-title":"Diabetes Care","id":"ITEM-1","issue":"7","issued":{"date-parts":[["2022"]]},"page":"1670-1690","title":"Heart Failure: An Underappreciated Complication of Diabetes. A Consensus Report of the American Diabetes Association","type":"article-journal","volume":"45"},"uris":["http://www.mendeley.com/documents/?uuid=9cfe0b5b-12ab-49ad-9df0-35aeca50b558"]}],"mendeley":{"formattedCitation":"(4)","plainTextFormattedCitation":"(4)","previouslyFormattedCitation":"(4)"},"properties":{"noteIndex":0},"schema":"https://github.com/citation-style-language/schema/raw/master/csl-citation.json"}</w:instrText>
      </w:r>
      <w:r w:rsidR="00D112AD" w:rsidRPr="004661E9">
        <w:rPr>
          <w:rFonts w:ascii="Arial" w:hAnsi="Arial" w:cs="Arial"/>
        </w:rPr>
        <w:fldChar w:fldCharType="separate"/>
      </w:r>
      <w:r w:rsidR="00D112AD" w:rsidRPr="004661E9">
        <w:rPr>
          <w:rFonts w:ascii="Arial" w:hAnsi="Arial" w:cs="Arial"/>
          <w:noProof/>
        </w:rPr>
        <w:t>(4)</w:t>
      </w:r>
      <w:r w:rsidR="00D112AD" w:rsidRPr="004661E9">
        <w:rPr>
          <w:rFonts w:ascii="Arial" w:hAnsi="Arial" w:cs="Arial"/>
        </w:rPr>
        <w:fldChar w:fldCharType="end"/>
      </w:r>
      <w:r w:rsidR="00D112AD" w:rsidRPr="004661E9">
        <w:rPr>
          <w:rFonts w:ascii="Arial" w:hAnsi="Arial" w:cs="Arial"/>
        </w:rPr>
        <w:t xml:space="preserve">. </w:t>
      </w:r>
    </w:p>
    <w:p w14:paraId="2C289E4F" w14:textId="04131C34" w:rsidR="00A0451E" w:rsidRPr="004661E9" w:rsidRDefault="004C15AF" w:rsidP="004661E9">
      <w:pPr>
        <w:spacing w:after="0" w:line="276" w:lineRule="auto"/>
        <w:rPr>
          <w:rFonts w:ascii="Arial" w:hAnsi="Arial" w:cs="Arial"/>
        </w:rPr>
      </w:pPr>
      <w:r w:rsidRPr="004661E9">
        <w:rPr>
          <w:rFonts w:ascii="Arial" w:hAnsi="Arial" w:cs="Arial"/>
        </w:rPr>
        <w:t xml:space="preserve"> </w:t>
      </w:r>
    </w:p>
    <w:p w14:paraId="2D4E12A5" w14:textId="22F379FF" w:rsidR="006D37EE" w:rsidRPr="004661E9" w:rsidRDefault="006D37EE" w:rsidP="004661E9">
      <w:pPr>
        <w:spacing w:after="0" w:line="276" w:lineRule="auto"/>
        <w:rPr>
          <w:rFonts w:ascii="Arial" w:hAnsi="Arial" w:cs="Arial"/>
          <w:iCs/>
        </w:rPr>
      </w:pPr>
      <w:r w:rsidRPr="004661E9">
        <w:rPr>
          <w:rFonts w:ascii="Arial" w:hAnsi="Arial" w:cs="Arial"/>
          <w:iCs/>
          <w:color w:val="FF0000"/>
        </w:rPr>
        <w:t>B</w:t>
      </w:r>
      <w:r w:rsidR="00CF5776" w:rsidRPr="004661E9">
        <w:rPr>
          <w:rFonts w:ascii="Arial" w:hAnsi="Arial" w:cs="Arial"/>
          <w:iCs/>
          <w:color w:val="FF0000"/>
        </w:rPr>
        <w:t>ETA-BLOCKERS</w:t>
      </w:r>
      <w:r w:rsidR="00CF5776" w:rsidRPr="004661E9">
        <w:rPr>
          <w:rFonts w:ascii="Arial" w:hAnsi="Arial" w:cs="Arial"/>
          <w:iCs/>
        </w:rPr>
        <w:t xml:space="preserve"> </w:t>
      </w:r>
    </w:p>
    <w:p w14:paraId="70FC0F51" w14:textId="77777777" w:rsidR="00CF5776" w:rsidRPr="004661E9" w:rsidRDefault="00CF5776" w:rsidP="004661E9">
      <w:pPr>
        <w:spacing w:after="0" w:line="276" w:lineRule="auto"/>
        <w:rPr>
          <w:rFonts w:ascii="Arial" w:hAnsi="Arial" w:cs="Arial"/>
        </w:rPr>
      </w:pPr>
    </w:p>
    <w:p w14:paraId="272E0488" w14:textId="413293B9" w:rsidR="006D37EE" w:rsidRPr="004661E9" w:rsidRDefault="00733B6D" w:rsidP="004661E9">
      <w:pPr>
        <w:spacing w:after="0" w:line="276" w:lineRule="auto"/>
        <w:rPr>
          <w:rFonts w:ascii="Arial" w:hAnsi="Arial" w:cs="Arial"/>
        </w:rPr>
      </w:pPr>
      <w:r w:rsidRPr="004661E9">
        <w:rPr>
          <w:rFonts w:ascii="Arial" w:hAnsi="Arial" w:cs="Arial"/>
        </w:rPr>
        <w:t>B</w:t>
      </w:r>
      <w:r w:rsidR="00657F7C" w:rsidRPr="004661E9">
        <w:rPr>
          <w:rFonts w:ascii="Arial" w:hAnsi="Arial" w:cs="Arial"/>
        </w:rPr>
        <w:t xml:space="preserve">eta-blocker therapy </w:t>
      </w:r>
      <w:r w:rsidR="00543EDD" w:rsidRPr="004661E9">
        <w:rPr>
          <w:rFonts w:ascii="Arial" w:hAnsi="Arial" w:cs="Arial"/>
        </w:rPr>
        <w:t>is recommended</w:t>
      </w:r>
      <w:r w:rsidR="00657F7C" w:rsidRPr="004661E9">
        <w:rPr>
          <w:rFonts w:ascii="Arial" w:hAnsi="Arial" w:cs="Arial"/>
        </w:rPr>
        <w:t xml:space="preserve"> </w:t>
      </w:r>
      <w:r w:rsidR="00D42EB8" w:rsidRPr="004661E9">
        <w:rPr>
          <w:rFonts w:ascii="Arial" w:hAnsi="Arial" w:cs="Arial"/>
        </w:rPr>
        <w:t xml:space="preserve">(class I) </w:t>
      </w:r>
      <w:r w:rsidR="00657F7C" w:rsidRPr="004661E9">
        <w:rPr>
          <w:rFonts w:ascii="Arial" w:hAnsi="Arial" w:cs="Arial"/>
        </w:rPr>
        <w:t xml:space="preserve">for </w:t>
      </w:r>
      <w:r w:rsidR="000B6058" w:rsidRPr="004661E9">
        <w:rPr>
          <w:rFonts w:ascii="Arial" w:hAnsi="Arial" w:cs="Arial"/>
        </w:rPr>
        <w:t xml:space="preserve">all </w:t>
      </w:r>
      <w:r w:rsidR="00657F7C" w:rsidRPr="004661E9">
        <w:rPr>
          <w:rFonts w:ascii="Arial" w:hAnsi="Arial" w:cs="Arial"/>
        </w:rPr>
        <w:t>patients with stable, symptomatic HFrEF</w:t>
      </w:r>
      <w:r w:rsidR="007D02FB" w:rsidRPr="004661E9">
        <w:rPr>
          <w:rFonts w:ascii="Arial" w:hAnsi="Arial" w:cs="Arial"/>
        </w:rPr>
        <w:t xml:space="preserve"> </w:t>
      </w:r>
      <w:r w:rsidR="00CF1DA2" w:rsidRPr="004661E9">
        <w:rPr>
          <w:rFonts w:ascii="Arial" w:hAnsi="Arial" w:cs="Arial"/>
        </w:rPr>
        <w:fldChar w:fldCharType="begin" w:fldLock="1"/>
      </w:r>
      <w:r w:rsidR="000962ED"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id":"ITEM-2","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Journal","id":"ITEM-2","issue":"36","issued":{"date-parts":[["2021","9","21"]]},"page":"3599-3726","publisher":"Oxford University Press, Gb","title":"2021 ESC Guidelines for the diagnosis and treatment of acute and chronic heart  failure.","type":"article-journal","volume":"42"},"uris":["http://www.mendeley.com/documents/?uuid=2cc1c7ef-2814-493f-9f64-867c45458bfb"]}],"mendeley":{"formattedCitation":"(3,18)","plainTextFormattedCitation":"(3,18)","previouslyFormattedCitation":"(3,18)"},"properties":{"noteIndex":0},"schema":"https://github.com/citation-style-language/schema/raw/master/csl-citation.json"}</w:instrText>
      </w:r>
      <w:r w:rsidR="00CF1DA2" w:rsidRPr="004661E9">
        <w:rPr>
          <w:rFonts w:ascii="Arial" w:hAnsi="Arial" w:cs="Arial"/>
        </w:rPr>
        <w:fldChar w:fldCharType="separate"/>
      </w:r>
      <w:r w:rsidR="000962ED" w:rsidRPr="004661E9">
        <w:rPr>
          <w:rFonts w:ascii="Arial" w:hAnsi="Arial" w:cs="Arial"/>
          <w:noProof/>
        </w:rPr>
        <w:t>(3,18)</w:t>
      </w:r>
      <w:r w:rsidR="00CF1DA2" w:rsidRPr="004661E9">
        <w:rPr>
          <w:rFonts w:ascii="Arial" w:hAnsi="Arial" w:cs="Arial"/>
        </w:rPr>
        <w:fldChar w:fldCharType="end"/>
      </w:r>
      <w:r w:rsidR="00CF5776" w:rsidRPr="004661E9">
        <w:rPr>
          <w:rFonts w:ascii="Arial" w:hAnsi="Arial" w:cs="Arial"/>
        </w:rPr>
        <w:t>.</w:t>
      </w:r>
      <w:r w:rsidR="00657F7C" w:rsidRPr="004661E9">
        <w:rPr>
          <w:rFonts w:ascii="Arial" w:hAnsi="Arial" w:cs="Arial"/>
        </w:rPr>
        <w:t xml:space="preserve"> Beta-blocker</w:t>
      </w:r>
      <w:r w:rsidR="00C637B3" w:rsidRPr="004661E9">
        <w:rPr>
          <w:rFonts w:ascii="Arial" w:hAnsi="Arial" w:cs="Arial"/>
        </w:rPr>
        <w:t xml:space="preserve"> therapy reduces </w:t>
      </w:r>
      <w:r w:rsidR="00543EDD" w:rsidRPr="004661E9">
        <w:rPr>
          <w:rFonts w:ascii="Arial" w:hAnsi="Arial" w:cs="Arial"/>
        </w:rPr>
        <w:t xml:space="preserve">the </w:t>
      </w:r>
      <w:r w:rsidR="00C637B3" w:rsidRPr="004661E9">
        <w:rPr>
          <w:rFonts w:ascii="Arial" w:hAnsi="Arial" w:cs="Arial"/>
        </w:rPr>
        <w:t>risk of death and hospitalization</w:t>
      </w:r>
      <w:r w:rsidR="00B250B7" w:rsidRPr="004661E9">
        <w:rPr>
          <w:rFonts w:ascii="Arial" w:hAnsi="Arial" w:cs="Arial"/>
        </w:rPr>
        <w:t xml:space="preserve"> and improve</w:t>
      </w:r>
      <w:r w:rsidR="00543EDD" w:rsidRPr="004661E9">
        <w:rPr>
          <w:rFonts w:ascii="Arial" w:hAnsi="Arial" w:cs="Arial"/>
        </w:rPr>
        <w:t>s</w:t>
      </w:r>
      <w:r w:rsidR="00B250B7" w:rsidRPr="004661E9">
        <w:rPr>
          <w:rFonts w:ascii="Arial" w:hAnsi="Arial" w:cs="Arial"/>
        </w:rPr>
        <w:t xml:space="preserve"> LVEF</w:t>
      </w:r>
      <w:r w:rsidR="0074049A" w:rsidRPr="004661E9">
        <w:rPr>
          <w:rFonts w:ascii="Arial" w:hAnsi="Arial" w:cs="Arial"/>
        </w:rPr>
        <w:t xml:space="preserve"> and</w:t>
      </w:r>
      <w:r w:rsidR="00B250B7" w:rsidRPr="004661E9">
        <w:rPr>
          <w:rFonts w:ascii="Arial" w:hAnsi="Arial" w:cs="Arial"/>
        </w:rPr>
        <w:t xml:space="preserve"> clinical status</w:t>
      </w:r>
      <w:r w:rsidR="0074049A" w:rsidRPr="004661E9">
        <w:rPr>
          <w:rFonts w:ascii="Arial" w:hAnsi="Arial" w:cs="Arial"/>
        </w:rPr>
        <w:t xml:space="preserve"> in patients with HFrEF</w:t>
      </w:r>
      <w:r w:rsidR="00657F7C" w:rsidRPr="004661E9">
        <w:rPr>
          <w:rFonts w:ascii="Arial" w:hAnsi="Arial" w:cs="Arial"/>
        </w:rPr>
        <w:t>. The ACC/AHA</w:t>
      </w:r>
      <w:r w:rsidR="00D42EB8" w:rsidRPr="004661E9">
        <w:rPr>
          <w:rFonts w:ascii="Arial" w:hAnsi="Arial" w:cs="Arial"/>
        </w:rPr>
        <w:t>/HFSA</w:t>
      </w:r>
      <w:r w:rsidR="00657F7C" w:rsidRPr="004661E9">
        <w:rPr>
          <w:rFonts w:ascii="Arial" w:hAnsi="Arial" w:cs="Arial"/>
        </w:rPr>
        <w:t xml:space="preserve"> guidelines recommend </w:t>
      </w:r>
      <w:r w:rsidR="00543EDD" w:rsidRPr="004661E9">
        <w:rPr>
          <w:rFonts w:ascii="Arial" w:hAnsi="Arial" w:cs="Arial"/>
        </w:rPr>
        <w:t>using</w:t>
      </w:r>
      <w:r w:rsidR="00657F7C" w:rsidRPr="004661E9">
        <w:rPr>
          <w:rFonts w:ascii="Arial" w:hAnsi="Arial" w:cs="Arial"/>
        </w:rPr>
        <w:t xml:space="preserve"> one of </w:t>
      </w:r>
      <w:r w:rsidR="007351C7" w:rsidRPr="004661E9">
        <w:rPr>
          <w:rFonts w:ascii="Arial" w:hAnsi="Arial" w:cs="Arial"/>
        </w:rPr>
        <w:t xml:space="preserve">the </w:t>
      </w:r>
      <w:r w:rsidR="00657F7C" w:rsidRPr="004661E9">
        <w:rPr>
          <w:rFonts w:ascii="Arial" w:hAnsi="Arial" w:cs="Arial"/>
        </w:rPr>
        <w:t>three</w:t>
      </w:r>
      <w:r w:rsidR="000B6058" w:rsidRPr="004661E9">
        <w:rPr>
          <w:rFonts w:ascii="Arial" w:hAnsi="Arial" w:cs="Arial"/>
        </w:rPr>
        <w:t xml:space="preserve"> beta-blockers </w:t>
      </w:r>
      <w:r w:rsidR="00471A81" w:rsidRPr="004661E9">
        <w:rPr>
          <w:rFonts w:ascii="Arial" w:hAnsi="Arial" w:cs="Arial"/>
        </w:rPr>
        <w:t xml:space="preserve">with </w:t>
      </w:r>
      <w:r w:rsidR="000B6058" w:rsidRPr="004661E9">
        <w:rPr>
          <w:rFonts w:ascii="Arial" w:hAnsi="Arial" w:cs="Arial"/>
        </w:rPr>
        <w:t>proven mortality</w:t>
      </w:r>
      <w:r w:rsidR="00471A81" w:rsidRPr="004661E9">
        <w:rPr>
          <w:rFonts w:ascii="Arial" w:hAnsi="Arial" w:cs="Arial"/>
        </w:rPr>
        <w:t xml:space="preserve"> benefits</w:t>
      </w:r>
      <w:r w:rsidR="000B6058" w:rsidRPr="004661E9">
        <w:rPr>
          <w:rFonts w:ascii="Arial" w:hAnsi="Arial" w:cs="Arial"/>
        </w:rPr>
        <w:t xml:space="preserve"> (e.g.</w:t>
      </w:r>
      <w:r w:rsidR="006C3EBB" w:rsidRPr="004661E9">
        <w:rPr>
          <w:rFonts w:ascii="Arial" w:hAnsi="Arial" w:cs="Arial"/>
        </w:rPr>
        <w:t>,</w:t>
      </w:r>
      <w:r w:rsidR="000B6058" w:rsidRPr="004661E9">
        <w:rPr>
          <w:rFonts w:ascii="Arial" w:hAnsi="Arial" w:cs="Arial"/>
        </w:rPr>
        <w:t xml:space="preserve"> metoprolol succinate, carvedilol, and bisoprolol). </w:t>
      </w:r>
    </w:p>
    <w:p w14:paraId="23E84279" w14:textId="77777777" w:rsidR="00CF5776" w:rsidRPr="004661E9" w:rsidRDefault="00CF5776" w:rsidP="004661E9">
      <w:pPr>
        <w:spacing w:after="0" w:line="276" w:lineRule="auto"/>
        <w:rPr>
          <w:rFonts w:ascii="Arial" w:hAnsi="Arial" w:cs="Arial"/>
        </w:rPr>
      </w:pPr>
    </w:p>
    <w:p w14:paraId="2B709EEA" w14:textId="6B30891D" w:rsidR="00BB0C40" w:rsidRPr="004661E9" w:rsidRDefault="00A723B9" w:rsidP="004661E9">
      <w:pPr>
        <w:spacing w:after="0" w:line="276" w:lineRule="auto"/>
        <w:rPr>
          <w:rFonts w:ascii="Arial" w:hAnsi="Arial" w:cs="Arial"/>
        </w:rPr>
      </w:pPr>
      <w:r w:rsidRPr="004661E9">
        <w:rPr>
          <w:rFonts w:ascii="Arial" w:hAnsi="Arial" w:cs="Arial"/>
        </w:rPr>
        <w:t>Based on RCTs, t</w:t>
      </w:r>
      <w:r w:rsidR="00DF6F25" w:rsidRPr="004661E9">
        <w:rPr>
          <w:rFonts w:ascii="Arial" w:hAnsi="Arial" w:cs="Arial"/>
        </w:rPr>
        <w:t xml:space="preserve">he morbidity and </w:t>
      </w:r>
      <w:r w:rsidR="00BB0C40" w:rsidRPr="004661E9">
        <w:rPr>
          <w:rFonts w:ascii="Arial" w:hAnsi="Arial" w:cs="Arial"/>
        </w:rPr>
        <w:t>mortality</w:t>
      </w:r>
      <w:r w:rsidR="00DF6F25" w:rsidRPr="004661E9">
        <w:rPr>
          <w:rFonts w:ascii="Arial" w:hAnsi="Arial" w:cs="Arial"/>
        </w:rPr>
        <w:t xml:space="preserve"> benefits of beta</w:t>
      </w:r>
      <w:r w:rsidR="006C3EBB" w:rsidRPr="004661E9">
        <w:rPr>
          <w:rFonts w:ascii="Arial" w:hAnsi="Arial" w:cs="Arial"/>
        </w:rPr>
        <w:t>-</w:t>
      </w:r>
      <w:r w:rsidR="00DF6F25" w:rsidRPr="004661E9">
        <w:rPr>
          <w:rFonts w:ascii="Arial" w:hAnsi="Arial" w:cs="Arial"/>
        </w:rPr>
        <w:t xml:space="preserve">blockers are similar in </w:t>
      </w:r>
      <w:r w:rsidR="00471A81" w:rsidRPr="004661E9">
        <w:rPr>
          <w:rFonts w:ascii="Arial" w:hAnsi="Arial" w:cs="Arial"/>
        </w:rPr>
        <w:t xml:space="preserve">HFrEF patients </w:t>
      </w:r>
      <w:r w:rsidR="00DF6F25" w:rsidRPr="004661E9">
        <w:rPr>
          <w:rFonts w:ascii="Arial" w:hAnsi="Arial" w:cs="Arial"/>
        </w:rPr>
        <w:t xml:space="preserve">with or without </w:t>
      </w:r>
      <w:r w:rsidR="007351C7" w:rsidRPr="004661E9">
        <w:rPr>
          <w:rFonts w:ascii="Arial" w:hAnsi="Arial" w:cs="Arial"/>
        </w:rPr>
        <w:t>diabetes</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{"citationItems":[{"id":"ITEM-1","itemData":{"DOI":"10.1016/S0735-1097(03)00262-6","ISSN":"07351097","abstract":"OBJECTIVES: This study sought to assess the effect of angiotensin-converting enzyme (ACE) inhibitors and beta-blockers on all-cause mortality in patients with left ventricular (LV) systolic dysfunction according to gender, race, and the presence of diabetes. BACKGROUND: Major randomized clinical trials have established that ACE inhibitors and beta-blockers have life-saving benefits in patients with LV systolic dysfunction. Most patients enrolled in these trials were Caucasian men. Whether an equal effect is achieved in women, non-Caucasians, and patients with major comorbidities has not been established. METHODS: The authors performed a meta-analysis of published and individual patient data from the 12 largest randomized clinical trials of ACE inhibitors and beta-blockers to produce random effects estimates of mortality for subgroups. RESULTS: Data support beneficial reductions in all-cause mortality for the use of beta-blockers in men and women, the use of ACE inhibitors and some beta-blockers in black and white patients, and the use of ACE inhibitors and beta-blockers in patients with or without diabetes. Women with symptomatic LV systolic dysfunction probably benefit from ACE inhibitors, but women with asymptomatic LV systolic dysfunction may not have reduced mortality when treated with ACE inhibitors (pooled relative risk = 0.96; 95% confidence interval: 0.75 to 1.22). The pooled estimate of three beta-blocker studies supports a beneficial effect in black patients with heart failure, but one study assessing bucindolol reported a nonsignificant increase in mortality. CONCLUSIONS: Angiotensin-converting enzyme inhibitors and beta-blockers provide life-saving benefits in most of the subpopulations assessed. Women with asymptomatic LV systolic dysfunction may not achieve a mortality benefit when treated with ACE inhibitors. © 2003 by the American College of Cardiology Foundation.","author":[{"dropping-particle":"","family":"Shekelle","given":"Paul G.","non-dropping-particle":"","parse-names":false,"suffix":""},{"dropping-particle":"","family":"Rich","given":"Michael W.","non-dropping-particle":"","parse-names":false,"suffix":""},{"dropping-particle":"","family":"Morton","given":"Sally C.","non-dropping-particle":"","parse-names":false,"suffix":""},{"dropping-particle":"","family":"Atkinson","given":"Sid W.","non-dropping-particle":"","parse-names":false,"suffix":""},{"dropping-particle":"","family":"Tu","given":"Wenli","non-dropping-particle":"","parse-names":false,"suffix":""},{"dropping-particle":"","family":"Maglione","given":"Margaret","non-dropping-particle":"","parse-names":false,"suffix":""},{"dropping-particle":"","family":"Rhodes","given":"Shannon","non-dropping-particle":"","parse-names":false,"suffix":""},{"dropping-particle":"","family":"Barrett","given":"Michael","non-dropping-particle":"","parse-names":false,"suffix":""},{"dropping-particle":"","family":"Fonarow","given":"Gregg C.","non-dropping-particle":"","parse-names":false,"suffix":""},{"dropping-particle":"","family":"Greenberg","given":"Barry","non-dropping-particle":"","parse-names":false,"suffix":""},{"dropping-particle":"","family":"Heidenreich","given":"Paul A.","non-dropping-particle":"","parse-names":false,"suffix":""},{"dropping-particle":"","family":"Knabel","given":"Tom","non-dropping-particle":"","parse-names":false,"suffix":""},{"dropping-particle":"","family":"Konstam","given":"Marvin A.","non-dropping-particle":"","parse-names":false,"suffix":""},{"dropping-particle":"","family":"Steimle","given":"Anthony","non-dropping-particle":"","parse-names":false,"suffix":""},{"dropping-particle":"","family":"Stevenson","given":"Lynne Warner","non-dropping-particle":"","parse-names":false,"suffix":""}],"container-title":"Journal of the American College of Cardiology","id":"ITEM-1","issue":"9","issued":{"date-parts":[["2003","5","7"]]},"page":"1529-1538","publisher":"Elsevier Inc.","title":"Efficacy of angiotensin-converting enzyme inhibitors and beta-blockers in the management of left ventricular systolic dysfunction according to race, gender, and diabetic status: A meta-analysis of major clinical trials","type":"article-journal","volume":"41"},"uris":["http://www.mendeley.com/documents/?uuid=770f06e4-4ac1-39a9-8bf3-6e3a5cccb28d"]},{"id":"ITEM-2","itemData":{"DOI":"10.1185/030079906X80459","ISSN":"03007995","abstract":"Background: Although γ-blocker therapy has been shown to improve survival in patients with chronic heart failure, this class of drugs tends to be underutilized in diabetic patients due to concerns about adverse metabolic effects, especially on glycemic control. No randomized clinical trial has specifically evaluated the effect of β-blocker therapy on mortality in diabetic patients with heart failure. Previous meta-analyses combining results of heart failure trials with pharmacologically diverse β-blockers suggest that the survival benefit in diabetic patients may be diminished compared to benefits in non-diabetic patients. However, some trial results indicate that carvedilol, which blocks β1-, β2-, and α1-receptors and is a potent antioxidant, may produce at least comparable effects in both patient groups. Objectives: To evaluate the effect of carvedilol in patients with heart failure and diabetes, specifically to determine if the survival benefit of carvedilol demonstrated in heart failure trials was as great in the subgroups of patients with diabetes. Methods: A meta-analysis was performed that included 5757 patients with heart failure, 25% of whom had diabetes, from seven large placebo-controlled randomized trials with carvedilol. All large (&gt; 100 patients) placebo-controlled, randomized trials with carvedilol in heart failure were included. The endpoint of all-cause mortality was examined in the overall population, patients without diabetes, and patients with diabetes. The number of patients needed to treat (NNT) for 1 year to prevent one death associated with carvedilol use in diabetic versus non-diabetic patients was also calculated. The log-rank test and the Cox proportional hazards regression were used to compare the event time distributions of carvedilol versus placebo with respect to the outcome of mortality. Results: Similar survival benefits were seen with carvedilol use in diabetic and non-diabetic patients (relative risk reductions of 28% [95% confidence interval (CI) 3-46%; p = 0.03] and 37% [95% CI 22-48%; p &lt; 0.001], respectively). There were no significant differences between the relative mortality risk reductions or the NNT with carvedilol use in diabetic versus non-diabetic patients. The NNT for 1 year to prevent one death was 23 for all patients, as well as for non-diabetic patients, and 25 for the diabetic group. Conclusions: This meta-analysis provides evidence that the same survival benefit may occur with carvedilol in heart fail…","author":[{"dropping-particle":"","family":"Bell","given":"David S.H.","non-dropping-particle":"","parse-names":false,"suffix":""},{"dropping-particle":"","family":"Lukas","given":"Mary Ann","non-dropping-particle":"","parse-names":false,"suffix":""},{"dropping-particle":"","family":"Holdbrook","given":"Frederick K.","non-dropping-particle":"","parse-names":false,"suffix":""},{"dropping-particle":"","family":"Fowler","given":"Michael B.","non-dropping-particle":"","parse-names":false,"suffix":""}],"container-title":"Current Medical Research and Opinion","id":"ITEM-2","issue":"2","issued":{"date-parts":[["2006","2"]]},"page":"287-296","title":"The effect of carvedilol on mortality risk in heart failure patients with diabetes: Results of a meta-analysis","type":"article-journal","volume":"22"},"uris":["http://www.mendeley.com/documents/?uuid=d3cc6720-3349-35bf-a49b-1c8e8177be0b"]},{"id":"ITEM-3","itemData":{"DOI":"10.1016/S0002-8703(03)00403-4","ISSN":"00028703","abstract":"Background: Diabetes mellitus is a frequent comorbid condition in patients with chronic heart failure (CHF) and confers a worse prognosis. Furthermore, although patients with CHF derive considerable benefit from β-blockers, these agents are thought by many physicians to be contraindicated in patients with diabetes mellitus. Most published studies on β-blockers in CHF have been unable to reach definitive conclusions about the mortality benefits of these agents in patients with diabetes mellitus. We therefore performed a meta-analysis of β-blocker trials that reported mortality outcomes in patients with diabetes mellitus who had CHF to pool all available trial evidence on the benefits (or otherwise) of these agents in this setting. Methods: All-cause mortality data on patients with diabetes mellitus were obtained from all completed β-blocker CHF randomized placebo-controlled trials involving &gt;100 patients exposed to β-blockers, in which outcomes in patients with diabetes mellitus were described. When events were not directly reported, risk ratios (RRs) were derived from analysis of figures and other manuscript data. Results were pooled with the Mantel-Haenszel method. Results: A total of 24.6% of patients were reported to have diabetes mellitus in the 6 studies analyzed (Australia and New Zealand [ANZ]-Carvedilol, Beta-blocker Evaluation of Survival Trial [BEST], Carvedilol US Trials, Cardiac Insufficiency Bisoprolol Study [CIBIS-II], Carvedilol Prospective Randomized Cumulative Survival Trial [COPERNICUS], and Metoprolol Controllled-release Randomized Intervention Trial in Heart Failure [MERIT-HF]). Patients with diabetes mellitus had increased mortality rates overall compared with subjects without diabetes mellitus (RR, 1.25; 95% CI, 1.15-1.36; P &lt;.001). Compared with placebo, β-blocker therapy for CHF was beneficial in patients with diabetes mellitus (RR, 0.84; 95% CI, 0.73-0.96; P = .011) and in subjects without diabetes mellitus (RR, 0.72; 95% CI, 0.65-0.79; P &lt;.001). The absolute risk reduction in mortality with β-blocker therapy was greater in patients with heart failure but without diabetes mellitus than in patients with diabetes mellitus (P = .023). Conclusions: Patients with diabetes mellitus and CHF appear to derive prognostic benefit from β-blocker therapy, although the magnitude of that benefit is somewhat less than that observed in subjects without diabetes mellitus.","author":[{"dropping-particle":"","family":"Haas","given":"Steven Joseph","non-dropping-particle":"","parse-names":false,"suffix":""},{"dropping-particle":"","family":"Vos","given":"Theo","non-dropping-particle":"","parse-names":false,"suffix":""},{"dropping-particle":"","family":"Gilbert","given":"Richard E.","non-dropping-particle":"","parse-names":false,"suffix":""},{"dropping-particle":"","family":"Krum","given":"Henry","non-dropping-particle":"","parse-names":false,"suffix":""}],"container-title":"American Heart Journal","id":"ITEM-3","issue":"5","issued":{"date-parts":[["2003"]]},"page":"848-853","publisher":"Mosby Inc.","title":"Are β-blockers as efficacious in patients with diabetes mellitus as in patients without diabetes mellitus who have chronic heart failure? A meta-analysis of large-scale clinical trials","type":"article-journal","volume":"146"},"uris":["http://www.mendeley.com/documents/?uuid=c7886d9a-92fc-3e27-8cb8-e0360f6a099f"]}],"mendeley":{"formattedCitation":"(174,179,180)","plainTextFormattedCitation":"(174,179,180)","previouslyFormattedCitation":"(174,179,180)"},"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(174,179,180)</w:t>
      </w:r>
      <w:r w:rsidR="000F3AD7" w:rsidRPr="004661E9">
        <w:rPr>
          <w:rFonts w:ascii="Arial" w:hAnsi="Arial" w:cs="Arial"/>
        </w:rPr>
        <w:fldChar w:fldCharType="end"/>
      </w:r>
      <w:r w:rsidR="00CF5776" w:rsidRPr="004661E9">
        <w:rPr>
          <w:rFonts w:ascii="Arial" w:hAnsi="Arial" w:cs="Arial"/>
        </w:rPr>
        <w:t>.</w:t>
      </w:r>
      <w:r w:rsidR="00B5326B" w:rsidRPr="004661E9">
        <w:rPr>
          <w:rFonts w:ascii="Arial" w:hAnsi="Arial" w:cs="Arial"/>
        </w:rPr>
        <w:t xml:space="preserve"> </w:t>
      </w:r>
      <w:r w:rsidR="00BB0C40" w:rsidRPr="004661E9">
        <w:rPr>
          <w:rFonts w:ascii="Arial" w:hAnsi="Arial" w:cs="Arial"/>
        </w:rPr>
        <w:t xml:space="preserve">A prospective cohort study from the UK suggested that </w:t>
      </w:r>
      <w:r w:rsidRPr="004661E9">
        <w:rPr>
          <w:rFonts w:ascii="Arial" w:hAnsi="Arial" w:cs="Arial"/>
        </w:rPr>
        <w:t>i</w:t>
      </w:r>
      <w:r w:rsidR="00BB0C40" w:rsidRPr="004661E9">
        <w:rPr>
          <w:rFonts w:ascii="Arial" w:hAnsi="Arial" w:cs="Arial"/>
        </w:rPr>
        <w:t xml:space="preserve">ncreasing </w:t>
      </w:r>
      <w:r w:rsidRPr="004661E9">
        <w:rPr>
          <w:rFonts w:ascii="Arial" w:hAnsi="Arial" w:cs="Arial"/>
        </w:rPr>
        <w:t>beta</w:t>
      </w:r>
      <w:r w:rsidR="00BB0C40" w:rsidRPr="004661E9">
        <w:rPr>
          <w:rFonts w:ascii="Arial" w:hAnsi="Arial" w:cs="Arial"/>
        </w:rPr>
        <w:t xml:space="preserve">-blocker dose </w:t>
      </w:r>
      <w:r w:rsidRPr="004661E9">
        <w:rPr>
          <w:rFonts w:ascii="Arial" w:hAnsi="Arial" w:cs="Arial"/>
        </w:rPr>
        <w:t>was</w:t>
      </w:r>
      <w:r w:rsidR="00BB0C40" w:rsidRPr="004661E9">
        <w:rPr>
          <w:rFonts w:ascii="Arial" w:hAnsi="Arial" w:cs="Arial"/>
        </w:rPr>
        <w:t> associated with a </w:t>
      </w:r>
      <w:r w:rsidR="00543EDD" w:rsidRPr="004661E9">
        <w:rPr>
          <w:rFonts w:ascii="Arial" w:hAnsi="Arial" w:cs="Arial"/>
        </w:rPr>
        <w:t>more significant</w:t>
      </w:r>
      <w:r w:rsidR="00BB0C40" w:rsidRPr="004661E9">
        <w:rPr>
          <w:rFonts w:ascii="Arial" w:hAnsi="Arial" w:cs="Arial"/>
        </w:rPr>
        <w:t xml:space="preserve"> prognostic advantage in HF patients with diabetes than </w:t>
      </w:r>
      <w:r w:rsidRPr="004661E9">
        <w:rPr>
          <w:rFonts w:ascii="Arial" w:hAnsi="Arial" w:cs="Arial"/>
        </w:rPr>
        <w:t>those</w:t>
      </w:r>
      <w:r w:rsidR="00BB0C40" w:rsidRPr="004661E9">
        <w:rPr>
          <w:rFonts w:ascii="Arial" w:hAnsi="Arial" w:cs="Arial"/>
        </w:rPr>
        <w:t> without diabetes</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{"citationItems":[{"id":"ITEM-1","itemData":{"DOI":"10.2337/dc17-1406","ISSN":"19355548","PMID":"28982651","abstract":"OBJECTIVE Diabetes increasesmortality in patients with chronic heart failure (CHF) and reduced left ventricular ejection fraction. Studies have questioned the safety ofb-adrenoceptor blockers (β-blockers) in some patients with diabetes and reduced left ventricular ejection fraction. We examined whether β-blockers and ACE inhibitors (ACEIs) are associated with differential effects on mortality in CHF patients with and without diabetes. RESEARCH DESIGN AND METHODS We conducted a prospective cohort study of 1,797 patients with CHF recruited between 2006 and 2014,withmean follow-up of 4 years.β-Blocker dose was expressed as the equivalent dose of bisoprolol (mg/day) and ACEI dose as the equivalent dose of ramipril (mg/day). Cox regression analysis was used to examine the interaction between diabetes and drug dose on all-cause mortality. RESULTS Patients with diabetes were prescribed larger doses of β-blockers and ACEIs than were patients without diabetes. Increasing β-blocker dose was associated with lower mortality in patients with diabetes (8.9% per mg/day; 95% CI 5-12.6) and without diabetes (3.5% per mg/day; 95% CI 0.7-6.3), although the effect was larger in people with diabetes (interaction P = 0.027). Increasing ACEI dose was associated with lowermortality in patientswith diabetes (5.9%per mg/day; 95%CI 2.5-9.2) and without diabetes (5.1% per mg/day; 95% CI 2.6-7.6), with similar effect size in these groups (interaction P = 0.76). CONCLUSIONS Increasing β-blocker dose is associated with a greater prognostic advantage in CHF patients with diabetes than in CHF patients without diabetes.","author":[{"dropping-particle":"","family":"Witte","given":"Klaus K.","non-dropping-particle":"","parse-names":false,"suffix":""},{"dropping-particle":"","family":"Drozd","given":"Michael","non-dropping-particle":"","parse-names":false,"suffix":""},{"dropping-particle":"","family":"Walker","given":"Andrew M.N.","non-dropping-particle":"","parse-names":false,"suffix":""},{"dropping-particle":"","family":"Patel","given":"Peysh A.","non-dropping-particle":"","parse-names":false,"suffix":""},{"dropping-particle":"","family":"Kearney","given":"Jessica C.","non-dropping-particle":"","parse-names":false,"suffix":""},{"dropping-particle":"","family":"Chapman","given":"Sally","non-dropping-particle":"","parse-names":false,"suffix":""},{"dropping-particle":"","family":"Sapsford","given":"Robert J.","non-dropping-particle":"","parse-names":false,"suffix":""},{"dropping-particle":"","family":"Gierula","given":"John","non-dropping-particle":"","parse-names":false,"suffix":""},{"dropping-particle":"","family":"Paton","given":"Maria F.","non-dropping-particle":"","parse-names":false,"suffix":""},{"dropping-particle":"","family":"Lowry","given":"Judith","non-dropping-particle":"","parse-names":false,"suffix":""},{"dropping-particle":"","family":"Kearney","given":"Mark T.","non-dropping-particle":"","parse-names":false,"suffix":""},{"dropping-particle":"","family":"Cubbon","given":"Richard M.","non-dropping-particle":"","parse-names":false,"suffix":""}],"container-title":"Diabetes Care","id":"ITEM-1","issue":"1","issued":{"date-parts":[["2018","1","1"]]},"page":"136-142","publisher":"American Diabetes Association Inc.","title":"Mortality reduction associated with β-adrenoceptor inhibition in chronic heart failure is greater in patients with diabetes","type":"article-journal","volume":"41"},"uris":["http://www.mendeley.com/documents/?uuid=d937f96f-b78c-3404-bc29-c512319dcaf4"]}],"mendeley":{"formattedCitation":"(181)","plainTextFormattedCitation":"(181)","previouslyFormattedCitation":"(181)"},"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(181)</w:t>
      </w:r>
      <w:r w:rsidR="000F3AD7" w:rsidRPr="004661E9">
        <w:rPr>
          <w:rFonts w:ascii="Arial" w:hAnsi="Arial" w:cs="Arial"/>
        </w:rPr>
        <w:fldChar w:fldCharType="end"/>
      </w:r>
      <w:r w:rsidR="00CF5776" w:rsidRPr="004661E9">
        <w:rPr>
          <w:rFonts w:ascii="Arial" w:hAnsi="Arial" w:cs="Arial"/>
        </w:rPr>
        <w:t>.</w:t>
      </w:r>
    </w:p>
    <w:p w14:paraId="2B7B7918" w14:textId="77777777" w:rsidR="00CF5776" w:rsidRPr="004661E9" w:rsidRDefault="00CF5776" w:rsidP="004661E9">
      <w:pPr>
        <w:spacing w:after="0" w:line="276" w:lineRule="auto"/>
        <w:rPr>
          <w:rFonts w:ascii="Arial" w:hAnsi="Arial" w:cs="Arial"/>
        </w:rPr>
      </w:pPr>
    </w:p>
    <w:p w14:paraId="1A8D31C1" w14:textId="32827B88" w:rsidR="00DF6F25" w:rsidRPr="004661E9" w:rsidRDefault="00B5326B" w:rsidP="004661E9">
      <w:pPr>
        <w:spacing w:after="0" w:line="276" w:lineRule="auto"/>
        <w:rPr>
          <w:rFonts w:ascii="Arial" w:hAnsi="Arial" w:cs="Arial"/>
        </w:rPr>
      </w:pPr>
      <w:r w:rsidRPr="004661E9">
        <w:rPr>
          <w:rFonts w:ascii="Arial" w:hAnsi="Arial" w:cs="Arial"/>
        </w:rPr>
        <w:t>Data from some</w:t>
      </w:r>
      <w:r w:rsidR="00C11E8A" w:rsidRPr="004661E9">
        <w:rPr>
          <w:rFonts w:ascii="Arial" w:hAnsi="Arial" w:cs="Arial"/>
        </w:rPr>
        <w:t xml:space="preserve"> old</w:t>
      </w:r>
      <w:r w:rsidRPr="004661E9">
        <w:rPr>
          <w:rFonts w:ascii="Arial" w:hAnsi="Arial" w:cs="Arial"/>
        </w:rPr>
        <w:t xml:space="preserve"> observational studies an</w:t>
      </w:r>
      <w:r w:rsidR="007351C7" w:rsidRPr="004661E9">
        <w:rPr>
          <w:rFonts w:ascii="Arial" w:hAnsi="Arial" w:cs="Arial"/>
        </w:rPr>
        <w:t>d</w:t>
      </w:r>
      <w:r w:rsidRPr="004661E9">
        <w:rPr>
          <w:rFonts w:ascii="Arial" w:hAnsi="Arial" w:cs="Arial"/>
        </w:rPr>
        <w:t xml:space="preserve"> clinical trial</w:t>
      </w:r>
      <w:r w:rsidR="00D327DF" w:rsidRPr="004661E9">
        <w:rPr>
          <w:rFonts w:ascii="Arial" w:hAnsi="Arial" w:cs="Arial"/>
        </w:rPr>
        <w:t>s</w:t>
      </w:r>
      <w:r w:rsidRPr="004661E9">
        <w:rPr>
          <w:rFonts w:ascii="Arial" w:hAnsi="Arial" w:cs="Arial"/>
        </w:rPr>
        <w:t xml:space="preserve"> raised concerns for a s</w:t>
      </w:r>
      <w:r w:rsidR="00543EDD" w:rsidRPr="004661E9">
        <w:rPr>
          <w:rFonts w:ascii="Arial" w:hAnsi="Arial" w:cs="Arial"/>
        </w:rPr>
        <w:t>light</w:t>
      </w:r>
      <w:r w:rsidRPr="004661E9">
        <w:rPr>
          <w:rFonts w:ascii="Arial" w:hAnsi="Arial" w:cs="Arial"/>
        </w:rPr>
        <w:t xml:space="preserve"> increase in the risk of new</w:t>
      </w:r>
      <w:r w:rsidR="006C3EBB" w:rsidRPr="004661E9">
        <w:rPr>
          <w:rFonts w:ascii="Arial" w:hAnsi="Arial" w:cs="Arial"/>
        </w:rPr>
        <w:t>-</w:t>
      </w:r>
      <w:r w:rsidRPr="004661E9">
        <w:rPr>
          <w:rFonts w:ascii="Arial" w:hAnsi="Arial" w:cs="Arial"/>
        </w:rPr>
        <w:t xml:space="preserve">onset diabetes associated with </w:t>
      </w:r>
      <w:r w:rsidR="00543EDD" w:rsidRPr="004661E9">
        <w:rPr>
          <w:rFonts w:ascii="Arial" w:hAnsi="Arial" w:cs="Arial"/>
        </w:rPr>
        <w:t>using</w:t>
      </w:r>
      <w:r w:rsidRPr="004661E9">
        <w:rPr>
          <w:rFonts w:ascii="Arial" w:hAnsi="Arial" w:cs="Arial"/>
        </w:rPr>
        <w:t xml:space="preserve"> propranolol, a first</w:t>
      </w:r>
      <w:r w:rsidR="006C3EBB" w:rsidRPr="004661E9">
        <w:rPr>
          <w:rFonts w:ascii="Arial" w:hAnsi="Arial" w:cs="Arial"/>
        </w:rPr>
        <w:t>-</w:t>
      </w:r>
      <w:r w:rsidRPr="004661E9">
        <w:rPr>
          <w:rFonts w:ascii="Arial" w:hAnsi="Arial" w:cs="Arial"/>
        </w:rPr>
        <w:t>generation non-selective beta</w:t>
      </w:r>
      <w:r w:rsidR="006C3EBB" w:rsidRPr="004661E9">
        <w:rPr>
          <w:rFonts w:ascii="Arial" w:hAnsi="Arial" w:cs="Arial"/>
        </w:rPr>
        <w:t>-</w:t>
      </w:r>
      <w:r w:rsidRPr="004661E9">
        <w:rPr>
          <w:rFonts w:ascii="Arial" w:hAnsi="Arial" w:cs="Arial"/>
        </w:rPr>
        <w:t xml:space="preserve">blocker, </w:t>
      </w:r>
      <w:r w:rsidR="00543EDD" w:rsidRPr="004661E9">
        <w:rPr>
          <w:rFonts w:ascii="Arial" w:hAnsi="Arial" w:cs="Arial"/>
        </w:rPr>
        <w:t>to treat</w:t>
      </w:r>
      <w:r w:rsidRPr="004661E9">
        <w:rPr>
          <w:rFonts w:ascii="Arial" w:hAnsi="Arial" w:cs="Arial"/>
        </w:rPr>
        <w:t xml:space="preserve"> hypertension</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{"citationItems":[{"id":"ITEM-1","itemData":{"DOI":"10.1007/s11906-013-0410-z","ISSN":"15226417","abstract":"Older antihypertensive medications are believed to be associated with metabolic disturbances, especially raised glucose levels. Owing to this, many physicians shun their use. Newer antihypertensive medications are metabolically neutral or metabolically favorable; therefore, they are looked upon favorably and are chosen as primary medications for the treatment of hypertension. Here we review the literature on the glucose effects of older and newer antihypertensive medications. We also consider what, if any, impact these metabolic effects have on cardiovascular disease outcomes. We show that the diabetogenic effects of thiazide diuretics and beta blockers are small relative to the glucose effects of angiotensin-converting enzyme inhibitors (ACEIs) and calcium channel blockers, and that over time, the glucose differences between older and newer medications diminish. Importantly, we show that the diabetogenic effects of older antihypertensive medications do not translate into increased cardiovascular disease risk. © Springer Science+Business Media New York 2013.","author":[{"dropping-particle":"","family":"Barzilay","given":"Joshua I","non-dropping-particle":"","parse-names":false,"suffix":""},{"dropping-particle":"","family":"Davis","given":"Barry R","non-dropping-particle":"","parse-names":false,"suffix":""},{"dropping-particle":"","family":"Whelton","given":"Paul K","non-dropping-particle":"","parse-names":false,"suffix":""}],"container-title":"Current Hypertension Reports","id":"ITEM-1","issue":"1","issued":{"date-parts":[["2014"]]},"page":"1-6","title":"The glycemic effects of antihypertensive medications","type":"article-journal","volume":"16"},"uris":["http://www.mendeley.com/documents/?uuid=26393243-4ff1-4a96-a3ac-4672cc9bf107"]},{"id":"ITEM-2","itemData":{"DOI":"10.1016/0002-9343(84)90990-2","ISSN":"00029343","PMID":"6720727","abstract":"Serum glucose levels, triglyceride levels, and body weight are reported from a controlled drug trial in men, aged 40 to 49, with uncomplicated mild hypertension. The drug treatment started with hydrochlorothiazide alone, and methyldopa was added when necessary. If side effects occurred, methyldopa was replaced by propranolol. No detailed advice about diet, smoking, or weight reduction was given to any group. The untreated control subjects had a small increase in serum glucose levels during five years, from 6.08 to 6.21 mmol/liter. Those treated with hydrochlorothiazide alone and those treated with hydrochlorothiazide plus methyldopa had a small increase in serum glucose levels of the same order as that in the control subjects. However, those receiving the thiazide/propranolol combination experienced a sizeable increase in glucose levels, from 5.96 to 6.53 mmol/liter (p &lt; 0.001). This increase was significantly greater than the increase in the other groups (p &lt; 0.001). The thiazide/propranolol group also showed a significant increase in serum triglyceride levels (p &lt; 0.05). There was no difference in serum potassium levels in the different drug groups. The results indicate that moderate thiazide doses do not have significant effects on serum glucose levels in this age group. Propranolol in combination with thiazide seems to increase the level of serum glucose. © 1984.","author":[{"dropping-particle":"","family":"Helgeland","given":"Anders","non-dropping-particle":"","parse-names":false,"suffix":""},{"dropping-particle":"","family":"Leren","given":"Paul","non-dropping-particle":"","parse-names":false,"suffix":""},{"dropping-particle":"","family":"Foss","given":"Olav Per","non-dropping-particle":"","parse-names":false,"suffix":""},{"dropping-particle":"","family":"Hjermann","given":"Ingvar","non-dropping-particle":"","parse-names":false,"suffix":""},{"dropping-particle":"","family":"Holme","given":"Ingar","non-dropping-particle":"","parse-names":false,"suffix":""},{"dropping-particle":"","family":"Lund-Larsen","given":"Per G.","non-dropping-particle":"","parse-names":false,"suffix":""}],"container-title":"The American Journal of Medicine","id":"ITEM-2","issue":"5","issued":{"date-parts":[["1984"]]},"page":"802-805","title":"Serum glucose levels during long-term observation of treated and untreated men with mild hypertension. The Oslo study","type":"article-journal","volume":"76"},"uris":["http://www.mendeley.com/documents/?uuid=ab095fab-b5a0-3d83-968e-6ab1c1dc8175"]}],"mendeley":{"formattedCitation":"(182,183)","plainTextFormattedCitation":"(182,183)","previouslyFormattedCitation":"(182,183)"},"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(182,183)</w:t>
      </w:r>
      <w:r w:rsidR="000F3AD7" w:rsidRPr="004661E9">
        <w:rPr>
          <w:rFonts w:ascii="Arial" w:hAnsi="Arial" w:cs="Arial"/>
        </w:rPr>
        <w:fldChar w:fldCharType="end"/>
      </w:r>
      <w:r w:rsidR="00CF5776" w:rsidRPr="004661E9">
        <w:rPr>
          <w:rFonts w:ascii="Arial" w:hAnsi="Arial" w:cs="Arial"/>
        </w:rPr>
        <w:t>.</w:t>
      </w:r>
      <w:r w:rsidRPr="004661E9">
        <w:rPr>
          <w:rFonts w:ascii="Arial" w:hAnsi="Arial" w:cs="Arial"/>
        </w:rPr>
        <w:t xml:space="preserve"> However, such an adverse effect </w:t>
      </w:r>
      <w:r w:rsidR="00242D49" w:rsidRPr="004661E9">
        <w:rPr>
          <w:rFonts w:ascii="Arial" w:hAnsi="Arial" w:cs="Arial"/>
        </w:rPr>
        <w:t xml:space="preserve">concern </w:t>
      </w:r>
      <w:r w:rsidR="00471A81" w:rsidRPr="004661E9">
        <w:rPr>
          <w:rFonts w:ascii="Arial" w:hAnsi="Arial" w:cs="Arial"/>
        </w:rPr>
        <w:t>is not present with</w:t>
      </w:r>
      <w:r w:rsidR="00C11E8A" w:rsidRPr="004661E9">
        <w:rPr>
          <w:rFonts w:ascii="Arial" w:hAnsi="Arial" w:cs="Arial"/>
        </w:rPr>
        <w:t xml:space="preserve"> newer</w:t>
      </w:r>
      <w:r w:rsidR="00471A81" w:rsidRPr="004661E9">
        <w:rPr>
          <w:rFonts w:ascii="Arial" w:hAnsi="Arial" w:cs="Arial"/>
        </w:rPr>
        <w:t>-</w:t>
      </w:r>
      <w:r w:rsidR="00C11E8A" w:rsidRPr="004661E9">
        <w:rPr>
          <w:rFonts w:ascii="Arial" w:hAnsi="Arial" w:cs="Arial"/>
        </w:rPr>
        <w:t>generation beta</w:t>
      </w:r>
      <w:r w:rsidR="006C3EBB" w:rsidRPr="004661E9">
        <w:rPr>
          <w:rFonts w:ascii="Arial" w:hAnsi="Arial" w:cs="Arial"/>
        </w:rPr>
        <w:t>-</w:t>
      </w:r>
      <w:r w:rsidR="00C11E8A" w:rsidRPr="004661E9">
        <w:rPr>
          <w:rFonts w:ascii="Arial" w:hAnsi="Arial" w:cs="Arial"/>
        </w:rPr>
        <w:t>blockers in HF populations</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{"citationItems":[{"id":"ITEM-1","itemData":{"DOI":"10.1186/1475-2840-11-14","ISSN":"14752840","abstract":"Background: The prognostic benefits of beta-blockers (BB) in patients with systolic heart failure (SHF) are known but despite this, in patients with diabetes they are underutilized. The aim of this study was to assess the effect of beta-blockers (BB) on glycaemic control in patients with Type 2 Diabetes (T2DM) and systolic heart failure (SHF) stratified to beta-1 selective (Bisoprolol) vs. nonselective BB (Carvedilol).Methods: This observational, cohort study was conducted in patients with T2DM and SHF attending an Australian tertiary teaching hospital's heart failure services. The primary endpoint was glycaemic control measured by glycosylated haemoglobin (HbA1c) at initiation and top dose of BB. Secondary endpoints included microalbuminuria, changes in lipid profile and estimated glomerular filtration rate (eGFR).Results: 125 patients were assessed. Both groups were well matched for gender, NYHA class and use of guideline validated heart failure and diabetic medications. The mean treatment duration was 1.9 ± 1.1 years with carvedilol and 1.4 ± 1.0 years with bisoprolol (p = ns). The carvedilol group achieved a reduction in HbA1c (7.8 ± 0.21% to 7.3 ± 0.17%, p = 0.02) whereas the bisoprolol group showed no change in HbA1c (7.0 ± 0.20% to 6.9 ± 0.23%, p = 0.92). There was no significant difference in the change in HbA1c from baseline to peak BB dose in the carvedilol group compared to the bisoprolol group. There was a similar deterioration in eGFR, but no significant changes in lipid profile or microalbuminuria in both groups (p = ns).Conclusion: BB use did not worsen glycaemic control, lipid profile or albuminuria status in subjects with SHF and T2DM. Carvedilol significantly improved glycemic control in subjects with SHF and T2DM and this improvement was non significantly better than that obtained with bisoprolol. BB's should not be withheld from patients with T2DM and SHF. © 2012 Wai et al; licensee BioMed Central Ltd.","author":[{"dropping-particle":"","family":"Wai","given":"Bryan","non-dropping-particle":"","parse-names":false,"suffix":""},{"dropping-particle":"","family":"Kearney","given":"Leighton G.","non-dropping-particle":"","parse-names":false,"suffix":""},{"dropping-particle":"","family":"Hare","given":"David L.","non-dropping-particle":"","parse-names":false,"suffix":""},{"dropping-particle":"","family":"Ord","given":"Michelle","non-dropping-particle":"","parse-names":false,"suffix":""},{"dropping-particle":"","family":"Burrell","given":"Louise M.","non-dropping-particle":"","parse-names":false,"suffix":""},{"dropping-particle":"","family":"Srivastava","given":"Piyush M.","non-dropping-particle":"","parse-names":false,"suffix":""}],"container-title":"Cardiovascular Diabetology","id":"ITEM-1","issue":"14","issued":{"date-parts":[["2012","2","14"]]},"page":"1-5","title":"Beta blocker use in subjects with type 2 diabetes mellitus and systolic heart failure does not worsen glycaemic control","type":"article-journal","volume":"11"},"uris":["http://www.mendeley.com/documents/?uuid=63cf7804-dc43-3821-9db5-d4e00a6888b9"]}],"mendeley":{"formattedCitation":"(184)","plainTextFormattedCitation":"(184)","previouslyFormattedCitation":"(184)"},"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(184)</w:t>
      </w:r>
      <w:r w:rsidR="000F3AD7" w:rsidRPr="004661E9">
        <w:rPr>
          <w:rFonts w:ascii="Arial" w:hAnsi="Arial" w:cs="Arial"/>
        </w:rPr>
        <w:fldChar w:fldCharType="end"/>
      </w:r>
      <w:r w:rsidR="00CF5776" w:rsidRPr="004661E9">
        <w:rPr>
          <w:rFonts w:ascii="Arial" w:hAnsi="Arial" w:cs="Arial"/>
        </w:rPr>
        <w:t>.</w:t>
      </w:r>
      <w:r w:rsidR="00C847D6" w:rsidRPr="004661E9">
        <w:rPr>
          <w:rFonts w:ascii="Arial" w:hAnsi="Arial" w:cs="Arial"/>
        </w:rPr>
        <w:t xml:space="preserve"> </w:t>
      </w:r>
      <w:r w:rsidR="006C3EBB" w:rsidRPr="004661E9">
        <w:rPr>
          <w:rFonts w:ascii="Arial" w:hAnsi="Arial" w:cs="Arial"/>
        </w:rPr>
        <w:t>C</w:t>
      </w:r>
      <w:r w:rsidR="00543EDD" w:rsidRPr="004661E9">
        <w:rPr>
          <w:rFonts w:ascii="Arial" w:hAnsi="Arial" w:cs="Arial"/>
        </w:rPr>
        <w:t xml:space="preserve">ompared </w:t>
      </w:r>
      <w:r w:rsidR="00543EDD" w:rsidRPr="004661E9">
        <w:rPr>
          <w:rFonts w:ascii="Arial" w:hAnsi="Arial" w:cs="Arial"/>
        </w:rPr>
        <w:lastRenderedPageBreak/>
        <w:t xml:space="preserve">to other beta-blockers, </w:t>
      </w:r>
      <w:r w:rsidR="00471A81" w:rsidRPr="004661E9">
        <w:rPr>
          <w:rFonts w:ascii="Arial" w:hAnsi="Arial" w:cs="Arial"/>
        </w:rPr>
        <w:t>c</w:t>
      </w:r>
      <w:r w:rsidR="00543EDD" w:rsidRPr="004661E9">
        <w:rPr>
          <w:rFonts w:ascii="Arial" w:hAnsi="Arial" w:cs="Arial"/>
        </w:rPr>
        <w:t>arvedilol use</w:t>
      </w:r>
      <w:r w:rsidR="00242D49" w:rsidRPr="004661E9">
        <w:rPr>
          <w:rFonts w:ascii="Arial" w:hAnsi="Arial" w:cs="Arial"/>
        </w:rPr>
        <w:t xml:space="preserve"> </w:t>
      </w:r>
      <w:r w:rsidR="00F91BB0" w:rsidRPr="004661E9">
        <w:rPr>
          <w:rFonts w:ascii="Arial" w:hAnsi="Arial" w:cs="Arial"/>
        </w:rPr>
        <w:t>may even</w:t>
      </w:r>
      <w:r w:rsidR="00242D49" w:rsidRPr="004661E9">
        <w:rPr>
          <w:rFonts w:ascii="Arial" w:hAnsi="Arial" w:cs="Arial"/>
        </w:rPr>
        <w:t xml:space="preserve"> reduce HbA1</w:t>
      </w:r>
      <w:r w:rsidR="00B213BB" w:rsidRPr="004661E9">
        <w:rPr>
          <w:rFonts w:ascii="Arial" w:hAnsi="Arial" w:cs="Arial"/>
        </w:rPr>
        <w:t>c</w:t>
      </w:r>
      <w:r w:rsidR="00242D49" w:rsidRPr="004661E9">
        <w:rPr>
          <w:rFonts w:ascii="Arial" w:hAnsi="Arial" w:cs="Arial"/>
        </w:rPr>
        <w:t xml:space="preserve">, fasting insulin levels, and </w:t>
      </w:r>
      <w:r w:rsidR="00F91BB0" w:rsidRPr="004661E9">
        <w:rPr>
          <w:rFonts w:ascii="Arial" w:hAnsi="Arial" w:cs="Arial"/>
        </w:rPr>
        <w:t xml:space="preserve">risk of </w:t>
      </w:r>
      <w:r w:rsidR="00242D49" w:rsidRPr="004661E9">
        <w:rPr>
          <w:rFonts w:ascii="Arial" w:hAnsi="Arial" w:cs="Arial"/>
        </w:rPr>
        <w:t>new</w:t>
      </w:r>
      <w:r w:rsidR="006C3EBB" w:rsidRPr="004661E9">
        <w:rPr>
          <w:rFonts w:ascii="Arial" w:hAnsi="Arial" w:cs="Arial"/>
        </w:rPr>
        <w:t>-</w:t>
      </w:r>
      <w:r w:rsidR="00242D49" w:rsidRPr="004661E9">
        <w:rPr>
          <w:rFonts w:ascii="Arial" w:hAnsi="Arial" w:cs="Arial"/>
        </w:rPr>
        <w:t>onset diabetes in patients with HFrEF</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{"citationItems":[{"id":"ITEM-1","itemData":{"DOI":"10.1136/hrt.2006.092379","ISSN":"13556037","abstract":"Background: β Blocker treatment may worsen glucose metabolism. Objective: To study the development of new onset diabetes in a large cohort of patients with heart failure treated with either metoprolol or carvedilol. Design: Prospective ana retrospective analysis of a controlled clinical trial. Setting: Multinational multicentre study. Patients: 3029 patients with chronic heart failure. Interventions: Randomly assigned treatment with carvedilol (n = 1511, target dose 50 mg daily) or metoprolol tartrate (n = 1518, target dose 100 mg daily). Results: Diabetic events (diabetic coma, peripheral gangrene, diabetic foot, decreased glucose tolerance or hyperglycaemia) and new onset diabetes (clinical diagnosis, repeated high random glucose level or glucose lowering drugs) were assessed in 2298 patients without diabetes at baseline. Diabetic events occurred in 122/1151 (10.6%) patients in the carvedilol group and 149/1147 (13.0%) patients in the metoprolol group (hazard ratio (HR) = 0.78; 95% confidence interval (CI) 0.61 to 0.99; p = 0.039). New onset diabetes was diagnosed in 119/1151 (10.3%) v 145/1147 (12.6%) cases in the carvedilol and metoprolol treatment groups (HR = 0.78, CI 0.61 to 0.997; p = 0.048), respectively. Patients with diabetes at baseline had an increased mortality compared with non-diabetic subjects (45.3% v 33.9%; HR = 1.45, CI 1.28 to 1.65). Both diabetic and non-diabetic subjects at baseline had a similar reduction in mortality with carvedilol compared with metoprolol (RR = 0.85; CI 0.69 to 1.06 and RR = 0.82; CI 0.71 to 0.94, respectively). Conclusion: A high prevalence and incidence of diabetes is found in patients with heart failure over a course of 5 years. New onset diabetes is more likely to occur during treatment with metoprolol than during treatment with carvedilol.","author":[{"dropping-particle":"","family":"Torp-Pedersen","given":"Christian","non-dropping-particle":"","parse-names":false,"suffix":""},{"dropping-particle":"","family":"Metra","given":"Marco","non-dropping-particle":"","parse-names":false,"suffix":""},{"dropping-particle":"","family":"Charlesworth","given":"Andrew","non-dropping-particle":"","parse-names":false,"suffix":""},{"dropping-particle":"","family":"Spark","given":"Phillip","non-dropping-particle":"","parse-names":false,"suffix":""},{"dropping-particle":"","family":"Lukas","given":"Mary Ann","non-dropping-particle":"","parse-names":false,"suffix":""},{"dropping-particle":"","family":"Poole-Wilson","given":"Philip A.","non-dropping-particle":"","parse-names":false,"suffix":""},{"dropping-particle":"","family":"Swedberg","given":"Karl","non-dropping-particle":"","parse-names":false,"suffix":""},{"dropping-particle":"","family":"Cleland","given":"John G.F.","non-dropping-particle":"","parse-names":false,"suffix":""},{"dropping-particle":"","family":"Lenarda","given":"Andrea","non-dropping-particle":"Di","parse-names":false,"suffix":""},{"dropping-particle":"","family":"Remme","given":"Willem J.","non-dropping-particle":"","parse-names":false,"suffix":""},{"dropping-particle":"","family":"Scherhag","given":"Armin","non-dropping-particle":"","parse-names":false,"suffix":""}],"container-title":"Heart","id":"ITEM-1","issue":"8","issued":{"date-parts":[["2007","8"]]},"page":"968-973","title":"Effects of metoprolol and carvedilol on pre-existing and new onset diabetes in patients with chronic heart failure: Data from the Carvedilol or Metoprolol European Trial (COMET)","type":"article-journal","volume":"93"},"uris":["http://www.mendeley.com/documents/?uuid=c1df8370-b890-386d-b1e3-3e7951ae8a64"]},{"id":"ITEM-2","itemData":{"DOI":"10.1186/1475-2840-11-14","ISSN":"14752840","abstract":"Background: The prognostic benefits of beta-blockers (BB) in patients with systolic heart failure (SHF) are known but despite this, in patients with diabetes they are underutilized. The aim of this study was to assess the effect of beta-blockers (BB) on glycaemic control in patients with Type 2 Diabetes (T2DM) and systolic heart failure (SHF) stratified to beta-1 selective (Bisoprolol) vs. nonselective BB (Carvedilol).Methods: This observational, cohort study was conducted in patients with T2DM and SHF attending an Australian tertiary teaching hospital's heart failure services. The primary endpoint was glycaemic control measured by glycosylated haemoglobin (HbA1c) at initiation and top dose of BB. Secondary endpoints included microalbuminuria, changes in lipid profile and estimated glomerular filtration rate (eGFR).Results: 125 patients were assessed. Both groups were well matched for gender, NYHA class and use of guideline validated heart failure and diabetic medications. The mean treatment duration was 1.9 ± 1.1 years with carvedilol and 1.4 ± 1.0 years with bisoprolol (p = ns). The carvedilol group achieved a reduction in HbA1c (7.8 ± 0.21% to 7.3 ± 0.17%, p = 0.02) whereas the bisoprolol group showed no change in HbA1c (7.0 ± 0.20% to 6.9 ± 0.23%, p = 0.92). There was no significant difference in the change in HbA1c from baseline to peak BB dose in the carvedilol group compared to the bisoprolol group. There was a similar deterioration in eGFR, but no significant changes in lipid profile or microalbuminuria in both groups (p = ns).Conclusion: BB use did not worsen glycaemic control, lipid profile or albuminuria status in subjects with SHF and T2DM. Carvedilol significantly improved glycemic control in subjects with SHF and T2DM and this improvement was non significantly better than that obtained with bisoprolol. BB's should not be withheld from patients with T2DM and SHF. © 2012 Wai et al; licensee BioMed Central Ltd.","author":[{"dropping-particle":"","family":"Wai","given":"Bryan","non-dropping-particle":"","parse-names":false,"suffix":""},{"dropping-particle":"","family":"Kearney","given":"Leighton G.","non-dropping-particle":"","parse-names":false,"suffix":""},{"dropping-particle":"","family":"Hare","given":"David L.","non-dropping-particle":"","parse-names":false,"suffix":""},{"dropping-particle":"","family":"Ord","given":"Michelle","non-dropping-particle":"","parse-names":false,"suffix":""},{"dropping-particle":"","family":"Burrell","given":"Louise M.","non-dropping-particle":"","parse-names":false,"suffix":""},{"dropping-particle":"","family":"Srivastava","given":"Piyush M.","non-dropping-particle":"","parse-names":false,"suffix":""}],"container-title":"Cardiovascular Diabetology","id":"ITEM-2","issue":"14","issued":{"date-parts":[["2012","2","14"]]},"page":"1-5","title":"Beta blocker use in subjects with type 2 diabetes mellitus and systolic heart failure does not worsen glycaemic control","type":"article-journal","volume":"11"},"uris":["http://www.mendeley.com/documents/?uuid=63cf7804-dc43-3821-9db5-d4e00a6888b9"]}],"mendeley":{"formattedCitation":"(60,184)","plainTextFormattedCitation":"(60,184)","previouslyFormattedCitation":"(60,184)"},"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(60,184)</w:t>
      </w:r>
      <w:r w:rsidR="000F3AD7" w:rsidRPr="004661E9">
        <w:rPr>
          <w:rFonts w:ascii="Arial" w:hAnsi="Arial" w:cs="Arial"/>
        </w:rPr>
        <w:fldChar w:fldCharType="end"/>
      </w:r>
      <w:r w:rsidR="00CF5776" w:rsidRPr="004661E9">
        <w:rPr>
          <w:rFonts w:ascii="Arial" w:hAnsi="Arial" w:cs="Arial"/>
        </w:rPr>
        <w:t>.</w:t>
      </w:r>
    </w:p>
    <w:p w14:paraId="60B8D8DA" w14:textId="77777777" w:rsidR="00CF5776" w:rsidRPr="004661E9" w:rsidRDefault="00CF5776" w:rsidP="004661E9">
      <w:pPr>
        <w:spacing w:after="0" w:line="276" w:lineRule="auto"/>
        <w:rPr>
          <w:rFonts w:ascii="Arial" w:hAnsi="Arial" w:cs="Arial"/>
        </w:rPr>
      </w:pPr>
    </w:p>
    <w:p w14:paraId="5EBA0C66" w14:textId="055694CB" w:rsidR="00CF5776" w:rsidRPr="004661E9" w:rsidRDefault="00D40DB2" w:rsidP="004661E9">
      <w:pPr>
        <w:spacing w:after="0" w:line="276" w:lineRule="auto"/>
        <w:rPr>
          <w:rFonts w:ascii="Arial" w:hAnsi="Arial" w:cs="Arial"/>
        </w:rPr>
      </w:pPr>
      <w:r w:rsidRPr="004661E9">
        <w:rPr>
          <w:rFonts w:ascii="Arial" w:hAnsi="Arial" w:cs="Arial"/>
        </w:rPr>
        <w:t>B</w:t>
      </w:r>
      <w:r w:rsidR="00C847D6" w:rsidRPr="004661E9">
        <w:rPr>
          <w:rFonts w:ascii="Arial" w:hAnsi="Arial" w:cs="Arial"/>
        </w:rPr>
        <w:t>eta</w:t>
      </w:r>
      <w:r w:rsidR="006C3EBB" w:rsidRPr="004661E9">
        <w:rPr>
          <w:rFonts w:ascii="Arial" w:hAnsi="Arial" w:cs="Arial"/>
        </w:rPr>
        <w:t>-</w:t>
      </w:r>
      <w:r w:rsidR="00C847D6" w:rsidRPr="004661E9">
        <w:rPr>
          <w:rFonts w:ascii="Arial" w:hAnsi="Arial" w:cs="Arial"/>
        </w:rPr>
        <w:t xml:space="preserve">blockers </w:t>
      </w:r>
      <w:r w:rsidRPr="004661E9">
        <w:rPr>
          <w:rFonts w:ascii="Arial" w:hAnsi="Arial" w:cs="Arial"/>
        </w:rPr>
        <w:t>can potentially</w:t>
      </w:r>
      <w:r w:rsidR="00C847D6" w:rsidRPr="004661E9">
        <w:rPr>
          <w:rFonts w:ascii="Arial" w:hAnsi="Arial" w:cs="Arial"/>
        </w:rPr>
        <w:t xml:space="preserve"> </w:t>
      </w:r>
      <w:r w:rsidR="00BB0C40" w:rsidRPr="004661E9">
        <w:rPr>
          <w:rFonts w:ascii="Arial" w:hAnsi="Arial" w:cs="Arial"/>
        </w:rPr>
        <w:t>mask</w:t>
      </w:r>
      <w:r w:rsidR="00C847D6" w:rsidRPr="004661E9">
        <w:rPr>
          <w:rFonts w:ascii="Arial" w:hAnsi="Arial" w:cs="Arial"/>
        </w:rPr>
        <w:t xml:space="preserve"> hypoglycemia </w:t>
      </w:r>
      <w:r w:rsidR="00BB0C40" w:rsidRPr="004661E9">
        <w:rPr>
          <w:rFonts w:ascii="Arial" w:hAnsi="Arial" w:cs="Arial"/>
        </w:rPr>
        <w:t xml:space="preserve">symptoms </w:t>
      </w:r>
      <w:r w:rsidR="00C847D6" w:rsidRPr="004661E9">
        <w:rPr>
          <w:rFonts w:ascii="Arial" w:hAnsi="Arial" w:cs="Arial"/>
        </w:rPr>
        <w:t xml:space="preserve">by preventing palpitations and tremors and </w:t>
      </w:r>
      <w:r w:rsidR="00BB0C40" w:rsidRPr="004661E9">
        <w:rPr>
          <w:rFonts w:ascii="Arial" w:hAnsi="Arial" w:cs="Arial"/>
        </w:rPr>
        <w:t xml:space="preserve">could </w:t>
      </w:r>
      <w:r w:rsidR="00C847D6" w:rsidRPr="004661E9">
        <w:rPr>
          <w:rFonts w:ascii="Arial" w:hAnsi="Arial" w:cs="Arial"/>
        </w:rPr>
        <w:t>prolong recovery from hypoglycemia by reducing glucose production in the liver</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{"citationItems":[{"id":"ITEM-1","itemData":{"DOI":"10.1002/ejhf.1170","ISSN":"13889842","abstract":"The coexistence of type 2 diabetes mellitus (T2DM) and heart failure (HF), either with reduced (HFrEF) or preserved ejection fraction (HFpEF), is frequent (30–40% of patients) and associated with a higher risk of HF hospitalization, all-cause and cardiovascular (CV) mortality. The most important causes of HF in T2DM are coronary artery disease, arterial hypertension and a direct detrimental effect of T2DM on the myocardium. T2DM is often unrecognized in HF patients, and vice versa, which emphasizes the importance of an active search for both disorders in the clinical practice. There are no specific limitations to HF treatment in T2DM. Subanalyses of trials addressing HF treatment in the general population have shown that all HF therapies are similarly effective regardless of T2DM. Concerning T2DM treatment in HF patients, most guidelines currently recommend metformin as the first-line choice. Sulphonylureas and insulin have been the traditional second- and third-line therapies although their safety in HF is equivocal. Neither glucagon-like preptide-1 (GLP-1) receptor agonists, nor dipeptidyl peptidase-4 (DPP4) inhibitors reduce the risk for HF hospitalization. Indeed, a DPP4 inhibitor, saxagliptin, has been associated with a higher risk of HF hospitalization. Thiazolidinediones (pioglitazone and rosiglitazone) are contraindicated in patients with (or at risk of) HF. In recent trials, sodium–glucose co-transporter-2 (SGLT2) inhibitors, empagliflozin and canagliflozin, have both shown a significant reduction in HF hospitalization in patients with established CV disease or at risk of CV disease. Several ongoing trials should provide an insight into the effectiveness of SGLT2 inhibitors in patients with HFrEF and HFpEF in the absence of T2DM.","author":[{"dropping-particle":"","family":"Seferović","given":"Petar M.","non-dropping-particle":"","parse-names":false,"suffix":""},{"dropping-particle":"","family":"Petrie","given":"Mark C.","non-dropping-particle":"","parse-names":false,"suffix":""},{"dropping-particle":"","family":"Filippatos","given":"Gerasimos S.","non-dropping-particle":"","parse-names":false,"suffix":""},{"dropping-particle":"","family":"Anker","given":"Stefan D.","non-dropping-particle":"","parse-names":false,"suffix":""},{"dropping-particle":"","family":"Rosano","given":"Giuseppe","non-dropping-particle":"","parse-names":false,"suffix":""},{"dropping-particle":"","family":"Bauersachs","given":"Johann","non-dropping-particle":"","parse-names":false,"suffix":""},{"dropping-particle":"","family":"Paulus","given":"Walter J.","non-dropping-particle":"","parse-names":false,"suffix":""},{"dropping-particle":"","family":"Komajda","given":"Michel","non-dropping-particle":"","parse-names":false,"suffix":""},{"dropping-particle":"","family":"Cosentino","given":"Francesco","non-dropping-particle":"","parse-names":false,"suffix":""},{"dropping-particle":"","family":"Boer","given":"Rudolf A.","non-dropping-particle":"de","parse-names":false,"suffix":""},{"dropping-particle":"","family":"Farmakis","given":"Dimitrios","non-dropping-particle":"","parse-names":false,"suffix":""},{"dropping-particle":"","family":"Doehner","given":"Wolfram","non-dropping-particle":"","parse-names":false,"suffix":""},{"dropping-particle":"","family":"Lambrinou","given":"Ekaterini","non-dropping-particle":"","parse-names":false,"suffix":""},{"dropping-particle":"","family":"Lopatin","given":"Yuri","non-dropping-particle":"","parse-names":false,"suffix":""},{"dropping-particle":"","family":"Piepoli","given":"Massimo F.","non-dropping-particle":"","parse-names":false,"suffix":""},{"dropping-particle":"","family":"Theodorakis","given":"Michael J.","non-dropping-particle":"","parse-names":false,"suffix":""},{"dropping-particle":"","family":"Wiggers","given":"Henrik","non-dropping-particle":"","parse-names":false,"suffix":""},{"dropping-particle":"","family":"Lekakis","given":"John","non-dropping-particle":"","parse-names":false,"suffix":""},{"dropping-particle":"","family":"Mebazaa","given":"Alexandre","non-dropping-particle":"","parse-names":false,"suffix":""},{"dropping-particle":"","family":"Mamas","given":"Mamas A.","non-dropping-particle":"","parse-names":false,"suffix":""},{"dropping-particle":"","family":"Tschöpe","given":"Carsten","non-dropping-particle":"","parse-names":false,"suffix":""},{"dropping-particle":"","family":"Hoes","given":"Arno W.","non-dropping-particle":"","parse-names":false,"suffix":""},{"dropping-particle":"","family":"Seferović","given":"Jelena P.","non-dropping-particle":"","parse-names":false,"suffix":""},{"dropping-particle":"","family":"Logue","given":"Jennifer","non-dropping-particle":"","parse-names":false,"suffix":""},{"dropping-particle":"","family":"McDonagh","given":"Theresa","non-dropping-particle":"","parse-names":false,"suffix":""},{"dropping-particle":"","family":"Riley","given":"Jillian P.","non-dropping-particle":"","parse-names":false,"suffix":""},{"dropping-particle":"","family":"Milinković","given":"Ivan","non-dropping-particle":"","parse-names":false,"suffix":""},{"dropping-particle":"","family":"Polovina","given":"Marija","non-dropping-particle":"","parse-names":false,"suffix":""},{"dropping-particle":"","family":"Veldhuisen","given":"Dirk J.","non-dropping-particle":"van","parse-names":false,"suffix":""},{"dropping-particle":"","family":"Lainscak","given":"Mitja","non-dropping-particle":"","parse-names":false,"suffix":""},{"dropping-particle":"","family":"Maggioni","given":"Aldo P.","non-dropping-particle":"","parse-names":false,"suffix":""},{"dropping-particle":"","family":"Ruschitzka","given":"Frank","non-dropping-particle":"","parse-names":false,"suffix":""},{"dropping-particle":"","family":"McMurray","given":"John J.V.","non-dropping-particle":"","parse-names":false,"suffix":""}],"container-title":"European Journal of Heart Failure","id":"ITEM-1","issue":"5","issued":{"date-parts":[["2018","5","1"]]},"page":"853-872","publisher":"John Wiley and Sons Ltd","title":"Type 2 diabetes mellitus and heart failure: a position statement from the Heart Failure Association of the European Society of Cardiology","type":"article-journal","volume":"20"},"uris":["http://www.mendeley.com/documents/?uuid=1e89e78d-7ba3-390a-87dc-eb3c97d7d3a9"]}],"mendeley":{"formattedCitation":"(178)","plainTextFormattedCitation":"(178)","previouslyFormattedCitation":"(178)"},"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(178)</w:t>
      </w:r>
      <w:r w:rsidR="000F3AD7" w:rsidRPr="004661E9">
        <w:rPr>
          <w:rFonts w:ascii="Arial" w:hAnsi="Arial" w:cs="Arial"/>
        </w:rPr>
        <w:fldChar w:fldCharType="end"/>
      </w:r>
      <w:r w:rsidR="00CF5776" w:rsidRPr="004661E9">
        <w:rPr>
          <w:rFonts w:ascii="Arial" w:hAnsi="Arial" w:cs="Arial"/>
        </w:rPr>
        <w:t>.</w:t>
      </w:r>
      <w:r w:rsidR="00C847D6" w:rsidRPr="004661E9">
        <w:rPr>
          <w:rFonts w:ascii="Arial" w:hAnsi="Arial" w:cs="Arial"/>
        </w:rPr>
        <w:t xml:space="preserve"> </w:t>
      </w:r>
      <w:r w:rsidRPr="004661E9">
        <w:rPr>
          <w:rFonts w:ascii="Arial" w:hAnsi="Arial" w:cs="Arial"/>
        </w:rPr>
        <w:t>A post hoc analysis of the ACCORD trial demonstrated a significant association between beta</w:t>
      </w:r>
      <w:r w:rsidR="006C3EBB" w:rsidRPr="004661E9">
        <w:rPr>
          <w:rFonts w:ascii="Arial" w:hAnsi="Arial" w:cs="Arial"/>
        </w:rPr>
        <w:t>-</w:t>
      </w:r>
      <w:r w:rsidRPr="004661E9">
        <w:rPr>
          <w:rFonts w:ascii="Arial" w:hAnsi="Arial" w:cs="Arial"/>
        </w:rPr>
        <w:t>blocker use and severe hypoglycemia</w:t>
      </w:r>
      <w:r w:rsidR="006450DE" w:rsidRPr="004661E9">
        <w:rPr>
          <w:rFonts w:ascii="Arial" w:hAnsi="Arial" w:cs="Arial"/>
        </w:rPr>
        <w:t xml:space="preserve"> </w:t>
      </w:r>
      <w:r w:rsidR="006C2ECE" w:rsidRPr="004661E9">
        <w:rPr>
          <w:rFonts w:ascii="Arial" w:hAnsi="Arial" w:cs="Arial"/>
        </w:rPr>
        <w:t xml:space="preserve">risk </w:t>
      </w:r>
      <w:r w:rsidR="007351C7" w:rsidRPr="004661E9">
        <w:rPr>
          <w:rFonts w:ascii="Arial" w:hAnsi="Arial" w:cs="Arial"/>
        </w:rPr>
        <w:t xml:space="preserve">in </w:t>
      </w:r>
      <w:r w:rsidR="006450DE" w:rsidRPr="004661E9">
        <w:rPr>
          <w:rFonts w:ascii="Arial" w:hAnsi="Arial" w:cs="Arial"/>
        </w:rPr>
        <w:t>patients with diabetes</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{"citationItems":[{"id":"ITEM-1","itemData":{"DOI":"10.1161/HYPERTENSIONAHA.117.09259","ISSN":"15244563","abstract":"Although the use of β-blockers may help in achieving maximum effects of intensive glycemic control because of a decrease in the adverse effects after severe hypoglycemia, they pose a potential risk for the occurrence of severe hypoglycemia. This study aimed to evaluate whether the use of β-blockers is effective in patients with diabetes mellitus and whether its use is associated with the occurrence of severe hypoglycemia. Using the ACCORD trial (Action to Control Cardiovascular Risk in Diabetes) data, we performed Cox proportional hazards analyses with a propensity score adjustment. The primary outcome was the first occurrence of a cardiovascular event during the study period, which included nonfatal myocardial infarction, unstable angina, nonfatal stroke, and cardiovascular death. The mean follow-up periods (±SD) were 4.6±1.6 years in patients on β-blockers (n=2527) and 4.7±1.6 years in those not on β-blockers (n=2527). The cardiovascular event rate was significantly higher in patients on β-blockers than in those not on β-blockers (hazard ratio, 1.46; 95% confidence interval, 1.24-1.72; P&lt;0.001). In patients with coronary heart disease or heart failure, the cumulative event rate for cardiovascular events was also significantly higher in those on β-blockers than in those not on β-blockers (hazard ratio, 1.27; 95% confidence interval, 1.02-1.60; P=0.03). The incidence of severe hypoglycemia was significantly higher in patients on β-blockers than in those not on β-blockers (hazard ratio, 1.30; 95% confidence interval, 1.03-1.64; P=0.02). In conclusion, the use of β-blockers in patients with diabetes mellitus was associated with an increased risk for cardiovascular events.","author":[{"dropping-particle":"","family":"Tsujimoto","given":"Tetsuro","non-dropping-particle":"","parse-names":false,"suffix":""},{"dropping-particle":"","family":"Sugiyama","given":"Takehiro","non-dropping-particle":"","parse-names":false,"suffix":""},{"dropping-particle":"","family":"Shapiro","given":"Martin F.","non-dropping-particle":"","parse-names":false,"suffix":""},{"dropping-particle":"","family":"Noda","given":"Mitsuhiko","non-dropping-particle":"","parse-names":false,"suffix":""},{"dropping-particle":"","family":"Kajio","given":"Hiroshi","non-dropping-particle":"","parse-names":false,"suffix":""}],"container-title":"Hypertension","id":"ITEM-1","issue":"1","issued":{"date-parts":[["2017","7","1"]]},"page":"103-110","publisher":"Lippincott Williams and Wilkins","title":"Risk of Cardiovascular Events in Patients with Diabetes Mellitus on β-Blockers","type":"article-journal","volume":"70"},"uris":["http://www.mendeley.com/documents/?uuid=d85a72b7-01c0-3dd7-bbd8-10ba83495316"]}],"mendeley":{"formattedCitation":"(185)","plainTextFormattedCitation":"(185)","previouslyFormattedCitation":"(185)"},"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(185)</w:t>
      </w:r>
      <w:r w:rsidR="000F3AD7" w:rsidRPr="004661E9">
        <w:rPr>
          <w:rFonts w:ascii="Arial" w:hAnsi="Arial" w:cs="Arial"/>
        </w:rPr>
        <w:fldChar w:fldCharType="end"/>
      </w:r>
      <w:r w:rsidR="00CF5776" w:rsidRPr="004661E9">
        <w:rPr>
          <w:rFonts w:ascii="Arial" w:hAnsi="Arial" w:cs="Arial"/>
        </w:rPr>
        <w:t>.</w:t>
      </w:r>
      <w:r w:rsidRPr="004661E9">
        <w:rPr>
          <w:rFonts w:ascii="Arial" w:hAnsi="Arial" w:cs="Arial"/>
        </w:rPr>
        <w:t xml:space="preserve"> </w:t>
      </w:r>
      <w:r w:rsidR="00C847D6" w:rsidRPr="004661E9">
        <w:rPr>
          <w:rFonts w:ascii="Arial" w:hAnsi="Arial" w:cs="Arial"/>
        </w:rPr>
        <w:t xml:space="preserve">However, </w:t>
      </w:r>
      <w:r w:rsidR="006C2ECE" w:rsidRPr="004661E9">
        <w:rPr>
          <w:rFonts w:ascii="Arial" w:hAnsi="Arial" w:cs="Arial"/>
        </w:rPr>
        <w:t xml:space="preserve">a post hoc analysis of the MERIT-HF trial (Metoprolol CR/XL Randomized Intervention Trial in  Chronic  Heart  Failure) did not show </w:t>
      </w:r>
      <w:r w:rsidR="006450DE" w:rsidRPr="004661E9">
        <w:rPr>
          <w:rFonts w:ascii="Arial" w:hAnsi="Arial" w:cs="Arial"/>
        </w:rPr>
        <w:t>a similar</w:t>
      </w:r>
      <w:r w:rsidR="00C847D6" w:rsidRPr="004661E9">
        <w:rPr>
          <w:rFonts w:ascii="Arial" w:hAnsi="Arial" w:cs="Arial"/>
        </w:rPr>
        <w:t xml:space="preserve"> association between beta</w:t>
      </w:r>
      <w:r w:rsidR="006C3EBB" w:rsidRPr="004661E9">
        <w:rPr>
          <w:rFonts w:ascii="Arial" w:hAnsi="Arial" w:cs="Arial"/>
        </w:rPr>
        <w:t>-</w:t>
      </w:r>
      <w:r w:rsidR="00C847D6" w:rsidRPr="004661E9">
        <w:rPr>
          <w:rFonts w:ascii="Arial" w:hAnsi="Arial" w:cs="Arial"/>
        </w:rPr>
        <w:t>blocker use and hypoglycemia events in patients with HF and coexisting T2DM</w:t>
      </w:r>
      <w:r w:rsidR="006450DE"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{"citationItems":[{"id":"ITEM-1","itemData":{"DOI":"10.1016/j.ahj.2004.05.056","ISSN":"00028703","abstract":"Background The objective of the current study was to examine the efficacy and tolerability of the β-blocker metoprolol succinate controlled release/extended release (CR/XL) in patients with diabetes in the Metoprolol CR/XL Randomized Intervention Trial in Chronic Heart Failure (MERIT-HF). Methods The Cox proportional hazards model was used to calculate hazard ratios (HR) for convenience expressed as relative risks (risk reduction = 1-HR), and 95% confidence intervals (CI). Results The risk of hospitalization for heart failure was 76% higher in diabetics compared to non-diabetics (95% CI 38% to 123%). Metoprolol CR/XL was well tolerated and reduced the risk of hospitalization for heart failure by 37% in the diabetic group (95% CI 53% to 15%), and by 35% in the non-diabetic group (95% CI 48% to 19%). Pooling of mortality data from the Cardiac Insufficiency Bisoprolol Study II (CIBIS II), MERIT-HF, and the Carvedilol Prospective Randomized Cumulative Survival Study (COPERNICUS) showed similar survival benefits in patients with diabetes (25%; 95% CI 40% to 4%) and without diabetes (36%; 95% CI 44% to 27%); test of diabetes by treatment interaction was non-significant. Adverse events were reported more often on placebo than on metoprolol CR/XL. Conclusions Patients with heart failure and diabetes have a much higher risk of hospitalization than patients without diabetes. Regardless of diabetic status, a highly significant reduction in hospitalizations for heart failure was observed with metoprolol CR/XL therapy, which was very well tolerated also by patients with diabetes. Furthermore, the pooled data showed a statistically significant survival benefit in patients with diabetes.","author":[{"dropping-particle":"","family":"Deedwania","given":"Prakash C.","non-dropping-particle":"","parse-names":false,"suffix":""},{"dropping-particle":"","family":"Giles","given":"Thomas D.","non-dropping-particle":"","parse-names":false,"suffix":""},{"dropping-particle":"","family":"Klibaner","given":"Michael","non-dropping-particle":"","parse-names":false,"suffix":""},{"dropping-particle":"","family":"Ghali","given":"Jalal K.","non-dropping-particle":"","parse-names":false,"suffix":""},{"dropping-particle":"","family":"Herlitz","given":"Johan","non-dropping-particle":"","parse-names":false,"suffix":""},{"dropping-particle":"","family":"Hildebrandt","given":"Per","non-dropping-particle":"","parse-names":false,"suffix":""},{"dropping-particle":"","family":"Kjekshus","given":"John","non-dropping-particle":"","parse-names":false,"suffix":""},{"dropping-particle":"","family":"Spinar","given":"Jindrich","non-dropping-particle":"","parse-names":false,"suffix":""},{"dropping-particle":"","family":"Vitovec","given":"Jiri","non-dropping-particle":"","parse-names":false,"suffix":""},{"dropping-particle":"","family":"Stanbrook","given":"Hilary","non-dropping-particle":"","parse-names":false,"suffix":""},{"dropping-particle":"","family":"Wikstrand","given":"John","non-dropping-particle":"","parse-names":false,"suffix":""}],"container-title":"American Heart Journal","id":"ITEM-1","issue":"1","issued":{"date-parts":[["2005","1"]]},"page":"159-167","title":"Efficacy, safety and tolerability of metoprolol CR/XL in patients with diabetes and chronic heart failure: Experiences from MERIT-HF","type":"article-journal","volume":"149"},"uris":["http://www.mendeley.com/documents/?uuid=de1cd65d-633e-3676-b0bf-67520ba83266"]}],"mendeley":{"formattedCitation":"(186)","plainTextFormattedCitation":"(186)","previouslyFormattedCitation":"(186)"},"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(186)</w:t>
      </w:r>
      <w:r w:rsidR="000F3AD7" w:rsidRPr="004661E9">
        <w:rPr>
          <w:rFonts w:ascii="Arial" w:hAnsi="Arial" w:cs="Arial"/>
        </w:rPr>
        <w:fldChar w:fldCharType="end"/>
      </w:r>
      <w:r w:rsidR="00CF5776" w:rsidRPr="004661E9">
        <w:rPr>
          <w:rFonts w:ascii="Arial" w:hAnsi="Arial" w:cs="Arial"/>
        </w:rPr>
        <w:t>.</w:t>
      </w:r>
    </w:p>
    <w:p w14:paraId="35BA7C2D" w14:textId="062BF09B" w:rsidR="009F6DAC" w:rsidRPr="004661E9" w:rsidRDefault="00813E2C" w:rsidP="004661E9">
      <w:pPr>
        <w:spacing w:after="0" w:line="276" w:lineRule="auto"/>
        <w:rPr>
          <w:rFonts w:ascii="Arial" w:hAnsi="Arial" w:cs="Arial"/>
        </w:rPr>
      </w:pPr>
      <w:r w:rsidRPr="004661E9">
        <w:rPr>
          <w:rFonts w:ascii="Arial" w:hAnsi="Arial" w:cs="Arial"/>
        </w:rPr>
        <w:t xml:space="preserve"> </w:t>
      </w:r>
      <w:r w:rsidR="00C847D6" w:rsidRPr="004661E9">
        <w:rPr>
          <w:rFonts w:ascii="Arial" w:hAnsi="Arial" w:cs="Arial"/>
        </w:rPr>
        <w:t xml:space="preserve">   </w:t>
      </w:r>
      <w:r w:rsidR="009F6DAC" w:rsidRPr="004661E9">
        <w:rPr>
          <w:rFonts w:ascii="Arial" w:hAnsi="Arial" w:cs="Arial"/>
        </w:rPr>
        <w:t xml:space="preserve"> </w:t>
      </w:r>
    </w:p>
    <w:p w14:paraId="7660BD76" w14:textId="23186922" w:rsidR="00CF5776" w:rsidRPr="004661E9" w:rsidRDefault="006D37EE" w:rsidP="004661E9">
      <w:pPr>
        <w:spacing w:after="0" w:line="276" w:lineRule="auto"/>
        <w:rPr>
          <w:rFonts w:ascii="Arial" w:hAnsi="Arial" w:cs="Arial"/>
          <w:iCs/>
        </w:rPr>
      </w:pPr>
      <w:r w:rsidRPr="004661E9">
        <w:rPr>
          <w:rFonts w:ascii="Arial" w:hAnsi="Arial" w:cs="Arial"/>
          <w:iCs/>
          <w:color w:val="FF0000"/>
        </w:rPr>
        <w:t>M</w:t>
      </w:r>
      <w:r w:rsidR="00CF5776" w:rsidRPr="004661E9">
        <w:rPr>
          <w:rFonts w:ascii="Arial" w:hAnsi="Arial" w:cs="Arial"/>
          <w:iCs/>
          <w:color w:val="FF0000"/>
        </w:rPr>
        <w:t>INERALCORTICOID RECEPTOR INHIBITORS</w:t>
      </w:r>
      <w:r w:rsidR="00CF5776" w:rsidRPr="004661E9">
        <w:rPr>
          <w:rFonts w:ascii="Arial" w:hAnsi="Arial" w:cs="Arial"/>
          <w:iCs/>
        </w:rPr>
        <w:t xml:space="preserve">        </w:t>
      </w:r>
    </w:p>
    <w:p w14:paraId="541A5E0E" w14:textId="77777777" w:rsidR="00CF5776" w:rsidRPr="004661E9" w:rsidRDefault="00CF5776" w:rsidP="004661E9">
      <w:pPr>
        <w:spacing w:after="0" w:line="276" w:lineRule="auto"/>
        <w:rPr>
          <w:rFonts w:ascii="Arial" w:hAnsi="Arial" w:cs="Arial"/>
        </w:rPr>
      </w:pPr>
    </w:p>
    <w:p w14:paraId="383E53B1" w14:textId="4F7C4BC2" w:rsidR="006D37EE" w:rsidRPr="004661E9" w:rsidRDefault="00941015" w:rsidP="004661E9">
      <w:pPr>
        <w:spacing w:after="0" w:line="276" w:lineRule="auto"/>
        <w:rPr>
          <w:rFonts w:ascii="Arial" w:hAnsi="Arial" w:cs="Arial"/>
        </w:rPr>
      </w:pPr>
      <w:r w:rsidRPr="004661E9">
        <w:rPr>
          <w:rFonts w:ascii="Arial" w:hAnsi="Arial" w:cs="Arial"/>
        </w:rPr>
        <w:t>MRAs</w:t>
      </w:r>
      <w:r w:rsidR="00D112AD" w:rsidRPr="004661E9">
        <w:rPr>
          <w:rFonts w:ascii="Arial" w:hAnsi="Arial" w:cs="Arial"/>
        </w:rPr>
        <w:t xml:space="preserve"> (i.e.,</w:t>
      </w:r>
      <w:r w:rsidRPr="004661E9">
        <w:rPr>
          <w:rFonts w:ascii="Arial" w:hAnsi="Arial" w:cs="Arial"/>
        </w:rPr>
        <w:t xml:space="preserve"> </w:t>
      </w:r>
      <w:r w:rsidR="000B6058" w:rsidRPr="004661E9">
        <w:rPr>
          <w:rFonts w:ascii="Arial" w:hAnsi="Arial" w:cs="Arial"/>
        </w:rPr>
        <w:t xml:space="preserve">spironolactone or eplerenone) </w:t>
      </w:r>
      <w:r w:rsidR="00E3510D" w:rsidRPr="004661E9">
        <w:rPr>
          <w:rFonts w:ascii="Arial" w:hAnsi="Arial" w:cs="Arial"/>
        </w:rPr>
        <w:t>are</w:t>
      </w:r>
      <w:r w:rsidR="006003C9" w:rsidRPr="004661E9">
        <w:rPr>
          <w:rFonts w:ascii="Arial" w:hAnsi="Arial" w:cs="Arial"/>
        </w:rPr>
        <w:t xml:space="preserve"> recommended for </w:t>
      </w:r>
      <w:r w:rsidR="000B6058" w:rsidRPr="004661E9">
        <w:rPr>
          <w:rFonts w:ascii="Arial" w:hAnsi="Arial" w:cs="Arial"/>
        </w:rPr>
        <w:t>all patients with HFrEF (LVEF</w:t>
      </w:r>
      <w:r w:rsidR="00DE0983" w:rsidRPr="004661E9">
        <w:rPr>
          <w:rFonts w:ascii="Arial" w:hAnsi="Arial" w:cs="Arial"/>
        </w:rPr>
        <w:t xml:space="preserve"> ≤35</w:t>
      </w:r>
      <w:r w:rsidR="00F24F1B" w:rsidRPr="004661E9">
        <w:rPr>
          <w:rFonts w:ascii="Arial" w:hAnsi="Arial" w:cs="Arial"/>
        </w:rPr>
        <w:t>%</w:t>
      </w:r>
      <w:r w:rsidR="000B6058" w:rsidRPr="004661E9">
        <w:rPr>
          <w:rFonts w:ascii="Arial" w:hAnsi="Arial" w:cs="Arial"/>
        </w:rPr>
        <w:t>)</w:t>
      </w:r>
      <w:r w:rsidR="00354969" w:rsidRPr="004661E9">
        <w:rPr>
          <w:rFonts w:ascii="Arial" w:hAnsi="Arial" w:cs="Arial"/>
        </w:rPr>
        <w:t xml:space="preserve"> </w:t>
      </w:r>
      <w:r w:rsidR="001533A1" w:rsidRPr="004661E9">
        <w:rPr>
          <w:rFonts w:ascii="Arial" w:hAnsi="Arial" w:cs="Arial"/>
        </w:rPr>
        <w:t>and NYHA class II to IV symptoms</w:t>
      </w:r>
      <w:r w:rsidR="00EA03D0" w:rsidRPr="004661E9">
        <w:rPr>
          <w:rFonts w:ascii="Arial" w:hAnsi="Arial" w:cs="Arial"/>
        </w:rPr>
        <w:t xml:space="preserve"> if </w:t>
      </w:r>
      <w:r w:rsidR="00FF1C18" w:rsidRPr="004661E9">
        <w:rPr>
          <w:rFonts w:ascii="Arial" w:hAnsi="Arial" w:cs="Arial"/>
        </w:rPr>
        <w:t>eGFR is &gt;30 ml/min/1.73 m</w:t>
      </w:r>
      <w:r w:rsidR="00FF1C18" w:rsidRPr="004661E9">
        <w:rPr>
          <w:rFonts w:ascii="Arial" w:hAnsi="Arial" w:cs="Arial"/>
          <w:vertAlign w:val="superscript"/>
        </w:rPr>
        <w:t>2</w:t>
      </w:r>
      <w:r w:rsidR="001533A1" w:rsidRPr="004661E9">
        <w:rPr>
          <w:rFonts w:ascii="Arial" w:hAnsi="Arial" w:cs="Arial"/>
        </w:rPr>
        <w:t xml:space="preserve"> </w:t>
      </w:r>
      <w:r w:rsidR="00FF1C18" w:rsidRPr="004661E9">
        <w:rPr>
          <w:rFonts w:ascii="Arial" w:hAnsi="Arial" w:cs="Arial"/>
        </w:rPr>
        <w:t xml:space="preserve">and </w:t>
      </w:r>
      <w:r w:rsidR="003E4E6F" w:rsidRPr="004661E9">
        <w:rPr>
          <w:rFonts w:ascii="Arial" w:hAnsi="Arial" w:cs="Arial"/>
        </w:rPr>
        <w:t xml:space="preserve">serum potassium is &lt;5 mEq/L </w:t>
      </w:r>
      <w:r w:rsidR="00AE0C07" w:rsidRPr="004661E9">
        <w:rPr>
          <w:rFonts w:ascii="Arial" w:hAnsi="Arial" w:cs="Arial"/>
        </w:rPr>
        <w:fldChar w:fldCharType="begin" w:fldLock="1"/>
      </w:r>
      <w:r w:rsidR="000962ED"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id":"ITEM-2","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Journal","id":"ITEM-2","issue":"36","issued":{"date-parts":[["2021","9","21"]]},"page":"3599-3726","publisher":"Oxford University Press, Gb","title":"2021 ESC Guidelines for the diagnosis and treatment of acute and chronic heart  failure.","type":"article-journal","volume":"42"},"uris":["http://www.mendeley.com/documents/?uuid=2cc1c7ef-2814-493f-9f64-867c45458bfb"]}],"mendeley":{"formattedCitation":"(3,18)","plainTextFormattedCitation":"(3,18)","previouslyFormattedCitation":"(3,18)"},"properties":{"noteIndex":0},"schema":"https://github.com/citation-style-language/schema/raw/master/csl-citation.json"}</w:instrText>
      </w:r>
      <w:r w:rsidR="00AE0C07" w:rsidRPr="004661E9">
        <w:rPr>
          <w:rFonts w:ascii="Arial" w:hAnsi="Arial" w:cs="Arial"/>
        </w:rPr>
        <w:fldChar w:fldCharType="separate"/>
      </w:r>
      <w:r w:rsidR="000962ED" w:rsidRPr="004661E9">
        <w:rPr>
          <w:rFonts w:ascii="Arial" w:hAnsi="Arial" w:cs="Arial"/>
          <w:noProof/>
        </w:rPr>
        <w:t>(3,18)</w:t>
      </w:r>
      <w:r w:rsidR="00AE0C07" w:rsidRPr="004661E9">
        <w:rPr>
          <w:rFonts w:ascii="Arial" w:hAnsi="Arial" w:cs="Arial"/>
        </w:rPr>
        <w:fldChar w:fldCharType="end"/>
      </w:r>
      <w:r w:rsidR="00CF5776" w:rsidRPr="004661E9">
        <w:rPr>
          <w:rFonts w:ascii="Arial" w:hAnsi="Arial" w:cs="Arial"/>
        </w:rPr>
        <w:t>.</w:t>
      </w:r>
      <w:r w:rsidR="000B6058" w:rsidRPr="004661E9">
        <w:rPr>
          <w:rFonts w:ascii="Arial" w:hAnsi="Arial" w:cs="Arial"/>
        </w:rPr>
        <w:t xml:space="preserve"> </w:t>
      </w:r>
      <w:r w:rsidRPr="004661E9">
        <w:rPr>
          <w:rFonts w:ascii="Arial" w:hAnsi="Arial" w:cs="Arial"/>
        </w:rPr>
        <w:t xml:space="preserve">Similar to other RAAS inhibitors, </w:t>
      </w:r>
      <w:r w:rsidR="00A77502" w:rsidRPr="004661E9">
        <w:rPr>
          <w:rFonts w:ascii="Arial" w:hAnsi="Arial" w:cs="Arial"/>
        </w:rPr>
        <w:t xml:space="preserve">the </w:t>
      </w:r>
      <w:r w:rsidRPr="004661E9">
        <w:rPr>
          <w:rFonts w:ascii="Arial" w:hAnsi="Arial" w:cs="Arial"/>
        </w:rPr>
        <w:t>clinical benefits of MRAs have been consistent in HF patients with or without diabetes</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{"citationItems":[{"id":"ITEM-1","itemData":{"DOI":"10.1016/j.jacc.2013.04.086","ISSN":"07351097","PMID":"23810881","abstract":"Objectives The study sought to investigate the safety and efficacy of eplerenone in patients at high risk for hyperkalemia or worsening renal function (WRF) in EMPHASIS-HF, a trial that enrolled patients at least 55 years old with heart failure and reduced ejection fraction (HF-REF), in New York Heart Association (NYHA) functional class II and with an estimated glomerular filtration rate (eGFR) &gt;30 ml/min/1.73 m2 and serum potassium &lt;5.0 mmol/l. Patients were receiving optimal therapy and most had been hospitalized for a cardiovascular reason within 180 days of inclusion. Background Underuse of eplerenone in patients with HF-REF may be due to fear of inducing hyperkalemia or WRF in high-risk patients. Methods This was a pre-specified analysis of subgroups of patients at high risk of hyperkalemia or WRF (patients ≥75 years of age, with diabetes, with eGFR &lt;60 ml/min/1.73 m2, and with systolic blood pressure &lt; median of 123 mm Hg), examining the major safety measures (potassium &gt;5.5, &gt;6.0, and &lt;3.5 mmol/l; hyperkalemia leading to study-drug discontinuation or hospitalization; and hospitalization for WRF) as well as the primary outcome (hospitalization for HF or cardiovascular mortality). Results In all high-risk subgroups, patients treated with eplerenone had an increased risk of potassium &gt;5.5 mmol/l but not of potassium &gt;6.0 mmol/l, and of hospitalization for hyperkalemia or discontinuation of study medication due to adverse events. Eplerenone was effective in reducing the primary composite endpoint in all subgroups. Conclusions In patients with chronic HF-REF, in NYHA functional class II, and meeting specific inclusion and exclusion criteria, including an eGFR &gt;30 ml/min/1.73 m2 and potassium &lt;5.0 mmol/l, eplerenone was both efficacious and safe when carefully monitored, even in subgroups at high risk of developing hyperkalemia or WRF. (A Comparison Of Outcomes In Patients In New York Heart Association [NYHA] Class II Heart Failure When Treated With Eplerenone Or Placebo In Addition To Standard Heart Failure Medicines [EMPHASIS-HF Study]; NCT00232180). © 2013 by the American College of Cardiology Foundation.","author":[{"dropping-particle":"","family":"Eschalier","given":"Romain","non-dropping-particle":"","parse-names":false,"suffix":""},{"dropping-particle":"","family":"McMurray","given":"John J.V.","non-dropping-particle":"","parse-names":false,"suffix":""},{"dropping-particle":"","family":"Swedberg","given":"Karl","non-dropping-particle":"","parse-names":false,"suffix":""},{"dropping-particle":"","family":"Veldhuisen","given":"Dirk J.","non-dropping-particle":"Van","parse-names":false,"suffix":""},{"dropping-particle":"","family":"Krum","given":"Henry","non-dropping-particle":"","parse-names":false,"suffix":""},{"dropping-particle":"","family":"Pocock","given":"Stuart J.","non-dropping-particle":"","parse-names":false,"suffix":""},{"dropping-particle":"","family":"Shi","given":"Harry","non-dropping-particle":"","parse-names":false,"suffix":""},{"dropping-particle":"","family":"Vincent","given":"John","non-dropping-particle":"","parse-names":false,"suffix":""},{"dropping-particle":"","family":"Rossignol","given":"Patrick","non-dropping-particle":"","parse-names":false,"suffix":""},{"dropping-particle":"","family":"Zannad","given":"Faiez","non-dropping-particle":"","parse-names":false,"suffix":""},{"dropping-particle":"","family":"Pitt","given":"Bertram","non-dropping-particle":"","parse-names":false,"suffix":""}],"container-title":"Journal of the American College of Cardiology","id":"ITEM-1","issue":"17","issued":{"date-parts":[["2013","10","22"]]},"page":"1585-1593","publisher":"Elsevier","title":"Safety and efficacy of eplerenone in patients at high risk for hyperkalemia and/or worsening renal function: Analyses of the EMPHASIS-HF study subgroups (eplerenone in mild patients hospitalization and survival study in heart failure)","type":"article-journal","volume":"62"},"uris":["http://www.mendeley.com/documents/?uuid=6bbf34f3-4875-3ff1-9ec9-8e57fad52b68"]}],"mendeley":{"formattedCitation":"(187)","plainTextFormattedCitation":"(187)","previouslyFormattedCitation":"(187)"},"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(187)</w:t>
      </w:r>
      <w:r w:rsidR="000F3AD7" w:rsidRPr="004661E9">
        <w:rPr>
          <w:rFonts w:ascii="Arial" w:hAnsi="Arial" w:cs="Arial"/>
        </w:rPr>
        <w:fldChar w:fldCharType="end"/>
      </w:r>
      <w:r w:rsidR="00CF5776" w:rsidRPr="004661E9">
        <w:rPr>
          <w:rFonts w:ascii="Arial" w:hAnsi="Arial" w:cs="Arial"/>
        </w:rPr>
        <w:t>.</w:t>
      </w:r>
      <w:r w:rsidRPr="004661E9">
        <w:rPr>
          <w:rFonts w:ascii="Arial" w:hAnsi="Arial" w:cs="Arial"/>
        </w:rPr>
        <w:t xml:space="preserve"> </w:t>
      </w:r>
      <w:r w:rsidR="00082278" w:rsidRPr="004661E9">
        <w:rPr>
          <w:rFonts w:ascii="Arial" w:hAnsi="Arial" w:cs="Arial"/>
        </w:rPr>
        <w:t>Based on limited data, MRAs appear to have a neutral effect on glycemic parameters and diabetes risk in individuals with HFrEF</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{"citationItems":[{"id":"ITEM-1","itemData":{"DOI":"10.1093/eurjhf/hfs067","ISSN":"13889842","abstract":"Aims No studies have examined the effect of mineralocorticoid receptor antagonist therapy on new-onset diabetes. In addition, though the combination of diabetes and chronic heart failure (CHF) carries a poor prognosis, few studies have examined predictors of new-onset diabetes in those with CHF.Methods and resultsIn patients with symptomatically mild CHF who participated in the placebo-controlled Eplerenone in Mild Patients Hospitalization and Survival Study in Heart Failure, we examined the effect of the aldosterone antagonist, eplerenone, on physician-diagnosed diabetes using univariate Cox proportional hazard analysis. To identify predictors of new-onset diabetes (measures of glycaemia were not available), data from trial arms were combined and multivariate Cox proportional hazard analyses and receiver operating characteristic curve analyses were conducted. At baseline, the mean age of 1846 initially non-diabetic patients was 69 years and mean left ventricular ejection fraction was 26. Over 21 months, 69 (3.7) developed diabetes (33 on eplerenone, 36 on placebo). Eplerenone had no effect on new-onset diabetes [hazard ratio (HR) 0.94, 95 confidence interval (CI) 0.591.52] and no effect on the composite of new-onset diabetes or mortality (HR 0.80, 95 CI 0.641.01). Independent predictors of new-onset diabetes included digoxin therapy, higher serum alanine aminotransferase, longer duration of heart failure, current or previous smoker, higher waist circumference, lower age, and higher systolic blood pressure with a combined c-statistic of 0.74.ConclusionsEplerenone had no effect on new-onset diabetes in patients with CHF, but further large-scale studies are required to address this question comprehensively. Commonly recorded parameters provided useful information for predicting new-onset diabetes. © 2012 The European Society of Cardiology.","author":[{"dropping-particle":"","family":"Preiss","given":"David","non-dropping-particle":"","parse-names":false,"suffix":""},{"dropping-particle":"","family":"Veldhuisen","given":"Dirk J.","non-dropping-particle":"Van","parse-names":false,"suffix":""},{"dropping-particle":"","family":"Sattar","given":"Naveed","non-dropping-particle":"","parse-names":false,"suffix":""},{"dropping-particle":"","family":"Krum","given":"Henry","non-dropping-particle":"","parse-names":false,"suffix":""},{"dropping-particle":"","family":"Swedberg","given":"Karl","non-dropping-particle":"","parse-names":false,"suffix":""},{"dropping-particle":"","family":"Shi","given":"Harry","non-dropping-particle":"","parse-names":false,"suffix":""},{"dropping-particle":"","family":"Vincent","given":"John","non-dropping-particle":"","parse-names":false,"suffix":""},{"dropping-particle":"","family":"Pocock","given":"Stuart J.","non-dropping-particle":"","parse-names":false,"suffix":""},{"dropping-particle":"","family":"Pitt","given":"Bertram","non-dropping-particle":"","parse-names":false,"suffix":""},{"dropping-particle":"","family":"Zannad","given":"Faiez","non-dropping-particle":"","parse-names":false,"suffix":""},{"dropping-particle":"","family":"McMurray","given":"John J.V.","non-dropping-particle":"","parse-names":false,"suffix":""}],"container-title":"European Journal of Heart Failure","id":"ITEM-1","issue":"8","issued":{"date-parts":[["2012"]]},"page":"909-915","title":"Eplerenone and new-onset diabetes in patients with mild heart failure: Results from the Eplerenone in Mild Patients Hospitalization and Survival Study in Heart Failure (EMPHASIS-HF)","type":"article-journal","volume":"14"},"uris":["http://www.mendeley.com/documents/?uuid=6aaa4076-5d36-4c1c-9deb-cc1f72aa9902"]},{"id":"ITEM-2","itemData":{"DOI":"10.1007/s00228-018-02615-8","ISSN":"14321041","abstract":"Purpose: Some evidence suggests that spironolactone may have a deleterious effect on glucose homeostasis. The objective of this study was to assess whether spironolactone use is associated with a higher risk of developing diabetes in a large cohort of patients with heart failure (HF). Methods: Two Quebec government administrative databases were used to identify a cohort of hospitalized patients discharged between January 1995 and December 2009 with a primary discharge diagnosis of HF and without secondary discharge diagnosis of diabetes. Patients were categorized as new users of spironolactone and non-users. The primary outcome was defined as new-onset diabetes (NOD) during 5 years of follow-up and was ascertained using ICD codes for diabetes or use of hypoglycemic agents. Results: Among the 2974 patients that were included in the cohort analysis, 769 were given a new prescription of spironolactone. The incidence rate of NOD was similar among spironolactone users (5.0 per 100 person-years) and non-users (4.9 per 100 person-years). There was no significant association between the use of spironolactone and NOD in the crude, unadjusted model (hazard ratio (HR) 1.01; 95% confidence interval (CI) 0.80–1.28; p = 0.9217), and it remained unchanged in the adjusted Cox proportional hazard model (HR = 0.92; 95% CI = 0.72–1.18; p = 0.5227). The results were consistent with those observed in sensitivity analyses of a 1:3 propensity score-matched cohort (HR = 0.97; CI = 0.76–1.25; p = 0.8169). Conclusion: We found no evidence supporting the claim that use of spironolactone is associated with a higher risk of diabetes among patients hospitalized for HF.","author":[{"dropping-particle":"","family":"Korol","given":"Sandra","non-dropping-particle":"","parse-names":false,"suffix":""},{"dropping-particle":"","family":"White","given":"Michel","non-dropping-particle":"","parse-names":false,"suffix":""},{"dropping-particle":"","family":"O’Meara","given":"Eileen","non-dropping-particle":"","parse-names":false,"suffix":""},{"dropping-particle":"","family":"Rouleau","given":"Jean Lucien","non-dropping-particle":"","parse-names":false,"suffix":""},{"dropping-particle":"","family":"White-Guay","given":"Brian","non-dropping-particle":"","parse-names":false,"suffix":""},{"dropping-particle":"","family":"Dorais","given":"Marc","non-dropping-particle":"","parse-names":false,"suffix":""},{"dropping-particle":"","family":"Ahmed","given":"Ali","non-dropping-particle":"","parse-names":false,"suffix":""},{"dropping-particle":"","family":"Denus","given":"Simon","non-dropping-particle":"de","parse-names":false,"suffix":""},{"dropping-particle":"","family":"Perreault","given":"Sylvie","non-dropping-particle":"","parse-names":false,"suffix":""}],"container-title":"European Journal of Clinical Pharmacology","id":"ITEM-2","issue":"6","issued":{"date-parts":[["2019"]]},"page":"837-847","publisher":"Springer Verlag","title":"Is there a potential association between spironolactone and the risk of new-onset diabetes in a cohort of older patients with heart failure?","type":"article-journal","volume":"75"},"uris":["http://www.mendeley.com/documents/?uuid=856424a0-d22a-3ccb-93d1-4b14dd90f05f"]}],"mendeley":{"formattedCitation":"(64,188)","plainTextFormattedCitation":"(64,188)","previouslyFormattedCitation":"(64,188)"},"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(64,188)</w:t>
      </w:r>
      <w:r w:rsidR="000F3AD7" w:rsidRPr="004661E9">
        <w:rPr>
          <w:rFonts w:ascii="Arial" w:hAnsi="Arial" w:cs="Arial"/>
        </w:rPr>
        <w:fldChar w:fldCharType="end"/>
      </w:r>
      <w:r w:rsidR="00CF5776" w:rsidRPr="004661E9">
        <w:rPr>
          <w:rFonts w:ascii="Arial" w:hAnsi="Arial" w:cs="Arial"/>
        </w:rPr>
        <w:t>.</w:t>
      </w:r>
      <w:r w:rsidR="00D112AD" w:rsidRPr="004661E9">
        <w:rPr>
          <w:rFonts w:ascii="Arial" w:hAnsi="Arial" w:cs="Arial"/>
        </w:rPr>
        <w:t xml:space="preserve"> MRAs can cause hyperkalemia; therefore, monitoring electrolytes while initiating or maintaining MRA therapy is crucial. </w:t>
      </w:r>
    </w:p>
    <w:p w14:paraId="67E69986" w14:textId="149C9E45" w:rsidR="00384827" w:rsidRPr="004661E9" w:rsidRDefault="00384827" w:rsidP="004661E9">
      <w:pPr>
        <w:spacing w:after="0" w:line="276" w:lineRule="auto"/>
        <w:rPr>
          <w:rFonts w:ascii="Arial" w:hAnsi="Arial" w:cs="Arial"/>
        </w:rPr>
      </w:pPr>
    </w:p>
    <w:p w14:paraId="577088D1" w14:textId="0316B056" w:rsidR="00384827" w:rsidRPr="004661E9" w:rsidRDefault="00384827" w:rsidP="004661E9">
      <w:pPr>
        <w:spacing w:after="0" w:line="276" w:lineRule="auto"/>
        <w:rPr>
          <w:rFonts w:ascii="Arial" w:hAnsi="Arial" w:cs="Arial"/>
          <w:color w:val="FF0000"/>
        </w:rPr>
      </w:pPr>
      <w:r w:rsidRPr="004661E9">
        <w:rPr>
          <w:rFonts w:ascii="Arial" w:hAnsi="Arial" w:cs="Arial"/>
          <w:color w:val="FF0000"/>
        </w:rPr>
        <w:t>SGLT2 I</w:t>
      </w:r>
      <w:r w:rsidR="004165AC" w:rsidRPr="004661E9">
        <w:rPr>
          <w:rFonts w:ascii="Arial" w:hAnsi="Arial" w:cs="Arial"/>
          <w:color w:val="FF0000"/>
        </w:rPr>
        <w:t>NHIBITORS</w:t>
      </w:r>
    </w:p>
    <w:p w14:paraId="3E6FE4FF" w14:textId="65B0EE24" w:rsidR="004165AC" w:rsidRPr="004661E9" w:rsidRDefault="004165AC" w:rsidP="004661E9">
      <w:pPr>
        <w:spacing w:after="0" w:line="276" w:lineRule="auto"/>
        <w:rPr>
          <w:rFonts w:ascii="Arial" w:hAnsi="Arial" w:cs="Arial"/>
        </w:rPr>
      </w:pPr>
    </w:p>
    <w:p w14:paraId="2CF2968C" w14:textId="09EC6E1F" w:rsidR="001C412B" w:rsidRPr="004661E9" w:rsidRDefault="00F72A5C" w:rsidP="004661E9">
      <w:pPr>
        <w:spacing w:after="0" w:line="276" w:lineRule="auto"/>
        <w:rPr>
          <w:rFonts w:ascii="Arial" w:hAnsi="Arial" w:cs="Arial"/>
        </w:rPr>
      </w:pPr>
      <w:r w:rsidRPr="004661E9">
        <w:rPr>
          <w:rFonts w:ascii="Arial" w:hAnsi="Arial" w:cs="Arial"/>
        </w:rPr>
        <w:t>SGLT</w:t>
      </w:r>
      <w:r w:rsidR="00FD1255" w:rsidRPr="004661E9">
        <w:rPr>
          <w:rFonts w:ascii="Arial" w:hAnsi="Arial" w:cs="Arial"/>
        </w:rPr>
        <w:t>2 inhibitors</w:t>
      </w:r>
      <w:r w:rsidR="0076106D" w:rsidRPr="004661E9">
        <w:rPr>
          <w:rFonts w:ascii="Arial" w:hAnsi="Arial" w:cs="Arial"/>
        </w:rPr>
        <w:t xml:space="preserve"> are recommended</w:t>
      </w:r>
      <w:r w:rsidR="00661EE2" w:rsidRPr="004661E9">
        <w:rPr>
          <w:rFonts w:ascii="Arial" w:hAnsi="Arial" w:cs="Arial"/>
        </w:rPr>
        <w:t xml:space="preserve"> (class I)</w:t>
      </w:r>
      <w:r w:rsidR="0076106D" w:rsidRPr="004661E9">
        <w:rPr>
          <w:rFonts w:ascii="Arial" w:hAnsi="Arial" w:cs="Arial"/>
        </w:rPr>
        <w:t xml:space="preserve"> to reduce</w:t>
      </w:r>
      <w:r w:rsidR="00BE31DC" w:rsidRPr="004661E9">
        <w:rPr>
          <w:rFonts w:ascii="Arial" w:hAnsi="Arial" w:cs="Arial"/>
        </w:rPr>
        <w:t xml:space="preserve"> </w:t>
      </w:r>
      <w:r w:rsidR="0061174F" w:rsidRPr="004661E9">
        <w:rPr>
          <w:rFonts w:ascii="Arial" w:hAnsi="Arial" w:cs="Arial"/>
        </w:rPr>
        <w:t>CVD</w:t>
      </w:r>
      <w:r w:rsidR="00BE31DC" w:rsidRPr="004661E9">
        <w:rPr>
          <w:rFonts w:ascii="Arial" w:hAnsi="Arial" w:cs="Arial"/>
        </w:rPr>
        <w:t xml:space="preserve"> mortality and</w:t>
      </w:r>
      <w:r w:rsidR="0076106D" w:rsidRPr="004661E9">
        <w:rPr>
          <w:rFonts w:ascii="Arial" w:hAnsi="Arial" w:cs="Arial"/>
        </w:rPr>
        <w:t xml:space="preserve"> </w:t>
      </w:r>
      <w:r w:rsidR="00471A81" w:rsidRPr="004661E9">
        <w:rPr>
          <w:rFonts w:ascii="Arial" w:hAnsi="Arial" w:cs="Arial"/>
        </w:rPr>
        <w:t xml:space="preserve">HF </w:t>
      </w:r>
      <w:r w:rsidR="0076106D" w:rsidRPr="004661E9">
        <w:rPr>
          <w:rFonts w:ascii="Arial" w:hAnsi="Arial" w:cs="Arial"/>
        </w:rPr>
        <w:t>hospitalization</w:t>
      </w:r>
      <w:r w:rsidR="00BE31DC" w:rsidRPr="004661E9">
        <w:rPr>
          <w:rFonts w:ascii="Arial" w:hAnsi="Arial" w:cs="Arial"/>
        </w:rPr>
        <w:t xml:space="preserve"> in patients with symptomatic HFrEF, irre</w:t>
      </w:r>
      <w:r w:rsidR="00B80735" w:rsidRPr="004661E9">
        <w:rPr>
          <w:rFonts w:ascii="Arial" w:hAnsi="Arial" w:cs="Arial"/>
        </w:rPr>
        <w:t xml:space="preserve">spective of the presence of T2DM </w:t>
      </w:r>
      <w:r w:rsidR="00C070CF" w:rsidRPr="004661E9">
        <w:rPr>
          <w:rFonts w:ascii="Arial" w:hAnsi="Arial" w:cs="Arial"/>
        </w:rPr>
        <w:fldChar w:fldCharType="begin" w:fldLock="1"/>
      </w:r>
      <w:r w:rsidR="000962ED"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id":"ITEM-2","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Journal","id":"ITEM-2","issue":"36","issued":{"date-parts":[["2021","9","21"]]},"page":"3599-3726","publisher":"Oxford University Press, Gb","title":"2021 ESC Guidelines for the diagnosis and treatment of acute and chronic heart  failure.","type":"article-journal","volume":"42"},"uris":["http://www.mendeley.com/documents/?uuid=2cc1c7ef-2814-493f-9f64-867c45458bfb"]}],"mendeley":{"formattedCitation":"(3,18)","plainTextFormattedCitation":"(3,18)","previouslyFormattedCitation":"(3,18)"},"properties":{"noteIndex":0},"schema":"https://github.com/citation-style-language/schema/raw/master/csl-citation.json"}</w:instrText>
      </w:r>
      <w:r w:rsidR="00C070CF" w:rsidRPr="004661E9">
        <w:rPr>
          <w:rFonts w:ascii="Arial" w:hAnsi="Arial" w:cs="Arial"/>
        </w:rPr>
        <w:fldChar w:fldCharType="separate"/>
      </w:r>
      <w:r w:rsidR="000962ED" w:rsidRPr="004661E9">
        <w:rPr>
          <w:rFonts w:ascii="Arial" w:hAnsi="Arial" w:cs="Arial"/>
          <w:noProof/>
        </w:rPr>
        <w:t>(3,18)</w:t>
      </w:r>
      <w:r w:rsidR="00C070CF" w:rsidRPr="004661E9">
        <w:rPr>
          <w:rFonts w:ascii="Arial" w:hAnsi="Arial" w:cs="Arial"/>
        </w:rPr>
        <w:fldChar w:fldCharType="end"/>
      </w:r>
      <w:r w:rsidR="00B80735" w:rsidRPr="004661E9">
        <w:rPr>
          <w:rFonts w:ascii="Arial" w:hAnsi="Arial" w:cs="Arial"/>
        </w:rPr>
        <w:t>.</w:t>
      </w:r>
      <w:r w:rsidR="008822B6" w:rsidRPr="004661E9">
        <w:rPr>
          <w:rFonts w:ascii="Arial" w:hAnsi="Arial" w:cs="Arial"/>
        </w:rPr>
        <w:t xml:space="preserve"> </w:t>
      </w:r>
      <w:r w:rsidR="001C412B" w:rsidRPr="004661E9">
        <w:rPr>
          <w:rFonts w:ascii="Arial" w:hAnsi="Arial" w:cs="Arial"/>
        </w:rPr>
        <w:t>Empagliflozin, Dapagliflozin, and Sotagliflozin are the SGLT2 inhibitors approved by the U.S. FDA to reduce CV</w:t>
      </w:r>
      <w:r w:rsidR="0061174F" w:rsidRPr="004661E9">
        <w:rPr>
          <w:rFonts w:ascii="Arial" w:hAnsi="Arial" w:cs="Arial"/>
        </w:rPr>
        <w:t>D</w:t>
      </w:r>
      <w:r w:rsidR="001C412B" w:rsidRPr="004661E9">
        <w:rPr>
          <w:rFonts w:ascii="Arial" w:hAnsi="Arial" w:cs="Arial"/>
        </w:rPr>
        <w:t xml:space="preserve"> death and HF hospitalization in patients with HF across the range of LVEF (HFrEF, HFpEF, HFmrEF).</w:t>
      </w:r>
    </w:p>
    <w:p w14:paraId="45C9B51C" w14:textId="77777777" w:rsidR="001C412B" w:rsidRPr="004661E9" w:rsidRDefault="001C412B" w:rsidP="004661E9">
      <w:pPr>
        <w:spacing w:after="0" w:line="276" w:lineRule="auto"/>
        <w:rPr>
          <w:rFonts w:ascii="Arial" w:hAnsi="Arial" w:cs="Arial"/>
        </w:rPr>
      </w:pPr>
    </w:p>
    <w:p w14:paraId="4FACBD4F" w14:textId="50F6E5B8" w:rsidR="004165AC" w:rsidRPr="004661E9" w:rsidRDefault="00513C3A" w:rsidP="004661E9">
      <w:pPr>
        <w:spacing w:after="0" w:line="276" w:lineRule="auto"/>
        <w:rPr>
          <w:rFonts w:ascii="Arial" w:hAnsi="Arial" w:cs="Arial"/>
        </w:rPr>
      </w:pPr>
      <w:r w:rsidRPr="004661E9">
        <w:rPr>
          <w:rFonts w:ascii="Arial" w:hAnsi="Arial" w:cs="Arial"/>
        </w:rPr>
        <w:t xml:space="preserve">Dedicated landmark trials proved </w:t>
      </w:r>
      <w:r w:rsidR="006C2ECE" w:rsidRPr="004661E9">
        <w:rPr>
          <w:rFonts w:ascii="Arial" w:hAnsi="Arial" w:cs="Arial"/>
        </w:rPr>
        <w:t xml:space="preserve">the </w:t>
      </w:r>
      <w:r w:rsidR="00D91164" w:rsidRPr="004661E9">
        <w:rPr>
          <w:rFonts w:ascii="Arial" w:hAnsi="Arial" w:cs="Arial"/>
        </w:rPr>
        <w:t>CV benefits of SGLT2 in</w:t>
      </w:r>
      <w:r w:rsidR="00B0350D" w:rsidRPr="004661E9">
        <w:rPr>
          <w:rFonts w:ascii="Arial" w:hAnsi="Arial" w:cs="Arial"/>
        </w:rPr>
        <w:t>hibitors in patients with HFrEF, regardless of T2DM status</w:t>
      </w:r>
      <w:r w:rsidR="001C412B" w:rsidRPr="004661E9">
        <w:rPr>
          <w:rFonts w:ascii="Arial" w:hAnsi="Arial" w:cs="Arial"/>
        </w:rPr>
        <w:t xml:space="preserve"> </w:t>
      </w:r>
      <w:r w:rsidR="001C412B" w:rsidRPr="00152763">
        <w:rPr>
          <w:rFonts w:ascii="Arial" w:hAnsi="Arial" w:cs="Arial"/>
        </w:rPr>
        <w:t>(Table 1)</w:t>
      </w:r>
      <w:r w:rsidR="00B0350D" w:rsidRPr="00152763">
        <w:rPr>
          <w:rFonts w:ascii="Arial" w:hAnsi="Arial" w:cs="Arial"/>
        </w:rPr>
        <w:t xml:space="preserve">. </w:t>
      </w:r>
      <w:r w:rsidR="008822B6" w:rsidRPr="00152763">
        <w:rPr>
          <w:rFonts w:ascii="Arial" w:hAnsi="Arial" w:cs="Arial"/>
        </w:rPr>
        <w:t xml:space="preserve">The DAPA-HF (Dapagliflozin and Prevention of Adverse Outcomes in Heart Failure) </w:t>
      </w:r>
      <w:r w:rsidR="00975E67" w:rsidRPr="00152763">
        <w:rPr>
          <w:rFonts w:ascii="Arial" w:hAnsi="Arial" w:cs="Arial"/>
        </w:rPr>
        <w:fldChar w:fldCharType="begin" w:fldLock="1"/>
      </w:r>
      <w:r w:rsidR="001C412B" w:rsidRPr="00152763">
        <w:rPr>
          <w:rFonts w:ascii="Arial" w:hAnsi="Arial" w:cs="Arial"/>
        </w:rPr>
        <w:instrText>ADDIN CSL_CITATION {"citationItems":[{"id":"ITEM-1","itemData":{"DOI":"10.1056/nejmoa1911303","ISSN":"0028-4793","PMID":"31535829","abstract":"BACKGROUND In patients with type 2 diabetes, inhibitors of sodium-glucose cotransporter 2 (SGLT2) reduce the risk of a first hospitalization for heart failure, possibly through glucose-independent mechanisms. More data are needed regarding the effects of SGLT2 inhibitors in patients with established heart failure and a reduced ejection fraction, regardless of the presence or absence of type 2 diabetes. METHODS In this phase 3, placebo-controlled trial, we randomly assigned 4744 patients with New York Heart Association class II, III, or IV heart failure and an ejection fraction of 40% or less to receive either dapagliflozin (at a dose of 10 mg once daily) or placebo, in addition to recommended therapy. The primary outcome was a composite of worsening heart failure (hospitalization or an urgent visit resulting in intravenous therapy for heart failure) or cardiovascular death. RESULTS Over a median of 18.2 months, the primary outcome occurred in 386 of 2373 patients (16.3%) in the dapagliflozin group and in 502 of 2371 patients (21.2%) in the placebo group (hazard ratio, 0.74; 95% confidence interval [CI], 0.65 to 0.85; P&lt;0.001). A first worsening heart failure event occurred in 237 patients (10.0%) in the dapagliflozin group and in 326 patients (13.7%) in the placebo group (hazard ratio, 0.70; 95% CI, 0.59 to 0.83). Death from cardiovascular causes occurred in 227 patients (9.6%) in the dapagliflozin group and in 273 patients (11.5%) in the placebo group (hazard ratio, 0.82; 95% CI, 0.69 to 0.98); 276 patients (11.6%) and 329 patients (13.9%), respectively, died from any cause (hazard ratio, 0.83; 95% CI, 0.71 to 0.97). Findings in patients with diabetes were similar to those in patients without diabetes. The frequency of adverse events related to volume depletion, renal dysfunction, and hypoglycemia did not differ between treatment groups. CONCLUSIONS Among patients with heart failure and a reduced ejection fraction, the risk of worsening heart failure or death from cardiovascular causes was lower among those who received dapagliflozin than among those who received placebo, regardless of the presence or absence of diabetes. (Funded by AstraZeneca; DAPA-HF ClinicalTrials.gov number, NCT03036124.).","author":[{"dropping-particle":"","family":"McMurray","given":"John J.V.","non-dropping-particle":"","parse-names":false,"suffix":""},{"dropping-particle":"","family":"Solomon","given":"Scott D.","non-dropping-particle":"","parse-names":false,"suffix":""},{"dropping-particle":"","family":"Inzucchi","given":"Silvio E.","non-dropping-particle":"","parse-names":false,"suffix":""},{"dropping-particle":"","family":"Køber","given":"Lars","non-dropping-particle":"","parse-names":false,"suffix":""},{"dropping-particle":"","family":"Kosiborod","given":"Mikhail N.","non-dropping-particle":"","parse-names":false,"suffix":""},{"dropping-particle":"","family":"Martinez","given":"Felipe A.","non-dropping-particle":"","parse-names":false,"suffix":""},{"dropping-particle":"","family":"Ponikowski","given":"Piotr","non-dropping-particle":"","parse-names":false,"suffix":""},{"dropping-particle":"","family":"Sabatine","given":"Marc S.","non-dropping-particle":"","parse-names":false,"suffix":""},{"dropping-particle":"","family":"Anand","given":"Inder S.","non-dropping-particle":"","parse-names":false,"suffix":""},{"dropping-particle":"","family":"Bělohlávek","given":"Jan","non-dropping-particle":"","parse-names":false,"suffix":""},{"dropping-particle":"","family":"Böhm","given":"Michael","non-dropping-particle":"","parse-names":false,"suffix":""},{"dropping-particle":"","family":"Chiang","given":"Chern-En","non-dropping-particle":"","parse-names":false,"suffix":""},{"dropping-particle":"","family":"Chopra","given":"Vijay K.","non-dropping-particle":"","parse-names":false,"suffix":""},{"dropping-particle":"","family":"Boer","given":"Rudolf A.","non-dropping-particle":"de","parse-names":false,"suffix":""},{"dropping-particle":"","family":"Desai","given":"Akshay S.","non-dropping-particle":"","parse-names":false,"suffix":""},{"dropping-particle":"","family":"Diez","given":"Mirta","non-dropping-particle":"","parse-names":false,"suffix":""},{"dropping-particle":"","family":"Drozdz","given":"Jaroslaw","non-dropping-particle":"","parse-names":false,"suffix":""},{"dropping-particle":"","family":"Dukát","given":"Andrej","non-dropping-particle":"","parse-names":false,"suffix":""},{"dropping-particle":"","family":"Ge","given":"Junbo","non-dropping-particle":"","parse-names":false,"suffix":""},{"dropping-particle":"","family":"Howlett","given":"Jonathan G.","non-dropping-particle":"","parse-names":false,"suffix":""},{"dropping-particle":"","family":"Katova","given":"Tzvetana","non-dropping-particle":"","parse-names":false,"suffix":""},{"dropping-particle":"","family":"Kitakaze","given":"Masafumi","non-dropping-particle":"","parse-names":false,"suffix":""},{"dropping-particle":"","family":"Ljungman","given":"Charlotta E.A.","non-dropping-particle":"","parse-names":false,"suffix":""},{"dropping-particle":"","family":"Merkely","given":"Béla","non-dropping-particle":"","parse-names":false,"suffix":""},{"dropping-particle":"","family":"Nicolau","given":"Jose C.","non-dropping-particle":"","parse-names":false,"suffix":""},{"dropping-particle":"","family":"O’Meara","given":"Eileen","non-dropping-particle":"","parse-names":false,"suffix":""},{"dropping-particle":"","family":"Petrie","given":"Mark C.","non-dropping-particle":"","parse-names":false,"suffix":""},{"dropping-particle":"","family":"Vinh","given":"Pham N.","non-dropping-particle":"","parse-names":false,"suffix":""},{"dropping-particle":"","family":"Schou","given":"Morten","non-dropping-particle":"","parse-names":false,"suffix":""},{"dropping-particle":"","family":"Tereshchenko","given":"Sergey","non-dropping-particle":"","parse-names":false,"suffix":""},{"dropping-particle":"","family":"Verma","given":"Subodh","non-dropping-particle":"","parse-names":false,"suffix":""},{"dropping-particle":"","family":"Held","given":"Claes","non-dropping-particle":"","parse-names":false,"suffix":""},{"dropping-particle":"","family":"DeMets","given":"David L.","non-dropping-particle":"","parse-names":false,"suffix":""},{"dropping-particle":"","family":"Docherty","given":"Kieran F.","non-dropping-particle":"","parse-names":false,"suffix":""},{"dropping-particle":"","family":"Jhund","given":"Pardeep S.","non-dropping-particle":"","parse-names":false,"suffix":""},{"dropping-particle":"","family":"Bengtsson","given":"Olof","non-dropping-particle":"","parse-names":false,"suffix":""},{"dropping-particle":"","family":"Sjöstrand","given":"Mikaela","non-dropping-particle":"","parse-names":false,"suffix":""},{"dropping-particle":"","family":"Langkilde","given":"Anna-Maria","non-dropping-particle":"","parse-names":false,"suffix":""}],"container-title":"New England Journal of Medicine","id":"ITEM-1","issue":"21","issued":{"date-parts":[["2019","9","19"]]},"page":"1995-2008","publisher":"Massachusetts Medical Society","title":"Dapagliflozin in Patients with Heart Failure and Reduced Ejection Fraction","type":"article-journal","volume":"381"},"uris":["http://www.mendeley.com/documents/?uuid=778dbce7-ec42-452f-8c33-93a8325010dd"]}],"mendeley":{"formattedCitation":"(189)","plainTextFormattedCitation":"(189)","previouslyFormattedCitation":"(189)"},"properties":{"noteIndex":0},"schema":"https://github.com/citation-style-language/schema/raw/master/csl-citation.json"}</w:instrText>
      </w:r>
      <w:r w:rsidR="00975E67" w:rsidRPr="00152763">
        <w:rPr>
          <w:rFonts w:ascii="Arial" w:hAnsi="Arial" w:cs="Arial"/>
        </w:rPr>
        <w:fldChar w:fldCharType="separate"/>
      </w:r>
      <w:r w:rsidR="001C412B" w:rsidRPr="00152763">
        <w:rPr>
          <w:rFonts w:ascii="Arial" w:hAnsi="Arial" w:cs="Arial"/>
          <w:noProof/>
        </w:rPr>
        <w:t>(189)</w:t>
      </w:r>
      <w:r w:rsidR="00975E67" w:rsidRPr="00152763">
        <w:rPr>
          <w:rFonts w:ascii="Arial" w:hAnsi="Arial" w:cs="Arial"/>
        </w:rPr>
        <w:fldChar w:fldCharType="end"/>
      </w:r>
      <w:r w:rsidR="008822B6" w:rsidRPr="00152763">
        <w:rPr>
          <w:rFonts w:ascii="Arial" w:hAnsi="Arial" w:cs="Arial"/>
        </w:rPr>
        <w:t xml:space="preserve"> and EMPEROR</w:t>
      </w:r>
      <w:r w:rsidR="008822B6" w:rsidRPr="004661E9">
        <w:rPr>
          <w:rFonts w:ascii="Arial" w:hAnsi="Arial" w:cs="Arial"/>
        </w:rPr>
        <w:t>-Reduced (EMPagliflozin outcomE tRial in Patients With chrOnic heaRt Failure With Reduced Ejection Fraction)</w:t>
      </w:r>
      <w:r w:rsidR="008042AD" w:rsidRPr="004661E9">
        <w:rPr>
          <w:rFonts w:ascii="Arial" w:hAnsi="Arial" w:cs="Arial"/>
        </w:rPr>
        <w:t xml:space="preserve"> </w:t>
      </w:r>
      <w:r w:rsidR="008042AD" w:rsidRPr="004661E9">
        <w:rPr>
          <w:rFonts w:ascii="Arial" w:hAnsi="Arial" w:cs="Arial"/>
        </w:rPr>
        <w:fldChar w:fldCharType="begin" w:fldLock="1"/>
      </w:r>
      <w:r w:rsidR="001C412B" w:rsidRPr="004661E9">
        <w:rPr>
          <w:rFonts w:ascii="Arial" w:hAnsi="Arial" w:cs="Arial"/>
        </w:rPr>
        <w:instrText>ADDIN CSL_CITATION {"citationItems":[{"id":"ITEM-1","itemData":{"DOI":"10.1056/nejmoa2022190","ISSN":"0028-4793","PMID":"32865377","abstract":"BACKGROUND Sodium-glucose cotransporter 2 (SGLT2) inhibitors reduce the risk of hospitalization for heart failure in patients regardless of the presence or absence of diabetes. More evidence is needed regarding the effects of these drugs in patients across the broad spectrum of heart failure, including those with a markedly reduced ejection fraction. METHODS In this double-blind trial, we randomly assigned 3730 patients with class II, III, or IV heart failure and an ejection fraction of 40% or less to receive empagliflozin (10 mg once daily) or placebo, in addition to recommended therapy. The primary outcome was a composite of cardiovascular death or hospitalization for worsening heart failure. RESULTS During a median of 16 months, a primary outcome event occurred in 361 of 1863 patients (19.4%) in the empagliflozin group and in 462 of 1867 patients (24.7%) in the placebo group (hazard ratio for cardiovascular death or hospitalization for heart failure, 0.75; 95% confidence interval [CI], 0.65 to 0.86; P&lt;0.001). The effect of empagliflozin on the primary outcome was consistent in patients regardless of the presence or absence of diabetes. The total number of hospitalizations for heart failure was lower in the empagliflozin group than in the placebo group (hazard ratio, 0.70; 95% CI, 0.58 to 0.85; P&lt;0.001). The annual rate of decline in the estimated glomerular filtration rate was slower in the empagliflozin group than in the placebo group (-0.55 vs. -2.28 ml per minute per 1.73 m2 of body-surface area per year, P&lt;0.001), and empagliflozin-treated patients had a lower risk of serious renal outcomes. Uncomplicated genital tract infection was reported more frequently with empagliflozin. CONCLUSIONS Among patients receiving recommended therapy for heart failure, those in the empagliflozin group had a lower risk of cardiovascular death or hospitalization for heart failure than those in the placebo group, regardless of the presence or absence of diabetes. (Funded by Boehringer Ingelheim and Eli Lilly; EMPEROR-Reduced ClinicalTrials.gov number, NCT03057977.).","author":[{"dropping-particle":"","family":"Packer","given":"Milton","non-dropping-particle":"","parse-names":false,"suffix":""},{"dropping-particle":"","family":"Anker","given":"Stefan D.","non-dropping-particle":"","parse-names":false,"suffix":""},{"dropping-particle":"","family":"Butler","given":"Javed","non-dropping-particle":"","parse-names":false,"suffix":""},{"dropping-particle":"","family":"Filippatos","given":"Gerasimos","non-dropping-particle":"","parse-names":false,"suffix":""},{"dropping-particle":"","family":"Pocock","given":"Stuart J.","non-dropping-particle":"","parse-names":false,"suffix":""},{"dropping-particle":"","family":"Carson","given":"Peter","non-dropping-particle":"","parse-names":false,"suffix":""},{"dropping-particle":"","family":"Januzzi","given":"James","non-dropping-particle":"","parse-names":false,"suffix":""},{"dropping-particle":"","family":"Verma","given":"Subodh","non-dropping-particle":"","parse-names":false,"suffix":""},{"dropping-particle":"","family":"Tsutsui","given":"Hiroyuki","non-dropping-particle":"","parse-names":false,"suffix":""},{"dropping-particle":"","family":"Brueckmann","given":"Martina","non-dropping-particle":"","parse-names":false,"suffix":""},{"dropping-particle":"","family":"Jamal","given":"Waheed","non-dropping-particle":"","parse-names":false,"suffix":""},{"dropping-particle":"","family":"Kimura","given":"Karen","non-dropping-particle":"","parse-names":false,"suffix":""},{"dropping-particle":"","family":"Schnee","given":"Janet","non-dropping-particle":"","parse-names":false,"suffix":""},{"dropping-particle":"","family":"Zeller","given":"Cordula","non-dropping-particle":"","parse-names":false,"suffix":""},{"dropping-particle":"","family":"Cotton","given":"Daniel","non-dropping-particle":"","parse-names":false,"suffix":""},{"dropping-particle":"","family":"Bocchi","given":"Edimar","non-dropping-particle":"","parse-names":false,"suffix":""},{"dropping-particle":"","family":"Böhm","given":"Michael","non-dropping-particle":"","parse-names":false,"suffix":""},{"dropping-particle":"","family":"Choi","given":"Dong-Ju","non-dropping-particle":"","parse-names":false,"suffix":""},{"dropping-particle":"","family":"Chopra","given":"Vijay","non-dropping-particle":"","parse-names":false,"suffix":""},{"dropping-particle":"","family":"Chuquiure","given":"Eduardo","non-dropping-particle":"","parse-names":false,"suffix":""},{"dropping-particle":"","family":"Giannetti","given":"Nadia","non-dropping-particle":"","parse-names":false,"suffix":""},{"dropping-particle":"","family":"Janssens","given":"Stefan","non-dropping-particle":"","parse-names":false,"suffix":""},{"dropping-particle":"","family":"Zhang","given":"Jian","non-dropping-particle":"","parse-names":false,"suffix":""},{"dropping-particle":"","family":"Gonzalez Juanatey","given":"Jose R.","non-dropping-particle":"","parse-names":false,"suffix":""},{"dropping-particle":"","family":"Kaul","given":"Sanjay","non-dropping-particle":"","parse-names":false,"suffix":""},{"dropping-particle":"","family":"Brunner-La Rocca","given":"Hans-Peter","non-dropping-particle":"","parse-names":false,"suffix":""},{"dropping-particle":"","family":"Merkely","given":"Bela","non-dropping-particle":"","parse-names":false,"suffix":""},{"dropping-particle":"","family":"Nicholls","given":"Stephen J.","non-dropping-particle":"","parse-names":false,"suffix":""},{"dropping-particle":"","family":"Perrone","given":"Sergio","non-dropping-particle":"","parse-names":false,"suffix":""},{"dropping-particle":"","family":"Pina","given":"Ileana","non-dropping-particle":"","parse-names":false,"suffix":""},{"dropping-particle":"","family":"Ponikowski","given":"Piotr","non-dropping-particle":"","parse-names":false,"suffix":""},{"dropping-particle":"","family":"Sattar","given":"Naveed","non-dropping-particle":"","parse-names":false,"suffix":""},{"dropping-particle":"","family":"Senni","given":"Michele","non-dropping-particle":"","parse-names":false,"suffix":""},{"dropping-particle":"","family":"Seronde","given":"Marie-France","non-dropping-particle":"","parse-names":false,"suffix":""},{"dropping-particle":"","family":"Spinar","given":"Jindrich","non-dropping-particle":"","parse-names":false,"suffix":""},{"dropping-particle":"","family":"Squire","given":"Iain","non-dropping-particle":"","parse-names":false,"suffix":""},{"dropping-particle":"","family":"Taddei","given":"Stefano","non-dropping-particle":"","parse-names":false,"suffix":""},{"dropping-particle":"","family":"Wanner","given":"Christoph","non-dropping-particle":"","parse-names":false,"suffix":""},{"dropping-particle":"","family":"Zannad","given":"Faiez","non-dropping-particle":"","parse-names":false,"suffix":""}],"container-title":"New England Journal of Medicine","id":"ITEM-1","issue":"15","issued":{"date-parts":[["2020"]]},"page":"1413-1424","title":"Cardiovascular and Renal Outcomes with Empagliflozin in Heart Failure","type":"article-journal","volume":"383"},"uris":["http://www.mendeley.com/documents/?uuid=df928c33-a4c8-40b4-8390-ae622b781df2"]}],"mendeley":{"formattedCitation":"(190)","plainTextFormattedCitation":"(190)","previouslyFormattedCitation":"(190)"},"properties":{"noteIndex":0},"schema":"https://github.com/citation-style-language/schema/raw/master/csl-citation.json"}</w:instrText>
      </w:r>
      <w:r w:rsidR="008042AD" w:rsidRPr="004661E9">
        <w:rPr>
          <w:rFonts w:ascii="Arial" w:hAnsi="Arial" w:cs="Arial"/>
        </w:rPr>
        <w:fldChar w:fldCharType="separate"/>
      </w:r>
      <w:r w:rsidR="001C412B" w:rsidRPr="004661E9">
        <w:rPr>
          <w:rFonts w:ascii="Arial" w:hAnsi="Arial" w:cs="Arial"/>
          <w:noProof/>
        </w:rPr>
        <w:t>(190)</w:t>
      </w:r>
      <w:r w:rsidR="008042AD" w:rsidRPr="004661E9">
        <w:rPr>
          <w:rFonts w:ascii="Arial" w:hAnsi="Arial" w:cs="Arial"/>
        </w:rPr>
        <w:fldChar w:fldCharType="end"/>
      </w:r>
      <w:r w:rsidR="00341E0F" w:rsidRPr="004661E9">
        <w:rPr>
          <w:rFonts w:ascii="Arial" w:hAnsi="Arial" w:cs="Arial"/>
        </w:rPr>
        <w:t xml:space="preserve"> trials</w:t>
      </w:r>
      <w:r w:rsidR="008822B6" w:rsidRPr="004661E9">
        <w:rPr>
          <w:rFonts w:ascii="Arial" w:hAnsi="Arial" w:cs="Arial"/>
        </w:rPr>
        <w:t xml:space="preserve"> </w:t>
      </w:r>
      <w:r w:rsidR="00C90D4E" w:rsidRPr="004661E9">
        <w:rPr>
          <w:rFonts w:ascii="Arial" w:hAnsi="Arial" w:cs="Arial"/>
        </w:rPr>
        <w:t xml:space="preserve">enrolled </w:t>
      </w:r>
      <w:r w:rsidR="00414054" w:rsidRPr="004661E9">
        <w:rPr>
          <w:rFonts w:ascii="Arial" w:hAnsi="Arial" w:cs="Arial"/>
        </w:rPr>
        <w:t>symptomatic chronic</w:t>
      </w:r>
      <w:r w:rsidR="00AB4E3D" w:rsidRPr="004661E9">
        <w:rPr>
          <w:rFonts w:ascii="Arial" w:hAnsi="Arial" w:cs="Arial"/>
        </w:rPr>
        <w:t xml:space="preserve"> </w:t>
      </w:r>
      <w:r w:rsidR="00414054" w:rsidRPr="004661E9">
        <w:rPr>
          <w:rFonts w:ascii="Arial" w:hAnsi="Arial" w:cs="Arial"/>
        </w:rPr>
        <w:t xml:space="preserve">HFrEF (LVEF ≤40%, NYHA class II to IV, and elevated natriuretic peptides) and were already on </w:t>
      </w:r>
      <w:r w:rsidR="00471A81" w:rsidRPr="004661E9">
        <w:rPr>
          <w:rFonts w:ascii="Arial" w:hAnsi="Arial" w:cs="Arial"/>
        </w:rPr>
        <w:t>guideline-directed medical therapy</w:t>
      </w:r>
      <w:r w:rsidR="00414054" w:rsidRPr="004661E9">
        <w:rPr>
          <w:rFonts w:ascii="Arial" w:hAnsi="Arial" w:cs="Arial"/>
        </w:rPr>
        <w:t>.</w:t>
      </w:r>
      <w:r w:rsidR="00FE39FE" w:rsidRPr="004661E9">
        <w:rPr>
          <w:rFonts w:ascii="Arial" w:hAnsi="Arial" w:cs="Arial"/>
        </w:rPr>
        <w:t xml:space="preserve"> Patients with T1DM and advanced </w:t>
      </w:r>
      <w:r w:rsidR="00AC75E6" w:rsidRPr="004661E9">
        <w:rPr>
          <w:rFonts w:ascii="Arial" w:hAnsi="Arial" w:cs="Arial"/>
        </w:rPr>
        <w:t>CKD</w:t>
      </w:r>
      <w:r w:rsidR="00FE39FE" w:rsidRPr="004661E9">
        <w:rPr>
          <w:rFonts w:ascii="Arial" w:hAnsi="Arial" w:cs="Arial"/>
        </w:rPr>
        <w:t xml:space="preserve"> </w:t>
      </w:r>
      <w:r w:rsidR="00F50D2D" w:rsidRPr="004661E9">
        <w:rPr>
          <w:rFonts w:ascii="Arial" w:hAnsi="Arial" w:cs="Arial"/>
        </w:rPr>
        <w:t>were</w:t>
      </w:r>
      <w:r w:rsidR="00FE39FE" w:rsidRPr="004661E9">
        <w:rPr>
          <w:rFonts w:ascii="Arial" w:hAnsi="Arial" w:cs="Arial"/>
        </w:rPr>
        <w:t xml:space="preserve"> excluded. </w:t>
      </w:r>
      <w:r w:rsidR="00414054" w:rsidRPr="004661E9">
        <w:rPr>
          <w:rFonts w:ascii="Arial" w:hAnsi="Arial" w:cs="Arial"/>
        </w:rPr>
        <w:t xml:space="preserve"> </w:t>
      </w:r>
      <w:r w:rsidR="00F50D2D" w:rsidRPr="004661E9">
        <w:rPr>
          <w:rFonts w:ascii="Arial" w:hAnsi="Arial" w:cs="Arial"/>
        </w:rPr>
        <w:t xml:space="preserve">In these trials, </w:t>
      </w:r>
      <w:r w:rsidR="00F51678" w:rsidRPr="004661E9">
        <w:rPr>
          <w:rFonts w:ascii="Arial" w:hAnsi="Arial" w:cs="Arial"/>
        </w:rPr>
        <w:t xml:space="preserve">compared to placebo, </w:t>
      </w:r>
      <w:r w:rsidR="00F50D2D" w:rsidRPr="004661E9">
        <w:rPr>
          <w:rFonts w:ascii="Arial" w:hAnsi="Arial" w:cs="Arial"/>
        </w:rPr>
        <w:t>SGLT2 inhibitors</w:t>
      </w:r>
      <w:r w:rsidR="00D431DD" w:rsidRPr="004661E9">
        <w:rPr>
          <w:rFonts w:ascii="Arial" w:hAnsi="Arial" w:cs="Arial"/>
        </w:rPr>
        <w:t xml:space="preserve"> </w:t>
      </w:r>
      <w:r w:rsidR="00F51678" w:rsidRPr="004661E9">
        <w:rPr>
          <w:rFonts w:ascii="Arial" w:hAnsi="Arial" w:cs="Arial"/>
        </w:rPr>
        <w:t>reduced the composite of CV</w:t>
      </w:r>
      <w:r w:rsidR="0061174F" w:rsidRPr="004661E9">
        <w:rPr>
          <w:rFonts w:ascii="Arial" w:hAnsi="Arial" w:cs="Arial"/>
        </w:rPr>
        <w:t>D</w:t>
      </w:r>
      <w:r w:rsidR="00F51678" w:rsidRPr="004661E9">
        <w:rPr>
          <w:rFonts w:ascii="Arial" w:hAnsi="Arial" w:cs="Arial"/>
        </w:rPr>
        <w:t xml:space="preserve"> death and HF hospitalization by ~25%. </w:t>
      </w:r>
      <w:r w:rsidR="00D605AB" w:rsidRPr="004661E9">
        <w:rPr>
          <w:rFonts w:ascii="Arial" w:hAnsi="Arial" w:cs="Arial"/>
        </w:rPr>
        <w:t>In addition</w:t>
      </w:r>
      <w:r w:rsidR="00AF0B50" w:rsidRPr="004661E9">
        <w:rPr>
          <w:rFonts w:ascii="Arial" w:hAnsi="Arial" w:cs="Arial"/>
        </w:rPr>
        <w:t xml:space="preserve">, SGLT2 inhibitors slowed the progression of </w:t>
      </w:r>
      <w:r w:rsidR="00A423A2" w:rsidRPr="004661E9">
        <w:rPr>
          <w:rFonts w:ascii="Arial" w:hAnsi="Arial" w:cs="Arial"/>
        </w:rPr>
        <w:t xml:space="preserve">renal disease. </w:t>
      </w:r>
      <w:r w:rsidR="006C2ECE" w:rsidRPr="004661E9">
        <w:rPr>
          <w:rFonts w:ascii="Arial" w:hAnsi="Arial" w:cs="Arial"/>
        </w:rPr>
        <w:t>The SGLT2</w:t>
      </w:r>
      <w:r w:rsidR="00943F2B" w:rsidRPr="004661E9">
        <w:rPr>
          <w:rFonts w:ascii="Arial" w:hAnsi="Arial" w:cs="Arial"/>
        </w:rPr>
        <w:t xml:space="preserve"> </w:t>
      </w:r>
      <w:r w:rsidR="006C2ECE" w:rsidRPr="004661E9">
        <w:rPr>
          <w:rFonts w:ascii="Arial" w:hAnsi="Arial" w:cs="Arial"/>
        </w:rPr>
        <w:t xml:space="preserve">inhibitors' </w:t>
      </w:r>
      <w:r w:rsidR="00471A81" w:rsidRPr="004661E9">
        <w:rPr>
          <w:rFonts w:ascii="Arial" w:hAnsi="Arial" w:cs="Arial"/>
        </w:rPr>
        <w:t>CV</w:t>
      </w:r>
      <w:r w:rsidR="006C2ECE" w:rsidRPr="004661E9">
        <w:rPr>
          <w:rFonts w:ascii="Arial" w:hAnsi="Arial" w:cs="Arial"/>
        </w:rPr>
        <w:t xml:space="preserve"> benefits are</w:t>
      </w:r>
      <w:r w:rsidR="00563FC1" w:rsidRPr="004661E9">
        <w:rPr>
          <w:rFonts w:ascii="Arial" w:hAnsi="Arial" w:cs="Arial"/>
        </w:rPr>
        <w:t xml:space="preserve"> independent of their glucose</w:t>
      </w:r>
      <w:r w:rsidR="006C2ECE" w:rsidRPr="004661E9">
        <w:rPr>
          <w:rFonts w:ascii="Arial" w:hAnsi="Arial" w:cs="Arial"/>
        </w:rPr>
        <w:t>-</w:t>
      </w:r>
      <w:r w:rsidR="00563FC1" w:rsidRPr="004661E9">
        <w:rPr>
          <w:rFonts w:ascii="Arial" w:hAnsi="Arial" w:cs="Arial"/>
        </w:rPr>
        <w:t xml:space="preserve">lowering effects </w:t>
      </w:r>
      <w:r w:rsidR="00EB1D08" w:rsidRPr="004661E9">
        <w:rPr>
          <w:rFonts w:ascii="Arial" w:hAnsi="Arial" w:cs="Arial"/>
        </w:rPr>
        <w:fldChar w:fldCharType="begin" w:fldLock="1"/>
      </w:r>
      <w:r w:rsidR="001C412B" w:rsidRPr="004661E9">
        <w:rPr>
          <w:rFonts w:ascii="Arial" w:hAnsi="Arial" w:cs="Arial"/>
        </w:rPr>
        <w:instrText>ADDIN CSL_CITATION {"citationItems":[{"id":"ITEM-1","itemData":{"DOI":"10.1056/nejmra2115011","ISSN":"0028-4793","PMID":"35613023","abstract":"Gliflozins in Cardiac and Renal Disease Gliflozins — sodium–glucose cotransporter 2 inhibitors — lower blood glucose and glycated hemoglobin in patients with type 2 diabetes without causing hypogly...","author":[{"dropping-particle":"","family":"Braunwald","given":"Eugene","non-dropping-particle":"","parse-names":false,"suffix":""}],"container-title":"New England Journal of Medicine","id":"ITEM-1","issue":"21","issued":{"date-parts":[["2022"]]},"page":"2024-2034","title":"Gliflozins in the Management of Cardiovascular Disease","type":"article-journal","volume":"386"},"uris":["http://www.mendeley.com/documents/?uuid=46d4d125-6ae1-47a8-bb85-c3cf869d1bc8"]}],"mendeley":{"formattedCitation":"(191)","plainTextFormattedCitation":"(191)","previouslyFormattedCitation":"(191)"},"properties":{"noteIndex":0},"schema":"https://github.com/citation-style-language/schema/raw/master/csl-citation.json"}</w:instrText>
      </w:r>
      <w:r w:rsidR="00EB1D08" w:rsidRPr="004661E9">
        <w:rPr>
          <w:rFonts w:ascii="Arial" w:hAnsi="Arial" w:cs="Arial"/>
        </w:rPr>
        <w:fldChar w:fldCharType="separate"/>
      </w:r>
      <w:r w:rsidR="001C412B" w:rsidRPr="004661E9">
        <w:rPr>
          <w:rFonts w:ascii="Arial" w:hAnsi="Arial" w:cs="Arial"/>
          <w:noProof/>
        </w:rPr>
        <w:t>(191)</w:t>
      </w:r>
      <w:r w:rsidR="00EB1D08" w:rsidRPr="004661E9">
        <w:rPr>
          <w:rFonts w:ascii="Arial" w:hAnsi="Arial" w:cs="Arial"/>
        </w:rPr>
        <w:fldChar w:fldCharType="end"/>
      </w:r>
      <w:r w:rsidR="00A946B3" w:rsidRPr="004661E9">
        <w:rPr>
          <w:rFonts w:ascii="Arial" w:hAnsi="Arial" w:cs="Arial"/>
        </w:rPr>
        <w:t>.</w:t>
      </w:r>
      <w:r w:rsidR="00922CF9" w:rsidRPr="004661E9">
        <w:rPr>
          <w:rFonts w:ascii="Arial" w:hAnsi="Arial" w:cs="Arial"/>
        </w:rPr>
        <w:t xml:space="preserve"> </w:t>
      </w:r>
      <w:r w:rsidR="006122D3" w:rsidRPr="004661E9">
        <w:rPr>
          <w:rFonts w:ascii="Arial" w:hAnsi="Arial" w:cs="Arial"/>
        </w:rPr>
        <w:t>In addition, SGLT2 inhibitor therapy appear</w:t>
      </w:r>
      <w:r w:rsidR="006C2ECE" w:rsidRPr="004661E9">
        <w:rPr>
          <w:rFonts w:ascii="Arial" w:hAnsi="Arial" w:cs="Arial"/>
        </w:rPr>
        <w:t>s</w:t>
      </w:r>
      <w:r w:rsidR="006122D3" w:rsidRPr="004661E9">
        <w:rPr>
          <w:rFonts w:ascii="Arial" w:hAnsi="Arial" w:cs="Arial"/>
        </w:rPr>
        <w:t xml:space="preserve"> to improve </w:t>
      </w:r>
      <w:r w:rsidR="006C2ECE" w:rsidRPr="004661E9">
        <w:rPr>
          <w:rFonts w:ascii="Arial" w:hAnsi="Arial" w:cs="Arial"/>
        </w:rPr>
        <w:t xml:space="preserve">the </w:t>
      </w:r>
      <w:r w:rsidR="006122D3" w:rsidRPr="004661E9">
        <w:rPr>
          <w:rFonts w:ascii="Arial" w:hAnsi="Arial" w:cs="Arial"/>
        </w:rPr>
        <w:t xml:space="preserve">clinical stability and functional status of patients with HF. </w:t>
      </w:r>
      <w:r w:rsidR="00922CF9" w:rsidRPr="004661E9">
        <w:rPr>
          <w:rFonts w:ascii="Arial" w:hAnsi="Arial" w:cs="Arial"/>
        </w:rPr>
        <w:t xml:space="preserve">An analysis from </w:t>
      </w:r>
      <w:r w:rsidR="006C2ECE" w:rsidRPr="004661E9">
        <w:rPr>
          <w:rFonts w:ascii="Arial" w:hAnsi="Arial" w:cs="Arial"/>
        </w:rPr>
        <w:t xml:space="preserve">the </w:t>
      </w:r>
      <w:r w:rsidR="00922CF9" w:rsidRPr="004661E9">
        <w:rPr>
          <w:rFonts w:ascii="Arial" w:hAnsi="Arial" w:cs="Arial"/>
        </w:rPr>
        <w:t xml:space="preserve">EMPEROR-Reduced trial demonstrated that </w:t>
      </w:r>
      <w:r w:rsidR="00D42EB8" w:rsidRPr="004661E9">
        <w:rPr>
          <w:rFonts w:ascii="Arial" w:hAnsi="Arial" w:cs="Arial"/>
        </w:rPr>
        <w:t>e</w:t>
      </w:r>
      <w:r w:rsidR="0020735F" w:rsidRPr="004661E9">
        <w:rPr>
          <w:rFonts w:ascii="Arial" w:hAnsi="Arial" w:cs="Arial"/>
        </w:rPr>
        <w:t xml:space="preserve">mpagliflozin therapy was associated with </w:t>
      </w:r>
      <w:r w:rsidR="00513D25" w:rsidRPr="004661E9">
        <w:rPr>
          <w:rFonts w:ascii="Arial" w:hAnsi="Arial" w:cs="Arial"/>
        </w:rPr>
        <w:t xml:space="preserve">improvement in the NYHA class </w:t>
      </w:r>
      <w:r w:rsidR="00311BC7" w:rsidRPr="004661E9">
        <w:rPr>
          <w:rFonts w:ascii="Arial" w:hAnsi="Arial" w:cs="Arial"/>
        </w:rPr>
        <w:t>and requirement of diuretic intensification</w:t>
      </w:r>
      <w:r w:rsidR="007369FC" w:rsidRPr="004661E9">
        <w:rPr>
          <w:rFonts w:ascii="Arial" w:hAnsi="Arial" w:cs="Arial"/>
        </w:rPr>
        <w:t xml:space="preserve"> when compared to placebo</w:t>
      </w:r>
      <w:r w:rsidR="008E3028" w:rsidRPr="004661E9">
        <w:rPr>
          <w:rFonts w:ascii="Arial" w:hAnsi="Arial" w:cs="Arial"/>
        </w:rPr>
        <w:t xml:space="preserve"> </w:t>
      </w:r>
      <w:r w:rsidR="00E406A1" w:rsidRPr="004661E9">
        <w:rPr>
          <w:rFonts w:ascii="Arial" w:hAnsi="Arial" w:cs="Arial"/>
        </w:rPr>
        <w:fldChar w:fldCharType="begin" w:fldLock="1"/>
      </w:r>
      <w:r w:rsidR="001C412B" w:rsidRPr="004661E9">
        <w:rPr>
          <w:rFonts w:ascii="Arial" w:hAnsi="Arial" w:cs="Arial"/>
        </w:rPr>
        <w:instrText>ADDIN CSL_CITATION {"citationItems":[{"id":"ITEM-1","itemData":{"DOI":"10.1161/CIRCULATIONAHA.120.051783","ISSN":"15244539","PMID":"33081531","abstract":"Background: Empagliflozin reduces the risk of cardiovascular death or hospitalization for heart failure in patients with heart failure and a reduced ejection fraction, with or without diabetes, but additional data are needed about the effect of the drug on inpatient and outpatient events that reflect worsening heart failure. Methods: We randomly assigned 3730 patients with class II to IV heart failure with an ejection fraction of ≤40% to double-blind treatment with placebo or empagliflozin (10 mg once daily), in addition to recommended treatments for heart failure, for a median of 16 months. We prospectively collected information on inpatient and outpatient events reflecting worsening heart failure and prespecified their analysis in individual and composite end points. Results: Empagliflozin reduced the combined risk of death, hospitalization for heart failure or an emergent/urgent heart failure visit requiring intravenous treatment (415 versus 519 patients; empagliflozin versus placebo, respectively; hazard ratio [HR], 0.76; 95% CI, 0.67-0.87; P&lt;0.0001). This benefit reached statistical significance at 12 days after randomization. Empagliflozin reduced the total number of heart failure hospitalizations that required intensive care (HR, 0.67; 95% CI, 0.50-0.90; P=0.008) and that required a vasopressor or positive inotropic drug or mechanical or surgical intervention (HR, 0.64; 95% CI, 0.47-0.87; P=0.005). As compared with placebo, fewer patients in the empagliflozin group reported intensification of diuretics (297 versus 414 [HR, 0.67; 95% CI, 0.56-0.78; P&lt;0.0001]). Additionally, patients assigned to empagliflozin were 20% to 40% more likely to experience an improvement in New York Heart Association functional class and were 20% to 40% less likely to experience worsening of New York Heart Association functional class, with statistically significant effects that were apparent 28 days after randomization and maintained during long-term follow-up. The risk of any inpatient or outpatient worsening heart failure event in the placebo group was high (48.1 per 100 patient-years of follow-up), and it was reduced by empagliflozin (HR, 0.70; 95% CI, 0.63-0.78; P&lt;0.0001). Conclusions: In patients with heart failure and a reduced ejection fraction, empagliflozin reduced the risk and total number of inpatient and outpatient worsening heart failure events, with benefits seen early after initiation of treatment and sustained for the duration of double-blind therapy. Re…","author":[{"dropping-particle":"","family":"Packer","given":"Milton","non-dropping-particle":"","parse-names":false,"suffix":""},{"dropping-particle":"","family":"Anker","given":"Stefan D.","non-dropping-particle":"","parse-names":false,"suffix":""},{"dropping-particle":"","family":"Butler","given":"Javed","non-dropping-particle":"","parse-names":false,"suffix":""},{"dropping-particle":"","family":"Filippatos","given":"Gerasimos","non-dropping-particle":"","parse-names":false,"suffix":""},{"dropping-particle":"","family":"Ferreira","given":"João Pedro","non-dropping-particle":"","parse-names":false,"suffix":""},{"dropping-particle":"","family":"Pocock","given":"Stuart J.","non-dropping-particle":"","parse-names":false,"suffix":""},{"dropping-particle":"","family":"Carson","given":"Peter","non-dropping-particle":"","parse-names":false,"suffix":""},{"dropping-particle":"","family":"Anand","given":"Inder","non-dropping-particle":"","parse-names":false,"suffix":""},{"dropping-particle":"","family":"Doehner","given":"Wolfram","non-dropping-particle":"","parse-names":false,"suffix":""},{"dropping-particle":"","family":"Haass","given":"Markus","non-dropping-particle":"","parse-names":false,"suffix":""},{"dropping-particle":"","family":"Komajda","given":"Michel","non-dropping-particle":"","parse-names":false,"suffix":""},{"dropping-particle":"","family":"Miller","given":"Alan","non-dropping-particle":"","parse-names":false,"suffix":""},{"dropping-particle":"","family":"Pehrson","given":"Steen","non-dropping-particle":"","parse-names":false,"suffix":""},{"dropping-particle":"","family":"Teerlink","given":"John R.","non-dropping-particle":"","parse-names":false,"suffix":""},{"dropping-particle":"","family":"Brueckmann","given":"Martina","non-dropping-particle":"","parse-names":false,"suffix":""},{"dropping-particle":"","family":"Jamal","given":"Waheed","non-dropping-particle":"","parse-names":false,"suffix":""},{"dropping-particle":"","family":"Zeller","given":"Cordula","non-dropping-particle":"","parse-names":false,"suffix":""},{"dropping-particle":"","family":"Schnaidt","given":"Sven","non-dropping-particle":"","parse-names":false,"suffix":""},{"dropping-particle":"","family":"Zannad","given":"Faiez","non-dropping-particle":"","parse-names":false,"suffix":""}],"container-title":"Circulation","id":"ITEM-1","issue":"4","issued":{"date-parts":[["2021"]]},"page":"326-336","title":"Effect of Empagliflozin on the Clinical Stability of Patients with Heart Failure and a Reduced Ejection Fraction: The EMPEROR-Reduced Trial","type":"article-journal","volume":"143"},"uris":["http://www.mendeley.com/documents/?uuid=b425dc79-dfa7-4f99-b02b-a89c53ea5c59"]}],"mendeley":{"formattedCitation":"(192)","plainTextFormattedCitation":"(192)","previouslyFormattedCitation":"(192)"},"properties":{"noteIndex":0},"schema":"https://github.com/citation-style-language/schema/raw/master/csl-citation.json"}</w:instrText>
      </w:r>
      <w:r w:rsidR="00E406A1" w:rsidRPr="004661E9">
        <w:rPr>
          <w:rFonts w:ascii="Arial" w:hAnsi="Arial" w:cs="Arial"/>
        </w:rPr>
        <w:fldChar w:fldCharType="separate"/>
      </w:r>
      <w:r w:rsidR="001C412B" w:rsidRPr="004661E9">
        <w:rPr>
          <w:rFonts w:ascii="Arial" w:hAnsi="Arial" w:cs="Arial"/>
          <w:noProof/>
        </w:rPr>
        <w:t>(192)</w:t>
      </w:r>
      <w:r w:rsidR="00E406A1" w:rsidRPr="004661E9">
        <w:rPr>
          <w:rFonts w:ascii="Arial" w:hAnsi="Arial" w:cs="Arial"/>
        </w:rPr>
        <w:fldChar w:fldCharType="end"/>
      </w:r>
      <w:r w:rsidR="00311BC7" w:rsidRPr="004661E9">
        <w:rPr>
          <w:rFonts w:ascii="Arial" w:hAnsi="Arial" w:cs="Arial"/>
        </w:rPr>
        <w:t xml:space="preserve">. </w:t>
      </w:r>
    </w:p>
    <w:p w14:paraId="630B4CD6" w14:textId="438F907F" w:rsidR="00AC7E47" w:rsidRPr="004661E9" w:rsidRDefault="00AC7E47" w:rsidP="004661E9">
      <w:pPr>
        <w:spacing w:after="0" w:line="276" w:lineRule="auto"/>
        <w:rPr>
          <w:rFonts w:ascii="Arial" w:hAnsi="Arial" w:cs="Arial"/>
        </w:rPr>
      </w:pPr>
    </w:p>
    <w:p w14:paraId="75A74168" w14:textId="243A53CB" w:rsidR="00AC7E47" w:rsidRPr="004661E9" w:rsidRDefault="00AC7E47" w:rsidP="004661E9">
      <w:pPr>
        <w:spacing w:after="0" w:line="276" w:lineRule="auto"/>
        <w:rPr>
          <w:rFonts w:ascii="Arial" w:hAnsi="Arial" w:cs="Arial"/>
        </w:rPr>
      </w:pPr>
      <w:r w:rsidRPr="004661E9">
        <w:rPr>
          <w:rFonts w:ascii="Arial" w:hAnsi="Arial" w:cs="Arial"/>
        </w:rPr>
        <w:lastRenderedPageBreak/>
        <w:t xml:space="preserve">Sotagliflozin is a dual SGLT1/SGLT2 inhibitor </w:t>
      </w:r>
      <w:r w:rsidR="006C2ECE" w:rsidRPr="004661E9">
        <w:rPr>
          <w:rFonts w:ascii="Arial" w:hAnsi="Arial" w:cs="Arial"/>
        </w:rPr>
        <w:t>that</w:t>
      </w:r>
      <w:r w:rsidRPr="004661E9">
        <w:rPr>
          <w:rFonts w:ascii="Arial" w:hAnsi="Arial" w:cs="Arial"/>
        </w:rPr>
        <w:t xml:space="preserve"> increases urinary glucose excretion by SGLT2 inhibition and delays intestinal glucose absor</w:t>
      </w:r>
      <w:r w:rsidR="006C2ECE" w:rsidRPr="004661E9">
        <w:rPr>
          <w:rFonts w:ascii="Arial" w:hAnsi="Arial" w:cs="Arial"/>
        </w:rPr>
        <w:t>p</w:t>
      </w:r>
      <w:r w:rsidRPr="004661E9">
        <w:rPr>
          <w:rFonts w:ascii="Arial" w:hAnsi="Arial" w:cs="Arial"/>
        </w:rPr>
        <w:t>tion by SGLT1 inhibition.</w:t>
      </w:r>
      <w:r w:rsidR="003757AB" w:rsidRPr="004661E9">
        <w:rPr>
          <w:rFonts w:ascii="Arial" w:hAnsi="Arial" w:cs="Arial"/>
        </w:rPr>
        <w:t xml:space="preserve"> The SOLOIST-WHF (Effect of Sotagliflozin on Cardiovascular Events in Patients With Type 2 Diabetes And Worsening Heart Failure) trial</w:t>
      </w:r>
      <w:r w:rsidR="000D6A20" w:rsidRPr="004661E9">
        <w:rPr>
          <w:rFonts w:ascii="Arial" w:hAnsi="Arial" w:cs="Arial"/>
        </w:rPr>
        <w:t xml:space="preserve"> evaluated the </w:t>
      </w:r>
      <w:r w:rsidR="00E92BD8" w:rsidRPr="004661E9">
        <w:rPr>
          <w:rFonts w:ascii="Arial" w:hAnsi="Arial" w:cs="Arial"/>
        </w:rPr>
        <w:t>efficacy and safety</w:t>
      </w:r>
      <w:r w:rsidR="000D6A20" w:rsidRPr="004661E9">
        <w:rPr>
          <w:rFonts w:ascii="Arial" w:hAnsi="Arial" w:cs="Arial"/>
        </w:rPr>
        <w:t xml:space="preserve"> of sotagliflozin in</w:t>
      </w:r>
      <w:r w:rsidR="003757AB" w:rsidRPr="004661E9">
        <w:rPr>
          <w:rFonts w:ascii="Arial" w:hAnsi="Arial" w:cs="Arial"/>
        </w:rPr>
        <w:t xml:space="preserve"> patients with </w:t>
      </w:r>
      <w:r w:rsidR="001C412B" w:rsidRPr="004661E9">
        <w:rPr>
          <w:rFonts w:ascii="Arial" w:hAnsi="Arial" w:cs="Arial"/>
        </w:rPr>
        <w:t xml:space="preserve">T2DM </w:t>
      </w:r>
      <w:r w:rsidR="00056A36" w:rsidRPr="004661E9">
        <w:rPr>
          <w:rFonts w:ascii="Arial" w:hAnsi="Arial" w:cs="Arial"/>
        </w:rPr>
        <w:t>who were hospitalized with HF</w:t>
      </w:r>
      <w:r w:rsidR="003757AB" w:rsidRPr="004661E9">
        <w:rPr>
          <w:rFonts w:ascii="Arial" w:hAnsi="Arial" w:cs="Arial"/>
        </w:rPr>
        <w:t xml:space="preserve"> (</w:t>
      </w:r>
      <w:r w:rsidR="001C412B" w:rsidRPr="004661E9">
        <w:rPr>
          <w:rFonts w:ascii="Arial" w:hAnsi="Arial" w:cs="Arial"/>
        </w:rPr>
        <w:t>HFpEF and HFrEF</w:t>
      </w:r>
      <w:r w:rsidR="003757AB" w:rsidRPr="004661E9">
        <w:rPr>
          <w:rFonts w:ascii="Arial" w:hAnsi="Arial" w:cs="Arial"/>
        </w:rPr>
        <w:t>)</w:t>
      </w:r>
      <w:r w:rsidR="00A226DF" w:rsidRPr="004661E9">
        <w:rPr>
          <w:rFonts w:ascii="Arial" w:hAnsi="Arial" w:cs="Arial"/>
        </w:rPr>
        <w:t xml:space="preserve"> </w:t>
      </w:r>
      <w:r w:rsidR="00A226DF" w:rsidRPr="004661E9">
        <w:rPr>
          <w:rFonts w:ascii="Arial" w:hAnsi="Arial" w:cs="Arial"/>
        </w:rPr>
        <w:fldChar w:fldCharType="begin" w:fldLock="1"/>
      </w:r>
      <w:r w:rsidR="001C412B" w:rsidRPr="004661E9">
        <w:rPr>
          <w:rFonts w:ascii="Arial" w:hAnsi="Arial" w:cs="Arial"/>
        </w:rPr>
        <w:instrText>ADDIN CSL_CITATION {"citationItems":[{"id":"ITEM-1","itemData":{"DOI":"10.1056/nejmoa2022190","ISSN":"0028-4793","PMID":"32865377","abstract":"BACKGROUND Sodium-glucose cotransporter 2 (SGLT2) inhibitors reduce the risk of hospitalization for heart failure in patients regardless of the presence or absence of diabetes. More evidence is needed regarding the effects of these drugs in patients across the broad spectrum of heart failure, including those with a markedly reduced ejection fraction. METHODS In this double-blind trial, we randomly assigned 3730 patients with class II, III, or IV heart failure and an ejection fraction of 40% or less to receive empagliflozin (10 mg once daily) or placebo, in addition to recommended therapy. The primary outcome was a composite of cardiovascular death or hospitalization for worsening heart failure. RESULTS During a median of 16 months, a primary outcome event occurred in 361 of 1863 patients (19.4%) in the empagliflozin group and in 462 of 1867 patients (24.7%) in the placebo group (hazard ratio for cardiovascular death or hospitalization for heart failure, 0.75; 95% confidence interval [CI], 0.65 to 0.86; P&lt;0.001). The effect of empagliflozin on the primary outcome was consistent in patients regardless of the presence or absence of diabetes. The total number of hospitalizations for heart failure was lower in the empagliflozin group than in the placebo group (hazard ratio, 0.70; 95% CI, 0.58 to 0.85; P&lt;0.001). The annual rate of decline in the estimated glomerular filtration rate was slower in the empagliflozin group than in the placebo group (-0.55 vs. -2.28 ml per minute per 1.73 m2 of body-surface area per year, P&lt;0.001), and empagliflozin-treated patients had a lower risk of serious renal outcomes. Uncomplicated genital tract infection was reported more frequently with empagliflozin. CONCLUSIONS Among patients receiving recommended therapy for heart failure, those in the empagliflozin group had a lower risk of cardiovascular death or hospitalization for heart failure than those in the placebo group, regardless of the presence or absence of diabetes. (Funded by Boehringer Ingelheim and Eli Lilly; EMPEROR-Reduced ClinicalTrials.gov number, NCT03057977.).","author":[{"dropping-particle":"","family":"Packer","given":"Milton","non-dropping-particle":"","parse-names":false,"suffix":""},{"dropping-particle":"","family":"Anker","given":"Stefan D.","non-dropping-particle":"","parse-names":false,"suffix":""},{"dropping-particle":"","family":"Butler","given":"Javed","non-dropping-particle":"","parse-names":false,"suffix":""},{"dropping-particle":"","family":"Filippatos","given":"Gerasimos","non-dropping-particle":"","parse-names":false,"suffix":""},{"dropping-particle":"","family":"Pocock","given":"Stuart J.","non-dropping-particle":"","parse-names":false,"suffix":""},{"dropping-particle":"","family":"Carson","given":"Peter","non-dropping-particle":"","parse-names":false,"suffix":""},{"dropping-particle":"","family":"Januzzi","given":"James","non-dropping-particle":"","parse-names":false,"suffix":""},{"dropping-particle":"","family":"Verma","given":"Subodh","non-dropping-particle":"","parse-names":false,"suffix":""},{"dropping-particle":"","family":"Tsutsui","given":"Hiroyuki","non-dropping-particle":"","parse-names":false,"suffix":""},{"dropping-particle":"","family":"Brueckmann","given":"Martina","non-dropping-particle":"","parse-names":false,"suffix":""},{"dropping-particle":"","family":"Jamal","given":"Waheed","non-dropping-particle":"","parse-names":false,"suffix":""},{"dropping-particle":"","family":"Kimura","given":"Karen","non-dropping-particle":"","parse-names":false,"suffix":""},{"dropping-particle":"","family":"Schnee","given":"Janet","non-dropping-particle":"","parse-names":false,"suffix":""},{"dropping-particle":"","family":"Zeller","given":"Cordula","non-dropping-particle":"","parse-names":false,"suffix":""},{"dropping-particle":"","family":"Cotton","given":"Daniel","non-dropping-particle":"","parse-names":false,"suffix":""},{"dropping-particle":"","family":"Bocchi","given":"Edimar","non-dropping-particle":"","parse-names":false,"suffix":""},{"dropping-particle":"","family":"Böhm","given":"Michael","non-dropping-particle":"","parse-names":false,"suffix":""},{"dropping-particle":"","family":"Choi","given":"Dong-Ju","non-dropping-particle":"","parse-names":false,"suffix":""},{"dropping-particle":"","family":"Chopra","given":"Vijay","non-dropping-particle":"","parse-names":false,"suffix":""},{"dropping-particle":"","family":"Chuquiure","given":"Eduardo","non-dropping-particle":"","parse-names":false,"suffix":""},{"dropping-particle":"","family":"Giannetti","given":"Nadia","non-dropping-particle":"","parse-names":false,"suffix":""},{"dropping-particle":"","family":"Janssens","given":"Stefan","non-dropping-particle":"","parse-names":false,"suffix":""},{"dropping-particle":"","family":"Zhang","given":"Jian","non-dropping-particle":"","parse-names":false,"suffix":""},{"dropping-particle":"","family":"Gonzalez Juanatey","given":"Jose R.","non-dropping-particle":"","parse-names":false,"suffix":""},{"dropping-particle":"","family":"Kaul","given":"Sanjay","non-dropping-particle":"","parse-names":false,"suffix":""},{"dropping-particle":"","family":"Brunner-La Rocca","given":"Hans-Peter","non-dropping-particle":"","parse-names":false,"suffix":""},{"dropping-particle":"","family":"Merkely","given":"Bela","non-dropping-particle":"","parse-names":false,"suffix":""},{"dropping-particle":"","family":"Nicholls","given":"Stephen J.","non-dropping-particle":"","parse-names":false,"suffix":""},{"dropping-particle":"","family":"Perrone","given":"Sergio","non-dropping-particle":"","parse-names":false,"suffix":""},{"dropping-particle":"","family":"Pina","given":"Ileana","non-dropping-particle":"","parse-names":false,"suffix":""},{"dropping-particle":"","family":"Ponikowski","given":"Piotr","non-dropping-particle":"","parse-names":false,"suffix":""},{"dropping-particle":"","family":"Sattar","given":"Naveed","non-dropping-particle":"","parse-names":false,"suffix":""},{"dropping-particle":"","family":"Senni","given":"Michele","non-dropping-particle":"","parse-names":false,"suffix":""},{"dropping-particle":"","family":"Seronde","given":"Marie-France","non-dropping-particle":"","parse-names":false,"suffix":""},{"dropping-particle":"","family":"Spinar","given":"Jindrich","non-dropping-particle":"","parse-names":false,"suffix":""},{"dropping-particle":"","family":"Squire","given":"Iain","non-dropping-particle":"","parse-names":false,"suffix":""},{"dropping-particle":"","family":"Taddei","given":"Stefano","non-dropping-particle":"","parse-names":false,"suffix":""},{"dropping-particle":"","family":"Wanner","given":"Christoph","non-dropping-particle":"","parse-names":false,"suffix":""},{"dropping-particle":"","family":"Zannad","given":"Faiez","non-dropping-particle":"","parse-names":false,"suffix":""}],"container-title":"New England Journal of Medicine","id":"ITEM-1","issue":"15","issued":{"date-parts":[["2020"]]},"page":"1413-1424","title":"Cardiovascular and Renal Outcomes with Empagliflozin in Heart Failure","type":"article-journal","volume":"383"},"uris":["http://www.mendeley.com/documents/?uuid=df928c33-a4c8-40b4-8390-ae622b781df2"]}],"mendeley":{"formattedCitation":"(190)","plainTextFormattedCitation":"(190)","previouslyFormattedCitation":"(190)"},"properties":{"noteIndex":0},"schema":"https://github.com/citation-style-language/schema/raw/master/csl-citation.json"}</w:instrText>
      </w:r>
      <w:r w:rsidR="00A226DF" w:rsidRPr="004661E9">
        <w:rPr>
          <w:rFonts w:ascii="Arial" w:hAnsi="Arial" w:cs="Arial"/>
        </w:rPr>
        <w:fldChar w:fldCharType="separate"/>
      </w:r>
      <w:r w:rsidR="001C412B" w:rsidRPr="004661E9">
        <w:rPr>
          <w:rFonts w:ascii="Arial" w:hAnsi="Arial" w:cs="Arial"/>
          <w:noProof/>
        </w:rPr>
        <w:t>(190)</w:t>
      </w:r>
      <w:r w:rsidR="00A226DF" w:rsidRPr="004661E9">
        <w:rPr>
          <w:rFonts w:ascii="Arial" w:hAnsi="Arial" w:cs="Arial"/>
        </w:rPr>
        <w:fldChar w:fldCharType="end"/>
      </w:r>
      <w:r w:rsidR="003757AB" w:rsidRPr="004661E9">
        <w:rPr>
          <w:rFonts w:ascii="Arial" w:hAnsi="Arial" w:cs="Arial"/>
        </w:rPr>
        <w:t xml:space="preserve">. </w:t>
      </w:r>
      <w:r w:rsidR="0099472A" w:rsidRPr="004661E9">
        <w:rPr>
          <w:rFonts w:ascii="Arial" w:hAnsi="Arial" w:cs="Arial"/>
        </w:rPr>
        <w:t xml:space="preserve">In this trial, </w:t>
      </w:r>
      <w:r w:rsidR="003757AB" w:rsidRPr="004661E9">
        <w:rPr>
          <w:rFonts w:ascii="Arial" w:hAnsi="Arial" w:cs="Arial"/>
        </w:rPr>
        <w:t>Sotagliflozin</w:t>
      </w:r>
      <w:r w:rsidR="0099472A" w:rsidRPr="004661E9">
        <w:rPr>
          <w:rFonts w:ascii="Arial" w:hAnsi="Arial" w:cs="Arial"/>
        </w:rPr>
        <w:t xml:space="preserve"> therapy in</w:t>
      </w:r>
      <w:r w:rsidR="00BD4E6D" w:rsidRPr="004661E9">
        <w:rPr>
          <w:rFonts w:ascii="Arial" w:hAnsi="Arial" w:cs="Arial"/>
        </w:rPr>
        <w:t>itiated before or shortly after hospital discharge</w:t>
      </w:r>
      <w:r w:rsidR="000E6D29" w:rsidRPr="004661E9">
        <w:rPr>
          <w:rFonts w:ascii="Arial" w:hAnsi="Arial" w:cs="Arial"/>
        </w:rPr>
        <w:t xml:space="preserve"> reduced the combined endpoint of CV</w:t>
      </w:r>
      <w:r w:rsidR="0061174F" w:rsidRPr="004661E9">
        <w:rPr>
          <w:rFonts w:ascii="Arial" w:hAnsi="Arial" w:cs="Arial"/>
        </w:rPr>
        <w:t>D</w:t>
      </w:r>
      <w:r w:rsidR="000E6D29" w:rsidRPr="004661E9">
        <w:rPr>
          <w:rFonts w:ascii="Arial" w:hAnsi="Arial" w:cs="Arial"/>
        </w:rPr>
        <w:t xml:space="preserve"> death, HF hospitalization, or urgent HF visits by 33%</w:t>
      </w:r>
      <w:r w:rsidR="00ED4F93" w:rsidRPr="004661E9">
        <w:rPr>
          <w:rFonts w:ascii="Arial" w:hAnsi="Arial" w:cs="Arial"/>
        </w:rPr>
        <w:t xml:space="preserve">. </w:t>
      </w:r>
    </w:p>
    <w:p w14:paraId="55C5DFD0" w14:textId="0450CAD9" w:rsidR="004E04C6" w:rsidRPr="004661E9" w:rsidRDefault="004E04C6" w:rsidP="004661E9">
      <w:pPr>
        <w:spacing w:after="0" w:line="276" w:lineRule="auto"/>
        <w:rPr>
          <w:rFonts w:ascii="Arial" w:hAnsi="Arial" w:cs="Arial"/>
        </w:rPr>
      </w:pPr>
    </w:p>
    <w:p w14:paraId="3A9D0574" w14:textId="2EABFE85" w:rsidR="001C412B" w:rsidRPr="004661E9" w:rsidRDefault="004E04C6" w:rsidP="004661E9">
      <w:pPr>
        <w:spacing w:after="0" w:line="276" w:lineRule="auto"/>
        <w:rPr>
          <w:rFonts w:ascii="Arial" w:hAnsi="Arial" w:cs="Arial"/>
        </w:rPr>
      </w:pPr>
      <w:r w:rsidRPr="004661E9">
        <w:rPr>
          <w:rFonts w:ascii="Arial" w:hAnsi="Arial" w:cs="Arial"/>
        </w:rPr>
        <w:t>Despite the guideline recommendations and strong clinical trial evidence supporting their benefits, SGLT2 inhibitor therapy utilization among patients with HF remain</w:t>
      </w:r>
      <w:r w:rsidR="006C2ECE" w:rsidRPr="004661E9">
        <w:rPr>
          <w:rFonts w:ascii="Arial" w:hAnsi="Arial" w:cs="Arial"/>
        </w:rPr>
        <w:t>s</w:t>
      </w:r>
      <w:r w:rsidRPr="004661E9">
        <w:rPr>
          <w:rFonts w:ascii="Arial" w:hAnsi="Arial" w:cs="Arial"/>
        </w:rPr>
        <w:t xml:space="preserve"> low. </w:t>
      </w:r>
      <w:r w:rsidR="008B29F1" w:rsidRPr="004661E9">
        <w:rPr>
          <w:rFonts w:ascii="Arial" w:hAnsi="Arial" w:cs="Arial"/>
        </w:rPr>
        <w:t>A recent nationwide retrospective cohort study analyzed the STLT2</w:t>
      </w:r>
      <w:r w:rsidR="00471A81" w:rsidRPr="004661E9">
        <w:rPr>
          <w:rFonts w:ascii="Arial" w:hAnsi="Arial" w:cs="Arial"/>
        </w:rPr>
        <w:t xml:space="preserve"> </w:t>
      </w:r>
      <w:r w:rsidR="008B29F1" w:rsidRPr="004661E9">
        <w:rPr>
          <w:rFonts w:ascii="Arial" w:hAnsi="Arial" w:cs="Arial"/>
        </w:rPr>
        <w:t xml:space="preserve">inhibitor prescription patterns among patients hospitalized with HFrEF between July 2021 and July 2022 </w:t>
      </w:r>
      <w:r w:rsidR="008B29F1" w:rsidRPr="004661E9">
        <w:rPr>
          <w:rFonts w:ascii="Arial" w:hAnsi="Arial" w:cs="Arial"/>
        </w:rPr>
        <w:fldChar w:fldCharType="begin" w:fldLock="1"/>
      </w:r>
      <w:r w:rsidR="001C412B" w:rsidRPr="004661E9">
        <w:rPr>
          <w:rFonts w:ascii="Arial" w:hAnsi="Arial" w:cs="Arial"/>
        </w:rPr>
        <w:instrText>ADDIN CSL_CITATION {"citationItems":[{"id":"ITEM-1","itemData":{"DOI":"10.1016/j.jchf.2021.11.001","ISSN":"22131779","PMID":"34895861","abstract":"Objectives: The authors sought to characterize associations between initiation of metformin and sulfonylurea therapy and clinical outcomes among patients with comorbid heart failure (HF) and diabetes (overall and by ejection fraction [EF] phenotype). Background: Metformin and sulfonylureas are frequently prescribed to patients with diabetes for glycemic control. The impact of these therapies on clinical outcomes among patients with comorbid HF and diabetes is unclear. Methods: The authors evaluated Medicare beneficiaries hospitalized for HF in the Get With The Guidelines–Heart Failure Registry between 2006 and 2014 with diabetes and not prescribed metformin or sulfonylurea before admission. In parallel separate analyses for metformin and sulfonylurea, patients with newly prescribed therapy within 90 days of discharge were compared with patients not prescribed therapy. Multivariable models landmarked at 90 days evaluated associations between prescription of therapy, and mortality and hospitalization for HF (HHF) at 12 months. Negative control (falsification) endpoints included hospitalization for urinary tract infection, hospitalization for gastrointestinal bleed, and influenza vaccination. Prespecified subgroup analyses were stratified by EF ≤40% versus &gt;40%. Results: Of 5,852 patients, 454 (7.8%) were newly prescribed metformin and 504 (8.6%) were newly prescribed sulfonylurea. After adjustment, metformin prescription was independently associated with reduced risk of composite mortality/HHF (HR: 0.81; 95% CI: 0.67-0.98; P = 0.03), but individual components were not statistically significant. Findings among patients with EF &gt;40% accounted for associations with mortality/HHF (HR: 0.68; 95% CI: 0.52-0.90) and HHF (HR: 0.58; 95% CI: 0.40-0.85) endpoints (all P for interaction ≤0.04). After adjustment, sulfonylurea initiation was associated with increased risk of mortality (HR: 1.24; 95% CI: 1.00-1.52; P = 0.045) and HHF (HR: 1.22; 95% CI: 1.00-1.48; P = 0.050) with nominal statistical significance. Associations between sulfonylurea initiation and endpoints were consistent regardless of EF (all P for interaction &gt;0.11). Neither metformin initiation nor sulfonylurea initiation were associated with negative control endpoints. Conclusions: In this population of older U.S. adults hospitalized for HF with comorbid diabetes, metformin initiation was independently associated with substantial improvements in 12-month clinical outcomes, driven by findings among pati…","author":[{"dropping-particle":"","family":"Khan","given":"Muhammad Shahzeb","non-dropping-particle":"","parse-names":false,"suffix":""},{"dropping-particle":"","family":"Solomon","given":"Nicole","non-dropping-particle":"","parse-names":false,"suffix":""},{"dropping-particle":"","family":"DeVore","given":"Adam D.","non-dropping-particle":"","parse-names":false,"suffix":""},{"dropping-particle":"","family":"Sharma","given":"Abhinav","non-dropping-particle":"","parse-names":false,"suffix":""},{"dropping-particle":"","family":"Felker","given":"G. Michael","non-dropping-particle":"","parse-names":false,"suffix":""},{"dropping-particle":"","family":"Hernandez","given":"Adrian F.","non-dropping-particle":"","parse-names":false,"suffix":""},{"dropping-particle":"","family":"Heidenreich","given":"Paul A.","non-dropping-particle":"","parse-names":false,"suffix":""},{"dropping-particle":"","family":"Matsouaka","given":"Roland A.","non-dropping-particle":"","parse-names":false,"suffix":""},{"dropping-particle":"","family":"Green","given":"Jennifer B.","non-dropping-particle":"","parse-names":false,"suffix":""},{"dropping-particle":"","family":"Butler","given":"Javed","non-dropping-particle":"","parse-names":false,"suffix":""},{"dropping-particle":"","family":"Yancy","given":"Clyde W.","non-dropping-particle":"","parse-names":false,"suffix":""},{"dropping-particle":"","family":"Peterson","given":"Pamela N.","non-dropping-particle":"","parse-names":false,"suffix":""},{"dropping-particle":"","family":"Fonarow","given":"Gregg C.","non-dropping-particle":"","parse-names":false,"suffix":""},{"dropping-particle":"","family":"Greene","given":"Stephen J.","non-dropping-particle":"","parse-names":false,"suffix":""}],"container-title":"JACC: Heart Failure","id":"ITEM-1","issue":"3","issued":{"date-parts":[["2022"]]},"page":"198-210","title":"Clinical Outcomes With Metformin and Sulfonylurea Therapies Among Patients With Heart Failure and Diabetes","type":"article-journal","volume":"10"},"uris":["http://www.mendeley.com/documents/?uuid=2629623b-af7c-4209-8b3e-904e9986354f"]}],"mendeley":{"formattedCitation":"(193)","plainTextFormattedCitation":"(193)","previouslyFormattedCitation":"(193)"},"properties":{"noteIndex":0},"schema":"https://github.com/citation-style-language/schema/raw/master/csl-citation.json"}</w:instrText>
      </w:r>
      <w:r w:rsidR="008B29F1" w:rsidRPr="004661E9">
        <w:rPr>
          <w:rFonts w:ascii="Arial" w:hAnsi="Arial" w:cs="Arial"/>
        </w:rPr>
        <w:fldChar w:fldCharType="separate"/>
      </w:r>
      <w:r w:rsidR="001C412B" w:rsidRPr="004661E9">
        <w:rPr>
          <w:rFonts w:ascii="Arial" w:hAnsi="Arial" w:cs="Arial"/>
          <w:noProof/>
        </w:rPr>
        <w:t>(193)</w:t>
      </w:r>
      <w:r w:rsidR="008B29F1" w:rsidRPr="004661E9">
        <w:rPr>
          <w:rFonts w:ascii="Arial" w:hAnsi="Arial" w:cs="Arial"/>
        </w:rPr>
        <w:fldChar w:fldCharType="end"/>
      </w:r>
      <w:r w:rsidR="008B29F1" w:rsidRPr="004661E9">
        <w:rPr>
          <w:rFonts w:ascii="Arial" w:hAnsi="Arial" w:cs="Arial"/>
        </w:rPr>
        <w:t xml:space="preserve">. </w:t>
      </w:r>
      <w:r w:rsidR="006C2ECE" w:rsidRPr="004661E9">
        <w:rPr>
          <w:rFonts w:ascii="Arial" w:hAnsi="Arial" w:cs="Arial"/>
        </w:rPr>
        <w:t>Only 20% of eligible patients in this cohort were prescribe</w:t>
      </w:r>
      <w:r w:rsidR="008B29F1" w:rsidRPr="004661E9">
        <w:rPr>
          <w:rFonts w:ascii="Arial" w:hAnsi="Arial" w:cs="Arial"/>
        </w:rPr>
        <w:t>d SGLT2 inhibitor</w:t>
      </w:r>
      <w:r w:rsidR="006C2ECE" w:rsidRPr="004661E9">
        <w:rPr>
          <w:rFonts w:ascii="Arial" w:hAnsi="Arial" w:cs="Arial"/>
        </w:rPr>
        <w:t>s</w:t>
      </w:r>
      <w:r w:rsidR="008B29F1" w:rsidRPr="004661E9">
        <w:rPr>
          <w:rFonts w:ascii="Arial" w:hAnsi="Arial" w:cs="Arial"/>
        </w:rPr>
        <w:t xml:space="preserve"> at discharge. </w:t>
      </w:r>
      <w:r w:rsidR="001E47F1" w:rsidRPr="004661E9">
        <w:rPr>
          <w:rFonts w:ascii="Arial" w:hAnsi="Arial" w:cs="Arial"/>
        </w:rPr>
        <w:t>Moreover,</w:t>
      </w:r>
      <w:r w:rsidR="008B29F1" w:rsidRPr="004661E9">
        <w:rPr>
          <w:rFonts w:ascii="Arial" w:hAnsi="Arial" w:cs="Arial"/>
        </w:rPr>
        <w:t xml:space="preserve"> the utilization was low even among patients with multiple indication</w:t>
      </w:r>
      <w:r w:rsidR="006C2ECE" w:rsidRPr="004661E9">
        <w:rPr>
          <w:rFonts w:ascii="Arial" w:hAnsi="Arial" w:cs="Arial"/>
        </w:rPr>
        <w:t>s</w:t>
      </w:r>
      <w:r w:rsidR="008B29F1" w:rsidRPr="004661E9">
        <w:rPr>
          <w:rFonts w:ascii="Arial" w:hAnsi="Arial" w:cs="Arial"/>
        </w:rPr>
        <w:t xml:space="preserve">, such as comorbid CKD and T2DM.  </w:t>
      </w:r>
    </w:p>
    <w:p w14:paraId="1B353589" w14:textId="77777777" w:rsidR="001C412B" w:rsidRPr="004661E9" w:rsidRDefault="001C412B" w:rsidP="004661E9">
      <w:pPr>
        <w:spacing w:after="0" w:line="276" w:lineRule="auto"/>
        <w:rPr>
          <w:rFonts w:ascii="Arial" w:hAnsi="Arial" w:cs="Arial"/>
        </w:rPr>
      </w:pPr>
    </w:p>
    <w:tbl>
      <w:tblPr>
        <w:tblStyle w:val="TableGrid"/>
        <w:tblW w:w="10990" w:type="dxa"/>
        <w:tblInd w:w="-455" w:type="dxa"/>
        <w:tblLayout w:type="fixed"/>
        <w:tblLook w:val="04A0" w:firstRow="1" w:lastRow="0" w:firstColumn="1" w:lastColumn="0" w:noHBand="0" w:noVBand="1"/>
      </w:tblPr>
      <w:tblGrid>
        <w:gridCol w:w="1710"/>
        <w:gridCol w:w="1800"/>
        <w:gridCol w:w="1530"/>
        <w:gridCol w:w="1890"/>
        <w:gridCol w:w="1080"/>
        <w:gridCol w:w="1350"/>
        <w:gridCol w:w="1630"/>
      </w:tblGrid>
      <w:tr w:rsidR="001C412B" w:rsidRPr="004661E9" w14:paraId="728D5257" w14:textId="77777777" w:rsidTr="00152763">
        <w:trPr>
          <w:trHeight w:val="305"/>
        </w:trPr>
        <w:tc>
          <w:tcPr>
            <w:tcW w:w="10990" w:type="dxa"/>
            <w:gridSpan w:val="7"/>
            <w:shd w:val="clear" w:color="auto" w:fill="FFFF00"/>
          </w:tcPr>
          <w:p w14:paraId="588146FE" w14:textId="32DC901D" w:rsidR="001C412B" w:rsidRPr="00152763" w:rsidRDefault="001C412B" w:rsidP="004661E9">
            <w:pPr>
              <w:spacing w:line="276" w:lineRule="auto"/>
              <w:rPr>
                <w:rFonts w:ascii="Arial" w:hAnsi="Arial" w:cs="Arial"/>
                <w:b/>
                <w:bCs/>
              </w:rPr>
            </w:pPr>
            <w:r w:rsidRPr="00152763">
              <w:rPr>
                <w:rFonts w:ascii="Arial" w:hAnsi="Arial" w:cs="Arial"/>
                <w:b/>
                <w:bCs/>
              </w:rPr>
              <w:t xml:space="preserve">Table 1. Trials of SGLT2 Inhibitors in </w:t>
            </w:r>
            <w:r w:rsidR="00152763">
              <w:rPr>
                <w:rFonts w:ascii="Arial" w:hAnsi="Arial" w:cs="Arial"/>
                <w:b/>
                <w:bCs/>
              </w:rPr>
              <w:t>P</w:t>
            </w:r>
            <w:r w:rsidRPr="00152763">
              <w:rPr>
                <w:rFonts w:ascii="Arial" w:hAnsi="Arial" w:cs="Arial"/>
                <w:b/>
                <w:bCs/>
              </w:rPr>
              <w:t>atients with HF</w:t>
            </w:r>
          </w:p>
        </w:tc>
      </w:tr>
      <w:tr w:rsidR="001C412B" w:rsidRPr="004661E9" w14:paraId="0ACC9897" w14:textId="77777777" w:rsidTr="00152763">
        <w:trPr>
          <w:trHeight w:val="989"/>
        </w:trPr>
        <w:tc>
          <w:tcPr>
            <w:tcW w:w="1710" w:type="dxa"/>
          </w:tcPr>
          <w:p w14:paraId="329CCC2B" w14:textId="77777777" w:rsidR="001C412B" w:rsidRPr="00152763" w:rsidRDefault="001C412B" w:rsidP="004661E9">
            <w:pPr>
              <w:spacing w:line="276" w:lineRule="auto"/>
              <w:rPr>
                <w:rFonts w:ascii="Arial" w:hAnsi="Arial" w:cs="Arial"/>
                <w:b/>
                <w:bCs/>
              </w:rPr>
            </w:pPr>
            <w:r w:rsidRPr="00152763">
              <w:rPr>
                <w:rFonts w:ascii="Arial" w:hAnsi="Arial" w:cs="Arial"/>
                <w:b/>
                <w:bCs/>
              </w:rPr>
              <w:t>Medication</w:t>
            </w:r>
          </w:p>
        </w:tc>
        <w:tc>
          <w:tcPr>
            <w:tcW w:w="1800" w:type="dxa"/>
          </w:tcPr>
          <w:p w14:paraId="44514B23" w14:textId="77777777" w:rsidR="001C412B" w:rsidRPr="004661E9" w:rsidRDefault="001C412B" w:rsidP="004661E9">
            <w:pPr>
              <w:spacing w:line="276" w:lineRule="auto"/>
              <w:rPr>
                <w:rFonts w:ascii="Arial" w:hAnsi="Arial" w:cs="Arial"/>
                <w:b/>
                <w:bCs/>
              </w:rPr>
            </w:pPr>
            <w:r w:rsidRPr="004661E9">
              <w:rPr>
                <w:rFonts w:ascii="Arial" w:hAnsi="Arial" w:cs="Arial"/>
                <w:b/>
                <w:bCs/>
              </w:rPr>
              <w:t>Trial</w:t>
            </w:r>
          </w:p>
        </w:tc>
        <w:tc>
          <w:tcPr>
            <w:tcW w:w="1530" w:type="dxa"/>
          </w:tcPr>
          <w:p w14:paraId="7DBC5C6C" w14:textId="77777777" w:rsidR="001C412B" w:rsidRPr="004661E9" w:rsidRDefault="001C412B" w:rsidP="004661E9">
            <w:pPr>
              <w:spacing w:line="276" w:lineRule="auto"/>
              <w:rPr>
                <w:rFonts w:ascii="Arial" w:hAnsi="Arial" w:cs="Arial"/>
                <w:b/>
                <w:bCs/>
              </w:rPr>
            </w:pPr>
            <w:r w:rsidRPr="004661E9">
              <w:rPr>
                <w:rFonts w:ascii="Arial" w:hAnsi="Arial" w:cs="Arial"/>
                <w:b/>
                <w:bCs/>
              </w:rPr>
              <w:t>Publication Year</w:t>
            </w:r>
          </w:p>
        </w:tc>
        <w:tc>
          <w:tcPr>
            <w:tcW w:w="1890" w:type="dxa"/>
          </w:tcPr>
          <w:p w14:paraId="3E328BDA" w14:textId="77777777" w:rsidR="001C412B" w:rsidRPr="004661E9" w:rsidRDefault="001C412B" w:rsidP="004661E9">
            <w:pPr>
              <w:spacing w:line="276" w:lineRule="auto"/>
              <w:rPr>
                <w:rFonts w:ascii="Arial" w:hAnsi="Arial" w:cs="Arial"/>
                <w:b/>
                <w:bCs/>
              </w:rPr>
            </w:pPr>
            <w:r w:rsidRPr="004661E9">
              <w:rPr>
                <w:rFonts w:ascii="Arial" w:hAnsi="Arial" w:cs="Arial"/>
                <w:b/>
                <w:bCs/>
              </w:rPr>
              <w:t>Patient Characteristics</w:t>
            </w:r>
          </w:p>
        </w:tc>
        <w:tc>
          <w:tcPr>
            <w:tcW w:w="1080" w:type="dxa"/>
          </w:tcPr>
          <w:p w14:paraId="342C0456" w14:textId="37EB23CA" w:rsidR="001C412B" w:rsidRPr="004661E9" w:rsidRDefault="001C412B" w:rsidP="004661E9">
            <w:pPr>
              <w:spacing w:line="276" w:lineRule="auto"/>
              <w:rPr>
                <w:rFonts w:ascii="Arial" w:hAnsi="Arial" w:cs="Arial"/>
                <w:b/>
                <w:bCs/>
              </w:rPr>
            </w:pPr>
            <w:r w:rsidRPr="004661E9">
              <w:rPr>
                <w:rFonts w:ascii="Arial" w:hAnsi="Arial" w:cs="Arial"/>
                <w:b/>
                <w:bCs/>
              </w:rPr>
              <w:t>History of T2DM</w:t>
            </w:r>
          </w:p>
        </w:tc>
        <w:tc>
          <w:tcPr>
            <w:tcW w:w="1350" w:type="dxa"/>
          </w:tcPr>
          <w:p w14:paraId="17AF1E6D" w14:textId="77777777" w:rsidR="001C412B" w:rsidRPr="004661E9" w:rsidRDefault="001C412B" w:rsidP="004661E9">
            <w:pPr>
              <w:spacing w:line="276" w:lineRule="auto"/>
              <w:rPr>
                <w:rFonts w:ascii="Arial" w:hAnsi="Arial" w:cs="Arial"/>
                <w:b/>
                <w:bCs/>
              </w:rPr>
            </w:pPr>
            <w:r w:rsidRPr="004661E9">
              <w:rPr>
                <w:rFonts w:ascii="Arial" w:hAnsi="Arial" w:cs="Arial"/>
                <w:b/>
                <w:bCs/>
              </w:rPr>
              <w:t>Follow-up Period</w:t>
            </w:r>
          </w:p>
        </w:tc>
        <w:tc>
          <w:tcPr>
            <w:tcW w:w="1630" w:type="dxa"/>
          </w:tcPr>
          <w:p w14:paraId="3547D4FD" w14:textId="77777777" w:rsidR="001C412B" w:rsidRPr="004661E9" w:rsidRDefault="001C412B" w:rsidP="004661E9">
            <w:pPr>
              <w:spacing w:line="276" w:lineRule="auto"/>
              <w:rPr>
                <w:rFonts w:ascii="Arial" w:hAnsi="Arial" w:cs="Arial"/>
                <w:b/>
                <w:bCs/>
              </w:rPr>
            </w:pPr>
            <w:r w:rsidRPr="004661E9">
              <w:rPr>
                <w:rFonts w:ascii="Arial" w:hAnsi="Arial" w:cs="Arial"/>
                <w:b/>
                <w:bCs/>
              </w:rPr>
              <w:t xml:space="preserve">Primary Outcome* </w:t>
            </w:r>
          </w:p>
          <w:p w14:paraId="342F0481" w14:textId="3C3E18BD" w:rsidR="001C412B" w:rsidRPr="004661E9" w:rsidRDefault="001C412B" w:rsidP="004661E9">
            <w:pPr>
              <w:spacing w:line="276" w:lineRule="auto"/>
              <w:rPr>
                <w:rFonts w:ascii="Arial" w:hAnsi="Arial" w:cs="Arial"/>
                <w:b/>
                <w:bCs/>
              </w:rPr>
            </w:pPr>
            <w:r w:rsidRPr="004661E9">
              <w:rPr>
                <w:rFonts w:ascii="Arial" w:hAnsi="Arial" w:cs="Arial"/>
                <w:b/>
                <w:bCs/>
              </w:rPr>
              <w:t>(HR, 95% CI)</w:t>
            </w:r>
          </w:p>
        </w:tc>
      </w:tr>
      <w:tr w:rsidR="001C412B" w:rsidRPr="004661E9" w14:paraId="0F7CFF00" w14:textId="77777777" w:rsidTr="00152763">
        <w:trPr>
          <w:trHeight w:val="647"/>
        </w:trPr>
        <w:tc>
          <w:tcPr>
            <w:tcW w:w="1710" w:type="dxa"/>
          </w:tcPr>
          <w:p w14:paraId="2477D263" w14:textId="77777777" w:rsidR="001C412B" w:rsidRPr="004661E9" w:rsidRDefault="001C412B" w:rsidP="004661E9">
            <w:pPr>
              <w:spacing w:line="276" w:lineRule="auto"/>
              <w:rPr>
                <w:rFonts w:ascii="Arial" w:hAnsi="Arial" w:cs="Arial"/>
              </w:rPr>
            </w:pPr>
            <w:r w:rsidRPr="004661E9">
              <w:rPr>
                <w:rFonts w:ascii="Arial" w:hAnsi="Arial" w:cs="Arial"/>
              </w:rPr>
              <w:t>Empagliflozin</w:t>
            </w:r>
          </w:p>
        </w:tc>
        <w:tc>
          <w:tcPr>
            <w:tcW w:w="1800" w:type="dxa"/>
          </w:tcPr>
          <w:p w14:paraId="3251303D" w14:textId="77777777" w:rsidR="001C412B" w:rsidRPr="004661E9" w:rsidRDefault="001C412B" w:rsidP="004661E9">
            <w:pPr>
              <w:spacing w:line="276" w:lineRule="auto"/>
              <w:rPr>
                <w:rFonts w:ascii="Arial" w:hAnsi="Arial" w:cs="Arial"/>
              </w:rPr>
            </w:pPr>
            <w:r w:rsidRPr="004661E9">
              <w:rPr>
                <w:rFonts w:ascii="Arial" w:hAnsi="Arial" w:cs="Arial"/>
              </w:rPr>
              <w:t>EMPEROR-REDUCED</w:t>
            </w:r>
          </w:p>
          <w:p w14:paraId="23CEF2D6" w14:textId="491128A5"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Pr="004661E9">
              <w:rPr>
                <w:rFonts w:ascii="Arial" w:hAnsi="Arial" w:cs="Arial"/>
              </w:rPr>
              <w:instrText>ADDIN CSL_CITATION {"citationItems":[{"id":"ITEM-1","itemData":{"DOI":"10.1056/nejmoa2022190","ISSN":"0028-4793","PMID":"32865377","abstract":"BACKGROUND Sodium-glucose cotransporter 2 (SGLT2) inhibitors reduce the risk of hospitalization for heart failure in patients regardless of the presence or absence of diabetes. More evidence is needed regarding the effects of these drugs in patients across the broad spectrum of heart failure, including those with a markedly reduced ejection fraction. METHODS In this double-blind trial, we randomly assigned 3730 patients with class II, III, or IV heart failure and an ejection fraction of 40% or less to receive empagliflozin (10 mg once daily) or placebo, in addition to recommended therapy. The primary outcome was a composite of cardiovascular death or hospitalization for worsening heart failure. RESULTS During a median of 16 months, a primary outcome event occurred in 361 of 1863 patients (19.4%) in the empagliflozin group and in 462 of 1867 patients (24.7%) in the placebo group (hazard ratio for cardiovascular death or hospitalization for heart failure, 0.75; 95% confidence interval [CI], 0.65 to 0.86; P&lt;0.001). The effect of empagliflozin on the primary outcome was consistent in patients regardless of the presence or absence of diabetes. The total number of hospitalizations for heart failure was lower in the empagliflozin group than in the placebo group (hazard ratio, 0.70; 95% CI, 0.58 to 0.85; P&lt;0.001). The annual rate of decline in the estimated glomerular filtration rate was slower in the empagliflozin group than in the placebo group (-0.55 vs. -2.28 ml per minute per 1.73 m2 of body-surface area per year, P&lt;0.001), and empagliflozin-treated patients had a lower risk of serious renal outcomes. Uncomplicated genital tract infection was reported more frequently with empagliflozin. CONCLUSIONS Among patients receiving recommended therapy for heart failure, those in the empagliflozin group had a lower risk of cardiovascular death or hospitalization for heart failure than those in the placebo group, regardless of the presence or absence of diabetes. (Funded by Boehringer Ingelheim and Eli Lilly; EMPEROR-Reduced ClinicalTrials.gov number, NCT03057977.).","author":[{"dropping-particle":"","family":"Packer","given":"Milton","non-dropping-particle":"","parse-names":false,"suffix":""},{"dropping-particle":"","family":"Anker","given":"Stefan D.","non-dropping-particle":"","parse-names":false,"suffix":""},{"dropping-particle":"","family":"Butler","given":"Javed","non-dropping-particle":"","parse-names":false,"suffix":""},{"dropping-particle":"","family":"Filippatos","given":"Gerasimos","non-dropping-particle":"","parse-names":false,"suffix":""},{"dropping-particle":"","family":"Pocock","given":"Stuart J.","non-dropping-particle":"","parse-names":false,"suffix":""},{"dropping-particle":"","family":"Carson","given":"Peter","non-dropping-particle":"","parse-names":false,"suffix":""},{"dropping-particle":"","family":"Januzzi","given":"James","non-dropping-particle":"","parse-names":false,"suffix":""},{"dropping-particle":"","family":"Verma","given":"Subodh","non-dropping-particle":"","parse-names":false,"suffix":""},{"dropping-particle":"","family":"Tsutsui","given":"Hiroyuki","non-dropping-particle":"","parse-names":false,"suffix":""},{"dropping-particle":"","family":"Brueckmann","given":"Martina","non-dropping-particle":"","parse-names":false,"suffix":""},{"dropping-particle":"","family":"Jamal","given":"Waheed","non-dropping-particle":"","parse-names":false,"suffix":""},{"dropping-particle":"","family":"Kimura","given":"Karen","non-dropping-particle":"","parse-names":false,"suffix":""},{"dropping-particle":"","family":"Schnee","given":"Janet","non-dropping-particle":"","parse-names":false,"suffix":""},{"dropping-particle":"","family":"Zeller","given":"Cordula","non-dropping-particle":"","parse-names":false,"suffix":""},{"dropping-particle":"","family":"Cotton","given":"Daniel","non-dropping-particle":"","parse-names":false,"suffix":""},{"dropping-particle":"","family":"Bocchi","given":"Edimar","non-dropping-particle":"","parse-names":false,"suffix":""},{"dropping-particle":"","family":"Böhm","given":"Michael","non-dropping-particle":"","parse-names":false,"suffix":""},{"dropping-particle":"","family":"Choi","given":"Dong-Ju","non-dropping-particle":"","parse-names":false,"suffix":""},{"dropping-particle":"","family":"Chopra","given":"Vijay","non-dropping-particle":"","parse-names":false,"suffix":""},{"dropping-particle":"","family":"Chuquiure","given":"Eduardo","non-dropping-particle":"","parse-names":false,"suffix":""},{"dropping-particle":"","family":"Giannetti","given":"Nadia","non-dropping-particle":"","parse-names":false,"suffix":""},{"dropping-particle":"","family":"Janssens","given":"Stefan","non-dropping-particle":"","parse-names":false,"suffix":""},{"dropping-particle":"","family":"Zhang","given":"Jian","non-dropping-particle":"","parse-names":false,"suffix":""},{"dropping-particle":"","family":"Gonzalez Juanatey","given":"Jose R.","non-dropping-particle":"","parse-names":false,"suffix":""},{"dropping-particle":"","family":"Kaul","given":"Sanjay","non-dropping-particle":"","parse-names":false,"suffix":""},{"dropping-particle":"","family":"Brunner-La Rocca","given":"Hans-Peter","non-dropping-particle":"","parse-names":false,"suffix":""},{"dropping-particle":"","family":"Merkely","given":"Bela","non-dropping-particle":"","parse-names":false,"suffix":""},{"dropping-particle":"","family":"Nicholls","given":"Stephen J.","non-dropping-particle":"","parse-names":false,"suffix":""},{"dropping-particle":"","family":"Perrone","given":"Sergio","non-dropping-particle":"","parse-names":false,"suffix":""},{"dropping-particle":"","family":"Pina","given":"Ileana","non-dropping-particle":"","parse-names":false,"suffix":""},{"dropping-particle":"","family":"Ponikowski","given":"Piotr","non-dropping-particle":"","parse-names":false,"suffix":""},{"dropping-particle":"","family":"Sattar","given":"Naveed","non-dropping-particle":"","parse-names":false,"suffix":""},{"dropping-particle":"","family":"Senni","given":"Michele","non-dropping-particle":"","parse-names":false,"suffix":""},{"dropping-particle":"","family":"Seronde","given":"Marie-France","non-dropping-particle":"","parse-names":false,"suffix":""},{"dropping-particle":"","family":"Spinar","given":"Jindrich","non-dropping-particle":"","parse-names":false,"suffix":""},{"dropping-particle":"","family":"Squire","given":"Iain","non-dropping-particle":"","parse-names":false,"suffix":""},{"dropping-particle":"","family":"Taddei","given":"Stefano","non-dropping-particle":"","parse-names":false,"suffix":""},{"dropping-particle":"","family":"Wanner","given":"Christoph","non-dropping-particle":"","parse-names":false,"suffix":""},{"dropping-particle":"","family":"Zannad","given":"Faiez","non-dropping-particle":"","parse-names":false,"suffix":""}],"container-title":"New England Journal of Medicine","id":"ITEM-1","issue":"15","issued":{"date-parts":[["2020"]]},"page":"1413-1424","title":"Cardiovascular and Renal Outcomes with Empagliflozin in Heart Failure","type":"article-journal","volume":"383"},"uris":["http://www.mendeley.com/documents/?uuid=df928c33-a4c8-40b4-8390-ae622b781df2"]}],"mendeley":{"formattedCitation":"(190)","plainTextFormattedCitation":"(190)","previouslyFormattedCitation":"(190)"},"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(190)</w:t>
            </w:r>
            <w:r w:rsidRPr="004661E9">
              <w:rPr>
                <w:rFonts w:ascii="Arial" w:hAnsi="Arial" w:cs="Arial"/>
              </w:rPr>
              <w:fldChar w:fldCharType="end"/>
            </w:r>
          </w:p>
        </w:tc>
        <w:tc>
          <w:tcPr>
            <w:tcW w:w="1530" w:type="dxa"/>
          </w:tcPr>
          <w:p w14:paraId="5546D189" w14:textId="77777777" w:rsidR="001C412B" w:rsidRPr="004661E9" w:rsidRDefault="001C412B" w:rsidP="004661E9">
            <w:pPr>
              <w:spacing w:line="276" w:lineRule="auto"/>
              <w:rPr>
                <w:rFonts w:ascii="Arial" w:hAnsi="Arial" w:cs="Arial"/>
              </w:rPr>
            </w:pPr>
            <w:r w:rsidRPr="004661E9">
              <w:rPr>
                <w:rFonts w:ascii="Arial" w:hAnsi="Arial" w:cs="Arial"/>
              </w:rPr>
              <w:t>2020</w:t>
            </w:r>
          </w:p>
        </w:tc>
        <w:tc>
          <w:tcPr>
            <w:tcW w:w="1890" w:type="dxa"/>
          </w:tcPr>
          <w:p w14:paraId="48D4A564" w14:textId="77777777" w:rsidR="001C412B" w:rsidRPr="004661E9" w:rsidRDefault="001C412B" w:rsidP="004661E9">
            <w:pPr>
              <w:spacing w:line="276" w:lineRule="auto"/>
              <w:rPr>
                <w:rFonts w:ascii="Arial" w:hAnsi="Arial" w:cs="Arial"/>
              </w:rPr>
            </w:pPr>
            <w:r w:rsidRPr="004661E9">
              <w:rPr>
                <w:rFonts w:ascii="Arial" w:hAnsi="Arial" w:cs="Arial"/>
              </w:rPr>
              <w:t xml:space="preserve">Symptomatic stable HF </w:t>
            </w:r>
          </w:p>
          <w:p w14:paraId="18E14DC9" w14:textId="4B0230EE" w:rsidR="001C412B" w:rsidRPr="004661E9" w:rsidRDefault="001C412B" w:rsidP="004661E9">
            <w:pPr>
              <w:spacing w:line="276" w:lineRule="auto"/>
              <w:rPr>
                <w:rFonts w:ascii="Arial" w:hAnsi="Arial" w:cs="Arial"/>
              </w:rPr>
            </w:pPr>
            <w:r w:rsidRPr="004661E9">
              <w:rPr>
                <w:rFonts w:ascii="Arial" w:hAnsi="Arial" w:cs="Arial"/>
              </w:rPr>
              <w:t>(LVEF ≤40%)</w:t>
            </w:r>
          </w:p>
        </w:tc>
        <w:tc>
          <w:tcPr>
            <w:tcW w:w="1080" w:type="dxa"/>
          </w:tcPr>
          <w:p w14:paraId="1671E9C5" w14:textId="3159B8C8" w:rsidR="001C412B" w:rsidRPr="004661E9" w:rsidRDefault="001C412B" w:rsidP="004661E9">
            <w:pPr>
              <w:spacing w:line="276" w:lineRule="auto"/>
              <w:rPr>
                <w:rFonts w:ascii="Arial" w:hAnsi="Arial" w:cs="Arial"/>
              </w:rPr>
            </w:pPr>
            <w:r w:rsidRPr="004661E9">
              <w:rPr>
                <w:rFonts w:ascii="Arial" w:hAnsi="Arial" w:cs="Arial"/>
              </w:rPr>
              <w:t>50%</w:t>
            </w:r>
          </w:p>
        </w:tc>
        <w:tc>
          <w:tcPr>
            <w:tcW w:w="1350" w:type="dxa"/>
          </w:tcPr>
          <w:p w14:paraId="2B21E490" w14:textId="77777777" w:rsidR="001C412B" w:rsidRPr="004661E9" w:rsidRDefault="001C412B" w:rsidP="004661E9">
            <w:pPr>
              <w:spacing w:line="276" w:lineRule="auto"/>
              <w:rPr>
                <w:rFonts w:ascii="Arial" w:hAnsi="Arial" w:cs="Arial"/>
              </w:rPr>
            </w:pPr>
            <w:r w:rsidRPr="004661E9">
              <w:rPr>
                <w:rFonts w:ascii="Arial" w:hAnsi="Arial" w:cs="Arial"/>
              </w:rPr>
              <w:t>16 months</w:t>
            </w:r>
          </w:p>
        </w:tc>
        <w:tc>
          <w:tcPr>
            <w:tcW w:w="1630" w:type="dxa"/>
          </w:tcPr>
          <w:p w14:paraId="25521C13" w14:textId="77777777" w:rsidR="001C412B" w:rsidRPr="004661E9" w:rsidRDefault="001C412B" w:rsidP="004661E9">
            <w:pPr>
              <w:spacing w:line="276" w:lineRule="auto"/>
              <w:rPr>
                <w:rFonts w:ascii="Arial" w:hAnsi="Arial" w:cs="Arial"/>
              </w:rPr>
            </w:pPr>
            <w:r w:rsidRPr="004661E9">
              <w:rPr>
                <w:rFonts w:ascii="Arial" w:hAnsi="Arial" w:cs="Arial"/>
              </w:rPr>
              <w:t xml:space="preserve">0.75 </w:t>
            </w:r>
          </w:p>
          <w:p w14:paraId="4E4A326B" w14:textId="7903E416" w:rsidR="001C412B" w:rsidRPr="004661E9" w:rsidRDefault="001C412B" w:rsidP="004661E9">
            <w:pPr>
              <w:spacing w:line="276" w:lineRule="auto"/>
              <w:rPr>
                <w:rFonts w:ascii="Arial" w:hAnsi="Arial" w:cs="Arial"/>
              </w:rPr>
            </w:pPr>
            <w:r w:rsidRPr="004661E9">
              <w:rPr>
                <w:rFonts w:ascii="Arial" w:hAnsi="Arial" w:cs="Arial"/>
              </w:rPr>
              <w:t>(0.65 – 0.86)</w:t>
            </w:r>
          </w:p>
        </w:tc>
      </w:tr>
      <w:tr w:rsidR="001C412B" w:rsidRPr="004661E9" w14:paraId="147265C0" w14:textId="77777777" w:rsidTr="00152763">
        <w:trPr>
          <w:trHeight w:val="647"/>
        </w:trPr>
        <w:tc>
          <w:tcPr>
            <w:tcW w:w="1710" w:type="dxa"/>
          </w:tcPr>
          <w:p w14:paraId="5DB2A9E4" w14:textId="56AB208C" w:rsidR="001C412B" w:rsidRPr="004661E9" w:rsidRDefault="001C412B" w:rsidP="004661E9">
            <w:pPr>
              <w:spacing w:line="276" w:lineRule="auto"/>
              <w:rPr>
                <w:rFonts w:ascii="Arial" w:hAnsi="Arial" w:cs="Arial"/>
              </w:rPr>
            </w:pPr>
            <w:r w:rsidRPr="004661E9">
              <w:rPr>
                <w:rFonts w:ascii="Arial" w:hAnsi="Arial" w:cs="Arial"/>
              </w:rPr>
              <w:t>Empagliflozin</w:t>
            </w:r>
          </w:p>
        </w:tc>
        <w:tc>
          <w:tcPr>
            <w:tcW w:w="1800" w:type="dxa"/>
          </w:tcPr>
          <w:p w14:paraId="1B9DB119" w14:textId="77777777" w:rsidR="001C412B" w:rsidRPr="004661E9" w:rsidRDefault="001C412B" w:rsidP="004661E9">
            <w:pPr>
              <w:spacing w:line="276" w:lineRule="auto"/>
              <w:rPr>
                <w:rFonts w:ascii="Arial" w:hAnsi="Arial" w:cs="Arial"/>
              </w:rPr>
            </w:pPr>
            <w:r w:rsidRPr="004661E9">
              <w:rPr>
                <w:rFonts w:ascii="Arial" w:hAnsi="Arial" w:cs="Arial"/>
              </w:rPr>
              <w:t>EMPEROR-PRESERVED</w:t>
            </w:r>
          </w:p>
          <w:p w14:paraId="2A2C7728" w14:textId="68623BD1"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Pr="004661E9">
              <w:rPr>
                <w:rFonts w:ascii="Arial" w:hAnsi="Arial" w:cs="Arial"/>
              </w:rPr>
              <w:instrText>ADDIN CSL_CITATION {"citationItems":[{"id":"ITEM-1","itemData":{"DOI":"10.1056/nejmoa2107038","ISSN":"0028-4793","PMID":"34449189","abstract":"BACKGROUND Sodium-glucose cotransporter 2 inhibitors reduce the risk of hospitalization for heart failure in patients with heart failure and a reduced ejection fraction, but their effects in patients with heart failure and a preserved ejection fraction are uncertain. METHODS In this double-blind trial, we randomly assigned 5988 patients with class II-IV heart failure and an ejection fraction of more than 40% to receive empagliflozin (10 mg once daily) or placebo, in addition to usual therapy. The primary outcome was a composite of cardiovascular death or hospitalization for heart failure. RESULTS Over a median of 26.2 months, a primary outcome event occurred in 415 of 2997 patients (13.8%) in the empagliflozin group and in 511 of 2991 patients (17.1%) in the placebo group (hazard ratio, 0.79; 95% confidence interval [CI], 0.69 to 0.90; P&lt;0.001). This effect was mainly related to a lower risk of hospitalization for heart failure in the empagliflozin group. The effects of empagliflozin appeared consistent in patients with or without diabetes. The total number of hospitalizations for heart failure was lower in the empagliflozin group than in the placebo group (407 with empagliflozin and 541 with placebo; hazard ratio, 0.73; 95% CI, 0.61 to 0.88; P&lt;0.001). Uncomplicated genital and urinary tract infections and hypotension were reported more frequently with empagliflozin. CONCLUSIONS Empagliflozin reduced the combined risk of cardiovascular death or hospitalization for heart failure in patients with heart failure and a preserved ejection fraction, regardless of the presence or absence of diabetes. (Funded by Boehringer Ingelheim and Eli Lilly; EMPEROR-Preserved ClinicalTrials.gov number, NCT03057951).","author":[{"dropping-particle":"","family":"Anker","given":"Stefan D.","non-dropping-particle":"","parse-names":false,"suffix":""},{"dropping-particle":"","family":"Butler","given":"Javed","non-dropping-particle":"","parse-names":false,"suffix":""},{"dropping-particle":"","family":"Filippatos","given":"Gerasimos","non-dropping-particle":"","parse-names":false,"suffix":""},{"dropping-particle":"","family":"Ferreira","given":"João P.","non-dropping-particle":"","parse-names":false,"suffix":""},{"dropping-particle":"","family":"Bocchi","given":"Edimar","non-dropping-particle":"","parse-names":false,"suffix":""},{"dropping-particle":"","family":"Böhm","given":"Michael","non-dropping-particle":"","parse-names":false,"suffix":""},{"dropping-particle":"","family":"Brunner–La Rocca","given":"Hans-Peter","non-dropping-particle":"","parse-names":false,"suffix":""},{"dropping-particle":"","family":"Choi","given":"Dong-Ju","non-dropping-particle":"","parse-names":false,"suffix":""},{"dropping-particle":"","family":"Chopra","given":"Vijay","non-dropping-particle":"","parse-names":false,"suffix":""},{"dropping-particle":"","family":"Chuquiure-Valenzuela","given":"Eduardo","non-dropping-particle":"","parse-names":false,"suffix":""},{"dropping-particle":"","family":"Giannetti","given":"Nadia","non-dropping-particle":"","parse-names":false,"suffix":""},{"dropping-particle":"","family":"Gomez-Mesa","given":"Juan Esteban","non-dropping-particle":"","parse-names":false,"suffix":""},{"dropping-particle":"","family":"Janssens","given":"Stefan","non-dropping-particle":"","parse-names":false,"suffix":""},{"dropping-particle":"","family":"Januzzi","given":"James L.","non-dropping-particle":"","parse-names":false,"suffix":""},{"dropping-particle":"","family":"Gonzalez-Juanatey","given":"Jose R.","non-dropping-particle":"","parse-names":false,"suffix":""},{"dropping-particle":"","family":"Merkely","given":"Bela","non-dropping-particle":"","parse-names":false,"suffix":""},{"dropping-particle":"","family":"Nicholls","given":"Stephen J.","non-dropping-particle":"","parse-names":false,"suffix":""},{"dropping-particle":"V.","family":"Perrone","given":"Sergio","non-dropping-particle":"","parse-names":false,"suffix":""},{"dropping-particle":"","family":"Piña","given":"Ileana L.","non-dropping-particle":"","parse-names":false,"suffix":""},{"dropping-particle":"","family":"Ponikowski","given":"Piotr","non-dropping-particle":"","parse-names":false,"suffix":""},{"dropping-particle":"","family":"Senni","given":"Michele","non-dropping-particle":"","parse-names":false,"suffix":""},{"dropping-particle":"","family":"Sim","given":"David","non-dropping-particle":"","parse-names":false,"suffix":""},{"dropping-particle":"","family":"Spinar","given":"Jindrich","non-dropping-particle":"","parse-names":false,"suffix":""},{"dropping-particle":"","family":"Squire","given":"Iain","non-dropping-particle":"","parse-names":false,"suffix":""},{"dropping-particle":"","family":"Taddei","given":"Stefano","non-dropping-particle":"","parse-names":false,"suffix":""},{"dropping-particle":"","family":"Tsutsui","given":"Hiroyuki","non-dropping-particle":"","parse-names":false,"suffix":""},{"dropping-particle":"","family":"Verma","given":"Subodh","non-dropping-particle":"","parse-names":false,"suffix":""},{"dropping-particle":"","family":"Vinereanu","given":"Dragos","non-dropping-particle":"","parse-names":false,"suffix":""},{"dropping-particle":"","family":"Zhang","given":"Jian","non-dropping-particle":"","parse-names":false,"suffix":""},{"dropping-particle":"","family":"Carson","given":"Peter","non-dropping-particle":"","parse-names":false,"suffix":""},{"dropping-particle":"","family":"Lam","given":"Carolyn Su Ping","non-dropping-particle":"","parse-names":false,"suffix":""},{"dropping-particle":"","family":"Marx","given":"Nikolaus","non-dropping-particle":"","parse-names":false,"suffix":""},{"dropping-particle":"","family":"Zeller","given":"Cordula","non-dropping-particle":"","parse-names":false,"suffix":""},{"dropping-particle":"","family":"Sattar","given":"Naveed","non-dropping-particle":"","parse-names":false,"suffix":""},{"dropping-particle":"","family":"Jamal","given":"Waheed","non-dropping-particle":"","parse-names":false,"suffix":""},{"dropping-particle":"","family":"Schnaidt","given":"Sven","non-dropping-particle":"","parse-names":false,"suffix":""},{"dropping-particle":"","family":"Schnee","given":"Janet M.","non-dropping-particle":"","parse-names":false,"suffix":""},{"dropping-particle":"","family":"Brueckmann","given":"Martina","non-dropping-particle":"","parse-names":false,"suffix":""},{"dropping-particle":"","family":"Pocock","given":"Stuart J.","non-dropping-particle":"","parse-names":false,"suffix":""},{"dropping-particle":"","family":"Zannad","given":"Faiez","non-dropping-particle":"","parse-names":false,"suffix":""},{"dropping-particle":"","family":"Packer","given":"Milton","non-dropping-particle":"","parse-names":false,"suffix":""}],"container-title":"New England Journal of Medicine","id":"ITEM-1","issue":"16","issued":{"date-parts":[["2021"]]},"page":"1451-1461","title":"Empagliflozin in Heart Failure with a Preserved Ejection Fraction","type":"article-journal","volume":"385"},"uris":["http://www.mendeley.com/documents/?uuid=c846f7e9-5915-4c9d-81fe-2c03ffdc6c55"]}],"mendeley":{"formattedCitation":"(194)","plainTextFormattedCitation":"(194)","previouslyFormattedCitation":"(194)"},"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(194)</w:t>
            </w:r>
            <w:r w:rsidRPr="004661E9">
              <w:rPr>
                <w:rFonts w:ascii="Arial" w:hAnsi="Arial" w:cs="Arial"/>
              </w:rPr>
              <w:fldChar w:fldCharType="end"/>
            </w:r>
          </w:p>
        </w:tc>
        <w:tc>
          <w:tcPr>
            <w:tcW w:w="1530" w:type="dxa"/>
          </w:tcPr>
          <w:p w14:paraId="06E3FF85" w14:textId="2EB11B52" w:rsidR="001C412B" w:rsidRPr="004661E9" w:rsidRDefault="001C412B" w:rsidP="004661E9">
            <w:pPr>
              <w:spacing w:line="276" w:lineRule="auto"/>
              <w:rPr>
                <w:rFonts w:ascii="Arial" w:hAnsi="Arial" w:cs="Arial"/>
              </w:rPr>
            </w:pPr>
            <w:r w:rsidRPr="004661E9">
              <w:rPr>
                <w:rFonts w:ascii="Arial" w:hAnsi="Arial" w:cs="Arial"/>
              </w:rPr>
              <w:t>2021</w:t>
            </w:r>
          </w:p>
        </w:tc>
        <w:tc>
          <w:tcPr>
            <w:tcW w:w="1890" w:type="dxa"/>
          </w:tcPr>
          <w:p w14:paraId="6EB9F9FA" w14:textId="77777777" w:rsidR="001C412B" w:rsidRPr="004661E9" w:rsidRDefault="001C412B" w:rsidP="004661E9">
            <w:pPr>
              <w:spacing w:line="276" w:lineRule="auto"/>
              <w:rPr>
                <w:rFonts w:ascii="Arial" w:hAnsi="Arial" w:cs="Arial"/>
              </w:rPr>
            </w:pPr>
            <w:r w:rsidRPr="004661E9">
              <w:rPr>
                <w:rFonts w:ascii="Arial" w:hAnsi="Arial" w:cs="Arial"/>
              </w:rPr>
              <w:t xml:space="preserve">Symptomatic stable HF </w:t>
            </w:r>
          </w:p>
          <w:p w14:paraId="73CE3774" w14:textId="6FB7CBBA" w:rsidR="001C412B" w:rsidRPr="004661E9" w:rsidRDefault="001C412B" w:rsidP="004661E9">
            <w:pPr>
              <w:spacing w:line="276" w:lineRule="auto"/>
              <w:rPr>
                <w:rFonts w:ascii="Arial" w:hAnsi="Arial" w:cs="Arial"/>
              </w:rPr>
            </w:pPr>
            <w:r w:rsidRPr="004661E9">
              <w:rPr>
                <w:rFonts w:ascii="Arial" w:hAnsi="Arial" w:cs="Arial"/>
              </w:rPr>
              <w:t>(LVEF &gt; 40%)</w:t>
            </w:r>
          </w:p>
        </w:tc>
        <w:tc>
          <w:tcPr>
            <w:tcW w:w="1080" w:type="dxa"/>
          </w:tcPr>
          <w:p w14:paraId="49324870" w14:textId="48134E78" w:rsidR="001C412B" w:rsidRPr="004661E9" w:rsidRDefault="001C412B" w:rsidP="004661E9">
            <w:pPr>
              <w:spacing w:line="276" w:lineRule="auto"/>
              <w:rPr>
                <w:rFonts w:ascii="Arial" w:hAnsi="Arial" w:cs="Arial"/>
              </w:rPr>
            </w:pPr>
            <w:r w:rsidRPr="004661E9">
              <w:rPr>
                <w:rFonts w:ascii="Arial" w:hAnsi="Arial" w:cs="Arial"/>
              </w:rPr>
              <w:t>49%</w:t>
            </w:r>
          </w:p>
        </w:tc>
        <w:tc>
          <w:tcPr>
            <w:tcW w:w="1350" w:type="dxa"/>
          </w:tcPr>
          <w:p w14:paraId="2911CEB9" w14:textId="6DEC32EA" w:rsidR="001C412B" w:rsidRPr="004661E9" w:rsidRDefault="001C412B" w:rsidP="004661E9">
            <w:pPr>
              <w:spacing w:line="276" w:lineRule="auto"/>
              <w:rPr>
                <w:rFonts w:ascii="Arial" w:hAnsi="Arial" w:cs="Arial"/>
              </w:rPr>
            </w:pPr>
            <w:r w:rsidRPr="004661E9">
              <w:rPr>
                <w:rFonts w:ascii="Arial" w:hAnsi="Arial" w:cs="Arial"/>
              </w:rPr>
              <w:t>26 months</w:t>
            </w:r>
          </w:p>
        </w:tc>
        <w:tc>
          <w:tcPr>
            <w:tcW w:w="1630" w:type="dxa"/>
          </w:tcPr>
          <w:p w14:paraId="1341FE26" w14:textId="77777777" w:rsidR="001C412B" w:rsidRPr="004661E9" w:rsidRDefault="001C412B" w:rsidP="004661E9">
            <w:pPr>
              <w:spacing w:line="276" w:lineRule="auto"/>
              <w:rPr>
                <w:rFonts w:ascii="Arial" w:hAnsi="Arial" w:cs="Arial"/>
              </w:rPr>
            </w:pPr>
            <w:r w:rsidRPr="004661E9">
              <w:rPr>
                <w:rFonts w:ascii="Arial" w:hAnsi="Arial" w:cs="Arial"/>
              </w:rPr>
              <w:t xml:space="preserve">0.79 </w:t>
            </w:r>
          </w:p>
          <w:p w14:paraId="2B346779" w14:textId="5A0BD6F3" w:rsidR="001C412B" w:rsidRPr="004661E9" w:rsidRDefault="001C412B" w:rsidP="004661E9">
            <w:pPr>
              <w:spacing w:line="276" w:lineRule="auto"/>
              <w:rPr>
                <w:rFonts w:ascii="Arial" w:hAnsi="Arial" w:cs="Arial"/>
              </w:rPr>
            </w:pPr>
            <w:r w:rsidRPr="004661E9">
              <w:rPr>
                <w:rFonts w:ascii="Arial" w:hAnsi="Arial" w:cs="Arial"/>
              </w:rPr>
              <w:t>(0.69 – 0.90)</w:t>
            </w:r>
          </w:p>
        </w:tc>
      </w:tr>
      <w:tr w:rsidR="001C412B" w:rsidRPr="004661E9" w14:paraId="3B518459" w14:textId="77777777" w:rsidTr="00152763">
        <w:trPr>
          <w:trHeight w:val="934"/>
        </w:trPr>
        <w:tc>
          <w:tcPr>
            <w:tcW w:w="1710" w:type="dxa"/>
          </w:tcPr>
          <w:p w14:paraId="5B83552C" w14:textId="77777777" w:rsidR="001C412B" w:rsidRPr="004661E9" w:rsidRDefault="001C412B" w:rsidP="004661E9">
            <w:pPr>
              <w:spacing w:line="276" w:lineRule="auto"/>
              <w:rPr>
                <w:rFonts w:ascii="Arial" w:hAnsi="Arial" w:cs="Arial"/>
              </w:rPr>
            </w:pPr>
            <w:r w:rsidRPr="004661E9">
              <w:rPr>
                <w:rFonts w:ascii="Arial" w:hAnsi="Arial" w:cs="Arial"/>
              </w:rPr>
              <w:t>Dapagliflozin</w:t>
            </w:r>
          </w:p>
        </w:tc>
        <w:tc>
          <w:tcPr>
            <w:tcW w:w="1800" w:type="dxa"/>
          </w:tcPr>
          <w:p w14:paraId="58674DBA" w14:textId="77777777" w:rsidR="001C412B" w:rsidRPr="004661E9" w:rsidRDefault="001C412B" w:rsidP="004661E9">
            <w:pPr>
              <w:spacing w:line="276" w:lineRule="auto"/>
              <w:rPr>
                <w:rFonts w:ascii="Arial" w:hAnsi="Arial" w:cs="Arial"/>
              </w:rPr>
            </w:pPr>
            <w:r w:rsidRPr="004661E9">
              <w:rPr>
                <w:rFonts w:ascii="Arial" w:hAnsi="Arial" w:cs="Arial"/>
              </w:rPr>
              <w:t>DAPA-HF</w:t>
            </w:r>
            <w:r w:rsidRPr="004661E9">
              <w:rPr>
                <w:rFonts w:ascii="Arial" w:hAnsi="Arial" w:cs="Arial"/>
              </w:rPr>
              <w:fldChar w:fldCharType="begin" w:fldLock="1"/>
            </w:r>
            <w:r w:rsidRPr="004661E9">
              <w:rPr>
                <w:rFonts w:ascii="Arial" w:hAnsi="Arial" w:cs="Arial"/>
              </w:rPr>
              <w:instrText>ADDIN CSL_CITATION {"citationItems":[{"id":"ITEM-1","itemData":{"DOI":"10.1056/nejmoa1911303","ISSN":"0028-4793","PMID":"31535829","abstract":"BACKGROUND In patients with type 2 diabetes, inhibitors of sodium-glucose cotransporter 2 (SGLT2) reduce the risk of a first hospitalization for heart failure, possibly through glucose-independent mechanisms. More data are needed regarding the effects of SGLT2 inhibitors in patients with established heart failure and a reduced ejection fraction, regardless of the presence or absence of type 2 diabetes. METHODS In this phase 3, placebo-controlled trial, we randomly assigned 4744 patients with New York Heart Association class II, III, or IV heart failure and an ejection fraction of 40% or less to receive either dapagliflozin (at a dose of 10 mg once daily) or placebo, in addition to recommended therapy. The primary outcome was a composite of worsening heart failure (hospitalization or an urgent visit resulting in intravenous therapy for heart failure) or cardiovascular death. RESULTS Over a median of 18.2 months, the primary outcome occurred in 386 of 2373 patients (16.3%) in the dapagliflozin group and in 502 of 2371 patients (21.2%) in the placebo group (hazard ratio, 0.74; 95% confidence interval [CI], 0.65 to 0.85; P&lt;0.001). A first worsening heart failure event occurred in 237 patients (10.0%) in the dapagliflozin group and in 326 patients (13.7%) in the placebo group (hazard ratio, 0.70; 95% CI, 0.59 to 0.83). Death from cardiovascular causes occurred in 227 patients (9.6%) in the dapagliflozin group and in 273 patients (11.5%) in the placebo group (hazard ratio, 0.82; 95% CI, 0.69 to 0.98); 276 patients (11.6%) and 329 patients (13.9%), respectively, died from any cause (hazard ratio, 0.83; 95% CI, 0.71 to 0.97). Findings in patients with diabetes were similar to those in patients without diabetes. The frequency of adverse events related to volume depletion, renal dysfunction, and hypoglycemia did not differ between treatment groups. CONCLUSIONS Among patients with heart failure and a reduced ejection fraction, the risk of worsening heart failure or death from cardiovascular causes was lower among those who received dapagliflozin than among those who received placebo, regardless of the presence or absence of diabetes. (Funded by AstraZeneca; DAPA-HF ClinicalTrials.gov number, NCT03036124.).","author":[{"dropping-particle":"","family":"McMurray","given":"John J.V.","non-dropping-particle":"","parse-names":false,"suffix":""},{"dropping-particle":"","family":"Solomon","given":"Scott D.","non-dropping-particle":"","parse-names":false,"suffix":""},{"dropping-particle":"","family":"Inzucchi","given":"Silvio E.","non-dropping-particle":"","parse-names":false,"suffix":""},{"dropping-particle":"","family":"Køber","given":"Lars","non-dropping-particle":"","parse-names":false,"suffix":""},{"dropping-particle":"","family":"Kosiborod","given":"Mikhail N.","non-dropping-particle":"","parse-names":false,"suffix":""},{"dropping-particle":"","family":"Martinez","given":"Felipe A.","non-dropping-particle":"","parse-names":false,"suffix":""},{"dropping-particle":"","family":"Ponikowski","given":"Piotr","non-dropping-particle":"","parse-names":false,"suffix":""},{"dropping-particle":"","family":"Sabatine","given":"Marc S.","non-dropping-particle":"","parse-names":false,"suffix":""},{"dropping-particle":"","family":"Anand","given":"Inder S.","non-dropping-particle":"","parse-names":false,"suffix":""},{"dropping-particle":"","family":"Bělohlávek","given":"Jan","non-dropping-particle":"","parse-names":false,"suffix":""},{"dropping-particle":"","family":"Böhm","given":"Michael","non-dropping-particle":"","parse-names":false,"suffix":""},{"dropping-particle":"","family":"Chiang","given":"Chern-En","non-dropping-particle":"","parse-names":false,"suffix":""},{"dropping-particle":"","family":"Chopra","given":"Vijay K.","non-dropping-particle":"","parse-names":false,"suffix":""},{"dropping-particle":"","family":"Boer","given":"Rudolf A.","non-dropping-particle":"de","parse-names":false,"suffix":""},{"dropping-particle":"","family":"Desai","given":"Akshay S.","non-dropping-particle":"","parse-names":false,"suffix":""},{"dropping-particle":"","family":"Diez","given":"Mirta","non-dropping-particle":"","parse-names":false,"suffix":""},{"dropping-particle":"","family":"Drozdz","given":"Jaroslaw","non-dropping-particle":"","parse-names":false,"suffix":""},{"dropping-particle":"","family":"Dukát","given":"Andrej","non-dropping-particle":"","parse-names":false,"suffix":""},{"dropping-particle":"","family":"Ge","given":"Junbo","non-dropping-particle":"","parse-names":false,"suffix":""},{"dropping-particle":"","family":"Howlett","given":"Jonathan G.","non-dropping-particle":"","parse-names":false,"suffix":""},{"dropping-particle":"","family":"Katova","given":"Tzvetana","non-dropping-particle":"","parse-names":false,"suffix":""},{"dropping-particle":"","family":"Kitakaze","given":"Masafumi","non-dropping-particle":"","parse-names":false,"suffix":""},{"dropping-particle":"","family":"Ljungman","given":"Charlotta E.A.","non-dropping-particle":"","parse-names":false,"suffix":""},{"dropping-particle":"","family":"Merkely","given":"Béla","non-dropping-particle":"","parse-names":false,"suffix":""},{"dropping-particle":"","family":"Nicolau","given":"Jose C.","non-dropping-particle":"","parse-names":false,"suffix":""},{"dropping-particle":"","family":"O’Meara","given":"Eileen","non-dropping-particle":"","parse-names":false,"suffix":""},{"dropping-particle":"","family":"Petrie","given":"Mark C.","non-dropping-particle":"","parse-names":false,"suffix":""},{"dropping-particle":"","family":"Vinh","given":"Pham N.","non-dropping-particle":"","parse-names":false,"suffix":""},{"dropping-particle":"","family":"Schou","given":"Morten","non-dropping-particle":"","parse-names":false,"suffix":""},{"dropping-particle":"","family":"Tereshchenko","given":"Sergey","non-dropping-particle":"","parse-names":false,"suffix":""},{"dropping-particle":"","family":"Verma","given":"Subodh","non-dropping-particle":"","parse-names":false,"suffix":""},{"dropping-particle":"","family":"Held","given":"Claes","non-dropping-particle":"","parse-names":false,"suffix":""},{"dropping-particle":"","family":"DeMets","given":"David L.","non-dropping-particle":"","parse-names":false,"suffix":""},{"dropping-particle":"","family":"Docherty","given":"Kieran F.","non-dropping-particle":"","parse-names":false,"suffix":""},{"dropping-particle":"","family":"Jhund","given":"Pardeep S.","non-dropping-particle":"","parse-names":false,"suffix":""},{"dropping-particle":"","family":"Bengtsson","given":"Olof","non-dropping-particle":"","parse-names":false,"suffix":""},{"dropping-particle":"","family":"Sjöstrand","given":"Mikaela","non-dropping-particle":"","parse-names":false,"suffix":""},{"dropping-particle":"","family":"Langkilde","given":"Anna-Maria","non-dropping-particle":"","parse-names":false,"suffix":""}],"container-title":"New England Journal of Medicine","id":"ITEM-1","issue":"21","issued":{"date-parts":[["2019","9","19"]]},"page":"1995-2008","publisher":"Massachusetts Medical Society","title":"Dapagliflozin in Patients with Heart Failure and Reduced Ejection Fraction","type":"article-journal","volume":"381"},"uris":["http://www.mendeley.com/documents/?uuid=778dbce7-ec42-452f-8c33-93a8325010dd"]}],"mendeley":{"formattedCitation":"(189)","plainTextFormattedCitation":"(189)","previouslyFormattedCitation":"(189)"},"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(189)</w:t>
            </w:r>
            <w:r w:rsidRPr="004661E9">
              <w:rPr>
                <w:rFonts w:ascii="Arial" w:hAnsi="Arial" w:cs="Arial"/>
              </w:rPr>
              <w:fldChar w:fldCharType="end"/>
            </w:r>
          </w:p>
        </w:tc>
        <w:tc>
          <w:tcPr>
            <w:tcW w:w="1530" w:type="dxa"/>
          </w:tcPr>
          <w:p w14:paraId="0E1DC31F" w14:textId="77777777" w:rsidR="001C412B" w:rsidRPr="004661E9" w:rsidRDefault="001C412B" w:rsidP="004661E9">
            <w:pPr>
              <w:spacing w:line="276" w:lineRule="auto"/>
              <w:rPr>
                <w:rFonts w:ascii="Arial" w:hAnsi="Arial" w:cs="Arial"/>
              </w:rPr>
            </w:pPr>
            <w:r w:rsidRPr="004661E9">
              <w:rPr>
                <w:rFonts w:ascii="Arial" w:hAnsi="Arial" w:cs="Arial"/>
              </w:rPr>
              <w:t>2019</w:t>
            </w:r>
          </w:p>
        </w:tc>
        <w:tc>
          <w:tcPr>
            <w:tcW w:w="1890" w:type="dxa"/>
          </w:tcPr>
          <w:p w14:paraId="6049E809" w14:textId="77777777" w:rsidR="001C412B" w:rsidRPr="004661E9" w:rsidRDefault="001C412B" w:rsidP="004661E9">
            <w:pPr>
              <w:spacing w:line="276" w:lineRule="auto"/>
              <w:rPr>
                <w:rFonts w:ascii="Arial" w:hAnsi="Arial" w:cs="Arial"/>
              </w:rPr>
            </w:pPr>
            <w:r w:rsidRPr="004661E9">
              <w:rPr>
                <w:rFonts w:ascii="Arial" w:hAnsi="Arial" w:cs="Arial"/>
              </w:rPr>
              <w:t xml:space="preserve">Symptomatic stable HF </w:t>
            </w:r>
          </w:p>
          <w:p w14:paraId="26D33AFB" w14:textId="26DD1499" w:rsidR="001C412B" w:rsidRPr="004661E9" w:rsidRDefault="001C412B" w:rsidP="004661E9">
            <w:pPr>
              <w:spacing w:line="276" w:lineRule="auto"/>
              <w:rPr>
                <w:rFonts w:ascii="Arial" w:hAnsi="Arial" w:cs="Arial"/>
              </w:rPr>
            </w:pPr>
            <w:r w:rsidRPr="004661E9">
              <w:rPr>
                <w:rFonts w:ascii="Arial" w:hAnsi="Arial" w:cs="Arial"/>
              </w:rPr>
              <w:t>(LVEF ≤40%)</w:t>
            </w:r>
          </w:p>
        </w:tc>
        <w:tc>
          <w:tcPr>
            <w:tcW w:w="1080" w:type="dxa"/>
          </w:tcPr>
          <w:p w14:paraId="108A63F0" w14:textId="096E141C" w:rsidR="001C412B" w:rsidRPr="004661E9" w:rsidRDefault="001C412B" w:rsidP="004661E9">
            <w:pPr>
              <w:spacing w:line="276" w:lineRule="auto"/>
              <w:rPr>
                <w:rFonts w:ascii="Arial" w:hAnsi="Arial" w:cs="Arial"/>
              </w:rPr>
            </w:pPr>
            <w:r w:rsidRPr="004661E9">
              <w:rPr>
                <w:rFonts w:ascii="Arial" w:hAnsi="Arial" w:cs="Arial"/>
              </w:rPr>
              <w:t>42%</w:t>
            </w:r>
          </w:p>
        </w:tc>
        <w:tc>
          <w:tcPr>
            <w:tcW w:w="1350" w:type="dxa"/>
          </w:tcPr>
          <w:p w14:paraId="28289CDF" w14:textId="30E870BB" w:rsidR="001C412B" w:rsidRPr="004661E9" w:rsidRDefault="001C412B" w:rsidP="004661E9">
            <w:pPr>
              <w:spacing w:line="276" w:lineRule="auto"/>
              <w:rPr>
                <w:rFonts w:ascii="Arial" w:hAnsi="Arial" w:cs="Arial"/>
              </w:rPr>
            </w:pPr>
            <w:r w:rsidRPr="004661E9">
              <w:rPr>
                <w:rFonts w:ascii="Arial" w:hAnsi="Arial" w:cs="Arial"/>
              </w:rPr>
              <w:t>18 months</w:t>
            </w:r>
          </w:p>
        </w:tc>
        <w:tc>
          <w:tcPr>
            <w:tcW w:w="1630" w:type="dxa"/>
          </w:tcPr>
          <w:p w14:paraId="0606703A" w14:textId="77777777" w:rsidR="001C412B" w:rsidRPr="004661E9" w:rsidRDefault="001C412B" w:rsidP="004661E9">
            <w:pPr>
              <w:spacing w:line="276" w:lineRule="auto"/>
              <w:rPr>
                <w:rFonts w:ascii="Arial" w:hAnsi="Arial" w:cs="Arial"/>
              </w:rPr>
            </w:pPr>
            <w:r w:rsidRPr="004661E9">
              <w:rPr>
                <w:rFonts w:ascii="Arial" w:hAnsi="Arial" w:cs="Arial"/>
              </w:rPr>
              <w:t xml:space="preserve">0.74 </w:t>
            </w:r>
          </w:p>
          <w:p w14:paraId="3916D0B5" w14:textId="65BFB16C" w:rsidR="001C412B" w:rsidRPr="004661E9" w:rsidRDefault="001C412B" w:rsidP="004661E9">
            <w:pPr>
              <w:spacing w:line="276" w:lineRule="auto"/>
              <w:rPr>
                <w:rFonts w:ascii="Arial" w:hAnsi="Arial" w:cs="Arial"/>
              </w:rPr>
            </w:pPr>
            <w:r w:rsidRPr="004661E9">
              <w:rPr>
                <w:rFonts w:ascii="Arial" w:hAnsi="Arial" w:cs="Arial"/>
              </w:rPr>
              <w:t>(0.0.65 - 0.85)</w:t>
            </w:r>
          </w:p>
        </w:tc>
      </w:tr>
      <w:tr w:rsidR="001C412B" w:rsidRPr="004661E9" w14:paraId="1CDE970B" w14:textId="77777777" w:rsidTr="00152763">
        <w:trPr>
          <w:trHeight w:val="934"/>
        </w:trPr>
        <w:tc>
          <w:tcPr>
            <w:tcW w:w="1710" w:type="dxa"/>
          </w:tcPr>
          <w:p w14:paraId="414F26F2" w14:textId="77777777" w:rsidR="001C412B" w:rsidRPr="004661E9" w:rsidRDefault="001C412B" w:rsidP="004661E9">
            <w:pPr>
              <w:spacing w:line="276" w:lineRule="auto"/>
              <w:rPr>
                <w:rFonts w:ascii="Arial" w:hAnsi="Arial" w:cs="Arial"/>
              </w:rPr>
            </w:pPr>
            <w:r w:rsidRPr="004661E9">
              <w:rPr>
                <w:rFonts w:ascii="Arial" w:hAnsi="Arial" w:cs="Arial"/>
              </w:rPr>
              <w:t>Dapagliflozin</w:t>
            </w:r>
          </w:p>
        </w:tc>
        <w:tc>
          <w:tcPr>
            <w:tcW w:w="1800" w:type="dxa"/>
          </w:tcPr>
          <w:p w14:paraId="1495D8E0" w14:textId="43D58C21" w:rsidR="001C412B" w:rsidRPr="004661E9" w:rsidRDefault="001C412B" w:rsidP="004661E9">
            <w:pPr>
              <w:spacing w:line="276" w:lineRule="auto"/>
              <w:rPr>
                <w:rFonts w:ascii="Arial" w:hAnsi="Arial" w:cs="Arial"/>
              </w:rPr>
            </w:pPr>
            <w:r w:rsidRPr="004661E9">
              <w:rPr>
                <w:rFonts w:ascii="Arial" w:hAnsi="Arial" w:cs="Arial"/>
              </w:rPr>
              <w:t>DELIVER</w:t>
            </w:r>
            <w:r w:rsidRPr="004661E9">
              <w:rPr>
                <w:rFonts w:ascii="Arial" w:hAnsi="Arial" w:cs="Arial"/>
              </w:rPr>
              <w:fldChar w:fldCharType="begin" w:fldLock="1"/>
            </w:r>
            <w:r w:rsidRPr="004661E9">
              <w:rPr>
                <w:rFonts w:ascii="Arial" w:hAnsi="Arial" w:cs="Arial"/>
              </w:rPr>
              <w:instrText>ADDIN CSL_CITATION {"citationItems":[{"id":"ITEM-1","itemData":{"DOI":"10.1056/nejmoa2206286","ISSN":"0028-4793","PMID":"36027570","abstract":"BACKGROUND Sodium-glucose cotransporter 2 (SGLT2) inhibitors reduce the risk of hospitalization for heart failure and cardiovascular death among patients with chronic heart failure and a left ventricular ejection fraction of 40% or less. Whether SGLT2 inhibitors are effective in patients with a higher left ventricular ejection fraction remains less certain. METHODS We randomly assigned 6263 patients with heart failure and a left ventricular ejection fraction of more than 40% to receive dapagliflozin (at a dose of 10 mg once daily) or matching placebo, in addition to usual therapy. The primary outcome was a composite of worsening heart failure (which was defined as either an unplanned hospitalization for heart failure or an urgent visit for heart failure) or cardiovascular death, as assessed in a time-to-event analysis. RESULTS Over a median of 2.3 years, the primary outcome occurred in 512 of 3131 patients (16.4%) in the dapagliflozin group and in 610 of 3132 patients (19.5%) in the placebo group (hazard ratio, 0.82; 95% confidence interval [CI], 0.73 to 0.92; P&lt;0.001). Worsening heart failure occurred in 368 patients (11.8%) in the dapagliflozin group and in 455 patients (14.5%) in the placebo group (hazard ratio, 0.79; 95% CI, 0.69 to 0.91); cardiovascular death occurred in 231 patients (7.4%) and 261 patients (8.3%), respectively (hazard ratio, 0.88; 95% CI, 0.74 to 1.05). Total events and symptom burden were lower in the dapagliflozin group than in the placebo group. Results were similar among patients with a left ventricular ejection fraction of 60% or more and those with a left ventricular ejection fraction of less than 60%, and results were similar in prespecified subgroups, including patients with or without diabetes. The incidence of adverse events was similar in the two groups. CONCLUSIONS Dapagliflozin reduced the combined risk of worsening heart failure or cardiovascular death among patients with heart failure and a mildly reduced or preserved ejection fraction. (Funded by AstraZeneca; DELIVER ClinicalTrials.gov number, NCT03619213.).","author":[{"dropping-particle":"","family":"Solomon","given":"Scott D.","non-dropping-particle":"","parse-names":false,"suffix":""},{"dropping-particle":"","family":"McMurray","given":"John J.V.","non-dropping-particle":"","parse-names":false,"suffix":""},{"dropping-particle":"","family":"Claggett","given":"Brian","non-dropping-particle":"","parse-names":false,"suffix":""},{"dropping-particle":"","family":"Boer","given":"Rudolf A.","non-dropping-particle":"de","parse-names":false,"suffix":""},{"dropping-particle":"","family":"DeMets","given":"David","non-dropping-particle":"","parse-names":false,"suffix":""},{"dropping-particle":"","family":"Hernandez","given":"Adrian F.","non-dropping-particle":"","parse-names":false,"suffix":""},{"dropping-particle":"","family":"Inzucchi","given":"Silvio E.","non-dropping-particle":"","parse-names":false,"suffix":""},{"dropping-particle":"","family":"Kosiborod","given":"Mikhail N.","non-dropping-particle":"","parse-names":false,"suffix":""},{"dropping-particle":"","family":"Lam","given":"Carolyn S.P.","non-dropping-particle":"","parse-names":false,"suffix":""},{"dropping-particle":"","family":"Martinez","given":"Felipe","non-dropping-particle":"","parse-names":false,"suffix":""},{"dropping-particle":"","family":"Shah","given":"Sanjiv J.","non-dropping-particle":"","parse-names":false,"suffix":""},{"dropping-particle":"","family":"Desai","given":"Akshay S.","non-dropping-particle":"","parse-names":false,"suffix":""},{"dropping-particle":"","family":"Jhund","given":"Pardeep S.","non-dropping-particle":"","parse-names":false,"suffix":""},{"dropping-particle":"","family":"Belohlavek","given":"Jan","non-dropping-particle":"","parse-names":false,"suffix":""},{"dropping-particle":"","family":"Chiang","given":"Chern-En","non-dropping-particle":"","parse-names":false,"suffix":""},{"dropping-particle":"","family":"Borleffs","given":"C. Jan Willem","non-dropping-particle":"","parse-names":false,"suffix":""},{"dropping-particle":"","family":"Comin-Colet","given":"Josep","non-dropping-particle":"","parse-names":false,"suffix":""},{"dropping-particle":"","family":"Dobreanu","given":"Dan","non-dropping-particle":"","parse-names":false,"suffix":""},{"dropping-particle":"","family":"Drozdz","given":"Jaroslaw","non-dropping-particle":"","parse-names":false,"suffix":""},{"dropping-particle":"","family":"Fang","given":"James C.","non-dropping-particle":"","parse-names":false,"suffix":""},{"dropping-particle":"","family":"Alcocer-Gamba","given":"Marco Antonio","non-dropping-particle":"","parse-names":false,"suffix":""},{"dropping-particle":"","family":"Habeeb","given":"Waleed","non-dropping-particle":"Al","parse-names":false,"suffix":""},{"dropping-particle":"","family":"Han","given":"Yaling","non-dropping-particle":"","parse-names":false,"suffix":""},{"dropping-particle":"","family":"Cabrera Honorio","given":"Jose Walter","non-dropping-particle":"","parse-names":false,"suffix":""},{"dropping-particle":"","family":"Janssens","given":"Stefan P.","non-dropping-particle":"","parse-names":false,"suffix":""},{"dropping-particle":"","family":"Katova","given":"Tzvetana","non-dropping-particle":"","parse-names":false,"suffix":""},{"dropping-particle":"","family":"Kitakaze","given":"Masafumi","non-dropping-particle":"","parse-names":false,"suffix":""},{"dropping-particle":"","family":"Merkely","given":"Béla","non-dropping-particle":"","parse-names":false,"suffix":""},{"dropping-particle":"","family":"O’Meara","given":"Eileen","non-dropping-particle":"","parse-names":false,"suffix":""},{"dropping-particle":"","family":"Saraiva","given":"Jose Francisco Kerr","non-dropping-particle":"","parse-names":false,"suffix":""},{"dropping-particle":"","family":"Tereshchenko","given":"Sergey N.","non-dropping-particle":"","parse-names":false,"suffix":""},{"dropping-particle":"","family":"Thierer","given":"Jorge","non-dropping-particle":"","parse-names":false,"suffix":""},{"dropping-particle":"","family":"Vaduganathan","given":"Muthiah","non-dropping-particle":"","parse-names":false,"suffix":""},{"dropping-particle":"","family":"Vardeny","given":"Orly","non-dropping-particle":"","parse-names":false,"suffix":""},{"dropping-particle":"","family":"Verma","given":"Subodh","non-dropping-particle":"","parse-names":false,"suffix":""},{"dropping-particle":"","family":"Pham","given":"Vinh Nguyen","non-dropping-particle":"","parse-names":false,"suffix":""},{"dropping-particle":"","family":"Wilderäng","given":"Ulrica","non-dropping-particle":"","parse-names":false,"suffix":""},{"dropping-particle":"","family":"Zaozerska","given":"Natalia","non-dropping-particle":"","parse-names":false,"suffix":""},{"dropping-particle":"","family":"Bachus","given":"Erasmus","non-dropping-particle":"","parse-names":false,"suffix":""},{"dropping-particle":"","family":"Lindholm","given":"Daniel","non-dropping-particle":"","parse-names":false,"suffix":""},{"dropping-particle":"","family":"Petersson","given":"Magnus","non-dropping-particle":"","parse-names":false,"suffix":""},{"dropping-particle":"","family":"Langkilde","given":"Anna Maria","non-dropping-particle":"","parse-names":false,"suffix":""}],"container-title":"New England Journal of Medicine","id":"ITEM-1","issue":"12","issued":{"date-parts":[["2022"]]},"page":"1089-1098","title":"Dapagliflozin in Heart Failure with Mildly Reduced or Preserved Ejection Fraction","type":"article-journal","volume":"387"},"uris":["http://www.mendeley.com/documents/?uuid=ac3caf30-03fb-4a64-8882-c6c5c2520074"]}],"mendeley":{"formattedCitation":"(118)","plainTextFormattedCitation":"(118)","previouslyFormattedCitation":"(118)"},"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(118)</w:t>
            </w:r>
            <w:r w:rsidRPr="004661E9">
              <w:rPr>
                <w:rFonts w:ascii="Arial" w:hAnsi="Arial" w:cs="Arial"/>
              </w:rPr>
              <w:fldChar w:fldCharType="end"/>
            </w:r>
          </w:p>
        </w:tc>
        <w:tc>
          <w:tcPr>
            <w:tcW w:w="1530" w:type="dxa"/>
          </w:tcPr>
          <w:p w14:paraId="53ADBD60" w14:textId="77777777" w:rsidR="001C412B" w:rsidRPr="004661E9" w:rsidRDefault="001C412B" w:rsidP="004661E9">
            <w:pPr>
              <w:spacing w:line="276" w:lineRule="auto"/>
              <w:rPr>
                <w:rFonts w:ascii="Arial" w:hAnsi="Arial" w:cs="Arial"/>
              </w:rPr>
            </w:pPr>
            <w:r w:rsidRPr="004661E9">
              <w:rPr>
                <w:rFonts w:ascii="Arial" w:hAnsi="Arial" w:cs="Arial"/>
              </w:rPr>
              <w:t>2022</w:t>
            </w:r>
          </w:p>
        </w:tc>
        <w:tc>
          <w:tcPr>
            <w:tcW w:w="1890" w:type="dxa"/>
          </w:tcPr>
          <w:p w14:paraId="6C42797D" w14:textId="77777777" w:rsidR="001C412B" w:rsidRPr="004661E9" w:rsidRDefault="001C412B" w:rsidP="004661E9">
            <w:pPr>
              <w:spacing w:line="276" w:lineRule="auto"/>
              <w:rPr>
                <w:rFonts w:ascii="Arial" w:hAnsi="Arial" w:cs="Arial"/>
              </w:rPr>
            </w:pPr>
            <w:r w:rsidRPr="004661E9">
              <w:rPr>
                <w:rFonts w:ascii="Arial" w:hAnsi="Arial" w:cs="Arial"/>
              </w:rPr>
              <w:t xml:space="preserve">Symptomatic stable HF </w:t>
            </w:r>
          </w:p>
          <w:p w14:paraId="4B46E7F6" w14:textId="217461DC" w:rsidR="001C412B" w:rsidRPr="004661E9" w:rsidRDefault="001C412B" w:rsidP="004661E9">
            <w:pPr>
              <w:spacing w:line="276" w:lineRule="auto"/>
              <w:rPr>
                <w:rFonts w:ascii="Arial" w:hAnsi="Arial" w:cs="Arial"/>
              </w:rPr>
            </w:pPr>
            <w:r w:rsidRPr="004661E9">
              <w:rPr>
                <w:rFonts w:ascii="Arial" w:hAnsi="Arial" w:cs="Arial"/>
              </w:rPr>
              <w:t>(LVEF &gt; 40%)</w:t>
            </w:r>
          </w:p>
        </w:tc>
        <w:tc>
          <w:tcPr>
            <w:tcW w:w="1080" w:type="dxa"/>
          </w:tcPr>
          <w:p w14:paraId="7A3DAB45" w14:textId="1BE471EF" w:rsidR="001C412B" w:rsidRPr="004661E9" w:rsidRDefault="001C412B" w:rsidP="004661E9">
            <w:pPr>
              <w:spacing w:line="276" w:lineRule="auto"/>
              <w:rPr>
                <w:rFonts w:ascii="Arial" w:hAnsi="Arial" w:cs="Arial"/>
              </w:rPr>
            </w:pPr>
            <w:r w:rsidRPr="004661E9">
              <w:rPr>
                <w:rFonts w:ascii="Arial" w:hAnsi="Arial" w:cs="Arial"/>
              </w:rPr>
              <w:t>45%</w:t>
            </w:r>
          </w:p>
        </w:tc>
        <w:tc>
          <w:tcPr>
            <w:tcW w:w="1350" w:type="dxa"/>
          </w:tcPr>
          <w:p w14:paraId="2AE06D47" w14:textId="6F674418" w:rsidR="001C412B" w:rsidRPr="004661E9" w:rsidRDefault="001C412B" w:rsidP="004661E9">
            <w:pPr>
              <w:spacing w:line="276" w:lineRule="auto"/>
              <w:rPr>
                <w:rFonts w:ascii="Arial" w:hAnsi="Arial" w:cs="Arial"/>
              </w:rPr>
            </w:pPr>
            <w:r w:rsidRPr="004661E9">
              <w:rPr>
                <w:rFonts w:ascii="Arial" w:hAnsi="Arial" w:cs="Arial"/>
              </w:rPr>
              <w:t>2.3 years</w:t>
            </w:r>
          </w:p>
        </w:tc>
        <w:tc>
          <w:tcPr>
            <w:tcW w:w="1630" w:type="dxa"/>
          </w:tcPr>
          <w:p w14:paraId="2B8584A3" w14:textId="77777777" w:rsidR="001C412B" w:rsidRPr="004661E9" w:rsidRDefault="001C412B" w:rsidP="004661E9">
            <w:pPr>
              <w:spacing w:line="276" w:lineRule="auto"/>
              <w:rPr>
                <w:rFonts w:ascii="Arial" w:hAnsi="Arial" w:cs="Arial"/>
              </w:rPr>
            </w:pPr>
            <w:r w:rsidRPr="004661E9">
              <w:rPr>
                <w:rFonts w:ascii="Arial" w:hAnsi="Arial" w:cs="Arial"/>
              </w:rPr>
              <w:t xml:space="preserve">0.82 </w:t>
            </w:r>
          </w:p>
          <w:p w14:paraId="7ECD1654" w14:textId="400C1B71" w:rsidR="001C412B" w:rsidRPr="004661E9" w:rsidRDefault="001C412B" w:rsidP="004661E9">
            <w:pPr>
              <w:spacing w:line="276" w:lineRule="auto"/>
              <w:rPr>
                <w:rFonts w:ascii="Arial" w:hAnsi="Arial" w:cs="Arial"/>
              </w:rPr>
            </w:pPr>
            <w:r w:rsidRPr="004661E9">
              <w:rPr>
                <w:rFonts w:ascii="Arial" w:hAnsi="Arial" w:cs="Arial"/>
              </w:rPr>
              <w:t>(0.73 – 0.92)</w:t>
            </w:r>
          </w:p>
        </w:tc>
      </w:tr>
      <w:tr w:rsidR="001C412B" w:rsidRPr="004661E9" w14:paraId="060B683F" w14:textId="77777777" w:rsidTr="00152763">
        <w:trPr>
          <w:trHeight w:val="934"/>
        </w:trPr>
        <w:tc>
          <w:tcPr>
            <w:tcW w:w="1710" w:type="dxa"/>
          </w:tcPr>
          <w:p w14:paraId="2665740C" w14:textId="77FA11EF" w:rsidR="001C412B" w:rsidRPr="004661E9" w:rsidRDefault="001C412B" w:rsidP="004661E9">
            <w:pPr>
              <w:spacing w:line="276" w:lineRule="auto"/>
              <w:rPr>
                <w:rFonts w:ascii="Arial" w:hAnsi="Arial" w:cs="Arial"/>
              </w:rPr>
            </w:pPr>
            <w:r w:rsidRPr="004661E9">
              <w:rPr>
                <w:rFonts w:ascii="Arial" w:hAnsi="Arial" w:cs="Arial"/>
              </w:rPr>
              <w:t>Sotagliflozin</w:t>
            </w:r>
          </w:p>
        </w:tc>
        <w:tc>
          <w:tcPr>
            <w:tcW w:w="1800" w:type="dxa"/>
          </w:tcPr>
          <w:p w14:paraId="1D21C2EF" w14:textId="475B8C9B" w:rsidR="001C412B" w:rsidRPr="004661E9" w:rsidRDefault="001C412B" w:rsidP="004661E9">
            <w:pPr>
              <w:spacing w:line="276" w:lineRule="auto"/>
              <w:rPr>
                <w:rFonts w:ascii="Arial" w:hAnsi="Arial" w:cs="Arial"/>
              </w:rPr>
            </w:pPr>
            <w:r w:rsidRPr="004661E9">
              <w:rPr>
                <w:rFonts w:ascii="Arial" w:hAnsi="Arial" w:cs="Arial"/>
              </w:rPr>
              <w:t xml:space="preserve">SOLOIST-WHF </w:t>
            </w:r>
            <w:r w:rsidRPr="004661E9">
              <w:rPr>
                <w:rFonts w:ascii="Arial" w:hAnsi="Arial" w:cs="Arial"/>
              </w:rPr>
              <w:fldChar w:fldCharType="begin" w:fldLock="1"/>
            </w:r>
            <w:r w:rsidRPr="004661E9">
              <w:rPr>
                <w:rFonts w:ascii="Arial" w:hAnsi="Arial" w:cs="Arial"/>
              </w:rPr>
              <w:instrText>ADDIN CSL_CITATION {"citationItems":[{"id":"ITEM-1","itemData":{"DOI":"10.1056/nejmoa2030183","ISSN":"0028-4793","PMID":"33200892","abstract":"BACKGROUND Sodium-glucose cotransporter 2 (SGLT2) inhibitors reduce the risk of hospitalization for heart failure or death from cardiovascular causes among patients with stable heart failure. However, the safety and efficacy of SGLT2 inhibitors when initiated soon after an episode of decompensated heart failure are unknown. METHODS We performed a multicenter, double-blind trial in which patients with type 2 diabetes mellitus who were recently hospitalized for worsening heart failure were randomly assigned to receive sotagliflozin or placebo. The primary end point was the total number of deaths from cardiovascular causes and hospitalizations and urgent visits for heart failure (first and subsequent events). The trial ended early because of loss of funding from the sponsor. RESULTS A total of 1222 patients underwent randomization (608 to the sotagliflozin group and 614 to the placebo group) and were followed for a median of 9.0 months; the first dose of sotagliflozin or placebo was administered before discharge in 48.8% and a median of 2 days after discharge in 51.2%. Among these patients, 600 primary end-point events occurred (245 in the sotagliflozin group and 355 in the placebo group). The rate (the number of events per 100 patient-years) of primary end-point events was lower in the sotagliflozin group than in the placebo group (51.0 vs. 76.3; hazard ratio, 0.67; 95% confidence interval [CI], 0.52 to 0.85; P&lt;0.001). The rate of death from cardiovascular causes was 10.6 in the sotagliflozin group and 12.5 in the placebo group (hazard ratio, 0.84; 95% CI, 0.58 to 1.22); the rate of death from any cause was 13.5 in the sotagliflozin group and 16.3 in the placebo group (hazard ratio, 0.82; 95% CI, 0.59 to 1.14). Diarrhea was more common with sotagliflozin than with placebo (6.1% vs. 3.4%), as was severe hypoglycemia (1.5% vs. 0.3%). The percentage of patients with hypotension was similar in the sotagliflozin group and the placebo group (6.0% and 4.6%, respectively), as was the percentage with acute kidney injury (4.1% and 4.4%, respectively). The benefits of sotagliflozin were consistent in the prespecified subgroups of patients stratified according to the timing of the first dose. CONCLUSIONS In patients with diabetes and recent worsening heart failure, sotagliflozin therapy, initiated before or shortly after discharge, resulted in a significantly lower total number of deaths from cardiovascular causes and hospitalizations and urgent visits for heart fail…","author":[{"dropping-particle":"","family":"Bhatt","given":"Deepak L.","non-dropping-particle":"","parse-names":false,"suffix":""},{"dropping-particle":"","family":"Szarek","given":"Michael","non-dropping-particle":"","parse-names":false,"suffix":""},{"dropping-particle":"","family":"Steg","given":"P. Gabriel","non-dropping-particle":"","parse-names":false,"suffix":""},{"dropping-particle":"","family":"Cannon","given":"Christopher P.","non-dropping-particle":"","parse-names":false,"suffix":""},{"dropping-particle":"","family":"Leiter","given":"Lawrence A.","non-dropping-particle":"","parse-names":false,"suffix":""},{"dropping-particle":"","family":"McGuire","given":"Darren K.","non-dropping-particle":"","parse-names":false,"suffix":""},{"dropping-particle":"","family":"Lewis","given":"Julia B.","non-dropping-particle":"","parse-names":false,"suffix":""},{"dropping-particle":"","family":"Riddle","given":"Matthew C.","non-dropping-particle":"","parse-names":false,"suffix":""},{"dropping-particle":"","family":"Voors","given":"Adriaan A.","non-dropping-particle":"","parse-names":false,"suffix":""},{"dropping-particle":"","family":"Metra","given":"Marco","non-dropping-particle":"","parse-names":false,"suffix":""},{"dropping-particle":"","family":"Lund","given":"Lars H.","non-dropping-particle":"","parse-names":false,"suffix":""},{"dropping-particle":"","family":"Komajda","given":"Michel","non-dropping-particle":"","parse-names":false,"suffix":""},{"dropping-particle":"","family":"Testani","given":"Jeffrey M.","non-dropping-particle":"","parse-names":false,"suffix":""},{"dropping-particle":"","family":"Wilcox","given":"Christopher S.","non-dropping-particle":"","parse-names":false,"suffix":""},{"dropping-particle":"","family":"Ponikowski","given":"Piotr","non-dropping-particle":"","parse-names":false,"suffix":""},{"dropping-particle":"","family":"Lopes","given":"Renato D.","non-dropping-particle":"","parse-names":false,"suffix":""},{"dropping-particle":"","family":"Verma","given":"Subodh","non-dropping-particle":"","parse-names":false,"suffix":""},{"dropping-particle":"","family":"Lapuerta","given":"Pablo","non-dropping-particle":"","parse-names":false,"suffix":""},{"dropping-particle":"","family":"Pitt","given":"Bertram","non-dropping-particle":"","parse-names":false,"suffix":""}],"container-title":"New England Journal of Medicine","id":"ITEM-1","issue":"2","issued":{"date-parts":[["2021"]]},"page":"117-128","title":"Sotagliflozin in Patients with Diabetes and Recent Worsening Heart Failure","type":"article-journal","volume":"384"},"uris":["http://www.mendeley.com/documents/?uuid=030e8fce-a1da-433b-b9ec-f15938db5475"]}],"mendeley":{"formattedCitation":"(195)","plainTextFormattedCitation":"(195)","previouslyFormattedCitation":"(195)"},"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(195)</w:t>
            </w:r>
            <w:r w:rsidRPr="004661E9">
              <w:rPr>
                <w:rFonts w:ascii="Arial" w:hAnsi="Arial" w:cs="Arial"/>
              </w:rPr>
              <w:fldChar w:fldCharType="end"/>
            </w:r>
          </w:p>
        </w:tc>
        <w:tc>
          <w:tcPr>
            <w:tcW w:w="1530" w:type="dxa"/>
          </w:tcPr>
          <w:p w14:paraId="334004BF" w14:textId="4AB3A232" w:rsidR="001C412B" w:rsidRPr="004661E9" w:rsidRDefault="001C412B" w:rsidP="004661E9">
            <w:pPr>
              <w:spacing w:line="276" w:lineRule="auto"/>
              <w:rPr>
                <w:rFonts w:ascii="Arial" w:hAnsi="Arial" w:cs="Arial"/>
              </w:rPr>
            </w:pPr>
            <w:r w:rsidRPr="004661E9">
              <w:rPr>
                <w:rFonts w:ascii="Arial" w:hAnsi="Arial" w:cs="Arial"/>
              </w:rPr>
              <w:t>2021</w:t>
            </w:r>
          </w:p>
        </w:tc>
        <w:tc>
          <w:tcPr>
            <w:tcW w:w="1890" w:type="dxa"/>
          </w:tcPr>
          <w:p w14:paraId="3A02D686" w14:textId="76ACA449" w:rsidR="001C412B" w:rsidRPr="004661E9" w:rsidRDefault="001C412B" w:rsidP="004661E9">
            <w:pPr>
              <w:spacing w:line="276" w:lineRule="auto"/>
              <w:rPr>
                <w:rFonts w:ascii="Arial" w:hAnsi="Arial" w:cs="Arial"/>
              </w:rPr>
            </w:pPr>
            <w:r w:rsidRPr="004661E9">
              <w:rPr>
                <w:rFonts w:ascii="Arial" w:hAnsi="Arial" w:cs="Arial"/>
              </w:rPr>
              <w:t>Recently hospitalized HF (All LVEF groups)</w:t>
            </w:r>
          </w:p>
        </w:tc>
        <w:tc>
          <w:tcPr>
            <w:tcW w:w="1080" w:type="dxa"/>
          </w:tcPr>
          <w:p w14:paraId="19ECA2EE" w14:textId="3F639B14" w:rsidR="001C412B" w:rsidRPr="004661E9" w:rsidRDefault="001C412B" w:rsidP="004661E9">
            <w:pPr>
              <w:spacing w:line="276" w:lineRule="auto"/>
              <w:rPr>
                <w:rFonts w:ascii="Arial" w:hAnsi="Arial" w:cs="Arial"/>
              </w:rPr>
            </w:pPr>
            <w:r w:rsidRPr="004661E9">
              <w:rPr>
                <w:rFonts w:ascii="Arial" w:hAnsi="Arial" w:cs="Arial"/>
              </w:rPr>
              <w:t>100%</w:t>
            </w:r>
          </w:p>
        </w:tc>
        <w:tc>
          <w:tcPr>
            <w:tcW w:w="1350" w:type="dxa"/>
          </w:tcPr>
          <w:p w14:paraId="26334C8B" w14:textId="5EAE829B" w:rsidR="001C412B" w:rsidRPr="004661E9" w:rsidRDefault="001C412B" w:rsidP="004661E9">
            <w:pPr>
              <w:spacing w:line="276" w:lineRule="auto"/>
              <w:rPr>
                <w:rFonts w:ascii="Arial" w:hAnsi="Arial" w:cs="Arial"/>
              </w:rPr>
            </w:pPr>
            <w:r w:rsidRPr="004661E9">
              <w:rPr>
                <w:rFonts w:ascii="Arial" w:hAnsi="Arial" w:cs="Arial"/>
              </w:rPr>
              <w:t>9 months</w:t>
            </w:r>
          </w:p>
        </w:tc>
        <w:tc>
          <w:tcPr>
            <w:tcW w:w="1630" w:type="dxa"/>
          </w:tcPr>
          <w:p w14:paraId="70887D32" w14:textId="77777777" w:rsidR="001C412B" w:rsidRPr="004661E9" w:rsidRDefault="001C412B" w:rsidP="004661E9">
            <w:pPr>
              <w:spacing w:line="276" w:lineRule="auto"/>
              <w:rPr>
                <w:rFonts w:ascii="Arial" w:hAnsi="Arial" w:cs="Arial"/>
              </w:rPr>
            </w:pPr>
            <w:r w:rsidRPr="004661E9">
              <w:rPr>
                <w:rFonts w:ascii="Arial" w:hAnsi="Arial" w:cs="Arial"/>
              </w:rPr>
              <w:t>0.67</w:t>
            </w:r>
          </w:p>
          <w:p w14:paraId="190C404C" w14:textId="24FCE9FB" w:rsidR="001C412B" w:rsidRPr="004661E9" w:rsidRDefault="001C412B" w:rsidP="004661E9">
            <w:pPr>
              <w:spacing w:line="276" w:lineRule="auto"/>
              <w:rPr>
                <w:rFonts w:ascii="Arial" w:hAnsi="Arial" w:cs="Arial"/>
              </w:rPr>
            </w:pPr>
            <w:r w:rsidRPr="004661E9">
              <w:rPr>
                <w:rFonts w:ascii="Arial" w:hAnsi="Arial" w:cs="Arial"/>
              </w:rPr>
              <w:t>(0.52 – 0.85)</w:t>
            </w:r>
          </w:p>
        </w:tc>
      </w:tr>
    </w:tbl>
    <w:p w14:paraId="168DD184" w14:textId="047DA0E1" w:rsidR="001C412B" w:rsidRPr="004661E9" w:rsidRDefault="001C412B" w:rsidP="004661E9">
      <w:pPr>
        <w:spacing w:after="0" w:line="276" w:lineRule="auto"/>
        <w:rPr>
          <w:rFonts w:ascii="Arial" w:hAnsi="Arial" w:cs="Arial"/>
        </w:rPr>
      </w:pPr>
      <w:r w:rsidRPr="004661E9">
        <w:rPr>
          <w:rFonts w:ascii="Arial" w:hAnsi="Arial" w:cs="Arial"/>
        </w:rPr>
        <w:t xml:space="preserve">*Primary outcome was a composite of cardiovascular death or hospitalization for HF. </w:t>
      </w:r>
    </w:p>
    <w:p w14:paraId="7B69BD55" w14:textId="64C0C223" w:rsidR="00733B6D" w:rsidRPr="004661E9" w:rsidRDefault="00733B6D" w:rsidP="004661E9">
      <w:pPr>
        <w:spacing w:after="0" w:line="276" w:lineRule="auto"/>
        <w:rPr>
          <w:rFonts w:ascii="Arial" w:eastAsiaTheme="minorEastAsia" w:hAnsi="Arial" w:cs="Arial"/>
        </w:rPr>
      </w:pPr>
    </w:p>
    <w:p w14:paraId="2291731F" w14:textId="5ECF0EFB" w:rsidR="000E7904" w:rsidRPr="004661E9" w:rsidRDefault="000E7904" w:rsidP="004661E9">
      <w:pPr>
        <w:spacing w:after="0" w:line="276" w:lineRule="auto"/>
        <w:rPr>
          <w:rFonts w:ascii="Arial" w:eastAsiaTheme="minorEastAsia" w:hAnsi="Arial" w:cs="Arial"/>
          <w:b/>
          <w:bCs/>
          <w:color w:val="00B050"/>
        </w:rPr>
      </w:pPr>
      <w:r w:rsidRPr="004661E9">
        <w:rPr>
          <w:rFonts w:ascii="Arial" w:eastAsiaTheme="minorEastAsia" w:hAnsi="Arial" w:cs="Arial"/>
          <w:b/>
          <w:bCs/>
          <w:color w:val="00B050"/>
        </w:rPr>
        <w:t>Device Therapies for HFrEF</w:t>
      </w:r>
    </w:p>
    <w:p w14:paraId="35A1277E" w14:textId="77777777" w:rsidR="00CF5776" w:rsidRPr="004661E9" w:rsidRDefault="00CF5776" w:rsidP="004661E9">
      <w:pPr>
        <w:spacing w:after="0" w:line="276" w:lineRule="auto"/>
        <w:rPr>
          <w:rFonts w:ascii="Arial" w:hAnsi="Arial" w:cs="Arial"/>
        </w:rPr>
      </w:pPr>
    </w:p>
    <w:p w14:paraId="40FA2EE0" w14:textId="51856E16" w:rsidR="000E7904" w:rsidRPr="004661E9" w:rsidRDefault="007351C7" w:rsidP="004661E9">
      <w:pPr>
        <w:spacing w:after="0" w:line="276" w:lineRule="auto"/>
        <w:rPr>
          <w:rFonts w:ascii="Arial" w:hAnsi="Arial" w:cs="Arial"/>
        </w:rPr>
      </w:pPr>
      <w:r w:rsidRPr="004661E9">
        <w:rPr>
          <w:rFonts w:ascii="Arial" w:hAnsi="Arial" w:cs="Arial"/>
        </w:rPr>
        <w:t>I</w:t>
      </w:r>
      <w:r w:rsidR="000E7904" w:rsidRPr="004661E9">
        <w:rPr>
          <w:rFonts w:ascii="Arial" w:hAnsi="Arial" w:cs="Arial"/>
        </w:rPr>
        <w:t>mplantable cardioverter</w:t>
      </w:r>
      <w:r w:rsidR="00D327DF" w:rsidRPr="004661E9">
        <w:rPr>
          <w:rFonts w:ascii="Arial" w:hAnsi="Arial" w:cs="Arial"/>
        </w:rPr>
        <w:t>-</w:t>
      </w:r>
      <w:r w:rsidR="000E7904" w:rsidRPr="004661E9">
        <w:rPr>
          <w:rFonts w:ascii="Arial" w:hAnsi="Arial" w:cs="Arial"/>
        </w:rPr>
        <w:t>defibrillator (ICD) is strongly recommended (Class I) for primary prevention of sudden cardiac death in patients with symptomatic HFrEF who ha</w:t>
      </w:r>
      <w:r w:rsidR="006B425D" w:rsidRPr="004661E9">
        <w:rPr>
          <w:rFonts w:ascii="Arial" w:hAnsi="Arial" w:cs="Arial"/>
        </w:rPr>
        <w:t>ve</w:t>
      </w:r>
      <w:r w:rsidR="000E7904" w:rsidRPr="004661E9">
        <w:rPr>
          <w:rFonts w:ascii="Arial" w:hAnsi="Arial" w:cs="Arial"/>
        </w:rPr>
        <w:t xml:space="preserve"> an LVEF ≤35% despite guideline</w:t>
      </w:r>
      <w:r w:rsidR="006C3EBB" w:rsidRPr="004661E9">
        <w:rPr>
          <w:rFonts w:ascii="Arial" w:hAnsi="Arial" w:cs="Arial"/>
        </w:rPr>
        <w:t>-</w:t>
      </w:r>
      <w:r w:rsidR="000E7904" w:rsidRPr="004661E9">
        <w:rPr>
          <w:rFonts w:ascii="Arial" w:hAnsi="Arial" w:cs="Arial"/>
        </w:rPr>
        <w:t>directed medical therapy for &gt;3 months</w:t>
      </w:r>
      <w:r w:rsidR="00340849" w:rsidRPr="004661E9">
        <w:rPr>
          <w:rFonts w:ascii="Arial" w:hAnsi="Arial" w:cs="Arial"/>
        </w:rPr>
        <w:t xml:space="preserve"> </w:t>
      </w:r>
      <w:r w:rsidR="00670E24" w:rsidRPr="004661E9">
        <w:rPr>
          <w:rFonts w:ascii="Arial" w:hAnsi="Arial" w:cs="Arial"/>
        </w:rPr>
        <w:fldChar w:fldCharType="begin" w:fldLock="1"/>
      </w:r>
      <w:r w:rsidR="000962ED"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id":"ITEM-2","itemData":{"DOI":"10.1093/EURHEARTJ/EHAB368","ISSN":"0195-668X","PMID":"34447992","author":[{"dropping-particle":"","family":"McDonagh","given":"Theresa A.","non-dropping-particle":"","parse-names":false,"suffix":""},{"dropping-particle":"","family":"Metra","given":"Marco","non-dropping-particle":"","parse-names":false,"suffix":""},{"dropping-particle":"","family":"Adamo","given":"Marianna","non-dropping-particle":"","parse-names":false,"suffix":""},{"dropping-particle":"","family":"Baumbach","given":"Andreas","non-dropping-particle":"","parse-names":false,"suffix":""},{"dropping-particle":"","family":"Böhm","given":"Michael","non-dropping-particle":"","parse-names":false,"suffix":""},{"dropping-particle":"","family":"Burri","given":"Haran","non-dropping-particle":"","parse-names":false,"suffix":""},{"dropping-particle":"","family":"Čelutkiene","given":"Jelena","non-dropping-particle":"","parse-names":false,"suffix":""},{"dropping-particle":"","family":"Chioncel","given":"Ovidiu","non-dropping-particle":"","parse-names":false,"suffix":""},{"dropping-particle":"","family":"Cleland","given":"John G.F.","non-dropping-particle":"","parse-names":false,"suffix":""},{"dropping-particle":"","family":"Coats","given":"Andrew J.S.","non-dropping-particle":"","parse-names":false,"suffix":""},{"dropping-particle":"","family":"Crespo-Leiro","given":"Maria G.","non-dropping-particle":"","parse-names":false,"suffix":""},{"dropping-particle":"","family":"Farmakis","given":"Dimitrios","non-dropping-particle":"","parse-names":false,"suffix":""},{"dropping-particle":"","family":"Gardner","given":"Roy S.","non-dropping-particle":"","parse-names":false,"suffix":""},{"dropping-particle":"","family":"Gilard","given":"Martine","non-dropping-particle":"","parse-names":false,"suffix":""},{"dropping-particle":"","family":"Heymans","given":"Stephane","non-dropping-particle":"","parse-names":false,"suffix":""},{"dropping-particle":"","family":"Hoes","given":"Arno W.","non-dropping-particle":"","parse-names":false,"suffix":""},{"dropping-particle":"","family":"Jaarsma","given":"Tiny","non-dropping-particle":"","parse-names":false,"suffix":""},{"dropping-particle":"","family":"Jankowska","given":"Ewa A.","non-dropping-particle":"","parse-names":false,"suffix":""},{"dropping-particle":"","family":"Lainscak","given":"Mitja","non-dropping-particle":"","parse-names":false,"suffix":""},{"dropping-particle":"","family":"Lam","given":"Carolyn S.P.","non-dropping-particle":"","parse-names":false,"suffix":""},{"dropping-particle":"","family":"Lyon","given":"Alexander R.","non-dropping-particle":"","parse-names":false,"suffix":""},{"dropping-particle":"","family":"McMurray","given":"John J.V.","non-dropping-particle":"","parse-names":false,"suffix":""},{"dropping-particle":"","family":"Mebazaa","given":"Alexandre","non-dropping-particle":"","parse-names":false,"suffix":""},{"dropping-particle":"","family":"Mindham","given":"Richard","non-dropping-particle":"","parse-names":false,"suffix":""},{"dropping-particle":"","family":"Muneretto","given":"Claudio","non-dropping-particle":"","parse-names":false,"suffix":""},{"dropping-particle":"","family":"Piepoli","given":"Massimo Francesco","non-dropping-particle":"","parse-names":false,"suffix":""},{"dropping-particle":"","family":"Price","given":"Susanna","non-dropping-particle":"","parse-names":false,"suffix":""},{"dropping-particle":"","family":"Rosano","given":"Giuseppe M.C.","non-dropping-particle":"","parse-names":false,"suffix":""},{"dropping-particle":"","family":"Ruschitzka","given":"Frank","non-dropping-particle":"","parse-names":false,"suffix":""},{"dropping-particle":"","family":"Skibelund","given":"Anne Kathrine","non-dropping-particle":"","parse-names":false,"suffix":""},{"dropping-particle":"","family":"Boer","given":"Rudolf A.","non-dropping-particle":"de","parse-names":false,"suffix":""},{"dropping-particle":"","family":"Schulze","given":"P. Christian","non-dropping-particle":"","parse-names":false,"suffix":""},{"dropping-particle":"","family":"Abdelhamid","given":"Magdy","non-dropping-particle":"","parse-names":false,"suffix":""},{"dropping-particle":"","family":"Aboyans","given":"Victor","non-dropping-particle":"","parse-names":false,"suffix":""},{"dropping-particle":"","family":"Adamopoulos","given":"Stamatis","non-dropping-particle":"","parse-names":false,"suffix":""},{"dropping-particle":"","family":"Anker","given":"Stefan D.","non-dropping-particle":"","parse-names":false,"suffix":""},{"dropping-particle":"","family":"Arbelo","given":"Elena","non-dropping-particle":"","parse-names":false,"suffix":""},{"dropping-particle":"","family":"Asteggiano","given":"Riccardo","non-dropping-particle":"","parse-names":false,"suffix":""},{"dropping-particle":"","family":"Bauersachs","given":"Johann","non-dropping-particle":"","parse-names":false,"suffix":""},{"dropping-particle":"","family":"Bayes-Genis","given":"Antoni","non-dropping-particle":"","parse-names":false,"suffix":""},{"dropping-particle":"","family":"Borger","given":"Michael A.","non-dropping-particle":"","parse-names":false,"suffix":""},{"dropping-particle":"","family":"Budts","given":"Werner","non-dropping-particle":"","parse-names":false,"suffix":""},{"dropping-particle":"","family":"Cikes","given":"Maja","non-dropping-particle":"","parse-names":false,"suffix":""},{"dropping-particle":"","family":"Damman","given":"Kevin","non-dropping-particle":"","parse-names":false,"suffix":""},{"dropping-particle":"","family":"Delgado","given":"Victoria","non-dropping-particle":"","parse-names":false,"suffix":""},{"dropping-particle":"","family":"Dendale","given":"Paul","non-dropping-particle":"","parse-names":false,"suffix":""},{"dropping-particle":"","family":"Dilaveris","given":"Polychronis","non-dropping-particle":"","parse-names":false,"suffix":""},{"dropping-particle":"","family":"Drexel","given":"Heinz","non-dropping-particle":"","parse-names":false,"suffix":""},{"dropping-particle":"","family":"Ezekowitz","given":"Justin","non-dropping-particle":"","parse-names":false,"suffix":""},{"dropping-particle":"","family":"Falk","given":"Volkmar","non-dropping-particle":"","parse-names":false,"suffix":""},{"dropping-particle":"","family":"Fauchier","given":"Laurent","non-dropping-particle":"","parse-names":false,"suffix":""},{"dropping-particle":"","family":"Filippatos","given":"Gerasimos","non-dropping-particle":"","parse-names":false,"suffix":""},{"dropping-particle":"","family":"Fraser","given":"Alan","non-dropping-particle":"","parse-names":false,"suffix":""},{"dropping-particle":"","family":"Frey","given":"Norbert","non-dropping-particle":"","parse-names":false,"suffix":""},{"dropping-particle":"","family":"Gale","given":"Chris P.","non-dropping-particle":"","parse-names":false,"suffix":""},{"dropping-particle":"","family":"Gustafsson","given":"Finn","non-dropping-particle":"","parse-names":false,"suffix":""},{"dropping-particle":"","family":"Harris","given":"Julie","non-dropping-particle":"","parse-names":false,"suffix":""},{"dropping-particle":"","family":"Iung","given":"Bernard","non-dropping-particle":"","parse-names":false,"suffix":""},{"dropping-particle":"","family":"Janssens","given":"Stefan","non-dropping-particle":"","parse-names":false,"suffix":""},{"dropping-particle":"","family":"Jessup","given":"Mariell","non-dropping-particle":"","parse-names":false,"suffix":""},{"dropping-particle":"","family":"Konradi","given":"Aleksandra","non-dropping-particle":"","parse-names":false,"suffix":""},{"dropping-particle":"","family":"Kotecha","given":"Dipak","non-dropping-particle":"","parse-names":false,"suffix":""},{"dropping-particle":"","family":"Lambrinou","given":"Ekatirini","non-dropping-particle":"","parse-names":false,"suffix":""},{"dropping-particle":"","family":"Lancellotti","given":"Patrizio","non-dropping-particle":"","parse-names":false,"suffix":""},{"dropping-particle":"","family":"Landmesser","given":"Ulf","non-dropping-particle":"","parse-names":false,"suffix":""},{"dropping-particle":"","family":"Leclercq","given":"Christophe","non-dropping-particle":"","parse-names":false,"suffix":""},{"dropping-particle":"","family":"Lewis","given":"Basil S.","non-dropping-particle":"","parse-names":false,"suffix":""},{"dropping-particle":"","family":"Leyva","given":"Francisco","non-dropping-particle":"","parse-names":false,"suffix":""},{"dropping-particle":"","family":"Linhart","given":"Aleš","non-dropping-particle":"","parse-names":false,"suffix":""},{"dropping-particle":"","family":"Løchen","given":"Maja Lisa","non-dropping-particle":"","parse-names":false,"suffix":""},{"dropping-particle":"","family":"Lund","given":"Lars H.","non-dropping-particle":"","parse-names":false,"suffix":""},{"dropping-particle":"","family":"Mancini","given":"Donna","non-dropping-particle":"","parse-names":false,"suffix":""},{"dropping-particle":"","family":"Masip","given":"Josep","non-dropping-particle":"","parse-names":false,"suffix":""},{"dropping-particle":"","family":"Milicic","given":"Davor","non-dropping-particle":"","parse-names":false,"suffix":""},{"dropping-particle":"","family":"Mueller","given":"Christian","non-dropping-particle":"","parse-names":false,"suffix":""},{"dropping-particle":"","family":"Nef","given":"Holger","non-dropping-particle":"","parse-names":false,"suffix":""},{"dropping-particle":"","family":"Nielsen","given":"Jens Cosedis","non-dropping-particle":"","parse-names":false,"suffix":""},{"dropping-particle":"","family":"Neubeck","given":"Lis","non-dropping-particle":"","parse-names":false,"suffix":""},{"dropping-particle":"","family":"Noutsias","given":"Michel","non-dropping-particle":"","parse-names":false,"suffix":""},{"dropping-particle":"","family":"Petersen","given":"Steffen E.","non-dropping-particle":"","parse-names":false,"suffix":""},{"dropping-particle":"","family":"Petronio","given":"Anna Sonia","non-dropping-particle":"","parse-names":false,"suffix":""},{"dropping-particle":"","family":"Ponikowski","given":"Piotr","non-dropping-particle":"","parse-names":false,"suffix":""},{"dropping-particle":"","family":"Prescott","given":"Eva","non-dropping-particle":"","parse-names":false,"suffix":""},{"dropping-particle":"","family":"Rakisheva","given":"Amina","non-dropping-particle":"","parse-names":false,"suffix":""},{"dropping-particle":"","family":"Richter","given":"Dimitrios","non-dropping-particle":"","parse-names":false,"suffix":""},{"dropping-particle":"","family":"Schlyakhto","given":"Evgeny","non-dropping-particle":"","parse-names":false,"suffix":""},{"dropping-particle":"","family":"Seferovic","given":"Petar","non-dropping-particle":"","parse-names":false,"suffix":""},{"dropping-particle":"","family":"Senni","given":"Michele","non-dropping-particle":"","parse-names":false,"suffix":""},{"dropping-particle":"","family":"Sitges","given":"Marta","non-dropping-particle":"","parse-names":false,"suffix":""},{"dropping-particle":"","family":"Sousa-Uva","given":"Miguel","non-dropping-particle":"","parse-names":false,"suffix":""},{"dropping-particle":"","family":"Tocchetti","given":"Carlo Gabriele","non-dropping-particle":"","parse-names":false,"suffix":""},{"dropping-particle":"","family":"Touyz","given":"Rhian","non-dropping-particle":"","parse-names":false,"suffix":""},{"dropping-particle":"","family":"Tschoepe","given":"Carsten","non-dropping-particle":"","parse-names":false,"suffix":""},{"dropping-particle":"","family":"Waltenberger","given":"Johannes","non-dropping-particle":"","parse-names":false,"suffix":""},{"dropping-particle":"","family":"Krim","given":"Messaad","non-dropping-particle":"","parse-names":false,"suffix":""},{"dropping-particle":"","family":"Hayrapetyan","given":"Hamlet","non-dropping-particle":"","parse-names":false,"suffix":""},{"dropping-particle":"","family":"Moertl","given":"Deddo","non-dropping-particle":"","parse-names":false,"suffix":""},{"dropping-particle":"","family":"Mustafayev","given":"Isakh","non-dropping-particle":"","parse-names":false,"suffix":""},{"dropping-particle":"","family":"Kurlianskaya","given":"Alena","non-dropping-particle":"","parse-names":false,"suffix":""},{"dropping-particle":"","family":"Depauw","given":"Michel","non-dropping-particle":"","parse-names":false,"suffix":""},{"dropping-particle":"","family":"Kušljugić","given":"Zumreta","non-dropping-particle":"","parse-names":false,"suffix":""},{"dropping-particle":"","family":"Gatzov","given":"Plamen","non-dropping-particle":"","parse-names":false,"suffix":""},{"dropping-particle":"","family":"Agathangelou","given":"Petros","non-dropping-particle":"","parse-names":false,"suffix":""},{"dropping-particle":"","family":"Melenovský","given":"Vojtěch","non-dropping-particle":"","parse-names":false,"suffix":""},{"dropping-particle":"","family":"Løgstrup","given":"Brian Bridal","non-dropping-particle":"","parse-names":false,"suffix":""},{"dropping-particle":"","family":"Mostafa","given":"Ahmed Magdy","non-dropping-particle":"","parse-names":false,"suffix":""},{"dropping-particle":"","family":"Uuetoa","given":"Tiina","non-dropping-particle":"","parse-names":false,"suffix":""},{"dropping-particle":"","family":"Lassus","given":"Johan","non-dropping-particle":"","parse-names":false,"suffix":""},{"dropping-particle":"","family":"Logeart","given":"Damien","non-dropping-particle":"","parse-names":false,"suffix":""},{"dropping-particle":"","family":"Kipiani","given":"Zviad","non-dropping-particle":"","parse-names":false,"suffix":""},{"dropping-particle":"","family":"Chrysohoou","given":"Christina","non-dropping-particle":"","parse-names":false,"suffix":""},{"dropping-particle":"","family":"Sepp","given":"Róbert","non-dropping-particle":"","parse-names":false,"suffix":""},{"dropping-particle":"","family":"Ingimarsdóttir","given":"Inga Jóna","non-dropping-particle":"","parse-names":false,"suffix":""},{"dropping-particle":"","family":"O’Neill","given":"Jim","non-dropping-particle":"","parse-names":false,"suffix":""},{"dropping-particle":"","family":"Gotsman","given":"Israel","non-dropping-particle":"","parse-names":false,"suffix":""},{"dropping-particle":"","family":"Iacoviello","given":"Massimo","non-dropping-particle":"","parse-names":false,"suffix":""},{"dropping-particle":"","family":"Bajraktari","given":"Gani","non-dropping-particle":"","parse-names":false,"suffix":""},{"dropping-particle":"","family":"Lunegova","given":"Olga","non-dropping-particle":"","parse-names":false,"suffix":""},{"dropping-particle":"","family":"Kamzola","given":"Ginta","non-dropping-particle":"","parse-names":false,"suffix":""},{"dropping-particle":"","family":"Massih","given":"Tony Abdel","non-dropping-particle":"","parse-names":false,"suffix":""},{"dropping-particle":"","family":"Benlamin","given":"Hisham","non-dropping-particle":"","parse-names":false,"suffix":""},{"dropping-particle":"","family":"Žaliaduonyte","given":"Diana","non-dropping-particle":"","parse-names":false,"suffix":""},{"dropping-particle":"","family":"Noppe","given":"Stephanie","non-dropping-particle":"","parse-names":false,"suffix":""},{"dropping-particle":"","family":"Moore","given":"Alice","non-dropping-particle":"","parse-names":false,"suffix":""},{"dropping-particle":"","family":"Vataman","given":"Eleonora","non-dropping-particle":"","parse-names":false,"suffix":""},{"dropping-particle":"","family":"Boskovic","given":"Aneta","non-dropping-particle":"","parse-names":false,"suffix":""},{"dropping-particle":"","family":"Bennis","given":"Ahmed","non-dropping-particle":"","parse-names":false,"suffix":""},{"dropping-particle":"","family":"Manintveld","given":"Olivier C.","non-dropping-particle":"","parse-names":false,"suffix":""},{"dropping-particle":"","family":"Kostovska","given":"Elizabeta Srbinovska","non-dropping-particle":"","parse-names":false,"suffix":""},{"dropping-particle":"","family":"Gulati","given":"Geeta","non-dropping-particle":"","parse-names":false,"suffix":""},{"dropping-particle":"","family":"Straburzyńska-Migaj","given":"Ewa","non-dropping-particle":"","parse-names":false,"suffix":""},{"dropping-particle":"","family":"Silva-Cardoso","given":"José","non-dropping-particle":"","parse-names":false,"suffix":""},{"dropping-particle":"","family":"Rimbaş","given":"Roxana Cristina","non-dropping-particle":"","parse-names":false,"suffix":""},{"dropping-particle":"","family":"Lopatin","given":"Yury","non-dropping-particle":"","parse-names":false,"suffix":""},{"dropping-particle":"","family":"Foscoli","given":"Marina","non-dropping-particle":"","parse-names":false,"suffix":""},{"dropping-particle":"","family":"Stojkovic","given":"Sinisa","non-dropping-particle":"","parse-names":false,"suffix":""},{"dropping-particle":"","family":"Goncalvesova","given":"Eva","non-dropping-particle":"","parse-names":false,"suffix":""},{"dropping-particle":"","family":"Fras","given":"Zlatko","non-dropping-particle":"","parse-names":false,"suffix":""},{"dropping-particle":"","family":"Segovia","given":"Javier","non-dropping-particle":"","parse-names":false,"suffix":""},{"dropping-particle":"","family":"Lindmark","given":"Krister","non-dropping-particle":"","parse-names":false,"suffix":""},{"dropping-particle":"","family":"Maeder","given":"Micha T.","non-dropping-particle":"","parse-names":false,"suffix":""},{"dropping-particle":"","family":"Bsata","given":"Walid","non-dropping-particle":"","parse-names":false,"suffix":""},{"dropping-particle":"","family":"Abid","given":"Leila","non-dropping-particle":"","parse-names":false,"suffix":""},{"dropping-particle":"","family":"Altay","given":"Hakan","non-dropping-particle":"","parse-names":false,"suffix":""},{"dropping-particle":"","family":"Voronkov","given":"Leonid","non-dropping-particle":"","parse-names":false,"suffix":""},{"dropping-particle":"","family":"Davies","given":"Ceri","non-dropping-particle":"","parse-names":false,"suffix":""},{"dropping-particle":"","family":"Abdullaev","given":"Timur","non-dropping-particle":"","parse-names":false,"suffix":""},{"dropping-particle":"","family":"Baigent","given":"Colin N.","non-dropping-particle":"","parse-names":false,"suffix":""},{"dropping-particle":"","family":"Antoniou","given":"Sotiris","non-dropping-particle":"","parse-names":false,"suffix":""},{"dropping-particle":"","family":"Collet","given":"Jean Philippe","non-dropping-particle":"","parse-names":false,"suffix":""},{"dropping-particle":"","family":"Halvorsen","given":"Sigrun","non-dropping-particle":"","parse-names":false,"suffix":""},{"dropping-particle":"","family":"Koskinas","given":"Konstantinos C.","non-dropping-particle":"","parse-names":false,"suffix":""}],"container-title":"European Heart Journal","id":"ITEM-2","issue":"36","issued":{"date-parts":[["2021","9","21"]]},"page":"3599-3726","publisher":"Oxford University Press, Gb","title":"2021 ESC Guidelines for the diagnosis and treatment of acute and chronic heart  failure.","type":"article-journal","volume":"42"},"uris":["http://www.mendeley.com/documents/?uuid=2cc1c7ef-2814-493f-9f64-867c45458bfb"]}],"mendeley":{"formattedCitation":"(3,18)","plainTextFormattedCitation":"(3,18)","previouslyFormattedCitation":"(3,18)"},"properties":{"noteIndex":0},"schema":"https://github.com/citation-style-language/schema/raw/master/csl-citation.json"}</w:instrText>
      </w:r>
      <w:r w:rsidR="00670E24" w:rsidRPr="004661E9">
        <w:rPr>
          <w:rFonts w:ascii="Arial" w:hAnsi="Arial" w:cs="Arial"/>
        </w:rPr>
        <w:fldChar w:fldCharType="separate"/>
      </w:r>
      <w:r w:rsidR="000962ED" w:rsidRPr="004661E9">
        <w:rPr>
          <w:rFonts w:ascii="Arial" w:hAnsi="Arial" w:cs="Arial"/>
          <w:noProof/>
        </w:rPr>
        <w:t>(3,18)</w:t>
      </w:r>
      <w:r w:rsidR="00670E24" w:rsidRPr="004661E9">
        <w:rPr>
          <w:rFonts w:ascii="Arial" w:hAnsi="Arial" w:cs="Arial"/>
        </w:rPr>
        <w:fldChar w:fldCharType="end"/>
      </w:r>
      <w:r w:rsidR="00CF5776" w:rsidRPr="004661E9">
        <w:rPr>
          <w:rFonts w:ascii="Arial" w:hAnsi="Arial" w:cs="Arial"/>
        </w:rPr>
        <w:t>.</w:t>
      </w:r>
      <w:r w:rsidR="002F7C09" w:rsidRPr="004661E9">
        <w:rPr>
          <w:rFonts w:ascii="Arial" w:hAnsi="Arial" w:cs="Arial"/>
        </w:rPr>
        <w:t xml:space="preserve"> </w:t>
      </w:r>
      <w:r w:rsidR="00B2480A" w:rsidRPr="004661E9">
        <w:rPr>
          <w:rFonts w:ascii="Arial" w:hAnsi="Arial" w:cs="Arial"/>
        </w:rPr>
        <w:t xml:space="preserve">HFrEF patients with diabetes carry a significantly higher risk of sudden cardiac death </w:t>
      </w:r>
      <w:r w:rsidR="006C2ECE" w:rsidRPr="004661E9">
        <w:rPr>
          <w:rFonts w:ascii="Arial" w:hAnsi="Arial" w:cs="Arial"/>
        </w:rPr>
        <w:t>than</w:t>
      </w:r>
      <w:r w:rsidR="00B2480A" w:rsidRPr="004661E9">
        <w:rPr>
          <w:rFonts w:ascii="Arial" w:hAnsi="Arial" w:cs="Arial"/>
        </w:rPr>
        <w:t xml:space="preserve"> those without diabetes</w:t>
      </w:r>
      <w:r w:rsidR="00CF5776" w:rsidRPr="004661E9">
        <w:rPr>
          <w:rFonts w:ascii="Arial" w:hAnsi="Arial" w:cs="Arial"/>
        </w:rPr>
        <w:t xml:space="preserve"> </w:t>
      </w:r>
      <w:r w:rsidR="000F3AD7" w:rsidRPr="004661E9">
        <w:rPr>
          <w:rFonts w:ascii="Arial" w:hAnsi="Arial" w:cs="Arial"/>
        </w:rPr>
        <w:lastRenderedPageBreak/>
        <w:fldChar w:fldCharType="begin" w:fldLock="1"/>
      </w:r>
      <w:r w:rsidR="00E156CB" w:rsidRPr="004661E9">
        <w:rPr>
          <w:rFonts w:ascii="Arial" w:hAnsi="Arial" w:cs="Arial"/>
        </w:rPr>
        <w:instrText>ADDIN CSL_CITATION {"citationItems":[{"id":"ITEM-1","itemData":{"DOI":"10.1093/eurheartj/ehn153","ISSN":"1522-9645","PMID":"18413309","abstract":"AIMS To determine whether the risk of adverse cardiovascular (CV) outcomes associated with diabetes differs in patients with low and preserved ejection fraction (EF) heart failure (HF). METHODS AND RESULTS We analysed outcomes in the Candesartan in Heart failure-Assessment of Reduction in Mortality and morbidity (CHARM) programme which randomized 7599 patients with symptomatic HF and a broad range of EF. The prevalence of diabetes was 28.3% in patients with preserved EF (&gt;40%) and 28.5% in those with low EF (&lt;or=40%). Diabetes was associated with a greater relative risk of CV death or HF hospitalization in patients with preserved EF [hazard ratio (HR) 2.0 (1.70-2.36)] than in patients with low EF [HR 1.60 (1.44-1.77); interaction test P = 0.0009]. For all-cause mortality, the risk conferred by diabetes was similar in both low and preserved EF groups. The effect of candesartan in reducing CV morbidity and mortality outcomes was not modified by having diabetes at baseline (P = 0.09 test for interaction). CONCLUSION Diabetes was an independent predictor of CV morbidity and mortality in patients with HF, regardless of EF. The relative risk of CV death or HF hospitalization conferred by diabetes was significantly greater in patients with preserved when compared with those with low EF HF.","author":[{"dropping-particle":"","family":"MacDonald","given":"Michael R","non-dropping-particle":"","parse-names":false,"suffix":""},{"dropping-particle":"","family":"Petrie","given":"Mark C","non-dropping-particle":"","parse-names":false,"suffix":""},{"dropping-particle":"","family":"Varyani","given":"Fumi","non-dropping-particle":"","parse-names":false,"suffix":""},{"dropping-particle":"","family":"Ostergren","given":"Jan","non-dropping-particle":"","parse-names":false,"suffix":""},{"dropping-particle":"","family":"Michelson","given":"Eric L","non-dropping-particle":"","parse-names":false,"suffix":""},{"dropping-particle":"","family":"Young","given":"James B","non-dropping-particle":"","parse-names":false,"suffix":""},{"dropping-particle":"","family":"Solomon","given":"Scott D","non-dropping-particle":"","parse-names":false,"suffix":""},{"dropping-particle":"","family":"Granger","given":"Christopher B","non-dropping-particle":"","parse-names":false,"suffix":""},{"dropping-particle":"","family":"Swedberg","given":"Karl","non-dropping-particle":"","parse-names":false,"suffix":""},{"dropping-particle":"","family":"Yusuf","given":"Salim","non-dropping-particle":"","parse-names":false,"suffix":""},{"dropping-particle":"","family":"Pfeffer","given":"Marc A","non-dropping-particle":"","parse-names":false,"suffix":""},{"dropping-particle":"V","family":"McMurray","given":"John J","non-dropping-particle":"","parse-names":false,"suffix":""},{"dropping-particle":"","family":"CHARM Investigators","given":"","non-dropping-particle":"","parse-names":false,"suffix":""}],"container-title":"European heart journal","id":"ITEM-1","issue":"11","issued":{"date-parts":[["2008","6"]]},"page":"1377-85","title":"Impact of diabetes on outcomes in patients with low and preserved ejection fraction heart failure: an analysis of the Candesartan in Heart failure: Assessment of Reduction in Mortality and morbidity (CHARM) programme.","type":"article-journal","volume":"29"},"uris":["http://www.mendeley.com/documents/?uuid=c12044fb-f201-3c42-bb84-94fd8632c617"]}],"mendeley":{"formattedCitation":"(122)","plainTextFormattedCitation":"(122)","previouslyFormattedCitation":"(122)"},"properties":{"noteIndex":0},"schema":"https://github.com/citation-style-language/schema/raw/master/csl-citation.json"}</w:instrText>
      </w:r>
      <w:r w:rsidR="000F3AD7" w:rsidRPr="004661E9">
        <w:rPr>
          <w:rFonts w:ascii="Arial" w:hAnsi="Arial" w:cs="Arial"/>
        </w:rPr>
        <w:fldChar w:fldCharType="separate"/>
      </w:r>
      <w:r w:rsidR="003C01B8" w:rsidRPr="004661E9">
        <w:rPr>
          <w:rFonts w:ascii="Arial" w:hAnsi="Arial" w:cs="Arial"/>
          <w:noProof/>
        </w:rPr>
        <w:t>(122)</w:t>
      </w:r>
      <w:r w:rsidR="000F3AD7" w:rsidRPr="004661E9">
        <w:rPr>
          <w:rFonts w:ascii="Arial" w:hAnsi="Arial" w:cs="Arial"/>
        </w:rPr>
        <w:fldChar w:fldCharType="end"/>
      </w:r>
      <w:r w:rsidR="00CF5776" w:rsidRPr="004661E9">
        <w:rPr>
          <w:rFonts w:ascii="Arial" w:hAnsi="Arial" w:cs="Arial"/>
        </w:rPr>
        <w:t>.</w:t>
      </w:r>
      <w:r w:rsidR="00B2480A" w:rsidRPr="004661E9">
        <w:rPr>
          <w:rFonts w:ascii="Arial" w:hAnsi="Arial" w:cs="Arial"/>
        </w:rPr>
        <w:t xml:space="preserve"> This</w:t>
      </w:r>
      <w:r w:rsidR="006C3EBB" w:rsidRPr="004661E9">
        <w:rPr>
          <w:rFonts w:ascii="Arial" w:hAnsi="Arial" w:cs="Arial"/>
        </w:rPr>
        <w:t xml:space="preserve"> observation</w:t>
      </w:r>
      <w:r w:rsidR="00B2480A" w:rsidRPr="004661E9">
        <w:rPr>
          <w:rFonts w:ascii="Arial" w:hAnsi="Arial" w:cs="Arial"/>
        </w:rPr>
        <w:t xml:space="preserve"> highlights the importance of considering ICD in appropriately selected cases with HFrEF and diabetes. </w:t>
      </w:r>
      <w:r w:rsidR="001942CD" w:rsidRPr="004661E9">
        <w:rPr>
          <w:rFonts w:ascii="Arial" w:hAnsi="Arial" w:cs="Arial"/>
        </w:rPr>
        <w:t>Strong evidence from</w:t>
      </w:r>
      <w:r w:rsidR="00B2480A" w:rsidRPr="004661E9">
        <w:rPr>
          <w:rFonts w:ascii="Arial" w:hAnsi="Arial" w:cs="Arial"/>
        </w:rPr>
        <w:t xml:space="preserve"> major ICD trials </w:t>
      </w:r>
      <w:r w:rsidR="001942CD" w:rsidRPr="004661E9">
        <w:rPr>
          <w:rFonts w:ascii="Arial" w:hAnsi="Arial" w:cs="Arial"/>
        </w:rPr>
        <w:t>ha</w:t>
      </w:r>
      <w:r w:rsidR="00A77502" w:rsidRPr="004661E9">
        <w:rPr>
          <w:rFonts w:ascii="Arial" w:hAnsi="Arial" w:cs="Arial"/>
        </w:rPr>
        <w:t>s</w:t>
      </w:r>
      <w:r w:rsidR="001942CD" w:rsidRPr="004661E9">
        <w:rPr>
          <w:rFonts w:ascii="Arial" w:hAnsi="Arial" w:cs="Arial"/>
        </w:rPr>
        <w:t xml:space="preserve"> confirmed the sudden cardiac death risk reduction benefits of ICDs in individuals with coexisting HFrEF and diabetes</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{"citationItems":[{"id":"ITEM-1","itemData":{"DOI":"10.1056/NEJMoa043399","ISSN":"00284793","PMID":"15659722","abstract":"BACKGROUND: Sudden death from cardiac causes remains a leading cause of death among patients with congestive heart failure (CHF). Treatment with amiodarone or an implantable cardioverter-defibrillator (ICD) has been proposed to improve the prognosis in such patients. METHODS: We randomly assigned 2521 patients with New York Heart Association (NYHA) class II or III CHF and a left ventricular ejection fraction (LVEF) of 35 percent or less to conventional therapy for CHF plus placebo (847 patients), conventional therapy plus amiodarone (845 patients), or conventional therapy plus a conservatively programmed, shock-only, single-lead ICD (829 patients). Placebo and amiodarone were administered in a double-blind fashion. The primary end point was death from any cause. RESULTS: The median LVEF in patients was 25 percent; 70 percent were in NYHA class II, and 30 percent were in class III CHF. The cause of CHF was ischemic in 52 percent and nonischemic in 48 percent. The median follow-up was 45.5 months. There were 244 deaths (29 percent) in the placebo group, 240 (28 percent) in the amiodarone group, and 182 (22 percent) in the ICD group. As compared with placebo, amiodarone was associated with a similar risk of death (hazard ratio, 1.06; 97.5 percent confidence interval, 0.86 to 1.30; P=0.53) and ICD therapy was associated with a decreased risk of death of 23 percent (0.77; 97.5 percent confidence interval, 0.62 to 0.96; P=0.007) and an absolute decrease in mortality of 7.2 percentage points after five years in the overall population. Results did not vary according to either ischemic or nonischemic causes of CHF, but they did vary according to the NYHA class. CONCLUSIONS: In patients with NYHA class II or III CHF and LVEF of 35 percent or less, amiodarone has no favorable effect on survival, whereas single-lead, shock-only ICD therapy reduces overall mortality by 23 percent. Copyright © 2005 Massachusetts Medical Society.","author":[{"dropping-particle":"","family":"Bardy","given":"Gust H.","non-dropping-particle":"","parse-names":false,"suffix":""},{"dropping-particle":"","family":"Lee","given":"Kerry L.","non-dropping-particle":"","parse-names":false,"suffix":""},{"dropping-particle":"","family":"Mark","given":"Daniel B.","non-dropping-particle":"","parse-names":false,"suffix":""},{"dropping-particle":"","family":"Poole","given":"Jeanne E.","non-dropping-particle":"","parse-names":false,"suffix":""},{"dropping-particle":"","family":"Packer","given":"Douglas L.","non-dropping-particle":"","parse-names":false,"suffix":""},{"dropping-particle":"","family":"Boineau","given":"Robin","non-dropping-particle":"","parse-names":false,"suffix":""},{"dropping-particle":"","family":"Domanski","given":"Michael","non-dropping-particle":"","parse-names":false,"suffix":""},{"dropping-particle":"","family":"Troutman","given":"Charles","non-dropping-particle":"","parse-names":false,"suffix":""},{"dropping-particle":"","family":"Anderson","given":"Jill","non-dropping-particle":"","parse-names":false,"suffix":""},{"dropping-particle":"","family":"Johnson","given":"George","non-dropping-particle":"","parse-names":false,"suffix":""},{"dropping-particle":"","family":"McNulty","given":"Steven E.","non-dropping-particle":"","parse-names":false,"suffix":""},{"dropping-particle":"","family":"Clapp-Channing","given":"Nancy","non-dropping-particle":"","parse-names":false,"suffix":""},{"dropping-particle":"","family":"Davidson-Ray","given":"Linda D.","non-dropping-particle":"","parse-names":false,"suffix":""},{"dropping-particle":"","family":"Fraulo","given":"Elizabeth S.","non-dropping-particle":"","parse-names":false,"suffix":""},{"dropping-particle":"","family":"Fishbein","given":"Daniel P.","non-dropping-particle":"","parse-names":false,"suffix":""},{"dropping-particle":"","family":"Luceri","given":"Richard M.","non-dropping-particle":"","parse-names":false,"suffix":""},{"dropping-particle":"","family":"Ip","given":"John H.","non-dropping-particle":"","parse-names":false,"suffix":""}],"container-title":"New England Journal of Medicine","id":"ITEM-1","issue":"3","issued":{"date-parts":[["2005","1","20"]]},"page":"225-237","title":"Amiodarone or an implantable cardioverter-defibrillator for congestive heart failure","type":"article-journal","volume":"352"},"uris":["http://www.mendeley.com/documents/?uuid=9b84b6a2-81be-3c76-8ee5-f93854aad5b3"]},{"id":"ITEM-2","itemData":{"DOI":"10.1016/j.amjcard.2005.03.090","ISSN":"00029149","abstract":"In the second Multicenter Automatic Defibrillator Implantation Trial, patients with a previous myocardial infarction and left ventricular ejection fraction ≤0.30 benefited significantly from prophylactic implantable cardioverter-defibrillator (ICD) placement. Diabetic patients who had a myocardial infarction had a worse prognosis compared with nondiabetics. The present study used data from the second Multicenter Automatic Defibrillator Implantation Trial to assess the efficacy of ICD placement on survival in diabetic patients. Of the 1,232 patients in the second Multicenter Automatic Defibrillator Implantation Trial, 489 were characterized as diabetic. They were more likely to be New York Heart Association class II to IV, be hypertensive, have renal dysfunction, have an increased body mass index, and to take diuretic drugs. Diabetic patients had a 24% greater adjusted risk of death than nondiabetic patients. The hazard ratio (HR) for the risk of death in patients treated with the ICD compared with conventional therapy was similar in diabetics (HR 0.61; 95% confidence interval [CI] 0.38 to 0.98) and nondiabetics (HR 0.71; 95% CI 0.49 to 1.05), with no evidence of interaction. Thus, diabetic patients derive a similar benefit from ICD therapy despite being sicker and having a higher mortality rate overall. © 2005 Elsevier Inc. All rights reserved.","author":[{"dropping-particle":"","family":"Wittenberg","given":"Stephen M.","non-dropping-particle":"","parse-names":false,"suffix":""},{"dropping-particle":"","family":"Cook","given":"James R.","non-dropping-particle":"","parse-names":false,"suffix":""},{"dropping-particle":"","family":"Hall","given":"W. Jackson","non-dropping-particle":"","parse-names":false,"suffix":""},{"dropping-particle":"","family":"McNitt","given":"Scott","non-dropping-particle":"","parse-names":false,"suffix":""},{"dropping-particle":"","family":"Zareba","given":"Wojceich","non-dropping-particle":"","parse-names":false,"suffix":""},{"dropping-particle":"","family":"Moss","given":"Arthur J.","non-dropping-particle":"","parse-names":false,"suffix":""}],"container-title":"American Journal of Cardiology","id":"ITEM-2","issue":"3","issued":{"date-parts":[["2005","8","1"]]},"page":"417-419","title":"Comparison of efficacy of implanted cardioverter-defibrillator in patients with versus without diabetes mellitus","type":"article-journal","volume":"96"},"uris":["http://www.mendeley.com/documents/?uuid=3a08027b-f8a5-3980-b700-5019008743ba"]}],"mendeley":{"formattedCitation":"(196,197)","plainTextFormattedCitation":"(196,197)","previouslyFormattedCitation":"(196,197)"},"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(196,197)</w:t>
      </w:r>
      <w:r w:rsidR="000F3AD7" w:rsidRPr="004661E9">
        <w:rPr>
          <w:rFonts w:ascii="Arial" w:hAnsi="Arial" w:cs="Arial"/>
        </w:rPr>
        <w:fldChar w:fldCharType="end"/>
      </w:r>
      <w:r w:rsidR="00CF5776" w:rsidRPr="004661E9">
        <w:rPr>
          <w:rFonts w:ascii="Arial" w:hAnsi="Arial" w:cs="Arial"/>
        </w:rPr>
        <w:t>.</w:t>
      </w:r>
    </w:p>
    <w:p w14:paraId="3BCE0062" w14:textId="77777777" w:rsidR="00CF5776" w:rsidRPr="004661E9" w:rsidRDefault="00CF5776" w:rsidP="004661E9">
      <w:pPr>
        <w:spacing w:after="0" w:line="276" w:lineRule="auto"/>
        <w:rPr>
          <w:rFonts w:ascii="Arial" w:hAnsi="Arial" w:cs="Arial"/>
        </w:rPr>
      </w:pPr>
    </w:p>
    <w:p w14:paraId="58E50D35" w14:textId="32B6FA59" w:rsidR="000E7904" w:rsidRPr="004661E9" w:rsidRDefault="000E7904" w:rsidP="004661E9">
      <w:pPr>
        <w:spacing w:after="0" w:line="276" w:lineRule="auto"/>
        <w:rPr>
          <w:rFonts w:ascii="Arial" w:hAnsi="Arial" w:cs="Arial"/>
        </w:rPr>
      </w:pPr>
      <w:r w:rsidRPr="004661E9">
        <w:rPr>
          <w:rFonts w:ascii="Arial" w:hAnsi="Arial" w:cs="Arial"/>
        </w:rPr>
        <w:t>Cardiac resynchronization therapy (CRT) is a well-established therapeutic modality in patients with HFrEF and prolonged QRS duration. In appropriately selected cases, CRT</w:t>
      </w:r>
      <w:r w:rsidR="008349F7" w:rsidRPr="004661E9">
        <w:rPr>
          <w:rFonts w:ascii="Arial" w:hAnsi="Arial" w:cs="Arial"/>
        </w:rPr>
        <w:t xml:space="preserve"> with biventricular pacing</w:t>
      </w:r>
      <w:r w:rsidRPr="004661E9">
        <w:rPr>
          <w:rFonts w:ascii="Arial" w:hAnsi="Arial" w:cs="Arial"/>
        </w:rPr>
        <w:t xml:space="preserve"> can improve LV systolic function and reduce the risk of morbidity and mortality through its ability to reverse the remodeling of LV</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{"citationItems":[{"id":"ITEM-1","itemData":{"DOI":"10.1016/j.amjcard.2019.06.004","ISSN":"18791913","abstract":"The association of diabetes mellitus (DM) with cardiac resynchronization therapy (CRT) response and cardiovascular outcomes in Asian patients with heart failure (HF) is unclear. This study aims to investigate the effects of DM on CRT response and cardiovascular outcomes in Asian HF patients. Consecutive Asian HF patients receiving CRT were enrolled in the Prospective Evaluation of Asian with CRT for Heart Failure (PEACH) study from 2011 to 2017. CRT response and super-response were defined as decrease in end-systolic volume index ≥15% and ≥30%, respectively. Primary endpoint was time to composite of HF-hospitalization and all-cause mortality. Among 161 patients followed for 3.3 ± 1.5 years (age 66.7 ± 11.2 years, 22% females, mean QRS duration 154.3 ± 22.4 ms, 83% left bundle branch block), 84 (52%) were CRT responders and 57 (35%) were super-responders. Of 82 (51%) patients with DM (100% type 2, mean HbA1c 7.3 ± 1.9%), 35 (43%) were responders. DM attenuated reverse remodeling (CRT response: AOR 0.44, 95% confidence interval [CI] 0.20 to 0.98, p &lt; 0.05; super-response: AOR 0.42, 95% CI 0.18 to 0.97, p &lt;0.05), and DM increased HF-hospitalization and all-cause mortality (AHR 1.68, 95% CI 1.00 to 2.82, p = 0.05). The extent of CRT-response correlates with higher event-free survival (CRT response: AHR 0.5, 95% CI 0.30 to 0.81, p = 0.005; super-response: AHR 0.27, 95% CI 0.14 to 0.52, p &lt; 0.001). In conclusion, the extent of reverse remodeling post-CRT is the strongest predictor of event free survival. However, DM is detrimental to the CRT recipient by attenuating reverse remodeling, inducing end organ dysfunction and is independently associated with worsened clinical outcomes among Asian HF patients.","author":[{"dropping-particle":"","family":"Tan","given":"Eugene S.J.","non-dropping-particle":"","parse-names":false,"suffix":""},{"dropping-particle":"","family":"Lim","given":"Joevy","non-dropping-particle":"","parse-names":false,"suffix":""},{"dropping-particle":"","family":"Chan","given":"Siew Pang","non-dropping-particle":"","parse-names":false,"suffix":""},{"dropping-particle":"","family":"Seow","given":"Joshua Tze Kiat","non-dropping-particle":"","parse-names":false,"suffix":""},{"dropping-particle":"","family":"Singh","given":"Devinder","non-dropping-particle":"","parse-names":false,"suffix":""},{"dropping-particle":"","family":"Yeo","given":"Wee Tiong","non-dropping-particle":"","parse-names":false,"suffix":""},{"dropping-particle":"","family":"Lim","given":"Toon Wei","non-dropping-particle":"","parse-names":false,"suffix":""},{"dropping-particle":"","family":"Kojodjojo","given":"Pipin","non-dropping-particle":"","parse-names":false,"suffix":""},{"dropping-particle":"","family":"Seow","given":"Swee Chong","non-dropping-particle":"","parse-names":false,"suffix":""}],"container-title":"American Journal of Cardiology","id":"ITEM-1","issue":"6","issued":{"date-parts":[["2019"]]},"page":"899-906","publisher":"Elsevier Inc.","title":"Effect of Diabetes Mellitus on Cardiac Resynchronization Therapy and to Prognosis in Heart Failure (from the Prospective Evaluation of Asian With Cardiac Resynchronization Therapy for Heart Failure Study)","type":"article-journal","volume":"124"},"uris":["http://www.mendeley.com/documents/?uuid=234b4489-07b9-401c-9007-183d29283c1e"]}],"mendeley":{"formattedCitation":"(198)","plainTextFormattedCitation":"(198)","previouslyFormattedCitation":"(198)"},"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(198)</w:t>
      </w:r>
      <w:r w:rsidR="000F3AD7" w:rsidRPr="004661E9">
        <w:rPr>
          <w:rFonts w:ascii="Arial" w:hAnsi="Arial" w:cs="Arial"/>
        </w:rPr>
        <w:fldChar w:fldCharType="end"/>
      </w:r>
      <w:r w:rsidR="00CF5776" w:rsidRPr="004661E9">
        <w:rPr>
          <w:rFonts w:ascii="Arial" w:hAnsi="Arial" w:cs="Arial"/>
        </w:rPr>
        <w:t>.</w:t>
      </w:r>
      <w:r w:rsidRPr="004661E9">
        <w:rPr>
          <w:rFonts w:ascii="Arial" w:hAnsi="Arial" w:cs="Arial"/>
        </w:rPr>
        <w:t xml:space="preserve"> </w:t>
      </w:r>
      <w:r w:rsidR="001942CD" w:rsidRPr="004661E9">
        <w:rPr>
          <w:rFonts w:ascii="Arial" w:hAnsi="Arial" w:cs="Arial"/>
        </w:rPr>
        <w:t xml:space="preserve">In </w:t>
      </w:r>
      <w:r w:rsidR="00BA6776" w:rsidRPr="004661E9">
        <w:rPr>
          <w:rFonts w:ascii="Arial" w:hAnsi="Arial" w:cs="Arial"/>
        </w:rPr>
        <w:t xml:space="preserve">major CRT trials, HFrEF patients with and without diabetes experienced similar overall effectiveness of CRT for </w:t>
      </w:r>
      <w:r w:rsidR="006C2ECE" w:rsidRPr="004661E9">
        <w:rPr>
          <w:rFonts w:ascii="Arial" w:hAnsi="Arial" w:cs="Arial"/>
        </w:rPr>
        <w:t>reducing</w:t>
      </w:r>
      <w:r w:rsidR="00BA6776" w:rsidRPr="004661E9">
        <w:rPr>
          <w:rFonts w:ascii="Arial" w:hAnsi="Arial" w:cs="Arial"/>
        </w:rPr>
        <w:t xml:space="preserve"> mortality and HF hospitalization</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{"citationItems":[{"id":"ITEM-1","itemData":{"DOI":"10.1016/j.cardfail.2007.06.723","ISSN":"10719164","abstract":"Objectives: We performed a post hoc analysis to determine the influence of cardiac resynchronization therapy with a defibrillator (CRT-D) or without a defibrillator (CRT-P) on outcomes among diabetic patients with advanced heart failure (HF). Background: In patients with systolic HF, diabetes is an independent predictor of morbidity and mortality. No data are available on its impact on CRT-D or CRT-P in advanced HF. Methods: The database of the Comparison of Medical Therapy, Pacing and Defibrillation in Heart Failure trial was examined to determine the influence of CRT (CRT-D and CRT-P) on outcomes among diabetic patients. All-cause mortality or hospitalization, all-cause mortality or cardiovascular hospitalization, all-cause mortality or HF hospitalization, and all-cause mortality were analyzed among diabetic patients (n = 622). A Cox proportional hazard model, adjusting for age, gender, New York Heart Association, ischemic status, body mass index, left ventricular ejection fraction, heart rate, QRS, left or right bundle branch block, blood pressure, comorbidities (renal failure, carotid artery disease, peripheral vascular disease, hypertension, coronary artery bypass grafting, and atrial fibrillation), medications, and device (with or without defibrillator), was used to estimate hazard ratios (HRs) and significance. Results: The overall outcome of diabetic patients was similar to that of nondiabetic patients in the optimal pharmacologic therapy arm. With CRT, diabetic patients experienced a substantial reduction in all-cause mortality or all-cause hospitalization (HR = 0.77, 95% confidence interval [CI] 62-0.97), all-cause mortality or cardiovascular hospitalization (HR = 0.67, 95% CI 0.53-0.85), all-cause mortality or HF hospitalization (HR = 0.52, 95% CI 0.40-0.69), and all-cause mortality (HR = 0.67, 95% CI 0.45-0.99) compared with optimal pharmacologic therapy. Procedure-related complications and length of stay were identical in diabetic and nondiabetic patients. Conclusion: In diabetic patients with advanced HF, there is a substantial benefit from device therapy with significant improvement in all end points. © 2007 Elsevier Inc. All rights reserved.","author":[{"dropping-particle":"","family":"Ghali","given":"Jalal k.","non-dropping-particle":"","parse-names":false,"suffix":""},{"dropping-particle":"","family":"Boehmer","given":"John","non-dropping-particle":"","parse-names":false,"suffix":""},{"dropping-particle":"","family":"Feldman","given":"Arthur M.","non-dropping-particle":"","parse-names":false,"suffix":""},{"dropping-particle":"","family":"Saxon","given":"Leslie A.","non-dropping-particle":"","parse-names":false,"suffix":""},{"dropping-particle":"","family":"Demarco","given":"Teresa","non-dropping-particle":"","parse-names":false,"suffix":""},{"dropping-particle":"","family":"Carson","given":"Peter","non-dropping-particle":"","parse-names":false,"suffix":""},{"dropping-particle":"","family":"Yong","given":"Patrick","non-dropping-particle":"","parse-names":false,"suffix":""},{"dropping-particle":"","family":"Galle","given":"Elizabeth G.","non-dropping-particle":"","parse-names":false,"suffix":""},{"dropping-particle":"","family":"Leigh","given":"Jill","non-dropping-particle":"","parse-names":false,"suffix":""},{"dropping-particle":"","family":"Ecklund","given":"Fred L.","non-dropping-particle":"","parse-names":false,"suffix":""},{"dropping-particle":"","family":"Bristow","given":"Michael R.","non-dropping-particle":"","parse-names":false,"suffix":""}],"container-title":"Journal of Cardiac Failure","id":"ITEM-1","issue":"9","issued":{"date-parts":[["2007","11"]]},"page":"769-773","title":"Influence of Diabetes on Cardiac Resynchronization Therapy With or Without Defibrillator in Patients With Advanced Heart Failure","type":"article-journal","volume":"13"},"uris":["http://www.mendeley.com/documents/?uuid=096b8a8e-2b6f-3801-9615-710794978674"]},{"id":"ITEM-2","itemData":{"DOI":"10.2337/dc06-2035","ISSN":"01495992","abstract":"Diabetes is a well-known and important risk factor for heart disease, including heart failure (1–4). Despite improvements in pharmacologic treatment, many patients with heart failure have severe and persistent symptoms, and their prognosis remains poor (5,6). While most recent data indicate a higher mortality rate in diabetic patients with heart failure compared with nondiabetic patients (7–9), it is unresolved whether this effect might be limited to patients with ischemic heart disease and/or patients on insulin therapy (10–13).\n\nCardiac resynchronization therapy (CRT) reduces symptoms and improves left ventricular function and prognosis in many patients with moderate-to-severe heart failure due to systolic dysfunction and cardiac dyssynchrony (14–19). The pathophysiology underlying heart failure in diabetic patients differs from that in nondiabetic patients and is generally considered more progressive. Thus, direct and indirect effects of diabetes on myopathic mechanisms might influence the response of heart failure patients to CRT. We conducted an analysis of the 813 participants of the Cardiac Resynchronisation in Heart Failure (CARE-HF) trial to determine the effect of CRT on the risk of complications and death in diabetic compared with nondiabetic heart failure patients. We also tested the hypothesis that diabetes has a prognostic impact in patients with heart failure.\n\nThe CARE-HF trial (14,20–22) investigated the effects of cardiac resynchronization on morbidity and mortality in patients receiving standard pharmacologic therapy …","author":[{"dropping-particle":"","family":"Hoppe","given":"Uta C.","non-dropping-particle":"","parse-names":false,"suffix":""},{"dropping-particle":"","family":"Freemantle","given":"Nick","non-dropping-particle":"","parse-names":false,"suffix":""},{"dropping-particle":"","family":"Cleland","given":"John G.F.","non-dropping-particle":"","parse-names":false,"suffix":""},{"dropping-particle":"","family":"Marijianowski","given":"Monique","non-dropping-particle":"","parse-names":false,"suffix":""},{"dropping-particle":"","family":"Erdmann","given":"Erland","non-dropping-particle":"","parse-names":false,"suffix":""}],"container-title":"Diabetes Care","id":"ITEM-2","issue":"3","issued":{"date-parts":[["2007","3","1"]]},"page":"722-724","publisher":"American Diabetes Association","title":"Effect of cardiac resynchronization on morbidity and mortality of diabetic patients with severe heart failure","type":"article-journal","volume":"30"},"uris":["http://www.mendeley.com/documents/?uuid=a217848f-8133-39ae-8b20-23e2b726e1e1"]},{"id":"ITEM-3","itemData":{"DOI":"10.1186/s12872-015-0018-0","ISSN":"14712261","abstract":"Background: Diabetes mellitus is an independent risk factor of increased morbidity and mortality in patients with heart failure. Cardiac resynchronization therapy (CRT), a pacemaker-based therapy for dyssynchronous heart failure, improves cardiac performance and quality of life, but its effect on mortality in patients with diabetes is uncertain. Methods: We performed a meta-analysis of results from randomized controlled trials (RCTs) of the long-term outcome of cardiac resynchronization therapy for heart failure in diabetic and non-diabetic patients. Literature search of MEDLINE via Pubmed for reports of randomized controlled trials of Cardiac resynchronization for chronic symptomatic left-ventricular dysfunction in patients with and without diabetes mellitus, with death as the outcome. Relevant data were analyzed by use of a random-effects model. Reports published from 1994 to 2011 that described RCTs of CRT for treating chronic symptomatic left ventricular dysfunction in patients with and without diabetes, with all-cause mortality as an outcome. Results: A total of 5 randomized controlled trials met the inclusion criteria, for 2,923 patients. The quality of studies was good to moderate. Cardiac resynchronization significantly reduced the mortality for heart failure patients with or without diabetes mellitus. Mortality was 24.3% for diabetic patients with heart failure and 20.4 % for non-diabetics (odds ratio 1.28, 95% confidence interval 1.06-1.55; P = 0.010). Conclusions: Cardiac resynchronization therapy (CRT) may reduce mortality from progressive heart failure in patients with or without diabetes mellitus, but mortality may be higher for patients with than without diabetes after CRT for heart failure.","author":[{"dropping-particle":"","family":"Sun","given":"Hui","non-dropping-particle":"","parse-names":false,"suffix":""},{"dropping-particle":"","family":"Guan","given":"Yuqing","non-dropping-particle":"","parse-names":false,"suffix":""},{"dropping-particle":"","family":"Wang","given":"Lei","non-dropping-particle":"","parse-names":false,"suffix":""},{"dropping-particle":"","family":"Zhao","given":"Yong","non-dropping-particle":"","parse-names":false,"suffix":""},{"dropping-particle":"","family":"Lv","given":"Hong","non-dropping-particle":"","parse-names":false,"suffix":""},{"dropping-particle":"","family":"Bi","given":"Xiuping","non-dropping-particle":"","parse-names":false,"suffix":""},{"dropping-particle":"","family":"Wang","given":"Huating","non-dropping-particle":"","parse-names":false,"suffix":""},{"dropping-particle":"","family":"Zhang","given":"Xuejing","non-dropping-particle":"","parse-names":false,"suffix":""},{"dropping-particle":"","family":"Liu","given":"Li","non-dropping-particle":"","parse-names":false,"suffix":""},{"dropping-particle":"","family":"Wei","given":"Min","non-dropping-particle":"","parse-names":false,"suffix":""},{"dropping-particle":"","family":"Song","given":"Hui","non-dropping-particle":"","parse-names":false,"suffix":""},{"dropping-particle":"","family":"Su","given":"Guohai","non-dropping-particle":"","parse-names":false,"suffix":""}],"container-title":"BMC Cardiovascular Disorders","id":"ITEM-3","issue":"1","issued":{"date-parts":[["2015","3","21"]]},"publisher":"BioMed Central Ltd.","title":"Influence of diabetes on cardiac resynchronization therapy in heart failure patients: A meta-analysis","type":"article-journal","volume":"15"},"uris":["http://www.mendeley.com/documents/?uuid=d6282c97-b72b-3959-84b4-db7f5c1bcddc"]}],"mendeley":{"formattedCitation":"(199–201)","plainTextFormattedCitation":"(199–201)","previouslyFormattedCitation":"(199–201)"},"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(199–201)</w:t>
      </w:r>
      <w:r w:rsidR="000F3AD7" w:rsidRPr="004661E9">
        <w:rPr>
          <w:rFonts w:ascii="Arial" w:hAnsi="Arial" w:cs="Arial"/>
        </w:rPr>
        <w:fldChar w:fldCharType="end"/>
      </w:r>
      <w:r w:rsidR="00CF5776" w:rsidRPr="004661E9">
        <w:rPr>
          <w:rFonts w:ascii="Arial" w:hAnsi="Arial" w:cs="Arial"/>
        </w:rPr>
        <w:t>.</w:t>
      </w:r>
      <w:r w:rsidR="00BA6776" w:rsidRPr="004661E9">
        <w:rPr>
          <w:rFonts w:ascii="Arial" w:hAnsi="Arial" w:cs="Arial"/>
        </w:rPr>
        <w:t xml:space="preserve"> </w:t>
      </w:r>
      <w:r w:rsidR="00CF70BC" w:rsidRPr="004661E9">
        <w:rPr>
          <w:rFonts w:ascii="Arial" w:hAnsi="Arial" w:cs="Arial"/>
        </w:rPr>
        <w:t>However,</w:t>
      </w:r>
      <w:r w:rsidRPr="004661E9">
        <w:rPr>
          <w:rFonts w:ascii="Arial" w:hAnsi="Arial" w:cs="Arial"/>
        </w:rPr>
        <w:t xml:space="preserve"> </w:t>
      </w:r>
      <w:r w:rsidR="00BA6776" w:rsidRPr="004661E9">
        <w:rPr>
          <w:rFonts w:ascii="Arial" w:hAnsi="Arial" w:cs="Arial"/>
        </w:rPr>
        <w:t>observational studies suggested that the</w:t>
      </w:r>
      <w:r w:rsidRPr="004661E9">
        <w:rPr>
          <w:rFonts w:ascii="Arial" w:hAnsi="Arial" w:cs="Arial"/>
        </w:rPr>
        <w:t xml:space="preserve"> magnitude of LV reverse remodeling and improvement of systolic and diastolic function </w:t>
      </w:r>
      <w:r w:rsidR="00BA6776" w:rsidRPr="004661E9">
        <w:rPr>
          <w:rFonts w:ascii="Arial" w:hAnsi="Arial" w:cs="Arial"/>
        </w:rPr>
        <w:t>may be</w:t>
      </w:r>
      <w:r w:rsidRPr="004661E9">
        <w:rPr>
          <w:rFonts w:ascii="Arial" w:hAnsi="Arial" w:cs="Arial"/>
        </w:rPr>
        <w:t xml:space="preserve"> less pronounced in individuals with diabetes </w:t>
      </w:r>
      <w:r w:rsidR="006C2ECE" w:rsidRPr="004661E9">
        <w:rPr>
          <w:rFonts w:ascii="Arial" w:hAnsi="Arial" w:cs="Arial"/>
        </w:rPr>
        <w:t>than</w:t>
      </w:r>
      <w:r w:rsidRPr="004661E9">
        <w:rPr>
          <w:rFonts w:ascii="Arial" w:hAnsi="Arial" w:cs="Arial"/>
        </w:rPr>
        <w:t xml:space="preserve"> </w:t>
      </w:r>
      <w:r w:rsidR="001C412B" w:rsidRPr="004661E9">
        <w:rPr>
          <w:rFonts w:ascii="Arial" w:hAnsi="Arial" w:cs="Arial"/>
        </w:rPr>
        <w:t xml:space="preserve">in </w:t>
      </w:r>
      <w:r w:rsidRPr="004661E9">
        <w:rPr>
          <w:rFonts w:ascii="Arial" w:hAnsi="Arial" w:cs="Arial"/>
        </w:rPr>
        <w:t>those without</w:t>
      </w:r>
      <w:r w:rsidR="006B425D" w:rsidRPr="004661E9">
        <w:rPr>
          <w:rFonts w:ascii="Arial" w:hAnsi="Arial" w:cs="Arial"/>
        </w:rPr>
        <w:t xml:space="preserve"> </w:t>
      </w:r>
      <w:r w:rsidRPr="004661E9">
        <w:rPr>
          <w:rFonts w:ascii="Arial" w:hAnsi="Arial" w:cs="Arial"/>
        </w:rPr>
        <w:t>diabetes</w:t>
      </w:r>
      <w:r w:rsidR="00CF5776" w:rsidRPr="004661E9">
        <w:rPr>
          <w:rFonts w:ascii="Arial" w:hAnsi="Arial" w:cs="Arial"/>
        </w:rPr>
        <w:t xml:space="preserve"> </w:t>
      </w:r>
      <w:r w:rsidR="00027833" w:rsidRPr="004661E9">
        <w:rPr>
          <w:rFonts w:ascii="Arial" w:hAnsi="Arial" w:cs="Arial"/>
        </w:rPr>
        <w:fldChar w:fldCharType="begin" w:fldLock="1"/>
      </w:r>
      <w:r w:rsidR="001C412B" w:rsidRPr="004661E9">
        <w:rPr>
          <w:rFonts w:ascii="Arial" w:hAnsi="Arial" w:cs="Arial"/>
        </w:rPr>
        <w:instrText>ADDIN CSL_CITATION {"citationItems":[{"id":"ITEM-1","itemData":{"DOI":"10.1016/j.amjcard.2019.06.004","ISSN":"18791913","abstract":"The association of diabetes mellitus (DM) with cardiac resynchronization therapy (CRT) response and cardiovascular outcomes in Asian patients with heart failure (HF) is unclear. This study aims to investigate the effects of DM on CRT response and cardiovascular outcomes in Asian HF patients. Consecutive Asian HF patients receiving CRT were enrolled in the Prospective Evaluation of Asian with CRT for Heart Failure (PEACH) study from 2011 to 2017. CRT response and super-response were defined as decrease in end-systolic volume index ≥15% and ≥30%, respectively. Primary endpoint was time to composite of HF-hospitalization and all-cause mortality. Among 161 patients followed for 3.3 ± 1.5 years (age 66.7 ± 11.2 years, 22% females, mean QRS duration 154.3 ± 22.4 ms, 83% left bundle branch block), 84 (52%) were CRT responders and 57 (35%) were super-responders. Of 82 (51%) patients with DM (100% type 2, mean HbA1c 7.3 ± 1.9%), 35 (43%) were responders. DM attenuated reverse remodeling (CRT response: AOR 0.44, 95% confidence interval [CI] 0.20 to 0.98, p &lt; 0.05; super-response: AOR 0.42, 95% CI 0.18 to 0.97, p &lt;0.05), and DM increased HF-hospitalization and all-cause mortality (AHR 1.68, 95% CI 1.00 to 2.82, p = 0.05). The extent of CRT-response correlates with higher event-free survival (CRT response: AHR 0.5, 95% CI 0.30 to 0.81, p = 0.005; super-response: AHR 0.27, 95% CI 0.14 to 0.52, p &lt; 0.001). In conclusion, the extent of reverse remodeling post-CRT is the strongest predictor of event free survival. However, DM is detrimental to the CRT recipient by attenuating reverse remodeling, inducing end organ dysfunction and is independently associated with worsened clinical outcomes among Asian HF patients.","author":[{"dropping-particle":"","family":"Tan","given":"Eugene S.J.","non-dropping-particle":"","parse-names":false,"suffix":""},{"dropping-particle":"","family":"Lim","given":"Joevy","non-dropping-particle":"","parse-names":false,"suffix":""},{"dropping-particle":"","family":"Chan","given":"Siew Pang","non-dropping-particle":"","parse-names":false,"suffix":""},{"dropping-particle":"","family":"Seow","given":"Joshua Tze Kiat","non-dropping-particle":"","parse-names":false,"suffix":""},{"dropping-particle":"","family":"Singh","given":"Devinder","non-dropping-particle":"","parse-names":false,"suffix":""},{"dropping-particle":"","family":"Yeo","given":"Wee Tiong","non-dropping-particle":"","parse-names":false,"suffix":""},{"dropping-particle":"","family":"Lim","given":"Toon Wei","non-dropping-particle":"","parse-names":false,"suffix":""},{"dropping-particle":"","family":"Kojodjojo","given":"Pipin","non-dropping-particle":"","parse-names":false,"suffix":""},{"dropping-particle":"","family":"Seow","given":"Swee Chong","non-dropping-particle":"","parse-names":false,"suffix":""}],"container-title":"American Journal of Cardiology","id":"ITEM-1","issue":"6","issued":{"date-parts":[["2019"]]},"page":"899-906","publisher":"Elsevier Inc.","title":"Effect of Diabetes Mellitus on Cardiac Resynchronization Therapy and to Prognosis in Heart Failure (from the Prospective Evaluation of Asian With Cardiac Resynchronization Therapy for Heart Failure Study)","type":"article-journal","volume":"124"},"uris":["http://www.mendeley.com/documents/?uuid=234b4489-07b9-401c-9007-183d29283c1e"]},{"id":"ITEM-2","itemData":{"DOI":"10.2337/dc12-1116","ISSN":"01495992","abstract":"OBJECTIVE-The influence of diabetes on cardiac resynchronization therapy (CRT) remains unclear. The aims of the current study were to 1) assess the changes in left ventricular (LV) systolic and diastolic function and 2) evaluate long-term prognosis in CRT recipients with diabetes. RESEARCH DESIGN AND METHODS-A total of 710 CRT recipients (171 with diabetes) were included from an ongoing registry. Echocardiographic evaluation, including LV systolic and diastolic function assessment, was performed at baseline and 6-month follow-up. Response to CRT was defined as a reduction of ≥15% in LV end-systolic volume (LVESV) at the 6-month follow-up. During long-term follow-up (median = 38 months), all-cause mortality (primary end point) and cardiac death or heart failure hospitalization (secondary end point) were recorded. RESULTS-At the 6-month follow-up, significant LV reverse remodeling was observed both in diabetic and non-diabetic patients. However, the response to CRT occurred more frequently in non-diabetic patients than in diabetic patients (57 vs. 45%, P&lt;0.05). Furthermore, a significant improvement in LV diastolic function was observed both in diabetic and non-diabetic patients, but was more pronounced in non-diabetic patients. The determinants of the response to CRT among diabetic patients were LV dyssynchrony, ischemic cardiomyopathy, and insulin use. Both primary and secondary end points were more frequent in diabetic patients (P &lt; 0.001). Particularly, diabetes was independently associated with all-cause mortality together with ischemic cardiomyopathy, renal function, LVESV, LV dyssynchrony, and LV diastolic dysfunction. CONCLUSIONS-Heart failure patients with diabetes exhibit significant improvements in LV systolic and diastolic function after CRT, although they are less pronounced than in nondiabetic patients. Diabetes was independently associated with all-cause mortality. © 2013 by the American Diabetes Association.","author":[{"dropping-particle":"","family":"Höke","given":"Ulas","non-dropping-particle":"","parse-names":false,"suffix":""},{"dropping-particle":"","family":"Thijssen","given":"Joep","non-dropping-particle":"","parse-names":false,"suffix":""},{"dropping-particle":"","family":"Bommel","given":"Rutger J.","non-dropping-particle":"Van","parse-names":false,"suffix":""},{"dropping-particle":"","family":"Erven","given":"Lieselot","non-dropping-particle":"Van","parse-names":false,"suffix":""},{"dropping-particle":"","family":"Velde","given":"Enno T.","non-dropping-particle":"Van Der","parse-names":false,"suffix":""},{"dropping-particle":"","family":"Holman","given":"Eduard R.","non-dropping-particle":"","parse-names":false,"suffix":""},{"dropping-particle":"","family":"Schalij","given":"Martin J.","non-dropping-particle":"","parse-names":false,"suffix":""},{"dropping-particle":"","family":"Bax","given":"Jeroen J.","non-dropping-particle":"","parse-names":false,"suffix":""},{"dropping-particle":"","family":"Delgado","given":"Victoria","non-dropping-particle":"","parse-names":false,"suffix":""},{"dropping-particle":"","family":"Marsan","given":"Nina Ajmone","non-dropping-particle":"","parse-names":false,"suffix":""}],"container-title":"Diabetes Care","id":"ITEM-2","issue":"4","issued":{"date-parts":[["2013","4","1"]]},"page":"985-991","publisher":"American Diabetes Association","title":"Influence of diabetes on left ventricular systolic and diastolic function and on long-term outcome after cardiac resynchronization therapy","type":"article-journal","volume":"36"},"uris":["http://www.mendeley.com/documents/?uuid=21705583-ea61-3876-b0eb-0365dca9f488"]},{"id":"ITEM-3","itemData":{"DOI":"10.1002/ehf2.12876","ISSN":"20555822","PMID":"32652900","abstract":"Aims: Cardiac resynchronization therapy (CRT) has become an important therapy in patients with heart failure with reduced left ventricular ejection fraction (LVEF). The effect of diabetes on long-term outcome in these patients is controversial. We assessed the effect of diabetes on long-term outcome in CRT patients and investigated the role of diabetes in ischaemic and non-ischaemic cardiomyopathy. Methods and results: All patients undergoing CRT implantation at our institution between November 2000 and January 2015 were enrolled. The study endpoints were (i) a composite of ventricular assist device (VAD) implantation, heart transplantation, or all-cause mortality; and (ii) reverse remodelling (improvement of LVEF ≥ 10% or reduction of left ventricular end-systolic volume ≥ 15%). Median follow-up of the 418 patients (age 64.6 ± 11.6 years, 22.5% female, 25.1% diabetes) was 4.8 years [inter-quartile range: 2.8;7.4]. Diabetic patients had an increased risk to reach the composite endpoint [adjusted hazard ratio (aHR) 1.48 [95% CI 1.12–2.16], P = 0.041]. Other factors associated with an increased risk to reach the composite endpoint were a lower body mass index or baseline LVEF (aHR 0.95 [0.91; 0.98] and 0.97 [0.95; 0.99], P &lt; 0.01 each), and a higher New York Heart Association functional class or creatinine level (aHR 2.14 [1.38; 3.30] and 1.04 [1.01; 1.05], P &lt; 0.05 each). Early response to CRT, defined as LVEF improvement ≥ 10%, was associated with a lower risk to reach the composite endpoint (aHR 0.60 [0.40; 0.89], P = 0.011). Reverse remodelling did not differ between diabetic and non-diabetic patients with respect to LVEF improvement ≥ 10% (aHR 0.60 [0.32; 1.14], P = 0.118). However, diabetes was associated with decreased reverse remodelling with respect to a reduction of left ventricular end-systolic volume ≥ 15% (aHR 0.45 [0.21; 0.97], P = 0.043). In patients with ischaemic cardiomyopathy, survival rates were not significantly different between diabetic and non-diabetic patients (HR 1.28 [0.83–1.97], P = 0.101), whereas in patients with non-ischaemic cardiomyopathy, diabetic patients had a higher risk of reaching the composite endpoint (HR 1.65 [1.06–2.58], P = 0.027). The latter effect was dependent on other risk factors (aHR 1.47 [0.83–2.61], P = 0.451). The risk of insulin-dependent patients was not significantly higher than in patients under oral antidiabetic drugs (HR 1.55 [95% CI 0.92–2.61], P = 0.102). Conclusions: Long-term follow-up reveale…","author":[{"dropping-particle":"","family":"Kahr","given":"Peter C.","non-dropping-particle":"","parse-names":false,"suffix":""},{"dropping-particle":"","family":"Trenson","given":"Sander","non-dropping-particle":"","parse-names":false,"suffix":""},{"dropping-particle":"","family":"Schindler","given":"Matthias","non-dropping-particle":"","parse-names":false,"suffix":""},{"dropping-particle":"","family":"Kuster","given":"Joël","non-dropping-particle":"","parse-names":false,"suffix":""},{"dropping-particle":"","family":"Kaufmann","given":"Philippe","non-dropping-particle":"","parse-names":false,"suffix":""},{"dropping-particle":"","family":"Tonko","given":"Johanna","non-dropping-particle":"","parse-names":false,"suffix":""},{"dropping-particle":"","family":"Hofer","given":"Daniel","non-dropping-particle":"","parse-names":false,"suffix":""},{"dropping-particle":"","family":"Inderbitzin","given":"Devdas T.","non-dropping-particle":"","parse-names":false,"suffix":""},{"dropping-particle":"","family":"Breitenstein","given":"Alexander","non-dropping-particle":"","parse-names":false,"suffix":""},{"dropping-particle":"","family":"Saguner","given":"Ardan M.","non-dropping-particle":"","parse-names":false,"suffix":""},{"dropping-particle":"","family":"Flammer","given":"Andreas J.","non-dropping-particle":"","parse-names":false,"suffix":""},{"dropping-particle":"","family":"Ruschitzka","given":"Frank","non-dropping-particle":"","parse-names":false,"suffix":""},{"dropping-particle":"","family":"Steffel","given":"Jan","non-dropping-particle":"","parse-names":false,"suffix":""},{"dropping-particle":"","family":"Winnik","given":"Stephan","non-dropping-particle":"","parse-names":false,"suffix":""}],"container-title":"ESC Heart Failure","id":"ITEM-3","issue":"5","issued":{"date-parts":[["2020"]]},"page":"2773-2783","title":"Differential effect of cardiac resynchronization therapy in patients with diabetes mellitus: a long-term retrospective cohort study","type":"article-journal","volume":"7"},"uris":["http://www.mendeley.com/documents/?uuid=b79d59e4-92f8-4451-bf34-293ddc12cb76"]}],"mendeley":{"formattedCitation":"(198,202,203)","plainTextFormattedCitation":"(198,202,203)","previouslyFormattedCitation":"(198,202,203)"},"properties":{"noteIndex":0},"schema":"https://github.com/citation-style-language/schema/raw/master/csl-citation.json"}</w:instrText>
      </w:r>
      <w:r w:rsidR="00027833" w:rsidRPr="004661E9">
        <w:rPr>
          <w:rFonts w:ascii="Arial" w:hAnsi="Arial" w:cs="Arial"/>
        </w:rPr>
        <w:fldChar w:fldCharType="separate"/>
      </w:r>
      <w:r w:rsidR="001C412B" w:rsidRPr="004661E9">
        <w:rPr>
          <w:rFonts w:ascii="Arial" w:hAnsi="Arial" w:cs="Arial"/>
          <w:noProof/>
        </w:rPr>
        <w:t>(198,202,203)</w:t>
      </w:r>
      <w:r w:rsidR="00027833" w:rsidRPr="004661E9">
        <w:rPr>
          <w:rFonts w:ascii="Arial" w:hAnsi="Arial" w:cs="Arial"/>
        </w:rPr>
        <w:fldChar w:fldCharType="end"/>
      </w:r>
      <w:r w:rsidR="00CF5776" w:rsidRPr="004661E9">
        <w:rPr>
          <w:rFonts w:ascii="Arial" w:hAnsi="Arial" w:cs="Arial"/>
        </w:rPr>
        <w:t>.</w:t>
      </w:r>
    </w:p>
    <w:p w14:paraId="41F4B3B5" w14:textId="77777777" w:rsidR="00CF5776" w:rsidRPr="004661E9" w:rsidRDefault="00CF5776" w:rsidP="004661E9">
      <w:pPr>
        <w:spacing w:after="0" w:line="276" w:lineRule="auto"/>
        <w:rPr>
          <w:rFonts w:ascii="Arial" w:hAnsi="Arial" w:cs="Arial"/>
        </w:rPr>
      </w:pPr>
    </w:p>
    <w:p w14:paraId="66388F2E" w14:textId="77777777" w:rsidR="00D631D0" w:rsidRPr="004661E9" w:rsidRDefault="00D631D0" w:rsidP="004661E9">
      <w:pPr>
        <w:spacing w:after="0" w:line="276" w:lineRule="auto"/>
        <w:rPr>
          <w:rFonts w:ascii="Arial" w:hAnsi="Arial" w:cs="Arial"/>
          <w:b/>
          <w:bCs/>
          <w:color w:val="00B050"/>
        </w:rPr>
      </w:pPr>
      <w:r w:rsidRPr="004661E9">
        <w:rPr>
          <w:rFonts w:ascii="Arial" w:hAnsi="Arial" w:cs="Arial"/>
          <w:b/>
          <w:bCs/>
          <w:color w:val="00B050"/>
        </w:rPr>
        <w:t>Treatment of HFpEF</w:t>
      </w:r>
    </w:p>
    <w:p w14:paraId="668D5163" w14:textId="77777777" w:rsidR="00CF5776" w:rsidRPr="004661E9" w:rsidRDefault="00CF5776" w:rsidP="004661E9">
      <w:pPr>
        <w:spacing w:after="0" w:line="276" w:lineRule="auto"/>
        <w:rPr>
          <w:rFonts w:ascii="Arial" w:hAnsi="Arial" w:cs="Arial"/>
        </w:rPr>
      </w:pPr>
    </w:p>
    <w:p w14:paraId="77CEB7E6" w14:textId="664E6214" w:rsidR="0080282D" w:rsidRPr="004661E9" w:rsidRDefault="000D563E" w:rsidP="004661E9">
      <w:pPr>
        <w:spacing w:after="0" w:line="276" w:lineRule="auto"/>
        <w:rPr>
          <w:rFonts w:ascii="Arial" w:hAnsi="Arial" w:cs="Arial"/>
        </w:rPr>
      </w:pPr>
      <w:r w:rsidRPr="004661E9">
        <w:rPr>
          <w:rFonts w:ascii="Arial" w:hAnsi="Arial" w:cs="Arial"/>
        </w:rPr>
        <w:t>Until recently,</w:t>
      </w:r>
      <w:r w:rsidR="00D83B97" w:rsidRPr="004661E9">
        <w:rPr>
          <w:rFonts w:ascii="Arial" w:hAnsi="Arial" w:cs="Arial"/>
        </w:rPr>
        <w:t xml:space="preserve"> </w:t>
      </w:r>
      <w:r w:rsidR="00D42EB8" w:rsidRPr="004661E9">
        <w:rPr>
          <w:rFonts w:ascii="Arial" w:hAnsi="Arial" w:cs="Arial"/>
        </w:rPr>
        <w:t xml:space="preserve">the management of patients with </w:t>
      </w:r>
      <w:r w:rsidR="00D83B97" w:rsidRPr="004661E9">
        <w:rPr>
          <w:rFonts w:ascii="Arial" w:hAnsi="Arial" w:cs="Arial"/>
        </w:rPr>
        <w:t>HFpEF</w:t>
      </w:r>
      <w:r w:rsidR="00D42EB8" w:rsidRPr="004661E9">
        <w:rPr>
          <w:rFonts w:ascii="Arial" w:hAnsi="Arial" w:cs="Arial"/>
        </w:rPr>
        <w:t xml:space="preserve"> and HFmrEF</w:t>
      </w:r>
      <w:r w:rsidRPr="004661E9">
        <w:rPr>
          <w:rFonts w:ascii="Arial" w:hAnsi="Arial" w:cs="Arial"/>
        </w:rPr>
        <w:t xml:space="preserve"> </w:t>
      </w:r>
      <w:r w:rsidR="00D83B97" w:rsidRPr="004661E9">
        <w:rPr>
          <w:rFonts w:ascii="Arial" w:hAnsi="Arial" w:cs="Arial"/>
        </w:rPr>
        <w:t>lack</w:t>
      </w:r>
      <w:r w:rsidRPr="004661E9">
        <w:rPr>
          <w:rFonts w:ascii="Arial" w:hAnsi="Arial" w:cs="Arial"/>
        </w:rPr>
        <w:t>ed</w:t>
      </w:r>
      <w:r w:rsidR="00D83B97" w:rsidRPr="004661E9">
        <w:rPr>
          <w:rFonts w:ascii="Arial" w:hAnsi="Arial" w:cs="Arial"/>
        </w:rPr>
        <w:t xml:space="preserve"> </w:t>
      </w:r>
      <w:r w:rsidR="00E5636F" w:rsidRPr="004661E9">
        <w:rPr>
          <w:rFonts w:ascii="Arial" w:hAnsi="Arial" w:cs="Arial"/>
        </w:rPr>
        <w:t xml:space="preserve">specific </w:t>
      </w:r>
      <w:r w:rsidR="00D83B97" w:rsidRPr="004661E9">
        <w:rPr>
          <w:rFonts w:ascii="Arial" w:hAnsi="Arial" w:cs="Arial"/>
        </w:rPr>
        <w:t xml:space="preserve">therapies shown to </w:t>
      </w:r>
      <w:r w:rsidR="006C3EBB" w:rsidRPr="004661E9">
        <w:rPr>
          <w:rFonts w:ascii="Arial" w:hAnsi="Arial" w:cs="Arial"/>
        </w:rPr>
        <w:t>improve morbidity and mortality definitivel</w:t>
      </w:r>
      <w:r w:rsidR="00D83B97" w:rsidRPr="004661E9">
        <w:rPr>
          <w:rFonts w:ascii="Arial" w:hAnsi="Arial" w:cs="Arial"/>
        </w:rPr>
        <w:t>y. Clinical trials of pharmacologic agents with proven benefits in HFrEF have predominantly revealed neutral results in populations with HFpEF</w:t>
      </w:r>
      <w:r w:rsidR="00CF5776"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{"citationItems":[{"id":"ITEM-1","itemData":{"DOI":"10.1056/NEJMoa1908655","ISSN":"0028-4793","abstract":"The angiotensin receptor–neprilysin inhibitor sacubitril–valsartan led to a reduced risk of hospitalization for heart failure or death from cardiovascular causes among patients with heart failure and reduced ejection fraction. The effect of angiotensin receptor–neprily-sin inhibition in patients with heart failure with preserved ejection fraction is unclear. METHODS We randomly assigned 4822 patients with New York Heart Association (NYHA) class II to IV heart failure, ejection fraction of 45% or higher, elevated level of natriuretic peptides, and structural heart disease to receive sacubitril–valsartan (target dose, 97 mg of sacubitril with 103 mg of valsartan twice daily) or valsartan (target dose, 160 mg twice daily). The primary outcome was a composite of total hospitalizations for heart failure and death from cardiovascular causes. Primary outcome components, secondary outcomes (including NYHA class change, worsening renal function, and change in Kansas City Cardiomyopathy Questionnaire [KCCQ] clinical summary score [scale, 0 to 100, with higher scores indicating fewer symptoms and physical limitations]), and safety were also assessed. RESULTS There were 894 primary events in 526 patients in the sacubitril–valsartan group and 1009 primary events in 557 patients in the valsartan group (rate ratio, 0.87; 95% confidence interval [CI], 0.75 to 1.01; P=0.06). The incidence of death from cardiovascular causes was 8.5% in the sacubitril–valsartan group and 8.9% in the valsartan group (hazard ratio, 0.95; 95% CI, 0.79 to 1.16); there were 690 and 797 total hospitalizations for heart failure, respectively (rate ratio, 0.85; 95% CI, 0.72 to 1.00). NYHA class improved in 15.0% of the patients in the sacubitril–valsartan group and in 12.6% of those in the valsartan group (odds ratio, 1.45; 95% CI, 1.13 to 1.86); renal function worsened in 1.4% and 2.7%, respectively (hazard ratio, 0.50; 95% CI, 0.33 to 0.77). The mean change in the KCCQ clinical summary score at 8 months was 1.0 point (95% CI, 0.0 to 2.1) higher in the sacubitril–valsartan group. Patients in the sacubitril–valsartan group had a higher incidence of hypotension and angioedema and a lower incidence of hyperkalemia. Among 12 prespecified subgroups, there was suggestion of heterogeneity with possible benefit with sacubitril–valsartan in patients with lower ejection fraction and in women. CONCLUSIONS Sacubitril–valsartan did not result in a significantly lower rate of total hospitalizations for heart…","author":[{"dropping-particle":"","family":"Solomon","given":"Scott D.","non-dropping-particle":"","parse-names":false,"suffix":""},{"dropping-particle":"","family":"McMurray","given":"John J.V.","non-dropping-particle":"","parse-names":false,"suffix":""},{"dropping-particle":"","family":"Anand","given":"Inder S.","non-dropping-particle":"","parse-names":false,"suffix":""},{"dropping-particle":"","family":"Ge","given":"Junbo","non-dropping-particle":"","parse-names":false,"suffix":""},{"dropping-particle":"","family":"Lam","given":"Carolyn S.P.","non-dropping-particle":"","parse-names":false,"suffix":""},{"dropping-particle":"","family":"Maggioni","given":"Aldo P.","non-dropping-particle":"","parse-names":false,"suffix":""},{"dropping-particle":"","family":"Martinez","given":"Felipe","non-dropping-particle":"","parse-names":false,"suffix":""},{"dropping-particle":"","family":"Packer","given":"Milton","non-dropping-particle":"","parse-names":false,"suffix":""},{"dropping-particle":"","family":"Pfeffer","given":"Marc A.","non-dropping-particle":"","parse-names":false,"suffix":""},{"dropping-particle":"","family":"Pieske","given":"Burkert","non-dropping-particle":"","parse-names":false,"suffix":""},{"dropping-particle":"","family":"Redfield","given":"Margaret M.","non-dropping-particle":"","parse-names":false,"suffix":""},{"dropping-particle":"","family":"Rouleau","given":"Jean L.","non-dropping-particle":"","parse-names":false,"suffix":""},{"dropping-particle":"","family":"Veldhuisen","given":"Dirk J.","non-dropping-particle":"van","parse-names":false,"suffix":""},{"dropping-particle":"","family":"Zannad","given":"Faiez","non-dropping-particle":"","parse-names":false,"suffix":""},{"dropping-particle":"","family":"Zile","given":"Michael R.","non-dropping-particle":"","parse-names":false,"suffix":""},{"dropping-particle":"","family":"Desai","given":"Akshay S.","non-dropping-particle":"","parse-names":false,"suffix":""},{"dropping-particle":"","family":"Claggett","given":"Brian","non-dropping-particle":"","parse-names":false,"suffix":""},{"dropping-particle":"","family":"Jhund","given":"Pardeep S.","non-dropping-particle":"","parse-names":false,"suffix":""},{"dropping-particle":"","family":"Boytsov","given":"Sergey A.","non-dropping-particle":"","parse-names":false,"suffix":""},{"dropping-particle":"","family":"Comin-Colet","given":"Josep","non-dropping-particle":"","parse-names":false,"suffix":""},{"dropping-particle":"","family":"Cleland","given":"John","non-dropping-particle":"","parse-names":false,"suffix":""},{"dropping-particle":"","family":"Düngen","given":"Hans-Dirk","non-dropping-particle":"","parse-names":false,"suffix":""},{"dropping-particle":"","family":"Goncalvesova","given":"Eva","non-dropping-particle":"","parse-names":false,"suffix":""},{"dropping-particle":"","family":"Katova","given":"Tzvetana","non-dropping-particle":"","parse-names":false,"suffix":""},{"dropping-particle":"","family":"Kerr Saraiva","given":"Jose F.","non-dropping-particle":"","parse-names":false,"suffix":""},{"dropping-particle":"","family":"Lelonek","given":"Małgorzata","non-dropping-particle":"","parse-names":false,"suffix":""},{"dropping-particle":"","family":"Merkely","given":"Bela","non-dropping-particle":"","parse-names":false,"suffix":""},{"dropping-particle":"","family":"Senni","given":"Michele","non-dropping-particle":"","parse-names":false,"suffix":""},{"dropping-particle":"","family":"Shah","given":"Sanjiv J.","non-dropping-particle":"","parse-names":false,"suffix":""},{"dropping-particle":"","family":"Zhou","given":"Jingmin","non-dropping-particle":"","parse-names":false,"suffix":""},{"dropping-particle":"","family":"Rizkala","given":"Adel R.","non-dropping-particle":"","parse-names":false,"suffix":""},{"dropping-particle":"","family":"Gong","given":"Jianjian","non-dropping-particle":"","parse-names":false,"suffix":""},{"dropping-particle":"","family":"Shi","given":"Victor C.","non-dropping-particle":"","parse-names":false,"suffix":""},{"dropping-particle":"","family":"Lefkowitz","given":"Martin P.","non-dropping-particle":"","parse-names":false,"suffix":""}],"container-title":"New England Journal of Medicine","id":"ITEM-1","issue":"17","issued":{"date-parts":[["2019","10","24"]]},"page":"1609-1620","publisher":"Massachussetts Medical Society","title":"Angiotensin–Neprilysin Inhibition in Heart Failure with Preserved Ejection Fraction","type":"article-journal","volume":"381"},"uris":["http://www.mendeley.com/documents/?uuid=9d91d94b-5ccc-3306-9037-252fba7dbbca"]},{"id":"ITEM-2","itemData":{"DOI":"10.1056/NEJMoa1313731","ISSN":"0028-4793","abstract":"BACKGROUND: Mineralocorticoid-receptor antagonists improve the prognosis for patients with heart failure and a reduced left ventricular ejection fraction. We evaluated the effects of spironolactone in patients with heart failure and a preserved left ventricular ejection fraction. METHODS: In this randomized, double-blind trial, we assigned 3445 patients with symptomatic heart failure and a left ventricular ejection fraction of 45% or more to receive either spironolactone (15 to 45 mg daily) or placebo. The primary outcome was a composite of death from cardiovascular causes, aborted cardiac arrest, or hospitalization for the management of heart failure. RESULTS: With a mean follow-up of 3.3 years, the primary outcome occurred in 320 of 1722 patients in the spironolactone group (18.6%) and 351 of 1723 patients in the placebo group (20.4%) (hazard ratio, 0.89; 95% confidence interval [CI], 0.77 to 1.04; P = 0.14). Of the components of the primary outcome, only hospitalization for heart failure had a significantly lower incidence in the spironolactone group than in the placebo group (206 patients [12.0%] vs. 245 patients [14.2%]; hazard ratio, 0.83; 95% CI, 0.69 to 0.99, P = 0.04). Neither total deaths nor hospitalizations for any reason were significantly reduced by spironolactone. Treatment with spironolactone was associated with increased serum creatinine levels and a doubling of the rate of hyperkalemia (18.7%, vs. 9.1% in the placebo group) but reduced hypokalemia. With frequent monitoring, there were no significant differences in the incidence of serious adverse events, a serum creatinine level of 3.0 mg per deciliter (265 μmol per liter) or higher, or dialysis. CONCLUSIONS: In patients with heart failure and a preserved ejection fraction, treatment with spironolactone did not significantly reduce the incidence of the primary composite outcome of death from cardiovascular causes, aborted cardiac arrest, or hospitalization for the management of heart failure. Copyright © 2014 Massachusetts Medical Society.","author":[{"dropping-particle":"","family":"Pitt","given":"Bertram","non-dropping-particle":"","parse-names":false,"suffix":""},{"dropping-particle":"","family":"Pfeffer","given":"Marc A.","non-dropping-particle":"","parse-names":false,"suffix":""},{"dropping-particle":"","family":"Assmann","given":"Susan F.","non-dropping-particle":"","parse-names":false,"suffix":""},{"dropping-particle":"","family":"Boineau","given":"Robin","non-dropping-particle":"","parse-names":false,"suffix":""},{"dropping-particle":"","family":"Anand","given":"Inder S.","non-dropping-particle":"","parse-names":false,"suffix":""},{"dropping-particle":"","family":"Claggett","given":"Brian","non-dropping-particle":"","parse-names":false,"suffix":""},{"dropping-particle":"","family":"Clausell","given":"Nadine","non-dropping-particle":"","parse-names":false,"suffix":""},{"dropping-particle":"","family":"Desai","given":"Akshay S.","non-dropping-particle":"","parse-names":false,"suffix":""},{"dropping-particle":"","family":"Diaz","given":"Rafael","non-dropping-particle":"","parse-names":false,"suffix":""},{"dropping-particle":"","family":"Fleg","given":"Jerome L.","non-dropping-particle":"","parse-names":false,"suffix":""},{"dropping-particle":"","family":"Gordeev","given":"Ivan","non-dropping-particle":"","parse-names":false,"suffix":""},{"dropping-particle":"","family":"Harty","given":"Brian","non-dropping-particle":"","parse-names":false,"suffix":""},{"dropping-particle":"","family":"Heitner","given":"John F.","non-dropping-particle":"","parse-names":false,"suffix":""},{"dropping-particle":"","family":"Kenwood","given":"Christopher T.","non-dropping-particle":"","parse-names":false,"suffix":""},{"dropping-particle":"","family":"Lewis","given":"Eldrin F.","non-dropping-particle":"","parse-names":false,"suffix":""},{"dropping-particle":"","family":"O'Meara","given":"Eileen","non-dropping-particle":"","parse-names":false,"suffix":""},{"dropping-particle":"","family":"Probstfield","given":"Jeffrey L.","non-dropping-particle":"","parse-names":false,"suffix":""},{"dropping-particle":"","family":"Shaburishvili","given":"Tamaz","non-dropping-particle":"","parse-names":false,"suffix":""},{"dropping-particle":"","family":"Shah","given":"Sanjiv J.","non-dropping-particle":"","parse-names":false,"suffix":""},{"dropping-particle":"","family":"Solomon","given":"Scott D.","non-dropping-particle":"","parse-names":false,"suffix":""},{"dropping-particle":"","family":"Sweitzer","given":"Nancy K.","non-dropping-particle":"","parse-names":false,"suffix":""},{"dropping-particle":"","family":"Yang","given":"Song","non-dropping-particle":"","parse-names":false,"suffix":""},{"dropping-particle":"","family":"McKinlay","given":"Sonja M.","non-dropping-particle":"","parse-names":false,"suffix":""}],"container-title":"New England Journal of Medicine","id":"ITEM-2","issue":"15","issued":{"date-parts":[["2014","4","10"]]},"page":"1383-1392","publisher":"Massachussetts Medical Society","title":"Spironolactone for Heart Failure with Preserved Ejection Fraction","type":"article-journal","volume":"370"},"uris":["http://www.mendeley.com/documents/?uuid=16acf02a-f7e2-3395-a4ec-1f2849ac1d7d"]},{"id":"ITEM-3","itemData":{"DOI":"10.1056/NEJMoa0805450","ISSN":"15334406","PMID":"19001508","abstract":"Background: Approximately 50% of patients with heart failure have a left ventricular ejection fraction of at least 45%, but no therapies have been shown to improve the outcome of these patients. Therefore, we studied the effects of irbesartan in patients with this syndrome. Methods: We enrolled 4128 patients who were at least 60 years of age and had New York Heart Association class II, III, or IV heart failure and an ejection fraction of at least 45% and randomly assigned them to receive 300 mg of irbesartan or placebo per day. The primary composite outcome was death from any cause or hospitalization for a cardiovascular cause (heart failure, myocardial infarction, unstable angina, arrhythmia, or stroke). Secondary outcomes included death from heart failure or hospitalization for heart failure, death from any cause and from cardiovascular causes, and quality of life. Results: During a mean follow-up of 49.5 months, the primary outcome occurred in 742 patients in the irbesartan group and 763 in the placebo group. Primary event rates in the irbesartan and placebo groups were 100.4 and 105.4 per 1000 patient-years, respectively (hazard ratio, 0.95; 95% confidence interval [CI], 0.86 to 1.05; P = 0.35). Overall rates of death were 52.6 and 52.3 per 1000 patient-years, respectively (hazard ratio, 1.00; 95% CI, 0.88 to 1.14; P = 0.98). Rates of hospitalization for cardiovascular causes that contributed to the primary outcome were 70.6 and 74.3 per 1000 patient-years, respectively (hazard ratio, 0.95; 95% CI, 0.85 to 1.08; P = 0.44). There were no significant differences in the other prespecified outcomes. Conclusions: Irbesartan did not improve the outcomes of patients with heart failure and a preserved left ventricular ejection fraction. (ClinicalTrials.gov number, NCT00095238.) Copyright © 2008 Massachusetts Medical Society.","author":[{"dropping-particle":"","family":"Massie","given":"Barry M.","non-dropping-particle":"","parse-names":false,"suffix":""},{"dropping-particle":"","family":"Carson","given":"Peter E.","non-dropping-particle":"","parse-names":false,"suffix":""},{"dropping-particle":"","family":"McMurray","given":"John J.","non-dropping-particle":"","parse-names":false,"suffix":""},{"dropping-particle":"","family":"Komajda","given":"Michel","non-dropping-particle":"","parse-names":false,"suffix":""},{"dropping-particle":"","family":"McKelvie","given":"Robert","non-dropping-particle":"","parse-names":false,"suffix":""},{"dropping-particle":"","family":"Zile","given":"Michael R.","non-dropping-particle":"","parse-names":false,"suffix":""},{"dropping-particle":"","family":"Anderson","given":"Susan","non-dropping-particle":"","parse-names":false,"suffix":""},{"dropping-particle":"","family":"Donovan","given":"Mark","non-dropping-particle":"","parse-names":false,"suffix":""},{"dropping-particle":"","family":"Iverson","given":"Erik","non-dropping-particle":"","parse-names":false,"suffix":""},{"dropping-particle":"","family":"Staiger","given":"Christoph","non-dropping-particle":"","parse-names":false,"suffix":""},{"dropping-particle":"","family":"Ptaszynska","given":"Agata","non-dropping-particle":"","parse-names":false,"suffix":""}],"container-title":"New England Journal of Medicine","id":"ITEM-3","issue":"23","issued":{"date-parts":[["2008","12","4"]]},"page":"2456-2467","publisher":"Massachussetts Medical Society","title":"Irbesartan in patients with heart failure and preserved ejection fraction","type":"article-journal","volume":"359"},"uris":["http://www.mendeley.com/documents/?uuid=b52d8a29-bc79-375c-b104-14f6c1d729c2"]}],"mendeley":{"formattedCitation":"(30,31,204)","plainTextFormattedCitation":"(30,31,204)","previouslyFormattedCitation":"(30,31,204)"},"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(30,31,204)</w:t>
      </w:r>
      <w:r w:rsidR="000F3AD7" w:rsidRPr="004661E9">
        <w:rPr>
          <w:rFonts w:ascii="Arial" w:hAnsi="Arial" w:cs="Arial"/>
        </w:rPr>
        <w:fldChar w:fldCharType="end"/>
      </w:r>
      <w:r w:rsidR="00CF5776" w:rsidRPr="004661E9">
        <w:rPr>
          <w:rFonts w:ascii="Arial" w:hAnsi="Arial" w:cs="Arial"/>
        </w:rPr>
        <w:t>.</w:t>
      </w:r>
      <w:r w:rsidR="00D83B97" w:rsidRPr="004661E9">
        <w:rPr>
          <w:rFonts w:ascii="Arial" w:hAnsi="Arial" w:cs="Arial"/>
        </w:rPr>
        <w:t xml:space="preserve"> </w:t>
      </w:r>
    </w:p>
    <w:p w14:paraId="49DB8A8D" w14:textId="77777777" w:rsidR="0066579E" w:rsidRPr="004661E9" w:rsidRDefault="0066579E" w:rsidP="004661E9">
      <w:pPr>
        <w:spacing w:after="0" w:line="276" w:lineRule="auto"/>
        <w:rPr>
          <w:rFonts w:ascii="Arial" w:hAnsi="Arial" w:cs="Arial"/>
        </w:rPr>
      </w:pPr>
    </w:p>
    <w:p w14:paraId="7ABF44EB" w14:textId="5AE80D49" w:rsidR="0005562F" w:rsidRPr="004661E9" w:rsidRDefault="0066579E" w:rsidP="004661E9">
      <w:pPr>
        <w:spacing w:after="0" w:line="276" w:lineRule="auto"/>
        <w:rPr>
          <w:rFonts w:ascii="Arial" w:hAnsi="Arial" w:cs="Arial"/>
        </w:rPr>
      </w:pPr>
      <w:r w:rsidRPr="004661E9">
        <w:rPr>
          <w:rFonts w:ascii="Arial" w:hAnsi="Arial" w:cs="Arial"/>
        </w:rPr>
        <w:t xml:space="preserve">The </w:t>
      </w:r>
      <w:r w:rsidR="00D83B97" w:rsidRPr="004661E9">
        <w:rPr>
          <w:rFonts w:ascii="Arial" w:hAnsi="Arial" w:cs="Arial"/>
        </w:rPr>
        <w:t>guidelines focus on aggressive management of risk factors and comorbidities, exercise</w:t>
      </w:r>
      <w:r w:rsidR="00715FBA" w:rsidRPr="004661E9">
        <w:rPr>
          <w:rFonts w:ascii="Arial" w:hAnsi="Arial" w:cs="Arial"/>
        </w:rPr>
        <w:t xml:space="preserve"> training</w:t>
      </w:r>
      <w:r w:rsidR="00D83B97" w:rsidRPr="004661E9">
        <w:rPr>
          <w:rFonts w:ascii="Arial" w:hAnsi="Arial" w:cs="Arial"/>
        </w:rPr>
        <w:t>, and symptom management with diuretics when volume overload findings are present in patients with HFpEF</w:t>
      </w:r>
      <w:r w:rsidRPr="004661E9">
        <w:rPr>
          <w:rFonts w:ascii="Arial" w:hAnsi="Arial" w:cs="Arial"/>
        </w:rPr>
        <w:t xml:space="preserve"> </w:t>
      </w:r>
      <w:r w:rsidRPr="004661E9">
        <w:rPr>
          <w:rFonts w:ascii="Arial" w:hAnsi="Arial" w:cs="Arial"/>
        </w:rPr>
        <w:fldChar w:fldCharType="begin" w:fldLock="1"/>
      </w:r>
      <w:r w:rsidR="00300576"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Pr="004661E9">
        <w:rPr>
          <w:rFonts w:ascii="Arial" w:hAnsi="Arial" w:cs="Arial"/>
        </w:rPr>
        <w:fldChar w:fldCharType="separate"/>
      </w:r>
      <w:r w:rsidR="00E0281E" w:rsidRPr="004661E9">
        <w:rPr>
          <w:rFonts w:ascii="Arial" w:hAnsi="Arial" w:cs="Arial"/>
          <w:noProof/>
        </w:rPr>
        <w:t>(3)</w:t>
      </w:r>
      <w:r w:rsidRPr="004661E9">
        <w:rPr>
          <w:rFonts w:ascii="Arial" w:hAnsi="Arial" w:cs="Arial"/>
        </w:rPr>
        <w:fldChar w:fldCharType="end"/>
      </w:r>
      <w:r w:rsidRPr="004661E9">
        <w:rPr>
          <w:rFonts w:ascii="Arial" w:hAnsi="Arial" w:cs="Arial"/>
        </w:rPr>
        <w:t xml:space="preserve">. </w:t>
      </w:r>
      <w:r w:rsidR="00F05C65" w:rsidRPr="004661E9">
        <w:rPr>
          <w:rFonts w:ascii="Arial" w:hAnsi="Arial" w:cs="Arial"/>
        </w:rPr>
        <w:t xml:space="preserve">The landscape of medical management of HFpEF has </w:t>
      </w:r>
      <w:r w:rsidR="00FB66B8" w:rsidRPr="004661E9">
        <w:rPr>
          <w:rFonts w:ascii="Arial" w:hAnsi="Arial" w:cs="Arial"/>
        </w:rPr>
        <w:t xml:space="preserve">dramatically changed with the </w:t>
      </w:r>
      <w:r w:rsidR="005033B1" w:rsidRPr="004661E9">
        <w:rPr>
          <w:rFonts w:ascii="Arial" w:hAnsi="Arial" w:cs="Arial"/>
        </w:rPr>
        <w:t>data from clinical trial</w:t>
      </w:r>
      <w:r w:rsidR="006C2ECE" w:rsidRPr="004661E9">
        <w:rPr>
          <w:rFonts w:ascii="Arial" w:hAnsi="Arial" w:cs="Arial"/>
        </w:rPr>
        <w:t>s</w:t>
      </w:r>
      <w:r w:rsidR="005033B1" w:rsidRPr="004661E9">
        <w:rPr>
          <w:rFonts w:ascii="Arial" w:hAnsi="Arial" w:cs="Arial"/>
        </w:rPr>
        <w:t xml:space="preserve"> evaluating </w:t>
      </w:r>
      <w:r w:rsidR="006C2ECE" w:rsidRPr="004661E9">
        <w:rPr>
          <w:rFonts w:ascii="Arial" w:hAnsi="Arial" w:cs="Arial"/>
        </w:rPr>
        <w:t xml:space="preserve">the </w:t>
      </w:r>
      <w:r w:rsidR="005033B1" w:rsidRPr="004661E9">
        <w:rPr>
          <w:rFonts w:ascii="Arial" w:hAnsi="Arial" w:cs="Arial"/>
        </w:rPr>
        <w:t>safety and efficacy of SGLT2 inhibitor therapy in patients with HFpEF</w:t>
      </w:r>
      <w:r w:rsidR="001C412B" w:rsidRPr="004661E9">
        <w:rPr>
          <w:rFonts w:ascii="Arial" w:hAnsi="Arial" w:cs="Arial"/>
        </w:rPr>
        <w:t xml:space="preserve"> (Table 1)</w:t>
      </w:r>
      <w:r w:rsidR="005033B1" w:rsidRPr="004661E9">
        <w:rPr>
          <w:rFonts w:ascii="Arial" w:hAnsi="Arial" w:cs="Arial"/>
        </w:rPr>
        <w:t xml:space="preserve">. </w:t>
      </w:r>
      <w:r w:rsidR="00B671DF" w:rsidRPr="004661E9">
        <w:rPr>
          <w:rFonts w:ascii="Arial" w:hAnsi="Arial" w:cs="Arial"/>
        </w:rPr>
        <w:t xml:space="preserve">The EMPEROR-Preserved (Empagliflozin Outcome Trial in Patients with Chronic Heart Failure with Preserved Ejection Fraction) </w:t>
      </w:r>
      <w:r w:rsidR="00042E27" w:rsidRPr="004661E9">
        <w:rPr>
          <w:rFonts w:ascii="Arial" w:hAnsi="Arial" w:cs="Arial"/>
        </w:rPr>
        <w:t xml:space="preserve">enrolled </w:t>
      </w:r>
      <w:r w:rsidR="008C7D3E" w:rsidRPr="004661E9">
        <w:rPr>
          <w:rFonts w:ascii="Arial" w:hAnsi="Arial" w:cs="Arial"/>
        </w:rPr>
        <w:t xml:space="preserve">5988 </w:t>
      </w:r>
      <w:r w:rsidR="00042E27" w:rsidRPr="004661E9">
        <w:rPr>
          <w:rFonts w:ascii="Arial" w:hAnsi="Arial" w:cs="Arial"/>
        </w:rPr>
        <w:t>symptomatic patients with HF with LVEF &gt;40% and el</w:t>
      </w:r>
      <w:r w:rsidR="006C2ECE" w:rsidRPr="004661E9">
        <w:rPr>
          <w:rFonts w:ascii="Arial" w:hAnsi="Arial" w:cs="Arial"/>
        </w:rPr>
        <w:t>e</w:t>
      </w:r>
      <w:r w:rsidR="00042E27" w:rsidRPr="004661E9">
        <w:rPr>
          <w:rFonts w:ascii="Arial" w:hAnsi="Arial" w:cs="Arial"/>
        </w:rPr>
        <w:t>vated natriuretic peptides</w:t>
      </w:r>
      <w:r w:rsidR="00DF5B1A" w:rsidRPr="004661E9">
        <w:rPr>
          <w:rFonts w:ascii="Arial" w:hAnsi="Arial" w:cs="Arial"/>
        </w:rPr>
        <w:t xml:space="preserve"> </w:t>
      </w:r>
      <w:r w:rsidR="00842279" w:rsidRPr="004661E9">
        <w:rPr>
          <w:rFonts w:ascii="Arial" w:hAnsi="Arial" w:cs="Arial"/>
        </w:rPr>
        <w:fldChar w:fldCharType="begin" w:fldLock="1"/>
      </w:r>
      <w:r w:rsidR="001C412B" w:rsidRPr="004661E9">
        <w:rPr>
          <w:rFonts w:ascii="Arial" w:hAnsi="Arial" w:cs="Arial"/>
        </w:rPr>
        <w:instrText>ADDIN CSL_CITATION {"citationItems":[{"id":"ITEM-1","itemData":{"DOI":"10.1056/nejmoa2107038","ISSN":"0028-4793","PMID":"34449189","abstract":"BACKGROUND Sodium-glucose cotransporter 2 inhibitors reduce the risk of hospitalization for heart failure in patients with heart failure and a reduced ejection fraction, but their effects in patients with heart failure and a preserved ejection fraction are uncertain. METHODS In this double-blind trial, we randomly assigned 5988 patients with class II-IV heart failure and an ejection fraction of more than 40% to receive empagliflozin (10 mg once daily) or placebo, in addition to usual therapy. The primary outcome was a composite of cardiovascular death or hospitalization for heart failure. RESULTS Over a median of 26.2 months, a primary outcome event occurred in 415 of 2997 patients (13.8%) in the empagliflozin group and in 511 of 2991 patients (17.1%) in the placebo group (hazard ratio, 0.79; 95% confidence interval [CI], 0.69 to 0.90; P&lt;0.001). This effect was mainly related to a lower risk of hospitalization for heart failure in the empagliflozin group. The effects of empagliflozin appeared consistent in patients with or without diabetes. The total number of hospitalizations for heart failure was lower in the empagliflozin group than in the placebo group (407 with empagliflozin and 541 with placebo; hazard ratio, 0.73; 95% CI, 0.61 to 0.88; P&lt;0.001). Uncomplicated genital and urinary tract infections and hypotension were reported more frequently with empagliflozin. CONCLUSIONS Empagliflozin reduced the combined risk of cardiovascular death or hospitalization for heart failure in patients with heart failure and a preserved ejection fraction, regardless of the presence or absence of diabetes. (Funded by Boehringer Ingelheim and Eli Lilly; EMPEROR-Preserved ClinicalTrials.gov number, NCT03057951).","author":[{"dropping-particle":"","family":"Anker","given":"Stefan D.","non-dropping-particle":"","parse-names":false,"suffix":""},{"dropping-particle":"","family":"Butler","given":"Javed","non-dropping-particle":"","parse-names":false,"suffix":""},{"dropping-particle":"","family":"Filippatos","given":"Gerasimos","non-dropping-particle":"","parse-names":false,"suffix":""},{"dropping-particle":"","family":"Ferreira","given":"João P.","non-dropping-particle":"","parse-names":false,"suffix":""},{"dropping-particle":"","family":"Bocchi","given":"Edimar","non-dropping-particle":"","parse-names":false,"suffix":""},{"dropping-particle":"","family":"Böhm","given":"Michael","non-dropping-particle":"","parse-names":false,"suffix":""},{"dropping-particle":"","family":"Brunner–La Rocca","given":"Hans-Peter","non-dropping-particle":"","parse-names":false,"suffix":""},{"dropping-particle":"","family":"Choi","given":"Dong-Ju","non-dropping-particle":"","parse-names":false,"suffix":""},{"dropping-particle":"","family":"Chopra","given":"Vijay","non-dropping-particle":"","parse-names":false,"suffix":""},{"dropping-particle":"","family":"Chuquiure-Valenzuela","given":"Eduardo","non-dropping-particle":"","parse-names":false,"suffix":""},{"dropping-particle":"","family":"Giannetti","given":"Nadia","non-dropping-particle":"","parse-names":false,"suffix":""},{"dropping-particle":"","family":"Gomez-Mesa","given":"Juan Esteban","non-dropping-particle":"","parse-names":false,"suffix":""},{"dropping-particle":"","family":"Janssens","given":"Stefan","non-dropping-particle":"","parse-names":false,"suffix":""},{"dropping-particle":"","family":"Januzzi","given":"James L.","non-dropping-particle":"","parse-names":false,"suffix":""},{"dropping-particle":"","family":"Gonzalez-Juanatey","given":"Jose R.","non-dropping-particle":"","parse-names":false,"suffix":""},{"dropping-particle":"","family":"Merkely","given":"Bela","non-dropping-particle":"","parse-names":false,"suffix":""},{"dropping-particle":"","family":"Nicholls","given":"Stephen J.","non-dropping-particle":"","parse-names":false,"suffix":""},{"dropping-particle":"V.","family":"Perrone","given":"Sergio","non-dropping-particle":"","parse-names":false,"suffix":""},{"dropping-particle":"","family":"Piña","given":"Ileana L.","non-dropping-particle":"","parse-names":false,"suffix":""},{"dropping-particle":"","family":"Ponikowski","given":"Piotr","non-dropping-particle":"","parse-names":false,"suffix":""},{"dropping-particle":"","family":"Senni","given":"Michele","non-dropping-particle":"","parse-names":false,"suffix":""},{"dropping-particle":"","family":"Sim","given":"David","non-dropping-particle":"","parse-names":false,"suffix":""},{"dropping-particle":"","family":"Spinar","given":"Jindrich","non-dropping-particle":"","parse-names":false,"suffix":""},{"dropping-particle":"","family":"Squire","given":"Iain","non-dropping-particle":"","parse-names":false,"suffix":""},{"dropping-particle":"","family":"Taddei","given":"Stefano","non-dropping-particle":"","parse-names":false,"suffix":""},{"dropping-particle":"","family":"Tsutsui","given":"Hiroyuki","non-dropping-particle":"","parse-names":false,"suffix":""},{"dropping-particle":"","family":"Verma","given":"Subodh","non-dropping-particle":"","parse-names":false,"suffix":""},{"dropping-particle":"","family":"Vinereanu","given":"Dragos","non-dropping-particle":"","parse-names":false,"suffix":""},{"dropping-particle":"","family":"Zhang","given":"Jian","non-dropping-particle":"","parse-names":false,"suffix":""},{"dropping-particle":"","family":"Carson","given":"Peter","non-dropping-particle":"","parse-names":false,"suffix":""},{"dropping-particle":"","family":"Lam","given":"Carolyn Su Ping","non-dropping-particle":"","parse-names":false,"suffix":""},{"dropping-particle":"","family":"Marx","given":"Nikolaus","non-dropping-particle":"","parse-names":false,"suffix":""},{"dropping-particle":"","family":"Zeller","given":"Cordula","non-dropping-particle":"","parse-names":false,"suffix":""},{"dropping-particle":"","family":"Sattar","given":"Naveed","non-dropping-particle":"","parse-names":false,"suffix":""},{"dropping-particle":"","family":"Jamal","given":"Waheed","non-dropping-particle":"","parse-names":false,"suffix":""},{"dropping-particle":"","family":"Schnaidt","given":"Sven","non-dropping-particle":"","parse-names":false,"suffix":""},{"dropping-particle":"","family":"Schnee","given":"Janet M.","non-dropping-particle":"","parse-names":false,"suffix":""},{"dropping-particle":"","family":"Brueckmann","given":"Martina","non-dropping-particle":"","parse-names":false,"suffix":""},{"dropping-particle":"","family":"Pocock","given":"Stuart J.","non-dropping-particle":"","parse-names":false,"suffix":""},{"dropping-particle":"","family":"Zannad","given":"Faiez","non-dropping-particle":"","parse-names":false,"suffix":""},{"dropping-particle":"","family":"Packer","given":"Milton","non-dropping-particle":"","parse-names":false,"suffix":""}],"container-title":"New England Journal of Medicine","id":"ITEM-1","issue":"16","issued":{"date-parts":[["2021"]]},"page":"1451-1461","title":"Empagliflozin in Heart Failure with a Preserved Ejection Fraction","type":"article-journal","volume":"385"},"uris":["http://www.mendeley.com/documents/?uuid=c846f7e9-5915-4c9d-81fe-2c03ffdc6c55"]}],"mendeley":{"formattedCitation":"(194)","plainTextFormattedCitation":"(194)","previouslyFormattedCitation":"(194)"},"properties":{"noteIndex":0},"schema":"https://github.com/citation-style-language/schema/raw/master/csl-citation.json"}</w:instrText>
      </w:r>
      <w:r w:rsidR="00842279" w:rsidRPr="004661E9">
        <w:rPr>
          <w:rFonts w:ascii="Arial" w:hAnsi="Arial" w:cs="Arial"/>
        </w:rPr>
        <w:fldChar w:fldCharType="separate"/>
      </w:r>
      <w:r w:rsidR="001C412B" w:rsidRPr="004661E9">
        <w:rPr>
          <w:rFonts w:ascii="Arial" w:hAnsi="Arial" w:cs="Arial"/>
          <w:noProof/>
        </w:rPr>
        <w:t>(194)</w:t>
      </w:r>
      <w:r w:rsidR="00842279" w:rsidRPr="004661E9">
        <w:rPr>
          <w:rFonts w:ascii="Arial" w:hAnsi="Arial" w:cs="Arial"/>
        </w:rPr>
        <w:fldChar w:fldCharType="end"/>
      </w:r>
      <w:r w:rsidR="00902C05" w:rsidRPr="004661E9">
        <w:rPr>
          <w:rFonts w:ascii="Arial" w:hAnsi="Arial" w:cs="Arial"/>
        </w:rPr>
        <w:t xml:space="preserve">. In this trial, </w:t>
      </w:r>
      <w:r w:rsidR="006C2ECE" w:rsidRPr="004661E9">
        <w:rPr>
          <w:rFonts w:ascii="Arial" w:hAnsi="Arial" w:cs="Arial"/>
        </w:rPr>
        <w:t>compared to placebo, empagliflozin therapy</w:t>
      </w:r>
      <w:r w:rsidR="001C5013" w:rsidRPr="004661E9">
        <w:rPr>
          <w:rFonts w:ascii="Arial" w:hAnsi="Arial" w:cs="Arial"/>
        </w:rPr>
        <w:t xml:space="preserve"> reduced the </w:t>
      </w:r>
      <w:r w:rsidR="005A5414" w:rsidRPr="004661E9">
        <w:rPr>
          <w:rFonts w:ascii="Arial" w:hAnsi="Arial" w:cs="Arial"/>
        </w:rPr>
        <w:t xml:space="preserve">primary </w:t>
      </w:r>
      <w:r w:rsidR="001C5013" w:rsidRPr="004661E9">
        <w:rPr>
          <w:rFonts w:ascii="Arial" w:hAnsi="Arial" w:cs="Arial"/>
        </w:rPr>
        <w:t>composite outcome of</w:t>
      </w:r>
      <w:r w:rsidR="005A5414" w:rsidRPr="004661E9">
        <w:rPr>
          <w:rFonts w:ascii="Arial" w:hAnsi="Arial" w:cs="Arial"/>
        </w:rPr>
        <w:t xml:space="preserve"> CV</w:t>
      </w:r>
      <w:r w:rsidR="00D87EEE" w:rsidRPr="004661E9">
        <w:rPr>
          <w:rFonts w:ascii="Arial" w:hAnsi="Arial" w:cs="Arial"/>
        </w:rPr>
        <w:t>D</w:t>
      </w:r>
      <w:r w:rsidR="005A5414" w:rsidRPr="004661E9">
        <w:rPr>
          <w:rFonts w:ascii="Arial" w:hAnsi="Arial" w:cs="Arial"/>
        </w:rPr>
        <w:t xml:space="preserve"> death or HF hospitalization </w:t>
      </w:r>
      <w:r w:rsidR="004E7358" w:rsidRPr="004661E9">
        <w:rPr>
          <w:rFonts w:ascii="Arial" w:hAnsi="Arial" w:cs="Arial"/>
        </w:rPr>
        <w:t xml:space="preserve">by </w:t>
      </w:r>
      <w:r w:rsidR="00B965CB" w:rsidRPr="004661E9">
        <w:rPr>
          <w:rFonts w:ascii="Arial" w:hAnsi="Arial" w:cs="Arial"/>
        </w:rPr>
        <w:t>2</w:t>
      </w:r>
      <w:r w:rsidR="004E7358" w:rsidRPr="004661E9">
        <w:rPr>
          <w:rFonts w:ascii="Arial" w:hAnsi="Arial" w:cs="Arial"/>
        </w:rPr>
        <w:t>1%</w:t>
      </w:r>
      <w:r w:rsidR="00B965CB" w:rsidRPr="004661E9">
        <w:rPr>
          <w:rFonts w:ascii="Arial" w:hAnsi="Arial" w:cs="Arial"/>
        </w:rPr>
        <w:t xml:space="preserve">, primarily driven by </w:t>
      </w:r>
      <w:r w:rsidR="006B2A5D" w:rsidRPr="004661E9">
        <w:rPr>
          <w:rFonts w:ascii="Arial" w:hAnsi="Arial" w:cs="Arial"/>
        </w:rPr>
        <w:t xml:space="preserve">a </w:t>
      </w:r>
      <w:r w:rsidR="00842279" w:rsidRPr="004661E9">
        <w:rPr>
          <w:rFonts w:ascii="Arial" w:hAnsi="Arial" w:cs="Arial"/>
        </w:rPr>
        <w:t xml:space="preserve">29% </w:t>
      </w:r>
      <w:r w:rsidR="006B2A5D" w:rsidRPr="004661E9">
        <w:rPr>
          <w:rFonts w:ascii="Arial" w:hAnsi="Arial" w:cs="Arial"/>
        </w:rPr>
        <w:t>reduction in HF hospitalization.</w:t>
      </w:r>
      <w:r w:rsidR="000B76A1" w:rsidRPr="004661E9">
        <w:rPr>
          <w:rFonts w:ascii="Arial" w:hAnsi="Arial" w:cs="Arial"/>
        </w:rPr>
        <w:t xml:space="preserve"> </w:t>
      </w:r>
      <w:r w:rsidR="00941334" w:rsidRPr="004661E9">
        <w:rPr>
          <w:rFonts w:ascii="Arial" w:hAnsi="Arial" w:cs="Arial"/>
        </w:rPr>
        <w:t>SGLT2 inhibitor therapy was benefi</w:t>
      </w:r>
      <w:r w:rsidR="006C2ECE" w:rsidRPr="004661E9">
        <w:rPr>
          <w:rFonts w:ascii="Arial" w:hAnsi="Arial" w:cs="Arial"/>
        </w:rPr>
        <w:t>c</w:t>
      </w:r>
      <w:r w:rsidR="00941334" w:rsidRPr="004661E9">
        <w:rPr>
          <w:rFonts w:ascii="Arial" w:hAnsi="Arial" w:cs="Arial"/>
        </w:rPr>
        <w:t>ial regardless of the presence o</w:t>
      </w:r>
      <w:r w:rsidR="00D42EB8" w:rsidRPr="004661E9">
        <w:rPr>
          <w:rFonts w:ascii="Arial" w:hAnsi="Arial" w:cs="Arial"/>
        </w:rPr>
        <w:t>r</w:t>
      </w:r>
      <w:r w:rsidR="00941334" w:rsidRPr="004661E9">
        <w:rPr>
          <w:rFonts w:ascii="Arial" w:hAnsi="Arial" w:cs="Arial"/>
        </w:rPr>
        <w:t xml:space="preserve"> absence of T2DM. Based on the results of </w:t>
      </w:r>
      <w:r w:rsidR="006C2ECE" w:rsidRPr="004661E9">
        <w:rPr>
          <w:rFonts w:ascii="Arial" w:hAnsi="Arial" w:cs="Arial"/>
        </w:rPr>
        <w:t xml:space="preserve">the </w:t>
      </w:r>
      <w:r w:rsidR="00941334" w:rsidRPr="004661E9">
        <w:rPr>
          <w:rFonts w:ascii="Arial" w:hAnsi="Arial" w:cs="Arial"/>
        </w:rPr>
        <w:t>EMPEROR-P</w:t>
      </w:r>
      <w:r w:rsidR="0048066D" w:rsidRPr="004661E9">
        <w:rPr>
          <w:rFonts w:ascii="Arial" w:hAnsi="Arial" w:cs="Arial"/>
        </w:rPr>
        <w:t>reserved trial</w:t>
      </w:r>
      <w:r w:rsidR="000D6AC7" w:rsidRPr="004661E9">
        <w:rPr>
          <w:rFonts w:ascii="Arial" w:hAnsi="Arial" w:cs="Arial"/>
        </w:rPr>
        <w:t xml:space="preserve">, the </w:t>
      </w:r>
      <w:r w:rsidR="00BC17B9" w:rsidRPr="004661E9">
        <w:rPr>
          <w:rFonts w:ascii="Arial" w:hAnsi="Arial" w:cs="Arial"/>
        </w:rPr>
        <w:t xml:space="preserve">2022 </w:t>
      </w:r>
      <w:r w:rsidR="00BE5602" w:rsidRPr="004661E9">
        <w:rPr>
          <w:rFonts w:ascii="Arial" w:hAnsi="Arial" w:cs="Arial"/>
        </w:rPr>
        <w:t>ACC/AHA</w:t>
      </w:r>
      <w:r w:rsidR="0060044F" w:rsidRPr="004661E9">
        <w:rPr>
          <w:rFonts w:ascii="Arial" w:hAnsi="Arial" w:cs="Arial"/>
        </w:rPr>
        <w:t xml:space="preserve">/HFSA guidelines </w:t>
      </w:r>
      <w:r w:rsidR="00BC17B9" w:rsidRPr="004661E9">
        <w:rPr>
          <w:rFonts w:ascii="Arial" w:hAnsi="Arial" w:cs="Arial"/>
        </w:rPr>
        <w:t>recommended (class IIa) SGLT2 inhibitor therapy</w:t>
      </w:r>
      <w:r w:rsidR="0048066D" w:rsidRPr="004661E9">
        <w:rPr>
          <w:rFonts w:ascii="Arial" w:hAnsi="Arial" w:cs="Arial"/>
        </w:rPr>
        <w:t xml:space="preserve"> to reduce CV death and HF hospitalization</w:t>
      </w:r>
      <w:r w:rsidR="00BC17B9" w:rsidRPr="004661E9">
        <w:rPr>
          <w:rFonts w:ascii="Arial" w:hAnsi="Arial" w:cs="Arial"/>
        </w:rPr>
        <w:t xml:space="preserve"> in patient</w:t>
      </w:r>
      <w:r w:rsidR="00F949F7" w:rsidRPr="004661E9">
        <w:rPr>
          <w:rFonts w:ascii="Arial" w:hAnsi="Arial" w:cs="Arial"/>
        </w:rPr>
        <w:t>s</w:t>
      </w:r>
      <w:r w:rsidR="00FA3A23" w:rsidRPr="004661E9">
        <w:rPr>
          <w:rFonts w:ascii="Arial" w:hAnsi="Arial" w:cs="Arial"/>
        </w:rPr>
        <w:t xml:space="preserve"> </w:t>
      </w:r>
      <w:r w:rsidR="00F949F7" w:rsidRPr="004661E9">
        <w:rPr>
          <w:rFonts w:ascii="Arial" w:hAnsi="Arial" w:cs="Arial"/>
        </w:rPr>
        <w:t>with HFpEF</w:t>
      </w:r>
      <w:r w:rsidR="00A42B60" w:rsidRPr="004661E9">
        <w:rPr>
          <w:rFonts w:ascii="Arial" w:hAnsi="Arial" w:cs="Arial"/>
        </w:rPr>
        <w:t xml:space="preserve"> and HFmrEF</w:t>
      </w:r>
      <w:r w:rsidR="00F949F7" w:rsidRPr="004661E9">
        <w:rPr>
          <w:rFonts w:ascii="Arial" w:hAnsi="Arial" w:cs="Arial"/>
        </w:rPr>
        <w:t xml:space="preserve"> </w:t>
      </w:r>
      <w:r w:rsidR="00F949F7" w:rsidRPr="004661E9">
        <w:rPr>
          <w:rFonts w:ascii="Arial" w:hAnsi="Arial" w:cs="Arial"/>
        </w:rPr>
        <w:fldChar w:fldCharType="begin" w:fldLock="1"/>
      </w:r>
      <w:r w:rsidR="00300576"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00F949F7" w:rsidRPr="004661E9">
        <w:rPr>
          <w:rFonts w:ascii="Arial" w:hAnsi="Arial" w:cs="Arial"/>
        </w:rPr>
        <w:fldChar w:fldCharType="separate"/>
      </w:r>
      <w:r w:rsidR="00E0281E" w:rsidRPr="004661E9">
        <w:rPr>
          <w:rFonts w:ascii="Arial" w:hAnsi="Arial" w:cs="Arial"/>
          <w:noProof/>
        </w:rPr>
        <w:t>(3)</w:t>
      </w:r>
      <w:r w:rsidR="00F949F7" w:rsidRPr="004661E9">
        <w:rPr>
          <w:rFonts w:ascii="Arial" w:hAnsi="Arial" w:cs="Arial"/>
        </w:rPr>
        <w:fldChar w:fldCharType="end"/>
      </w:r>
      <w:r w:rsidR="00F949F7" w:rsidRPr="004661E9">
        <w:rPr>
          <w:rFonts w:ascii="Arial" w:hAnsi="Arial" w:cs="Arial"/>
        </w:rPr>
        <w:t>.</w:t>
      </w:r>
      <w:r w:rsidR="00A42B60" w:rsidRPr="004661E9">
        <w:rPr>
          <w:rFonts w:ascii="Arial" w:hAnsi="Arial" w:cs="Arial"/>
        </w:rPr>
        <w:t xml:space="preserve"> </w:t>
      </w:r>
      <w:r w:rsidR="006B0C43" w:rsidRPr="004661E9">
        <w:rPr>
          <w:rFonts w:ascii="Arial" w:hAnsi="Arial" w:cs="Arial"/>
        </w:rPr>
        <w:t xml:space="preserve">Since the publication of these guidelines, </w:t>
      </w:r>
      <w:r w:rsidR="00D76442" w:rsidRPr="004661E9">
        <w:rPr>
          <w:rFonts w:ascii="Arial" w:hAnsi="Arial" w:cs="Arial"/>
        </w:rPr>
        <w:t>the DELIVER (Dapagliflozin Evaluation to Improve the Lives of Patients with Preserved Ejection Fraction Heart Failure)</w:t>
      </w:r>
      <w:r w:rsidR="006B2A5D" w:rsidRPr="004661E9">
        <w:rPr>
          <w:rFonts w:ascii="Arial" w:hAnsi="Arial" w:cs="Arial"/>
        </w:rPr>
        <w:t xml:space="preserve"> </w:t>
      </w:r>
      <w:r w:rsidR="00D76442" w:rsidRPr="004661E9">
        <w:rPr>
          <w:rFonts w:ascii="Arial" w:hAnsi="Arial" w:cs="Arial"/>
        </w:rPr>
        <w:t>trial was completed</w:t>
      </w:r>
      <w:r w:rsidR="009554A6" w:rsidRPr="004661E9">
        <w:rPr>
          <w:rFonts w:ascii="Arial" w:hAnsi="Arial" w:cs="Arial"/>
        </w:rPr>
        <w:t xml:space="preserve"> </w:t>
      </w:r>
      <w:r w:rsidR="001A798E" w:rsidRPr="004661E9">
        <w:rPr>
          <w:rFonts w:ascii="Arial" w:hAnsi="Arial" w:cs="Arial"/>
        </w:rPr>
        <w:fldChar w:fldCharType="begin" w:fldLock="1"/>
      </w:r>
      <w:r w:rsidR="00E156CB" w:rsidRPr="004661E9">
        <w:rPr>
          <w:rFonts w:ascii="Arial" w:hAnsi="Arial" w:cs="Arial"/>
        </w:rPr>
        <w:instrText>ADDIN CSL_CITATION {"citationItems":[{"id":"ITEM-1","itemData":{"DOI":"10.1056/nejmoa2206286","ISSN":"0028-4793","PMID":"36027570","abstract":"BACKGROUND Sodium-glucose cotransporter 2 (SGLT2) inhibitors reduce the risk of hospitalization for heart failure and cardiovascular death among patients with chronic heart failure and a left ventricular ejection fraction of 40% or less. Whether SGLT2 inhibitors are effective in patients with a higher left ventricular ejection fraction remains less certain. METHODS We randomly assigned 6263 patients with heart failure and a left ventricular ejection fraction of more than 40% to receive dapagliflozin (at a dose of 10 mg once daily) or matching placebo, in addition to usual therapy. The primary outcome was a composite of worsening heart failure (which was defined as either an unplanned hospitalization for heart failure or an urgent visit for heart failure) or cardiovascular death, as assessed in a time-to-event analysis. RESULTS Over a median of 2.3 years, the primary outcome occurred in 512 of 3131 patients (16.4%) in the dapagliflozin group and in 610 of 3132 patients (19.5%) in the placebo group (hazard ratio, 0.82; 95% confidence interval [CI], 0.73 to 0.92; P&lt;0.001). Worsening heart failure occurred in 368 patients (11.8%) in the dapagliflozin group and in 455 patients (14.5%) in the placebo group (hazard ratio, 0.79; 95% CI, 0.69 to 0.91); cardiovascular death occurred in 231 patients (7.4%) and 261 patients (8.3%), respectively (hazard ratio, 0.88; 95% CI, 0.74 to 1.05). Total events and symptom burden were lower in the dapagliflozin group than in the placebo group. Results were similar among patients with a left ventricular ejection fraction of 60% or more and those with a left ventricular ejection fraction of less than 60%, and results were similar in prespecified subgroups, including patients with or without diabetes. The incidence of adverse events was similar in the two groups. CONCLUSIONS Dapagliflozin reduced the combined risk of worsening heart failure or cardiovascular death among patients with heart failure and a mildly reduced or preserved ejection fraction. (Funded by AstraZeneca; DELIVER ClinicalTrials.gov number, NCT03619213.).","author":[{"dropping-particle":"","family":"Solomon","given":"Scott D.","non-dropping-particle":"","parse-names":false,"suffix":""},{"dropping-particle":"","family":"McMurray","given":"John J.V.","non-dropping-particle":"","parse-names":false,"suffix":""},{"dropping-particle":"","family":"Claggett","given":"Brian","non-dropping-particle":"","parse-names":false,"suffix":""},{"dropping-particle":"","family":"Boer","given":"Rudolf A.","non-dropping-particle":"de","parse-names":false,"suffix":""},{"dropping-particle":"","family":"DeMets","given":"David","non-dropping-particle":"","parse-names":false,"suffix":""},{"dropping-particle":"","family":"Hernandez","given":"Adrian F.","non-dropping-particle":"","parse-names":false,"suffix":""},{"dropping-particle":"","family":"Inzucchi","given":"Silvio E.","non-dropping-particle":"","parse-names":false,"suffix":""},{"dropping-particle":"","family":"Kosiborod","given":"Mikhail N.","non-dropping-particle":"","parse-names":false,"suffix":""},{"dropping-particle":"","family":"Lam","given":"Carolyn S.P.","non-dropping-particle":"","parse-names":false,"suffix":""},{"dropping-particle":"","family":"Martinez","given":"Felipe","non-dropping-particle":"","parse-names":false,"suffix":""},{"dropping-particle":"","family":"Shah","given":"Sanjiv J.","non-dropping-particle":"","parse-names":false,"suffix":""},{"dropping-particle":"","family":"Desai","given":"Akshay S.","non-dropping-particle":"","parse-names":false,"suffix":""},{"dropping-particle":"","family":"Jhund","given":"Pardeep S.","non-dropping-particle":"","parse-names":false,"suffix":""},{"dropping-particle":"","family":"Belohlavek","given":"Jan","non-dropping-particle":"","parse-names":false,"suffix":""},{"dropping-particle":"","family":"Chiang","given":"Chern-En","non-dropping-particle":"","parse-names":false,"suffix":""},{"dropping-particle":"","family":"Borleffs","given":"C. Jan Willem","non-dropping-particle":"","parse-names":false,"suffix":""},{"dropping-particle":"","family":"Comin-Colet","given":"Josep","non-dropping-particle":"","parse-names":false,"suffix":""},{"dropping-particle":"","family":"Dobreanu","given":"Dan","non-dropping-particle":"","parse-names":false,"suffix":""},{"dropping-particle":"","family":"Drozdz","given":"Jaroslaw","non-dropping-particle":"","parse-names":false,"suffix":""},{"dropping-particle":"","family":"Fang","given":"James C.","non-dropping-particle":"","parse-names":false,"suffix":""},{"dropping-particle":"","family":"Alcocer-Gamba","given":"Marco Antonio","non-dropping-particle":"","parse-names":false,"suffix":""},{"dropping-particle":"","family":"Habeeb","given":"Waleed","non-dropping-particle":"Al","parse-names":false,"suffix":""},{"dropping-particle":"","family":"Han","given":"Yaling","non-dropping-particle":"","parse-names":false,"suffix":""},{"dropping-particle":"","family":"Cabrera Honorio","given":"Jose Walter","non-dropping-particle":"","parse-names":false,"suffix":""},{"dropping-particle":"","family":"Janssens","given":"Stefan P.","non-dropping-particle":"","parse-names":false,"suffix":""},{"dropping-particle":"","family":"Katova","given":"Tzvetana","non-dropping-particle":"","parse-names":false,"suffix":""},{"dropping-particle":"","family":"Kitakaze","given":"Masafumi","non-dropping-particle":"","parse-names":false,"suffix":""},{"dropping-particle":"","family":"Merkely","given":"Béla","non-dropping-particle":"","parse-names":false,"suffix":""},{"dropping-particle":"","family":"O’Meara","given":"Eileen","non-dropping-particle":"","parse-names":false,"suffix":""},{"dropping-particle":"","family":"Saraiva","given":"Jose Francisco Kerr","non-dropping-particle":"","parse-names":false,"suffix":""},{"dropping-particle":"","family":"Tereshchenko","given":"Sergey N.","non-dropping-particle":"","parse-names":false,"suffix":""},{"dropping-particle":"","family":"Thierer","given":"Jorge","non-dropping-particle":"","parse-names":false,"suffix":""},{"dropping-particle":"","family":"Vaduganathan","given":"Muthiah","non-dropping-particle":"","parse-names":false,"suffix":""},{"dropping-particle":"","family":"Vardeny","given":"Orly","non-dropping-particle":"","parse-names":false,"suffix":""},{"dropping-particle":"","family":"Verma","given":"Subodh","non-dropping-particle":"","parse-names":false,"suffix":""},{"dropping-particle":"","family":"Pham","given":"Vinh Nguyen","non-dropping-particle":"","parse-names":false,"suffix":""},{"dropping-particle":"","family":"Wilderäng","given":"Ulrica","non-dropping-particle":"","parse-names":false,"suffix":""},{"dropping-particle":"","family":"Zaozerska","given":"Natalia","non-dropping-particle":"","parse-names":false,"suffix":""},{"dropping-particle":"","family":"Bachus","given":"Erasmus","non-dropping-particle":"","parse-names":false,"suffix":""},{"dropping-particle":"","family":"Lindholm","given":"Daniel","non-dropping-particle":"","parse-names":false,"suffix":""},{"dropping-particle":"","family":"Petersson","given":"Magnus","non-dropping-particle":"","parse-names":false,"suffix":""},{"dropping-particle":"","family":"Langkilde","given":"Anna Maria","non-dropping-particle":"","parse-names":false,"suffix":""}],"container-title":"New England Journal of Medicine","id":"ITEM-1","issue":"12","issued":{"date-parts":[["2022"]]},"page":"1089-1098","title":"Dapagliflozin in Heart Failure with Mildly Reduced or Preserved Ejection Fraction","type":"article-journal","volume":"387"},"uris":["http://www.mendeley.com/documents/?uuid=ac3caf30-03fb-4a64-8882-c6c5c2520074"]}],"mendeley":{"formattedCitation":"(118)","plainTextFormattedCitation":"(118)","previouslyFormattedCitation":"(118)"},"properties":{"noteIndex":0},"schema":"https://github.com/citation-style-language/schema/raw/master/csl-citation.json"}</w:instrText>
      </w:r>
      <w:r w:rsidR="001A798E" w:rsidRPr="004661E9">
        <w:rPr>
          <w:rFonts w:ascii="Arial" w:hAnsi="Arial" w:cs="Arial"/>
        </w:rPr>
        <w:fldChar w:fldCharType="separate"/>
      </w:r>
      <w:r w:rsidR="003C01B8" w:rsidRPr="004661E9">
        <w:rPr>
          <w:rFonts w:ascii="Arial" w:hAnsi="Arial" w:cs="Arial"/>
          <w:noProof/>
        </w:rPr>
        <w:t>(118)</w:t>
      </w:r>
      <w:r w:rsidR="001A798E" w:rsidRPr="004661E9">
        <w:rPr>
          <w:rFonts w:ascii="Arial" w:hAnsi="Arial" w:cs="Arial"/>
        </w:rPr>
        <w:fldChar w:fldCharType="end"/>
      </w:r>
      <w:r w:rsidR="00050DAA" w:rsidRPr="004661E9">
        <w:rPr>
          <w:rFonts w:ascii="Arial" w:hAnsi="Arial" w:cs="Arial"/>
        </w:rPr>
        <w:t xml:space="preserve">. </w:t>
      </w:r>
      <w:r w:rsidR="00D2537D" w:rsidRPr="004661E9">
        <w:rPr>
          <w:rFonts w:ascii="Arial" w:hAnsi="Arial" w:cs="Arial"/>
        </w:rPr>
        <w:t>T</w:t>
      </w:r>
      <w:r w:rsidR="00050DAA" w:rsidRPr="004661E9">
        <w:rPr>
          <w:rFonts w:ascii="Arial" w:hAnsi="Arial" w:cs="Arial"/>
        </w:rPr>
        <w:t>his trial</w:t>
      </w:r>
      <w:r w:rsidR="001D6144" w:rsidRPr="004661E9">
        <w:rPr>
          <w:rFonts w:ascii="Arial" w:hAnsi="Arial" w:cs="Arial"/>
        </w:rPr>
        <w:t xml:space="preserve"> demons</w:t>
      </w:r>
      <w:r w:rsidR="00EA0C70" w:rsidRPr="004661E9">
        <w:rPr>
          <w:rFonts w:ascii="Arial" w:hAnsi="Arial" w:cs="Arial"/>
        </w:rPr>
        <w:t>t</w:t>
      </w:r>
      <w:r w:rsidR="001D6144" w:rsidRPr="004661E9">
        <w:rPr>
          <w:rFonts w:ascii="Arial" w:hAnsi="Arial" w:cs="Arial"/>
        </w:rPr>
        <w:t xml:space="preserve">rated </w:t>
      </w:r>
      <w:r w:rsidR="002F624F" w:rsidRPr="004661E9">
        <w:rPr>
          <w:rFonts w:ascii="Arial" w:hAnsi="Arial" w:cs="Arial"/>
        </w:rPr>
        <w:t xml:space="preserve">similar benefits of </w:t>
      </w:r>
      <w:r w:rsidR="00D42EB8" w:rsidRPr="004661E9">
        <w:rPr>
          <w:rFonts w:ascii="Arial" w:hAnsi="Arial" w:cs="Arial"/>
        </w:rPr>
        <w:t>d</w:t>
      </w:r>
      <w:r w:rsidR="002F624F" w:rsidRPr="004661E9">
        <w:rPr>
          <w:rFonts w:ascii="Arial" w:hAnsi="Arial" w:cs="Arial"/>
        </w:rPr>
        <w:t>apagliflozin therapy</w:t>
      </w:r>
      <w:r w:rsidR="000A085E" w:rsidRPr="004661E9">
        <w:rPr>
          <w:rFonts w:ascii="Arial" w:hAnsi="Arial" w:cs="Arial"/>
        </w:rPr>
        <w:t xml:space="preserve"> in patients with HF and LVEF &gt;40%. </w:t>
      </w:r>
      <w:r w:rsidR="003E169A" w:rsidRPr="004661E9">
        <w:rPr>
          <w:rFonts w:ascii="Arial" w:hAnsi="Arial" w:cs="Arial"/>
        </w:rPr>
        <w:t xml:space="preserve">Data from </w:t>
      </w:r>
      <w:r w:rsidR="006C2ECE" w:rsidRPr="004661E9">
        <w:rPr>
          <w:rFonts w:ascii="Arial" w:hAnsi="Arial" w:cs="Arial"/>
        </w:rPr>
        <w:t xml:space="preserve">the </w:t>
      </w:r>
      <w:r w:rsidR="003E169A" w:rsidRPr="004661E9">
        <w:rPr>
          <w:rFonts w:ascii="Arial" w:hAnsi="Arial" w:cs="Arial"/>
        </w:rPr>
        <w:t xml:space="preserve">PRESERVED-HF trial, a relatively small-size multicentric RCT, </w:t>
      </w:r>
      <w:r w:rsidR="005E0F3C" w:rsidRPr="004661E9">
        <w:rPr>
          <w:rFonts w:ascii="Arial" w:hAnsi="Arial" w:cs="Arial"/>
        </w:rPr>
        <w:t xml:space="preserve">evaluated the impact of dapagliflozin </w:t>
      </w:r>
      <w:r w:rsidR="00771F07" w:rsidRPr="004661E9">
        <w:rPr>
          <w:rFonts w:ascii="Arial" w:hAnsi="Arial" w:cs="Arial"/>
        </w:rPr>
        <w:t xml:space="preserve">on </w:t>
      </w:r>
      <w:r w:rsidR="006C2ECE" w:rsidRPr="004661E9">
        <w:rPr>
          <w:rFonts w:ascii="Arial" w:hAnsi="Arial" w:cs="Arial"/>
        </w:rPr>
        <w:t xml:space="preserve">the </w:t>
      </w:r>
      <w:r w:rsidR="00771F07" w:rsidRPr="004661E9">
        <w:rPr>
          <w:rFonts w:ascii="Arial" w:hAnsi="Arial" w:cs="Arial"/>
        </w:rPr>
        <w:t xml:space="preserve">quality of life and symptoms in patients with HFpEF. In this trial, </w:t>
      </w:r>
      <w:r w:rsidR="006E4107" w:rsidRPr="004661E9">
        <w:rPr>
          <w:rFonts w:ascii="Arial" w:hAnsi="Arial" w:cs="Arial"/>
        </w:rPr>
        <w:t xml:space="preserve">12 weeks of </w:t>
      </w:r>
      <w:r w:rsidR="00771F07" w:rsidRPr="004661E9">
        <w:rPr>
          <w:rFonts w:ascii="Arial" w:hAnsi="Arial" w:cs="Arial"/>
        </w:rPr>
        <w:t>dapagliflozin treatment</w:t>
      </w:r>
      <w:r w:rsidR="0022783C" w:rsidRPr="004661E9">
        <w:rPr>
          <w:rFonts w:ascii="Arial" w:hAnsi="Arial" w:cs="Arial"/>
        </w:rPr>
        <w:t xml:space="preserve"> significantly improved patient-reporte</w:t>
      </w:r>
      <w:r w:rsidR="00A92C7D" w:rsidRPr="004661E9">
        <w:rPr>
          <w:rFonts w:ascii="Arial" w:hAnsi="Arial" w:cs="Arial"/>
        </w:rPr>
        <w:t>d physical limitation</w:t>
      </w:r>
      <w:r w:rsidR="006C2ECE" w:rsidRPr="004661E9">
        <w:rPr>
          <w:rFonts w:ascii="Arial" w:hAnsi="Arial" w:cs="Arial"/>
        </w:rPr>
        <w:t>s</w:t>
      </w:r>
      <w:r w:rsidR="00A92C7D" w:rsidRPr="004661E9">
        <w:rPr>
          <w:rFonts w:ascii="Arial" w:hAnsi="Arial" w:cs="Arial"/>
        </w:rPr>
        <w:t xml:space="preserve"> and symptoms and </w:t>
      </w:r>
      <w:r w:rsidR="00042A25" w:rsidRPr="004661E9">
        <w:rPr>
          <w:rFonts w:ascii="Arial" w:hAnsi="Arial" w:cs="Arial"/>
        </w:rPr>
        <w:t xml:space="preserve">objectively measured exercise tolerance </w:t>
      </w:r>
      <w:r w:rsidR="005F2C58" w:rsidRPr="004661E9">
        <w:rPr>
          <w:rFonts w:ascii="Arial" w:hAnsi="Arial" w:cs="Arial"/>
        </w:rPr>
        <w:fldChar w:fldCharType="begin" w:fldLock="1"/>
      </w:r>
      <w:r w:rsidR="001C412B" w:rsidRPr="004661E9">
        <w:rPr>
          <w:rFonts w:ascii="Arial" w:hAnsi="Arial" w:cs="Arial"/>
        </w:rPr>
        <w:instrText>ADDIN CSL_CITATION {"citationItems":[{"id":"ITEM-1","itemData":{"DOI":"10.1038/s41591-021-01536-x","ISSN":"1546170X","PMID":"34711976","abstract":"Patients with heart failure and preserved ejection fraction (HFpEF) have a high burden of symptoms and functional limitations, and have a poor quality of life. By targeting cardiometabolic abmormalities, sodium glucose cotransporter 2 (SGLT2) inhibitors may improve these impairments. In this multicenter, randomized trial of patients with HFpEF (NCT03030235), we evaluated whether the SGLT2 inhibitor dapagliflozin improves the primary endpoint of Kansas City Cardiomyopathy Questionnaire Clinical Summary Score (KCCQ-CS), a measure of heart failure-related health status, at 12 weeks after treatment initiation. Secondary endpoints included the 6-minute walk test (6MWT), KCCQ Overall Summary Score (KCCQ-OS), clinically meaningful changes in KCCQ-CS and -OS, and changes in weight, natriuretic peptides, glycated hemoglobin and systolic blood pressure. In total, 324 patients were randomized to dapagliflozin or placebo. Dapagliflozin improved KCCQ-CS (effect size, 5.8 points (95% confidence interval (CI) 2.3–9.2, P = 0.001), meeting the predefined primary endpoint, due to improvements in both KCCQ total symptom score (KCCQ-TS) (5.8 points (95% CI 2.0–9.6, P = 0.003)) and physical limitations scores (5.3 points (95% CI 0.7–10.0, P = 0.026)). Dapagliflozin also improved 6MWT (mean effect size of 20.1 m (95% CI 5.6–34.7, P = 0.007)), KCCQ-OS (4.5 points (95% CI 1.1–7.8, P = 0.009)), proportion of participants with 5-point or greater improvements in KCCQ-OS (odds ratio (OR) = 1.73 (95% CI 1.05–2.85, P = 0.03)) and reduced weight (mean effect size, 0.72 kg (95% CI 0.01–1.42, P = 0.046)). There were no significant differences in other secondary endpoints. Adverse events were similar between dapagliflozin and placebo (44 (27.2%) versus 38 (23.5%) patients, respectively). These results indicate that 12 weeks of dapagliflozin treatment significantly improved patient-reported symptoms, physical limitations and exercise function and was well tolerated in chronic HFpEF.","author":[{"dropping-particle":"","family":"Nassif","given":"Michael E.","non-dropping-particle":"","parse-names":false,"suffix":""},{"dropping-particle":"","family":"Windsor","given":"Sheryl L.","non-dropping-particle":"","parse-names":false,"suffix":""},{"dropping-particle":"","family":"Borlaug","given":"Barry A.","non-dropping-particle":"","parse-names":false,"suffix":""},{"dropping-particle":"","family":"Kitzman","given":"Dalane W.","non-dropping-particle":"","parse-names":false,"suffix":""},{"dropping-particle":"","family":"Shah","given":"Sanjiv J.","non-dropping-particle":"","parse-names":false,"suffix":""},{"dropping-particle":"","family":"Tang","given":"Fengming","non-dropping-particle":"","parse-names":false,"suffix":""},{"dropping-particle":"","family":"Khariton","given":"Yevgeniy","non-dropping-particle":"","parse-names":false,"suffix":""},{"dropping-particle":"","family":"Malik","given":"Ali O.","non-dropping-particle":"","parse-names":false,"suffix":""},{"dropping-particle":"","family":"Khumri","given":"Taiyeb","non-dropping-particle":"","parse-names":false,"suffix":""},{"dropping-particle":"","family":"Umpierrez","given":"Guillermo","non-dropping-particle":"","parse-names":false,"suffix":""},{"dropping-particle":"","family":"Lamba","given":"Sumant","non-dropping-particle":"","parse-names":false,"suffix":""},{"dropping-particle":"","family":"Sharma","given":"Kavita","non-dropping-particle":"","parse-names":false,"suffix":""},{"dropping-particle":"","family":"Khan","given":"Sadiya S.","non-dropping-particle":"","parse-names":false,"suffix":""},{"dropping-particle":"","family":"Chandra","given":"Lokesh","non-dropping-particle":"","parse-names":false,"suffix":""},{"dropping-particle":"","family":"Gordon","given":"Robert A.","non-dropping-particle":"","parse-names":false,"suffix":""},{"dropping-particle":"","family":"Ryan","given":"John J.","non-dropping-particle":"","parse-names":false,"suffix":""},{"dropping-particle":"","family":"Chaudhry","given":"Sunit Preet","non-dropping-particle":"","parse-names":false,"suffix":""},{"dropping-particle":"","family":"Joseph","given":"Susan M.","non-dropping-particle":"","parse-names":false,"suffix":""},{"dropping-particle":"","family":"Chow","given":"Chen H.","non-dropping-particle":"","parse-names":false,"suffix":""},{"dropping-particle":"","family":"Kanwar","given":"Manreet K.","non-dropping-particle":"","parse-names":false,"suffix":""},{"dropping-particle":"","family":"Pursley","given":"Michael","non-dropping-particle":"","parse-names":false,"suffix":""},{"dropping-particle":"","family":"Siraj","given":"Elias S.","non-dropping-particle":"","parse-names":false,"suffix":""},{"dropping-particle":"","family":"Lewis","given":"Gregory D.","non-dropping-particle":"","parse-names":false,"suffix":""},{"dropping-particle":"","family":"Clemson","given":"Barry S.","non-dropping-particle":"","parse-names":false,"suffix":""},{"dropping-particle":"","family":"Fong","given":"Michael","non-dropping-particle":"","parse-names":false,"suffix":""},{"dropping-particle":"","family":"Kosiborod","given":"Mikhail N.","non-dropping-particle":"","parse-names":false,"suffix":""}],"container-title":"Nature Medicine","id":"ITEM-1","issue":"11","issued":{"date-parts":[["2021"]]},"page":"1954-1960","publisher":"Springer US","title":"The SGLT2 inhibitor dapagliflozin in heart failure with preserved ejection fraction: a multicenter randomized trial","type":"article-journal","volume":"27"},"uris":["http://www.mendeley.com/documents/?uuid=83ba8f74-3f68-4928-b032-cd245e2b2f43"]}],"mendeley":{"formattedCitation":"(205)","plainTextFormattedCitation":"(205)","previouslyFormattedCitation":"(205)"},"properties":{"noteIndex":0},"schema":"https://github.com/citation-style-language/schema/raw/master/csl-citation.json"}</w:instrText>
      </w:r>
      <w:r w:rsidR="005F2C58" w:rsidRPr="004661E9">
        <w:rPr>
          <w:rFonts w:ascii="Arial" w:hAnsi="Arial" w:cs="Arial"/>
        </w:rPr>
        <w:fldChar w:fldCharType="separate"/>
      </w:r>
      <w:r w:rsidR="001C412B" w:rsidRPr="004661E9">
        <w:rPr>
          <w:rFonts w:ascii="Arial" w:hAnsi="Arial" w:cs="Arial"/>
          <w:noProof/>
        </w:rPr>
        <w:t>(205)</w:t>
      </w:r>
      <w:r w:rsidR="005F2C58" w:rsidRPr="004661E9">
        <w:rPr>
          <w:rFonts w:ascii="Arial" w:hAnsi="Arial" w:cs="Arial"/>
        </w:rPr>
        <w:fldChar w:fldCharType="end"/>
      </w:r>
      <w:r w:rsidR="00042A25" w:rsidRPr="004661E9">
        <w:rPr>
          <w:rFonts w:ascii="Arial" w:hAnsi="Arial" w:cs="Arial"/>
        </w:rPr>
        <w:t xml:space="preserve">. </w:t>
      </w:r>
    </w:p>
    <w:p w14:paraId="7273D7B4" w14:textId="77777777" w:rsidR="0005562F" w:rsidRPr="004661E9" w:rsidRDefault="0005562F" w:rsidP="004661E9">
      <w:pPr>
        <w:spacing w:after="0" w:line="276" w:lineRule="auto"/>
        <w:rPr>
          <w:rFonts w:ascii="Arial" w:hAnsi="Arial" w:cs="Arial"/>
        </w:rPr>
      </w:pPr>
    </w:p>
    <w:p w14:paraId="6EDBB9E0" w14:textId="1FA978C8" w:rsidR="006A3726" w:rsidRPr="004661E9" w:rsidRDefault="00F4450A" w:rsidP="004661E9">
      <w:pPr>
        <w:spacing w:after="0" w:line="276" w:lineRule="auto"/>
        <w:rPr>
          <w:rFonts w:ascii="Arial" w:hAnsi="Arial" w:cs="Arial"/>
        </w:rPr>
      </w:pPr>
      <w:r w:rsidRPr="004661E9">
        <w:rPr>
          <w:rFonts w:ascii="Arial" w:hAnsi="Arial" w:cs="Arial"/>
        </w:rPr>
        <w:lastRenderedPageBreak/>
        <w:t>T</w:t>
      </w:r>
      <w:r w:rsidR="00715FBA" w:rsidRPr="004661E9">
        <w:rPr>
          <w:rFonts w:ascii="Arial" w:hAnsi="Arial" w:cs="Arial"/>
        </w:rPr>
        <w:t xml:space="preserve">he </w:t>
      </w:r>
      <w:r w:rsidR="006C2ECE" w:rsidRPr="004661E9">
        <w:rPr>
          <w:rFonts w:ascii="Arial" w:hAnsi="Arial" w:cs="Arial"/>
        </w:rPr>
        <w:t xml:space="preserve">2022 </w:t>
      </w:r>
      <w:r w:rsidR="00715FBA" w:rsidRPr="004661E9">
        <w:rPr>
          <w:rFonts w:ascii="Arial" w:hAnsi="Arial" w:cs="Arial"/>
        </w:rPr>
        <w:t>ACC/AHA</w:t>
      </w:r>
      <w:r w:rsidR="006C2ECE" w:rsidRPr="004661E9">
        <w:rPr>
          <w:rFonts w:ascii="Arial" w:hAnsi="Arial" w:cs="Arial"/>
        </w:rPr>
        <w:t>/HFSA</w:t>
      </w:r>
      <w:r w:rsidR="00715FBA" w:rsidRPr="004661E9">
        <w:rPr>
          <w:rFonts w:ascii="Arial" w:hAnsi="Arial" w:cs="Arial"/>
        </w:rPr>
        <w:t xml:space="preserve"> guidelines indicate that based on </w:t>
      </w:r>
      <w:r w:rsidR="006C3EBB" w:rsidRPr="004661E9">
        <w:rPr>
          <w:rFonts w:ascii="Arial" w:hAnsi="Arial" w:cs="Arial"/>
        </w:rPr>
        <w:t xml:space="preserve">a </w:t>
      </w:r>
      <w:r w:rsidR="00715FBA" w:rsidRPr="004661E9">
        <w:rPr>
          <w:rFonts w:ascii="Arial" w:hAnsi="Arial" w:cs="Arial"/>
        </w:rPr>
        <w:t>subgroup analysis of RCTs, ARBs</w:t>
      </w:r>
      <w:r w:rsidR="0096574D" w:rsidRPr="004661E9">
        <w:rPr>
          <w:rFonts w:ascii="Arial" w:hAnsi="Arial" w:cs="Arial"/>
        </w:rPr>
        <w:t xml:space="preserve">, </w:t>
      </w:r>
      <w:r w:rsidR="00715FBA" w:rsidRPr="004661E9">
        <w:rPr>
          <w:rFonts w:ascii="Arial" w:hAnsi="Arial" w:cs="Arial"/>
        </w:rPr>
        <w:t>MRAs</w:t>
      </w:r>
      <w:r w:rsidR="005C7540" w:rsidRPr="004661E9">
        <w:rPr>
          <w:rFonts w:ascii="Arial" w:hAnsi="Arial" w:cs="Arial"/>
        </w:rPr>
        <w:t>, and ARN</w:t>
      </w:r>
      <w:r w:rsidR="00373C95" w:rsidRPr="004661E9">
        <w:rPr>
          <w:rFonts w:ascii="Arial" w:hAnsi="Arial" w:cs="Arial"/>
        </w:rPr>
        <w:t>I</w:t>
      </w:r>
      <w:r w:rsidR="00715FBA" w:rsidRPr="004661E9">
        <w:rPr>
          <w:rFonts w:ascii="Arial" w:hAnsi="Arial" w:cs="Arial"/>
        </w:rPr>
        <w:t xml:space="preserve"> (in appropriately selected patients) might be considered (</w:t>
      </w:r>
      <w:r w:rsidR="006C3EBB" w:rsidRPr="004661E9">
        <w:rPr>
          <w:rFonts w:ascii="Arial" w:hAnsi="Arial" w:cs="Arial"/>
        </w:rPr>
        <w:t>C</w:t>
      </w:r>
      <w:r w:rsidR="00715FBA" w:rsidRPr="004661E9">
        <w:rPr>
          <w:rFonts w:ascii="Arial" w:hAnsi="Arial" w:cs="Arial"/>
        </w:rPr>
        <w:t>lass IIb) in patients with HFpEF</w:t>
      </w:r>
      <w:r w:rsidR="00D42EB8" w:rsidRPr="004661E9">
        <w:rPr>
          <w:rFonts w:ascii="Arial" w:hAnsi="Arial" w:cs="Arial"/>
        </w:rPr>
        <w:t xml:space="preserve"> or HFmrEF</w:t>
      </w:r>
      <w:r w:rsidR="00715FBA" w:rsidRPr="004661E9">
        <w:rPr>
          <w:rFonts w:ascii="Arial" w:hAnsi="Arial" w:cs="Arial"/>
        </w:rPr>
        <w:t xml:space="preserve"> to decrease hospitalizations</w:t>
      </w:r>
      <w:r w:rsidR="00652F56" w:rsidRPr="004661E9">
        <w:rPr>
          <w:rFonts w:ascii="Arial" w:hAnsi="Arial" w:cs="Arial"/>
        </w:rPr>
        <w:t xml:space="preserve"> </w:t>
      </w:r>
      <w:r w:rsidR="00652F56" w:rsidRPr="004661E9">
        <w:rPr>
          <w:rFonts w:ascii="Arial" w:hAnsi="Arial" w:cs="Arial"/>
        </w:rPr>
        <w:fldChar w:fldCharType="begin" w:fldLock="1"/>
      </w:r>
      <w:r w:rsidR="00300576" w:rsidRPr="004661E9">
        <w:rPr>
          <w:rFonts w:ascii="Arial" w:hAnsi="Arial" w:cs="Arial"/>
        </w:rPr>
        <w:instrText>ADDIN CSL_CITATION {"citationItems":[{"id":"ITEM-1","itemData":{"DOI":"10.1161/CIR.0000000000001063","ISSN":"15244539","PMID":"35363499","abstract":"Aim: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W.","non-dropping-particle":"","parse-names":false,"suffix":""}],"container-title":"Circulation","id":"ITEM-1","issue":"18","issued":{"date-parts":[["2022","5","3"]]},"page":"E895-E1032","publisher":"Lippincott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plainTextFormattedCitation":"(3)","previouslyFormattedCitation":"(3)"},"properties":{"noteIndex":0},"schema":"https://github.com/citation-style-language/schema/raw/master/csl-citation.json"}</w:instrText>
      </w:r>
      <w:r w:rsidR="00652F56" w:rsidRPr="004661E9">
        <w:rPr>
          <w:rFonts w:ascii="Arial" w:hAnsi="Arial" w:cs="Arial"/>
        </w:rPr>
        <w:fldChar w:fldCharType="separate"/>
      </w:r>
      <w:r w:rsidR="00E0281E" w:rsidRPr="004661E9">
        <w:rPr>
          <w:rFonts w:ascii="Arial" w:hAnsi="Arial" w:cs="Arial"/>
          <w:noProof/>
        </w:rPr>
        <w:t>(3)</w:t>
      </w:r>
      <w:r w:rsidR="00652F56" w:rsidRPr="004661E9">
        <w:rPr>
          <w:rFonts w:ascii="Arial" w:hAnsi="Arial" w:cs="Arial"/>
        </w:rPr>
        <w:fldChar w:fldCharType="end"/>
      </w:r>
      <w:r w:rsidR="00CF5776" w:rsidRPr="004661E9">
        <w:rPr>
          <w:rFonts w:ascii="Arial" w:hAnsi="Arial" w:cs="Arial"/>
        </w:rPr>
        <w:t>.</w:t>
      </w:r>
      <w:r w:rsidR="00715FBA" w:rsidRPr="004661E9">
        <w:rPr>
          <w:rFonts w:ascii="Arial" w:hAnsi="Arial" w:cs="Arial"/>
        </w:rPr>
        <w:t xml:space="preserve"> </w:t>
      </w:r>
    </w:p>
    <w:p w14:paraId="22D9CB41" w14:textId="1C9CDA5A" w:rsidR="00D55F50" w:rsidRPr="004661E9" w:rsidRDefault="00D55F50" w:rsidP="004661E9">
      <w:pPr>
        <w:spacing w:after="0" w:line="276" w:lineRule="auto"/>
        <w:rPr>
          <w:rFonts w:ascii="Arial" w:hAnsi="Arial" w:cs="Arial"/>
          <w:u w:val="single"/>
        </w:rPr>
      </w:pPr>
    </w:p>
    <w:p w14:paraId="6460EE14" w14:textId="509DB924" w:rsidR="00C07621" w:rsidRPr="004661E9" w:rsidRDefault="00E156CB" w:rsidP="004661E9">
      <w:pPr>
        <w:spacing w:after="0" w:line="276" w:lineRule="auto"/>
        <w:rPr>
          <w:rFonts w:ascii="Arial" w:hAnsi="Arial" w:cs="Arial"/>
        </w:rPr>
      </w:pPr>
      <w:r w:rsidRPr="004661E9">
        <w:rPr>
          <w:rFonts w:ascii="Arial" w:hAnsi="Arial" w:cs="Arial"/>
          <w:b/>
          <w:bCs/>
          <w:caps/>
          <w:color w:val="4472C4" w:themeColor="accent1"/>
        </w:rPr>
        <w:t xml:space="preserve">pHARMACOLOGIC </w:t>
      </w:r>
      <w:r w:rsidR="00D14A9A" w:rsidRPr="004661E9">
        <w:rPr>
          <w:rFonts w:ascii="Arial" w:hAnsi="Arial" w:cs="Arial"/>
          <w:b/>
          <w:bCs/>
          <w:caps/>
          <w:color w:val="4472C4" w:themeColor="accent1"/>
        </w:rPr>
        <w:t>T</w:t>
      </w:r>
      <w:r w:rsidRPr="004661E9">
        <w:rPr>
          <w:rFonts w:ascii="Arial" w:hAnsi="Arial" w:cs="Arial"/>
          <w:b/>
          <w:bCs/>
          <w:caps/>
          <w:color w:val="4472C4" w:themeColor="accent1"/>
        </w:rPr>
        <w:t>HERAPY</w:t>
      </w:r>
      <w:r w:rsidR="00D14A9A" w:rsidRPr="004661E9">
        <w:rPr>
          <w:rFonts w:ascii="Arial" w:hAnsi="Arial" w:cs="Arial"/>
          <w:b/>
          <w:bCs/>
          <w:caps/>
          <w:color w:val="4472C4" w:themeColor="accent1"/>
        </w:rPr>
        <w:t xml:space="preserve"> of </w:t>
      </w:r>
      <w:r w:rsidR="00AC75E6" w:rsidRPr="004661E9">
        <w:rPr>
          <w:rFonts w:ascii="Arial" w:hAnsi="Arial" w:cs="Arial"/>
          <w:b/>
          <w:bCs/>
          <w:caps/>
          <w:color w:val="4472C4" w:themeColor="accent1"/>
        </w:rPr>
        <w:t>T2DM</w:t>
      </w:r>
      <w:r w:rsidR="00D14A9A" w:rsidRPr="004661E9">
        <w:rPr>
          <w:rFonts w:ascii="Arial" w:hAnsi="Arial" w:cs="Arial"/>
          <w:b/>
          <w:bCs/>
          <w:caps/>
          <w:color w:val="4472C4" w:themeColor="accent1"/>
        </w:rPr>
        <w:t xml:space="preserve"> in Patients </w:t>
      </w:r>
      <w:r w:rsidRPr="004661E9">
        <w:rPr>
          <w:rFonts w:ascii="Arial" w:hAnsi="Arial" w:cs="Arial"/>
          <w:b/>
          <w:bCs/>
          <w:caps/>
          <w:color w:val="4472C4" w:themeColor="accent1"/>
        </w:rPr>
        <w:t xml:space="preserve">WITH </w:t>
      </w:r>
      <w:r w:rsidR="004B4E14" w:rsidRPr="004661E9">
        <w:rPr>
          <w:rFonts w:ascii="Arial" w:hAnsi="Arial" w:cs="Arial"/>
          <w:b/>
          <w:bCs/>
          <w:caps/>
          <w:color w:val="4472C4" w:themeColor="accent1"/>
        </w:rPr>
        <w:t>HF</w:t>
      </w:r>
      <w:r w:rsidR="00677259" w:rsidRPr="004661E9">
        <w:rPr>
          <w:rFonts w:ascii="Arial" w:hAnsi="Arial" w:cs="Arial"/>
          <w:b/>
          <w:bCs/>
          <w:caps/>
        </w:rPr>
        <w:br/>
      </w:r>
    </w:p>
    <w:p w14:paraId="2295EB46" w14:textId="24076137" w:rsidR="008C7D9F" w:rsidRPr="004661E9" w:rsidRDefault="008C7D9F" w:rsidP="004661E9">
      <w:pPr>
        <w:spacing w:after="0" w:line="276" w:lineRule="auto"/>
        <w:rPr>
          <w:rFonts w:ascii="Arial" w:hAnsi="Arial" w:cs="Arial"/>
        </w:rPr>
      </w:pPr>
      <w:bookmarkStart w:id="23" w:name="_Hlk146546961"/>
      <w:bookmarkEnd w:id="21"/>
      <w:r w:rsidRPr="004661E9">
        <w:rPr>
          <w:rFonts w:ascii="Arial" w:hAnsi="Arial" w:cs="Arial"/>
        </w:rPr>
        <w:t xml:space="preserve">Lifestyle therapy is essential to managing patients with diabetes and established or high risk for HF. We point the readers to documents from ADA and ACC/AHA for detailed review and recommendations on lifestyle therapy in this patient population </w:t>
      </w:r>
      <w:r w:rsidRPr="004661E9">
        <w:rPr>
          <w:rFonts w:ascii="Arial" w:hAnsi="Arial" w:cs="Arial"/>
        </w:rPr>
        <w:fldChar w:fldCharType="begin" w:fldLock="1"/>
      </w:r>
      <w:r w:rsidR="001C412B" w:rsidRPr="004661E9">
        <w:rPr>
          <w:rFonts w:ascii="Arial" w:hAnsi="Arial" w:cs="Arial"/>
        </w:rPr>
        <w:instrText>ADDIN CSL_CITATION {"citationItems":[{"id":"ITEM-1","itemData":{"DOI":"10.2337/dci22-0014","ISSN":"19355548","PMID":"35796765","abstract":"Heart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Association.","author":[{"dropping-particle":"","family":"Pop-Busui","given":"Rodica","non-dropping-particle":"","parse-names":false,"suffix":""},{"dropping-particle":"","family":"Januzzi","given":"James L.","non-dropping-particle":"","parse-names":false,"suffix":""},{"dropping-particle":"","family":"Bruemmer","given":"Dennis","non-dropping-particle":"","parse-names":false,"suffix":""},{"dropping-particle":"","family":"Butalia","given":"Sonia","non-dropping-particle":"","parse-names":false,"suffix":""},{"dropping-particle":"","family":"Green","given":"Jennifer B.","non-dropping-particle":"","parse-names":false,"suffix":""},{"dropping-particle":"","family":"Horton","given":"William B.","non-dropping-particle":"","parse-names":false,"suffix":""},{"dropping-particle":"","family":"Knight","given":"Colette","non-dropping-particle":"","parse-names":false,"suffix":""},{"dropping-particle":"","family":"Levi","given":"Moshe","non-dropping-particle":"","parse-names":false,"suffix":""},{"dropping-particle":"","family":"Rasouli","given":"Neda","non-dropping-particle":"","parse-names":false,"suffix":""},{"dropping-particle":"","family":"Richardson","given":"Caroline R.","non-dropping-particle":"","parse-names":false,"suffix":""}],"container-title":"Diabetes Care","id":"ITEM-1","issue":"7","issued":{"date-parts":[["2022"]]},"page":"1670-1690","title":"Heart Failure: An Underappreciated Complication of Diabetes. A Consensus Report of the American Diabetes Association","type":"article-journal","volume":"45"},"uris":["http://www.mendeley.com/documents/?uuid=9cfe0b5b-12ab-49ad-9df0-35aeca50b558"]},{"id":"ITEM-2","itemData":{"DOI":"10.2337/dc23-S005","ISSN":"19355548","PMID":"36507648","abstract":"The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C.","non-dropping-particle":"","parse-names":false,"suffix":""},{"dropping-particle":"","family":"Young-Hyman","given":"Deborah","non-dropping-particle":"","parse-names":false,"suffix":""},{"dropping-particle":"","family":"Gabbay","given":"Robert A.","non-dropping-particle":"","parse-names":false,"suffix":""}],"container-title":"Diabetes Care","id":"ITEM-2","issue":"January","issued":{"date-parts":[["2023"]]},"page":"S68-S96","title":"5. Facilitating Positive Health Behaviors and Well-being to Improve Health Outcomes: Standards of Care in Diabetes—2023","type":"article-journal","volume":"46"},"uris":["http://www.mendeley.com/documents/?uuid=c6742367-49d6-4a31-b399-dbe0f8182694"]},{"id":"ITEM-3","itemData":{"DOI":"10.1161/CIR.0000000000001063","ISSN":"15244539","PMID":"35363499","abstract":"Aim: The \"2022 AHA/ACC/HFSA Guideline for the Management of Heart Failure\" replaces the \"2013 ACCF/AHA Guideline for the Management of Heart Failure\" and the \"2017 ACC/AHA/HFSA Focused Update of the 2013 ACCF/AHA Guideline for the Management of Heart Failure.\" The 2022 guideline is intended to provide patient-centric recommendations for clinicians to prevent, diagnose, and manage patients with heart failure. Methods: A comprehensive literature search was conducted from May 2020 to December 2020, encompassing studies, reviews, and other evidence conducted on human subjects that were published in English from MEDLINE (PubMed), EMBASE, the Cochrane Collaboration, the Agency for Healthcare Research and Quality, and other relevant databases. Additional relevant clinical trials and research studies, published through September 2021, were also considered. This guideline was harmonized with other American Heart Association/American College of Cardiology guidelines published through December 2021. Structure: Heart failure remains a leading cause of morbidity and mortality globally. The 2022 heart failure guideline provides recommendations based on contemporary evidence for the treatment of these patients. The recommendations present an evidence-based approach to managing patients with heart failure, with the intent to improve quality of care and align with patients' interests. Many recommendations from the earlier heart failure guidelines have been updated with new evidence, and new recommendations have been created when supported by published data. Value statements are provided for certain treatments with high-quality published economic analyses.","author":[{"dropping-particle":"","family":"Heidenreich","given":"Paul A.","non-dropping-particle":"","parse-names":false,"suffix":""},{"dropping-particle":"","family":"Bozkurt","given":"Biykem","non-dropping-particle":"","parse-names":false,"suffix":""},{"dropping-particle":"","family":"Aguilar","given":"David","non-dropping-particle":"","parse-names":false,"suffix":""},{"dropping-particle":"","family":"Allen","given":"Larry A.","non-dropping-particle":"","parse-names":false,"suffix":""},{"dropping-particle":"","family":"Byun","given":"Joni J.","non-dropping-particle":"","parse-names":false,"suffix":""},{"dropping-particle":"","family":"Colvin","given":"Monica M.","non-dropping-particle":"","parse-names":false,"suffix":""},{"dropping-particle":"","family":"Deswal","given":"Anita","non-dropping-particle":"","parse-names":false,"suffix":""},{"dropping-particle":"","family":"Drazner","given":"Mark H.","non-dropping-particle":"","parse-names":false,"suffix":""},{"dropping-particle":"","family":"Dunlay","given":"Shannon M.","non-dropping-particle":"","parse-names":false,"suffix":""},{"dropping-particle":"","family":"Evers","given":"Linda R.","non-dropping-particle":"","parse-names":false,"suffix":""},{"dropping-particle":"","family":"Fang","given":"James C.","non-dropping-particle":"","parse-names":false,"suffix":""},{"dropping-particle":"","family":"Fedson","given":"Savitri E.","non-dropping-particle":"","parse-names":false,"suffix":""},{"dropping-particle":"","family":"Fonarow","given":"Gregg C.","non-dropping-particle":"","parse-names":false,"suffix":""},{"dropping-particle":"","family":"Hayek","given":"Salim S.","non-dropping-particle":"","parse-names":false,"suffix":""},{"dropping-particle":"","family":"Hernandez","given":"Adrian F.","non-dropping-particle":"","parse-names":false,"suffix":""},{"dropping-particle":"","family":"Khazanie","given":"Prateeti","non-dropping-particle":"","parse-names":false,"suffix":""},{"dropping-particle":"","family":"Kittleson","given":"Michelle M.","non-dropping-particle":"","parse-names":false,"suffix":""},{"dropping-particle":"","family":"Lee","given":"Christopher S.","non-dropping-particle":"","parse-names":false,"suffix":""},{"dropping-particle":"","family":"Link","given":"Mark S.","non-dropping-particle":"","parse-names":false,"suffix":""},{"dropping-particle":"","family":"Milano","given":"Carmelo A.","non-dropping-particle":"","parse-names":false,"suffix":""},{"dropping-particle":"","family":"Nnacheta","given":"Lorraine C.","non-dropping-particle":"","parse-names":false,"suffix":""},{"dropping-particle":"","family":"Sandhu","given":"Alexander T.","non-dropping-particle":"","parse-names":false,"suffix":""},{"dropping-particle":"","family":"Stevenson","given":"Lynne Warner","non-dropping-particle":"","parse-names":false,"suffix":""},{"dropping-particle":"","family":"Vardeny","given":"Orly","non-dropping-particle":"","parse-names":false,"suffix":""},{"dropping-particle":"","family":"Vest","given":"Amanda R.","non-dropping-particle":"","parse-names":false,"suffix":""},{"dropping-particle":"","family":"Yancy","given":"Clyde W.","non-dropping-particle":"","parse-names":false,"suffix":""}],"container-title":"Circulation","id":"ITEM-3","issue":"18","issued":{"date-parts":[["2022","5","3"]]},"page":"E895-E1032","publisher":"Lippincott Williams and Wilkins","title":"2022 AHA/ACC/HFSA Guideline for the Management of Heart Failure: A Report of the American College of Cardiology/American Heart Association Joint Committee on Clinical Practice Guidelines","type":"article","volume":"145"},"uris":["http://www.mendeley.com/documents/?uuid=18d1d346-efa8-3630-bc8e-40b1f44f1e23"]}],"mendeley":{"formattedCitation":"(3,4,157)","plainTextFormattedCitation":"(3,4,157)","previouslyFormattedCitation":"(3,4,157)"},"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(3,4,157)</w:t>
      </w:r>
      <w:r w:rsidRPr="004661E9">
        <w:rPr>
          <w:rFonts w:ascii="Arial" w:hAnsi="Arial" w:cs="Arial"/>
        </w:rPr>
        <w:fldChar w:fldCharType="end"/>
      </w:r>
      <w:r w:rsidRPr="004661E9">
        <w:rPr>
          <w:rFonts w:ascii="Arial" w:hAnsi="Arial" w:cs="Arial"/>
        </w:rPr>
        <w:t>.</w:t>
      </w:r>
    </w:p>
    <w:p w14:paraId="515F0DB2" w14:textId="77777777" w:rsidR="008C7D9F" w:rsidRPr="004661E9" w:rsidRDefault="008C7D9F" w:rsidP="004661E9">
      <w:pPr>
        <w:spacing w:after="0" w:line="276" w:lineRule="auto"/>
        <w:rPr>
          <w:rFonts w:ascii="Arial" w:hAnsi="Arial" w:cs="Arial"/>
        </w:rPr>
      </w:pPr>
    </w:p>
    <w:p w14:paraId="759A50E6" w14:textId="137111A7" w:rsidR="00D65CAA" w:rsidRPr="004661E9" w:rsidRDefault="008C7D9F" w:rsidP="004661E9">
      <w:pPr>
        <w:spacing w:after="0" w:line="276" w:lineRule="auto"/>
        <w:rPr>
          <w:rFonts w:ascii="Arial" w:hAnsi="Arial" w:cs="Arial"/>
        </w:rPr>
      </w:pPr>
      <w:r w:rsidRPr="004661E9">
        <w:rPr>
          <w:rFonts w:ascii="Arial" w:hAnsi="Arial" w:cs="Arial"/>
        </w:rPr>
        <w:t xml:space="preserve">In this chapter, we provide a focused review of the effects of glucose-lowering agents from a HF perspective. </w:t>
      </w:r>
      <w:r w:rsidR="00D65CAA" w:rsidRPr="004661E9">
        <w:rPr>
          <w:rFonts w:ascii="Arial" w:hAnsi="Arial" w:cs="Arial"/>
        </w:rPr>
        <w:t xml:space="preserve">Glycemic control is essential in patients with diabetes who have additional </w:t>
      </w:r>
      <w:r w:rsidR="007351C7" w:rsidRPr="004661E9">
        <w:rPr>
          <w:rFonts w:ascii="Arial" w:hAnsi="Arial" w:cs="Arial"/>
        </w:rPr>
        <w:t>CV</w:t>
      </w:r>
      <w:r w:rsidR="00D65CAA" w:rsidRPr="004661E9">
        <w:rPr>
          <w:rFonts w:ascii="Arial" w:hAnsi="Arial" w:cs="Arial"/>
        </w:rPr>
        <w:t xml:space="preserve"> risk factors or established </w:t>
      </w:r>
      <w:r w:rsidR="00E35097" w:rsidRPr="004661E9">
        <w:rPr>
          <w:rFonts w:ascii="Arial" w:hAnsi="Arial" w:cs="Arial"/>
        </w:rPr>
        <w:t>CVD</w:t>
      </w:r>
      <w:r w:rsidR="00D65CAA" w:rsidRPr="004661E9">
        <w:rPr>
          <w:rFonts w:ascii="Arial" w:hAnsi="Arial" w:cs="Arial"/>
        </w:rPr>
        <w:t xml:space="preserve">. </w:t>
      </w:r>
      <w:r w:rsidR="00E35097" w:rsidRPr="004661E9">
        <w:rPr>
          <w:rFonts w:ascii="Arial" w:hAnsi="Arial" w:cs="Arial"/>
        </w:rPr>
        <w:t>The ADA</w:t>
      </w:r>
      <w:r w:rsidR="00D65CAA" w:rsidRPr="004661E9">
        <w:rPr>
          <w:rFonts w:ascii="Arial" w:hAnsi="Arial" w:cs="Arial"/>
        </w:rPr>
        <w:t xml:space="preserve"> Standards of </w:t>
      </w:r>
      <w:r w:rsidR="002A6A8B" w:rsidRPr="004661E9">
        <w:rPr>
          <w:rFonts w:ascii="Arial" w:hAnsi="Arial" w:cs="Arial"/>
        </w:rPr>
        <w:t xml:space="preserve">Medical </w:t>
      </w:r>
      <w:r w:rsidR="00D65CAA" w:rsidRPr="004661E9">
        <w:rPr>
          <w:rFonts w:ascii="Arial" w:hAnsi="Arial" w:cs="Arial"/>
        </w:rPr>
        <w:t xml:space="preserve">Care </w:t>
      </w:r>
      <w:r w:rsidR="002A6A8B" w:rsidRPr="004661E9">
        <w:rPr>
          <w:rFonts w:ascii="Arial" w:hAnsi="Arial" w:cs="Arial"/>
        </w:rPr>
        <w:t>in Diabetes</w:t>
      </w:r>
      <w:r w:rsidR="00D65CAA" w:rsidRPr="004661E9">
        <w:rPr>
          <w:rFonts w:ascii="Arial" w:hAnsi="Arial" w:cs="Arial"/>
        </w:rPr>
        <w:t xml:space="preserve"> recommend</w:t>
      </w:r>
      <w:r w:rsidR="00C46F87" w:rsidRPr="004661E9">
        <w:rPr>
          <w:rFonts w:ascii="Arial" w:hAnsi="Arial" w:cs="Arial"/>
        </w:rPr>
        <w:t xml:space="preserve"> a</w:t>
      </w:r>
      <w:r w:rsidR="00BF70D3" w:rsidRPr="004661E9">
        <w:rPr>
          <w:rFonts w:ascii="Arial" w:hAnsi="Arial" w:cs="Arial"/>
        </w:rPr>
        <w:t xml:space="preserve"> holistic, multifactorial, and</w:t>
      </w:r>
      <w:r w:rsidR="00C46F87" w:rsidRPr="004661E9">
        <w:rPr>
          <w:rFonts w:ascii="Arial" w:hAnsi="Arial" w:cs="Arial"/>
        </w:rPr>
        <w:t xml:space="preserve"> patient-centered approach when</w:t>
      </w:r>
      <w:r w:rsidR="00D65CAA" w:rsidRPr="004661E9">
        <w:rPr>
          <w:rFonts w:ascii="Arial" w:hAnsi="Arial" w:cs="Arial"/>
        </w:rPr>
        <w:t xml:space="preserve"> choosing antidiabetic medications</w:t>
      </w:r>
      <w:r w:rsidR="00C46F87" w:rsidRPr="004661E9">
        <w:rPr>
          <w:rFonts w:ascii="Arial" w:hAnsi="Arial" w:cs="Arial"/>
        </w:rPr>
        <w:t xml:space="preserve">. </w:t>
      </w:r>
      <w:r w:rsidR="00E93E55" w:rsidRPr="004661E9">
        <w:rPr>
          <w:rFonts w:ascii="Arial" w:hAnsi="Arial" w:cs="Arial"/>
        </w:rPr>
        <w:t xml:space="preserve">As per the guidelines, </w:t>
      </w:r>
      <w:r w:rsidR="00FB698E" w:rsidRPr="004661E9">
        <w:rPr>
          <w:rFonts w:ascii="Arial" w:hAnsi="Arial" w:cs="Arial"/>
        </w:rPr>
        <w:t xml:space="preserve">antidiabetic therapy should be </w:t>
      </w:r>
      <w:r w:rsidR="006C2ECE" w:rsidRPr="004661E9">
        <w:rPr>
          <w:rFonts w:ascii="Arial" w:hAnsi="Arial" w:cs="Arial"/>
        </w:rPr>
        <w:t>selected</w:t>
      </w:r>
      <w:r w:rsidR="00FB698E" w:rsidRPr="004661E9">
        <w:rPr>
          <w:rFonts w:ascii="Arial" w:hAnsi="Arial" w:cs="Arial"/>
        </w:rPr>
        <w:t xml:space="preserve"> according to </w:t>
      </w:r>
      <w:r w:rsidR="00E93E55" w:rsidRPr="004661E9">
        <w:rPr>
          <w:rFonts w:ascii="Arial" w:hAnsi="Arial" w:cs="Arial"/>
        </w:rPr>
        <w:t>patient-specific goals</w:t>
      </w:r>
      <w:r w:rsidR="00A451F4" w:rsidRPr="004661E9">
        <w:rPr>
          <w:rFonts w:ascii="Arial" w:hAnsi="Arial" w:cs="Arial"/>
        </w:rPr>
        <w:t xml:space="preserve"> such as cardiorenal protection or achiev</w:t>
      </w:r>
      <w:r w:rsidR="006C2ECE" w:rsidRPr="004661E9">
        <w:rPr>
          <w:rFonts w:ascii="Arial" w:hAnsi="Arial" w:cs="Arial"/>
        </w:rPr>
        <w:t>ing and maintaining</w:t>
      </w:r>
      <w:r w:rsidR="00A451F4" w:rsidRPr="004661E9">
        <w:rPr>
          <w:rFonts w:ascii="Arial" w:hAnsi="Arial" w:cs="Arial"/>
        </w:rPr>
        <w:t xml:space="preserve"> </w:t>
      </w:r>
      <w:r w:rsidR="00EC300E" w:rsidRPr="004661E9">
        <w:rPr>
          <w:rFonts w:ascii="Arial" w:hAnsi="Arial" w:cs="Arial"/>
        </w:rPr>
        <w:t>glycemic and weight management goals.</w:t>
      </w:r>
      <w:r w:rsidR="006C2ECE" w:rsidRPr="004661E9">
        <w:rPr>
          <w:rFonts w:ascii="Arial" w:hAnsi="Arial" w:cs="Arial"/>
        </w:rPr>
        <w:t xml:space="preserve"> </w:t>
      </w:r>
      <w:r w:rsidR="00D2537D" w:rsidRPr="004661E9">
        <w:rPr>
          <w:rFonts w:ascii="Arial" w:hAnsi="Arial" w:cs="Arial"/>
        </w:rPr>
        <w:t>Moreover,</w:t>
      </w:r>
      <w:r w:rsidR="006C2ECE" w:rsidRPr="004661E9">
        <w:rPr>
          <w:rFonts w:ascii="Arial" w:hAnsi="Arial" w:cs="Arial"/>
        </w:rPr>
        <w:t xml:space="preserve"> </w:t>
      </w:r>
      <w:r w:rsidR="00D2537D" w:rsidRPr="004661E9">
        <w:rPr>
          <w:rFonts w:ascii="Arial" w:hAnsi="Arial" w:cs="Arial"/>
        </w:rPr>
        <w:t>considering comorbidities, such as HF and CKD, is essential</w:t>
      </w:r>
      <w:r w:rsidR="006C2ECE" w:rsidRPr="004661E9">
        <w:rPr>
          <w:rFonts w:ascii="Arial" w:hAnsi="Arial" w:cs="Arial"/>
        </w:rPr>
        <w:t xml:space="preserve"> when determining management goals</w:t>
      </w:r>
      <w:r w:rsidR="00C46F87" w:rsidRPr="004661E9">
        <w:rPr>
          <w:rFonts w:ascii="Arial" w:hAnsi="Arial" w:cs="Arial"/>
        </w:rPr>
        <w:t xml:space="preserve"> </w:t>
      </w:r>
      <w:r w:rsidR="00E57828" w:rsidRPr="004661E9">
        <w:rPr>
          <w:rFonts w:ascii="Arial" w:hAnsi="Arial" w:cs="Arial"/>
        </w:rPr>
        <w:fldChar w:fldCharType="begin" w:fldLock="1"/>
      </w:r>
      <w:r w:rsidR="001C412B" w:rsidRPr="004661E9">
        <w:rPr>
          <w:rFonts w:ascii="Arial" w:hAnsi="Arial" w:cs="Arial"/>
        </w:rPr>
        <w:instrText>ADDIN CSL_CITATION {"citationItems":[{"id":"ITEM-1","itemData":{"DOI":"10.2337/dc23-S009","ISSN":"19355548","PMID":"36507650","abstract":"The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Care","id":"ITEM-1","issue":"supp","issued":{"date-parts":[["2023"]]},"page":"S140-S157","title":"9. Pharmacologic Approaches to Glycemic Treatment: Standards of Care in Diabetes—2023","type":"article-journal","volume":"46"},"uris":["http://www.mendeley.com/documents/?uuid=a47bb03b-266b-42b6-9550-2b6ce5683bfd"]},{"id":"ITEM-2","itemData":{"DOI":"10.2337/dc23-S010","ISSN":"19355548","PMID":"36507632","abstract":"The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S.","non-dropping-particle":"","parse-names":false,"suffix":""},{"dropping-particle":"","family":"Das","given":"Sandeep R.","non-dropping-particle":"","parse-names":false,"suffix":""},{"dropping-particle":"","family":"Hilliard","given":"Marisa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Kosiborod","given":"Mikhail","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Care","id":"ITEM-2","issue":"January","issued":{"date-parts":[["2023"]]},"page":"S158-S190","title":"10. Cardiovascular Disease and Risk Management: Standards of Care in Diabetes—2023","type":"article-journal","volume":"46"},"uris":["http://www.mendeley.com/documents/?uuid=7002a8c8-d784-44d2-8b19-a77cc70b7b35"]}],"mendeley":{"formattedCitation":"(23,141)","plainTextFormattedCitation":"(23,141)","previouslyFormattedCitation":"(23,141)"},"properties":{"noteIndex":0},"schema":"https://github.com/citation-style-language/schema/raw/master/csl-citation.json"}</w:instrText>
      </w:r>
      <w:r w:rsidR="00E57828" w:rsidRPr="004661E9">
        <w:rPr>
          <w:rFonts w:ascii="Arial" w:hAnsi="Arial" w:cs="Arial"/>
        </w:rPr>
        <w:fldChar w:fldCharType="separate"/>
      </w:r>
      <w:r w:rsidR="001C412B" w:rsidRPr="004661E9">
        <w:rPr>
          <w:rFonts w:ascii="Arial" w:hAnsi="Arial" w:cs="Arial"/>
          <w:noProof/>
        </w:rPr>
        <w:t>(23,141)</w:t>
      </w:r>
      <w:r w:rsidR="00E57828" w:rsidRPr="004661E9">
        <w:rPr>
          <w:rFonts w:ascii="Arial" w:hAnsi="Arial" w:cs="Arial"/>
        </w:rPr>
        <w:fldChar w:fldCharType="end"/>
      </w:r>
      <w:r w:rsidR="0065759C" w:rsidRPr="004661E9">
        <w:rPr>
          <w:rFonts w:ascii="Arial" w:hAnsi="Arial" w:cs="Arial"/>
        </w:rPr>
        <w:t>.</w:t>
      </w:r>
      <w:r w:rsidR="00561DD8" w:rsidRPr="004661E9">
        <w:rPr>
          <w:rFonts w:ascii="Arial" w:hAnsi="Arial" w:cs="Arial"/>
        </w:rPr>
        <w:t xml:space="preserve"> </w:t>
      </w:r>
    </w:p>
    <w:p w14:paraId="766C23BB" w14:textId="77777777" w:rsidR="004C38CF" w:rsidRPr="004661E9" w:rsidRDefault="004C38CF" w:rsidP="004661E9">
      <w:pPr>
        <w:spacing w:after="0" w:line="276" w:lineRule="auto"/>
        <w:rPr>
          <w:rFonts w:ascii="Arial" w:eastAsia="Times New Roman" w:hAnsi="Arial" w:cs="Arial"/>
          <w:b/>
          <w:bCs/>
        </w:rPr>
      </w:pPr>
    </w:p>
    <w:p w14:paraId="2DA3C588" w14:textId="77777777" w:rsidR="004B6827" w:rsidRPr="004661E9" w:rsidRDefault="004B6827" w:rsidP="004661E9">
      <w:pPr>
        <w:spacing w:after="0" w:line="276" w:lineRule="auto"/>
        <w:rPr>
          <w:rStyle w:val="Strong"/>
          <w:rFonts w:ascii="Arial" w:eastAsia="Times New Roman" w:hAnsi="Arial" w:cs="Arial"/>
          <w:b w:val="0"/>
          <w:bCs w:val="0"/>
          <w:color w:val="00B050"/>
        </w:rPr>
      </w:pPr>
      <w:r w:rsidRPr="004661E9">
        <w:rPr>
          <w:rFonts w:ascii="Arial" w:eastAsia="Times New Roman" w:hAnsi="Arial" w:cs="Arial"/>
          <w:b/>
          <w:bCs/>
          <w:color w:val="00B050"/>
        </w:rPr>
        <w:t>SGLT2 Inhibitors</w:t>
      </w:r>
    </w:p>
    <w:p w14:paraId="12F9A9F9" w14:textId="77777777" w:rsidR="0065759C" w:rsidRPr="004661E9" w:rsidRDefault="0065759C" w:rsidP="004661E9">
      <w:pPr>
        <w:spacing w:after="0" w:line="276" w:lineRule="auto"/>
        <w:rPr>
          <w:rFonts w:ascii="Arial" w:hAnsi="Arial" w:cs="Arial"/>
        </w:rPr>
      </w:pPr>
    </w:p>
    <w:p w14:paraId="7EDDAAF9" w14:textId="290B0631" w:rsidR="00861B67" w:rsidRPr="004661E9" w:rsidRDefault="00861B67" w:rsidP="004661E9">
      <w:pPr>
        <w:spacing w:after="0" w:line="276" w:lineRule="auto"/>
        <w:rPr>
          <w:rFonts w:ascii="Arial" w:hAnsi="Arial" w:cs="Arial"/>
        </w:rPr>
      </w:pPr>
      <w:r w:rsidRPr="004661E9">
        <w:rPr>
          <w:rFonts w:ascii="Arial" w:hAnsi="Arial" w:cs="Arial"/>
        </w:rPr>
        <w:t xml:space="preserve">In light of the evidence from </w:t>
      </w:r>
      <w:r w:rsidR="002A6A8B" w:rsidRPr="004661E9">
        <w:rPr>
          <w:rFonts w:ascii="Arial" w:hAnsi="Arial" w:cs="Arial"/>
        </w:rPr>
        <w:t>CVOTs</w:t>
      </w:r>
      <w:r w:rsidRPr="004661E9">
        <w:rPr>
          <w:rFonts w:ascii="Arial" w:hAnsi="Arial" w:cs="Arial"/>
        </w:rPr>
        <w:t xml:space="preserve"> </w:t>
      </w:r>
      <w:r w:rsidR="00F06101" w:rsidRPr="004661E9">
        <w:rPr>
          <w:rFonts w:ascii="Arial" w:hAnsi="Arial" w:cs="Arial"/>
        </w:rPr>
        <w:t xml:space="preserve">showing the benefits </w:t>
      </w:r>
      <w:r w:rsidR="00D2537D" w:rsidRPr="004661E9">
        <w:rPr>
          <w:rFonts w:ascii="Arial" w:hAnsi="Arial" w:cs="Arial"/>
        </w:rPr>
        <w:t>of</w:t>
      </w:r>
      <w:r w:rsidR="00F06101" w:rsidRPr="004661E9">
        <w:rPr>
          <w:rFonts w:ascii="Arial" w:hAnsi="Arial" w:cs="Arial"/>
        </w:rPr>
        <w:t xml:space="preserve"> </w:t>
      </w:r>
      <w:r w:rsidR="00845EAF" w:rsidRPr="004661E9">
        <w:rPr>
          <w:rFonts w:ascii="Arial" w:hAnsi="Arial" w:cs="Arial"/>
        </w:rPr>
        <w:t>CV</w:t>
      </w:r>
      <w:r w:rsidR="00D2537D" w:rsidRPr="004661E9">
        <w:rPr>
          <w:rFonts w:ascii="Arial" w:hAnsi="Arial" w:cs="Arial"/>
        </w:rPr>
        <w:t>D</w:t>
      </w:r>
      <w:r w:rsidR="00F06101" w:rsidRPr="004661E9">
        <w:rPr>
          <w:rFonts w:ascii="Arial" w:hAnsi="Arial" w:cs="Arial"/>
        </w:rPr>
        <w:t xml:space="preserve"> risk reduction and renal protection</w:t>
      </w:r>
      <w:r w:rsidRPr="004661E9">
        <w:rPr>
          <w:rFonts w:ascii="Arial" w:hAnsi="Arial" w:cs="Arial"/>
        </w:rPr>
        <w:t xml:space="preserve">, the ADA recommends </w:t>
      </w:r>
      <w:r w:rsidR="00D42EB8" w:rsidRPr="004661E9">
        <w:rPr>
          <w:rFonts w:ascii="Arial" w:hAnsi="Arial" w:cs="Arial"/>
        </w:rPr>
        <w:t>using</w:t>
      </w:r>
      <w:r w:rsidRPr="004661E9">
        <w:rPr>
          <w:rFonts w:ascii="Arial" w:hAnsi="Arial" w:cs="Arial"/>
        </w:rPr>
        <w:t xml:space="preserve"> </w:t>
      </w:r>
      <w:bookmarkStart w:id="24" w:name="_Hlk43754878"/>
      <w:r w:rsidRPr="004661E9">
        <w:rPr>
          <w:rFonts w:ascii="Arial" w:hAnsi="Arial" w:cs="Arial"/>
        </w:rPr>
        <w:t>GLP1</w:t>
      </w:r>
      <w:r w:rsidR="00D32FC5" w:rsidRPr="004661E9">
        <w:rPr>
          <w:rFonts w:ascii="Arial" w:hAnsi="Arial" w:cs="Arial"/>
        </w:rPr>
        <w:t>-R</w:t>
      </w:r>
      <w:r w:rsidR="00994B50" w:rsidRPr="004661E9">
        <w:rPr>
          <w:rFonts w:ascii="Arial" w:hAnsi="Arial" w:cs="Arial"/>
        </w:rPr>
        <w:t>A</w:t>
      </w:r>
      <w:r w:rsidR="00D32FC5" w:rsidRPr="004661E9">
        <w:rPr>
          <w:rFonts w:ascii="Arial" w:hAnsi="Arial" w:cs="Arial"/>
        </w:rPr>
        <w:t xml:space="preserve">s </w:t>
      </w:r>
      <w:bookmarkEnd w:id="24"/>
      <w:r w:rsidR="00F06101" w:rsidRPr="004661E9">
        <w:rPr>
          <w:rFonts w:ascii="Arial" w:hAnsi="Arial" w:cs="Arial"/>
        </w:rPr>
        <w:t>or</w:t>
      </w:r>
      <w:r w:rsidRPr="004661E9">
        <w:rPr>
          <w:rFonts w:ascii="Arial" w:hAnsi="Arial" w:cs="Arial"/>
        </w:rPr>
        <w:t xml:space="preserve"> SGLT2 inhibitors</w:t>
      </w:r>
      <w:r w:rsidR="00F06101" w:rsidRPr="004661E9">
        <w:rPr>
          <w:rFonts w:ascii="Arial" w:hAnsi="Arial" w:cs="Arial"/>
        </w:rPr>
        <w:t xml:space="preserve"> </w:t>
      </w:r>
      <w:r w:rsidR="00733F97" w:rsidRPr="004661E9">
        <w:rPr>
          <w:rFonts w:ascii="Arial" w:hAnsi="Arial" w:cs="Arial"/>
        </w:rPr>
        <w:t xml:space="preserve">as </w:t>
      </w:r>
      <w:r w:rsidR="005F67B5" w:rsidRPr="004661E9">
        <w:rPr>
          <w:rFonts w:ascii="Arial" w:hAnsi="Arial" w:cs="Arial"/>
        </w:rPr>
        <w:t>first</w:t>
      </w:r>
      <w:r w:rsidR="006C2ECE" w:rsidRPr="004661E9">
        <w:rPr>
          <w:rFonts w:ascii="Arial" w:hAnsi="Arial" w:cs="Arial"/>
        </w:rPr>
        <w:t>-</w:t>
      </w:r>
      <w:r w:rsidR="005F67B5" w:rsidRPr="004661E9">
        <w:rPr>
          <w:rFonts w:ascii="Arial" w:hAnsi="Arial" w:cs="Arial"/>
        </w:rPr>
        <w:t>line agents</w:t>
      </w:r>
      <w:r w:rsidRPr="004661E9">
        <w:rPr>
          <w:rFonts w:ascii="Arial" w:hAnsi="Arial" w:cs="Arial"/>
        </w:rPr>
        <w:t xml:space="preserve"> in T2DM patients with </w:t>
      </w:r>
      <w:r w:rsidR="00F06101" w:rsidRPr="004661E9">
        <w:rPr>
          <w:rFonts w:ascii="Arial" w:hAnsi="Arial" w:cs="Arial"/>
        </w:rPr>
        <w:t>high-risk</w:t>
      </w:r>
      <w:r w:rsidR="00D42EB8" w:rsidRPr="004661E9">
        <w:rPr>
          <w:rFonts w:ascii="Arial" w:hAnsi="Arial" w:cs="Arial"/>
        </w:rPr>
        <w:t xml:space="preserve"> </w:t>
      </w:r>
      <w:r w:rsidR="00F06101" w:rsidRPr="004661E9">
        <w:rPr>
          <w:rFonts w:ascii="Arial" w:hAnsi="Arial" w:cs="Arial"/>
        </w:rPr>
        <w:t xml:space="preserve">or established </w:t>
      </w:r>
      <w:r w:rsidR="00D70D6F" w:rsidRPr="004661E9">
        <w:rPr>
          <w:rFonts w:ascii="Arial" w:hAnsi="Arial" w:cs="Arial"/>
        </w:rPr>
        <w:t>AS</w:t>
      </w:r>
      <w:r w:rsidR="00F06101" w:rsidRPr="004661E9">
        <w:rPr>
          <w:rFonts w:ascii="Arial" w:hAnsi="Arial" w:cs="Arial"/>
        </w:rPr>
        <w:t xml:space="preserve">CVD </w:t>
      </w:r>
      <w:r w:rsidR="00746FB3" w:rsidRPr="004661E9">
        <w:rPr>
          <w:rFonts w:ascii="Arial" w:hAnsi="Arial" w:cs="Arial"/>
        </w:rPr>
        <w:fldChar w:fldCharType="begin" w:fldLock="1"/>
      </w:r>
      <w:r w:rsidR="000962ED" w:rsidRPr="004661E9">
        <w:rPr>
          <w:rFonts w:ascii="Arial" w:hAnsi="Arial" w:cs="Arial"/>
        </w:rPr>
        <w:instrText>ADDIN CSL_CITATION {"citationItems":[{"id":"ITEM-1","itemData":{"DOI":"10.2337/dc23-S009","ISSN":"19355548","PMID":"36507650","abstract":"The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Care","id":"ITEM-1","issue":"supp","issued":{"date-parts":[["2023"]]},"page":"S140-S157","title":"9. Pharmacologic Approaches to Glycemic Treatment: Standards of Care in Diabetes—2023","type":"article-journal","volume":"46"},"uris":["http://www.mendeley.com/documents/?uuid=a47bb03b-266b-42b6-9550-2b6ce5683bfd"]}],"mendeley":{"formattedCitation":"(23)","plainTextFormattedCitation":"(23)","previouslyFormattedCitation":"(23)"},"properties":{"noteIndex":0},"schema":"https://github.com/citation-style-language/schema/raw/master/csl-citation.json"}</w:instrText>
      </w:r>
      <w:r w:rsidR="00746FB3" w:rsidRPr="004661E9">
        <w:rPr>
          <w:rFonts w:ascii="Arial" w:hAnsi="Arial" w:cs="Arial"/>
        </w:rPr>
        <w:fldChar w:fldCharType="separate"/>
      </w:r>
      <w:r w:rsidR="000962ED" w:rsidRPr="004661E9">
        <w:rPr>
          <w:rFonts w:ascii="Arial" w:hAnsi="Arial" w:cs="Arial"/>
          <w:noProof/>
        </w:rPr>
        <w:t>(23)</w:t>
      </w:r>
      <w:r w:rsidR="00746FB3" w:rsidRPr="004661E9">
        <w:rPr>
          <w:rFonts w:ascii="Arial" w:hAnsi="Arial" w:cs="Arial"/>
        </w:rPr>
        <w:fldChar w:fldCharType="end"/>
      </w:r>
      <w:r w:rsidR="0065759C" w:rsidRPr="004661E9">
        <w:rPr>
          <w:rFonts w:ascii="Arial" w:hAnsi="Arial" w:cs="Arial"/>
        </w:rPr>
        <w:t>.</w:t>
      </w:r>
      <w:r w:rsidR="00FF4719" w:rsidRPr="004661E9">
        <w:rPr>
          <w:rFonts w:ascii="Arial" w:hAnsi="Arial" w:cs="Arial"/>
        </w:rPr>
        <w:t xml:space="preserve"> In addition</w:t>
      </w:r>
      <w:r w:rsidR="006C2ECE" w:rsidRPr="004661E9">
        <w:rPr>
          <w:rFonts w:ascii="Arial" w:hAnsi="Arial" w:cs="Arial"/>
        </w:rPr>
        <w:t>,</w:t>
      </w:r>
      <w:r w:rsidR="00FF4719" w:rsidRPr="004661E9">
        <w:rPr>
          <w:rFonts w:ascii="Arial" w:hAnsi="Arial" w:cs="Arial"/>
        </w:rPr>
        <w:t xml:space="preserve"> SGLT2 inhibitors are </w:t>
      </w:r>
      <w:bookmarkStart w:id="25" w:name="_Hlk43804820"/>
      <w:r w:rsidR="00FF4719" w:rsidRPr="004661E9">
        <w:rPr>
          <w:rFonts w:ascii="Arial" w:hAnsi="Arial" w:cs="Arial"/>
        </w:rPr>
        <w:t xml:space="preserve">the </w:t>
      </w:r>
      <w:r w:rsidR="005968ED" w:rsidRPr="004661E9">
        <w:rPr>
          <w:rFonts w:ascii="Arial" w:hAnsi="Arial" w:cs="Arial"/>
        </w:rPr>
        <w:t xml:space="preserve">preferred </w:t>
      </w:r>
      <w:r w:rsidR="004A444C" w:rsidRPr="004661E9">
        <w:rPr>
          <w:rFonts w:ascii="Arial" w:hAnsi="Arial" w:cs="Arial"/>
        </w:rPr>
        <w:t xml:space="preserve">first-line antidiabetic </w:t>
      </w:r>
      <w:r w:rsidR="005968ED" w:rsidRPr="004661E9">
        <w:rPr>
          <w:rFonts w:ascii="Arial" w:hAnsi="Arial" w:cs="Arial"/>
        </w:rPr>
        <w:t xml:space="preserve">in patients with </w:t>
      </w:r>
      <w:r w:rsidR="004A444C" w:rsidRPr="004661E9">
        <w:rPr>
          <w:rFonts w:ascii="Arial" w:hAnsi="Arial" w:cs="Arial"/>
        </w:rPr>
        <w:t>known HF</w:t>
      </w:r>
      <w:r w:rsidR="00471A81" w:rsidRPr="004661E9">
        <w:rPr>
          <w:rFonts w:ascii="Arial" w:hAnsi="Arial" w:cs="Arial"/>
        </w:rPr>
        <w:t xml:space="preserve"> or</w:t>
      </w:r>
      <w:r w:rsidR="004A444C" w:rsidRPr="004661E9">
        <w:rPr>
          <w:rFonts w:ascii="Arial" w:hAnsi="Arial" w:cs="Arial"/>
        </w:rPr>
        <w:t xml:space="preserve"> CKD </w:t>
      </w:r>
      <w:r w:rsidR="001674BD" w:rsidRPr="004661E9">
        <w:rPr>
          <w:rFonts w:ascii="Arial" w:hAnsi="Arial" w:cs="Arial"/>
        </w:rPr>
        <w:t>(eGFR &lt;60 ml/min/</w:t>
      </w:r>
      <w:r w:rsidR="00C7241E" w:rsidRPr="004661E9">
        <w:rPr>
          <w:rFonts w:ascii="Arial" w:hAnsi="Arial" w:cs="Arial"/>
        </w:rPr>
        <w:t>1.73 m</w:t>
      </w:r>
      <w:r w:rsidR="00C7241E" w:rsidRPr="004661E9">
        <w:rPr>
          <w:rFonts w:ascii="Arial" w:hAnsi="Arial" w:cs="Arial"/>
          <w:vertAlign w:val="superscript"/>
        </w:rPr>
        <w:t>2</w:t>
      </w:r>
      <w:r w:rsidR="00C7241E" w:rsidRPr="004661E9">
        <w:rPr>
          <w:rFonts w:ascii="Arial" w:hAnsi="Arial" w:cs="Arial"/>
        </w:rPr>
        <w:t xml:space="preserve"> or albuminuria</w:t>
      </w:r>
      <w:r w:rsidR="001674BD" w:rsidRPr="004661E9">
        <w:rPr>
          <w:rFonts w:ascii="Arial" w:hAnsi="Arial" w:cs="Arial"/>
        </w:rPr>
        <w:t>)</w:t>
      </w:r>
      <w:r w:rsidR="00C7241E" w:rsidRPr="004661E9">
        <w:rPr>
          <w:rFonts w:ascii="Arial" w:hAnsi="Arial" w:cs="Arial"/>
        </w:rPr>
        <w:t>.</w:t>
      </w:r>
      <w:r w:rsidR="00E9348C" w:rsidRPr="004661E9">
        <w:rPr>
          <w:rFonts w:ascii="Arial" w:hAnsi="Arial" w:cs="Arial"/>
        </w:rPr>
        <w:t xml:space="preserve"> This approach is a change from before</w:t>
      </w:r>
      <w:r w:rsidR="006C2ECE" w:rsidRPr="004661E9">
        <w:rPr>
          <w:rFonts w:ascii="Arial" w:hAnsi="Arial" w:cs="Arial"/>
        </w:rPr>
        <w:t>,</w:t>
      </w:r>
      <w:r w:rsidR="00E9348C" w:rsidRPr="004661E9">
        <w:rPr>
          <w:rFonts w:ascii="Arial" w:hAnsi="Arial" w:cs="Arial"/>
        </w:rPr>
        <w:t xml:space="preserve"> </w:t>
      </w:r>
      <w:r w:rsidR="00EC2381" w:rsidRPr="004661E9">
        <w:rPr>
          <w:rFonts w:ascii="Arial" w:hAnsi="Arial" w:cs="Arial"/>
        </w:rPr>
        <w:t xml:space="preserve">as the guidelines </w:t>
      </w:r>
      <w:r w:rsidR="00471A81" w:rsidRPr="004661E9">
        <w:rPr>
          <w:rFonts w:ascii="Arial" w:hAnsi="Arial" w:cs="Arial"/>
        </w:rPr>
        <w:t>no longer</w:t>
      </w:r>
      <w:r w:rsidR="00EC2381" w:rsidRPr="004661E9">
        <w:rPr>
          <w:rFonts w:ascii="Arial" w:hAnsi="Arial" w:cs="Arial"/>
        </w:rPr>
        <w:t xml:space="preserve"> require </w:t>
      </w:r>
      <w:r w:rsidR="00471A81" w:rsidRPr="004661E9">
        <w:rPr>
          <w:rFonts w:ascii="Arial" w:hAnsi="Arial" w:cs="Arial"/>
        </w:rPr>
        <w:t xml:space="preserve">first-line </w:t>
      </w:r>
      <w:r w:rsidR="00EC2381" w:rsidRPr="004661E9">
        <w:rPr>
          <w:rFonts w:ascii="Arial" w:hAnsi="Arial" w:cs="Arial"/>
        </w:rPr>
        <w:t>metformin therapy before initiati</w:t>
      </w:r>
      <w:r w:rsidR="006C2ECE" w:rsidRPr="004661E9">
        <w:rPr>
          <w:rFonts w:ascii="Arial" w:hAnsi="Arial" w:cs="Arial"/>
        </w:rPr>
        <w:t>ng</w:t>
      </w:r>
      <w:r w:rsidR="00EC2381" w:rsidRPr="004661E9">
        <w:rPr>
          <w:rFonts w:ascii="Arial" w:hAnsi="Arial" w:cs="Arial"/>
        </w:rPr>
        <w:t xml:space="preserve"> SGLT2 inhibitors or GLP</w:t>
      </w:r>
      <w:r w:rsidR="00943F2B" w:rsidRPr="004661E9">
        <w:rPr>
          <w:rFonts w:ascii="Arial" w:hAnsi="Arial" w:cs="Arial"/>
        </w:rPr>
        <w:t>1</w:t>
      </w:r>
      <w:r w:rsidR="00EC2381" w:rsidRPr="004661E9">
        <w:rPr>
          <w:rFonts w:ascii="Arial" w:hAnsi="Arial" w:cs="Arial"/>
        </w:rPr>
        <w:t>-RA</w:t>
      </w:r>
      <w:r w:rsidR="00D42EB8" w:rsidRPr="004661E9">
        <w:rPr>
          <w:rFonts w:ascii="Arial" w:hAnsi="Arial" w:cs="Arial"/>
        </w:rPr>
        <w:t>s</w:t>
      </w:r>
      <w:r w:rsidR="00EC2381" w:rsidRPr="004661E9">
        <w:rPr>
          <w:rFonts w:ascii="Arial" w:hAnsi="Arial" w:cs="Arial"/>
        </w:rPr>
        <w:t xml:space="preserve"> </w:t>
      </w:r>
      <w:r w:rsidR="00161D3C" w:rsidRPr="004661E9">
        <w:rPr>
          <w:rFonts w:ascii="Arial" w:hAnsi="Arial" w:cs="Arial"/>
        </w:rPr>
        <w:t xml:space="preserve">when the </w:t>
      </w:r>
      <w:r w:rsidR="00471A81" w:rsidRPr="004661E9">
        <w:rPr>
          <w:rFonts w:ascii="Arial" w:hAnsi="Arial" w:cs="Arial"/>
        </w:rPr>
        <w:t xml:space="preserve">therapy </w:t>
      </w:r>
      <w:r w:rsidR="00161D3C" w:rsidRPr="004661E9">
        <w:rPr>
          <w:rFonts w:ascii="Arial" w:hAnsi="Arial" w:cs="Arial"/>
        </w:rPr>
        <w:t xml:space="preserve">is </w:t>
      </w:r>
      <w:r w:rsidR="006C2ECE" w:rsidRPr="004661E9">
        <w:rPr>
          <w:rFonts w:ascii="Arial" w:hAnsi="Arial" w:cs="Arial"/>
        </w:rPr>
        <w:t>star</w:t>
      </w:r>
      <w:r w:rsidR="00161D3C" w:rsidRPr="004661E9">
        <w:rPr>
          <w:rFonts w:ascii="Arial" w:hAnsi="Arial" w:cs="Arial"/>
        </w:rPr>
        <w:t xml:space="preserve">ted with the goal of </w:t>
      </w:r>
      <w:r w:rsidR="0028738C" w:rsidRPr="004661E9">
        <w:rPr>
          <w:rFonts w:ascii="Arial" w:hAnsi="Arial" w:cs="Arial"/>
        </w:rPr>
        <w:t>cardiorenal risk reduction in high</w:t>
      </w:r>
      <w:r w:rsidR="006C2ECE" w:rsidRPr="004661E9">
        <w:rPr>
          <w:rFonts w:ascii="Arial" w:hAnsi="Arial" w:cs="Arial"/>
        </w:rPr>
        <w:t>-</w:t>
      </w:r>
      <w:r w:rsidR="0028738C" w:rsidRPr="004661E9">
        <w:rPr>
          <w:rFonts w:ascii="Arial" w:hAnsi="Arial" w:cs="Arial"/>
        </w:rPr>
        <w:t xml:space="preserve">risk patients with T2DM. </w:t>
      </w:r>
      <w:r w:rsidR="00AA26E4" w:rsidRPr="004661E9">
        <w:rPr>
          <w:rFonts w:ascii="Arial" w:hAnsi="Arial" w:cs="Arial"/>
        </w:rPr>
        <w:t>(</w:t>
      </w:r>
      <w:r w:rsidR="001C412B" w:rsidRPr="004661E9">
        <w:rPr>
          <w:rFonts w:ascii="Arial" w:hAnsi="Arial" w:cs="Arial"/>
        </w:rPr>
        <w:t>Table 2</w:t>
      </w:r>
      <w:r w:rsidR="00AA26E4" w:rsidRPr="004661E9">
        <w:rPr>
          <w:rFonts w:ascii="Arial" w:hAnsi="Arial" w:cs="Arial"/>
        </w:rPr>
        <w:t>)</w:t>
      </w:r>
      <w:r w:rsidR="0065759C" w:rsidRPr="004661E9">
        <w:rPr>
          <w:rFonts w:ascii="Arial" w:hAnsi="Arial" w:cs="Arial"/>
        </w:rPr>
        <w:t>.</w:t>
      </w:r>
    </w:p>
    <w:p w14:paraId="6DFF2CBE" w14:textId="0981389A" w:rsidR="001C412B" w:rsidRPr="004661E9" w:rsidRDefault="001C412B" w:rsidP="004661E9">
      <w:pPr>
        <w:spacing w:after="0" w:line="276" w:lineRule="auto"/>
        <w:rPr>
          <w:rFonts w:ascii="Arial" w:hAnsi="Arial" w:cs="Arial"/>
        </w:rPr>
      </w:pPr>
    </w:p>
    <w:tbl>
      <w:tblPr>
        <w:tblStyle w:val="TableGrid"/>
        <w:tblW w:w="9972" w:type="dxa"/>
        <w:tblLook w:val="0420" w:firstRow="1" w:lastRow="0" w:firstColumn="0" w:lastColumn="0" w:noHBand="0" w:noVBand="1"/>
      </w:tblPr>
      <w:tblGrid>
        <w:gridCol w:w="2770"/>
        <w:gridCol w:w="3535"/>
        <w:gridCol w:w="3667"/>
      </w:tblGrid>
      <w:tr w:rsidR="000D757B" w:rsidRPr="004661E9" w14:paraId="1DD04883" w14:textId="77777777" w:rsidTr="003B5689">
        <w:trPr>
          <w:trHeight w:val="647"/>
        </w:trPr>
        <w:tc>
          <w:tcPr>
            <w:tcW w:w="9972" w:type="dxa"/>
            <w:gridSpan w:val="3"/>
            <w:shd w:val="clear" w:color="auto" w:fill="FFFF00"/>
          </w:tcPr>
          <w:p w14:paraId="70523BE2" w14:textId="43BA566D" w:rsidR="000D757B" w:rsidRPr="004661E9" w:rsidRDefault="00852B37" w:rsidP="004661E9">
            <w:pPr>
              <w:spacing w:line="276" w:lineRule="auto"/>
              <w:rPr>
                <w:rFonts w:ascii="Arial" w:eastAsia="Times New Roman" w:hAnsi="Arial" w:cs="Arial"/>
              </w:rPr>
            </w:pPr>
            <w:r w:rsidRPr="004661E9">
              <w:rPr>
                <w:rFonts w:ascii="Arial" w:hAnsi="Arial" w:cs="Arial"/>
                <w:b/>
                <w:bCs/>
              </w:rPr>
              <w:t>Table 2</w:t>
            </w:r>
            <w:r w:rsidR="000D757B" w:rsidRPr="004661E9">
              <w:rPr>
                <w:rFonts w:ascii="Arial" w:hAnsi="Arial" w:cs="Arial"/>
                <w:b/>
                <w:bCs/>
              </w:rPr>
              <w:t xml:space="preserve">.  Pharmacologic </w:t>
            </w:r>
            <w:r w:rsidR="00152763">
              <w:rPr>
                <w:rFonts w:ascii="Arial" w:hAnsi="Arial" w:cs="Arial"/>
                <w:b/>
                <w:bCs/>
              </w:rPr>
              <w:t>T</w:t>
            </w:r>
            <w:r w:rsidR="000D757B" w:rsidRPr="004661E9">
              <w:rPr>
                <w:rFonts w:ascii="Arial" w:hAnsi="Arial" w:cs="Arial"/>
                <w:b/>
                <w:bCs/>
              </w:rPr>
              <w:t xml:space="preserve">herapy with a </w:t>
            </w:r>
            <w:r w:rsidR="00152763">
              <w:rPr>
                <w:rFonts w:ascii="Arial" w:hAnsi="Arial" w:cs="Arial"/>
                <w:b/>
                <w:bCs/>
              </w:rPr>
              <w:t>G</w:t>
            </w:r>
            <w:r w:rsidR="000D757B" w:rsidRPr="004661E9">
              <w:rPr>
                <w:rFonts w:ascii="Arial" w:hAnsi="Arial" w:cs="Arial"/>
                <w:b/>
                <w:bCs/>
              </w:rPr>
              <w:t xml:space="preserve">oal of </w:t>
            </w:r>
            <w:r w:rsidR="00152763">
              <w:rPr>
                <w:rFonts w:ascii="Arial" w:hAnsi="Arial" w:cs="Arial"/>
                <w:b/>
                <w:bCs/>
              </w:rPr>
              <w:t>C</w:t>
            </w:r>
            <w:r w:rsidR="000D757B" w:rsidRPr="004661E9">
              <w:rPr>
                <w:rFonts w:ascii="Arial" w:hAnsi="Arial" w:cs="Arial"/>
                <w:b/>
                <w:bCs/>
              </w:rPr>
              <w:t xml:space="preserve">ardiorenal </w:t>
            </w:r>
            <w:r w:rsidR="00152763">
              <w:rPr>
                <w:rFonts w:ascii="Arial" w:hAnsi="Arial" w:cs="Arial"/>
                <w:b/>
                <w:bCs/>
              </w:rPr>
              <w:t>R</w:t>
            </w:r>
            <w:r w:rsidR="000D757B" w:rsidRPr="004661E9">
              <w:rPr>
                <w:rFonts w:ascii="Arial" w:hAnsi="Arial" w:cs="Arial"/>
                <w:b/>
                <w:bCs/>
              </w:rPr>
              <w:t xml:space="preserve">isk </w:t>
            </w:r>
            <w:r w:rsidR="00152763">
              <w:rPr>
                <w:rFonts w:ascii="Arial" w:hAnsi="Arial" w:cs="Arial"/>
                <w:b/>
                <w:bCs/>
              </w:rPr>
              <w:t>R</w:t>
            </w:r>
            <w:r w:rsidR="000D757B" w:rsidRPr="004661E9">
              <w:rPr>
                <w:rFonts w:ascii="Arial" w:hAnsi="Arial" w:cs="Arial"/>
                <w:b/>
                <w:bCs/>
              </w:rPr>
              <w:t xml:space="preserve">eduction in </w:t>
            </w:r>
            <w:r w:rsidR="00152763">
              <w:rPr>
                <w:rFonts w:ascii="Arial" w:hAnsi="Arial" w:cs="Arial"/>
                <w:b/>
                <w:bCs/>
              </w:rPr>
              <w:t>H</w:t>
            </w:r>
            <w:r w:rsidR="000D757B" w:rsidRPr="004661E9">
              <w:rPr>
                <w:rFonts w:ascii="Arial" w:hAnsi="Arial" w:cs="Arial"/>
                <w:b/>
                <w:bCs/>
              </w:rPr>
              <w:t>igh-</w:t>
            </w:r>
            <w:r w:rsidR="00152763">
              <w:rPr>
                <w:rFonts w:ascii="Arial" w:hAnsi="Arial" w:cs="Arial"/>
                <w:b/>
                <w:bCs/>
              </w:rPr>
              <w:t>R</w:t>
            </w:r>
            <w:r w:rsidR="000D757B" w:rsidRPr="004661E9">
              <w:rPr>
                <w:rFonts w:ascii="Arial" w:hAnsi="Arial" w:cs="Arial"/>
                <w:b/>
                <w:bCs/>
              </w:rPr>
              <w:t xml:space="preserve">isk </w:t>
            </w:r>
            <w:r w:rsidR="00152763">
              <w:rPr>
                <w:rFonts w:ascii="Arial" w:hAnsi="Arial" w:cs="Arial"/>
                <w:b/>
                <w:bCs/>
              </w:rPr>
              <w:t>P</w:t>
            </w:r>
            <w:r w:rsidR="000D757B" w:rsidRPr="004661E9">
              <w:rPr>
                <w:rFonts w:ascii="Arial" w:hAnsi="Arial" w:cs="Arial"/>
                <w:b/>
                <w:bCs/>
              </w:rPr>
              <w:t>atients with T2DM</w:t>
            </w:r>
          </w:p>
        </w:tc>
      </w:tr>
      <w:tr w:rsidR="000D757B" w:rsidRPr="004661E9" w14:paraId="16C17C37" w14:textId="77777777" w:rsidTr="003B5689">
        <w:trPr>
          <w:trHeight w:val="620"/>
        </w:trPr>
        <w:tc>
          <w:tcPr>
            <w:tcW w:w="2770" w:type="dxa"/>
          </w:tcPr>
          <w:p w14:paraId="3BA7FD62" w14:textId="06B7A74B" w:rsidR="000D757B" w:rsidRPr="004661E9" w:rsidRDefault="000D757B" w:rsidP="004661E9">
            <w:pPr>
              <w:spacing w:line="276" w:lineRule="auto"/>
              <w:rPr>
                <w:rFonts w:ascii="Arial" w:eastAsia="Times New Roman" w:hAnsi="Arial" w:cs="Arial"/>
                <w:b/>
                <w:bCs/>
                <w:kern w:val="24"/>
              </w:rPr>
            </w:pPr>
            <w:r w:rsidRPr="004661E9">
              <w:rPr>
                <w:rFonts w:ascii="Arial" w:eastAsia="Times New Roman" w:hAnsi="Arial" w:cs="Arial"/>
                <w:b/>
                <w:bCs/>
                <w:kern w:val="24"/>
              </w:rPr>
              <w:t xml:space="preserve">Risk Profile </w:t>
            </w:r>
          </w:p>
        </w:tc>
        <w:tc>
          <w:tcPr>
            <w:tcW w:w="3535" w:type="dxa"/>
          </w:tcPr>
          <w:p w14:paraId="36B06242" w14:textId="4E999A39" w:rsidR="000D757B" w:rsidRPr="004661E9" w:rsidRDefault="000D757B" w:rsidP="004661E9">
            <w:pPr>
              <w:spacing w:line="276" w:lineRule="auto"/>
              <w:rPr>
                <w:rFonts w:ascii="Arial" w:eastAsia="Times New Roman" w:hAnsi="Arial" w:cs="Arial"/>
                <w:b/>
                <w:bCs/>
                <w:kern w:val="24"/>
              </w:rPr>
            </w:pPr>
            <w:r w:rsidRPr="004661E9">
              <w:rPr>
                <w:rFonts w:ascii="Arial" w:eastAsia="Times New Roman" w:hAnsi="Arial" w:cs="Arial"/>
                <w:b/>
                <w:bCs/>
                <w:kern w:val="24"/>
              </w:rPr>
              <w:t>First-line Therapy</w:t>
            </w:r>
          </w:p>
        </w:tc>
        <w:tc>
          <w:tcPr>
            <w:tcW w:w="3667" w:type="dxa"/>
          </w:tcPr>
          <w:p w14:paraId="27B646A9" w14:textId="75BE5C76" w:rsidR="000D757B" w:rsidRPr="004661E9" w:rsidRDefault="000D757B" w:rsidP="004661E9">
            <w:pPr>
              <w:spacing w:line="276" w:lineRule="auto"/>
              <w:rPr>
                <w:rFonts w:ascii="Arial" w:eastAsia="Times New Roman" w:hAnsi="Arial" w:cs="Arial"/>
                <w:b/>
                <w:bCs/>
                <w:kern w:val="24"/>
              </w:rPr>
            </w:pPr>
            <w:r w:rsidRPr="004661E9">
              <w:rPr>
                <w:rFonts w:ascii="Arial" w:eastAsia="Times New Roman" w:hAnsi="Arial" w:cs="Arial"/>
                <w:b/>
                <w:bCs/>
                <w:kern w:val="24"/>
              </w:rPr>
              <w:t>Second-line Therapy if A1C is Above the Target</w:t>
            </w:r>
          </w:p>
        </w:tc>
      </w:tr>
      <w:tr w:rsidR="000D757B" w:rsidRPr="004661E9" w14:paraId="36FE2B22" w14:textId="77777777" w:rsidTr="00152763">
        <w:trPr>
          <w:trHeight w:val="1132"/>
        </w:trPr>
        <w:tc>
          <w:tcPr>
            <w:tcW w:w="2770" w:type="dxa"/>
            <w:hideMark/>
          </w:tcPr>
          <w:p w14:paraId="5A7A835C" w14:textId="6C197693" w:rsidR="000D757B" w:rsidRPr="003B5689" w:rsidRDefault="000D757B" w:rsidP="004661E9">
            <w:pPr>
              <w:spacing w:line="276" w:lineRule="auto"/>
              <w:rPr>
                <w:rFonts w:ascii="Arial" w:eastAsia="Times New Roman" w:hAnsi="Arial" w:cs="Arial"/>
              </w:rPr>
            </w:pPr>
            <w:r w:rsidRPr="003B5689">
              <w:rPr>
                <w:rFonts w:ascii="Arial" w:eastAsia="Times New Roman" w:hAnsi="Arial" w:cs="Arial"/>
                <w:kern w:val="24"/>
              </w:rPr>
              <w:t>ASCVD*</w:t>
            </w:r>
          </w:p>
          <w:p w14:paraId="290E3BFC" w14:textId="77777777" w:rsidR="000D757B" w:rsidRPr="003B5689" w:rsidRDefault="000D757B" w:rsidP="004661E9">
            <w:pPr>
              <w:spacing w:line="276" w:lineRule="auto"/>
              <w:contextualSpacing/>
              <w:rPr>
                <w:rFonts w:ascii="Arial" w:eastAsia="Times New Roman" w:hAnsi="Arial" w:cs="Arial"/>
              </w:rPr>
            </w:pPr>
            <w:r w:rsidRPr="003B5689">
              <w:rPr>
                <w:rFonts w:ascii="Arial" w:eastAsia="Times New Roman" w:hAnsi="Arial" w:cs="Arial"/>
                <w:kern w:val="24"/>
              </w:rPr>
              <w:t>Indicators of High Risk**</w:t>
            </w:r>
          </w:p>
        </w:tc>
        <w:tc>
          <w:tcPr>
            <w:tcW w:w="3535" w:type="dxa"/>
            <w:hideMark/>
          </w:tcPr>
          <w:p w14:paraId="22200B0A"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 xml:space="preserve">GLP1-RA with proven CVD benefit </w:t>
            </w:r>
          </w:p>
          <w:p w14:paraId="425445F7"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Or</w:t>
            </w:r>
          </w:p>
          <w:p w14:paraId="360CEB93"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SGLT2 inhibitor with proven CVD benefit</w:t>
            </w:r>
          </w:p>
        </w:tc>
        <w:tc>
          <w:tcPr>
            <w:tcW w:w="3667" w:type="dxa"/>
            <w:hideMark/>
          </w:tcPr>
          <w:p w14:paraId="28B62DE3"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 xml:space="preserve">GLP1-RA with proven CVD benefit </w:t>
            </w:r>
          </w:p>
          <w:p w14:paraId="700B1BE1"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Or</w:t>
            </w:r>
          </w:p>
          <w:p w14:paraId="75396C57"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SGLT2 inhibitor with proven CVD benefit</w:t>
            </w:r>
          </w:p>
        </w:tc>
      </w:tr>
      <w:tr w:rsidR="000D757B" w:rsidRPr="004661E9" w14:paraId="29026689" w14:textId="77777777" w:rsidTr="00152763">
        <w:trPr>
          <w:trHeight w:val="1132"/>
        </w:trPr>
        <w:tc>
          <w:tcPr>
            <w:tcW w:w="2770" w:type="dxa"/>
            <w:hideMark/>
          </w:tcPr>
          <w:p w14:paraId="4FC995FC" w14:textId="368100B5" w:rsidR="000D757B" w:rsidRPr="003B5689" w:rsidRDefault="000D757B" w:rsidP="004661E9">
            <w:pPr>
              <w:spacing w:line="276" w:lineRule="auto"/>
              <w:contextualSpacing/>
              <w:rPr>
                <w:rFonts w:ascii="Arial" w:eastAsia="Times New Roman" w:hAnsi="Arial" w:cs="Arial"/>
              </w:rPr>
            </w:pPr>
            <w:r w:rsidRPr="003B5689">
              <w:rPr>
                <w:rFonts w:ascii="Arial" w:eastAsia="Times New Roman" w:hAnsi="Arial" w:cs="Arial"/>
                <w:kern w:val="24"/>
              </w:rPr>
              <w:t>Heart Failure</w:t>
            </w:r>
          </w:p>
        </w:tc>
        <w:tc>
          <w:tcPr>
            <w:tcW w:w="3535" w:type="dxa"/>
            <w:hideMark/>
          </w:tcPr>
          <w:p w14:paraId="038BCE33"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SGLT2 inhibitor with proven HF benefit</w:t>
            </w:r>
          </w:p>
        </w:tc>
        <w:tc>
          <w:tcPr>
            <w:tcW w:w="3667" w:type="dxa"/>
            <w:hideMark/>
          </w:tcPr>
          <w:p w14:paraId="2572325A" w14:textId="0A3A5AA5"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Follow the algorithm for the achievement of glycemic and weight management goals.</w:t>
            </w:r>
          </w:p>
        </w:tc>
      </w:tr>
      <w:tr w:rsidR="000D757B" w:rsidRPr="004661E9" w14:paraId="4EB27094" w14:textId="77777777" w:rsidTr="003B5689">
        <w:trPr>
          <w:trHeight w:val="620"/>
        </w:trPr>
        <w:tc>
          <w:tcPr>
            <w:tcW w:w="2770" w:type="dxa"/>
            <w:hideMark/>
          </w:tcPr>
          <w:p w14:paraId="5C246651" w14:textId="6C0E1A3F" w:rsidR="000D757B" w:rsidRPr="003B5689" w:rsidRDefault="000D757B" w:rsidP="004661E9">
            <w:pPr>
              <w:spacing w:line="276" w:lineRule="auto"/>
              <w:contextualSpacing/>
              <w:rPr>
                <w:rFonts w:ascii="Arial" w:eastAsia="Times New Roman" w:hAnsi="Arial" w:cs="Arial"/>
              </w:rPr>
            </w:pPr>
            <w:r w:rsidRPr="003B5689">
              <w:rPr>
                <w:rFonts w:ascii="Arial" w:eastAsia="Times New Roman" w:hAnsi="Arial" w:cs="Arial"/>
                <w:kern w:val="24"/>
              </w:rPr>
              <w:lastRenderedPageBreak/>
              <w:t>CKD***</w:t>
            </w:r>
          </w:p>
        </w:tc>
        <w:tc>
          <w:tcPr>
            <w:tcW w:w="3535" w:type="dxa"/>
            <w:hideMark/>
          </w:tcPr>
          <w:p w14:paraId="7B761560"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SGLT2 Inhibitor with proven CKD benefits</w:t>
            </w:r>
          </w:p>
        </w:tc>
        <w:tc>
          <w:tcPr>
            <w:tcW w:w="3667" w:type="dxa"/>
            <w:hideMark/>
          </w:tcPr>
          <w:p w14:paraId="7C1F0FEA" w14:textId="77777777" w:rsidR="000D757B" w:rsidRPr="004661E9" w:rsidRDefault="000D757B" w:rsidP="004661E9">
            <w:pPr>
              <w:spacing w:line="276" w:lineRule="auto"/>
              <w:rPr>
                <w:rFonts w:ascii="Arial" w:eastAsia="Times New Roman" w:hAnsi="Arial" w:cs="Arial"/>
              </w:rPr>
            </w:pPr>
            <w:r w:rsidRPr="004661E9">
              <w:rPr>
                <w:rFonts w:ascii="Arial" w:eastAsia="Times New Roman" w:hAnsi="Arial" w:cs="Arial"/>
                <w:kern w:val="24"/>
              </w:rPr>
              <w:t>GLP1-RA with proven CVD benefit</w:t>
            </w:r>
          </w:p>
        </w:tc>
      </w:tr>
    </w:tbl>
    <w:p w14:paraId="1ADA25E7" w14:textId="7E7FA7B2" w:rsidR="0065759C" w:rsidRPr="003B5689" w:rsidRDefault="001C412B" w:rsidP="004661E9">
      <w:pPr>
        <w:spacing w:after="0" w:line="276" w:lineRule="auto"/>
        <w:rPr>
          <w:rFonts w:ascii="Arial" w:hAnsi="Arial" w:cs="Arial"/>
        </w:rPr>
      </w:pPr>
      <w:r w:rsidRPr="003B5689">
        <w:rPr>
          <w:rFonts w:ascii="Arial" w:hAnsi="Arial" w:cs="Arial"/>
        </w:rPr>
        <w:t>*</w:t>
      </w:r>
      <w:r w:rsidR="00F80BEA" w:rsidRPr="003B5689">
        <w:rPr>
          <w:rFonts w:ascii="Arial" w:hAnsi="Arial" w:cs="Arial"/>
        </w:rPr>
        <w:t>ASCVD, atherosclerotic cardiovascular disease</w:t>
      </w:r>
      <w:r w:rsidRPr="003B5689">
        <w:rPr>
          <w:rFonts w:ascii="Arial" w:hAnsi="Arial" w:cs="Arial"/>
        </w:rPr>
        <w:t>: Individuals with established cardiovascular disease such as myocardial infarction, stroke, revascularization procedure, amputation, or symptomatic/asymptomatic coronary artery disease. **Indicators of high risk: ≥55 years of age with two or more additional risk factors such as obesity, hypertension, dyslipidemia, smoking, and albuminuria.</w:t>
      </w:r>
      <w:r w:rsidR="00F80BEA" w:rsidRPr="003B5689">
        <w:rPr>
          <w:rFonts w:ascii="Arial" w:hAnsi="Arial" w:cs="Arial"/>
        </w:rPr>
        <w:t xml:space="preserve"> </w:t>
      </w:r>
      <w:r w:rsidRPr="003B5689">
        <w:rPr>
          <w:rFonts w:ascii="Arial" w:hAnsi="Arial" w:cs="Arial"/>
        </w:rPr>
        <w:t>***CKD, chronic kidney disease: GFR &lt;60 ml/min/1.73 m</w:t>
      </w:r>
      <w:r w:rsidRPr="003B5689">
        <w:rPr>
          <w:rFonts w:ascii="Arial" w:hAnsi="Arial" w:cs="Arial"/>
          <w:vertAlign w:val="superscript"/>
        </w:rPr>
        <w:t xml:space="preserve">2 </w:t>
      </w:r>
      <w:r w:rsidRPr="003B5689">
        <w:rPr>
          <w:rFonts w:ascii="Arial" w:hAnsi="Arial" w:cs="Arial"/>
        </w:rPr>
        <w:t>or albuminuria (albumin-creatinine ratio ≥30 mg/g)</w:t>
      </w:r>
      <w:r w:rsidR="003B5689">
        <w:rPr>
          <w:rFonts w:ascii="Arial" w:hAnsi="Arial" w:cs="Arial"/>
        </w:rPr>
        <w:t xml:space="preserve">. </w:t>
      </w:r>
      <w:r w:rsidR="00F80BEA" w:rsidRPr="003B5689">
        <w:rPr>
          <w:rFonts w:ascii="Arial" w:hAnsi="Arial" w:cs="Arial"/>
        </w:rPr>
        <w:t>GLP1-RA, glucagon-like peptide-1 receptor agonists; A1</w:t>
      </w:r>
      <w:r w:rsidRPr="003B5689">
        <w:rPr>
          <w:rFonts w:ascii="Arial" w:hAnsi="Arial" w:cs="Arial"/>
        </w:rPr>
        <w:t>C</w:t>
      </w:r>
      <w:r w:rsidR="00F80BEA" w:rsidRPr="003B5689">
        <w:rPr>
          <w:rFonts w:ascii="Arial" w:hAnsi="Arial" w:cs="Arial"/>
        </w:rPr>
        <w:t>, hemoglobin A1c, SGLT2, sodium-glucose co-transporter -2</w:t>
      </w:r>
      <w:r w:rsidRPr="003B5689">
        <w:rPr>
          <w:rFonts w:ascii="Arial" w:hAnsi="Arial" w:cs="Arial"/>
        </w:rPr>
        <w:t>.</w:t>
      </w:r>
      <w:r w:rsidR="00CE55D6" w:rsidRPr="003B5689">
        <w:rPr>
          <w:rFonts w:ascii="Arial" w:hAnsi="Arial" w:cs="Arial"/>
        </w:rPr>
        <w:t xml:space="preserve"> </w:t>
      </w:r>
      <w:bookmarkEnd w:id="25"/>
    </w:p>
    <w:p w14:paraId="3F7A27E6" w14:textId="7FC25ADE" w:rsidR="0065759C" w:rsidRPr="003B5689" w:rsidRDefault="0065759C" w:rsidP="004661E9">
      <w:pPr>
        <w:spacing w:after="0" w:line="276" w:lineRule="auto"/>
        <w:rPr>
          <w:rFonts w:ascii="Arial" w:hAnsi="Arial" w:cs="Arial"/>
        </w:rPr>
      </w:pPr>
    </w:p>
    <w:p w14:paraId="79BEE546" w14:textId="21FF01DC" w:rsidR="00D53B2D" w:rsidRPr="004661E9" w:rsidRDefault="006C2ECE" w:rsidP="004661E9">
      <w:pPr>
        <w:spacing w:after="0" w:line="276" w:lineRule="auto"/>
        <w:rPr>
          <w:rFonts w:ascii="Arial" w:hAnsi="Arial" w:cs="Arial"/>
        </w:rPr>
      </w:pPr>
      <w:r w:rsidRPr="004661E9">
        <w:rPr>
          <w:rFonts w:ascii="Arial" w:hAnsi="Arial" w:cs="Arial"/>
        </w:rPr>
        <w:t>A wealth of high-quality data proves</w:t>
      </w:r>
      <w:r w:rsidR="0050776F" w:rsidRPr="004661E9">
        <w:rPr>
          <w:rFonts w:ascii="Arial" w:hAnsi="Arial" w:cs="Arial"/>
        </w:rPr>
        <w:t xml:space="preserve"> </w:t>
      </w:r>
      <w:r w:rsidRPr="004661E9">
        <w:rPr>
          <w:rFonts w:ascii="Arial" w:hAnsi="Arial" w:cs="Arial"/>
        </w:rPr>
        <w:t xml:space="preserve">the </w:t>
      </w:r>
      <w:r w:rsidR="008A2A57" w:rsidRPr="004661E9">
        <w:rPr>
          <w:rFonts w:ascii="Arial" w:hAnsi="Arial" w:cs="Arial"/>
        </w:rPr>
        <w:t xml:space="preserve">HF benefits of SGLT2 inhibitors in patients with T2DM. </w:t>
      </w:r>
      <w:r w:rsidR="004852BA" w:rsidRPr="004661E9">
        <w:rPr>
          <w:rFonts w:ascii="Arial" w:hAnsi="Arial" w:cs="Arial"/>
        </w:rPr>
        <w:t xml:space="preserve"> Since the publication of EMPA-REG OUTCOME (Empagliflozin Cardiovascular Outcome Event Trial in Type 2 Diabetes Mellitus Patients) trial results in 2015,</w:t>
      </w:r>
      <w:r w:rsidR="0065759C" w:rsidRPr="004661E9">
        <w:rPr>
          <w:rFonts w:ascii="Arial" w:hAnsi="Arial" w:cs="Arial"/>
        </w:rPr>
        <w:t xml:space="preserve"> </w:t>
      </w:r>
      <w:r w:rsidR="000F3AD7" w:rsidRPr="004661E9">
        <w:rPr>
          <w:rFonts w:ascii="Arial" w:hAnsi="Arial" w:cs="Arial"/>
        </w:rPr>
        <w:fldChar w:fldCharType="begin" w:fldLock="1"/>
      </w:r>
      <w:r w:rsidR="001C412B" w:rsidRPr="004661E9">
        <w:rPr>
          <w:rFonts w:ascii="Arial" w:hAnsi="Arial" w:cs="Arial"/>
        </w:rPr>
        <w:instrText>ADDIN CSL_CITATION {"citationItems":[{"id":"ITEM-1","itemData":{"DOI":"10.1056/NEJMoa1504720","ISSN":"15334406","PMID":"26378978","abstract":"BACKGROUND The effects of empagliflozin, an inhibitor of sodium-glucose cotransporter 2, in addition to standard care, on cardiovascular morbidity and mortality in patients with type 2 diabetes at high cardiovascular risk are not known. METHODS We randomly assigned patients to receive 10 mg or 25 mg of empagliflozin or placebo once daily. The primary composite outcome was death from cardiovascular causes, nonfatal myocardial infarction, or nonfatal stroke, as analyzed in the pooled empagliflozin group versus the placebo group. The key secondary composite outcome was the primary outcome plus hospitalization for unstable angina. RESULTS A total of 7020 patients were treated (median observation time, 3.1 years). The primary outcome occurred in 490 of 4687 patients (10.5%) in the pooled empagliflozin group and in 282 of 2333 patients (12.1%) in the placebo group (hazard ratio in the empagliflozin group, 0.86; 95.02% confidence interval, 0.74 to 0.99; P = 0.04 for superiority). There were no significant between-group differences in the rates of myocardial infarction or stroke, but in the empagliflozin group there were significantly lower rates of death from cardiovascular causes (3.7%, vs. 5.9% in the placebo group; 38% relative risk reduction), hospitalization for heart failure (2.7% and 4.1%, respectively; 35% relative risk reduction), and death from any cause (5.7% and 8.3%, respectively; 32% relative risk reduction). There was no significant between-group difference in the key secondary outcome (P = 0.08 for superiority). Among patients receiving empagliflozin, there was an increased rate of genital infection but no increase in other adverse events. CONCLUSIONS Patients with type 2 diabetes at high risk for cardiovascular events who received empagliflozin, as compared with placebo, had a lower rate of the primary composite cardiovascular outcome and of death from any cause when the study drug was added to standard care.","author":[{"dropping-particle":"","family":"Zinman","given":"Bernard","non-dropping-particle":"","parse-names":false,"suffix":""},{"dropping-particle":"","family":"Wanner","given":"Christoph","non-dropping-particle":"","parse-names":false,"suffix":""},{"dropping-particle":"","family":"Lachin","given":"John M.","non-dropping-particle":"","parse-names":false,"suffix":""},{"dropping-particle":"","family":"Fitchett","given":"David","non-dropping-particle":"","parse-names":false,"suffix":""},{"dropping-particle":"","family":"Bluhmki","given":"Erich","non-dropping-particle":"","parse-names":false,"suffix":""},{"dropping-particle":"","family":"Hantel","given":"Stefan","non-dropping-particle":"","parse-names":false,"suffix":""}],"container-title":"New England Journal of Medicine","id":"ITEM-1","issue":"22","issued":{"date-parts":[["2015","11","26"]]},"page":"2117-2128","publisher":"Massachussetts Medical Society","title":"Empagliflozin, cardiovascular outcomes, and mortality in type 2 diabetes","type":"article-journal","volume":"373"},"uris":["http://www.mendeley.com/documents/?uuid=6b240202-613c-3748-94f7-499b3e177520"]}],"mendeley":{"formattedCitation":"(206)","plainTextFormattedCitation":"(206)","previouslyFormattedCitation":"(206)"},"properties":{"noteIndex":0},"schema":"https://github.com/citation-style-language/schema/raw/master/csl-citation.json"}</w:instrText>
      </w:r>
      <w:r w:rsidR="000F3AD7" w:rsidRPr="004661E9">
        <w:rPr>
          <w:rFonts w:ascii="Arial" w:hAnsi="Arial" w:cs="Arial"/>
        </w:rPr>
        <w:fldChar w:fldCharType="separate"/>
      </w:r>
      <w:r w:rsidR="001C412B" w:rsidRPr="004661E9">
        <w:rPr>
          <w:rFonts w:ascii="Arial" w:hAnsi="Arial" w:cs="Arial"/>
          <w:noProof/>
        </w:rPr>
        <w:t>(206)</w:t>
      </w:r>
      <w:r w:rsidR="000F3AD7" w:rsidRPr="004661E9">
        <w:rPr>
          <w:rFonts w:ascii="Arial" w:hAnsi="Arial" w:cs="Arial"/>
        </w:rPr>
        <w:fldChar w:fldCharType="end"/>
      </w:r>
      <w:r w:rsidR="004852BA" w:rsidRPr="004661E9">
        <w:rPr>
          <w:rFonts w:ascii="Arial" w:hAnsi="Arial" w:cs="Arial"/>
        </w:rPr>
        <w:t xml:space="preserve"> </w:t>
      </w:r>
      <w:r w:rsidR="00D64DD6" w:rsidRPr="004661E9">
        <w:rPr>
          <w:rFonts w:ascii="Arial" w:hAnsi="Arial" w:cs="Arial"/>
        </w:rPr>
        <w:t xml:space="preserve">several </w:t>
      </w:r>
      <w:r w:rsidR="00845EAF" w:rsidRPr="004661E9">
        <w:rPr>
          <w:rFonts w:ascii="Arial" w:hAnsi="Arial" w:cs="Arial"/>
        </w:rPr>
        <w:t>large</w:t>
      </w:r>
      <w:r w:rsidRPr="004661E9">
        <w:rPr>
          <w:rFonts w:ascii="Arial" w:hAnsi="Arial" w:cs="Arial"/>
        </w:rPr>
        <w:t>-</w:t>
      </w:r>
      <w:r w:rsidR="00845EAF" w:rsidRPr="004661E9">
        <w:rPr>
          <w:rFonts w:ascii="Arial" w:hAnsi="Arial" w:cs="Arial"/>
        </w:rPr>
        <w:t xml:space="preserve">scale CVOTs </w:t>
      </w:r>
      <w:r w:rsidR="00D64DD6" w:rsidRPr="004661E9">
        <w:rPr>
          <w:rFonts w:ascii="Arial" w:hAnsi="Arial" w:cs="Arial"/>
        </w:rPr>
        <w:t>have revolutionized our understanding o</w:t>
      </w:r>
      <w:r w:rsidRPr="004661E9">
        <w:rPr>
          <w:rFonts w:ascii="Arial" w:hAnsi="Arial" w:cs="Arial"/>
        </w:rPr>
        <w:t>f</w:t>
      </w:r>
      <w:r w:rsidR="00D64DD6" w:rsidRPr="004661E9">
        <w:rPr>
          <w:rFonts w:ascii="Arial" w:hAnsi="Arial" w:cs="Arial"/>
        </w:rPr>
        <w:t xml:space="preserve"> </w:t>
      </w:r>
      <w:r w:rsidR="00845EAF" w:rsidRPr="004661E9">
        <w:rPr>
          <w:rFonts w:ascii="Arial" w:hAnsi="Arial" w:cs="Arial"/>
        </w:rPr>
        <w:t xml:space="preserve">the </w:t>
      </w:r>
      <w:r w:rsidR="00D64DD6" w:rsidRPr="004661E9">
        <w:rPr>
          <w:rFonts w:ascii="Arial" w:hAnsi="Arial" w:cs="Arial"/>
        </w:rPr>
        <w:t xml:space="preserve">prevention of </w:t>
      </w:r>
      <w:r w:rsidR="00845EAF" w:rsidRPr="004661E9">
        <w:rPr>
          <w:rFonts w:ascii="Arial" w:hAnsi="Arial" w:cs="Arial"/>
        </w:rPr>
        <w:t>CV</w:t>
      </w:r>
      <w:r w:rsidR="00D64DD6" w:rsidRPr="004661E9">
        <w:rPr>
          <w:rFonts w:ascii="Arial" w:hAnsi="Arial" w:cs="Arial"/>
        </w:rPr>
        <w:t xml:space="preserve"> events and HF in patients with T2DM</w:t>
      </w:r>
      <w:r w:rsidR="00CA723D" w:rsidRPr="004661E9">
        <w:rPr>
          <w:rFonts w:ascii="Arial" w:hAnsi="Arial" w:cs="Arial"/>
          <w:b/>
          <w:bCs/>
        </w:rPr>
        <w:t xml:space="preserve"> </w:t>
      </w:r>
      <w:r w:rsidR="00CA723D" w:rsidRPr="004661E9">
        <w:rPr>
          <w:rFonts w:ascii="Arial" w:hAnsi="Arial" w:cs="Arial"/>
        </w:rPr>
        <w:t>(T</w:t>
      </w:r>
      <w:r w:rsidR="00AA26E4" w:rsidRPr="004661E9">
        <w:rPr>
          <w:rFonts w:ascii="Arial" w:hAnsi="Arial" w:cs="Arial"/>
        </w:rPr>
        <w:t>able</w:t>
      </w:r>
      <w:r w:rsidR="00CA723D" w:rsidRPr="004661E9">
        <w:rPr>
          <w:rFonts w:ascii="Arial" w:hAnsi="Arial" w:cs="Arial"/>
        </w:rPr>
        <w:t xml:space="preserve"> </w:t>
      </w:r>
      <w:r w:rsidR="003B5689">
        <w:rPr>
          <w:rFonts w:ascii="Arial" w:hAnsi="Arial" w:cs="Arial"/>
        </w:rPr>
        <w:t>1 and 3</w:t>
      </w:r>
      <w:r w:rsidR="00AA26E4" w:rsidRPr="004661E9">
        <w:rPr>
          <w:rFonts w:ascii="Arial" w:hAnsi="Arial" w:cs="Arial"/>
        </w:rPr>
        <w:t>)</w:t>
      </w:r>
      <w:r w:rsidR="0065759C" w:rsidRPr="004661E9">
        <w:rPr>
          <w:rFonts w:ascii="Arial" w:hAnsi="Arial" w:cs="Arial"/>
        </w:rPr>
        <w:t>.</w:t>
      </w:r>
    </w:p>
    <w:p w14:paraId="726A8F0C" w14:textId="77777777" w:rsidR="0065759C" w:rsidRPr="004661E9" w:rsidRDefault="0065759C" w:rsidP="004661E9">
      <w:pPr>
        <w:spacing w:after="0" w:line="276" w:lineRule="auto"/>
        <w:rPr>
          <w:rFonts w:ascii="Arial" w:hAnsi="Arial" w:cs="Arial"/>
        </w:rPr>
      </w:pPr>
    </w:p>
    <w:p w14:paraId="111055FA" w14:textId="228912EE" w:rsidR="006F775B" w:rsidRPr="004661E9" w:rsidRDefault="00F80BEA" w:rsidP="004661E9">
      <w:pPr>
        <w:spacing w:after="0" w:line="276" w:lineRule="auto"/>
        <w:rPr>
          <w:rFonts w:ascii="Arial" w:hAnsi="Arial" w:cs="Arial"/>
        </w:rPr>
      </w:pPr>
      <w:r w:rsidRPr="004661E9">
        <w:rPr>
          <w:rFonts w:ascii="Arial" w:hAnsi="Arial" w:cs="Arial"/>
        </w:rPr>
        <w:t>In the EMPA-REG OUTCOME, empagliflozin, in the CANVAS (Canagliflozin Cardiovascular Assessment Study), canagliflozin and in the DECLARE-TIMI 58 (Dapagliflozin Effect on Cardiovascular Events–Thrombolysis in Myocardial Infarction 58), dapagliflozin significantly reduced incident HF events as a secondary end-point in patients with established or high risk for CVD</w:t>
      </w:r>
      <w:r w:rsidR="0065759C" w:rsidRPr="004661E9">
        <w:rPr>
          <w:rFonts w:ascii="Arial" w:hAnsi="Arial" w:cs="Arial"/>
        </w:rPr>
        <w:t xml:space="preserve"> </w:t>
      </w:r>
      <w:r w:rsidRPr="004661E9">
        <w:rPr>
          <w:rStyle w:val="Strong"/>
          <w:rFonts w:ascii="Arial" w:hAnsi="Arial" w:cs="Arial"/>
        </w:rPr>
        <w:fldChar w:fldCharType="begin" w:fldLock="1"/>
      </w:r>
      <w:r w:rsidR="001C412B" w:rsidRPr="004661E9">
        <w:rPr>
          <w:rStyle w:val="Strong"/>
          <w:rFonts w:ascii="Arial" w:hAnsi="Arial" w:cs="Arial"/>
        </w:rPr>
        <w:instrText>ADDIN CSL_CITATION {"citationItems":[{"id":"ITEM-1","itemData":{"DOI":"10.1056/NEJMoa1504720","ISSN":"15334406","PMID":"26378978","abstract":"BACKGROUND The effects of empagliflozin, an inhibitor of sodium-glucose cotransporter 2, in addition to standard care, on cardiovascular morbidity and mortality in patients with type 2 diabetes at high cardiovascular risk are not known. METHODS We randomly assigned patients to receive 10 mg or 25 mg of empagliflozin or placebo once daily. The primary composite outcome was death from cardiovascular causes, nonfatal myocardial infarction, or nonfatal stroke, as analyzed in the pooled empagliflozin group versus the placebo group. The key secondary composite outcome was the primary outcome plus hospitalization for unstable angina. RESULTS A total of 7020 patients were treated (median observation time, 3.1 years). The primary outcome occurred in 490 of 4687 patients (10.5%) in the pooled empagliflozin group and in 282 of 2333 patients (12.1%) in the placebo group (hazard ratio in the empagliflozin group, 0.86; 95.02% confidence interval, 0.74 to 0.99; P = 0.04 for superiority). There were no significant between-group differences in the rates of myocardial infarction or stroke, but in the empagliflozin group there were significantly lower rates of death from cardiovascular causes (3.7%, vs. 5.9% in the placebo group; 38% relative risk reduction), hospitalization for heart failure (2.7% and 4.1%, respectively; 35% relative risk reduction), and death from any cause (5.7% and 8.3%, respectively; 32% relative risk reduction). There was no significant between-group difference in the key secondary outcome (P = 0.08 for superiority). Among patients receiving empagliflozin, there was an increased rate of genital infection but no increase in other adverse events. CONCLUSIONS Patients with type 2 diabetes at high risk for cardiovascular events who received empagliflozin, as compared with placebo, had a lower rate of the primary composite cardiovascular outcome and of death from any cause when the study drug was added to standard care.","author":[{"dropping-particle":"","family":"Zinman","given":"Bernard","non-dropping-particle":"","parse-names":false,"suffix":""},{"dropping-particle":"","family":"Wanner","given":"Christoph","non-dropping-particle":"","parse-names":false,"suffix":""},{"dropping-particle":"","family":"Lachin","given":"John M.","non-dropping-particle":"","parse-names":false,"suffix":""},{"dropping-particle":"","family":"Fitchett","given":"David","non-dropping-particle":"","parse-names":false,"suffix":""},{"dropping-particle":"","family":"Bluhmki","given":"Erich","non-dropping-particle":"","parse-names":false,"suffix":""},{"dropping-particle":"","family":"Hantel","given":"Stefan","non-dropping-particle":"","parse-names":false,"suffix":""}],"container-title":"New England Journal of Medicine","id":"ITEM-1","issue":"22","issued":{"date-parts":[["2015","11","26"]]},"page":"2117-2128","publisher":"Massachussetts Medical Society","title":"Empagliflozin, cardiovascular outcomes, and mortality in type 2 diabetes","type":"article-journal","volume":"373"},"uris":["http://www.mendeley.com/documents/?uuid=6b240202-613c-3748-94f7-499b3e177520"]},{"id":"ITEM-2","itemData":{"DOI":"10.1056/NEJMoa1611925","ISSN":"15334406","PMID":"28605608","abstract":"BACKGROUND: Canagliflozin is a sodium–glucose cotransporter 2 inhibitor that reduces glycemia as well as blood pressure, body weight, and albuminuria in people with diabetes. We report the effects of treatment with canagliflozin on cardiovascular, renal, and safety outcomes. METHODS: The CANVAS Program integrated data from two trials involving a total of 10,142 participants with type 2 diabetes and high cardiovascular risk. Participants in each trial were randomly assigned to receive canagliflozin or placebo and were followed for a mean of 188.2 weeks. The primary outcome was a composite of death from cardiovascular causes, nonfatal myocardial infarction, or nonfatal stroke. RESULTS: The mean age of the participants was 63.3 years, 35.8% were women, the mean duration of diabetes was 13.5 years, and 65.6% had a history of cardiovascular disease. The rate of the primary outcome was lower with canagliflozin than with placebo (occurring in 26.9 vs. 31.5 participants per 1000 patient-years; hazard ratio, 0.86; 95% confidence interval [CI], 0.75 to 0.97; P&lt;0.001 for noninferiority; P=0.02 for superiority). Although on the basis of the prespecified hypothesis testing sequence the renal outcomes are not viewed as statistically significant, the results showed a possible benefit of canagliflozin with respect to the progression of albuminuria (hazard ratio, 0.73; 95% CI, 0.67 to 0.79) and the composite outcome of a sustained 40% reduction in the estimated glomerular filtration rate, the need for renal-replacement therapy, or death from renal causes (hazard ratio, 0.60; 95% CI, 0.47 to 0.77). Adverse reactions were consistent with the previously reported risks associated with canagliflozin except for an increased risk of amputation (6.3 vs. 3.4 participants per 1000 patient-years; hazard ratio, 1.97; 95% CI, 1.41 to 2.75); amputations were primarily at the level of the toe or metatarsal. CONCLUSIONS: In two trials involving patients with type 2 diabetes and an elevated risk of cardiovascular disease, patients treated with canagliflozin had a lower risk of cardiovascular events than those who received placebo but a greater risk of amputation, primarily at the level of the toe or metatarsal.","author":[{"dropping-particle":"","family":"Neal","given":"Bruce","non-dropping-particle":"","parse-names":false,"suffix":""},{"dropping-particle":"","family":"Perkovic","given":"Vlado","non-dropping-particle":"","parse-names":false,"suffix":""},{"dropping-particle":"","family":"Mahaffey","given":"Kenneth W.","non-dropping-particle":"","parse-names":false,"suffix":""},{"dropping-particle":"","family":"Zeeuw","given":"Dick","non-dropping-particle":"De","parse-names":false,"suffix":""},{"dropping-particle":"","family":"Fulcher","given":"Greg","non-dropping-particle":"","parse-names":false,"suffix":""},{"dropping-particle":"","family":"Erondu","given":"Ngozi","non-dropping-particle":"","parse-names":false,"suffix":""},{"dropping-particle":"","family":"Shaw","given":"Wayne","non-dropping-particle":"","parse-names":false,"suffix":""},{"dropping-particle":"","family":"Law","given":"Gordon","non-dropping-particle":"","parse-names":false,"suffix":""},{"dropping-particle":"","family":"Desai","given":"Mehul","non-dropping-particle":"","parse-names":false,"suffix":""},{"dropping-particle":"","family":"Matthews","given":"David R.","non-dropping-particle":"","parse-names":false,"suffix":""}],"container-title":"New England Journal of Medicine","id":"ITEM-2","issue":"7","issued":{"date-parts":[["2017","8","17"]]},"page":"644-657","publisher":"Massachussetts Medical Society","title":"Canagliflozin and cardiovascular and renal events in type 2 diabetes","type":"article-journal","volume":"377"},"uris":["http://www.mendeley.com/documents/?uuid=06d07e66-3de8-3eb4-bd1c-a080cd2029a1"]},{"id":"ITEM-3","itemData":{"DOI":"10.1056/NEJMoa1812389","ISSN":"15334406","PMID":"30415602","abstract":"BACKGROUND The cardiovascular safety profile of dapagliflozin, a selective inhibitor of sodium-glucose cotransporter 2 that promotes glucosuria in patients with type 2 diabetes, is undefined. METHODS We randomly assigned patients with type 2 diabetes who had or were at risk for atherosclerotic cardiovascular disease to receive either dapagliflozin or placebo. The primary safety outcome was a composite of major adverse cardiovascular events (MACE), defined as cardiovascular death, myocardial infarction, or ischemic stroke. The primary efficacy outcomes were MACE and a composite of cardiovascular death or hospitalization for heart failure. Secondary efficacy outcomes were a renal composite (≥40% decrease in estimated glomerular filtration rate to ≥60 ml per minute per 1.73 m2 of body-surface area, new end-stage renal disease, or death from renal or cardiovascular causes) and death from any cause. RESULTS We evaluated 17,160 patients, including 10,186 without atherosclerotic cardiovascular disease, who were followed for a median of 4.2 years. In the primary safety outcome analysis, dapagliflozin met the prespecified criterion for noninferiority to placebo with respect to MACE (upper boundary of the 95% confidence interval [CI], ≥1.3; P≥0.001 for noninferiority). In the two primary efficacy analyses, dapagliflozin did not result in a lower rate of MACE (8.8% in the dapagliflozin group and 9.4% in the placebo group; hazard ratio, 0.93; 95% CI, 0.84 to 1.03; P = 0.17) but did result in a lower rate of cardiovascular death or hospitalization for heart failure (4.9% vs. 5.8%; hazard ratio, 0.83; 95% CI, 0.73 to 0.95; P = 0.005), which reflected a lower rate of hospitalization for heart failure (hazard ratio, 0.73; 95% CI, 0.61 to 0.88); there was no between-group difference in cardiovascular death (hazard ratio, 0.98; 95% CI, 0.82 to 1.17). A renal event occurred in 4.3% in the dapagliflozin group and in 5.6% in the placebo group (hazard ratio, 0.76; 95% CI, 0.67 to 0.87), and death from any cause occurred in 6.2% and 6.6%, respectively (hazard ratio, 0.93; 95% CI, 0.82 to 1.04). Diabetic ketoacidosis was more common with dapagliflozin than with placebo (0.3%vs. 0.1%, P = 0.02), as was the rate of genital infections that led to discontinuation of the regimen or that were considered to be serious adverse events (0.9% vs. 0.1%, P≥0.001). CONCLUSIONS In patients with type 2 diabetes who had or were at risk for atherosclerotic cardiovascular disease, treatment with…","author":[{"dropping-particle":"","family":"Wiviott","given":"S. D.","non-dropping-particle":"","parse-names":false,"suffix":""},{"dropping-particle":"","family":"Raz","given":"I.","non-dropping-particle":"","parse-names":false,"suffix":""},{"dropping-particle":"","family":"Bonaca","given":"M. P.","non-dropping-particle":"","parse-names":false,"suffix":""},{"dropping-particle":"","family":"Mosenzon","given":"O.","non-dropping-particle":"","parse-names":false,"suffix":""},{"dropping-particle":"","family":"Kato","given":"E. T.","non-dropping-particle":"","parse-names":false,"suffix":""},{"dropping-particle":"","family":"Cahn","given":"A.","non-dropping-particle":"","parse-names":false,"suffix":""},{"dropping-particle":"","family":"Silverman","given":"M. G.","non-dropping-particle":"","parse-names":false,"suffix":""},{"dropping-particle":"","family":"Zelniker","given":"T. A.","non-dropping-particle":"","parse-names":false,"suffix":""},{"dropping-particle":"","family":"Kuder","given":"J. F.","non-dropping-particle":"","parse-names":false,"suffix":""},{"dropping-particle":"","family":"Murphy","given":"S. A.","non-dropping-particle":"","parse-names":false,"suffix":""},{"dropping-particle":"","family":"Bhatt","given":"D. L.","non-dropping-particle":"","parse-names":false,"suffix":""},{"dropping-particle":"","family":"Leiter","given":"L. A.","non-dropping-particle":"","parse-names":false,"suffix":""},{"dropping-particle":"","family":"McGuire","given":"D. K.","non-dropping-particle":"","parse-names":false,"suffix":""}],"container-title":"New England Journal of Medicine","id":"ITEM-3","issue":"4","issued":{"date-parts":[["2019","1","24"]]},"page":"347-357","publisher":"Massachussetts Medical Society","title":"Dapagliflozin and cardiovascular outcomes in type 2 diabetes","type":"article-journal","volume":"380"},"uris":["http://www.mendeley.com/documents/?uuid=c481af35-e385-3dc5-af3e-c817932f26e3"]}],"mendeley":{"formattedCitation":"(206–208)","plainTextFormattedCitation":"(206–208)","previouslyFormattedCitation":"(206–208)"},"properties":{"noteIndex":0},"schema":"https://github.com/citation-style-language/schema/raw/master/csl-citation.json"}</w:instrText>
      </w:r>
      <w:r w:rsidRPr="004661E9">
        <w:rPr>
          <w:rStyle w:val="Strong"/>
          <w:rFonts w:ascii="Arial" w:hAnsi="Arial" w:cs="Arial"/>
        </w:rPr>
        <w:fldChar w:fldCharType="separate"/>
      </w:r>
      <w:r w:rsidR="001C412B" w:rsidRPr="004661E9">
        <w:rPr>
          <w:rStyle w:val="Strong"/>
          <w:rFonts w:ascii="Arial" w:hAnsi="Arial" w:cs="Arial"/>
          <w:b w:val="0"/>
          <w:noProof/>
        </w:rPr>
        <w:t>(206–208)</w:t>
      </w:r>
      <w:r w:rsidRPr="004661E9">
        <w:rPr>
          <w:rStyle w:val="Strong"/>
          <w:rFonts w:ascii="Arial" w:hAnsi="Arial" w:cs="Arial"/>
        </w:rPr>
        <w:fldChar w:fldCharType="end"/>
      </w:r>
      <w:r w:rsidR="0065759C" w:rsidRPr="004661E9">
        <w:rPr>
          <w:rStyle w:val="Strong"/>
          <w:rFonts w:ascii="Arial" w:hAnsi="Arial" w:cs="Arial"/>
        </w:rPr>
        <w:t>.</w:t>
      </w:r>
      <w:r w:rsidRPr="004661E9">
        <w:rPr>
          <w:rStyle w:val="Strong"/>
          <w:rFonts w:ascii="Arial" w:hAnsi="Arial" w:cs="Arial"/>
        </w:rPr>
        <w:t xml:space="preserve"> </w:t>
      </w:r>
      <w:r w:rsidRPr="004661E9">
        <w:rPr>
          <w:rStyle w:val="Strong"/>
          <w:rFonts w:ascii="Arial" w:hAnsi="Arial" w:cs="Arial"/>
          <w:b w:val="0"/>
          <w:bCs w:val="0"/>
        </w:rPr>
        <w:t>The CREDENCE (</w:t>
      </w:r>
      <w:r w:rsidRPr="004661E9">
        <w:rPr>
          <w:rFonts w:ascii="Arial" w:hAnsi="Arial" w:cs="Arial"/>
        </w:rPr>
        <w:t>Canagliflozin and Renal Events in Diabetes with Established Nephropathy Clinical Evaluation</w:t>
      </w:r>
      <w:r w:rsidRPr="004661E9">
        <w:rPr>
          <w:rStyle w:val="Strong"/>
          <w:rFonts w:ascii="Arial" w:hAnsi="Arial" w:cs="Arial"/>
          <w:b w:val="0"/>
          <w:bCs w:val="0"/>
        </w:rPr>
        <w:t>) trial, designed to assess renal outcomes of canagliflozin, also showed a reduction in hospitalization for HF (HR:0.69, p&lt;0.001)</w:t>
      </w:r>
      <w:r w:rsidR="0065759C" w:rsidRPr="004661E9">
        <w:rPr>
          <w:rStyle w:val="Strong"/>
          <w:rFonts w:ascii="Arial" w:hAnsi="Arial" w:cs="Arial"/>
          <w:b w:val="0"/>
          <w:bCs w:val="0"/>
        </w:rPr>
        <w:t xml:space="preserve"> </w:t>
      </w:r>
      <w:r w:rsidRPr="004661E9">
        <w:rPr>
          <w:rStyle w:val="Strong"/>
          <w:rFonts w:ascii="Arial" w:hAnsi="Arial" w:cs="Arial"/>
          <w:b w:val="0"/>
          <w:bCs w:val="0"/>
        </w:rPr>
        <w:fldChar w:fldCharType="begin" w:fldLock="1"/>
      </w:r>
      <w:r w:rsidR="001C412B" w:rsidRPr="004661E9">
        <w:rPr>
          <w:rStyle w:val="Strong"/>
          <w:rFonts w:ascii="Arial" w:hAnsi="Arial" w:cs="Arial"/>
          <w:b w:val="0"/>
          <w:bCs w:val="0"/>
        </w:rPr>
        <w:instrText>ADDIN CSL_CITATION {"citationItems":[{"id":"ITEM-1","itemData":{"DOI":"10.1056/NEJMoa1811744","ISSN":"15334406","PMID":"30990260","abstract":"BACKGROUND Type 2 diabetes mellitus is the leading cause of kidney failure worldwide, but few effective long-term treatments are available. In cardiovascular trials of inhibitors of sodium–glucose cotransporter 2 (SGLT2), exploratory results have suggested that such drugs may improve renal outcomes in patients with type 2 diabetes. METHODS In this double-blind, randomized trial, we assigned patients with type 2 diabetes and albuminuric chronic kidney disease to receive canagliflozin, an oral SGLT2 inhibitor, at a dose of 100 mg daily or placebo. All the patients had an estimated glomerular filtration rate (GFR) of 30 to &lt;90 ml per minute per 1.73 m2 of body-surface area and albuminuria (ratio of albumin [mg] to creatinine [g], &gt;300 to 5000) and were treated with renin–angiotensin system blockade. The primary outcome was a composite of end-stage kidney disease (dialysis, transplantation, or a sustained estimated GFR of &lt;15 ml per minute per 1.73 m2), a doubling of the serum creatinine level, or death from renal or cardiovascular causes. Prespecified secondary outcomes were tested hierarchically. RESULTS The trial was stopped early after a planned interim analysis on the recommendation of the data and safety monitoring committee. At that time, 4401 patients had undergone randomization, with a median follow-up of 2.62 years. The relative risk of the primary outcome was 30% lower in the canagliflozin group than in the placebo group, with event rates of 43.2 and 61.2 per 1000 patient-years, respectively (hazard ratio, 0.70; 95% confidence interval [CI], 0.59 to 0.82; P=0.00001). The relative risk of the renal-specific composite of end-stage kidney disease, a doubling of the creatinine level, or death from renal causes was lower by 34% (hazard ratio, 0.66; 95% CI, 0.53 to 0.81; P&lt;0.001), and the relative risk of end-stage kidney disease was lower by 32% (hazard ratio, 0.68; 95% CI, 0.54 to 0.86; P=0.002). The canagliflozin group also had a lower risk of cardiovascular death, myocardial infarction, or stroke (hazard ratio, 0.80; 95% CI, 0.67 to 0.95; P=0.01) and hospitalization for heart failure (hazard ratio, 0.61; 95% CI, 0.47 to 0.80; P&lt;0.001). There were no significant differences in rates of amputation or fracture. CONCLUSIONS In patients with type 2 diabetes and kidney disease, the risk of kidney failure and cardiovascular events was lower in the canagliflozin group than in the placebo group at a median follow-up of 2.62 years.","author":[{"dropping-particle":"","family":"Perkovic","given":"V.","non-dropping-particle":"","parse-names":false,"suffix":""},{"dropping-particle":"","family":"Jardine","given":"M. J.","non-dropping-particle":"","parse-names":false,"suffix":""},{"dropping-particle":"","family":"Neal","given":"B.","non-dropping-particle":"","parse-names":false,"suffix":""},{"dropping-particle":"","family":"Bompoint","given":"S.","non-dropping-particle":"","parse-names":false,"suffix":""},{"dropping-particle":"","family":"Heerspink","given":"H. J.L.","non-dropping-particle":"","parse-names":false,"suffix":""},{"dropping-particle":"","family":"Charytan","given":"D. M.","non-dropping-particle":"","parse-names":false,"suffix":""},{"dropping-particle":"","family":"Edwards","given":"R.","non-dropping-particle":"","parse-names":false,"suffix":""},{"dropping-particle":"","family":"Agarwal","given":"R.","non-dropping-particle":"","parse-names":false,"suffix":""},{"dropping-particle":"","family":"Bakris","given":"G.","non-dropping-particle":"","parse-names":false,"suffix":""},{"dropping-particle":"","family":"Bull","given":"S.","non-dropping-particle":"","parse-names":false,"suffix":""},{"dropping-particle":"","family":"Cannon","given":"C. P.","non-dropping-particle":"","parse-names":false,"suffix":""},{"dropping-particle":"","family":"Capuano","given":"G.","non-dropping-particle":"","parse-names":false,"suffix":""},{"dropping-particle":"","family":"Chu","given":"P. L.","non-dropping-particle":"","parse-names":false,"suffix":""},{"dropping-particle":"","family":"Zeeuw","given":"D.","non-dropping-particle":"De","parse-names":false,"suffix":""},{"dropping-particle":"","family":"Greene","given":"T.","non-dropping-particle":"","parse-names":false,"suffix":""},{"dropping-particle":"","family":"Levin","given":"A.","non-dropping-particle":"","parse-names":false,"suffix":""},{"dropping-particle":"","family":"Pollock","given":"C.","non-dropping-particle":"","parse-names":false,"suffix":""},{"dropping-particle":"","family":"Wheeler","given":"D. C.","non-dropping-particle":"","parse-names":false,"suffix":""},{"dropping-particle":"","family":"Yavin","given":"Y.","non-dropping-particle":"","parse-names":false,"suffix":""},{"dropping-particle":"","family":"Zhang","given":"H.","non-dropping-particle":"","parse-names":false,"suffix":""},{"dropping-particle":"","family":"Zinman","given":"B.","non-dropping-particle":"","parse-names":false,"suffix":""},{"dropping-particle":"","family":"Meininger","given":"G.","non-dropping-particle":"","parse-names":false,"suffix":""},{"dropping-particle":"","family":"Brenner","given":"B. M.","non-dropping-particle":"","parse-names":false,"suffix":""},{"dropping-particle":"","family":"Mahaffey","given":"K. W.","non-dropping-particle":"","parse-names":false,"suffix":""}],"container-title":"New England Journal of Medicine","id":"ITEM-1","issue":"24","issued":{"date-parts":[["2019","6","13"]]},"page":"2295-2306","publisher":"Massachussetts Medical Society","title":"Canagliflozin and renal outcomes in type 2 diabetes and nephropathy","type":"article-journal","volume":"380"},"uris":["http://www.mendeley.com/documents/?uuid=fc4303c4-5127-3e38-b48c-7b77e4990ce3"]}],"mendeley":{"formattedCitation":"(209)","plainTextFormattedCitation":"(209)","previouslyFormattedCitation":"(209)"},"properties":{"noteIndex":0},"schema":"https://github.com/citation-style-language/schema/raw/master/csl-citation.json"}</w:instrText>
      </w:r>
      <w:r w:rsidRPr="004661E9">
        <w:rPr>
          <w:rStyle w:val="Strong"/>
          <w:rFonts w:ascii="Arial" w:hAnsi="Arial" w:cs="Arial"/>
          <w:b w:val="0"/>
          <w:bCs w:val="0"/>
        </w:rPr>
        <w:fldChar w:fldCharType="separate"/>
      </w:r>
      <w:r w:rsidR="001C412B" w:rsidRPr="004661E9">
        <w:rPr>
          <w:rStyle w:val="Strong"/>
          <w:rFonts w:ascii="Arial" w:hAnsi="Arial" w:cs="Arial"/>
          <w:b w:val="0"/>
          <w:bCs w:val="0"/>
          <w:noProof/>
        </w:rPr>
        <w:t>(209)</w:t>
      </w:r>
      <w:r w:rsidRPr="004661E9">
        <w:rPr>
          <w:rStyle w:val="Strong"/>
          <w:rFonts w:ascii="Arial" w:hAnsi="Arial" w:cs="Arial"/>
          <w:b w:val="0"/>
          <w:bCs w:val="0"/>
        </w:rPr>
        <w:fldChar w:fldCharType="end"/>
      </w:r>
      <w:r w:rsidR="0065759C" w:rsidRPr="004661E9">
        <w:rPr>
          <w:rStyle w:val="Strong"/>
          <w:rFonts w:ascii="Arial" w:hAnsi="Arial" w:cs="Arial"/>
          <w:b w:val="0"/>
          <w:bCs w:val="0"/>
        </w:rPr>
        <w:t>.</w:t>
      </w:r>
      <w:r w:rsidRPr="004661E9">
        <w:rPr>
          <w:rStyle w:val="Strong"/>
          <w:rFonts w:ascii="Arial" w:hAnsi="Arial" w:cs="Arial"/>
          <w:b w:val="0"/>
          <w:bCs w:val="0"/>
        </w:rPr>
        <w:t xml:space="preserve"> </w:t>
      </w:r>
      <w:r w:rsidR="006F775B" w:rsidRPr="004661E9">
        <w:rPr>
          <w:rFonts w:ascii="Arial" w:hAnsi="Arial" w:cs="Arial"/>
        </w:rPr>
        <w:t>In the VERTIS-CV (Cardiovascular Outcomes Following Ertugliflozin Treatment in Patients with Type 2 Diabetes Mellitus and Atherosclerotic Cardiovascular Disease) trial, ertugliflozin was non</w:t>
      </w:r>
      <w:r w:rsidR="006C2ECE" w:rsidRPr="004661E9">
        <w:rPr>
          <w:rFonts w:ascii="Arial" w:hAnsi="Arial" w:cs="Arial"/>
        </w:rPr>
        <w:t>-</w:t>
      </w:r>
      <w:r w:rsidR="006F775B" w:rsidRPr="004661E9">
        <w:rPr>
          <w:rFonts w:ascii="Arial" w:hAnsi="Arial" w:cs="Arial"/>
        </w:rPr>
        <w:t xml:space="preserve">inferior to placebo in regards to major </w:t>
      </w:r>
      <w:r w:rsidR="00D87EEE" w:rsidRPr="004661E9">
        <w:rPr>
          <w:rFonts w:ascii="Arial" w:hAnsi="Arial" w:cs="Arial"/>
        </w:rPr>
        <w:t>CVD</w:t>
      </w:r>
      <w:r w:rsidR="006F775B" w:rsidRPr="004661E9">
        <w:rPr>
          <w:rFonts w:ascii="Arial" w:hAnsi="Arial" w:cs="Arial"/>
        </w:rPr>
        <w:t xml:space="preserve"> events in 8264 patients with T2DM and established CVD. In this trial, Ertugliflozin reduced </w:t>
      </w:r>
      <w:r w:rsidR="006C2ECE" w:rsidRPr="004661E9">
        <w:rPr>
          <w:rFonts w:ascii="Arial" w:hAnsi="Arial" w:cs="Arial"/>
        </w:rPr>
        <w:t xml:space="preserve">the </w:t>
      </w:r>
      <w:r w:rsidR="006F775B" w:rsidRPr="004661E9">
        <w:rPr>
          <w:rFonts w:ascii="Arial" w:hAnsi="Arial" w:cs="Arial"/>
        </w:rPr>
        <w:t>risk of HF hospitalization (an expl</w:t>
      </w:r>
      <w:r w:rsidR="006C2ECE" w:rsidRPr="004661E9">
        <w:rPr>
          <w:rFonts w:ascii="Arial" w:hAnsi="Arial" w:cs="Arial"/>
        </w:rPr>
        <w:t>or</w:t>
      </w:r>
      <w:r w:rsidR="006F775B" w:rsidRPr="004661E9">
        <w:rPr>
          <w:rFonts w:ascii="Arial" w:hAnsi="Arial" w:cs="Arial"/>
        </w:rPr>
        <w:t xml:space="preserve">atory secondary outcome) by 30% (hazard ratio 0.70 [95% CI, 0.54 to 0.90]) </w:t>
      </w:r>
      <w:r w:rsidR="006F775B" w:rsidRPr="004661E9">
        <w:rPr>
          <w:rFonts w:ascii="Arial" w:hAnsi="Arial" w:cs="Arial"/>
        </w:rPr>
        <w:fldChar w:fldCharType="begin" w:fldLock="1"/>
      </w:r>
      <w:r w:rsidR="001C412B" w:rsidRPr="004661E9">
        <w:rPr>
          <w:rFonts w:ascii="Arial" w:hAnsi="Arial" w:cs="Arial"/>
        </w:rPr>
        <w:instrText>ADDIN CSL_CITATION {"citationItems":[{"id":"ITEM-1","itemData":{"DOI":"10.1056/nejmoa2004967","ISSN":"0028-4793","abstract":"© 2020 Massachusetts Medical Society. BACKGROUND The cardiovascular effects of ertugliflozin, an inhibitor of sodium-glucose cotransporter 2, have not been established. METHODS In a multicenter, double-blind trial, we randomly assigned patients with type 2 diabetes and atherosclerotic cardiovascular disease to receive 5 mg or 15 mg of ertugliflozin or placebo once daily. With the data from the two ertugliflozin dose groups pooled for analysis, the primary objective was to show the noninferiority of ertugliflozin to placebo with respect to the primary outcome, major adverse cardiovascular events (a composite of death from cardiovascular causes, nonfatal myocardial infarction, or nonfatal stroke). The noninferiority margin was 1.3 (upper boundary of a 95.6% confidence interval for the hazard ratio [ertugliflozin vs. placebo] for major adverse cardiovascular events). The first key secondary outcome was a composite of death from cardiovascular causes or hospitalization for heart failure. RESULTS A total of 8246 patients underwent randomization and were followed for a mean of 3.5 years. Among 8238 patients who received at least one dose of ertugliflozin or placebo, a major adverse cardiovascular event occurred in 653 of 5493 patients (11.9%) in the ertugliflozin group and in 327 of 2745 patients (11.9%) in the placebo group (hazard ratio, 0.97; 95.6% confidence interval [CI], 0.85 to 1.11; P&lt;0.001 for noninferiority). Death from cardiovascular causes or hospitalization for heart failure occurred in 444 of 5499 patients (8.1%) in the ertugliflozin group and in 250 of 2747 patients (9.1%) in the placebo group (hazard ratio, 0.88; 95.8% CI, 0.75 to 1.03; P=0.11 for superiority). The hazard ratio for death from cardiovascular causes was 0.92 (95.8% CI, 0.77 to 1.11), and the hazard ratio for death from renal causes, renal replacement therapy, or doubling of the serum creatinine level was 0.81 (95.8% CI, 0.63 to 1.04). Amputations were performed in 54 patients (2.0%) who received the 5-mg dose of ertugliflozin and in 57 patients (2.1%) who received the 15-mg dose, as compared with 45 patients (1.6%) who received placebo. CONCLUSIONS Among patients with type 2 diabetes and atherosclerotic cardiovascular disease, ertugliflozin was noninferior to placebo with respect to major adverse cardiovascular events.","author":[{"dropping-particle":"","family":"Cannon","given":"Christopher P.","non-dropping-particle":"","parse-names":false,"suffix":""},{"dropping-particle":"","family":"Pratley","given":"Richard","non-dropping-particle":"","parse-names":false,"suffix":""},{"dropping-particle":"","family":"Dagogo-Jack","given":"Samuel","non-dropping-particle":"","parse-names":false,"suffix":""},{"dropping-particle":"","family":"Mancuso","given":"James","non-dropping-particle":"","parse-names":false,"suffix":""},{"dropping-particle":"","family":"Huyck","given":"Susan","non-dropping-particle":"","parse-names":false,"suffix":""},{"dropping-particle":"","family":"Masiukiewicz","given":"Urszula","non-dropping-particle":"","parse-names":false,"suffix":""},{"dropping-particle":"","family":"Charbonnel","given":"Bernard","non-dropping-particle":"","parse-names":false,"suffix":""},{"dropping-particle":"","family":"Frederich","given":"Robert","non-dropping-particle":"","parse-names":false,"suffix":""},{"dropping-particle":"","family":"Gallo","given":"Silvina","non-dropping-particle":"","parse-names":false,"suffix":""},{"dropping-particle":"","family":"Cosentino","given":"Francesco","non-dropping-particle":"","parse-names":false,"suffix":""},{"dropping-particle":"","family":"Shih","given":"Weichung J.","non-dropping-particle":"","parse-names":false,"suffix":""},{"dropping-particle":"","family":"Gantz","given":"Ira","non-dropping-particle":"","parse-names":false,"suffix":""},{"dropping-particle":"","family":"Terra","given":"Steven G.","non-dropping-particle":"","parse-names":false,"suffix":""},{"dropping-particle":"","family":"Cherney","given":"David Z.I.","non-dropping-particle":"","parse-names":false,"suffix":""},{"dropping-particle":"","family":"McGuire","given":"Darren K.","non-dropping-particle":"","parse-names":false,"suffix":""}],"container-title":"New England Journal of Medicine","id":"ITEM-1","issue":"15","issued":{"date-parts":[["2020"]]},"page":"1425-1435","title":"Cardiovascular Outcomes with Ertugliflozin in Type 2 Diabetes","type":"article-journal","volume":"383"},"uris":["http://www.mendeley.com/documents/?uuid=4a05e574-2490-4d8c-9b7c-7ca9e6237bc1"]}],"mendeley":{"formattedCitation":"(210)","plainTextFormattedCitation":"(210)","previouslyFormattedCitation":"(210)"},"properties":{"noteIndex":0},"schema":"https://github.com/citation-style-language/schema/raw/master/csl-citation.json"}</w:instrText>
      </w:r>
      <w:r w:rsidR="006F775B" w:rsidRPr="004661E9">
        <w:rPr>
          <w:rFonts w:ascii="Arial" w:hAnsi="Arial" w:cs="Arial"/>
        </w:rPr>
        <w:fldChar w:fldCharType="separate"/>
      </w:r>
      <w:r w:rsidR="001C412B" w:rsidRPr="004661E9">
        <w:rPr>
          <w:rFonts w:ascii="Arial" w:hAnsi="Arial" w:cs="Arial"/>
          <w:noProof/>
        </w:rPr>
        <w:t>(210)</w:t>
      </w:r>
      <w:r w:rsidR="006F775B" w:rsidRPr="004661E9">
        <w:rPr>
          <w:rFonts w:ascii="Arial" w:hAnsi="Arial" w:cs="Arial"/>
        </w:rPr>
        <w:fldChar w:fldCharType="end"/>
      </w:r>
      <w:r w:rsidR="006F775B" w:rsidRPr="004661E9">
        <w:rPr>
          <w:rFonts w:ascii="Arial" w:hAnsi="Arial" w:cs="Arial"/>
        </w:rPr>
        <w:t>.</w:t>
      </w:r>
    </w:p>
    <w:p w14:paraId="00224C30" w14:textId="77777777" w:rsidR="00485693" w:rsidRPr="004661E9" w:rsidRDefault="00485693" w:rsidP="004661E9">
      <w:pPr>
        <w:spacing w:after="0" w:line="276" w:lineRule="auto"/>
        <w:rPr>
          <w:rFonts w:ascii="Arial" w:hAnsi="Arial" w:cs="Arial"/>
        </w:rPr>
      </w:pPr>
    </w:p>
    <w:p w14:paraId="29A1396D" w14:textId="7613DAF6" w:rsidR="007E5C07" w:rsidRPr="004661E9" w:rsidRDefault="00F80BEA" w:rsidP="004661E9">
      <w:pPr>
        <w:spacing w:after="0" w:line="276" w:lineRule="auto"/>
        <w:rPr>
          <w:rFonts w:ascii="Arial" w:hAnsi="Arial" w:cs="Arial"/>
        </w:rPr>
      </w:pPr>
      <w:r w:rsidRPr="004661E9">
        <w:rPr>
          <w:rFonts w:ascii="Arial" w:hAnsi="Arial" w:cs="Arial"/>
        </w:rPr>
        <w:t xml:space="preserve">A meta-analysis of </w:t>
      </w:r>
      <w:r w:rsidR="00684C28" w:rsidRPr="004661E9">
        <w:rPr>
          <w:rFonts w:ascii="Arial" w:hAnsi="Arial" w:cs="Arial"/>
        </w:rPr>
        <w:t>6 RCTs (</w:t>
      </w:r>
      <w:r w:rsidRPr="004661E9">
        <w:rPr>
          <w:rFonts w:ascii="Arial" w:hAnsi="Arial" w:cs="Arial"/>
        </w:rPr>
        <w:t>EMPAREG-OUTCOME, CANVAS, DECLARE-TIMI 58, and CREDENCE</w:t>
      </w:r>
      <w:r w:rsidR="002B2D93" w:rsidRPr="004661E9">
        <w:rPr>
          <w:rFonts w:ascii="Arial" w:hAnsi="Arial" w:cs="Arial"/>
        </w:rPr>
        <w:t>, VERTIS-CV)</w:t>
      </w:r>
      <w:r w:rsidRPr="004661E9">
        <w:rPr>
          <w:rFonts w:ascii="Arial" w:hAnsi="Arial" w:cs="Arial"/>
        </w:rPr>
        <w:t xml:space="preserve"> </w:t>
      </w:r>
      <w:r w:rsidR="00BC27AF" w:rsidRPr="004661E9">
        <w:rPr>
          <w:rFonts w:ascii="Arial" w:hAnsi="Arial" w:cs="Arial"/>
        </w:rPr>
        <w:t>explored the CV benefits of 4 SGLT2</w:t>
      </w:r>
      <w:r w:rsidR="00D42EB8" w:rsidRPr="004661E9">
        <w:rPr>
          <w:rFonts w:ascii="Arial" w:hAnsi="Arial" w:cs="Arial"/>
        </w:rPr>
        <w:t xml:space="preserve"> </w:t>
      </w:r>
      <w:r w:rsidR="00BC27AF" w:rsidRPr="004661E9">
        <w:rPr>
          <w:rFonts w:ascii="Arial" w:hAnsi="Arial" w:cs="Arial"/>
        </w:rPr>
        <w:t xml:space="preserve">inhibitors in </w:t>
      </w:r>
      <w:r w:rsidR="00724A66" w:rsidRPr="004661E9">
        <w:rPr>
          <w:rFonts w:ascii="Arial" w:hAnsi="Arial" w:cs="Arial"/>
        </w:rPr>
        <w:t xml:space="preserve">a combined sample size of 46969 patients with T2DM. </w:t>
      </w:r>
      <w:r w:rsidR="00FA0875" w:rsidRPr="004661E9">
        <w:rPr>
          <w:rFonts w:ascii="Arial" w:hAnsi="Arial" w:cs="Arial"/>
        </w:rPr>
        <w:t>In this meta-analysis</w:t>
      </w:r>
      <w:r w:rsidR="001B2D19" w:rsidRPr="004661E9">
        <w:rPr>
          <w:rFonts w:ascii="Arial" w:hAnsi="Arial" w:cs="Arial"/>
        </w:rPr>
        <w:t xml:space="preserve">, SGLT2 inhibitor therapy was associated with a reduced risk of </w:t>
      </w:r>
      <w:r w:rsidR="00D42EB8" w:rsidRPr="004661E9">
        <w:rPr>
          <w:rFonts w:ascii="Arial" w:hAnsi="Arial" w:cs="Arial"/>
        </w:rPr>
        <w:t>MACE</w:t>
      </w:r>
      <w:r w:rsidR="00BD3D16" w:rsidRPr="004661E9">
        <w:rPr>
          <w:rFonts w:ascii="Arial" w:hAnsi="Arial" w:cs="Arial"/>
        </w:rPr>
        <w:t xml:space="preserve"> (</w:t>
      </w:r>
      <w:r w:rsidR="00D154DD" w:rsidRPr="004661E9">
        <w:rPr>
          <w:rFonts w:ascii="Arial" w:hAnsi="Arial" w:cs="Arial"/>
        </w:rPr>
        <w:t>HR, 0.90; 95% CI, 0.85-0.95</w:t>
      </w:r>
      <w:r w:rsidR="00BD3D16" w:rsidRPr="004661E9">
        <w:rPr>
          <w:rFonts w:ascii="Arial" w:hAnsi="Arial" w:cs="Arial"/>
        </w:rPr>
        <w:t>)</w:t>
      </w:r>
      <w:r w:rsidR="001B2D19" w:rsidRPr="004661E9">
        <w:rPr>
          <w:rFonts w:ascii="Arial" w:hAnsi="Arial" w:cs="Arial"/>
        </w:rPr>
        <w:t xml:space="preserve">, </w:t>
      </w:r>
      <w:r w:rsidR="00AA705B" w:rsidRPr="004661E9">
        <w:rPr>
          <w:rFonts w:ascii="Arial" w:hAnsi="Arial" w:cs="Arial"/>
        </w:rPr>
        <w:t>kidney outcomes</w:t>
      </w:r>
      <w:r w:rsidR="00D154DD" w:rsidRPr="004661E9">
        <w:rPr>
          <w:rFonts w:ascii="Arial" w:hAnsi="Arial" w:cs="Arial"/>
        </w:rPr>
        <w:t xml:space="preserve"> (HR, 0.62; 95% CI, 0.56-0.70)</w:t>
      </w:r>
      <w:r w:rsidR="00AA705B" w:rsidRPr="004661E9">
        <w:rPr>
          <w:rFonts w:ascii="Arial" w:hAnsi="Arial" w:cs="Arial"/>
        </w:rPr>
        <w:t xml:space="preserve">, and </w:t>
      </w:r>
      <w:r w:rsidR="00E06734" w:rsidRPr="004661E9">
        <w:rPr>
          <w:rFonts w:ascii="Arial" w:hAnsi="Arial" w:cs="Arial"/>
        </w:rPr>
        <w:t>a combine</w:t>
      </w:r>
      <w:r w:rsidR="00471A81" w:rsidRPr="004661E9">
        <w:rPr>
          <w:rFonts w:ascii="Arial" w:hAnsi="Arial" w:cs="Arial"/>
        </w:rPr>
        <w:t>d</w:t>
      </w:r>
      <w:r w:rsidR="00E06734" w:rsidRPr="004661E9">
        <w:rPr>
          <w:rFonts w:ascii="Arial" w:hAnsi="Arial" w:cs="Arial"/>
        </w:rPr>
        <w:t xml:space="preserve"> outcome of CV</w:t>
      </w:r>
      <w:r w:rsidR="00D87EEE" w:rsidRPr="004661E9">
        <w:rPr>
          <w:rFonts w:ascii="Arial" w:hAnsi="Arial" w:cs="Arial"/>
        </w:rPr>
        <w:t>D</w:t>
      </w:r>
      <w:r w:rsidR="00E06734" w:rsidRPr="004661E9">
        <w:rPr>
          <w:rFonts w:ascii="Arial" w:hAnsi="Arial" w:cs="Arial"/>
        </w:rPr>
        <w:t xml:space="preserve"> death and HF hospitalization</w:t>
      </w:r>
      <w:r w:rsidR="00DB7906" w:rsidRPr="004661E9">
        <w:rPr>
          <w:rFonts w:ascii="Arial" w:hAnsi="Arial" w:cs="Arial"/>
        </w:rPr>
        <w:t xml:space="preserve"> (HR, 0.78; 95% CI, 0.73-0.84)</w:t>
      </w:r>
      <w:r w:rsidR="00E06734" w:rsidRPr="004661E9">
        <w:rPr>
          <w:rFonts w:ascii="Arial" w:hAnsi="Arial" w:cs="Arial"/>
        </w:rPr>
        <w:t xml:space="preserve"> </w:t>
      </w:r>
      <w:r w:rsidR="0079771F" w:rsidRPr="004661E9">
        <w:rPr>
          <w:rFonts w:ascii="Arial" w:hAnsi="Arial" w:cs="Arial"/>
        </w:rPr>
        <w:fldChar w:fldCharType="begin" w:fldLock="1"/>
      </w:r>
      <w:r w:rsidR="00E156CB" w:rsidRPr="004661E9">
        <w:rPr>
          <w:rFonts w:ascii="Arial" w:hAnsi="Arial" w:cs="Arial"/>
        </w:rPr>
        <w:instrText>ADDIN CSL_CITATION {"citationItems":[{"id":"ITEM-1","itemData":{"DOI":"10.1056/nejmoa2206286","ISSN":"0028-4793","PMID":"36027570","abstract":"BACKGROUND Sodium-glucose cotransporter 2 (SGLT2) inhibitors reduce the risk of hospitalization for heart failure and cardiovascular death among patients with chronic heart failure and a left ventricular ejection fraction of 40% or less. Whether SGLT2 inhibitors are effective in patients with a higher left ventricular ejection fraction remains less certain. METHODS We randomly assigned 6263 patients with heart failure and a left ventricular ejection fraction of more than 40% to receive dapagliflozin (at a dose of 10 mg once daily) or matching placebo, in addition to usual therapy. The primary outcome was a composite of worsening heart failure (which was defined as either an unplanned hospitalization for heart failure or an urgent visit for heart failure) or cardiovascular death, as assessed in a time-to-event analysis. RESULTS Over a median of 2.3 years, the primary outcome occurred in 512 of 3131 patients (16.4%) in the dapagliflozin group and in 610 of 3132 patients (19.5%) in the placebo group (hazard ratio, 0.82; 95% confidence interval [CI], 0.73 to 0.92; P&lt;0.001). Worsening heart failure occurred in 368 patients (11.8%) in the dapagliflozin group and in 455 patients (14.5%) in the placebo group (hazard ratio, 0.79; 95% CI, 0.69 to 0.91); cardiovascular death occurred in 231 patients (7.4%) and 261 patients (8.3%), respectively (hazard ratio, 0.88; 95% CI, 0.74 to 1.05). Total events and symptom burden were lower in the dapagliflozin group than in the placebo group. Results were similar among patients with a left ventricular ejection fraction of 60% or more and those with a left ventricular ejection fraction of less than 60%, and results were similar in prespecified subgroups, including patients with or without diabetes. The incidence of adverse events was similar in the two groups. CONCLUSIONS Dapagliflozin reduced the combined risk of worsening heart failure or cardiovascular death among patients with heart failure and a mildly reduced or preserved ejection fraction. (Funded by AstraZeneca; DELIVER ClinicalTrials.gov number, NCT03619213.).","author":[{"dropping-particle":"","family":"Solomon","given":"Scott D.","non-dropping-particle":"","parse-names":false,"suffix":""},{"dropping-particle":"","family":"McMurray","given":"John J.V.","non-dropping-particle":"","parse-names":false,"suffix":""},{"dropping-particle":"","family":"Claggett","given":"Brian","non-dropping-particle":"","parse-names":false,"suffix":""},{"dropping-particle":"","family":"Boer","given":"Rudolf A.","non-dropping-particle":"de","parse-names":false,"suffix":""},{"dropping-particle":"","family":"DeMets","given":"David","non-dropping-particle":"","parse-names":false,"suffix":""},{"dropping-particle":"","family":"Hernandez","given":"Adrian F.","non-dropping-particle":"","parse-names":false,"suffix":""},{"dropping-particle":"","family":"Inzucchi","given":"Silvio E.","non-dropping-particle":"","parse-names":false,"suffix":""},{"dropping-particle":"","family":"Kosiborod","given":"Mikhail N.","non-dropping-particle":"","parse-names":false,"suffix":""},{"dropping-particle":"","family":"Lam","given":"Carolyn S.P.","non-dropping-particle":"","parse-names":false,"suffix":""},{"dropping-particle":"","family":"Martinez","given":"Felipe","non-dropping-particle":"","parse-names":false,"suffix":""},{"dropping-particle":"","family":"Shah","given":"Sanjiv J.","non-dropping-particle":"","parse-names":false,"suffix":""},{"dropping-particle":"","family":"Desai","given":"Akshay S.","non-dropping-particle":"","parse-names":false,"suffix":""},{"dropping-particle":"","family":"Jhund","given":"Pardeep S.","non-dropping-particle":"","parse-names":false,"suffix":""},{"dropping-particle":"","family":"Belohlavek","given":"Jan","non-dropping-particle":"","parse-names":false,"suffix":""},{"dropping-particle":"","family":"Chiang","given":"Chern-En","non-dropping-particle":"","parse-names":false,"suffix":""},{"dropping-particle":"","family":"Borleffs","given":"C. Jan Willem","non-dropping-particle":"","parse-names":false,"suffix":""},{"dropping-particle":"","family":"Comin-Colet","given":"Josep","non-dropping-particle":"","parse-names":false,"suffix":""},{"dropping-particle":"","family":"Dobreanu","given":"Dan","non-dropping-particle":"","parse-names":false,"suffix":""},{"dropping-particle":"","family":"Drozdz","given":"Jaroslaw","non-dropping-particle":"","parse-names":false,"suffix":""},{"dropping-particle":"","family":"Fang","given":"James C.","non-dropping-particle":"","parse-names":false,"suffix":""},{"dropping-particle":"","family":"Alcocer-Gamba","given":"Marco Antonio","non-dropping-particle":"","parse-names":false,"suffix":""},{"dropping-particle":"","family":"Habeeb","given":"Waleed","non-dropping-particle":"Al","parse-names":false,"suffix":""},{"dropping-particle":"","family":"Han","given":"Yaling","non-dropping-particle":"","parse-names":false,"suffix":""},{"dropping-particle":"","family":"Cabrera Honorio","given":"Jose Walter","non-dropping-particle":"","parse-names":false,"suffix":""},{"dropping-particle":"","family":"Janssens","given":"Stefan P.","non-dropping-particle":"","parse-names":false,"suffix":""},{"dropping-particle":"","family":"Katova","given":"Tzvetana","non-dropping-particle":"","parse-names":false,"suffix":""},{"dropping-particle":"","family":"Kitakaze","given":"Masafumi","non-dropping-particle":"","parse-names":false,"suffix":""},{"dropping-particle":"","family":"Merkely","given":"Béla","non-dropping-particle":"","parse-names":false,"suffix":""},{"dropping-particle":"","family":"O’Meara","given":"Eileen","non-dropping-particle":"","parse-names":false,"suffix":""},{"dropping-particle":"","family":"Saraiva","given":"Jose Francisco Kerr","non-dropping-particle":"","parse-names":false,"suffix":""},{"dropping-particle":"","family":"Tereshchenko","given":"Sergey N.","non-dropping-particle":"","parse-names":false,"suffix":""},{"dropping-particle":"","family":"Thierer","given":"Jorge","non-dropping-particle":"","parse-names":false,"suffix":""},{"dropping-particle":"","family":"Vaduganathan","given":"Muthiah","non-dropping-particle":"","parse-names":false,"suffix":""},{"dropping-particle":"","family":"Vardeny","given":"Orly","non-dropping-particle":"","parse-names":false,"suffix":""},{"dropping-particle":"","family":"Verma","given":"Subodh","non-dropping-particle":"","parse-names":false,"suffix":""},{"dropping-particle":"","family":"Pham","given":"Vinh Nguyen","non-dropping-particle":"","parse-names":false,"suffix":""},{"dropping-particle":"","family":"Wilderäng","given":"Ulrica","non-dropping-particle":"","parse-names":false,"suffix":""},{"dropping-particle":"","family":"Zaozerska","given":"Natalia","non-dropping-particle":"","parse-names":false,"suffix":""},{"dropping-particle":"","family":"Bachus","given":"Erasmus","non-dropping-particle":"","parse-names":false,"suffix":""},{"dropping-particle":"","family":"Lindholm","given":"Daniel","non-dropping-particle":"","parse-names":false,"suffix":""},{"dropping-particle":"","family":"Petersson","given":"Magnus","non-dropping-particle":"","parse-names":false,"suffix":""},{"dropping-particle":"","family":"Langkilde","given":"Anna Maria","non-dropping-particle":"","parse-names":false,"suffix":""}],"container-title":"New England Journal of Medicine","id":"ITEM-1","issue":"12","issued":{"date-parts":[["2022"]]},"page":"1089-1098","title":"Dapagliflozin in Heart Failure with Mildly Reduced or Preserved Ejection Fraction","type":"article-journal","volume":"387"},"uris":["http://www.mendeley.com/documents/?uuid=ac3caf30-03fb-4a64-8882-c6c5c2520074"]}],"mendeley":{"formattedCitation":"(118)","plainTextFormattedCitation":"(118)","previouslyFormattedCitation":"(118)"},"properties":{"noteIndex":0},"schema":"https://github.com/citation-style-language/schema/raw/master/csl-citation.json"}</w:instrText>
      </w:r>
      <w:r w:rsidR="0079771F" w:rsidRPr="004661E9">
        <w:rPr>
          <w:rFonts w:ascii="Arial" w:hAnsi="Arial" w:cs="Arial"/>
        </w:rPr>
        <w:fldChar w:fldCharType="separate"/>
      </w:r>
      <w:r w:rsidR="003C01B8" w:rsidRPr="004661E9">
        <w:rPr>
          <w:rFonts w:ascii="Arial" w:hAnsi="Arial" w:cs="Arial"/>
          <w:noProof/>
        </w:rPr>
        <w:t>(118)</w:t>
      </w:r>
      <w:r w:rsidR="0079771F" w:rsidRPr="004661E9">
        <w:rPr>
          <w:rFonts w:ascii="Arial" w:hAnsi="Arial" w:cs="Arial"/>
        </w:rPr>
        <w:fldChar w:fldCharType="end"/>
      </w:r>
      <w:r w:rsidR="00E06734" w:rsidRPr="004661E9">
        <w:rPr>
          <w:rFonts w:ascii="Arial" w:hAnsi="Arial" w:cs="Arial"/>
        </w:rPr>
        <w:t xml:space="preserve">. </w:t>
      </w:r>
    </w:p>
    <w:p w14:paraId="05D4A175" w14:textId="4942AA5E" w:rsidR="00DE167B" w:rsidRPr="004661E9" w:rsidRDefault="00DE167B" w:rsidP="004661E9">
      <w:pPr>
        <w:spacing w:after="0" w:line="276" w:lineRule="auto"/>
        <w:rPr>
          <w:rFonts w:ascii="Arial" w:hAnsi="Arial" w:cs="Arial"/>
        </w:rPr>
      </w:pPr>
    </w:p>
    <w:p w14:paraId="1D8EC014" w14:textId="7FA7F8A4" w:rsidR="00DE167B" w:rsidRPr="004661E9" w:rsidRDefault="00A30D79" w:rsidP="004661E9">
      <w:pPr>
        <w:spacing w:after="0" w:line="276" w:lineRule="auto"/>
        <w:rPr>
          <w:rFonts w:ascii="Arial" w:hAnsi="Arial" w:cs="Arial"/>
        </w:rPr>
      </w:pPr>
      <w:r w:rsidRPr="004661E9">
        <w:rPr>
          <w:rFonts w:ascii="Arial" w:hAnsi="Arial" w:cs="Arial"/>
        </w:rPr>
        <w:t xml:space="preserve">The SCORE trial </w:t>
      </w:r>
      <w:r w:rsidR="00652381" w:rsidRPr="004661E9">
        <w:rPr>
          <w:rFonts w:ascii="Arial" w:hAnsi="Arial" w:cs="Arial"/>
        </w:rPr>
        <w:t>(</w:t>
      </w:r>
      <w:r w:rsidRPr="004661E9">
        <w:rPr>
          <w:rFonts w:ascii="Arial" w:hAnsi="Arial" w:cs="Arial"/>
        </w:rPr>
        <w:t>Effect of Sotagliflozin on Cardiovascular and Renal Events in Patients with Type 2 Diabetes and Moderate Renal Impairment Who Are at Cardiovascular Risk</w:t>
      </w:r>
      <w:r w:rsidR="00652381" w:rsidRPr="004661E9">
        <w:rPr>
          <w:rFonts w:ascii="Arial" w:hAnsi="Arial" w:cs="Arial"/>
        </w:rPr>
        <w:t xml:space="preserve">) evaluated the </w:t>
      </w:r>
      <w:r w:rsidR="00D87EEE" w:rsidRPr="004661E9">
        <w:rPr>
          <w:rFonts w:ascii="Arial" w:hAnsi="Arial" w:cs="Arial"/>
        </w:rPr>
        <w:t>CV</w:t>
      </w:r>
      <w:r w:rsidR="00652381" w:rsidRPr="004661E9">
        <w:rPr>
          <w:rFonts w:ascii="Arial" w:hAnsi="Arial" w:cs="Arial"/>
        </w:rPr>
        <w:t xml:space="preserve"> </w:t>
      </w:r>
      <w:r w:rsidR="00887629" w:rsidRPr="004661E9">
        <w:rPr>
          <w:rFonts w:ascii="Arial" w:hAnsi="Arial" w:cs="Arial"/>
        </w:rPr>
        <w:t xml:space="preserve">benefits of </w:t>
      </w:r>
      <w:r w:rsidR="00D42EB8" w:rsidRPr="004661E9">
        <w:rPr>
          <w:rFonts w:ascii="Arial" w:hAnsi="Arial" w:cs="Arial"/>
        </w:rPr>
        <w:t>s</w:t>
      </w:r>
      <w:r w:rsidR="00887629" w:rsidRPr="004661E9">
        <w:rPr>
          <w:rFonts w:ascii="Arial" w:hAnsi="Arial" w:cs="Arial"/>
        </w:rPr>
        <w:t>otagliflozin</w:t>
      </w:r>
      <w:r w:rsidR="00D24FAA" w:rsidRPr="004661E9">
        <w:rPr>
          <w:rFonts w:ascii="Arial" w:hAnsi="Arial" w:cs="Arial"/>
        </w:rPr>
        <w:t>, a dual SGLT1/SGLT2 inhibitor,</w:t>
      </w:r>
      <w:r w:rsidR="00887629" w:rsidRPr="004661E9">
        <w:rPr>
          <w:rFonts w:ascii="Arial" w:hAnsi="Arial" w:cs="Arial"/>
        </w:rPr>
        <w:t xml:space="preserve"> against placebo </w:t>
      </w:r>
      <w:r w:rsidR="00B95F0B" w:rsidRPr="004661E9">
        <w:rPr>
          <w:rFonts w:ascii="Arial" w:hAnsi="Arial" w:cs="Arial"/>
        </w:rPr>
        <w:t>in 10584 patients with T2DM</w:t>
      </w:r>
      <w:r w:rsidR="00C74BC0" w:rsidRPr="004661E9">
        <w:rPr>
          <w:rFonts w:ascii="Arial" w:hAnsi="Arial" w:cs="Arial"/>
        </w:rPr>
        <w:t xml:space="preserve">, CKD, and risk of CVD. </w:t>
      </w:r>
      <w:r w:rsidR="00F4649B" w:rsidRPr="004661E9">
        <w:rPr>
          <w:rFonts w:ascii="Arial" w:hAnsi="Arial" w:cs="Arial"/>
        </w:rPr>
        <w:t>In this trial, Sotagliflozin reduced the coprimary end</w:t>
      </w:r>
      <w:r w:rsidR="00036CC3" w:rsidRPr="004661E9">
        <w:rPr>
          <w:rFonts w:ascii="Arial" w:hAnsi="Arial" w:cs="Arial"/>
        </w:rPr>
        <w:t>-</w:t>
      </w:r>
      <w:r w:rsidR="00F4649B" w:rsidRPr="004661E9">
        <w:rPr>
          <w:rFonts w:ascii="Arial" w:hAnsi="Arial" w:cs="Arial"/>
        </w:rPr>
        <w:t xml:space="preserve">point of </w:t>
      </w:r>
      <w:r w:rsidR="00C976AE" w:rsidRPr="004661E9">
        <w:rPr>
          <w:rFonts w:ascii="Arial" w:hAnsi="Arial" w:cs="Arial"/>
        </w:rPr>
        <w:t>MACE</w:t>
      </w:r>
      <w:r w:rsidR="00A077C1" w:rsidRPr="004661E9">
        <w:rPr>
          <w:rFonts w:ascii="Arial" w:hAnsi="Arial" w:cs="Arial"/>
          <w:shd w:val="clear" w:color="auto" w:fill="FFFFFF"/>
        </w:rPr>
        <w:t xml:space="preserve"> (</w:t>
      </w:r>
      <w:r w:rsidR="00A077C1" w:rsidRPr="004661E9">
        <w:rPr>
          <w:rFonts w:ascii="Arial" w:hAnsi="Arial" w:cs="Arial"/>
        </w:rPr>
        <w:t xml:space="preserve">HR; 0.84 </w:t>
      </w:r>
      <w:r w:rsidR="0096500A" w:rsidRPr="004661E9">
        <w:rPr>
          <w:rFonts w:ascii="Arial" w:hAnsi="Arial" w:cs="Arial"/>
        </w:rPr>
        <w:t>[</w:t>
      </w:r>
      <w:r w:rsidR="00A077C1" w:rsidRPr="004661E9">
        <w:rPr>
          <w:rFonts w:ascii="Arial" w:hAnsi="Arial" w:cs="Arial"/>
        </w:rPr>
        <w:t xml:space="preserve">95% CI, 0.72 to 0.99]) </w:t>
      </w:r>
      <w:r w:rsidR="00C976AE" w:rsidRPr="004661E9">
        <w:rPr>
          <w:rFonts w:ascii="Arial" w:hAnsi="Arial" w:cs="Arial"/>
        </w:rPr>
        <w:t xml:space="preserve"> and </w:t>
      </w:r>
      <w:r w:rsidR="00036CC3" w:rsidRPr="004661E9">
        <w:rPr>
          <w:rFonts w:ascii="Arial" w:hAnsi="Arial" w:cs="Arial"/>
        </w:rPr>
        <w:t xml:space="preserve">secondary end-point of </w:t>
      </w:r>
      <w:r w:rsidR="00D42EB8" w:rsidRPr="004661E9">
        <w:rPr>
          <w:rFonts w:ascii="Arial" w:hAnsi="Arial" w:cs="Arial"/>
        </w:rPr>
        <w:t xml:space="preserve">HF </w:t>
      </w:r>
      <w:r w:rsidR="00A077C1" w:rsidRPr="004661E9">
        <w:rPr>
          <w:rFonts w:ascii="Arial" w:hAnsi="Arial" w:cs="Arial"/>
        </w:rPr>
        <w:t xml:space="preserve">hospitalization </w:t>
      </w:r>
      <w:r w:rsidR="00557AA8" w:rsidRPr="004661E9">
        <w:rPr>
          <w:rFonts w:ascii="Arial" w:hAnsi="Arial" w:cs="Arial"/>
        </w:rPr>
        <w:t>(HR; 0.67 [0.55–0.82]</w:t>
      </w:r>
      <w:r w:rsidR="001E47F1" w:rsidRPr="004661E9">
        <w:rPr>
          <w:rFonts w:ascii="Arial" w:hAnsi="Arial" w:cs="Arial"/>
        </w:rPr>
        <w:t>)</w:t>
      </w:r>
      <w:r w:rsidR="002071E3" w:rsidRPr="004661E9">
        <w:rPr>
          <w:rFonts w:ascii="Arial" w:hAnsi="Arial" w:cs="Arial"/>
        </w:rPr>
        <w:t xml:space="preserve"> </w:t>
      </w:r>
      <w:r w:rsidR="00343803" w:rsidRPr="004661E9">
        <w:rPr>
          <w:rFonts w:ascii="Arial" w:hAnsi="Arial" w:cs="Arial"/>
        </w:rPr>
        <w:fldChar w:fldCharType="begin" w:fldLock="1"/>
      </w:r>
      <w:r w:rsidR="001C412B" w:rsidRPr="004661E9">
        <w:rPr>
          <w:rFonts w:ascii="Arial" w:hAnsi="Arial" w:cs="Arial"/>
        </w:rPr>
        <w:instrText>ADDIN CSL_CITATION {"citationItems":[{"id":"ITEM-1","itemData":{"DOI":"10.1056/nejmoa2004967","ISSN":"0028-4793","abstract":"© 2020 Massachusetts Medical Society. BACKGROUND The cardiovascular effects of ertugliflozin, an inhibitor of sodium-glucose cotransporter 2, have not been established. METHODS In a multicenter, double-blind trial, we randomly assigned patients with type 2 diabetes and atherosclerotic cardiovascular disease to receive 5 mg or 15 mg of ertugliflozin or placebo once daily. With the data from the two ertugliflozin dose groups pooled for analysis, the primary objective was to show the noninferiority of ertugliflozin to placebo with respect to the primary outcome, major adverse cardiovascular events (a composite of death from cardiovascular causes, nonfatal myocardial infarction, or nonfatal stroke). The noninferiority margin was 1.3 (upper boundary of a 95.6% confidence interval for the hazard ratio [ertugliflozin vs. placebo] for major adverse cardiovascular events). The first key secondary outcome was a composite of death from cardiovascular causes or hospitalization for heart failure. RESULTS A total of 8246 patients underwent randomization and were followed for a mean of 3.5 years. Among 8238 patients who received at least one dose of ertugliflozin or placebo, a major adverse cardiovascular event occurred in 653 of 5493 patients (11.9%) in the ertugliflozin group and in 327 of 2745 patients (11.9%) in the placebo group (hazard ratio, 0.97; 95.6% confidence interval [CI], 0.85 to 1.11; P&lt;0.001 for noninferiority). Death from cardiovascular causes or hospitalization for heart failure occurred in 444 of 5499 patients (8.1%) in the ertugliflozin group and in 250 of 2747 patients (9.1%) in the placebo group (hazard ratio, 0.88; 95.8% CI, 0.75 to 1.03; P=0.11 for superiority). The hazard ratio for death from cardiovascular causes was 0.92 (95.8% CI, 0.77 to 1.11), and the hazard ratio for death from renal causes, renal replacement therapy, or doubling of the serum creatinine level was 0.81 (95.8% CI, 0.63 to 1.04). Amputations were performed in 54 patients (2.0%) who received the 5-mg dose of ertugliflozin and in 57 patients (2.1%) who received the 15-mg dose, as compared with 45 patients (1.6%) who received placebo. CONCLUSIONS Among patients with type 2 diabetes and atherosclerotic cardiovascular disease, ertugliflozin was noninferior to placebo with respect to major adverse cardiovascular events.","author":[{"dropping-particle":"","family":"Cannon","given":"Christopher P.","non-dropping-particle":"","parse-names":false,"suffix":""},{"dropping-particle":"","family":"Pratley","given":"Richard","non-dropping-particle":"","parse-names":false,"suffix":""},{"dropping-particle":"","family":"Dagogo-Jack","given":"Samuel","non-dropping-particle":"","parse-names":false,"suffix":""},{"dropping-particle":"","family":"Mancuso","given":"James","non-dropping-particle":"","parse-names":false,"suffix":""},{"dropping-particle":"","family":"Huyck","given":"Susan","non-dropping-particle":"","parse-names":false,"suffix":""},{"dropping-particle":"","family":"Masiukiewicz","given":"Urszula","non-dropping-particle":"","parse-names":false,"suffix":""},{"dropping-particle":"","family":"Charbonnel","given":"Bernard","non-dropping-particle":"","parse-names":false,"suffix":""},{"dropping-particle":"","family":"Frederich","given":"Robert","non-dropping-particle":"","parse-names":false,"suffix":""},{"dropping-particle":"","family":"Gallo","given":"Silvina","non-dropping-particle":"","parse-names":false,"suffix":""},{"dropping-particle":"","family":"Cosentino","given":"Francesco","non-dropping-particle":"","parse-names":false,"suffix":""},{"dropping-particle":"","family":"Shih","given":"Weichung J.","non-dropping-particle":"","parse-names":false,"suffix":""},{"dropping-particle":"","family":"Gantz","given":"Ira","non-dropping-particle":"","parse-names":false,"suffix":""},{"dropping-particle":"","family":"Terra","given":"Steven G.","non-dropping-particle":"","parse-names":false,"suffix":""},{"dropping-particle":"","family":"Cherney","given":"David Z.I.","non-dropping-particle":"","parse-names":false,"suffix":""},{"dropping-particle":"","family":"McGuire","given":"Darren K.","non-dropping-particle":"","parse-names":false,"suffix":""}],"container-title":"New England Journal of Medicine","id":"ITEM-1","issue":"15","issued":{"date-parts":[["2020"]]},"page":"1425-1435","title":"Cardiovascular Outcomes with Ertugliflozin in Type 2 Diabetes","type":"article-journal","volume":"383"},"uris":["http://www.mendeley.com/documents/?uuid=4a05e574-2490-4d8c-9b7c-7ca9e6237bc1"]}],"mendeley":{"formattedCitation":"(210)","plainTextFormattedCitation":"(210)","previouslyFormattedCitation":"(210)"},"properties":{"noteIndex":0},"schema":"https://github.com/citation-style-language/schema/raw/master/csl-citation.json"}</w:instrText>
      </w:r>
      <w:r w:rsidR="00343803" w:rsidRPr="004661E9">
        <w:rPr>
          <w:rFonts w:ascii="Arial" w:hAnsi="Arial" w:cs="Arial"/>
        </w:rPr>
        <w:fldChar w:fldCharType="separate"/>
      </w:r>
      <w:r w:rsidR="001C412B" w:rsidRPr="004661E9">
        <w:rPr>
          <w:rFonts w:ascii="Arial" w:hAnsi="Arial" w:cs="Arial"/>
          <w:noProof/>
        </w:rPr>
        <w:t>(210)</w:t>
      </w:r>
      <w:r w:rsidR="00343803" w:rsidRPr="004661E9">
        <w:rPr>
          <w:rFonts w:ascii="Arial" w:hAnsi="Arial" w:cs="Arial"/>
        </w:rPr>
        <w:fldChar w:fldCharType="end"/>
      </w:r>
      <w:r w:rsidR="00557AA8" w:rsidRPr="004661E9">
        <w:rPr>
          <w:rFonts w:ascii="Arial" w:hAnsi="Arial" w:cs="Arial"/>
        </w:rPr>
        <w:t xml:space="preserve">. </w:t>
      </w:r>
    </w:p>
    <w:p w14:paraId="3F91FCDC" w14:textId="77777777" w:rsidR="009B2FA1" w:rsidRPr="004661E9" w:rsidRDefault="009B2FA1" w:rsidP="004661E9">
      <w:pPr>
        <w:spacing w:after="0" w:line="276" w:lineRule="auto"/>
        <w:rPr>
          <w:rFonts w:ascii="Arial" w:hAnsi="Arial" w:cs="Arial"/>
          <w:shd w:val="clear" w:color="auto" w:fill="FFFFFF"/>
        </w:rPr>
      </w:pPr>
    </w:p>
    <w:p w14:paraId="2C73D28F" w14:textId="028C0DB9" w:rsidR="004E04C6" w:rsidRPr="004661E9" w:rsidRDefault="00F80BEA" w:rsidP="004661E9">
      <w:pPr>
        <w:spacing w:after="0" w:line="276" w:lineRule="auto"/>
        <w:rPr>
          <w:rFonts w:ascii="Arial" w:hAnsi="Arial" w:cs="Arial"/>
        </w:rPr>
      </w:pPr>
      <w:r w:rsidRPr="004661E9">
        <w:rPr>
          <w:rFonts w:ascii="Arial" w:hAnsi="Arial" w:cs="Arial"/>
        </w:rPr>
        <w:lastRenderedPageBreak/>
        <w:t>In Europe and Japan, SGLT-2 inhibitors are approved as adjunctive therapy for T1DM in patients with a BMI of at least 27 kg/m</w:t>
      </w:r>
      <w:r w:rsidRPr="004661E9">
        <w:rPr>
          <w:rFonts w:ascii="Arial" w:hAnsi="Arial" w:cs="Arial"/>
          <w:vertAlign w:val="superscript"/>
        </w:rPr>
        <w:t>2</w:t>
      </w:r>
      <w:r w:rsidRPr="004661E9">
        <w:rPr>
          <w:rFonts w:ascii="Arial" w:hAnsi="Arial" w:cs="Arial"/>
        </w:rPr>
        <w:t>. This recommendation is primarily based on the assumption that CV and renal protective effects of SGLT2 inhibitors can be generalized to T1DM populations. However, we still lack large</w:t>
      </w:r>
      <w:r w:rsidR="006C2ECE" w:rsidRPr="004661E9">
        <w:rPr>
          <w:rFonts w:ascii="Arial" w:hAnsi="Arial" w:cs="Arial"/>
        </w:rPr>
        <w:t>-</w:t>
      </w:r>
      <w:r w:rsidRPr="004661E9">
        <w:rPr>
          <w:rFonts w:ascii="Arial" w:hAnsi="Arial" w:cs="Arial"/>
        </w:rPr>
        <w:t>scale RCTs assessing the cardiorenal benefits of SGLT2 inhibitors in T1DM</w:t>
      </w:r>
      <w:r w:rsidR="009B2FA1" w:rsidRPr="004661E9">
        <w:rPr>
          <w:rFonts w:ascii="Arial" w:hAnsi="Arial" w:cs="Arial"/>
        </w:rPr>
        <w:t xml:space="preserve"> </w:t>
      </w:r>
      <w:r w:rsidRPr="004661E9">
        <w:rPr>
          <w:rFonts w:ascii="Arial" w:hAnsi="Arial" w:cs="Arial"/>
        </w:rPr>
        <w:fldChar w:fldCharType="begin" w:fldLock="1"/>
      </w:r>
      <w:r w:rsidR="001C412B" w:rsidRPr="004661E9">
        <w:rPr>
          <w:rFonts w:ascii="Arial" w:hAnsi="Arial" w:cs="Arial"/>
        </w:rPr>
        <w:instrText>ADDIN CSL_CITATION {"citationItems":[{"id":"ITEM-1","itemData":{"DOI":"10.1097/MED.0000000000000423","ISSN":"17522978","PMID":"29794497","abstract":"Purpose of review To identify and evaluate the recent trials of sodium-glucose cotransporter 1 and 2 (SGLT1 and SGLT2, respectively) inhibitor use in patients with type 1 diabetes (T1D). SGLT-2 inhibitors have been approved by the Food and Drug Administration (FDA) and are effectively used in the treatment of type 2 diabetes (T2D). However, many studies (phase I-III) have validated their effects beyond improving glycemic control and have shown potential adjunctive use in adult patients with T1D treated with insulin therapy alone. Recent findings A review of the literature showed that there is a potential adjunctive role for the SGLT inhibitors with insulin in T1D for improving glycemic control. The inTandem3 (A phase III study to evaluate the safety of sotagliflozin in patients with type 1 diabetes who have inadequate glycemic control with insulin therapy alone) and the DEPICT-1 (Dapagliflozin evaluation in patients with inadequately controlled type 1 diabetes) trials demonstrated significant benefits in adult patients with T1D. The SGLT inhibitors may become the first oral medication to be approved for adjunctive use in T1D. Summary The risk of diabetic ketoacidosis still remains a concern, but considering additional benefits beyond glucose control, with proper counseling and education, these medications may allow a larger number of patients to achieve target glucose control without weight gain or increased risk of hypoglycemia.","author":[{"dropping-particle":"","family":"Akturk","given":"Halis Kaan","non-dropping-particle":"","parse-names":false,"suffix":""},{"dropping-particle":"","family":"Rewers","given":"Amanda","non-dropping-particle":"","parse-names":false,"suffix":""},{"dropping-particle":"","family":"Garg","given":"Satish K.","non-dropping-particle":"","parse-names":false,"suffix":""}],"container-title":"Current Opinion in Endocrinology, Diabetes and Obesity","id":"ITEM-1","issue":"4","issued":{"date-parts":[["2018","8","1"]]},"page":"246-250","publisher":"Lippincott Williams and Wilkins","title":"SGLT inhibition: A possible adjunctive treatment for type 1 diabetes","type":"article-journal","volume":"25"},"uris":["http://www.mendeley.com/documents/?uuid=5bb42ae0-c952-3a63-988d-7ec503880577"]}],"mendeley":{"formattedCitation":"(211)","plainTextFormattedCitation":"(211)","previouslyFormattedCitation":"(211)"},"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(211)</w:t>
      </w:r>
      <w:r w:rsidRPr="004661E9">
        <w:rPr>
          <w:rFonts w:ascii="Arial" w:hAnsi="Arial" w:cs="Arial"/>
        </w:rPr>
        <w:fldChar w:fldCharType="end"/>
      </w:r>
      <w:r w:rsidR="009B2FA1" w:rsidRPr="004661E9">
        <w:rPr>
          <w:rFonts w:ascii="Arial" w:hAnsi="Arial" w:cs="Arial"/>
        </w:rPr>
        <w:t>.</w:t>
      </w:r>
      <w:r w:rsidRPr="004661E9">
        <w:rPr>
          <w:rFonts w:ascii="Arial" w:hAnsi="Arial" w:cs="Arial"/>
        </w:rPr>
        <w:t xml:space="preserve"> Considering the high risk of diabetic ketoacidosis and </w:t>
      </w:r>
      <w:r w:rsidR="006C2ECE" w:rsidRPr="004661E9">
        <w:rPr>
          <w:rFonts w:ascii="Arial" w:hAnsi="Arial" w:cs="Arial"/>
        </w:rPr>
        <w:t xml:space="preserve">the </w:t>
      </w:r>
      <w:r w:rsidRPr="004661E9">
        <w:rPr>
          <w:rFonts w:ascii="Arial" w:hAnsi="Arial" w:cs="Arial"/>
        </w:rPr>
        <w:t xml:space="preserve">lack of proven diabetic ketoacidosis risk mitigation strategies, the </w:t>
      </w:r>
      <w:r w:rsidR="001C412B" w:rsidRPr="004661E9">
        <w:rPr>
          <w:rFonts w:ascii="Arial" w:hAnsi="Arial" w:cs="Arial"/>
        </w:rPr>
        <w:t xml:space="preserve">U.S. </w:t>
      </w:r>
      <w:r w:rsidRPr="004661E9">
        <w:rPr>
          <w:rFonts w:ascii="Arial" w:hAnsi="Arial" w:cs="Arial"/>
        </w:rPr>
        <w:t>FDA</w:t>
      </w:r>
      <w:r w:rsidR="008F3072" w:rsidRPr="004661E9">
        <w:rPr>
          <w:rFonts w:ascii="Arial" w:hAnsi="Arial" w:cs="Arial"/>
        </w:rPr>
        <w:t xml:space="preserve"> </w:t>
      </w:r>
      <w:r w:rsidRPr="004661E9">
        <w:rPr>
          <w:rFonts w:ascii="Arial" w:hAnsi="Arial" w:cs="Arial"/>
        </w:rPr>
        <w:t>denied the approval of SGLT2 inhibitors for T1DM in the U</w:t>
      </w:r>
      <w:r w:rsidR="00D2537D" w:rsidRPr="004661E9">
        <w:rPr>
          <w:rFonts w:ascii="Arial" w:hAnsi="Arial" w:cs="Arial"/>
        </w:rPr>
        <w:t>.</w:t>
      </w:r>
      <w:r w:rsidRPr="004661E9">
        <w:rPr>
          <w:rFonts w:ascii="Arial" w:hAnsi="Arial" w:cs="Arial"/>
        </w:rPr>
        <w:t>S.</w:t>
      </w:r>
    </w:p>
    <w:p w14:paraId="619A3FDE" w14:textId="75911770" w:rsidR="001C412B" w:rsidRPr="004661E9" w:rsidRDefault="001C412B" w:rsidP="004661E9">
      <w:pPr>
        <w:spacing w:after="0" w:line="276" w:lineRule="auto"/>
        <w:rPr>
          <w:rFonts w:ascii="Arial" w:hAnsi="Arial" w:cs="Arial"/>
        </w:rPr>
      </w:pPr>
    </w:p>
    <w:tbl>
      <w:tblPr>
        <w:tblStyle w:val="TableGrid"/>
        <w:tblW w:w="11080" w:type="dxa"/>
        <w:tblInd w:w="-545" w:type="dxa"/>
        <w:tblLayout w:type="fixed"/>
        <w:tblLook w:val="04A0" w:firstRow="1" w:lastRow="0" w:firstColumn="1" w:lastColumn="0" w:noHBand="0" w:noVBand="1"/>
      </w:tblPr>
      <w:tblGrid>
        <w:gridCol w:w="1710"/>
        <w:gridCol w:w="1980"/>
        <w:gridCol w:w="1440"/>
        <w:gridCol w:w="1890"/>
        <w:gridCol w:w="990"/>
        <w:gridCol w:w="1170"/>
        <w:gridCol w:w="1900"/>
      </w:tblGrid>
      <w:tr w:rsidR="001C412B" w:rsidRPr="004661E9" w14:paraId="1C1055DD" w14:textId="77777777" w:rsidTr="003B5689">
        <w:trPr>
          <w:trHeight w:val="359"/>
        </w:trPr>
        <w:tc>
          <w:tcPr>
            <w:tcW w:w="11080" w:type="dxa"/>
            <w:gridSpan w:val="7"/>
            <w:shd w:val="clear" w:color="auto" w:fill="FFFF00"/>
          </w:tcPr>
          <w:p w14:paraId="5204C542" w14:textId="1202CEEA" w:rsidR="001C412B" w:rsidRPr="003B5689" w:rsidRDefault="001C412B" w:rsidP="004661E9">
            <w:pPr>
              <w:spacing w:line="276" w:lineRule="auto"/>
              <w:rPr>
                <w:rFonts w:ascii="Arial" w:hAnsi="Arial" w:cs="Arial"/>
                <w:b/>
                <w:bCs/>
              </w:rPr>
            </w:pPr>
            <w:r w:rsidRPr="003B5689">
              <w:rPr>
                <w:rFonts w:ascii="Arial" w:hAnsi="Arial" w:cs="Arial"/>
                <w:b/>
                <w:bCs/>
              </w:rPr>
              <w:t xml:space="preserve">Table 3. Heart Failure Hospitalization Risk with SGLT-2 Inhibitors in Patients with T2DM </w:t>
            </w:r>
          </w:p>
        </w:tc>
      </w:tr>
      <w:tr w:rsidR="001C412B" w:rsidRPr="004661E9" w14:paraId="7E920EDC" w14:textId="77777777" w:rsidTr="003B5689">
        <w:trPr>
          <w:trHeight w:val="989"/>
        </w:trPr>
        <w:tc>
          <w:tcPr>
            <w:tcW w:w="1710" w:type="dxa"/>
          </w:tcPr>
          <w:p w14:paraId="39BAAD71" w14:textId="77777777" w:rsidR="001C412B" w:rsidRPr="003B5689" w:rsidRDefault="001C412B" w:rsidP="004661E9">
            <w:pPr>
              <w:spacing w:line="276" w:lineRule="auto"/>
              <w:rPr>
                <w:rFonts w:ascii="Arial" w:hAnsi="Arial" w:cs="Arial"/>
                <w:b/>
                <w:bCs/>
              </w:rPr>
            </w:pPr>
            <w:r w:rsidRPr="003B5689">
              <w:rPr>
                <w:rFonts w:ascii="Arial" w:hAnsi="Arial" w:cs="Arial"/>
                <w:b/>
                <w:bCs/>
              </w:rPr>
              <w:t>Medication</w:t>
            </w:r>
          </w:p>
        </w:tc>
        <w:tc>
          <w:tcPr>
            <w:tcW w:w="1980" w:type="dxa"/>
          </w:tcPr>
          <w:p w14:paraId="499C9DB2" w14:textId="77777777" w:rsidR="001C412B" w:rsidRPr="004661E9" w:rsidRDefault="001C412B" w:rsidP="004661E9">
            <w:pPr>
              <w:spacing w:line="276" w:lineRule="auto"/>
              <w:rPr>
                <w:rFonts w:ascii="Arial" w:hAnsi="Arial" w:cs="Arial"/>
                <w:b/>
                <w:bCs/>
              </w:rPr>
            </w:pPr>
            <w:r w:rsidRPr="004661E9">
              <w:rPr>
                <w:rFonts w:ascii="Arial" w:hAnsi="Arial" w:cs="Arial"/>
                <w:b/>
                <w:bCs/>
              </w:rPr>
              <w:t>Trial</w:t>
            </w:r>
          </w:p>
        </w:tc>
        <w:tc>
          <w:tcPr>
            <w:tcW w:w="1440" w:type="dxa"/>
          </w:tcPr>
          <w:p w14:paraId="185A80BF" w14:textId="77777777" w:rsidR="001C412B" w:rsidRPr="004661E9" w:rsidRDefault="001C412B" w:rsidP="004661E9">
            <w:pPr>
              <w:spacing w:line="276" w:lineRule="auto"/>
              <w:rPr>
                <w:rFonts w:ascii="Arial" w:hAnsi="Arial" w:cs="Arial"/>
                <w:b/>
                <w:bCs/>
              </w:rPr>
            </w:pPr>
            <w:r w:rsidRPr="004661E9">
              <w:rPr>
                <w:rFonts w:ascii="Arial" w:hAnsi="Arial" w:cs="Arial"/>
                <w:b/>
                <w:bCs/>
              </w:rPr>
              <w:t>Publication Year</w:t>
            </w:r>
          </w:p>
        </w:tc>
        <w:tc>
          <w:tcPr>
            <w:tcW w:w="1890" w:type="dxa"/>
          </w:tcPr>
          <w:p w14:paraId="6309D303" w14:textId="77777777" w:rsidR="001C412B" w:rsidRPr="004661E9" w:rsidRDefault="001C412B" w:rsidP="004661E9">
            <w:pPr>
              <w:spacing w:line="276" w:lineRule="auto"/>
              <w:rPr>
                <w:rFonts w:ascii="Arial" w:hAnsi="Arial" w:cs="Arial"/>
                <w:b/>
                <w:bCs/>
              </w:rPr>
            </w:pPr>
            <w:r w:rsidRPr="004661E9">
              <w:rPr>
                <w:rFonts w:ascii="Arial" w:hAnsi="Arial" w:cs="Arial"/>
                <w:b/>
                <w:bCs/>
              </w:rPr>
              <w:t>Patient Characteristics</w:t>
            </w:r>
          </w:p>
        </w:tc>
        <w:tc>
          <w:tcPr>
            <w:tcW w:w="990" w:type="dxa"/>
          </w:tcPr>
          <w:p w14:paraId="0AF0F9B4" w14:textId="77777777" w:rsidR="001C412B" w:rsidRPr="004661E9" w:rsidRDefault="001C412B" w:rsidP="004661E9">
            <w:pPr>
              <w:spacing w:line="276" w:lineRule="auto"/>
              <w:rPr>
                <w:rFonts w:ascii="Arial" w:hAnsi="Arial" w:cs="Arial"/>
                <w:b/>
                <w:bCs/>
              </w:rPr>
            </w:pPr>
            <w:r w:rsidRPr="004661E9">
              <w:rPr>
                <w:rFonts w:ascii="Arial" w:hAnsi="Arial" w:cs="Arial"/>
                <w:b/>
                <w:bCs/>
              </w:rPr>
              <w:t>History of HF</w:t>
            </w:r>
          </w:p>
        </w:tc>
        <w:tc>
          <w:tcPr>
            <w:tcW w:w="1170" w:type="dxa"/>
          </w:tcPr>
          <w:p w14:paraId="59A8192C" w14:textId="77777777" w:rsidR="001C412B" w:rsidRPr="004661E9" w:rsidRDefault="001C412B" w:rsidP="004661E9">
            <w:pPr>
              <w:spacing w:line="276" w:lineRule="auto"/>
              <w:rPr>
                <w:rFonts w:ascii="Arial" w:hAnsi="Arial" w:cs="Arial"/>
                <w:b/>
                <w:bCs/>
              </w:rPr>
            </w:pPr>
            <w:r w:rsidRPr="004661E9">
              <w:rPr>
                <w:rFonts w:ascii="Arial" w:hAnsi="Arial" w:cs="Arial"/>
                <w:b/>
                <w:bCs/>
              </w:rPr>
              <w:t>Follow-up Period</w:t>
            </w:r>
          </w:p>
        </w:tc>
        <w:tc>
          <w:tcPr>
            <w:tcW w:w="1900" w:type="dxa"/>
          </w:tcPr>
          <w:p w14:paraId="20DAA253" w14:textId="77777777" w:rsidR="001C412B" w:rsidRPr="004661E9" w:rsidRDefault="001C412B" w:rsidP="004661E9">
            <w:pPr>
              <w:spacing w:line="276" w:lineRule="auto"/>
              <w:rPr>
                <w:rFonts w:ascii="Arial" w:hAnsi="Arial" w:cs="Arial"/>
                <w:b/>
                <w:bCs/>
              </w:rPr>
            </w:pPr>
            <w:r w:rsidRPr="004661E9">
              <w:rPr>
                <w:rFonts w:ascii="Arial" w:hAnsi="Arial" w:cs="Arial"/>
                <w:b/>
                <w:bCs/>
              </w:rPr>
              <w:t>HF hospitalization (HR, 95% CI)</w:t>
            </w:r>
          </w:p>
        </w:tc>
      </w:tr>
      <w:tr w:rsidR="001C412B" w:rsidRPr="004661E9" w14:paraId="7F8DDF7F" w14:textId="77777777" w:rsidTr="003B5689">
        <w:trPr>
          <w:trHeight w:val="647"/>
        </w:trPr>
        <w:tc>
          <w:tcPr>
            <w:tcW w:w="1710" w:type="dxa"/>
          </w:tcPr>
          <w:p w14:paraId="4450FD6A" w14:textId="77777777" w:rsidR="001C412B" w:rsidRPr="004661E9" w:rsidRDefault="001C412B" w:rsidP="004661E9">
            <w:pPr>
              <w:spacing w:line="276" w:lineRule="auto"/>
              <w:rPr>
                <w:rFonts w:ascii="Arial" w:hAnsi="Arial" w:cs="Arial"/>
              </w:rPr>
            </w:pPr>
            <w:r w:rsidRPr="004661E9">
              <w:rPr>
                <w:rFonts w:ascii="Arial" w:hAnsi="Arial" w:cs="Arial"/>
              </w:rPr>
              <w:t>Empagliflozin</w:t>
            </w:r>
          </w:p>
        </w:tc>
        <w:tc>
          <w:tcPr>
            <w:tcW w:w="1980" w:type="dxa"/>
          </w:tcPr>
          <w:p w14:paraId="7216B022" w14:textId="77777777" w:rsidR="001C412B" w:rsidRPr="004661E9" w:rsidRDefault="001C412B" w:rsidP="004661E9">
            <w:pPr>
              <w:spacing w:line="276" w:lineRule="auto"/>
              <w:rPr>
                <w:rFonts w:ascii="Arial" w:hAnsi="Arial" w:cs="Arial"/>
              </w:rPr>
            </w:pPr>
            <w:r w:rsidRPr="004661E9">
              <w:rPr>
                <w:rFonts w:ascii="Arial" w:hAnsi="Arial" w:cs="Arial"/>
              </w:rPr>
              <w:t>EMPA-REG OUTCOME</w:t>
            </w:r>
          </w:p>
          <w:p w14:paraId="6B700661" w14:textId="77777777"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Pr="004661E9">
              <w:rPr>
                <w:rFonts w:ascii="Arial" w:hAnsi="Arial" w:cs="Arial"/>
              </w:rPr>
              <w:instrText>ADDIN CSL_CITATION {"citationItems":[{"id":"ITEM-1","itemData":{"DOI":"10.1056/NEJMoa1504720","ISSN":"15334406","PMID":"26378978","abstract":"BACKGROUND The effects of empagliflozin, an inhibitor of sodium-glucose cotransporter 2, in addition to standard care, on cardiovascular morbidity and mortality in patients with type 2 diabetes at high cardiovascular risk are not known. METHODS We randomly assigned patients to receive 10 mg or 25 mg of empagliflozin or placebo once daily. The primary composite outcome was death from cardiovascular causes, nonfatal myocardial infarction, or nonfatal stroke, as analyzed in the pooled empagliflozin group versus the placebo group. The key secondary composite outcome was the primary outcome plus hospitalization for unstable angina. RESULTS A total of 7020 patients were treated (median observation time, 3.1 years). The primary outcome occurred in 490 of 4687 patients (10.5%) in the pooled empagliflozin group and in 282 of 2333 patients (12.1%) in the placebo group (hazard ratio in the empagliflozin group, 0.86; 95.02% confidence interval, 0.74 to 0.99; P = 0.04 for superiority). There were no significant between-group differences in the rates of myocardial infarction or stroke, but in the empagliflozin group there were significantly lower rates of death from cardiovascular causes (3.7%, vs. 5.9% in the placebo group; 38% relative risk reduction), hospitalization for heart failure (2.7% and 4.1%, respectively; 35% relative risk reduction), and death from any cause (5.7% and 8.3%, respectively; 32% relative risk reduction). There was no significant between-group difference in the key secondary outcome (P = 0.08 for superiority). Among patients receiving empagliflozin, there was an increased rate of genital infection but no increase in other adverse events. CONCLUSIONS Patients with type 2 diabetes at high risk for cardiovascular events who received empagliflozin, as compared with placebo, had a lower rate of the primary composite cardiovascular outcome and of death from any cause when the study drug was added to standard care.","author":[{"dropping-particle":"","family":"Zinman","given":"Bernard","non-dropping-particle":"","parse-names":false,"suffix":""},{"dropping-particle":"","family":"Wanner","given":"Christoph","non-dropping-particle":"","parse-names":false,"suffix":""},{"dropping-particle":"","family":"Lachin","given":"John M.","non-dropping-particle":"","parse-names":false,"suffix":""},{"dropping-particle":"","family":"Fitchett","given":"David","non-dropping-particle":"","parse-names":false,"suffix":""},{"dropping-particle":"","family":"Bluhmki","given":"Erich","non-dropping-particle":"","parse-names":false,"suffix":""},{"dropping-particle":"","family":"Hantel","given":"Stefan","non-dropping-particle":"","parse-names":false,"suffix":""}],"container-title":"New England Journal of Medicine","id":"ITEM-1","issue":"22","issued":{"date-parts":[["2015","11","26"]]},"page":"2117-2128","publisher":"Massachussetts Medical Society","title":"Empagliflozin, cardiovascular outcomes, and mortality in type 2 diabetes","type":"article-journal","volume":"373"},"uris":["http://www.mendeley.com/documents/?uuid=6b240202-613c-3748-94f7-499b3e177520"]}],"mendeley":{"formattedCitation":"(206)","plainTextFormattedCitation":"(206)","previouslyFormattedCitation":"(206)"},"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(206)</w:t>
            </w:r>
            <w:r w:rsidRPr="004661E9">
              <w:rPr>
                <w:rFonts w:ascii="Arial" w:hAnsi="Arial" w:cs="Arial"/>
              </w:rPr>
              <w:fldChar w:fldCharType="end"/>
            </w:r>
          </w:p>
        </w:tc>
        <w:tc>
          <w:tcPr>
            <w:tcW w:w="1440" w:type="dxa"/>
          </w:tcPr>
          <w:p w14:paraId="43B1A528" w14:textId="77777777" w:rsidR="001C412B" w:rsidRPr="004661E9" w:rsidRDefault="001C412B" w:rsidP="004661E9">
            <w:pPr>
              <w:spacing w:line="276" w:lineRule="auto"/>
              <w:rPr>
                <w:rFonts w:ascii="Arial" w:hAnsi="Arial" w:cs="Arial"/>
              </w:rPr>
            </w:pPr>
            <w:r w:rsidRPr="004661E9">
              <w:rPr>
                <w:rFonts w:ascii="Arial" w:hAnsi="Arial" w:cs="Arial"/>
              </w:rPr>
              <w:t>2015</w:t>
            </w:r>
          </w:p>
        </w:tc>
        <w:tc>
          <w:tcPr>
            <w:tcW w:w="1890" w:type="dxa"/>
          </w:tcPr>
          <w:p w14:paraId="1119DB5B" w14:textId="77777777" w:rsidR="001C412B" w:rsidRPr="004661E9" w:rsidRDefault="001C412B" w:rsidP="004661E9">
            <w:pPr>
              <w:spacing w:line="276" w:lineRule="auto"/>
              <w:rPr>
                <w:rFonts w:ascii="Arial" w:hAnsi="Arial" w:cs="Arial"/>
              </w:rPr>
            </w:pPr>
            <w:r w:rsidRPr="004661E9">
              <w:rPr>
                <w:rFonts w:ascii="Arial" w:hAnsi="Arial" w:cs="Arial"/>
              </w:rPr>
              <w:t>Established CVD</w:t>
            </w:r>
          </w:p>
        </w:tc>
        <w:tc>
          <w:tcPr>
            <w:tcW w:w="990" w:type="dxa"/>
          </w:tcPr>
          <w:p w14:paraId="2800F426" w14:textId="77777777" w:rsidR="001C412B" w:rsidRPr="004661E9" w:rsidRDefault="001C412B" w:rsidP="004661E9">
            <w:pPr>
              <w:spacing w:line="276" w:lineRule="auto"/>
              <w:rPr>
                <w:rFonts w:ascii="Arial" w:hAnsi="Arial" w:cs="Arial"/>
              </w:rPr>
            </w:pPr>
            <w:r w:rsidRPr="004661E9">
              <w:rPr>
                <w:rFonts w:ascii="Arial" w:hAnsi="Arial" w:cs="Arial"/>
              </w:rPr>
              <w:t>10%</w:t>
            </w:r>
          </w:p>
        </w:tc>
        <w:tc>
          <w:tcPr>
            <w:tcW w:w="1170" w:type="dxa"/>
          </w:tcPr>
          <w:p w14:paraId="47A31139" w14:textId="77777777" w:rsidR="001C412B" w:rsidRPr="004661E9" w:rsidRDefault="001C412B" w:rsidP="004661E9">
            <w:pPr>
              <w:spacing w:line="276" w:lineRule="auto"/>
              <w:rPr>
                <w:rFonts w:ascii="Arial" w:hAnsi="Arial" w:cs="Arial"/>
              </w:rPr>
            </w:pPr>
            <w:r w:rsidRPr="004661E9">
              <w:rPr>
                <w:rFonts w:ascii="Arial" w:hAnsi="Arial" w:cs="Arial"/>
              </w:rPr>
              <w:t>3.1 years</w:t>
            </w:r>
          </w:p>
        </w:tc>
        <w:tc>
          <w:tcPr>
            <w:tcW w:w="1900" w:type="dxa"/>
          </w:tcPr>
          <w:p w14:paraId="55D8931E" w14:textId="77777777" w:rsidR="001C412B" w:rsidRPr="004661E9" w:rsidRDefault="001C412B" w:rsidP="004661E9">
            <w:pPr>
              <w:spacing w:line="276" w:lineRule="auto"/>
              <w:rPr>
                <w:rFonts w:ascii="Arial" w:hAnsi="Arial" w:cs="Arial"/>
              </w:rPr>
            </w:pPr>
            <w:r w:rsidRPr="004661E9">
              <w:rPr>
                <w:rFonts w:ascii="Arial" w:hAnsi="Arial" w:cs="Arial"/>
              </w:rPr>
              <w:t>0.65</w:t>
            </w:r>
          </w:p>
          <w:p w14:paraId="7090D6D0" w14:textId="77777777" w:rsidR="001C412B" w:rsidRPr="004661E9" w:rsidRDefault="001C412B" w:rsidP="004661E9">
            <w:pPr>
              <w:spacing w:line="276" w:lineRule="auto"/>
              <w:rPr>
                <w:rFonts w:ascii="Arial" w:hAnsi="Arial" w:cs="Arial"/>
              </w:rPr>
            </w:pPr>
            <w:r w:rsidRPr="004661E9">
              <w:rPr>
                <w:rFonts w:ascii="Arial" w:hAnsi="Arial" w:cs="Arial"/>
              </w:rPr>
              <w:t>(0.50 - 0.85)</w:t>
            </w:r>
          </w:p>
        </w:tc>
      </w:tr>
      <w:tr w:rsidR="001C412B" w:rsidRPr="004661E9" w14:paraId="106712C1" w14:textId="77777777" w:rsidTr="003B5689">
        <w:trPr>
          <w:trHeight w:val="647"/>
        </w:trPr>
        <w:tc>
          <w:tcPr>
            <w:tcW w:w="1710" w:type="dxa"/>
          </w:tcPr>
          <w:p w14:paraId="00C407BF" w14:textId="77777777" w:rsidR="001C412B" w:rsidRPr="004661E9" w:rsidRDefault="001C412B" w:rsidP="004661E9">
            <w:pPr>
              <w:spacing w:line="276" w:lineRule="auto"/>
              <w:rPr>
                <w:rFonts w:ascii="Arial" w:hAnsi="Arial" w:cs="Arial"/>
              </w:rPr>
            </w:pPr>
            <w:r w:rsidRPr="004661E9">
              <w:rPr>
                <w:rFonts w:ascii="Arial" w:hAnsi="Arial" w:cs="Arial"/>
              </w:rPr>
              <w:t>Empagliflozin</w:t>
            </w:r>
          </w:p>
        </w:tc>
        <w:tc>
          <w:tcPr>
            <w:tcW w:w="1980" w:type="dxa"/>
          </w:tcPr>
          <w:p w14:paraId="7B69E08E" w14:textId="77777777" w:rsidR="001C412B" w:rsidRPr="004661E9" w:rsidRDefault="001C412B" w:rsidP="004661E9">
            <w:pPr>
              <w:spacing w:line="276" w:lineRule="auto"/>
              <w:rPr>
                <w:rFonts w:ascii="Arial" w:hAnsi="Arial" w:cs="Arial"/>
              </w:rPr>
            </w:pPr>
            <w:r w:rsidRPr="004661E9">
              <w:rPr>
                <w:rFonts w:ascii="Arial" w:hAnsi="Arial" w:cs="Arial"/>
              </w:rPr>
              <w:t>EMPA-KIDNEY</w:t>
            </w:r>
          </w:p>
          <w:p w14:paraId="27D8B44E" w14:textId="0AC2A361"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00D162D8" w:rsidRPr="004661E9">
              <w:rPr>
                <w:rFonts w:ascii="Arial" w:hAnsi="Arial" w:cs="Arial"/>
              </w:rPr>
              <w:instrText>ADDIN CSL_CITATION {"citationItems":[{"id":"ITEM-1","itemData":{"DOI":"10.1056/nejmoa2204233","ISSN":"0028-4793","PMID":"36331190","abstract":"BACKGROUND The effects of empagliflozin in patients with chronic kidney disease who are at risk for disease progression are not well understood. The EMPA-KIDNEY trial was designed to assess the effects of treatment with empagliflozin in a broad range of such patients. METHODS We enrolled patients with chronic kidney disease who had an estimated glomerular filtration rate (eGFR) of at least 20 but less than 45 ml per minute per 1.73 m2 of body-surface area, or who had an eGFR of at least 45 but less than 90 ml per minute per 1.73 m2 with a urinary albumin-to-creatinine ratio (with albumin measured in milligrams and creatinine measured in grams) of at least 200. Patients were randomly assigned to receive empagliflozin (10 mg once daily) or matching placebo. The primary outcome was a composite of progression of kidney disease (defined as end-stage kidney disease, a sustained decrease in eGFR to &lt;10 ml per minute per 1.73 m2, a sustained decrease in eGFR of ≥40% from baseline, or death from renal causes) or death from cardiovascular causes. RESULTS A total of 6609 patients underwent randomization. During a median of 2.0 years of follow-up, progression of kidney disease or death from cardiovascular causes occurred in 432 of 3304 patients (13.1%) in the empagliflozin group and in 558 of 3305 patients (16.9%) in the placebo group (hazard ratio, 0.72; 95% confidence interval [CI], 0.64 to 0.82; P&lt;0.001). Results were consistent among patients with or without diabetes and across subgroups defined according to eGFR ranges. The rate of hospitalization from any cause was lower in the empagliflozin group than in the placebo group (hazard ratio, 0.86; 95% CI, 0.78 to 0.95; P = 0.003), but there were no significant between-group differences with respect to the composite outcome of hospitalization for heart failure or death from cardiovascular causes (which occurred in 4.0% in the empagliflozin group and 4.6% in the placebo group) or death from any cause (in 4.5% and 5.1%, respectively). The rates of serious adverse events were similar in the two groups. CONCLUSIONS Among a wide range of patients with chronic kidney disease who were at risk for disease progression, empagliflozin therapy led to a lower risk of progression of kidney disease or death from cardiovascular causes than placebo. (Funded by Boehringer Ingelheim and others; EMPA-KIDNEY ClinicalTrials.gov number, NCT03594110; EudraCT number, 2017-002971-24.).","container-title":"New England Journal of Medicine","id":"ITEM-1","issue":"2","issued":{"date-parts":[["2023"]]},"page":"117-127","title":"Empagliflozin in Patients with Chronic Kidney Disease","type":"article-journal","volume":"388"},"uris":["http://www.mendeley.com/documents/?uuid=eab31570-8648-45bd-a43a-5d1a6c66b698"]}],"mendeley":{"formattedCitation":"(212)","plainTextFormattedCitation":"(212)","previouslyFormattedCitation":"(220)"},"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(212)</w:t>
            </w:r>
            <w:r w:rsidRPr="004661E9">
              <w:rPr>
                <w:rFonts w:ascii="Arial" w:hAnsi="Arial" w:cs="Arial"/>
              </w:rPr>
              <w:fldChar w:fldCharType="end"/>
            </w:r>
          </w:p>
        </w:tc>
        <w:tc>
          <w:tcPr>
            <w:tcW w:w="1440" w:type="dxa"/>
          </w:tcPr>
          <w:p w14:paraId="3F89D7FF" w14:textId="77777777" w:rsidR="001C412B" w:rsidRPr="004661E9" w:rsidRDefault="001C412B" w:rsidP="004661E9">
            <w:pPr>
              <w:spacing w:line="276" w:lineRule="auto"/>
              <w:rPr>
                <w:rFonts w:ascii="Arial" w:hAnsi="Arial" w:cs="Arial"/>
              </w:rPr>
            </w:pPr>
            <w:r w:rsidRPr="004661E9">
              <w:rPr>
                <w:rFonts w:ascii="Arial" w:hAnsi="Arial" w:cs="Arial"/>
              </w:rPr>
              <w:t>2023</w:t>
            </w:r>
          </w:p>
        </w:tc>
        <w:tc>
          <w:tcPr>
            <w:tcW w:w="1890" w:type="dxa"/>
          </w:tcPr>
          <w:p w14:paraId="26302C4D" w14:textId="77777777" w:rsidR="001C412B" w:rsidRPr="004661E9" w:rsidRDefault="001C412B" w:rsidP="004661E9">
            <w:pPr>
              <w:spacing w:line="276" w:lineRule="auto"/>
              <w:rPr>
                <w:rFonts w:ascii="Arial" w:hAnsi="Arial" w:cs="Arial"/>
              </w:rPr>
            </w:pPr>
            <w:r w:rsidRPr="004661E9">
              <w:rPr>
                <w:rFonts w:ascii="Arial" w:hAnsi="Arial" w:cs="Arial"/>
              </w:rPr>
              <w:t>CKD with or without albuminuria*</w:t>
            </w:r>
          </w:p>
        </w:tc>
        <w:tc>
          <w:tcPr>
            <w:tcW w:w="990" w:type="dxa"/>
          </w:tcPr>
          <w:p w14:paraId="21205792" w14:textId="77777777" w:rsidR="001C412B" w:rsidRPr="004661E9" w:rsidRDefault="001C412B" w:rsidP="004661E9">
            <w:pPr>
              <w:spacing w:line="276" w:lineRule="auto"/>
              <w:rPr>
                <w:rFonts w:ascii="Arial" w:hAnsi="Arial" w:cs="Arial"/>
              </w:rPr>
            </w:pPr>
            <w:r w:rsidRPr="004661E9">
              <w:rPr>
                <w:rFonts w:ascii="Arial" w:hAnsi="Arial" w:cs="Arial"/>
              </w:rPr>
              <w:t>Not reported</w:t>
            </w:r>
          </w:p>
        </w:tc>
        <w:tc>
          <w:tcPr>
            <w:tcW w:w="1170" w:type="dxa"/>
          </w:tcPr>
          <w:p w14:paraId="70CC4E75" w14:textId="77777777" w:rsidR="001C412B" w:rsidRPr="004661E9" w:rsidRDefault="001C412B" w:rsidP="004661E9">
            <w:pPr>
              <w:spacing w:line="276" w:lineRule="auto"/>
              <w:rPr>
                <w:rFonts w:ascii="Arial" w:hAnsi="Arial" w:cs="Arial"/>
              </w:rPr>
            </w:pPr>
            <w:r w:rsidRPr="004661E9">
              <w:rPr>
                <w:rFonts w:ascii="Arial" w:hAnsi="Arial" w:cs="Arial"/>
              </w:rPr>
              <w:t>2 years</w:t>
            </w:r>
          </w:p>
        </w:tc>
        <w:tc>
          <w:tcPr>
            <w:tcW w:w="1900" w:type="dxa"/>
          </w:tcPr>
          <w:p w14:paraId="68EAD736" w14:textId="77777777" w:rsidR="001C412B" w:rsidRPr="004661E9" w:rsidRDefault="001C412B" w:rsidP="004661E9">
            <w:pPr>
              <w:spacing w:line="276" w:lineRule="auto"/>
              <w:rPr>
                <w:rFonts w:ascii="Arial" w:hAnsi="Arial" w:cs="Arial"/>
              </w:rPr>
            </w:pPr>
            <w:r w:rsidRPr="004661E9">
              <w:rPr>
                <w:rFonts w:ascii="Arial" w:hAnsi="Arial" w:cs="Arial"/>
              </w:rPr>
              <w:t xml:space="preserve">0.84 </w:t>
            </w:r>
          </w:p>
          <w:p w14:paraId="144F2470" w14:textId="77777777" w:rsidR="001C412B" w:rsidRPr="004661E9" w:rsidRDefault="001C412B" w:rsidP="004661E9">
            <w:pPr>
              <w:spacing w:line="276" w:lineRule="auto"/>
              <w:rPr>
                <w:rFonts w:ascii="Arial" w:hAnsi="Arial" w:cs="Arial"/>
              </w:rPr>
            </w:pPr>
            <w:r w:rsidRPr="004661E9">
              <w:rPr>
                <w:rFonts w:ascii="Arial" w:hAnsi="Arial" w:cs="Arial"/>
              </w:rPr>
              <w:t>(0.67 – 1.07) **</w:t>
            </w:r>
          </w:p>
          <w:p w14:paraId="3B358CCB" w14:textId="77777777" w:rsidR="001C412B" w:rsidRPr="004661E9" w:rsidRDefault="001C412B" w:rsidP="004661E9">
            <w:pPr>
              <w:spacing w:line="276" w:lineRule="auto"/>
              <w:rPr>
                <w:rFonts w:ascii="Arial" w:hAnsi="Arial" w:cs="Arial"/>
              </w:rPr>
            </w:pPr>
            <w:r w:rsidRPr="004661E9">
              <w:rPr>
                <w:rFonts w:ascii="Arial" w:hAnsi="Arial" w:cs="Arial"/>
              </w:rPr>
              <w:t>[p=0.15]</w:t>
            </w:r>
          </w:p>
        </w:tc>
      </w:tr>
      <w:tr w:rsidR="001C412B" w:rsidRPr="004661E9" w14:paraId="5EB50B36" w14:textId="77777777" w:rsidTr="003B5689">
        <w:trPr>
          <w:trHeight w:val="989"/>
        </w:trPr>
        <w:tc>
          <w:tcPr>
            <w:tcW w:w="1710" w:type="dxa"/>
          </w:tcPr>
          <w:p w14:paraId="5D4722C5" w14:textId="77777777" w:rsidR="001C412B" w:rsidRPr="004661E9" w:rsidRDefault="001C412B" w:rsidP="004661E9">
            <w:pPr>
              <w:spacing w:line="276" w:lineRule="auto"/>
              <w:rPr>
                <w:rFonts w:ascii="Arial" w:hAnsi="Arial" w:cs="Arial"/>
              </w:rPr>
            </w:pPr>
            <w:r w:rsidRPr="004661E9">
              <w:rPr>
                <w:rFonts w:ascii="Arial" w:hAnsi="Arial" w:cs="Arial"/>
              </w:rPr>
              <w:t>Canagliflozin</w:t>
            </w:r>
          </w:p>
        </w:tc>
        <w:tc>
          <w:tcPr>
            <w:tcW w:w="1980" w:type="dxa"/>
          </w:tcPr>
          <w:p w14:paraId="0D0DC34D" w14:textId="77777777" w:rsidR="001C412B" w:rsidRPr="004661E9" w:rsidRDefault="001C412B" w:rsidP="004661E9">
            <w:pPr>
              <w:spacing w:line="276" w:lineRule="auto"/>
              <w:rPr>
                <w:rFonts w:ascii="Arial" w:hAnsi="Arial" w:cs="Arial"/>
              </w:rPr>
            </w:pPr>
            <w:r w:rsidRPr="004661E9">
              <w:rPr>
                <w:rFonts w:ascii="Arial" w:hAnsi="Arial" w:cs="Arial"/>
              </w:rPr>
              <w:t>CANVAS Program</w:t>
            </w:r>
          </w:p>
          <w:p w14:paraId="640A0B61" w14:textId="77777777"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Pr="004661E9">
              <w:rPr>
                <w:rFonts w:ascii="Arial" w:hAnsi="Arial" w:cs="Arial"/>
              </w:rPr>
              <w:instrText>ADDIN CSL_CITATION {"citationItems":[{"id":"ITEM-1","itemData":{"DOI":"10.1056/NEJMoa1611925","ISSN":"15334406","PMID":"28605608","abstract":"BACKGROUND: Canagliflozin is a sodium–glucose cotransporter 2 inhibitor that reduces glycemia as well as blood pressure, body weight, and albuminuria in people with diabetes. We report the effects of treatment with canagliflozin on cardiovascular, renal, and safety outcomes. METHODS: The CANVAS Program integrated data from two trials involving a total of 10,142 participants with type 2 diabetes and high cardiovascular risk. Participants in each trial were randomly assigned to receive canagliflozin or placebo and were followed for a mean of 188.2 weeks. The primary outcome was a composite of death from cardiovascular causes, nonfatal myocardial infarction, or nonfatal stroke. RESULTS: The mean age of the participants was 63.3 years, 35.8% were women, the mean duration of diabetes was 13.5 years, and 65.6% had a history of cardiovascular disease. The rate of the primary outcome was lower with canagliflozin than with placebo (occurring in 26.9 vs. 31.5 participants per 1000 patient-years; hazard ratio, 0.86; 95% confidence interval [CI], 0.75 to 0.97; P&lt;0.001 for noninferiority; P=0.02 for superiority). Although on the basis of the prespecified hypothesis testing sequence the renal outcomes are not viewed as statistically significant, the results showed a possible benefit of canagliflozin with respect to the progression of albuminuria (hazard ratio, 0.73; 95% CI, 0.67 to 0.79) and the composite outcome of a sustained 40% reduction in the estimated glomerular filtration rate, the need for renal-replacement therapy, or death from renal causes (hazard ratio, 0.60; 95% CI, 0.47 to 0.77). Adverse reactions were consistent with the previously reported risks associated with canagliflozin except for an increased risk of amputation (6.3 vs. 3.4 participants per 1000 patient-years; hazard ratio, 1.97; 95% CI, 1.41 to 2.75); amputations were primarily at the level of the toe or metatarsal. CONCLUSIONS: In two trials involving patients with type 2 diabetes and an elevated risk of cardiovascular disease, patients treated with canagliflozin had a lower risk of cardiovascular events than those who received placebo but a greater risk of amputation, primarily at the level of the toe or metatarsal.","author":[{"dropping-particle":"","family":"Neal","given":"Bruce","non-dropping-particle":"","parse-names":false,"suffix":""},{"dropping-particle":"","family":"Perkovic","given":"Vlado","non-dropping-particle":"","parse-names":false,"suffix":""},{"dropping-particle":"","family":"Mahaffey","given":"Kenneth W.","non-dropping-particle":"","parse-names":false,"suffix":""},{"dropping-particle":"","family":"Zeeuw","given":"Dick","non-dropping-particle":"De","parse-names":false,"suffix":""},{"dropping-particle":"","family":"Fulcher","given":"Greg","non-dropping-particle":"","parse-names":false,"suffix":""},{"dropping-particle":"","family":"Erondu","given":"Ngozi","non-dropping-particle":"","parse-names":false,"suffix":""},{"dropping-particle":"","family":"Shaw","given":"Wayne","non-dropping-particle":"","parse-names":false,"suffix":""},{"dropping-particle":"","family":"Law","given":"Gordon","non-dropping-particle":"","parse-names":false,"suffix":""},{"dropping-particle":"","family":"Desai","given":"Mehul","non-dropping-particle":"","parse-names":false,"suffix":""},{"dropping-particle":"","family":"Matthews","given":"David R.","non-dropping-particle":"","parse-names":false,"suffix":""}],"container-title":"New England Journal of Medicine","id":"ITEM-1","issue":"7","issued":{"date-parts":[["2017","8","17"]]},"page":"644-657","publisher":"Massachussetts Medical Society","title":"Canagliflozin and cardiovascular and renal events in type 2 diabetes","type":"article-journal","volume":"377"},"uris":["http://www.mendeley.com/documents/?uuid=06d07e66-3de8-3eb4-bd1c-a080cd2029a1"]}],"mendeley":{"formattedCitation":"(207)","plainTextFormattedCitation":"(207)","previouslyFormattedCitation":"(207)"},"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(207)</w:t>
            </w:r>
            <w:r w:rsidRPr="004661E9">
              <w:rPr>
                <w:rFonts w:ascii="Arial" w:hAnsi="Arial" w:cs="Arial"/>
              </w:rPr>
              <w:fldChar w:fldCharType="end"/>
            </w:r>
          </w:p>
        </w:tc>
        <w:tc>
          <w:tcPr>
            <w:tcW w:w="1440" w:type="dxa"/>
          </w:tcPr>
          <w:p w14:paraId="70638118" w14:textId="77777777" w:rsidR="001C412B" w:rsidRPr="004661E9" w:rsidRDefault="001C412B" w:rsidP="004661E9">
            <w:pPr>
              <w:spacing w:line="276" w:lineRule="auto"/>
              <w:rPr>
                <w:rFonts w:ascii="Arial" w:hAnsi="Arial" w:cs="Arial"/>
              </w:rPr>
            </w:pPr>
            <w:r w:rsidRPr="004661E9">
              <w:rPr>
                <w:rFonts w:ascii="Arial" w:hAnsi="Arial" w:cs="Arial"/>
              </w:rPr>
              <w:t>2017</w:t>
            </w:r>
          </w:p>
        </w:tc>
        <w:tc>
          <w:tcPr>
            <w:tcW w:w="1890" w:type="dxa"/>
          </w:tcPr>
          <w:p w14:paraId="345C7566" w14:textId="77777777" w:rsidR="001C412B" w:rsidRPr="004661E9" w:rsidRDefault="001C412B" w:rsidP="004661E9">
            <w:pPr>
              <w:spacing w:line="276" w:lineRule="auto"/>
              <w:rPr>
                <w:rFonts w:ascii="Arial" w:hAnsi="Arial" w:cs="Arial"/>
              </w:rPr>
            </w:pPr>
            <w:r w:rsidRPr="004661E9">
              <w:rPr>
                <w:rFonts w:ascii="Arial" w:hAnsi="Arial" w:cs="Arial"/>
              </w:rPr>
              <w:t>CV risk factors (34%)</w:t>
            </w:r>
          </w:p>
          <w:p w14:paraId="5A10914F" w14:textId="77777777" w:rsidR="001C412B" w:rsidRPr="004661E9" w:rsidRDefault="001C412B" w:rsidP="004661E9">
            <w:pPr>
              <w:spacing w:line="276" w:lineRule="auto"/>
              <w:rPr>
                <w:rFonts w:ascii="Arial" w:hAnsi="Arial" w:cs="Arial"/>
              </w:rPr>
            </w:pPr>
            <w:r w:rsidRPr="004661E9">
              <w:rPr>
                <w:rFonts w:ascii="Arial" w:hAnsi="Arial" w:cs="Arial"/>
              </w:rPr>
              <w:t>Established CVD (66%)</w:t>
            </w:r>
          </w:p>
        </w:tc>
        <w:tc>
          <w:tcPr>
            <w:tcW w:w="990" w:type="dxa"/>
          </w:tcPr>
          <w:p w14:paraId="48A379F0" w14:textId="77777777" w:rsidR="001C412B" w:rsidRPr="004661E9" w:rsidRDefault="001C412B" w:rsidP="004661E9">
            <w:pPr>
              <w:spacing w:line="276" w:lineRule="auto"/>
              <w:rPr>
                <w:rFonts w:ascii="Arial" w:hAnsi="Arial" w:cs="Arial"/>
              </w:rPr>
            </w:pPr>
            <w:r w:rsidRPr="004661E9">
              <w:rPr>
                <w:rFonts w:ascii="Arial" w:hAnsi="Arial" w:cs="Arial"/>
              </w:rPr>
              <w:t>14%</w:t>
            </w:r>
          </w:p>
        </w:tc>
        <w:tc>
          <w:tcPr>
            <w:tcW w:w="1170" w:type="dxa"/>
          </w:tcPr>
          <w:p w14:paraId="4289B7CA" w14:textId="77777777" w:rsidR="001C412B" w:rsidRPr="004661E9" w:rsidRDefault="001C412B" w:rsidP="004661E9">
            <w:pPr>
              <w:spacing w:line="276" w:lineRule="auto"/>
              <w:rPr>
                <w:rFonts w:ascii="Arial" w:hAnsi="Arial" w:cs="Arial"/>
              </w:rPr>
            </w:pPr>
            <w:r w:rsidRPr="004661E9">
              <w:rPr>
                <w:rFonts w:ascii="Arial" w:hAnsi="Arial" w:cs="Arial"/>
              </w:rPr>
              <w:t>3.2 years</w:t>
            </w:r>
          </w:p>
        </w:tc>
        <w:tc>
          <w:tcPr>
            <w:tcW w:w="1900" w:type="dxa"/>
          </w:tcPr>
          <w:p w14:paraId="385CA4CA" w14:textId="77777777" w:rsidR="001C412B" w:rsidRPr="004661E9" w:rsidRDefault="001C412B" w:rsidP="004661E9">
            <w:pPr>
              <w:spacing w:line="276" w:lineRule="auto"/>
              <w:rPr>
                <w:rFonts w:ascii="Arial" w:hAnsi="Arial" w:cs="Arial"/>
              </w:rPr>
            </w:pPr>
            <w:r w:rsidRPr="004661E9">
              <w:rPr>
                <w:rFonts w:ascii="Arial" w:hAnsi="Arial" w:cs="Arial"/>
              </w:rPr>
              <w:t>0.67</w:t>
            </w:r>
          </w:p>
          <w:p w14:paraId="552A9C25" w14:textId="77777777" w:rsidR="001C412B" w:rsidRPr="004661E9" w:rsidRDefault="001C412B" w:rsidP="004661E9">
            <w:pPr>
              <w:spacing w:line="276" w:lineRule="auto"/>
              <w:rPr>
                <w:rFonts w:ascii="Arial" w:hAnsi="Arial" w:cs="Arial"/>
              </w:rPr>
            </w:pPr>
            <w:r w:rsidRPr="004661E9">
              <w:rPr>
                <w:rFonts w:ascii="Arial" w:hAnsi="Arial" w:cs="Arial"/>
              </w:rPr>
              <w:t>(0.52 - 0.87)</w:t>
            </w:r>
          </w:p>
        </w:tc>
      </w:tr>
      <w:tr w:rsidR="001C412B" w:rsidRPr="004661E9" w14:paraId="5618D9A1" w14:textId="77777777" w:rsidTr="003B5689">
        <w:trPr>
          <w:trHeight w:val="656"/>
        </w:trPr>
        <w:tc>
          <w:tcPr>
            <w:tcW w:w="1710" w:type="dxa"/>
          </w:tcPr>
          <w:p w14:paraId="627BF34D" w14:textId="77777777" w:rsidR="001C412B" w:rsidRPr="004661E9" w:rsidRDefault="001C412B" w:rsidP="004661E9">
            <w:pPr>
              <w:spacing w:line="276" w:lineRule="auto"/>
              <w:rPr>
                <w:rFonts w:ascii="Arial" w:hAnsi="Arial" w:cs="Arial"/>
              </w:rPr>
            </w:pPr>
            <w:r w:rsidRPr="004661E9">
              <w:rPr>
                <w:rFonts w:ascii="Arial" w:hAnsi="Arial" w:cs="Arial"/>
              </w:rPr>
              <w:t>Canagliflozin</w:t>
            </w:r>
          </w:p>
        </w:tc>
        <w:tc>
          <w:tcPr>
            <w:tcW w:w="1980" w:type="dxa"/>
          </w:tcPr>
          <w:p w14:paraId="4831C543" w14:textId="77777777" w:rsidR="001C412B" w:rsidRPr="004661E9" w:rsidRDefault="001C412B" w:rsidP="004661E9">
            <w:pPr>
              <w:spacing w:line="276" w:lineRule="auto"/>
              <w:rPr>
                <w:rFonts w:ascii="Arial" w:hAnsi="Arial" w:cs="Arial"/>
              </w:rPr>
            </w:pPr>
            <w:r w:rsidRPr="004661E9">
              <w:rPr>
                <w:rFonts w:ascii="Arial" w:hAnsi="Arial" w:cs="Arial"/>
              </w:rPr>
              <w:t>CREDENCE</w:t>
            </w:r>
          </w:p>
          <w:p w14:paraId="38697195" w14:textId="77777777"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Pr="004661E9">
              <w:rPr>
                <w:rFonts w:ascii="Arial" w:hAnsi="Arial" w:cs="Arial"/>
              </w:rPr>
              <w:instrText>ADDIN CSL_CITATION {"citationItems":[{"id":"ITEM-1","itemData":{"DOI":"10.1056/NEJMoa1811744","ISSN":"15334406","PMID":"30990260","abstract":"BACKGROUND Type 2 diabetes mellitus is the leading cause of kidney failure worldwide, but few effective long-term treatments are available. In cardiovascular trials of inhibitors of sodium–glucose cotransporter 2 (SGLT2), exploratory results have suggested that such drugs may improve renal outcomes in patients with type 2 diabetes. METHODS In this double-blind, randomized trial, we assigned patients with type 2 diabetes and albuminuric chronic kidney disease to receive canagliflozin, an oral SGLT2 inhibitor, at a dose of 100 mg daily or placebo. All the patients had an estimated glomerular filtration rate (GFR) of 30 to &lt;90 ml per minute per 1.73 m2 of body-surface area and albuminuria (ratio of albumin [mg] to creatinine [g], &gt;300 to 5000) and were treated with renin–angiotensin system blockade. The primary outcome was a composite of end-stage kidney disease (dialysis, transplantation, or a sustained estimated GFR of &lt;15 ml per minute per 1.73 m2), a doubling of the serum creatinine level, or death from renal or cardiovascular causes. Prespecified secondary outcomes were tested hierarchically. RESULTS The trial was stopped early after a planned interim analysis on the recommendation of the data and safety monitoring committee. At that time, 4401 patients had undergone randomization, with a median follow-up of 2.62 years. The relative risk of the primary outcome was 30% lower in the canagliflozin group than in the placebo group, with event rates of 43.2 and 61.2 per 1000 patient-years, respectively (hazard ratio, 0.70; 95% confidence interval [CI], 0.59 to 0.82; P=0.00001). The relative risk of the renal-specific composite of end-stage kidney disease, a doubling of the creatinine level, or death from renal causes was lower by 34% (hazard ratio, 0.66; 95% CI, 0.53 to 0.81; P&lt;0.001), and the relative risk of end-stage kidney disease was lower by 32% (hazard ratio, 0.68; 95% CI, 0.54 to 0.86; P=0.002). The canagliflozin group also had a lower risk of cardiovascular death, myocardial infarction, or stroke (hazard ratio, 0.80; 95% CI, 0.67 to 0.95; P=0.01) and hospitalization for heart failure (hazard ratio, 0.61; 95% CI, 0.47 to 0.80; P&lt;0.001). There were no significant differences in rates of amputation or fracture. CONCLUSIONS In patients with type 2 diabetes and kidney disease, the risk of kidney failure and cardiovascular events was lower in the canagliflozin group than in the placebo group at a median follow-up of 2.62 years.","author":[{"dropping-particle":"","family":"Perkovic","given":"V.","non-dropping-particle":"","parse-names":false,"suffix":""},{"dropping-particle":"","family":"Jardine","given":"M. J.","non-dropping-particle":"","parse-names":false,"suffix":""},{"dropping-particle":"","family":"Neal","given":"B.","non-dropping-particle":"","parse-names":false,"suffix":""},{"dropping-particle":"","family":"Bompoint","given":"S.","non-dropping-particle":"","parse-names":false,"suffix":""},{"dropping-particle":"","family":"Heerspink","given":"H. J.L.","non-dropping-particle":"","parse-names":false,"suffix":""},{"dropping-particle":"","family":"Charytan","given":"D. M.","non-dropping-particle":"","parse-names":false,"suffix":""},{"dropping-particle":"","family":"Edwards","given":"R.","non-dropping-particle":"","parse-names":false,"suffix":""},{"dropping-particle":"","family":"Agarwal","given":"R.","non-dropping-particle":"","parse-names":false,"suffix":""},{"dropping-particle":"","family":"Bakris","given":"G.","non-dropping-particle":"","parse-names":false,"suffix":""},{"dropping-particle":"","family":"Bull","given":"S.","non-dropping-particle":"","parse-names":false,"suffix":""},{"dropping-particle":"","family":"Cannon","given":"C. P.","non-dropping-particle":"","parse-names":false,"suffix":""},{"dropping-particle":"","family":"Capuano","given":"G.","non-dropping-particle":"","parse-names":false,"suffix":""},{"dropping-particle":"","family":"Chu","given":"P. L.","non-dropping-particle":"","parse-names":false,"suffix":""},{"dropping-particle":"","family":"Zeeuw","given":"D.","non-dropping-particle":"De","parse-names":false,"suffix":""},{"dropping-particle":"","family":"Greene","given":"T.","non-dropping-particle":"","parse-names":false,"suffix":""},{"dropping-particle":"","family":"Levin","given":"A.","non-dropping-particle":"","parse-names":false,"suffix":""},{"dropping-particle":"","family":"Pollock","given":"C.","non-dropping-particle":"","parse-names":false,"suffix":""},{"dropping-particle":"","family":"Wheeler","given":"D. C.","non-dropping-particle":"","parse-names":false,"suffix":""},{"dropping-particle":"","family":"Yavin","given":"Y.","non-dropping-particle":"","parse-names":false,"suffix":""},{"dropping-particle":"","family":"Zhang","given":"H.","non-dropping-particle":"","parse-names":false,"suffix":""},{"dropping-particle":"","family":"Zinman","given":"B.","non-dropping-particle":"","parse-names":false,"suffix":""},{"dropping-particle":"","family":"Meininger","given":"G.","non-dropping-particle":"","parse-names":false,"suffix":""},{"dropping-particle":"","family":"Brenner","given":"B. M.","non-dropping-particle":"","parse-names":false,"suffix":""},{"dropping-particle":"","family":"Mahaffey","given":"K. W.","non-dropping-particle":"","parse-names":false,"suffix":""}],"container-title":"New England Journal of Medicine","id":"ITEM-1","issue":"24","issued":{"date-parts":[["2019","6","13"]]},"page":"2295-2306","publisher":"Massachussetts Medical Society","title":"Canagliflozin and renal outcomes in type 2 diabetes and nephropathy","type":"article-journal","volume":"380"},"uris":["http://www.mendeley.com/documents/?uuid=fc4303c4-5127-3e38-b48c-7b77e4990ce3"]}],"mendeley":{"formattedCitation":"(209)","plainTextFormattedCitation":"(209)","previouslyFormattedCitation":"(209)"},"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(209)</w:t>
            </w:r>
            <w:r w:rsidRPr="004661E9">
              <w:rPr>
                <w:rFonts w:ascii="Arial" w:hAnsi="Arial" w:cs="Arial"/>
              </w:rPr>
              <w:fldChar w:fldCharType="end"/>
            </w:r>
          </w:p>
        </w:tc>
        <w:tc>
          <w:tcPr>
            <w:tcW w:w="1440" w:type="dxa"/>
          </w:tcPr>
          <w:p w14:paraId="40373D97" w14:textId="77777777" w:rsidR="001C412B" w:rsidRPr="004661E9" w:rsidRDefault="001C412B" w:rsidP="004661E9">
            <w:pPr>
              <w:spacing w:line="276" w:lineRule="auto"/>
              <w:rPr>
                <w:rFonts w:ascii="Arial" w:hAnsi="Arial" w:cs="Arial"/>
              </w:rPr>
            </w:pPr>
            <w:r w:rsidRPr="004661E9">
              <w:rPr>
                <w:rFonts w:ascii="Arial" w:hAnsi="Arial" w:cs="Arial"/>
              </w:rPr>
              <w:t>2019</w:t>
            </w:r>
          </w:p>
        </w:tc>
        <w:tc>
          <w:tcPr>
            <w:tcW w:w="1890" w:type="dxa"/>
          </w:tcPr>
          <w:p w14:paraId="2242A93E" w14:textId="77777777" w:rsidR="001C412B" w:rsidRPr="004661E9" w:rsidRDefault="001C412B" w:rsidP="004661E9">
            <w:pPr>
              <w:spacing w:line="276" w:lineRule="auto"/>
              <w:rPr>
                <w:rFonts w:ascii="Arial" w:hAnsi="Arial" w:cs="Arial"/>
              </w:rPr>
            </w:pPr>
            <w:r w:rsidRPr="004661E9">
              <w:rPr>
                <w:rFonts w:ascii="Arial" w:hAnsi="Arial" w:cs="Arial"/>
              </w:rPr>
              <w:t>CKD with albuminuria</w:t>
            </w:r>
          </w:p>
        </w:tc>
        <w:tc>
          <w:tcPr>
            <w:tcW w:w="990" w:type="dxa"/>
          </w:tcPr>
          <w:p w14:paraId="72636BC3" w14:textId="77777777" w:rsidR="001C412B" w:rsidRPr="004661E9" w:rsidRDefault="001C412B" w:rsidP="004661E9">
            <w:pPr>
              <w:spacing w:line="276" w:lineRule="auto"/>
              <w:rPr>
                <w:rFonts w:ascii="Arial" w:hAnsi="Arial" w:cs="Arial"/>
              </w:rPr>
            </w:pPr>
            <w:r w:rsidRPr="004661E9">
              <w:rPr>
                <w:rFonts w:ascii="Arial" w:hAnsi="Arial" w:cs="Arial"/>
              </w:rPr>
              <w:t>15%</w:t>
            </w:r>
          </w:p>
        </w:tc>
        <w:tc>
          <w:tcPr>
            <w:tcW w:w="1170" w:type="dxa"/>
          </w:tcPr>
          <w:p w14:paraId="6B2A198A" w14:textId="77777777" w:rsidR="001C412B" w:rsidRPr="004661E9" w:rsidRDefault="001C412B" w:rsidP="004661E9">
            <w:pPr>
              <w:spacing w:line="276" w:lineRule="auto"/>
              <w:rPr>
                <w:rFonts w:ascii="Arial" w:hAnsi="Arial" w:cs="Arial"/>
              </w:rPr>
            </w:pPr>
            <w:r w:rsidRPr="004661E9">
              <w:rPr>
                <w:rFonts w:ascii="Arial" w:hAnsi="Arial" w:cs="Arial"/>
              </w:rPr>
              <w:t>2.6 years</w:t>
            </w:r>
          </w:p>
        </w:tc>
        <w:tc>
          <w:tcPr>
            <w:tcW w:w="1900" w:type="dxa"/>
          </w:tcPr>
          <w:p w14:paraId="4922AD28" w14:textId="77777777" w:rsidR="001C412B" w:rsidRPr="004661E9" w:rsidRDefault="001C412B" w:rsidP="004661E9">
            <w:pPr>
              <w:spacing w:line="276" w:lineRule="auto"/>
              <w:rPr>
                <w:rFonts w:ascii="Arial" w:hAnsi="Arial" w:cs="Arial"/>
              </w:rPr>
            </w:pPr>
            <w:r w:rsidRPr="004661E9">
              <w:rPr>
                <w:rFonts w:ascii="Arial" w:hAnsi="Arial" w:cs="Arial"/>
              </w:rPr>
              <w:t>0.61</w:t>
            </w:r>
          </w:p>
          <w:p w14:paraId="5259B245" w14:textId="77777777" w:rsidR="001C412B" w:rsidRPr="004661E9" w:rsidRDefault="001C412B" w:rsidP="004661E9">
            <w:pPr>
              <w:spacing w:line="276" w:lineRule="auto"/>
              <w:rPr>
                <w:rFonts w:ascii="Arial" w:hAnsi="Arial" w:cs="Arial"/>
              </w:rPr>
            </w:pPr>
            <w:r w:rsidRPr="004661E9">
              <w:rPr>
                <w:rFonts w:ascii="Arial" w:hAnsi="Arial" w:cs="Arial"/>
              </w:rPr>
              <w:t>(0.47 - 0.80)</w:t>
            </w:r>
          </w:p>
        </w:tc>
      </w:tr>
      <w:tr w:rsidR="001C412B" w:rsidRPr="004661E9" w14:paraId="7BF662E3" w14:textId="77777777" w:rsidTr="003B5689">
        <w:trPr>
          <w:trHeight w:val="989"/>
        </w:trPr>
        <w:tc>
          <w:tcPr>
            <w:tcW w:w="1710" w:type="dxa"/>
          </w:tcPr>
          <w:p w14:paraId="1261EA28" w14:textId="77777777" w:rsidR="001C412B" w:rsidRPr="004661E9" w:rsidRDefault="001C412B" w:rsidP="004661E9">
            <w:pPr>
              <w:spacing w:line="276" w:lineRule="auto"/>
              <w:rPr>
                <w:rFonts w:ascii="Arial" w:hAnsi="Arial" w:cs="Arial"/>
              </w:rPr>
            </w:pPr>
            <w:r w:rsidRPr="004661E9">
              <w:rPr>
                <w:rFonts w:ascii="Arial" w:hAnsi="Arial" w:cs="Arial"/>
              </w:rPr>
              <w:t>Dapagliflozin</w:t>
            </w:r>
          </w:p>
        </w:tc>
        <w:tc>
          <w:tcPr>
            <w:tcW w:w="1980" w:type="dxa"/>
          </w:tcPr>
          <w:p w14:paraId="5160ACE3" w14:textId="77777777" w:rsidR="001C412B" w:rsidRPr="004661E9" w:rsidRDefault="001C412B" w:rsidP="004661E9">
            <w:pPr>
              <w:spacing w:line="276" w:lineRule="auto"/>
              <w:rPr>
                <w:rFonts w:ascii="Arial" w:hAnsi="Arial" w:cs="Arial"/>
              </w:rPr>
            </w:pPr>
            <w:r w:rsidRPr="004661E9">
              <w:rPr>
                <w:rFonts w:ascii="Arial" w:hAnsi="Arial" w:cs="Arial"/>
              </w:rPr>
              <w:t>DECLARE-TIMI 58</w:t>
            </w:r>
            <w:r w:rsidRPr="004661E9">
              <w:rPr>
                <w:rFonts w:ascii="Arial" w:hAnsi="Arial" w:cs="Arial"/>
              </w:rPr>
              <w:fldChar w:fldCharType="begin" w:fldLock="1"/>
            </w:r>
            <w:r w:rsidRPr="004661E9">
              <w:rPr>
                <w:rFonts w:ascii="Arial" w:hAnsi="Arial" w:cs="Arial"/>
              </w:rPr>
              <w:instrText>ADDIN CSL_CITATION {"citationItems":[{"id":"ITEM-1","itemData":{"DOI":"10.1056/NEJMoa1812389","ISSN":"15334406","PMID":"30415602","abstract":"BACKGROUND The cardiovascular safety profile of dapagliflozin, a selective inhibitor of sodium-glucose cotransporter 2 that promotes glucosuria in patients with type 2 diabetes, is undefined. METHODS We randomly assigned patients with type 2 diabetes who had or were at risk for atherosclerotic cardiovascular disease to receive either dapagliflozin or placebo. The primary safety outcome was a composite of major adverse cardiovascular events (MACE), defined as cardiovascular death, myocardial infarction, or ischemic stroke. The primary efficacy outcomes were MACE and a composite of cardiovascular death or hospitalization for heart failure. Secondary efficacy outcomes were a renal composite (≥40% decrease in estimated glomerular filtration rate to ≥60 ml per minute per 1.73 m2 of body-surface area, new end-stage renal disease, or death from renal or cardiovascular causes) and death from any cause. RESULTS We evaluated 17,160 patients, including 10,186 without atherosclerotic cardiovascular disease, who were followed for a median of 4.2 years. In the primary safety outcome analysis, dapagliflozin met the prespecified criterion for noninferiority to placebo with respect to MACE (upper boundary of the 95% confidence interval [CI], ≥1.3; P≥0.001 for noninferiority). In the two primary efficacy analyses, dapagliflozin did not result in a lower rate of MACE (8.8% in the dapagliflozin group and 9.4% in the placebo group; hazard ratio, 0.93; 95% CI, 0.84 to 1.03; P = 0.17) but did result in a lower rate of cardiovascular death or hospitalization for heart failure (4.9% vs. 5.8%; hazard ratio, 0.83; 95% CI, 0.73 to 0.95; P = 0.005), which reflected a lower rate of hospitalization for heart failure (hazard ratio, 0.73; 95% CI, 0.61 to 0.88); there was no between-group difference in cardiovascular death (hazard ratio, 0.98; 95% CI, 0.82 to 1.17). A renal event occurred in 4.3% in the dapagliflozin group and in 5.6% in the placebo group (hazard ratio, 0.76; 95% CI, 0.67 to 0.87), and death from any cause occurred in 6.2% and 6.6%, respectively (hazard ratio, 0.93; 95% CI, 0.82 to 1.04). Diabetic ketoacidosis was more common with dapagliflozin than with placebo (0.3%vs. 0.1%, P = 0.02), as was the rate of genital infections that led to discontinuation of the regimen or that were considered to be serious adverse events (0.9% vs. 0.1%, P≥0.001). CONCLUSIONS In patients with type 2 diabetes who had or were at risk for atherosclerotic cardiovascular disease, treatment with…","author":[{"dropping-particle":"","family":"Wiviott","given":"S. D.","non-dropping-particle":"","parse-names":false,"suffix":""},{"dropping-particle":"","family":"Raz","given":"I.","non-dropping-particle":"","parse-names":false,"suffix":""},{"dropping-particle":"","family":"Bonaca","given":"M. P.","non-dropping-particle":"","parse-names":false,"suffix":""},{"dropping-particle":"","family":"Mosenzon","given":"O.","non-dropping-particle":"","parse-names":false,"suffix":""},{"dropping-particle":"","family":"Kato","given":"E. T.","non-dropping-particle":"","parse-names":false,"suffix":""},{"dropping-particle":"","family":"Cahn","given":"A.","non-dropping-particle":"","parse-names":false,"suffix":""},{"dropping-particle":"","family":"Silverman","given":"M. G.","non-dropping-particle":"","parse-names":false,"suffix":""},{"dropping-particle":"","family":"Zelniker","given":"T. A.","non-dropping-particle":"","parse-names":false,"suffix":""},{"dropping-particle":"","family":"Kuder","given":"J. F.","non-dropping-particle":"","parse-names":false,"suffix":""},{"dropping-particle":"","family":"Murphy","given":"S. A.","non-dropping-particle":"","parse-names":false,"suffix":""},{"dropping-particle":"","family":"Bhatt","given":"D. L.","non-dropping-particle":"","parse-names":false,"suffix":""},{"dropping-particle":"","family":"Leiter","given":"L. A.","non-dropping-particle":"","parse-names":false,"suffix":""},{"dropping-particle":"","family":"McGuire","given":"D. K.","non-dropping-particle":"","parse-names":false,"suffix":""}],"container-title":"New England Journal of Medicine","id":"ITEM-1","issue":"4","issued":{"date-parts":[["2019","1","24"]]},"page":"347-357","publisher":"Massachussetts Medical Society","title":"Dapagliflozin and cardiovascular outcomes in type 2 diabetes","type":"article-journal","volume":"380"},"uris":["http://www.mendeley.com/documents/?uuid=c481af35-e385-3dc5-af3e-c817932f26e3"]}],"mendeley":{"formattedCitation":"(208)","plainTextFormattedCitation":"(208)","previouslyFormattedCitation":"(208)"},"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(208)</w:t>
            </w:r>
            <w:r w:rsidRPr="004661E9">
              <w:rPr>
                <w:rFonts w:ascii="Arial" w:hAnsi="Arial" w:cs="Arial"/>
              </w:rPr>
              <w:fldChar w:fldCharType="end"/>
            </w:r>
          </w:p>
        </w:tc>
        <w:tc>
          <w:tcPr>
            <w:tcW w:w="1440" w:type="dxa"/>
          </w:tcPr>
          <w:p w14:paraId="04D56EB0" w14:textId="77777777" w:rsidR="001C412B" w:rsidRPr="004661E9" w:rsidRDefault="001C412B" w:rsidP="004661E9">
            <w:pPr>
              <w:spacing w:line="276" w:lineRule="auto"/>
              <w:rPr>
                <w:rFonts w:ascii="Arial" w:hAnsi="Arial" w:cs="Arial"/>
              </w:rPr>
            </w:pPr>
            <w:r w:rsidRPr="004661E9">
              <w:rPr>
                <w:rFonts w:ascii="Arial" w:hAnsi="Arial" w:cs="Arial"/>
              </w:rPr>
              <w:t>2019</w:t>
            </w:r>
          </w:p>
        </w:tc>
        <w:tc>
          <w:tcPr>
            <w:tcW w:w="1890" w:type="dxa"/>
          </w:tcPr>
          <w:p w14:paraId="0B0410D6" w14:textId="77777777" w:rsidR="001C412B" w:rsidRPr="004661E9" w:rsidRDefault="001C412B" w:rsidP="004661E9">
            <w:pPr>
              <w:spacing w:line="276" w:lineRule="auto"/>
              <w:rPr>
                <w:rFonts w:ascii="Arial" w:hAnsi="Arial" w:cs="Arial"/>
              </w:rPr>
            </w:pPr>
            <w:r w:rsidRPr="004661E9">
              <w:rPr>
                <w:rFonts w:ascii="Arial" w:hAnsi="Arial" w:cs="Arial"/>
              </w:rPr>
              <w:t>CV risk factors (59%)</w:t>
            </w:r>
          </w:p>
          <w:p w14:paraId="36068C61" w14:textId="77777777" w:rsidR="001C412B" w:rsidRPr="004661E9" w:rsidRDefault="001C412B" w:rsidP="004661E9">
            <w:pPr>
              <w:spacing w:line="276" w:lineRule="auto"/>
              <w:rPr>
                <w:rFonts w:ascii="Arial" w:hAnsi="Arial" w:cs="Arial"/>
              </w:rPr>
            </w:pPr>
            <w:r w:rsidRPr="004661E9">
              <w:rPr>
                <w:rFonts w:ascii="Arial" w:hAnsi="Arial" w:cs="Arial"/>
              </w:rPr>
              <w:t>Established CVD (41%)</w:t>
            </w:r>
          </w:p>
        </w:tc>
        <w:tc>
          <w:tcPr>
            <w:tcW w:w="990" w:type="dxa"/>
          </w:tcPr>
          <w:p w14:paraId="34442647" w14:textId="77777777" w:rsidR="001C412B" w:rsidRPr="004661E9" w:rsidRDefault="001C412B" w:rsidP="004661E9">
            <w:pPr>
              <w:spacing w:line="276" w:lineRule="auto"/>
              <w:rPr>
                <w:rFonts w:ascii="Arial" w:hAnsi="Arial" w:cs="Arial"/>
              </w:rPr>
            </w:pPr>
            <w:r w:rsidRPr="004661E9">
              <w:rPr>
                <w:rFonts w:ascii="Arial" w:hAnsi="Arial" w:cs="Arial"/>
              </w:rPr>
              <w:t>10%</w:t>
            </w:r>
          </w:p>
        </w:tc>
        <w:tc>
          <w:tcPr>
            <w:tcW w:w="1170" w:type="dxa"/>
          </w:tcPr>
          <w:p w14:paraId="357D3EBF" w14:textId="77777777" w:rsidR="001C412B" w:rsidRPr="004661E9" w:rsidRDefault="001C412B" w:rsidP="004661E9">
            <w:pPr>
              <w:spacing w:line="276" w:lineRule="auto"/>
              <w:rPr>
                <w:rFonts w:ascii="Arial" w:hAnsi="Arial" w:cs="Arial"/>
              </w:rPr>
            </w:pPr>
            <w:r w:rsidRPr="004661E9">
              <w:rPr>
                <w:rFonts w:ascii="Arial" w:hAnsi="Arial" w:cs="Arial"/>
              </w:rPr>
              <w:t>4.2 years</w:t>
            </w:r>
          </w:p>
        </w:tc>
        <w:tc>
          <w:tcPr>
            <w:tcW w:w="1900" w:type="dxa"/>
          </w:tcPr>
          <w:p w14:paraId="20DCEDC5" w14:textId="77777777" w:rsidR="001C412B" w:rsidRPr="004661E9" w:rsidRDefault="001C412B" w:rsidP="004661E9">
            <w:pPr>
              <w:spacing w:line="276" w:lineRule="auto"/>
              <w:rPr>
                <w:rFonts w:ascii="Arial" w:hAnsi="Arial" w:cs="Arial"/>
              </w:rPr>
            </w:pPr>
            <w:r w:rsidRPr="004661E9">
              <w:rPr>
                <w:rFonts w:ascii="Arial" w:hAnsi="Arial" w:cs="Arial"/>
              </w:rPr>
              <w:t>0.73</w:t>
            </w:r>
          </w:p>
          <w:p w14:paraId="569A63E0" w14:textId="77777777" w:rsidR="001C412B" w:rsidRPr="004661E9" w:rsidRDefault="001C412B" w:rsidP="004661E9">
            <w:pPr>
              <w:spacing w:line="276" w:lineRule="auto"/>
              <w:rPr>
                <w:rFonts w:ascii="Arial" w:hAnsi="Arial" w:cs="Arial"/>
              </w:rPr>
            </w:pPr>
            <w:r w:rsidRPr="004661E9">
              <w:rPr>
                <w:rFonts w:ascii="Arial" w:hAnsi="Arial" w:cs="Arial"/>
              </w:rPr>
              <w:t>(0.61 - 0.88)</w:t>
            </w:r>
          </w:p>
        </w:tc>
      </w:tr>
      <w:tr w:rsidR="001C412B" w:rsidRPr="004661E9" w14:paraId="2EBECF40" w14:textId="77777777" w:rsidTr="003B5689">
        <w:trPr>
          <w:trHeight w:val="989"/>
        </w:trPr>
        <w:tc>
          <w:tcPr>
            <w:tcW w:w="1710" w:type="dxa"/>
          </w:tcPr>
          <w:p w14:paraId="363C887D" w14:textId="77777777" w:rsidR="001C412B" w:rsidRPr="004661E9" w:rsidRDefault="001C412B" w:rsidP="004661E9">
            <w:pPr>
              <w:spacing w:line="276" w:lineRule="auto"/>
              <w:rPr>
                <w:rFonts w:ascii="Arial" w:hAnsi="Arial" w:cs="Arial"/>
              </w:rPr>
            </w:pPr>
            <w:r w:rsidRPr="004661E9">
              <w:rPr>
                <w:rFonts w:ascii="Arial" w:hAnsi="Arial" w:cs="Arial"/>
              </w:rPr>
              <w:t>Dapagliflozin</w:t>
            </w:r>
          </w:p>
        </w:tc>
        <w:tc>
          <w:tcPr>
            <w:tcW w:w="1980" w:type="dxa"/>
          </w:tcPr>
          <w:p w14:paraId="4B4CFE26" w14:textId="77777777" w:rsidR="001C412B" w:rsidRPr="004661E9" w:rsidRDefault="001C412B" w:rsidP="004661E9">
            <w:pPr>
              <w:spacing w:line="276" w:lineRule="auto"/>
              <w:rPr>
                <w:rFonts w:ascii="Arial" w:hAnsi="Arial" w:cs="Arial"/>
              </w:rPr>
            </w:pPr>
            <w:r w:rsidRPr="004661E9">
              <w:rPr>
                <w:rFonts w:ascii="Arial" w:hAnsi="Arial" w:cs="Arial"/>
              </w:rPr>
              <w:t>DAPA-CKD</w:t>
            </w:r>
          </w:p>
          <w:p w14:paraId="63BED05E" w14:textId="448FF5C0"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00D162D8" w:rsidRPr="004661E9">
              <w:rPr>
                <w:rFonts w:ascii="Arial" w:hAnsi="Arial" w:cs="Arial"/>
              </w:rPr>
              <w:instrText>ADDIN CSL_CITATION {"citationItems":[{"id":"ITEM-1","itemData":{"DOI":"10.1056/nejmoa2024816","ISSN":"0028-4793","PMID":"32970396","abstract":"BACKGROUND Patients with chronic kidney disease have a high risk of adverse kidney and cardiovascular outcomes. The effect of dapagliflozin in patients with chronic kidney disease, with or without type 2 diabetes, is not known. METHODS We randomly assigned 4304 participants with an estimated glomerular filtration rate (GFR) of 25 to 75 ml per minute per 1.73 m2 of body-surface area and a urinary albumin-to-creatinine ratio (with albumin measured in milligrams and creatinine measured in grams) of 200 to 5000 to receive dapagliflozin (10 mg once daily) or placebo. The primary outcome was a composite of a sustained decline in the estimated GFR of at least 50%, end-stage kidney disease, or death from renal or cardiovascular causes. RESULTS The independent data monitoring committee recommended stopping the trial because of efficacy. Over a median of 2.4 years, a primary outcome event occurred in 197 of 2152 participants (9.2%) in the dapagliflozin group and 312 of 2152 participants (14.5%) in the placebo group (hazard ratio, 0.61; 95% confidence interval [CI], 0.51 to 0.72; P&lt;0.001; number needed to treat to prevent one primary outcome event, 19 [95% CI, 15 to 27]). The hazard ratio for the composite of a sustained decline in the estimated GFR of at least 50%, end-stage kidney disease, or death from renal causes was 0.56 (95% CI, 0.45 to 0.68; P&lt;0.001), and the hazard ratio for the composite of death from cardiovascular causes or hospitalization for heart failure was 0.71 (95% CI, 0.55 to 0.92; P = 0.009). Death occurred in 101 participants (4.7%) in the dapagliflozin group and 146 participants (6.8%) in the placebo group (hazard ratio, 0.69; 95% CI, 0.53 to 0.88; P = 0.004). The effects of dapagliflozin were similar in participants with type 2 diabetes and in those without type 2 diabetes. The known safety profile of dapagliflozin was confirmed. CONCLUSIONS Among patients with chronic kidney disease, regardless of the presence or absence of diabetes, the risk of a composite of a sustained decline in the estimated GFR of at least 50%, end-stage kidney disease, or death from renal or cardiovascular causes was significantly lower with dapagliflozin than with placebo. (Funded by AstraZeneca; DAPA-CKD ClinicalTrials.gov number, NCT03036150.).","author":[{"dropping-particle":"","family":"Heerspink","given":"Hiddo J.L.","non-dropping-particle":"","parse-names":false,"suffix":""},{"dropping-particle":"V.","family":"Stefánsson","given":"Bergur","non-dropping-particle":"","parse-names":false,"suffix":""},{"dropping-particle":"","family":"Correa-Rotter","given":"Ricardo","non-dropping-particle":"","parse-names":false,"suffix":""},{"dropping-particle":"","family":"Chertow","given":"Glenn M.","non-dropping-particle":"","parse-names":false,"suffix":""},{"dropping-particle":"","family":"Greene","given":"Tom","non-dropping-particle":"","parse-names":false,"suffix":""},{"dropping-particle":"","family":"Hou","given":"Fan-Fan","non-dropping-particle":"","parse-names":false,"suffix":""},{"dropping-particle":"","family":"Mann","given":"Johannes F.E.","non-dropping-particle":"","parse-names":false,"suffix":""},{"dropping-particle":"","family":"McMurray","given":"John J.V.","non-dropping-particle":"","parse-names":false,"suffix":""},{"dropping-particle":"","family":"Lindberg","given":"Magnus","non-dropping-particle":"","parse-names":false,"suffix":""},{"dropping-particle":"","family":"Rossing","given":"Peter","non-dropping-particle":"","parse-names":false,"suffix":""},{"dropping-particle":"","family":"Sjöström","given":"C. David","non-dropping-particle":"","parse-names":false,"suffix":""},{"dropping-particle":"","family":"Toto","given":"Roberto D.","non-dropping-particle":"","parse-names":false,"suffix":""},{"dropping-particle":"","family":"Langkilde","given":"Anna-Maria","non-dropping-particle":"","parse-names":false,"suffix":""},{"dropping-particle":"","family":"Wheeler","given":"David C.","non-dropping-particle":"","parse-names":false,"suffix":""}],"container-title":"New England Journal of Medicine","id":"ITEM-1","issue":"15","issued":{"date-parts":[["2020"]]},"page":"1436-1446","title":"Dapagliflozin in Patients with Chronic Kidney Disease","type":"article-journal","volume":"383"},"uris":["http://www.mendeley.com/documents/?uuid=b073bf3e-79ec-4fc2-91be-ed76a219cf86"]}],"mendeley":{"formattedCitation":"(213)","plainTextFormattedCitation":"(213)","previouslyFormattedCitation":"(221)"},"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(213)</w:t>
            </w:r>
            <w:r w:rsidRPr="004661E9">
              <w:rPr>
                <w:rFonts w:ascii="Arial" w:hAnsi="Arial" w:cs="Arial"/>
              </w:rPr>
              <w:fldChar w:fldCharType="end"/>
            </w:r>
          </w:p>
        </w:tc>
        <w:tc>
          <w:tcPr>
            <w:tcW w:w="1440" w:type="dxa"/>
          </w:tcPr>
          <w:p w14:paraId="2A4C9AD0" w14:textId="77777777" w:rsidR="001C412B" w:rsidRPr="004661E9" w:rsidRDefault="001C412B" w:rsidP="004661E9">
            <w:pPr>
              <w:spacing w:line="276" w:lineRule="auto"/>
              <w:rPr>
                <w:rFonts w:ascii="Arial" w:hAnsi="Arial" w:cs="Arial"/>
              </w:rPr>
            </w:pPr>
            <w:r w:rsidRPr="004661E9">
              <w:rPr>
                <w:rFonts w:ascii="Arial" w:hAnsi="Arial" w:cs="Arial"/>
              </w:rPr>
              <w:t>2020</w:t>
            </w:r>
          </w:p>
        </w:tc>
        <w:tc>
          <w:tcPr>
            <w:tcW w:w="1890" w:type="dxa"/>
          </w:tcPr>
          <w:p w14:paraId="57DBF048" w14:textId="77777777" w:rsidR="001C412B" w:rsidRPr="004661E9" w:rsidRDefault="001C412B" w:rsidP="004661E9">
            <w:pPr>
              <w:spacing w:line="276" w:lineRule="auto"/>
              <w:rPr>
                <w:rFonts w:ascii="Arial" w:hAnsi="Arial" w:cs="Arial"/>
              </w:rPr>
            </w:pPr>
            <w:r w:rsidRPr="004661E9">
              <w:rPr>
                <w:rFonts w:ascii="Arial" w:hAnsi="Arial" w:cs="Arial"/>
              </w:rPr>
              <w:t>CKD with albuminuria</w:t>
            </w:r>
          </w:p>
        </w:tc>
        <w:tc>
          <w:tcPr>
            <w:tcW w:w="990" w:type="dxa"/>
          </w:tcPr>
          <w:p w14:paraId="2B9DE861" w14:textId="77777777" w:rsidR="001C412B" w:rsidRPr="004661E9" w:rsidRDefault="001C412B" w:rsidP="004661E9">
            <w:pPr>
              <w:spacing w:line="276" w:lineRule="auto"/>
              <w:rPr>
                <w:rFonts w:ascii="Arial" w:hAnsi="Arial" w:cs="Arial"/>
              </w:rPr>
            </w:pPr>
            <w:r w:rsidRPr="004661E9">
              <w:rPr>
                <w:rFonts w:ascii="Arial" w:hAnsi="Arial" w:cs="Arial"/>
              </w:rPr>
              <w:t>11%</w:t>
            </w:r>
          </w:p>
        </w:tc>
        <w:tc>
          <w:tcPr>
            <w:tcW w:w="1170" w:type="dxa"/>
          </w:tcPr>
          <w:p w14:paraId="63E88C21" w14:textId="77777777" w:rsidR="001C412B" w:rsidRPr="004661E9" w:rsidRDefault="001C412B" w:rsidP="004661E9">
            <w:pPr>
              <w:spacing w:line="276" w:lineRule="auto"/>
              <w:rPr>
                <w:rFonts w:ascii="Arial" w:hAnsi="Arial" w:cs="Arial"/>
              </w:rPr>
            </w:pPr>
            <w:r w:rsidRPr="004661E9">
              <w:rPr>
                <w:rFonts w:ascii="Arial" w:hAnsi="Arial" w:cs="Arial"/>
              </w:rPr>
              <w:t>2.4 years</w:t>
            </w:r>
          </w:p>
        </w:tc>
        <w:tc>
          <w:tcPr>
            <w:tcW w:w="1900" w:type="dxa"/>
          </w:tcPr>
          <w:p w14:paraId="6B54C559" w14:textId="77777777" w:rsidR="001C412B" w:rsidRPr="004661E9" w:rsidRDefault="001C412B" w:rsidP="004661E9">
            <w:pPr>
              <w:spacing w:line="276" w:lineRule="auto"/>
              <w:rPr>
                <w:rFonts w:ascii="Arial" w:hAnsi="Arial" w:cs="Arial"/>
              </w:rPr>
            </w:pPr>
            <w:r w:rsidRPr="004661E9">
              <w:rPr>
                <w:rFonts w:ascii="Arial" w:hAnsi="Arial" w:cs="Arial"/>
              </w:rPr>
              <w:t>0.71</w:t>
            </w:r>
          </w:p>
          <w:p w14:paraId="2E23CEBC" w14:textId="77777777" w:rsidR="001C412B" w:rsidRPr="004661E9" w:rsidRDefault="001C412B" w:rsidP="004661E9">
            <w:pPr>
              <w:spacing w:line="276" w:lineRule="auto"/>
              <w:rPr>
                <w:rFonts w:ascii="Arial" w:hAnsi="Arial" w:cs="Arial"/>
              </w:rPr>
            </w:pPr>
            <w:r w:rsidRPr="004661E9">
              <w:rPr>
                <w:rFonts w:ascii="Arial" w:hAnsi="Arial" w:cs="Arial"/>
              </w:rPr>
              <w:t>(0.55 – 0.92) **</w:t>
            </w:r>
          </w:p>
        </w:tc>
      </w:tr>
      <w:tr w:rsidR="001C412B" w:rsidRPr="004661E9" w14:paraId="246AAFE0" w14:textId="77777777" w:rsidTr="003B5689">
        <w:trPr>
          <w:trHeight w:val="773"/>
        </w:trPr>
        <w:tc>
          <w:tcPr>
            <w:tcW w:w="1710" w:type="dxa"/>
          </w:tcPr>
          <w:p w14:paraId="692192A1" w14:textId="77777777" w:rsidR="001C412B" w:rsidRPr="004661E9" w:rsidRDefault="001C412B" w:rsidP="004661E9">
            <w:pPr>
              <w:spacing w:line="276" w:lineRule="auto"/>
              <w:rPr>
                <w:rFonts w:ascii="Arial" w:hAnsi="Arial" w:cs="Arial"/>
              </w:rPr>
            </w:pPr>
            <w:r w:rsidRPr="004661E9">
              <w:rPr>
                <w:rFonts w:ascii="Arial" w:hAnsi="Arial" w:cs="Arial"/>
              </w:rPr>
              <w:t>Ertugliflozin</w:t>
            </w:r>
          </w:p>
        </w:tc>
        <w:tc>
          <w:tcPr>
            <w:tcW w:w="1980" w:type="dxa"/>
          </w:tcPr>
          <w:p w14:paraId="48031629" w14:textId="77777777" w:rsidR="001C412B" w:rsidRPr="004661E9" w:rsidRDefault="001C412B" w:rsidP="004661E9">
            <w:pPr>
              <w:spacing w:line="276" w:lineRule="auto"/>
              <w:rPr>
                <w:rFonts w:ascii="Arial" w:hAnsi="Arial" w:cs="Arial"/>
              </w:rPr>
            </w:pPr>
            <w:r w:rsidRPr="004661E9">
              <w:rPr>
                <w:rFonts w:ascii="Arial" w:hAnsi="Arial" w:cs="Arial"/>
              </w:rPr>
              <w:t>VERTIS-CV</w:t>
            </w:r>
          </w:p>
          <w:p w14:paraId="3975FD69" w14:textId="77777777"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Pr="004661E9">
              <w:rPr>
                <w:rFonts w:ascii="Arial" w:hAnsi="Arial" w:cs="Arial"/>
              </w:rPr>
              <w:instrText>ADDIN CSL_CITATION {"citationItems":[{"id":"ITEM-1","itemData":{"DOI":"10.1056/nejmoa2004967","ISSN":"0028-4793","abstract":"© 2020 Massachusetts Medical Society. BACKGROUND The cardiovascular effects of ertugliflozin, an inhibitor of sodium-glucose cotransporter 2, have not been established. METHODS In a multicenter, double-blind trial, we randomly assigned patients with type 2 diabetes and atherosclerotic cardiovascular disease to receive 5 mg or 15 mg of ertugliflozin or placebo once daily. With the data from the two ertugliflozin dose groups pooled for analysis, the primary objective was to show the noninferiority of ertugliflozin to placebo with respect to the primary outcome, major adverse cardiovascular events (a composite of death from cardiovascular causes, nonfatal myocardial infarction, or nonfatal stroke). The noninferiority margin was 1.3 (upper boundary of a 95.6% confidence interval for the hazard ratio [ertugliflozin vs. placebo] for major adverse cardiovascular events). The first key secondary outcome was a composite of death from cardiovascular causes or hospitalization for heart failure. RESULTS A total of 8246 patients underwent randomization and were followed for a mean of 3.5 years. Among 8238 patients who received at least one dose of ertugliflozin or placebo, a major adverse cardiovascular event occurred in 653 of 5493 patients (11.9%) in the ertugliflozin group and in 327 of 2745 patients (11.9%) in the placebo group (hazard ratio, 0.97; 95.6% confidence interval [CI], 0.85 to 1.11; P&lt;0.001 for noninferiority). Death from cardiovascular causes or hospitalization for heart failure occurred in 444 of 5499 patients (8.1%) in the ertugliflozin group and in 250 of 2747 patients (9.1%) in the placebo group (hazard ratio, 0.88; 95.8% CI, 0.75 to 1.03; P=0.11 for superiority). The hazard ratio for death from cardiovascular causes was 0.92 (95.8% CI, 0.77 to 1.11), and the hazard ratio for death from renal causes, renal replacement therapy, or doubling of the serum creatinine level was 0.81 (95.8% CI, 0.63 to 1.04). Amputations were performed in 54 patients (2.0%) who received the 5-mg dose of ertugliflozin and in 57 patients (2.1%) who received the 15-mg dose, as compared with 45 patients (1.6%) who received placebo. CONCLUSIONS Among patients with type 2 diabetes and atherosclerotic cardiovascular disease, ertugliflozin was noninferior to placebo with respect to major adverse cardiovascular events.","author":[{"dropping-particle":"","family":"Cannon","given":"Christopher P.","non-dropping-particle":"","parse-names":false,"suffix":""},{"dropping-particle":"","family":"Pratley","given":"Richard","non-dropping-particle":"","parse-names":false,"suffix":""},{"dropping-particle":"","family":"Dagogo-Jack","given":"Samuel","non-dropping-particle":"","parse-names":false,"suffix":""},{"dropping-particle":"","family":"Mancuso","given":"James","non-dropping-particle":"","parse-names":false,"suffix":""},{"dropping-particle":"","family":"Huyck","given":"Susan","non-dropping-particle":"","parse-names":false,"suffix":""},{"dropping-particle":"","family":"Masiukiewicz","given":"Urszula","non-dropping-particle":"","parse-names":false,"suffix":""},{"dropping-particle":"","family":"Charbonnel","given":"Bernard","non-dropping-particle":"","parse-names":false,"suffix":""},{"dropping-particle":"","family":"Frederich","given":"Robert","non-dropping-particle":"","parse-names":false,"suffix":""},{"dropping-particle":"","family":"Gallo","given":"Silvina","non-dropping-particle":"","parse-names":false,"suffix":""},{"dropping-particle":"","family":"Cosentino","given":"Francesco","non-dropping-particle":"","parse-names":false,"suffix":""},{"dropping-particle":"","family":"Shih","given":"Weichung J.","non-dropping-particle":"","parse-names":false,"suffix":""},{"dropping-particle":"","family":"Gantz","given":"Ira","non-dropping-particle":"","parse-names":false,"suffix":""},{"dropping-particle":"","family":"Terra","given":"Steven G.","non-dropping-particle":"","parse-names":false,"suffix":""},{"dropping-particle":"","family":"Cherney","given":"David Z.I.","non-dropping-particle":"","parse-names":false,"suffix":""},{"dropping-particle":"","family":"McGuire","given":"Darren K.","non-dropping-particle":"","parse-names":false,"suffix":""}],"container-title":"New England Journal of Medicine","id":"ITEM-1","issue":"15","issued":{"date-parts":[["2020"]]},"page":"1425-1435","title":"Cardiovascular Outcomes with Ertugliflozin in Type 2 Diabetes","type":"article-journal","volume":"383"},"uris":["http://www.mendeley.com/documents/?uuid=4a05e574-2490-4d8c-9b7c-7ca9e6237bc1"]}],"mendeley":{"formattedCitation":"(210)","plainTextFormattedCitation":"(210)","previouslyFormattedCitation":"(210)"},"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(210)</w:t>
            </w:r>
            <w:r w:rsidRPr="004661E9">
              <w:rPr>
                <w:rFonts w:ascii="Arial" w:hAnsi="Arial" w:cs="Arial"/>
              </w:rPr>
              <w:fldChar w:fldCharType="end"/>
            </w:r>
          </w:p>
        </w:tc>
        <w:tc>
          <w:tcPr>
            <w:tcW w:w="1440" w:type="dxa"/>
          </w:tcPr>
          <w:p w14:paraId="7E8768CD" w14:textId="77777777" w:rsidR="001C412B" w:rsidRPr="004661E9" w:rsidRDefault="001C412B" w:rsidP="004661E9">
            <w:pPr>
              <w:spacing w:line="276" w:lineRule="auto"/>
              <w:rPr>
                <w:rFonts w:ascii="Arial" w:hAnsi="Arial" w:cs="Arial"/>
              </w:rPr>
            </w:pPr>
            <w:r w:rsidRPr="004661E9">
              <w:rPr>
                <w:rFonts w:ascii="Arial" w:hAnsi="Arial" w:cs="Arial"/>
              </w:rPr>
              <w:t>2020</w:t>
            </w:r>
          </w:p>
        </w:tc>
        <w:tc>
          <w:tcPr>
            <w:tcW w:w="1890" w:type="dxa"/>
          </w:tcPr>
          <w:p w14:paraId="2BCC8180" w14:textId="77777777" w:rsidR="001C412B" w:rsidRPr="004661E9" w:rsidRDefault="001C412B" w:rsidP="004661E9">
            <w:pPr>
              <w:spacing w:line="276" w:lineRule="auto"/>
              <w:rPr>
                <w:rFonts w:ascii="Arial" w:hAnsi="Arial" w:cs="Arial"/>
              </w:rPr>
            </w:pPr>
            <w:r w:rsidRPr="004661E9">
              <w:rPr>
                <w:rFonts w:ascii="Arial" w:hAnsi="Arial" w:cs="Arial"/>
              </w:rPr>
              <w:t>Established CVD</w:t>
            </w:r>
          </w:p>
        </w:tc>
        <w:tc>
          <w:tcPr>
            <w:tcW w:w="990" w:type="dxa"/>
          </w:tcPr>
          <w:p w14:paraId="5F90DD3F" w14:textId="77777777" w:rsidR="001C412B" w:rsidRPr="004661E9" w:rsidRDefault="001C412B" w:rsidP="004661E9">
            <w:pPr>
              <w:spacing w:line="276" w:lineRule="auto"/>
              <w:rPr>
                <w:rFonts w:ascii="Arial" w:hAnsi="Arial" w:cs="Arial"/>
              </w:rPr>
            </w:pPr>
            <w:r w:rsidRPr="004661E9">
              <w:rPr>
                <w:rFonts w:ascii="Arial" w:hAnsi="Arial" w:cs="Arial"/>
              </w:rPr>
              <w:t xml:space="preserve"> 24%</w:t>
            </w:r>
          </w:p>
        </w:tc>
        <w:tc>
          <w:tcPr>
            <w:tcW w:w="1170" w:type="dxa"/>
          </w:tcPr>
          <w:p w14:paraId="53849A3E" w14:textId="77777777" w:rsidR="001C412B" w:rsidRPr="004661E9" w:rsidRDefault="001C412B" w:rsidP="004661E9">
            <w:pPr>
              <w:spacing w:line="276" w:lineRule="auto"/>
              <w:rPr>
                <w:rFonts w:ascii="Arial" w:hAnsi="Arial" w:cs="Arial"/>
              </w:rPr>
            </w:pPr>
            <w:r w:rsidRPr="004661E9">
              <w:rPr>
                <w:rFonts w:ascii="Arial" w:hAnsi="Arial" w:cs="Arial"/>
              </w:rPr>
              <w:t>3.5 years</w:t>
            </w:r>
          </w:p>
        </w:tc>
        <w:tc>
          <w:tcPr>
            <w:tcW w:w="1900" w:type="dxa"/>
          </w:tcPr>
          <w:p w14:paraId="211E2CFE" w14:textId="77777777" w:rsidR="001C412B" w:rsidRPr="004661E9" w:rsidRDefault="001C412B" w:rsidP="004661E9">
            <w:pPr>
              <w:spacing w:line="276" w:lineRule="auto"/>
              <w:rPr>
                <w:rFonts w:ascii="Arial" w:hAnsi="Arial" w:cs="Arial"/>
              </w:rPr>
            </w:pPr>
            <w:r w:rsidRPr="004661E9">
              <w:rPr>
                <w:rFonts w:ascii="Arial" w:hAnsi="Arial" w:cs="Arial"/>
              </w:rPr>
              <w:t>0.70</w:t>
            </w:r>
          </w:p>
          <w:p w14:paraId="1DB0D867" w14:textId="77777777" w:rsidR="001C412B" w:rsidRPr="004661E9" w:rsidRDefault="001C412B" w:rsidP="004661E9">
            <w:pPr>
              <w:spacing w:line="276" w:lineRule="auto"/>
              <w:rPr>
                <w:rFonts w:ascii="Arial" w:hAnsi="Arial" w:cs="Arial"/>
              </w:rPr>
            </w:pPr>
            <w:r w:rsidRPr="004661E9">
              <w:rPr>
                <w:rFonts w:ascii="Arial" w:hAnsi="Arial" w:cs="Arial"/>
              </w:rPr>
              <w:t>(0.54 - 0.90)</w:t>
            </w:r>
          </w:p>
        </w:tc>
      </w:tr>
      <w:tr w:rsidR="001C412B" w:rsidRPr="004661E9" w14:paraId="7A1B2572" w14:textId="77777777" w:rsidTr="003B5689">
        <w:trPr>
          <w:trHeight w:val="773"/>
        </w:trPr>
        <w:tc>
          <w:tcPr>
            <w:tcW w:w="1710" w:type="dxa"/>
          </w:tcPr>
          <w:p w14:paraId="2BE9F0A7" w14:textId="77777777" w:rsidR="001C412B" w:rsidRPr="004661E9" w:rsidRDefault="001C412B" w:rsidP="004661E9">
            <w:pPr>
              <w:spacing w:line="276" w:lineRule="auto"/>
              <w:rPr>
                <w:rFonts w:ascii="Arial" w:hAnsi="Arial" w:cs="Arial"/>
              </w:rPr>
            </w:pPr>
            <w:r w:rsidRPr="004661E9">
              <w:rPr>
                <w:rFonts w:ascii="Arial" w:hAnsi="Arial" w:cs="Arial"/>
              </w:rPr>
              <w:t>Sotagliflozin</w:t>
            </w:r>
          </w:p>
        </w:tc>
        <w:tc>
          <w:tcPr>
            <w:tcW w:w="1980" w:type="dxa"/>
          </w:tcPr>
          <w:p w14:paraId="48C20D0F" w14:textId="77777777" w:rsidR="001C412B" w:rsidRPr="004661E9" w:rsidRDefault="001C412B" w:rsidP="004661E9">
            <w:pPr>
              <w:spacing w:line="276" w:lineRule="auto"/>
              <w:rPr>
                <w:rFonts w:ascii="Arial" w:hAnsi="Arial" w:cs="Arial"/>
              </w:rPr>
            </w:pPr>
            <w:r w:rsidRPr="004661E9">
              <w:rPr>
                <w:rFonts w:ascii="Arial" w:hAnsi="Arial" w:cs="Arial"/>
              </w:rPr>
              <w:t>SCORED</w:t>
            </w:r>
          </w:p>
          <w:p w14:paraId="577BE2D9" w14:textId="33A063A9" w:rsidR="001C412B" w:rsidRPr="004661E9" w:rsidRDefault="001C412B" w:rsidP="004661E9">
            <w:pPr>
              <w:spacing w:line="276" w:lineRule="auto"/>
              <w:rPr>
                <w:rFonts w:ascii="Arial" w:hAnsi="Arial" w:cs="Arial"/>
              </w:rPr>
            </w:pPr>
            <w:r w:rsidRPr="004661E9">
              <w:rPr>
                <w:rFonts w:ascii="Arial" w:hAnsi="Arial" w:cs="Arial"/>
              </w:rPr>
              <w:fldChar w:fldCharType="begin" w:fldLock="1"/>
            </w:r>
            <w:r w:rsidR="00D162D8" w:rsidRPr="004661E9">
              <w:rPr>
                <w:rFonts w:ascii="Arial" w:hAnsi="Arial" w:cs="Arial"/>
              </w:rPr>
              <w:instrText>ADDIN CSL_CITATION {"citationItems":[{"id":"ITEM-1","itemData":{"DOI":"10.1056/nejmoa2030186","ISSN":"0028-4793","PMID":"33200891","abstract":"BACKGROUND The efficacy and safety of sodium-glucose cotransporter 2 inhibitors such as sotagliflozin in preventing cardiovascular events in patients with diabetes with chronic kidney disease with or without albuminuria have not been well studied. METHODS We conducted a multicenter, double-blind trial in which patients with type 2 diabetes mellitus (glycated hemoglobin level, ≥7%), chronic kidney disease (estimated glomerular filtration rate, 25 to 60 ml per minute per 1.73 m2 of body-surface area), and risks for cardiovascular disease were randomly assigned in a 1:1 ratio to receive sotagliflozin or placebo. The primary end point was changed during the trial to the composite of the total number of deaths from cardiovascular causes, hospitalizations for heart failure, and urgent visits for heart failure. The trial ended early owing to loss of funding. RESULTS Of 19,188 patients screened, 10,584 were enrolled, with 5292 assigned to the sotagliflozin group and 5292 assigned to the placebo group, and followed for a median of 16 months. The rate of primary end-point events was 5.6 events per 100 patient-years in the sotagliflozin group and 7.5 events per 100 patient-years in the placebo group (hazard ratio, 0.74; 95% confidence interval [CI], 0.63 to 0.88; P&lt;0.001). The rate of deaths from cardiovascular causes per 100 patient-years was 2.2 with sotagliflozin and 2.4 with placebo (hazard ratio, 0.90; 95% CI, 0.73 to 1.12; P = 0.35). For the original coprimary end point of the first occurrence of death from cardiovascular causes, nonfatal myocardial infarction, or nonfatal stroke, the hazard ratio was 0.84 (95% CI, 0.72 to 0.99); for the original coprimary end point of the first occurrence of death from cardiovascular causes or hospitalization for heart failure, the hazard ratio was 0.77 (95% CI, 0.66 to 0.91). Diarrhea, genital mycotic infections, volume depletion, and diabetic ketoacidosis were more common with sotagliflozin than with placebo. CONCLUSIONS In patients with diabetes and chronic kidney disease, with or without albuminuria, sotagliflozin resulted in a lower risk of the composite of deaths from cardiovascular causes, hospitalizations for heart failure, and urgent visits for heart failure than placebo but was associated with adverse events. (Funded by Sanofi and Lexicon Pharmaceuticals; SCORED ClinicalTrials.gov number, NCT03315143.).","author":[{"dropping-particle":"","family":"Bhatt","given":"Deepak L.","non-dropping-particle":"","parse-names":false,"suffix":""},{"dropping-particle":"","family":"Szarek","given":"Michael","non-dropping-particle":"","parse-names":false,"suffix":""},{"dropping-particle":"","family":"Pitt","given":"Bertram","non-dropping-particle":"","parse-names":false,"suffix":""},{"dropping-particle":"","family":"Cannon","given":"Christopher P.","non-dropping-particle":"","parse-names":false,"suffix":""},{"dropping-particle":"","family":"Leiter","given":"Lawrence A.","non-dropping-particle":"","parse-names":false,"suffix":""},{"dropping-particle":"","family":"McGuire","given":"Darren K.","non-dropping-particle":"","parse-names":false,"suffix":""},{"dropping-particle":"","family":"Lewis","given":"Julia B.","non-dropping-particle":"","parse-names":false,"suffix":""},{"dropping-particle":"","family":"Riddle","given":"Matthew C.","non-dropping-particle":"","parse-names":false,"suffix":""},{"dropping-particle":"","family":"Inzucchi","given":"Silvio E.","non-dropping-particle":"","parse-names":false,"suffix":""},{"dropping-particle":"","family":"Kosiborod","given":"Mikhail N.","non-dropping-particle":"","parse-names":false,"suffix":""},{"dropping-particle":"","family":"Cherney","given":"David Z.I.","non-dropping-particle":"","parse-names":false,"suffix":""},{"dropping-particle":"","family":"Dwyer","given":"Jamie P.","non-dropping-particle":"","parse-names":false,"suffix":""},{"dropping-particle":"","family":"Scirica","given":"Benjamin M.","non-dropping-particle":"","parse-names":false,"suffix":""},{"dropping-particle":"","family":"Bailey","given":"Clifford J.","non-dropping-particle":"","parse-names":false,"suffix":""},{"dropping-particle":"","family":"Díaz","given":"Rafael","non-dropping-particle":"","parse-names":false,"suffix":""},{"dropping-particle":"","family":"Ray","given":"Kausik K.","non-dropping-particle":"","parse-names":false,"suffix":""},{"dropping-particle":"","family":"Udell","given":"Jacob A.","non-dropping-particle":"","parse-names":false,"suffix":""},{"dropping-particle":"","family":"Lopes","given":"Renato D.","non-dropping-particle":"","parse-names":false,"suffix":""},{"dropping-particle":"","family":"Lapuerta","given":"Pablo","non-dropping-particle":"","parse-names":false,"suffix":""},{"dropping-particle":"","family":"Steg","given":"P. Gabriel","non-dropping-particle":"","parse-names":false,"suffix":""}],"container-title":"New England Journal of Medicine","id":"ITEM-1","issue":"2","issued":{"date-parts":[["2021"]]},"page":"129-139","title":"Sotagliflozin in Patients with Diabetes and Chronic Kidney Disease","type":"article-journal","volume":"384"},"uris":["http://www.mendeley.com/documents/?uuid=d6d1a02a-a1d7-4f3d-8328-9a0ebbcab8d4"]}],"mendeley":{"formattedCitation":"(214)","plainTextFormattedCitation":"(214)","previouslyFormattedCitation":"(222)"},"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(214)</w:t>
            </w:r>
            <w:r w:rsidRPr="004661E9">
              <w:rPr>
                <w:rFonts w:ascii="Arial" w:hAnsi="Arial" w:cs="Arial"/>
              </w:rPr>
              <w:fldChar w:fldCharType="end"/>
            </w:r>
          </w:p>
        </w:tc>
        <w:tc>
          <w:tcPr>
            <w:tcW w:w="1440" w:type="dxa"/>
          </w:tcPr>
          <w:p w14:paraId="46BA75F9" w14:textId="77777777" w:rsidR="001C412B" w:rsidRPr="004661E9" w:rsidRDefault="001C412B" w:rsidP="004661E9">
            <w:pPr>
              <w:spacing w:line="276" w:lineRule="auto"/>
              <w:rPr>
                <w:rFonts w:ascii="Arial" w:hAnsi="Arial" w:cs="Arial"/>
              </w:rPr>
            </w:pPr>
            <w:r w:rsidRPr="004661E9">
              <w:rPr>
                <w:rFonts w:ascii="Arial" w:hAnsi="Arial" w:cs="Arial"/>
              </w:rPr>
              <w:t>2020</w:t>
            </w:r>
          </w:p>
        </w:tc>
        <w:tc>
          <w:tcPr>
            <w:tcW w:w="1890" w:type="dxa"/>
          </w:tcPr>
          <w:p w14:paraId="7A4CB4CF" w14:textId="33EBD578" w:rsidR="001C412B" w:rsidRPr="004661E9" w:rsidRDefault="001C412B" w:rsidP="004661E9">
            <w:pPr>
              <w:spacing w:line="276" w:lineRule="auto"/>
              <w:rPr>
                <w:rFonts w:ascii="Arial" w:hAnsi="Arial" w:cs="Arial"/>
              </w:rPr>
            </w:pPr>
            <w:r w:rsidRPr="004661E9">
              <w:rPr>
                <w:rFonts w:ascii="Arial" w:hAnsi="Arial" w:cs="Arial"/>
              </w:rPr>
              <w:t xml:space="preserve">CKD with </w:t>
            </w:r>
            <w:r w:rsidR="001E47F1" w:rsidRPr="004661E9">
              <w:rPr>
                <w:rFonts w:ascii="Arial" w:hAnsi="Arial" w:cs="Arial"/>
              </w:rPr>
              <w:t xml:space="preserve">a </w:t>
            </w:r>
            <w:r w:rsidRPr="004661E9">
              <w:rPr>
                <w:rFonts w:ascii="Arial" w:hAnsi="Arial" w:cs="Arial"/>
              </w:rPr>
              <w:t>high risk for CVD</w:t>
            </w:r>
          </w:p>
        </w:tc>
        <w:tc>
          <w:tcPr>
            <w:tcW w:w="990" w:type="dxa"/>
          </w:tcPr>
          <w:p w14:paraId="6BC163DB" w14:textId="77777777" w:rsidR="001C412B" w:rsidRPr="004661E9" w:rsidRDefault="001C412B" w:rsidP="004661E9">
            <w:pPr>
              <w:spacing w:line="276" w:lineRule="auto"/>
              <w:rPr>
                <w:rFonts w:ascii="Arial" w:hAnsi="Arial" w:cs="Arial"/>
              </w:rPr>
            </w:pPr>
            <w:r w:rsidRPr="004661E9">
              <w:rPr>
                <w:rFonts w:ascii="Arial" w:hAnsi="Arial" w:cs="Arial"/>
              </w:rPr>
              <w:t>31%</w:t>
            </w:r>
          </w:p>
        </w:tc>
        <w:tc>
          <w:tcPr>
            <w:tcW w:w="1170" w:type="dxa"/>
          </w:tcPr>
          <w:p w14:paraId="7520AFBB" w14:textId="77777777" w:rsidR="001C412B" w:rsidRPr="004661E9" w:rsidRDefault="001C412B" w:rsidP="004661E9">
            <w:pPr>
              <w:spacing w:line="276" w:lineRule="auto"/>
              <w:rPr>
                <w:rFonts w:ascii="Arial" w:hAnsi="Arial" w:cs="Arial"/>
              </w:rPr>
            </w:pPr>
            <w:r w:rsidRPr="004661E9">
              <w:rPr>
                <w:rFonts w:ascii="Arial" w:hAnsi="Arial" w:cs="Arial"/>
              </w:rPr>
              <w:t>16 months</w:t>
            </w:r>
          </w:p>
        </w:tc>
        <w:tc>
          <w:tcPr>
            <w:tcW w:w="1900" w:type="dxa"/>
          </w:tcPr>
          <w:p w14:paraId="02029DC9" w14:textId="77777777" w:rsidR="001C412B" w:rsidRPr="004661E9" w:rsidRDefault="001C412B" w:rsidP="004661E9">
            <w:pPr>
              <w:spacing w:line="276" w:lineRule="auto"/>
              <w:rPr>
                <w:rFonts w:ascii="Arial" w:hAnsi="Arial" w:cs="Arial"/>
              </w:rPr>
            </w:pPr>
            <w:r w:rsidRPr="004661E9">
              <w:rPr>
                <w:rFonts w:ascii="Arial" w:hAnsi="Arial" w:cs="Arial"/>
              </w:rPr>
              <w:t>0.67</w:t>
            </w:r>
          </w:p>
          <w:p w14:paraId="396BDD72" w14:textId="77777777" w:rsidR="001C412B" w:rsidRPr="004661E9" w:rsidRDefault="001C412B" w:rsidP="004661E9">
            <w:pPr>
              <w:spacing w:line="276" w:lineRule="auto"/>
              <w:rPr>
                <w:rFonts w:ascii="Arial" w:hAnsi="Arial" w:cs="Arial"/>
              </w:rPr>
            </w:pPr>
            <w:r w:rsidRPr="004661E9">
              <w:rPr>
                <w:rFonts w:ascii="Arial" w:hAnsi="Arial" w:cs="Arial"/>
              </w:rPr>
              <w:t>(0.55 – 0.82)</w:t>
            </w:r>
          </w:p>
        </w:tc>
      </w:tr>
    </w:tbl>
    <w:p w14:paraId="56301B1F" w14:textId="49BE44F7" w:rsidR="001C412B" w:rsidRPr="003B5689" w:rsidRDefault="001C412B" w:rsidP="004661E9">
      <w:pPr>
        <w:spacing w:after="0" w:line="276" w:lineRule="auto"/>
        <w:rPr>
          <w:rFonts w:ascii="Arial" w:hAnsi="Arial" w:cs="Arial"/>
        </w:rPr>
      </w:pPr>
      <w:r w:rsidRPr="003B5689">
        <w:rPr>
          <w:rFonts w:ascii="Arial" w:hAnsi="Arial" w:cs="Arial"/>
        </w:rPr>
        <w:t>*Estimated eGFR of 20 to 45 ml/min/1.73 m</w:t>
      </w:r>
      <w:r w:rsidRPr="003B5689">
        <w:rPr>
          <w:rFonts w:ascii="Arial" w:hAnsi="Arial" w:cs="Arial"/>
          <w:vertAlign w:val="superscript"/>
        </w:rPr>
        <w:t>2</w:t>
      </w:r>
      <w:r w:rsidRPr="003B5689">
        <w:rPr>
          <w:rFonts w:ascii="Arial" w:hAnsi="Arial" w:cs="Arial"/>
        </w:rPr>
        <w:t>, or eGFR of 45 to 90 ml/min/1.73 m</w:t>
      </w:r>
      <w:r w:rsidRPr="003B5689">
        <w:rPr>
          <w:rFonts w:ascii="Arial" w:hAnsi="Arial" w:cs="Arial"/>
          <w:vertAlign w:val="superscript"/>
        </w:rPr>
        <w:t>2</w:t>
      </w:r>
      <w:r w:rsidRPr="003B5689">
        <w:rPr>
          <w:rFonts w:ascii="Arial" w:hAnsi="Arial" w:cs="Arial"/>
        </w:rPr>
        <w:t xml:space="preserve"> with a urinary albumin-to-creatinine ratio of ≥ 200 mg/g.</w:t>
      </w:r>
      <w:r w:rsidR="003B5689">
        <w:rPr>
          <w:rFonts w:ascii="Arial" w:hAnsi="Arial" w:cs="Arial"/>
        </w:rPr>
        <w:t xml:space="preserve"> </w:t>
      </w:r>
      <w:r w:rsidRPr="003B5689">
        <w:rPr>
          <w:rFonts w:ascii="Arial" w:hAnsi="Arial" w:cs="Arial"/>
        </w:rPr>
        <w:t>**Composite secondary outcome of cardiovascular death and heart failure hospitalization. CKD, chronic kidney disease; CVD, cardiovascular disease</w:t>
      </w:r>
      <w:r w:rsidR="003B5689">
        <w:rPr>
          <w:rFonts w:ascii="Arial" w:hAnsi="Arial" w:cs="Arial"/>
        </w:rPr>
        <w:t>.</w:t>
      </w:r>
    </w:p>
    <w:p w14:paraId="5A3D2430" w14:textId="77777777" w:rsidR="001C412B" w:rsidRPr="004661E9" w:rsidRDefault="001C412B" w:rsidP="004661E9">
      <w:pPr>
        <w:spacing w:after="0" w:line="276" w:lineRule="auto"/>
        <w:rPr>
          <w:rFonts w:ascii="Arial" w:hAnsi="Arial" w:cs="Arial"/>
        </w:rPr>
      </w:pPr>
    </w:p>
    <w:p w14:paraId="33D231FD" w14:textId="77777777" w:rsidR="0049543A" w:rsidRPr="004661E9" w:rsidRDefault="0049543A" w:rsidP="004661E9">
      <w:pPr>
        <w:spacing w:after="0" w:line="276" w:lineRule="auto"/>
        <w:rPr>
          <w:rFonts w:ascii="Arial" w:hAnsi="Arial" w:cs="Arial"/>
          <w:b/>
          <w:bCs/>
          <w:color w:val="00B050"/>
        </w:rPr>
      </w:pPr>
      <w:r w:rsidRPr="004661E9">
        <w:rPr>
          <w:rFonts w:ascii="Arial" w:hAnsi="Arial" w:cs="Arial"/>
          <w:b/>
          <w:bCs/>
          <w:color w:val="00B050"/>
        </w:rPr>
        <w:t>Glucagon-like Peptide-1 Receptor Agonists</w:t>
      </w:r>
    </w:p>
    <w:p w14:paraId="140D05CB" w14:textId="77777777" w:rsidR="009B2FA1" w:rsidRPr="004661E9" w:rsidRDefault="009B2FA1" w:rsidP="004661E9">
      <w:pPr>
        <w:spacing w:after="0" w:line="276" w:lineRule="auto"/>
        <w:rPr>
          <w:rStyle w:val="Strong"/>
          <w:rFonts w:ascii="Arial" w:hAnsi="Arial" w:cs="Arial"/>
          <w:b w:val="0"/>
          <w:bCs w:val="0"/>
        </w:rPr>
      </w:pPr>
    </w:p>
    <w:p w14:paraId="2114E9AD" w14:textId="0780E935" w:rsidR="005B01A7" w:rsidRPr="004661E9" w:rsidRDefault="00601DA9" w:rsidP="004661E9">
      <w:pPr>
        <w:spacing w:after="0" w:line="276" w:lineRule="auto"/>
        <w:rPr>
          <w:rFonts w:ascii="Arial" w:hAnsi="Arial" w:cs="Arial"/>
        </w:rPr>
      </w:pPr>
      <w:r w:rsidRPr="004661E9">
        <w:rPr>
          <w:rStyle w:val="Strong"/>
          <w:rFonts w:ascii="Arial" w:hAnsi="Arial" w:cs="Arial"/>
          <w:b w:val="0"/>
          <w:bCs w:val="0"/>
        </w:rPr>
        <w:t xml:space="preserve">As mentioned above, </w:t>
      </w:r>
      <w:r w:rsidR="00471A81" w:rsidRPr="004661E9">
        <w:rPr>
          <w:rStyle w:val="Strong"/>
          <w:rFonts w:ascii="Arial" w:hAnsi="Arial" w:cs="Arial"/>
          <w:b w:val="0"/>
          <w:bCs w:val="0"/>
        </w:rPr>
        <w:t>GLP1-RAs</w:t>
      </w:r>
      <w:r w:rsidR="006C2ECE" w:rsidRPr="004661E9">
        <w:rPr>
          <w:rStyle w:val="Strong"/>
          <w:rFonts w:ascii="Arial" w:hAnsi="Arial" w:cs="Arial"/>
          <w:b w:val="0"/>
          <w:bCs w:val="0"/>
        </w:rPr>
        <w:t xml:space="preserve"> </w:t>
      </w:r>
      <w:r w:rsidR="00D80C0B" w:rsidRPr="004661E9">
        <w:rPr>
          <w:rStyle w:val="Strong"/>
          <w:rFonts w:ascii="Arial" w:hAnsi="Arial" w:cs="Arial"/>
          <w:b w:val="0"/>
          <w:bCs w:val="0"/>
        </w:rPr>
        <w:t xml:space="preserve">are among the </w:t>
      </w:r>
      <w:r w:rsidRPr="004661E9">
        <w:rPr>
          <w:rFonts w:ascii="Arial" w:hAnsi="Arial" w:cs="Arial"/>
        </w:rPr>
        <w:t>first</w:t>
      </w:r>
      <w:r w:rsidR="006C2ECE" w:rsidRPr="004661E9">
        <w:rPr>
          <w:rFonts w:ascii="Arial" w:hAnsi="Arial" w:cs="Arial"/>
        </w:rPr>
        <w:t>-</w:t>
      </w:r>
      <w:r w:rsidRPr="004661E9">
        <w:rPr>
          <w:rFonts w:ascii="Arial" w:hAnsi="Arial" w:cs="Arial"/>
        </w:rPr>
        <w:t>line agents</w:t>
      </w:r>
      <w:r w:rsidR="006F7ED9" w:rsidRPr="004661E9">
        <w:rPr>
          <w:rFonts w:ascii="Arial" w:hAnsi="Arial" w:cs="Arial"/>
        </w:rPr>
        <w:t xml:space="preserve"> for glucose</w:t>
      </w:r>
      <w:r w:rsidR="006C2ECE" w:rsidRPr="004661E9">
        <w:rPr>
          <w:rFonts w:ascii="Arial" w:hAnsi="Arial" w:cs="Arial"/>
        </w:rPr>
        <w:t>-</w:t>
      </w:r>
      <w:r w:rsidR="006F7ED9" w:rsidRPr="004661E9">
        <w:rPr>
          <w:rFonts w:ascii="Arial" w:hAnsi="Arial" w:cs="Arial"/>
        </w:rPr>
        <w:t xml:space="preserve">lowering and </w:t>
      </w:r>
      <w:r w:rsidR="00B62458" w:rsidRPr="004661E9">
        <w:rPr>
          <w:rFonts w:ascii="Arial" w:hAnsi="Arial" w:cs="Arial"/>
        </w:rPr>
        <w:t>cardiorenal risk reduction</w:t>
      </w:r>
      <w:r w:rsidRPr="004661E9">
        <w:rPr>
          <w:rFonts w:ascii="Arial" w:hAnsi="Arial" w:cs="Arial"/>
        </w:rPr>
        <w:t xml:space="preserve"> in T2DM patients with indicators of high-risk or established ASCVD</w:t>
      </w:r>
      <w:r w:rsidR="00B63AAD" w:rsidRPr="004661E9">
        <w:rPr>
          <w:rFonts w:ascii="Arial" w:hAnsi="Arial" w:cs="Arial"/>
        </w:rPr>
        <w:t xml:space="preserve"> </w:t>
      </w:r>
      <w:r w:rsidR="00B63AAD" w:rsidRPr="004661E9">
        <w:rPr>
          <w:rFonts w:ascii="Arial" w:hAnsi="Arial" w:cs="Arial"/>
        </w:rPr>
        <w:fldChar w:fldCharType="begin" w:fldLock="1"/>
      </w:r>
      <w:r w:rsidR="000962ED" w:rsidRPr="004661E9">
        <w:rPr>
          <w:rFonts w:ascii="Arial" w:hAnsi="Arial" w:cs="Arial"/>
        </w:rPr>
        <w:instrText>ADDIN CSL_CITATION {"citationItems":[{"id":"ITEM-1","itemData":{"DOI":"10.2337/dc23-S009","ISSN":"19355548","PMID":"36507650","abstract":"The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Care","id":"ITEM-1","issue":"supp","issued":{"date-parts":[["2023"]]},"page":"S140-S157","title":"9. Pharmacologic Approaches to Glycemic Treatment: Standards of Care in Diabetes—2023","type":"article-journal","volume":"46"},"uris":["http://www.mendeley.com/documents/?uuid=a47bb03b-266b-42b6-9550-2b6ce5683bfd"]}],"mendeley":{"formattedCitation":"(23)","plainTextFormattedCitation":"(23)","previouslyFormattedCitation":"(23)"},"properties":{"noteIndex":0},"schema":"https://github.com/citation-style-language/schema/raw/master/csl-citation.json"}</w:instrText>
      </w:r>
      <w:r w:rsidR="00B63AAD" w:rsidRPr="004661E9">
        <w:rPr>
          <w:rFonts w:ascii="Arial" w:hAnsi="Arial" w:cs="Arial"/>
        </w:rPr>
        <w:fldChar w:fldCharType="separate"/>
      </w:r>
      <w:r w:rsidR="000962ED" w:rsidRPr="004661E9">
        <w:rPr>
          <w:rFonts w:ascii="Arial" w:hAnsi="Arial" w:cs="Arial"/>
          <w:noProof/>
        </w:rPr>
        <w:t>(23)</w:t>
      </w:r>
      <w:r w:rsidR="00B63AAD" w:rsidRPr="004661E9">
        <w:rPr>
          <w:rFonts w:ascii="Arial" w:hAnsi="Arial" w:cs="Arial"/>
        </w:rPr>
        <w:fldChar w:fldCharType="end"/>
      </w:r>
      <w:r w:rsidR="00B63AAD" w:rsidRPr="004661E9">
        <w:rPr>
          <w:rFonts w:ascii="Arial" w:hAnsi="Arial" w:cs="Arial"/>
        </w:rPr>
        <w:t>.</w:t>
      </w:r>
      <w:r w:rsidR="00471A81" w:rsidRPr="004661E9">
        <w:rPr>
          <w:rFonts w:ascii="Arial" w:hAnsi="Arial" w:cs="Arial"/>
        </w:rPr>
        <w:t xml:space="preserve"> </w:t>
      </w:r>
      <w:r w:rsidR="00E70FAC" w:rsidRPr="004661E9">
        <w:rPr>
          <w:rFonts w:ascii="Arial" w:hAnsi="Arial" w:cs="Arial"/>
        </w:rPr>
        <w:t>In addition, GLP</w:t>
      </w:r>
      <w:r w:rsidR="00943F2B" w:rsidRPr="004661E9">
        <w:rPr>
          <w:rFonts w:ascii="Arial" w:hAnsi="Arial" w:cs="Arial"/>
        </w:rPr>
        <w:t>1</w:t>
      </w:r>
      <w:r w:rsidR="00E70FAC" w:rsidRPr="004661E9">
        <w:rPr>
          <w:rFonts w:ascii="Arial" w:hAnsi="Arial" w:cs="Arial"/>
        </w:rPr>
        <w:t>-RA</w:t>
      </w:r>
      <w:r w:rsidR="006C2ECE" w:rsidRPr="004661E9">
        <w:rPr>
          <w:rFonts w:ascii="Arial" w:hAnsi="Arial" w:cs="Arial"/>
        </w:rPr>
        <w:t>s</w:t>
      </w:r>
      <w:r w:rsidR="00E70FAC" w:rsidRPr="004661E9">
        <w:rPr>
          <w:rFonts w:ascii="Arial" w:hAnsi="Arial" w:cs="Arial"/>
        </w:rPr>
        <w:t xml:space="preserve"> are recommended </w:t>
      </w:r>
      <w:r w:rsidR="00E71268" w:rsidRPr="004661E9">
        <w:rPr>
          <w:rFonts w:ascii="Arial" w:hAnsi="Arial" w:cs="Arial"/>
        </w:rPr>
        <w:t>as second</w:t>
      </w:r>
      <w:r w:rsidR="006C2ECE" w:rsidRPr="004661E9">
        <w:rPr>
          <w:rFonts w:ascii="Arial" w:hAnsi="Arial" w:cs="Arial"/>
        </w:rPr>
        <w:t>-</w:t>
      </w:r>
      <w:r w:rsidR="00E71268" w:rsidRPr="004661E9">
        <w:rPr>
          <w:rFonts w:ascii="Arial" w:hAnsi="Arial" w:cs="Arial"/>
        </w:rPr>
        <w:t xml:space="preserve">line therapy in patients with </w:t>
      </w:r>
      <w:r w:rsidR="004E62F7" w:rsidRPr="004661E9">
        <w:rPr>
          <w:rFonts w:ascii="Arial" w:hAnsi="Arial" w:cs="Arial"/>
        </w:rPr>
        <w:t>CKD if SGLT2</w:t>
      </w:r>
      <w:r w:rsidR="00943F2B" w:rsidRPr="004661E9">
        <w:rPr>
          <w:rFonts w:ascii="Arial" w:hAnsi="Arial" w:cs="Arial"/>
        </w:rPr>
        <w:t xml:space="preserve"> </w:t>
      </w:r>
      <w:r w:rsidR="004E62F7" w:rsidRPr="004661E9">
        <w:rPr>
          <w:rFonts w:ascii="Arial" w:hAnsi="Arial" w:cs="Arial"/>
        </w:rPr>
        <w:t>inhibi</w:t>
      </w:r>
      <w:r w:rsidR="00596284" w:rsidRPr="004661E9">
        <w:rPr>
          <w:rFonts w:ascii="Arial" w:hAnsi="Arial" w:cs="Arial"/>
        </w:rPr>
        <w:t xml:space="preserve">tor </w:t>
      </w:r>
      <w:r w:rsidR="00943F2B" w:rsidRPr="004661E9">
        <w:rPr>
          <w:rFonts w:ascii="Arial" w:hAnsi="Arial" w:cs="Arial"/>
        </w:rPr>
        <w:t xml:space="preserve">therapy </w:t>
      </w:r>
      <w:r w:rsidR="00596284" w:rsidRPr="004661E9">
        <w:rPr>
          <w:rFonts w:ascii="Arial" w:hAnsi="Arial" w:cs="Arial"/>
        </w:rPr>
        <w:t>is contraindicated or not tolerated</w:t>
      </w:r>
      <w:r w:rsidR="005B01A7" w:rsidRPr="004661E9">
        <w:rPr>
          <w:rFonts w:ascii="Arial" w:hAnsi="Arial" w:cs="Arial"/>
        </w:rPr>
        <w:t xml:space="preserve"> or if the </w:t>
      </w:r>
      <w:r w:rsidR="00471A81" w:rsidRPr="004661E9">
        <w:rPr>
          <w:rFonts w:ascii="Arial" w:hAnsi="Arial" w:cs="Arial"/>
        </w:rPr>
        <w:t>Hb</w:t>
      </w:r>
      <w:r w:rsidR="005B01A7" w:rsidRPr="004661E9">
        <w:rPr>
          <w:rFonts w:ascii="Arial" w:hAnsi="Arial" w:cs="Arial"/>
        </w:rPr>
        <w:t xml:space="preserve">A1c remains above target despite </w:t>
      </w:r>
      <w:r w:rsidR="006C2ECE" w:rsidRPr="004661E9">
        <w:rPr>
          <w:rFonts w:ascii="Arial" w:hAnsi="Arial" w:cs="Arial"/>
        </w:rPr>
        <w:t>using</w:t>
      </w:r>
      <w:r w:rsidR="005B01A7" w:rsidRPr="004661E9">
        <w:rPr>
          <w:rFonts w:ascii="Arial" w:hAnsi="Arial" w:cs="Arial"/>
        </w:rPr>
        <w:t xml:space="preserve"> </w:t>
      </w:r>
      <w:r w:rsidR="00943F2B" w:rsidRPr="004661E9">
        <w:rPr>
          <w:rFonts w:ascii="Arial" w:hAnsi="Arial" w:cs="Arial"/>
        </w:rPr>
        <w:t xml:space="preserve">an </w:t>
      </w:r>
      <w:r w:rsidR="005B01A7" w:rsidRPr="004661E9">
        <w:rPr>
          <w:rFonts w:ascii="Arial" w:hAnsi="Arial" w:cs="Arial"/>
        </w:rPr>
        <w:t>SGLT2 inhibitor.</w:t>
      </w:r>
      <w:r w:rsidRPr="004661E9">
        <w:rPr>
          <w:rFonts w:ascii="Arial" w:hAnsi="Arial" w:cs="Arial"/>
        </w:rPr>
        <w:t xml:space="preserve"> </w:t>
      </w:r>
    </w:p>
    <w:p w14:paraId="775F2FA5" w14:textId="77777777" w:rsidR="005B01A7" w:rsidRPr="004661E9" w:rsidRDefault="005B01A7" w:rsidP="004661E9">
      <w:pPr>
        <w:spacing w:after="0" w:line="276" w:lineRule="auto"/>
        <w:rPr>
          <w:rFonts w:ascii="Arial" w:hAnsi="Arial" w:cs="Arial"/>
        </w:rPr>
      </w:pPr>
    </w:p>
    <w:p w14:paraId="54342942" w14:textId="07569376" w:rsidR="001C412B" w:rsidRPr="004661E9" w:rsidRDefault="0049543A" w:rsidP="004661E9">
      <w:pPr>
        <w:spacing w:after="0" w:line="276" w:lineRule="auto"/>
        <w:rPr>
          <w:rStyle w:val="Strong"/>
          <w:rFonts w:ascii="Arial" w:hAnsi="Arial" w:cs="Arial"/>
          <w:b w:val="0"/>
          <w:bCs w:val="0"/>
        </w:rPr>
      </w:pPr>
      <w:r w:rsidRPr="004661E9">
        <w:rPr>
          <w:rStyle w:val="Strong"/>
          <w:rFonts w:ascii="Arial" w:hAnsi="Arial" w:cs="Arial"/>
          <w:b w:val="0"/>
          <w:bCs w:val="0"/>
        </w:rPr>
        <w:t xml:space="preserve">Landmark CVOTs have confirmed the favorable effects of </w:t>
      </w:r>
      <w:r w:rsidRPr="004661E9">
        <w:rPr>
          <w:rFonts w:ascii="Arial" w:hAnsi="Arial" w:cs="Arial"/>
        </w:rPr>
        <w:t xml:space="preserve">GLP1-RAs </w:t>
      </w:r>
      <w:r w:rsidRPr="004661E9">
        <w:rPr>
          <w:rStyle w:val="Strong"/>
          <w:rFonts w:ascii="Arial" w:hAnsi="Arial" w:cs="Arial"/>
          <w:b w:val="0"/>
          <w:bCs w:val="0"/>
        </w:rPr>
        <w:t>on the risk of major CV events such as CV death, nonfatal myocardial infarct</w:t>
      </w:r>
      <w:r w:rsidR="00D42EB8" w:rsidRPr="004661E9">
        <w:rPr>
          <w:rStyle w:val="Strong"/>
          <w:rFonts w:ascii="Arial" w:hAnsi="Arial" w:cs="Arial"/>
          <w:b w:val="0"/>
          <w:bCs w:val="0"/>
        </w:rPr>
        <w:t>ion</w:t>
      </w:r>
      <w:r w:rsidRPr="004661E9">
        <w:rPr>
          <w:rStyle w:val="Strong"/>
          <w:rFonts w:ascii="Arial" w:hAnsi="Arial" w:cs="Arial"/>
          <w:b w:val="0"/>
          <w:bCs w:val="0"/>
        </w:rPr>
        <w:t>, or nonfatal stroke</w:t>
      </w:r>
      <w:r w:rsidR="001C412B" w:rsidRPr="004661E9">
        <w:rPr>
          <w:rStyle w:val="Strong"/>
          <w:rFonts w:ascii="Arial" w:hAnsi="Arial" w:cs="Arial"/>
          <w:b w:val="0"/>
          <w:bCs w:val="0"/>
        </w:rPr>
        <w:t xml:space="preserve"> in patients with T2DM</w:t>
      </w:r>
      <w:r w:rsidRPr="004661E9">
        <w:rPr>
          <w:rStyle w:val="Strong"/>
          <w:rFonts w:ascii="Arial" w:hAnsi="Arial" w:cs="Arial"/>
          <w:b w:val="0"/>
          <w:bCs w:val="0"/>
        </w:rPr>
        <w:t xml:space="preserve">. However, </w:t>
      </w:r>
      <w:r w:rsidR="00066811" w:rsidRPr="004661E9">
        <w:rPr>
          <w:rStyle w:val="Strong"/>
          <w:rFonts w:ascii="Arial" w:hAnsi="Arial" w:cs="Arial"/>
          <w:b w:val="0"/>
          <w:bCs w:val="0"/>
        </w:rPr>
        <w:t>individual</w:t>
      </w:r>
      <w:r w:rsidRPr="004661E9">
        <w:rPr>
          <w:rStyle w:val="Strong"/>
          <w:rFonts w:ascii="Arial" w:hAnsi="Arial" w:cs="Arial"/>
          <w:b w:val="0"/>
          <w:bCs w:val="0"/>
        </w:rPr>
        <w:t xml:space="preserve"> </w:t>
      </w:r>
      <w:r w:rsidR="006521E1" w:rsidRPr="004661E9">
        <w:rPr>
          <w:rStyle w:val="Strong"/>
          <w:rFonts w:ascii="Arial" w:hAnsi="Arial" w:cs="Arial"/>
          <w:b w:val="0"/>
          <w:bCs w:val="0"/>
        </w:rPr>
        <w:t xml:space="preserve">trials revealed </w:t>
      </w:r>
      <w:r w:rsidR="00227E71" w:rsidRPr="004661E9">
        <w:rPr>
          <w:rStyle w:val="Strong"/>
          <w:rFonts w:ascii="Arial" w:hAnsi="Arial" w:cs="Arial"/>
          <w:b w:val="0"/>
          <w:bCs w:val="0"/>
        </w:rPr>
        <w:t>mostly neutral</w:t>
      </w:r>
      <w:r w:rsidR="006521E1" w:rsidRPr="004661E9">
        <w:rPr>
          <w:rStyle w:val="Strong"/>
          <w:rFonts w:ascii="Arial" w:hAnsi="Arial" w:cs="Arial"/>
          <w:b w:val="0"/>
          <w:bCs w:val="0"/>
        </w:rPr>
        <w:t xml:space="preserve"> results </w:t>
      </w:r>
      <w:r w:rsidR="006C2ECE" w:rsidRPr="004661E9">
        <w:rPr>
          <w:rStyle w:val="Strong"/>
          <w:rFonts w:ascii="Arial" w:hAnsi="Arial" w:cs="Arial"/>
          <w:b w:val="0"/>
          <w:bCs w:val="0"/>
        </w:rPr>
        <w:t>regarding</w:t>
      </w:r>
      <w:r w:rsidR="004C5351" w:rsidRPr="004661E9">
        <w:rPr>
          <w:rStyle w:val="Strong"/>
          <w:rFonts w:ascii="Arial" w:hAnsi="Arial" w:cs="Arial"/>
          <w:b w:val="0"/>
          <w:bCs w:val="0"/>
        </w:rPr>
        <w:t xml:space="preserve"> the </w:t>
      </w:r>
      <w:r w:rsidRPr="004661E9">
        <w:rPr>
          <w:rStyle w:val="Strong"/>
          <w:rFonts w:ascii="Arial" w:hAnsi="Arial" w:cs="Arial"/>
          <w:b w:val="0"/>
          <w:bCs w:val="0"/>
        </w:rPr>
        <w:t>effect</w:t>
      </w:r>
      <w:r w:rsidR="004C5351" w:rsidRPr="004661E9">
        <w:rPr>
          <w:rStyle w:val="Strong"/>
          <w:rFonts w:ascii="Arial" w:hAnsi="Arial" w:cs="Arial"/>
          <w:b w:val="0"/>
          <w:bCs w:val="0"/>
        </w:rPr>
        <w:t xml:space="preserve"> of GLP</w:t>
      </w:r>
      <w:r w:rsidR="00943F2B" w:rsidRPr="004661E9">
        <w:rPr>
          <w:rStyle w:val="Strong"/>
          <w:rFonts w:ascii="Arial" w:hAnsi="Arial" w:cs="Arial"/>
          <w:b w:val="0"/>
          <w:bCs w:val="0"/>
        </w:rPr>
        <w:t>1</w:t>
      </w:r>
      <w:r w:rsidR="004C5351" w:rsidRPr="004661E9">
        <w:rPr>
          <w:rStyle w:val="Strong"/>
          <w:rFonts w:ascii="Arial" w:hAnsi="Arial" w:cs="Arial"/>
          <w:b w:val="0"/>
          <w:bCs w:val="0"/>
        </w:rPr>
        <w:t>-RAs</w:t>
      </w:r>
      <w:r w:rsidRPr="004661E9">
        <w:rPr>
          <w:rStyle w:val="Strong"/>
          <w:rFonts w:ascii="Arial" w:hAnsi="Arial" w:cs="Arial"/>
          <w:b w:val="0"/>
          <w:bCs w:val="0"/>
        </w:rPr>
        <w:t xml:space="preserve"> on HF outcomes in patients with T2DM and at risk for HF (</w:t>
      </w:r>
      <w:r w:rsidRPr="003B5689">
        <w:rPr>
          <w:rFonts w:ascii="Arial" w:hAnsi="Arial" w:cs="Arial"/>
        </w:rPr>
        <w:t xml:space="preserve">Table </w:t>
      </w:r>
      <w:r w:rsidR="001C412B" w:rsidRPr="003B5689">
        <w:rPr>
          <w:rFonts w:ascii="Arial" w:hAnsi="Arial" w:cs="Arial"/>
        </w:rPr>
        <w:t>4</w:t>
      </w:r>
      <w:r w:rsidRPr="004661E9">
        <w:rPr>
          <w:rFonts w:ascii="Arial" w:hAnsi="Arial" w:cs="Arial"/>
        </w:rPr>
        <w:t>)</w:t>
      </w:r>
      <w:r w:rsidR="009B2FA1" w:rsidRPr="004661E9">
        <w:rPr>
          <w:rFonts w:ascii="Arial" w:hAnsi="Arial" w:cs="Arial"/>
        </w:rPr>
        <w:t xml:space="preserve"> </w:t>
      </w:r>
      <w:r w:rsidRPr="004661E9">
        <w:rPr>
          <w:rStyle w:val="Strong"/>
          <w:rFonts w:ascii="Arial" w:hAnsi="Arial" w:cs="Arial"/>
          <w:b w:val="0"/>
          <w:bCs w:val="0"/>
        </w:rPr>
        <w:fldChar w:fldCharType="begin" w:fldLock="1"/>
      </w:r>
      <w:r w:rsidR="00D162D8" w:rsidRPr="004661E9">
        <w:rPr>
          <w:rStyle w:val="Strong"/>
          <w:rFonts w:ascii="Arial" w:hAnsi="Arial" w:cs="Arial"/>
          <w:b w:val="0"/>
          <w:bCs w:val="0"/>
        </w:rPr>
        <w:instrText>ADDIN CSL_CITATION {"citationItems":[{"id":"ITEM-1","itemData":{"DOI":"10.1056/NEJMoa1603827","ISSN":"15334406","PMID":"27295427","abstract":"BACKGROUND The cardiovascular effect of liraglutide, a glucagon-like peptide 1 analogue, when added to standard care in patients with type 2 diabetes, remains unknown. METHODS In this double-blind trial, we randomly assigned patients with type 2 diabetes and high cardiovascular risk to receive liraglutide or placebo. The primary composite outcome in the time-to-event analysis was the first occurrence of death from cardiovascular causes, nonfatal myocardial infarction, or nonfatal stroke. The primary hypothesis was that liraglutide would be noninferior to placebo with regard to the primary outcome, with a margin of 1.30 for the upper boundary of the 95% confidence interval of the hazard ratio. No adjustments for multiplicity were performed for the prespecified exploratory outcomes. RESULTS A total of 9340 patients underwent randomization. The median follow-up was 3.8 years. The primary outcome occurred in significantly fewer patients in the liraglutide group (608 of 4668 patients [13.0%]) than in the placebo group (694 of 4672 [14.9%]) (hazard ratio, 0.87; 95% confidence interval [CI], 0.78 to 0.97; P&lt;0.001 for noninferiority; P = 0.01 for superiority). Fewer patients died from cardiovascular causes in the liraglutide group (219 patients [4.7%]) than in the placebo group (278 [6.0%]) (hazard ratio, 0.78; 95% CI, 0.66 to 0.93; P = 0.007). The rate of death from any cause was lower in the liraglutide group (381 patients [8.2%]) than in the placebo group (447 [9.6%]) (hazard ratio, 0.85; 95% CI, 0.74 to 0.97; P = 0.02). The rates of nonfatal myocardial infarction, nonfatal stroke, and hospitalization for heart failure were nonsignificantly lower in the liraglutide group than in the placebo group. The most common adverse events leading to the discontinuation of liraglutide were gastrointestinal events. The incidence of pancreatitis was nonsignificantly lower in the liraglutide group than in the placebo group. CONCLUSIONS In the time-to-event analysis, the rate of the first occurrence of death from cardiovascular causes, nonfatal myocardial infarction, or nonfatal stroke among patients with type 2 diabetes mellitus was lower with liraglutide than with placebo.","author":[{"dropping-particle":"","family":"Marso","given":"Steven P.","non-dropping-particle":"","parse-names":false,"suffix":""},{"dropping-particle":"","family":"Daniels","given":"Gilbert H.","non-dropping-particle":"","parse-names":false,"suffix":""},{"dropping-particle":"","family":"Frandsen","given":"Kirstine Brown","non-dropping-particle":"","parse-names":false,"suffix":""},{"dropping-particle":"","family":"Kristensen","given":"Peter","non-dropping-particle":"","parse-names":false,"suffix":""},{"dropping-particle":"","family":"Mann","given":"Johannes F.E.","non-dropping-particle":"","parse-names":false,"suffix":""},{"dropping-particle":"","family":"Nauck","given":"Michael A.","non-dropping-particle":"","parse-names":false,"suffix":""},{"dropping-particle":"","family":"Nissen","given":"Steven E.","non-dropping-particle":"","parse-names":false,"suffix":""},{"dropping-particle":"","family":"Pocock","given":"Stuart","non-dropping-particle":"","parse-names":false,"suffix":""},{"dropping-particle":"","family":"Poulter","given":"Neil R.","non-dropping-particle":"","parse-names":false,"suffix":""},{"dropping-particle":"","family":"Ravn","given":"Lasse S.","non-dropping-particle":"","parse-names":false,"suffix":""},{"dropping-particle":"","family":"Steinberg","given":"William M.","non-dropping-particle":"","parse-names":false,"suffix":""},{"dropping-particle":"","family":"Stockner","given":"Mette","non-dropping-particle":"","parse-names":false,"suffix":""},{"dropping-particle":"","family":"Zinman","given":"Bernard","non-dropping-particle":"","parse-names":false,"suffix":""},{"dropping-particle":"","family":"Bergenstal","given":"Richard M.","non-dropping-particle":"","parse-names":false,"suffix":""},{"dropping-particle":"","family":"Buse","given":"John B.","non-dropping-particle":"","parse-names":false,"suffix":""}],"container-title":"New England Journal of Medicine","id":"ITEM-1","issue":"4","issued":{"date-parts":[["2016","7","28"]]},"page":"311-322","publisher":"Massachussetts Medical Society","title":"Liraglutide and cardiovascular outcomes in type 2 diabetes","type":"article-journal","volume":"375"},"uris":["http://www.mendeley.com/documents/?uuid=d13f89be-e293-3aea-8ed5-426b4a97f223"]},{"id":"ITEM-2","itemData":{"DOI":"10.1016/S0140-6736(19)31149-3","ISSN":"1474547X","PMID":"31189511","abstract":"Background: Three different glucagon-like peptide-1 (GLP-1) receptor agonists reduce cardiovascular outcomes in people with type 2 diabetes at high cardiovascular risk with high glycated haemoglobin A1c (HbA1c) concentrations. We assessed the effect of the GLP-1 receptor agonist dulaglutide on major adverse cardiovascular events when added to the existing antihyperglycaemic regimens of individuals with type 2 diabetes with and without previous cardiovascular disease and a wide range of glycaemic control. Methods: This multicentre, randomised, double-blind, placebo-controlled trial was done at 371 sites in 24 countries. Men and women aged at least 50 years with type 2 diabetes who had either a previous cardiovascular event or cardiovascular risk factors were randomly assigned (1:1) to either weekly subcutaneous injection of dulaglutide (1·5 mg) or placebo. Randomisation was done by a computer-generated random code with stratification by site. All investigators and participants were masked to treatment assignment. Participants were followed up at least every 6 months for incident cardiovascular and other serious clinical outcomes. The primary outcome was the first occurrence of the composite endpoint of non-fatal myocardial infarction, non-fatal stroke, or death from cardiovascular causes (including unknown causes), which was assessed in the intention-to-treat population. This study is registered with ClinicalTrials.gov, number NCT01394952. Findings: Between Aug 18, 2011, and Aug 14, 2013, 9901 participants (mean age 66·2 years [SD 6·5], median HbA1c 7·2% [IQR 6·6–8·1], 4589 [46·3%] women) were enrolled and randomly assigned to receive dulaglutide (n=4949) or placebo (n=4952). During a median follow-up of 5·4 years (IQR 5·1–5·9), the primary composite outcome occurred in 594 (12·0%) participants at an incidence rate of 2·4 per 100 person-years in the dulaglutide group and in 663 (13·4%) participants at an incidence rate of 2·7 per 100 person-years in the placebo group (hazard ratio [HR] 0·88, 95% CI 0·79–0·99; p=0·026). All-cause mortality did not differ between groups (536 [10·8%] in the dulaglutide group vs 592 [12·0%] in the placebo group; HR 0·90, 95% CI 0·80–1·01; p=0·067). 2347 (47·4%) participants assigned to dulaglutide reported a gastrointestinal adverse event during follow-up compared with 1687 (34·1%) participants assigned to placebo (p&lt;0·0001). Interpretation: Dulaglutide could be considered for the management of glycaemic control in middle-ag…","author":[{"dropping-particle":"","family":"Gerstein","given":"Hertzel C.","non-dropping-particle":"","parse-names":false,"suffix":""},{"dropping-particle":"","family":"Colhoun","given":"Helen M.","non-dropping-particle":"","parse-names":false,"suffix":""},{"dropping-particle":"","family":"Dagenais","given":"Gilles R.","non-dropping-particle":"","parse-names":false,"suffix":""},{"dropping-particle":"","family":"Diaz","given":"Rafael","non-dropping-particle":"","parse-names":false,"suffix":""},{"dropping-particle":"","family":"Lakshmanan","given":"Mark","non-dropping-particle":"","parse-names":false,"suffix":""},{"dropping-particle":"","family":"Pais","given":"Prem","non-dropping-particle":"","parse-names":false,"suffix":""}],"container-title":"The Lancet","id":"ITEM-2","issue":"10193","issued":{"date-parts":[["2019"]]},"page":"121-130","title":"Dulaglutide and cardiovascular outcomes in type 2 diabetes (REWIND): a double-blind, randomised placebo-controlled trial","type":"article-journal","volume":"394"},"uris":["http://www.mendeley.com/documents/?uuid=e54b8f4d-db75-4296-b516-f358e43f3bfc"]}],"mendeley":{"formattedCitation":"(215,216)","plainTextFormattedCitation":"(215,216)","previouslyFormattedCitation":"(212,213)"},"properties":{"noteIndex":0},"schema":"https://github.com/citation-style-language/schema/raw/master/csl-citation.json"}</w:instrText>
      </w:r>
      <w:r w:rsidRPr="004661E9">
        <w:rPr>
          <w:rStyle w:val="Strong"/>
          <w:rFonts w:ascii="Arial" w:hAnsi="Arial" w:cs="Arial"/>
          <w:b w:val="0"/>
          <w:bCs w:val="0"/>
        </w:rPr>
        <w:fldChar w:fldCharType="separate"/>
      </w:r>
      <w:r w:rsidR="00D162D8" w:rsidRPr="004661E9">
        <w:rPr>
          <w:rStyle w:val="Strong"/>
          <w:rFonts w:ascii="Arial" w:hAnsi="Arial" w:cs="Arial"/>
          <w:b w:val="0"/>
          <w:bCs w:val="0"/>
          <w:noProof/>
        </w:rPr>
        <w:t>(215,216)</w:t>
      </w:r>
      <w:r w:rsidRPr="004661E9">
        <w:rPr>
          <w:rStyle w:val="Strong"/>
          <w:rFonts w:ascii="Arial" w:hAnsi="Arial" w:cs="Arial"/>
          <w:b w:val="0"/>
          <w:bCs w:val="0"/>
        </w:rPr>
        <w:fldChar w:fldCharType="end"/>
      </w:r>
      <w:r w:rsidR="009B2FA1" w:rsidRPr="004661E9">
        <w:rPr>
          <w:rStyle w:val="Strong"/>
          <w:rFonts w:ascii="Arial" w:hAnsi="Arial" w:cs="Arial"/>
          <w:b w:val="0"/>
          <w:bCs w:val="0"/>
        </w:rPr>
        <w:t>.</w:t>
      </w:r>
      <w:r w:rsidRPr="004661E9">
        <w:rPr>
          <w:rStyle w:val="Strong"/>
          <w:rFonts w:ascii="Arial" w:hAnsi="Arial" w:cs="Arial"/>
          <w:b w:val="0"/>
          <w:bCs w:val="0"/>
        </w:rPr>
        <w:t xml:space="preserve"> </w:t>
      </w:r>
      <w:r w:rsidR="001C412B" w:rsidRPr="004661E9">
        <w:rPr>
          <w:rStyle w:val="Strong"/>
          <w:rFonts w:ascii="Arial" w:hAnsi="Arial" w:cs="Arial"/>
          <w:b w:val="0"/>
          <w:bCs w:val="0"/>
        </w:rPr>
        <w:t xml:space="preserve">Efpeglenatide was the only GLP-RA that significantly reduced HF hospitalization as a secondary end-point in a major CVOT, including T2DM patients with a history of CVD or CKD </w:t>
      </w:r>
      <w:r w:rsidR="001C412B" w:rsidRPr="004661E9">
        <w:rPr>
          <w:rStyle w:val="Strong"/>
          <w:rFonts w:ascii="Arial" w:hAnsi="Arial" w:cs="Arial"/>
          <w:b w:val="0"/>
          <w:bCs w:val="0"/>
        </w:rPr>
        <w:fldChar w:fldCharType="begin" w:fldLock="1"/>
      </w:r>
      <w:r w:rsidR="00D162D8" w:rsidRPr="004661E9">
        <w:rPr>
          <w:rStyle w:val="Strong"/>
          <w:rFonts w:ascii="Arial" w:hAnsi="Arial" w:cs="Arial"/>
          <w:b w:val="0"/>
          <w:bCs w:val="0"/>
        </w:rPr>
        <w:instrText>ADDIN CSL_CITATION {"citationItems":[{"id":"ITEM-1","itemData":{"DOI":"10.1056/nejmoa2108269","ISSN":"0028-4793","PMID":"34215025","abstract":"Abstract Background Four glucagon-like peptide-1 (GLP-1) receptor agonists that are structurally similar to human GLP-1 have been shown to reduce the risk of adverse cardiovascular events among per...","author":[{"dropping-particle":"","family":"Gerstein","given":"Hertzel C.","non-dropping-particle":"","parse-names":false,"suffix":""},{"dropping-particle":"","family":"Sattar","given":"Naveed","non-dropping-particle":"","parse-names":false,"suffix":""},{"dropping-particle":"","family":"Rosenstock","given":"Julio","non-dropping-particle":"","parse-names":false,"suffix":""},{"dropping-particle":"","family":"Ramasundarahettige","given":"Chinthanie","non-dropping-particle":"","parse-names":false,"suffix":""},{"dropping-particle":"","family":"Pratley","given":"Richard","non-dropping-particle":"","parse-names":false,"suffix":""},{"dropping-particle":"","family":"Lopes","given":"Renato D.","non-dropping-particle":"","parse-names":false,"suffix":""},{"dropping-particle":"","family":"Lam","given":"Carolyn S.P.","non-dropping-particle":"","parse-names":false,"suffix":""},{"dropping-particle":"","family":"Khurmi","given":"Nardev S.","non-dropping-particle":"","parse-names":false,"suffix":""},{"dropping-particle":"","family":"Heenan","given":"Laura","non-dropping-particle":"","parse-names":false,"suffix":""},{"dropping-particle":"","family":"Prato","given":"Stefano","non-dropping-particle":"Del","parse-names":false,"suffix":""},{"dropping-particle":"","family":"Dyal","given":"Leanne","non-dropping-particle":"","parse-names":false,"suffix":""},{"dropping-particle":"","family":"Branch","given":"Kelley","non-dropping-particle":"","parse-names":false,"suffix":""}],"container-title":"New England Journal of Medicine","id":"ITEM-1","issue":"10","issued":{"date-parts":[["2021"]]},"page":"896-907","title":"Cardiovascular and Renal Outcomes with Efpeglenatide in Type 2 Diabetes","type":"article-journal","volume":"385"},"uris":["http://www.mendeley.com/documents/?uuid=acf1b017-f54b-48c5-b4fc-149d68e725c9"]}],"mendeley":{"formattedCitation":"(217)","plainTextFormattedCitation":"(217)","previouslyFormattedCitation":"(214)"},"properties":{"noteIndex":0},"schema":"https://github.com/citation-style-language/schema/raw/master/csl-citation.json"}</w:instrText>
      </w:r>
      <w:r w:rsidR="001C412B" w:rsidRPr="004661E9">
        <w:rPr>
          <w:rStyle w:val="Strong"/>
          <w:rFonts w:ascii="Arial" w:hAnsi="Arial" w:cs="Arial"/>
          <w:b w:val="0"/>
          <w:bCs w:val="0"/>
        </w:rPr>
        <w:fldChar w:fldCharType="separate"/>
      </w:r>
      <w:r w:rsidR="00D162D8" w:rsidRPr="004661E9">
        <w:rPr>
          <w:rStyle w:val="Strong"/>
          <w:rFonts w:ascii="Arial" w:hAnsi="Arial" w:cs="Arial"/>
          <w:b w:val="0"/>
          <w:bCs w:val="0"/>
          <w:noProof/>
        </w:rPr>
        <w:t>(217)</w:t>
      </w:r>
      <w:r w:rsidR="001C412B" w:rsidRPr="004661E9">
        <w:rPr>
          <w:rStyle w:val="Strong"/>
          <w:rFonts w:ascii="Arial" w:hAnsi="Arial" w:cs="Arial"/>
          <w:b w:val="0"/>
          <w:bCs w:val="0"/>
        </w:rPr>
        <w:fldChar w:fldCharType="end"/>
      </w:r>
      <w:r w:rsidR="001C412B" w:rsidRPr="004661E9">
        <w:rPr>
          <w:rStyle w:val="Strong"/>
          <w:rFonts w:ascii="Arial" w:hAnsi="Arial" w:cs="Arial"/>
          <w:b w:val="0"/>
          <w:bCs w:val="0"/>
        </w:rPr>
        <w:t xml:space="preserve">. </w:t>
      </w:r>
      <w:r w:rsidR="00D2537D" w:rsidRPr="004661E9">
        <w:rPr>
          <w:rStyle w:val="Strong"/>
          <w:rFonts w:ascii="Arial" w:hAnsi="Arial" w:cs="Arial"/>
          <w:b w:val="0"/>
          <w:bCs w:val="0"/>
        </w:rPr>
        <w:t>U.S. FDA has not yet approved this agent</w:t>
      </w:r>
      <w:r w:rsidR="001C412B" w:rsidRPr="004661E9">
        <w:rPr>
          <w:rStyle w:val="Strong"/>
          <w:rFonts w:ascii="Arial" w:hAnsi="Arial" w:cs="Arial"/>
          <w:b w:val="0"/>
          <w:bCs w:val="0"/>
        </w:rPr>
        <w:t xml:space="preserve">. </w:t>
      </w:r>
    </w:p>
    <w:p w14:paraId="0C7EB205" w14:textId="77777777" w:rsidR="001C412B" w:rsidRPr="004661E9" w:rsidRDefault="001C412B" w:rsidP="004661E9">
      <w:pPr>
        <w:spacing w:after="0" w:line="276" w:lineRule="auto"/>
        <w:rPr>
          <w:rStyle w:val="Strong"/>
          <w:rFonts w:ascii="Arial" w:hAnsi="Arial" w:cs="Arial"/>
          <w:b w:val="0"/>
          <w:bCs w:val="0"/>
        </w:rPr>
      </w:pPr>
    </w:p>
    <w:p w14:paraId="34827938" w14:textId="236885F5" w:rsidR="009775BD" w:rsidRPr="004661E9" w:rsidRDefault="00D2537D" w:rsidP="004661E9">
      <w:pPr>
        <w:spacing w:after="0" w:line="276" w:lineRule="auto"/>
        <w:rPr>
          <w:rFonts w:ascii="Arial" w:hAnsi="Arial" w:cs="Arial"/>
        </w:rPr>
      </w:pPr>
      <w:r w:rsidRPr="004661E9">
        <w:rPr>
          <w:rStyle w:val="Strong"/>
          <w:rFonts w:ascii="Arial" w:hAnsi="Arial" w:cs="Arial"/>
          <w:b w:val="0"/>
          <w:bCs w:val="0"/>
        </w:rPr>
        <w:t>S</w:t>
      </w:r>
      <w:r w:rsidR="001C412B" w:rsidRPr="004661E9">
        <w:rPr>
          <w:rStyle w:val="Strong"/>
          <w:rFonts w:ascii="Arial" w:hAnsi="Arial" w:cs="Arial"/>
          <w:b w:val="0"/>
          <w:bCs w:val="0"/>
        </w:rPr>
        <w:t>ome early s</w:t>
      </w:r>
      <w:r w:rsidR="003C6242" w:rsidRPr="004661E9">
        <w:rPr>
          <w:rStyle w:val="Strong"/>
          <w:rFonts w:ascii="Arial" w:hAnsi="Arial" w:cs="Arial"/>
          <w:b w:val="0"/>
          <w:bCs w:val="0"/>
        </w:rPr>
        <w:t>mall</w:t>
      </w:r>
      <w:r w:rsidR="006C2ECE" w:rsidRPr="004661E9">
        <w:rPr>
          <w:rStyle w:val="Strong"/>
          <w:rFonts w:ascii="Arial" w:hAnsi="Arial" w:cs="Arial"/>
          <w:b w:val="0"/>
          <w:bCs w:val="0"/>
        </w:rPr>
        <w:t>-</w:t>
      </w:r>
      <w:r w:rsidR="003C6242" w:rsidRPr="004661E9">
        <w:rPr>
          <w:rStyle w:val="Strong"/>
          <w:rFonts w:ascii="Arial" w:hAnsi="Arial" w:cs="Arial"/>
          <w:b w:val="0"/>
          <w:bCs w:val="0"/>
        </w:rPr>
        <w:t xml:space="preserve">size trials raised concerns for </w:t>
      </w:r>
      <w:r w:rsidR="00ED2FF9" w:rsidRPr="004661E9">
        <w:rPr>
          <w:rStyle w:val="Strong"/>
          <w:rFonts w:ascii="Arial" w:hAnsi="Arial" w:cs="Arial"/>
          <w:b w:val="0"/>
          <w:bCs w:val="0"/>
        </w:rPr>
        <w:t xml:space="preserve">increased risk of hospitalization or arrhythmia </w:t>
      </w:r>
      <w:r w:rsidR="00A90040" w:rsidRPr="004661E9">
        <w:rPr>
          <w:rStyle w:val="Strong"/>
          <w:rFonts w:ascii="Arial" w:hAnsi="Arial" w:cs="Arial"/>
          <w:b w:val="0"/>
          <w:bCs w:val="0"/>
        </w:rPr>
        <w:t>in response to GLP</w:t>
      </w:r>
      <w:r w:rsidR="00943F2B" w:rsidRPr="004661E9">
        <w:rPr>
          <w:rStyle w:val="Strong"/>
          <w:rFonts w:ascii="Arial" w:hAnsi="Arial" w:cs="Arial"/>
          <w:b w:val="0"/>
          <w:bCs w:val="0"/>
        </w:rPr>
        <w:t>1</w:t>
      </w:r>
      <w:r w:rsidR="00A90040" w:rsidRPr="004661E9">
        <w:rPr>
          <w:rStyle w:val="Strong"/>
          <w:rFonts w:ascii="Arial" w:hAnsi="Arial" w:cs="Arial"/>
          <w:b w:val="0"/>
          <w:bCs w:val="0"/>
        </w:rPr>
        <w:t>-RA treatment in patients HFrEF</w:t>
      </w:r>
      <w:r w:rsidR="00216D71" w:rsidRPr="004661E9">
        <w:rPr>
          <w:rStyle w:val="Strong"/>
          <w:rFonts w:ascii="Arial" w:hAnsi="Arial" w:cs="Arial"/>
          <w:b w:val="0"/>
          <w:bCs w:val="0"/>
        </w:rPr>
        <w:t xml:space="preserve"> </w:t>
      </w:r>
      <w:r w:rsidR="00216D71" w:rsidRPr="004661E9">
        <w:rPr>
          <w:rStyle w:val="Strong"/>
          <w:rFonts w:ascii="Arial" w:hAnsi="Arial" w:cs="Arial"/>
          <w:b w:val="0"/>
          <w:bCs w:val="0"/>
        </w:rPr>
        <w:fldChar w:fldCharType="begin" w:fldLock="1"/>
      </w:r>
      <w:r w:rsidR="00D162D8" w:rsidRPr="004661E9">
        <w:rPr>
          <w:rStyle w:val="Strong"/>
          <w:rFonts w:ascii="Arial" w:hAnsi="Arial" w:cs="Arial"/>
          <w:b w:val="0"/>
          <w:bCs w:val="0"/>
        </w:rPr>
        <w:instrText>ADDIN CSL_CITATION {"citationItems":[{"id":"ITEM-1","itemData":{"author":[{"dropping-particle":"","family":"Ferreira","given":"João Pedro","non-dropping-particle":"","parse-names":false,"suffix":""},{"dropping-particle":"","family":"Sharma","given":"Abhinav","non-dropping-particle":"","parse-names":false,"suffix":""},{"dropping-particle":"","family":"Butler","given":"Javed","non-dropping-particle":"","parse-names":false,"suffix":""},{"dropping-particle":"","family":"Packer","given":"Milton","non-dropping-particle":"","parse-names":false,"suffix":""},{"dropping-particle":"","family":"Zannad","given":"Faiez","non-dropping-particle":"","parse-names":false,"suffix":""},{"dropping-particle":"","family":"Vasques-nóvoa","given":"Francisco","non-dropping-particle":"","parse-names":false,"suffix":""},{"dropping-particle":"","family":"Leite-moreira","given":"Adelino","non-dropping-particle":"","parse-names":false,"suffix":""},{"dropping-particle":"","family":"Neves","given":"João Sérgio","non-dropping-particle":"","parse-names":false,"suffix":""}],"id":"ITEM-1","issue":"July","issued":{"date-parts":[["2023"]]},"page":"1-6","title":"Glucagon-Like Peptide-1 Receptor Agonists Across the Spectrum of Heart Failure","type":"article-journal"},"uris":["http://www.mendeley.com/documents/?uuid=2317bd4a-83c7-47a3-a75f-69f5030eac00"]}],"mendeley":{"formattedCitation":"(218)","plainTextFormattedCitation":"(218)","previouslyFormattedCitation":"(215)"},"properties":{"noteIndex":0},"schema":"https://github.com/citation-style-language/schema/raw/master/csl-citation.json"}</w:instrText>
      </w:r>
      <w:r w:rsidR="00216D71" w:rsidRPr="004661E9">
        <w:rPr>
          <w:rStyle w:val="Strong"/>
          <w:rFonts w:ascii="Arial" w:hAnsi="Arial" w:cs="Arial"/>
          <w:b w:val="0"/>
          <w:bCs w:val="0"/>
        </w:rPr>
        <w:fldChar w:fldCharType="separate"/>
      </w:r>
      <w:r w:rsidR="00D162D8" w:rsidRPr="004661E9">
        <w:rPr>
          <w:rStyle w:val="Strong"/>
          <w:rFonts w:ascii="Arial" w:hAnsi="Arial" w:cs="Arial"/>
          <w:b w:val="0"/>
          <w:bCs w:val="0"/>
          <w:noProof/>
        </w:rPr>
        <w:t>(218)</w:t>
      </w:r>
      <w:r w:rsidR="00216D71" w:rsidRPr="004661E9">
        <w:rPr>
          <w:rStyle w:val="Strong"/>
          <w:rFonts w:ascii="Arial" w:hAnsi="Arial" w:cs="Arial"/>
          <w:b w:val="0"/>
          <w:bCs w:val="0"/>
        </w:rPr>
        <w:fldChar w:fldCharType="end"/>
      </w:r>
      <w:r w:rsidR="00A90040" w:rsidRPr="004661E9">
        <w:rPr>
          <w:rStyle w:val="Strong"/>
          <w:rFonts w:ascii="Arial" w:hAnsi="Arial" w:cs="Arial"/>
          <w:b w:val="0"/>
          <w:bCs w:val="0"/>
        </w:rPr>
        <w:t xml:space="preserve">. </w:t>
      </w:r>
      <w:r w:rsidR="00442AE8" w:rsidRPr="004661E9">
        <w:rPr>
          <w:rStyle w:val="Strong"/>
          <w:rFonts w:ascii="Arial" w:hAnsi="Arial" w:cs="Arial"/>
          <w:b w:val="0"/>
          <w:bCs w:val="0"/>
        </w:rPr>
        <w:t xml:space="preserve">However, </w:t>
      </w:r>
      <w:r w:rsidR="0066679D" w:rsidRPr="004661E9">
        <w:rPr>
          <w:rFonts w:ascii="Arial" w:hAnsi="Arial" w:cs="Arial"/>
        </w:rPr>
        <w:t>A recent meta-analysis of 7 RCTs</w:t>
      </w:r>
      <w:r w:rsidR="006C2ECE" w:rsidRPr="004661E9">
        <w:rPr>
          <w:rFonts w:ascii="Arial" w:hAnsi="Arial" w:cs="Arial"/>
        </w:rPr>
        <w:t>,</w:t>
      </w:r>
      <w:r w:rsidR="0066679D" w:rsidRPr="004661E9">
        <w:rPr>
          <w:rFonts w:ascii="Arial" w:hAnsi="Arial" w:cs="Arial"/>
        </w:rPr>
        <w:t xml:space="preserve"> including </w:t>
      </w:r>
      <w:r w:rsidR="00465AEC" w:rsidRPr="004661E9">
        <w:rPr>
          <w:rFonts w:ascii="Arial" w:hAnsi="Arial" w:cs="Arial"/>
        </w:rPr>
        <w:t>54</w:t>
      </w:r>
      <w:r w:rsidR="003B5689">
        <w:rPr>
          <w:rFonts w:ascii="Arial" w:hAnsi="Arial" w:cs="Arial"/>
        </w:rPr>
        <w:t>,</w:t>
      </w:r>
      <w:r w:rsidR="00465AEC" w:rsidRPr="004661E9">
        <w:rPr>
          <w:rFonts w:ascii="Arial" w:hAnsi="Arial" w:cs="Arial"/>
        </w:rPr>
        <w:t>092 ambulatory patients with T2DM</w:t>
      </w:r>
      <w:r w:rsidR="006C2ECE" w:rsidRPr="004661E9">
        <w:rPr>
          <w:rFonts w:ascii="Arial" w:hAnsi="Arial" w:cs="Arial"/>
        </w:rPr>
        <w:t>,</w:t>
      </w:r>
      <w:r w:rsidR="00465AEC" w:rsidRPr="004661E9">
        <w:rPr>
          <w:rFonts w:ascii="Arial" w:hAnsi="Arial" w:cs="Arial"/>
        </w:rPr>
        <w:t xml:space="preserve"> </w:t>
      </w:r>
      <w:r w:rsidR="00EB31C1" w:rsidRPr="004661E9">
        <w:rPr>
          <w:rFonts w:ascii="Arial" w:hAnsi="Arial" w:cs="Arial"/>
        </w:rPr>
        <w:t xml:space="preserve">revealed that </w:t>
      </w:r>
      <w:r w:rsidR="00394C3A" w:rsidRPr="004661E9">
        <w:rPr>
          <w:rFonts w:ascii="Arial" w:hAnsi="Arial" w:cs="Arial"/>
        </w:rPr>
        <w:t>GLP1-R</w:t>
      </w:r>
      <w:r w:rsidR="000C5CC2" w:rsidRPr="004661E9">
        <w:rPr>
          <w:rFonts w:ascii="Arial" w:hAnsi="Arial" w:cs="Arial"/>
        </w:rPr>
        <w:t>A</w:t>
      </w:r>
      <w:r w:rsidR="00394C3A" w:rsidRPr="004661E9">
        <w:rPr>
          <w:rFonts w:ascii="Arial" w:hAnsi="Arial" w:cs="Arial"/>
        </w:rPr>
        <w:t>s reduce</w:t>
      </w:r>
      <w:r w:rsidR="00DF2CA0" w:rsidRPr="004661E9">
        <w:rPr>
          <w:rFonts w:ascii="Arial" w:hAnsi="Arial" w:cs="Arial"/>
        </w:rPr>
        <w:t>d</w:t>
      </w:r>
      <w:r w:rsidR="00394C3A" w:rsidRPr="004661E9">
        <w:rPr>
          <w:rFonts w:ascii="Arial" w:hAnsi="Arial" w:cs="Arial"/>
        </w:rPr>
        <w:t xml:space="preserve"> </w:t>
      </w:r>
      <w:r w:rsidR="00A9371C" w:rsidRPr="004661E9">
        <w:rPr>
          <w:rFonts w:ascii="Arial" w:hAnsi="Arial" w:cs="Arial"/>
        </w:rPr>
        <w:t xml:space="preserve">the </w:t>
      </w:r>
      <w:r w:rsidR="00D0638B" w:rsidRPr="004661E9">
        <w:rPr>
          <w:rFonts w:ascii="Arial" w:hAnsi="Arial" w:cs="Arial"/>
        </w:rPr>
        <w:t xml:space="preserve">composite of HF hospitalization </w:t>
      </w:r>
      <w:r w:rsidR="00A9371C" w:rsidRPr="004661E9">
        <w:rPr>
          <w:rFonts w:ascii="Arial" w:hAnsi="Arial" w:cs="Arial"/>
        </w:rPr>
        <w:t xml:space="preserve">and </w:t>
      </w:r>
      <w:r w:rsidR="00D0638B" w:rsidRPr="004661E9">
        <w:rPr>
          <w:rFonts w:ascii="Arial" w:hAnsi="Arial" w:cs="Arial"/>
        </w:rPr>
        <w:t>CV</w:t>
      </w:r>
      <w:r w:rsidR="00D87EEE" w:rsidRPr="004661E9">
        <w:rPr>
          <w:rFonts w:ascii="Arial" w:hAnsi="Arial" w:cs="Arial"/>
        </w:rPr>
        <w:t>D</w:t>
      </w:r>
      <w:r w:rsidR="00D0638B" w:rsidRPr="004661E9">
        <w:rPr>
          <w:rFonts w:ascii="Arial" w:hAnsi="Arial" w:cs="Arial"/>
        </w:rPr>
        <w:t xml:space="preserve"> death</w:t>
      </w:r>
      <w:r w:rsidR="00A9371C" w:rsidRPr="004661E9">
        <w:rPr>
          <w:rFonts w:ascii="Arial" w:hAnsi="Arial" w:cs="Arial"/>
        </w:rPr>
        <w:t xml:space="preserve"> (</w:t>
      </w:r>
      <w:r w:rsidR="000C5CC2" w:rsidRPr="004661E9">
        <w:rPr>
          <w:rFonts w:ascii="Arial" w:hAnsi="Arial" w:cs="Arial"/>
        </w:rPr>
        <w:t>HR 0.84, 95% CI: 0.76-0.92.</w:t>
      </w:r>
      <w:r w:rsidR="00A9371C" w:rsidRPr="004661E9">
        <w:rPr>
          <w:rFonts w:ascii="Arial" w:hAnsi="Arial" w:cs="Arial"/>
        </w:rPr>
        <w:t>) in patients withou</w:t>
      </w:r>
      <w:r w:rsidR="000C5CC2" w:rsidRPr="004661E9">
        <w:rPr>
          <w:rFonts w:ascii="Arial" w:hAnsi="Arial" w:cs="Arial"/>
        </w:rPr>
        <w:t>t</w:t>
      </w:r>
      <w:r w:rsidR="00A9371C" w:rsidRPr="004661E9">
        <w:rPr>
          <w:rFonts w:ascii="Arial" w:hAnsi="Arial" w:cs="Arial"/>
        </w:rPr>
        <w:t xml:space="preserve"> a prior history of HF. </w:t>
      </w:r>
      <w:r w:rsidR="00C609FE" w:rsidRPr="004661E9">
        <w:rPr>
          <w:rFonts w:ascii="Arial" w:hAnsi="Arial" w:cs="Arial"/>
        </w:rPr>
        <w:t xml:space="preserve">However, compared to placebo, GLP1-RAs </w:t>
      </w:r>
      <w:r w:rsidR="008F728D" w:rsidRPr="004661E9">
        <w:rPr>
          <w:rFonts w:ascii="Arial" w:hAnsi="Arial" w:cs="Arial"/>
        </w:rPr>
        <w:t>did not reduce the same outcome in patients with a pr</w:t>
      </w:r>
      <w:r w:rsidR="006C2ECE" w:rsidRPr="004661E9">
        <w:rPr>
          <w:rFonts w:ascii="Arial" w:hAnsi="Arial" w:cs="Arial"/>
        </w:rPr>
        <w:t>evious</w:t>
      </w:r>
      <w:r w:rsidR="008F728D" w:rsidRPr="004661E9">
        <w:rPr>
          <w:rFonts w:ascii="Arial" w:hAnsi="Arial" w:cs="Arial"/>
        </w:rPr>
        <w:t xml:space="preserve"> history of HF</w:t>
      </w:r>
      <w:r w:rsidR="003352F4" w:rsidRPr="004661E9">
        <w:rPr>
          <w:rFonts w:ascii="Arial" w:hAnsi="Arial" w:cs="Arial"/>
        </w:rPr>
        <w:t xml:space="preserve"> </w:t>
      </w:r>
      <w:r w:rsidR="00AE6373" w:rsidRPr="004661E9">
        <w:rPr>
          <w:rFonts w:ascii="Arial" w:hAnsi="Arial" w:cs="Arial"/>
        </w:rPr>
        <w:fldChar w:fldCharType="begin" w:fldLock="1"/>
      </w:r>
      <w:r w:rsidR="00D162D8" w:rsidRPr="004661E9">
        <w:rPr>
          <w:rFonts w:ascii="Arial" w:hAnsi="Arial" w:cs="Arial"/>
        </w:rPr>
        <w:instrText>ADDIN CSL_CITATION {"citationItems":[{"id":"ITEM-1","itemData":{"DOI":"10.1111/dom.14997","ISSN":"14631326","PMID":"36722252","abstract":"Aim: Glucagon-like peptide 1 receptor agonists (GLP1-RA) reduce atherosclerotic events in patients with type 2 diabetes (T2D) and a high cardiovascular risk. The effect of GLP1-RA to reduce heart failure (HF) has been inconsistent across T2D trials, and individual trials were underpowered to assess the effect of GLP1-RA according to HF history. In this meta-analysis we aim to assess the effect of GLP1-RA in patients with and without HF history in stable ambulatory patients with T2D. Methods: Random-effects meta-analysis of placebo-controlled trials. The hazard ratio (HR) and 95% confidence intervals (95% CI) were extracted from the treatment effect estimates of HF subgroup analyses reported in each individual study. The primary outcome was a composite of HF hospitalization or cardiovascular death. Results: In total, 54 092 patients with T2D from seven randomized controlled trials were included, of whom 8460 (16%) had HF history. Compared with placebo, GLP1-RA did not reduce the composite of HF hospitalization or cardiovascular death in patients with HF history: HR 0.96, 95% CI: 0.84-1.08, but reduced this outcome in patients without HF history: HR 0.84, 95% CI: 0.76-0.92. GLP1-RA did not reduce all-cause death in patients with HF history: HR 0.98, 95% CI: 0.86-1.11, but reduced mortality in patients without HF history: HR 0.85, 95% CI: 0.79-0.92. GLP1-RA reduced atherosclerotic events regardless of HF history: HR 0.85, 95% CI: 0.75-0.97 with HF, and HR 0.88, 95% CI: 0.83-0.93 without HF. Conclusions: Treatment with GLP1-RA did not reduce HF hospitalizations and mortality in patients with concomitant T2D and HF, but may prevent new-onset HF and mortality in patients with T2D without HF. The reduction of atherosclerotic events with GLP1-RA was not influenced by HF history status.","author":[{"dropping-particle":"","family":"Ferreira","given":"João Pedro","non-dropping-particle":"","parse-names":false,"suffix":""},{"dropping-particle":"","family":"Saraiva","given":"Francisca","non-dropping-particle":"","parse-names":false,"suffix":""},{"dropping-particle":"","family":"Sharma","given":"Abhinav","non-dropping-particle":"","parse-names":false,"suffix":""},{"dropping-particle":"","family":"Vasques-Nóvoa","given":"Francisco","non-dropping-particle":"","parse-names":false,"suffix":""},{"dropping-particle":"","family":"Angélico-Gonçalves","given":"António","non-dropping-particle":"","parse-names":false,"suffix":""},{"dropping-particle":"","family":"Leite","given":"Ana Rita","non-dropping-particle":"","parse-names":false,"suffix":""},{"dropping-particle":"","family":"Borges-Canha","given":"Marta","non-dropping-particle":"","parse-names":false,"suffix":""},{"dropping-particle":"","family":"Carvalho","given":"Davide","non-dropping-particle":"","parse-names":false,"suffix":""},{"dropping-particle":"","family":"Packer","given":"Milton","non-dropping-particle":"","parse-names":false,"suffix":""},{"dropping-particle":"","family":"Zannad","given":"Faiez","non-dropping-particle":"","parse-names":false,"suffix":""},{"dropping-particle":"","family":"Leite-Moreira","given":"Adelino","non-dropping-particle":"","parse-names":false,"suffix":""},{"dropping-particle":"","family":"Neves","given":"João Sérgio","non-dropping-particle":"","parse-names":false,"suffix":""}],"container-title":"Diabetes, Obesity and Metabolism","id":"ITEM-1","issue":"6","issued":{"date-parts":[["2023"]]},"page":"1495-1502","title":"Glucagon-like peptide 1 receptor agonists in patients with type 2 diabetes with and without chronic heart failure: A meta-analysis of randomized placebo-controlled outcome trials","type":"article-journal","volume":"25"},"uris":["http://www.mendeley.com/documents/?uuid=f9682c9c-d1b5-4de8-bc2a-afcb2c877073"]}],"mendeley":{"formattedCitation":"(219)","plainTextFormattedCitation":"(219)","previouslyFormattedCitation":"(216)"},"properties":{"noteIndex":0},"schema":"https://github.com/citation-style-language/schema/raw/master/csl-citation.json"}</w:instrText>
      </w:r>
      <w:r w:rsidR="00AE6373" w:rsidRPr="004661E9">
        <w:rPr>
          <w:rFonts w:ascii="Arial" w:hAnsi="Arial" w:cs="Arial"/>
        </w:rPr>
        <w:fldChar w:fldCharType="separate"/>
      </w:r>
      <w:r w:rsidR="00D162D8" w:rsidRPr="004661E9">
        <w:rPr>
          <w:rFonts w:ascii="Arial" w:hAnsi="Arial" w:cs="Arial"/>
          <w:noProof/>
        </w:rPr>
        <w:t>(219)</w:t>
      </w:r>
      <w:r w:rsidR="00AE6373" w:rsidRPr="004661E9">
        <w:rPr>
          <w:rFonts w:ascii="Arial" w:hAnsi="Arial" w:cs="Arial"/>
        </w:rPr>
        <w:fldChar w:fldCharType="end"/>
      </w:r>
      <w:r w:rsidR="006C2ECE" w:rsidRPr="004661E9">
        <w:rPr>
          <w:rFonts w:ascii="Arial" w:hAnsi="Arial" w:cs="Arial"/>
        </w:rPr>
        <w:t>.</w:t>
      </w:r>
      <w:r w:rsidR="003352F4" w:rsidRPr="004661E9">
        <w:rPr>
          <w:rFonts w:ascii="Arial" w:hAnsi="Arial" w:cs="Arial"/>
        </w:rPr>
        <w:t xml:space="preserve"> Based on available data, GLP</w:t>
      </w:r>
      <w:r w:rsidR="00943F2B" w:rsidRPr="004661E9">
        <w:rPr>
          <w:rFonts w:ascii="Arial" w:hAnsi="Arial" w:cs="Arial"/>
        </w:rPr>
        <w:t>1</w:t>
      </w:r>
      <w:r w:rsidR="003352F4" w:rsidRPr="004661E9">
        <w:rPr>
          <w:rFonts w:ascii="Arial" w:hAnsi="Arial" w:cs="Arial"/>
        </w:rPr>
        <w:t xml:space="preserve">-RAs may </w:t>
      </w:r>
      <w:r w:rsidR="006C2ECE" w:rsidRPr="004661E9">
        <w:rPr>
          <w:rFonts w:ascii="Arial" w:hAnsi="Arial" w:cs="Arial"/>
        </w:rPr>
        <w:t>potentially prevent</w:t>
      </w:r>
      <w:r w:rsidR="003352F4" w:rsidRPr="004661E9">
        <w:rPr>
          <w:rFonts w:ascii="Arial" w:hAnsi="Arial" w:cs="Arial"/>
        </w:rPr>
        <w:t xml:space="preserve"> HF in patients with </w:t>
      </w:r>
      <w:r w:rsidR="000B6E99" w:rsidRPr="004661E9">
        <w:rPr>
          <w:rFonts w:ascii="Arial" w:hAnsi="Arial" w:cs="Arial"/>
        </w:rPr>
        <w:t xml:space="preserve">no history of HF. However, </w:t>
      </w:r>
      <w:r w:rsidR="00C047AA" w:rsidRPr="004661E9">
        <w:rPr>
          <w:rFonts w:ascii="Arial" w:hAnsi="Arial" w:cs="Arial"/>
        </w:rPr>
        <w:t>GLP</w:t>
      </w:r>
      <w:r w:rsidR="00943F2B" w:rsidRPr="004661E9">
        <w:rPr>
          <w:rFonts w:ascii="Arial" w:hAnsi="Arial" w:cs="Arial"/>
        </w:rPr>
        <w:t>1</w:t>
      </w:r>
      <w:r w:rsidR="00C047AA" w:rsidRPr="004661E9">
        <w:rPr>
          <w:rFonts w:ascii="Arial" w:hAnsi="Arial" w:cs="Arial"/>
        </w:rPr>
        <w:t xml:space="preserve">-RAs do not appear to reduce HF-related events in patients with a history of </w:t>
      </w:r>
      <w:r w:rsidR="009342AE" w:rsidRPr="004661E9">
        <w:rPr>
          <w:rFonts w:ascii="Arial" w:hAnsi="Arial" w:cs="Arial"/>
        </w:rPr>
        <w:t>HF</w:t>
      </w:r>
      <w:r w:rsidR="00471A81" w:rsidRPr="004661E9">
        <w:rPr>
          <w:rFonts w:ascii="Arial" w:hAnsi="Arial" w:cs="Arial"/>
        </w:rPr>
        <w:t xml:space="preserve"> and coexisting diabetes</w:t>
      </w:r>
      <w:r w:rsidR="009342AE" w:rsidRPr="004661E9">
        <w:rPr>
          <w:rFonts w:ascii="Arial" w:hAnsi="Arial" w:cs="Arial"/>
        </w:rPr>
        <w:t xml:space="preserve"> </w:t>
      </w:r>
      <w:r w:rsidR="009342AE" w:rsidRPr="004661E9">
        <w:rPr>
          <w:rFonts w:ascii="Arial" w:hAnsi="Arial" w:cs="Arial"/>
        </w:rPr>
        <w:fldChar w:fldCharType="begin" w:fldLock="1"/>
      </w:r>
      <w:r w:rsidR="00D162D8" w:rsidRPr="004661E9">
        <w:rPr>
          <w:rFonts w:ascii="Arial" w:hAnsi="Arial" w:cs="Arial"/>
        </w:rPr>
        <w:instrText>ADDIN CSL_CITATION {"citationItems":[{"id":"ITEM-1","itemData":{"author":[{"dropping-particle":"","family":"Ferreira","given":"João Pedro","non-dropping-particle":"","parse-names":false,"suffix":""},{"dropping-particle":"","family":"Sharma","given":"Abhinav","non-dropping-particle":"","parse-names":false,"suffix":""},{"dropping-particle":"","family":"Butler","given":"Javed","non-dropping-particle":"","parse-names":false,"suffix":""},{"dropping-particle":"","family":"Packer","given":"Milton","non-dropping-particle":"","parse-names":false,"suffix":""},{"dropping-particle":"","family":"Zannad","given":"Faiez","non-dropping-particle":"","parse-names":false,"suffix":""},{"dropping-particle":"","family":"Vasques-nóvoa","given":"Francisco","non-dropping-particle":"","parse-names":false,"suffix":""},{"dropping-particle":"","family":"Leite-moreira","given":"Adelino","non-dropping-particle":"","parse-names":false,"suffix":""},{"dropping-particle":"","family":"Neves","given":"João Sérgio","non-dropping-particle":"","parse-names":false,"suffix":""}],"id":"ITEM-1","issue":"July","issued":{"date-parts":[["2023"]]},"page":"1-6","title":"Glucagon-Like Peptide-1 Receptor Agonists Across the Spectrum of Heart Failure","type":"article-journal"},"uris":["http://www.mendeley.com/documents/?uuid=2317bd4a-83c7-47a3-a75f-69f5030eac00"]}],"mendeley":{"formattedCitation":"(218)","plainTextFormattedCitation":"(218)","previouslyFormattedCitation":"(215)"},"properties":{"noteIndex":0},"schema":"https://github.com/citation-style-language/schema/raw/master/csl-citation.json"}</w:instrText>
      </w:r>
      <w:r w:rsidR="009342AE" w:rsidRPr="004661E9">
        <w:rPr>
          <w:rFonts w:ascii="Arial" w:hAnsi="Arial" w:cs="Arial"/>
        </w:rPr>
        <w:fldChar w:fldCharType="separate"/>
      </w:r>
      <w:r w:rsidR="00D162D8" w:rsidRPr="004661E9">
        <w:rPr>
          <w:rFonts w:ascii="Arial" w:hAnsi="Arial" w:cs="Arial"/>
          <w:noProof/>
        </w:rPr>
        <w:t>(218)</w:t>
      </w:r>
      <w:r w:rsidR="009342AE" w:rsidRPr="004661E9">
        <w:rPr>
          <w:rFonts w:ascii="Arial" w:hAnsi="Arial" w:cs="Arial"/>
        </w:rPr>
        <w:fldChar w:fldCharType="end"/>
      </w:r>
      <w:r w:rsidR="009342AE" w:rsidRPr="004661E9">
        <w:rPr>
          <w:rFonts w:ascii="Arial" w:hAnsi="Arial" w:cs="Arial"/>
        </w:rPr>
        <w:t xml:space="preserve">. </w:t>
      </w:r>
    </w:p>
    <w:p w14:paraId="6E29FF38" w14:textId="77777777" w:rsidR="009775BD" w:rsidRPr="004661E9" w:rsidRDefault="009775BD" w:rsidP="004661E9">
      <w:pPr>
        <w:spacing w:after="0" w:line="276" w:lineRule="auto"/>
        <w:rPr>
          <w:rFonts w:ascii="Arial" w:hAnsi="Arial" w:cs="Arial"/>
        </w:rPr>
      </w:pPr>
    </w:p>
    <w:p w14:paraId="21D49818" w14:textId="412AC094" w:rsidR="0049543A" w:rsidRPr="004661E9" w:rsidRDefault="009775BD" w:rsidP="004661E9">
      <w:pPr>
        <w:spacing w:after="0" w:line="276" w:lineRule="auto"/>
        <w:rPr>
          <w:rFonts w:ascii="Arial" w:hAnsi="Arial" w:cs="Arial"/>
        </w:rPr>
      </w:pPr>
      <w:r w:rsidRPr="004661E9">
        <w:rPr>
          <w:rFonts w:ascii="Arial" w:hAnsi="Arial" w:cs="Arial"/>
        </w:rPr>
        <w:t>GLP1-RAs (i.e.</w:t>
      </w:r>
      <w:r w:rsidR="006C2ECE" w:rsidRPr="004661E9">
        <w:rPr>
          <w:rFonts w:ascii="Arial" w:hAnsi="Arial" w:cs="Arial"/>
        </w:rPr>
        <w:t>,</w:t>
      </w:r>
      <w:r w:rsidRPr="004661E9">
        <w:rPr>
          <w:rFonts w:ascii="Arial" w:hAnsi="Arial" w:cs="Arial"/>
        </w:rPr>
        <w:t xml:space="preserve"> </w:t>
      </w:r>
      <w:r w:rsidR="00DD7C85" w:rsidRPr="004661E9">
        <w:rPr>
          <w:rFonts w:ascii="Arial" w:hAnsi="Arial" w:cs="Arial"/>
        </w:rPr>
        <w:t>liraglutide and semaglutide</w:t>
      </w:r>
      <w:r w:rsidRPr="004661E9">
        <w:rPr>
          <w:rFonts w:ascii="Arial" w:hAnsi="Arial" w:cs="Arial"/>
        </w:rPr>
        <w:t>)</w:t>
      </w:r>
      <w:r w:rsidR="00DD7C85" w:rsidRPr="004661E9">
        <w:rPr>
          <w:rFonts w:ascii="Arial" w:hAnsi="Arial" w:cs="Arial"/>
        </w:rPr>
        <w:t xml:space="preserve"> ha</w:t>
      </w:r>
      <w:r w:rsidR="006C2ECE" w:rsidRPr="004661E9">
        <w:rPr>
          <w:rFonts w:ascii="Arial" w:hAnsi="Arial" w:cs="Arial"/>
        </w:rPr>
        <w:t>ve</w:t>
      </w:r>
      <w:r w:rsidR="00DD7C85" w:rsidRPr="004661E9">
        <w:rPr>
          <w:rFonts w:ascii="Arial" w:hAnsi="Arial" w:cs="Arial"/>
        </w:rPr>
        <w:t xml:space="preserve"> also been approved </w:t>
      </w:r>
      <w:r w:rsidR="005D02A7" w:rsidRPr="004661E9">
        <w:rPr>
          <w:rFonts w:ascii="Arial" w:hAnsi="Arial" w:cs="Arial"/>
        </w:rPr>
        <w:t xml:space="preserve">as a medical therapy for weight loss in </w:t>
      </w:r>
      <w:r w:rsidR="00066811" w:rsidRPr="004661E9">
        <w:rPr>
          <w:rFonts w:ascii="Arial" w:hAnsi="Arial" w:cs="Arial"/>
        </w:rPr>
        <w:t xml:space="preserve">non-diabetic </w:t>
      </w:r>
      <w:r w:rsidR="007E7CE5" w:rsidRPr="004661E9">
        <w:rPr>
          <w:rFonts w:ascii="Arial" w:hAnsi="Arial" w:cs="Arial"/>
        </w:rPr>
        <w:t>individuals</w:t>
      </w:r>
      <w:r w:rsidR="005D02A7" w:rsidRPr="004661E9">
        <w:rPr>
          <w:rFonts w:ascii="Arial" w:hAnsi="Arial" w:cs="Arial"/>
        </w:rPr>
        <w:t xml:space="preserve"> with overweight or obesity</w:t>
      </w:r>
      <w:r w:rsidR="00F917BB" w:rsidRPr="004661E9">
        <w:rPr>
          <w:rFonts w:ascii="Arial" w:hAnsi="Arial" w:cs="Arial"/>
        </w:rPr>
        <w:t xml:space="preserve">. And in a landmark trial, </w:t>
      </w:r>
      <w:r w:rsidR="0036100B" w:rsidRPr="004661E9">
        <w:rPr>
          <w:rFonts w:ascii="Arial" w:hAnsi="Arial" w:cs="Arial"/>
        </w:rPr>
        <w:t xml:space="preserve">treatment with </w:t>
      </w:r>
      <w:r w:rsidR="00F917BB" w:rsidRPr="004661E9">
        <w:rPr>
          <w:rFonts w:ascii="Arial" w:hAnsi="Arial" w:cs="Arial"/>
        </w:rPr>
        <w:t>tirzep</w:t>
      </w:r>
      <w:r w:rsidR="00BC317E" w:rsidRPr="004661E9">
        <w:rPr>
          <w:rFonts w:ascii="Arial" w:hAnsi="Arial" w:cs="Arial"/>
        </w:rPr>
        <w:t>a</w:t>
      </w:r>
      <w:r w:rsidR="00F917BB" w:rsidRPr="004661E9">
        <w:rPr>
          <w:rFonts w:ascii="Arial" w:hAnsi="Arial" w:cs="Arial"/>
        </w:rPr>
        <w:t>tide</w:t>
      </w:r>
      <w:r w:rsidR="00B628EC" w:rsidRPr="004661E9">
        <w:rPr>
          <w:rFonts w:ascii="Arial" w:hAnsi="Arial" w:cs="Arial"/>
        </w:rPr>
        <w:t>,</w:t>
      </w:r>
      <w:r w:rsidR="008F728D" w:rsidRPr="004661E9">
        <w:rPr>
          <w:rFonts w:ascii="Arial" w:hAnsi="Arial" w:cs="Arial"/>
        </w:rPr>
        <w:t xml:space="preserve"> </w:t>
      </w:r>
      <w:r w:rsidR="00B628EC" w:rsidRPr="004661E9">
        <w:rPr>
          <w:rFonts w:ascii="Arial" w:hAnsi="Arial" w:cs="Arial"/>
        </w:rPr>
        <w:t xml:space="preserve">a novel </w:t>
      </w:r>
      <w:r w:rsidR="00E6740C" w:rsidRPr="004661E9">
        <w:rPr>
          <w:rFonts w:ascii="Arial" w:hAnsi="Arial" w:cs="Arial"/>
        </w:rPr>
        <w:t xml:space="preserve">combined </w:t>
      </w:r>
      <w:r w:rsidR="00B628EC" w:rsidRPr="004661E9">
        <w:rPr>
          <w:rFonts w:ascii="Arial" w:hAnsi="Arial" w:cs="Arial"/>
        </w:rPr>
        <w:t>glucose-dependent insulinotropic polypeptide and</w:t>
      </w:r>
      <w:r w:rsidR="00E6740C" w:rsidRPr="004661E9">
        <w:rPr>
          <w:rFonts w:ascii="Arial" w:hAnsi="Arial" w:cs="Arial"/>
        </w:rPr>
        <w:t xml:space="preserve"> GLP</w:t>
      </w:r>
      <w:r w:rsidR="00943F2B" w:rsidRPr="004661E9">
        <w:rPr>
          <w:rFonts w:ascii="Arial" w:hAnsi="Arial" w:cs="Arial"/>
        </w:rPr>
        <w:t>1</w:t>
      </w:r>
      <w:r w:rsidR="00E6740C" w:rsidRPr="004661E9">
        <w:rPr>
          <w:rFonts w:ascii="Arial" w:hAnsi="Arial" w:cs="Arial"/>
        </w:rPr>
        <w:t>-RA</w:t>
      </w:r>
      <w:r w:rsidR="00B628EC" w:rsidRPr="004661E9">
        <w:rPr>
          <w:rFonts w:ascii="Arial" w:hAnsi="Arial" w:cs="Arial"/>
        </w:rPr>
        <w:t>,</w:t>
      </w:r>
      <w:r w:rsidR="0036100B" w:rsidRPr="004661E9">
        <w:rPr>
          <w:rFonts w:ascii="Arial" w:hAnsi="Arial" w:cs="Arial"/>
        </w:rPr>
        <w:t xml:space="preserve"> led to substantial and sustained weight loss</w:t>
      </w:r>
      <w:r w:rsidR="006311FE" w:rsidRPr="004661E9">
        <w:rPr>
          <w:rFonts w:ascii="Arial" w:hAnsi="Arial" w:cs="Arial"/>
        </w:rPr>
        <w:t xml:space="preserve"> and improvement of cardiometabolic parameters </w:t>
      </w:r>
      <w:r w:rsidR="00B94241" w:rsidRPr="004661E9">
        <w:rPr>
          <w:rFonts w:ascii="Arial" w:hAnsi="Arial" w:cs="Arial"/>
        </w:rPr>
        <w:t xml:space="preserve">in </w:t>
      </w:r>
      <w:r w:rsidR="007E7CE5" w:rsidRPr="004661E9">
        <w:rPr>
          <w:rFonts w:ascii="Arial" w:hAnsi="Arial" w:cs="Arial"/>
        </w:rPr>
        <w:t>individuals</w:t>
      </w:r>
      <w:r w:rsidR="00B94241" w:rsidRPr="004661E9">
        <w:rPr>
          <w:rFonts w:ascii="Arial" w:hAnsi="Arial" w:cs="Arial"/>
        </w:rPr>
        <w:t xml:space="preserve"> with obesity</w:t>
      </w:r>
      <w:r w:rsidR="00716503" w:rsidRPr="004661E9">
        <w:rPr>
          <w:rFonts w:ascii="Arial" w:hAnsi="Arial" w:cs="Arial"/>
        </w:rPr>
        <w:t xml:space="preserve"> </w:t>
      </w:r>
      <w:r w:rsidR="00716503" w:rsidRPr="004661E9">
        <w:rPr>
          <w:rFonts w:ascii="Arial" w:hAnsi="Arial" w:cs="Arial"/>
        </w:rPr>
        <w:fldChar w:fldCharType="begin" w:fldLock="1"/>
      </w:r>
      <w:r w:rsidR="00D162D8" w:rsidRPr="004661E9">
        <w:rPr>
          <w:rFonts w:ascii="Arial" w:hAnsi="Arial" w:cs="Arial"/>
        </w:rPr>
        <w:instrText>ADDIN CSL_CITATION {"citationItems":[{"id":"ITEM-1","itemData":{"DOI":"10.1056/nejmoa2206038","ISSN":"0028-4793","PMID":"35658024","abstract":"BACKGROUND Obesity is a chronic disease that results in substantial global morbidity and mortality. The efficacy and safety of tirzepatide, a novel glucose-dependent insulinotropic polypeptide and glucagon-like peptide-1 receptor agonist, in people with obesity are not known. METHODS In this phase 3 double-blind, randomized, controlled trial, we assigned 2539 adults with a body-mass index (BMI; the weight in kilograms divided by the square of the height in meters) of 30 or more, or 27 or more and at least one weight-related complication, excluding diabetes, in a 1:1:1:1 ratio to receive once-weekly, subcutaneous tirzepatide (5 mg, 10 mg, or 15 mg) or placebo for 72 weeks, including a 20-week dose-escalation period. Coprimary end points were the percentage change in weight from baseline and a weight reduction of 5% or more. The treatment-regimen estimand assessed effects regardless of treatment discontinuation in the intention-to-treat population. RESULTS At baseline, the mean body weight was 104.8 kg, the mean BMI was 38.0, and 94.5% of participants had a BMI of 30 or higher. The mean percentage change in weight at week 72 was -15.0% (95% confidence interval [CI], -15.9 to -14.2) with 5-mg weekly doses of tirzepatide, -19.5% (95% CI, -20.4 to -18.5) with 10-mg doses, and -20.9% (95% CI, -21.8 to -19.9) with 15-mg doses and -3.1% (95% CI, -4.3 to -1.9) with placebo (P&lt;0.001 for all comparisons with placebo). The percentage of participants who had weight reduction of 5% or more was 85% (95% CI, 82 to 89), 89% (95% CI, 86 to 92), and 91% (95% CI, 88 to 94) with 5 mg, 10 mg, and 15 mg of tirzepatide, respectively, and 35% (95% CI, 30 to 39) with placebo; 50% (95% CI, 46 to 54) and 57% (95% CI, 53 to 61) of participants in the 10-mg and 15-mg groups had a reduction in body weight of 20% or more, as compared with 3% (95% CI, 1 to 5) in the placebo group (P&lt;0.001 for all comparisons with placebo). Improvements in all prespecified cardiometabolic measures were observed with tirzepatide. The most common adverse events with tirzepatide were gastrointestinal, and most were mild to moderate in severity, occurring primarily during dose escalation. Adverse events caused treatment discontinuation in 4.3%, 7.1%, 6.2%, and 2.6% of participants receiving 5-mg, 10-mg, and 15-mg tirzepatide doses and placebo, respectively. CONCLUSIONS In this 72-week trial in participants with obesity, 5 mg, 10 mg, or 15 mg of tirzepatide once weekly provided substantial and sustained redu…","author":[{"dropping-particle":"","family":"Jastreboff","given":"Ania M.","non-dropping-particle":"","parse-names":false,"suffix":""},{"dropping-particle":"","family":"Aronne","given":"Louis J.","non-dropping-particle":"","parse-names":false,"suffix":""},{"dropping-particle":"","family":"Ahmad","given":"Nadia N.","non-dropping-particle":"","parse-names":false,"suffix":""},{"dropping-particle":"","family":"Wharton","given":"Sean","non-dropping-particle":"","parse-names":false,"suffix":""},{"dropping-particle":"","family":"Connery","given":"Lisa","non-dropping-particle":"","parse-names":false,"suffix":""},{"dropping-particle":"","family":"Alves","given":"Breno","non-dropping-particle":"","parse-names":false,"suffix":""},{"dropping-particle":"","family":"Kiyosue","given":"Arihiro","non-dropping-particle":"","parse-names":false,"suffix":""},{"dropping-particle":"","family":"Zhang","given":"Shuyu","non-dropping-particle":"","parse-names":false,"suffix":""},{"dropping-particle":"","family":"Liu","given":"Bing","non-dropping-particle":"","parse-names":false,"suffix":""},{"dropping-particle":"","family":"Bunck","given":"Mathijs C.","non-dropping-particle":"","parse-names":false,"suffix":""},{"dropping-particle":"","family":"Stefanski","given":"Adam","non-dropping-particle":"","parse-names":false,"suffix":""}],"container-title":"New England Journal of Medicine","id":"ITEM-1","issue":"3","issued":{"date-parts":[["2022"]]},"page":"205-216","title":"Tirzepatide Once Weekly for the Treatment of Obesity","type":"article-journal","volume":"387"},"uris":["http://www.mendeley.com/documents/?uuid=dcedc1be-6fe7-4278-bbcf-6c58a6414375"]}],"mendeley":{"formattedCitation":"(220)","plainTextFormattedCitation":"(220)","previouslyFormattedCitation":"(217)"},"properties":{"noteIndex":0},"schema":"https://github.com/citation-style-language/schema/raw/master/csl-citation.json"}</w:instrText>
      </w:r>
      <w:r w:rsidR="00716503" w:rsidRPr="004661E9">
        <w:rPr>
          <w:rFonts w:ascii="Arial" w:hAnsi="Arial" w:cs="Arial"/>
        </w:rPr>
        <w:fldChar w:fldCharType="separate"/>
      </w:r>
      <w:r w:rsidR="00D162D8" w:rsidRPr="004661E9">
        <w:rPr>
          <w:rFonts w:ascii="Arial" w:hAnsi="Arial" w:cs="Arial"/>
          <w:noProof/>
        </w:rPr>
        <w:t>(220)</w:t>
      </w:r>
      <w:r w:rsidR="00716503" w:rsidRPr="004661E9">
        <w:rPr>
          <w:rFonts w:ascii="Arial" w:hAnsi="Arial" w:cs="Arial"/>
        </w:rPr>
        <w:fldChar w:fldCharType="end"/>
      </w:r>
      <w:r w:rsidR="00716503" w:rsidRPr="004661E9">
        <w:rPr>
          <w:rFonts w:ascii="Arial" w:hAnsi="Arial" w:cs="Arial"/>
        </w:rPr>
        <w:t xml:space="preserve">. </w:t>
      </w:r>
      <w:r w:rsidR="00D162D8" w:rsidRPr="004661E9">
        <w:rPr>
          <w:rFonts w:ascii="Arial" w:hAnsi="Arial" w:cs="Arial"/>
        </w:rPr>
        <w:t>Several ongoing CVOTs are</w:t>
      </w:r>
      <w:r w:rsidR="00225664" w:rsidRPr="004661E9">
        <w:rPr>
          <w:rFonts w:ascii="Arial" w:hAnsi="Arial" w:cs="Arial"/>
        </w:rPr>
        <w:t xml:space="preserve"> expected to shed light on</w:t>
      </w:r>
      <w:r w:rsidR="00A22963" w:rsidRPr="004661E9">
        <w:rPr>
          <w:rFonts w:ascii="Arial" w:hAnsi="Arial" w:cs="Arial"/>
        </w:rPr>
        <w:t xml:space="preserve"> </w:t>
      </w:r>
      <w:r w:rsidR="006C2ECE" w:rsidRPr="004661E9">
        <w:rPr>
          <w:rFonts w:ascii="Arial" w:hAnsi="Arial" w:cs="Arial"/>
        </w:rPr>
        <w:t xml:space="preserve">the </w:t>
      </w:r>
      <w:r w:rsidR="00A22963" w:rsidRPr="004661E9">
        <w:rPr>
          <w:rFonts w:ascii="Arial" w:hAnsi="Arial" w:cs="Arial"/>
        </w:rPr>
        <w:t>CV</w:t>
      </w:r>
      <w:r w:rsidR="00066811" w:rsidRPr="004661E9">
        <w:rPr>
          <w:rFonts w:ascii="Arial" w:hAnsi="Arial" w:cs="Arial"/>
        </w:rPr>
        <w:t xml:space="preserve">-related efficacy and safety </w:t>
      </w:r>
      <w:r w:rsidR="00A22963" w:rsidRPr="004661E9">
        <w:rPr>
          <w:rFonts w:ascii="Arial" w:hAnsi="Arial" w:cs="Arial"/>
        </w:rPr>
        <w:t xml:space="preserve">of semaglutide </w:t>
      </w:r>
      <w:r w:rsidR="00A6627D" w:rsidRPr="004661E9">
        <w:rPr>
          <w:rFonts w:ascii="Arial" w:hAnsi="Arial" w:cs="Arial"/>
        </w:rPr>
        <w:t>or</w:t>
      </w:r>
      <w:r w:rsidR="00A22963" w:rsidRPr="004661E9">
        <w:rPr>
          <w:rFonts w:ascii="Arial" w:hAnsi="Arial" w:cs="Arial"/>
        </w:rPr>
        <w:t xml:space="preserve"> tirzepatid</w:t>
      </w:r>
      <w:r w:rsidR="00A6627D" w:rsidRPr="004661E9">
        <w:rPr>
          <w:rFonts w:ascii="Arial" w:hAnsi="Arial" w:cs="Arial"/>
        </w:rPr>
        <w:t xml:space="preserve">e therapy in people with </w:t>
      </w:r>
      <w:r w:rsidR="007E7CE5" w:rsidRPr="004661E9">
        <w:rPr>
          <w:rFonts w:ascii="Arial" w:hAnsi="Arial" w:cs="Arial"/>
        </w:rPr>
        <w:t xml:space="preserve">obesity or overweight but without diabetes. </w:t>
      </w:r>
    </w:p>
    <w:p w14:paraId="37C5E8A2" w14:textId="3E7A5822" w:rsidR="00D162D8" w:rsidRPr="004661E9" w:rsidRDefault="00D162D8" w:rsidP="004661E9">
      <w:pPr>
        <w:spacing w:after="0" w:line="276" w:lineRule="auto"/>
        <w:rPr>
          <w:rFonts w:ascii="Arial" w:hAnsi="Arial" w:cs="Arial"/>
        </w:rPr>
      </w:pPr>
    </w:p>
    <w:p w14:paraId="7693DC8D" w14:textId="175E6E52" w:rsidR="00D162D8" w:rsidRPr="004661E9" w:rsidRDefault="00D162D8" w:rsidP="004661E9">
      <w:pPr>
        <w:spacing w:after="0" w:line="276" w:lineRule="auto"/>
        <w:rPr>
          <w:rFonts w:ascii="Arial" w:hAnsi="Arial" w:cs="Arial"/>
          <w:shd w:val="clear" w:color="auto" w:fill="FFFFFF"/>
        </w:rPr>
      </w:pPr>
      <w:r w:rsidRPr="004661E9">
        <w:rPr>
          <w:rFonts w:ascii="Arial" w:hAnsi="Arial" w:cs="Arial"/>
          <w:shd w:val="clear" w:color="auto" w:fill="FFFFFF"/>
        </w:rPr>
        <w:t xml:space="preserve">STEP-HFpEF (Effect of Semaglutide 2.4 mg Once Weekly on Function and Symptoms in Subjects with Obesity-related Heart Failure with Preserved Ejection Fraction) trial has been the first RCT demonstrating the benefits of weight loss with a GLP1-RA in non-diabetic patients with HFpEF and obesity (BMI </w:t>
      </w:r>
      <m:oMath>
        <m:r>
          <w:rPr>
            <w:rFonts w:ascii="Cambria Math" w:hAnsi="Cambria Math" w:cs="Arial"/>
            <w:shd w:val="clear" w:color="auto" w:fill="FFFFFF"/>
          </w:rPr>
          <m:t>≥30</m:t>
        </m:r>
      </m:oMath>
      <w:r w:rsidRPr="004661E9">
        <w:rPr>
          <w:rFonts w:ascii="Arial" w:eastAsiaTheme="minorEastAsia" w:hAnsi="Arial" w:cs="Arial"/>
          <w:shd w:val="clear" w:color="auto" w:fill="FFFFFF"/>
        </w:rPr>
        <w:t xml:space="preserve"> </w:t>
      </w:r>
      <w:r w:rsidRPr="004661E9">
        <w:rPr>
          <w:rFonts w:ascii="Arial" w:hAnsi="Arial" w:cs="Arial"/>
          <w:shd w:val="clear" w:color="auto" w:fill="FFFFFF"/>
        </w:rPr>
        <w:t>kg/m</w:t>
      </w:r>
      <w:r w:rsidRPr="004661E9">
        <w:rPr>
          <w:rFonts w:ascii="Arial" w:hAnsi="Arial" w:cs="Arial"/>
          <w:shd w:val="clear" w:color="auto" w:fill="FFFFFF"/>
          <w:vertAlign w:val="superscript"/>
        </w:rPr>
        <w:t>2</w:t>
      </w:r>
      <w:r w:rsidRPr="004661E9">
        <w:rPr>
          <w:rFonts w:ascii="Arial" w:hAnsi="Arial" w:cs="Arial"/>
          <w:shd w:val="clear" w:color="auto" w:fill="FFFFFF"/>
        </w:rPr>
        <w:t xml:space="preserve">) </w:t>
      </w:r>
      <w:r w:rsidRPr="004661E9">
        <w:rPr>
          <w:rFonts w:ascii="Arial" w:hAnsi="Arial" w:cs="Arial"/>
          <w:shd w:val="clear" w:color="auto" w:fill="FFFFFF"/>
        </w:rPr>
        <w:fldChar w:fldCharType="begin" w:fldLock="1"/>
      </w:r>
      <w:r w:rsidRPr="004661E9">
        <w:rPr>
          <w:rFonts w:ascii="Arial" w:hAnsi="Arial" w:cs="Arial"/>
          <w:shd w:val="clear" w:color="auto" w:fill="FFFFFF"/>
        </w:rPr>
        <w:instrText>ADDIN CSL_CITATION {"citationItems":[{"id":"ITEM-1","itemData":{"DOI":"10.1056/NEJMoa2306963","ISSN":"1533-4406","PMID":"37622681","abstract":"BACKGROUND Heart failure with preserved ejection fraction is increasing in prevalence and is associated with a high symptom burden and functional impairment, especially in persons with obesity. No therapies have been approved to target obesity-related heart failure with preserved ejection fraction. METHODS We randomly assigned 529 patients who had heart failure with preserved ejection fraction and a body-mass index (the weight in kilograms divided by the square of the height in meters) of 30 or higher to receive once-weekly semaglutide (2.4 mg) or placebo for 52 weeks. The dual primary end points were the change from baseline in the Kansas City Cardiomyopathy Questionnaire clinical summary score (KCCQ-CSS; scores range from 0 to 100, with higher scores indicating fewer symptoms and physical limitations) and the change in body weight. Confirmatory secondary end points included the change in the 6-minute walk distance; a hierarchical composite end point that included death, heart failure events, and differences in the change in the KCCQ-CSS and 6-minute walk distance; and the change in the C-reactive protein (CRP) level. RESULTS The mean change in the KCCQ-CSS was 16.6 points with semaglutide and 8.7 points with placebo (estimated difference, 7.8 points; 95% confidence interval [CI], 4.8 to 10.9; P&lt;0.001), and the mean percentage change in body weight was -13.3% with semaglutide and -2.6% with placebo (estimated difference, -10.7 percentage points; 95% CI, -11.9 to -9.4; P&lt;0.001). The mean change in the 6-minute walk distance was 21.5 m with semaglutide and 1.2 m with placebo (estimated difference, 20.3 m; 95% CI, 8.6 to 32.1; P&lt;0.001). In the analysis of the hierarchical composite end point, semaglutide produced more wins than placebo (win ratio, 1.72; 95% CI, 1.37 to 2.15; P&lt;0.001). The mean percentage change in the CRP level was -43.5% with semaglutide and -7.3% with placebo (estimated treatment ratio, 0.61; 95% CI, 0.51 to 0.72; P&lt;0.001). Serious adverse events were reported in 35 participants (13.3%) in the semaglutide group and 71 (26.7%) in the placebo group. CONCLUSIONS In patients with heart failure with preserved ejection fraction and obesity, treatment with semaglutide (2.4 mg) led to larger reductions in symptoms and physical limitations, greater improvements in exercise function, and greater weight loss than placebo. (Funded by Novo Nordisk; STEP-HFpEF ClinicalTrials.gov number, NCT04788511.).","author":[{"dropping-particle":"","family":"Kosiborod","given":"Mikhail N","non-dropping-particle":"","parse-names":false,"suffix":""},{"dropping-particle":"","family":"Abildstrøm","given":"Steen Z","non-dropping-particle":"","parse-names":false,"suffix":""},{"dropping-particle":"","family":"Borlaug","given":"Barry A","non-dropping-particle":"","parse-names":false,"suffix":""},{"dropping-particle":"","family":"Butler","given":"Javed","non-dropping-particle":"","parse-names":false,"suffix":""},{"dropping-particle":"","family":"Rasmussen","given":"Søren","non-dropping-particle":"","parse-names":false,"suffix":""},{"dropping-particle":"","family":"Davies","given":"Melanie","non-dropping-particle":"","parse-names":false,"suffix":""},{"dropping-particle":"","family":"Hovingh","given":"G Kees","non-dropping-particle":"","parse-names":false,"suffix":""},{"dropping-particle":"","family":"Kitzman","given":"Dalane W","non-dropping-particle":"","parse-names":false,"suffix":""},{"dropping-particle":"","family":"Lindegaard","given":"Marie L","non-dropping-particle":"","parse-names":false,"suffix":""},{"dropping-particle":"V","family":"Møller","given":"Daniél","non-dropping-particle":"","parse-names":false,"suffix":""},{"dropping-particle":"","family":"Shah","given":"Sanjiv J","non-dropping-particle":"","parse-names":false,"suffix":""},{"dropping-particle":"","family":"Treppendahl","given":"Marianne B","non-dropping-particle":"","parse-names":false,"suffix":""},{"dropping-particle":"","family":"Verma","given":"Subodh","non-dropping-particle":"","parse-names":false,"suffix":""},{"dropping-particle":"","family":"Abhayaratna","given":"Walter","non-dropping-particle":"","parse-names":false,"suffix":""},{"dropping-particle":"","family":"Ahmed","given":"Fozia Z","non-dropping-particle":"","parse-names":false,"suffix":""},{"dropping-particle":"","family":"Chopra","given":"Vijay","non-dropping-particle":"","parse-names":false,"suffix":""},{"dropping-particle":"","family":"Ezekowitz","given":"Justin","non-dropping-particle":"","parse-names":false,"suffix":""},{"dropping-particle":"","family":"Fu","given":"Michael","non-dropping-particle":"","parse-names":false,"suffix":""},{"dropping-particle":"","family":"Ito","given":"Hiroshi","non-dropping-particle":"","parse-names":false,"suffix":""},{"dropping-particle":"","family":"Lelonek","given":"Małgorzata","non-dropping-particle":"","parse-names":false,"suffix":""},{"dropping-particle":"","family":"Melenovsky","given":"Vojtech","non-dropping-particle":"","parse-names":false,"suffix":""},{"dropping-particle":"","family":"Merkely","given":"Bela","non-dropping-particle":"","parse-names":false,"suffix":""},{"dropping-particle":"","family":"Núñez","given":"Julio","non-dropping-particle":"","parse-names":false,"suffix":""},{"dropping-particle":"","family":"Perna","given":"Eduardo","non-dropping-particle":"","parse-names":false,"suffix":""},{"dropping-particle":"","family":"Schou","given":"Morten","non-dropping-particle":"","parse-names":false,"suffix":""},{"dropping-particle":"","family":"Senni","given":"Michele","non-dropping-particle":"","parse-names":false,"suffix":""},{"dropping-particle":"","family":"Sharma","given":"Kavita","non-dropping-particle":"","parse-names":false,"suffix":""},{"dropping-particle":"","family":"Meer","given":"Peter","non-dropping-particle":"Van der","parse-names":false,"suffix":""},{"dropping-particle":"","family":"Lewinski","given":"Dirk","non-dropping-particle":"von","parse-names":false,"suffix":""},{"dropping-particle":"","family":"Wolf","given":"Dennis","non-dropping-particle":"","parse-names":false,"suffix":""},{"dropping-particle":"","family":"Petrie","given":"Mark C","non-dropping-particle":"","parse-names":false,"suffix":""},{"dropping-particle":"","family":"STEP-HFpEF Trial Committees and Investigators","given":"","non-dropping-particle":"","parse-names":false,"suffix":""}],"container-title":"The New England journal of medicine","id":"ITEM-1","issued":{"date-parts":[["2023"]]},"page":"1-16","title":"Semaglutide in Patients with Heart Failure with Preserved Ejection Fraction and Obesity.","type":"article-journal"},"uris":["http://www.mendeley.com/documents/?uuid=bd1c77bb-b338-4145-9601-2536ca54d9be"]}],"mendeley":{"formattedCitation":"(221)","plainTextFormattedCitation":"(221)"},"properties":{"noteIndex":0},"schema":"https://github.com/citation-style-language/schema/raw/master/csl-citation.json"}</w:instrText>
      </w:r>
      <w:r w:rsidRPr="004661E9">
        <w:rPr>
          <w:rFonts w:ascii="Arial" w:hAnsi="Arial" w:cs="Arial"/>
          <w:shd w:val="clear" w:color="auto" w:fill="FFFFFF"/>
        </w:rPr>
        <w:fldChar w:fldCharType="separate"/>
      </w:r>
      <w:r w:rsidRPr="004661E9">
        <w:rPr>
          <w:rFonts w:ascii="Arial" w:hAnsi="Arial" w:cs="Arial"/>
          <w:noProof/>
          <w:shd w:val="clear" w:color="auto" w:fill="FFFFFF"/>
        </w:rPr>
        <w:t>(221)</w:t>
      </w:r>
      <w:r w:rsidRPr="004661E9">
        <w:rPr>
          <w:rFonts w:ascii="Arial" w:hAnsi="Arial" w:cs="Arial"/>
          <w:shd w:val="clear" w:color="auto" w:fill="FFFFFF"/>
        </w:rPr>
        <w:fldChar w:fldCharType="end"/>
      </w:r>
      <w:r w:rsidRPr="004661E9">
        <w:rPr>
          <w:rFonts w:ascii="Arial" w:hAnsi="Arial" w:cs="Arial"/>
          <w:shd w:val="clear" w:color="auto" w:fill="FFFFFF"/>
        </w:rPr>
        <w:t>. In this trial, semaglutide once-weekly therapy for one year led to 13.3% weight loss and was associated with significant reductions in HF-related symptoms and physical limitations. In addition, patients treated with semaglutide experienced significant improvement in 6-minute wall distance and reduction levels of natriuretic peptide and c-reactive protein. Interestingly, fewer serious adverse events were observed with semaglutide than placebo.</w:t>
      </w:r>
      <w:r w:rsidR="00471A81" w:rsidRPr="004661E9">
        <w:rPr>
          <w:rFonts w:ascii="Arial" w:hAnsi="Arial" w:cs="Arial"/>
          <w:shd w:val="clear" w:color="auto" w:fill="FFFFFF"/>
        </w:rPr>
        <w:t xml:space="preserve"> This trial was not powered to evaluate mortality and HF hospitalization outcomes properly. Another ongoing trial is investigating the impact of semaglutide in patients with HFpEF, obesity, and T2DM. </w:t>
      </w:r>
    </w:p>
    <w:p w14:paraId="58A3C04D" w14:textId="4FCA9459" w:rsidR="009B2FA1" w:rsidRPr="004661E9" w:rsidRDefault="009B2FA1" w:rsidP="004661E9">
      <w:pPr>
        <w:spacing w:after="0" w:line="276" w:lineRule="auto"/>
        <w:rPr>
          <w:rFonts w:ascii="Arial" w:hAnsi="Arial" w:cs="Arial"/>
          <w:shd w:val="clear" w:color="auto" w:fill="FFFFFF"/>
        </w:rPr>
      </w:pPr>
    </w:p>
    <w:p w14:paraId="77459673" w14:textId="77777777" w:rsidR="00C830D2" w:rsidRPr="004661E9" w:rsidRDefault="00C830D2" w:rsidP="004661E9">
      <w:pPr>
        <w:spacing w:after="0" w:line="276" w:lineRule="auto"/>
        <w:rPr>
          <w:rFonts w:ascii="Arial" w:hAnsi="Arial" w:cs="Arial"/>
          <w:b/>
          <w:bCs/>
          <w:color w:val="00B050"/>
        </w:rPr>
      </w:pPr>
      <w:r w:rsidRPr="004661E9">
        <w:rPr>
          <w:rFonts w:ascii="Arial" w:hAnsi="Arial" w:cs="Arial"/>
          <w:b/>
          <w:bCs/>
          <w:color w:val="00B050"/>
        </w:rPr>
        <w:t>Metformin</w:t>
      </w:r>
    </w:p>
    <w:p w14:paraId="43A99EDB" w14:textId="77777777" w:rsidR="00C830D2" w:rsidRPr="004661E9" w:rsidRDefault="00C830D2" w:rsidP="004661E9">
      <w:pPr>
        <w:spacing w:after="0" w:line="276" w:lineRule="auto"/>
        <w:rPr>
          <w:rStyle w:val="Strong"/>
          <w:rFonts w:ascii="Arial" w:hAnsi="Arial" w:cs="Arial"/>
          <w:b w:val="0"/>
          <w:bCs w:val="0"/>
        </w:rPr>
      </w:pPr>
    </w:p>
    <w:p w14:paraId="62268B11" w14:textId="385882F6" w:rsidR="002E2244" w:rsidRPr="004661E9" w:rsidRDefault="00C830D2" w:rsidP="004661E9">
      <w:pPr>
        <w:spacing w:after="0" w:line="276" w:lineRule="auto"/>
        <w:rPr>
          <w:rStyle w:val="Strong"/>
          <w:rFonts w:ascii="Arial" w:hAnsi="Arial" w:cs="Arial"/>
          <w:b w:val="0"/>
          <w:bCs w:val="0"/>
        </w:rPr>
      </w:pPr>
      <w:r w:rsidRPr="004661E9">
        <w:rPr>
          <w:rStyle w:val="Strong"/>
          <w:rFonts w:ascii="Arial" w:hAnsi="Arial" w:cs="Arial"/>
          <w:b w:val="0"/>
          <w:bCs w:val="0"/>
        </w:rPr>
        <w:t xml:space="preserve">As per the </w:t>
      </w:r>
      <w:r w:rsidR="006C2ECE" w:rsidRPr="004661E9">
        <w:rPr>
          <w:rStyle w:val="Strong"/>
          <w:rFonts w:ascii="Arial" w:hAnsi="Arial" w:cs="Arial"/>
          <w:b w:val="0"/>
          <w:bCs w:val="0"/>
        </w:rPr>
        <w:t>recent</w:t>
      </w:r>
      <w:r w:rsidRPr="004661E9">
        <w:rPr>
          <w:rStyle w:val="Strong"/>
          <w:rFonts w:ascii="Arial" w:hAnsi="Arial" w:cs="Arial"/>
          <w:b w:val="0"/>
          <w:bCs w:val="0"/>
        </w:rPr>
        <w:t xml:space="preserve"> guidelines, metformin remains the preferred initial pharmacologic agent for t</w:t>
      </w:r>
      <w:r w:rsidR="006C2ECE" w:rsidRPr="004661E9">
        <w:rPr>
          <w:rStyle w:val="Strong"/>
          <w:rFonts w:ascii="Arial" w:hAnsi="Arial" w:cs="Arial"/>
          <w:b w:val="0"/>
          <w:bCs w:val="0"/>
        </w:rPr>
        <w:t>reating</w:t>
      </w:r>
      <w:r w:rsidRPr="004661E9">
        <w:rPr>
          <w:rStyle w:val="Strong"/>
          <w:rFonts w:ascii="Arial" w:hAnsi="Arial" w:cs="Arial"/>
          <w:b w:val="0"/>
          <w:bCs w:val="0"/>
        </w:rPr>
        <w:t xml:space="preserve"> T2DM </w:t>
      </w:r>
      <w:r w:rsidR="00017EAA" w:rsidRPr="004661E9">
        <w:rPr>
          <w:rStyle w:val="Strong"/>
          <w:rFonts w:ascii="Arial" w:hAnsi="Arial" w:cs="Arial"/>
          <w:b w:val="0"/>
          <w:bCs w:val="0"/>
        </w:rPr>
        <w:t>if the treatment goal is achiev</w:t>
      </w:r>
      <w:r w:rsidR="006C2ECE" w:rsidRPr="004661E9">
        <w:rPr>
          <w:rStyle w:val="Strong"/>
          <w:rFonts w:ascii="Arial" w:hAnsi="Arial" w:cs="Arial"/>
          <w:b w:val="0"/>
          <w:bCs w:val="0"/>
        </w:rPr>
        <w:t>ing and maintaining</w:t>
      </w:r>
      <w:r w:rsidR="00017EAA" w:rsidRPr="004661E9">
        <w:rPr>
          <w:rStyle w:val="Strong"/>
          <w:rFonts w:ascii="Arial" w:hAnsi="Arial" w:cs="Arial"/>
          <w:b w:val="0"/>
          <w:bCs w:val="0"/>
        </w:rPr>
        <w:t xml:space="preserve"> </w:t>
      </w:r>
      <w:r w:rsidR="00CB16A8" w:rsidRPr="004661E9">
        <w:rPr>
          <w:rStyle w:val="Strong"/>
          <w:rFonts w:ascii="Arial" w:hAnsi="Arial" w:cs="Arial"/>
          <w:b w:val="0"/>
          <w:bCs w:val="0"/>
        </w:rPr>
        <w:t>glycemic</w:t>
      </w:r>
      <w:r w:rsidR="00994D21" w:rsidRPr="004661E9">
        <w:rPr>
          <w:rStyle w:val="Strong"/>
          <w:rFonts w:ascii="Arial" w:hAnsi="Arial" w:cs="Arial"/>
          <w:b w:val="0"/>
          <w:bCs w:val="0"/>
        </w:rPr>
        <w:t xml:space="preserve"> control</w:t>
      </w:r>
      <w:r w:rsidR="00CB16A8" w:rsidRPr="004661E9">
        <w:rPr>
          <w:rStyle w:val="Strong"/>
          <w:rFonts w:ascii="Arial" w:hAnsi="Arial" w:cs="Arial"/>
          <w:b w:val="0"/>
          <w:bCs w:val="0"/>
        </w:rPr>
        <w:t xml:space="preserve"> and weight management </w:t>
      </w:r>
      <w:r w:rsidR="00414097" w:rsidRPr="004661E9">
        <w:rPr>
          <w:rStyle w:val="Strong"/>
          <w:rFonts w:ascii="Arial" w:hAnsi="Arial" w:cs="Arial"/>
          <w:b w:val="0"/>
          <w:bCs w:val="0"/>
        </w:rPr>
        <w:fldChar w:fldCharType="begin" w:fldLock="1"/>
      </w:r>
      <w:r w:rsidR="000962ED" w:rsidRPr="004661E9">
        <w:rPr>
          <w:rStyle w:val="Strong"/>
          <w:rFonts w:ascii="Arial" w:hAnsi="Arial" w:cs="Arial"/>
          <w:b w:val="0"/>
          <w:bCs w:val="0"/>
        </w:rPr>
        <w:instrText>ADDIN CSL_CITATION {"citationItems":[{"id":"ITEM-1","itemData":{"DOI":"10.2337/dc23-S009","ISSN":"19355548","PMID":"36507650","abstract":"The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Care","id":"ITEM-1","issue":"supp","issued":{"date-parts":[["2023"]]},"page":"S140-S157","title":"9. Pharmacologic Approaches to Glycemic Treatment: Standards of Care in Diabetes—2023","type":"article-journal","volume":"46"},"uris":["http://www.mendeley.com/documents/?uuid=a47bb03b-266b-42b6-9550-2b6ce5683bfd"]}],"mendeley":{"formattedCitation":"(23)","plainTextFormattedCitation":"(23)","previouslyFormattedCitation":"(23)"},"properties":{"noteIndex":0},"schema":"https://github.com/citation-style-language/schema/raw/master/csl-citation.json"}</w:instrText>
      </w:r>
      <w:r w:rsidR="00414097" w:rsidRPr="004661E9">
        <w:rPr>
          <w:rStyle w:val="Strong"/>
          <w:rFonts w:ascii="Arial" w:hAnsi="Arial" w:cs="Arial"/>
          <w:b w:val="0"/>
          <w:bCs w:val="0"/>
        </w:rPr>
        <w:fldChar w:fldCharType="separate"/>
      </w:r>
      <w:r w:rsidR="000962ED" w:rsidRPr="004661E9">
        <w:rPr>
          <w:rStyle w:val="Strong"/>
          <w:rFonts w:ascii="Arial" w:hAnsi="Arial" w:cs="Arial"/>
          <w:b w:val="0"/>
          <w:bCs w:val="0"/>
          <w:noProof/>
        </w:rPr>
        <w:t>(23)</w:t>
      </w:r>
      <w:r w:rsidR="00414097" w:rsidRPr="004661E9">
        <w:rPr>
          <w:rStyle w:val="Strong"/>
          <w:rFonts w:ascii="Arial" w:hAnsi="Arial" w:cs="Arial"/>
          <w:b w:val="0"/>
          <w:bCs w:val="0"/>
        </w:rPr>
        <w:fldChar w:fldCharType="end"/>
      </w:r>
      <w:r w:rsidRPr="004661E9">
        <w:rPr>
          <w:rStyle w:val="Strong"/>
          <w:rFonts w:ascii="Arial" w:hAnsi="Arial" w:cs="Arial"/>
          <w:b w:val="0"/>
          <w:bCs w:val="0"/>
        </w:rPr>
        <w:t>.</w:t>
      </w:r>
      <w:r w:rsidR="00AA3834" w:rsidRPr="004661E9">
        <w:rPr>
          <w:rStyle w:val="Strong"/>
          <w:rFonts w:ascii="Arial" w:hAnsi="Arial" w:cs="Arial"/>
          <w:b w:val="0"/>
          <w:bCs w:val="0"/>
        </w:rPr>
        <w:t xml:space="preserve"> </w:t>
      </w:r>
      <w:r w:rsidR="00994D21" w:rsidRPr="004661E9">
        <w:rPr>
          <w:rStyle w:val="Strong"/>
          <w:rFonts w:ascii="Arial" w:hAnsi="Arial" w:cs="Arial"/>
          <w:b w:val="0"/>
          <w:bCs w:val="0"/>
        </w:rPr>
        <w:t>T</w:t>
      </w:r>
      <w:r w:rsidR="00066811" w:rsidRPr="004661E9">
        <w:rPr>
          <w:rStyle w:val="Strong"/>
          <w:rFonts w:ascii="Arial" w:hAnsi="Arial" w:cs="Arial"/>
          <w:b w:val="0"/>
          <w:bCs w:val="0"/>
        </w:rPr>
        <w:t xml:space="preserve">he efficacy and safety of metformin in patients with HF have not been evaluated in dedicated prospective CVOTs. </w:t>
      </w:r>
      <w:r w:rsidR="00AE65F4" w:rsidRPr="004661E9">
        <w:rPr>
          <w:rStyle w:val="Strong"/>
          <w:rFonts w:ascii="Arial" w:hAnsi="Arial" w:cs="Arial"/>
          <w:b w:val="0"/>
          <w:bCs w:val="0"/>
        </w:rPr>
        <w:t>Therefore, m</w:t>
      </w:r>
      <w:r w:rsidR="00AA3834" w:rsidRPr="004661E9">
        <w:rPr>
          <w:rStyle w:val="Strong"/>
          <w:rFonts w:ascii="Arial" w:hAnsi="Arial" w:cs="Arial"/>
          <w:b w:val="0"/>
          <w:bCs w:val="0"/>
        </w:rPr>
        <w:t xml:space="preserve">etformin is no longer considered </w:t>
      </w:r>
      <w:r w:rsidR="006C2ECE" w:rsidRPr="004661E9">
        <w:rPr>
          <w:rStyle w:val="Strong"/>
          <w:rFonts w:ascii="Arial" w:hAnsi="Arial" w:cs="Arial"/>
          <w:b w:val="0"/>
          <w:bCs w:val="0"/>
        </w:rPr>
        <w:t>the first-line agent for cardiorenal renal risk reduction in T2DM</w:t>
      </w:r>
      <w:r w:rsidR="00DF0C1B" w:rsidRPr="004661E9">
        <w:rPr>
          <w:rStyle w:val="Strong"/>
          <w:rFonts w:ascii="Arial" w:hAnsi="Arial" w:cs="Arial"/>
          <w:b w:val="0"/>
          <w:bCs w:val="0"/>
        </w:rPr>
        <w:t xml:space="preserve"> patients with</w:t>
      </w:r>
      <w:r w:rsidR="00066811" w:rsidRPr="004661E9">
        <w:rPr>
          <w:rStyle w:val="Strong"/>
          <w:rFonts w:ascii="Arial" w:hAnsi="Arial" w:cs="Arial"/>
          <w:b w:val="0"/>
          <w:bCs w:val="0"/>
        </w:rPr>
        <w:t xml:space="preserve"> established or</w:t>
      </w:r>
      <w:r w:rsidR="00DF0C1B" w:rsidRPr="004661E9">
        <w:rPr>
          <w:rStyle w:val="Strong"/>
          <w:rFonts w:ascii="Arial" w:hAnsi="Arial" w:cs="Arial"/>
          <w:b w:val="0"/>
          <w:bCs w:val="0"/>
        </w:rPr>
        <w:t xml:space="preserve"> </w:t>
      </w:r>
      <w:r w:rsidR="002E2244" w:rsidRPr="004661E9">
        <w:rPr>
          <w:rStyle w:val="Strong"/>
          <w:rFonts w:ascii="Arial" w:hAnsi="Arial" w:cs="Arial"/>
          <w:b w:val="0"/>
          <w:bCs w:val="0"/>
        </w:rPr>
        <w:t>increased risk</w:t>
      </w:r>
      <w:r w:rsidR="00066811" w:rsidRPr="004661E9">
        <w:rPr>
          <w:rStyle w:val="Strong"/>
          <w:rFonts w:ascii="Arial" w:hAnsi="Arial" w:cs="Arial"/>
          <w:b w:val="0"/>
          <w:bCs w:val="0"/>
        </w:rPr>
        <w:t xml:space="preserve"> of</w:t>
      </w:r>
      <w:r w:rsidR="002E2244" w:rsidRPr="004661E9">
        <w:rPr>
          <w:rStyle w:val="Strong"/>
          <w:rFonts w:ascii="Arial" w:hAnsi="Arial" w:cs="Arial"/>
          <w:b w:val="0"/>
          <w:bCs w:val="0"/>
        </w:rPr>
        <w:t xml:space="preserve"> HF.</w:t>
      </w:r>
      <w:r w:rsidRPr="004661E9">
        <w:rPr>
          <w:rStyle w:val="Strong"/>
          <w:rFonts w:ascii="Arial" w:hAnsi="Arial" w:cs="Arial"/>
          <w:b w:val="0"/>
          <w:bCs w:val="0"/>
        </w:rPr>
        <w:t xml:space="preserve"> </w:t>
      </w:r>
      <w:r w:rsidR="008612F6" w:rsidRPr="004661E9">
        <w:rPr>
          <w:rStyle w:val="Strong"/>
          <w:rFonts w:ascii="Arial" w:hAnsi="Arial" w:cs="Arial"/>
          <w:b w:val="0"/>
          <w:bCs w:val="0"/>
        </w:rPr>
        <w:t>However, metformin can be used for glucose lowering</w:t>
      </w:r>
      <w:r w:rsidR="00F30172" w:rsidRPr="004661E9">
        <w:rPr>
          <w:rStyle w:val="Strong"/>
          <w:rFonts w:ascii="Arial" w:hAnsi="Arial" w:cs="Arial"/>
          <w:b w:val="0"/>
          <w:bCs w:val="0"/>
        </w:rPr>
        <w:t xml:space="preserve"> </w:t>
      </w:r>
      <w:r w:rsidR="006C2ECE" w:rsidRPr="004661E9">
        <w:rPr>
          <w:rStyle w:val="Strong"/>
          <w:rFonts w:ascii="Arial" w:hAnsi="Arial" w:cs="Arial"/>
          <w:b w:val="0"/>
          <w:bCs w:val="0"/>
        </w:rPr>
        <w:t>in patients with T2DM and stable HF if eGFR remains &gt;30 ml/min/1.73 m</w:t>
      </w:r>
      <w:r w:rsidR="006C2ECE" w:rsidRPr="004661E9">
        <w:rPr>
          <w:rStyle w:val="Strong"/>
          <w:rFonts w:ascii="Arial" w:hAnsi="Arial" w:cs="Arial"/>
          <w:b w:val="0"/>
          <w:bCs w:val="0"/>
          <w:vertAlign w:val="superscript"/>
        </w:rPr>
        <w:t>2</w:t>
      </w:r>
      <w:r w:rsidR="00994D21" w:rsidRPr="004661E9">
        <w:rPr>
          <w:rStyle w:val="Strong"/>
          <w:rFonts w:ascii="Arial" w:hAnsi="Arial" w:cs="Arial"/>
          <w:b w:val="0"/>
          <w:bCs w:val="0"/>
        </w:rPr>
        <w:t>. However, it</w:t>
      </w:r>
      <w:r w:rsidR="006C2ECE" w:rsidRPr="004661E9">
        <w:rPr>
          <w:rStyle w:val="Strong"/>
          <w:rFonts w:ascii="Arial" w:hAnsi="Arial" w:cs="Arial"/>
          <w:b w:val="0"/>
          <w:bCs w:val="0"/>
        </w:rPr>
        <w:t xml:space="preserve"> should be avoided in hospitalized patients</w:t>
      </w:r>
      <w:r w:rsidR="008864E5" w:rsidRPr="004661E9">
        <w:rPr>
          <w:rStyle w:val="Strong"/>
          <w:rFonts w:ascii="Arial" w:hAnsi="Arial" w:cs="Arial"/>
          <w:b w:val="0"/>
          <w:bCs w:val="0"/>
        </w:rPr>
        <w:t xml:space="preserve"> with HF </w:t>
      </w:r>
      <w:r w:rsidR="008864E5" w:rsidRPr="004661E9">
        <w:rPr>
          <w:rStyle w:val="Strong"/>
          <w:rFonts w:ascii="Arial" w:hAnsi="Arial" w:cs="Arial"/>
          <w:b w:val="0"/>
          <w:bCs w:val="0"/>
        </w:rPr>
        <w:fldChar w:fldCharType="begin" w:fldLock="1"/>
      </w:r>
      <w:r w:rsidR="001C412B" w:rsidRPr="004661E9">
        <w:rPr>
          <w:rStyle w:val="Strong"/>
          <w:rFonts w:ascii="Arial" w:hAnsi="Arial" w:cs="Arial"/>
          <w:b w:val="0"/>
          <w:bCs w:val="0"/>
        </w:rPr>
        <w:instrText>ADDIN CSL_CITATION {"citationItems":[{"id":"ITEM-1","itemData":{"DOI":"10.2337/dc23-S010","ISSN":"19355548","PMID":"36507632","abstract":"The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S.","non-dropping-particle":"","parse-names":false,"suffix":""},{"dropping-particle":"","family":"Das","given":"Sandeep R.","non-dropping-particle":"","parse-names":false,"suffix":""},{"dropping-particle":"","family":"Hilliard","given":"Marisa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Kosiborod","given":"Mikhail","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Care","id":"ITEM-1","issue":"January","issued":{"date-parts":[["2023"]]},"page":"S158-S190","title":"10. Cardiovascular Disease and Risk Management: Standards of Care in Diabetes—2023","type":"article-journal","volume":"46"},"uris":["http://www.mendeley.com/documents/?uuid=7002a8c8-d784-44d2-8b19-a77cc70b7b35"]}],"mendeley":{"formattedCitation":"(141)","plainTextFormattedCitation":"(141)","previouslyFormattedCitation":"(141)"},"properties":{"noteIndex":0},"schema":"https://github.com/citation-style-language/schema/raw/master/csl-citation.json"}</w:instrText>
      </w:r>
      <w:r w:rsidR="008864E5" w:rsidRPr="004661E9">
        <w:rPr>
          <w:rStyle w:val="Strong"/>
          <w:rFonts w:ascii="Arial" w:hAnsi="Arial" w:cs="Arial"/>
          <w:b w:val="0"/>
          <w:bCs w:val="0"/>
        </w:rPr>
        <w:fldChar w:fldCharType="separate"/>
      </w:r>
      <w:r w:rsidR="001C412B" w:rsidRPr="004661E9">
        <w:rPr>
          <w:rStyle w:val="Strong"/>
          <w:rFonts w:ascii="Arial" w:hAnsi="Arial" w:cs="Arial"/>
          <w:b w:val="0"/>
          <w:bCs w:val="0"/>
          <w:noProof/>
        </w:rPr>
        <w:t>(141)</w:t>
      </w:r>
      <w:r w:rsidR="008864E5" w:rsidRPr="004661E9">
        <w:rPr>
          <w:rStyle w:val="Strong"/>
          <w:rFonts w:ascii="Arial" w:hAnsi="Arial" w:cs="Arial"/>
          <w:b w:val="0"/>
          <w:bCs w:val="0"/>
        </w:rPr>
        <w:fldChar w:fldCharType="end"/>
      </w:r>
      <w:r w:rsidR="008864E5" w:rsidRPr="004661E9">
        <w:rPr>
          <w:rStyle w:val="Strong"/>
          <w:rFonts w:ascii="Arial" w:hAnsi="Arial" w:cs="Arial"/>
          <w:b w:val="0"/>
          <w:bCs w:val="0"/>
        </w:rPr>
        <w:t xml:space="preserve">. </w:t>
      </w:r>
    </w:p>
    <w:p w14:paraId="033CDD5A" w14:textId="77777777" w:rsidR="00B21194" w:rsidRPr="004661E9" w:rsidRDefault="00B21194" w:rsidP="004661E9">
      <w:pPr>
        <w:spacing w:after="0" w:line="276" w:lineRule="auto"/>
        <w:rPr>
          <w:rStyle w:val="Strong"/>
          <w:rFonts w:ascii="Arial" w:hAnsi="Arial" w:cs="Arial"/>
          <w:b w:val="0"/>
          <w:bCs w:val="0"/>
        </w:rPr>
      </w:pPr>
    </w:p>
    <w:p w14:paraId="5D4012BF" w14:textId="51C0146F" w:rsidR="00C830D2" w:rsidRPr="004661E9" w:rsidRDefault="00C830D2" w:rsidP="004661E9">
      <w:pPr>
        <w:spacing w:after="0" w:line="276" w:lineRule="auto"/>
        <w:rPr>
          <w:rFonts w:ascii="Arial" w:eastAsia="Times New Roman" w:hAnsi="Arial" w:cs="Arial"/>
        </w:rPr>
      </w:pPr>
      <w:r w:rsidRPr="004661E9">
        <w:rPr>
          <w:rStyle w:val="Strong"/>
          <w:rFonts w:ascii="Arial" w:hAnsi="Arial" w:cs="Arial"/>
          <w:b w:val="0"/>
          <w:bCs w:val="0"/>
        </w:rPr>
        <w:t xml:space="preserve">Data from retrospective studies and post hoc analysis of prospective RCTs predominantly supported the benefits and safety of metformin in HF populations </w:t>
      </w:r>
      <w:r w:rsidRPr="004661E9">
        <w:rPr>
          <w:rStyle w:val="Strong"/>
          <w:rFonts w:ascii="Arial" w:hAnsi="Arial" w:cs="Arial"/>
          <w:b w:val="0"/>
          <w:bCs w:val="0"/>
        </w:rPr>
        <w:fldChar w:fldCharType="begin" w:fldLock="1"/>
      </w:r>
      <w:r w:rsidR="00D162D8" w:rsidRPr="004661E9">
        <w:rPr>
          <w:rStyle w:val="Strong"/>
          <w:rFonts w:ascii="Arial" w:hAnsi="Arial" w:cs="Arial"/>
          <w:b w:val="0"/>
          <w:bCs w:val="0"/>
        </w:rPr>
        <w:instrText>ADDIN CSL_CITATION {"citationItems":[{"id":"ITEM-1","itemData":{"DOI":"10.1161/CIRCRESAHA.118.311371","ISSN":"15244571","abstract":"Patients with diabetes mellitus have &gt;2× the risk for developing heart failure (HF; HF with reduced ejection fraction and HF with preserved ejection fraction). Cardiovascular outcomes, hospitalization, and prognosis are worse for patients with diabetes mellitus relative to those without. Beyond the structural and functional changes that characterize diabetic cardiomyopathy, a complex underlying, and interrelated pathophysiology exists. Despite the success of many commonly used antihyperglycemic therapies to lower hyperglycemia in type 2 diabetes mellitus the high prevalence of HF persists. This, therefore, raises the possibility that additional factors beyond glycemia might contribute to the increased HF risk in diabetes mellitus. This review summarizes the state of knowledge about the impact of existing antihyperglycemic therapies on HF and discusses potential mechanisms for beneficial or deleterious effects. Second, we review currently approved pharmacological therapies for HF and review evidence that addresses their efficacy in the context of diabetes mellitus. Dysregulation of many cellular mechanisms in multiple models of diabetic cardiomyopathy and in human hearts have been described. These include oxidative stress, inflammation, endoplasmic reticulum stress, aberrant insulin signaling, accumulation of advanced glycated end-products, altered autophagy, changes in myocardial substrate metabolism and mitochondrial bioenergetics, lipotoxicity, and altered signal transduction such as GRK (g-protein receptor kinase) signaling, renin angiotensin aldosterone signaling and β-2 adrenergic receptor signaling. These pathophysiological pathways might be amenable to pharmacological therapy to reduce the risk of HF in the context of type 2 diabetes mellitus. Successful targeting of these pathways could alter the prognosis and risk of HF beyond what is currently achieved using existing antihyperglycemic and HF therapeutics.","author":[{"dropping-particle":"","family":"Kenny","given":"Helena C.","non-dropping-particle":"","parse-names":false,"suffix":""},{"dropping-particle":"","family":"Abel","given":"E. Dale","non-dropping-particle":"","parse-names":false,"suffix":""}],"container-title":"Circulation Research","id":"ITEM-1","issue":"1","issued":{"date-parts":[["2019","1","4"]]},"page":"121-141","publisher":"Lippincott Williams and Wilkins","title":"Heart Failure in Type 2 Diabetes Mellitus: Impact of Glucose-Lowering Agents, Heart Failure Therapies, and Novel Therapeutic Strategies","type":"article-journal","volume":"124"},"uris":["http://www.mendeley.com/documents/?uuid=6853a011-f255-3938-a478-6ecc41abdd80"]}],"mendeley":{"formattedCitation":"(222)","plainTextFormattedCitation":"(222)","previouslyFormattedCitation":"(218)"},"properties":{"noteIndex":0},"schema":"https://github.com/citation-style-language/schema/raw/master/csl-citation.json"}</w:instrText>
      </w:r>
      <w:r w:rsidRPr="004661E9">
        <w:rPr>
          <w:rStyle w:val="Strong"/>
          <w:rFonts w:ascii="Arial" w:hAnsi="Arial" w:cs="Arial"/>
          <w:b w:val="0"/>
          <w:bCs w:val="0"/>
        </w:rPr>
        <w:fldChar w:fldCharType="separate"/>
      </w:r>
      <w:r w:rsidR="00D162D8" w:rsidRPr="004661E9">
        <w:rPr>
          <w:rStyle w:val="Strong"/>
          <w:rFonts w:ascii="Arial" w:hAnsi="Arial" w:cs="Arial"/>
          <w:b w:val="0"/>
          <w:bCs w:val="0"/>
          <w:noProof/>
        </w:rPr>
        <w:t>(222)</w:t>
      </w:r>
      <w:r w:rsidRPr="004661E9">
        <w:rPr>
          <w:rStyle w:val="Strong"/>
          <w:rFonts w:ascii="Arial" w:hAnsi="Arial" w:cs="Arial"/>
          <w:b w:val="0"/>
          <w:bCs w:val="0"/>
        </w:rPr>
        <w:fldChar w:fldCharType="end"/>
      </w:r>
      <w:r w:rsidR="006C2ECE" w:rsidRPr="004661E9">
        <w:rPr>
          <w:rStyle w:val="Strong"/>
          <w:rFonts w:ascii="Arial" w:hAnsi="Arial" w:cs="Arial"/>
          <w:b w:val="0"/>
          <w:bCs w:val="0"/>
        </w:rPr>
        <w:t>.</w:t>
      </w:r>
      <w:r w:rsidRPr="004661E9">
        <w:rPr>
          <w:rStyle w:val="Strong"/>
          <w:rFonts w:ascii="Arial" w:hAnsi="Arial" w:cs="Arial"/>
          <w:b w:val="0"/>
          <w:bCs w:val="0"/>
        </w:rPr>
        <w:t xml:space="preserve"> A meta-analysis of 9 observational studies conducted in the 2000s and early 2010s showed reduced mortality and no change in safety outcomes with the use of metformin compared to sulfonylurea therapy (predominantly) in HF populations </w:t>
      </w:r>
      <w:r w:rsidRPr="004661E9">
        <w:rPr>
          <w:rStyle w:val="Strong"/>
          <w:rFonts w:ascii="Arial" w:hAnsi="Arial" w:cs="Arial"/>
          <w:b w:val="0"/>
          <w:bCs w:val="0"/>
        </w:rPr>
        <w:fldChar w:fldCharType="begin" w:fldLock="1"/>
      </w:r>
      <w:r w:rsidR="00D162D8" w:rsidRPr="004661E9">
        <w:rPr>
          <w:rStyle w:val="Strong"/>
          <w:rFonts w:ascii="Arial" w:hAnsi="Arial" w:cs="Arial"/>
          <w:b w:val="0"/>
          <w:bCs w:val="0"/>
        </w:rPr>
        <w:instrText>ADDIN CSL_CITATION {"citationItems":[{"id":"ITEM-1","itemData":{"DOI":"10.1161/CIRCHEARTFAILURE.112.000162","ISSN":"1941-3297","PMID":"23508758","abstract":"BACKGROUND There is an ongoing controversy regarding the safety and effectiveness of metformin in the setting of heart failure (HF). Therefore, we undertook a systematic review of the trial and nontrial evidence for metformin in patients with diabetes mellitus and HF. METHODS AND RESULTS We conducted a comprehensive search for controlled studies, evaluating the association between metformin and morbidity and mortality in people with diabetes mellitus and HF. Two reviewers independently identified citations, extracted data, and evaluated quality. Risk estimates were abstracted and pooled where appropriate. As measures of overall safety, we examined all-cause mortality and all-cause hospitalizations. Nine cohort studies were included; no randomized controlled trials were identified. Most (5 of 9) studies were published in 2010 and were of good quality. Metformin was associated with reduced mortality compared with controls (mostly sulfonylurea therapy): 23% versus 37% (pooled adjusted risk estimates: 0.80; 0.74-0.87; I(2)=15%; P&lt;0.001). No increased risk was observed for metformin in those with reduced left ventricular ejection fraction (mortality pooled adjusted risk estimate: 0.91; 0.72-1.14; I(2)=0%; P=0.34), nor in those with HF and chronic kidney disease (pooled adjusted risk estimate: 0.81; 0.64-1.02; P=0.08). Metformin was associated with a small reduction in all-cause hospitalizations (pooled adjusted risk estimate: 0.93; 0.89-0.98; I(2)=0%; P=0.01). Metformin was not associated with increased risk of lactic acidosis. CONCLUSIONS The totality of evidence indicates that metformin is at least as safe as other glucose-lowering treatments in patients with diabetes mellitus and HF and even in those with reduced left ventricular ejection fraction or concomitant chronic kidney disease. Until trial data become available, metformin should be considered the treatment of choice for patients with diabetes mellitus and HF.","author":[{"dropping-particle":"","family":"Eurich","given":"Dean T","non-dropping-particle":"","parse-names":false,"suffix":""},{"dropping-particle":"","family":"Weir","given":"Daniala L","non-dropping-particle":"","parse-names":false,"suffix":""},{"dropping-particle":"","family":"Majumdar","given":"Sumit R","non-dropping-particle":"","parse-names":false,"suffix":""},{"dropping-particle":"","family":"Tsuyuki","given":"Ross T","non-dropping-particle":"","parse-names":false,"suffix":""},{"dropping-particle":"","family":"Johnson","given":"Jeffrey A","non-dropping-particle":"","parse-names":false,"suffix":""},{"dropping-particle":"","family":"Tjosvold","given":"Lisa","non-dropping-particle":"","parse-names":false,"suffix":""},{"dropping-particle":"","family":"Vanderloo","given":"Saskia E","non-dropping-particle":"","parse-names":false,"suffix":""},{"dropping-particle":"","family":"McAlister","given":"Finlay A","non-dropping-particle":"","parse-names":false,"suffix":""}],"container-title":"Circulation. Heart failure","id":"ITEM-1","issue":"3","issued":{"date-parts":[["2013","5"]]},"page":"395-402","publisher":"\nLippincott Williams &amp; Wilkins\nHagerstown, MD\n","title":"Comparative safety and effectiveness of metformin in patients with diabetes mellitus and heart failure: systematic review of observational studies involving 34,000 patients.","type":"article-journal","volume":"6"},"uris":["http://www.mendeley.com/documents/?uuid=d3cedd51-f9d4-3a0d-b3a9-827b922344bc"]}],"mendeley":{"formattedCitation":"(223)","plainTextFormattedCitation":"(223)","previouslyFormattedCitation":"(219)"},"properties":{"noteIndex":0},"schema":"https://github.com/citation-style-language/schema/raw/master/csl-citation.json"}</w:instrText>
      </w:r>
      <w:r w:rsidRPr="004661E9">
        <w:rPr>
          <w:rStyle w:val="Strong"/>
          <w:rFonts w:ascii="Arial" w:hAnsi="Arial" w:cs="Arial"/>
          <w:b w:val="0"/>
          <w:bCs w:val="0"/>
        </w:rPr>
        <w:fldChar w:fldCharType="separate"/>
      </w:r>
      <w:r w:rsidR="00D162D8" w:rsidRPr="004661E9">
        <w:rPr>
          <w:rStyle w:val="Strong"/>
          <w:rFonts w:ascii="Arial" w:hAnsi="Arial" w:cs="Arial"/>
          <w:b w:val="0"/>
          <w:bCs w:val="0"/>
          <w:noProof/>
        </w:rPr>
        <w:t>(223)</w:t>
      </w:r>
      <w:r w:rsidRPr="004661E9">
        <w:rPr>
          <w:rStyle w:val="Strong"/>
          <w:rFonts w:ascii="Arial" w:hAnsi="Arial" w:cs="Arial"/>
          <w:b w:val="0"/>
          <w:bCs w:val="0"/>
        </w:rPr>
        <w:fldChar w:fldCharType="end"/>
      </w:r>
      <w:r w:rsidRPr="004661E9">
        <w:rPr>
          <w:rStyle w:val="Strong"/>
          <w:rFonts w:ascii="Arial" w:hAnsi="Arial" w:cs="Arial"/>
          <w:b w:val="0"/>
          <w:bCs w:val="0"/>
        </w:rPr>
        <w:t xml:space="preserve">. </w:t>
      </w:r>
      <w:r w:rsidRPr="004661E9">
        <w:rPr>
          <w:rFonts w:ascii="Arial" w:eastAsia="Times New Roman" w:hAnsi="Arial" w:cs="Arial"/>
        </w:rPr>
        <w:t>It should be noted that the U.S. FDA removed HF from the contraindication list of metformin in 2006 since the lactic acidosis risk is rare</w:t>
      </w:r>
      <w:r w:rsidR="001C412B" w:rsidRPr="004661E9">
        <w:rPr>
          <w:rFonts w:ascii="Arial" w:eastAsia="Times New Roman" w:hAnsi="Arial" w:cs="Arial"/>
        </w:rPr>
        <w:t>,</w:t>
      </w:r>
      <w:r w:rsidRPr="004661E9">
        <w:rPr>
          <w:rFonts w:ascii="Arial" w:eastAsia="Times New Roman" w:hAnsi="Arial" w:cs="Arial"/>
        </w:rPr>
        <w:t xml:space="preserve"> and </w:t>
      </w:r>
      <w:r w:rsidR="006C2ECE" w:rsidRPr="004661E9">
        <w:rPr>
          <w:rFonts w:ascii="Arial" w:eastAsia="Times New Roman" w:hAnsi="Arial" w:cs="Arial"/>
        </w:rPr>
        <w:t>the benefits of</w:t>
      </w:r>
      <w:r w:rsidRPr="004661E9">
        <w:rPr>
          <w:rFonts w:ascii="Arial" w:eastAsia="Times New Roman" w:hAnsi="Arial" w:cs="Arial"/>
        </w:rPr>
        <w:t xml:space="preserve"> metformin use in patients with HF w</w:t>
      </w:r>
      <w:r w:rsidR="006C2ECE" w:rsidRPr="004661E9">
        <w:rPr>
          <w:rFonts w:ascii="Arial" w:eastAsia="Times New Roman" w:hAnsi="Arial" w:cs="Arial"/>
        </w:rPr>
        <w:t>ere</w:t>
      </w:r>
      <w:r w:rsidRPr="004661E9">
        <w:rPr>
          <w:rFonts w:ascii="Arial" w:eastAsia="Times New Roman" w:hAnsi="Arial" w:cs="Arial"/>
        </w:rPr>
        <w:t xml:space="preserve"> supported by observational studies </w:t>
      </w:r>
      <w:r w:rsidRPr="004661E9">
        <w:rPr>
          <w:rFonts w:ascii="Arial" w:eastAsia="Times New Roman" w:hAnsi="Arial" w:cs="Arial"/>
        </w:rPr>
        <w:fldChar w:fldCharType="begin" w:fldLock="1"/>
      </w:r>
      <w:r w:rsidR="00E156CB" w:rsidRPr="004661E9">
        <w:rPr>
          <w:rFonts w:ascii="Arial" w:eastAsia="Times New Roman" w:hAnsi="Arial" w:cs="Arial"/>
        </w:rPr>
        <w:instrText>ADDIN CSL_CITATION {"citationItems":[{"id":"ITEM-1","itemData":{"DOI":"10.1161/CIR.0000000000000691","ISSN":"15244539","abstract":"Type 2 diabetes mellitus is a risk factor for incident heart failure and increases the risk of morbidity and mortality in patients with established disease. Secular trends in the prevalence of diabetes mellitus and heart failure forecast a growing burden of disease and underscore the need for effective therapeutic strategies. Recent clinical trials have demonstrated the shared pathophysiology between diabetes mellitus and heart failure, the synergistic effect of managing both conditions, and the potential for diabetes mellitus therapies to modulate the risk of heart failure outcomes. This scientific statement on diabetes mellitus and heart failure summarizes the epidemiology, pathophysiology, and impact of diabetes mellitus and its control on outcomes in heart failure; reviews the approach to pharmacological therapy and lifestyle modification in patients with diabetes mellitus and heart failure; highlights the value of multidisciplinary interventions to improve clinical outcomes in this population; and outlines priorities for future research.","author":[{"dropping-particle":"","family":"Dunlay","given":"Shannon M.","non-dropping-particle":"","parse-names":false,"suffix":""},{"dropping-particle":"","family":"Givertz","given":"Michael M.","non-dropping-particle":"","parse-names":false,"suffix":""},{"dropping-particle":"","family":"Aguilar","given":"David","non-dropping-particle":"","parse-names":false,"suffix":""},{"dropping-particle":"","family":"Allen","given":"Larry A.","non-dropping-particle":"","parse-names":false,"suffix":""},{"dropping-particle":"","family":"Chan","given":"Michael","non-dropping-particle":"","parse-names":false,"suffix":""},{"dropping-particle":"","family":"Desai","given":"Akshay S.","non-dropping-particle":"","parse-names":false,"suffix":""},{"dropping-particle":"","family":"Deswal","given":"Anita","non-dropping-particle":"","parse-names":false,"suffix":""},{"dropping-particle":"","family":"Dickson","given":"Victoria Vaughan","non-dropping-particle":"","parse-names":false,"suffix":""},{"dropping-particle":"","family":"Kosiborod","given":"Mikhail N.","non-dropping-particle":"","parse-names":false,"suffix":""},{"dropping-particle":"","family":"Lekavich","given":"Carolyn L.","non-dropping-particle":"","parse-names":false,"suffix":""},{"dropping-particle":"","family":"McCoy","given":"Rozalina G.","non-dropping-particle":"","parse-names":false,"suffix":""},{"dropping-particle":"","family":"Mentz","given":"Robert J.","non-dropping-particle":"","parse-names":false,"suffix":""},{"dropping-particle":"","family":"Piña","given":"Ileana L.","non-dropping-particle":"","parse-names":false,"suffix":""}],"container-title":"Circulation","id":"ITEM-1","issue":"7","issued":{"date-parts":[["2019","8","13"]]},"page":"e294-e324","publisher":"NLM (Medline)","title":"Type 2 Diabetes Mellitus and Heart Failure: A Scientific Statement From the American Heart Association and the Heart Failure Society of America: This statement does not represent an update of the 2017 ACC/AHA/HFSA heart failure guideline update","type":"article-journal","volume":"140"},"uris":["http://www.mendeley.com/documents/?uuid=d8a0ff7b-f41e-3868-bb28-789c4cd03165"]}],"mendeley":{"formattedCitation":"(61)","plainTextFormattedCitation":"(61)","previouslyFormattedCitation":"(61)"},"properties":{"noteIndex":0},"schema":"https://github.com/citation-style-language/schema/raw/master/csl-citation.json"}</w:instrText>
      </w:r>
      <w:r w:rsidRPr="004661E9">
        <w:rPr>
          <w:rFonts w:ascii="Arial" w:eastAsia="Times New Roman" w:hAnsi="Arial" w:cs="Arial"/>
        </w:rPr>
        <w:fldChar w:fldCharType="separate"/>
      </w:r>
      <w:r w:rsidR="003C01B8" w:rsidRPr="004661E9">
        <w:rPr>
          <w:rFonts w:ascii="Arial" w:eastAsia="Times New Roman" w:hAnsi="Arial" w:cs="Arial"/>
          <w:noProof/>
        </w:rPr>
        <w:t>(61)</w:t>
      </w:r>
      <w:r w:rsidRPr="004661E9">
        <w:rPr>
          <w:rFonts w:ascii="Arial" w:eastAsia="Times New Roman" w:hAnsi="Arial" w:cs="Arial"/>
        </w:rPr>
        <w:fldChar w:fldCharType="end"/>
      </w:r>
      <w:r w:rsidRPr="004661E9">
        <w:rPr>
          <w:rFonts w:ascii="Arial" w:eastAsia="Times New Roman" w:hAnsi="Arial" w:cs="Arial"/>
        </w:rPr>
        <w:t>.</w:t>
      </w:r>
    </w:p>
    <w:p w14:paraId="3656F973" w14:textId="77777777" w:rsidR="001C412B" w:rsidRPr="004661E9" w:rsidRDefault="001C412B" w:rsidP="004661E9">
      <w:pPr>
        <w:spacing w:after="0" w:line="276" w:lineRule="auto"/>
        <w:rPr>
          <w:rFonts w:ascii="Arial" w:hAnsi="Arial" w:cs="Arial"/>
        </w:rPr>
      </w:pPr>
    </w:p>
    <w:tbl>
      <w:tblPr>
        <w:tblStyle w:val="TableGrid"/>
        <w:tblW w:w="8275" w:type="dxa"/>
        <w:tblLook w:val="04A0" w:firstRow="1" w:lastRow="0" w:firstColumn="1" w:lastColumn="0" w:noHBand="0" w:noVBand="1"/>
      </w:tblPr>
      <w:tblGrid>
        <w:gridCol w:w="2978"/>
        <w:gridCol w:w="2449"/>
        <w:gridCol w:w="2848"/>
      </w:tblGrid>
      <w:tr w:rsidR="00B631C8" w:rsidRPr="004661E9" w14:paraId="6B10B612" w14:textId="77777777" w:rsidTr="00EF1132">
        <w:trPr>
          <w:trHeight w:val="586"/>
        </w:trPr>
        <w:tc>
          <w:tcPr>
            <w:tcW w:w="8275" w:type="dxa"/>
            <w:gridSpan w:val="3"/>
            <w:shd w:val="clear" w:color="auto" w:fill="FFFF00"/>
          </w:tcPr>
          <w:p w14:paraId="1698480C" w14:textId="7D516414" w:rsidR="00B631C8" w:rsidRPr="004661E9" w:rsidRDefault="00B631C8" w:rsidP="004661E9">
            <w:pPr>
              <w:spacing w:line="276" w:lineRule="auto"/>
              <w:rPr>
                <w:rFonts w:ascii="Arial" w:hAnsi="Arial" w:cs="Arial"/>
              </w:rPr>
            </w:pPr>
            <w:r w:rsidRPr="004661E9">
              <w:rPr>
                <w:rFonts w:ascii="Arial" w:hAnsi="Arial" w:cs="Arial"/>
              </w:rPr>
              <w:t xml:space="preserve">Table </w:t>
            </w:r>
            <w:r w:rsidR="001C412B" w:rsidRPr="004661E9">
              <w:rPr>
                <w:rFonts w:ascii="Arial" w:hAnsi="Arial" w:cs="Arial"/>
              </w:rPr>
              <w:t>4</w:t>
            </w:r>
            <w:r w:rsidRPr="004661E9">
              <w:rPr>
                <w:rFonts w:ascii="Arial" w:hAnsi="Arial" w:cs="Arial"/>
              </w:rPr>
              <w:t xml:space="preserve">. Effect of Glucose-Lowering Drugs on Heart Failure Hospitalization Risk in </w:t>
            </w:r>
            <w:r w:rsidR="00AE156C" w:rsidRPr="004661E9">
              <w:rPr>
                <w:rFonts w:ascii="Arial" w:hAnsi="Arial" w:cs="Arial"/>
              </w:rPr>
              <w:t>Patients with T2DM</w:t>
            </w:r>
            <w:r w:rsidRPr="004661E9">
              <w:rPr>
                <w:rFonts w:ascii="Arial" w:hAnsi="Arial" w:cs="Arial"/>
              </w:rPr>
              <w:t xml:space="preserve"> </w:t>
            </w:r>
          </w:p>
        </w:tc>
      </w:tr>
      <w:tr w:rsidR="0049543A" w:rsidRPr="004661E9" w14:paraId="3D920845" w14:textId="77777777" w:rsidTr="00EF1132">
        <w:trPr>
          <w:trHeight w:val="332"/>
        </w:trPr>
        <w:tc>
          <w:tcPr>
            <w:tcW w:w="2978" w:type="dxa"/>
          </w:tcPr>
          <w:p w14:paraId="115EFD7B" w14:textId="77777777" w:rsidR="0049543A" w:rsidRPr="00EF1132" w:rsidRDefault="0049543A" w:rsidP="004661E9">
            <w:pPr>
              <w:spacing w:line="276" w:lineRule="auto"/>
              <w:rPr>
                <w:rFonts w:ascii="Arial" w:hAnsi="Arial" w:cs="Arial"/>
                <w:b/>
                <w:bCs/>
              </w:rPr>
            </w:pPr>
            <w:r w:rsidRPr="00EF1132">
              <w:rPr>
                <w:rFonts w:ascii="Arial" w:hAnsi="Arial" w:cs="Arial"/>
                <w:b/>
                <w:bCs/>
              </w:rPr>
              <w:t>Drug Class</w:t>
            </w:r>
          </w:p>
        </w:tc>
        <w:tc>
          <w:tcPr>
            <w:tcW w:w="2449" w:type="dxa"/>
          </w:tcPr>
          <w:p w14:paraId="042F0A57" w14:textId="77777777" w:rsidR="0049543A" w:rsidRPr="004661E9" w:rsidRDefault="0049543A" w:rsidP="004661E9">
            <w:pPr>
              <w:spacing w:line="276" w:lineRule="auto"/>
              <w:rPr>
                <w:rFonts w:ascii="Arial" w:hAnsi="Arial" w:cs="Arial"/>
                <w:b/>
                <w:bCs/>
              </w:rPr>
            </w:pPr>
            <w:r w:rsidRPr="004661E9">
              <w:rPr>
                <w:rFonts w:ascii="Arial" w:hAnsi="Arial" w:cs="Arial"/>
                <w:b/>
                <w:bCs/>
              </w:rPr>
              <w:t>Medication</w:t>
            </w:r>
          </w:p>
        </w:tc>
        <w:tc>
          <w:tcPr>
            <w:tcW w:w="2848" w:type="dxa"/>
          </w:tcPr>
          <w:p w14:paraId="1BAC56FE" w14:textId="77777777" w:rsidR="0049543A" w:rsidRPr="004661E9" w:rsidRDefault="0049543A" w:rsidP="004661E9">
            <w:pPr>
              <w:spacing w:line="276" w:lineRule="auto"/>
              <w:rPr>
                <w:rFonts w:ascii="Arial" w:hAnsi="Arial" w:cs="Arial"/>
                <w:b/>
                <w:bCs/>
              </w:rPr>
            </w:pPr>
            <w:r w:rsidRPr="004661E9">
              <w:rPr>
                <w:rFonts w:ascii="Arial" w:hAnsi="Arial" w:cs="Arial"/>
                <w:b/>
                <w:bCs/>
              </w:rPr>
              <w:t>HF Hospitalization</w:t>
            </w:r>
          </w:p>
        </w:tc>
      </w:tr>
      <w:tr w:rsidR="009759BA" w:rsidRPr="004661E9" w14:paraId="7BE52D8C" w14:textId="77777777" w:rsidTr="00EF1132">
        <w:trPr>
          <w:trHeight w:val="367"/>
        </w:trPr>
        <w:tc>
          <w:tcPr>
            <w:tcW w:w="2978" w:type="dxa"/>
            <w:vMerge w:val="restart"/>
          </w:tcPr>
          <w:p w14:paraId="2654092C" w14:textId="77777777" w:rsidR="009759BA" w:rsidRPr="004661E9" w:rsidRDefault="009759BA" w:rsidP="004661E9">
            <w:pPr>
              <w:spacing w:line="276" w:lineRule="auto"/>
              <w:rPr>
                <w:rFonts w:ascii="Arial" w:hAnsi="Arial" w:cs="Arial"/>
                <w:b/>
                <w:bCs/>
              </w:rPr>
            </w:pPr>
            <w:r w:rsidRPr="004661E9">
              <w:rPr>
                <w:rFonts w:ascii="Arial" w:hAnsi="Arial" w:cs="Arial"/>
              </w:rPr>
              <w:t>SGLT-2 Inhibitors</w:t>
            </w:r>
          </w:p>
        </w:tc>
        <w:tc>
          <w:tcPr>
            <w:tcW w:w="2449" w:type="dxa"/>
          </w:tcPr>
          <w:p w14:paraId="00F0A91E" w14:textId="77777777" w:rsidR="009759BA" w:rsidRPr="004661E9" w:rsidRDefault="009759BA" w:rsidP="004661E9">
            <w:pPr>
              <w:spacing w:line="276" w:lineRule="auto"/>
              <w:rPr>
                <w:rFonts w:ascii="Arial" w:hAnsi="Arial" w:cs="Arial"/>
              </w:rPr>
            </w:pPr>
            <w:r w:rsidRPr="004661E9">
              <w:rPr>
                <w:rFonts w:ascii="Arial" w:hAnsi="Arial" w:cs="Arial"/>
              </w:rPr>
              <w:t>Empagliflozin</w:t>
            </w:r>
          </w:p>
        </w:tc>
        <w:tc>
          <w:tcPr>
            <w:tcW w:w="2848" w:type="dxa"/>
          </w:tcPr>
          <w:p w14:paraId="2B9485FE" w14:textId="77777777" w:rsidR="009759BA" w:rsidRPr="004661E9" w:rsidRDefault="009759BA" w:rsidP="004661E9">
            <w:pPr>
              <w:spacing w:line="276" w:lineRule="auto"/>
              <w:rPr>
                <w:rFonts w:ascii="Arial" w:hAnsi="Arial" w:cs="Arial"/>
              </w:rPr>
            </w:pPr>
            <w:r w:rsidRPr="004661E9">
              <w:rPr>
                <w:rFonts w:ascii="Arial" w:hAnsi="Arial" w:cs="Arial"/>
              </w:rPr>
              <w:t>35% reduced risk</w:t>
            </w:r>
          </w:p>
        </w:tc>
      </w:tr>
      <w:tr w:rsidR="009759BA" w:rsidRPr="004661E9" w14:paraId="5B55AC8B" w14:textId="77777777" w:rsidTr="00EF1132">
        <w:trPr>
          <w:trHeight w:val="367"/>
        </w:trPr>
        <w:tc>
          <w:tcPr>
            <w:tcW w:w="2978" w:type="dxa"/>
            <w:vMerge/>
          </w:tcPr>
          <w:p w14:paraId="22115C1E" w14:textId="77777777" w:rsidR="009759BA" w:rsidRPr="004661E9" w:rsidRDefault="009759BA" w:rsidP="004661E9">
            <w:pPr>
              <w:spacing w:line="276" w:lineRule="auto"/>
              <w:rPr>
                <w:rFonts w:ascii="Arial" w:hAnsi="Arial" w:cs="Arial"/>
                <w:b/>
                <w:bCs/>
              </w:rPr>
            </w:pPr>
          </w:p>
        </w:tc>
        <w:tc>
          <w:tcPr>
            <w:tcW w:w="2449" w:type="dxa"/>
          </w:tcPr>
          <w:p w14:paraId="0F07BDB3" w14:textId="77777777" w:rsidR="009759BA" w:rsidRPr="004661E9" w:rsidRDefault="009759BA" w:rsidP="004661E9">
            <w:pPr>
              <w:spacing w:line="276" w:lineRule="auto"/>
              <w:rPr>
                <w:rFonts w:ascii="Arial" w:hAnsi="Arial" w:cs="Arial"/>
              </w:rPr>
            </w:pPr>
            <w:r w:rsidRPr="004661E9">
              <w:rPr>
                <w:rFonts w:ascii="Arial" w:hAnsi="Arial" w:cs="Arial"/>
              </w:rPr>
              <w:t>Canagliflozin</w:t>
            </w:r>
          </w:p>
        </w:tc>
        <w:tc>
          <w:tcPr>
            <w:tcW w:w="2848" w:type="dxa"/>
          </w:tcPr>
          <w:p w14:paraId="3705247D" w14:textId="77777777" w:rsidR="009759BA" w:rsidRPr="004661E9" w:rsidRDefault="009759BA" w:rsidP="004661E9">
            <w:pPr>
              <w:spacing w:line="276" w:lineRule="auto"/>
              <w:rPr>
                <w:rFonts w:ascii="Arial" w:hAnsi="Arial" w:cs="Arial"/>
              </w:rPr>
            </w:pPr>
            <w:r w:rsidRPr="004661E9">
              <w:rPr>
                <w:rFonts w:ascii="Arial" w:hAnsi="Arial" w:cs="Arial"/>
              </w:rPr>
              <w:t>33% reduced risk</w:t>
            </w:r>
          </w:p>
        </w:tc>
      </w:tr>
      <w:tr w:rsidR="009759BA" w:rsidRPr="004661E9" w14:paraId="14014BA7" w14:textId="77777777" w:rsidTr="00EF1132">
        <w:trPr>
          <w:trHeight w:val="367"/>
        </w:trPr>
        <w:tc>
          <w:tcPr>
            <w:tcW w:w="2978" w:type="dxa"/>
            <w:vMerge/>
          </w:tcPr>
          <w:p w14:paraId="00C9483C" w14:textId="77777777" w:rsidR="009759BA" w:rsidRPr="004661E9" w:rsidRDefault="009759BA" w:rsidP="004661E9">
            <w:pPr>
              <w:spacing w:line="276" w:lineRule="auto"/>
              <w:rPr>
                <w:rFonts w:ascii="Arial" w:hAnsi="Arial" w:cs="Arial"/>
                <w:b/>
                <w:bCs/>
              </w:rPr>
            </w:pPr>
          </w:p>
        </w:tc>
        <w:tc>
          <w:tcPr>
            <w:tcW w:w="2449" w:type="dxa"/>
          </w:tcPr>
          <w:p w14:paraId="44E4E350" w14:textId="77777777" w:rsidR="009759BA" w:rsidRPr="004661E9" w:rsidRDefault="009759BA" w:rsidP="004661E9">
            <w:pPr>
              <w:spacing w:line="276" w:lineRule="auto"/>
              <w:rPr>
                <w:rFonts w:ascii="Arial" w:hAnsi="Arial" w:cs="Arial"/>
              </w:rPr>
            </w:pPr>
            <w:r w:rsidRPr="004661E9">
              <w:rPr>
                <w:rFonts w:ascii="Arial" w:hAnsi="Arial" w:cs="Arial"/>
              </w:rPr>
              <w:t>Dapagliflozin</w:t>
            </w:r>
          </w:p>
        </w:tc>
        <w:tc>
          <w:tcPr>
            <w:tcW w:w="2848" w:type="dxa"/>
          </w:tcPr>
          <w:p w14:paraId="1BF152C7" w14:textId="77777777" w:rsidR="009759BA" w:rsidRPr="004661E9" w:rsidRDefault="009759BA" w:rsidP="004661E9">
            <w:pPr>
              <w:spacing w:line="276" w:lineRule="auto"/>
              <w:rPr>
                <w:rFonts w:ascii="Arial" w:hAnsi="Arial" w:cs="Arial"/>
              </w:rPr>
            </w:pPr>
            <w:r w:rsidRPr="004661E9">
              <w:rPr>
                <w:rFonts w:ascii="Arial" w:hAnsi="Arial" w:cs="Arial"/>
              </w:rPr>
              <w:t>27% reduced risk</w:t>
            </w:r>
          </w:p>
        </w:tc>
      </w:tr>
      <w:tr w:rsidR="009759BA" w:rsidRPr="004661E9" w14:paraId="6B299CB4" w14:textId="77777777" w:rsidTr="00EF1132">
        <w:trPr>
          <w:trHeight w:val="367"/>
        </w:trPr>
        <w:tc>
          <w:tcPr>
            <w:tcW w:w="2978" w:type="dxa"/>
            <w:vMerge/>
          </w:tcPr>
          <w:p w14:paraId="7E1FFF83" w14:textId="77777777" w:rsidR="009759BA" w:rsidRPr="004661E9" w:rsidRDefault="009759BA" w:rsidP="004661E9">
            <w:pPr>
              <w:spacing w:line="276" w:lineRule="auto"/>
              <w:rPr>
                <w:rFonts w:ascii="Arial" w:hAnsi="Arial" w:cs="Arial"/>
                <w:b/>
                <w:bCs/>
              </w:rPr>
            </w:pPr>
          </w:p>
        </w:tc>
        <w:tc>
          <w:tcPr>
            <w:tcW w:w="2449" w:type="dxa"/>
          </w:tcPr>
          <w:p w14:paraId="2C9A31FD" w14:textId="344DA724" w:rsidR="009759BA" w:rsidRPr="004661E9" w:rsidRDefault="009759BA" w:rsidP="004661E9">
            <w:pPr>
              <w:spacing w:line="276" w:lineRule="auto"/>
              <w:rPr>
                <w:rFonts w:ascii="Arial" w:hAnsi="Arial" w:cs="Arial"/>
              </w:rPr>
            </w:pPr>
            <w:r w:rsidRPr="004661E9">
              <w:rPr>
                <w:rFonts w:ascii="Arial" w:hAnsi="Arial" w:cs="Arial"/>
              </w:rPr>
              <w:t>Ertugliflozin</w:t>
            </w:r>
          </w:p>
        </w:tc>
        <w:tc>
          <w:tcPr>
            <w:tcW w:w="2848" w:type="dxa"/>
          </w:tcPr>
          <w:p w14:paraId="327C71E1" w14:textId="42E315D2" w:rsidR="009759BA" w:rsidRPr="004661E9" w:rsidRDefault="009759BA" w:rsidP="004661E9">
            <w:pPr>
              <w:spacing w:line="276" w:lineRule="auto"/>
              <w:rPr>
                <w:rFonts w:ascii="Arial" w:hAnsi="Arial" w:cs="Arial"/>
              </w:rPr>
            </w:pPr>
            <w:r w:rsidRPr="004661E9">
              <w:rPr>
                <w:rFonts w:ascii="Arial" w:hAnsi="Arial" w:cs="Arial"/>
              </w:rPr>
              <w:t>30% reduced risk*</w:t>
            </w:r>
          </w:p>
        </w:tc>
      </w:tr>
      <w:tr w:rsidR="001A5CCA" w:rsidRPr="004661E9" w14:paraId="509163F2" w14:textId="77777777" w:rsidTr="00EF1132">
        <w:trPr>
          <w:trHeight w:val="367"/>
        </w:trPr>
        <w:tc>
          <w:tcPr>
            <w:tcW w:w="2978" w:type="dxa"/>
          </w:tcPr>
          <w:p w14:paraId="699F9427" w14:textId="2658868C" w:rsidR="001A5CCA" w:rsidRPr="004661E9" w:rsidRDefault="001A5CCA" w:rsidP="004661E9">
            <w:pPr>
              <w:spacing w:line="276" w:lineRule="auto"/>
              <w:rPr>
                <w:rFonts w:ascii="Arial" w:hAnsi="Arial" w:cs="Arial"/>
                <w:b/>
                <w:bCs/>
              </w:rPr>
            </w:pPr>
            <w:r w:rsidRPr="004661E9">
              <w:rPr>
                <w:rFonts w:ascii="Arial" w:hAnsi="Arial" w:cs="Arial"/>
              </w:rPr>
              <w:t>Dual SGLT1/SGLT2 Inhibitor</w:t>
            </w:r>
          </w:p>
        </w:tc>
        <w:tc>
          <w:tcPr>
            <w:tcW w:w="2449" w:type="dxa"/>
          </w:tcPr>
          <w:p w14:paraId="2A037D34" w14:textId="7D940BF9" w:rsidR="001A5CCA" w:rsidRPr="004661E9" w:rsidRDefault="001A5CCA" w:rsidP="004661E9">
            <w:pPr>
              <w:spacing w:line="276" w:lineRule="auto"/>
              <w:rPr>
                <w:rFonts w:ascii="Arial" w:hAnsi="Arial" w:cs="Arial"/>
              </w:rPr>
            </w:pPr>
            <w:r w:rsidRPr="004661E9">
              <w:rPr>
                <w:rFonts w:ascii="Arial" w:hAnsi="Arial" w:cs="Arial"/>
              </w:rPr>
              <w:t>Sotagliflozin</w:t>
            </w:r>
          </w:p>
        </w:tc>
        <w:tc>
          <w:tcPr>
            <w:tcW w:w="2848" w:type="dxa"/>
          </w:tcPr>
          <w:p w14:paraId="62E6EFFB" w14:textId="19C8B029" w:rsidR="001A5CCA" w:rsidRPr="004661E9" w:rsidRDefault="00A74718" w:rsidP="004661E9">
            <w:pPr>
              <w:spacing w:line="276" w:lineRule="auto"/>
              <w:rPr>
                <w:rFonts w:ascii="Arial" w:hAnsi="Arial" w:cs="Arial"/>
              </w:rPr>
            </w:pPr>
            <w:r w:rsidRPr="004661E9">
              <w:rPr>
                <w:rFonts w:ascii="Arial" w:hAnsi="Arial" w:cs="Arial"/>
              </w:rPr>
              <w:t>33% reduced risk</w:t>
            </w:r>
          </w:p>
        </w:tc>
      </w:tr>
      <w:tr w:rsidR="001C412B" w:rsidRPr="004661E9" w14:paraId="63106C3C" w14:textId="77777777" w:rsidTr="00EF1132">
        <w:trPr>
          <w:trHeight w:val="358"/>
        </w:trPr>
        <w:tc>
          <w:tcPr>
            <w:tcW w:w="2978" w:type="dxa"/>
            <w:vMerge w:val="restart"/>
          </w:tcPr>
          <w:p w14:paraId="10BFF15B" w14:textId="77777777" w:rsidR="001C412B" w:rsidRPr="004661E9" w:rsidRDefault="001C412B" w:rsidP="004661E9">
            <w:pPr>
              <w:spacing w:line="276" w:lineRule="auto"/>
              <w:rPr>
                <w:rFonts w:ascii="Arial" w:hAnsi="Arial" w:cs="Arial"/>
                <w:b/>
                <w:bCs/>
              </w:rPr>
            </w:pPr>
            <w:r w:rsidRPr="004661E9">
              <w:rPr>
                <w:rFonts w:ascii="Arial" w:hAnsi="Arial" w:cs="Arial"/>
              </w:rPr>
              <w:t>GLP-1 Receptor Agonists</w:t>
            </w:r>
          </w:p>
        </w:tc>
        <w:tc>
          <w:tcPr>
            <w:tcW w:w="2449" w:type="dxa"/>
          </w:tcPr>
          <w:p w14:paraId="2E9ADF91" w14:textId="77777777" w:rsidR="001C412B" w:rsidRPr="004661E9" w:rsidRDefault="001C412B" w:rsidP="004661E9">
            <w:pPr>
              <w:spacing w:line="276" w:lineRule="auto"/>
              <w:rPr>
                <w:rFonts w:ascii="Arial" w:hAnsi="Arial" w:cs="Arial"/>
              </w:rPr>
            </w:pPr>
            <w:r w:rsidRPr="004661E9">
              <w:rPr>
                <w:rFonts w:ascii="Arial" w:hAnsi="Arial" w:cs="Arial"/>
              </w:rPr>
              <w:t>Liraglutide</w:t>
            </w:r>
          </w:p>
        </w:tc>
        <w:tc>
          <w:tcPr>
            <w:tcW w:w="2848" w:type="dxa"/>
          </w:tcPr>
          <w:p w14:paraId="067F774D" w14:textId="77777777" w:rsidR="001C412B" w:rsidRPr="004661E9" w:rsidRDefault="001C412B" w:rsidP="004661E9">
            <w:pPr>
              <w:spacing w:line="276" w:lineRule="auto"/>
              <w:rPr>
                <w:rFonts w:ascii="Arial" w:hAnsi="Arial" w:cs="Arial"/>
              </w:rPr>
            </w:pPr>
            <w:r w:rsidRPr="004661E9">
              <w:rPr>
                <w:rFonts w:ascii="Arial" w:hAnsi="Arial" w:cs="Arial"/>
              </w:rPr>
              <w:t>Neutral effect</w:t>
            </w:r>
          </w:p>
        </w:tc>
      </w:tr>
      <w:tr w:rsidR="001C412B" w:rsidRPr="004661E9" w14:paraId="78B3C86F" w14:textId="77777777" w:rsidTr="00EF1132">
        <w:trPr>
          <w:trHeight w:val="273"/>
        </w:trPr>
        <w:tc>
          <w:tcPr>
            <w:tcW w:w="2978" w:type="dxa"/>
            <w:vMerge/>
          </w:tcPr>
          <w:p w14:paraId="08151A88" w14:textId="77777777" w:rsidR="001C412B" w:rsidRPr="004661E9" w:rsidRDefault="001C412B" w:rsidP="004661E9">
            <w:pPr>
              <w:spacing w:line="276" w:lineRule="auto"/>
              <w:rPr>
                <w:rFonts w:ascii="Arial" w:hAnsi="Arial" w:cs="Arial"/>
                <w:b/>
                <w:bCs/>
              </w:rPr>
            </w:pPr>
          </w:p>
        </w:tc>
        <w:tc>
          <w:tcPr>
            <w:tcW w:w="2449" w:type="dxa"/>
          </w:tcPr>
          <w:p w14:paraId="2CA799FD" w14:textId="77777777" w:rsidR="001C412B" w:rsidRPr="004661E9" w:rsidRDefault="001C412B" w:rsidP="004661E9">
            <w:pPr>
              <w:spacing w:line="276" w:lineRule="auto"/>
              <w:rPr>
                <w:rFonts w:ascii="Arial" w:hAnsi="Arial" w:cs="Arial"/>
              </w:rPr>
            </w:pPr>
            <w:r w:rsidRPr="004661E9">
              <w:rPr>
                <w:rFonts w:ascii="Arial" w:hAnsi="Arial" w:cs="Arial"/>
              </w:rPr>
              <w:t>Lixisenatide</w:t>
            </w:r>
          </w:p>
        </w:tc>
        <w:tc>
          <w:tcPr>
            <w:tcW w:w="2848" w:type="dxa"/>
          </w:tcPr>
          <w:p w14:paraId="34CB5CCC" w14:textId="77777777" w:rsidR="001C412B" w:rsidRPr="004661E9" w:rsidRDefault="001C412B" w:rsidP="004661E9">
            <w:pPr>
              <w:spacing w:line="276" w:lineRule="auto"/>
              <w:rPr>
                <w:rFonts w:ascii="Arial" w:hAnsi="Arial" w:cs="Arial"/>
              </w:rPr>
            </w:pPr>
            <w:r w:rsidRPr="004661E9">
              <w:rPr>
                <w:rFonts w:ascii="Arial" w:hAnsi="Arial" w:cs="Arial"/>
              </w:rPr>
              <w:t>Neutral effect</w:t>
            </w:r>
          </w:p>
        </w:tc>
      </w:tr>
      <w:tr w:rsidR="001C412B" w:rsidRPr="004661E9" w14:paraId="5922A598" w14:textId="77777777" w:rsidTr="00EF1132">
        <w:trPr>
          <w:trHeight w:val="396"/>
        </w:trPr>
        <w:tc>
          <w:tcPr>
            <w:tcW w:w="2978" w:type="dxa"/>
            <w:vMerge/>
          </w:tcPr>
          <w:p w14:paraId="241D51B9" w14:textId="77777777" w:rsidR="001C412B" w:rsidRPr="004661E9" w:rsidRDefault="001C412B" w:rsidP="004661E9">
            <w:pPr>
              <w:spacing w:line="276" w:lineRule="auto"/>
              <w:rPr>
                <w:rFonts w:ascii="Arial" w:hAnsi="Arial" w:cs="Arial"/>
                <w:b/>
                <w:bCs/>
              </w:rPr>
            </w:pPr>
          </w:p>
        </w:tc>
        <w:tc>
          <w:tcPr>
            <w:tcW w:w="2449" w:type="dxa"/>
          </w:tcPr>
          <w:p w14:paraId="13D4E261" w14:textId="77777777" w:rsidR="001C412B" w:rsidRPr="004661E9" w:rsidRDefault="001C412B" w:rsidP="004661E9">
            <w:pPr>
              <w:spacing w:line="276" w:lineRule="auto"/>
              <w:rPr>
                <w:rFonts w:ascii="Arial" w:hAnsi="Arial" w:cs="Arial"/>
              </w:rPr>
            </w:pPr>
            <w:r w:rsidRPr="004661E9">
              <w:rPr>
                <w:rFonts w:ascii="Arial" w:hAnsi="Arial" w:cs="Arial"/>
              </w:rPr>
              <w:t>Semaglutide</w:t>
            </w:r>
          </w:p>
        </w:tc>
        <w:tc>
          <w:tcPr>
            <w:tcW w:w="2848" w:type="dxa"/>
          </w:tcPr>
          <w:p w14:paraId="68FD513E" w14:textId="77777777" w:rsidR="001C412B" w:rsidRPr="004661E9" w:rsidRDefault="001C412B" w:rsidP="004661E9">
            <w:pPr>
              <w:spacing w:line="276" w:lineRule="auto"/>
              <w:rPr>
                <w:rFonts w:ascii="Arial" w:hAnsi="Arial" w:cs="Arial"/>
              </w:rPr>
            </w:pPr>
            <w:r w:rsidRPr="004661E9">
              <w:rPr>
                <w:rFonts w:ascii="Arial" w:hAnsi="Arial" w:cs="Arial"/>
              </w:rPr>
              <w:t>Neutral effect</w:t>
            </w:r>
          </w:p>
        </w:tc>
      </w:tr>
      <w:tr w:rsidR="001C412B" w:rsidRPr="004661E9" w14:paraId="5DCC8C67" w14:textId="77777777" w:rsidTr="00EF1132">
        <w:trPr>
          <w:trHeight w:val="367"/>
        </w:trPr>
        <w:tc>
          <w:tcPr>
            <w:tcW w:w="2978" w:type="dxa"/>
            <w:vMerge/>
          </w:tcPr>
          <w:p w14:paraId="21378B8B" w14:textId="77777777" w:rsidR="001C412B" w:rsidRPr="004661E9" w:rsidRDefault="001C412B" w:rsidP="004661E9">
            <w:pPr>
              <w:spacing w:line="276" w:lineRule="auto"/>
              <w:rPr>
                <w:rFonts w:ascii="Arial" w:hAnsi="Arial" w:cs="Arial"/>
                <w:b/>
                <w:bCs/>
              </w:rPr>
            </w:pPr>
          </w:p>
        </w:tc>
        <w:tc>
          <w:tcPr>
            <w:tcW w:w="2449" w:type="dxa"/>
          </w:tcPr>
          <w:p w14:paraId="6AF1065F" w14:textId="77777777" w:rsidR="001C412B" w:rsidRPr="004661E9" w:rsidRDefault="001C412B" w:rsidP="004661E9">
            <w:pPr>
              <w:spacing w:line="276" w:lineRule="auto"/>
              <w:rPr>
                <w:rFonts w:ascii="Arial" w:hAnsi="Arial" w:cs="Arial"/>
              </w:rPr>
            </w:pPr>
            <w:r w:rsidRPr="004661E9">
              <w:rPr>
                <w:rFonts w:ascii="Arial" w:hAnsi="Arial" w:cs="Arial"/>
              </w:rPr>
              <w:t>Albiglutide</w:t>
            </w:r>
          </w:p>
        </w:tc>
        <w:tc>
          <w:tcPr>
            <w:tcW w:w="2848" w:type="dxa"/>
          </w:tcPr>
          <w:p w14:paraId="3B8E512A" w14:textId="77777777" w:rsidR="001C412B" w:rsidRPr="004661E9" w:rsidRDefault="001C412B" w:rsidP="004661E9">
            <w:pPr>
              <w:spacing w:line="276" w:lineRule="auto"/>
              <w:rPr>
                <w:rFonts w:ascii="Arial" w:hAnsi="Arial" w:cs="Arial"/>
              </w:rPr>
            </w:pPr>
            <w:r w:rsidRPr="004661E9">
              <w:rPr>
                <w:rFonts w:ascii="Arial" w:hAnsi="Arial" w:cs="Arial"/>
              </w:rPr>
              <w:t>Neutral effect</w:t>
            </w:r>
          </w:p>
        </w:tc>
      </w:tr>
      <w:tr w:rsidR="001C412B" w:rsidRPr="004661E9" w14:paraId="32FFB411" w14:textId="77777777" w:rsidTr="00EF1132">
        <w:trPr>
          <w:trHeight w:val="358"/>
        </w:trPr>
        <w:tc>
          <w:tcPr>
            <w:tcW w:w="2978" w:type="dxa"/>
            <w:vMerge/>
          </w:tcPr>
          <w:p w14:paraId="0B332496" w14:textId="77777777" w:rsidR="001C412B" w:rsidRPr="004661E9" w:rsidRDefault="001C412B" w:rsidP="004661E9">
            <w:pPr>
              <w:spacing w:line="276" w:lineRule="auto"/>
              <w:rPr>
                <w:rFonts w:ascii="Arial" w:hAnsi="Arial" w:cs="Arial"/>
                <w:b/>
                <w:bCs/>
              </w:rPr>
            </w:pPr>
          </w:p>
        </w:tc>
        <w:tc>
          <w:tcPr>
            <w:tcW w:w="2449" w:type="dxa"/>
          </w:tcPr>
          <w:p w14:paraId="440F47D0" w14:textId="77777777" w:rsidR="001C412B" w:rsidRPr="004661E9" w:rsidRDefault="001C412B" w:rsidP="004661E9">
            <w:pPr>
              <w:spacing w:line="276" w:lineRule="auto"/>
              <w:rPr>
                <w:rFonts w:ascii="Arial" w:hAnsi="Arial" w:cs="Arial"/>
              </w:rPr>
            </w:pPr>
            <w:r w:rsidRPr="004661E9">
              <w:rPr>
                <w:rFonts w:ascii="Arial" w:hAnsi="Arial" w:cs="Arial"/>
              </w:rPr>
              <w:t>Exenatide</w:t>
            </w:r>
          </w:p>
        </w:tc>
        <w:tc>
          <w:tcPr>
            <w:tcW w:w="2848" w:type="dxa"/>
          </w:tcPr>
          <w:p w14:paraId="1942CEAE" w14:textId="77777777" w:rsidR="001C412B" w:rsidRPr="004661E9" w:rsidRDefault="001C412B" w:rsidP="004661E9">
            <w:pPr>
              <w:spacing w:line="276" w:lineRule="auto"/>
              <w:rPr>
                <w:rFonts w:ascii="Arial" w:hAnsi="Arial" w:cs="Arial"/>
              </w:rPr>
            </w:pPr>
            <w:r w:rsidRPr="004661E9">
              <w:rPr>
                <w:rFonts w:ascii="Arial" w:hAnsi="Arial" w:cs="Arial"/>
              </w:rPr>
              <w:t>Neutral effect</w:t>
            </w:r>
          </w:p>
        </w:tc>
      </w:tr>
      <w:tr w:rsidR="001C412B" w:rsidRPr="004661E9" w14:paraId="70FF65B3" w14:textId="77777777" w:rsidTr="00EF1132">
        <w:trPr>
          <w:trHeight w:val="358"/>
        </w:trPr>
        <w:tc>
          <w:tcPr>
            <w:tcW w:w="2978" w:type="dxa"/>
            <w:vMerge/>
          </w:tcPr>
          <w:p w14:paraId="6D395DF7" w14:textId="77777777" w:rsidR="001C412B" w:rsidRPr="004661E9" w:rsidRDefault="001C412B" w:rsidP="004661E9">
            <w:pPr>
              <w:spacing w:line="276" w:lineRule="auto"/>
              <w:rPr>
                <w:rFonts w:ascii="Arial" w:hAnsi="Arial" w:cs="Arial"/>
                <w:b/>
                <w:bCs/>
              </w:rPr>
            </w:pPr>
          </w:p>
        </w:tc>
        <w:tc>
          <w:tcPr>
            <w:tcW w:w="2449" w:type="dxa"/>
          </w:tcPr>
          <w:p w14:paraId="4CD6BDA6" w14:textId="4EA3218E" w:rsidR="001C412B" w:rsidRPr="004661E9" w:rsidRDefault="001C412B" w:rsidP="004661E9">
            <w:pPr>
              <w:spacing w:line="276" w:lineRule="auto"/>
              <w:rPr>
                <w:rFonts w:ascii="Arial" w:hAnsi="Arial" w:cs="Arial"/>
              </w:rPr>
            </w:pPr>
            <w:r w:rsidRPr="004661E9">
              <w:rPr>
                <w:rFonts w:ascii="Arial" w:hAnsi="Arial" w:cs="Arial"/>
              </w:rPr>
              <w:t>Efpeglenatide</w:t>
            </w:r>
          </w:p>
        </w:tc>
        <w:tc>
          <w:tcPr>
            <w:tcW w:w="2848" w:type="dxa"/>
          </w:tcPr>
          <w:p w14:paraId="653658F4" w14:textId="529530A5" w:rsidR="001C412B" w:rsidRPr="004661E9" w:rsidRDefault="001C412B" w:rsidP="004661E9">
            <w:pPr>
              <w:spacing w:line="276" w:lineRule="auto"/>
              <w:rPr>
                <w:rFonts w:ascii="Arial" w:hAnsi="Arial" w:cs="Arial"/>
              </w:rPr>
            </w:pPr>
            <w:r w:rsidRPr="004661E9">
              <w:rPr>
                <w:rFonts w:ascii="Arial" w:hAnsi="Arial" w:cs="Arial"/>
              </w:rPr>
              <w:t>39% reduced risk</w:t>
            </w:r>
          </w:p>
        </w:tc>
      </w:tr>
      <w:tr w:rsidR="0049543A" w:rsidRPr="004661E9" w14:paraId="1D148584" w14:textId="77777777" w:rsidTr="00EF1132">
        <w:trPr>
          <w:trHeight w:val="367"/>
        </w:trPr>
        <w:tc>
          <w:tcPr>
            <w:tcW w:w="2978" w:type="dxa"/>
            <w:vMerge w:val="restart"/>
          </w:tcPr>
          <w:p w14:paraId="16ABB543" w14:textId="77777777" w:rsidR="0049543A" w:rsidRPr="004661E9" w:rsidRDefault="0049543A" w:rsidP="004661E9">
            <w:pPr>
              <w:spacing w:line="276" w:lineRule="auto"/>
              <w:rPr>
                <w:rFonts w:ascii="Arial" w:hAnsi="Arial" w:cs="Arial"/>
                <w:b/>
                <w:bCs/>
              </w:rPr>
            </w:pPr>
            <w:r w:rsidRPr="004661E9">
              <w:rPr>
                <w:rFonts w:ascii="Arial" w:hAnsi="Arial" w:cs="Arial"/>
              </w:rPr>
              <w:t>DPP-4 Inhibitors</w:t>
            </w:r>
          </w:p>
        </w:tc>
        <w:tc>
          <w:tcPr>
            <w:tcW w:w="2449" w:type="dxa"/>
          </w:tcPr>
          <w:p w14:paraId="545590F3" w14:textId="77777777" w:rsidR="0049543A" w:rsidRPr="004661E9" w:rsidRDefault="0049543A" w:rsidP="004661E9">
            <w:pPr>
              <w:spacing w:line="276" w:lineRule="auto"/>
              <w:rPr>
                <w:rFonts w:ascii="Arial" w:hAnsi="Arial" w:cs="Arial"/>
              </w:rPr>
            </w:pPr>
            <w:r w:rsidRPr="004661E9">
              <w:rPr>
                <w:rFonts w:ascii="Arial" w:hAnsi="Arial" w:cs="Arial"/>
              </w:rPr>
              <w:t>Saxagliptin</w:t>
            </w:r>
          </w:p>
        </w:tc>
        <w:tc>
          <w:tcPr>
            <w:tcW w:w="2848" w:type="dxa"/>
          </w:tcPr>
          <w:p w14:paraId="71A68A4C" w14:textId="77777777" w:rsidR="0049543A" w:rsidRPr="004661E9" w:rsidRDefault="0049543A" w:rsidP="004661E9">
            <w:pPr>
              <w:spacing w:line="276" w:lineRule="auto"/>
              <w:rPr>
                <w:rFonts w:ascii="Arial" w:hAnsi="Arial" w:cs="Arial"/>
              </w:rPr>
            </w:pPr>
            <w:r w:rsidRPr="004661E9">
              <w:rPr>
                <w:rFonts w:ascii="Arial" w:hAnsi="Arial" w:cs="Arial"/>
              </w:rPr>
              <w:t>27% increased risk</w:t>
            </w:r>
          </w:p>
        </w:tc>
      </w:tr>
      <w:tr w:rsidR="0049543A" w:rsidRPr="004661E9" w14:paraId="2AB53050" w14:textId="77777777" w:rsidTr="00EF1132">
        <w:trPr>
          <w:trHeight w:val="367"/>
        </w:trPr>
        <w:tc>
          <w:tcPr>
            <w:tcW w:w="2978" w:type="dxa"/>
            <w:vMerge/>
          </w:tcPr>
          <w:p w14:paraId="3752CED4" w14:textId="77777777" w:rsidR="0049543A" w:rsidRPr="004661E9" w:rsidRDefault="0049543A" w:rsidP="004661E9">
            <w:pPr>
              <w:spacing w:line="276" w:lineRule="auto"/>
              <w:rPr>
                <w:rFonts w:ascii="Arial" w:hAnsi="Arial" w:cs="Arial"/>
                <w:b/>
                <w:bCs/>
              </w:rPr>
            </w:pPr>
          </w:p>
        </w:tc>
        <w:tc>
          <w:tcPr>
            <w:tcW w:w="2449" w:type="dxa"/>
          </w:tcPr>
          <w:p w14:paraId="7ED5657E" w14:textId="77777777" w:rsidR="0049543A" w:rsidRPr="004661E9" w:rsidRDefault="0049543A" w:rsidP="004661E9">
            <w:pPr>
              <w:spacing w:line="276" w:lineRule="auto"/>
              <w:rPr>
                <w:rFonts w:ascii="Arial" w:hAnsi="Arial" w:cs="Arial"/>
              </w:rPr>
            </w:pPr>
            <w:r w:rsidRPr="004661E9">
              <w:rPr>
                <w:rFonts w:ascii="Arial" w:hAnsi="Arial" w:cs="Arial"/>
              </w:rPr>
              <w:t>Alogliptin</w:t>
            </w:r>
          </w:p>
        </w:tc>
        <w:tc>
          <w:tcPr>
            <w:tcW w:w="2848" w:type="dxa"/>
          </w:tcPr>
          <w:p w14:paraId="5BA381BE" w14:textId="1CC8F06F" w:rsidR="0049543A" w:rsidRPr="004661E9" w:rsidRDefault="0049543A" w:rsidP="004661E9">
            <w:pPr>
              <w:spacing w:line="276" w:lineRule="auto"/>
              <w:rPr>
                <w:rFonts w:ascii="Arial" w:hAnsi="Arial" w:cs="Arial"/>
              </w:rPr>
            </w:pPr>
            <w:r w:rsidRPr="004661E9">
              <w:rPr>
                <w:rFonts w:ascii="Arial" w:hAnsi="Arial" w:cs="Arial"/>
              </w:rPr>
              <w:t>Neutral effect</w:t>
            </w:r>
            <w:r w:rsidR="005F51EE" w:rsidRPr="004661E9">
              <w:rPr>
                <w:rFonts w:ascii="Arial" w:hAnsi="Arial" w:cs="Arial"/>
              </w:rPr>
              <w:t>*</w:t>
            </w:r>
            <w:r w:rsidR="00177747" w:rsidRPr="004661E9">
              <w:rPr>
                <w:rFonts w:ascii="Arial" w:hAnsi="Arial" w:cs="Arial"/>
              </w:rPr>
              <w:t>*</w:t>
            </w:r>
          </w:p>
        </w:tc>
      </w:tr>
      <w:tr w:rsidR="0049543A" w:rsidRPr="004661E9" w14:paraId="2E675957" w14:textId="77777777" w:rsidTr="00EF1132">
        <w:trPr>
          <w:trHeight w:val="367"/>
        </w:trPr>
        <w:tc>
          <w:tcPr>
            <w:tcW w:w="2978" w:type="dxa"/>
            <w:vMerge/>
          </w:tcPr>
          <w:p w14:paraId="040B422F" w14:textId="77777777" w:rsidR="0049543A" w:rsidRPr="004661E9" w:rsidRDefault="0049543A" w:rsidP="004661E9">
            <w:pPr>
              <w:spacing w:line="276" w:lineRule="auto"/>
              <w:rPr>
                <w:rFonts w:ascii="Arial" w:hAnsi="Arial" w:cs="Arial"/>
                <w:b/>
                <w:bCs/>
              </w:rPr>
            </w:pPr>
          </w:p>
        </w:tc>
        <w:tc>
          <w:tcPr>
            <w:tcW w:w="2449" w:type="dxa"/>
          </w:tcPr>
          <w:p w14:paraId="3EF6C5BD" w14:textId="77777777" w:rsidR="0049543A" w:rsidRPr="004661E9" w:rsidRDefault="0049543A" w:rsidP="004661E9">
            <w:pPr>
              <w:spacing w:line="276" w:lineRule="auto"/>
              <w:rPr>
                <w:rFonts w:ascii="Arial" w:hAnsi="Arial" w:cs="Arial"/>
              </w:rPr>
            </w:pPr>
            <w:r w:rsidRPr="004661E9">
              <w:rPr>
                <w:rFonts w:ascii="Arial" w:hAnsi="Arial" w:cs="Arial"/>
              </w:rPr>
              <w:t>Sitagliptin</w:t>
            </w:r>
          </w:p>
        </w:tc>
        <w:tc>
          <w:tcPr>
            <w:tcW w:w="2848" w:type="dxa"/>
          </w:tcPr>
          <w:p w14:paraId="1C0CB423" w14:textId="77777777" w:rsidR="0049543A" w:rsidRPr="004661E9" w:rsidRDefault="0049543A" w:rsidP="004661E9">
            <w:pPr>
              <w:spacing w:line="276" w:lineRule="auto"/>
              <w:rPr>
                <w:rFonts w:ascii="Arial" w:hAnsi="Arial" w:cs="Arial"/>
              </w:rPr>
            </w:pPr>
            <w:r w:rsidRPr="004661E9">
              <w:rPr>
                <w:rFonts w:ascii="Arial" w:hAnsi="Arial" w:cs="Arial"/>
              </w:rPr>
              <w:t>Neutral effect</w:t>
            </w:r>
          </w:p>
        </w:tc>
      </w:tr>
      <w:tr w:rsidR="0049543A" w:rsidRPr="004661E9" w14:paraId="2362B934" w14:textId="77777777" w:rsidTr="00EF1132">
        <w:trPr>
          <w:trHeight w:val="377"/>
        </w:trPr>
        <w:tc>
          <w:tcPr>
            <w:tcW w:w="2978" w:type="dxa"/>
            <w:vMerge/>
          </w:tcPr>
          <w:p w14:paraId="4DDB220A" w14:textId="77777777" w:rsidR="0049543A" w:rsidRPr="004661E9" w:rsidRDefault="0049543A" w:rsidP="004661E9">
            <w:pPr>
              <w:spacing w:line="276" w:lineRule="auto"/>
              <w:rPr>
                <w:rFonts w:ascii="Arial" w:hAnsi="Arial" w:cs="Arial"/>
                <w:b/>
                <w:bCs/>
              </w:rPr>
            </w:pPr>
          </w:p>
        </w:tc>
        <w:tc>
          <w:tcPr>
            <w:tcW w:w="2449" w:type="dxa"/>
          </w:tcPr>
          <w:p w14:paraId="6AB5C5C1" w14:textId="77777777" w:rsidR="0049543A" w:rsidRPr="004661E9" w:rsidRDefault="0049543A" w:rsidP="004661E9">
            <w:pPr>
              <w:spacing w:line="276" w:lineRule="auto"/>
              <w:rPr>
                <w:rFonts w:ascii="Arial" w:hAnsi="Arial" w:cs="Arial"/>
              </w:rPr>
            </w:pPr>
            <w:r w:rsidRPr="004661E9">
              <w:rPr>
                <w:rFonts w:ascii="Arial" w:hAnsi="Arial" w:cs="Arial"/>
              </w:rPr>
              <w:t>Vildagliptin</w:t>
            </w:r>
          </w:p>
        </w:tc>
        <w:tc>
          <w:tcPr>
            <w:tcW w:w="2848" w:type="dxa"/>
          </w:tcPr>
          <w:p w14:paraId="5A705B12" w14:textId="77777777" w:rsidR="0049543A" w:rsidRPr="004661E9" w:rsidRDefault="0049543A" w:rsidP="004661E9">
            <w:pPr>
              <w:spacing w:line="276" w:lineRule="auto"/>
              <w:rPr>
                <w:rFonts w:ascii="Arial" w:hAnsi="Arial" w:cs="Arial"/>
              </w:rPr>
            </w:pPr>
            <w:r w:rsidRPr="004661E9">
              <w:rPr>
                <w:rFonts w:ascii="Arial" w:hAnsi="Arial" w:cs="Arial"/>
              </w:rPr>
              <w:t>Neutral effect</w:t>
            </w:r>
          </w:p>
        </w:tc>
      </w:tr>
      <w:tr w:rsidR="0049543A" w:rsidRPr="004661E9" w14:paraId="330804C0" w14:textId="77777777" w:rsidTr="00EF1132">
        <w:trPr>
          <w:trHeight w:val="358"/>
        </w:trPr>
        <w:tc>
          <w:tcPr>
            <w:tcW w:w="2978" w:type="dxa"/>
            <w:vMerge/>
          </w:tcPr>
          <w:p w14:paraId="1D67B671" w14:textId="77777777" w:rsidR="0049543A" w:rsidRPr="004661E9" w:rsidRDefault="0049543A" w:rsidP="004661E9">
            <w:pPr>
              <w:spacing w:line="276" w:lineRule="auto"/>
              <w:rPr>
                <w:rFonts w:ascii="Arial" w:hAnsi="Arial" w:cs="Arial"/>
                <w:b/>
                <w:bCs/>
              </w:rPr>
            </w:pPr>
          </w:p>
        </w:tc>
        <w:tc>
          <w:tcPr>
            <w:tcW w:w="2449" w:type="dxa"/>
          </w:tcPr>
          <w:p w14:paraId="2ECEC985" w14:textId="77777777" w:rsidR="0049543A" w:rsidRPr="004661E9" w:rsidRDefault="0049543A" w:rsidP="004661E9">
            <w:pPr>
              <w:spacing w:line="276" w:lineRule="auto"/>
              <w:rPr>
                <w:rFonts w:ascii="Arial" w:hAnsi="Arial" w:cs="Arial"/>
              </w:rPr>
            </w:pPr>
            <w:r w:rsidRPr="004661E9">
              <w:rPr>
                <w:rFonts w:ascii="Arial" w:hAnsi="Arial" w:cs="Arial"/>
              </w:rPr>
              <w:t>Linagliptin</w:t>
            </w:r>
          </w:p>
        </w:tc>
        <w:tc>
          <w:tcPr>
            <w:tcW w:w="2848" w:type="dxa"/>
          </w:tcPr>
          <w:p w14:paraId="4E15BD32" w14:textId="77777777" w:rsidR="0049543A" w:rsidRPr="004661E9" w:rsidRDefault="0049543A" w:rsidP="004661E9">
            <w:pPr>
              <w:spacing w:line="276" w:lineRule="auto"/>
              <w:rPr>
                <w:rFonts w:ascii="Arial" w:hAnsi="Arial" w:cs="Arial"/>
              </w:rPr>
            </w:pPr>
            <w:r w:rsidRPr="004661E9">
              <w:rPr>
                <w:rFonts w:ascii="Arial" w:hAnsi="Arial" w:cs="Arial"/>
              </w:rPr>
              <w:t>Neutral effect</w:t>
            </w:r>
          </w:p>
        </w:tc>
      </w:tr>
      <w:tr w:rsidR="0049543A" w:rsidRPr="004661E9" w14:paraId="064E97F8" w14:textId="77777777" w:rsidTr="00EF1132">
        <w:trPr>
          <w:trHeight w:val="367"/>
        </w:trPr>
        <w:tc>
          <w:tcPr>
            <w:tcW w:w="2978" w:type="dxa"/>
            <w:vMerge w:val="restart"/>
          </w:tcPr>
          <w:p w14:paraId="55AB0E91" w14:textId="77777777" w:rsidR="0049543A" w:rsidRPr="004661E9" w:rsidRDefault="0049543A" w:rsidP="004661E9">
            <w:pPr>
              <w:spacing w:line="276" w:lineRule="auto"/>
              <w:rPr>
                <w:rFonts w:ascii="Arial" w:hAnsi="Arial" w:cs="Arial"/>
                <w:b/>
                <w:bCs/>
              </w:rPr>
            </w:pPr>
            <w:r w:rsidRPr="004661E9">
              <w:rPr>
                <w:rFonts w:ascii="Arial" w:hAnsi="Arial" w:cs="Arial"/>
              </w:rPr>
              <w:lastRenderedPageBreak/>
              <w:t>Thiazolidinediones</w:t>
            </w:r>
          </w:p>
        </w:tc>
        <w:tc>
          <w:tcPr>
            <w:tcW w:w="2449" w:type="dxa"/>
          </w:tcPr>
          <w:p w14:paraId="1E5AC232" w14:textId="77777777" w:rsidR="0049543A" w:rsidRPr="004661E9" w:rsidRDefault="0049543A" w:rsidP="004661E9">
            <w:pPr>
              <w:spacing w:line="276" w:lineRule="auto"/>
              <w:rPr>
                <w:rFonts w:ascii="Arial" w:hAnsi="Arial" w:cs="Arial"/>
              </w:rPr>
            </w:pPr>
            <w:r w:rsidRPr="004661E9">
              <w:rPr>
                <w:rFonts w:ascii="Arial" w:hAnsi="Arial" w:cs="Arial"/>
              </w:rPr>
              <w:t>Rosiglitazone</w:t>
            </w:r>
          </w:p>
        </w:tc>
        <w:tc>
          <w:tcPr>
            <w:tcW w:w="2848" w:type="dxa"/>
          </w:tcPr>
          <w:p w14:paraId="1AD8B2C3" w14:textId="71FC1AA1" w:rsidR="0049543A" w:rsidRPr="004661E9" w:rsidRDefault="0049543A" w:rsidP="004661E9">
            <w:pPr>
              <w:spacing w:line="276" w:lineRule="auto"/>
              <w:rPr>
                <w:rFonts w:ascii="Arial" w:hAnsi="Arial" w:cs="Arial"/>
              </w:rPr>
            </w:pPr>
            <w:r w:rsidRPr="004661E9">
              <w:rPr>
                <w:rFonts w:ascii="Arial" w:hAnsi="Arial" w:cs="Arial"/>
              </w:rPr>
              <w:t>Increased risk*</w:t>
            </w:r>
            <w:r w:rsidR="005F51EE" w:rsidRPr="004661E9">
              <w:rPr>
                <w:rFonts w:ascii="Arial" w:hAnsi="Arial" w:cs="Arial"/>
              </w:rPr>
              <w:t>*</w:t>
            </w:r>
            <w:r w:rsidR="00EF1132">
              <w:rPr>
                <w:rFonts w:ascii="Arial" w:hAnsi="Arial" w:cs="Arial"/>
              </w:rPr>
              <w:t>*</w:t>
            </w:r>
          </w:p>
        </w:tc>
      </w:tr>
      <w:tr w:rsidR="0049543A" w:rsidRPr="004661E9" w14:paraId="016A1FF3" w14:textId="77777777" w:rsidTr="00EF1132">
        <w:trPr>
          <w:trHeight w:val="367"/>
        </w:trPr>
        <w:tc>
          <w:tcPr>
            <w:tcW w:w="2978" w:type="dxa"/>
            <w:vMerge/>
          </w:tcPr>
          <w:p w14:paraId="1028B041" w14:textId="77777777" w:rsidR="0049543A" w:rsidRPr="004661E9" w:rsidRDefault="0049543A" w:rsidP="004661E9">
            <w:pPr>
              <w:spacing w:line="276" w:lineRule="auto"/>
              <w:rPr>
                <w:rFonts w:ascii="Arial" w:hAnsi="Arial" w:cs="Arial"/>
              </w:rPr>
            </w:pPr>
          </w:p>
        </w:tc>
        <w:tc>
          <w:tcPr>
            <w:tcW w:w="2449" w:type="dxa"/>
          </w:tcPr>
          <w:p w14:paraId="03FE7912" w14:textId="77777777" w:rsidR="0049543A" w:rsidRPr="004661E9" w:rsidRDefault="0049543A" w:rsidP="004661E9">
            <w:pPr>
              <w:spacing w:line="276" w:lineRule="auto"/>
              <w:rPr>
                <w:rFonts w:ascii="Arial" w:hAnsi="Arial" w:cs="Arial"/>
              </w:rPr>
            </w:pPr>
            <w:r w:rsidRPr="004661E9">
              <w:rPr>
                <w:rFonts w:ascii="Arial" w:hAnsi="Arial" w:cs="Arial"/>
              </w:rPr>
              <w:t>Pioglitazone</w:t>
            </w:r>
          </w:p>
        </w:tc>
        <w:tc>
          <w:tcPr>
            <w:tcW w:w="2848" w:type="dxa"/>
          </w:tcPr>
          <w:p w14:paraId="547757A4" w14:textId="77777777" w:rsidR="0049543A" w:rsidRPr="004661E9" w:rsidRDefault="0049543A" w:rsidP="004661E9">
            <w:pPr>
              <w:spacing w:line="276" w:lineRule="auto"/>
              <w:rPr>
                <w:rFonts w:ascii="Arial" w:hAnsi="Arial" w:cs="Arial"/>
              </w:rPr>
            </w:pPr>
            <w:r w:rsidRPr="004661E9">
              <w:rPr>
                <w:rFonts w:ascii="Arial" w:hAnsi="Arial" w:cs="Arial"/>
              </w:rPr>
              <w:t>41% Increased risk</w:t>
            </w:r>
          </w:p>
        </w:tc>
      </w:tr>
    </w:tbl>
    <w:p w14:paraId="2C6C92C1" w14:textId="6F969203" w:rsidR="00F51110" w:rsidRPr="004661E9" w:rsidRDefault="00177747" w:rsidP="004661E9">
      <w:pPr>
        <w:spacing w:after="0" w:line="276" w:lineRule="auto"/>
        <w:rPr>
          <w:rFonts w:ascii="Arial" w:hAnsi="Arial" w:cs="Arial"/>
          <w:b/>
          <w:bCs/>
        </w:rPr>
      </w:pPr>
      <w:r w:rsidRPr="004661E9">
        <w:rPr>
          <w:rFonts w:ascii="Arial" w:hAnsi="Arial" w:cs="Arial"/>
          <w:b/>
          <w:bCs/>
        </w:rPr>
        <w:t>*</w:t>
      </w:r>
      <w:r w:rsidR="001C412B" w:rsidRPr="004661E9">
        <w:rPr>
          <w:rFonts w:ascii="Arial" w:hAnsi="Arial" w:cs="Arial"/>
          <w:b/>
          <w:bCs/>
        </w:rPr>
        <w:t>Exploratory</w:t>
      </w:r>
      <w:r w:rsidR="004602C0" w:rsidRPr="004661E9">
        <w:rPr>
          <w:rFonts w:ascii="Arial" w:hAnsi="Arial" w:cs="Arial"/>
          <w:b/>
          <w:bCs/>
        </w:rPr>
        <w:t xml:space="preserve"> secondary outcome</w:t>
      </w:r>
      <w:r w:rsidR="00B45096" w:rsidRPr="004661E9">
        <w:rPr>
          <w:rFonts w:ascii="Arial" w:hAnsi="Arial" w:cs="Arial"/>
          <w:b/>
          <w:bCs/>
        </w:rPr>
        <w:t xml:space="preserve"> (primary outcome</w:t>
      </w:r>
      <w:r w:rsidR="00EB1635" w:rsidRPr="004661E9">
        <w:rPr>
          <w:rFonts w:ascii="Arial" w:hAnsi="Arial" w:cs="Arial"/>
          <w:b/>
          <w:bCs/>
        </w:rPr>
        <w:t xml:space="preserve"> of MACE</w:t>
      </w:r>
      <w:r w:rsidR="00B45096" w:rsidRPr="004661E9">
        <w:rPr>
          <w:rFonts w:ascii="Arial" w:hAnsi="Arial" w:cs="Arial"/>
          <w:b/>
          <w:bCs/>
        </w:rPr>
        <w:t xml:space="preserve"> was similar to placebo). **</w:t>
      </w:r>
      <w:r w:rsidR="005F51EE" w:rsidRPr="004661E9">
        <w:rPr>
          <w:rFonts w:ascii="Arial" w:hAnsi="Arial" w:cs="Arial"/>
          <w:b/>
          <w:bCs/>
        </w:rPr>
        <w:t>Possible increase in the risk of HF hospitalization in patients without a history of HF at baseline</w:t>
      </w:r>
      <w:r w:rsidR="006F1BDC" w:rsidRPr="004661E9">
        <w:rPr>
          <w:rFonts w:ascii="Arial" w:hAnsi="Arial" w:cs="Arial"/>
          <w:b/>
          <w:bCs/>
        </w:rPr>
        <w:t xml:space="preserve"> (HR 1.76, 1·07–2·90)</w:t>
      </w:r>
      <w:r w:rsidR="005F51EE" w:rsidRPr="004661E9">
        <w:rPr>
          <w:rFonts w:ascii="Arial" w:hAnsi="Arial" w:cs="Arial"/>
          <w:b/>
          <w:bCs/>
        </w:rPr>
        <w:t xml:space="preserve">. </w:t>
      </w:r>
      <w:r w:rsidR="00F51110" w:rsidRPr="004661E9">
        <w:rPr>
          <w:rFonts w:ascii="Arial" w:hAnsi="Arial" w:cs="Arial"/>
          <w:b/>
          <w:bCs/>
        </w:rPr>
        <w:t>*</w:t>
      </w:r>
      <w:r w:rsidR="005F51EE" w:rsidRPr="004661E9">
        <w:rPr>
          <w:rFonts w:ascii="Arial" w:hAnsi="Arial" w:cs="Arial"/>
          <w:b/>
          <w:bCs/>
        </w:rPr>
        <w:t>*</w:t>
      </w:r>
      <w:r w:rsidR="00EF1132">
        <w:rPr>
          <w:rFonts w:ascii="Arial" w:hAnsi="Arial" w:cs="Arial"/>
          <w:b/>
          <w:bCs/>
        </w:rPr>
        <w:t>*</w:t>
      </w:r>
      <w:r w:rsidR="00F51110" w:rsidRPr="004661E9">
        <w:rPr>
          <w:rFonts w:ascii="Arial" w:hAnsi="Arial" w:cs="Arial"/>
          <w:b/>
          <w:bCs/>
        </w:rPr>
        <w:t xml:space="preserve"> </w:t>
      </w:r>
      <w:r w:rsidR="005F51EE" w:rsidRPr="004661E9">
        <w:rPr>
          <w:rFonts w:ascii="Arial" w:hAnsi="Arial" w:cs="Arial"/>
          <w:b/>
          <w:bCs/>
        </w:rPr>
        <w:t>I</w:t>
      </w:r>
      <w:r w:rsidR="00F51110" w:rsidRPr="004661E9">
        <w:rPr>
          <w:rFonts w:ascii="Arial" w:hAnsi="Arial" w:cs="Arial"/>
          <w:b/>
          <w:bCs/>
        </w:rPr>
        <w:t>ncreased risk of HF hospitalization and HF-related death (HR 2.10, 1.35-3.27).</w:t>
      </w:r>
    </w:p>
    <w:p w14:paraId="42FBF4A1" w14:textId="27AC6476" w:rsidR="00D0480B" w:rsidRPr="004661E9" w:rsidRDefault="00D0480B" w:rsidP="004661E9">
      <w:pPr>
        <w:spacing w:after="0" w:line="276" w:lineRule="auto"/>
        <w:rPr>
          <w:rFonts w:ascii="Arial" w:hAnsi="Arial" w:cs="Arial"/>
        </w:rPr>
      </w:pPr>
    </w:p>
    <w:p w14:paraId="5449B61B" w14:textId="77777777" w:rsidR="00AC38E4" w:rsidRPr="004661E9" w:rsidRDefault="00AC38E4" w:rsidP="004661E9">
      <w:pPr>
        <w:spacing w:after="0" w:line="276" w:lineRule="auto"/>
        <w:rPr>
          <w:rFonts w:ascii="Arial" w:hAnsi="Arial" w:cs="Arial"/>
          <w:b/>
          <w:bCs/>
          <w:color w:val="00B050"/>
        </w:rPr>
      </w:pPr>
      <w:r w:rsidRPr="004661E9">
        <w:rPr>
          <w:rFonts w:ascii="Arial" w:hAnsi="Arial" w:cs="Arial"/>
          <w:b/>
          <w:bCs/>
          <w:color w:val="00B050"/>
        </w:rPr>
        <w:t>DPP4 Inhibitors</w:t>
      </w:r>
    </w:p>
    <w:p w14:paraId="2ADBFDB2" w14:textId="77777777" w:rsidR="00AC38E4" w:rsidRPr="004661E9" w:rsidRDefault="00AC38E4" w:rsidP="004661E9">
      <w:pPr>
        <w:spacing w:after="0" w:line="276" w:lineRule="auto"/>
        <w:rPr>
          <w:rFonts w:ascii="Arial" w:hAnsi="Arial" w:cs="Arial"/>
        </w:rPr>
      </w:pPr>
    </w:p>
    <w:p w14:paraId="0E09B8BC" w14:textId="23F56DA6" w:rsidR="00B0262C" w:rsidRPr="004661E9" w:rsidRDefault="00AC38E4" w:rsidP="004661E9">
      <w:pPr>
        <w:spacing w:after="0" w:line="276" w:lineRule="auto"/>
        <w:rPr>
          <w:rFonts w:ascii="Arial" w:hAnsi="Arial" w:cs="Arial"/>
        </w:rPr>
      </w:pPr>
      <w:r w:rsidRPr="004661E9">
        <w:rPr>
          <w:rFonts w:ascii="Arial" w:hAnsi="Arial" w:cs="Arial"/>
        </w:rPr>
        <w:t>CV safety and HF outcomes of DPP4 inhibitors have been examined in several large</w:t>
      </w:r>
      <w:r w:rsidR="006C2ECE" w:rsidRPr="004661E9">
        <w:rPr>
          <w:rFonts w:ascii="Arial" w:hAnsi="Arial" w:cs="Arial"/>
        </w:rPr>
        <w:t>-</w:t>
      </w:r>
      <w:r w:rsidRPr="004661E9">
        <w:rPr>
          <w:rFonts w:ascii="Arial" w:hAnsi="Arial" w:cs="Arial"/>
        </w:rPr>
        <w:t xml:space="preserve">scale CVOTs (Table </w:t>
      </w:r>
      <w:r w:rsidR="00EF1132">
        <w:rPr>
          <w:rFonts w:ascii="Arial" w:hAnsi="Arial" w:cs="Arial"/>
        </w:rPr>
        <w:t>4</w:t>
      </w:r>
      <w:r w:rsidRPr="004661E9">
        <w:rPr>
          <w:rFonts w:ascii="Arial" w:hAnsi="Arial" w:cs="Arial"/>
        </w:rPr>
        <w:t>). In the Savor-TIMI-53 trial, there was no significant difference between Saxagliptin and placebo regarding the primary outcome of CV events. However, saxagliptin use was associated with a 27% relative increase in the risk of HF hospitalizations</w:t>
      </w:r>
      <w:r w:rsidR="006C2ECE" w:rsidRPr="004661E9">
        <w:rPr>
          <w:rFonts w:ascii="Arial" w:hAnsi="Arial" w:cs="Arial"/>
        </w:rPr>
        <w:t xml:space="preserve"> </w:t>
      </w:r>
      <w:r w:rsidRPr="004661E9">
        <w:rPr>
          <w:rFonts w:ascii="Arial" w:hAnsi="Arial" w:cs="Arial"/>
        </w:rPr>
        <w:fldChar w:fldCharType="begin" w:fldLock="1"/>
      </w:r>
      <w:r w:rsidR="00D162D8" w:rsidRPr="004661E9">
        <w:rPr>
          <w:rFonts w:ascii="Arial" w:hAnsi="Arial" w:cs="Arial"/>
        </w:rPr>
        <w:instrText>ADDIN CSL_CITATION {"citationItems":[{"id":"ITEM-1","itemData":{"DOI":"10.1161/CIRCULATIONAHA.114.010389","ISSN":"15244539","PMID":"25189213","abstract":"Background: Diabetes mellitus and heart failure frequently coexist. However, few diabetes mellitus trials have prospectively evaluated and adjudicated heart failure as an end point.\nMethods and Results: A total of 16 492 patients with type 2 diabetes mellitus and a history of, or at risk of, cardiovascular events were randomized to saxagliptin or placebo (mean follow-up, 2.1 years). The primary end point was the composite of cardiovascular death, myocardial infarction, or ischemic stroke. Hospitalization for heart failure was a predefined component of the secondary end point. Baseline N-terminal pro B-type natriuretic peptide was measured in 12 301 patients. More patients treated with saxagliptin (289, 3.5%) were hospitalized for heart failure compared with placebo (228, 2.8%; hazard ratio, 1.27; 95% confidence intercal, 1.07-1.51; P=0.007). Corresponding rates at 12 months were 1.9% versus 1.3% (hazard ratio, 1.46; 95% confidence interval, 1.15-1.88; P=0.002), with no significant difference thereafter (time-varying interaction, P=0.017). Subjects at greatest risk of hospitalization for heart failure had previous heart failure, an estimated glomerular filtration rate ≤60 mL/min, or elevated baseline levels of N-terminal pro B-type natriuretic peptide. There was no evidence of heterogeneity between N-terminal pro B-type natriuretic peptide and saxagliptin (P for interaction=0.46), although the absolute risk excess for heart failure with saxagliptin was greatest in the highest N-terminal pro B-type natriuretic peptide quartile (2.1%). Even in patients at high risk of hospitalization for heart failure, the risk of the primary and secondary end points were similar between treatment groups.\nConclusions: In the context of balanced primary and secondary end points, saxagliptin treatment was associated with an increased risk or hospitalization for heart failure. This increase in risk was highest among patients with elevated levels of natriuretic peptides, previous heart failure, or chronic kidney disease.","author":[{"dropping-particle":"","family":"Scirica","given":"Benjamin M.","non-dropping-particle":"","parse-names":false,"suffix":""},{"dropping-particle":"","family":"Braunwald","given":"Eugene","non-dropping-particle":"","parse-names":false,"suffix":""},{"dropping-particle":"","family":"Raz","given":"Itamar","non-dropping-particle":"","parse-names":false,"suffix":""},{"dropping-particle":"","family":"Cavender","given":"Matthew A.","non-dropping-particle":"","parse-names":false,"suffix":""},{"dropping-particle":"","family":"Morrow","given":"David A.","non-dropping-particle":"","parse-names":false,"suffix":""},{"dropping-particle":"","family":"Jarolim","given":"Petr","non-dropping-particle":"","parse-names":false,"suffix":""},{"dropping-particle":"","family":"Udell","given":"Jacob A.","non-dropping-particle":"","parse-names":false,"suffix":""},{"dropping-particle":"","family":"Mosenzon","given":"Ofri","non-dropping-particle":"","parse-names":false,"suffix":""},{"dropping-particle":"","family":"Im","given":"Kyungah","non-dropping-particle":"","parse-names":false,"suffix":""},{"dropping-particle":"","family":"Umez-Eronini","given":"Amarachi A.","non-dropping-particle":"","parse-names":false,"suffix":""},{"dropping-particle":"","family":"Pollack","given":"Pia S.","non-dropping-particle":"","parse-names":false,"suffix":""},{"dropping-particle":"","family":"Hirshberg","given":"Boaz","non-dropping-particle":"","parse-names":false,"suffix":""},{"dropping-particle":"","family":"Frederich","given":"Robert","non-dropping-particle":"","parse-names":false,"suffix":""},{"dropping-particle":"","family":"Lewis","given":"Basil S.","non-dropping-particle":"","parse-names":false,"suffix":""},{"dropping-particle":"","family":"McGuire","given":"Darren K.","non-dropping-particle":"","parse-names":false,"suffix":""},{"dropping-particle":"","family":"Davidson","given":"Jaime","non-dropping-particle":"","parse-names":false,"suffix":""},{"dropping-particle":"","family":"Steg","given":"Ph Gabriel","non-dropping-particle":"","parse-names":false,"suffix":""},{"dropping-particle":"","family":"Bhatt","given":"Deepak L.","non-dropping-particle":"","parse-names":false,"suffix":""}],"container-title":"Circulation","id":"ITEM-1","issue":"18","issued":{"date-parts":[["2014"]]},"page":"1579-1588","publisher":"Lippincott Williams and Wilkins","title":"Heart failure, saxagliptin, and diabetes mellitus: Observations from the SAVOR-TIMI 53 randomized trial","type":"article-journal","volume":"130"},"uris":["http://www.mendeley.com/documents/?uuid=beae7c68-543f-3293-9d43-7d615b51a01f"]}],"mendeley":{"formattedCitation":"(224)","plainTextFormattedCitation":"(224)","previouslyFormattedCitation":"(223)"},"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(224)</w:t>
      </w:r>
      <w:r w:rsidRPr="004661E9">
        <w:rPr>
          <w:rFonts w:ascii="Arial" w:hAnsi="Arial" w:cs="Arial"/>
        </w:rPr>
        <w:fldChar w:fldCharType="end"/>
      </w:r>
      <w:r w:rsidR="006C2ECE" w:rsidRPr="004661E9">
        <w:rPr>
          <w:rFonts w:ascii="Arial" w:hAnsi="Arial" w:cs="Arial"/>
        </w:rPr>
        <w:t>.</w:t>
      </w:r>
      <w:r w:rsidRPr="004661E9">
        <w:rPr>
          <w:rFonts w:ascii="Arial" w:hAnsi="Arial" w:cs="Arial"/>
        </w:rPr>
        <w:t xml:space="preserve"> In the EXAMINE (Cardiovascular Outcomes Study of Alogliptin in Patients With Type 2 Diabetes and Acute Coronary Syndrome) trial, alogliptin use showed a non-significant trend towards (3.9% vs. 3.3%, p = 0.22) increased risk of HF hospitalizations in the entire study population with a history of T2DM and recent acute coronary syndrome</w:t>
      </w:r>
      <w:r w:rsidR="006C2ECE" w:rsidRPr="004661E9">
        <w:rPr>
          <w:rFonts w:ascii="Arial" w:hAnsi="Arial" w:cs="Arial"/>
        </w:rPr>
        <w:t xml:space="preserve"> </w:t>
      </w:r>
      <w:r w:rsidRPr="004661E9">
        <w:rPr>
          <w:rFonts w:ascii="Arial" w:hAnsi="Arial" w:cs="Arial"/>
        </w:rPr>
        <w:fldChar w:fldCharType="begin" w:fldLock="1"/>
      </w:r>
      <w:r w:rsidR="00D162D8" w:rsidRPr="004661E9">
        <w:rPr>
          <w:rFonts w:ascii="Arial" w:hAnsi="Arial" w:cs="Arial"/>
        </w:rPr>
        <w:instrText>ADDIN CSL_CITATION {"citationItems":[{"id":"ITEM-1","itemData":{"DOI":"10.1016/S0140-6736(14)62225-X","ISSN":"1474547X","abstract":"Background The EXAMINE trial showed non-inferiority of the DPP-4 inhibitor alogliptin to placebo on major adverse cardiac event (MACE) rates in patients with type 2 diabetes and recent acute coronary syndromes. Concerns about excessive rates of in-hospital heart failure in another DPP-4 inhibitor trial have been reported. We therefore assessed hospital admission for heart failure in the EXAMINE trial. Methods Patients with type 2 diabetes and an acute coronary syndrome event in the previous 15-90 days were randomly assigned alogliptin or placebo plus standard treatment for diabetes and cardiovascular disease prevention. The prespecified exploratory extended MACE endpoint was all-cause mortality, non-fatal myocardial infarction, non-fatal stroke, urgent revascularisation due to unstable angina, and hospital admission for heart failure. The post-hoc analyses were of cardiovascular death and hospital admission for heart failure, assessed by history of heart failure and brain natriuretic peptide (BNP) concentration at baseline. We also assessed changes in N-terminal pro-BNP (NT-pro-BNP) from baseline to 6 months. This study is registered with ClinicalTrials.gov, number NCT00968708. Findings 5380 patients were assigned to alogliptin (n=2701) or placebo (n=2679) and followed up for a median of 533 days (IQR 280-751). The exploratory extended MACE endpoint was seen in 433 (16·0%) patients assigned to alogliptin and in 441 (16·5%) assigned to placebo (hazard ratio [HR] 0·98, 95% CI 0·86-1·12). Hospital admission for heart failure was the first event in 85 (3·1%) patients taking alogliptin compared with 79 (2·9%) taking placebo (HR 1·07, 95% CI 0·79-1·46). Alogliptin had no effect on composite events of cardiovascular death and hospital admission for heart failure in the post hoc analysis (HR 1·00, 95% CI 0·82-1·21) and results did not differ by baseline BNP concentration. NT-pro-BNP concentrations decreased significantly and similarly in the two groups. Interpretation In patients with type 2 diabetes and recent acute coronary syndromes, alogliptin did not increase the risk of heart failure outcomes. Funding Takeda Development Center Americas.","author":[{"dropping-particle":"","family":"Zannad","given":"Faiez","non-dropping-particle":"","parse-names":false,"suffix":""},{"dropping-particle":"","family":"Cannon","given":"Christopher P.","non-dropping-particle":"","parse-names":false,"suffix":""},{"dropping-particle":"","family":"Cushman","given":"William C.","non-dropping-particle":"","parse-names":false,"suffix":""},{"dropping-particle":"","family":"Bakris","given":"George L.","non-dropping-particle":"","parse-names":false,"suffix":""},{"dropping-particle":"","family":"Menon","given":"Venu","non-dropping-particle":"","parse-names":false,"suffix":""},{"dropping-particle":"","family":"Perez","given":"Alfonso T.","non-dropping-particle":"","parse-names":false,"suffix":""},{"dropping-particle":"","family":"Fleck","given":"Penny R.","non-dropping-particle":"","parse-names":false,"suffix":""},{"dropping-particle":"","family":"Mehta","given":"Cyrus R.","non-dropping-particle":"","parse-names":false,"suffix":""},{"dropping-particle":"","family":"Kupfer","given":"Stuart","non-dropping-particle":"","parse-names":false,"suffix":""},{"dropping-particle":"","family":"Wilson","given":"Craig","non-dropping-particle":"","parse-names":false,"suffix":""},{"dropping-particle":"","family":"Lam","given":"Hung","non-dropping-particle":"","parse-names":false,"suffix":""},{"dropping-particle":"","family":"White","given":"William B.","non-dropping-particle":"","parse-names":false,"suffix":""}],"container-title":"The Lancet","id":"ITEM-1","issue":"9982","issued":{"date-parts":[["2015"]]},"page":"2067-2076","publisher":"Elsevier Ltd","title":"Heart failure and mortality outcomes in patients with type 2 diabetes taking alogliptin versus placebo in EXAMINE: A multicentre, randomised, double-blind trial","type":"article-journal","volume":"385"},"uris":["http://www.mendeley.com/documents/?uuid=ea439dad-9ede-4a54-b0b6-2f3b33d3b97e"]}],"mendeley":{"formattedCitation":"(225)","plainTextFormattedCitation":"(225)","previouslyFormattedCitation":"(224)"},"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(225)</w:t>
      </w:r>
      <w:r w:rsidRPr="004661E9">
        <w:rPr>
          <w:rFonts w:ascii="Arial" w:hAnsi="Arial" w:cs="Arial"/>
        </w:rPr>
        <w:fldChar w:fldCharType="end"/>
      </w:r>
      <w:r w:rsidR="006C2ECE" w:rsidRPr="004661E9">
        <w:rPr>
          <w:rFonts w:ascii="Arial" w:hAnsi="Arial" w:cs="Arial"/>
        </w:rPr>
        <w:t>.</w:t>
      </w:r>
      <w:r w:rsidRPr="004661E9">
        <w:rPr>
          <w:rFonts w:ascii="Arial" w:hAnsi="Arial" w:cs="Arial"/>
        </w:rPr>
        <w:t xml:space="preserve"> However, the subgroup analysis showed an unexpected increase (2.2% vs. 1.3%, p = 0.026) in the risk of HF hospitalizations among subjects without a previous history of HF at baseline. Contrarily, a similar increase in the risk of HF hospitalization was not observed with other DPP4 inhibitors in dedicated CVOTs </w:t>
      </w:r>
      <w:r w:rsidRPr="004661E9">
        <w:rPr>
          <w:rFonts w:ascii="Arial" w:hAnsi="Arial" w:cs="Arial"/>
        </w:rPr>
        <w:fldChar w:fldCharType="begin" w:fldLock="1"/>
      </w:r>
      <w:r w:rsidR="00D162D8" w:rsidRPr="004661E9">
        <w:rPr>
          <w:rFonts w:ascii="Arial" w:hAnsi="Arial" w:cs="Arial"/>
        </w:rPr>
        <w:instrText>ADDIN CSL_CITATION {"citationItems":[{"id":"ITEM-1","itemData":{"DOI":"10.1056/NEJMoa1305889","ISSN":"15334406","PMID":"23992602","abstract":"BACKGROUND: To assess potentially elevated cardiovascular risk related to new antihyperglycemic drugs in patients with type 2 diabetes, regulatory agencies require a comprehensive evaluation of the cardiovascular safety profile of new antidiabetic therapies. We assessed cardiovascular outcomes with alogliptin, a new inhibitor of dipeptidyl peptidase 4 (DPP-4), as compared with placebo in patients with type 2 diabetes who had had a recent acute coronary syndrome. METHODS: We randomly assigned patients with type 2 diabetes and either an acute myocardial infarction or unstable angina requiring hospitalization within the previous 15 to 90 days to receive alogliptin or placebo in addition to existing antihyperglycemic and cardiovascular drug therapy. The study design was a double-blind, noninferiority trial with a prespecified noninferiority margin of 1.3 for the hazard ratio for the primary end point of a composite of death from cardiovascular causes, nonfatal myocardial infarction, or nonfatal stroke. RESULTS: A total of 5380 patients underwent randomization and were followed for up to 40 months (median, 18 months). A primary end-point event occurred in 305 patients assigned to alogliptin (11.3%) and in 316 patients assigned to placebo (11.8%) (hazard ratio, 0.96; upper boundary of the one-sided repeated confidence interval, 1.16; P&lt;0.001 for noninferiority). Glycated hemoglobin levels were significantly lower with alogliptin than with placebo (mean difference, -0.36 percentage points; P&lt;0.001). Incidences of hypoglycemia, cancer, pancreatitis, and initiation of dialysis were similar with alogliptin and placebo. CONCLUSIONS: Among patients with type 2 diabetes who had had a recent acute coronary syndrome, the rates of major adverse cardiovascular events were not increased with the DPP-4 inhibitor alogliptin as compared with placebo. Copyright © 2013 Massachusetts Medical Society.","author":[{"dropping-particle":"","family":"White","given":"William B.","non-dropping-particle":"","parse-names":false,"suffix":""},{"dropping-particle":"","family":"Cannon","given":"Christopher P.","non-dropping-particle":"","parse-names":false,"suffix":""},{"dropping-particle":"","family":"Heller","given":"Simon R.","non-dropping-particle":"","parse-names":false,"suffix":""},{"dropping-particle":"","family":"Nissen","given":"Steven E.","non-dropping-particle":"","parse-names":false,"suffix":""},{"dropping-particle":"","family":"Bergenstal","given":"Richard M.","non-dropping-particle":"","parse-names":false,"suffix":""},{"dropping-particle":"","family":"Bakris","given":"George L.","non-dropping-particle":"","parse-names":false,"suffix":""},{"dropping-particle":"","family":"Perez","given":"Alfonso T.","non-dropping-particle":"","parse-names":false,"suffix":""}],"container-title":"New England Journal of Medicine","id":"ITEM-1","issue":"14","issued":{"date-parts":[["2013"]]},"page":"1327-1335","publisher":"Massachussetts Medical Society","title":"Alogliptin after acute coronary syndrome in patients with type 2 diabetes","type":"article-journal","volume":"369"},"uris":["http://www.mendeley.com/documents/?uuid=fe04f712-f9a2-3264-a2ce-998d0623d6b0"]},{"id":"ITEM-2","itemData":{"DOI":"10.1001/jamacardio.2016.0103","ISSN":"23806591","abstract":"IMPORTANCE: Previous trial results have suggested that dipeptidyl peptidase 4 inhibitor (DPP4i) use might increase heart failure (HF) risk in type 2 diabetes mellitus (T2DM). The DPP4i sitagliptin has been shown to be noninferior to placebo with regard to primary and secondary composite atherosclerotic cardiovascular (CV) outcomes in the Trial Evaluating Cardiovascular Outcomes With Sitagliptin (TECOS). OBJECTIVE: To assess the association of sitagliptin use with hospitalization for HF (hHF) and related outcomes. DESIGN, SETTING, AND PARTICIPANTS: TECOS wasarandomized, double-blind, placebo-controlled study evaluating the CV safety of sitagliptin vs placebo, each added to usual antihyperglycemic therapy and CV care among patients with T2DM and prevalent atherosclerotic vascular disease. The median follow-up was 2.9 years. The setting was 673 sites in 38 countries. Participants included 14 671 patients with T2DM and atherosclerotic vascular disease. The study dates were December 2008 through March 2015. INTERVENTIONS: Patients were randomized to sitagliptin vs placebo added to standard care. MAIN OUTCOMES AND MEASURES: Prespecified secondary analyses compared the effect on hHF, hHF or CV death, and hHF orall-cause death composite outcomes overall and in prespecified subgroups. Supportive analyses included total hHF events (first plus recurrent) and post-hHF death. Meta-analyses evaluated DPP4i effects on hHF and on hHFor CV death. RESULTS: Of 14 671 patients, 7332 were randomized to sitagliptin and 7339 to placebo. Hospitalization for HF occurred in 3.1% (n = 228) and 3.1% (n = 229) of the sitagliptin and placebo groups, respectively (unadjusted hazard ratio, 1.00; 95% CI, 0.83-1.19). There was also no difference in total hHF events between the sitagliptin (n = 345) and placebo (n = 347) groups (unadjusted hazard ratio, 1.00; 95% CI, 0.80-1.25). Post-hHF all-cause death was similar in the sitagliptin and placebo groups (29.8% vs 28.8%, respectively), as was CV death (22.4% vs 23.1%, respectively). No heterogeneity for the effect of sitagliptin on hHF was observed in subgroup analyses across 21 factors (P &gt; .10 for all interactions). Meta-analysis of the hHF results from the 3 reported DPP4i CV outcomes trials revealed moderate heterogeneity (I2 = 44.9, P = .16). CONCLUSIONS AND RELEVANCE: Sitagliptin use does not affect the risk for hHF in T2DM, both overall and among high-risk patient subgroups.","author":[{"dropping-particle":"","family":"McGuire","given":"Darren K.","non-dropping-particle":"","parse-names":false,"suffix":""},{"dropping-particle":"","family":"Werf","given":"Frans","non-dropping-particle":"Van De","parse-names":false,"suffix":""},{"dropping-particle":"","family":"Armstrong","given":"Paul W.","non-dropping-particle":"","parse-names":false,"suffix":""},{"dropping-particle":"","family":"Standl","given":"Eberhard","non-dropping-particle":"","parse-names":false,"suffix":""},{"dropping-particle":"","family":"Koglin","given":"Joerg","non-dropping-particle":"","parse-names":false,"suffix":""},{"dropping-particle":"","family":"Green","given":"Jennifer B.","non-dropping-particle":"","parse-names":false,"suffix":""},{"dropping-particle":"","family":"Bethel","given":"M. Angelyn","non-dropping-particle":"","parse-names":false,"suffix":""},{"dropping-particle":"","family":"Cornel","given":"Jan H.","non-dropping-particle":"","parse-names":false,"suffix":""},{"dropping-particle":"","family":"Lopes","given":"Renato D.","non-dropping-particle":"","parse-names":false,"suffix":""},{"dropping-particle":"","family":"Halvorsen","given":"Sigrun","non-dropping-particle":"","parse-names":false,"suffix":""},{"dropping-particle":"","family":"Ambrosio","given":"Giuseppe","non-dropping-particle":"","parse-names":false,"suffix":""},{"dropping-particle":"","family":"Buse","given":"John B.","non-dropping-particle":"","parse-names":false,"suffix":""},{"dropping-particle":"","family":"Josse","given":"Robert G.","non-dropping-particle":"","parse-names":false,"suffix":""},{"dropping-particle":"","family":"Lachin","given":"John M.","non-dropping-particle":"","parse-names":false,"suffix":""},{"dropping-particle":"","family":"Pencina","given":"Michael J.","non-dropping-particle":"","parse-names":false,"suffix":""},{"dropping-particle":"","family":"Garg","given":"Jyotsna","non-dropping-particle":"","parse-names":false,"suffix":""},{"dropping-particle":"","family":"Lokhnygina","given":"Yuliya","non-dropping-particle":"","parse-names":false,"suffix":""},{"dropping-particle":"","family":"Holman","given":"Rury R.","non-dropping-particle":"","parse-names":false,"suffix":""},{"dropping-particle":"","family":"Peterson","given":"Eric D.","non-dropping-particle":"","parse-names":false,"suffix":""}],"container-title":"JAMA Cardiology","id":"ITEM-2","issue":"2","issued":{"date-parts":[["2016","5","1"]]},"page":"126-135","publisher":"American Medical Association","title":"Association between sitagliptin use and heart failure hospitalization and related outcomes in type 2 diabetes mellitus: Secondary analysis of a randomized clinical trial","type":"article-journal","volume":"1"},"uris":["http://www.mendeley.com/documents/?uuid=82cec803-6bcd-3108-905a-5d1547066881"]}],"mendeley":{"formattedCitation":"(226,227)","plainTextFormattedCitation":"(226,227)","previouslyFormattedCitation":"(225,226)"},"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(226,227)</w:t>
      </w:r>
      <w:r w:rsidRPr="004661E9">
        <w:rPr>
          <w:rFonts w:ascii="Arial" w:hAnsi="Arial" w:cs="Arial"/>
        </w:rPr>
        <w:fldChar w:fldCharType="end"/>
      </w:r>
      <w:r w:rsidRPr="004661E9">
        <w:rPr>
          <w:rFonts w:ascii="Arial" w:hAnsi="Arial" w:cs="Arial"/>
        </w:rPr>
        <w:t xml:space="preserve">. The mechanism of increased HF hospitalization risk with saxagliptin and alogliptin remains unknown. </w:t>
      </w:r>
    </w:p>
    <w:p w14:paraId="028050A9" w14:textId="77777777" w:rsidR="00B0262C" w:rsidRPr="004661E9" w:rsidRDefault="00B0262C" w:rsidP="004661E9">
      <w:pPr>
        <w:spacing w:after="0" w:line="276" w:lineRule="auto"/>
        <w:rPr>
          <w:rFonts w:ascii="Arial" w:hAnsi="Arial" w:cs="Arial"/>
        </w:rPr>
      </w:pPr>
    </w:p>
    <w:p w14:paraId="51CA1315" w14:textId="77777777" w:rsidR="00CD1064" w:rsidRPr="004661E9" w:rsidRDefault="00B0262C" w:rsidP="004661E9">
      <w:pPr>
        <w:spacing w:after="0" w:line="276" w:lineRule="auto"/>
        <w:rPr>
          <w:rFonts w:ascii="Arial" w:hAnsi="Arial" w:cs="Arial"/>
        </w:rPr>
      </w:pPr>
      <w:r w:rsidRPr="004661E9">
        <w:rPr>
          <w:rFonts w:ascii="Arial" w:hAnsi="Arial" w:cs="Arial"/>
        </w:rPr>
        <w:t>A recent retrospective comparative-effectiveness study u</w:t>
      </w:r>
      <w:r w:rsidR="00D42EB8" w:rsidRPr="004661E9">
        <w:rPr>
          <w:rFonts w:ascii="Arial" w:hAnsi="Arial" w:cs="Arial"/>
        </w:rPr>
        <w:t>s</w:t>
      </w:r>
      <w:r w:rsidRPr="004661E9">
        <w:rPr>
          <w:rFonts w:ascii="Arial" w:hAnsi="Arial" w:cs="Arial"/>
        </w:rPr>
        <w:t>ing a US health insurance data set compared the CV</w:t>
      </w:r>
      <w:r w:rsidR="00D87EEE" w:rsidRPr="004661E9">
        <w:rPr>
          <w:rFonts w:ascii="Arial" w:hAnsi="Arial" w:cs="Arial"/>
        </w:rPr>
        <w:t>D</w:t>
      </w:r>
      <w:r w:rsidRPr="004661E9">
        <w:rPr>
          <w:rFonts w:ascii="Arial" w:hAnsi="Arial" w:cs="Arial"/>
        </w:rPr>
        <w:t xml:space="preserve"> outcomes among patients with T2DM who were prescribed a DPP4 inhibitor vs. an SGLT2 inhibitor </w:t>
      </w:r>
      <w:r w:rsidRPr="004661E9">
        <w:rPr>
          <w:rFonts w:ascii="Arial" w:hAnsi="Arial" w:cs="Arial"/>
        </w:rPr>
        <w:fldChar w:fldCharType="begin" w:fldLock="1"/>
      </w:r>
      <w:r w:rsidR="001C412B" w:rsidRPr="004661E9">
        <w:rPr>
          <w:rFonts w:ascii="Arial" w:hAnsi="Arial" w:cs="Arial"/>
        </w:rPr>
        <w:instrText>ADDIN CSL_CITATION {"citationItems":[{"id":"ITEM-1","itemData":{"DOI":"10.1016/j.jchf.2021.11.001","ISSN":"22131779","PMID":"34895861","abstract":"Objectives: The authors sought to characterize associations between initiation of metformin and sulfonylurea therapy and clinical outcomes among patients with comorbid heart failure (HF) and diabetes (overall and by ejection fraction [EF] phenotype). Background: Metformin and sulfonylureas are frequently prescribed to patients with diabetes for glycemic control. The impact of these therapies on clinical outcomes among patients with comorbid HF and diabetes is unclear. Methods: The authors evaluated Medicare beneficiaries hospitalized for HF in the Get With The Guidelines–Heart Failure Registry between 2006 and 2014 with diabetes and not prescribed metformin or sulfonylurea before admission. In parallel separate analyses for metformin and sulfonylurea, patients with newly prescribed therapy within 90 days of discharge were compared with patients not prescribed therapy. Multivariable models landmarked at 90 days evaluated associations between prescription of therapy, and mortality and hospitalization for HF (HHF) at 12 months. Negative control (falsification) endpoints included hospitalization for urinary tract infection, hospitalization for gastrointestinal bleed, and influenza vaccination. Prespecified subgroup analyses were stratified by EF ≤40% versus &gt;40%. Results: Of 5,852 patients, 454 (7.8%) were newly prescribed metformin and 504 (8.6%) were newly prescribed sulfonylurea. After adjustment, metformin prescription was independently associated with reduced risk of composite mortality/HHF (HR: 0.81; 95% CI: 0.67-0.98; P = 0.03), but individual components were not statistically significant. Findings among patients with EF &gt;40% accounted for associations with mortality/HHF (HR: 0.68; 95% CI: 0.52-0.90) and HHF (HR: 0.58; 95% CI: 0.40-0.85) endpoints (all P for interaction ≤0.04). After adjustment, sulfonylurea initiation was associated with increased risk of mortality (HR: 1.24; 95% CI: 1.00-1.52; P = 0.045) and HHF (HR: 1.22; 95% CI: 1.00-1.48; P = 0.050) with nominal statistical significance. Associations between sulfonylurea initiation and endpoints were consistent regardless of EF (all P for interaction &gt;0.11). Neither metformin initiation nor sulfonylurea initiation were associated with negative control endpoints. Conclusions: In this population of older U.S. adults hospitalized for HF with comorbid diabetes, metformin initiation was independently associated with substantial improvements in 12-month clinical outcomes, driven by findings among pati…","author":[{"dropping-particle":"","family":"Khan","given":"Muhammad Shahzeb","non-dropping-particle":"","parse-names":false,"suffix":""},{"dropping-particle":"","family":"Solomon","given":"Nicole","non-dropping-particle":"","parse-names":false,"suffix":""},{"dropping-particle":"","family":"DeVore","given":"Adam D.","non-dropping-particle":"","parse-names":false,"suffix":""},{"dropping-particle":"","family":"Sharma","given":"Abhinav","non-dropping-particle":"","parse-names":false,"suffix":""},{"dropping-particle":"","family":"Felker","given":"G. Michael","non-dropping-particle":"","parse-names":false,"suffix":""},{"dropping-particle":"","family":"Hernandez","given":"Adrian F.","non-dropping-particle":"","parse-names":false,"suffix":""},{"dropping-particle":"","family":"Heidenreich","given":"Paul A.","non-dropping-particle":"","parse-names":false,"suffix":""},{"dropping-particle":"","family":"Matsouaka","given":"Roland A.","non-dropping-particle":"","parse-names":false,"suffix":""},{"dropping-particle":"","family":"Green","given":"Jennifer B.","non-dropping-particle":"","parse-names":false,"suffix":""},{"dropping-particle":"","family":"Butler","given":"Javed","non-dropping-particle":"","parse-names":false,"suffix":""},{"dropping-particle":"","family":"Yancy","given":"Clyde W.","non-dropping-particle":"","parse-names":false,"suffix":""},{"dropping-particle":"","family":"Peterson","given":"Pamela N.","non-dropping-particle":"","parse-names":false,"suffix":""},{"dropping-particle":"","family":"Fonarow","given":"Gregg C.","non-dropping-particle":"","parse-names":false,"suffix":""},{"dropping-particle":"","family":"Greene","given":"Stephen J.","non-dropping-particle":"","parse-names":false,"suffix":""}],"container-title":"JACC: Heart Failure","id":"ITEM-1","issue":"3","issued":{"date-parts":[["2022"]]},"page":"198-210","title":"Clinical Outcomes With Metformin and Sulfonylurea Therapies Among Patients With Heart Failure and Diabetes","type":"article-journal","volume":"10"},"uris":["http://www.mendeley.com/documents/?uuid=2629623b-af7c-4209-8b3e-904e9986354f"]}],"mendeley":{"formattedCitation":"(193)","plainTextFormattedCitation":"(193)","previouslyFormattedCitation":"(193)"},"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(193)</w:t>
      </w:r>
      <w:r w:rsidRPr="004661E9">
        <w:rPr>
          <w:rFonts w:ascii="Arial" w:hAnsi="Arial" w:cs="Arial"/>
        </w:rPr>
        <w:fldChar w:fldCharType="end"/>
      </w:r>
      <w:r w:rsidRPr="004661E9">
        <w:rPr>
          <w:rFonts w:ascii="Arial" w:hAnsi="Arial" w:cs="Arial"/>
        </w:rPr>
        <w:t xml:space="preserve">. </w:t>
      </w:r>
      <w:r w:rsidR="00CD1064" w:rsidRPr="004661E9">
        <w:rPr>
          <w:rFonts w:ascii="Arial" w:hAnsi="Arial" w:cs="Arial"/>
        </w:rPr>
        <w:t>In this cohort, t</w:t>
      </w:r>
      <w:r w:rsidR="006C2ECE" w:rsidRPr="004661E9">
        <w:rPr>
          <w:rFonts w:ascii="Arial" w:hAnsi="Arial" w:cs="Arial"/>
        </w:rPr>
        <w:t xml:space="preserve">he </w:t>
      </w:r>
      <w:r w:rsidRPr="004661E9">
        <w:rPr>
          <w:rFonts w:ascii="Arial" w:hAnsi="Arial" w:cs="Arial"/>
        </w:rPr>
        <w:t xml:space="preserve">DPP4 inhibitor therapy group experienced a higher risk of MACE and hospitalization for HF </w:t>
      </w:r>
      <w:r w:rsidR="006C2ECE" w:rsidRPr="004661E9">
        <w:rPr>
          <w:rFonts w:ascii="Arial" w:hAnsi="Arial" w:cs="Arial"/>
        </w:rPr>
        <w:t>than</w:t>
      </w:r>
      <w:r w:rsidRPr="004661E9">
        <w:rPr>
          <w:rFonts w:ascii="Arial" w:hAnsi="Arial" w:cs="Arial"/>
        </w:rPr>
        <w:t xml:space="preserve"> those initiated on an SGLT2 inhibitor. </w:t>
      </w:r>
    </w:p>
    <w:p w14:paraId="641F3F46" w14:textId="77777777" w:rsidR="00CD1064" w:rsidRPr="004661E9" w:rsidRDefault="00CD1064" w:rsidP="004661E9">
      <w:pPr>
        <w:spacing w:after="0" w:line="276" w:lineRule="auto"/>
        <w:rPr>
          <w:rFonts w:ascii="Arial" w:hAnsi="Arial" w:cs="Arial"/>
        </w:rPr>
      </w:pPr>
    </w:p>
    <w:p w14:paraId="54A05A39" w14:textId="504AE425" w:rsidR="00AC38E4" w:rsidRPr="004661E9" w:rsidRDefault="00AC38E4" w:rsidP="004661E9">
      <w:pPr>
        <w:spacing w:after="0" w:line="276" w:lineRule="auto"/>
        <w:rPr>
          <w:rStyle w:val="Strong"/>
          <w:rFonts w:ascii="Arial" w:hAnsi="Arial" w:cs="Arial"/>
          <w:b w:val="0"/>
          <w:bCs w:val="0"/>
        </w:rPr>
      </w:pPr>
      <w:r w:rsidRPr="004661E9">
        <w:rPr>
          <w:rFonts w:ascii="Arial" w:hAnsi="Arial" w:cs="Arial"/>
        </w:rPr>
        <w:t>DPP4</w:t>
      </w:r>
      <w:r w:rsidRPr="004661E9">
        <w:rPr>
          <w:rStyle w:val="Strong"/>
          <w:rFonts w:ascii="Arial" w:hAnsi="Arial" w:cs="Arial"/>
          <w:b w:val="0"/>
          <w:bCs w:val="0"/>
        </w:rPr>
        <w:t xml:space="preserve"> inhibitors have become less popular due to their cost and </w:t>
      </w:r>
      <w:r w:rsidR="006C2ECE" w:rsidRPr="004661E9">
        <w:rPr>
          <w:rStyle w:val="Strong"/>
          <w:rFonts w:ascii="Arial" w:hAnsi="Arial" w:cs="Arial"/>
          <w:b w:val="0"/>
          <w:bCs w:val="0"/>
        </w:rPr>
        <w:t>limited effectiveness</w:t>
      </w:r>
      <w:r w:rsidRPr="004661E9">
        <w:rPr>
          <w:rStyle w:val="Strong"/>
          <w:rFonts w:ascii="Arial" w:hAnsi="Arial" w:cs="Arial"/>
          <w:b w:val="0"/>
          <w:bCs w:val="0"/>
        </w:rPr>
        <w:t xml:space="preserve"> in CV risk reduction compared to SGLT2 inhibitors and GLP1-RAs. Therefore, they are not among the preferred first- or second-line agents for </w:t>
      </w:r>
      <w:r w:rsidR="006C2ECE" w:rsidRPr="004661E9">
        <w:rPr>
          <w:rStyle w:val="Strong"/>
          <w:rFonts w:ascii="Arial" w:hAnsi="Arial" w:cs="Arial"/>
          <w:b w:val="0"/>
          <w:bCs w:val="0"/>
        </w:rPr>
        <w:t>managing</w:t>
      </w:r>
      <w:r w:rsidRPr="004661E9">
        <w:rPr>
          <w:rStyle w:val="Strong"/>
          <w:rFonts w:ascii="Arial" w:hAnsi="Arial" w:cs="Arial"/>
          <w:b w:val="0"/>
          <w:bCs w:val="0"/>
        </w:rPr>
        <w:t xml:space="preserve"> T2DM in patients with HF. Based on available data, saxagliptin should be avoided in patients with known or at risk for HF. Moreover, HF risk is listed in the prescribing precautions of alogliptin.  </w:t>
      </w:r>
    </w:p>
    <w:p w14:paraId="4553C7D2" w14:textId="77777777" w:rsidR="009020F0" w:rsidRPr="004661E9" w:rsidRDefault="009020F0" w:rsidP="004661E9">
      <w:pPr>
        <w:spacing w:after="0" w:line="276" w:lineRule="auto"/>
        <w:rPr>
          <w:rFonts w:ascii="Arial" w:hAnsi="Arial" w:cs="Arial"/>
          <w:b/>
          <w:bCs/>
        </w:rPr>
      </w:pPr>
    </w:p>
    <w:p w14:paraId="235859D5" w14:textId="6D2064B8" w:rsidR="004B6827" w:rsidRPr="004661E9" w:rsidRDefault="004B6827" w:rsidP="004661E9">
      <w:pPr>
        <w:spacing w:after="0" w:line="276" w:lineRule="auto"/>
        <w:rPr>
          <w:rStyle w:val="Strong"/>
          <w:rFonts w:ascii="Arial" w:hAnsi="Arial" w:cs="Arial"/>
          <w:color w:val="00B050"/>
        </w:rPr>
      </w:pPr>
      <w:r w:rsidRPr="004661E9">
        <w:rPr>
          <w:rStyle w:val="Strong"/>
          <w:rFonts w:ascii="Arial" w:hAnsi="Arial" w:cs="Arial"/>
          <w:color w:val="00B050"/>
        </w:rPr>
        <w:t>Insulin</w:t>
      </w:r>
    </w:p>
    <w:p w14:paraId="41929E8B" w14:textId="77777777" w:rsidR="000F5A40" w:rsidRPr="004661E9" w:rsidRDefault="000F5A40" w:rsidP="004661E9">
      <w:pPr>
        <w:spacing w:after="0" w:line="276" w:lineRule="auto"/>
        <w:rPr>
          <w:rStyle w:val="Strong"/>
          <w:rFonts w:ascii="Arial" w:hAnsi="Arial" w:cs="Arial"/>
          <w:b w:val="0"/>
          <w:bCs w:val="0"/>
        </w:rPr>
      </w:pPr>
    </w:p>
    <w:p w14:paraId="35C36B0B" w14:textId="03B4C5AE" w:rsidR="000F5A40" w:rsidRPr="004661E9" w:rsidRDefault="006C2ECE" w:rsidP="004661E9">
      <w:pPr>
        <w:spacing w:after="0" w:line="276" w:lineRule="auto"/>
        <w:rPr>
          <w:rStyle w:val="Strong"/>
          <w:rFonts w:ascii="Arial" w:hAnsi="Arial" w:cs="Arial"/>
          <w:b w:val="0"/>
          <w:bCs w:val="0"/>
        </w:rPr>
      </w:pPr>
      <w:r w:rsidRPr="004661E9">
        <w:rPr>
          <w:rStyle w:val="Strong"/>
          <w:rFonts w:ascii="Arial" w:hAnsi="Arial" w:cs="Arial"/>
          <w:b w:val="0"/>
          <w:bCs w:val="0"/>
        </w:rPr>
        <w:t>No solid evidence exists</w:t>
      </w:r>
      <w:r w:rsidR="00807969" w:rsidRPr="004661E9">
        <w:rPr>
          <w:rStyle w:val="Strong"/>
          <w:rFonts w:ascii="Arial" w:hAnsi="Arial" w:cs="Arial"/>
          <w:b w:val="0"/>
          <w:bCs w:val="0"/>
        </w:rPr>
        <w:t xml:space="preserve"> to suggest that</w:t>
      </w:r>
      <w:r w:rsidR="00D112AD" w:rsidRPr="004661E9">
        <w:rPr>
          <w:rStyle w:val="Strong"/>
          <w:rFonts w:ascii="Arial" w:hAnsi="Arial" w:cs="Arial"/>
          <w:b w:val="0"/>
          <w:bCs w:val="0"/>
        </w:rPr>
        <w:t>, in T2DM,</w:t>
      </w:r>
      <w:r w:rsidR="00807969" w:rsidRPr="004661E9">
        <w:rPr>
          <w:rStyle w:val="Strong"/>
          <w:rFonts w:ascii="Arial" w:hAnsi="Arial" w:cs="Arial"/>
          <w:b w:val="0"/>
          <w:bCs w:val="0"/>
        </w:rPr>
        <w:t xml:space="preserve"> improving glycemic control with insulin lowers HF risk in at-risk patients or improves outcomes in those with established HF.</w:t>
      </w:r>
      <w:r w:rsidR="00ED7151" w:rsidRPr="004661E9">
        <w:rPr>
          <w:rStyle w:val="Strong"/>
          <w:rFonts w:ascii="Arial" w:hAnsi="Arial" w:cs="Arial"/>
          <w:b w:val="0"/>
          <w:bCs w:val="0"/>
        </w:rPr>
        <w:t xml:space="preserve"> Even though some observation</w:t>
      </w:r>
      <w:r w:rsidR="00974456" w:rsidRPr="004661E9">
        <w:rPr>
          <w:rStyle w:val="Strong"/>
          <w:rFonts w:ascii="Arial" w:hAnsi="Arial" w:cs="Arial"/>
          <w:b w:val="0"/>
          <w:bCs w:val="0"/>
        </w:rPr>
        <w:t>al</w:t>
      </w:r>
      <w:r w:rsidR="00ED7151" w:rsidRPr="004661E9">
        <w:rPr>
          <w:rStyle w:val="Strong"/>
          <w:rFonts w:ascii="Arial" w:hAnsi="Arial" w:cs="Arial"/>
          <w:b w:val="0"/>
          <w:bCs w:val="0"/>
        </w:rPr>
        <w:t xml:space="preserve"> studies suggested an increased risk of </w:t>
      </w:r>
      <w:r w:rsidR="006A6BE4" w:rsidRPr="004661E9">
        <w:rPr>
          <w:rStyle w:val="Strong"/>
          <w:rFonts w:ascii="Arial" w:hAnsi="Arial" w:cs="Arial"/>
          <w:b w:val="0"/>
          <w:bCs w:val="0"/>
        </w:rPr>
        <w:t>CV</w:t>
      </w:r>
      <w:r w:rsidR="00ED7151" w:rsidRPr="004661E9">
        <w:rPr>
          <w:rStyle w:val="Strong"/>
          <w:rFonts w:ascii="Arial" w:hAnsi="Arial" w:cs="Arial"/>
          <w:b w:val="0"/>
          <w:bCs w:val="0"/>
        </w:rPr>
        <w:t xml:space="preserve"> mortality and HF in T2DM patients </w:t>
      </w:r>
      <w:r w:rsidR="00974456" w:rsidRPr="004661E9">
        <w:rPr>
          <w:rStyle w:val="Strong"/>
          <w:rFonts w:ascii="Arial" w:hAnsi="Arial" w:cs="Arial"/>
          <w:b w:val="0"/>
          <w:bCs w:val="0"/>
        </w:rPr>
        <w:t>treated with insulin</w:t>
      </w:r>
      <w:r w:rsidR="000F5A40" w:rsidRPr="004661E9">
        <w:rPr>
          <w:rStyle w:val="Strong"/>
          <w:rFonts w:ascii="Arial" w:hAnsi="Arial" w:cs="Arial"/>
          <w:b w:val="0"/>
          <w:bCs w:val="0"/>
        </w:rPr>
        <w:t xml:space="preserve"> </w:t>
      </w:r>
      <w:r w:rsidR="000F3AD7" w:rsidRPr="004661E9">
        <w:rPr>
          <w:rStyle w:val="Strong"/>
          <w:rFonts w:ascii="Arial" w:hAnsi="Arial" w:cs="Arial"/>
          <w:b w:val="0"/>
          <w:bCs w:val="0"/>
        </w:rPr>
        <w:fldChar w:fldCharType="begin" w:fldLock="1"/>
      </w:r>
      <w:r w:rsidR="00D162D8" w:rsidRPr="004661E9">
        <w:rPr>
          <w:rStyle w:val="Strong"/>
          <w:rFonts w:ascii="Arial" w:hAnsi="Arial" w:cs="Arial"/>
          <w:b w:val="0"/>
          <w:bCs w:val="0"/>
        </w:rPr>
        <w:instrText>ADDIN CSL_CITATION {"citationItems":[{"id":"ITEM-1","itemData":{"DOI":"10.1136/bmj.i3477","ISSN":"17561833","PMID":"27413012","abstract":"Objective: To assess associations between risks of cardiovascular disease, heart failure, and all cause mortality and different diabetes drugs in people with type 2 diabetes, particularly newer agents, including gliptins and thiazolidinediones (glitazones). Design: Open cohort study. Setting: 1243 general practices contributing data to the QResearch database in England. Participants: 469 688 people with type 2 diabetes aged 25-84 years between 1 April 2007 and 31 January 2015. Exposures: Diabetes drugs (glitazones, gliptins, metformin, sulphonylureas, insulin, other) alone and in combination. Main outcom e measure: First recorded diagnoses of cardiovascular disease, heart failure, and all cause mortality recorded on the patients' primary care, mortality, or hospital record. Cox proportional hazards models were used to estimate hazard ratios for diabetes treatments, adjusting for potential confounders. Results: During follow-up, 21 308 patients (4.5%) received prescriptions for glitazones and 32 533 (6.9%) received prescriptions for gliptins. Compared with non-use, gliptins were significantly associated with an 18% decreased risk of all cause mortality, a 14% decreased risk of heart failure, and no significant change in risk of cardiovascular disease; corresponding values for glitazones were significantly decreased risks of 23% for all cause mortality, 26% for heart failure, and 25% for cardiovascular disease. Compared with no current treatment, there were no significant associations between monotherapy with gliptins and risk of any complications. Dual treatment with gliptins and metformin was associated with a decreased risk of all three outcomes (reductions of 38% for heart failure, 33% for cardiovascular disease, and 48% for all cause mortality). Triple treatment with metformin, sulphonylureas, and gliptins was associated with a decreased risk of all three outcomes (reductions of 40% for heart failure, 30% for cardiovascular disease, and 51% for all cause mortality). Compared with no current treatment, monotherapy with glitazone was associated with a 50% decreased risk of heart failure, and dual treatment with glitazones and metformin was associated with a decreased risk of all three outcomes (reductions of 50% for heart failure, 54% for cardiovascular disease, and 45% for all cause mortality); dual treatment with glitazones and sulphonylureas was associated with risk reductions of 35% for heart failure and 25% for cardiovascular disease; triple treat…","author":[{"dropping-particle":"","family":"Hippisley-Cox","given":"Julia","non-dropping-particle":"","parse-names":false,"suffix":""},{"dropping-particle":"","family":"Coupland","given":"Carol","non-dropping-particle":"","parse-names":false,"suffix":""}],"container-title":"BMJ (Online)","id":"ITEM-1","issued":{"date-parts":[["2016"]]},"publisher":"BMJ Publishing Group","title":"Diabetes treatments and risk of heart failure, cardiovascular disease, and all cause mortality: Cohort study in primary care","type":"article-journal","volume":"354"},"uris":["http://www.mendeley.com/documents/?uuid=66ab47c7-4bc9-367c-a5f3-8c7eb009d29b"]}],"mendeley":{"formattedCitation":"(228)","plainTextFormattedCitation":"(228)","previouslyFormattedCitation":"(227)"},"properties":{"noteIndex":0},"schema":"https://github.com/citation-style-language/schema/raw/master/csl-citation.json"}</w:instrText>
      </w:r>
      <w:r w:rsidR="000F3AD7" w:rsidRPr="004661E9">
        <w:rPr>
          <w:rStyle w:val="Strong"/>
          <w:rFonts w:ascii="Arial" w:hAnsi="Arial" w:cs="Arial"/>
          <w:b w:val="0"/>
          <w:bCs w:val="0"/>
        </w:rPr>
        <w:fldChar w:fldCharType="separate"/>
      </w:r>
      <w:r w:rsidR="00D162D8" w:rsidRPr="004661E9">
        <w:rPr>
          <w:rStyle w:val="Strong"/>
          <w:rFonts w:ascii="Arial" w:hAnsi="Arial" w:cs="Arial"/>
          <w:b w:val="0"/>
          <w:bCs w:val="0"/>
          <w:noProof/>
        </w:rPr>
        <w:t>(228)</w:t>
      </w:r>
      <w:r w:rsidR="000F3AD7" w:rsidRPr="004661E9">
        <w:rPr>
          <w:rStyle w:val="Strong"/>
          <w:rFonts w:ascii="Arial" w:hAnsi="Arial" w:cs="Arial"/>
          <w:b w:val="0"/>
          <w:bCs w:val="0"/>
        </w:rPr>
        <w:fldChar w:fldCharType="end"/>
      </w:r>
      <w:r w:rsidR="00EF1132">
        <w:rPr>
          <w:rStyle w:val="Strong"/>
          <w:rFonts w:ascii="Arial" w:hAnsi="Arial" w:cs="Arial"/>
          <w:b w:val="0"/>
          <w:bCs w:val="0"/>
        </w:rPr>
        <w:t>,</w:t>
      </w:r>
      <w:r w:rsidR="00974456" w:rsidRPr="004661E9">
        <w:rPr>
          <w:rStyle w:val="Strong"/>
          <w:rFonts w:ascii="Arial" w:hAnsi="Arial" w:cs="Arial"/>
          <w:b w:val="0"/>
          <w:bCs w:val="0"/>
        </w:rPr>
        <w:t xml:space="preserve"> limited prospective trial data did not support such an association. </w:t>
      </w:r>
      <w:r w:rsidR="00807969" w:rsidRPr="004661E9">
        <w:rPr>
          <w:rStyle w:val="Strong"/>
          <w:rFonts w:ascii="Arial" w:hAnsi="Arial" w:cs="Arial"/>
          <w:b w:val="0"/>
          <w:bCs w:val="0"/>
        </w:rPr>
        <w:t xml:space="preserve">The ORIGIN </w:t>
      </w:r>
      <w:r w:rsidR="00C40162" w:rsidRPr="004661E9">
        <w:rPr>
          <w:rStyle w:val="Strong"/>
          <w:rFonts w:ascii="Arial" w:hAnsi="Arial" w:cs="Arial"/>
          <w:b w:val="0"/>
          <w:bCs w:val="0"/>
        </w:rPr>
        <w:t>T</w:t>
      </w:r>
      <w:r w:rsidR="00807969" w:rsidRPr="004661E9">
        <w:rPr>
          <w:rStyle w:val="Strong"/>
          <w:rFonts w:ascii="Arial" w:hAnsi="Arial" w:cs="Arial"/>
          <w:b w:val="0"/>
          <w:bCs w:val="0"/>
        </w:rPr>
        <w:t xml:space="preserve">rial (Outcome Reduction With Initial Glargine Intervention) was a CVOT </w:t>
      </w:r>
      <w:r w:rsidRPr="004661E9">
        <w:rPr>
          <w:rStyle w:val="Strong"/>
          <w:rFonts w:ascii="Arial" w:hAnsi="Arial" w:cs="Arial"/>
          <w:b w:val="0"/>
          <w:bCs w:val="0"/>
        </w:rPr>
        <w:t>that</w:t>
      </w:r>
      <w:r w:rsidR="00807969" w:rsidRPr="004661E9">
        <w:rPr>
          <w:rStyle w:val="Strong"/>
          <w:rFonts w:ascii="Arial" w:hAnsi="Arial" w:cs="Arial"/>
          <w:b w:val="0"/>
          <w:bCs w:val="0"/>
        </w:rPr>
        <w:t xml:space="preserve"> examined </w:t>
      </w:r>
      <w:r w:rsidRPr="004661E9">
        <w:rPr>
          <w:rStyle w:val="Strong"/>
          <w:rFonts w:ascii="Arial" w:hAnsi="Arial" w:cs="Arial"/>
          <w:b w:val="0"/>
          <w:bCs w:val="0"/>
        </w:rPr>
        <w:t xml:space="preserve">the </w:t>
      </w:r>
      <w:r w:rsidR="00807969" w:rsidRPr="004661E9">
        <w:rPr>
          <w:rStyle w:val="Strong"/>
          <w:rFonts w:ascii="Arial" w:hAnsi="Arial" w:cs="Arial"/>
          <w:b w:val="0"/>
          <w:bCs w:val="0"/>
        </w:rPr>
        <w:t xml:space="preserve">early use of </w:t>
      </w:r>
      <w:r w:rsidR="00ED7151" w:rsidRPr="004661E9">
        <w:rPr>
          <w:rStyle w:val="Strong"/>
          <w:rFonts w:ascii="Arial" w:hAnsi="Arial" w:cs="Arial"/>
          <w:b w:val="0"/>
          <w:bCs w:val="0"/>
        </w:rPr>
        <w:t xml:space="preserve">basal </w:t>
      </w:r>
      <w:r w:rsidR="00807969" w:rsidRPr="004661E9">
        <w:rPr>
          <w:rStyle w:val="Strong"/>
          <w:rFonts w:ascii="Arial" w:hAnsi="Arial" w:cs="Arial"/>
          <w:b w:val="0"/>
          <w:bCs w:val="0"/>
        </w:rPr>
        <w:t xml:space="preserve">insulin </w:t>
      </w:r>
      <w:r w:rsidR="00ED7151" w:rsidRPr="004661E9">
        <w:rPr>
          <w:rStyle w:val="Strong"/>
          <w:rFonts w:ascii="Arial" w:hAnsi="Arial" w:cs="Arial"/>
          <w:b w:val="0"/>
          <w:bCs w:val="0"/>
        </w:rPr>
        <w:t>(</w:t>
      </w:r>
      <w:r w:rsidR="00807969" w:rsidRPr="004661E9">
        <w:rPr>
          <w:rStyle w:val="Strong"/>
          <w:rFonts w:ascii="Arial" w:hAnsi="Arial" w:cs="Arial"/>
          <w:b w:val="0"/>
          <w:bCs w:val="0"/>
        </w:rPr>
        <w:t>glargine</w:t>
      </w:r>
      <w:r w:rsidR="00ED7151" w:rsidRPr="004661E9">
        <w:rPr>
          <w:rStyle w:val="Strong"/>
          <w:rFonts w:ascii="Arial" w:hAnsi="Arial" w:cs="Arial"/>
          <w:b w:val="0"/>
          <w:bCs w:val="0"/>
        </w:rPr>
        <w:t>)</w:t>
      </w:r>
      <w:r w:rsidR="00807969" w:rsidRPr="004661E9">
        <w:rPr>
          <w:rStyle w:val="Strong"/>
          <w:rFonts w:ascii="Arial" w:hAnsi="Arial" w:cs="Arial"/>
          <w:b w:val="0"/>
          <w:bCs w:val="0"/>
        </w:rPr>
        <w:t xml:space="preserve"> versus standard care in patients with T2DM</w:t>
      </w:r>
      <w:r w:rsidR="00ED7151" w:rsidRPr="004661E9">
        <w:rPr>
          <w:rStyle w:val="Strong"/>
          <w:rFonts w:ascii="Arial" w:hAnsi="Arial" w:cs="Arial"/>
          <w:b w:val="0"/>
          <w:bCs w:val="0"/>
        </w:rPr>
        <w:t xml:space="preserve"> or prediabetes</w:t>
      </w:r>
      <w:r w:rsidR="00807969" w:rsidRPr="004661E9">
        <w:rPr>
          <w:rStyle w:val="Strong"/>
          <w:rFonts w:ascii="Arial" w:hAnsi="Arial" w:cs="Arial"/>
          <w:b w:val="0"/>
          <w:bCs w:val="0"/>
        </w:rPr>
        <w:t xml:space="preserve"> and </w:t>
      </w:r>
      <w:r w:rsidRPr="004661E9">
        <w:rPr>
          <w:rStyle w:val="Strong"/>
          <w:rFonts w:ascii="Arial" w:hAnsi="Arial" w:cs="Arial"/>
          <w:b w:val="0"/>
          <w:bCs w:val="0"/>
        </w:rPr>
        <w:t xml:space="preserve">a </w:t>
      </w:r>
      <w:r w:rsidR="00807969" w:rsidRPr="004661E9">
        <w:rPr>
          <w:rStyle w:val="Strong"/>
          <w:rFonts w:ascii="Arial" w:hAnsi="Arial" w:cs="Arial"/>
          <w:b w:val="0"/>
          <w:bCs w:val="0"/>
        </w:rPr>
        <w:t>high risk</w:t>
      </w:r>
      <w:r w:rsidR="00B03ED7" w:rsidRPr="004661E9">
        <w:rPr>
          <w:rStyle w:val="Strong"/>
          <w:rFonts w:ascii="Arial" w:hAnsi="Arial" w:cs="Arial"/>
          <w:b w:val="0"/>
          <w:bCs w:val="0"/>
        </w:rPr>
        <w:t xml:space="preserve"> </w:t>
      </w:r>
      <w:r w:rsidR="00807969" w:rsidRPr="004661E9">
        <w:rPr>
          <w:rStyle w:val="Strong"/>
          <w:rFonts w:ascii="Arial" w:hAnsi="Arial" w:cs="Arial"/>
          <w:b w:val="0"/>
          <w:bCs w:val="0"/>
        </w:rPr>
        <w:t>of CVD.</w:t>
      </w:r>
      <w:r w:rsidR="00ED7151" w:rsidRPr="004661E9">
        <w:rPr>
          <w:rStyle w:val="Strong"/>
          <w:rFonts w:ascii="Arial" w:hAnsi="Arial" w:cs="Arial"/>
          <w:b w:val="0"/>
          <w:bCs w:val="0"/>
        </w:rPr>
        <w:t xml:space="preserve"> The study found that insulin glargine</w:t>
      </w:r>
      <w:r w:rsidR="00EF1132">
        <w:rPr>
          <w:rStyle w:val="Strong"/>
          <w:rFonts w:ascii="Arial" w:hAnsi="Arial" w:cs="Arial"/>
          <w:b w:val="0"/>
          <w:bCs w:val="0"/>
        </w:rPr>
        <w:t xml:space="preserve"> was </w:t>
      </w:r>
      <w:r w:rsidR="00ED7151" w:rsidRPr="004661E9">
        <w:rPr>
          <w:rStyle w:val="Strong"/>
          <w:rFonts w:ascii="Arial" w:hAnsi="Arial" w:cs="Arial"/>
          <w:b w:val="0"/>
          <w:bCs w:val="0"/>
        </w:rPr>
        <w:t xml:space="preserve"> </w:t>
      </w:r>
      <w:r w:rsidRPr="004661E9">
        <w:rPr>
          <w:rStyle w:val="Strong"/>
          <w:rFonts w:ascii="Arial" w:hAnsi="Arial" w:cs="Arial"/>
          <w:b w:val="0"/>
          <w:bCs w:val="0"/>
        </w:rPr>
        <w:t>neutral</w:t>
      </w:r>
      <w:r w:rsidR="00EF1132">
        <w:rPr>
          <w:rStyle w:val="Strong"/>
          <w:rFonts w:ascii="Arial" w:hAnsi="Arial" w:cs="Arial"/>
          <w:b w:val="0"/>
          <w:bCs w:val="0"/>
        </w:rPr>
        <w:t xml:space="preserve"> with regards to </w:t>
      </w:r>
      <w:r w:rsidR="006A6BE4" w:rsidRPr="004661E9">
        <w:rPr>
          <w:rStyle w:val="Strong"/>
          <w:rFonts w:ascii="Arial" w:hAnsi="Arial" w:cs="Arial"/>
          <w:b w:val="0"/>
          <w:bCs w:val="0"/>
        </w:rPr>
        <w:t>CV</w:t>
      </w:r>
      <w:r w:rsidR="00ED7151" w:rsidRPr="004661E9">
        <w:rPr>
          <w:rStyle w:val="Strong"/>
          <w:rFonts w:ascii="Arial" w:hAnsi="Arial" w:cs="Arial"/>
          <w:b w:val="0"/>
          <w:bCs w:val="0"/>
        </w:rPr>
        <w:t xml:space="preserve"> outcomes and HF events</w:t>
      </w:r>
      <w:r w:rsidR="000F5A40" w:rsidRPr="004661E9">
        <w:rPr>
          <w:rStyle w:val="Strong"/>
          <w:rFonts w:ascii="Arial" w:hAnsi="Arial" w:cs="Arial"/>
          <w:b w:val="0"/>
          <w:bCs w:val="0"/>
        </w:rPr>
        <w:t xml:space="preserve"> </w:t>
      </w:r>
      <w:r w:rsidR="000F3AD7" w:rsidRPr="004661E9">
        <w:rPr>
          <w:rStyle w:val="Strong"/>
          <w:rFonts w:ascii="Arial" w:hAnsi="Arial" w:cs="Arial"/>
          <w:b w:val="0"/>
          <w:bCs w:val="0"/>
        </w:rPr>
        <w:fldChar w:fldCharType="begin" w:fldLock="1"/>
      </w:r>
      <w:r w:rsidR="00D162D8" w:rsidRPr="004661E9">
        <w:rPr>
          <w:rStyle w:val="Strong"/>
          <w:rFonts w:ascii="Arial" w:hAnsi="Arial" w:cs="Arial"/>
          <w:b w:val="0"/>
          <w:bCs w:val="0"/>
        </w:rPr>
        <w:instrText>ADDIN CSL_CITATION {"citationItems":[{"id":"ITEM-1","itemData":{"DOI":"10.1056/NEJMoa1203858","ISSN":"15334406","PMID":"22686416","abstract":"Background: The provision of sufficient basal insulin to normalize fasting plasma glucose levels may reduce cardiovascular events, but such a possibility has not been formally tested. Methods: We randomly assigned 12,537 people (mean age, 63.5 years) with cardiovascular risk factors plus impaired fasting glucose, impaired glucose tolerance, or type 2 diabetes to receive insulin glargine (with a target fasting blood glucose level of ≤95 mg per deciliter [5.3 mmol per liter]) or standard care and to receive n-3 fatty acids or placebo with the use of a 2-by-2 factorial design. The results of the comparison between insulin glargine and standard care are reported here. The coprimary outcomes were nonfatal myocardial infarction, nonfatal stroke, or death from cardiovascular causes and these events plus revascularization or hospitalization for heart failure. Microvascular outcomes, incident diabetes, hypoglycemia, weight, and cancers were also compared between groups. Results: The median follow-up was 6.2 years (interquartile range, 5.8 to 6.7). Rates of incident cardiovascular outcomes were similar in the insulin-glargine and standard-care groups: 2.94 and 2.85 per 100 person-years, respectively, for the first coprimary outcome (hazard ratio, 1.02; 95% confidence interval [CI], 0.94 to 1.11; P = 0.63) and 5.52 and 5.28 per 100 person-years, respectively, for the second coprimary outcome (hazard ratio, 1.04; 95% CI, 0.97 to 1.11; P = 0.27). New diabetes was diagnosed approximately 3 months after therapy was stopped among 30% versus 35% of 1456 participants without baseline diabetes (odds ratio, 0.80; 95% CI, 0.64 to 1.00; P = 0.05). Rates of severe hypoglycemia were 1.00 versus 0.31 per 100 person-years. Median weight increased by 1.6 kg in the insulin-glargine group and fell by 0.5 kg in the standard-care group. There was no significant difference in cancers (hazard ratio, 1.00; 95% CI, 0.88 to 1.13; P = 0.97). Conclusions: When used to target normal fasting plasma glucose levels for more than 6 years, insulin glargine had a neutral effect on cardiovascular outcomes and cancers. Although it reduced new-onset diabetes, insulin glargine also increased hypoglycemia and modestly increased weight.","author":[{"dropping-particle":"","family":"Gerstein","given":"Hertzel C.","non-dropping-particle":"","parse-names":false,"suffix":""},{"dropping-particle":"","family":"Bosch","given":"Jackie","non-dropping-particle":"","parse-names":false,"suffix":""},{"dropping-particle":"","family":"Dagenais","given":"Gilles R.","non-dropping-particle":"","parse-names":false,"suffix":""},{"dropping-particle":"","family":"Díaz","given":"Rafael","non-dropping-particle":"","parse-names":false,"suffix":""},{"dropping-particle":"","family":"Jung","given":"Hyejung","non-dropping-particle":"","parse-names":false,"suffix":""},{"dropping-particle":"","family":"Maggioni","given":"Aldo P.","non-dropping-particle":"","parse-names":false,"suffix":""}],"container-title":"New England Journal of Medicine","id":"ITEM-1","issue":"4","issued":{"date-parts":[["2012","7","26"]]},"page":"319-328","publisher":"Massachussetts Medical Society","title":"Basal insulin and cardiovascular and other outcomes in dysglycemia","type":"article-journal","volume":"367"},"uris":["http://www.mendeley.com/documents/?uuid=c3988f76-a59a-3c7a-b0ed-2f14c8aa4c72"]}],"mendeley":{"formattedCitation":"(229)","plainTextFormattedCitation":"(229)","previouslyFormattedCitation":"(228)"},"properties":{"noteIndex":0},"schema":"https://github.com/citation-style-language/schema/raw/master/csl-citation.json"}</w:instrText>
      </w:r>
      <w:r w:rsidR="000F3AD7" w:rsidRPr="004661E9">
        <w:rPr>
          <w:rStyle w:val="Strong"/>
          <w:rFonts w:ascii="Arial" w:hAnsi="Arial" w:cs="Arial"/>
          <w:b w:val="0"/>
          <w:bCs w:val="0"/>
        </w:rPr>
        <w:fldChar w:fldCharType="separate"/>
      </w:r>
      <w:r w:rsidR="00D162D8" w:rsidRPr="004661E9">
        <w:rPr>
          <w:rStyle w:val="Strong"/>
          <w:rFonts w:ascii="Arial" w:hAnsi="Arial" w:cs="Arial"/>
          <w:b w:val="0"/>
          <w:bCs w:val="0"/>
          <w:noProof/>
        </w:rPr>
        <w:t>(229)</w:t>
      </w:r>
      <w:r w:rsidR="000F3AD7" w:rsidRPr="004661E9">
        <w:rPr>
          <w:rStyle w:val="Strong"/>
          <w:rFonts w:ascii="Arial" w:hAnsi="Arial" w:cs="Arial"/>
          <w:b w:val="0"/>
          <w:bCs w:val="0"/>
        </w:rPr>
        <w:fldChar w:fldCharType="end"/>
      </w:r>
      <w:r w:rsidR="000F5A40" w:rsidRPr="004661E9">
        <w:rPr>
          <w:rStyle w:val="Strong"/>
          <w:rFonts w:ascii="Arial" w:hAnsi="Arial" w:cs="Arial"/>
          <w:b w:val="0"/>
          <w:bCs w:val="0"/>
        </w:rPr>
        <w:t>.</w:t>
      </w:r>
    </w:p>
    <w:p w14:paraId="2008B909" w14:textId="77777777" w:rsidR="00D112AD" w:rsidRPr="004661E9" w:rsidRDefault="00D112AD" w:rsidP="004661E9">
      <w:pPr>
        <w:spacing w:after="0" w:line="276" w:lineRule="auto"/>
        <w:rPr>
          <w:rFonts w:ascii="Arial" w:hAnsi="Arial" w:cs="Arial"/>
          <w:b/>
          <w:bCs/>
        </w:rPr>
      </w:pPr>
    </w:p>
    <w:p w14:paraId="786B9E4D" w14:textId="3D166AB7" w:rsidR="00D112AD" w:rsidRPr="004661E9" w:rsidRDefault="00D112AD" w:rsidP="004661E9">
      <w:pPr>
        <w:spacing w:after="0" w:line="276" w:lineRule="auto"/>
        <w:rPr>
          <w:rFonts w:ascii="Arial" w:hAnsi="Arial" w:cs="Arial"/>
          <w:b/>
          <w:bCs/>
          <w:color w:val="00B050"/>
        </w:rPr>
      </w:pPr>
      <w:r w:rsidRPr="004661E9">
        <w:rPr>
          <w:rFonts w:ascii="Arial" w:hAnsi="Arial" w:cs="Arial"/>
          <w:b/>
          <w:bCs/>
          <w:color w:val="00B050"/>
        </w:rPr>
        <w:t>Sulfonylureas</w:t>
      </w:r>
    </w:p>
    <w:p w14:paraId="53A4E011" w14:textId="77777777" w:rsidR="00D112AD" w:rsidRPr="004661E9" w:rsidRDefault="00D112AD" w:rsidP="004661E9">
      <w:pPr>
        <w:spacing w:after="0" w:line="276" w:lineRule="auto"/>
        <w:rPr>
          <w:rFonts w:ascii="Arial" w:hAnsi="Arial" w:cs="Arial"/>
        </w:rPr>
      </w:pPr>
    </w:p>
    <w:p w14:paraId="7734BBD2" w14:textId="0AEC84DE" w:rsidR="00D112AD" w:rsidRPr="004661E9" w:rsidRDefault="00D112AD" w:rsidP="004661E9">
      <w:pPr>
        <w:spacing w:after="0" w:line="276" w:lineRule="auto"/>
        <w:rPr>
          <w:rFonts w:ascii="Arial" w:hAnsi="Arial" w:cs="Arial"/>
        </w:rPr>
      </w:pPr>
      <w:r w:rsidRPr="004661E9">
        <w:rPr>
          <w:rFonts w:ascii="Arial" w:hAnsi="Arial" w:cs="Arial"/>
        </w:rPr>
        <w:t>Sulfonylureas (i.e., glipizide, glyburide, and glimepiride) are widely</w:t>
      </w:r>
      <w:r w:rsidR="00B03ED7" w:rsidRPr="004661E9">
        <w:rPr>
          <w:rFonts w:ascii="Arial" w:hAnsi="Arial" w:cs="Arial"/>
        </w:rPr>
        <w:t xml:space="preserve"> </w:t>
      </w:r>
      <w:r w:rsidRPr="004661E9">
        <w:rPr>
          <w:rFonts w:ascii="Arial" w:hAnsi="Arial" w:cs="Arial"/>
        </w:rPr>
        <w:t xml:space="preserve">used glucose-lowering agents that promote weight gain and fluid retention </w:t>
      </w:r>
      <w:r w:rsidRPr="004661E9">
        <w:rPr>
          <w:rFonts w:ascii="Arial" w:hAnsi="Arial" w:cs="Arial"/>
        </w:rPr>
        <w:fldChar w:fldCharType="begin" w:fldLock="1"/>
      </w:r>
      <w:r w:rsidRPr="004661E9">
        <w:rPr>
          <w:rFonts w:ascii="Arial" w:hAnsi="Arial" w:cs="Arial"/>
        </w:rPr>
        <w:instrText>ADDIN CSL_CITATION {"citationItems":[{"id":"ITEM-1","itemData":{"DOI":"10.2337/dci22-0014","ISSN":"19355548","PMID":"35796765","abstract":"Heart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Association.","author":[{"dropping-particle":"","family":"Pop-Busui","given":"Rodica","non-dropping-particle":"","parse-names":false,"suffix":""},{"dropping-particle":"","family":"Januzzi","given":"James L.","non-dropping-particle":"","parse-names":false,"suffix":""},{"dropping-particle":"","family":"Bruemmer","given":"Dennis","non-dropping-particle":"","parse-names":false,"suffix":""},{"dropping-particle":"","family":"Butalia","given":"Sonia","non-dropping-particle":"","parse-names":false,"suffix":""},{"dropping-particle":"","family":"Green","given":"Jennifer B.","non-dropping-particle":"","parse-names":false,"suffix":""},{"dropping-particle":"","family":"Horton","given":"William B.","non-dropping-particle":"","parse-names":false,"suffix":""},{"dropping-particle":"","family":"Knight","given":"Colette","non-dropping-particle":"","parse-names":false,"suffix":""},{"dropping-particle":"","family":"Levi","given":"Moshe","non-dropping-particle":"","parse-names":false,"suffix":""},{"dropping-particle":"","family":"Rasouli","given":"Neda","non-dropping-particle":"","parse-names":false,"suffix":""},{"dropping-particle":"","family":"Richardson","given":"Caroline R.","non-dropping-particle":"","parse-names":false,"suffix":""}],"container-title":"Diabetes Care","id":"ITEM-1","issue":"7","issued":{"date-parts":[["2022"]]},"page":"1670-1690","title":"Heart Failure: An Underappreciated Complication of Diabetes. A Consensus Report of the American Diabetes Association","type":"article-journal","volume":"45"},"uris":["http://www.mendeley.com/documents/?uuid=9cfe0b5b-12ab-49ad-9df0-35aeca50b558"]}],"mendeley":{"formattedCitation":"(4)","plainTextFormattedCitation":"(4)","previouslyFormattedCitation":"(4)"},"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(4)</w:t>
      </w:r>
      <w:r w:rsidRPr="004661E9">
        <w:rPr>
          <w:rFonts w:ascii="Arial" w:hAnsi="Arial" w:cs="Arial"/>
        </w:rPr>
        <w:fldChar w:fldCharType="end"/>
      </w:r>
      <w:r w:rsidRPr="004661E9">
        <w:rPr>
          <w:rFonts w:ascii="Arial" w:hAnsi="Arial" w:cs="Arial"/>
        </w:rPr>
        <w:t xml:space="preserve">. No dedicated RCTs evaluated the efficacy and safety of sulfonylureas in patients with HF. Data from post hoc analysis of prospective trials and observational studies have suggested either no change or worsening of HF outcomes with the use of sulfonylureas in patients with or without known HF. A recent population-based cohort study including older </w:t>
      </w:r>
      <w:r w:rsidR="00B03ED7" w:rsidRPr="004661E9">
        <w:rPr>
          <w:rFonts w:ascii="Arial" w:hAnsi="Arial" w:cs="Arial"/>
        </w:rPr>
        <w:t xml:space="preserve">diabetic </w:t>
      </w:r>
      <w:r w:rsidRPr="004661E9">
        <w:rPr>
          <w:rFonts w:ascii="Arial" w:hAnsi="Arial" w:cs="Arial"/>
        </w:rPr>
        <w:t xml:space="preserve">patients hospitalized for HF between 2006 and 2014 demonstrated that sulfonylurea initiation was associated with increased risk of </w:t>
      </w:r>
      <w:r w:rsidR="00B03ED7" w:rsidRPr="004661E9">
        <w:rPr>
          <w:rFonts w:ascii="Arial" w:hAnsi="Arial" w:cs="Arial"/>
        </w:rPr>
        <w:t xml:space="preserve">future </w:t>
      </w:r>
      <w:r w:rsidRPr="004661E9">
        <w:rPr>
          <w:rFonts w:ascii="Arial" w:hAnsi="Arial" w:cs="Arial"/>
        </w:rPr>
        <w:t>HF hospitalization (HR: 1.22; 95% CI: 1.00-1.48; </w:t>
      </w:r>
      <w:r w:rsidRPr="004661E9">
        <w:rPr>
          <w:rFonts w:ascii="Arial" w:hAnsi="Arial" w:cs="Arial"/>
          <w:i/>
          <w:iCs/>
        </w:rPr>
        <w:t>P =</w:t>
      </w:r>
      <w:r w:rsidRPr="004661E9">
        <w:rPr>
          <w:rFonts w:ascii="Arial" w:hAnsi="Arial" w:cs="Arial"/>
        </w:rPr>
        <w:t> 0.050)  and mortality  (HR: 1.24; 95% CI: 1.00-1.52; </w:t>
      </w:r>
      <w:r w:rsidRPr="004661E9">
        <w:rPr>
          <w:rFonts w:ascii="Arial" w:hAnsi="Arial" w:cs="Arial"/>
          <w:i/>
          <w:iCs/>
        </w:rPr>
        <w:t>P =</w:t>
      </w:r>
      <w:r w:rsidRPr="004661E9">
        <w:rPr>
          <w:rFonts w:ascii="Arial" w:hAnsi="Arial" w:cs="Arial"/>
        </w:rPr>
        <w:t xml:space="preserve"> 0.045) </w:t>
      </w:r>
      <w:r w:rsidRPr="004661E9">
        <w:rPr>
          <w:rFonts w:ascii="Arial" w:hAnsi="Arial" w:cs="Arial"/>
        </w:rPr>
        <w:fldChar w:fldCharType="begin" w:fldLock="1"/>
      </w:r>
      <w:r w:rsidR="001C412B" w:rsidRPr="004661E9">
        <w:rPr>
          <w:rFonts w:ascii="Arial" w:hAnsi="Arial" w:cs="Arial"/>
        </w:rPr>
        <w:instrText>ADDIN CSL_CITATION {"citationItems":[{"id":"ITEM-1","itemData":{"DOI":"10.1016/j.jchf.2021.11.001","ISSN":"22131779","PMID":"34895861","abstract":"Objectives: The authors sought to characterize associations between initiation of metformin and sulfonylurea therapy and clinical outcomes among patients with comorbid heart failure (HF) and diabetes (overall and by ejection fraction [EF] phenotype). Background: Metformin and sulfonylureas are frequently prescribed to patients with diabetes for glycemic control. The impact of these therapies on clinical outcomes among patients with comorbid HF and diabetes is unclear. Methods: The authors evaluated Medicare beneficiaries hospitalized for HF in the Get With The Guidelines–Heart Failure Registry between 2006 and 2014 with diabetes and not prescribed metformin or sulfonylurea before admission. In parallel separate analyses for metformin and sulfonylurea, patients with newly prescribed therapy within 90 days of discharge were compared with patients not prescribed therapy. Multivariable models landmarked at 90 days evaluated associations between prescription of therapy, and mortality and hospitalization for HF (HHF) at 12 months. Negative control (falsification) endpoints included hospitalization for urinary tract infection, hospitalization for gastrointestinal bleed, and influenza vaccination. Prespecified subgroup analyses were stratified by EF ≤40% versus &gt;40%. Results: Of 5,852 patients, 454 (7.8%) were newly prescribed metformin and 504 (8.6%) were newly prescribed sulfonylurea. After adjustment, metformin prescription was independently associated with reduced risk of composite mortality/HHF (HR: 0.81; 95% CI: 0.67-0.98; P = 0.03), but individual components were not statistically significant. Findings among patients with EF &gt;40% accounted for associations with mortality/HHF (HR: 0.68; 95% CI: 0.52-0.90) and HHF (HR: 0.58; 95% CI: 0.40-0.85) endpoints (all P for interaction ≤0.04). After adjustment, sulfonylurea initiation was associated with increased risk of mortality (HR: 1.24; 95% CI: 1.00-1.52; P = 0.045) and HHF (HR: 1.22; 95% CI: 1.00-1.48; P = 0.050) with nominal statistical significance. Associations between sulfonylurea initiation and endpoints were consistent regardless of EF (all P for interaction &gt;0.11). Neither metformin initiation nor sulfonylurea initiation were associated with negative control endpoints. Conclusions: In this population of older U.S. adults hospitalized for HF with comorbid diabetes, metformin initiation was independently associated with substantial improvements in 12-month clinical outcomes, driven by findings among pati…","author":[{"dropping-particle":"","family":"Khan","given":"Muhammad Shahzeb","non-dropping-particle":"","parse-names":false,"suffix":""},{"dropping-particle":"","family":"Solomon","given":"Nicole","non-dropping-particle":"","parse-names":false,"suffix":""},{"dropping-particle":"","family":"DeVore","given":"Adam D.","non-dropping-particle":"","parse-names":false,"suffix":""},{"dropping-particle":"","family":"Sharma","given":"Abhinav","non-dropping-particle":"","parse-names":false,"suffix":""},{"dropping-particle":"","family":"Felker","given":"G. Michael","non-dropping-particle":"","parse-names":false,"suffix":""},{"dropping-particle":"","family":"Hernandez","given":"Adrian F.","non-dropping-particle":"","parse-names":false,"suffix":""},{"dropping-particle":"","family":"Heidenreich","given":"Paul A.","non-dropping-particle":"","parse-names":false,"suffix":""},{"dropping-particle":"","family":"Matsouaka","given":"Roland A.","non-dropping-particle":"","parse-names":false,"suffix":""},{"dropping-particle":"","family":"Green","given":"Jennifer B.","non-dropping-particle":"","parse-names":false,"suffix":""},{"dropping-particle":"","family":"Butler","given":"Javed","non-dropping-particle":"","parse-names":false,"suffix":""},{"dropping-particle":"","family":"Yancy","given":"Clyde W.","non-dropping-particle":"","parse-names":false,"suffix":""},{"dropping-particle":"","family":"Peterson","given":"Pamela N.","non-dropping-particle":"","parse-names":false,"suffix":""},{"dropping-particle":"","family":"Fonarow","given":"Gregg C.","non-dropping-particle":"","parse-names":false,"suffix":""},{"dropping-particle":"","family":"Greene","given":"Stephen J.","non-dropping-particle":"","parse-names":false,"suffix":""}],"container-title":"JACC: Heart Failure","id":"ITEM-1","issue":"3","issued":{"date-parts":[["2022"]]},"page":"198-210","title":"Clinical Outcomes With Metformin and Sulfonylurea Therapies Among Patients With Heart Failure and Diabetes","type":"article-journal","volume":"10"},"uris":["http://www.mendeley.com/documents/?uuid=2629623b-af7c-4209-8b3e-904e9986354f"]}],"mendeley":{"formattedCitation":"(193)","plainTextFormattedCitation":"(193)","previouslyFormattedCitation":"(193)"},"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(193)</w:t>
      </w:r>
      <w:r w:rsidRPr="004661E9">
        <w:rPr>
          <w:rFonts w:ascii="Arial" w:hAnsi="Arial" w:cs="Arial"/>
        </w:rPr>
        <w:fldChar w:fldCharType="end"/>
      </w:r>
      <w:r w:rsidRPr="004661E9">
        <w:rPr>
          <w:rFonts w:ascii="Arial" w:hAnsi="Arial" w:cs="Arial"/>
        </w:rPr>
        <w:t xml:space="preserve">.  Based on current evidence, SGLT2 inhibitors, GLP1-RAs, and metformin are strongly preferable; sulfonylurea use should be avoided in patients with established or high risk for HF </w:t>
      </w:r>
      <w:r w:rsidRPr="004661E9">
        <w:rPr>
          <w:rFonts w:ascii="Arial" w:hAnsi="Arial" w:cs="Arial"/>
        </w:rPr>
        <w:fldChar w:fldCharType="begin" w:fldLock="1"/>
      </w:r>
      <w:r w:rsidR="001C412B" w:rsidRPr="004661E9">
        <w:rPr>
          <w:rFonts w:ascii="Arial" w:hAnsi="Arial" w:cs="Arial"/>
        </w:rPr>
        <w:instrText>ADDIN CSL_CITATION {"citationItems":[{"id":"ITEM-1","itemData":{"DOI":"10.2337/dc23-S010","ISSN":"19355548","PMID":"36507632","abstract":"The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professional.diabetes.org/SOC.","author":[{"dropping-particle":"","family":"Elsayed","given":"Nuha A.","non-dropping-particle":"","parse-names":false,"suffix":""},{"dropping-particle":"","family":"Aleppo","given":"Grazia","non-dropping-particle":"","parse-names":false,"suffix":""},{"dropping-particle":"","family":"Aroda","given":"Vanita R.","non-dropping-particle":"","parse-names":false,"suffix":""},{"dropping-particle":"","family":"Bannuru","given":"Raveendhara R.","non-dropping-particle":"","parse-names":false,"suffix":""},{"dropping-particle":"","family":"Brown","given":"Florence M.","non-dropping-particle":"","parse-names":false,"suffix":""},{"dropping-particle":"","family":"Bruemmer","given":"Dennis","non-dropping-particle":"","parse-names":false,"suffix":""},{"dropping-particle":"","family":"Collins","given":"Billy S.","non-dropping-particle":"","parse-names":false,"suffix":""},{"dropping-particle":"","family":"Das","given":"Sandeep R.","non-dropping-particle":"","parse-names":false,"suffix":""},{"dropping-particle":"","family":"Hilliard","given":"Marisa E.","non-dropping-particle":"","parse-names":false,"suffix":""},{"dropping-particle":"","family":"Isaacs","given":"Diana","non-dropping-particle":"","parse-names":false,"suffix":""},{"dropping-particle":"","family":"Johnson","given":"Eric L.","non-dropping-particle":"","parse-names":false,"suffix":""},{"dropping-particle":"","family":"Kahan","given":"Scott","non-dropping-particle":"","parse-names":false,"suffix":""},{"dropping-particle":"","family":"Khunti","given":"Kamlesh","non-dropping-particle":"","parse-names":false,"suffix":""},{"dropping-particle":"","family":"Kosiborod","given":"Mikhail","non-dropping-particle":"","parse-names":false,"suffix":""},{"dropping-particle":"","family":"Leon","given":"Jose","non-dropping-particle":"","parse-names":false,"suffix":""},{"dropping-particle":"","family":"Lyons","given":"Sarah K.","non-dropping-particle":"","parse-names":false,"suffix":""},{"dropping-particle":"Lou","family":"Perry","given":"Mary","non-dropping-particle":"","parse-names":false,"suffix":""},{"dropping-particle":"","family":"Prahalad","given":"Priya","non-dropping-particle":"","parse-names":false,"suffix":""},{"dropping-particle":"","family":"Pratley","given":"Richard E.","non-dropping-particle":"","parse-names":false,"suffix":""},{"dropping-particle":"","family":"Seley","given":"Jane Jeffrie","non-dropping-particle":"","parse-names":false,"suffix":""},{"dropping-particle":"","family":"Stanton","given":"Robert C.","non-dropping-particle":"","parse-names":false,"suffix":""},{"dropping-particle":"","family":"Gabbay","given":"Robert A.","non-dropping-particle":"","parse-names":false,"suffix":""}],"container-title":"Diabetes Care","id":"ITEM-1","issue":"January","issued":{"date-parts":[["2023"]]},"page":"S158-S190","title":"10. Cardiovascular Disease and Risk Management: Standards of Care in Diabetes—2023","type":"article-journal","volume":"46"},"uris":["http://www.mendeley.com/documents/?uuid=7002a8c8-d784-44d2-8b19-a77cc70b7b35"]},{"id":"ITEM-2","itemData":{"DOI":"10.2337/dci22-0014","ISSN":"19355548","PMID":"35796765","abstract":"Heart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Association.","author":[{"dropping-particle":"","family":"Pop-Busui","given":"Rodica","non-dropping-particle":"","parse-names":false,"suffix":""},{"dropping-particle":"","family":"Januzzi","given":"James L.","non-dropping-particle":"","parse-names":false,"suffix":""},{"dropping-particle":"","family":"Bruemmer","given":"Dennis","non-dropping-particle":"","parse-names":false,"suffix":""},{"dropping-particle":"","family":"Butalia","given":"Sonia","non-dropping-particle":"","parse-names":false,"suffix":""},{"dropping-particle":"","family":"Green","given":"Jennifer B.","non-dropping-particle":"","parse-names":false,"suffix":""},{"dropping-particle":"","family":"Horton","given":"William B.","non-dropping-particle":"","parse-names":false,"suffix":""},{"dropping-particle":"","family":"Knight","given":"Colette","non-dropping-particle":"","parse-names":false,"suffix":""},{"dropping-particle":"","family":"Levi","given":"Moshe","non-dropping-particle":"","parse-names":false,"suffix":""},{"dropping-particle":"","family":"Rasouli","given":"Neda","non-dropping-particle":"","parse-names":false,"suffix":""},{"dropping-particle":"","family":"Richardson","given":"Caroline R.","non-dropping-particle":"","parse-names":false,"suffix":""}],"container-title":"Diabetes Care","id":"ITEM-2","issue":"7","issued":{"date-parts":[["2022"]]},"page":"1670-1690","title":"Heart Failure: An Underappreciated Complication of Diabetes. A Consensus Report of the American Diabetes Association","type":"article-journal","volume":"45"},"uris":["http://www.mendeley.com/documents/?uuid=9cfe0b5b-12ab-49ad-9df0-35aeca50b558"]}],"mendeley":{"formattedCitation":"(4,141)","plainTextFormattedCitation":"(4,141)","previouslyFormattedCitation":"(4,141)"},"properties":{"noteIndex":0},"schema":"https://github.com/citation-style-language/schema/raw/master/csl-citation.json"}</w:instrText>
      </w:r>
      <w:r w:rsidRPr="004661E9">
        <w:rPr>
          <w:rFonts w:ascii="Arial" w:hAnsi="Arial" w:cs="Arial"/>
        </w:rPr>
        <w:fldChar w:fldCharType="separate"/>
      </w:r>
      <w:r w:rsidR="001C412B" w:rsidRPr="004661E9">
        <w:rPr>
          <w:rFonts w:ascii="Arial" w:hAnsi="Arial" w:cs="Arial"/>
          <w:noProof/>
        </w:rPr>
        <w:t>(4,141)</w:t>
      </w:r>
      <w:r w:rsidRPr="004661E9">
        <w:rPr>
          <w:rFonts w:ascii="Arial" w:hAnsi="Arial" w:cs="Arial"/>
        </w:rPr>
        <w:fldChar w:fldCharType="end"/>
      </w:r>
      <w:r w:rsidRPr="004661E9">
        <w:rPr>
          <w:rFonts w:ascii="Arial" w:hAnsi="Arial" w:cs="Arial"/>
        </w:rPr>
        <w:t>.</w:t>
      </w:r>
    </w:p>
    <w:p w14:paraId="0BC43044" w14:textId="007C5F6C" w:rsidR="00D112AD" w:rsidRPr="004661E9" w:rsidRDefault="00D112AD" w:rsidP="004661E9">
      <w:pPr>
        <w:spacing w:after="0" w:line="276" w:lineRule="auto"/>
        <w:rPr>
          <w:rStyle w:val="Strong"/>
          <w:rFonts w:ascii="Arial" w:hAnsi="Arial" w:cs="Arial"/>
          <w:b w:val="0"/>
          <w:bCs w:val="0"/>
        </w:rPr>
      </w:pPr>
    </w:p>
    <w:p w14:paraId="532CA697" w14:textId="77777777" w:rsidR="00D112AD" w:rsidRPr="004661E9" w:rsidRDefault="00D112AD" w:rsidP="004661E9">
      <w:pPr>
        <w:spacing w:after="0" w:line="276" w:lineRule="auto"/>
        <w:rPr>
          <w:rFonts w:ascii="Arial" w:eastAsia="Times New Roman" w:hAnsi="Arial" w:cs="Arial"/>
          <w:b/>
          <w:bCs/>
          <w:color w:val="00B050"/>
        </w:rPr>
      </w:pPr>
      <w:r w:rsidRPr="004661E9">
        <w:rPr>
          <w:rFonts w:ascii="Arial" w:hAnsi="Arial" w:cs="Arial"/>
          <w:b/>
          <w:bCs/>
          <w:color w:val="00B050"/>
          <w:shd w:val="clear" w:color="auto" w:fill="FFFFFF"/>
        </w:rPr>
        <w:t>Thiazolidinediones</w:t>
      </w:r>
    </w:p>
    <w:p w14:paraId="72FFDA60" w14:textId="77777777" w:rsidR="00D112AD" w:rsidRPr="004661E9" w:rsidRDefault="00D112AD" w:rsidP="004661E9">
      <w:pPr>
        <w:spacing w:after="0" w:line="276" w:lineRule="auto"/>
        <w:rPr>
          <w:rFonts w:ascii="Arial" w:hAnsi="Arial" w:cs="Arial"/>
        </w:rPr>
      </w:pPr>
    </w:p>
    <w:p w14:paraId="5C6987D0" w14:textId="10DBC550" w:rsidR="00D112AD" w:rsidRPr="004661E9" w:rsidRDefault="00D112AD" w:rsidP="004661E9">
      <w:pPr>
        <w:spacing w:after="0" w:line="276" w:lineRule="auto"/>
        <w:rPr>
          <w:rFonts w:ascii="Arial" w:hAnsi="Arial" w:cs="Arial"/>
        </w:rPr>
      </w:pPr>
      <w:r w:rsidRPr="004661E9">
        <w:rPr>
          <w:rFonts w:ascii="Arial" w:hAnsi="Arial" w:cs="Arial"/>
        </w:rPr>
        <w:t xml:space="preserve">Thiazolidinediones (rosiglitazone and pioglitazone) have been effective oral antidiabetics in treating T2DM, significantly reducing HbA1c. However, they carry a risk of HF exacerbation and thus should be avoided in patients with established or at risk for HF. (Table </w:t>
      </w:r>
      <w:r w:rsidR="00EF1132">
        <w:rPr>
          <w:rFonts w:ascii="Arial" w:hAnsi="Arial" w:cs="Arial"/>
        </w:rPr>
        <w:t>4</w:t>
      </w:r>
      <w:r w:rsidRPr="004661E9">
        <w:rPr>
          <w:rFonts w:ascii="Arial" w:hAnsi="Arial" w:cs="Arial"/>
        </w:rPr>
        <w:t>). Therefore</w:t>
      </w:r>
      <w:r w:rsidR="00D2537D" w:rsidRPr="004661E9">
        <w:rPr>
          <w:rFonts w:ascii="Arial" w:hAnsi="Arial" w:cs="Arial"/>
        </w:rPr>
        <w:t>,</w:t>
      </w:r>
      <w:r w:rsidRPr="004661E9">
        <w:rPr>
          <w:rFonts w:ascii="Arial" w:hAnsi="Arial" w:cs="Arial"/>
        </w:rPr>
        <w:t xml:space="preserve"> thiazolidinediones should not be used in patients with pre-HF or clinical HF </w:t>
      </w:r>
      <w:r w:rsidRPr="004661E9">
        <w:rPr>
          <w:rFonts w:ascii="Arial" w:hAnsi="Arial" w:cs="Arial"/>
        </w:rPr>
        <w:fldChar w:fldCharType="begin" w:fldLock="1"/>
      </w:r>
      <w:r w:rsidR="008B3E45" w:rsidRPr="004661E9">
        <w:rPr>
          <w:rFonts w:ascii="Arial" w:hAnsi="Arial" w:cs="Arial"/>
        </w:rPr>
        <w:instrText>ADDIN CSL_CITATION {"citationItems":[{"id":"ITEM-1","itemData":{"DOI":"10.2337/dci22-0014","ISSN":"19355548","PMID":"35796765","abstract":"Heart failure (HF) has been recognized as a common complication of diabetes, with a prevalence of up to 22% in individuals with diabetes and increasing incidence rates. Data also suggest that HF may develop in individuals with diabetes even in the absence of hypertension, coronary heart disease, or valvular heart disease and, as such, represents a major cardiovascular complication in this vulnerable population; HF may also be the first presentation of cardiovascular disease in many individuals with diabetes. Given that during the past decade, the prevalence of diabetes (particularly type 2 diabetes) has risen by 30% globally (with prevalence expected to increase further), the burden of HF on the health care system will continue to rise. The scope of this American Diabetes Association consensus report with designated representation from the American College of Cardiology is to provide clear guidance to practitioners on the best approaches for screening and diagnosing HF in individuals with diabetes or prediabetes, with the goal to ensure access to optimal, evidence-based management for all and to mitigate the risks of serious complications, leveraging prior policy statements by the American College of Cardiology and American Heart Association.","author":[{"dropping-particle":"","family":"Pop-Busui","given":"Rodica","non-dropping-particle":"","parse-names":false,"suffix":""},{"dropping-particle":"","family":"Januzzi","given":"James L.","non-dropping-particle":"","parse-names":false,"suffix":""},{"dropping-particle":"","family":"Bruemmer","given":"Dennis","non-dropping-particle":"","parse-names":false,"suffix":""},{"dropping-particle":"","family":"Butalia","given":"Sonia","non-dropping-particle":"","parse-names":false,"suffix":""},{"dropping-particle":"","family":"Green","given":"Jennifer B.","non-dropping-particle":"","parse-names":false,"suffix":""},{"dropping-particle":"","family":"Horton","given":"William B.","non-dropping-particle":"","parse-names":false,"suffix":""},{"dropping-particle":"","family":"Knight","given":"Colette","non-dropping-particle":"","parse-names":false,"suffix":""},{"dropping-particle":"","family":"Levi","given":"Moshe","non-dropping-particle":"","parse-names":false,"suffix":""},{"dropping-particle":"","family":"Rasouli","given":"Neda","non-dropping-particle":"","parse-names":false,"suffix":""},{"dropping-particle":"","family":"Richardson","given":"Caroline R.","non-dropping-particle":"","parse-names":false,"suffix":""}],"container-title":"Diabetes Care","id":"ITEM-1","issue":"7","issued":{"date-parts":[["2022"]]},"page":"1670-1690","title":"Heart Failure: An Underappreciated Complication of Diabetes. A Consensus Report of the American Diabetes Association","type":"article-journal","volume":"45"},"uris":["http://www.mendeley.com/documents/?uuid=9cfe0b5b-12ab-49ad-9df0-35aeca50b558"]}],"mendeley":{"formattedCitation":"(4)","plainTextFormattedCitation":"(4)","previouslyFormattedCitation":"(4)"},"properties":{"noteIndex":0},"schema":"https://github.com/citation-style-language/schema/raw/master/csl-citation.json"}</w:instrText>
      </w:r>
      <w:r w:rsidRPr="004661E9">
        <w:rPr>
          <w:rFonts w:ascii="Arial" w:hAnsi="Arial" w:cs="Arial"/>
        </w:rPr>
        <w:fldChar w:fldCharType="separate"/>
      </w:r>
      <w:r w:rsidRPr="004661E9">
        <w:rPr>
          <w:rFonts w:ascii="Arial" w:hAnsi="Arial" w:cs="Arial"/>
          <w:noProof/>
        </w:rPr>
        <w:t>(4)</w:t>
      </w:r>
      <w:r w:rsidRPr="004661E9">
        <w:rPr>
          <w:rFonts w:ascii="Arial" w:hAnsi="Arial" w:cs="Arial"/>
        </w:rPr>
        <w:fldChar w:fldCharType="end"/>
      </w:r>
      <w:r w:rsidRPr="004661E9">
        <w:rPr>
          <w:rFonts w:ascii="Arial" w:hAnsi="Arial" w:cs="Arial"/>
        </w:rPr>
        <w:t xml:space="preserve">. </w:t>
      </w:r>
    </w:p>
    <w:p w14:paraId="578C28FA" w14:textId="77777777" w:rsidR="00D112AD" w:rsidRPr="004661E9" w:rsidRDefault="00D112AD" w:rsidP="004661E9">
      <w:pPr>
        <w:spacing w:after="0" w:line="276" w:lineRule="auto"/>
        <w:rPr>
          <w:rFonts w:ascii="Arial" w:hAnsi="Arial" w:cs="Arial"/>
        </w:rPr>
      </w:pPr>
    </w:p>
    <w:p w14:paraId="370CE6AC" w14:textId="07B57918" w:rsidR="00D112AD" w:rsidRPr="004661E9" w:rsidRDefault="00D112AD" w:rsidP="004661E9">
      <w:pPr>
        <w:spacing w:after="0" w:line="276" w:lineRule="auto"/>
        <w:rPr>
          <w:rFonts w:ascii="Arial" w:hAnsi="Arial" w:cs="Arial"/>
        </w:rPr>
      </w:pPr>
      <w:r w:rsidRPr="004661E9">
        <w:rPr>
          <w:rFonts w:ascii="Arial" w:hAnsi="Arial" w:cs="Arial"/>
        </w:rPr>
        <w:t xml:space="preserve">European Medicines Agencies and </w:t>
      </w:r>
      <w:r w:rsidR="001C412B" w:rsidRPr="004661E9">
        <w:rPr>
          <w:rFonts w:ascii="Arial" w:hAnsi="Arial" w:cs="Arial"/>
        </w:rPr>
        <w:t xml:space="preserve">the U.S. </w:t>
      </w:r>
      <w:r w:rsidRPr="004661E9">
        <w:rPr>
          <w:rFonts w:ascii="Arial" w:hAnsi="Arial" w:cs="Arial"/>
        </w:rPr>
        <w:t xml:space="preserve">FDA restricted the use of rosiglitazone, citing concerns about increased HF exacerbation after the publication of the results of the RECORD trial (Rosiglitazone Evaluated for Cardiac Outcomes and Regulation of Glycaemia in Diabetes) </w:t>
      </w:r>
      <w:r w:rsidRPr="004661E9">
        <w:rPr>
          <w:rFonts w:ascii="Arial" w:hAnsi="Arial" w:cs="Arial"/>
        </w:rPr>
        <w:fldChar w:fldCharType="begin" w:fldLock="1"/>
      </w:r>
      <w:r w:rsidR="00D162D8" w:rsidRPr="004661E9">
        <w:rPr>
          <w:rFonts w:ascii="Arial" w:hAnsi="Arial" w:cs="Arial"/>
        </w:rPr>
        <w:instrText>ADDIN CSL_CITATION {"citationItems":[{"id":"ITEM-1","itemData":{"DOI":"10.1016/S0140-6736(09)60953-3","ISSN":"01406736","abstract":"Background: Rosiglitazone is an insulin sensitiser used in combination with metformin, a sulfonylurea, or both, for lowering blood glucose in people with type 2 diabetes. We assessed cardiovascular outcomes after addition of rosiglitazone to either metformin or sulfonylurea compared with the combination of the two over 5-7 years of follow-up. We also assessed comparative safety. Methods: In a multicentre, open-label trial, 4447 patients with type 2 diabetes on metformin or sulfonylurea monotherapy with mean haemoglobin A1c (HbA1c) of 7·9% were randomly assigned to addition of rosiglitazone (n=2220) or to a combination of metformin and sulfonylurea (active control group, n=2227). The primary endpoint was cardiovascular hospitalisation or cardiovascular death, with a hazard ratio (HR) non-inferiority margin of 1·20. Analysis was by intention to treat. This study is registered with ClinicalTrials.gov, number NCT00379769. Findings: 321 people in the rosiglitazone group and 323 in the active control group experienced the primary outcome during a mean 5·5-year follow-up, meeting the criterion of non-inferiority (HR 0·99, 95% CI 0·85-1·16). HR was 0·84 (0·59-1·18) for cardiovascular death, 1·14 (0·80-1·63) for myocardial infarction, and 0·72 (0·49-1·06) for stroke. Heart failure causing admission to hospital or death occurred in 61 people in the rosiglitazone group and 29 in the active control group (HR 2·10, 1·35-3·27, risk difference per 1000 person-years 2·6, 1·1-4·1). Upper and distal lower limb fracture rates were increased mainly in women randomly assigned to rosiglitazone. Mean HbA1c was lower in the rosiglitazone group than in the control group at 5 years. Interpretation: Addition of rosiglitazone to glucose-lowering therapy in people with type 2 diabetes is confirmed to increase the risk of heart failure and of some fractures, mainly in women. Although the data are inconclusive about any possible effect on myocardial infarction, rosiglitazone does not increase the risk of overall cardiovascular morbidity or mortality compared with standard glucose-lowering drugs. Funding: GlaxoSmithKline plc, UK. © 2009 Elsevier Ltd. All rights reserved.","author":[{"dropping-particle":"","family":"Home","given":"Philip D.","non-dropping-particle":"","parse-names":false,"suffix":""},{"dropping-particle":"","family":"Pocock","given":"Stuart J.","non-dropping-particle":"","parse-names":false,"suffix":""},{"dropping-particle":"","family":"Beck-Nielsen","given":"Henning","non-dropping-particle":"","parse-names":false,"suffix":""},{"dropping-particle":"","family":"Curtis","given":"Paula S.","non-dropping-particle":"","parse-names":false,"suffix":""},{"dropping-particle":"","family":"Gomis","given":"Ramon","non-dropping-particle":"","parse-names":false,"suffix":""},{"dropping-particle":"","family":"Hanefeld","given":"Markolf","non-dropping-particle":"","parse-names":false,"suffix":""},{"dropping-particle":"","family":"Jones","given":"Nigel P.","non-dropping-particle":"","parse-names":false,"suffix":""},{"dropping-particle":"","family":"Komajda","given":"Michel","non-dropping-particle":"","parse-names":false,"suffix":""},{"dropping-particle":"","family":"McMurray","given":"John JV","non-dropping-particle":"","parse-names":false,"suffix":""}],"container-title":"The Lancet","id":"ITEM-1","issue":"9681","issued":{"date-parts":[["2009"]]},"page":"2125-2135","publisher":"Lancet","title":"Rosiglitazone evaluated for cardiovascular outcomes in oral agent combination therapy for type 2 diabetes (RECORD): a multicentre, randomised, open-label trial","type":"article-journal","volume":"373"},"uris":["http://www.mendeley.com/documents/?uuid=33b2eb7b-db8d-3857-895e-9c546c78e6ff"]}],"mendeley":{"formattedCitation":"(230)","plainTextFormattedCitation":"(230)","previouslyFormattedCitation":"(229)"},"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(230)</w:t>
      </w:r>
      <w:r w:rsidRPr="004661E9">
        <w:rPr>
          <w:rFonts w:ascii="Arial" w:hAnsi="Arial" w:cs="Arial"/>
        </w:rPr>
        <w:fldChar w:fldCharType="end"/>
      </w:r>
      <w:r w:rsidRPr="004661E9">
        <w:rPr>
          <w:rFonts w:ascii="Arial" w:hAnsi="Arial" w:cs="Arial"/>
        </w:rPr>
        <w:t xml:space="preserve">. Similarly, the PROactive study (PROspective pioglitAzone Clinical Trial In macroVascular Events) showed an improvement in MACE but </w:t>
      </w:r>
      <w:r w:rsidR="00621E96" w:rsidRPr="004661E9">
        <w:rPr>
          <w:rFonts w:ascii="Arial" w:hAnsi="Arial" w:cs="Arial"/>
        </w:rPr>
        <w:t>an increased</w:t>
      </w:r>
      <w:r w:rsidRPr="004661E9">
        <w:rPr>
          <w:rFonts w:ascii="Arial" w:hAnsi="Arial" w:cs="Arial"/>
        </w:rPr>
        <w:t xml:space="preserve"> risk of HF events with pioglitazone</w:t>
      </w:r>
      <w:r w:rsidR="00621E96" w:rsidRPr="004661E9">
        <w:rPr>
          <w:rFonts w:ascii="Arial" w:hAnsi="Arial" w:cs="Arial"/>
        </w:rPr>
        <w:t xml:space="preserve"> therapy</w:t>
      </w:r>
      <w:r w:rsidRPr="004661E9">
        <w:rPr>
          <w:rFonts w:ascii="Arial" w:hAnsi="Arial" w:cs="Arial"/>
        </w:rPr>
        <w:t xml:space="preserve"> in high-risk patients with T2DM </w:t>
      </w:r>
      <w:r w:rsidRPr="004661E9">
        <w:rPr>
          <w:rFonts w:ascii="Arial" w:hAnsi="Arial" w:cs="Arial"/>
        </w:rPr>
        <w:fldChar w:fldCharType="begin" w:fldLock="1"/>
      </w:r>
      <w:r w:rsidR="00D162D8" w:rsidRPr="004661E9">
        <w:rPr>
          <w:rFonts w:ascii="Arial" w:hAnsi="Arial" w:cs="Arial"/>
        </w:rPr>
        <w:instrText>ADDIN CSL_CITATION {"citationItems":[{"id":"ITEM-1","itemData":{"DOI":"10.1016/S0140-6736(05)67528-9","ISSN":"01406736","abstract":"Background: Patients with type 2 diabetes are at high risk of fatal and non-fatal myocardial infarction and stroke. There is indirect evidence that agonists of peroxisome proliferator-activated receptor γ (PPAR γ) could reduce macrovascular complications. Our aim, therefore, was to ascertain whether pioglitazone reduces macrovascular morbidity and mortality in high-risk patients with type 2 diabetes. Methods: We did a prospective, randomised controlled trial in 5238 patients with type 2 diabetes who had evidence of macrovascular disease. We recruited patients from primary-care practices and hospitals. We assigned patients to oral pioglitazone titrated from 15 mg to 45 mg (n=2605) or matching placebo (n=2633), to be taken in addition to their glucose-lowering drugs and other medications. Our primary endpoint was the composite of all-cause mortality, non fatal myocardial infarction (including silent myocardial infarction), stroke, acute coronary syndrome, endovascular or surgical intervention in the coronary or leg arteries, and amputation above the ankle. Analysis was by intention to treat. This study is registered as an International Standard Randomised Controlled Trial, number ISRCTN NCT00174993. Findings: Two patients were lost to follow-up, but were included in analyses. The average time of observation was 34·5 months. 514 of 2605 patients in the pioglitazone group and 572 of 2633 patients in the placebo group had at least one event in the primary composite endpoint (HR 0·90, 95% CI 0·80-1·02, p=0·095). The main secondary endpoint was the composite of all-cause mortality, non-fatal myocardial infarction, and stroke. 301 patients in the pioglitazone group and 358 in the placebo group reached this endpoint (0·84, 0·72-0·98, p=0·027). Overall safety and tolerability was good with no change in the safety profile of pioglitazone identified. 6% (149 of 2065) and 4% (108 of 2633) of those in the pioglitazone and placebo groups, respectively, were admitted to hospital with heart failure; mortality rates from heart failure did not differ between groups. Interpretation: Pioglitazone reduces the composite of all-cause mortality, non-fatal myocardial infarction, and stroke in patients with type 2 diabetes who have a high risk of macrovascular events.","author":[{"dropping-particle":"","family":"Dormandy","given":"John A.","non-dropping-particle":"","parse-names":false,"suffix":""},{"dropping-particle":"","family":"Charbonnel","given":"Bernard","non-dropping-particle":"","parse-names":false,"suffix":""},{"dropping-particle":"","family":"Eckland","given":"David J.A.","non-dropping-particle":"","parse-names":false,"suffix":""},{"dropping-particle":"","family":"Erdmann","given":"Erland","non-dropping-particle":"","parse-names":false,"suffix":""},{"dropping-particle":"","family":"Massi-Benedetti","given":"Massimo","non-dropping-particle":"","parse-names":false,"suffix":""},{"dropping-particle":"","family":"Moules","given":"Ian K.","non-dropping-particle":"","parse-names":false,"suffix":""},{"dropping-particle":"","family":"Skene","given":"Allan M.","non-dropping-particle":"","parse-names":false,"suffix":""},{"dropping-particle":"","family":"Tan","given":"Meng H.","non-dropping-particle":"","parse-names":false,"suffix":""},{"dropping-particle":"","family":"Lefèbvre","given":"Pierre J.","non-dropping-particle":"","parse-names":false,"suffix":""},{"dropping-particle":"","family":"Murray","given":"Gordon D.","non-dropping-particle":"","parse-names":false,"suffix":""},{"dropping-particle":"","family":"Standl","given":"Eberhard","non-dropping-particle":"","parse-names":false,"suffix":""},{"dropping-particle":"","family":"Wilcox","given":"Robert G.","non-dropping-particle":"","parse-names":false,"suffix":""},{"dropping-particle":"","family":"Wilhelmsen","given":"Lars","non-dropping-particle":"","parse-names":false,"suffix":""},{"dropping-particle":"","family":"Betteridge","given":"John","non-dropping-particle":"","parse-names":false,"suffix":""},{"dropping-particle":"","family":"Birkeland","given":"Kåre","non-dropping-particle":"","parse-names":false,"suffix":""},{"dropping-particle":"","family":"Golay","given":"Alain","non-dropping-particle":"","parse-names":false,"suffix":""},{"dropping-particle":"","family":"Heine","given":"Robert J.","non-dropping-particle":"","parse-names":false,"suffix":""},{"dropping-particle":"","family":"Korányi","given":"László","non-dropping-particle":"","parse-names":false,"suffix":""},{"dropping-particle":"","family":"Laakso","given":"Markku","non-dropping-particle":"","parse-names":false,"suffix":""},{"dropping-particle":"","family":"Mokáň","given":"Marián","non-dropping-particle":"","parse-names":false,"suffix":""},{"dropping-particle":"","family":"Norkus","given":"Antanas","non-dropping-particle":"","parse-names":false,"suffix":""},{"dropping-particle":"","family":"Pirags","given":"Valdis","non-dropping-particle":"","parse-names":false,"suffix":""},{"dropping-particle":"","family":"Podar","given":"Toomas","non-dropping-particle":"","parse-names":false,"suffix":""},{"dropping-particle":"","family":"Scheen","given":"André","non-dropping-particle":"","parse-names":false,"suffix":""},{"dropping-particle":"","family":"Scherbaum","given":"Werner","non-dropping-particle":"","parse-names":false,"suffix":""},{"dropping-particle":"","family":"Schernthaner","given":"Guntram","non-dropping-particle":"","parse-names":false,"suffix":""},{"dropping-particle":"","family":"Schmitz","given":"Ole","non-dropping-particle":"","parse-names":false,"suffix":""},{"dropping-particle":"","family":"Škrha","given":"Jan","non-dropping-particle":"","parse-names":false,"suffix":""},{"dropping-particle":"","family":"Smith","given":"Ulf","non-dropping-particle":"","parse-names":false,"suffix":""},{"dropping-particle":"","family":"Tatoň","given":"Jan","non-dropping-particle":"","parse-names":false,"suffix":""}],"container-title":"Lancet","id":"ITEM-1","issue":"9493","issued":{"date-parts":[["2005","10","8"]]},"page":"1279-1289","publisher":"Lancet","title":"Secondary prevention of macrovascular events in patients with type 2 diabetes in the PROactive Study (PROspective pioglitAzone Clinical Trial in macroVascular Events): A randomised controlled trial","type":"article-journal","volume":"366"},"uris":["http://www.mendeley.com/documents/?uuid=d55dbb6f-39c9-3cb9-aa34-6656652e7e3b"]}],"mendeley":{"formattedCitation":"(231)","plainTextFormattedCitation":"(231)","previouslyFormattedCitation":"(230)"},"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(231)</w:t>
      </w:r>
      <w:r w:rsidRPr="004661E9">
        <w:rPr>
          <w:rFonts w:ascii="Arial" w:hAnsi="Arial" w:cs="Arial"/>
        </w:rPr>
        <w:fldChar w:fldCharType="end"/>
      </w:r>
      <w:r w:rsidRPr="004661E9">
        <w:rPr>
          <w:rFonts w:ascii="Arial" w:hAnsi="Arial" w:cs="Arial"/>
        </w:rPr>
        <w:t xml:space="preserve">. The worsening HF outcomes with the treatment of thiazolidinediones have mainly been attributed to their effect on fluid retention. Some studies have raised concerns about the adverse impact of thiazolidinediones on myocardial metabolism and remodeling </w:t>
      </w:r>
      <w:r w:rsidRPr="004661E9">
        <w:rPr>
          <w:rFonts w:ascii="Arial" w:hAnsi="Arial" w:cs="Arial"/>
        </w:rPr>
        <w:fldChar w:fldCharType="begin" w:fldLock="1"/>
      </w:r>
      <w:r w:rsidR="00D162D8" w:rsidRPr="004661E9">
        <w:rPr>
          <w:rFonts w:ascii="Arial" w:hAnsi="Arial" w:cs="Arial"/>
        </w:rPr>
        <w:instrText>ADDIN CSL_CITATION {"citationItems":[{"id":"ITEM-1","itemData":{"DOI":"10.1161/CIR.0000000000000691","ISSN":"15244539","abstract":"Type 2 diabetes mellitus is a risk factor for incident heart failure and increases the risk of morbidity and mortality in patients with established disease. Secular trends in the prevalence of diabetes mellitus and heart failure forecast a growing burden of disease and underscore the need for effective therapeutic strategies. Recent clinical trials have demonstrated the shared pathophysiology between diabetes mellitus and heart failure, the synergistic effect of managing both conditions, and the potential for diabetes mellitus therapies to modulate the risk of heart failure outcomes. This scientific statement on diabetes mellitus and heart failure summarizes the epidemiology, pathophysiology, and impact of diabetes mellitus and its control on outcomes in heart failure; reviews the approach to pharmacological therapy and lifestyle modification in patients with diabetes mellitus and heart failure; highlights the value of multidisciplinary interventions to improve clinical outcomes in this population; and outlines priorities for future research.","author":[{"dropping-particle":"","family":"Dunlay","given":"Shannon M.","non-dropping-particle":"","parse-names":false,"suffix":""},{"dropping-particle":"","family":"Givertz","given":"Michael M.","non-dropping-particle":"","parse-names":false,"suffix":""},{"dropping-particle":"","family":"Aguilar","given":"David","non-dropping-particle":"","parse-names":false,"suffix":""},{"dropping-particle":"","family":"Allen","given":"Larry A.","non-dropping-particle":"","parse-names":false,"suffix":""},{"dropping-particle":"","family":"Chan","given":"Michael","non-dropping-particle":"","parse-names":false,"suffix":""},{"dropping-particle":"","family":"Desai","given":"Akshay S.","non-dropping-particle":"","parse-names":false,"suffix":""},{"dropping-particle":"","family":"Deswal","given":"Anita","non-dropping-particle":"","parse-names":false,"suffix":""},{"dropping-particle":"","family":"Dickson","given":"Victoria Vaughan","non-dropping-particle":"","parse-names":false,"suffix":""},{"dropping-particle":"","family":"Kosiborod","given":"Mikhail N.","non-dropping-particle":"","parse-names":false,"suffix":""},{"dropping-particle":"","family":"Lekavich","given":"Carolyn L.","non-dropping-particle":"","parse-names":false,"suffix":""},{"dropping-particle":"","family":"McCoy","given":"Rozalina G.","non-dropping-particle":"","parse-names":false,"suffix":""},{"dropping-particle":"","family":"Mentz","given":"Robert J.","non-dropping-particle":"","parse-names":false,"suffix":""},{"dropping-particle":"","family":"Piña","given":"Ileana L.","non-dropping-particle":"","parse-names":false,"suffix":""}],"container-title":"Circulation","id":"ITEM-1","issue":"7","issued":{"date-parts":[["2019","8","13"]]},"page":"e294-e324","publisher":"NLM (Medline)","title":"Type 2 Diabetes Mellitus and Heart Failure: A Scientific Statement From the American Heart Association and the Heart Failure Society of America: This statement does not represent an update of the 2017 ACC/AHA/HFSA heart failure guideline update","type":"article-journal","volume":"140"},"uris":["http://www.mendeley.com/documents/?uuid=d8a0ff7b-f41e-3868-bb28-789c4cd03165"]},{"id":"ITEM-2","itemData":{"DOI":"10.1161/CIRCRESAHA.118.311371","ISSN":"15244571","abstract":"Patients with diabetes mellitus have &gt;2× the risk for developing heart failure (HF; HF with reduced ejection fraction and HF with preserved ejection fraction). Cardiovascular outcomes, hospitalization, and prognosis are worse for patients with diabetes mellitus relative to those without. Beyond the structural and functional changes that characterize diabetic cardiomyopathy, a complex underlying, and interrelated pathophysiology exists. Despite the success of many commonly used antihyperglycemic therapies to lower hyperglycemia in type 2 diabetes mellitus the high prevalence of HF persists. This, therefore, raises the possibility that additional factors beyond glycemia might contribute to the increased HF risk in diabetes mellitus. This review summarizes the state of knowledge about the impact of existing antihyperglycemic therapies on HF and discusses potential mechanisms for beneficial or deleterious effects. Second, we review currently approved pharmacological therapies for HF and review evidence that addresses their efficacy in the context of diabetes mellitus. Dysregulation of many cellular mechanisms in multiple models of diabetic cardiomyopathy and in human hearts have been described. These include oxidative stress, inflammation, endoplasmic reticulum stress, aberrant insulin signaling, accumulation of advanced glycated end-products, altered autophagy, changes in myocardial substrate metabolism and mitochondrial bioenergetics, lipotoxicity, and altered signal transduction such as GRK (g-protein receptor kinase) signaling, renin angiotensin aldosterone signaling and β-2 adrenergic receptor signaling. These pathophysiological pathways might be amenable to pharmacological therapy to reduce the risk of HF in the context of type 2 diabetes mellitus. Successful targeting of these pathways could alter the prognosis and risk of HF beyond what is currently achieved using existing antihyperglycemic and HF therapeutics.","author":[{"dropping-particle":"","family":"Kenny","given":"Helena C.","non-dropping-particle":"","parse-names":false,"suffix":""},{"dropping-particle":"","family":"Abel","given":"E. Dale","non-dropping-particle":"","parse-names":false,"suffix":""}],"container-title":"Circulation Research","id":"ITEM-2","issue":"1","issued":{"date-parts":[["2019","1","4"]]},"page":"121-141","publisher":"Lippincott Williams and Wilkins","title":"Heart Failure in Type 2 Diabetes Mellitus: Impact of Glucose-Lowering Agents, Heart Failure Therapies, and Novel Therapeutic Strategies","type":"article-journal","volume":"124"},"uris":["http://www.mendeley.com/documents/?uuid=6853a011-f255-3938-a478-6ecc41abdd80"]}],"mendeley":{"formattedCitation":"(61,222)","plainTextFormattedCitation":"(61,222)","previouslyFormattedCitation":"(61,218)"},"properties":{"noteIndex":0},"schema":"https://github.com/citation-style-language/schema/raw/master/csl-citation.json"}</w:instrText>
      </w:r>
      <w:r w:rsidRPr="004661E9">
        <w:rPr>
          <w:rFonts w:ascii="Arial" w:hAnsi="Arial" w:cs="Arial"/>
        </w:rPr>
        <w:fldChar w:fldCharType="separate"/>
      </w:r>
      <w:r w:rsidR="00D162D8" w:rsidRPr="004661E9">
        <w:rPr>
          <w:rFonts w:ascii="Arial" w:hAnsi="Arial" w:cs="Arial"/>
          <w:noProof/>
        </w:rPr>
        <w:t>(61,222)</w:t>
      </w:r>
      <w:r w:rsidRPr="004661E9">
        <w:rPr>
          <w:rFonts w:ascii="Arial" w:hAnsi="Arial" w:cs="Arial"/>
        </w:rPr>
        <w:fldChar w:fldCharType="end"/>
      </w:r>
      <w:r w:rsidRPr="004661E9">
        <w:rPr>
          <w:rFonts w:ascii="Arial" w:hAnsi="Arial" w:cs="Arial"/>
        </w:rPr>
        <w:t>. Because of the availability of better options and their potential unfavorable side effect profile, the popularity of thiazolidinediones has significantly declined.</w:t>
      </w:r>
    </w:p>
    <w:p w14:paraId="3E6566FC" w14:textId="77777777" w:rsidR="00D112AD" w:rsidRPr="004661E9" w:rsidRDefault="00D112AD" w:rsidP="004661E9">
      <w:pPr>
        <w:spacing w:after="0" w:line="276" w:lineRule="auto"/>
        <w:rPr>
          <w:rStyle w:val="Strong"/>
          <w:rFonts w:ascii="Arial" w:hAnsi="Arial" w:cs="Arial"/>
          <w:b w:val="0"/>
          <w:bCs w:val="0"/>
        </w:rPr>
      </w:pPr>
    </w:p>
    <w:p w14:paraId="7FB55301" w14:textId="77777777" w:rsidR="00801FE9" w:rsidRPr="004661E9" w:rsidRDefault="008E11EF" w:rsidP="004661E9">
      <w:pPr>
        <w:spacing w:after="0" w:line="276" w:lineRule="auto"/>
        <w:rPr>
          <w:rFonts w:ascii="Arial" w:hAnsi="Arial" w:cs="Arial"/>
          <w:color w:val="4472C4" w:themeColor="accent1"/>
        </w:rPr>
      </w:pPr>
      <w:r w:rsidRPr="004661E9">
        <w:rPr>
          <w:rFonts w:ascii="Arial" w:hAnsi="Arial" w:cs="Arial"/>
          <w:b/>
          <w:bCs/>
          <w:color w:val="4472C4" w:themeColor="accent1"/>
        </w:rPr>
        <w:t>CONCLUSIONS</w:t>
      </w:r>
    </w:p>
    <w:p w14:paraId="66829761" w14:textId="77777777" w:rsidR="000F5A40" w:rsidRPr="004661E9" w:rsidRDefault="000F5A40" w:rsidP="004661E9">
      <w:pPr>
        <w:spacing w:after="0" w:line="276" w:lineRule="auto"/>
        <w:rPr>
          <w:rFonts w:ascii="Arial" w:hAnsi="Arial" w:cs="Arial"/>
        </w:rPr>
      </w:pPr>
    </w:p>
    <w:p w14:paraId="73E1DD75" w14:textId="1A7B28A0" w:rsidR="003716DA" w:rsidRPr="004661E9" w:rsidRDefault="003716DA" w:rsidP="004661E9">
      <w:pPr>
        <w:spacing w:after="0" w:line="276" w:lineRule="auto"/>
        <w:rPr>
          <w:rFonts w:ascii="Arial" w:hAnsi="Arial" w:cs="Arial"/>
        </w:rPr>
      </w:pPr>
      <w:r w:rsidRPr="004661E9">
        <w:rPr>
          <w:rFonts w:ascii="Arial" w:hAnsi="Arial" w:cs="Arial"/>
        </w:rPr>
        <w:t xml:space="preserve">HF and cardiomyopathy have a heterogeneous etiology in patients with diabetes. Diabetes-related comorbidities, such as </w:t>
      </w:r>
      <w:r w:rsidR="007D4B33" w:rsidRPr="004661E9">
        <w:rPr>
          <w:rFonts w:ascii="Arial" w:hAnsi="Arial" w:cs="Arial"/>
        </w:rPr>
        <w:t>CAD</w:t>
      </w:r>
      <w:r w:rsidRPr="004661E9">
        <w:rPr>
          <w:rFonts w:ascii="Arial" w:hAnsi="Arial" w:cs="Arial"/>
        </w:rPr>
        <w:t xml:space="preserve"> and hypertension, </w:t>
      </w:r>
      <w:r w:rsidR="00066811" w:rsidRPr="004661E9">
        <w:rPr>
          <w:rFonts w:ascii="Arial" w:hAnsi="Arial" w:cs="Arial"/>
        </w:rPr>
        <w:t>contribute to the pathogenesis of HF in</w:t>
      </w:r>
      <w:r w:rsidRPr="004661E9">
        <w:rPr>
          <w:rFonts w:ascii="Arial" w:hAnsi="Arial" w:cs="Arial"/>
        </w:rPr>
        <w:t xml:space="preserve"> patients with diabetes.</w:t>
      </w:r>
      <w:r w:rsidR="00066811" w:rsidRPr="004661E9">
        <w:rPr>
          <w:rFonts w:ascii="Arial" w:hAnsi="Arial" w:cs="Arial"/>
        </w:rPr>
        <w:t xml:space="preserve"> </w:t>
      </w:r>
      <w:r w:rsidRPr="004661E9">
        <w:rPr>
          <w:rFonts w:ascii="Arial" w:hAnsi="Arial" w:cs="Arial"/>
        </w:rPr>
        <w:t>The pathophysiolog</w:t>
      </w:r>
      <w:r w:rsidR="00066811" w:rsidRPr="004661E9">
        <w:rPr>
          <w:rFonts w:ascii="Arial" w:hAnsi="Arial" w:cs="Arial"/>
        </w:rPr>
        <w:t>ic link between</w:t>
      </w:r>
      <w:r w:rsidRPr="004661E9">
        <w:rPr>
          <w:rFonts w:ascii="Arial" w:hAnsi="Arial" w:cs="Arial"/>
        </w:rPr>
        <w:t xml:space="preserve"> diabetes </w:t>
      </w:r>
      <w:r w:rsidR="00066811" w:rsidRPr="004661E9">
        <w:rPr>
          <w:rFonts w:ascii="Arial" w:hAnsi="Arial" w:cs="Arial"/>
        </w:rPr>
        <w:t>and</w:t>
      </w:r>
      <w:r w:rsidRPr="004661E9">
        <w:rPr>
          <w:rFonts w:ascii="Arial" w:hAnsi="Arial" w:cs="Arial"/>
        </w:rPr>
        <w:t xml:space="preserve"> HF is multifactorial, involving various abnormal biochemical pathways. A complex interaction of these mechanisms contributes to the development of asymptomatic diastolic and systolic dysfunction</w:t>
      </w:r>
      <w:r w:rsidR="006C2ECE" w:rsidRPr="004661E9">
        <w:rPr>
          <w:rFonts w:ascii="Arial" w:hAnsi="Arial" w:cs="Arial"/>
        </w:rPr>
        <w:t>, eventually leading</w:t>
      </w:r>
      <w:r w:rsidRPr="004661E9">
        <w:rPr>
          <w:rFonts w:ascii="Arial" w:hAnsi="Arial" w:cs="Arial"/>
        </w:rPr>
        <w:t xml:space="preserve"> to the clinical syndrome of HF. </w:t>
      </w:r>
    </w:p>
    <w:p w14:paraId="5BFEAF3A" w14:textId="77777777" w:rsidR="000F5A40" w:rsidRPr="004661E9" w:rsidRDefault="000F5A40" w:rsidP="004661E9">
      <w:pPr>
        <w:spacing w:after="0" w:line="276" w:lineRule="auto"/>
        <w:rPr>
          <w:rFonts w:ascii="Arial" w:hAnsi="Arial" w:cs="Arial"/>
        </w:rPr>
      </w:pPr>
    </w:p>
    <w:p w14:paraId="77250B43" w14:textId="7F1EB6CF" w:rsidR="000F5A40" w:rsidRPr="004661E9" w:rsidRDefault="003716DA" w:rsidP="004661E9">
      <w:pPr>
        <w:spacing w:after="0" w:line="276" w:lineRule="auto"/>
        <w:rPr>
          <w:rFonts w:ascii="Arial" w:hAnsi="Arial" w:cs="Arial"/>
        </w:rPr>
      </w:pPr>
      <w:r w:rsidRPr="004661E9">
        <w:rPr>
          <w:rFonts w:ascii="Arial" w:hAnsi="Arial" w:cs="Arial"/>
        </w:rPr>
        <w:t>The coexistence of diabetes and HF is a poor prognostic factor, and it poses a higher risk of HF hospitalization, all-cause mortality, and CV</w:t>
      </w:r>
      <w:r w:rsidR="00D87EEE" w:rsidRPr="004661E9">
        <w:rPr>
          <w:rFonts w:ascii="Arial" w:hAnsi="Arial" w:cs="Arial"/>
        </w:rPr>
        <w:t>D</w:t>
      </w:r>
      <w:r w:rsidRPr="004661E9">
        <w:rPr>
          <w:rFonts w:ascii="Arial" w:hAnsi="Arial" w:cs="Arial"/>
        </w:rPr>
        <w:t xml:space="preserve"> mortality. Therefore, the prevention of </w:t>
      </w:r>
      <w:r w:rsidRPr="004661E9">
        <w:rPr>
          <w:rFonts w:ascii="Arial" w:hAnsi="Arial" w:cs="Arial"/>
        </w:rPr>
        <w:lastRenderedPageBreak/>
        <w:t xml:space="preserve">asymptomatic </w:t>
      </w:r>
      <w:r w:rsidR="00066811" w:rsidRPr="004661E9">
        <w:rPr>
          <w:rFonts w:ascii="Arial" w:hAnsi="Arial" w:cs="Arial"/>
        </w:rPr>
        <w:t>cardiac remodeling</w:t>
      </w:r>
      <w:r w:rsidRPr="004661E9">
        <w:rPr>
          <w:rFonts w:ascii="Arial" w:hAnsi="Arial" w:cs="Arial"/>
        </w:rPr>
        <w:t xml:space="preserve"> and </w:t>
      </w:r>
      <w:r w:rsidR="00066811" w:rsidRPr="004661E9">
        <w:rPr>
          <w:rFonts w:ascii="Arial" w:hAnsi="Arial" w:cs="Arial"/>
        </w:rPr>
        <w:t xml:space="preserve">progression into </w:t>
      </w:r>
      <w:r w:rsidRPr="004661E9">
        <w:rPr>
          <w:rFonts w:ascii="Arial" w:hAnsi="Arial" w:cs="Arial"/>
        </w:rPr>
        <w:t xml:space="preserve">symptomatic HF are among the primary goals of the </w:t>
      </w:r>
      <w:r w:rsidR="00066811" w:rsidRPr="004661E9">
        <w:rPr>
          <w:rFonts w:ascii="Arial" w:hAnsi="Arial" w:cs="Arial"/>
        </w:rPr>
        <w:t xml:space="preserve">clinical </w:t>
      </w:r>
      <w:r w:rsidRPr="004661E9">
        <w:rPr>
          <w:rFonts w:ascii="Arial" w:hAnsi="Arial" w:cs="Arial"/>
        </w:rPr>
        <w:t xml:space="preserve">management of patients with diabetes. BP lowering has substantial benefits in </w:t>
      </w:r>
      <w:r w:rsidR="006C2ECE" w:rsidRPr="004661E9">
        <w:rPr>
          <w:rFonts w:ascii="Arial" w:hAnsi="Arial" w:cs="Arial"/>
        </w:rPr>
        <w:t>preventing</w:t>
      </w:r>
      <w:r w:rsidRPr="004661E9">
        <w:rPr>
          <w:rFonts w:ascii="Arial" w:hAnsi="Arial" w:cs="Arial"/>
        </w:rPr>
        <w:t xml:space="preserve"> HF among individuals with diabetes. Despite the well-established favorable effects of weight loss, the role of lifestyle changes and weight loss in </w:t>
      </w:r>
      <w:r w:rsidR="006C2ECE" w:rsidRPr="004661E9">
        <w:rPr>
          <w:rFonts w:ascii="Arial" w:hAnsi="Arial" w:cs="Arial"/>
        </w:rPr>
        <w:t>preventing</w:t>
      </w:r>
      <w:r w:rsidRPr="004661E9">
        <w:rPr>
          <w:rFonts w:ascii="Arial" w:hAnsi="Arial" w:cs="Arial"/>
        </w:rPr>
        <w:t xml:space="preserve"> HF among diabetic patients remains uncertain. Observational data demonstrated a significant reduction in HF outcomes in response to metabolic surgeries among patients with diabetes and morbid obesity. </w:t>
      </w:r>
    </w:p>
    <w:p w14:paraId="3AF9BC0D" w14:textId="54951A76" w:rsidR="003716DA" w:rsidRPr="004661E9" w:rsidRDefault="003716DA" w:rsidP="004661E9">
      <w:pPr>
        <w:spacing w:after="0" w:line="276" w:lineRule="auto"/>
        <w:rPr>
          <w:rFonts w:ascii="Arial" w:hAnsi="Arial" w:cs="Arial"/>
        </w:rPr>
      </w:pPr>
      <w:r w:rsidRPr="004661E9">
        <w:rPr>
          <w:rFonts w:ascii="Arial" w:hAnsi="Arial" w:cs="Arial"/>
        </w:rPr>
        <w:t xml:space="preserve"> </w:t>
      </w:r>
    </w:p>
    <w:p w14:paraId="19B023F4" w14:textId="51A83310" w:rsidR="003716DA" w:rsidRPr="004661E9" w:rsidRDefault="00066811" w:rsidP="004661E9">
      <w:pPr>
        <w:spacing w:after="0" w:line="276" w:lineRule="auto"/>
        <w:rPr>
          <w:rFonts w:ascii="Arial" w:hAnsi="Arial" w:cs="Arial"/>
        </w:rPr>
      </w:pPr>
      <w:r w:rsidRPr="004661E9">
        <w:rPr>
          <w:rFonts w:ascii="Arial" w:hAnsi="Arial" w:cs="Arial"/>
        </w:rPr>
        <w:t xml:space="preserve">Guideline-directed medical therapy for HF has robust morbidity and mortality benefits in individuals with or without diabetes. </w:t>
      </w:r>
      <w:r w:rsidR="003716DA" w:rsidRPr="004661E9">
        <w:rPr>
          <w:rFonts w:ascii="Arial" w:hAnsi="Arial" w:cs="Arial"/>
        </w:rPr>
        <w:t>Subgroup analysis or meta-analysis of major HF RCTs demonstrated that the effectiveness of HF therapies such as beta-blockers, RAAS</w:t>
      </w:r>
      <w:r w:rsidR="00B03ED7" w:rsidRPr="004661E9">
        <w:rPr>
          <w:rFonts w:ascii="Arial" w:hAnsi="Arial" w:cs="Arial"/>
        </w:rPr>
        <w:t xml:space="preserve"> </w:t>
      </w:r>
      <w:r w:rsidR="00852B37" w:rsidRPr="004661E9">
        <w:rPr>
          <w:rFonts w:ascii="Arial" w:hAnsi="Arial" w:cs="Arial"/>
        </w:rPr>
        <w:t>inhibitors, ARNI</w:t>
      </w:r>
      <w:r w:rsidR="003716DA" w:rsidRPr="004661E9">
        <w:rPr>
          <w:rFonts w:ascii="Arial" w:hAnsi="Arial" w:cs="Arial"/>
        </w:rPr>
        <w:t>,</w:t>
      </w:r>
      <w:r w:rsidR="00B03ED7" w:rsidRPr="004661E9">
        <w:rPr>
          <w:rFonts w:ascii="Arial" w:hAnsi="Arial" w:cs="Arial"/>
        </w:rPr>
        <w:t xml:space="preserve"> and </w:t>
      </w:r>
      <w:r w:rsidR="003716DA" w:rsidRPr="004661E9">
        <w:rPr>
          <w:rFonts w:ascii="Arial" w:hAnsi="Arial" w:cs="Arial"/>
        </w:rPr>
        <w:t>MRAs</w:t>
      </w:r>
      <w:r w:rsidR="00B03ED7" w:rsidRPr="004661E9">
        <w:rPr>
          <w:rFonts w:ascii="Arial" w:hAnsi="Arial" w:cs="Arial"/>
        </w:rPr>
        <w:t xml:space="preserve"> </w:t>
      </w:r>
      <w:r w:rsidR="003716DA" w:rsidRPr="004661E9">
        <w:rPr>
          <w:rFonts w:ascii="Arial" w:hAnsi="Arial" w:cs="Arial"/>
        </w:rPr>
        <w:t>do not vary based on patients’ diabetes status, and these therapies lead to similar reductions in morbidity and mortality among HF patients with or without diabetes</w:t>
      </w:r>
      <w:r w:rsidR="000F5A40" w:rsidRPr="004661E9">
        <w:rPr>
          <w:rFonts w:ascii="Arial" w:hAnsi="Arial" w:cs="Arial"/>
        </w:rPr>
        <w:t>.</w:t>
      </w:r>
    </w:p>
    <w:p w14:paraId="05D6A5D2" w14:textId="77777777" w:rsidR="000F5A40" w:rsidRPr="004661E9" w:rsidRDefault="000F5A40" w:rsidP="004661E9">
      <w:pPr>
        <w:spacing w:after="0" w:line="276" w:lineRule="auto"/>
        <w:rPr>
          <w:rFonts w:ascii="Arial" w:hAnsi="Arial" w:cs="Arial"/>
        </w:rPr>
      </w:pPr>
    </w:p>
    <w:p w14:paraId="15600A54" w14:textId="468E5F62" w:rsidR="003716DA" w:rsidRPr="004661E9" w:rsidRDefault="003716DA" w:rsidP="004661E9">
      <w:pPr>
        <w:spacing w:after="0" w:line="276" w:lineRule="auto"/>
        <w:rPr>
          <w:rFonts w:ascii="Arial" w:hAnsi="Arial" w:cs="Arial"/>
        </w:rPr>
      </w:pPr>
      <w:r w:rsidRPr="004661E9">
        <w:rPr>
          <w:rFonts w:ascii="Arial" w:hAnsi="Arial" w:cs="Arial"/>
        </w:rPr>
        <w:t xml:space="preserve">Since 2015, several landmark clinical trials </w:t>
      </w:r>
      <w:r w:rsidR="00515CFF" w:rsidRPr="004661E9">
        <w:rPr>
          <w:rFonts w:ascii="Arial" w:hAnsi="Arial" w:cs="Arial"/>
        </w:rPr>
        <w:t>of</w:t>
      </w:r>
      <w:r w:rsidRPr="004661E9">
        <w:rPr>
          <w:rFonts w:ascii="Arial" w:hAnsi="Arial" w:cs="Arial"/>
        </w:rPr>
        <w:t xml:space="preserve"> SGLT2 inhibitors and GLP1-RA have revolutionized our understanding of CVD risk reduction in patients with T2DM and have led to a paradigm shift in the clinical practice recommendations for </w:t>
      </w:r>
      <w:r w:rsidR="006C2ECE" w:rsidRPr="004661E9">
        <w:rPr>
          <w:rFonts w:ascii="Arial" w:hAnsi="Arial" w:cs="Arial"/>
        </w:rPr>
        <w:t>managing</w:t>
      </w:r>
      <w:r w:rsidRPr="004661E9">
        <w:rPr>
          <w:rFonts w:ascii="Arial" w:hAnsi="Arial" w:cs="Arial"/>
        </w:rPr>
        <w:t xml:space="preserve"> T2DM. SGLT-2 inhibitors</w:t>
      </w:r>
      <w:r w:rsidR="006C2ECE" w:rsidRPr="004661E9">
        <w:rPr>
          <w:rFonts w:ascii="Arial" w:hAnsi="Arial" w:cs="Arial"/>
        </w:rPr>
        <w:t xml:space="preserve"> </w:t>
      </w:r>
      <w:r w:rsidRPr="004661E9">
        <w:rPr>
          <w:rFonts w:ascii="Arial" w:hAnsi="Arial" w:cs="Arial"/>
        </w:rPr>
        <w:t xml:space="preserve">are the preferred agents </w:t>
      </w:r>
      <w:r w:rsidR="006C2ECE" w:rsidRPr="004661E9">
        <w:rPr>
          <w:rFonts w:ascii="Arial" w:hAnsi="Arial" w:cs="Arial"/>
        </w:rPr>
        <w:t>in</w:t>
      </w:r>
      <w:r w:rsidRPr="004661E9">
        <w:rPr>
          <w:rFonts w:ascii="Arial" w:hAnsi="Arial" w:cs="Arial"/>
        </w:rPr>
        <w:t xml:space="preserve"> the glucose-lowering regimen independent of baseline HbA1c in </w:t>
      </w:r>
      <w:r w:rsidR="00066811" w:rsidRPr="004661E9">
        <w:rPr>
          <w:rFonts w:ascii="Arial" w:hAnsi="Arial" w:cs="Arial"/>
        </w:rPr>
        <w:t xml:space="preserve">T2DM </w:t>
      </w:r>
      <w:r w:rsidRPr="004661E9">
        <w:rPr>
          <w:rFonts w:ascii="Arial" w:hAnsi="Arial" w:cs="Arial"/>
        </w:rPr>
        <w:t xml:space="preserve">patients with known or at risk for HF. </w:t>
      </w:r>
    </w:p>
    <w:p w14:paraId="3254CCD7" w14:textId="77777777" w:rsidR="000F5A40" w:rsidRPr="004661E9" w:rsidRDefault="000F5A40" w:rsidP="004661E9">
      <w:pPr>
        <w:spacing w:after="0" w:line="276" w:lineRule="auto"/>
        <w:rPr>
          <w:rFonts w:ascii="Arial" w:hAnsi="Arial" w:cs="Arial"/>
        </w:rPr>
      </w:pPr>
    </w:p>
    <w:p w14:paraId="5DCDD53B" w14:textId="52558389" w:rsidR="003716DA" w:rsidRPr="004661E9" w:rsidRDefault="00066811" w:rsidP="004661E9">
      <w:pPr>
        <w:spacing w:after="0" w:line="276" w:lineRule="auto"/>
        <w:rPr>
          <w:rFonts w:ascii="Arial" w:hAnsi="Arial" w:cs="Arial"/>
        </w:rPr>
      </w:pPr>
      <w:r w:rsidRPr="004661E9">
        <w:rPr>
          <w:rFonts w:ascii="Arial" w:hAnsi="Arial" w:cs="Arial"/>
        </w:rPr>
        <w:t xml:space="preserve">Several dedicated major clinical trials confirmed the </w:t>
      </w:r>
      <w:r w:rsidR="00D87EEE" w:rsidRPr="004661E9">
        <w:rPr>
          <w:rFonts w:ascii="Arial" w:hAnsi="Arial" w:cs="Arial"/>
        </w:rPr>
        <w:t>CV</w:t>
      </w:r>
      <w:r w:rsidR="008B7593" w:rsidRPr="004661E9">
        <w:rPr>
          <w:rFonts w:ascii="Arial" w:hAnsi="Arial" w:cs="Arial"/>
        </w:rPr>
        <w:t>D</w:t>
      </w:r>
      <w:r w:rsidRPr="004661E9">
        <w:rPr>
          <w:rFonts w:ascii="Arial" w:hAnsi="Arial" w:cs="Arial"/>
        </w:rPr>
        <w:t xml:space="preserve"> benefits of SGLT2 inhibitors in patients with established HF, regardless of LVEF or diabetes status. </w:t>
      </w:r>
      <w:r w:rsidR="00D2537D" w:rsidRPr="004661E9">
        <w:rPr>
          <w:rFonts w:ascii="Arial" w:hAnsi="Arial" w:cs="Arial"/>
        </w:rPr>
        <w:t>H</w:t>
      </w:r>
      <w:r w:rsidRPr="004661E9">
        <w:rPr>
          <w:rFonts w:ascii="Arial" w:hAnsi="Arial" w:cs="Arial"/>
        </w:rPr>
        <w:t xml:space="preserve">igh-quality data from these clinical trials transformed SGLT2 inhibitors from a glucose-lowering agent to a HF drug. </w:t>
      </w:r>
      <w:r w:rsidR="001E47F1" w:rsidRPr="004661E9">
        <w:rPr>
          <w:rFonts w:ascii="Arial" w:hAnsi="Arial" w:cs="Arial"/>
        </w:rPr>
        <w:t>Moreover,</w:t>
      </w:r>
      <w:r w:rsidRPr="004661E9">
        <w:rPr>
          <w:rFonts w:ascii="Arial" w:hAnsi="Arial" w:cs="Arial"/>
        </w:rPr>
        <w:t xml:space="preserve"> SGLT2 inhibitors are the only medication class with </w:t>
      </w:r>
      <w:r w:rsidR="001C412B" w:rsidRPr="004661E9">
        <w:rPr>
          <w:rFonts w:ascii="Arial" w:hAnsi="Arial" w:cs="Arial"/>
        </w:rPr>
        <w:t xml:space="preserve">U.S. FDA approval and </w:t>
      </w:r>
      <w:r w:rsidRPr="004661E9">
        <w:rPr>
          <w:rFonts w:ascii="Arial" w:hAnsi="Arial" w:cs="Arial"/>
        </w:rPr>
        <w:t xml:space="preserve">strong guideline indication (class I or IIa) for all HF patients across different LVEF groups. </w:t>
      </w:r>
    </w:p>
    <w:p w14:paraId="14566E5D" w14:textId="52D494D7" w:rsidR="0019372E" w:rsidRPr="004661E9" w:rsidRDefault="0019372E" w:rsidP="004661E9">
      <w:pPr>
        <w:spacing w:after="0" w:line="276" w:lineRule="auto"/>
        <w:rPr>
          <w:rFonts w:ascii="Arial" w:hAnsi="Arial" w:cs="Arial"/>
        </w:rPr>
      </w:pPr>
    </w:p>
    <w:p w14:paraId="11EACF58" w14:textId="243C53A3" w:rsidR="002E06BC" w:rsidRPr="002E06BC" w:rsidRDefault="0019372E" w:rsidP="004661E9">
      <w:pPr>
        <w:spacing w:after="0" w:line="276" w:lineRule="auto"/>
        <w:rPr>
          <w:rStyle w:val="Strong"/>
          <w:rFonts w:ascii="Arial" w:hAnsi="Arial" w:cs="Arial"/>
          <w:color w:val="0070C0"/>
        </w:rPr>
      </w:pPr>
      <w:r w:rsidRPr="002E06BC">
        <w:rPr>
          <w:rStyle w:val="Strong"/>
          <w:rFonts w:ascii="Arial" w:hAnsi="Arial" w:cs="Arial"/>
          <w:color w:val="0070C0"/>
        </w:rPr>
        <w:t>A</w:t>
      </w:r>
      <w:r w:rsidR="002E06BC" w:rsidRPr="002E06BC">
        <w:rPr>
          <w:rStyle w:val="Strong"/>
          <w:rFonts w:ascii="Arial" w:hAnsi="Arial" w:cs="Arial"/>
          <w:color w:val="0070C0"/>
        </w:rPr>
        <w:t>CKNOWLEDGMENT</w:t>
      </w:r>
    </w:p>
    <w:p w14:paraId="2769F078" w14:textId="77777777" w:rsidR="002E06BC" w:rsidRDefault="002E06BC" w:rsidP="004661E9">
      <w:pPr>
        <w:spacing w:after="0" w:line="276" w:lineRule="auto"/>
        <w:rPr>
          <w:rStyle w:val="Strong"/>
          <w:rFonts w:ascii="Arial" w:hAnsi="Arial" w:cs="Arial"/>
        </w:rPr>
      </w:pPr>
    </w:p>
    <w:p w14:paraId="545DC0A0" w14:textId="78210FD9" w:rsidR="0019372E" w:rsidRPr="004661E9" w:rsidRDefault="0019372E" w:rsidP="004661E9">
      <w:pPr>
        <w:spacing w:after="0" w:line="276" w:lineRule="auto"/>
        <w:rPr>
          <w:rStyle w:val="Strong"/>
          <w:rFonts w:ascii="Arial" w:hAnsi="Arial" w:cs="Arial"/>
        </w:rPr>
      </w:pPr>
      <w:r w:rsidRPr="004661E9">
        <w:rPr>
          <w:rStyle w:val="Strong"/>
          <w:rFonts w:ascii="Arial" w:hAnsi="Arial" w:cs="Arial"/>
          <w:b w:val="0"/>
          <w:bCs w:val="0"/>
        </w:rPr>
        <w:t xml:space="preserve">We thank Halis Kaan Akturk for his contribution to the previous version of this chapter. </w:t>
      </w:r>
    </w:p>
    <w:p w14:paraId="405ED8A4" w14:textId="77777777" w:rsidR="0019372E" w:rsidRPr="004661E9" w:rsidRDefault="0019372E" w:rsidP="004661E9">
      <w:pPr>
        <w:spacing w:after="0" w:line="276" w:lineRule="auto"/>
        <w:rPr>
          <w:rFonts w:ascii="Arial" w:hAnsi="Arial" w:cs="Arial"/>
        </w:rPr>
      </w:pPr>
    </w:p>
    <w:p w14:paraId="295891BC" w14:textId="77777777" w:rsidR="009C35D8" w:rsidRPr="004661E9" w:rsidRDefault="00801FE9" w:rsidP="004661E9">
      <w:pPr>
        <w:spacing w:after="0" w:line="276" w:lineRule="auto"/>
        <w:rPr>
          <w:rFonts w:ascii="Arial" w:hAnsi="Arial" w:cs="Arial"/>
          <w:b/>
          <w:bCs/>
          <w:caps/>
          <w:color w:val="0070C0"/>
        </w:rPr>
      </w:pPr>
      <w:r w:rsidRPr="004661E9">
        <w:rPr>
          <w:rFonts w:ascii="Arial" w:hAnsi="Arial" w:cs="Arial"/>
          <w:b/>
          <w:bCs/>
          <w:caps/>
          <w:color w:val="0070C0"/>
        </w:rPr>
        <w:t>References</w:t>
      </w:r>
      <w:bookmarkEnd w:id="23"/>
    </w:p>
    <w:p w14:paraId="68D9B417" w14:textId="0C04ADB9" w:rsidR="00801FE9" w:rsidRPr="00C375B6" w:rsidRDefault="00801FE9" w:rsidP="00D14D07">
      <w:pPr>
        <w:spacing w:after="0" w:line="276" w:lineRule="auto"/>
        <w:rPr>
          <w:rFonts w:ascii="Arial" w:hAnsi="Arial" w:cs="Arial"/>
          <w:b/>
          <w:bCs/>
          <w:caps/>
        </w:rPr>
      </w:pPr>
      <w:r w:rsidRPr="00C375B6">
        <w:rPr>
          <w:rFonts w:ascii="Arial" w:hAnsi="Arial" w:cs="Arial"/>
          <w:b/>
          <w:bCs/>
          <w:caps/>
        </w:rPr>
        <w:t xml:space="preserve"> </w:t>
      </w:r>
    </w:p>
    <w:bookmarkStart w:id="26" w:name="_Hlk146547024"/>
    <w:p w14:paraId="779E6D82" w14:textId="77B531FD" w:rsidR="00D162D8" w:rsidRPr="004661E9" w:rsidRDefault="000F3AD7"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rPr>
        <w:fldChar w:fldCharType="begin" w:fldLock="1"/>
      </w:r>
      <w:r w:rsidR="00E3764C" w:rsidRPr="004661E9">
        <w:rPr>
          <w:rFonts w:ascii="Arial" w:hAnsi="Arial" w:cs="Arial"/>
        </w:rPr>
        <w:instrText xml:space="preserve">ADDIN Mendeley Bibliography CSL_BIBLIOGRAPHY </w:instrText>
      </w:r>
      <w:r w:rsidRPr="004661E9">
        <w:rPr>
          <w:rFonts w:ascii="Arial" w:hAnsi="Arial" w:cs="Arial"/>
        </w:rPr>
        <w:fldChar w:fldCharType="separate"/>
      </w:r>
      <w:r w:rsidR="00D162D8" w:rsidRPr="004661E9">
        <w:rPr>
          <w:rFonts w:ascii="Arial" w:hAnsi="Arial" w:cs="Arial"/>
          <w:noProof/>
        </w:rPr>
        <w:t xml:space="preserve">1. </w:t>
      </w:r>
      <w:r w:rsidR="00D162D8" w:rsidRPr="004661E9">
        <w:rPr>
          <w:rFonts w:ascii="Arial" w:hAnsi="Arial" w:cs="Arial"/>
          <w:noProof/>
        </w:rPr>
        <w:tab/>
      </w:r>
      <w:r w:rsidR="00D162D8" w:rsidRPr="004661E9">
        <w:rPr>
          <w:rFonts w:ascii="Arial" w:hAnsi="Arial" w:cs="Arial"/>
          <w:bCs/>
          <w:noProof/>
        </w:rPr>
        <w:t>Chen YT, Vaccarino V, Williams CS, Butler J, Berkman LF, Krumholz HM.</w:t>
      </w:r>
      <w:r w:rsidR="00D162D8" w:rsidRPr="004661E9">
        <w:rPr>
          <w:rFonts w:ascii="Arial" w:hAnsi="Arial" w:cs="Arial"/>
          <w:noProof/>
        </w:rPr>
        <w:t xml:space="preserve"> Risk factors for heart failure in the elderly: A prospective community- based study. </w:t>
      </w:r>
      <w:r w:rsidR="00D162D8" w:rsidRPr="004661E9">
        <w:rPr>
          <w:rFonts w:ascii="Arial" w:hAnsi="Arial" w:cs="Arial"/>
          <w:iCs/>
          <w:noProof/>
        </w:rPr>
        <w:t>Am. J. Med.</w:t>
      </w:r>
      <w:r w:rsidR="00D162D8" w:rsidRPr="004661E9">
        <w:rPr>
          <w:rFonts w:ascii="Arial" w:hAnsi="Arial" w:cs="Arial"/>
          <w:noProof/>
        </w:rPr>
        <w:t xml:space="preserve"> 1999;106(6):605–612.</w:t>
      </w:r>
    </w:p>
    <w:p w14:paraId="13DC19C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 </w:t>
      </w:r>
      <w:r w:rsidRPr="004661E9">
        <w:rPr>
          <w:rFonts w:ascii="Arial" w:hAnsi="Arial" w:cs="Arial"/>
          <w:noProof/>
        </w:rPr>
        <w:tab/>
      </w:r>
      <w:r w:rsidRPr="004661E9">
        <w:rPr>
          <w:rFonts w:ascii="Arial" w:hAnsi="Arial" w:cs="Arial"/>
          <w:bCs/>
          <w:noProof/>
        </w:rPr>
        <w:t>Kannel WBB, Hjortland M, Castelli WPP.</w:t>
      </w:r>
      <w:r w:rsidRPr="004661E9">
        <w:rPr>
          <w:rFonts w:ascii="Arial" w:hAnsi="Arial" w:cs="Arial"/>
          <w:noProof/>
        </w:rPr>
        <w:t xml:space="preserve"> Role of diabetes in congestive heart failure: The Framingham study. </w:t>
      </w:r>
      <w:r w:rsidRPr="004661E9">
        <w:rPr>
          <w:rFonts w:ascii="Arial" w:hAnsi="Arial" w:cs="Arial"/>
          <w:iCs/>
          <w:noProof/>
        </w:rPr>
        <w:t>Am. J. Cardiol.</w:t>
      </w:r>
      <w:r w:rsidRPr="004661E9">
        <w:rPr>
          <w:rFonts w:ascii="Arial" w:hAnsi="Arial" w:cs="Arial"/>
          <w:noProof/>
        </w:rPr>
        <w:t xml:space="preserve"> 1974;34(1):29–34.</w:t>
      </w:r>
    </w:p>
    <w:p w14:paraId="7DD4A89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 </w:t>
      </w:r>
      <w:r w:rsidRPr="004661E9">
        <w:rPr>
          <w:rFonts w:ascii="Arial" w:hAnsi="Arial" w:cs="Arial"/>
          <w:noProof/>
        </w:rPr>
        <w:tab/>
      </w:r>
      <w:r w:rsidRPr="004661E9">
        <w:rPr>
          <w:rFonts w:ascii="Arial" w:hAnsi="Arial" w:cs="Arial"/>
          <w:bCs/>
          <w:noProof/>
        </w:rPr>
        <w:t>Heidenreich PA, Bozkurt B, Aguilar D, Allen LA, Byun JJ, Colvin MM, Deswal A, Drazner MH, Dunlay SM, Evers LR, Fang JC, Fedson SE, Fonarow GC, Hayek SS, Hernandez AF, Khazanie P, Kittleson MM, Lee CS, Link MS, Milano CA, Nnacheta LC, Sandhu AT, Stevenson LW, Vardeny O, Vest AR, Yancy CW.</w:t>
      </w:r>
      <w:r w:rsidRPr="004661E9">
        <w:rPr>
          <w:rFonts w:ascii="Arial" w:hAnsi="Arial" w:cs="Arial"/>
          <w:noProof/>
        </w:rPr>
        <w:t xml:space="preserve"> 2022 AHA/ACC/HFSA Guideline for the Management of Heart Failure: A Report of the American College of Cardiology/American Heart Association Joint Committee on Clinical Practice Guidelines. </w:t>
      </w:r>
      <w:r w:rsidRPr="004661E9">
        <w:rPr>
          <w:rFonts w:ascii="Arial" w:hAnsi="Arial" w:cs="Arial"/>
          <w:iCs/>
          <w:noProof/>
        </w:rPr>
        <w:t>Circulation</w:t>
      </w:r>
      <w:r w:rsidRPr="004661E9">
        <w:rPr>
          <w:rFonts w:ascii="Arial" w:hAnsi="Arial" w:cs="Arial"/>
          <w:noProof/>
        </w:rPr>
        <w:t xml:space="preserve"> 2022;145(18):E895–E1032.</w:t>
      </w:r>
    </w:p>
    <w:p w14:paraId="6254EB3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 </w:t>
      </w:r>
      <w:r w:rsidRPr="004661E9">
        <w:rPr>
          <w:rFonts w:ascii="Arial" w:hAnsi="Arial" w:cs="Arial"/>
          <w:noProof/>
        </w:rPr>
        <w:tab/>
      </w:r>
      <w:r w:rsidRPr="004661E9">
        <w:rPr>
          <w:rFonts w:ascii="Arial" w:hAnsi="Arial" w:cs="Arial"/>
          <w:bCs/>
          <w:noProof/>
        </w:rPr>
        <w:t xml:space="preserve">Pop-Busui R, Januzzi JL, Bruemmer D, Butalia S, Green JB, Horton WB, Knight C, Levi </w:t>
      </w:r>
      <w:r w:rsidRPr="004661E9">
        <w:rPr>
          <w:rFonts w:ascii="Arial" w:hAnsi="Arial" w:cs="Arial"/>
          <w:bCs/>
          <w:noProof/>
        </w:rPr>
        <w:lastRenderedPageBreak/>
        <w:t>M, Rasouli N, Richardson CR.</w:t>
      </w:r>
      <w:r w:rsidRPr="004661E9">
        <w:rPr>
          <w:rFonts w:ascii="Arial" w:hAnsi="Arial" w:cs="Arial"/>
          <w:noProof/>
        </w:rPr>
        <w:t xml:space="preserve"> Heart Failure: An Underappreciated Complication of Diabetes. A Consensus Report of the American Diabetes Association. </w:t>
      </w:r>
      <w:r w:rsidRPr="004661E9">
        <w:rPr>
          <w:rFonts w:ascii="Arial" w:hAnsi="Arial" w:cs="Arial"/>
          <w:iCs/>
          <w:noProof/>
        </w:rPr>
        <w:t>Diabetes Care</w:t>
      </w:r>
      <w:r w:rsidRPr="004661E9">
        <w:rPr>
          <w:rFonts w:ascii="Arial" w:hAnsi="Arial" w:cs="Arial"/>
          <w:noProof/>
        </w:rPr>
        <w:t xml:space="preserve"> 2022;45(7):1670–1690.</w:t>
      </w:r>
    </w:p>
    <w:p w14:paraId="6ED0A41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 </w:t>
      </w:r>
      <w:r w:rsidRPr="004661E9">
        <w:rPr>
          <w:rFonts w:ascii="Arial" w:hAnsi="Arial" w:cs="Arial"/>
          <w:noProof/>
        </w:rPr>
        <w:tab/>
      </w:r>
      <w:r w:rsidRPr="004661E9">
        <w:rPr>
          <w:rFonts w:ascii="Arial" w:hAnsi="Arial" w:cs="Arial"/>
          <w:bCs/>
          <w:noProof/>
        </w:rPr>
        <w:t>Bozkurt B, Coats AJ, Tsutsui H, Abdelhamid M, Adamopoulos S, Albert N, Anker SD, Atherton J, Böhm M, Butler J, Drazner MH, Felker GM, Filippatos G, Fonarow GC, Fiuzat M, Gomez-Mesa JE, Heidenreich P, Imamura T, Januzzi J, Jankowska EA, Khazanie P, Kinugawa K, Lam CSP, Matsue Y, Metra M, Ohtani T, Francesco Piepoli M, Ponikowski P, Rosano GMC, Sakata Y, SeferoviĆ P, Starling RC, Teerlink JR, Vardeny O, Yamamoto K, Yancy C, Zhang J, Zieroth S.</w:t>
      </w:r>
      <w:r w:rsidRPr="004661E9">
        <w:rPr>
          <w:rFonts w:ascii="Arial" w:hAnsi="Arial" w:cs="Arial"/>
          <w:noProof/>
        </w:rPr>
        <w:t xml:space="preserve"> Universal Definition and Classification of Heart Failure: A Report of the Heart Failure Society of America, Heart Failure Association of the European Society of Cardiology, Japanese Heart Failure Society and Writing Committee of the Universal Definition o. </w:t>
      </w:r>
      <w:r w:rsidRPr="004661E9">
        <w:rPr>
          <w:rFonts w:ascii="Arial" w:hAnsi="Arial" w:cs="Arial"/>
          <w:iCs/>
          <w:noProof/>
        </w:rPr>
        <w:t>J. Card. Fail.</w:t>
      </w:r>
      <w:r w:rsidRPr="004661E9">
        <w:rPr>
          <w:rFonts w:ascii="Arial" w:hAnsi="Arial" w:cs="Arial"/>
          <w:noProof/>
        </w:rPr>
        <w:t xml:space="preserve"> 2021;27(4):387–413.</w:t>
      </w:r>
    </w:p>
    <w:p w14:paraId="553359D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 </w:t>
      </w:r>
      <w:r w:rsidRPr="004661E9">
        <w:rPr>
          <w:rFonts w:ascii="Arial" w:hAnsi="Arial" w:cs="Arial"/>
          <w:noProof/>
        </w:rPr>
        <w:tab/>
      </w:r>
      <w:r w:rsidRPr="004661E9">
        <w:rPr>
          <w:rFonts w:ascii="Arial" w:hAnsi="Arial" w:cs="Arial"/>
          <w:bCs/>
          <w:noProof/>
        </w:rPr>
        <w:t>Nichols GA, Gullion CM, Koro CE, Ephross SA, Brown JB.</w:t>
      </w:r>
      <w:r w:rsidRPr="004661E9">
        <w:rPr>
          <w:rFonts w:ascii="Arial" w:hAnsi="Arial" w:cs="Arial"/>
          <w:noProof/>
        </w:rPr>
        <w:t xml:space="preserve"> The incidence of congestive heart failure in type 2 diabetes: An update. </w:t>
      </w:r>
      <w:r w:rsidRPr="004661E9">
        <w:rPr>
          <w:rFonts w:ascii="Arial" w:hAnsi="Arial" w:cs="Arial"/>
          <w:iCs/>
          <w:noProof/>
        </w:rPr>
        <w:t>Diabetes Care</w:t>
      </w:r>
      <w:r w:rsidRPr="004661E9">
        <w:rPr>
          <w:rFonts w:ascii="Arial" w:hAnsi="Arial" w:cs="Arial"/>
          <w:noProof/>
        </w:rPr>
        <w:t xml:space="preserve"> 2004;27(8):1879–1884.</w:t>
      </w:r>
    </w:p>
    <w:p w14:paraId="2E0AB7D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 </w:t>
      </w:r>
      <w:r w:rsidRPr="004661E9">
        <w:rPr>
          <w:rFonts w:ascii="Arial" w:hAnsi="Arial" w:cs="Arial"/>
          <w:noProof/>
        </w:rPr>
        <w:tab/>
      </w:r>
      <w:r w:rsidRPr="004661E9">
        <w:rPr>
          <w:rFonts w:ascii="Arial" w:hAnsi="Arial" w:cs="Arial"/>
          <w:bCs/>
          <w:noProof/>
        </w:rPr>
        <w:t>Jia G, Hill MAA, Sowers JRR.</w:t>
      </w:r>
      <w:r w:rsidRPr="004661E9">
        <w:rPr>
          <w:rFonts w:ascii="Arial" w:hAnsi="Arial" w:cs="Arial"/>
          <w:noProof/>
        </w:rPr>
        <w:t xml:space="preserve"> Diabetic cardiomyopathy: An update of mechanisms contributing to this clinical entity. </w:t>
      </w:r>
      <w:r w:rsidRPr="004661E9">
        <w:rPr>
          <w:rFonts w:ascii="Arial" w:hAnsi="Arial" w:cs="Arial"/>
          <w:iCs/>
          <w:noProof/>
        </w:rPr>
        <w:t>Circ. Res.</w:t>
      </w:r>
      <w:r w:rsidRPr="004661E9">
        <w:rPr>
          <w:rFonts w:ascii="Arial" w:hAnsi="Arial" w:cs="Arial"/>
          <w:noProof/>
        </w:rPr>
        <w:t xml:space="preserve"> 2018;122(4):624–638.</w:t>
      </w:r>
    </w:p>
    <w:p w14:paraId="6C3C97E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 </w:t>
      </w:r>
      <w:r w:rsidRPr="004661E9">
        <w:rPr>
          <w:rFonts w:ascii="Arial" w:hAnsi="Arial" w:cs="Arial"/>
          <w:noProof/>
        </w:rPr>
        <w:tab/>
      </w:r>
      <w:r w:rsidRPr="004661E9">
        <w:rPr>
          <w:rFonts w:ascii="Arial" w:hAnsi="Arial" w:cs="Arial"/>
          <w:bCs/>
          <w:noProof/>
        </w:rPr>
        <w:t>Bertoni AG, Hundley WG, Massing MW, Bonds DE, Burke GL, Goff DC.</w:t>
      </w:r>
      <w:r w:rsidRPr="004661E9">
        <w:rPr>
          <w:rFonts w:ascii="Arial" w:hAnsi="Arial" w:cs="Arial"/>
          <w:noProof/>
        </w:rPr>
        <w:t xml:space="preserve"> Heart Failure Prevalence, Incidence, and Mortality in the Elderly with Diabetes. </w:t>
      </w:r>
      <w:r w:rsidRPr="004661E9">
        <w:rPr>
          <w:rFonts w:ascii="Arial" w:hAnsi="Arial" w:cs="Arial"/>
          <w:iCs/>
          <w:noProof/>
        </w:rPr>
        <w:t>Diabetes Care</w:t>
      </w:r>
      <w:r w:rsidRPr="004661E9">
        <w:rPr>
          <w:rFonts w:ascii="Arial" w:hAnsi="Arial" w:cs="Arial"/>
          <w:noProof/>
        </w:rPr>
        <w:t xml:space="preserve"> 2004;27(3):699–703.</w:t>
      </w:r>
    </w:p>
    <w:p w14:paraId="6B9CC4C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 </w:t>
      </w:r>
      <w:r w:rsidRPr="004661E9">
        <w:rPr>
          <w:rFonts w:ascii="Arial" w:hAnsi="Arial" w:cs="Arial"/>
          <w:noProof/>
        </w:rPr>
        <w:tab/>
      </w:r>
      <w:r w:rsidRPr="004661E9">
        <w:rPr>
          <w:rFonts w:ascii="Arial" w:hAnsi="Arial" w:cs="Arial"/>
          <w:bCs/>
          <w:noProof/>
        </w:rPr>
        <w:t>Thrainsdottir IS, Aspelund T, Thorgeirsson G, Gudnason V, Hardarson T, Malmberg K, Sigurdsson G, Rydén L.</w:t>
      </w:r>
      <w:r w:rsidRPr="004661E9">
        <w:rPr>
          <w:rFonts w:ascii="Arial" w:hAnsi="Arial" w:cs="Arial"/>
          <w:noProof/>
        </w:rPr>
        <w:t xml:space="preserve"> The association between glucose abnormalities and heart failure in the population-based Reykjavík Study. </w:t>
      </w:r>
      <w:r w:rsidRPr="004661E9">
        <w:rPr>
          <w:rFonts w:ascii="Arial" w:hAnsi="Arial" w:cs="Arial"/>
          <w:iCs/>
          <w:noProof/>
        </w:rPr>
        <w:t>Diabetes Care</w:t>
      </w:r>
      <w:r w:rsidRPr="004661E9">
        <w:rPr>
          <w:rFonts w:ascii="Arial" w:hAnsi="Arial" w:cs="Arial"/>
          <w:noProof/>
        </w:rPr>
        <w:t xml:space="preserve"> 2005;28(3):612–616.</w:t>
      </w:r>
    </w:p>
    <w:p w14:paraId="7836A96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 </w:t>
      </w:r>
      <w:r w:rsidRPr="004661E9">
        <w:rPr>
          <w:rFonts w:ascii="Arial" w:hAnsi="Arial" w:cs="Arial"/>
          <w:noProof/>
        </w:rPr>
        <w:tab/>
      </w:r>
      <w:r w:rsidRPr="004661E9">
        <w:rPr>
          <w:rFonts w:ascii="Arial" w:hAnsi="Arial" w:cs="Arial"/>
          <w:bCs/>
          <w:noProof/>
        </w:rPr>
        <w:t>Centers for Disease Control and Prevention. National Diabetes Statistics Report, 2020. Atlanta, GA: Centers for Disease Control and Prevention, US Department of Health and Human Services; 2020.</w:t>
      </w:r>
    </w:p>
    <w:p w14:paraId="640D2EB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 </w:t>
      </w:r>
      <w:r w:rsidRPr="004661E9">
        <w:rPr>
          <w:rFonts w:ascii="Arial" w:hAnsi="Arial" w:cs="Arial"/>
          <w:noProof/>
        </w:rPr>
        <w:tab/>
      </w:r>
      <w:r w:rsidRPr="004661E9">
        <w:rPr>
          <w:rFonts w:ascii="Arial" w:hAnsi="Arial" w:cs="Arial"/>
          <w:bCs/>
          <w:noProof/>
        </w:rPr>
        <w:t>Marso SP, Bain SC, Consoli A, Eliaschewitz FG, Jódar E, Leiter LA, Lingvay I, Rosenstock J, Seufert J, Warren ML, Woo V, Hansen O, Holst AG, Pettersson J, Vilsbøll T.</w:t>
      </w:r>
      <w:r w:rsidRPr="004661E9">
        <w:rPr>
          <w:rFonts w:ascii="Arial" w:hAnsi="Arial" w:cs="Arial"/>
          <w:noProof/>
        </w:rPr>
        <w:t xml:space="preserve"> Semaglutide and Cardiovascular Outcomes in Patients with Type 2 Diabetes. </w:t>
      </w:r>
      <w:r w:rsidRPr="004661E9">
        <w:rPr>
          <w:rFonts w:ascii="Arial" w:hAnsi="Arial" w:cs="Arial"/>
          <w:iCs/>
          <w:noProof/>
        </w:rPr>
        <w:t>N. Engl. J. Med.</w:t>
      </w:r>
      <w:r w:rsidRPr="004661E9">
        <w:rPr>
          <w:rFonts w:ascii="Arial" w:hAnsi="Arial" w:cs="Arial"/>
          <w:noProof/>
        </w:rPr>
        <w:t xml:space="preserve"> 2016;375(19):1834–1844.</w:t>
      </w:r>
    </w:p>
    <w:p w14:paraId="68C687D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 </w:t>
      </w:r>
      <w:r w:rsidRPr="004661E9">
        <w:rPr>
          <w:rFonts w:ascii="Arial" w:hAnsi="Arial" w:cs="Arial"/>
          <w:noProof/>
        </w:rPr>
        <w:tab/>
      </w:r>
      <w:r w:rsidRPr="004661E9">
        <w:rPr>
          <w:rFonts w:ascii="Arial" w:hAnsi="Arial" w:cs="Arial"/>
          <w:bCs/>
          <w:noProof/>
        </w:rPr>
        <w:t>McMurray JJV, Packer M, Desai AS, Gong J, Lefkowitz MP, Rizkala AR, Rouleau JL, Shi VC, Solomon SD, Swedberg K, Zile MR.</w:t>
      </w:r>
      <w:r w:rsidRPr="004661E9">
        <w:rPr>
          <w:rFonts w:ascii="Arial" w:hAnsi="Arial" w:cs="Arial"/>
          <w:noProof/>
        </w:rPr>
        <w:t xml:space="preserve"> Angiotensin–Neprilysin Inhibition versus Enalapril in Heart Failure. </w:t>
      </w:r>
      <w:r w:rsidRPr="004661E9">
        <w:rPr>
          <w:rFonts w:ascii="Arial" w:hAnsi="Arial" w:cs="Arial"/>
          <w:iCs/>
          <w:noProof/>
        </w:rPr>
        <w:t>N. Engl. J. Med.</w:t>
      </w:r>
      <w:r w:rsidRPr="004661E9">
        <w:rPr>
          <w:rFonts w:ascii="Arial" w:hAnsi="Arial" w:cs="Arial"/>
          <w:noProof/>
        </w:rPr>
        <w:t xml:space="preserve"> 2014;371(11):993–1004.</w:t>
      </w:r>
    </w:p>
    <w:p w14:paraId="2355F6A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 </w:t>
      </w:r>
      <w:r w:rsidRPr="004661E9">
        <w:rPr>
          <w:rFonts w:ascii="Arial" w:hAnsi="Arial" w:cs="Arial"/>
          <w:noProof/>
        </w:rPr>
        <w:tab/>
      </w:r>
      <w:r w:rsidRPr="004661E9">
        <w:rPr>
          <w:rFonts w:ascii="Arial" w:hAnsi="Arial" w:cs="Arial"/>
          <w:bCs/>
          <w:noProof/>
        </w:rPr>
        <w:t>Pfeffer MA, Swedberg K, Granger CB, Held P, McMurray JJV, Michelson EL, Olofsson B, Östergren J, Yusuf S.</w:t>
      </w:r>
      <w:r w:rsidRPr="004661E9">
        <w:rPr>
          <w:rFonts w:ascii="Arial" w:hAnsi="Arial" w:cs="Arial"/>
          <w:noProof/>
        </w:rPr>
        <w:t xml:space="preserve"> Effects of candesartan on mortality and morbidity in patients with chronic heart failure: The CHARM-overall programme. </w:t>
      </w:r>
      <w:r w:rsidRPr="004661E9">
        <w:rPr>
          <w:rFonts w:ascii="Arial" w:hAnsi="Arial" w:cs="Arial"/>
          <w:iCs/>
          <w:noProof/>
        </w:rPr>
        <w:t>Lancet</w:t>
      </w:r>
      <w:r w:rsidRPr="004661E9">
        <w:rPr>
          <w:rFonts w:ascii="Arial" w:hAnsi="Arial" w:cs="Arial"/>
          <w:noProof/>
        </w:rPr>
        <w:t xml:space="preserve"> 2003;362(9386):759–766.</w:t>
      </w:r>
    </w:p>
    <w:p w14:paraId="33E463A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 </w:t>
      </w:r>
      <w:r w:rsidRPr="004661E9">
        <w:rPr>
          <w:rFonts w:ascii="Arial" w:hAnsi="Arial" w:cs="Arial"/>
          <w:noProof/>
        </w:rPr>
        <w:tab/>
      </w:r>
      <w:r w:rsidRPr="004661E9">
        <w:rPr>
          <w:rFonts w:ascii="Arial" w:hAnsi="Arial" w:cs="Arial"/>
          <w:bCs/>
          <w:noProof/>
        </w:rPr>
        <w:t>Rubler S, Dlugash J, Yuceoglu YZ, Kumral T, Branwood AW, Grishman A.</w:t>
      </w:r>
      <w:r w:rsidRPr="004661E9">
        <w:rPr>
          <w:rFonts w:ascii="Arial" w:hAnsi="Arial" w:cs="Arial"/>
          <w:noProof/>
        </w:rPr>
        <w:t xml:space="preserve"> New type of cardiomyopathy associated with diabetic glomerulosclerosis. </w:t>
      </w:r>
      <w:r w:rsidRPr="004661E9">
        <w:rPr>
          <w:rFonts w:ascii="Arial" w:hAnsi="Arial" w:cs="Arial"/>
          <w:iCs/>
          <w:noProof/>
        </w:rPr>
        <w:t>Am. J. Cardiol.</w:t>
      </w:r>
      <w:r w:rsidRPr="004661E9">
        <w:rPr>
          <w:rFonts w:ascii="Arial" w:hAnsi="Arial" w:cs="Arial"/>
          <w:noProof/>
        </w:rPr>
        <w:t xml:space="preserve"> 1972;30(6):595–602.</w:t>
      </w:r>
    </w:p>
    <w:p w14:paraId="5BD092C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 </w:t>
      </w:r>
      <w:r w:rsidRPr="004661E9">
        <w:rPr>
          <w:rFonts w:ascii="Arial" w:hAnsi="Arial" w:cs="Arial"/>
          <w:noProof/>
        </w:rPr>
        <w:tab/>
      </w:r>
      <w:r w:rsidRPr="004661E9">
        <w:rPr>
          <w:rFonts w:ascii="Arial" w:hAnsi="Arial" w:cs="Arial"/>
          <w:bCs/>
          <w:noProof/>
        </w:rPr>
        <w:t>Maack C, Lehrke M, Backs J, Heinzel FRR, Hulot JSS, Marx N, Paulus WJJ, Rossignol P, Taegtmeyer H, Bauersachs J, Bayes-Genis A, Brutsaert D, Bugger H, Clarke K, Cosentino F, De Keulenaer G, Cas ADD, González A, Huelsmann M, Iaccarino G, Lunde IGG, Lyon ARR, Pollesello P, Rena G, Riksen NPP, Rosano G, Staels B, Van Laake LWW, Wanner C, Farmakis D, Filippatos G, Ruschitzka F, Seferovic P, De Boer RAA, Heymans S.</w:t>
      </w:r>
      <w:r w:rsidRPr="004661E9">
        <w:rPr>
          <w:rFonts w:ascii="Arial" w:hAnsi="Arial" w:cs="Arial"/>
          <w:noProof/>
        </w:rPr>
        <w:t xml:space="preserve"> Heart failure and diabetes: Metabolic alterations and therapeutic </w:t>
      </w:r>
      <w:r w:rsidRPr="004661E9">
        <w:rPr>
          <w:rFonts w:ascii="Arial" w:hAnsi="Arial" w:cs="Arial"/>
          <w:noProof/>
        </w:rPr>
        <w:lastRenderedPageBreak/>
        <w:t xml:space="preserve">interventions: A state-of-The-Art review from the Translational Research Committee of the Heart Failure Association-European Society of Cardiology. </w:t>
      </w:r>
      <w:r w:rsidRPr="004661E9">
        <w:rPr>
          <w:rFonts w:ascii="Arial" w:hAnsi="Arial" w:cs="Arial"/>
          <w:iCs/>
          <w:noProof/>
        </w:rPr>
        <w:t>Eur. Heart J.</w:t>
      </w:r>
      <w:r w:rsidRPr="004661E9">
        <w:rPr>
          <w:rFonts w:ascii="Arial" w:hAnsi="Arial" w:cs="Arial"/>
          <w:noProof/>
        </w:rPr>
        <w:t xml:space="preserve"> 2018;39(48):4243–4254.</w:t>
      </w:r>
    </w:p>
    <w:p w14:paraId="6B9AC4B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 </w:t>
      </w:r>
      <w:r w:rsidRPr="004661E9">
        <w:rPr>
          <w:rFonts w:ascii="Arial" w:hAnsi="Arial" w:cs="Arial"/>
          <w:noProof/>
        </w:rPr>
        <w:tab/>
      </w:r>
      <w:r w:rsidRPr="004661E9">
        <w:rPr>
          <w:rFonts w:ascii="Arial" w:hAnsi="Arial" w:cs="Arial"/>
          <w:bCs/>
          <w:noProof/>
        </w:rPr>
        <w:t>Murtaza G, Virk HUHUH, Khalid M, Lavie CJJ, Ventura H, Mukherjee D, Ramu V, Bhogal S, Kumar G, Shanmugasundaram M, Paul TKK.</w:t>
      </w:r>
      <w:r w:rsidRPr="004661E9">
        <w:rPr>
          <w:rFonts w:ascii="Arial" w:hAnsi="Arial" w:cs="Arial"/>
          <w:noProof/>
        </w:rPr>
        <w:t xml:space="preserve"> Diabetic cardiomyopathy - A comprehensive updated review. </w:t>
      </w:r>
      <w:r w:rsidRPr="004661E9">
        <w:rPr>
          <w:rFonts w:ascii="Arial" w:hAnsi="Arial" w:cs="Arial"/>
          <w:iCs/>
          <w:noProof/>
        </w:rPr>
        <w:t>Prog. Cardiovasc. Dis.</w:t>
      </w:r>
      <w:r w:rsidRPr="004661E9">
        <w:rPr>
          <w:rFonts w:ascii="Arial" w:hAnsi="Arial" w:cs="Arial"/>
          <w:noProof/>
        </w:rPr>
        <w:t xml:space="preserve"> 2019;62(4):315–326.</w:t>
      </w:r>
    </w:p>
    <w:p w14:paraId="2B7968B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 </w:t>
      </w:r>
      <w:r w:rsidRPr="004661E9">
        <w:rPr>
          <w:rFonts w:ascii="Arial" w:hAnsi="Arial" w:cs="Arial"/>
          <w:noProof/>
        </w:rPr>
        <w:tab/>
      </w:r>
      <w:r w:rsidRPr="004661E9">
        <w:rPr>
          <w:rFonts w:ascii="Arial" w:hAnsi="Arial" w:cs="Arial"/>
          <w:bCs/>
          <w:noProof/>
        </w:rPr>
        <w:t>Amato L, Paolisso G, Cacciatore F, Ferrara N, Ferrara P, Canonico S, Varricchio M, Rengo F.</w:t>
      </w:r>
      <w:r w:rsidRPr="004661E9">
        <w:rPr>
          <w:rFonts w:ascii="Arial" w:hAnsi="Arial" w:cs="Arial"/>
          <w:noProof/>
        </w:rPr>
        <w:t xml:space="preserve"> Congestive heart failure predicts the development of non-insulin-dependent diabetes mellitus in the elderly. The Osservatorio Geriatrico Regione Campania Group. </w:t>
      </w:r>
      <w:r w:rsidRPr="004661E9">
        <w:rPr>
          <w:rFonts w:ascii="Arial" w:hAnsi="Arial" w:cs="Arial"/>
          <w:iCs/>
          <w:noProof/>
        </w:rPr>
        <w:t>Diabetes Metab.</w:t>
      </w:r>
      <w:r w:rsidRPr="004661E9">
        <w:rPr>
          <w:rFonts w:ascii="Arial" w:hAnsi="Arial" w:cs="Arial"/>
          <w:noProof/>
        </w:rPr>
        <w:t xml:space="preserve"> 1997;23(3):213–8.</w:t>
      </w:r>
    </w:p>
    <w:p w14:paraId="6BB2EBD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 </w:t>
      </w:r>
      <w:r w:rsidRPr="004661E9">
        <w:rPr>
          <w:rFonts w:ascii="Arial" w:hAnsi="Arial" w:cs="Arial"/>
          <w:noProof/>
        </w:rPr>
        <w:tab/>
      </w:r>
      <w:r w:rsidRPr="004661E9">
        <w:rPr>
          <w:rFonts w:ascii="Arial" w:hAnsi="Arial" w:cs="Arial"/>
          <w:bCs/>
          <w:noProof/>
        </w:rPr>
        <w:t>McDonagh TA, Metra M, Adamo M, Baumbach A, Böhm M, Burri H, Čelutkiene J, Chioncel O, Cleland JGF, Coats AJS, Crespo-Leiro MG, Farmakis D, Gardner RS, Gilard M, Heymans S, Hoes AW, Jaarsma T, Jankowska EA, Lainscak M, Lam CSP, Lyon AR, McMurray JJV, Mebazaa A, Mindham R, Muneretto C, Piepoli MF, Price S, Rosano GMC, Ruschitzka F, Skibelund AK, de Boer RA, Schulze PC, Abdelhamid M, Aboyans V, Adamopoulos S, Anker SD, Arbelo E, Asteggiano R, Bauersachs J, Bayes-Genis A, Borger MA, Budts W, Cikes M, Damman K, Delgado V, Dendale P, Dilaveris P, Drexel H, Ezekowitz J, Falk V, Fauchier L, Filippatos G, Fraser A, Frey N, Gale CP, Gustafsson F, Harris J, Iung B, Janssens S, Jessup M, Konradi A, Kotecha D, Lambrinou E, Lancellotti P, Landmesser U, Leclercq C, Lewis BS, Leyva F, Linhart A, Løchen ML, Lund LH, Mancini D, Masip J, Milicic D, Mueller C, Nef H, Nielsen JC, Neubeck L, Noutsias M, Petersen SE, Petronio AS, Ponikowski P, Prescott E, Rakisheva A, Richter D, Schlyakhto E, Seferovic P, Senni M, Sitges M, Sousa-Uva M, Tocchetti CG, Touyz R, Tschoepe C, Waltenberger J, Krim M, Hayrapetyan H, Moertl D, Mustafayev I, Kurlianskaya A, Depauw M, Kušljugić Z, Gatzov P, Agathangelou P, Melenovský V, Løgstrup BB, Mostafa AM, Uuetoa T, Lassus J, Logeart D, Kipiani Z, Chrysohoou C, Sepp R, Ingimarsdóttir IJ, O’Neill J, Gotsman I, Iacoviello M, Bajraktari G, Lunegova O, Kamzola G, Massih TA, Benlamin H, Žaliaduonyte D, Noppe S, Moore A, Vataman E, Boskovic A, Bennis A, Manintveld OC, Kostovska ES, Gulati G, Straburzyńska-Migaj E, Silva-Cardoso J, Rimbaş RC, Lopatin Y, Foscoli M, Stojkovic S, Goncalvesova E, Fras Z, Segovia J, Lindmark K, Maeder MT, Bsata W, Abid L, Altay H, Voronkov L, Davies C, Abdullaev T, Baigent CN, Antoniou S, Collet JP, Halvorsen S, Koskinas KC.</w:t>
      </w:r>
      <w:r w:rsidRPr="004661E9">
        <w:rPr>
          <w:rFonts w:ascii="Arial" w:hAnsi="Arial" w:cs="Arial"/>
          <w:noProof/>
        </w:rPr>
        <w:t xml:space="preserve"> 2021 ESC Guidelines for the diagnosis and treatment of acute and chronic heart  failure. </w:t>
      </w:r>
      <w:r w:rsidRPr="004661E9">
        <w:rPr>
          <w:rFonts w:ascii="Arial" w:hAnsi="Arial" w:cs="Arial"/>
          <w:iCs/>
          <w:noProof/>
        </w:rPr>
        <w:t>Eur. Heart J.</w:t>
      </w:r>
      <w:r w:rsidRPr="004661E9">
        <w:rPr>
          <w:rFonts w:ascii="Arial" w:hAnsi="Arial" w:cs="Arial"/>
          <w:noProof/>
        </w:rPr>
        <w:t xml:space="preserve"> 2021;42(36):3599–3726.</w:t>
      </w:r>
    </w:p>
    <w:p w14:paraId="4A0EECF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 </w:t>
      </w:r>
      <w:r w:rsidRPr="004661E9">
        <w:rPr>
          <w:rFonts w:ascii="Arial" w:hAnsi="Arial" w:cs="Arial"/>
          <w:noProof/>
        </w:rPr>
        <w:tab/>
      </w:r>
      <w:r w:rsidRPr="004661E9">
        <w:rPr>
          <w:rFonts w:ascii="Arial" w:hAnsi="Arial" w:cs="Arial"/>
          <w:bCs/>
          <w:noProof/>
        </w:rPr>
        <w:t>Targher G, Dauriz M, Laroche C, Temporelli PL, Hassanein M, Seferovic PM, Drozdz J, Ferrari R, Anker S, Coats A, Filippatos G, Crespo-Leiro MG, Mebazaa A, Piepoli MF, Maggioni A Pietro, Tavazzi L.</w:t>
      </w:r>
      <w:r w:rsidRPr="004661E9">
        <w:rPr>
          <w:rFonts w:ascii="Arial" w:hAnsi="Arial" w:cs="Arial"/>
          <w:noProof/>
        </w:rPr>
        <w:t xml:space="preserve"> In-hospital and 1-year mortality associated with diabetes in patients with acute heart failure: results from the ESC-HFA Heart Failure Long-Term Registry. </w:t>
      </w:r>
      <w:r w:rsidRPr="004661E9">
        <w:rPr>
          <w:rFonts w:ascii="Arial" w:hAnsi="Arial" w:cs="Arial"/>
          <w:iCs/>
          <w:noProof/>
        </w:rPr>
        <w:t>Eur. J. Heart Fail.</w:t>
      </w:r>
      <w:r w:rsidRPr="004661E9">
        <w:rPr>
          <w:rFonts w:ascii="Arial" w:hAnsi="Arial" w:cs="Arial"/>
          <w:noProof/>
        </w:rPr>
        <w:t xml:space="preserve"> 2017;19(1):54–65.</w:t>
      </w:r>
    </w:p>
    <w:p w14:paraId="39A50FB4"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 </w:t>
      </w:r>
      <w:r w:rsidRPr="004661E9">
        <w:rPr>
          <w:rFonts w:ascii="Arial" w:hAnsi="Arial" w:cs="Arial"/>
          <w:noProof/>
        </w:rPr>
        <w:tab/>
      </w:r>
      <w:r w:rsidRPr="004661E9">
        <w:rPr>
          <w:rFonts w:ascii="Arial" w:hAnsi="Arial" w:cs="Arial"/>
          <w:bCs/>
          <w:noProof/>
        </w:rPr>
        <w:t>Demant MN, Gislason GH, Køber L, Vaag A, Torp-Pedersen C, Andersson C.</w:t>
      </w:r>
      <w:r w:rsidRPr="004661E9">
        <w:rPr>
          <w:rFonts w:ascii="Arial" w:hAnsi="Arial" w:cs="Arial"/>
          <w:noProof/>
        </w:rPr>
        <w:t xml:space="preserve"> Association of heart failure severity with risk of diabetes: A Danish nationwide cohort study. </w:t>
      </w:r>
      <w:r w:rsidRPr="004661E9">
        <w:rPr>
          <w:rFonts w:ascii="Arial" w:hAnsi="Arial" w:cs="Arial"/>
          <w:iCs/>
          <w:noProof/>
        </w:rPr>
        <w:t>Diabetologia</w:t>
      </w:r>
      <w:r w:rsidRPr="004661E9">
        <w:rPr>
          <w:rFonts w:ascii="Arial" w:hAnsi="Arial" w:cs="Arial"/>
          <w:noProof/>
        </w:rPr>
        <w:t xml:space="preserve"> 2014;57(8):1595–1600.</w:t>
      </w:r>
    </w:p>
    <w:p w14:paraId="0C5835A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 </w:t>
      </w:r>
      <w:r w:rsidRPr="004661E9">
        <w:rPr>
          <w:rFonts w:ascii="Arial" w:hAnsi="Arial" w:cs="Arial"/>
          <w:noProof/>
        </w:rPr>
        <w:tab/>
      </w:r>
      <w:r w:rsidRPr="004661E9">
        <w:rPr>
          <w:rFonts w:ascii="Arial" w:hAnsi="Arial" w:cs="Arial"/>
          <w:bCs/>
          <w:noProof/>
        </w:rPr>
        <w:t>Pavlović A, Polovina M, Ristić A, Seferović JP, Veljić I, Simeunović D, Milinković I, Krljanac G, Ašanin M, Oštrić-Pavlović I, Seferović PM.</w:t>
      </w:r>
      <w:r w:rsidRPr="004661E9">
        <w:rPr>
          <w:rFonts w:ascii="Arial" w:hAnsi="Arial" w:cs="Arial"/>
          <w:noProof/>
        </w:rPr>
        <w:t xml:space="preserve"> Long-term mortality is increased in patients with undetected prediabetes and type-2 diabetes hospitalized for worsening heart </w:t>
      </w:r>
      <w:r w:rsidRPr="004661E9">
        <w:rPr>
          <w:rFonts w:ascii="Arial" w:hAnsi="Arial" w:cs="Arial"/>
          <w:noProof/>
        </w:rPr>
        <w:lastRenderedPageBreak/>
        <w:t xml:space="preserve">failure and reduced ejection fraction. </w:t>
      </w:r>
      <w:r w:rsidRPr="004661E9">
        <w:rPr>
          <w:rFonts w:ascii="Arial" w:hAnsi="Arial" w:cs="Arial"/>
          <w:iCs/>
          <w:noProof/>
        </w:rPr>
        <w:t>Eur. J. Prev. Cardiol.</w:t>
      </w:r>
      <w:r w:rsidRPr="004661E9">
        <w:rPr>
          <w:rFonts w:ascii="Arial" w:hAnsi="Arial" w:cs="Arial"/>
          <w:noProof/>
        </w:rPr>
        <w:t xml:space="preserve"> 2019;26(1):72–82.</w:t>
      </w:r>
    </w:p>
    <w:p w14:paraId="2F0FD3B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 </w:t>
      </w:r>
      <w:r w:rsidRPr="004661E9">
        <w:rPr>
          <w:rFonts w:ascii="Arial" w:hAnsi="Arial" w:cs="Arial"/>
          <w:noProof/>
        </w:rPr>
        <w:tab/>
      </w:r>
      <w:r w:rsidRPr="004661E9">
        <w:rPr>
          <w:rFonts w:ascii="Arial" w:hAnsi="Arial" w:cs="Arial"/>
          <w:bCs/>
          <w:noProof/>
        </w:rPr>
        <w:t>Wilcox T, De Block C, Schwartzbard AZ, Newman JD.</w:t>
      </w:r>
      <w:r w:rsidRPr="004661E9">
        <w:rPr>
          <w:rFonts w:ascii="Arial" w:hAnsi="Arial" w:cs="Arial"/>
          <w:noProof/>
        </w:rPr>
        <w:t xml:space="preserve"> Diabetic Agents, From Metformin to SGLT2 Inhibitors and GLP1 Receptor Agonists: JACC Focus Seminar. </w:t>
      </w:r>
      <w:r w:rsidRPr="004661E9">
        <w:rPr>
          <w:rFonts w:ascii="Arial" w:hAnsi="Arial" w:cs="Arial"/>
          <w:iCs/>
          <w:noProof/>
        </w:rPr>
        <w:t>J. Am. Coll. Cardiol.</w:t>
      </w:r>
      <w:r w:rsidRPr="004661E9">
        <w:rPr>
          <w:rFonts w:ascii="Arial" w:hAnsi="Arial" w:cs="Arial"/>
          <w:noProof/>
        </w:rPr>
        <w:t xml:space="preserve"> 2020;75(16):1956–1974.</w:t>
      </w:r>
    </w:p>
    <w:p w14:paraId="0D38D65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23. </w:t>
      </w:r>
      <w:r w:rsidRPr="004661E9">
        <w:rPr>
          <w:rFonts w:ascii="Arial" w:hAnsi="Arial" w:cs="Arial"/>
          <w:noProof/>
        </w:rPr>
        <w:tab/>
      </w:r>
      <w:r w:rsidRPr="004661E9">
        <w:rPr>
          <w:rFonts w:ascii="Arial" w:hAnsi="Arial" w:cs="Arial"/>
          <w:bCs/>
          <w:noProof/>
        </w:rPr>
        <w:t>Elsayed NA, Aleppo G, Aroda VR, Bannuru RR, Brown FM, Bruemmer D, Collins BS, Hilliard ME, Isaacs D, Johnson EL, Kahan S, Khunti K, Leon J, Lyons SK, Perry M Lou, Prahalad P, Pratley RE, Seley JJ, Stanton RC, Gabbay RA.</w:t>
      </w:r>
      <w:r w:rsidRPr="004661E9">
        <w:rPr>
          <w:rFonts w:ascii="Arial" w:hAnsi="Arial" w:cs="Arial"/>
          <w:noProof/>
        </w:rPr>
        <w:t xml:space="preserve"> 9. Pharmacologic Approaches to Glycemic Treatment: Standards of Care in Diabetes—2023. </w:t>
      </w:r>
      <w:r w:rsidRPr="004661E9">
        <w:rPr>
          <w:rFonts w:ascii="Arial" w:hAnsi="Arial" w:cs="Arial"/>
          <w:iCs/>
          <w:noProof/>
        </w:rPr>
        <w:t>Diabetes Care</w:t>
      </w:r>
      <w:r w:rsidRPr="004661E9">
        <w:rPr>
          <w:rFonts w:ascii="Arial" w:hAnsi="Arial" w:cs="Arial"/>
          <w:noProof/>
        </w:rPr>
        <w:t xml:space="preserve"> 2023;46(supp):S140–S157.</w:t>
      </w:r>
    </w:p>
    <w:p w14:paraId="588475F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24. </w:t>
      </w:r>
      <w:r w:rsidRPr="004661E9">
        <w:rPr>
          <w:rFonts w:ascii="Arial" w:hAnsi="Arial" w:cs="Arial"/>
          <w:noProof/>
        </w:rPr>
        <w:tab/>
      </w:r>
      <w:r w:rsidRPr="004661E9">
        <w:rPr>
          <w:rFonts w:ascii="Arial" w:hAnsi="Arial" w:cs="Arial"/>
          <w:bCs/>
          <w:noProof/>
        </w:rPr>
        <w:t>Marsico F, Gargiulo P, Marra AM, Parente A, Paolillo S.</w:t>
      </w:r>
      <w:r w:rsidRPr="004661E9">
        <w:rPr>
          <w:rFonts w:ascii="Arial" w:hAnsi="Arial" w:cs="Arial"/>
          <w:noProof/>
        </w:rPr>
        <w:t xml:space="preserve"> Glucose Metabolism Abnormalities in Heart Failure Patients: Insights and Prognostic Relevance. </w:t>
      </w:r>
      <w:r w:rsidRPr="004661E9">
        <w:rPr>
          <w:rFonts w:ascii="Arial" w:hAnsi="Arial" w:cs="Arial"/>
          <w:iCs/>
          <w:noProof/>
        </w:rPr>
        <w:t>Heart Fail. Clin.</w:t>
      </w:r>
      <w:r w:rsidRPr="004661E9">
        <w:rPr>
          <w:rFonts w:ascii="Arial" w:hAnsi="Arial" w:cs="Arial"/>
          <w:noProof/>
        </w:rPr>
        <w:t xml:space="preserve"> 2019;15(3):333–340.</w:t>
      </w:r>
    </w:p>
    <w:p w14:paraId="6CAD755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25. </w:t>
      </w:r>
      <w:r w:rsidRPr="004661E9">
        <w:rPr>
          <w:rFonts w:ascii="Arial" w:hAnsi="Arial" w:cs="Arial"/>
          <w:noProof/>
        </w:rPr>
        <w:tab/>
      </w:r>
      <w:r w:rsidRPr="004661E9">
        <w:rPr>
          <w:rFonts w:ascii="Arial" w:hAnsi="Arial" w:cs="Arial"/>
          <w:bCs/>
          <w:noProof/>
        </w:rPr>
        <w:t>Braunwald E.</w:t>
      </w:r>
      <w:r w:rsidRPr="004661E9">
        <w:rPr>
          <w:rFonts w:ascii="Arial" w:hAnsi="Arial" w:cs="Arial"/>
          <w:noProof/>
        </w:rPr>
        <w:t xml:space="preserve"> Diabetes, heart failure, and renal dysfunction: The vicious circles. </w:t>
      </w:r>
      <w:r w:rsidRPr="004661E9">
        <w:rPr>
          <w:rFonts w:ascii="Arial" w:hAnsi="Arial" w:cs="Arial"/>
          <w:iCs/>
          <w:noProof/>
        </w:rPr>
        <w:t>Prog. Cardiovasc. Dis.</w:t>
      </w:r>
      <w:r w:rsidRPr="004661E9">
        <w:rPr>
          <w:rFonts w:ascii="Arial" w:hAnsi="Arial" w:cs="Arial"/>
          <w:noProof/>
        </w:rPr>
        <w:t xml:space="preserve"> 2019;62(4):298–302.</w:t>
      </w:r>
    </w:p>
    <w:p w14:paraId="557A8B4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26. </w:t>
      </w:r>
      <w:r w:rsidRPr="004661E9">
        <w:rPr>
          <w:rFonts w:ascii="Arial" w:hAnsi="Arial" w:cs="Arial"/>
          <w:noProof/>
        </w:rPr>
        <w:tab/>
      </w:r>
      <w:r w:rsidRPr="004661E9">
        <w:rPr>
          <w:rFonts w:ascii="Arial" w:hAnsi="Arial" w:cs="Arial"/>
          <w:bCs/>
          <w:noProof/>
        </w:rPr>
        <w:t>Rosengren A, Vestberg D, Svensson AM, Kosiborod M, Clements M, Rawshani A, Pivodic A, Gudbjörnsdottir S, Lind M.</w:t>
      </w:r>
      <w:r w:rsidRPr="004661E9">
        <w:rPr>
          <w:rFonts w:ascii="Arial" w:hAnsi="Arial" w:cs="Arial"/>
          <w:noProof/>
        </w:rPr>
        <w:t xml:space="preserve"> Long-term excess risk of heart failure in people with type 1 diabetes: A prospective case-control study. </w:t>
      </w:r>
      <w:r w:rsidRPr="004661E9">
        <w:rPr>
          <w:rFonts w:ascii="Arial" w:hAnsi="Arial" w:cs="Arial"/>
          <w:iCs/>
          <w:noProof/>
        </w:rPr>
        <w:t>Lancet Diabetes Endocrinol.</w:t>
      </w:r>
      <w:r w:rsidRPr="004661E9">
        <w:rPr>
          <w:rFonts w:ascii="Arial" w:hAnsi="Arial" w:cs="Arial"/>
          <w:noProof/>
        </w:rPr>
        <w:t xml:space="preserve"> 2015;3(11):876–885.</w:t>
      </w:r>
    </w:p>
    <w:p w14:paraId="593EF1F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27. </w:t>
      </w:r>
      <w:r w:rsidRPr="004661E9">
        <w:rPr>
          <w:rFonts w:ascii="Arial" w:hAnsi="Arial" w:cs="Arial"/>
          <w:noProof/>
        </w:rPr>
        <w:tab/>
      </w:r>
      <w:r w:rsidRPr="004661E9">
        <w:rPr>
          <w:rFonts w:ascii="Arial" w:hAnsi="Arial" w:cs="Arial"/>
          <w:bCs/>
          <w:noProof/>
        </w:rPr>
        <w:t>Rosengren A, Edqvist J, Rawshani A, Sattar N, Franzén S, Adiels M, Svensson AM, Lind M, Gudbjörnsdottir S.</w:t>
      </w:r>
      <w:r w:rsidRPr="004661E9">
        <w:rPr>
          <w:rFonts w:ascii="Arial" w:hAnsi="Arial" w:cs="Arial"/>
          <w:noProof/>
        </w:rPr>
        <w:t xml:space="preserve"> Excess risk of hospitalisation for heart failure among people with type 2 diabetes. </w:t>
      </w:r>
      <w:r w:rsidRPr="004661E9">
        <w:rPr>
          <w:rFonts w:ascii="Arial" w:hAnsi="Arial" w:cs="Arial"/>
          <w:iCs/>
          <w:noProof/>
        </w:rPr>
        <w:t>Diabetologia</w:t>
      </w:r>
      <w:r w:rsidRPr="004661E9">
        <w:rPr>
          <w:rFonts w:ascii="Arial" w:hAnsi="Arial" w:cs="Arial"/>
          <w:noProof/>
        </w:rPr>
        <w:t xml:space="preserve"> 2018;61(11):2300–2309.</w:t>
      </w:r>
    </w:p>
    <w:p w14:paraId="5ED4BD1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28. </w:t>
      </w:r>
      <w:r w:rsidRPr="004661E9">
        <w:rPr>
          <w:rFonts w:ascii="Arial" w:hAnsi="Arial" w:cs="Arial"/>
          <w:noProof/>
        </w:rPr>
        <w:tab/>
      </w:r>
      <w:r w:rsidRPr="004661E9">
        <w:rPr>
          <w:rFonts w:ascii="Arial" w:hAnsi="Arial" w:cs="Arial"/>
          <w:bCs/>
          <w:noProof/>
        </w:rPr>
        <w:t>Tenenbaum A, Motro M, Fisman EZ, Leor J, Freimark D, Boyko V, Mandelzweig L, Adler Y, Sherer Y, Behar S.</w:t>
      </w:r>
      <w:r w:rsidRPr="004661E9">
        <w:rPr>
          <w:rFonts w:ascii="Arial" w:hAnsi="Arial" w:cs="Arial"/>
          <w:noProof/>
        </w:rPr>
        <w:t xml:space="preserve"> Functional class in patients with heart failure is associated with the development of diabetes. </w:t>
      </w:r>
      <w:r w:rsidRPr="004661E9">
        <w:rPr>
          <w:rFonts w:ascii="Arial" w:hAnsi="Arial" w:cs="Arial"/>
          <w:iCs/>
          <w:noProof/>
        </w:rPr>
        <w:t>Am. J. Med.</w:t>
      </w:r>
      <w:r w:rsidRPr="004661E9">
        <w:rPr>
          <w:rFonts w:ascii="Arial" w:hAnsi="Arial" w:cs="Arial"/>
          <w:noProof/>
        </w:rPr>
        <w:t xml:space="preserve"> 2003;114(4):271–275.</w:t>
      </w:r>
    </w:p>
    <w:p w14:paraId="2267C01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29. </w:t>
      </w:r>
      <w:r w:rsidRPr="004661E9">
        <w:rPr>
          <w:rFonts w:ascii="Arial" w:hAnsi="Arial" w:cs="Arial"/>
          <w:noProof/>
        </w:rPr>
        <w:tab/>
      </w:r>
      <w:r w:rsidRPr="004661E9">
        <w:rPr>
          <w:rFonts w:ascii="Arial" w:hAnsi="Arial" w:cs="Arial"/>
          <w:bCs/>
          <w:noProof/>
        </w:rPr>
        <w:t>Tsao CW, Aday AW, Almarzooq ZI, Anderson CAM, Arora P, Avery CL, Baker-Smith CM, Beaton AZ, Boehme AK, Buxton AE, Commodore-Mensah Y, Elkind MSV, Evenson KR, Eze-Nliam C, Fugar S, Generoso G, Heard DG, Hiremath S, Ho JE, Kalani R, Kazi DS, Ko D, Levine DA, Liu J, Ma J, Magnani JW, Michos ED, Mussolino ME, Navaneethan SD, Parikh NI, Poudel R, Rezk-Hanna M, Roth GA, Shah NS, St-Onge MP, Thacker EL, Virani SS, Voeks JH, Wang NY, Wong ND, Wong SS, Yaffe K, Martin SS.</w:t>
      </w:r>
      <w:r w:rsidRPr="004661E9">
        <w:rPr>
          <w:rFonts w:ascii="Arial" w:hAnsi="Arial" w:cs="Arial"/>
          <w:noProof/>
        </w:rPr>
        <w:t xml:space="preserve"> Heart Disease and Stroke Statistics - 2023 Update: A Report from the American Heart Association. </w:t>
      </w:r>
      <w:r w:rsidRPr="004661E9">
        <w:rPr>
          <w:rFonts w:ascii="Arial" w:hAnsi="Arial" w:cs="Arial"/>
          <w:iCs/>
          <w:noProof/>
        </w:rPr>
        <w:t>Circulation</w:t>
      </w:r>
      <w:r w:rsidRPr="004661E9">
        <w:rPr>
          <w:rFonts w:ascii="Arial" w:hAnsi="Arial" w:cs="Arial"/>
          <w:noProof/>
        </w:rPr>
        <w:t xml:space="preserve"> 2023;147(8):E93–E621.</w:t>
      </w:r>
    </w:p>
    <w:p w14:paraId="014172A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30. </w:t>
      </w:r>
      <w:r w:rsidRPr="004661E9">
        <w:rPr>
          <w:rFonts w:ascii="Arial" w:hAnsi="Arial" w:cs="Arial"/>
          <w:noProof/>
        </w:rPr>
        <w:tab/>
      </w:r>
      <w:r w:rsidRPr="004661E9">
        <w:rPr>
          <w:rFonts w:ascii="Arial" w:hAnsi="Arial" w:cs="Arial"/>
          <w:bCs/>
          <w:noProof/>
        </w:rPr>
        <w:t>Solomon SD, McMurray JJV, Anand IS, Ge J, Lam CSP, Maggioni AP, Martinez F, Packer M, Pfeffer MA, Pieske B, Redfield MM, Rouleau JL, van Veldhuisen DJ, Zannad F, Zile MR, Desai AS, Claggett B, Jhund PS, Boytsov SA, Comin-Colet J, Cleland J, Düngen H-D, Goncalvesova E, Katova T, Kerr Saraiva JF, Lelonek M, Merkely B, Senni M, Shah SJ, Zhou J, Rizkala AR, Gong J, Shi VC, Lefkowitz MP.</w:t>
      </w:r>
      <w:r w:rsidRPr="004661E9">
        <w:rPr>
          <w:rFonts w:ascii="Arial" w:hAnsi="Arial" w:cs="Arial"/>
          <w:noProof/>
        </w:rPr>
        <w:t xml:space="preserve"> Angiotensin–Neprilysin Inhibition in Heart Failure with Preserved Ejection Fraction. </w:t>
      </w:r>
      <w:r w:rsidRPr="004661E9">
        <w:rPr>
          <w:rFonts w:ascii="Arial" w:hAnsi="Arial" w:cs="Arial"/>
          <w:iCs/>
          <w:noProof/>
        </w:rPr>
        <w:t>N. Engl. J. Med.</w:t>
      </w:r>
      <w:r w:rsidRPr="004661E9">
        <w:rPr>
          <w:rFonts w:ascii="Arial" w:hAnsi="Arial" w:cs="Arial"/>
          <w:noProof/>
        </w:rPr>
        <w:t xml:space="preserve"> 2019;381(17):1609–1620.</w:t>
      </w:r>
    </w:p>
    <w:p w14:paraId="46D71B0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31. </w:t>
      </w:r>
      <w:r w:rsidRPr="004661E9">
        <w:rPr>
          <w:rFonts w:ascii="Arial" w:hAnsi="Arial" w:cs="Arial"/>
          <w:noProof/>
        </w:rPr>
        <w:tab/>
      </w:r>
      <w:r w:rsidRPr="004661E9">
        <w:rPr>
          <w:rFonts w:ascii="Arial" w:hAnsi="Arial" w:cs="Arial"/>
          <w:bCs/>
          <w:noProof/>
        </w:rPr>
        <w:t>Pitt B, Pfeffer MA, Assmann SF, Boineau R, Anand IS, Claggett B, Clausell N, Desai AS, Diaz R, Fleg JL, Gordeev I, Harty B, Heitner JF, Kenwood CT, Lewis EF, O’Meara E, Probstfield JL, Shaburishvili T, Shah SJ, Solomon SD, Sweitzer NK, Yang S, McKinlay SM.</w:t>
      </w:r>
      <w:r w:rsidRPr="004661E9">
        <w:rPr>
          <w:rFonts w:ascii="Arial" w:hAnsi="Arial" w:cs="Arial"/>
          <w:noProof/>
        </w:rPr>
        <w:t xml:space="preserve"> Spironolactone for Heart Failure with Preserved Ejection Fraction. </w:t>
      </w:r>
      <w:r w:rsidRPr="004661E9">
        <w:rPr>
          <w:rFonts w:ascii="Arial" w:hAnsi="Arial" w:cs="Arial"/>
          <w:iCs/>
          <w:noProof/>
        </w:rPr>
        <w:t>N. Engl. J. Med.</w:t>
      </w:r>
      <w:r w:rsidRPr="004661E9">
        <w:rPr>
          <w:rFonts w:ascii="Arial" w:hAnsi="Arial" w:cs="Arial"/>
          <w:noProof/>
        </w:rPr>
        <w:t xml:space="preserve"> 2014;370(15):1383–1392.</w:t>
      </w:r>
    </w:p>
    <w:p w14:paraId="45357AA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32. </w:t>
      </w:r>
      <w:r w:rsidRPr="004661E9">
        <w:rPr>
          <w:rFonts w:ascii="Arial" w:hAnsi="Arial" w:cs="Arial"/>
          <w:noProof/>
        </w:rPr>
        <w:tab/>
      </w:r>
      <w:r w:rsidRPr="004661E9">
        <w:rPr>
          <w:rFonts w:ascii="Arial" w:hAnsi="Arial" w:cs="Arial"/>
          <w:bCs/>
          <w:noProof/>
        </w:rPr>
        <w:t xml:space="preserve">Ishikawa Y, Lewis RD, Laing EM, Anderson AK, Zhang D, Quyyumi AA, Dunbar SB, </w:t>
      </w:r>
      <w:r w:rsidRPr="004661E9">
        <w:rPr>
          <w:rFonts w:ascii="Arial" w:hAnsi="Arial" w:cs="Arial"/>
          <w:bCs/>
          <w:noProof/>
        </w:rPr>
        <w:lastRenderedPageBreak/>
        <w:t>Trivedi-Kapoor R, Sattler ELP.</w:t>
      </w:r>
      <w:r w:rsidRPr="004661E9">
        <w:rPr>
          <w:rFonts w:ascii="Arial" w:hAnsi="Arial" w:cs="Arial"/>
          <w:noProof/>
        </w:rPr>
        <w:t xml:space="preserve"> Prevalence and trends of type 2 diabetes mellitus and prediabetes among community-dwelling heart failure patients in the United States. </w:t>
      </w:r>
      <w:r w:rsidRPr="004661E9">
        <w:rPr>
          <w:rFonts w:ascii="Arial" w:hAnsi="Arial" w:cs="Arial"/>
          <w:iCs/>
          <w:noProof/>
        </w:rPr>
        <w:t>Diabetes Res. Clin. Pract.</w:t>
      </w:r>
      <w:r w:rsidRPr="004661E9">
        <w:rPr>
          <w:rFonts w:ascii="Arial" w:hAnsi="Arial" w:cs="Arial"/>
          <w:noProof/>
        </w:rPr>
        <w:t xml:space="preserve"> 2022;184. doi:10.1016/J.DIABRES.2022.109191.</w:t>
      </w:r>
    </w:p>
    <w:p w14:paraId="2FAFD93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33. </w:t>
      </w:r>
      <w:r w:rsidRPr="004661E9">
        <w:rPr>
          <w:rFonts w:ascii="Arial" w:hAnsi="Arial" w:cs="Arial"/>
          <w:noProof/>
        </w:rPr>
        <w:tab/>
      </w:r>
      <w:r w:rsidRPr="004661E9">
        <w:rPr>
          <w:rFonts w:ascii="Arial" w:hAnsi="Arial" w:cs="Arial"/>
          <w:bCs/>
          <w:noProof/>
        </w:rPr>
        <w:t>Kristensen SL, Preiss D, Jhund PS, Squire I, Cardoso JS, Merkely B, Martinez F, Starling RC, Desai AS, Lefkowitz MP, Rizkala AR, Rouleau JL, Shi VC, Solomon SD, Swedberg K, Zile MR, McMurray JJV, Packer M.</w:t>
      </w:r>
      <w:r w:rsidRPr="004661E9">
        <w:rPr>
          <w:rFonts w:ascii="Arial" w:hAnsi="Arial" w:cs="Arial"/>
          <w:noProof/>
        </w:rPr>
        <w:t xml:space="preserve"> Risk Related to Pre-Diabetes Mellitus and Diabetes Mellitus in Heart Failure with Reduced Ejection Fraction: Insights from Prospective Comparison of ARNI with ACEI to Determine Impact on Global Mortality and Morbidity in Heart Failure Trial. </w:t>
      </w:r>
      <w:r w:rsidRPr="004661E9">
        <w:rPr>
          <w:rFonts w:ascii="Arial" w:hAnsi="Arial" w:cs="Arial"/>
          <w:iCs/>
          <w:noProof/>
        </w:rPr>
        <w:t>Circ. Hear. Fail.</w:t>
      </w:r>
      <w:r w:rsidRPr="004661E9">
        <w:rPr>
          <w:rFonts w:ascii="Arial" w:hAnsi="Arial" w:cs="Arial"/>
          <w:noProof/>
        </w:rPr>
        <w:t xml:space="preserve"> 2016;9(1):1–12.</w:t>
      </w:r>
    </w:p>
    <w:p w14:paraId="082D372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34. </w:t>
      </w:r>
      <w:r w:rsidRPr="004661E9">
        <w:rPr>
          <w:rFonts w:ascii="Arial" w:hAnsi="Arial" w:cs="Arial"/>
          <w:noProof/>
        </w:rPr>
        <w:tab/>
      </w:r>
      <w:r w:rsidRPr="004661E9">
        <w:rPr>
          <w:rFonts w:ascii="Arial" w:hAnsi="Arial" w:cs="Arial"/>
          <w:bCs/>
          <w:noProof/>
        </w:rPr>
        <w:t>Oktay AA, Akturk HK, Esenboğa K, Javed F, Polin NM, Jahangir E.</w:t>
      </w:r>
      <w:r w:rsidRPr="004661E9">
        <w:rPr>
          <w:rFonts w:ascii="Arial" w:hAnsi="Arial" w:cs="Arial"/>
          <w:noProof/>
        </w:rPr>
        <w:t xml:space="preserve"> Pathophysiology and Prevention of Heart Disease in Diabetes Mellitus. </w:t>
      </w:r>
      <w:r w:rsidRPr="004661E9">
        <w:rPr>
          <w:rFonts w:ascii="Arial" w:hAnsi="Arial" w:cs="Arial"/>
          <w:iCs/>
          <w:noProof/>
        </w:rPr>
        <w:t>Curr. Probl. Cardiol.</w:t>
      </w:r>
      <w:r w:rsidRPr="004661E9">
        <w:rPr>
          <w:rFonts w:ascii="Arial" w:hAnsi="Arial" w:cs="Arial"/>
          <w:noProof/>
        </w:rPr>
        <w:t xml:space="preserve"> 2018;43(3):68–110.</w:t>
      </w:r>
    </w:p>
    <w:p w14:paraId="49A985A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35. </w:t>
      </w:r>
      <w:r w:rsidRPr="004661E9">
        <w:rPr>
          <w:rFonts w:ascii="Arial" w:hAnsi="Arial" w:cs="Arial"/>
          <w:noProof/>
        </w:rPr>
        <w:tab/>
      </w:r>
      <w:r w:rsidRPr="004661E9">
        <w:rPr>
          <w:rFonts w:ascii="Arial" w:hAnsi="Arial" w:cs="Arial"/>
          <w:bCs/>
          <w:noProof/>
        </w:rPr>
        <w:t>Bensimhon HF, Cavender MA.</w:t>
      </w:r>
      <w:r w:rsidRPr="004661E9">
        <w:rPr>
          <w:rFonts w:ascii="Arial" w:hAnsi="Arial" w:cs="Arial"/>
          <w:noProof/>
        </w:rPr>
        <w:t xml:space="preserve"> Hypertension Treatment in Diabetes: Focus on Heart Failure Prevention. </w:t>
      </w:r>
      <w:r w:rsidRPr="004661E9">
        <w:rPr>
          <w:rFonts w:ascii="Arial" w:hAnsi="Arial" w:cs="Arial"/>
          <w:iCs/>
          <w:noProof/>
        </w:rPr>
        <w:t>Heart Fail. Clin.</w:t>
      </w:r>
      <w:r w:rsidRPr="004661E9">
        <w:rPr>
          <w:rFonts w:ascii="Arial" w:hAnsi="Arial" w:cs="Arial"/>
          <w:noProof/>
        </w:rPr>
        <w:t xml:space="preserve"> 2019;15(4):551–563.</w:t>
      </w:r>
    </w:p>
    <w:p w14:paraId="0779DB4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36. </w:t>
      </w:r>
      <w:r w:rsidRPr="004661E9">
        <w:rPr>
          <w:rFonts w:ascii="Arial" w:hAnsi="Arial" w:cs="Arial"/>
          <w:noProof/>
        </w:rPr>
        <w:tab/>
      </w:r>
      <w:r w:rsidRPr="004661E9">
        <w:rPr>
          <w:rFonts w:ascii="Arial" w:hAnsi="Arial" w:cs="Arial"/>
          <w:bCs/>
          <w:noProof/>
        </w:rPr>
        <w:t>Albakri A.</w:t>
      </w:r>
      <w:r w:rsidRPr="004661E9">
        <w:rPr>
          <w:rFonts w:ascii="Arial" w:hAnsi="Arial" w:cs="Arial"/>
          <w:noProof/>
        </w:rPr>
        <w:t xml:space="preserve"> Diabetic cardiomyopathy: a review of literature on clinical status and meta-analysis of tissue doppler diagnostic method and the clinical value of intensive glycemic control. </w:t>
      </w:r>
      <w:r w:rsidRPr="004661E9">
        <w:rPr>
          <w:rFonts w:ascii="Arial" w:hAnsi="Arial" w:cs="Arial"/>
          <w:iCs/>
          <w:noProof/>
        </w:rPr>
        <w:t>Med. Clin. Arch.</w:t>
      </w:r>
      <w:r w:rsidRPr="004661E9">
        <w:rPr>
          <w:rFonts w:ascii="Arial" w:hAnsi="Arial" w:cs="Arial"/>
          <w:noProof/>
        </w:rPr>
        <w:t xml:space="preserve"> 2018;2(4):1–12.</w:t>
      </w:r>
    </w:p>
    <w:p w14:paraId="68DEB4D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37. </w:t>
      </w:r>
      <w:r w:rsidRPr="004661E9">
        <w:rPr>
          <w:rFonts w:ascii="Arial" w:hAnsi="Arial" w:cs="Arial"/>
          <w:noProof/>
        </w:rPr>
        <w:tab/>
      </w:r>
      <w:r w:rsidRPr="004661E9">
        <w:rPr>
          <w:rFonts w:ascii="Arial" w:hAnsi="Arial" w:cs="Arial"/>
          <w:bCs/>
          <w:noProof/>
        </w:rPr>
        <w:t>Lundbæk K.</w:t>
      </w:r>
      <w:r w:rsidRPr="004661E9">
        <w:rPr>
          <w:rFonts w:ascii="Arial" w:hAnsi="Arial" w:cs="Arial"/>
          <w:noProof/>
        </w:rPr>
        <w:t xml:space="preserve"> DIABETIC ANGIOPATHY. A SPECIFIC VASCULAR DISEASE. </w:t>
      </w:r>
      <w:r w:rsidRPr="004661E9">
        <w:rPr>
          <w:rFonts w:ascii="Arial" w:hAnsi="Arial" w:cs="Arial"/>
          <w:iCs/>
          <w:noProof/>
        </w:rPr>
        <w:t>Lancet</w:t>
      </w:r>
      <w:r w:rsidRPr="004661E9">
        <w:rPr>
          <w:rFonts w:ascii="Arial" w:hAnsi="Arial" w:cs="Arial"/>
          <w:noProof/>
        </w:rPr>
        <w:t xml:space="preserve"> 1954;263(6808):377–379.</w:t>
      </w:r>
    </w:p>
    <w:p w14:paraId="42CCB23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38. </w:t>
      </w:r>
      <w:r w:rsidRPr="004661E9">
        <w:rPr>
          <w:rFonts w:ascii="Arial" w:hAnsi="Arial" w:cs="Arial"/>
          <w:noProof/>
        </w:rPr>
        <w:tab/>
      </w:r>
      <w:r w:rsidRPr="004661E9">
        <w:rPr>
          <w:rFonts w:ascii="Arial" w:hAnsi="Arial" w:cs="Arial"/>
          <w:bCs/>
          <w:noProof/>
        </w:rPr>
        <w:t>Seferović PM, Paulus WJ.</w:t>
      </w:r>
      <w:r w:rsidRPr="004661E9">
        <w:rPr>
          <w:rFonts w:ascii="Arial" w:hAnsi="Arial" w:cs="Arial"/>
          <w:noProof/>
        </w:rPr>
        <w:t xml:space="preserve"> Clinical diabetic cardiomyopathy: A two-faced disease with restrictive and dilated phenotypes. </w:t>
      </w:r>
      <w:r w:rsidRPr="004661E9">
        <w:rPr>
          <w:rFonts w:ascii="Arial" w:hAnsi="Arial" w:cs="Arial"/>
          <w:iCs/>
          <w:noProof/>
        </w:rPr>
        <w:t>Eur. Heart J.</w:t>
      </w:r>
      <w:r w:rsidRPr="004661E9">
        <w:rPr>
          <w:rFonts w:ascii="Arial" w:hAnsi="Arial" w:cs="Arial"/>
          <w:noProof/>
        </w:rPr>
        <w:t xml:space="preserve"> 2015;36(27):1718–1727.</w:t>
      </w:r>
    </w:p>
    <w:p w14:paraId="41DCAE9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39. </w:t>
      </w:r>
      <w:r w:rsidRPr="004661E9">
        <w:rPr>
          <w:rFonts w:ascii="Arial" w:hAnsi="Arial" w:cs="Arial"/>
          <w:noProof/>
        </w:rPr>
        <w:tab/>
      </w:r>
      <w:r w:rsidRPr="004661E9">
        <w:rPr>
          <w:rFonts w:ascii="Arial" w:hAnsi="Arial" w:cs="Arial"/>
          <w:bCs/>
          <w:noProof/>
        </w:rPr>
        <w:t>Kannel WB, McGee DL.</w:t>
      </w:r>
      <w:r w:rsidRPr="004661E9">
        <w:rPr>
          <w:rFonts w:ascii="Arial" w:hAnsi="Arial" w:cs="Arial"/>
          <w:noProof/>
        </w:rPr>
        <w:t xml:space="preserve"> Diabetes and Cardiovascular Disease: The Framingham Study. </w:t>
      </w:r>
      <w:r w:rsidRPr="004661E9">
        <w:rPr>
          <w:rFonts w:ascii="Arial" w:hAnsi="Arial" w:cs="Arial"/>
          <w:iCs/>
          <w:noProof/>
        </w:rPr>
        <w:t>JAMA</w:t>
      </w:r>
      <w:r w:rsidRPr="004661E9">
        <w:rPr>
          <w:rFonts w:ascii="Arial" w:hAnsi="Arial" w:cs="Arial"/>
          <w:noProof/>
        </w:rPr>
        <w:t xml:space="preserve"> 1979;241(19):2035–2038.</w:t>
      </w:r>
    </w:p>
    <w:p w14:paraId="4A2361F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40. </w:t>
      </w:r>
      <w:r w:rsidRPr="004661E9">
        <w:rPr>
          <w:rFonts w:ascii="Arial" w:hAnsi="Arial" w:cs="Arial"/>
          <w:noProof/>
        </w:rPr>
        <w:tab/>
      </w:r>
      <w:r w:rsidRPr="004661E9">
        <w:rPr>
          <w:rFonts w:ascii="Arial" w:hAnsi="Arial" w:cs="Arial"/>
          <w:bCs/>
          <w:noProof/>
        </w:rPr>
        <w:t>Uijl A, Koudstaal S, Direk K, Denaxas S, Groenwold RHH, Banerjee A, Hoes AW, Hemingway H, Asselbergs FW.</w:t>
      </w:r>
      <w:r w:rsidRPr="004661E9">
        <w:rPr>
          <w:rFonts w:ascii="Arial" w:hAnsi="Arial" w:cs="Arial"/>
          <w:noProof/>
        </w:rPr>
        <w:t xml:space="preserve"> Risk factors for incident heart failure in age- and sex-specific strata: a population-based cohort using linked electronic health records. </w:t>
      </w:r>
      <w:r w:rsidRPr="004661E9">
        <w:rPr>
          <w:rFonts w:ascii="Arial" w:hAnsi="Arial" w:cs="Arial"/>
          <w:iCs/>
          <w:noProof/>
        </w:rPr>
        <w:t>Eur. J. Heart Fail.</w:t>
      </w:r>
      <w:r w:rsidRPr="004661E9">
        <w:rPr>
          <w:rFonts w:ascii="Arial" w:hAnsi="Arial" w:cs="Arial"/>
          <w:noProof/>
        </w:rPr>
        <w:t xml:space="preserve"> 2019;21(10):1197–1206.</w:t>
      </w:r>
    </w:p>
    <w:p w14:paraId="4A727C5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41. </w:t>
      </w:r>
      <w:r w:rsidRPr="004661E9">
        <w:rPr>
          <w:rFonts w:ascii="Arial" w:hAnsi="Arial" w:cs="Arial"/>
          <w:noProof/>
        </w:rPr>
        <w:tab/>
      </w:r>
      <w:r w:rsidRPr="004661E9">
        <w:rPr>
          <w:rFonts w:ascii="Arial" w:hAnsi="Arial" w:cs="Arial"/>
          <w:bCs/>
          <w:noProof/>
        </w:rPr>
        <w:t>Sattar N, McMurray J, Borén J, Rawshani A, Omerovic E, Berg N, Halminen J, Skoglund K, Eliasson B, Gerstein HC, McGuire DK, Bhatt D, Rawshani A.</w:t>
      </w:r>
      <w:r w:rsidRPr="004661E9">
        <w:rPr>
          <w:rFonts w:ascii="Arial" w:hAnsi="Arial" w:cs="Arial"/>
          <w:noProof/>
        </w:rPr>
        <w:t xml:space="preserve"> Twenty Years of Cardiovascular Complications and Risk Factors in Patients With Type 2 Diabetes: A Nationwide Swedish Cohort Study. </w:t>
      </w:r>
      <w:r w:rsidRPr="004661E9">
        <w:rPr>
          <w:rFonts w:ascii="Arial" w:hAnsi="Arial" w:cs="Arial"/>
          <w:iCs/>
          <w:noProof/>
        </w:rPr>
        <w:t>Circulation</w:t>
      </w:r>
      <w:r w:rsidRPr="004661E9">
        <w:rPr>
          <w:rFonts w:ascii="Arial" w:hAnsi="Arial" w:cs="Arial"/>
          <w:noProof/>
        </w:rPr>
        <w:t xml:space="preserve"> 2023;147(25):1872–1886.</w:t>
      </w:r>
    </w:p>
    <w:p w14:paraId="25195BF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42. </w:t>
      </w:r>
      <w:r w:rsidRPr="004661E9">
        <w:rPr>
          <w:rFonts w:ascii="Arial" w:hAnsi="Arial" w:cs="Arial"/>
          <w:noProof/>
        </w:rPr>
        <w:tab/>
      </w:r>
      <w:r w:rsidRPr="004661E9">
        <w:rPr>
          <w:rFonts w:ascii="Arial" w:hAnsi="Arial" w:cs="Arial"/>
          <w:bCs/>
          <w:noProof/>
        </w:rPr>
        <w:t>Patel K V., Segar MW, Lavie CJ, Kondamudi N, Neeland IJ, Almandoz JP, Martin CK, Carbone S, Butler J, Powell-Wiley TM, Pandey A.</w:t>
      </w:r>
      <w:r w:rsidRPr="004661E9">
        <w:rPr>
          <w:rFonts w:ascii="Arial" w:hAnsi="Arial" w:cs="Arial"/>
          <w:noProof/>
        </w:rPr>
        <w:t xml:space="preserve"> Diabetes Status Modifies the Association Between Different Measures of Obesity and Heart Failure Risk Among Older Adults: A Pooled Analysis of Community-Based NHLBI Cohorts. </w:t>
      </w:r>
      <w:r w:rsidRPr="004661E9">
        <w:rPr>
          <w:rFonts w:ascii="Arial" w:hAnsi="Arial" w:cs="Arial"/>
          <w:iCs/>
          <w:noProof/>
        </w:rPr>
        <w:t>Circulation</w:t>
      </w:r>
      <w:r w:rsidRPr="004661E9">
        <w:rPr>
          <w:rFonts w:ascii="Arial" w:hAnsi="Arial" w:cs="Arial"/>
          <w:noProof/>
        </w:rPr>
        <w:t xml:space="preserve"> 2022;145(4):268.</w:t>
      </w:r>
    </w:p>
    <w:p w14:paraId="58E8FED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43. </w:t>
      </w:r>
      <w:r w:rsidRPr="004661E9">
        <w:rPr>
          <w:rFonts w:ascii="Arial" w:hAnsi="Arial" w:cs="Arial"/>
          <w:noProof/>
        </w:rPr>
        <w:tab/>
      </w:r>
      <w:r w:rsidRPr="004661E9">
        <w:rPr>
          <w:rFonts w:ascii="Arial" w:hAnsi="Arial" w:cs="Arial"/>
          <w:bCs/>
          <w:noProof/>
        </w:rPr>
        <w:t>Johansson I, Dahlström U, Edner M, Näsman P, Rydén L, Norhammar A.</w:t>
      </w:r>
      <w:r w:rsidRPr="004661E9">
        <w:rPr>
          <w:rFonts w:ascii="Arial" w:hAnsi="Arial" w:cs="Arial"/>
          <w:noProof/>
        </w:rPr>
        <w:t xml:space="preserve"> Prognostic Implications of Type 2 Diabetes Mellitus in Ischemic and Nonischemic Heart Failure. </w:t>
      </w:r>
      <w:r w:rsidRPr="004661E9">
        <w:rPr>
          <w:rFonts w:ascii="Arial" w:hAnsi="Arial" w:cs="Arial"/>
          <w:iCs/>
          <w:noProof/>
        </w:rPr>
        <w:t>J. Am. Coll. Cardiol.</w:t>
      </w:r>
      <w:r w:rsidRPr="004661E9">
        <w:rPr>
          <w:rFonts w:ascii="Arial" w:hAnsi="Arial" w:cs="Arial"/>
          <w:noProof/>
        </w:rPr>
        <w:t xml:space="preserve"> 2016;68(13):1404–1416.</w:t>
      </w:r>
    </w:p>
    <w:p w14:paraId="7D84A90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44. </w:t>
      </w:r>
      <w:r w:rsidRPr="004661E9">
        <w:rPr>
          <w:rFonts w:ascii="Arial" w:hAnsi="Arial" w:cs="Arial"/>
          <w:noProof/>
        </w:rPr>
        <w:tab/>
      </w:r>
      <w:r w:rsidRPr="004661E9">
        <w:rPr>
          <w:rFonts w:ascii="Arial" w:hAnsi="Arial" w:cs="Arial"/>
          <w:bCs/>
          <w:noProof/>
        </w:rPr>
        <w:t>Echouffo-Tcheugui JB, Ndumele CE, Zhang S, Florido R, Matsushita K, Coresh J, Skali H, Shah AM, Selvin E.</w:t>
      </w:r>
      <w:r w:rsidRPr="004661E9">
        <w:rPr>
          <w:rFonts w:ascii="Arial" w:hAnsi="Arial" w:cs="Arial"/>
          <w:noProof/>
        </w:rPr>
        <w:t xml:space="preserve"> Diabetes and Progression of Heart Failure: The Atherosclerosis Risk In Communities (ARIC) Study. </w:t>
      </w:r>
      <w:r w:rsidRPr="004661E9">
        <w:rPr>
          <w:rFonts w:ascii="Arial" w:hAnsi="Arial" w:cs="Arial"/>
          <w:iCs/>
          <w:noProof/>
        </w:rPr>
        <w:t>J. Am. Coll. Cardiol.</w:t>
      </w:r>
      <w:r w:rsidRPr="004661E9">
        <w:rPr>
          <w:rFonts w:ascii="Arial" w:hAnsi="Arial" w:cs="Arial"/>
          <w:noProof/>
        </w:rPr>
        <w:t xml:space="preserve"> 2022;79(23):2285–2293.</w:t>
      </w:r>
    </w:p>
    <w:p w14:paraId="65569E6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45. </w:t>
      </w:r>
      <w:r w:rsidRPr="004661E9">
        <w:rPr>
          <w:rFonts w:ascii="Arial" w:hAnsi="Arial" w:cs="Arial"/>
          <w:noProof/>
        </w:rPr>
        <w:tab/>
      </w:r>
      <w:r w:rsidRPr="004661E9">
        <w:rPr>
          <w:rFonts w:ascii="Arial" w:hAnsi="Arial" w:cs="Arial"/>
          <w:bCs/>
          <w:noProof/>
        </w:rPr>
        <w:t>McAllister DA, Read SH, Kerssens J, Livingstone S, McGurnaghan S, Jhund P, Petrie J, Sattar N, Fischbacher C, Kristensen SL, McMurray J, Colhoun HM, Wild SH.</w:t>
      </w:r>
      <w:r w:rsidRPr="004661E9">
        <w:rPr>
          <w:rFonts w:ascii="Arial" w:hAnsi="Arial" w:cs="Arial"/>
          <w:noProof/>
        </w:rPr>
        <w:t xml:space="preserve"> Incidence of hospitalization for heart failure and case-fatality among 3.25 million people with and </w:t>
      </w:r>
      <w:r w:rsidRPr="004661E9">
        <w:rPr>
          <w:rFonts w:ascii="Arial" w:hAnsi="Arial" w:cs="Arial"/>
          <w:noProof/>
        </w:rPr>
        <w:lastRenderedPageBreak/>
        <w:t xml:space="preserve">without diabetes mellitus. </w:t>
      </w:r>
      <w:r w:rsidRPr="004661E9">
        <w:rPr>
          <w:rFonts w:ascii="Arial" w:hAnsi="Arial" w:cs="Arial"/>
          <w:iCs/>
          <w:noProof/>
        </w:rPr>
        <w:t>Circulation</w:t>
      </w:r>
      <w:r w:rsidRPr="004661E9">
        <w:rPr>
          <w:rFonts w:ascii="Arial" w:hAnsi="Arial" w:cs="Arial"/>
          <w:noProof/>
        </w:rPr>
        <w:t xml:space="preserve"> 2018;138(24):2774–2786.</w:t>
      </w:r>
    </w:p>
    <w:p w14:paraId="4708D71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46. </w:t>
      </w:r>
      <w:r w:rsidRPr="004661E9">
        <w:rPr>
          <w:rFonts w:ascii="Arial" w:hAnsi="Arial" w:cs="Arial"/>
          <w:noProof/>
        </w:rPr>
        <w:tab/>
      </w:r>
      <w:r w:rsidRPr="004661E9">
        <w:rPr>
          <w:rFonts w:ascii="Arial" w:hAnsi="Arial" w:cs="Arial"/>
          <w:bCs/>
          <w:noProof/>
        </w:rPr>
        <w:t>Kubicki DM, Xu M, Akwo EA, Dixon D, Muñoz D, Blot WJ, Wang TJ, Lipworth L, Gupta DK.</w:t>
      </w:r>
      <w:r w:rsidRPr="004661E9">
        <w:rPr>
          <w:rFonts w:ascii="Arial" w:hAnsi="Arial" w:cs="Arial"/>
          <w:noProof/>
        </w:rPr>
        <w:t xml:space="preserve"> Race and Sex Differences in Modifiable Risk Factors and Incident Heart Failure. </w:t>
      </w:r>
      <w:r w:rsidRPr="004661E9">
        <w:rPr>
          <w:rFonts w:ascii="Arial" w:hAnsi="Arial" w:cs="Arial"/>
          <w:iCs/>
          <w:noProof/>
        </w:rPr>
        <w:t>JACC Hear. Fail.</w:t>
      </w:r>
      <w:r w:rsidRPr="004661E9">
        <w:rPr>
          <w:rFonts w:ascii="Arial" w:hAnsi="Arial" w:cs="Arial"/>
          <w:noProof/>
        </w:rPr>
        <w:t xml:space="preserve"> 2020;8(2):122–130.</w:t>
      </w:r>
    </w:p>
    <w:p w14:paraId="392FCA1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47. </w:t>
      </w:r>
      <w:r w:rsidRPr="004661E9">
        <w:rPr>
          <w:rFonts w:ascii="Arial" w:hAnsi="Arial" w:cs="Arial"/>
          <w:noProof/>
        </w:rPr>
        <w:tab/>
      </w:r>
      <w:r w:rsidRPr="004661E9">
        <w:rPr>
          <w:rFonts w:ascii="Arial" w:hAnsi="Arial" w:cs="Arial"/>
          <w:bCs/>
          <w:noProof/>
        </w:rPr>
        <w:t>Chamberlain AM, Boyd CM, Manemann SM, Dunlay SM, Gerber Y, Killian JM, Weston SA, Roger VL.</w:t>
      </w:r>
      <w:r w:rsidRPr="004661E9">
        <w:rPr>
          <w:rFonts w:ascii="Arial" w:hAnsi="Arial" w:cs="Arial"/>
          <w:noProof/>
        </w:rPr>
        <w:t xml:space="preserve"> Risk Factors for Heart Failure in the Community: Differences by Age and Ejection Fraction. </w:t>
      </w:r>
      <w:r w:rsidRPr="004661E9">
        <w:rPr>
          <w:rFonts w:ascii="Arial" w:hAnsi="Arial" w:cs="Arial"/>
          <w:iCs/>
          <w:noProof/>
        </w:rPr>
        <w:t>Am. J. Med.</w:t>
      </w:r>
      <w:r w:rsidRPr="004661E9">
        <w:rPr>
          <w:rFonts w:ascii="Arial" w:hAnsi="Arial" w:cs="Arial"/>
          <w:noProof/>
        </w:rPr>
        <w:t xml:space="preserve"> 2020;133(6):e237–e248.</w:t>
      </w:r>
    </w:p>
    <w:p w14:paraId="7967EA0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48. </w:t>
      </w:r>
      <w:r w:rsidRPr="004661E9">
        <w:rPr>
          <w:rFonts w:ascii="Arial" w:hAnsi="Arial" w:cs="Arial"/>
          <w:noProof/>
        </w:rPr>
        <w:tab/>
      </w:r>
      <w:r w:rsidRPr="004661E9">
        <w:rPr>
          <w:rFonts w:ascii="Arial" w:hAnsi="Arial" w:cs="Arial"/>
          <w:bCs/>
          <w:noProof/>
        </w:rPr>
        <w:t>Ohkuma T, Komorita Y, Peters SAE, Woodward M.</w:t>
      </w:r>
      <w:r w:rsidRPr="004661E9">
        <w:rPr>
          <w:rFonts w:ascii="Arial" w:hAnsi="Arial" w:cs="Arial"/>
          <w:noProof/>
        </w:rPr>
        <w:t xml:space="preserve"> Diabetes as a risk factor for heart failure in women and men: a systematic review and meta-analysis of 47 cohorts including 12 million individuals. </w:t>
      </w:r>
      <w:r w:rsidRPr="004661E9">
        <w:rPr>
          <w:rFonts w:ascii="Arial" w:hAnsi="Arial" w:cs="Arial"/>
          <w:iCs/>
          <w:noProof/>
        </w:rPr>
        <w:t>Diabetologia</w:t>
      </w:r>
      <w:r w:rsidRPr="004661E9">
        <w:rPr>
          <w:rFonts w:ascii="Arial" w:hAnsi="Arial" w:cs="Arial"/>
          <w:noProof/>
        </w:rPr>
        <w:t xml:space="preserve"> 2019;62(9):1550–1560.</w:t>
      </w:r>
    </w:p>
    <w:p w14:paraId="228A186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49. </w:t>
      </w:r>
      <w:r w:rsidRPr="004661E9">
        <w:rPr>
          <w:rFonts w:ascii="Arial" w:hAnsi="Arial" w:cs="Arial"/>
          <w:noProof/>
        </w:rPr>
        <w:tab/>
      </w:r>
      <w:r w:rsidRPr="004661E9">
        <w:rPr>
          <w:rFonts w:ascii="Arial" w:hAnsi="Arial" w:cs="Arial"/>
          <w:bCs/>
          <w:noProof/>
        </w:rPr>
        <w:t>Sinha A, Ning H, Cameron N, Bancks M, Carnethon MR, Allen NB, Wilkins JT, Lloyd-jones DM, Khan SS.</w:t>
      </w:r>
      <w:r w:rsidRPr="004661E9">
        <w:rPr>
          <w:rFonts w:ascii="Arial" w:hAnsi="Arial" w:cs="Arial"/>
          <w:noProof/>
        </w:rPr>
        <w:t xml:space="preserve"> Atherosclerotic Cardiovascular Disease or Heart Failure: First Cardiovascular Event in Adults With Prediabetes and Diabetes. 2022. doi:10.1016/j.cardfail.2022.10.426.</w:t>
      </w:r>
    </w:p>
    <w:p w14:paraId="26D7566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50. </w:t>
      </w:r>
      <w:r w:rsidRPr="004661E9">
        <w:rPr>
          <w:rFonts w:ascii="Arial" w:hAnsi="Arial" w:cs="Arial"/>
          <w:noProof/>
        </w:rPr>
        <w:tab/>
      </w:r>
      <w:r w:rsidRPr="004661E9">
        <w:rPr>
          <w:rFonts w:ascii="Arial" w:hAnsi="Arial" w:cs="Arial"/>
          <w:bCs/>
          <w:noProof/>
        </w:rPr>
        <w:t>Held C, Gerstein HC, Yusuf S, Zhao F, Hilbrich L, Anderson C, Sleight P, Teo K, ONTARGET/TRANSCEND Investigators.</w:t>
      </w:r>
      <w:r w:rsidRPr="004661E9">
        <w:rPr>
          <w:rFonts w:ascii="Arial" w:hAnsi="Arial" w:cs="Arial"/>
          <w:noProof/>
        </w:rPr>
        <w:t xml:space="preserve"> Glucose levels predict hospitalization for congestive heart failure in patients at high cardiovascular risk. </w:t>
      </w:r>
      <w:r w:rsidRPr="004661E9">
        <w:rPr>
          <w:rFonts w:ascii="Arial" w:hAnsi="Arial" w:cs="Arial"/>
          <w:iCs/>
          <w:noProof/>
        </w:rPr>
        <w:t>Circulation</w:t>
      </w:r>
      <w:r w:rsidRPr="004661E9">
        <w:rPr>
          <w:rFonts w:ascii="Arial" w:hAnsi="Arial" w:cs="Arial"/>
          <w:noProof/>
        </w:rPr>
        <w:t xml:space="preserve"> 2007;115(11):1371–5.</w:t>
      </w:r>
    </w:p>
    <w:p w14:paraId="2E197FB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51. </w:t>
      </w:r>
      <w:r w:rsidRPr="004661E9">
        <w:rPr>
          <w:rFonts w:ascii="Arial" w:hAnsi="Arial" w:cs="Arial"/>
          <w:noProof/>
        </w:rPr>
        <w:tab/>
      </w:r>
      <w:r w:rsidRPr="004661E9">
        <w:rPr>
          <w:rFonts w:ascii="Arial" w:hAnsi="Arial" w:cs="Arial"/>
          <w:bCs/>
          <w:noProof/>
        </w:rPr>
        <w:t>Nelson AJ, Peterson ED, Pagidipati NJ.</w:t>
      </w:r>
      <w:r w:rsidRPr="004661E9">
        <w:rPr>
          <w:rFonts w:ascii="Arial" w:hAnsi="Arial" w:cs="Arial"/>
          <w:noProof/>
        </w:rPr>
        <w:t xml:space="preserve"> Atherosclerotic cardiovascular disease and heart failure: Determinants of risk and outcomes in patients with diabetes. </w:t>
      </w:r>
      <w:r w:rsidRPr="004661E9">
        <w:rPr>
          <w:rFonts w:ascii="Arial" w:hAnsi="Arial" w:cs="Arial"/>
          <w:iCs/>
          <w:noProof/>
        </w:rPr>
        <w:t>Prog. Cardiovasc. Dis.</w:t>
      </w:r>
      <w:r w:rsidRPr="004661E9">
        <w:rPr>
          <w:rFonts w:ascii="Arial" w:hAnsi="Arial" w:cs="Arial"/>
          <w:noProof/>
        </w:rPr>
        <w:t xml:space="preserve"> 2019;62(4):306–314.</w:t>
      </w:r>
    </w:p>
    <w:p w14:paraId="2346277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52. </w:t>
      </w:r>
      <w:r w:rsidRPr="004661E9">
        <w:rPr>
          <w:rFonts w:ascii="Arial" w:hAnsi="Arial" w:cs="Arial"/>
          <w:noProof/>
        </w:rPr>
        <w:tab/>
      </w:r>
      <w:r w:rsidRPr="004661E9">
        <w:rPr>
          <w:rFonts w:ascii="Arial" w:hAnsi="Arial" w:cs="Arial"/>
          <w:bCs/>
          <w:noProof/>
        </w:rPr>
        <w:t>Nyström T, Sartipy U, Contardi A, Lind M, Bellocco R, Eliasson B, Svensson AM, Holzmann MJ.</w:t>
      </w:r>
      <w:r w:rsidRPr="004661E9">
        <w:rPr>
          <w:rFonts w:ascii="Arial" w:hAnsi="Arial" w:cs="Arial"/>
          <w:noProof/>
        </w:rPr>
        <w:t xml:space="preserve"> Glycated Hemoglobin A1c Levels in Type 1 Diabetes Mellitus and Outcomes after Myocardial Infarction. </w:t>
      </w:r>
      <w:r w:rsidRPr="004661E9">
        <w:rPr>
          <w:rFonts w:ascii="Arial" w:hAnsi="Arial" w:cs="Arial"/>
          <w:iCs/>
          <w:noProof/>
        </w:rPr>
        <w:t>Circulation</w:t>
      </w:r>
      <w:r w:rsidRPr="004661E9">
        <w:rPr>
          <w:rFonts w:ascii="Arial" w:hAnsi="Arial" w:cs="Arial"/>
          <w:noProof/>
        </w:rPr>
        <w:t xml:space="preserve"> 2019;139(20):2380–2382.</w:t>
      </w:r>
    </w:p>
    <w:p w14:paraId="5565B83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53. </w:t>
      </w:r>
      <w:r w:rsidRPr="004661E9">
        <w:rPr>
          <w:rFonts w:ascii="Arial" w:hAnsi="Arial" w:cs="Arial"/>
          <w:noProof/>
        </w:rPr>
        <w:tab/>
      </w:r>
      <w:r w:rsidRPr="004661E9">
        <w:rPr>
          <w:rFonts w:ascii="Arial" w:hAnsi="Arial" w:cs="Arial"/>
          <w:bCs/>
          <w:noProof/>
        </w:rPr>
        <w:t>Rawshani A, Sattar N, Franzén S, Rawshani A, Hattersley AT, Svensson AM, Eliasson B, Gudbjörnsdottir S.</w:t>
      </w:r>
      <w:r w:rsidRPr="004661E9">
        <w:rPr>
          <w:rFonts w:ascii="Arial" w:hAnsi="Arial" w:cs="Arial"/>
          <w:noProof/>
        </w:rPr>
        <w:t xml:space="preserve"> Excess mortality and cardiovascular disease in young adults with type 1 diabetes in relation to age at onset: a nationwide, register-based cohort study. </w:t>
      </w:r>
      <w:r w:rsidRPr="004661E9">
        <w:rPr>
          <w:rFonts w:ascii="Arial" w:hAnsi="Arial" w:cs="Arial"/>
          <w:iCs/>
          <w:noProof/>
        </w:rPr>
        <w:t>Lancet</w:t>
      </w:r>
      <w:r w:rsidRPr="004661E9">
        <w:rPr>
          <w:rFonts w:ascii="Arial" w:hAnsi="Arial" w:cs="Arial"/>
          <w:noProof/>
        </w:rPr>
        <w:t xml:space="preserve"> 2018;392(10146):477–486.</w:t>
      </w:r>
    </w:p>
    <w:p w14:paraId="3A5996C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54. </w:t>
      </w:r>
      <w:r w:rsidRPr="004661E9">
        <w:rPr>
          <w:rFonts w:ascii="Arial" w:hAnsi="Arial" w:cs="Arial"/>
          <w:noProof/>
        </w:rPr>
        <w:tab/>
      </w:r>
      <w:r w:rsidRPr="004661E9">
        <w:rPr>
          <w:rFonts w:ascii="Arial" w:hAnsi="Arial" w:cs="Arial"/>
          <w:bCs/>
          <w:noProof/>
        </w:rPr>
        <w:t>Sattar N, Rawshani A, Franzén S, Rawshani A, Svensson AM, Rosengren A, Mcguire DK, Eliasson B, Gudbjörnsdottir S.</w:t>
      </w:r>
      <w:r w:rsidRPr="004661E9">
        <w:rPr>
          <w:rFonts w:ascii="Arial" w:hAnsi="Arial" w:cs="Arial"/>
          <w:noProof/>
        </w:rPr>
        <w:t xml:space="preserve"> Age at Diagnosis of Type 2 Diabetes Mellitus and Associations With Cardiovascular and Mortality Risks: Findings From the Swedish National Diabetes Registry. </w:t>
      </w:r>
      <w:r w:rsidRPr="004661E9">
        <w:rPr>
          <w:rFonts w:ascii="Arial" w:hAnsi="Arial" w:cs="Arial"/>
          <w:iCs/>
          <w:noProof/>
        </w:rPr>
        <w:t>Circulation</w:t>
      </w:r>
      <w:r w:rsidRPr="004661E9">
        <w:rPr>
          <w:rFonts w:ascii="Arial" w:hAnsi="Arial" w:cs="Arial"/>
          <w:noProof/>
        </w:rPr>
        <w:t xml:space="preserve"> 2019;139(19):2228–2237.</w:t>
      </w:r>
    </w:p>
    <w:p w14:paraId="19F97CD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55. </w:t>
      </w:r>
      <w:r w:rsidRPr="004661E9">
        <w:rPr>
          <w:rFonts w:ascii="Arial" w:hAnsi="Arial" w:cs="Arial"/>
          <w:noProof/>
        </w:rPr>
        <w:tab/>
      </w:r>
      <w:r w:rsidRPr="004661E9">
        <w:rPr>
          <w:rFonts w:ascii="Arial" w:hAnsi="Arial" w:cs="Arial"/>
          <w:bCs/>
          <w:noProof/>
        </w:rPr>
        <w:t>Echouffo-Tcheugui JB, Zhang S, Florido R, Hamo C, Pankow JS, Michos ED, Goldberg RB, Nambi V, Gerstenblith G, Post WS, Blumenthal RS, Ballantyne CM, Coresh J, Selvin E, Ndumele CE.</w:t>
      </w:r>
      <w:r w:rsidRPr="004661E9">
        <w:rPr>
          <w:rFonts w:ascii="Arial" w:hAnsi="Arial" w:cs="Arial"/>
          <w:noProof/>
        </w:rPr>
        <w:t xml:space="preserve"> Duration of Diabetes and Incident Heart Failure The ARIC (Atherosclerosis Risk In Communities) Study. 2021. doi:10.1016/j.jchf.2021.06.005.</w:t>
      </w:r>
    </w:p>
    <w:p w14:paraId="1336772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56. </w:t>
      </w:r>
      <w:r w:rsidRPr="004661E9">
        <w:rPr>
          <w:rFonts w:ascii="Arial" w:hAnsi="Arial" w:cs="Arial"/>
          <w:noProof/>
        </w:rPr>
        <w:tab/>
      </w:r>
      <w:r w:rsidRPr="004661E9">
        <w:rPr>
          <w:rFonts w:ascii="Arial" w:hAnsi="Arial" w:cs="Arial"/>
          <w:bCs/>
          <w:noProof/>
        </w:rPr>
        <w:t>Shin D, Bohra C, Kongpakpaisarn K.</w:t>
      </w:r>
      <w:r w:rsidRPr="004661E9">
        <w:rPr>
          <w:rFonts w:ascii="Arial" w:hAnsi="Arial" w:cs="Arial"/>
          <w:noProof/>
        </w:rPr>
        <w:t xml:space="preserve"> Impact of the Discordance Between the American College of Cardiology/American Heart Association and American Diabetes Association Recommendations on Hypertension in Patients With Diabetes Mellitus in the United States. </w:t>
      </w:r>
      <w:r w:rsidRPr="004661E9">
        <w:rPr>
          <w:rFonts w:ascii="Arial" w:hAnsi="Arial" w:cs="Arial"/>
          <w:iCs/>
          <w:noProof/>
        </w:rPr>
        <w:t>Hypertension</w:t>
      </w:r>
      <w:r w:rsidRPr="004661E9">
        <w:rPr>
          <w:rFonts w:ascii="Arial" w:hAnsi="Arial" w:cs="Arial"/>
          <w:noProof/>
        </w:rPr>
        <w:t xml:space="preserve"> 2018;72(2):256–259.</w:t>
      </w:r>
    </w:p>
    <w:p w14:paraId="2B85FE7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57. </w:t>
      </w:r>
      <w:r w:rsidRPr="004661E9">
        <w:rPr>
          <w:rFonts w:ascii="Arial" w:hAnsi="Arial" w:cs="Arial"/>
          <w:noProof/>
        </w:rPr>
        <w:tab/>
      </w:r>
      <w:r w:rsidRPr="004661E9">
        <w:rPr>
          <w:rFonts w:ascii="Arial" w:hAnsi="Arial" w:cs="Arial"/>
          <w:bCs/>
          <w:noProof/>
        </w:rPr>
        <w:t>Rawshani A, Rawshani A, Franzén S, Sattar N, Eliasson B, Svensson AM, Zethelius B, Miftaraj M, McGuire DK, Rosengren A, Gudbjörnsdottir S.</w:t>
      </w:r>
      <w:r w:rsidRPr="004661E9">
        <w:rPr>
          <w:rFonts w:ascii="Arial" w:hAnsi="Arial" w:cs="Arial"/>
          <w:noProof/>
        </w:rPr>
        <w:t xml:space="preserve"> Risk factors, mortality, and cardiovascular outcomes in patients with type 2 diabetes. </w:t>
      </w:r>
      <w:r w:rsidRPr="004661E9">
        <w:rPr>
          <w:rFonts w:ascii="Arial" w:hAnsi="Arial" w:cs="Arial"/>
          <w:iCs/>
          <w:noProof/>
        </w:rPr>
        <w:t>N. Engl. J. Med.</w:t>
      </w:r>
      <w:r w:rsidRPr="004661E9">
        <w:rPr>
          <w:rFonts w:ascii="Arial" w:hAnsi="Arial" w:cs="Arial"/>
          <w:noProof/>
        </w:rPr>
        <w:t xml:space="preserve"> 2018;379(7):633–644.</w:t>
      </w:r>
    </w:p>
    <w:p w14:paraId="4E7FF944"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lastRenderedPageBreak/>
        <w:t xml:space="preserve">58. </w:t>
      </w:r>
      <w:r w:rsidRPr="004661E9">
        <w:rPr>
          <w:rFonts w:ascii="Arial" w:hAnsi="Arial" w:cs="Arial"/>
          <w:noProof/>
        </w:rPr>
        <w:tab/>
      </w:r>
      <w:r w:rsidRPr="004661E9">
        <w:rPr>
          <w:rFonts w:ascii="Arial" w:hAnsi="Arial" w:cs="Arial"/>
          <w:bCs/>
          <w:noProof/>
        </w:rPr>
        <w:t>Yoo TK, Han K Do, Rhee EJ, Lee WY.</w:t>
      </w:r>
      <w:r w:rsidRPr="004661E9">
        <w:rPr>
          <w:rFonts w:ascii="Arial" w:hAnsi="Arial" w:cs="Arial"/>
          <w:noProof/>
        </w:rPr>
        <w:t xml:space="preserve"> Impact of mental disorders on the risk of heart failure among Korean patients with diabetes: a cohort study. </w:t>
      </w:r>
      <w:r w:rsidRPr="004661E9">
        <w:rPr>
          <w:rFonts w:ascii="Arial" w:hAnsi="Arial" w:cs="Arial"/>
          <w:iCs/>
          <w:noProof/>
        </w:rPr>
        <w:t>Cardiovasc. Diabetol.</w:t>
      </w:r>
      <w:r w:rsidRPr="004661E9">
        <w:rPr>
          <w:rFonts w:ascii="Arial" w:hAnsi="Arial" w:cs="Arial"/>
          <w:noProof/>
        </w:rPr>
        <w:t xml:space="preserve"> 2023;22(1):1–13.</w:t>
      </w:r>
    </w:p>
    <w:p w14:paraId="1E8A7DF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59. </w:t>
      </w:r>
      <w:r w:rsidRPr="004661E9">
        <w:rPr>
          <w:rFonts w:ascii="Arial" w:hAnsi="Arial" w:cs="Arial"/>
          <w:noProof/>
        </w:rPr>
        <w:tab/>
      </w:r>
      <w:r w:rsidRPr="004661E9">
        <w:rPr>
          <w:rFonts w:ascii="Arial" w:hAnsi="Arial" w:cs="Arial"/>
          <w:bCs/>
          <w:noProof/>
        </w:rPr>
        <w:t>Yusuf S, Ostergren JB, Gerstein HC, Pfeffer MA, Swedberg K, Granger CB, Olofsson B, Probstfield J, McMurray J V, Mortality C in HF-A of R in, Morbidity Program I.</w:t>
      </w:r>
      <w:r w:rsidRPr="004661E9">
        <w:rPr>
          <w:rFonts w:ascii="Arial" w:hAnsi="Arial" w:cs="Arial"/>
          <w:noProof/>
        </w:rPr>
        <w:t xml:space="preserve"> Effects of candesartan on the development of a new diagnosis of diabetes mellitus in patients with heart failure.[Erratum appears in Circulation. 2005 Oct 25;112(7):e292]. </w:t>
      </w:r>
      <w:r w:rsidRPr="004661E9">
        <w:rPr>
          <w:rFonts w:ascii="Arial" w:hAnsi="Arial" w:cs="Arial"/>
          <w:iCs/>
          <w:noProof/>
        </w:rPr>
        <w:t>Circulation</w:t>
      </w:r>
      <w:r w:rsidRPr="004661E9">
        <w:rPr>
          <w:rFonts w:ascii="Arial" w:hAnsi="Arial" w:cs="Arial"/>
          <w:noProof/>
        </w:rPr>
        <w:t xml:space="preserve"> 2005;112(1):48–53.</w:t>
      </w:r>
    </w:p>
    <w:p w14:paraId="420F6BE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60. </w:t>
      </w:r>
      <w:r w:rsidRPr="004661E9">
        <w:rPr>
          <w:rFonts w:ascii="Arial" w:hAnsi="Arial" w:cs="Arial"/>
          <w:noProof/>
        </w:rPr>
        <w:tab/>
      </w:r>
      <w:r w:rsidRPr="004661E9">
        <w:rPr>
          <w:rFonts w:ascii="Arial" w:hAnsi="Arial" w:cs="Arial"/>
          <w:bCs/>
          <w:noProof/>
        </w:rPr>
        <w:t>Torp-Pedersen C, Metra M, Charlesworth A, Spark P, Lukas MA, Poole-Wilson PA, Swedberg K, Cleland JGF, Di Lenarda A, Remme WJ, Scherhag A.</w:t>
      </w:r>
      <w:r w:rsidRPr="004661E9">
        <w:rPr>
          <w:rFonts w:ascii="Arial" w:hAnsi="Arial" w:cs="Arial"/>
          <w:noProof/>
        </w:rPr>
        <w:t xml:space="preserve"> Effects of metoprolol and carvedilol on pre-existing and new onset diabetes in patients with chronic heart failure: Data from the Carvedilol or Metoprolol European Trial (COMET). </w:t>
      </w:r>
      <w:r w:rsidRPr="004661E9">
        <w:rPr>
          <w:rFonts w:ascii="Arial" w:hAnsi="Arial" w:cs="Arial"/>
          <w:iCs/>
          <w:noProof/>
        </w:rPr>
        <w:t>Heart</w:t>
      </w:r>
      <w:r w:rsidRPr="004661E9">
        <w:rPr>
          <w:rFonts w:ascii="Arial" w:hAnsi="Arial" w:cs="Arial"/>
          <w:noProof/>
        </w:rPr>
        <w:t xml:space="preserve"> 2007;93(8):968–973.</w:t>
      </w:r>
    </w:p>
    <w:p w14:paraId="64AAA04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61. </w:t>
      </w:r>
      <w:r w:rsidRPr="004661E9">
        <w:rPr>
          <w:rFonts w:ascii="Arial" w:hAnsi="Arial" w:cs="Arial"/>
          <w:noProof/>
        </w:rPr>
        <w:tab/>
      </w:r>
      <w:r w:rsidRPr="004661E9">
        <w:rPr>
          <w:rFonts w:ascii="Arial" w:hAnsi="Arial" w:cs="Arial"/>
          <w:bCs/>
          <w:noProof/>
        </w:rPr>
        <w:t>Dunlay SM, Givertz MM, Aguilar D, Allen LA, Chan M, Desai AS, Deswal A, Dickson VV, Kosiborod MN, Lekavich CL, McCoy RG, Mentz RJ, Piña IL.</w:t>
      </w:r>
      <w:r w:rsidRPr="004661E9">
        <w:rPr>
          <w:rFonts w:ascii="Arial" w:hAnsi="Arial" w:cs="Arial"/>
          <w:noProof/>
        </w:rPr>
        <w:t xml:space="preserve"> Type 2 Diabetes Mellitus and Heart Failure: A Scientific Statement From the American Heart Association and the Heart Failure Society of America: This statement does not represent an update of the 2017 ACC/AHA/HFSA heart failure guideline update. </w:t>
      </w:r>
      <w:r w:rsidRPr="004661E9">
        <w:rPr>
          <w:rFonts w:ascii="Arial" w:hAnsi="Arial" w:cs="Arial"/>
          <w:iCs/>
          <w:noProof/>
        </w:rPr>
        <w:t>Circulation</w:t>
      </w:r>
      <w:r w:rsidRPr="004661E9">
        <w:rPr>
          <w:rFonts w:ascii="Arial" w:hAnsi="Arial" w:cs="Arial"/>
          <w:noProof/>
        </w:rPr>
        <w:t xml:space="preserve"> 2019;140(7):e294–e324.</w:t>
      </w:r>
    </w:p>
    <w:p w14:paraId="00D4BD1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62. </w:t>
      </w:r>
      <w:r w:rsidRPr="004661E9">
        <w:rPr>
          <w:rFonts w:ascii="Arial" w:hAnsi="Arial" w:cs="Arial"/>
          <w:noProof/>
        </w:rPr>
        <w:tab/>
      </w:r>
      <w:r w:rsidRPr="004661E9">
        <w:rPr>
          <w:rFonts w:ascii="Arial" w:hAnsi="Arial" w:cs="Arial"/>
          <w:bCs/>
          <w:noProof/>
        </w:rPr>
        <w:t>Sud M, Wang X, Austin PC, Lipscombe LL, Newton GE, Tu J V., Vasan RS, Lee DS.</w:t>
      </w:r>
      <w:r w:rsidRPr="004661E9">
        <w:rPr>
          <w:rFonts w:ascii="Arial" w:hAnsi="Arial" w:cs="Arial"/>
          <w:noProof/>
        </w:rPr>
        <w:t xml:space="preserve"> Presentation blood glucose and death, hospitalization, and future diabetes risk in patients with acute heart failure syndromes. </w:t>
      </w:r>
      <w:r w:rsidRPr="004661E9">
        <w:rPr>
          <w:rFonts w:ascii="Arial" w:hAnsi="Arial" w:cs="Arial"/>
          <w:iCs/>
          <w:noProof/>
        </w:rPr>
        <w:t>Eur. Heart J.</w:t>
      </w:r>
      <w:r w:rsidRPr="004661E9">
        <w:rPr>
          <w:rFonts w:ascii="Arial" w:hAnsi="Arial" w:cs="Arial"/>
          <w:noProof/>
        </w:rPr>
        <w:t xml:space="preserve"> 2015;36(15):924–931.</w:t>
      </w:r>
    </w:p>
    <w:p w14:paraId="7C65B16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63. </w:t>
      </w:r>
      <w:r w:rsidRPr="004661E9">
        <w:rPr>
          <w:rFonts w:ascii="Arial" w:hAnsi="Arial" w:cs="Arial"/>
          <w:noProof/>
        </w:rPr>
        <w:tab/>
      </w:r>
      <w:r w:rsidRPr="004661E9">
        <w:rPr>
          <w:rFonts w:ascii="Arial" w:hAnsi="Arial" w:cs="Arial"/>
          <w:bCs/>
          <w:noProof/>
        </w:rPr>
        <w:t>Preiss D, Zetterstrand S, McMurray JJV, Östergren J, Michelson EL, Granger CB, Yusuf S, Swedberg K, Pfeffer MA, Gerstein HC, Sattar N.</w:t>
      </w:r>
      <w:r w:rsidRPr="004661E9">
        <w:rPr>
          <w:rFonts w:ascii="Arial" w:hAnsi="Arial" w:cs="Arial"/>
          <w:noProof/>
        </w:rPr>
        <w:t xml:space="preserve"> Predictors of development of diabetes in patients with chronic heart failure in the Candesartan in Heart Failure Assessment of Reduction in Mortality and Morbidity (CHARM) program. </w:t>
      </w:r>
      <w:r w:rsidRPr="004661E9">
        <w:rPr>
          <w:rFonts w:ascii="Arial" w:hAnsi="Arial" w:cs="Arial"/>
          <w:iCs/>
          <w:noProof/>
        </w:rPr>
        <w:t>Diabetes Care</w:t>
      </w:r>
      <w:r w:rsidRPr="004661E9">
        <w:rPr>
          <w:rFonts w:ascii="Arial" w:hAnsi="Arial" w:cs="Arial"/>
          <w:noProof/>
        </w:rPr>
        <w:t xml:space="preserve"> 2009;32(5):915–920.</w:t>
      </w:r>
    </w:p>
    <w:p w14:paraId="64549FA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64. </w:t>
      </w:r>
      <w:r w:rsidRPr="004661E9">
        <w:rPr>
          <w:rFonts w:ascii="Arial" w:hAnsi="Arial" w:cs="Arial"/>
          <w:noProof/>
        </w:rPr>
        <w:tab/>
      </w:r>
      <w:r w:rsidRPr="004661E9">
        <w:rPr>
          <w:rFonts w:ascii="Arial" w:hAnsi="Arial" w:cs="Arial"/>
          <w:bCs/>
          <w:noProof/>
        </w:rPr>
        <w:t>Preiss D, Van Veldhuisen DJ, Sattar N, Krum H, Swedberg K, Shi H, Vincent J, Pocock SJ, Pitt B, Zannad F, McMurray JJV.</w:t>
      </w:r>
      <w:r w:rsidRPr="004661E9">
        <w:rPr>
          <w:rFonts w:ascii="Arial" w:hAnsi="Arial" w:cs="Arial"/>
          <w:noProof/>
        </w:rPr>
        <w:t xml:space="preserve"> Eplerenone and new-onset diabetes in patients with mild heart failure: Results from the Eplerenone in Mild Patients Hospitalization and Survival Study in Heart Failure (EMPHASIS-HF). </w:t>
      </w:r>
      <w:r w:rsidRPr="004661E9">
        <w:rPr>
          <w:rFonts w:ascii="Arial" w:hAnsi="Arial" w:cs="Arial"/>
          <w:iCs/>
          <w:noProof/>
        </w:rPr>
        <w:t>Eur. J. Heart Fail.</w:t>
      </w:r>
      <w:r w:rsidRPr="004661E9">
        <w:rPr>
          <w:rFonts w:ascii="Arial" w:hAnsi="Arial" w:cs="Arial"/>
          <w:noProof/>
        </w:rPr>
        <w:t xml:space="preserve"> 2012;14(8):909–915.</w:t>
      </w:r>
    </w:p>
    <w:p w14:paraId="1D7DB53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65. </w:t>
      </w:r>
      <w:r w:rsidRPr="004661E9">
        <w:rPr>
          <w:rFonts w:ascii="Arial" w:hAnsi="Arial" w:cs="Arial"/>
          <w:noProof/>
        </w:rPr>
        <w:tab/>
      </w:r>
      <w:r w:rsidRPr="004661E9">
        <w:rPr>
          <w:rFonts w:ascii="Arial" w:hAnsi="Arial" w:cs="Arial"/>
          <w:bCs/>
          <w:noProof/>
        </w:rPr>
        <w:t>Ernande L, Audureau E, Jellis CL, Bergerot C, Henegar C, Sawaki D, Czibik G, Volpi C, Canoui-Poitrine F, Thibault H, Ternacle J, Moulin P, Marwick TH, Derumeaux G.</w:t>
      </w:r>
      <w:r w:rsidRPr="004661E9">
        <w:rPr>
          <w:rFonts w:ascii="Arial" w:hAnsi="Arial" w:cs="Arial"/>
          <w:noProof/>
        </w:rPr>
        <w:t xml:space="preserve"> Clinical Implications of Echocardiographic Phenotypes of Patients With Diabetes Mellitus. </w:t>
      </w:r>
      <w:r w:rsidRPr="004661E9">
        <w:rPr>
          <w:rFonts w:ascii="Arial" w:hAnsi="Arial" w:cs="Arial"/>
          <w:iCs/>
          <w:noProof/>
        </w:rPr>
        <w:t>J. Am. Coll. Cardiol.</w:t>
      </w:r>
      <w:r w:rsidRPr="004661E9">
        <w:rPr>
          <w:rFonts w:ascii="Arial" w:hAnsi="Arial" w:cs="Arial"/>
          <w:noProof/>
        </w:rPr>
        <w:t xml:space="preserve"> 2017;70(14):1704–1716.</w:t>
      </w:r>
    </w:p>
    <w:p w14:paraId="7A9CE56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66. </w:t>
      </w:r>
      <w:r w:rsidRPr="004661E9">
        <w:rPr>
          <w:rFonts w:ascii="Arial" w:hAnsi="Arial" w:cs="Arial"/>
          <w:noProof/>
        </w:rPr>
        <w:tab/>
      </w:r>
      <w:r w:rsidRPr="004661E9">
        <w:rPr>
          <w:rFonts w:ascii="Arial" w:hAnsi="Arial" w:cs="Arial"/>
          <w:bCs/>
          <w:noProof/>
        </w:rPr>
        <w:t>Yildiz M, Oktay AA, Stewart MH, Milani R V., Ventura HO, Lavie CJ.</w:t>
      </w:r>
      <w:r w:rsidRPr="004661E9">
        <w:rPr>
          <w:rFonts w:ascii="Arial" w:hAnsi="Arial" w:cs="Arial"/>
          <w:noProof/>
        </w:rPr>
        <w:t xml:space="preserve"> Left ventricular hypertrophy and hypertension. </w:t>
      </w:r>
      <w:r w:rsidRPr="004661E9">
        <w:rPr>
          <w:rFonts w:ascii="Arial" w:hAnsi="Arial" w:cs="Arial"/>
          <w:iCs/>
          <w:noProof/>
        </w:rPr>
        <w:t>Prog. Cardiovasc. Dis.</w:t>
      </w:r>
      <w:r w:rsidRPr="004661E9">
        <w:rPr>
          <w:rFonts w:ascii="Arial" w:hAnsi="Arial" w:cs="Arial"/>
          <w:noProof/>
        </w:rPr>
        <w:t xml:space="preserve"> 2020;63:10–21.</w:t>
      </w:r>
    </w:p>
    <w:p w14:paraId="7018862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67. </w:t>
      </w:r>
      <w:r w:rsidRPr="004661E9">
        <w:rPr>
          <w:rFonts w:ascii="Arial" w:hAnsi="Arial" w:cs="Arial"/>
          <w:noProof/>
        </w:rPr>
        <w:tab/>
      </w:r>
      <w:r w:rsidRPr="004661E9">
        <w:rPr>
          <w:rFonts w:ascii="Arial" w:hAnsi="Arial" w:cs="Arial"/>
          <w:bCs/>
          <w:noProof/>
        </w:rPr>
        <w:t>Wang Y, Yang H, Huynh Q, Nolan M, Negishi K, Marwick TH.</w:t>
      </w:r>
      <w:r w:rsidRPr="004661E9">
        <w:rPr>
          <w:rFonts w:ascii="Arial" w:hAnsi="Arial" w:cs="Arial"/>
          <w:noProof/>
        </w:rPr>
        <w:t xml:space="preserve"> Diagnosis of Nonischemic Stage B Heart Failure in Type 2 Diabetes Mellitus: Optimal Parameters for Prediction of Heart Failure. </w:t>
      </w:r>
      <w:r w:rsidRPr="004661E9">
        <w:rPr>
          <w:rFonts w:ascii="Arial" w:hAnsi="Arial" w:cs="Arial"/>
          <w:iCs/>
          <w:noProof/>
        </w:rPr>
        <w:t>JACC Cardiovasc. Imaging</w:t>
      </w:r>
      <w:r w:rsidRPr="004661E9">
        <w:rPr>
          <w:rFonts w:ascii="Arial" w:hAnsi="Arial" w:cs="Arial"/>
          <w:noProof/>
        </w:rPr>
        <w:t xml:space="preserve"> 2018;11(10):1390–1400.</w:t>
      </w:r>
    </w:p>
    <w:p w14:paraId="77DEED1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68. </w:t>
      </w:r>
      <w:r w:rsidRPr="004661E9">
        <w:rPr>
          <w:rFonts w:ascii="Arial" w:hAnsi="Arial" w:cs="Arial"/>
          <w:noProof/>
        </w:rPr>
        <w:tab/>
      </w:r>
      <w:r w:rsidRPr="004661E9">
        <w:rPr>
          <w:rFonts w:ascii="Arial" w:hAnsi="Arial" w:cs="Arial"/>
          <w:bCs/>
          <w:noProof/>
        </w:rPr>
        <w:t>Dawson A, Morris AD, Struthers AD.</w:t>
      </w:r>
      <w:r w:rsidRPr="004661E9">
        <w:rPr>
          <w:rFonts w:ascii="Arial" w:hAnsi="Arial" w:cs="Arial"/>
          <w:noProof/>
        </w:rPr>
        <w:t xml:space="preserve"> The epidemiology of left ventricular hypertrophy in type 2 diabetes mellitus. </w:t>
      </w:r>
      <w:r w:rsidRPr="004661E9">
        <w:rPr>
          <w:rFonts w:ascii="Arial" w:hAnsi="Arial" w:cs="Arial"/>
          <w:iCs/>
          <w:noProof/>
        </w:rPr>
        <w:t>Diabetologia</w:t>
      </w:r>
      <w:r w:rsidRPr="004661E9">
        <w:rPr>
          <w:rFonts w:ascii="Arial" w:hAnsi="Arial" w:cs="Arial"/>
          <w:noProof/>
        </w:rPr>
        <w:t xml:space="preserve"> 2005;48(10):1971–1979.</w:t>
      </w:r>
    </w:p>
    <w:p w14:paraId="3E3984D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69. </w:t>
      </w:r>
      <w:r w:rsidRPr="004661E9">
        <w:rPr>
          <w:rFonts w:ascii="Arial" w:hAnsi="Arial" w:cs="Arial"/>
          <w:noProof/>
        </w:rPr>
        <w:tab/>
      </w:r>
      <w:r w:rsidRPr="004661E9">
        <w:rPr>
          <w:rFonts w:ascii="Arial" w:hAnsi="Arial" w:cs="Arial"/>
          <w:bCs/>
          <w:noProof/>
        </w:rPr>
        <w:t>Hamid A, Yimer WK, Oshunbade AA, Kamimura D, Clark D, Fox ER, Min YI, Muntner P, Shimbo D, Pandey A, Shah AM, Mentz RJ, Jones DW, Bertoni AG, Hall JE, Correa A, Butler J, Hall ME.</w:t>
      </w:r>
      <w:r w:rsidRPr="004661E9">
        <w:rPr>
          <w:rFonts w:ascii="Arial" w:hAnsi="Arial" w:cs="Arial"/>
          <w:noProof/>
        </w:rPr>
        <w:t xml:space="preserve"> Impact of Diabetes and Hypertension on Left Ventricular Structure and </w:t>
      </w:r>
      <w:r w:rsidRPr="004661E9">
        <w:rPr>
          <w:rFonts w:ascii="Arial" w:hAnsi="Arial" w:cs="Arial"/>
          <w:noProof/>
        </w:rPr>
        <w:lastRenderedPageBreak/>
        <w:t xml:space="preserve">Function: The Jackson Heart Study. </w:t>
      </w:r>
      <w:r w:rsidRPr="004661E9">
        <w:rPr>
          <w:rFonts w:ascii="Arial" w:hAnsi="Arial" w:cs="Arial"/>
          <w:iCs/>
          <w:noProof/>
        </w:rPr>
        <w:t>J. Am. Hear. Assoc. Cardiovasc. Cerebrovasc. Dis.</w:t>
      </w:r>
      <w:r w:rsidRPr="004661E9">
        <w:rPr>
          <w:rFonts w:ascii="Arial" w:hAnsi="Arial" w:cs="Arial"/>
          <w:noProof/>
        </w:rPr>
        <w:t xml:space="preserve"> 2023;12(6):26463.</w:t>
      </w:r>
    </w:p>
    <w:p w14:paraId="3FAAC41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70. </w:t>
      </w:r>
      <w:r w:rsidRPr="004661E9">
        <w:rPr>
          <w:rFonts w:ascii="Arial" w:hAnsi="Arial" w:cs="Arial"/>
          <w:noProof/>
        </w:rPr>
        <w:tab/>
      </w:r>
      <w:r w:rsidRPr="004661E9">
        <w:rPr>
          <w:rFonts w:ascii="Arial" w:hAnsi="Arial" w:cs="Arial"/>
          <w:bCs/>
          <w:noProof/>
        </w:rPr>
        <w:t>Velagaleti RS, Gona P, Chuang ML, Salton CJ, Fox CS, Blease SJ, Yeon SB, Manning WJ, O’Donnell CJ.</w:t>
      </w:r>
      <w:r w:rsidRPr="004661E9">
        <w:rPr>
          <w:rFonts w:ascii="Arial" w:hAnsi="Arial" w:cs="Arial"/>
          <w:noProof/>
        </w:rPr>
        <w:t xml:space="preserve"> Relations of insulin resistance and glycemic abnormalities to cardiovascular magnetic resonance measures of cardiac structure and function: the Framingham Heart Study. </w:t>
      </w:r>
      <w:r w:rsidRPr="004661E9">
        <w:rPr>
          <w:rFonts w:ascii="Arial" w:hAnsi="Arial" w:cs="Arial"/>
          <w:iCs/>
          <w:noProof/>
        </w:rPr>
        <w:t>Circ. Cardiovasc. Imaging</w:t>
      </w:r>
      <w:r w:rsidRPr="004661E9">
        <w:rPr>
          <w:rFonts w:ascii="Arial" w:hAnsi="Arial" w:cs="Arial"/>
          <w:noProof/>
        </w:rPr>
        <w:t xml:space="preserve"> 2010;3(3):257–63.</w:t>
      </w:r>
    </w:p>
    <w:p w14:paraId="15325E5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71. </w:t>
      </w:r>
      <w:r w:rsidRPr="004661E9">
        <w:rPr>
          <w:rFonts w:ascii="Arial" w:hAnsi="Arial" w:cs="Arial"/>
          <w:noProof/>
        </w:rPr>
        <w:tab/>
      </w:r>
      <w:r w:rsidRPr="004661E9">
        <w:rPr>
          <w:rFonts w:ascii="Arial" w:hAnsi="Arial" w:cs="Arial"/>
          <w:bCs/>
          <w:noProof/>
        </w:rPr>
        <w:t>Rutter MK, Parise H, Benjamin EJ, Levy D, Larson MG, Meigs JB, Nesto RW, Wilson PWF, Vasan RS.</w:t>
      </w:r>
      <w:r w:rsidRPr="004661E9">
        <w:rPr>
          <w:rFonts w:ascii="Arial" w:hAnsi="Arial" w:cs="Arial"/>
          <w:noProof/>
        </w:rPr>
        <w:t xml:space="preserve"> Impact of glucose intolerance and insulin resistance on cardiac structure and function: Sex-related differences in the Framingham Heart Study. </w:t>
      </w:r>
      <w:r w:rsidRPr="004661E9">
        <w:rPr>
          <w:rFonts w:ascii="Arial" w:hAnsi="Arial" w:cs="Arial"/>
          <w:iCs/>
          <w:noProof/>
        </w:rPr>
        <w:t>Circulation</w:t>
      </w:r>
      <w:r w:rsidRPr="004661E9">
        <w:rPr>
          <w:rFonts w:ascii="Arial" w:hAnsi="Arial" w:cs="Arial"/>
          <w:noProof/>
        </w:rPr>
        <w:t xml:space="preserve"> 2003;107(3):448–454.</w:t>
      </w:r>
    </w:p>
    <w:p w14:paraId="485AB06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72. </w:t>
      </w:r>
      <w:r w:rsidRPr="004661E9">
        <w:rPr>
          <w:rFonts w:ascii="Arial" w:hAnsi="Arial" w:cs="Arial"/>
          <w:noProof/>
        </w:rPr>
        <w:tab/>
      </w:r>
      <w:r w:rsidRPr="004661E9">
        <w:rPr>
          <w:rFonts w:ascii="Arial" w:hAnsi="Arial" w:cs="Arial"/>
          <w:bCs/>
          <w:noProof/>
        </w:rPr>
        <w:t>Kishi S, Gidding SS, Reis JP, Colangelo LA, Venkatesh BA, Armstrong AC, Isogawa A, Lewis CE, Wu C, Jacobs DR, Liu K, Lima JAC.</w:t>
      </w:r>
      <w:r w:rsidRPr="004661E9">
        <w:rPr>
          <w:rFonts w:ascii="Arial" w:hAnsi="Arial" w:cs="Arial"/>
          <w:noProof/>
        </w:rPr>
        <w:t xml:space="preserve"> Association of Insulin Resistance and Glycemic Metabolic Abnormalities With LV Structure and Function in Middle Age: The CARDIA Study. </w:t>
      </w:r>
      <w:r w:rsidRPr="004661E9">
        <w:rPr>
          <w:rFonts w:ascii="Arial" w:hAnsi="Arial" w:cs="Arial"/>
          <w:iCs/>
          <w:noProof/>
        </w:rPr>
        <w:t>JACC Cardiovasc. Imaging</w:t>
      </w:r>
      <w:r w:rsidRPr="004661E9">
        <w:rPr>
          <w:rFonts w:ascii="Arial" w:hAnsi="Arial" w:cs="Arial"/>
          <w:noProof/>
        </w:rPr>
        <w:t xml:space="preserve"> 2017;10(2):105–114.</w:t>
      </w:r>
    </w:p>
    <w:p w14:paraId="5A2D8BF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73. </w:t>
      </w:r>
      <w:r w:rsidRPr="004661E9">
        <w:rPr>
          <w:rFonts w:ascii="Arial" w:hAnsi="Arial" w:cs="Arial"/>
          <w:noProof/>
        </w:rPr>
        <w:tab/>
      </w:r>
      <w:r w:rsidRPr="004661E9">
        <w:rPr>
          <w:rFonts w:ascii="Arial" w:hAnsi="Arial" w:cs="Arial"/>
          <w:bCs/>
          <w:noProof/>
        </w:rPr>
        <w:t>From AM, Scott CG, Chen HH.</w:t>
      </w:r>
      <w:r w:rsidRPr="004661E9">
        <w:rPr>
          <w:rFonts w:ascii="Arial" w:hAnsi="Arial" w:cs="Arial"/>
          <w:noProof/>
        </w:rPr>
        <w:t xml:space="preserve"> The development of heart failure in patients with diabetes mellitus and pre-clinical diastolic dysfunction a population-based study. </w:t>
      </w:r>
      <w:r w:rsidRPr="004661E9">
        <w:rPr>
          <w:rFonts w:ascii="Arial" w:hAnsi="Arial" w:cs="Arial"/>
          <w:iCs/>
          <w:noProof/>
        </w:rPr>
        <w:t>J. Am. Coll. Cardiol.</w:t>
      </w:r>
      <w:r w:rsidRPr="004661E9">
        <w:rPr>
          <w:rFonts w:ascii="Arial" w:hAnsi="Arial" w:cs="Arial"/>
          <w:noProof/>
        </w:rPr>
        <w:t xml:space="preserve"> 2010;55(4):300–5.</w:t>
      </w:r>
    </w:p>
    <w:p w14:paraId="205EB5C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74. </w:t>
      </w:r>
      <w:r w:rsidRPr="004661E9">
        <w:rPr>
          <w:rFonts w:ascii="Arial" w:hAnsi="Arial" w:cs="Arial"/>
          <w:noProof/>
        </w:rPr>
        <w:tab/>
      </w:r>
      <w:r w:rsidRPr="004661E9">
        <w:rPr>
          <w:rFonts w:ascii="Arial" w:hAnsi="Arial" w:cs="Arial"/>
          <w:bCs/>
          <w:noProof/>
        </w:rPr>
        <w:t>Galderisi M.</w:t>
      </w:r>
      <w:r w:rsidRPr="004661E9">
        <w:rPr>
          <w:rFonts w:ascii="Arial" w:hAnsi="Arial" w:cs="Arial"/>
          <w:noProof/>
        </w:rPr>
        <w:t xml:space="preserve"> Diastolic Dysfunction and Diabetic Cardiomyopathy. Evaluation by Doppler Echocardiography. </w:t>
      </w:r>
      <w:r w:rsidRPr="004661E9">
        <w:rPr>
          <w:rFonts w:ascii="Arial" w:hAnsi="Arial" w:cs="Arial"/>
          <w:iCs/>
          <w:noProof/>
        </w:rPr>
        <w:t>J. Am. Coll. Cardiol.</w:t>
      </w:r>
      <w:r w:rsidRPr="004661E9">
        <w:rPr>
          <w:rFonts w:ascii="Arial" w:hAnsi="Arial" w:cs="Arial"/>
          <w:noProof/>
        </w:rPr>
        <w:t xml:space="preserve"> 2006;48(8):1548–1551.</w:t>
      </w:r>
    </w:p>
    <w:p w14:paraId="6C707E9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75. </w:t>
      </w:r>
      <w:r w:rsidRPr="004661E9">
        <w:rPr>
          <w:rFonts w:ascii="Arial" w:hAnsi="Arial" w:cs="Arial"/>
          <w:noProof/>
        </w:rPr>
        <w:tab/>
      </w:r>
      <w:r w:rsidRPr="004661E9">
        <w:rPr>
          <w:rFonts w:ascii="Arial" w:hAnsi="Arial" w:cs="Arial"/>
          <w:bCs/>
          <w:noProof/>
        </w:rPr>
        <w:t>Marwick TH, Ritchie R, Shaw JE, Kaye D.</w:t>
      </w:r>
      <w:r w:rsidRPr="004661E9">
        <w:rPr>
          <w:rFonts w:ascii="Arial" w:hAnsi="Arial" w:cs="Arial"/>
          <w:noProof/>
        </w:rPr>
        <w:t xml:space="preserve"> Implications of Underlying Mechanisms for the Recognition and Management of Diabetic Cardiomyopathy. </w:t>
      </w:r>
      <w:r w:rsidRPr="004661E9">
        <w:rPr>
          <w:rFonts w:ascii="Arial" w:hAnsi="Arial" w:cs="Arial"/>
          <w:iCs/>
          <w:noProof/>
        </w:rPr>
        <w:t>J. Am. Coll. Cardiol.</w:t>
      </w:r>
      <w:r w:rsidRPr="004661E9">
        <w:rPr>
          <w:rFonts w:ascii="Arial" w:hAnsi="Arial" w:cs="Arial"/>
          <w:noProof/>
        </w:rPr>
        <w:t xml:space="preserve"> 2018;71(3):339–351.</w:t>
      </w:r>
    </w:p>
    <w:p w14:paraId="32B544E4"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76. </w:t>
      </w:r>
      <w:r w:rsidRPr="004661E9">
        <w:rPr>
          <w:rFonts w:ascii="Arial" w:hAnsi="Arial" w:cs="Arial"/>
          <w:noProof/>
        </w:rPr>
        <w:tab/>
      </w:r>
      <w:r w:rsidRPr="004661E9">
        <w:rPr>
          <w:rFonts w:ascii="Arial" w:hAnsi="Arial" w:cs="Arial"/>
          <w:bCs/>
          <w:noProof/>
        </w:rPr>
        <w:t>Zhang L, Liebelt JJ, Madan N, Shan J, Taub CC.</w:t>
      </w:r>
      <w:r w:rsidRPr="004661E9">
        <w:rPr>
          <w:rFonts w:ascii="Arial" w:hAnsi="Arial" w:cs="Arial"/>
          <w:noProof/>
        </w:rPr>
        <w:t xml:space="preserve"> Comparison of Predictors of Heart Failure With Preserved Versus Reduced Ejection Fraction in a Multiracial Cohort of Preclinical Left Ventricular Diastolic Dysfunction. </w:t>
      </w:r>
      <w:r w:rsidRPr="004661E9">
        <w:rPr>
          <w:rFonts w:ascii="Arial" w:hAnsi="Arial" w:cs="Arial"/>
          <w:iCs/>
          <w:noProof/>
        </w:rPr>
        <w:t>Am. J. Cardiol.</w:t>
      </w:r>
      <w:r w:rsidRPr="004661E9">
        <w:rPr>
          <w:rFonts w:ascii="Arial" w:hAnsi="Arial" w:cs="Arial"/>
          <w:noProof/>
        </w:rPr>
        <w:t xml:space="preserve"> 2017;119(11):1815–1820.</w:t>
      </w:r>
    </w:p>
    <w:p w14:paraId="6F20B72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77. </w:t>
      </w:r>
      <w:r w:rsidRPr="004661E9">
        <w:rPr>
          <w:rFonts w:ascii="Arial" w:hAnsi="Arial" w:cs="Arial"/>
          <w:noProof/>
        </w:rPr>
        <w:tab/>
      </w:r>
      <w:r w:rsidRPr="004661E9">
        <w:rPr>
          <w:rFonts w:ascii="Arial" w:hAnsi="Arial" w:cs="Arial"/>
          <w:bCs/>
          <w:noProof/>
        </w:rPr>
        <w:t>Potter E, Marwick TH.</w:t>
      </w:r>
      <w:r w:rsidRPr="004661E9">
        <w:rPr>
          <w:rFonts w:ascii="Arial" w:hAnsi="Arial" w:cs="Arial"/>
          <w:noProof/>
        </w:rPr>
        <w:t xml:space="preserve"> Assessment of Left Ventricular Function by Echocardiography: The Case for Routinely Adding Global Longitudinal Strain to Ejection Fraction. </w:t>
      </w:r>
      <w:r w:rsidRPr="004661E9">
        <w:rPr>
          <w:rFonts w:ascii="Arial" w:hAnsi="Arial" w:cs="Arial"/>
          <w:iCs/>
          <w:noProof/>
        </w:rPr>
        <w:t>JACC Cardiovasc. Imaging</w:t>
      </w:r>
      <w:r w:rsidRPr="004661E9">
        <w:rPr>
          <w:rFonts w:ascii="Arial" w:hAnsi="Arial" w:cs="Arial"/>
          <w:noProof/>
        </w:rPr>
        <w:t xml:space="preserve"> 2018;11(2P1):260–274.</w:t>
      </w:r>
    </w:p>
    <w:p w14:paraId="551FCC6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78. </w:t>
      </w:r>
      <w:r w:rsidRPr="004661E9">
        <w:rPr>
          <w:rFonts w:ascii="Arial" w:hAnsi="Arial" w:cs="Arial"/>
          <w:noProof/>
        </w:rPr>
        <w:tab/>
      </w:r>
      <w:r w:rsidRPr="004661E9">
        <w:rPr>
          <w:rFonts w:ascii="Arial" w:hAnsi="Arial" w:cs="Arial"/>
          <w:bCs/>
          <w:noProof/>
        </w:rPr>
        <w:t>Smiseth OA, Torp H, Opdahl A, Haugaa KH, Urheim S.</w:t>
      </w:r>
      <w:r w:rsidRPr="004661E9">
        <w:rPr>
          <w:rFonts w:ascii="Arial" w:hAnsi="Arial" w:cs="Arial"/>
          <w:noProof/>
        </w:rPr>
        <w:t xml:space="preserve"> Myocardial strain imaging: how useful is it in clinical decision making? </w:t>
      </w:r>
      <w:r w:rsidRPr="004661E9">
        <w:rPr>
          <w:rFonts w:ascii="Arial" w:hAnsi="Arial" w:cs="Arial"/>
          <w:iCs/>
          <w:noProof/>
        </w:rPr>
        <w:t>Eur. Heart J.</w:t>
      </w:r>
      <w:r w:rsidRPr="004661E9">
        <w:rPr>
          <w:rFonts w:ascii="Arial" w:hAnsi="Arial" w:cs="Arial"/>
          <w:noProof/>
        </w:rPr>
        <w:t xml:space="preserve"> 2016;37(15):1196–1207.</w:t>
      </w:r>
    </w:p>
    <w:p w14:paraId="3FF0847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79. </w:t>
      </w:r>
      <w:r w:rsidRPr="004661E9">
        <w:rPr>
          <w:rFonts w:ascii="Arial" w:hAnsi="Arial" w:cs="Arial"/>
          <w:noProof/>
        </w:rPr>
        <w:tab/>
      </w:r>
      <w:r w:rsidRPr="004661E9">
        <w:rPr>
          <w:rFonts w:ascii="Arial" w:hAnsi="Arial" w:cs="Arial"/>
          <w:bCs/>
          <w:noProof/>
        </w:rPr>
        <w:t>Holland DJ, Marwick TH, Haluska BA, Leano R, Hordern MD, Hare JL, Fang ZY, Prins JB, Stanton T.</w:t>
      </w:r>
      <w:r w:rsidRPr="004661E9">
        <w:rPr>
          <w:rFonts w:ascii="Arial" w:hAnsi="Arial" w:cs="Arial"/>
          <w:noProof/>
        </w:rPr>
        <w:t xml:space="preserve"> Subclinical LV dysfunction and 10-year outcomes in type 2 diabetes mellitus. </w:t>
      </w:r>
      <w:r w:rsidRPr="004661E9">
        <w:rPr>
          <w:rFonts w:ascii="Arial" w:hAnsi="Arial" w:cs="Arial"/>
          <w:iCs/>
          <w:noProof/>
        </w:rPr>
        <w:t>Heart</w:t>
      </w:r>
      <w:r w:rsidRPr="004661E9">
        <w:rPr>
          <w:rFonts w:ascii="Arial" w:hAnsi="Arial" w:cs="Arial"/>
          <w:noProof/>
        </w:rPr>
        <w:t xml:space="preserve"> 2015;101(13):1061–1066.</w:t>
      </w:r>
    </w:p>
    <w:p w14:paraId="0916EAA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80. </w:t>
      </w:r>
      <w:r w:rsidRPr="004661E9">
        <w:rPr>
          <w:rFonts w:ascii="Arial" w:hAnsi="Arial" w:cs="Arial"/>
          <w:noProof/>
        </w:rPr>
        <w:tab/>
      </w:r>
      <w:r w:rsidRPr="004661E9">
        <w:rPr>
          <w:rFonts w:ascii="Arial" w:hAnsi="Arial" w:cs="Arial"/>
          <w:bCs/>
          <w:noProof/>
        </w:rPr>
        <w:t>Enomoto M, Ishizu T, Seo Y, Yamamoto M, Suzuki H, Shimano H, Kawakami Y, Aonuma K.</w:t>
      </w:r>
      <w:r w:rsidRPr="004661E9">
        <w:rPr>
          <w:rFonts w:ascii="Arial" w:hAnsi="Arial" w:cs="Arial"/>
          <w:noProof/>
        </w:rPr>
        <w:t xml:space="preserve"> Subendocardial Systolic Dysfunction in Asymptomatic Normotensive Diabetic Patients. </w:t>
      </w:r>
      <w:r w:rsidRPr="004661E9">
        <w:rPr>
          <w:rFonts w:ascii="Arial" w:hAnsi="Arial" w:cs="Arial"/>
          <w:iCs/>
          <w:noProof/>
        </w:rPr>
        <w:t>Circ. J.</w:t>
      </w:r>
      <w:r w:rsidRPr="004661E9">
        <w:rPr>
          <w:rFonts w:ascii="Arial" w:hAnsi="Arial" w:cs="Arial"/>
          <w:noProof/>
        </w:rPr>
        <w:t xml:space="preserve"> 2015;79(8):1749–1755.</w:t>
      </w:r>
    </w:p>
    <w:p w14:paraId="4F33DFB4"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81. </w:t>
      </w:r>
      <w:r w:rsidRPr="004661E9">
        <w:rPr>
          <w:rFonts w:ascii="Arial" w:hAnsi="Arial" w:cs="Arial"/>
          <w:noProof/>
        </w:rPr>
        <w:tab/>
      </w:r>
      <w:r w:rsidRPr="004661E9">
        <w:rPr>
          <w:rFonts w:ascii="Arial" w:hAnsi="Arial" w:cs="Arial"/>
          <w:bCs/>
          <w:noProof/>
        </w:rPr>
        <w:t>Haley JE, Zhiqian G, Philip KR, Nicolas ML, Thomas KR, Lawrence DM, Elaine UM.</w:t>
      </w:r>
      <w:r w:rsidRPr="004661E9">
        <w:rPr>
          <w:rFonts w:ascii="Arial" w:hAnsi="Arial" w:cs="Arial"/>
          <w:noProof/>
        </w:rPr>
        <w:t xml:space="preserve"> Reduction in myocardial strain is evident in adolescents and young adults with obesity and type 2 diabetes. </w:t>
      </w:r>
      <w:r w:rsidRPr="004661E9">
        <w:rPr>
          <w:rFonts w:ascii="Arial" w:hAnsi="Arial" w:cs="Arial"/>
          <w:iCs/>
          <w:noProof/>
        </w:rPr>
        <w:t>Pediatr. Diabetes</w:t>
      </w:r>
      <w:r w:rsidRPr="004661E9">
        <w:rPr>
          <w:rFonts w:ascii="Arial" w:hAnsi="Arial" w:cs="Arial"/>
          <w:noProof/>
        </w:rPr>
        <w:t xml:space="preserve"> 2020;21(2):243–250.</w:t>
      </w:r>
    </w:p>
    <w:p w14:paraId="1419E59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82. </w:t>
      </w:r>
      <w:r w:rsidRPr="004661E9">
        <w:rPr>
          <w:rFonts w:ascii="Arial" w:hAnsi="Arial" w:cs="Arial"/>
          <w:noProof/>
        </w:rPr>
        <w:tab/>
      </w:r>
      <w:r w:rsidRPr="004661E9">
        <w:rPr>
          <w:rFonts w:ascii="Arial" w:hAnsi="Arial" w:cs="Arial"/>
          <w:bCs/>
          <w:noProof/>
        </w:rPr>
        <w:t>Rakha S, Aboelenin HM.</w:t>
      </w:r>
      <w:r w:rsidRPr="004661E9">
        <w:rPr>
          <w:rFonts w:ascii="Arial" w:hAnsi="Arial" w:cs="Arial"/>
          <w:noProof/>
        </w:rPr>
        <w:t xml:space="preserve"> Left ventricular functions in pediatric patients with ten years or more type 1 diabetes mellitus: Conventional echocardiography, tissue Doppler, and two-dimensional speckle tracking study. </w:t>
      </w:r>
      <w:r w:rsidRPr="004661E9">
        <w:rPr>
          <w:rFonts w:ascii="Arial" w:hAnsi="Arial" w:cs="Arial"/>
          <w:iCs/>
          <w:noProof/>
        </w:rPr>
        <w:t>Pediatr. Diabetes</w:t>
      </w:r>
      <w:r w:rsidRPr="004661E9">
        <w:rPr>
          <w:rFonts w:ascii="Arial" w:hAnsi="Arial" w:cs="Arial"/>
          <w:noProof/>
        </w:rPr>
        <w:t xml:space="preserve"> 2019;20(7):946–954.</w:t>
      </w:r>
    </w:p>
    <w:p w14:paraId="4089AC9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83. </w:t>
      </w:r>
      <w:r w:rsidRPr="004661E9">
        <w:rPr>
          <w:rFonts w:ascii="Arial" w:hAnsi="Arial" w:cs="Arial"/>
          <w:noProof/>
        </w:rPr>
        <w:tab/>
      </w:r>
      <w:r w:rsidRPr="004661E9">
        <w:rPr>
          <w:rFonts w:ascii="Arial" w:hAnsi="Arial" w:cs="Arial"/>
          <w:bCs/>
          <w:noProof/>
        </w:rPr>
        <w:t xml:space="preserve">Skali H, Shah A, Gupta DK, Cheng S, Claggett B, Liu J, Bello N, Aguilar D, Vardeny O, </w:t>
      </w:r>
      <w:r w:rsidRPr="004661E9">
        <w:rPr>
          <w:rFonts w:ascii="Arial" w:hAnsi="Arial" w:cs="Arial"/>
          <w:bCs/>
          <w:noProof/>
        </w:rPr>
        <w:lastRenderedPageBreak/>
        <w:t>Matsushita K, Selvin E, Solomon S.</w:t>
      </w:r>
      <w:r w:rsidRPr="004661E9">
        <w:rPr>
          <w:rFonts w:ascii="Arial" w:hAnsi="Arial" w:cs="Arial"/>
          <w:noProof/>
        </w:rPr>
        <w:t xml:space="preserve"> Cardiac Structure and Function Across the Glycemic Spectrum in Elderly Men and Women Free of Prevalent Heart Disease: The Atherosclerosis Risk in the Community Study. </w:t>
      </w:r>
      <w:r w:rsidRPr="004661E9">
        <w:rPr>
          <w:rFonts w:ascii="Arial" w:hAnsi="Arial" w:cs="Arial"/>
          <w:iCs/>
          <w:noProof/>
        </w:rPr>
        <w:t>Circ. Hear. Fail.</w:t>
      </w:r>
      <w:r w:rsidRPr="004661E9">
        <w:rPr>
          <w:rFonts w:ascii="Arial" w:hAnsi="Arial" w:cs="Arial"/>
          <w:noProof/>
        </w:rPr>
        <w:t xml:space="preserve"> 2015;8(3):448–454.</w:t>
      </w:r>
    </w:p>
    <w:p w14:paraId="7CAF1BC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84. </w:t>
      </w:r>
      <w:r w:rsidRPr="004661E9">
        <w:rPr>
          <w:rFonts w:ascii="Arial" w:hAnsi="Arial" w:cs="Arial"/>
          <w:noProof/>
        </w:rPr>
        <w:tab/>
      </w:r>
      <w:r w:rsidRPr="004661E9">
        <w:rPr>
          <w:rFonts w:ascii="Arial" w:hAnsi="Arial" w:cs="Arial"/>
          <w:bCs/>
          <w:noProof/>
        </w:rPr>
        <w:t>Rørth R, Jhund PS, Mogensen UM, Kristensen SL, Petrie MC, Køber L, McMurray JJV.</w:t>
      </w:r>
      <w:r w:rsidRPr="004661E9">
        <w:rPr>
          <w:rFonts w:ascii="Arial" w:hAnsi="Arial" w:cs="Arial"/>
          <w:noProof/>
        </w:rPr>
        <w:t xml:space="preserve"> Risk of incident heart failure in patients with diabetes and asymptomatic left ventricular systolic dysfunction. </w:t>
      </w:r>
      <w:r w:rsidRPr="004661E9">
        <w:rPr>
          <w:rFonts w:ascii="Arial" w:hAnsi="Arial" w:cs="Arial"/>
          <w:iCs/>
          <w:noProof/>
        </w:rPr>
        <w:t>Diabetes Care</w:t>
      </w:r>
      <w:r w:rsidRPr="004661E9">
        <w:rPr>
          <w:rFonts w:ascii="Arial" w:hAnsi="Arial" w:cs="Arial"/>
          <w:noProof/>
        </w:rPr>
        <w:t xml:space="preserve"> 2018;41(6):1285–1291.</w:t>
      </w:r>
    </w:p>
    <w:p w14:paraId="64C9BC5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85. </w:t>
      </w:r>
      <w:r w:rsidRPr="004661E9">
        <w:rPr>
          <w:rFonts w:ascii="Arial" w:hAnsi="Arial" w:cs="Arial"/>
          <w:noProof/>
        </w:rPr>
        <w:tab/>
      </w:r>
      <w:r w:rsidRPr="004661E9">
        <w:rPr>
          <w:rFonts w:ascii="Arial" w:hAnsi="Arial" w:cs="Arial"/>
          <w:bCs/>
          <w:noProof/>
        </w:rPr>
        <w:t>Leung M, Wong VW, Hudson M, Leung DY.</w:t>
      </w:r>
      <w:r w:rsidRPr="004661E9">
        <w:rPr>
          <w:rFonts w:ascii="Arial" w:hAnsi="Arial" w:cs="Arial"/>
          <w:noProof/>
        </w:rPr>
        <w:t xml:space="preserve"> Impact of Improved Glycemic Control on Cardiac Function in Type 2 Diabetes Mellitus. </w:t>
      </w:r>
      <w:r w:rsidRPr="004661E9">
        <w:rPr>
          <w:rFonts w:ascii="Arial" w:hAnsi="Arial" w:cs="Arial"/>
          <w:iCs/>
          <w:noProof/>
        </w:rPr>
        <w:t>Circ. Cardiovasc. Imaging</w:t>
      </w:r>
      <w:r w:rsidRPr="004661E9">
        <w:rPr>
          <w:rFonts w:ascii="Arial" w:hAnsi="Arial" w:cs="Arial"/>
          <w:noProof/>
        </w:rPr>
        <w:t xml:space="preserve"> 2016;9(3):e003643.</w:t>
      </w:r>
    </w:p>
    <w:p w14:paraId="2A4A689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86. </w:t>
      </w:r>
      <w:r w:rsidRPr="004661E9">
        <w:rPr>
          <w:rFonts w:ascii="Arial" w:hAnsi="Arial" w:cs="Arial"/>
          <w:noProof/>
        </w:rPr>
        <w:tab/>
      </w:r>
      <w:r w:rsidRPr="004661E9">
        <w:rPr>
          <w:rFonts w:ascii="Arial" w:hAnsi="Arial" w:cs="Arial"/>
          <w:bCs/>
          <w:noProof/>
        </w:rPr>
        <w:t>Packer M.</w:t>
      </w:r>
      <w:r w:rsidRPr="004661E9">
        <w:rPr>
          <w:rFonts w:ascii="Arial" w:hAnsi="Arial" w:cs="Arial"/>
          <w:noProof/>
        </w:rPr>
        <w:t xml:space="preserve"> Differential Pathophysiological Mechanisms in Heart Failure With a Reduced or Preserved Ejection Fraction in Diabetes. </w:t>
      </w:r>
      <w:r w:rsidRPr="004661E9">
        <w:rPr>
          <w:rFonts w:ascii="Arial" w:hAnsi="Arial" w:cs="Arial"/>
          <w:iCs/>
          <w:noProof/>
        </w:rPr>
        <w:t>JACC Hear. Fail.</w:t>
      </w:r>
      <w:r w:rsidRPr="004661E9">
        <w:rPr>
          <w:rFonts w:ascii="Arial" w:hAnsi="Arial" w:cs="Arial"/>
          <w:noProof/>
        </w:rPr>
        <w:t xml:space="preserve"> 2021;9(8):535–549.</w:t>
      </w:r>
    </w:p>
    <w:p w14:paraId="039B115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87. </w:t>
      </w:r>
      <w:r w:rsidRPr="004661E9">
        <w:rPr>
          <w:rFonts w:ascii="Arial" w:hAnsi="Arial" w:cs="Arial"/>
          <w:noProof/>
        </w:rPr>
        <w:tab/>
      </w:r>
      <w:r w:rsidRPr="004661E9">
        <w:rPr>
          <w:rFonts w:ascii="Arial" w:hAnsi="Arial" w:cs="Arial"/>
          <w:bCs/>
          <w:noProof/>
        </w:rPr>
        <w:t>Bertero E, Maack C.</w:t>
      </w:r>
      <w:r w:rsidRPr="004661E9">
        <w:rPr>
          <w:rFonts w:ascii="Arial" w:hAnsi="Arial" w:cs="Arial"/>
          <w:noProof/>
        </w:rPr>
        <w:t xml:space="preserve"> Metabolic remodelling in heart failure. </w:t>
      </w:r>
      <w:r w:rsidRPr="004661E9">
        <w:rPr>
          <w:rFonts w:ascii="Arial" w:hAnsi="Arial" w:cs="Arial"/>
          <w:iCs/>
          <w:noProof/>
        </w:rPr>
        <w:t>Nat. Rev. Cardiol.</w:t>
      </w:r>
      <w:r w:rsidRPr="004661E9">
        <w:rPr>
          <w:rFonts w:ascii="Arial" w:hAnsi="Arial" w:cs="Arial"/>
          <w:noProof/>
        </w:rPr>
        <w:t xml:space="preserve"> 2018;15(8):457–470.</w:t>
      </w:r>
    </w:p>
    <w:p w14:paraId="6EF42D8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88. </w:t>
      </w:r>
      <w:r w:rsidRPr="004661E9">
        <w:rPr>
          <w:rFonts w:ascii="Arial" w:hAnsi="Arial" w:cs="Arial"/>
          <w:noProof/>
        </w:rPr>
        <w:tab/>
      </w:r>
      <w:r w:rsidRPr="004661E9">
        <w:rPr>
          <w:rFonts w:ascii="Arial" w:hAnsi="Arial" w:cs="Arial"/>
          <w:bCs/>
          <w:noProof/>
        </w:rPr>
        <w:t>Marfella R, Amarelli C, Cacciatore F, Balestrieri ML, Mansueto G, D’Onofrio N, Esposito S, Mattucci I, Salerno G, De Feo M, D’Amico M, Golino P, Maiello C, Paolisso G, Napoli C.</w:t>
      </w:r>
      <w:r w:rsidRPr="004661E9">
        <w:rPr>
          <w:rFonts w:ascii="Arial" w:hAnsi="Arial" w:cs="Arial"/>
          <w:noProof/>
        </w:rPr>
        <w:t xml:space="preserve"> Lipid Accumulation in Hearts Transplanted From Nondiabetic Donors to Diabetic Recipients. </w:t>
      </w:r>
      <w:r w:rsidRPr="004661E9">
        <w:rPr>
          <w:rFonts w:ascii="Arial" w:hAnsi="Arial" w:cs="Arial"/>
          <w:iCs/>
          <w:noProof/>
        </w:rPr>
        <w:t>J. Am. Coll. Cardiol.</w:t>
      </w:r>
      <w:r w:rsidRPr="004661E9">
        <w:rPr>
          <w:rFonts w:ascii="Arial" w:hAnsi="Arial" w:cs="Arial"/>
          <w:noProof/>
        </w:rPr>
        <w:t xml:space="preserve"> 2020;75(11):1249–1262.</w:t>
      </w:r>
    </w:p>
    <w:p w14:paraId="2884BEB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89. </w:t>
      </w:r>
      <w:r w:rsidRPr="004661E9">
        <w:rPr>
          <w:rFonts w:ascii="Arial" w:hAnsi="Arial" w:cs="Arial"/>
          <w:noProof/>
        </w:rPr>
        <w:tab/>
      </w:r>
      <w:r w:rsidRPr="004661E9">
        <w:rPr>
          <w:rFonts w:ascii="Arial" w:hAnsi="Arial" w:cs="Arial"/>
          <w:bCs/>
          <w:noProof/>
        </w:rPr>
        <w:t>Doehner W, Rauchhaus M, Ponikowski P, Godsland IF, von Haehling S, Okonko DO, Leyva F, Proudler AJ, Coats AJS, Anker SD.</w:t>
      </w:r>
      <w:r w:rsidRPr="004661E9">
        <w:rPr>
          <w:rFonts w:ascii="Arial" w:hAnsi="Arial" w:cs="Arial"/>
          <w:noProof/>
        </w:rPr>
        <w:t xml:space="preserve"> Impaired insulin sensitivity as an independent risk factor for mortality in patients with stable chronic heart failure. </w:t>
      </w:r>
      <w:r w:rsidRPr="004661E9">
        <w:rPr>
          <w:rFonts w:ascii="Arial" w:hAnsi="Arial" w:cs="Arial"/>
          <w:iCs/>
          <w:noProof/>
        </w:rPr>
        <w:t>J. Am. Coll. Cardiol.</w:t>
      </w:r>
      <w:r w:rsidRPr="004661E9">
        <w:rPr>
          <w:rFonts w:ascii="Arial" w:hAnsi="Arial" w:cs="Arial"/>
          <w:noProof/>
        </w:rPr>
        <w:t xml:space="preserve"> 2005;46(6):1019–26.</w:t>
      </w:r>
    </w:p>
    <w:p w14:paraId="0794239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90. </w:t>
      </w:r>
      <w:r w:rsidRPr="004661E9">
        <w:rPr>
          <w:rFonts w:ascii="Arial" w:hAnsi="Arial" w:cs="Arial"/>
          <w:noProof/>
        </w:rPr>
        <w:tab/>
      </w:r>
      <w:r w:rsidRPr="004661E9">
        <w:rPr>
          <w:rFonts w:ascii="Arial" w:hAnsi="Arial" w:cs="Arial"/>
          <w:bCs/>
          <w:noProof/>
        </w:rPr>
        <w:t>Sanganalmath SK, Dubey S, Veeranki S, Narisetty K, Krishnamurthy P.</w:t>
      </w:r>
      <w:r w:rsidRPr="004661E9">
        <w:rPr>
          <w:rFonts w:ascii="Arial" w:hAnsi="Arial" w:cs="Arial"/>
          <w:noProof/>
        </w:rPr>
        <w:t xml:space="preserve"> The interplay of inflammation, exosomes and Ca2+ dynamics in diabetic cardiomyopathy. </w:t>
      </w:r>
      <w:r w:rsidRPr="004661E9">
        <w:rPr>
          <w:rFonts w:ascii="Arial" w:hAnsi="Arial" w:cs="Arial"/>
          <w:iCs/>
          <w:noProof/>
        </w:rPr>
        <w:t>Cardiovasc. Diabetol.</w:t>
      </w:r>
      <w:r w:rsidRPr="004661E9">
        <w:rPr>
          <w:rFonts w:ascii="Arial" w:hAnsi="Arial" w:cs="Arial"/>
          <w:noProof/>
        </w:rPr>
        <w:t xml:space="preserve"> 2023;22(1):1–22.</w:t>
      </w:r>
    </w:p>
    <w:p w14:paraId="5926B79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91. </w:t>
      </w:r>
      <w:r w:rsidRPr="004661E9">
        <w:rPr>
          <w:rFonts w:ascii="Arial" w:hAnsi="Arial" w:cs="Arial"/>
          <w:noProof/>
        </w:rPr>
        <w:tab/>
      </w:r>
      <w:r w:rsidRPr="004661E9">
        <w:rPr>
          <w:rFonts w:ascii="Arial" w:hAnsi="Arial" w:cs="Arial"/>
          <w:bCs/>
          <w:noProof/>
        </w:rPr>
        <w:t>Jia G, Whaley-Connell A, Sowers JR.</w:t>
      </w:r>
      <w:r w:rsidRPr="004661E9">
        <w:rPr>
          <w:rFonts w:ascii="Arial" w:hAnsi="Arial" w:cs="Arial"/>
          <w:noProof/>
        </w:rPr>
        <w:t xml:space="preserve"> Diabetic cardiomyopathy: a hyperglycaemia- and insulin-resistance-induced heart disease. </w:t>
      </w:r>
      <w:r w:rsidRPr="004661E9">
        <w:rPr>
          <w:rFonts w:ascii="Arial" w:hAnsi="Arial" w:cs="Arial"/>
          <w:iCs/>
          <w:noProof/>
        </w:rPr>
        <w:t>Diabetologia</w:t>
      </w:r>
      <w:r w:rsidRPr="004661E9">
        <w:rPr>
          <w:rFonts w:ascii="Arial" w:hAnsi="Arial" w:cs="Arial"/>
          <w:noProof/>
        </w:rPr>
        <w:t xml:space="preserve"> 2018;61(1):21–28.</w:t>
      </w:r>
    </w:p>
    <w:p w14:paraId="3D5E043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92. </w:t>
      </w:r>
      <w:r w:rsidRPr="004661E9">
        <w:rPr>
          <w:rFonts w:ascii="Arial" w:hAnsi="Arial" w:cs="Arial"/>
          <w:noProof/>
        </w:rPr>
        <w:tab/>
      </w:r>
      <w:r w:rsidRPr="004661E9">
        <w:rPr>
          <w:rFonts w:ascii="Arial" w:hAnsi="Arial" w:cs="Arial"/>
          <w:bCs/>
          <w:noProof/>
        </w:rPr>
        <w:t>Falcão-Pires I, Hamdani N, Borbély A, Gavina C, Schalkwijk CG, van der Velden J, van Heerebeek L, Stienen GJM, Niessen HWM, Leite-Moreira AF, Paulus WJ.</w:t>
      </w:r>
      <w:r w:rsidRPr="004661E9">
        <w:rPr>
          <w:rFonts w:ascii="Arial" w:hAnsi="Arial" w:cs="Arial"/>
          <w:noProof/>
        </w:rPr>
        <w:t xml:space="preserve"> Diabetes mellitus worsens diastolic left ventricular dysfunction in aortic stenosis through altered myocardial structure and cardiomyocyte stiffness. </w:t>
      </w:r>
      <w:r w:rsidRPr="004661E9">
        <w:rPr>
          <w:rFonts w:ascii="Arial" w:hAnsi="Arial" w:cs="Arial"/>
          <w:iCs/>
          <w:noProof/>
        </w:rPr>
        <w:t>Circulation</w:t>
      </w:r>
      <w:r w:rsidRPr="004661E9">
        <w:rPr>
          <w:rFonts w:ascii="Arial" w:hAnsi="Arial" w:cs="Arial"/>
          <w:noProof/>
        </w:rPr>
        <w:t xml:space="preserve"> 2011;124(10):1151–9.</w:t>
      </w:r>
    </w:p>
    <w:p w14:paraId="5AD5263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93. </w:t>
      </w:r>
      <w:r w:rsidRPr="004661E9">
        <w:rPr>
          <w:rFonts w:ascii="Arial" w:hAnsi="Arial" w:cs="Arial"/>
          <w:noProof/>
        </w:rPr>
        <w:tab/>
      </w:r>
      <w:r w:rsidRPr="004661E9">
        <w:rPr>
          <w:rFonts w:ascii="Arial" w:hAnsi="Arial" w:cs="Arial"/>
          <w:bCs/>
          <w:noProof/>
        </w:rPr>
        <w:t>Hinkel R, Hoewe A, Renner S, Ng J, Lee S, Klett K, Kaczmarek V, Moretti A, Laugwitz KL, Skroblin P, Mayr M, Milting H, Dendorfer A, Reichart B, Wolf E, Kupatt C.</w:t>
      </w:r>
      <w:r w:rsidRPr="004661E9">
        <w:rPr>
          <w:rFonts w:ascii="Arial" w:hAnsi="Arial" w:cs="Arial"/>
          <w:noProof/>
        </w:rPr>
        <w:t xml:space="preserve"> Diabetes Mellitus–Induced Microvascular Destabilization in the Myocardium. </w:t>
      </w:r>
      <w:r w:rsidRPr="004661E9">
        <w:rPr>
          <w:rFonts w:ascii="Arial" w:hAnsi="Arial" w:cs="Arial"/>
          <w:iCs/>
          <w:noProof/>
        </w:rPr>
        <w:t>J. Am. Coll. Cardiol.</w:t>
      </w:r>
      <w:r w:rsidRPr="004661E9">
        <w:rPr>
          <w:rFonts w:ascii="Arial" w:hAnsi="Arial" w:cs="Arial"/>
          <w:noProof/>
        </w:rPr>
        <w:t xml:space="preserve"> 2017;69(2):131–143.</w:t>
      </w:r>
    </w:p>
    <w:p w14:paraId="3E291E6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94. </w:t>
      </w:r>
      <w:r w:rsidRPr="004661E9">
        <w:rPr>
          <w:rFonts w:ascii="Arial" w:hAnsi="Arial" w:cs="Arial"/>
          <w:noProof/>
        </w:rPr>
        <w:tab/>
      </w:r>
      <w:r w:rsidRPr="004661E9">
        <w:rPr>
          <w:rFonts w:ascii="Arial" w:hAnsi="Arial" w:cs="Arial"/>
          <w:bCs/>
          <w:noProof/>
        </w:rPr>
        <w:t>DeFuria J, Belkina AC, Jagannathan-Bogdan M, Snyder-Cappione J, Carr JD, Nersesova YR, Markham D, Strissel KJ, Watkins A a, Zhu M, Allen J, Bouchard J, Toraldo G, Jasuja R, Obin MS, McDonnell ME, Apovian C, Denis G V, Nikolajczyk BS.</w:t>
      </w:r>
      <w:r w:rsidRPr="004661E9">
        <w:rPr>
          <w:rFonts w:ascii="Arial" w:hAnsi="Arial" w:cs="Arial"/>
          <w:noProof/>
        </w:rPr>
        <w:t xml:space="preserve"> B cells promote inflammation in obesity and type 2 diabetes through regulation of T-cell function and an inflammatory cytokine profile. </w:t>
      </w:r>
      <w:r w:rsidRPr="004661E9">
        <w:rPr>
          <w:rFonts w:ascii="Arial" w:hAnsi="Arial" w:cs="Arial"/>
          <w:iCs/>
          <w:noProof/>
        </w:rPr>
        <w:t>Proc. Natl. Acad. Sci. U. S. A.</w:t>
      </w:r>
      <w:r w:rsidRPr="004661E9">
        <w:rPr>
          <w:rFonts w:ascii="Arial" w:hAnsi="Arial" w:cs="Arial"/>
          <w:noProof/>
        </w:rPr>
        <w:t xml:space="preserve"> 2013;110(13):5133–8.</w:t>
      </w:r>
    </w:p>
    <w:p w14:paraId="4A80DF6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95. </w:t>
      </w:r>
      <w:r w:rsidRPr="004661E9">
        <w:rPr>
          <w:rFonts w:ascii="Arial" w:hAnsi="Arial" w:cs="Arial"/>
          <w:noProof/>
        </w:rPr>
        <w:tab/>
      </w:r>
      <w:r w:rsidRPr="004661E9">
        <w:rPr>
          <w:rFonts w:ascii="Arial" w:hAnsi="Arial" w:cs="Arial"/>
          <w:bCs/>
          <w:noProof/>
        </w:rPr>
        <w:t>Murphy SP, Kakkar R, McCarthy CP, Januzzi JL.</w:t>
      </w:r>
      <w:r w:rsidRPr="004661E9">
        <w:rPr>
          <w:rFonts w:ascii="Arial" w:hAnsi="Arial" w:cs="Arial"/>
          <w:noProof/>
        </w:rPr>
        <w:t xml:space="preserve"> Inflammation in Heart Failure: JACC State-of-the-Art Review. </w:t>
      </w:r>
      <w:r w:rsidRPr="004661E9">
        <w:rPr>
          <w:rFonts w:ascii="Arial" w:hAnsi="Arial" w:cs="Arial"/>
          <w:iCs/>
          <w:noProof/>
        </w:rPr>
        <w:t>J. Am. Coll. Cardiol.</w:t>
      </w:r>
      <w:r w:rsidRPr="004661E9">
        <w:rPr>
          <w:rFonts w:ascii="Arial" w:hAnsi="Arial" w:cs="Arial"/>
          <w:noProof/>
        </w:rPr>
        <w:t xml:space="preserve"> 2020;75(11):1324–1340.</w:t>
      </w:r>
    </w:p>
    <w:p w14:paraId="4D07B89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96. </w:t>
      </w:r>
      <w:r w:rsidRPr="004661E9">
        <w:rPr>
          <w:rFonts w:ascii="Arial" w:hAnsi="Arial" w:cs="Arial"/>
          <w:noProof/>
        </w:rPr>
        <w:tab/>
      </w:r>
      <w:r w:rsidRPr="004661E9">
        <w:rPr>
          <w:rFonts w:ascii="Arial" w:hAnsi="Arial" w:cs="Arial"/>
          <w:bCs/>
          <w:noProof/>
        </w:rPr>
        <w:t>Vulesevic B, McNeill B, Giacco F, Maeda K, Blackburn NJR, Brownlee M, Milne RW, Suuronen EJ.</w:t>
      </w:r>
      <w:r w:rsidRPr="004661E9">
        <w:rPr>
          <w:rFonts w:ascii="Arial" w:hAnsi="Arial" w:cs="Arial"/>
          <w:noProof/>
        </w:rPr>
        <w:t xml:space="preserve"> Methylglyoxal-induced endothelial cell loss and inflammation contribute to the development of diabetic cardiomyopathy. </w:t>
      </w:r>
      <w:r w:rsidRPr="004661E9">
        <w:rPr>
          <w:rFonts w:ascii="Arial" w:hAnsi="Arial" w:cs="Arial"/>
          <w:iCs/>
          <w:noProof/>
        </w:rPr>
        <w:t>Diabetes</w:t>
      </w:r>
      <w:r w:rsidRPr="004661E9">
        <w:rPr>
          <w:rFonts w:ascii="Arial" w:hAnsi="Arial" w:cs="Arial"/>
          <w:noProof/>
        </w:rPr>
        <w:t xml:space="preserve"> 2016;65(6):1699–1713.</w:t>
      </w:r>
    </w:p>
    <w:p w14:paraId="3C41D6A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lastRenderedPageBreak/>
        <w:t xml:space="preserve">97. </w:t>
      </w:r>
      <w:r w:rsidRPr="004661E9">
        <w:rPr>
          <w:rFonts w:ascii="Arial" w:hAnsi="Arial" w:cs="Arial"/>
          <w:noProof/>
        </w:rPr>
        <w:tab/>
      </w:r>
      <w:r w:rsidRPr="004661E9">
        <w:rPr>
          <w:rFonts w:ascii="Arial" w:hAnsi="Arial" w:cs="Arial"/>
          <w:bCs/>
          <w:noProof/>
        </w:rPr>
        <w:t>Tan X, Hu L, Shu Z, Chen L, Li X, Du M, Sun D, Mao X, Deng S, Huang K, Zhang F.</w:t>
      </w:r>
      <w:r w:rsidRPr="004661E9">
        <w:rPr>
          <w:rFonts w:ascii="Arial" w:hAnsi="Arial" w:cs="Arial"/>
          <w:noProof/>
        </w:rPr>
        <w:t xml:space="preserve"> Role of CCR2 in the development of streptozotocin-treated diabetic cardiomyopathy. </w:t>
      </w:r>
      <w:r w:rsidRPr="004661E9">
        <w:rPr>
          <w:rFonts w:ascii="Arial" w:hAnsi="Arial" w:cs="Arial"/>
          <w:iCs/>
          <w:noProof/>
        </w:rPr>
        <w:t>Diabetes</w:t>
      </w:r>
      <w:r w:rsidRPr="004661E9">
        <w:rPr>
          <w:rFonts w:ascii="Arial" w:hAnsi="Arial" w:cs="Arial"/>
          <w:noProof/>
        </w:rPr>
        <w:t xml:space="preserve"> 2019;68(11):2063–2073.</w:t>
      </w:r>
    </w:p>
    <w:p w14:paraId="44D4449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98. </w:t>
      </w:r>
      <w:r w:rsidRPr="004661E9">
        <w:rPr>
          <w:rFonts w:ascii="Arial" w:hAnsi="Arial" w:cs="Arial"/>
          <w:noProof/>
        </w:rPr>
        <w:tab/>
      </w:r>
      <w:r w:rsidRPr="004661E9">
        <w:rPr>
          <w:rFonts w:ascii="Arial" w:hAnsi="Arial" w:cs="Arial"/>
          <w:bCs/>
          <w:noProof/>
        </w:rPr>
        <w:t>Gellen B, Thorin-Trescases N, Thorin E, Gand E, Ragot S, Montaigne D, Pucheu Y, Mohammedi K, Gatault P, Potier L, Liuu E, Hadjadj S, Saulnier PJ, Hadjadj S, Marechaud R, Ragot S, Piguel X, Saulnier PJ, Javaugue V, Gand E, Hulin-Delmotte C, Llatty P, Ducrocq G, Roussel R, Rigalleau V, Pucheu Y, Zaoui P, Montaigne D, Halimi JM, Gatault P, Sosner P, Gellen B.</w:t>
      </w:r>
      <w:r w:rsidRPr="004661E9">
        <w:rPr>
          <w:rFonts w:ascii="Arial" w:hAnsi="Arial" w:cs="Arial"/>
          <w:noProof/>
        </w:rPr>
        <w:t xml:space="preserve"> Increased serum S100A12 levels are associated with higher risk of acute heart failure in patients with type 2 diabetes. </w:t>
      </w:r>
      <w:r w:rsidRPr="004661E9">
        <w:rPr>
          <w:rFonts w:ascii="Arial" w:hAnsi="Arial" w:cs="Arial"/>
          <w:iCs/>
          <w:noProof/>
        </w:rPr>
        <w:t>ESC Hear. Fail.</w:t>
      </w:r>
      <w:r w:rsidRPr="004661E9">
        <w:rPr>
          <w:rFonts w:ascii="Arial" w:hAnsi="Arial" w:cs="Arial"/>
          <w:noProof/>
        </w:rPr>
        <w:t xml:space="preserve"> 2022;9(6):3909–3919.</w:t>
      </w:r>
    </w:p>
    <w:p w14:paraId="1E584E1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99. </w:t>
      </w:r>
      <w:r w:rsidRPr="004661E9">
        <w:rPr>
          <w:rFonts w:ascii="Arial" w:hAnsi="Arial" w:cs="Arial"/>
          <w:noProof/>
        </w:rPr>
        <w:tab/>
      </w:r>
      <w:r w:rsidRPr="004661E9">
        <w:rPr>
          <w:rFonts w:ascii="Arial" w:hAnsi="Arial" w:cs="Arial"/>
          <w:bCs/>
          <w:noProof/>
        </w:rPr>
        <w:t>Groves EM, Erande AS, Le C, Salcedo J, Hoang KC, Kumar S, Mohar DS, Saremi F, Im J, Agrawal Y, Nadeswaran P, Naderi N, Malik S.</w:t>
      </w:r>
      <w:r w:rsidRPr="004661E9">
        <w:rPr>
          <w:rFonts w:ascii="Arial" w:hAnsi="Arial" w:cs="Arial"/>
          <w:noProof/>
        </w:rPr>
        <w:t xml:space="preserve"> Comparison of epicardial adipose tissue volume and coronary artery disease severity in asymptomatic adults with versus without diabetes mellitus. </w:t>
      </w:r>
      <w:r w:rsidRPr="004661E9">
        <w:rPr>
          <w:rFonts w:ascii="Arial" w:hAnsi="Arial" w:cs="Arial"/>
          <w:iCs/>
          <w:noProof/>
        </w:rPr>
        <w:t>Am. J. Cardiol.</w:t>
      </w:r>
      <w:r w:rsidRPr="004661E9">
        <w:rPr>
          <w:rFonts w:ascii="Arial" w:hAnsi="Arial" w:cs="Arial"/>
          <w:noProof/>
        </w:rPr>
        <w:t xml:space="preserve"> 2014;114(5):686–691.</w:t>
      </w:r>
    </w:p>
    <w:p w14:paraId="3CB89E2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100. </w:t>
      </w:r>
      <w:r w:rsidRPr="004661E9">
        <w:rPr>
          <w:rFonts w:ascii="Arial" w:hAnsi="Arial" w:cs="Arial"/>
          <w:noProof/>
        </w:rPr>
        <w:tab/>
      </w:r>
      <w:r w:rsidRPr="004661E9">
        <w:rPr>
          <w:rFonts w:ascii="Arial" w:hAnsi="Arial" w:cs="Arial"/>
          <w:bCs/>
          <w:noProof/>
        </w:rPr>
        <w:t>Christensen RH, Hansen CS, von Scholten BJ, Jensen MT, Pedersen BK, Schnohr P, Vilsbøll T, Rossing P, Jørgensen PG.</w:t>
      </w:r>
      <w:r w:rsidRPr="004661E9">
        <w:rPr>
          <w:rFonts w:ascii="Arial" w:hAnsi="Arial" w:cs="Arial"/>
          <w:noProof/>
        </w:rPr>
        <w:t xml:space="preserve"> Epicardial and pericardial adipose tissues are associated with reduced diastolic and systolic function in type 2 diabetes. </w:t>
      </w:r>
      <w:r w:rsidRPr="004661E9">
        <w:rPr>
          <w:rFonts w:ascii="Arial" w:hAnsi="Arial" w:cs="Arial"/>
          <w:iCs/>
          <w:noProof/>
        </w:rPr>
        <w:t>Diabetes, Obes. Metab.</w:t>
      </w:r>
      <w:r w:rsidRPr="004661E9">
        <w:rPr>
          <w:rFonts w:ascii="Arial" w:hAnsi="Arial" w:cs="Arial"/>
          <w:noProof/>
        </w:rPr>
        <w:t xml:space="preserve"> 2019;21(8):2006–2011.</w:t>
      </w:r>
    </w:p>
    <w:p w14:paraId="1197F0D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101. </w:t>
      </w:r>
      <w:r w:rsidRPr="004661E9">
        <w:rPr>
          <w:rFonts w:ascii="Arial" w:hAnsi="Arial" w:cs="Arial"/>
          <w:noProof/>
        </w:rPr>
        <w:tab/>
      </w:r>
      <w:r w:rsidRPr="004661E9">
        <w:rPr>
          <w:rFonts w:ascii="Arial" w:hAnsi="Arial" w:cs="Arial"/>
          <w:bCs/>
          <w:noProof/>
        </w:rPr>
        <w:t>Ng ACT, Strudwick M, van der Geest RJ, Ng ACC, Gillinder L, Goo SY, Cowin G, Delgado V, Wang WYS, Bax JJ.</w:t>
      </w:r>
      <w:r w:rsidRPr="004661E9">
        <w:rPr>
          <w:rFonts w:ascii="Arial" w:hAnsi="Arial" w:cs="Arial"/>
          <w:noProof/>
        </w:rPr>
        <w:t xml:space="preserve"> Impact of Epicardial Adipose Tissue, Left Ventricular Myocardial Fat Content, and Interstitial Fibrosis on Myocardial Contractile Function. </w:t>
      </w:r>
      <w:r w:rsidRPr="004661E9">
        <w:rPr>
          <w:rFonts w:ascii="Arial" w:hAnsi="Arial" w:cs="Arial"/>
          <w:iCs/>
          <w:noProof/>
        </w:rPr>
        <w:t>Circ. Cardiovasc. Imaging</w:t>
      </w:r>
      <w:r w:rsidRPr="004661E9">
        <w:rPr>
          <w:rFonts w:ascii="Arial" w:hAnsi="Arial" w:cs="Arial"/>
          <w:noProof/>
        </w:rPr>
        <w:t xml:space="preserve"> 2018;11(8):e007372.</w:t>
      </w:r>
    </w:p>
    <w:p w14:paraId="0CFE7A0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102. </w:t>
      </w:r>
      <w:r w:rsidRPr="004661E9">
        <w:rPr>
          <w:rFonts w:ascii="Arial" w:hAnsi="Arial" w:cs="Arial"/>
          <w:noProof/>
        </w:rPr>
        <w:tab/>
      </w:r>
      <w:r w:rsidRPr="004661E9">
        <w:rPr>
          <w:rFonts w:ascii="Arial" w:hAnsi="Arial" w:cs="Arial"/>
          <w:bCs/>
          <w:noProof/>
        </w:rPr>
        <w:t>Al-Talabany S, Mordi I, Graeme Houston J, Colhoun HM, Weir-McCall JR, Matthew SZ, Looker HC, Levin D, Belch JJF, Dove F, Khan F, Lang CC.</w:t>
      </w:r>
      <w:r w:rsidRPr="004661E9">
        <w:rPr>
          <w:rFonts w:ascii="Arial" w:hAnsi="Arial" w:cs="Arial"/>
          <w:noProof/>
        </w:rPr>
        <w:t xml:space="preserve"> Epicardial adipose tissue is related to arterial stiffness and inflammation in patients with cardiovascular disease and type 2 diabetes. </w:t>
      </w:r>
      <w:r w:rsidRPr="004661E9">
        <w:rPr>
          <w:rFonts w:ascii="Arial" w:hAnsi="Arial" w:cs="Arial"/>
          <w:iCs/>
          <w:noProof/>
        </w:rPr>
        <w:t>BMC Cardiovasc. Disord.</w:t>
      </w:r>
      <w:r w:rsidRPr="004661E9">
        <w:rPr>
          <w:rFonts w:ascii="Arial" w:hAnsi="Arial" w:cs="Arial"/>
          <w:noProof/>
        </w:rPr>
        <w:t xml:space="preserve"> 2018;18(1):1–8.</w:t>
      </w:r>
    </w:p>
    <w:p w14:paraId="199C8BA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103. </w:t>
      </w:r>
      <w:r w:rsidRPr="004661E9">
        <w:rPr>
          <w:rFonts w:ascii="Arial" w:hAnsi="Arial" w:cs="Arial"/>
          <w:noProof/>
        </w:rPr>
        <w:tab/>
      </w:r>
      <w:r w:rsidRPr="004661E9">
        <w:rPr>
          <w:rFonts w:ascii="Arial" w:hAnsi="Arial" w:cs="Arial"/>
          <w:bCs/>
          <w:noProof/>
        </w:rPr>
        <w:t>Nakanishi K, Fukuda S, Tanaka A, Otsuka K, Taguchi H, Shimada K.</w:t>
      </w:r>
      <w:r w:rsidRPr="004661E9">
        <w:rPr>
          <w:rFonts w:ascii="Arial" w:hAnsi="Arial" w:cs="Arial"/>
          <w:noProof/>
        </w:rPr>
        <w:t xml:space="preserve"> Relationships Between Periventricular Epicardial Adipose Tissue Accumulation, Coronary Microcirculation, and Left Ventricular Diastolic Dysfunction. </w:t>
      </w:r>
      <w:r w:rsidRPr="004661E9">
        <w:rPr>
          <w:rFonts w:ascii="Arial" w:hAnsi="Arial" w:cs="Arial"/>
          <w:iCs/>
          <w:noProof/>
        </w:rPr>
        <w:t>Can. J. Cardiol.</w:t>
      </w:r>
      <w:r w:rsidRPr="004661E9">
        <w:rPr>
          <w:rFonts w:ascii="Arial" w:hAnsi="Arial" w:cs="Arial"/>
          <w:noProof/>
        </w:rPr>
        <w:t xml:space="preserve"> 2017;33(11):1489–1497.</w:t>
      </w:r>
    </w:p>
    <w:p w14:paraId="25A5699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104. </w:t>
      </w:r>
      <w:r w:rsidRPr="004661E9">
        <w:rPr>
          <w:rFonts w:ascii="Arial" w:hAnsi="Arial" w:cs="Arial"/>
          <w:noProof/>
        </w:rPr>
        <w:tab/>
      </w:r>
      <w:r w:rsidRPr="004661E9">
        <w:rPr>
          <w:rFonts w:ascii="Arial" w:hAnsi="Arial" w:cs="Arial"/>
          <w:bCs/>
          <w:noProof/>
        </w:rPr>
        <w:t>Lavie CJ, Oktay AA, Pandey A.</w:t>
      </w:r>
      <w:r w:rsidRPr="004661E9">
        <w:rPr>
          <w:rFonts w:ascii="Arial" w:hAnsi="Arial" w:cs="Arial"/>
          <w:noProof/>
        </w:rPr>
        <w:t xml:space="preserve"> Pericardial Fat and CVD: Is All Fat Created Equally? </w:t>
      </w:r>
      <w:r w:rsidRPr="004661E9">
        <w:rPr>
          <w:rFonts w:ascii="Arial" w:hAnsi="Arial" w:cs="Arial"/>
          <w:iCs/>
          <w:noProof/>
        </w:rPr>
        <w:t>JACC Cardiovasc. Imaging</w:t>
      </w:r>
      <w:r w:rsidRPr="004661E9">
        <w:rPr>
          <w:rFonts w:ascii="Arial" w:hAnsi="Arial" w:cs="Arial"/>
          <w:noProof/>
        </w:rPr>
        <w:t xml:space="preserve"> 2017;10(9):1028–1030.</w:t>
      </w:r>
    </w:p>
    <w:p w14:paraId="55D0B85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105. </w:t>
      </w:r>
      <w:r w:rsidRPr="004661E9">
        <w:rPr>
          <w:rFonts w:ascii="Arial" w:hAnsi="Arial" w:cs="Arial"/>
          <w:noProof/>
        </w:rPr>
        <w:tab/>
      </w:r>
      <w:r w:rsidRPr="004661E9">
        <w:rPr>
          <w:rFonts w:ascii="Arial" w:hAnsi="Arial" w:cs="Arial"/>
          <w:bCs/>
          <w:noProof/>
        </w:rPr>
        <w:t>Hoffman WH, Sharma M, Cihakova D, Talor M V., Rose NR, Mohanakumar T, Passmore GG.</w:t>
      </w:r>
      <w:r w:rsidRPr="004661E9">
        <w:rPr>
          <w:rFonts w:ascii="Arial" w:hAnsi="Arial" w:cs="Arial"/>
          <w:noProof/>
        </w:rPr>
        <w:t xml:space="preserve"> Cardiac antibody production to self-antigens in children and adolescents during and following the correction of severe diabetic ketoacidosis. </w:t>
      </w:r>
      <w:r w:rsidRPr="004661E9">
        <w:rPr>
          <w:rFonts w:ascii="Arial" w:hAnsi="Arial" w:cs="Arial"/>
          <w:iCs/>
          <w:noProof/>
        </w:rPr>
        <w:t>Autoimmunity</w:t>
      </w:r>
      <w:r w:rsidRPr="004661E9">
        <w:rPr>
          <w:rFonts w:ascii="Arial" w:hAnsi="Arial" w:cs="Arial"/>
          <w:noProof/>
        </w:rPr>
        <w:t xml:space="preserve"> 2016;49(3):188–196.</w:t>
      </w:r>
    </w:p>
    <w:p w14:paraId="433CF6C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106. </w:t>
      </w:r>
      <w:r w:rsidRPr="004661E9">
        <w:rPr>
          <w:rFonts w:ascii="Arial" w:hAnsi="Arial" w:cs="Arial"/>
          <w:noProof/>
        </w:rPr>
        <w:tab/>
      </w:r>
      <w:r w:rsidRPr="004661E9">
        <w:rPr>
          <w:rFonts w:ascii="Arial" w:hAnsi="Arial" w:cs="Arial"/>
          <w:bCs/>
          <w:noProof/>
        </w:rPr>
        <w:t>Sousa GR, Pober D, Galderisi A, Lv H, Yu L, Pereira AC, Doria A, Kosiborod M, Lipes MA.</w:t>
      </w:r>
      <w:r w:rsidRPr="004661E9">
        <w:rPr>
          <w:rFonts w:ascii="Arial" w:hAnsi="Arial" w:cs="Arial"/>
          <w:noProof/>
        </w:rPr>
        <w:t xml:space="preserve"> Glycemic Control, Cardiac Autoimmunity, and Long-Term Risk of Cardiovascular Disease in Type 1 Diabetes Mellitus. </w:t>
      </w:r>
      <w:r w:rsidRPr="004661E9">
        <w:rPr>
          <w:rFonts w:ascii="Arial" w:hAnsi="Arial" w:cs="Arial"/>
          <w:iCs/>
          <w:noProof/>
        </w:rPr>
        <w:t>Circulation</w:t>
      </w:r>
      <w:r w:rsidRPr="004661E9">
        <w:rPr>
          <w:rFonts w:ascii="Arial" w:hAnsi="Arial" w:cs="Arial"/>
          <w:noProof/>
        </w:rPr>
        <w:t xml:space="preserve"> 2019;139(6):730–743.</w:t>
      </w:r>
    </w:p>
    <w:p w14:paraId="14D46FA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107. </w:t>
      </w:r>
      <w:r w:rsidRPr="004661E9">
        <w:rPr>
          <w:rFonts w:ascii="Arial" w:hAnsi="Arial" w:cs="Arial"/>
          <w:noProof/>
        </w:rPr>
        <w:tab/>
      </w:r>
      <w:r w:rsidRPr="004661E9">
        <w:rPr>
          <w:rFonts w:ascii="Arial" w:hAnsi="Arial" w:cs="Arial"/>
          <w:bCs/>
          <w:noProof/>
        </w:rPr>
        <w:t>Miller JA, Floras JS, Zinman B, Skorecki KL, Logan AG.</w:t>
      </w:r>
      <w:r w:rsidRPr="004661E9">
        <w:rPr>
          <w:rFonts w:ascii="Arial" w:hAnsi="Arial" w:cs="Arial"/>
          <w:noProof/>
        </w:rPr>
        <w:t xml:space="preserve"> Effect of hyperglycaemia on arterial pressure, plasma renin activity and renal function in early diabetes. </w:t>
      </w:r>
      <w:r w:rsidRPr="004661E9">
        <w:rPr>
          <w:rFonts w:ascii="Arial" w:hAnsi="Arial" w:cs="Arial"/>
          <w:iCs/>
          <w:noProof/>
        </w:rPr>
        <w:t>Clin. Sci.</w:t>
      </w:r>
      <w:r w:rsidRPr="004661E9">
        <w:rPr>
          <w:rFonts w:ascii="Arial" w:hAnsi="Arial" w:cs="Arial"/>
          <w:noProof/>
        </w:rPr>
        <w:t xml:space="preserve"> 1996;90(3):189–195.</w:t>
      </w:r>
    </w:p>
    <w:p w14:paraId="34CC7CC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108. </w:t>
      </w:r>
      <w:r w:rsidRPr="004661E9">
        <w:rPr>
          <w:rFonts w:ascii="Arial" w:hAnsi="Arial" w:cs="Arial"/>
          <w:noProof/>
        </w:rPr>
        <w:tab/>
      </w:r>
      <w:r w:rsidRPr="004661E9">
        <w:rPr>
          <w:rFonts w:ascii="Arial" w:hAnsi="Arial" w:cs="Arial"/>
          <w:bCs/>
          <w:noProof/>
        </w:rPr>
        <w:t>Spallone V, Ziegler D, Freeman R, Bernardi L, Frontoni S, Pop-Busui R, Stevens M, Kempler P, Hilsted J, Tesfaye S, Low P, Valensi P.</w:t>
      </w:r>
      <w:r w:rsidRPr="004661E9">
        <w:rPr>
          <w:rFonts w:ascii="Arial" w:hAnsi="Arial" w:cs="Arial"/>
          <w:noProof/>
        </w:rPr>
        <w:t xml:space="preserve"> Cardiovascular autonomic neuropathy in diabetes: Clinical impact, assessment, diagnosis, and management. </w:t>
      </w:r>
      <w:r w:rsidRPr="004661E9">
        <w:rPr>
          <w:rFonts w:ascii="Arial" w:hAnsi="Arial" w:cs="Arial"/>
          <w:iCs/>
          <w:noProof/>
        </w:rPr>
        <w:t xml:space="preserve">Diabetes. Metab. </w:t>
      </w:r>
      <w:r w:rsidRPr="004661E9">
        <w:rPr>
          <w:rFonts w:ascii="Arial" w:hAnsi="Arial" w:cs="Arial"/>
          <w:iCs/>
          <w:noProof/>
        </w:rPr>
        <w:lastRenderedPageBreak/>
        <w:t>Res. Rev.</w:t>
      </w:r>
      <w:r w:rsidRPr="004661E9">
        <w:rPr>
          <w:rFonts w:ascii="Arial" w:hAnsi="Arial" w:cs="Arial"/>
          <w:noProof/>
        </w:rPr>
        <w:t xml:space="preserve"> 2011;27(7):639–653.</w:t>
      </w:r>
    </w:p>
    <w:p w14:paraId="23DC156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109. </w:t>
      </w:r>
      <w:r w:rsidRPr="004661E9">
        <w:rPr>
          <w:rFonts w:ascii="Arial" w:hAnsi="Arial" w:cs="Arial"/>
          <w:noProof/>
        </w:rPr>
        <w:tab/>
      </w:r>
      <w:r w:rsidRPr="004661E9">
        <w:rPr>
          <w:rFonts w:ascii="Arial" w:hAnsi="Arial" w:cs="Arial"/>
          <w:bCs/>
          <w:noProof/>
        </w:rPr>
        <w:t>Pop-Busui R, Cleary PA, Braffett BH, Martin CL, Herman WH, Low PA, Lima JAC, Bluemke DA.</w:t>
      </w:r>
      <w:r w:rsidRPr="004661E9">
        <w:rPr>
          <w:rFonts w:ascii="Arial" w:hAnsi="Arial" w:cs="Arial"/>
          <w:noProof/>
        </w:rPr>
        <w:t xml:space="preserve"> Association between cardiovascular autonomic neuropathy and left ventricular dysfunction: DCCT/EDIC study (diabetes control and complications trial/epidemiology of diabetes interventions and complications). </w:t>
      </w:r>
      <w:r w:rsidRPr="004661E9">
        <w:rPr>
          <w:rFonts w:ascii="Arial" w:hAnsi="Arial" w:cs="Arial"/>
          <w:iCs/>
          <w:noProof/>
        </w:rPr>
        <w:t>J. Am. Coll. Cardiol.</w:t>
      </w:r>
      <w:r w:rsidRPr="004661E9">
        <w:rPr>
          <w:rFonts w:ascii="Arial" w:hAnsi="Arial" w:cs="Arial"/>
          <w:noProof/>
        </w:rPr>
        <w:t xml:space="preserve"> 2013;61(4):447–454.</w:t>
      </w:r>
    </w:p>
    <w:p w14:paraId="4D2E810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110. </w:t>
      </w:r>
      <w:r w:rsidRPr="004661E9">
        <w:rPr>
          <w:rFonts w:ascii="Arial" w:hAnsi="Arial" w:cs="Arial"/>
          <w:noProof/>
        </w:rPr>
        <w:tab/>
      </w:r>
      <w:r w:rsidRPr="004661E9">
        <w:rPr>
          <w:rFonts w:ascii="Arial" w:hAnsi="Arial" w:cs="Arial"/>
          <w:bCs/>
          <w:noProof/>
        </w:rPr>
        <w:t>Sacre JW, Franjic B, Jellis CL, Jenkins C, Coombes JS, Marwick TH.</w:t>
      </w:r>
      <w:r w:rsidRPr="004661E9">
        <w:rPr>
          <w:rFonts w:ascii="Arial" w:hAnsi="Arial" w:cs="Arial"/>
          <w:noProof/>
        </w:rPr>
        <w:t xml:space="preserve"> Association of cardiac autonomic neuropathy with subclinical myocardial dysfunction in type 2 diabetes. </w:t>
      </w:r>
      <w:r w:rsidRPr="004661E9">
        <w:rPr>
          <w:rFonts w:ascii="Arial" w:hAnsi="Arial" w:cs="Arial"/>
          <w:iCs/>
          <w:noProof/>
        </w:rPr>
        <w:t>JACC Cardiovasc. Imaging</w:t>
      </w:r>
      <w:r w:rsidRPr="004661E9">
        <w:rPr>
          <w:rFonts w:ascii="Arial" w:hAnsi="Arial" w:cs="Arial"/>
          <w:noProof/>
        </w:rPr>
        <w:t xml:space="preserve"> 2010;3(12):1207–1215.</w:t>
      </w:r>
    </w:p>
    <w:p w14:paraId="0C18337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111. </w:t>
      </w:r>
      <w:r w:rsidRPr="004661E9">
        <w:rPr>
          <w:rFonts w:ascii="Arial" w:hAnsi="Arial" w:cs="Arial"/>
          <w:noProof/>
        </w:rPr>
        <w:tab/>
      </w:r>
      <w:r w:rsidRPr="004661E9">
        <w:rPr>
          <w:rFonts w:ascii="Arial" w:hAnsi="Arial" w:cs="Arial"/>
          <w:bCs/>
          <w:noProof/>
        </w:rPr>
        <w:t>Vinik AI, Casellini C, Parson HK, Colberg SR, Nevoret ML.</w:t>
      </w:r>
      <w:r w:rsidRPr="004661E9">
        <w:rPr>
          <w:rFonts w:ascii="Arial" w:hAnsi="Arial" w:cs="Arial"/>
          <w:noProof/>
        </w:rPr>
        <w:t xml:space="preserve"> Cardiac autonomic neuropathy in diabetes: A predictor of cardiometabolic events. </w:t>
      </w:r>
      <w:r w:rsidRPr="004661E9">
        <w:rPr>
          <w:rFonts w:ascii="Arial" w:hAnsi="Arial" w:cs="Arial"/>
          <w:iCs/>
          <w:noProof/>
        </w:rPr>
        <w:t>Front. Neurosci.</w:t>
      </w:r>
      <w:r w:rsidRPr="004661E9">
        <w:rPr>
          <w:rFonts w:ascii="Arial" w:hAnsi="Arial" w:cs="Arial"/>
          <w:noProof/>
        </w:rPr>
        <w:t xml:space="preserve"> 2018;12(AUG):591.</w:t>
      </w:r>
    </w:p>
    <w:p w14:paraId="177A70B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112. </w:t>
      </w:r>
      <w:r w:rsidRPr="004661E9">
        <w:rPr>
          <w:rFonts w:ascii="Arial" w:hAnsi="Arial" w:cs="Arial"/>
          <w:noProof/>
        </w:rPr>
        <w:tab/>
      </w:r>
      <w:r w:rsidRPr="004661E9">
        <w:rPr>
          <w:rFonts w:ascii="Arial" w:hAnsi="Arial" w:cs="Arial"/>
          <w:bCs/>
          <w:noProof/>
        </w:rPr>
        <w:t>Salvador DB, Gamba MR, Gonzalez-Jaramillo N, Gonzalez-Jaramillo V, Raguindin PFN, Minder B, Gräni C, Wilhelm M, Stettler C, Doria A, Franco OH, Muka T, Bano A.</w:t>
      </w:r>
      <w:r w:rsidRPr="004661E9">
        <w:rPr>
          <w:rFonts w:ascii="Arial" w:hAnsi="Arial" w:cs="Arial"/>
          <w:noProof/>
        </w:rPr>
        <w:t xml:space="preserve"> Diabetes and Myocardial Fibrosis: A Systematic Review and Meta-Analysis. </w:t>
      </w:r>
      <w:r w:rsidRPr="004661E9">
        <w:rPr>
          <w:rFonts w:ascii="Arial" w:hAnsi="Arial" w:cs="Arial"/>
          <w:iCs/>
          <w:noProof/>
        </w:rPr>
        <w:t>JACC Cardiovasc. Imaging</w:t>
      </w:r>
      <w:r w:rsidRPr="004661E9">
        <w:rPr>
          <w:rFonts w:ascii="Arial" w:hAnsi="Arial" w:cs="Arial"/>
          <w:noProof/>
        </w:rPr>
        <w:t xml:space="preserve"> 2022;15(5):796–808.</w:t>
      </w:r>
    </w:p>
    <w:p w14:paraId="4F42B6D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113. </w:t>
      </w:r>
      <w:r w:rsidRPr="004661E9">
        <w:rPr>
          <w:rFonts w:ascii="Arial" w:hAnsi="Arial" w:cs="Arial"/>
          <w:noProof/>
        </w:rPr>
        <w:tab/>
      </w:r>
      <w:r w:rsidRPr="004661E9">
        <w:rPr>
          <w:rFonts w:ascii="Arial" w:hAnsi="Arial" w:cs="Arial"/>
          <w:bCs/>
          <w:noProof/>
        </w:rPr>
        <w:t>Ouyang C, You J, Xie Z.</w:t>
      </w:r>
      <w:r w:rsidRPr="004661E9">
        <w:rPr>
          <w:rFonts w:ascii="Arial" w:hAnsi="Arial" w:cs="Arial"/>
          <w:noProof/>
        </w:rPr>
        <w:t xml:space="preserve"> The interplay between autophagy and apoptosis in the diabetic heart. </w:t>
      </w:r>
      <w:r w:rsidRPr="004661E9">
        <w:rPr>
          <w:rFonts w:ascii="Arial" w:hAnsi="Arial" w:cs="Arial"/>
          <w:iCs/>
          <w:noProof/>
        </w:rPr>
        <w:t>J. Mol. Cell. Cardiol.</w:t>
      </w:r>
      <w:r w:rsidRPr="004661E9">
        <w:rPr>
          <w:rFonts w:ascii="Arial" w:hAnsi="Arial" w:cs="Arial"/>
          <w:noProof/>
        </w:rPr>
        <w:t xml:space="preserve"> 2014;71(2014):71–80.</w:t>
      </w:r>
    </w:p>
    <w:p w14:paraId="4D6DC70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114. </w:t>
      </w:r>
      <w:r w:rsidRPr="004661E9">
        <w:rPr>
          <w:rFonts w:ascii="Arial" w:hAnsi="Arial" w:cs="Arial"/>
          <w:noProof/>
        </w:rPr>
        <w:tab/>
      </w:r>
      <w:r w:rsidRPr="004661E9">
        <w:rPr>
          <w:rFonts w:ascii="Arial" w:hAnsi="Arial" w:cs="Arial"/>
          <w:bCs/>
          <w:noProof/>
        </w:rPr>
        <w:t>Kuethe F, Sigusch HH, Bornstein SR, Hilbig K, Kamvissi V, Figulla HR.</w:t>
      </w:r>
      <w:r w:rsidRPr="004661E9">
        <w:rPr>
          <w:rFonts w:ascii="Arial" w:hAnsi="Arial" w:cs="Arial"/>
          <w:noProof/>
        </w:rPr>
        <w:t xml:space="preserve"> Apoptosis in patients with dilated cardiomyopathy and diabetes: A feature of diabetic cardiomyopathy? </w:t>
      </w:r>
      <w:r w:rsidRPr="004661E9">
        <w:rPr>
          <w:rFonts w:ascii="Arial" w:hAnsi="Arial" w:cs="Arial"/>
          <w:iCs/>
          <w:noProof/>
        </w:rPr>
        <w:t>Horm. Metab. Res.</w:t>
      </w:r>
      <w:r w:rsidRPr="004661E9">
        <w:rPr>
          <w:rFonts w:ascii="Arial" w:hAnsi="Arial" w:cs="Arial"/>
          <w:noProof/>
        </w:rPr>
        <w:t xml:space="preserve"> 2007;39(9):672–676.</w:t>
      </w:r>
    </w:p>
    <w:p w14:paraId="077823D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115. </w:t>
      </w:r>
      <w:r w:rsidRPr="004661E9">
        <w:rPr>
          <w:rFonts w:ascii="Arial" w:hAnsi="Arial" w:cs="Arial"/>
          <w:noProof/>
        </w:rPr>
        <w:tab/>
      </w:r>
      <w:r w:rsidRPr="004661E9">
        <w:rPr>
          <w:rFonts w:ascii="Arial" w:hAnsi="Arial" w:cs="Arial"/>
          <w:bCs/>
          <w:noProof/>
        </w:rPr>
        <w:t>He C, Zhu H, Li H, Zou MH, Xie Z.</w:t>
      </w:r>
      <w:r w:rsidRPr="004661E9">
        <w:rPr>
          <w:rFonts w:ascii="Arial" w:hAnsi="Arial" w:cs="Arial"/>
          <w:noProof/>
        </w:rPr>
        <w:t xml:space="preserve"> Dissociation of Bcl-2-Beclin1 complex by activated AMPK enhances cardiac autophagy and protects against cardiomyocyte apoptosis in diabetes. </w:t>
      </w:r>
      <w:r w:rsidRPr="004661E9">
        <w:rPr>
          <w:rFonts w:ascii="Arial" w:hAnsi="Arial" w:cs="Arial"/>
          <w:iCs/>
          <w:noProof/>
        </w:rPr>
        <w:t>Diabetes</w:t>
      </w:r>
      <w:r w:rsidRPr="004661E9">
        <w:rPr>
          <w:rFonts w:ascii="Arial" w:hAnsi="Arial" w:cs="Arial"/>
          <w:noProof/>
        </w:rPr>
        <w:t xml:space="preserve"> 2013;62(4):1270–1281.</w:t>
      </w:r>
    </w:p>
    <w:p w14:paraId="2704BF7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116. </w:t>
      </w:r>
      <w:r w:rsidRPr="004661E9">
        <w:rPr>
          <w:rFonts w:ascii="Arial" w:hAnsi="Arial" w:cs="Arial"/>
          <w:noProof/>
        </w:rPr>
        <w:tab/>
      </w:r>
      <w:r w:rsidRPr="004661E9">
        <w:rPr>
          <w:rFonts w:ascii="Arial" w:hAnsi="Arial" w:cs="Arial"/>
          <w:bCs/>
          <w:noProof/>
        </w:rPr>
        <w:t>Ljubkovic M, Gressette M, Bulat C, Cavar M, Bakovic D, Fabijanic D, Grkovic I, Lemaire C, Marinovic J.</w:t>
      </w:r>
      <w:r w:rsidRPr="004661E9">
        <w:rPr>
          <w:rFonts w:ascii="Arial" w:hAnsi="Arial" w:cs="Arial"/>
          <w:noProof/>
        </w:rPr>
        <w:t xml:space="preserve"> Disturbed fatty acid oxidation, endoplasmic reticulum stress, and apoptosis in left ventricle of patients with type 2 diabetes. </w:t>
      </w:r>
      <w:r w:rsidRPr="004661E9">
        <w:rPr>
          <w:rFonts w:ascii="Arial" w:hAnsi="Arial" w:cs="Arial"/>
          <w:iCs/>
          <w:noProof/>
        </w:rPr>
        <w:t>Diabetes</w:t>
      </w:r>
      <w:r w:rsidRPr="004661E9">
        <w:rPr>
          <w:rFonts w:ascii="Arial" w:hAnsi="Arial" w:cs="Arial"/>
          <w:noProof/>
        </w:rPr>
        <w:t xml:space="preserve"> 2019;68(10):1924–1933.</w:t>
      </w:r>
    </w:p>
    <w:p w14:paraId="7C31D41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117. </w:t>
      </w:r>
      <w:r w:rsidRPr="004661E9">
        <w:rPr>
          <w:rFonts w:ascii="Arial" w:hAnsi="Arial" w:cs="Arial"/>
          <w:noProof/>
        </w:rPr>
        <w:tab/>
      </w:r>
      <w:r w:rsidRPr="004661E9">
        <w:rPr>
          <w:rFonts w:ascii="Arial" w:hAnsi="Arial" w:cs="Arial"/>
          <w:bCs/>
          <w:noProof/>
        </w:rPr>
        <w:t>Van Den Berge JC, Constantinescu AA, Boiten HJ, Van Domburg RT, Deckers JW, Akkerhuis KM.</w:t>
      </w:r>
      <w:r w:rsidRPr="004661E9">
        <w:rPr>
          <w:rFonts w:ascii="Arial" w:hAnsi="Arial" w:cs="Arial"/>
          <w:noProof/>
        </w:rPr>
        <w:t xml:space="preserve"> Short- and long-term prognosis of patients with acute heart failure with and without diabetes: Changes over the last three decades. </w:t>
      </w:r>
      <w:r w:rsidRPr="004661E9">
        <w:rPr>
          <w:rFonts w:ascii="Arial" w:hAnsi="Arial" w:cs="Arial"/>
          <w:iCs/>
          <w:noProof/>
        </w:rPr>
        <w:t>Diabetes Care</w:t>
      </w:r>
      <w:r w:rsidRPr="004661E9">
        <w:rPr>
          <w:rFonts w:ascii="Arial" w:hAnsi="Arial" w:cs="Arial"/>
          <w:noProof/>
        </w:rPr>
        <w:t xml:space="preserve"> 2018;41(1):143–149.</w:t>
      </w:r>
    </w:p>
    <w:p w14:paraId="1EA2D92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118. </w:t>
      </w:r>
      <w:r w:rsidRPr="004661E9">
        <w:rPr>
          <w:rFonts w:ascii="Arial" w:hAnsi="Arial" w:cs="Arial"/>
          <w:noProof/>
        </w:rPr>
        <w:tab/>
      </w:r>
      <w:r w:rsidRPr="004661E9">
        <w:rPr>
          <w:rFonts w:ascii="Arial" w:hAnsi="Arial" w:cs="Arial"/>
          <w:bCs/>
          <w:noProof/>
        </w:rPr>
        <w:t>Solomon SD, McMurray JJV, Claggett B, de Boer RA, DeMets D, Hernandez AF, Inzucchi SE, Kosiborod MN, Lam CSP, Martinez F, Shah SJ, Desai AS, Jhund PS, Belohlavek J, Chiang C-E, Borleffs CJW, Comin-Colet J, Dobreanu D, Drozdz J, Fang JC, Alcocer-Gamba MA, Al Habeeb W, Han Y, Cabrera Honorio JW, Janssens SP, Katova T, Kitakaze M, Merkely B, O’Meara E, Saraiva JFK, Tereshchenko SN, Thierer J, Vaduganathan M, Vardeny O, Verma S, Pham VN, Wilderäng U, Zaozerska N, Bachus E, Lindholm D, Petersson M, Langkilde AM.</w:t>
      </w:r>
      <w:r w:rsidRPr="004661E9">
        <w:rPr>
          <w:rFonts w:ascii="Arial" w:hAnsi="Arial" w:cs="Arial"/>
          <w:noProof/>
        </w:rPr>
        <w:t xml:space="preserve"> Dapagliflozin in Heart Failure with Mildly Reduced or Preserved Ejection Fraction. </w:t>
      </w:r>
      <w:r w:rsidRPr="004661E9">
        <w:rPr>
          <w:rFonts w:ascii="Arial" w:hAnsi="Arial" w:cs="Arial"/>
          <w:iCs/>
          <w:noProof/>
        </w:rPr>
        <w:t>N. Engl. J. Med.</w:t>
      </w:r>
      <w:r w:rsidRPr="004661E9">
        <w:rPr>
          <w:rFonts w:ascii="Arial" w:hAnsi="Arial" w:cs="Arial"/>
          <w:noProof/>
        </w:rPr>
        <w:t xml:space="preserve"> 2022;387(12):1089–1098.</w:t>
      </w:r>
    </w:p>
    <w:p w14:paraId="6871F38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119. </w:t>
      </w:r>
      <w:r w:rsidRPr="004661E9">
        <w:rPr>
          <w:rFonts w:ascii="Arial" w:hAnsi="Arial" w:cs="Arial"/>
          <w:noProof/>
        </w:rPr>
        <w:tab/>
      </w:r>
      <w:r w:rsidRPr="004661E9">
        <w:rPr>
          <w:rFonts w:ascii="Arial" w:hAnsi="Arial" w:cs="Arial"/>
          <w:bCs/>
          <w:noProof/>
        </w:rPr>
        <w:t>Dauriz M, Mantovani A, Bonapace S, Verlato G, Zoppini G, Bonora E, Targher G.</w:t>
      </w:r>
      <w:r w:rsidRPr="004661E9">
        <w:rPr>
          <w:rFonts w:ascii="Arial" w:hAnsi="Arial" w:cs="Arial"/>
          <w:noProof/>
        </w:rPr>
        <w:t xml:space="preserve"> Prognostic impact of diabetes on long-term survival outcomes in patients with heart failure: A meta-analysis. </w:t>
      </w:r>
      <w:r w:rsidRPr="004661E9">
        <w:rPr>
          <w:rFonts w:ascii="Arial" w:hAnsi="Arial" w:cs="Arial"/>
          <w:iCs/>
          <w:noProof/>
        </w:rPr>
        <w:t>Diabetes Care</w:t>
      </w:r>
      <w:r w:rsidRPr="004661E9">
        <w:rPr>
          <w:rFonts w:ascii="Arial" w:hAnsi="Arial" w:cs="Arial"/>
          <w:noProof/>
        </w:rPr>
        <w:t xml:space="preserve"> 2017;40(11):1597–1605.</w:t>
      </w:r>
    </w:p>
    <w:p w14:paraId="76976E2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120. </w:t>
      </w:r>
      <w:r w:rsidRPr="004661E9">
        <w:rPr>
          <w:rFonts w:ascii="Arial" w:hAnsi="Arial" w:cs="Arial"/>
          <w:noProof/>
        </w:rPr>
        <w:tab/>
      </w:r>
      <w:r w:rsidRPr="004661E9">
        <w:rPr>
          <w:rFonts w:ascii="Arial" w:hAnsi="Arial" w:cs="Arial"/>
          <w:bCs/>
          <w:noProof/>
        </w:rPr>
        <w:t>Aguilar D, Bozkurt B, Ramasubbu K, Deswal A.</w:t>
      </w:r>
      <w:r w:rsidRPr="004661E9">
        <w:rPr>
          <w:rFonts w:ascii="Arial" w:hAnsi="Arial" w:cs="Arial"/>
          <w:noProof/>
        </w:rPr>
        <w:t xml:space="preserve"> Relationship of Hemoglobin A1C and Mortality in Heart Failure Patients With Diabetes. </w:t>
      </w:r>
      <w:r w:rsidRPr="004661E9">
        <w:rPr>
          <w:rFonts w:ascii="Arial" w:hAnsi="Arial" w:cs="Arial"/>
          <w:iCs/>
          <w:noProof/>
        </w:rPr>
        <w:t>J. Am. Coll. Cardiol.</w:t>
      </w:r>
      <w:r w:rsidRPr="004661E9">
        <w:rPr>
          <w:rFonts w:ascii="Arial" w:hAnsi="Arial" w:cs="Arial"/>
          <w:noProof/>
        </w:rPr>
        <w:t xml:space="preserve"> 2009;54(5):422–</w:t>
      </w:r>
      <w:r w:rsidRPr="004661E9">
        <w:rPr>
          <w:rFonts w:ascii="Arial" w:hAnsi="Arial" w:cs="Arial"/>
          <w:noProof/>
        </w:rPr>
        <w:lastRenderedPageBreak/>
        <w:t>428.</w:t>
      </w:r>
    </w:p>
    <w:p w14:paraId="2A68F92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121. </w:t>
      </w:r>
      <w:r w:rsidRPr="004661E9">
        <w:rPr>
          <w:rFonts w:ascii="Arial" w:hAnsi="Arial" w:cs="Arial"/>
          <w:noProof/>
        </w:rPr>
        <w:tab/>
      </w:r>
      <w:r w:rsidRPr="004661E9">
        <w:rPr>
          <w:rFonts w:ascii="Arial" w:hAnsi="Arial" w:cs="Arial"/>
          <w:bCs/>
          <w:noProof/>
        </w:rPr>
        <w:t>McHugh K, DeVore AD, Wu J, Matsouaka RA, Fonarow GC, Heidenreich PA, Yancy CW, Green JB, Altman N, Hernandez AF.</w:t>
      </w:r>
      <w:r w:rsidRPr="004661E9">
        <w:rPr>
          <w:rFonts w:ascii="Arial" w:hAnsi="Arial" w:cs="Arial"/>
          <w:noProof/>
        </w:rPr>
        <w:t xml:space="preserve"> Heart Failure With Preserved Ejection Fraction and Diabetes: JACC State-of-the-Art Review. </w:t>
      </w:r>
      <w:r w:rsidRPr="004661E9">
        <w:rPr>
          <w:rFonts w:ascii="Arial" w:hAnsi="Arial" w:cs="Arial"/>
          <w:iCs/>
          <w:noProof/>
        </w:rPr>
        <w:t>J. Am. Coll. Cardiol.</w:t>
      </w:r>
      <w:r w:rsidRPr="004661E9">
        <w:rPr>
          <w:rFonts w:ascii="Arial" w:hAnsi="Arial" w:cs="Arial"/>
          <w:noProof/>
        </w:rPr>
        <w:t xml:space="preserve"> 2019;73(5):602–611.</w:t>
      </w:r>
    </w:p>
    <w:p w14:paraId="182A145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122. </w:t>
      </w:r>
      <w:r w:rsidRPr="004661E9">
        <w:rPr>
          <w:rFonts w:ascii="Arial" w:hAnsi="Arial" w:cs="Arial"/>
          <w:noProof/>
        </w:rPr>
        <w:tab/>
      </w:r>
      <w:r w:rsidRPr="004661E9">
        <w:rPr>
          <w:rFonts w:ascii="Arial" w:hAnsi="Arial" w:cs="Arial"/>
          <w:bCs/>
          <w:noProof/>
        </w:rPr>
        <w:t>MacDonald MR, Petrie MC, Varyani F, Ostergren J, Michelson EL, Young JB, Solomon SD, Granger CB, Swedberg K, Yusuf S, Pfeffer MA, McMurray JJ V, CHARM Investigators.</w:t>
      </w:r>
      <w:r w:rsidRPr="004661E9">
        <w:rPr>
          <w:rFonts w:ascii="Arial" w:hAnsi="Arial" w:cs="Arial"/>
          <w:noProof/>
        </w:rPr>
        <w:t xml:space="preserve"> Impact of diabetes on outcomes in patients with low and preserved ejection fraction heart failure: an analysis of the Candesartan in Heart failure: Assessment of Reduction in Mortality and morbidity (CHARM) programme. </w:t>
      </w:r>
      <w:r w:rsidRPr="004661E9">
        <w:rPr>
          <w:rFonts w:ascii="Arial" w:hAnsi="Arial" w:cs="Arial"/>
          <w:iCs/>
          <w:noProof/>
        </w:rPr>
        <w:t>Eur. Heart J.</w:t>
      </w:r>
      <w:r w:rsidRPr="004661E9">
        <w:rPr>
          <w:rFonts w:ascii="Arial" w:hAnsi="Arial" w:cs="Arial"/>
          <w:noProof/>
        </w:rPr>
        <w:t xml:space="preserve"> 2008;29(11):1377–85.</w:t>
      </w:r>
    </w:p>
    <w:p w14:paraId="215A638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123. </w:t>
      </w:r>
      <w:r w:rsidRPr="004661E9">
        <w:rPr>
          <w:rFonts w:ascii="Arial" w:hAnsi="Arial" w:cs="Arial"/>
          <w:noProof/>
        </w:rPr>
        <w:tab/>
      </w:r>
      <w:r w:rsidRPr="004661E9">
        <w:rPr>
          <w:rFonts w:ascii="Arial" w:hAnsi="Arial" w:cs="Arial"/>
          <w:bCs/>
          <w:noProof/>
        </w:rPr>
        <w:t>Aguilar D, Deswal A, Ramasubbu K, Mann DL, Bozkurt B.</w:t>
      </w:r>
      <w:r w:rsidRPr="004661E9">
        <w:rPr>
          <w:rFonts w:ascii="Arial" w:hAnsi="Arial" w:cs="Arial"/>
          <w:noProof/>
        </w:rPr>
        <w:t xml:space="preserve"> Comparison of Patients With Heart Failure and Preserved Left Ventricular Ejection Fraction Among Those With Versus Without Diabetes Mellitus. </w:t>
      </w:r>
      <w:r w:rsidRPr="004661E9">
        <w:rPr>
          <w:rFonts w:ascii="Arial" w:hAnsi="Arial" w:cs="Arial"/>
          <w:iCs/>
          <w:noProof/>
        </w:rPr>
        <w:t>Am. J. Cardiol.</w:t>
      </w:r>
      <w:r w:rsidRPr="004661E9">
        <w:rPr>
          <w:rFonts w:ascii="Arial" w:hAnsi="Arial" w:cs="Arial"/>
          <w:noProof/>
        </w:rPr>
        <w:t xml:space="preserve"> 2010;105(3):373–377.</w:t>
      </w:r>
    </w:p>
    <w:p w14:paraId="23A8444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124. </w:t>
      </w:r>
      <w:r w:rsidRPr="004661E9">
        <w:rPr>
          <w:rFonts w:ascii="Arial" w:hAnsi="Arial" w:cs="Arial"/>
          <w:noProof/>
        </w:rPr>
        <w:tab/>
      </w:r>
      <w:r w:rsidRPr="004661E9">
        <w:rPr>
          <w:rFonts w:ascii="Arial" w:hAnsi="Arial" w:cs="Arial"/>
          <w:bCs/>
          <w:noProof/>
        </w:rPr>
        <w:t>Kristensen SL, Mogensen UM, Jhund PS, Petrie MC, Preiss D, Win S, Køber L, McKelvie RS, Zile MR, Anand IS, Komajda M, Gottdiener JS, Carson PE, McMurray JJ V.</w:t>
      </w:r>
      <w:r w:rsidRPr="004661E9">
        <w:rPr>
          <w:rFonts w:ascii="Arial" w:hAnsi="Arial" w:cs="Arial"/>
          <w:noProof/>
        </w:rPr>
        <w:t xml:space="preserve"> Clinical and Echocardiographic Characteristics and Cardiovascular Outcomes According to Diabetes Status in Patients With Heart Failure and Preserved Ejection FractionClinical Perspective. </w:t>
      </w:r>
      <w:r w:rsidRPr="004661E9">
        <w:rPr>
          <w:rFonts w:ascii="Arial" w:hAnsi="Arial" w:cs="Arial"/>
          <w:iCs/>
          <w:noProof/>
        </w:rPr>
        <w:t>Circulation</w:t>
      </w:r>
      <w:r w:rsidRPr="004661E9">
        <w:rPr>
          <w:rFonts w:ascii="Arial" w:hAnsi="Arial" w:cs="Arial"/>
          <w:noProof/>
        </w:rPr>
        <w:t xml:space="preserve"> 2017;135(8):724–735.</w:t>
      </w:r>
    </w:p>
    <w:p w14:paraId="0950074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125. </w:t>
      </w:r>
      <w:r w:rsidRPr="004661E9">
        <w:rPr>
          <w:rFonts w:ascii="Arial" w:hAnsi="Arial" w:cs="Arial"/>
          <w:noProof/>
        </w:rPr>
        <w:tab/>
      </w:r>
      <w:r w:rsidRPr="004661E9">
        <w:rPr>
          <w:rFonts w:ascii="Arial" w:hAnsi="Arial" w:cs="Arial"/>
          <w:bCs/>
          <w:noProof/>
        </w:rPr>
        <w:t>Lindman BR, Dávila-Román VG, Mann DL, McNulty S, Semigran MJ, Lewis GD, De Las Fuentes L, Joseph SM, Vader J, Hernandez AF, Redfield MM.</w:t>
      </w:r>
      <w:r w:rsidRPr="004661E9">
        <w:rPr>
          <w:rFonts w:ascii="Arial" w:hAnsi="Arial" w:cs="Arial"/>
          <w:noProof/>
        </w:rPr>
        <w:t xml:space="preserve"> Cardiovascular phenotype in HFpEF patients with or without diabetes: A RELAX trial ancillary study. </w:t>
      </w:r>
      <w:r w:rsidRPr="004661E9">
        <w:rPr>
          <w:rFonts w:ascii="Arial" w:hAnsi="Arial" w:cs="Arial"/>
          <w:iCs/>
          <w:noProof/>
        </w:rPr>
        <w:t>J. Am. Coll. Cardiol.</w:t>
      </w:r>
      <w:r w:rsidRPr="004661E9">
        <w:rPr>
          <w:rFonts w:ascii="Arial" w:hAnsi="Arial" w:cs="Arial"/>
          <w:noProof/>
        </w:rPr>
        <w:t xml:space="preserve"> 2014;64(6):541–549.</w:t>
      </w:r>
    </w:p>
    <w:p w14:paraId="5E34CE9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126. </w:t>
      </w:r>
      <w:r w:rsidRPr="004661E9">
        <w:rPr>
          <w:rFonts w:ascii="Arial" w:hAnsi="Arial" w:cs="Arial"/>
          <w:noProof/>
        </w:rPr>
        <w:tab/>
      </w:r>
      <w:r w:rsidRPr="004661E9">
        <w:rPr>
          <w:rFonts w:ascii="Arial" w:hAnsi="Arial" w:cs="Arial"/>
          <w:bCs/>
          <w:noProof/>
        </w:rPr>
        <w:t>Cavender MA, Steg PG, Smith SC, Eagle K, Ohman EM, Goto S, Kuder J, Im K, Wilson PWF, Bhatt DL.</w:t>
      </w:r>
      <w:r w:rsidRPr="004661E9">
        <w:rPr>
          <w:rFonts w:ascii="Arial" w:hAnsi="Arial" w:cs="Arial"/>
          <w:noProof/>
        </w:rPr>
        <w:t xml:space="preserve"> Impact of Diabetes Mellitus on Hospitalization for Heart Failure, Cardiovascular Events, and Death: Outcomes at 4 Years from the Reduction of Atherothrombosis for Continued Health (REACH) Registry. </w:t>
      </w:r>
      <w:r w:rsidRPr="004661E9">
        <w:rPr>
          <w:rFonts w:ascii="Arial" w:hAnsi="Arial" w:cs="Arial"/>
          <w:iCs/>
          <w:noProof/>
        </w:rPr>
        <w:t>Circulation</w:t>
      </w:r>
      <w:r w:rsidRPr="004661E9">
        <w:rPr>
          <w:rFonts w:ascii="Arial" w:hAnsi="Arial" w:cs="Arial"/>
          <w:noProof/>
        </w:rPr>
        <w:t xml:space="preserve"> 2015;132(10):923–931.</w:t>
      </w:r>
    </w:p>
    <w:p w14:paraId="2AE66AD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127. </w:t>
      </w:r>
      <w:r w:rsidRPr="004661E9">
        <w:rPr>
          <w:rFonts w:ascii="Arial" w:hAnsi="Arial" w:cs="Arial"/>
          <w:noProof/>
        </w:rPr>
        <w:tab/>
      </w:r>
      <w:r w:rsidRPr="004661E9">
        <w:rPr>
          <w:rFonts w:ascii="Arial" w:hAnsi="Arial" w:cs="Arial"/>
          <w:bCs/>
          <w:noProof/>
        </w:rPr>
        <w:t>Sandesara PB, O’Neal WT, Kelli HM, Samman-Tahhan A, Hammadah M, Quyyumi AA, Sperling LS.</w:t>
      </w:r>
      <w:r w:rsidRPr="004661E9">
        <w:rPr>
          <w:rFonts w:ascii="Arial" w:hAnsi="Arial" w:cs="Arial"/>
          <w:noProof/>
        </w:rPr>
        <w:t xml:space="preserve"> The prognostic significance of diabetes and microvascular complications in patients with heart failure with preserved ejection fraction. </w:t>
      </w:r>
      <w:r w:rsidRPr="004661E9">
        <w:rPr>
          <w:rFonts w:ascii="Arial" w:hAnsi="Arial" w:cs="Arial"/>
          <w:iCs/>
          <w:noProof/>
        </w:rPr>
        <w:t>Diabetes Care</w:t>
      </w:r>
      <w:r w:rsidRPr="004661E9">
        <w:rPr>
          <w:rFonts w:ascii="Arial" w:hAnsi="Arial" w:cs="Arial"/>
          <w:noProof/>
        </w:rPr>
        <w:t xml:space="preserve"> 2018;41(1):150–155.</w:t>
      </w:r>
    </w:p>
    <w:p w14:paraId="649DC13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128. </w:t>
      </w:r>
      <w:r w:rsidRPr="004661E9">
        <w:rPr>
          <w:rFonts w:ascii="Arial" w:hAnsi="Arial" w:cs="Arial"/>
          <w:noProof/>
        </w:rPr>
        <w:tab/>
      </w:r>
      <w:r w:rsidRPr="004661E9">
        <w:rPr>
          <w:rFonts w:ascii="Arial" w:hAnsi="Arial" w:cs="Arial"/>
          <w:bCs/>
          <w:noProof/>
        </w:rPr>
        <w:t>Bassi N, Fonarow GC.</w:t>
      </w:r>
      <w:r w:rsidRPr="004661E9">
        <w:rPr>
          <w:rFonts w:ascii="Arial" w:hAnsi="Arial" w:cs="Arial"/>
          <w:noProof/>
        </w:rPr>
        <w:t xml:space="preserve"> Prevention of Heart Failure in Patients with Diabetes: Role of Diabetes Medications. </w:t>
      </w:r>
      <w:r w:rsidRPr="004661E9">
        <w:rPr>
          <w:rFonts w:ascii="Arial" w:hAnsi="Arial" w:cs="Arial"/>
          <w:iCs/>
          <w:noProof/>
        </w:rPr>
        <w:t>Curr. Cardiol. Rep.</w:t>
      </w:r>
      <w:r w:rsidRPr="004661E9">
        <w:rPr>
          <w:rFonts w:ascii="Arial" w:hAnsi="Arial" w:cs="Arial"/>
          <w:noProof/>
        </w:rPr>
        <w:t xml:space="preserve"> 2018;20(11):1–7.</w:t>
      </w:r>
    </w:p>
    <w:p w14:paraId="1309AE7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129. </w:t>
      </w:r>
      <w:r w:rsidRPr="004661E9">
        <w:rPr>
          <w:rFonts w:ascii="Arial" w:hAnsi="Arial" w:cs="Arial"/>
          <w:noProof/>
        </w:rPr>
        <w:tab/>
      </w:r>
      <w:r w:rsidRPr="004661E9">
        <w:rPr>
          <w:rFonts w:ascii="Arial" w:hAnsi="Arial" w:cs="Arial"/>
          <w:bCs/>
          <w:noProof/>
        </w:rPr>
        <w:t>Ahmad FS, Ning H, Rich JD, Yancy CW, Lloyd-Jones DM, Wilkins JT.</w:t>
      </w:r>
      <w:r w:rsidRPr="004661E9">
        <w:rPr>
          <w:rFonts w:ascii="Arial" w:hAnsi="Arial" w:cs="Arial"/>
          <w:noProof/>
        </w:rPr>
        <w:t xml:space="preserve"> Hypertension, Obesity, Diabetes, and Heart Failure–Free Survival: The Cardiovascular Disease Lifetime Risk Pooling Project. </w:t>
      </w:r>
      <w:r w:rsidRPr="004661E9">
        <w:rPr>
          <w:rFonts w:ascii="Arial" w:hAnsi="Arial" w:cs="Arial"/>
          <w:iCs/>
          <w:noProof/>
        </w:rPr>
        <w:t>JACC Hear. Fail.</w:t>
      </w:r>
      <w:r w:rsidRPr="004661E9">
        <w:rPr>
          <w:rFonts w:ascii="Arial" w:hAnsi="Arial" w:cs="Arial"/>
          <w:noProof/>
        </w:rPr>
        <w:t xml:space="preserve"> 2016;4(12):911–919.</w:t>
      </w:r>
    </w:p>
    <w:p w14:paraId="757735D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130. </w:t>
      </w:r>
      <w:r w:rsidRPr="004661E9">
        <w:rPr>
          <w:rFonts w:ascii="Arial" w:hAnsi="Arial" w:cs="Arial"/>
          <w:noProof/>
        </w:rPr>
        <w:tab/>
      </w:r>
      <w:r w:rsidRPr="004661E9">
        <w:rPr>
          <w:rFonts w:ascii="Arial" w:hAnsi="Arial" w:cs="Arial"/>
          <w:bCs/>
          <w:noProof/>
        </w:rPr>
        <w:t>Pandey A, Vaduganathan M, Patel K V, Ayers C, Ballantyne CM, Kosiborod MN, Carnethon M, Defilippi C, Mcguire DK, Khan SS, Caughey MC, De Lemos JA, Everett BM.</w:t>
      </w:r>
      <w:r w:rsidRPr="004661E9">
        <w:rPr>
          <w:rFonts w:ascii="Arial" w:hAnsi="Arial" w:cs="Arial"/>
          <w:noProof/>
        </w:rPr>
        <w:t xml:space="preserve"> Biomarker-Based Risk Prediction of Incident Heart Failure in Pre-Diabetes and Diabetes. 2021. doi:10.1016/j.jchf.2020.10.013.</w:t>
      </w:r>
    </w:p>
    <w:p w14:paraId="795969C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131. </w:t>
      </w:r>
      <w:r w:rsidRPr="004661E9">
        <w:rPr>
          <w:rFonts w:ascii="Arial" w:hAnsi="Arial" w:cs="Arial"/>
          <w:noProof/>
        </w:rPr>
        <w:tab/>
      </w:r>
      <w:r w:rsidRPr="004661E9">
        <w:rPr>
          <w:rFonts w:ascii="Arial" w:hAnsi="Arial" w:cs="Arial"/>
          <w:bCs/>
          <w:noProof/>
        </w:rPr>
        <w:t>Berg DD, Wiviott SD, Scirica BM, Gurmu Y, Mosenzon O, Murphy SA, Bhatt DL, Leiter LA, McGuire DK, Wilding JPH, Johanson P, Johansson PA, Langkilde AM, Raz I, Braunwald E, Sabatine MS.</w:t>
      </w:r>
      <w:r w:rsidRPr="004661E9">
        <w:rPr>
          <w:rFonts w:ascii="Arial" w:hAnsi="Arial" w:cs="Arial"/>
          <w:noProof/>
        </w:rPr>
        <w:t xml:space="preserve"> Heart Failure Risk Stratification and Efficacy of Sodium-Glucose Cotransporter-2 Inhibitors in Patients With Type 2 Diabetes Mellitus. </w:t>
      </w:r>
      <w:r w:rsidRPr="004661E9">
        <w:rPr>
          <w:rFonts w:ascii="Arial" w:hAnsi="Arial" w:cs="Arial"/>
          <w:iCs/>
          <w:noProof/>
        </w:rPr>
        <w:t>Circulation</w:t>
      </w:r>
      <w:r w:rsidRPr="004661E9">
        <w:rPr>
          <w:rFonts w:ascii="Arial" w:hAnsi="Arial" w:cs="Arial"/>
          <w:noProof/>
        </w:rPr>
        <w:t xml:space="preserve"> </w:t>
      </w:r>
      <w:r w:rsidRPr="004661E9">
        <w:rPr>
          <w:rFonts w:ascii="Arial" w:hAnsi="Arial" w:cs="Arial"/>
          <w:noProof/>
        </w:rPr>
        <w:lastRenderedPageBreak/>
        <w:t>2019;140(19):1569–1577.</w:t>
      </w:r>
    </w:p>
    <w:p w14:paraId="763C982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132. </w:t>
      </w:r>
      <w:r w:rsidRPr="004661E9">
        <w:rPr>
          <w:rFonts w:ascii="Arial" w:hAnsi="Arial" w:cs="Arial"/>
          <w:noProof/>
        </w:rPr>
        <w:tab/>
      </w:r>
      <w:r w:rsidRPr="004661E9">
        <w:rPr>
          <w:rFonts w:ascii="Arial" w:hAnsi="Arial" w:cs="Arial"/>
          <w:bCs/>
          <w:noProof/>
        </w:rPr>
        <w:t>Segar MW, Patel K V, Hellkamp AS, Vaduganathan M, Lokhnygina Y, Green JB, Wan S-H, Kolkailah AA, Holman RR, Peterson ED, Kannan V, Willett DL, McGuire DK, Pandey A.</w:t>
      </w:r>
      <w:r w:rsidRPr="004661E9">
        <w:rPr>
          <w:rFonts w:ascii="Arial" w:hAnsi="Arial" w:cs="Arial"/>
          <w:noProof/>
        </w:rPr>
        <w:t xml:space="preserve"> Validation of the WATCH-DM and TRS-HF DM Risk Scores to Predict the Risk of Incident Hospitalization for Heart Failure Among Adults With Type 2 Diabetes: A Multicohort Analysis. </w:t>
      </w:r>
      <w:r w:rsidRPr="004661E9">
        <w:rPr>
          <w:rFonts w:ascii="Arial" w:hAnsi="Arial" w:cs="Arial"/>
          <w:iCs/>
          <w:noProof/>
        </w:rPr>
        <w:t>J. Am. Hear. Assoc. J Am Hear. Assoc</w:t>
      </w:r>
      <w:r w:rsidRPr="004661E9">
        <w:rPr>
          <w:rFonts w:ascii="Arial" w:hAnsi="Arial" w:cs="Arial"/>
          <w:noProof/>
        </w:rPr>
        <w:t xml:space="preserve"> 2022;11:24094.</w:t>
      </w:r>
    </w:p>
    <w:p w14:paraId="0DA57F9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133. </w:t>
      </w:r>
      <w:r w:rsidRPr="004661E9">
        <w:rPr>
          <w:rFonts w:ascii="Arial" w:hAnsi="Arial" w:cs="Arial"/>
          <w:noProof/>
        </w:rPr>
        <w:tab/>
      </w:r>
      <w:r w:rsidRPr="004661E9">
        <w:rPr>
          <w:rFonts w:ascii="Arial" w:hAnsi="Arial" w:cs="Arial"/>
          <w:bCs/>
          <w:noProof/>
        </w:rPr>
        <w:t>Segar MW, Vaduganathan M, Patel K V., McGuire DK, Butler J, Fonarow GC, Basit M, Kannan V, Grodin JL, Everett B, Willett D, Berry J, Pandey A.</w:t>
      </w:r>
      <w:r w:rsidRPr="004661E9">
        <w:rPr>
          <w:rFonts w:ascii="Arial" w:hAnsi="Arial" w:cs="Arial"/>
          <w:noProof/>
        </w:rPr>
        <w:t xml:space="preserve"> Machine learning to predict the risk of incident heart failure hospitalization among patients with diabetes: The WATCH-DM risk score. </w:t>
      </w:r>
      <w:r w:rsidRPr="004661E9">
        <w:rPr>
          <w:rFonts w:ascii="Arial" w:hAnsi="Arial" w:cs="Arial"/>
          <w:iCs/>
          <w:noProof/>
        </w:rPr>
        <w:t>Diabetes Care</w:t>
      </w:r>
      <w:r w:rsidRPr="004661E9">
        <w:rPr>
          <w:rFonts w:ascii="Arial" w:hAnsi="Arial" w:cs="Arial"/>
          <w:noProof/>
        </w:rPr>
        <w:t xml:space="preserve"> 2019;42(12):2298–2306.</w:t>
      </w:r>
    </w:p>
    <w:p w14:paraId="211D581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134. </w:t>
      </w:r>
      <w:r w:rsidRPr="004661E9">
        <w:rPr>
          <w:rFonts w:ascii="Arial" w:hAnsi="Arial" w:cs="Arial"/>
          <w:noProof/>
        </w:rPr>
        <w:tab/>
      </w:r>
      <w:r w:rsidRPr="004661E9">
        <w:rPr>
          <w:rFonts w:ascii="Arial" w:hAnsi="Arial" w:cs="Arial"/>
          <w:bCs/>
          <w:noProof/>
        </w:rPr>
        <w:t>Yildiz M, Esenboğa K, Oktay AA.</w:t>
      </w:r>
      <w:r w:rsidRPr="004661E9">
        <w:rPr>
          <w:rFonts w:ascii="Arial" w:hAnsi="Arial" w:cs="Arial"/>
          <w:noProof/>
        </w:rPr>
        <w:t xml:space="preserve"> Hypertension and diabetes mellitus: highlights of a complex relationship. </w:t>
      </w:r>
      <w:r w:rsidRPr="004661E9">
        <w:rPr>
          <w:rFonts w:ascii="Arial" w:hAnsi="Arial" w:cs="Arial"/>
          <w:iCs/>
          <w:noProof/>
        </w:rPr>
        <w:t>Curr. Opin. Cardiol.</w:t>
      </w:r>
      <w:r w:rsidRPr="004661E9">
        <w:rPr>
          <w:rFonts w:ascii="Arial" w:hAnsi="Arial" w:cs="Arial"/>
          <w:noProof/>
        </w:rPr>
        <w:t xml:space="preserve"> 2020;35(4):397–404.</w:t>
      </w:r>
    </w:p>
    <w:p w14:paraId="7DCA459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135. </w:t>
      </w:r>
      <w:r w:rsidRPr="004661E9">
        <w:rPr>
          <w:rFonts w:ascii="Arial" w:hAnsi="Arial" w:cs="Arial"/>
          <w:noProof/>
        </w:rPr>
        <w:tab/>
      </w:r>
      <w:r w:rsidRPr="004661E9">
        <w:rPr>
          <w:rFonts w:ascii="Arial" w:hAnsi="Arial" w:cs="Arial"/>
          <w:bCs/>
          <w:noProof/>
        </w:rPr>
        <w:t>Khangura DS, Waqar Salam M, Brietzke SA, Sowers JR.</w:t>
      </w:r>
      <w:r w:rsidRPr="004661E9">
        <w:rPr>
          <w:rFonts w:ascii="Arial" w:hAnsi="Arial" w:cs="Arial"/>
          <w:noProof/>
        </w:rPr>
        <w:t xml:space="preserve"> Hypertension in Diabetes. In: Feingold KR, Anawalt B, Boyce A, Chrousos G, Dungan K, Grossman A, Hershman JM, Kaltsas G, Koch C, Kopp P, Korbonits M, McLachlan R, Morley JE, New M, Perreault L, Purnell J, Rebar R, Singer F, Trence DL, Vinik A, Wilson DP, eds. </w:t>
      </w:r>
      <w:r w:rsidRPr="004661E9">
        <w:rPr>
          <w:rFonts w:ascii="Arial" w:hAnsi="Arial" w:cs="Arial"/>
          <w:iCs/>
          <w:noProof/>
        </w:rPr>
        <w:t>Endotext</w:t>
      </w:r>
      <w:r w:rsidRPr="004661E9">
        <w:rPr>
          <w:rFonts w:ascii="Arial" w:hAnsi="Arial" w:cs="Arial"/>
          <w:noProof/>
        </w:rPr>
        <w:t>. South Dartmouth (MA): MDText.com, Inc.; 2000; 2018.</w:t>
      </w:r>
    </w:p>
    <w:p w14:paraId="53DBE79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136. </w:t>
      </w:r>
      <w:r w:rsidRPr="004661E9">
        <w:rPr>
          <w:rFonts w:ascii="Arial" w:hAnsi="Arial" w:cs="Arial"/>
          <w:noProof/>
        </w:rPr>
        <w:tab/>
      </w:r>
      <w:r w:rsidRPr="004661E9">
        <w:rPr>
          <w:rFonts w:ascii="Arial" w:hAnsi="Arial" w:cs="Arial"/>
          <w:bCs/>
          <w:noProof/>
        </w:rPr>
        <w:t>Whelton PK, Carey RM, Aronow WS, Casey DE, Collins KJ, Dennison Himmelfarb C, DePalma SM, Gidding S, Jamerson KA, Jones DW, MacLaughlin EJ, Muntner P, Ovbiagele B, Smith SC, Spencer CC, Stafford RS, Taler SJ, Thomas RJ, Williams KA, Williamson JD, Wright JT.</w:t>
      </w:r>
      <w:r w:rsidRPr="004661E9">
        <w:rPr>
          <w:rFonts w:ascii="Arial" w:hAnsi="Arial" w:cs="Arial"/>
          <w:noProof/>
        </w:rPr>
        <w:t xml:space="preserve"> 2017 ACC/AHA/AAPA/ABC/ACPM/AGS/APhA/ASH/ASPC/NMA/PCNA Guideline for the Prevention, Detection, Evaluation, and Management of High Blood Pressure in Adults: Executive Summary. </w:t>
      </w:r>
      <w:r w:rsidRPr="004661E9">
        <w:rPr>
          <w:rFonts w:ascii="Arial" w:hAnsi="Arial" w:cs="Arial"/>
          <w:iCs/>
          <w:noProof/>
        </w:rPr>
        <w:t>JACC</w:t>
      </w:r>
      <w:r w:rsidRPr="004661E9">
        <w:rPr>
          <w:rFonts w:ascii="Arial" w:hAnsi="Arial" w:cs="Arial"/>
          <w:noProof/>
        </w:rPr>
        <w:t xml:space="preserve"> 2018;71(19):e127–e248.</w:t>
      </w:r>
    </w:p>
    <w:p w14:paraId="3650D8A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137. </w:t>
      </w:r>
      <w:r w:rsidRPr="004661E9">
        <w:rPr>
          <w:rFonts w:ascii="Arial" w:hAnsi="Arial" w:cs="Arial"/>
          <w:noProof/>
        </w:rPr>
        <w:tab/>
      </w:r>
      <w:r w:rsidRPr="004661E9">
        <w:rPr>
          <w:rFonts w:ascii="Arial" w:hAnsi="Arial" w:cs="Arial"/>
          <w:bCs/>
          <w:noProof/>
        </w:rPr>
        <w:t>Ettehad D, Emdin CA, Kiran A, Anderson SG, Callender T, Emberson J, Chalmers J, Rodgers A, Rahimi K.</w:t>
      </w:r>
      <w:r w:rsidRPr="004661E9">
        <w:rPr>
          <w:rFonts w:ascii="Arial" w:hAnsi="Arial" w:cs="Arial"/>
          <w:noProof/>
        </w:rPr>
        <w:t xml:space="preserve"> Blood pressure lowering for prevention of cardiovascular disease and death: A systematic review and meta-analysis. </w:t>
      </w:r>
      <w:r w:rsidRPr="004661E9">
        <w:rPr>
          <w:rFonts w:ascii="Arial" w:hAnsi="Arial" w:cs="Arial"/>
          <w:iCs/>
          <w:noProof/>
        </w:rPr>
        <w:t>Lancet</w:t>
      </w:r>
      <w:r w:rsidRPr="004661E9">
        <w:rPr>
          <w:rFonts w:ascii="Arial" w:hAnsi="Arial" w:cs="Arial"/>
          <w:noProof/>
        </w:rPr>
        <w:t xml:space="preserve"> 2016;387(10022):957–967.</w:t>
      </w:r>
    </w:p>
    <w:p w14:paraId="5693A8F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138. </w:t>
      </w:r>
      <w:r w:rsidRPr="004661E9">
        <w:rPr>
          <w:rFonts w:ascii="Arial" w:hAnsi="Arial" w:cs="Arial"/>
          <w:noProof/>
        </w:rPr>
        <w:tab/>
      </w:r>
      <w:r w:rsidRPr="004661E9">
        <w:rPr>
          <w:rFonts w:ascii="Arial" w:hAnsi="Arial" w:cs="Arial"/>
          <w:bCs/>
          <w:noProof/>
        </w:rPr>
        <w:t>Thomopoulos C, Parati G, Zanchetti A.</w:t>
      </w:r>
      <w:r w:rsidRPr="004661E9">
        <w:rPr>
          <w:rFonts w:ascii="Arial" w:hAnsi="Arial" w:cs="Arial"/>
          <w:noProof/>
        </w:rPr>
        <w:t xml:space="preserve"> Effects of blood-pressure-lowering treatment on outcome incidence in hypertension:10-Should blood pressure management differ in hypertensive patients with and without diabetes mellitus? Overview and meta-analyses of randomized trials. </w:t>
      </w:r>
      <w:r w:rsidRPr="004661E9">
        <w:rPr>
          <w:rFonts w:ascii="Arial" w:hAnsi="Arial" w:cs="Arial"/>
          <w:iCs/>
          <w:noProof/>
        </w:rPr>
        <w:t>J. Hypertens.</w:t>
      </w:r>
      <w:r w:rsidRPr="004661E9">
        <w:rPr>
          <w:rFonts w:ascii="Arial" w:hAnsi="Arial" w:cs="Arial"/>
          <w:noProof/>
        </w:rPr>
        <w:t xml:space="preserve"> 2017;35(5):922–944.</w:t>
      </w:r>
    </w:p>
    <w:p w14:paraId="79C553E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139. </w:t>
      </w:r>
      <w:r w:rsidRPr="004661E9">
        <w:rPr>
          <w:rFonts w:ascii="Arial" w:hAnsi="Arial" w:cs="Arial"/>
          <w:noProof/>
        </w:rPr>
        <w:tab/>
      </w:r>
      <w:r w:rsidRPr="004661E9">
        <w:rPr>
          <w:rFonts w:ascii="Arial" w:hAnsi="Arial" w:cs="Arial"/>
          <w:bCs/>
          <w:noProof/>
        </w:rPr>
        <w:t>Accord-BP-Study-Group.</w:t>
      </w:r>
      <w:r w:rsidRPr="004661E9">
        <w:rPr>
          <w:rFonts w:ascii="Arial" w:hAnsi="Arial" w:cs="Arial"/>
          <w:noProof/>
        </w:rPr>
        <w:t xml:space="preserve"> Effects of Intensive Blood-Pressure Control in Type 2 Diabetes Mellitus. </w:t>
      </w:r>
      <w:r w:rsidRPr="004661E9">
        <w:rPr>
          <w:rFonts w:ascii="Arial" w:hAnsi="Arial" w:cs="Arial"/>
          <w:iCs/>
          <w:noProof/>
        </w:rPr>
        <w:t>N. Engl. J. Med.</w:t>
      </w:r>
      <w:r w:rsidRPr="004661E9">
        <w:rPr>
          <w:rFonts w:ascii="Arial" w:hAnsi="Arial" w:cs="Arial"/>
          <w:noProof/>
        </w:rPr>
        <w:t xml:space="preserve"> 2010;362(17):1575–1585.</w:t>
      </w:r>
    </w:p>
    <w:p w14:paraId="2230DF1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140. </w:t>
      </w:r>
      <w:r w:rsidRPr="004661E9">
        <w:rPr>
          <w:rFonts w:ascii="Arial" w:hAnsi="Arial" w:cs="Arial"/>
          <w:noProof/>
        </w:rPr>
        <w:tab/>
      </w:r>
      <w:r w:rsidRPr="004661E9">
        <w:rPr>
          <w:rFonts w:ascii="Arial" w:hAnsi="Arial" w:cs="Arial"/>
          <w:bCs/>
          <w:noProof/>
        </w:rPr>
        <w:t xml:space="preserve">Williams B, Mancia G, Spiering W, Rosei EA, Azizi M, Burnier M, Clement DL, Coca A, De Simone G, Dominiczak A, Kahan T, Mahfoud F, Redon J, Ruilope L, Zanchetti A, Kerins M, Kjeldsen SE, Kreutz R, Laurent S, Lip GYH, McManus R, Narkiewicz K, Ruschitzka F, Schmieder RE, Shlyakhto E, Tsioufis C, Aboyans V, Desormais I, De Backer G, Heagerty AM, Agewall S, Bochud M, Borghi C, Boutouyrie P, Brguljan J, Bueno H, Caiani EG, Carlberg B, Chapman N, Cífková R, Cleland JGF, Collet JP, Coman IM, De Leeuw PW, Delgado V, Dendale P, Diener HC, Dorobantu M, Fagard R, Farsang C, Ferrini M, Graham IM, Grassi G, Haller H, Hobbs FDR, Jelakovic B, Jennings C, Katus HA, Kroon AA, Leclercq C, Lovic D, Lurbe E, Manolis AJ, McDonagh TA, Messerli F, Muiesan ML, Nixdorff U, Olsen MH, Parati G, Perk J, Piepoli MF, Polonia J, Ponikowski P, Richter DJ, Rimoldi SF, Roffi M, Sattar N, Seferovic PM, Simpson IA, Sousa-Uva M, Stanton A V., </w:t>
      </w:r>
      <w:r w:rsidRPr="004661E9">
        <w:rPr>
          <w:rFonts w:ascii="Arial" w:hAnsi="Arial" w:cs="Arial"/>
          <w:bCs/>
          <w:noProof/>
        </w:rPr>
        <w:lastRenderedPageBreak/>
        <w:t>Van De Borne P, Vardas P, Volpe M, Wassmann S, Windecker S, Zamorano JL.</w:t>
      </w:r>
      <w:r w:rsidRPr="004661E9">
        <w:rPr>
          <w:rFonts w:ascii="Arial" w:hAnsi="Arial" w:cs="Arial"/>
          <w:noProof/>
        </w:rPr>
        <w:t xml:space="preserve"> 2018 ESC/ESH Guidelines for themanagement of arterial hypertension. </w:t>
      </w:r>
      <w:r w:rsidRPr="004661E9">
        <w:rPr>
          <w:rFonts w:ascii="Arial" w:hAnsi="Arial" w:cs="Arial"/>
          <w:iCs/>
          <w:noProof/>
        </w:rPr>
        <w:t>Eur. Heart J.</w:t>
      </w:r>
      <w:r w:rsidRPr="004661E9">
        <w:rPr>
          <w:rFonts w:ascii="Arial" w:hAnsi="Arial" w:cs="Arial"/>
          <w:noProof/>
        </w:rPr>
        <w:t xml:space="preserve"> 2018;39(33):3021–3104.</w:t>
      </w:r>
    </w:p>
    <w:p w14:paraId="47EC7B3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141. </w:t>
      </w:r>
      <w:r w:rsidRPr="004661E9">
        <w:rPr>
          <w:rFonts w:ascii="Arial" w:hAnsi="Arial" w:cs="Arial"/>
          <w:noProof/>
        </w:rPr>
        <w:tab/>
      </w:r>
      <w:r w:rsidRPr="004661E9">
        <w:rPr>
          <w:rFonts w:ascii="Arial" w:hAnsi="Arial" w:cs="Arial"/>
          <w:bCs/>
          <w:noProof/>
        </w:rPr>
        <w:t>Elsayed NA, Aleppo G, Aroda VR, Bannuru RR, Brown FM, Bruemmer D, Collins BS, Das SR, Hilliard ME, Isaacs D, Johnson EL, Kahan S, Khunti K, Kosiborod M, Leon J, Lyons SK, Perry M Lou, Prahalad P, Pratley RE, Seley JJ, Stanton RC, Gabbay RA.</w:t>
      </w:r>
      <w:r w:rsidRPr="004661E9">
        <w:rPr>
          <w:rFonts w:ascii="Arial" w:hAnsi="Arial" w:cs="Arial"/>
          <w:noProof/>
        </w:rPr>
        <w:t xml:space="preserve"> 10. Cardiovascular Disease and Risk Management: Standards of Care in Diabetes—2023. </w:t>
      </w:r>
      <w:r w:rsidRPr="004661E9">
        <w:rPr>
          <w:rFonts w:ascii="Arial" w:hAnsi="Arial" w:cs="Arial"/>
          <w:iCs/>
          <w:noProof/>
        </w:rPr>
        <w:t>Diabetes Care</w:t>
      </w:r>
      <w:r w:rsidRPr="004661E9">
        <w:rPr>
          <w:rFonts w:ascii="Arial" w:hAnsi="Arial" w:cs="Arial"/>
          <w:noProof/>
        </w:rPr>
        <w:t xml:space="preserve"> 2023;46(January):S158–S190.</w:t>
      </w:r>
    </w:p>
    <w:p w14:paraId="563F7D04"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142. </w:t>
      </w:r>
      <w:r w:rsidRPr="004661E9">
        <w:rPr>
          <w:rFonts w:ascii="Arial" w:hAnsi="Arial" w:cs="Arial"/>
          <w:noProof/>
        </w:rPr>
        <w:tab/>
      </w:r>
      <w:r w:rsidRPr="004661E9">
        <w:rPr>
          <w:rFonts w:ascii="Arial" w:hAnsi="Arial" w:cs="Arial"/>
          <w:bCs/>
          <w:noProof/>
        </w:rPr>
        <w:t>Whelton PK, Barzilay J, Cushman WC, Davis BR, Ilamathi E, Kostis JB, Leenen FHH, Louis GT, Margolis KL, Mathis DE, Moloo J, Nwachuku C, Panebianco D, Parish DC, Pressel S, Simmons DL, Thadani U.</w:t>
      </w:r>
      <w:r w:rsidRPr="004661E9">
        <w:rPr>
          <w:rFonts w:ascii="Arial" w:hAnsi="Arial" w:cs="Arial"/>
          <w:noProof/>
        </w:rPr>
        <w:t xml:space="preserve"> Clinical outcomes in antihypertensive treatment of type 2 diabetes, impaired fasting glucose concentration, and normoglycemia: Antihypertensive and Lipid-Lowering Treatment to Prevent Heart Attack Trial (ALLHAT). </w:t>
      </w:r>
      <w:r w:rsidRPr="004661E9">
        <w:rPr>
          <w:rFonts w:ascii="Arial" w:hAnsi="Arial" w:cs="Arial"/>
          <w:iCs/>
          <w:noProof/>
        </w:rPr>
        <w:t>Arch. Intern. Med.</w:t>
      </w:r>
      <w:r w:rsidRPr="004661E9">
        <w:rPr>
          <w:rFonts w:ascii="Arial" w:hAnsi="Arial" w:cs="Arial"/>
          <w:noProof/>
        </w:rPr>
        <w:t xml:space="preserve"> 2005;165(12):1401–1409.</w:t>
      </w:r>
    </w:p>
    <w:p w14:paraId="5CABD75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143. </w:t>
      </w:r>
      <w:r w:rsidRPr="004661E9">
        <w:rPr>
          <w:rFonts w:ascii="Arial" w:hAnsi="Arial" w:cs="Arial"/>
          <w:noProof/>
        </w:rPr>
        <w:tab/>
      </w:r>
      <w:r w:rsidRPr="004661E9">
        <w:rPr>
          <w:rFonts w:ascii="Arial" w:hAnsi="Arial" w:cs="Arial"/>
          <w:bCs/>
          <w:noProof/>
        </w:rPr>
        <w:t>Wright JT, Probstfield JL, Cushman WC, Pressel SL, Cutler JA, Davis BR, Einhorn PT, Rahman M, Whelton PK, Ford CE, Haywood LJ, Margolis KL, Oparil S, Black HR, Alderman MH.</w:t>
      </w:r>
      <w:r w:rsidRPr="004661E9">
        <w:rPr>
          <w:rFonts w:ascii="Arial" w:hAnsi="Arial" w:cs="Arial"/>
          <w:noProof/>
        </w:rPr>
        <w:t xml:space="preserve"> ALLHAT findings revisited in the context of subsequent analyses, other trials, and meta-analyses. </w:t>
      </w:r>
      <w:r w:rsidRPr="004661E9">
        <w:rPr>
          <w:rFonts w:ascii="Arial" w:hAnsi="Arial" w:cs="Arial"/>
          <w:iCs/>
          <w:noProof/>
        </w:rPr>
        <w:t>Arch. Intern. Med.</w:t>
      </w:r>
      <w:r w:rsidRPr="004661E9">
        <w:rPr>
          <w:rFonts w:ascii="Arial" w:hAnsi="Arial" w:cs="Arial"/>
          <w:noProof/>
        </w:rPr>
        <w:t xml:space="preserve"> 2009;169(9):832–842.</w:t>
      </w:r>
    </w:p>
    <w:p w14:paraId="47714374"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144. </w:t>
      </w:r>
      <w:r w:rsidRPr="004661E9">
        <w:rPr>
          <w:rFonts w:ascii="Arial" w:hAnsi="Arial" w:cs="Arial"/>
          <w:noProof/>
        </w:rPr>
        <w:tab/>
      </w:r>
      <w:r w:rsidRPr="004661E9">
        <w:rPr>
          <w:rFonts w:ascii="Arial" w:hAnsi="Arial" w:cs="Arial"/>
          <w:bCs/>
          <w:noProof/>
        </w:rPr>
        <w:t>Scheen AJ.</w:t>
      </w:r>
      <w:r w:rsidRPr="004661E9">
        <w:rPr>
          <w:rFonts w:ascii="Arial" w:hAnsi="Arial" w:cs="Arial"/>
          <w:noProof/>
        </w:rPr>
        <w:t xml:space="preserve"> Type 2 Diabetes and Thiazide Diuretics. </w:t>
      </w:r>
      <w:r w:rsidRPr="004661E9">
        <w:rPr>
          <w:rFonts w:ascii="Arial" w:hAnsi="Arial" w:cs="Arial"/>
          <w:iCs/>
          <w:noProof/>
        </w:rPr>
        <w:t>Curr. Diab. Rep.</w:t>
      </w:r>
      <w:r w:rsidRPr="004661E9">
        <w:rPr>
          <w:rFonts w:ascii="Arial" w:hAnsi="Arial" w:cs="Arial"/>
          <w:noProof/>
        </w:rPr>
        <w:t xml:space="preserve"> 2018;18(2):1–13.</w:t>
      </w:r>
    </w:p>
    <w:p w14:paraId="5F3595F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145. </w:t>
      </w:r>
      <w:r w:rsidRPr="004661E9">
        <w:rPr>
          <w:rFonts w:ascii="Arial" w:hAnsi="Arial" w:cs="Arial"/>
          <w:noProof/>
        </w:rPr>
        <w:tab/>
      </w:r>
      <w:r w:rsidRPr="004661E9">
        <w:rPr>
          <w:rFonts w:ascii="Arial" w:hAnsi="Arial" w:cs="Arial"/>
          <w:bCs/>
          <w:noProof/>
        </w:rPr>
        <w:t>Zhang X, Zhao Q.</w:t>
      </w:r>
      <w:r w:rsidRPr="004661E9">
        <w:rPr>
          <w:rFonts w:ascii="Arial" w:hAnsi="Arial" w:cs="Arial"/>
          <w:noProof/>
        </w:rPr>
        <w:t xml:space="preserve"> Association of Thiazide-Type Diuretics With Glycemic Changes in Hypertensive Patients: A Systematic Review and Meta-Analysis of Randomized Controlled Clinical Trials. </w:t>
      </w:r>
      <w:r w:rsidRPr="004661E9">
        <w:rPr>
          <w:rFonts w:ascii="Arial" w:hAnsi="Arial" w:cs="Arial"/>
          <w:iCs/>
          <w:noProof/>
        </w:rPr>
        <w:t>J. Clin. Hypertens.</w:t>
      </w:r>
      <w:r w:rsidRPr="004661E9">
        <w:rPr>
          <w:rFonts w:ascii="Arial" w:hAnsi="Arial" w:cs="Arial"/>
          <w:noProof/>
        </w:rPr>
        <w:t xml:space="preserve"> 2016;18(4):342–351.</w:t>
      </w:r>
    </w:p>
    <w:p w14:paraId="25C773A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146. </w:t>
      </w:r>
      <w:r w:rsidRPr="004661E9">
        <w:rPr>
          <w:rFonts w:ascii="Arial" w:hAnsi="Arial" w:cs="Arial"/>
          <w:noProof/>
        </w:rPr>
        <w:tab/>
      </w:r>
      <w:r w:rsidRPr="004661E9">
        <w:rPr>
          <w:rFonts w:ascii="Arial" w:hAnsi="Arial" w:cs="Arial"/>
          <w:bCs/>
          <w:noProof/>
        </w:rPr>
        <w:t>Elliott WJ, Meyer PM.</w:t>
      </w:r>
      <w:r w:rsidRPr="004661E9">
        <w:rPr>
          <w:rFonts w:ascii="Arial" w:hAnsi="Arial" w:cs="Arial"/>
          <w:noProof/>
        </w:rPr>
        <w:t xml:space="preserve"> Incident diabetes in clinical trials of antihypertensive drugs: a network meta-analysis. </w:t>
      </w:r>
      <w:r w:rsidRPr="004661E9">
        <w:rPr>
          <w:rFonts w:ascii="Arial" w:hAnsi="Arial" w:cs="Arial"/>
          <w:iCs/>
          <w:noProof/>
        </w:rPr>
        <w:t>Lancet</w:t>
      </w:r>
      <w:r w:rsidRPr="004661E9">
        <w:rPr>
          <w:rFonts w:ascii="Arial" w:hAnsi="Arial" w:cs="Arial"/>
          <w:noProof/>
        </w:rPr>
        <w:t xml:space="preserve"> 2007;369(9557):201–207.</w:t>
      </w:r>
    </w:p>
    <w:p w14:paraId="6FADCE9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147. </w:t>
      </w:r>
      <w:r w:rsidRPr="004661E9">
        <w:rPr>
          <w:rFonts w:ascii="Arial" w:hAnsi="Arial" w:cs="Arial"/>
          <w:noProof/>
        </w:rPr>
        <w:tab/>
      </w:r>
      <w:r w:rsidRPr="004661E9">
        <w:rPr>
          <w:rFonts w:ascii="Arial" w:hAnsi="Arial" w:cs="Arial"/>
          <w:bCs/>
          <w:noProof/>
        </w:rPr>
        <w:t>Yang Y, Xu H.</w:t>
      </w:r>
      <w:r w:rsidRPr="004661E9">
        <w:rPr>
          <w:rFonts w:ascii="Arial" w:hAnsi="Arial" w:cs="Arial"/>
          <w:noProof/>
        </w:rPr>
        <w:t xml:space="preserve"> Comparing six antihypertensive medication classes for preventing new-onset diabetes mellitus among hypertensive patients: a network meta-analysis. </w:t>
      </w:r>
      <w:r w:rsidRPr="004661E9">
        <w:rPr>
          <w:rFonts w:ascii="Arial" w:hAnsi="Arial" w:cs="Arial"/>
          <w:iCs/>
          <w:noProof/>
        </w:rPr>
        <w:t>J. Cell. Mol. Med.</w:t>
      </w:r>
      <w:r w:rsidRPr="004661E9">
        <w:rPr>
          <w:rFonts w:ascii="Arial" w:hAnsi="Arial" w:cs="Arial"/>
          <w:noProof/>
        </w:rPr>
        <w:t xml:space="preserve"> 2017;21(9):1742–1750.</w:t>
      </w:r>
    </w:p>
    <w:p w14:paraId="79DABA9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148. </w:t>
      </w:r>
      <w:r w:rsidRPr="004661E9">
        <w:rPr>
          <w:rFonts w:ascii="Arial" w:hAnsi="Arial" w:cs="Arial"/>
          <w:noProof/>
        </w:rPr>
        <w:tab/>
      </w:r>
      <w:r w:rsidRPr="004661E9">
        <w:rPr>
          <w:rFonts w:ascii="Arial" w:hAnsi="Arial" w:cs="Arial"/>
          <w:bCs/>
          <w:noProof/>
        </w:rPr>
        <w:t>Williams B, Macdonald TM, Morant S, Webb DJ, Sever P, McInnes G, Ford I, Cruickshank JK, Caulfield MJ, Salsbury J, Mackenzie I, Padmanabhan S, Brown MJ.</w:t>
      </w:r>
      <w:r w:rsidRPr="004661E9">
        <w:rPr>
          <w:rFonts w:ascii="Arial" w:hAnsi="Arial" w:cs="Arial"/>
          <w:noProof/>
        </w:rPr>
        <w:t xml:space="preserve"> Spironolactone versus placebo, bisoprolol, and doxazosin to determine the optimal treatment for drug-resistant hypertension (PATHWAY-2): A randomised, double-blind, crossover trial. </w:t>
      </w:r>
      <w:r w:rsidRPr="004661E9">
        <w:rPr>
          <w:rFonts w:ascii="Arial" w:hAnsi="Arial" w:cs="Arial"/>
          <w:iCs/>
          <w:noProof/>
        </w:rPr>
        <w:t>Lancet</w:t>
      </w:r>
      <w:r w:rsidRPr="004661E9">
        <w:rPr>
          <w:rFonts w:ascii="Arial" w:hAnsi="Arial" w:cs="Arial"/>
          <w:noProof/>
        </w:rPr>
        <w:t xml:space="preserve"> 2015;386(10008):2059–2068.</w:t>
      </w:r>
    </w:p>
    <w:p w14:paraId="5735F16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149. </w:t>
      </w:r>
      <w:r w:rsidRPr="004661E9">
        <w:rPr>
          <w:rFonts w:ascii="Arial" w:hAnsi="Arial" w:cs="Arial"/>
          <w:noProof/>
        </w:rPr>
        <w:tab/>
      </w:r>
      <w:r w:rsidRPr="004661E9">
        <w:rPr>
          <w:rFonts w:ascii="Arial" w:hAnsi="Arial" w:cs="Arial"/>
          <w:bCs/>
          <w:noProof/>
        </w:rPr>
        <w:t>Agarwal R, Kolkhof P, Bakris G, Bauersachs J, Haller H, Wada T, Zannad F.</w:t>
      </w:r>
      <w:r w:rsidRPr="004661E9">
        <w:rPr>
          <w:rFonts w:ascii="Arial" w:hAnsi="Arial" w:cs="Arial"/>
          <w:noProof/>
        </w:rPr>
        <w:t xml:space="preserve"> Steroidal and non-steroidal mineralocorticoid receptor antagonists in cardiorenal medicine. </w:t>
      </w:r>
      <w:r w:rsidRPr="004661E9">
        <w:rPr>
          <w:rFonts w:ascii="Arial" w:hAnsi="Arial" w:cs="Arial"/>
          <w:iCs/>
          <w:noProof/>
        </w:rPr>
        <w:t>Eur. Heart J.</w:t>
      </w:r>
      <w:r w:rsidRPr="004661E9">
        <w:rPr>
          <w:rFonts w:ascii="Arial" w:hAnsi="Arial" w:cs="Arial"/>
          <w:noProof/>
        </w:rPr>
        <w:t xml:space="preserve"> 2021;42(2):152–161.</w:t>
      </w:r>
    </w:p>
    <w:p w14:paraId="4B79CFB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150. </w:t>
      </w:r>
      <w:r w:rsidRPr="004661E9">
        <w:rPr>
          <w:rFonts w:ascii="Arial" w:hAnsi="Arial" w:cs="Arial"/>
          <w:noProof/>
        </w:rPr>
        <w:tab/>
      </w:r>
      <w:r w:rsidRPr="004661E9">
        <w:rPr>
          <w:rFonts w:ascii="Arial" w:hAnsi="Arial" w:cs="Arial"/>
          <w:bCs/>
          <w:noProof/>
        </w:rPr>
        <w:t>Brandt-Jacobsen NH, Lav Madsen P, Johansen ML, Rasmussen JJ, Forman JL, Holm MR, Rye Jørgensen N, Faber J, Rossignol P, Schou M, Kistorp C.</w:t>
      </w:r>
      <w:r w:rsidRPr="004661E9">
        <w:rPr>
          <w:rFonts w:ascii="Arial" w:hAnsi="Arial" w:cs="Arial"/>
          <w:noProof/>
        </w:rPr>
        <w:t xml:space="preserve"> Mineralocorticoid Receptor Antagonist Improves Cardiac Structure in Type 2 Diabetes: Data From the MIRAD Trial. </w:t>
      </w:r>
      <w:r w:rsidRPr="004661E9">
        <w:rPr>
          <w:rFonts w:ascii="Arial" w:hAnsi="Arial" w:cs="Arial"/>
          <w:iCs/>
          <w:noProof/>
        </w:rPr>
        <w:t>JACC Hear. Fail.</w:t>
      </w:r>
      <w:r w:rsidRPr="004661E9">
        <w:rPr>
          <w:rFonts w:ascii="Arial" w:hAnsi="Arial" w:cs="Arial"/>
          <w:noProof/>
        </w:rPr>
        <w:t xml:space="preserve"> 2021;9(8):550–558.</w:t>
      </w:r>
    </w:p>
    <w:p w14:paraId="1B2238C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151. </w:t>
      </w:r>
      <w:r w:rsidRPr="004661E9">
        <w:rPr>
          <w:rFonts w:ascii="Arial" w:hAnsi="Arial" w:cs="Arial"/>
          <w:noProof/>
        </w:rPr>
        <w:tab/>
      </w:r>
      <w:r w:rsidRPr="004661E9">
        <w:rPr>
          <w:rFonts w:ascii="Arial" w:hAnsi="Arial" w:cs="Arial"/>
          <w:bCs/>
          <w:noProof/>
        </w:rPr>
        <w:t>Pandey AK, Bhatt DL, Cosentino F, Marx N, Rotstein O, Pitt B, Pandey A, Butler J, Verma S.</w:t>
      </w:r>
      <w:r w:rsidRPr="004661E9">
        <w:rPr>
          <w:rFonts w:ascii="Arial" w:hAnsi="Arial" w:cs="Arial"/>
          <w:noProof/>
        </w:rPr>
        <w:t xml:space="preserve"> Non-steroidal mineralocorticoid receptor antagonists in cardiorenal disease. </w:t>
      </w:r>
      <w:r w:rsidRPr="004661E9">
        <w:rPr>
          <w:rFonts w:ascii="Arial" w:hAnsi="Arial" w:cs="Arial"/>
          <w:iCs/>
          <w:noProof/>
        </w:rPr>
        <w:t>Eur. Heart J.</w:t>
      </w:r>
      <w:r w:rsidRPr="004661E9">
        <w:rPr>
          <w:rFonts w:ascii="Arial" w:hAnsi="Arial" w:cs="Arial"/>
          <w:noProof/>
        </w:rPr>
        <w:t xml:space="preserve"> 2022;43(31):2931–2945.</w:t>
      </w:r>
    </w:p>
    <w:p w14:paraId="0AEA1FD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152. </w:t>
      </w:r>
      <w:r w:rsidRPr="004661E9">
        <w:rPr>
          <w:rFonts w:ascii="Arial" w:hAnsi="Arial" w:cs="Arial"/>
          <w:noProof/>
        </w:rPr>
        <w:tab/>
      </w:r>
      <w:r w:rsidRPr="004661E9">
        <w:rPr>
          <w:rFonts w:ascii="Arial" w:hAnsi="Arial" w:cs="Arial"/>
          <w:bCs/>
          <w:noProof/>
        </w:rPr>
        <w:t>Bakris GL, Agarwal R, Anker SD, Pitt B, Ruilope LM, Rossing P, Kolkhof P, Nowack C, Schloemer P, Joseph A, Filippatos G.</w:t>
      </w:r>
      <w:r w:rsidRPr="004661E9">
        <w:rPr>
          <w:rFonts w:ascii="Arial" w:hAnsi="Arial" w:cs="Arial"/>
          <w:noProof/>
        </w:rPr>
        <w:t xml:space="preserve"> Effect of Finerenone on Chronic Kidney Disease </w:t>
      </w:r>
      <w:r w:rsidRPr="004661E9">
        <w:rPr>
          <w:rFonts w:ascii="Arial" w:hAnsi="Arial" w:cs="Arial"/>
          <w:noProof/>
        </w:rPr>
        <w:lastRenderedPageBreak/>
        <w:t xml:space="preserve">Outcomes in Type 2 Diabetes. </w:t>
      </w:r>
      <w:r w:rsidRPr="004661E9">
        <w:rPr>
          <w:rFonts w:ascii="Arial" w:hAnsi="Arial" w:cs="Arial"/>
          <w:iCs/>
          <w:noProof/>
        </w:rPr>
        <w:t>N. Engl. J. Med.</w:t>
      </w:r>
      <w:r w:rsidRPr="004661E9">
        <w:rPr>
          <w:rFonts w:ascii="Arial" w:hAnsi="Arial" w:cs="Arial"/>
          <w:noProof/>
        </w:rPr>
        <w:t xml:space="preserve"> 2020;383(23):2219–2229.</w:t>
      </w:r>
    </w:p>
    <w:p w14:paraId="52D3346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153. </w:t>
      </w:r>
      <w:r w:rsidRPr="004661E9">
        <w:rPr>
          <w:rFonts w:ascii="Arial" w:hAnsi="Arial" w:cs="Arial"/>
          <w:noProof/>
        </w:rPr>
        <w:tab/>
      </w:r>
      <w:r w:rsidRPr="004661E9">
        <w:rPr>
          <w:rFonts w:ascii="Arial" w:hAnsi="Arial" w:cs="Arial"/>
          <w:bCs/>
          <w:noProof/>
        </w:rPr>
        <w:t>Pitt B, Filippatos G, Agarwal R, Anker SD, Bakris GL, Rossing P, Joseph A, Kolkhof P, Nowack C, Schloemer P, Ruilope LM.</w:t>
      </w:r>
      <w:r w:rsidRPr="004661E9">
        <w:rPr>
          <w:rFonts w:ascii="Arial" w:hAnsi="Arial" w:cs="Arial"/>
          <w:noProof/>
        </w:rPr>
        <w:t xml:space="preserve"> Cardiovascular Events with Finerenone in Kidney Disease and Type 2 Diabetes. </w:t>
      </w:r>
      <w:r w:rsidRPr="004661E9">
        <w:rPr>
          <w:rFonts w:ascii="Arial" w:hAnsi="Arial" w:cs="Arial"/>
          <w:iCs/>
          <w:noProof/>
        </w:rPr>
        <w:t>N. Engl. J. Med.</w:t>
      </w:r>
      <w:r w:rsidRPr="004661E9">
        <w:rPr>
          <w:rFonts w:ascii="Arial" w:hAnsi="Arial" w:cs="Arial"/>
          <w:noProof/>
        </w:rPr>
        <w:t xml:space="preserve"> 2021;385(24):2252–2263.</w:t>
      </w:r>
    </w:p>
    <w:p w14:paraId="0B8DEBA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154. </w:t>
      </w:r>
      <w:r w:rsidRPr="004661E9">
        <w:rPr>
          <w:rFonts w:ascii="Arial" w:hAnsi="Arial" w:cs="Arial"/>
          <w:noProof/>
        </w:rPr>
        <w:tab/>
      </w:r>
      <w:r w:rsidRPr="004661E9">
        <w:rPr>
          <w:rFonts w:ascii="Arial" w:hAnsi="Arial" w:cs="Arial"/>
          <w:bCs/>
          <w:noProof/>
        </w:rPr>
        <w:t>The (Look AHEAD Researh Group).</w:t>
      </w:r>
      <w:r w:rsidRPr="004661E9">
        <w:rPr>
          <w:rFonts w:ascii="Arial" w:hAnsi="Arial" w:cs="Arial"/>
          <w:noProof/>
        </w:rPr>
        <w:t xml:space="preserve"> Cardiovascular Effects of Intensive Lifestyle Intervention in Type 2 Diabetes. </w:t>
      </w:r>
      <w:r w:rsidRPr="004661E9">
        <w:rPr>
          <w:rFonts w:ascii="Arial" w:hAnsi="Arial" w:cs="Arial"/>
          <w:iCs/>
          <w:noProof/>
        </w:rPr>
        <w:t>N. Engl. J. Med.</w:t>
      </w:r>
      <w:r w:rsidRPr="004661E9">
        <w:rPr>
          <w:rFonts w:ascii="Arial" w:hAnsi="Arial" w:cs="Arial"/>
          <w:noProof/>
        </w:rPr>
        <w:t xml:space="preserve"> 2013;369(2):145–154.</w:t>
      </w:r>
    </w:p>
    <w:p w14:paraId="5E94FFF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155. </w:t>
      </w:r>
      <w:r w:rsidRPr="004661E9">
        <w:rPr>
          <w:rFonts w:ascii="Arial" w:hAnsi="Arial" w:cs="Arial"/>
          <w:noProof/>
        </w:rPr>
        <w:tab/>
      </w:r>
      <w:r w:rsidRPr="004661E9">
        <w:rPr>
          <w:rFonts w:ascii="Arial" w:hAnsi="Arial" w:cs="Arial"/>
          <w:bCs/>
          <w:noProof/>
        </w:rPr>
        <w:t>Wing RR.</w:t>
      </w:r>
      <w:r w:rsidRPr="004661E9">
        <w:rPr>
          <w:rFonts w:ascii="Arial" w:hAnsi="Arial" w:cs="Arial"/>
          <w:noProof/>
        </w:rPr>
        <w:t xml:space="preserve"> Long-term effects of a lifestyle intervention on weight and cardiovascular risk factors in individuals with type 2 diabetes mellitus: four-year results of the Look AHEAD trial. </w:t>
      </w:r>
      <w:r w:rsidRPr="004661E9">
        <w:rPr>
          <w:rFonts w:ascii="Arial" w:hAnsi="Arial" w:cs="Arial"/>
          <w:iCs/>
          <w:noProof/>
        </w:rPr>
        <w:t>Arch. Intern. Med.</w:t>
      </w:r>
      <w:r w:rsidRPr="004661E9">
        <w:rPr>
          <w:rFonts w:ascii="Arial" w:hAnsi="Arial" w:cs="Arial"/>
          <w:noProof/>
        </w:rPr>
        <w:t xml:space="preserve"> 2010;170(17):1566–75.</w:t>
      </w:r>
    </w:p>
    <w:p w14:paraId="152B777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156. </w:t>
      </w:r>
      <w:r w:rsidRPr="004661E9">
        <w:rPr>
          <w:rFonts w:ascii="Arial" w:hAnsi="Arial" w:cs="Arial"/>
          <w:noProof/>
        </w:rPr>
        <w:tab/>
      </w:r>
      <w:r w:rsidRPr="004661E9">
        <w:rPr>
          <w:rFonts w:ascii="Arial" w:hAnsi="Arial" w:cs="Arial"/>
          <w:bCs/>
          <w:noProof/>
        </w:rPr>
        <w:t>Diabetes Prevention Program Research Group.</w:t>
      </w:r>
      <w:r w:rsidRPr="004661E9">
        <w:rPr>
          <w:rFonts w:ascii="Arial" w:hAnsi="Arial" w:cs="Arial"/>
          <w:noProof/>
        </w:rPr>
        <w:t xml:space="preserve"> Reduction in the Incidence of Type 2 Diabetes with Lifestyle Intervention or Metformin. </w:t>
      </w:r>
      <w:r w:rsidRPr="004661E9">
        <w:rPr>
          <w:rFonts w:ascii="Arial" w:hAnsi="Arial" w:cs="Arial"/>
          <w:iCs/>
          <w:noProof/>
        </w:rPr>
        <w:t>N. Engl. J. Med.</w:t>
      </w:r>
      <w:r w:rsidRPr="004661E9">
        <w:rPr>
          <w:rFonts w:ascii="Arial" w:hAnsi="Arial" w:cs="Arial"/>
          <w:noProof/>
        </w:rPr>
        <w:t xml:space="preserve"> 2002;346(6):393–403.</w:t>
      </w:r>
    </w:p>
    <w:p w14:paraId="3F933C44"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157. </w:t>
      </w:r>
      <w:r w:rsidRPr="004661E9">
        <w:rPr>
          <w:rFonts w:ascii="Arial" w:hAnsi="Arial" w:cs="Arial"/>
          <w:noProof/>
        </w:rPr>
        <w:tab/>
      </w:r>
      <w:r w:rsidRPr="004661E9">
        <w:rPr>
          <w:rFonts w:ascii="Arial" w:hAnsi="Arial" w:cs="Arial"/>
          <w:bCs/>
          <w:noProof/>
        </w:rPr>
        <w:t>Elsayed NA, Aleppo G, Aroda VR, Bannuru RR, Brown FM, Bruemmer D, Collins BS, Hilliard ME, Isaacs D, Johnson EL, Kahan S, Khunti K, Leon J, Lyons SK, Perry M Lou, Prahalad P, Pratley RE, Seley JJ, Stanton RC, Young-Hyman D, Gabbay RA.</w:t>
      </w:r>
      <w:r w:rsidRPr="004661E9">
        <w:rPr>
          <w:rFonts w:ascii="Arial" w:hAnsi="Arial" w:cs="Arial"/>
          <w:noProof/>
        </w:rPr>
        <w:t xml:space="preserve"> 5. Facilitating Positive Health Behaviors and Well-being to Improve Health Outcomes: Standards of Care in Diabetes—2023. </w:t>
      </w:r>
      <w:r w:rsidRPr="004661E9">
        <w:rPr>
          <w:rFonts w:ascii="Arial" w:hAnsi="Arial" w:cs="Arial"/>
          <w:iCs/>
          <w:noProof/>
        </w:rPr>
        <w:t>Diabetes Care</w:t>
      </w:r>
      <w:r w:rsidRPr="004661E9">
        <w:rPr>
          <w:rFonts w:ascii="Arial" w:hAnsi="Arial" w:cs="Arial"/>
          <w:noProof/>
        </w:rPr>
        <w:t xml:space="preserve"> 2023;46(January):S68–S96.</w:t>
      </w:r>
    </w:p>
    <w:p w14:paraId="0E7BD85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158. </w:t>
      </w:r>
      <w:r w:rsidRPr="004661E9">
        <w:rPr>
          <w:rFonts w:ascii="Arial" w:hAnsi="Arial" w:cs="Arial"/>
          <w:noProof/>
        </w:rPr>
        <w:tab/>
      </w:r>
      <w:r w:rsidRPr="004661E9">
        <w:rPr>
          <w:rFonts w:ascii="Arial" w:hAnsi="Arial" w:cs="Arial"/>
          <w:bCs/>
          <w:noProof/>
        </w:rPr>
        <w:t>Pandey A, Patel K V, Bahnson JL, Gaussoin SA, Martin CK, Balasubramanyam A, Johnson KC, Mcguire DK, Bertoni AG, Kitzman D, Berry JD.</w:t>
      </w:r>
      <w:r w:rsidRPr="004661E9">
        <w:rPr>
          <w:rFonts w:ascii="Arial" w:hAnsi="Arial" w:cs="Arial"/>
          <w:noProof/>
        </w:rPr>
        <w:t xml:space="preserve"> Association of Intensive Lifestyle Intervention, Fitness, and Body Mass Index with Risk of Heart Failure in Overweight or Obese Adults with Type 2 Diabetes Mellitus: An Analysis from the Look AHEAD Trial. </w:t>
      </w:r>
      <w:r w:rsidRPr="004661E9">
        <w:rPr>
          <w:rFonts w:ascii="Arial" w:hAnsi="Arial" w:cs="Arial"/>
          <w:iCs/>
          <w:noProof/>
        </w:rPr>
        <w:t>Circulation</w:t>
      </w:r>
      <w:r w:rsidRPr="004661E9">
        <w:rPr>
          <w:rFonts w:ascii="Arial" w:hAnsi="Arial" w:cs="Arial"/>
          <w:noProof/>
        </w:rPr>
        <w:t xml:space="preserve"> 2020;141(16):1295–1306.</w:t>
      </w:r>
    </w:p>
    <w:p w14:paraId="4027611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159. </w:t>
      </w:r>
      <w:r w:rsidRPr="004661E9">
        <w:rPr>
          <w:rFonts w:ascii="Arial" w:hAnsi="Arial" w:cs="Arial"/>
          <w:noProof/>
        </w:rPr>
        <w:tab/>
      </w:r>
      <w:r w:rsidRPr="004661E9">
        <w:rPr>
          <w:rFonts w:ascii="Arial" w:hAnsi="Arial" w:cs="Arial"/>
          <w:bCs/>
          <w:noProof/>
        </w:rPr>
        <w:t>Pareek M, Schauer PR, Kaplan LM, Leiter LA, Rubino F, Bhatt DL.</w:t>
      </w:r>
      <w:r w:rsidRPr="004661E9">
        <w:rPr>
          <w:rFonts w:ascii="Arial" w:hAnsi="Arial" w:cs="Arial"/>
          <w:noProof/>
        </w:rPr>
        <w:t xml:space="preserve"> Metabolic Surgery: Weight Loss, Diabetes, and Beyond. </w:t>
      </w:r>
      <w:r w:rsidRPr="004661E9">
        <w:rPr>
          <w:rFonts w:ascii="Arial" w:hAnsi="Arial" w:cs="Arial"/>
          <w:iCs/>
          <w:noProof/>
        </w:rPr>
        <w:t>J. Am. Coll. Cardiol.</w:t>
      </w:r>
      <w:r w:rsidRPr="004661E9">
        <w:rPr>
          <w:rFonts w:ascii="Arial" w:hAnsi="Arial" w:cs="Arial"/>
          <w:noProof/>
        </w:rPr>
        <w:t xml:space="preserve"> 2018;71(6):670–687.</w:t>
      </w:r>
    </w:p>
    <w:p w14:paraId="41C38C6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160. </w:t>
      </w:r>
      <w:r w:rsidRPr="004661E9">
        <w:rPr>
          <w:rFonts w:ascii="Arial" w:hAnsi="Arial" w:cs="Arial"/>
          <w:noProof/>
        </w:rPr>
        <w:tab/>
      </w:r>
      <w:r w:rsidRPr="004661E9">
        <w:rPr>
          <w:rFonts w:ascii="Arial" w:hAnsi="Arial" w:cs="Arial"/>
          <w:bCs/>
          <w:noProof/>
        </w:rPr>
        <w:t>Mingrone G, Panunzi S, De Gaetano A, Guidone C, Iaconelli A, Nanni G, Castagneto M, Bornstein S, Rubino F.</w:t>
      </w:r>
      <w:r w:rsidRPr="004661E9">
        <w:rPr>
          <w:rFonts w:ascii="Arial" w:hAnsi="Arial" w:cs="Arial"/>
          <w:noProof/>
        </w:rPr>
        <w:t xml:space="preserve"> Bariatric-metabolic surgery versus conventional medical treatment in obese patients with type 2 diabetes: 5 Year follow-up of an open-label, single-centre, randomised controlled trial. </w:t>
      </w:r>
      <w:r w:rsidRPr="004661E9">
        <w:rPr>
          <w:rFonts w:ascii="Arial" w:hAnsi="Arial" w:cs="Arial"/>
          <w:iCs/>
          <w:noProof/>
        </w:rPr>
        <w:t>Lancet</w:t>
      </w:r>
      <w:r w:rsidRPr="004661E9">
        <w:rPr>
          <w:rFonts w:ascii="Arial" w:hAnsi="Arial" w:cs="Arial"/>
          <w:noProof/>
        </w:rPr>
        <w:t xml:space="preserve"> 2015;386(9997):964–973.</w:t>
      </w:r>
    </w:p>
    <w:p w14:paraId="05ED892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161. </w:t>
      </w:r>
      <w:r w:rsidRPr="004661E9">
        <w:rPr>
          <w:rFonts w:ascii="Arial" w:hAnsi="Arial" w:cs="Arial"/>
          <w:noProof/>
        </w:rPr>
        <w:tab/>
      </w:r>
      <w:r w:rsidRPr="004661E9">
        <w:rPr>
          <w:rFonts w:ascii="Arial" w:hAnsi="Arial" w:cs="Arial"/>
          <w:bCs/>
          <w:noProof/>
        </w:rPr>
        <w:t>Schauer PR, Bhatt DL, Kirwan JP, Wolski K, Aminian A, Brethauer SA, Navaneethan SD, Singh RP, Pothier CE, Nissen SE, Kashyap SR.</w:t>
      </w:r>
      <w:r w:rsidRPr="004661E9">
        <w:rPr>
          <w:rFonts w:ascii="Arial" w:hAnsi="Arial" w:cs="Arial"/>
          <w:noProof/>
        </w:rPr>
        <w:t xml:space="preserve"> Bariatric Surgery versus Intensive Medical Therapy for Diabetes — 5-Year Outcomes. </w:t>
      </w:r>
      <w:r w:rsidRPr="004661E9">
        <w:rPr>
          <w:rFonts w:ascii="Arial" w:hAnsi="Arial" w:cs="Arial"/>
          <w:iCs/>
          <w:noProof/>
        </w:rPr>
        <w:t>N. Engl. J. Med.</w:t>
      </w:r>
      <w:r w:rsidRPr="004661E9">
        <w:rPr>
          <w:rFonts w:ascii="Arial" w:hAnsi="Arial" w:cs="Arial"/>
          <w:noProof/>
        </w:rPr>
        <w:t xml:space="preserve"> 2017;376(7):641–651.</w:t>
      </w:r>
    </w:p>
    <w:p w14:paraId="04B4940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162. </w:t>
      </w:r>
      <w:r w:rsidRPr="004661E9">
        <w:rPr>
          <w:rFonts w:ascii="Arial" w:hAnsi="Arial" w:cs="Arial"/>
          <w:noProof/>
        </w:rPr>
        <w:tab/>
      </w:r>
      <w:r w:rsidRPr="004661E9">
        <w:rPr>
          <w:rFonts w:ascii="Arial" w:hAnsi="Arial" w:cs="Arial"/>
          <w:bCs/>
          <w:noProof/>
        </w:rPr>
        <w:t>Fisher DP, Johnson E, Haneuse S, Arterburn D, Coleman KJ, O’Connor PJ, O’Brien R, Bogart A, Theis MK, Anau J, Schroeder EB, Sidney S.</w:t>
      </w:r>
      <w:r w:rsidRPr="004661E9">
        <w:rPr>
          <w:rFonts w:ascii="Arial" w:hAnsi="Arial" w:cs="Arial"/>
          <w:noProof/>
        </w:rPr>
        <w:t xml:space="preserve"> Association between Bariatric Surgery and Macrovascular Disease Outcomes in Patients with Type 2 Diabetes and Severe Obesity. </w:t>
      </w:r>
      <w:r w:rsidRPr="004661E9">
        <w:rPr>
          <w:rFonts w:ascii="Arial" w:hAnsi="Arial" w:cs="Arial"/>
          <w:iCs/>
          <w:noProof/>
        </w:rPr>
        <w:t>JAMA - J. Am. Med. Assoc.</w:t>
      </w:r>
      <w:r w:rsidRPr="004661E9">
        <w:rPr>
          <w:rFonts w:ascii="Arial" w:hAnsi="Arial" w:cs="Arial"/>
          <w:noProof/>
        </w:rPr>
        <w:t xml:space="preserve"> 2018;320(15):1570–1582.</w:t>
      </w:r>
    </w:p>
    <w:p w14:paraId="1E9FED72"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163. </w:t>
      </w:r>
      <w:r w:rsidRPr="004661E9">
        <w:rPr>
          <w:rFonts w:ascii="Arial" w:hAnsi="Arial" w:cs="Arial"/>
          <w:noProof/>
        </w:rPr>
        <w:tab/>
      </w:r>
      <w:r w:rsidRPr="004661E9">
        <w:rPr>
          <w:rFonts w:ascii="Arial" w:hAnsi="Arial" w:cs="Arial"/>
          <w:bCs/>
          <w:noProof/>
        </w:rPr>
        <w:t>Sundström J, Bruze G, Ottosson J, Marcus C, Näslund I, Neovius M.</w:t>
      </w:r>
      <w:r w:rsidRPr="004661E9">
        <w:rPr>
          <w:rFonts w:ascii="Arial" w:hAnsi="Arial" w:cs="Arial"/>
          <w:noProof/>
        </w:rPr>
        <w:t xml:space="preserve"> Weight Loss and Heart FailureClinical Perspective. </w:t>
      </w:r>
      <w:r w:rsidRPr="004661E9">
        <w:rPr>
          <w:rFonts w:ascii="Arial" w:hAnsi="Arial" w:cs="Arial"/>
          <w:iCs/>
          <w:noProof/>
        </w:rPr>
        <w:t>Circulation</w:t>
      </w:r>
      <w:r w:rsidRPr="004661E9">
        <w:rPr>
          <w:rFonts w:ascii="Arial" w:hAnsi="Arial" w:cs="Arial"/>
          <w:noProof/>
        </w:rPr>
        <w:t xml:space="preserve"> 2017;135(17):1577–1585.</w:t>
      </w:r>
    </w:p>
    <w:p w14:paraId="7864EF8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164. </w:t>
      </w:r>
      <w:r w:rsidRPr="004661E9">
        <w:rPr>
          <w:rFonts w:ascii="Arial" w:hAnsi="Arial" w:cs="Arial"/>
          <w:noProof/>
        </w:rPr>
        <w:tab/>
      </w:r>
      <w:r w:rsidRPr="004661E9">
        <w:rPr>
          <w:rFonts w:ascii="Arial" w:hAnsi="Arial" w:cs="Arial"/>
          <w:bCs/>
          <w:noProof/>
        </w:rPr>
        <w:t>Aminian A, Zajichek A, Arterburn DE, Wolski KE, Brethauer SA, Schauer PR, Kattan MW, Nissen SE.</w:t>
      </w:r>
      <w:r w:rsidRPr="004661E9">
        <w:rPr>
          <w:rFonts w:ascii="Arial" w:hAnsi="Arial" w:cs="Arial"/>
          <w:noProof/>
        </w:rPr>
        <w:t xml:space="preserve"> Association of Metabolic Surgery with Major Adverse Cardiovascular Outcomes in Patients with Type 2 Diabetes and Obesity. </w:t>
      </w:r>
      <w:r w:rsidRPr="004661E9">
        <w:rPr>
          <w:rFonts w:ascii="Arial" w:hAnsi="Arial" w:cs="Arial"/>
          <w:iCs/>
          <w:noProof/>
        </w:rPr>
        <w:t>JAMA - J. Am. Med. Assoc.</w:t>
      </w:r>
      <w:r w:rsidRPr="004661E9">
        <w:rPr>
          <w:rFonts w:ascii="Arial" w:hAnsi="Arial" w:cs="Arial"/>
          <w:noProof/>
        </w:rPr>
        <w:t xml:space="preserve"> 2019;322(13):1271–1282.</w:t>
      </w:r>
    </w:p>
    <w:p w14:paraId="5345E1F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165. </w:t>
      </w:r>
      <w:r w:rsidRPr="004661E9">
        <w:rPr>
          <w:rFonts w:ascii="Arial" w:hAnsi="Arial" w:cs="Arial"/>
          <w:noProof/>
        </w:rPr>
        <w:tab/>
      </w:r>
      <w:r w:rsidRPr="004661E9">
        <w:rPr>
          <w:rFonts w:ascii="Arial" w:hAnsi="Arial" w:cs="Arial"/>
          <w:bCs/>
          <w:noProof/>
        </w:rPr>
        <w:t>Stratton IM, Adler AI, Neil HAW, Matthews DR, Manley SE, Cull CA, Hadden D, Turner RC, Holman RR.</w:t>
      </w:r>
      <w:r w:rsidRPr="004661E9">
        <w:rPr>
          <w:rFonts w:ascii="Arial" w:hAnsi="Arial" w:cs="Arial"/>
          <w:noProof/>
        </w:rPr>
        <w:t xml:space="preserve"> Association of glycaemia with macrovascular and microvascular complications of type 2 diabetes (UKPDS 35): Prospective observational study. </w:t>
      </w:r>
      <w:r w:rsidRPr="004661E9">
        <w:rPr>
          <w:rFonts w:ascii="Arial" w:hAnsi="Arial" w:cs="Arial"/>
          <w:iCs/>
          <w:noProof/>
        </w:rPr>
        <w:t xml:space="preserve">Br. Med. </w:t>
      </w:r>
      <w:r w:rsidRPr="004661E9">
        <w:rPr>
          <w:rFonts w:ascii="Arial" w:hAnsi="Arial" w:cs="Arial"/>
          <w:iCs/>
          <w:noProof/>
        </w:rPr>
        <w:lastRenderedPageBreak/>
        <w:t>J.</w:t>
      </w:r>
      <w:r w:rsidRPr="004661E9">
        <w:rPr>
          <w:rFonts w:ascii="Arial" w:hAnsi="Arial" w:cs="Arial"/>
          <w:noProof/>
        </w:rPr>
        <w:t xml:space="preserve"> 2000;321(7258):405–412.</w:t>
      </w:r>
    </w:p>
    <w:p w14:paraId="3AFA84F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166. </w:t>
      </w:r>
      <w:r w:rsidRPr="004661E9">
        <w:rPr>
          <w:rFonts w:ascii="Arial" w:hAnsi="Arial" w:cs="Arial"/>
          <w:noProof/>
        </w:rPr>
        <w:tab/>
      </w:r>
      <w:r w:rsidRPr="004661E9">
        <w:rPr>
          <w:rFonts w:ascii="Arial" w:hAnsi="Arial" w:cs="Arial"/>
          <w:bCs/>
          <w:noProof/>
        </w:rPr>
        <w:t>Gerstein HC, Miller ME, Byington RP, Goff DC, Bigger JT.</w:t>
      </w:r>
      <w:r w:rsidRPr="004661E9">
        <w:rPr>
          <w:rFonts w:ascii="Arial" w:hAnsi="Arial" w:cs="Arial"/>
          <w:noProof/>
        </w:rPr>
        <w:t xml:space="preserve"> Effects of intensive glucose lowering in type 2 diabetes. </w:t>
      </w:r>
      <w:r w:rsidRPr="004661E9">
        <w:rPr>
          <w:rFonts w:ascii="Arial" w:hAnsi="Arial" w:cs="Arial"/>
          <w:iCs/>
          <w:noProof/>
        </w:rPr>
        <w:t>N. Engl. J. Med.</w:t>
      </w:r>
      <w:r w:rsidRPr="004661E9">
        <w:rPr>
          <w:rFonts w:ascii="Arial" w:hAnsi="Arial" w:cs="Arial"/>
          <w:noProof/>
        </w:rPr>
        <w:t xml:space="preserve"> 2008;358(24):2545–2559.</w:t>
      </w:r>
    </w:p>
    <w:p w14:paraId="37CCC9F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167. </w:t>
      </w:r>
      <w:r w:rsidRPr="004661E9">
        <w:rPr>
          <w:rFonts w:ascii="Arial" w:hAnsi="Arial" w:cs="Arial"/>
          <w:noProof/>
        </w:rPr>
        <w:tab/>
      </w:r>
      <w:r w:rsidRPr="004661E9">
        <w:rPr>
          <w:rFonts w:ascii="Arial" w:hAnsi="Arial" w:cs="Arial"/>
          <w:bCs/>
          <w:noProof/>
        </w:rPr>
        <w:t>Gerstein HC, Miller ME, Genuth S, Ismail-Beigi F, Buse JB, Goff DC, Probstfield JL, Cushman WC, Ginsberg HN, Thomas Bigger J, Grimm RH, Byington RP, Rosenberg YD, Friedewald WT.</w:t>
      </w:r>
      <w:r w:rsidRPr="004661E9">
        <w:rPr>
          <w:rFonts w:ascii="Arial" w:hAnsi="Arial" w:cs="Arial"/>
          <w:noProof/>
        </w:rPr>
        <w:t xml:space="preserve"> Long-term effects of intensive glucose lowering on cardiovascular outcomes. </w:t>
      </w:r>
      <w:r w:rsidRPr="004661E9">
        <w:rPr>
          <w:rFonts w:ascii="Arial" w:hAnsi="Arial" w:cs="Arial"/>
          <w:iCs/>
          <w:noProof/>
        </w:rPr>
        <w:t>N. Engl. J. Med.</w:t>
      </w:r>
      <w:r w:rsidRPr="004661E9">
        <w:rPr>
          <w:rFonts w:ascii="Arial" w:hAnsi="Arial" w:cs="Arial"/>
          <w:noProof/>
        </w:rPr>
        <w:t xml:space="preserve"> 2011;364(9):818–828.</w:t>
      </w:r>
    </w:p>
    <w:p w14:paraId="466C92F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168. </w:t>
      </w:r>
      <w:r w:rsidRPr="004661E9">
        <w:rPr>
          <w:rFonts w:ascii="Arial" w:hAnsi="Arial" w:cs="Arial"/>
          <w:noProof/>
        </w:rPr>
        <w:tab/>
      </w:r>
      <w:r w:rsidRPr="004661E9">
        <w:rPr>
          <w:rFonts w:ascii="Arial" w:hAnsi="Arial" w:cs="Arial"/>
          <w:bCs/>
          <w:noProof/>
        </w:rPr>
        <w:t>Patel A, MacMahon S, Chalmers J, Neal B, Billot L, Woodward M, Marre M, Cooper M, Glasziou P, Grobbee D, Hamet P, Harrap S, Heller S, Liu L, Mancia G, Mogensen CE, Pan C, Poulter N, Rodgers A, Williams B, Bompoint S, De Galan BE, Joshi R, Travert F.</w:t>
      </w:r>
      <w:r w:rsidRPr="004661E9">
        <w:rPr>
          <w:rFonts w:ascii="Arial" w:hAnsi="Arial" w:cs="Arial"/>
          <w:noProof/>
        </w:rPr>
        <w:t xml:space="preserve"> Intensive blood glucose control and vascular outcomes in patients with type 2 diabetes. </w:t>
      </w:r>
      <w:r w:rsidRPr="004661E9">
        <w:rPr>
          <w:rFonts w:ascii="Arial" w:hAnsi="Arial" w:cs="Arial"/>
          <w:iCs/>
          <w:noProof/>
        </w:rPr>
        <w:t>N. Engl. J. Med.</w:t>
      </w:r>
      <w:r w:rsidRPr="004661E9">
        <w:rPr>
          <w:rFonts w:ascii="Arial" w:hAnsi="Arial" w:cs="Arial"/>
          <w:noProof/>
        </w:rPr>
        <w:t xml:space="preserve"> 2008;358(24):2560–2572.</w:t>
      </w:r>
    </w:p>
    <w:p w14:paraId="4E50160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169. </w:t>
      </w:r>
      <w:r w:rsidRPr="004661E9">
        <w:rPr>
          <w:rFonts w:ascii="Arial" w:hAnsi="Arial" w:cs="Arial"/>
          <w:noProof/>
        </w:rPr>
        <w:tab/>
      </w:r>
      <w:r w:rsidRPr="004661E9">
        <w:rPr>
          <w:rFonts w:ascii="Arial" w:hAnsi="Arial" w:cs="Arial"/>
          <w:bCs/>
          <w:noProof/>
        </w:rPr>
        <w:t>Duckworth W, Abraira C, Moritz T, Reda D, Emanuele N, Reaven PD, Zieve FJ, Marks J, Davis SN, Hayward R, Warren SR, Goldman S, McCarren M, Vitek ME, Henderson WG, Huang GD.</w:t>
      </w:r>
      <w:r w:rsidRPr="004661E9">
        <w:rPr>
          <w:rFonts w:ascii="Arial" w:hAnsi="Arial" w:cs="Arial"/>
          <w:noProof/>
        </w:rPr>
        <w:t xml:space="preserve"> Glucose Control and Vascular Complications in Veterans with Type 2 Diabetes. </w:t>
      </w:r>
      <w:r w:rsidRPr="004661E9">
        <w:rPr>
          <w:rFonts w:ascii="Arial" w:hAnsi="Arial" w:cs="Arial"/>
          <w:iCs/>
          <w:noProof/>
        </w:rPr>
        <w:t>N. Engl. J. Med.</w:t>
      </w:r>
      <w:r w:rsidRPr="004661E9">
        <w:rPr>
          <w:rFonts w:ascii="Arial" w:hAnsi="Arial" w:cs="Arial"/>
          <w:noProof/>
        </w:rPr>
        <w:t xml:space="preserve"> 2009;360(2):129–139.</w:t>
      </w:r>
    </w:p>
    <w:p w14:paraId="716AF39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170. </w:t>
      </w:r>
      <w:r w:rsidRPr="004661E9">
        <w:rPr>
          <w:rFonts w:ascii="Arial" w:hAnsi="Arial" w:cs="Arial"/>
          <w:noProof/>
        </w:rPr>
        <w:tab/>
      </w:r>
      <w:r w:rsidRPr="004661E9">
        <w:rPr>
          <w:rFonts w:ascii="Arial" w:hAnsi="Arial" w:cs="Arial"/>
          <w:bCs/>
          <w:noProof/>
        </w:rPr>
        <w:t>Turnbull FM, Abraira C, Anderson RJ, Byington RP, Chalmers JP, Duckworth WC, Evans GW, Gerstein HC, Holman RR, Moritz TE, Neal BC, Ninomiya T, Patel AA, Paul SK, Travert F, Woodward M.</w:t>
      </w:r>
      <w:r w:rsidRPr="004661E9">
        <w:rPr>
          <w:rFonts w:ascii="Arial" w:hAnsi="Arial" w:cs="Arial"/>
          <w:noProof/>
        </w:rPr>
        <w:t xml:space="preserve"> Intensive glucose control and macrovascular outcomes in type 2 diabetes. </w:t>
      </w:r>
      <w:r w:rsidRPr="004661E9">
        <w:rPr>
          <w:rFonts w:ascii="Arial" w:hAnsi="Arial" w:cs="Arial"/>
          <w:iCs/>
          <w:noProof/>
        </w:rPr>
        <w:t>Diabetologia</w:t>
      </w:r>
      <w:r w:rsidRPr="004661E9">
        <w:rPr>
          <w:rFonts w:ascii="Arial" w:hAnsi="Arial" w:cs="Arial"/>
          <w:noProof/>
        </w:rPr>
        <w:t xml:space="preserve"> 2009;52(11):2288–2298.</w:t>
      </w:r>
    </w:p>
    <w:p w14:paraId="2F11011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171. </w:t>
      </w:r>
      <w:r w:rsidRPr="004661E9">
        <w:rPr>
          <w:rFonts w:ascii="Arial" w:hAnsi="Arial" w:cs="Arial"/>
          <w:noProof/>
        </w:rPr>
        <w:tab/>
      </w:r>
      <w:r w:rsidRPr="004661E9">
        <w:rPr>
          <w:rFonts w:ascii="Arial" w:hAnsi="Arial" w:cs="Arial"/>
          <w:bCs/>
          <w:noProof/>
        </w:rPr>
        <w:t>Colucci WS.</w:t>
      </w:r>
      <w:r w:rsidRPr="004661E9">
        <w:rPr>
          <w:rFonts w:ascii="Arial" w:hAnsi="Arial" w:cs="Arial"/>
          <w:noProof/>
        </w:rPr>
        <w:t xml:space="preserve"> Overview of the management of heart failure with reduced ejection fraction in adults. In: </w:t>
      </w:r>
      <w:r w:rsidRPr="004661E9">
        <w:rPr>
          <w:rFonts w:ascii="Arial" w:hAnsi="Arial" w:cs="Arial"/>
          <w:iCs/>
          <w:noProof/>
        </w:rPr>
        <w:t>UpToDate</w:t>
      </w:r>
      <w:r w:rsidRPr="004661E9">
        <w:rPr>
          <w:rFonts w:ascii="Arial" w:hAnsi="Arial" w:cs="Arial"/>
          <w:noProof/>
        </w:rPr>
        <w:t>.; 2020.</w:t>
      </w:r>
    </w:p>
    <w:p w14:paraId="3A64942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172. </w:t>
      </w:r>
      <w:r w:rsidRPr="004661E9">
        <w:rPr>
          <w:rFonts w:ascii="Arial" w:hAnsi="Arial" w:cs="Arial"/>
          <w:noProof/>
        </w:rPr>
        <w:tab/>
      </w:r>
      <w:r w:rsidRPr="004661E9">
        <w:rPr>
          <w:rFonts w:ascii="Arial" w:hAnsi="Arial" w:cs="Arial"/>
          <w:bCs/>
          <w:noProof/>
        </w:rPr>
        <w:t>Ponikowski P, Voors AAA, Anker SDD, Bueno H, Cleland JGFGF, Coats AJSJS, Falk V, González-Juanatey JRR, Harjola VPP, Jankowska EAA, Jessup M, Linde C, Nihoyannopoulos P, Parissis JTT, Pieske B, Riley JPP, Rosano GMCMC, Ruilope LMM, Ruschitzka F, Rutten FHH, Van Der Meer P, Sisakian HSS, Isayev E, Kurlianskaya A, Mullens W, Tokmakova M, Agathangelou P, Melenovsky V, Wiggers H, Hassanein M, Uuetoa T, Lommi J, Kostovska ESS, Juilliere Y, Aladashvili A, Luchner A, Chrysohoou C, Nyolczas N, Thorgeirsson G, Weinstein JMM, Lenarda AD Di, Aidargaliyeva N, Bajraktari G, Beishenkulov M, Kamzola G, Abdel-Massih T, Celutkiene J, Noppe S, Cassar A, Vataman E, AbirKhalil S, van Pol P, Mo R, Straburzynska-Migaj E, Fonseca C, Chioncel O, Shlyakhto E, Zavatta M, Otasevic P, Goncalvesova E, Lainscak M, Molina BDD, Schaufelberger M, Suter T, Yılmaz MBB, Voronkov L, Davies C.</w:t>
      </w:r>
      <w:r w:rsidRPr="004661E9">
        <w:rPr>
          <w:rFonts w:ascii="Arial" w:hAnsi="Arial" w:cs="Arial"/>
          <w:noProof/>
        </w:rPr>
        <w:t xml:space="preserve"> 2016 ESC Guidelines for the diagnosis and treatment of acute and chronic heart failure. </w:t>
      </w:r>
      <w:r w:rsidRPr="004661E9">
        <w:rPr>
          <w:rFonts w:ascii="Arial" w:hAnsi="Arial" w:cs="Arial"/>
          <w:iCs/>
          <w:noProof/>
        </w:rPr>
        <w:t>Eur. Heart J.</w:t>
      </w:r>
      <w:r w:rsidRPr="004661E9">
        <w:rPr>
          <w:rFonts w:ascii="Arial" w:hAnsi="Arial" w:cs="Arial"/>
          <w:noProof/>
        </w:rPr>
        <w:t xml:space="preserve"> 2016;37(27):2129-2200m.</w:t>
      </w:r>
    </w:p>
    <w:p w14:paraId="3F951F4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173. </w:t>
      </w:r>
      <w:r w:rsidRPr="004661E9">
        <w:rPr>
          <w:rFonts w:ascii="Arial" w:hAnsi="Arial" w:cs="Arial"/>
          <w:noProof/>
        </w:rPr>
        <w:tab/>
      </w:r>
      <w:r w:rsidRPr="004661E9">
        <w:rPr>
          <w:rFonts w:ascii="Arial" w:hAnsi="Arial" w:cs="Arial"/>
          <w:bCs/>
          <w:noProof/>
        </w:rPr>
        <w:t>van der Meer P, Gaggin HK, Dec GW.</w:t>
      </w:r>
      <w:r w:rsidRPr="004661E9">
        <w:rPr>
          <w:rFonts w:ascii="Arial" w:hAnsi="Arial" w:cs="Arial"/>
          <w:noProof/>
        </w:rPr>
        <w:t xml:space="preserve"> ACC/AHA Versus ESC Guidelines on Heart Failure: JACC Guideline Comparison. </w:t>
      </w:r>
      <w:r w:rsidRPr="004661E9">
        <w:rPr>
          <w:rFonts w:ascii="Arial" w:hAnsi="Arial" w:cs="Arial"/>
          <w:iCs/>
          <w:noProof/>
        </w:rPr>
        <w:t>J. Am. Coll. Cardiol.</w:t>
      </w:r>
      <w:r w:rsidRPr="004661E9">
        <w:rPr>
          <w:rFonts w:ascii="Arial" w:hAnsi="Arial" w:cs="Arial"/>
          <w:noProof/>
        </w:rPr>
        <w:t xml:space="preserve"> 2019;73(21):2756–2768.</w:t>
      </w:r>
    </w:p>
    <w:p w14:paraId="56DD784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174. </w:t>
      </w:r>
      <w:r w:rsidRPr="004661E9">
        <w:rPr>
          <w:rFonts w:ascii="Arial" w:hAnsi="Arial" w:cs="Arial"/>
          <w:noProof/>
        </w:rPr>
        <w:tab/>
      </w:r>
      <w:r w:rsidRPr="004661E9">
        <w:rPr>
          <w:rFonts w:ascii="Arial" w:hAnsi="Arial" w:cs="Arial"/>
          <w:bCs/>
          <w:noProof/>
        </w:rPr>
        <w:t>Shekelle PG, Rich MW, Morton SC, Atkinson SW, Tu W, Maglione M, Rhodes S, Barrett M, Fonarow GC, Greenberg B, Heidenreich PA, Knabel T, Konstam MA, Steimle A, Stevenson LW.</w:t>
      </w:r>
      <w:r w:rsidRPr="004661E9">
        <w:rPr>
          <w:rFonts w:ascii="Arial" w:hAnsi="Arial" w:cs="Arial"/>
          <w:noProof/>
        </w:rPr>
        <w:t xml:space="preserve"> Efficacy of angiotensin-converting enzyme inhibitors and beta-blockers in the management of left ventricular systolic dysfunction according to race, gender, and diabetic status: A meta-analysis of major clinical trials. </w:t>
      </w:r>
      <w:r w:rsidRPr="004661E9">
        <w:rPr>
          <w:rFonts w:ascii="Arial" w:hAnsi="Arial" w:cs="Arial"/>
          <w:iCs/>
          <w:noProof/>
        </w:rPr>
        <w:t>J. Am. Coll. Cardiol.</w:t>
      </w:r>
      <w:r w:rsidRPr="004661E9">
        <w:rPr>
          <w:rFonts w:ascii="Arial" w:hAnsi="Arial" w:cs="Arial"/>
          <w:noProof/>
        </w:rPr>
        <w:t xml:space="preserve"> 2003;41(9):1529–1538.</w:t>
      </w:r>
    </w:p>
    <w:p w14:paraId="095B157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175. </w:t>
      </w:r>
      <w:r w:rsidRPr="004661E9">
        <w:rPr>
          <w:rFonts w:ascii="Arial" w:hAnsi="Arial" w:cs="Arial"/>
          <w:noProof/>
        </w:rPr>
        <w:tab/>
      </w:r>
      <w:r w:rsidRPr="004661E9">
        <w:rPr>
          <w:rFonts w:ascii="Arial" w:hAnsi="Arial" w:cs="Arial"/>
          <w:bCs/>
          <w:noProof/>
        </w:rPr>
        <w:t xml:space="preserve">Khan MS, Felker GM, Piña IL, Camacho A, Bapat D, Ibrahim NE, Maisel AS, Prescott MF, </w:t>
      </w:r>
      <w:r w:rsidRPr="004661E9">
        <w:rPr>
          <w:rFonts w:ascii="Arial" w:hAnsi="Arial" w:cs="Arial"/>
          <w:bCs/>
          <w:noProof/>
        </w:rPr>
        <w:lastRenderedPageBreak/>
        <w:t>Ward JH, Solomon SD, Januzzi JL, Butler J.</w:t>
      </w:r>
      <w:r w:rsidRPr="004661E9">
        <w:rPr>
          <w:rFonts w:ascii="Arial" w:hAnsi="Arial" w:cs="Arial"/>
          <w:noProof/>
        </w:rPr>
        <w:t xml:space="preserve"> Reverse Cardiac Remodeling Following Initiation of Sacubitril/Valsartan in Patients With Heart Failure With and Without Diabetes. </w:t>
      </w:r>
      <w:r w:rsidRPr="004661E9">
        <w:rPr>
          <w:rFonts w:ascii="Arial" w:hAnsi="Arial" w:cs="Arial"/>
          <w:iCs/>
          <w:noProof/>
        </w:rPr>
        <w:t>JACC Hear. Fail.</w:t>
      </w:r>
      <w:r w:rsidRPr="004661E9">
        <w:rPr>
          <w:rFonts w:ascii="Arial" w:hAnsi="Arial" w:cs="Arial"/>
          <w:noProof/>
        </w:rPr>
        <w:t xml:space="preserve"> 2021;9(2):137–145.</w:t>
      </w:r>
    </w:p>
    <w:p w14:paraId="0652D3B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176. </w:t>
      </w:r>
      <w:r w:rsidRPr="004661E9">
        <w:rPr>
          <w:rFonts w:ascii="Arial" w:hAnsi="Arial" w:cs="Arial"/>
          <w:noProof/>
        </w:rPr>
        <w:tab/>
      </w:r>
      <w:r w:rsidRPr="004661E9">
        <w:rPr>
          <w:rFonts w:ascii="Arial" w:hAnsi="Arial" w:cs="Arial"/>
          <w:bCs/>
          <w:noProof/>
        </w:rPr>
        <w:t>Vermes E, Ducharme A, Bourassa MG, Lessard M, White M, Tardif JC.</w:t>
      </w:r>
      <w:r w:rsidRPr="004661E9">
        <w:rPr>
          <w:rFonts w:ascii="Arial" w:hAnsi="Arial" w:cs="Arial"/>
          <w:noProof/>
        </w:rPr>
        <w:t xml:space="preserve"> Enalapril reduces the incidence of diabetes in patients with chronic heart failure: Insight from the studies of left ventricular dysfunction (SOLVD). </w:t>
      </w:r>
      <w:r w:rsidRPr="004661E9">
        <w:rPr>
          <w:rFonts w:ascii="Arial" w:hAnsi="Arial" w:cs="Arial"/>
          <w:iCs/>
          <w:noProof/>
        </w:rPr>
        <w:t>Circulation</w:t>
      </w:r>
      <w:r w:rsidRPr="004661E9">
        <w:rPr>
          <w:rFonts w:ascii="Arial" w:hAnsi="Arial" w:cs="Arial"/>
          <w:noProof/>
        </w:rPr>
        <w:t xml:space="preserve"> 2003;107(9):1291–1296.</w:t>
      </w:r>
    </w:p>
    <w:p w14:paraId="328FEAE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177. </w:t>
      </w:r>
      <w:r w:rsidRPr="004661E9">
        <w:rPr>
          <w:rFonts w:ascii="Arial" w:hAnsi="Arial" w:cs="Arial"/>
          <w:noProof/>
        </w:rPr>
        <w:tab/>
      </w:r>
      <w:r w:rsidRPr="004661E9">
        <w:rPr>
          <w:rFonts w:ascii="Arial" w:hAnsi="Arial" w:cs="Arial"/>
          <w:bCs/>
          <w:noProof/>
        </w:rPr>
        <w:t>Seferovic JP, Claggett B, Seidelmann SB, Seely EW, Packer M, Zile MR, Rouleau JL, Swedberg K, Lefkowitz M, Shi VC, Desai AS, McMurray JJV, Solomon SD.</w:t>
      </w:r>
      <w:r w:rsidRPr="004661E9">
        <w:rPr>
          <w:rFonts w:ascii="Arial" w:hAnsi="Arial" w:cs="Arial"/>
          <w:noProof/>
        </w:rPr>
        <w:t xml:space="preserve"> Effect of sacubitril/valsartan versus enalapril on glycaemic control in patients with heart failure and diabetes: a post-hoc analysis from the PARADIGM-HF trial. </w:t>
      </w:r>
      <w:r w:rsidRPr="004661E9">
        <w:rPr>
          <w:rFonts w:ascii="Arial" w:hAnsi="Arial" w:cs="Arial"/>
          <w:iCs/>
          <w:noProof/>
        </w:rPr>
        <w:t>Lancet Diabetes Endocrinol.</w:t>
      </w:r>
      <w:r w:rsidRPr="004661E9">
        <w:rPr>
          <w:rFonts w:ascii="Arial" w:hAnsi="Arial" w:cs="Arial"/>
          <w:noProof/>
        </w:rPr>
        <w:t xml:space="preserve"> 2017;5(5):333–340.</w:t>
      </w:r>
    </w:p>
    <w:p w14:paraId="5633128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178. </w:t>
      </w:r>
      <w:r w:rsidRPr="004661E9">
        <w:rPr>
          <w:rFonts w:ascii="Arial" w:hAnsi="Arial" w:cs="Arial"/>
          <w:noProof/>
        </w:rPr>
        <w:tab/>
      </w:r>
      <w:r w:rsidRPr="004661E9">
        <w:rPr>
          <w:rFonts w:ascii="Arial" w:hAnsi="Arial" w:cs="Arial"/>
          <w:bCs/>
          <w:noProof/>
        </w:rPr>
        <w:t>Seferović PM, Petrie MC, Filippatos GS, Anker SD, Rosano G, Bauersachs J, Paulus WJ, Komajda M, Cosentino F, de Boer RA, Farmakis D, Doehner W, Lambrinou E, Lopatin Y, Piepoli MF, Theodorakis MJ, Wiggers H, Lekakis J, Mebazaa A, Mamas MA, Tschöpe C, Hoes AW, Seferović JP, Logue J, McDonagh T, Riley JP, Milinković I, Polovina M, van Veldhuisen DJ, Lainscak M, Maggioni AP, Ruschitzka F, McMurray JJV.</w:t>
      </w:r>
      <w:r w:rsidRPr="004661E9">
        <w:rPr>
          <w:rFonts w:ascii="Arial" w:hAnsi="Arial" w:cs="Arial"/>
          <w:noProof/>
        </w:rPr>
        <w:t xml:space="preserve"> Type 2 diabetes mellitus and heart failure: a position statement from the Heart Failure Association of the European Society of Cardiology. </w:t>
      </w:r>
      <w:r w:rsidRPr="004661E9">
        <w:rPr>
          <w:rFonts w:ascii="Arial" w:hAnsi="Arial" w:cs="Arial"/>
          <w:iCs/>
          <w:noProof/>
        </w:rPr>
        <w:t>Eur. J. Heart Fail.</w:t>
      </w:r>
      <w:r w:rsidRPr="004661E9">
        <w:rPr>
          <w:rFonts w:ascii="Arial" w:hAnsi="Arial" w:cs="Arial"/>
          <w:noProof/>
        </w:rPr>
        <w:t xml:space="preserve"> 2018;20(5):853–872.</w:t>
      </w:r>
    </w:p>
    <w:p w14:paraId="0059CB5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179. </w:t>
      </w:r>
      <w:r w:rsidRPr="004661E9">
        <w:rPr>
          <w:rFonts w:ascii="Arial" w:hAnsi="Arial" w:cs="Arial"/>
          <w:noProof/>
        </w:rPr>
        <w:tab/>
      </w:r>
      <w:r w:rsidRPr="004661E9">
        <w:rPr>
          <w:rFonts w:ascii="Arial" w:hAnsi="Arial" w:cs="Arial"/>
          <w:bCs/>
          <w:noProof/>
        </w:rPr>
        <w:t>Bell DSH, Lukas MA, Holdbrook FK, Fowler MB.</w:t>
      </w:r>
      <w:r w:rsidRPr="004661E9">
        <w:rPr>
          <w:rFonts w:ascii="Arial" w:hAnsi="Arial" w:cs="Arial"/>
          <w:noProof/>
        </w:rPr>
        <w:t xml:space="preserve"> The effect of carvedilol on mortality risk in heart failure patients with diabetes: Results of a meta-analysis. </w:t>
      </w:r>
      <w:r w:rsidRPr="004661E9">
        <w:rPr>
          <w:rFonts w:ascii="Arial" w:hAnsi="Arial" w:cs="Arial"/>
          <w:iCs/>
          <w:noProof/>
        </w:rPr>
        <w:t>Curr. Med. Res. Opin.</w:t>
      </w:r>
      <w:r w:rsidRPr="004661E9">
        <w:rPr>
          <w:rFonts w:ascii="Arial" w:hAnsi="Arial" w:cs="Arial"/>
          <w:noProof/>
        </w:rPr>
        <w:t xml:space="preserve"> 2006;22(2):287–296.</w:t>
      </w:r>
    </w:p>
    <w:p w14:paraId="0FDB62D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180. </w:t>
      </w:r>
      <w:r w:rsidRPr="004661E9">
        <w:rPr>
          <w:rFonts w:ascii="Arial" w:hAnsi="Arial" w:cs="Arial"/>
          <w:noProof/>
        </w:rPr>
        <w:tab/>
      </w:r>
      <w:r w:rsidRPr="004661E9">
        <w:rPr>
          <w:rFonts w:ascii="Arial" w:hAnsi="Arial" w:cs="Arial"/>
          <w:bCs/>
          <w:noProof/>
        </w:rPr>
        <w:t>Haas SJ, Vos T, Gilbert RE, Krum H.</w:t>
      </w:r>
      <w:r w:rsidRPr="004661E9">
        <w:rPr>
          <w:rFonts w:ascii="Arial" w:hAnsi="Arial" w:cs="Arial"/>
          <w:noProof/>
        </w:rPr>
        <w:t xml:space="preserve"> Are β-blockers as efficacious in patients with diabetes mellitus as in patients without diabetes mellitus who have chronic heart failure? A meta-analysis of large-scale clinical trials. </w:t>
      </w:r>
      <w:r w:rsidRPr="004661E9">
        <w:rPr>
          <w:rFonts w:ascii="Arial" w:hAnsi="Arial" w:cs="Arial"/>
          <w:iCs/>
          <w:noProof/>
        </w:rPr>
        <w:t>Am. Heart J.</w:t>
      </w:r>
      <w:r w:rsidRPr="004661E9">
        <w:rPr>
          <w:rFonts w:ascii="Arial" w:hAnsi="Arial" w:cs="Arial"/>
          <w:noProof/>
        </w:rPr>
        <w:t xml:space="preserve"> 2003;146(5):848–853.</w:t>
      </w:r>
    </w:p>
    <w:p w14:paraId="6E6C74F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181. </w:t>
      </w:r>
      <w:r w:rsidRPr="004661E9">
        <w:rPr>
          <w:rFonts w:ascii="Arial" w:hAnsi="Arial" w:cs="Arial"/>
          <w:noProof/>
        </w:rPr>
        <w:tab/>
      </w:r>
      <w:r w:rsidRPr="004661E9">
        <w:rPr>
          <w:rFonts w:ascii="Arial" w:hAnsi="Arial" w:cs="Arial"/>
          <w:bCs/>
          <w:noProof/>
        </w:rPr>
        <w:t>Witte KK, Drozd M, Walker AMN, Patel PA, Kearney JC, Chapman S, Sapsford RJ, Gierula J, Paton MF, Lowry J, Kearney MT, Cubbon RM.</w:t>
      </w:r>
      <w:r w:rsidRPr="004661E9">
        <w:rPr>
          <w:rFonts w:ascii="Arial" w:hAnsi="Arial" w:cs="Arial"/>
          <w:noProof/>
        </w:rPr>
        <w:t xml:space="preserve"> Mortality reduction associated with β-adrenoceptor inhibition in chronic heart failure is greater in patients with diabetes. </w:t>
      </w:r>
      <w:r w:rsidRPr="004661E9">
        <w:rPr>
          <w:rFonts w:ascii="Arial" w:hAnsi="Arial" w:cs="Arial"/>
          <w:iCs/>
          <w:noProof/>
        </w:rPr>
        <w:t>Diabetes Care</w:t>
      </w:r>
      <w:r w:rsidRPr="004661E9">
        <w:rPr>
          <w:rFonts w:ascii="Arial" w:hAnsi="Arial" w:cs="Arial"/>
          <w:noProof/>
        </w:rPr>
        <w:t xml:space="preserve"> 2018;41(1):136–142.</w:t>
      </w:r>
    </w:p>
    <w:p w14:paraId="51D087F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182. </w:t>
      </w:r>
      <w:r w:rsidRPr="004661E9">
        <w:rPr>
          <w:rFonts w:ascii="Arial" w:hAnsi="Arial" w:cs="Arial"/>
          <w:noProof/>
        </w:rPr>
        <w:tab/>
      </w:r>
      <w:r w:rsidRPr="004661E9">
        <w:rPr>
          <w:rFonts w:ascii="Arial" w:hAnsi="Arial" w:cs="Arial"/>
          <w:bCs/>
          <w:noProof/>
        </w:rPr>
        <w:t>Barzilay JI, Davis BR, Whelton PK.</w:t>
      </w:r>
      <w:r w:rsidRPr="004661E9">
        <w:rPr>
          <w:rFonts w:ascii="Arial" w:hAnsi="Arial" w:cs="Arial"/>
          <w:noProof/>
        </w:rPr>
        <w:t xml:space="preserve"> The glycemic effects of antihypertensive medications. </w:t>
      </w:r>
      <w:r w:rsidRPr="004661E9">
        <w:rPr>
          <w:rFonts w:ascii="Arial" w:hAnsi="Arial" w:cs="Arial"/>
          <w:iCs/>
          <w:noProof/>
        </w:rPr>
        <w:t>Curr. Hypertens. Rep.</w:t>
      </w:r>
      <w:r w:rsidRPr="004661E9">
        <w:rPr>
          <w:rFonts w:ascii="Arial" w:hAnsi="Arial" w:cs="Arial"/>
          <w:noProof/>
        </w:rPr>
        <w:t xml:space="preserve"> 2014;16(1):1–6.</w:t>
      </w:r>
    </w:p>
    <w:p w14:paraId="47FD2FC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183. </w:t>
      </w:r>
      <w:r w:rsidRPr="004661E9">
        <w:rPr>
          <w:rFonts w:ascii="Arial" w:hAnsi="Arial" w:cs="Arial"/>
          <w:noProof/>
        </w:rPr>
        <w:tab/>
      </w:r>
      <w:r w:rsidRPr="004661E9">
        <w:rPr>
          <w:rFonts w:ascii="Arial" w:hAnsi="Arial" w:cs="Arial"/>
          <w:bCs/>
          <w:noProof/>
        </w:rPr>
        <w:t>Helgeland A, Leren P, Foss OP, Hjermann I, Holme I, Lund-Larsen PG.</w:t>
      </w:r>
      <w:r w:rsidRPr="004661E9">
        <w:rPr>
          <w:rFonts w:ascii="Arial" w:hAnsi="Arial" w:cs="Arial"/>
          <w:noProof/>
        </w:rPr>
        <w:t xml:space="preserve"> Serum glucose levels during long-term observation of treated and untreated men with mild hypertension. The Oslo study. </w:t>
      </w:r>
      <w:r w:rsidRPr="004661E9">
        <w:rPr>
          <w:rFonts w:ascii="Arial" w:hAnsi="Arial" w:cs="Arial"/>
          <w:iCs/>
          <w:noProof/>
        </w:rPr>
        <w:t>Am. J. Med.</w:t>
      </w:r>
      <w:r w:rsidRPr="004661E9">
        <w:rPr>
          <w:rFonts w:ascii="Arial" w:hAnsi="Arial" w:cs="Arial"/>
          <w:noProof/>
        </w:rPr>
        <w:t xml:space="preserve"> 1984;76(5):802–805.</w:t>
      </w:r>
    </w:p>
    <w:p w14:paraId="571DBFD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184. </w:t>
      </w:r>
      <w:r w:rsidRPr="004661E9">
        <w:rPr>
          <w:rFonts w:ascii="Arial" w:hAnsi="Arial" w:cs="Arial"/>
          <w:noProof/>
        </w:rPr>
        <w:tab/>
      </w:r>
      <w:r w:rsidRPr="004661E9">
        <w:rPr>
          <w:rFonts w:ascii="Arial" w:hAnsi="Arial" w:cs="Arial"/>
          <w:bCs/>
          <w:noProof/>
        </w:rPr>
        <w:t>Wai B, Kearney LG, Hare DL, Ord M, Burrell LM, Srivastava PM.</w:t>
      </w:r>
      <w:r w:rsidRPr="004661E9">
        <w:rPr>
          <w:rFonts w:ascii="Arial" w:hAnsi="Arial" w:cs="Arial"/>
          <w:noProof/>
        </w:rPr>
        <w:t xml:space="preserve"> Beta blocker use in subjects with type 2 diabetes mellitus and systolic heart failure does not worsen glycaemic control. </w:t>
      </w:r>
      <w:r w:rsidRPr="004661E9">
        <w:rPr>
          <w:rFonts w:ascii="Arial" w:hAnsi="Arial" w:cs="Arial"/>
          <w:iCs/>
          <w:noProof/>
        </w:rPr>
        <w:t>Cardiovasc. Diabetol.</w:t>
      </w:r>
      <w:r w:rsidRPr="004661E9">
        <w:rPr>
          <w:rFonts w:ascii="Arial" w:hAnsi="Arial" w:cs="Arial"/>
          <w:noProof/>
        </w:rPr>
        <w:t xml:space="preserve"> 2012;11(14):1–5.</w:t>
      </w:r>
    </w:p>
    <w:p w14:paraId="2B55E5A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185. </w:t>
      </w:r>
      <w:r w:rsidRPr="004661E9">
        <w:rPr>
          <w:rFonts w:ascii="Arial" w:hAnsi="Arial" w:cs="Arial"/>
          <w:noProof/>
        </w:rPr>
        <w:tab/>
      </w:r>
      <w:r w:rsidRPr="004661E9">
        <w:rPr>
          <w:rFonts w:ascii="Arial" w:hAnsi="Arial" w:cs="Arial"/>
          <w:bCs/>
          <w:noProof/>
        </w:rPr>
        <w:t>Tsujimoto T, Sugiyama T, Shapiro MF, Noda M, Kajio H.</w:t>
      </w:r>
      <w:r w:rsidRPr="004661E9">
        <w:rPr>
          <w:rFonts w:ascii="Arial" w:hAnsi="Arial" w:cs="Arial"/>
          <w:noProof/>
        </w:rPr>
        <w:t xml:space="preserve"> Risk of Cardiovascular Events in Patients with Diabetes Mellitus on β-Blockers. </w:t>
      </w:r>
      <w:r w:rsidRPr="004661E9">
        <w:rPr>
          <w:rFonts w:ascii="Arial" w:hAnsi="Arial" w:cs="Arial"/>
          <w:iCs/>
          <w:noProof/>
        </w:rPr>
        <w:t>Hypertension</w:t>
      </w:r>
      <w:r w:rsidRPr="004661E9">
        <w:rPr>
          <w:rFonts w:ascii="Arial" w:hAnsi="Arial" w:cs="Arial"/>
          <w:noProof/>
        </w:rPr>
        <w:t xml:space="preserve"> 2017;70(1):103–110.</w:t>
      </w:r>
    </w:p>
    <w:p w14:paraId="1957771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186. </w:t>
      </w:r>
      <w:r w:rsidRPr="004661E9">
        <w:rPr>
          <w:rFonts w:ascii="Arial" w:hAnsi="Arial" w:cs="Arial"/>
          <w:noProof/>
        </w:rPr>
        <w:tab/>
      </w:r>
      <w:r w:rsidRPr="004661E9">
        <w:rPr>
          <w:rFonts w:ascii="Arial" w:hAnsi="Arial" w:cs="Arial"/>
          <w:bCs/>
          <w:noProof/>
        </w:rPr>
        <w:t>Deedwania PC, Giles TD, Klibaner M, Ghali JK, Herlitz J, Hildebrandt P, Kjekshus J, Spinar J, Vitovec J, Stanbrook H, Wikstrand J.</w:t>
      </w:r>
      <w:r w:rsidRPr="004661E9">
        <w:rPr>
          <w:rFonts w:ascii="Arial" w:hAnsi="Arial" w:cs="Arial"/>
          <w:noProof/>
        </w:rPr>
        <w:t xml:space="preserve"> Efficacy, safety and tolerability of metoprolol CR/XL in patients with diabetes and chronic heart failure: Experiences from MERIT-HF. </w:t>
      </w:r>
      <w:r w:rsidRPr="004661E9">
        <w:rPr>
          <w:rFonts w:ascii="Arial" w:hAnsi="Arial" w:cs="Arial"/>
          <w:iCs/>
          <w:noProof/>
        </w:rPr>
        <w:t>Am. Heart J.</w:t>
      </w:r>
      <w:r w:rsidRPr="004661E9">
        <w:rPr>
          <w:rFonts w:ascii="Arial" w:hAnsi="Arial" w:cs="Arial"/>
          <w:noProof/>
        </w:rPr>
        <w:t xml:space="preserve"> 2005;149(1):159–167.</w:t>
      </w:r>
    </w:p>
    <w:p w14:paraId="4B802470"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187. </w:t>
      </w:r>
      <w:r w:rsidRPr="004661E9">
        <w:rPr>
          <w:rFonts w:ascii="Arial" w:hAnsi="Arial" w:cs="Arial"/>
          <w:noProof/>
        </w:rPr>
        <w:tab/>
      </w:r>
      <w:r w:rsidRPr="004661E9">
        <w:rPr>
          <w:rFonts w:ascii="Arial" w:hAnsi="Arial" w:cs="Arial"/>
          <w:bCs/>
          <w:noProof/>
        </w:rPr>
        <w:t>Eschalier R, McMurray JJV, Swedberg K, Van Veldhuisen DJ, Krum H, Pocock SJ, Shi H, Vincent J, Rossignol P, Zannad F, Pitt B.</w:t>
      </w:r>
      <w:r w:rsidRPr="004661E9">
        <w:rPr>
          <w:rFonts w:ascii="Arial" w:hAnsi="Arial" w:cs="Arial"/>
          <w:noProof/>
        </w:rPr>
        <w:t xml:space="preserve"> Safety and efficacy of eplerenone in patients at </w:t>
      </w:r>
      <w:r w:rsidRPr="004661E9">
        <w:rPr>
          <w:rFonts w:ascii="Arial" w:hAnsi="Arial" w:cs="Arial"/>
          <w:noProof/>
        </w:rPr>
        <w:lastRenderedPageBreak/>
        <w:t xml:space="preserve">high risk for hyperkalemia and/or worsening renal function: Analyses of the EMPHASIS-HF study subgroups (eplerenone in mild patients hospitalization and survival study in heart failure). </w:t>
      </w:r>
      <w:r w:rsidRPr="004661E9">
        <w:rPr>
          <w:rFonts w:ascii="Arial" w:hAnsi="Arial" w:cs="Arial"/>
          <w:iCs/>
          <w:noProof/>
        </w:rPr>
        <w:t>J. Am. Coll. Cardiol.</w:t>
      </w:r>
      <w:r w:rsidRPr="004661E9">
        <w:rPr>
          <w:rFonts w:ascii="Arial" w:hAnsi="Arial" w:cs="Arial"/>
          <w:noProof/>
        </w:rPr>
        <w:t xml:space="preserve"> 2013;62(17):1585–1593.</w:t>
      </w:r>
    </w:p>
    <w:p w14:paraId="0E02C54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188. </w:t>
      </w:r>
      <w:r w:rsidRPr="004661E9">
        <w:rPr>
          <w:rFonts w:ascii="Arial" w:hAnsi="Arial" w:cs="Arial"/>
          <w:noProof/>
        </w:rPr>
        <w:tab/>
      </w:r>
      <w:r w:rsidRPr="004661E9">
        <w:rPr>
          <w:rFonts w:ascii="Arial" w:hAnsi="Arial" w:cs="Arial"/>
          <w:bCs/>
          <w:noProof/>
        </w:rPr>
        <w:t>Korol S, White M, O’Meara E, Rouleau JL, White-Guay B, Dorais M, Ahmed A, de Denus S, Perreault S.</w:t>
      </w:r>
      <w:r w:rsidRPr="004661E9">
        <w:rPr>
          <w:rFonts w:ascii="Arial" w:hAnsi="Arial" w:cs="Arial"/>
          <w:noProof/>
        </w:rPr>
        <w:t xml:space="preserve"> Is there a potential association between spironolactone and the risk of new-onset diabetes in a cohort of older patients with heart failure? </w:t>
      </w:r>
      <w:r w:rsidRPr="004661E9">
        <w:rPr>
          <w:rFonts w:ascii="Arial" w:hAnsi="Arial" w:cs="Arial"/>
          <w:iCs/>
          <w:noProof/>
        </w:rPr>
        <w:t>Eur. J. Clin. Pharmacol.</w:t>
      </w:r>
      <w:r w:rsidRPr="004661E9">
        <w:rPr>
          <w:rFonts w:ascii="Arial" w:hAnsi="Arial" w:cs="Arial"/>
          <w:noProof/>
        </w:rPr>
        <w:t xml:space="preserve"> 2019;75(6):837–847.</w:t>
      </w:r>
    </w:p>
    <w:p w14:paraId="1B57713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189. </w:t>
      </w:r>
      <w:r w:rsidRPr="004661E9">
        <w:rPr>
          <w:rFonts w:ascii="Arial" w:hAnsi="Arial" w:cs="Arial"/>
          <w:noProof/>
        </w:rPr>
        <w:tab/>
      </w:r>
      <w:r w:rsidRPr="004661E9">
        <w:rPr>
          <w:rFonts w:ascii="Arial" w:hAnsi="Arial" w:cs="Arial"/>
          <w:bCs/>
          <w:noProof/>
        </w:rPr>
        <w:t>McMurray JJV, Solomon SD, Inzucchi SE, Køber L, Kosiborod MN, Martinez FA, Ponikowski P, Sabatine MS, Anand IS, Bělohlávek J, Böhm M, Chiang C-E, Chopra VK, de Boer RA, Desai AS, Diez M, Drozdz J, Dukát A, Ge J, Howlett JG, Katova T, Kitakaze M, Ljungman CEA, Merkely B, Nicolau JC, O’Meara E, Petrie MC, Vinh PN, Schou M, Tereshchenko S, Verma S, Held C, DeMets DL, Docherty KF, Jhund PS, Bengtsson O, Sjöstrand M, Langkilde A-M.</w:t>
      </w:r>
      <w:r w:rsidRPr="004661E9">
        <w:rPr>
          <w:rFonts w:ascii="Arial" w:hAnsi="Arial" w:cs="Arial"/>
          <w:noProof/>
        </w:rPr>
        <w:t xml:space="preserve"> Dapagliflozin in Patients with Heart Failure and Reduced Ejection Fraction. </w:t>
      </w:r>
      <w:r w:rsidRPr="004661E9">
        <w:rPr>
          <w:rFonts w:ascii="Arial" w:hAnsi="Arial" w:cs="Arial"/>
          <w:iCs/>
          <w:noProof/>
        </w:rPr>
        <w:t>N. Engl. J. Med.</w:t>
      </w:r>
      <w:r w:rsidRPr="004661E9">
        <w:rPr>
          <w:rFonts w:ascii="Arial" w:hAnsi="Arial" w:cs="Arial"/>
          <w:noProof/>
        </w:rPr>
        <w:t xml:space="preserve"> 2019;381(21):1995–2008.</w:t>
      </w:r>
    </w:p>
    <w:p w14:paraId="04A0045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190. </w:t>
      </w:r>
      <w:r w:rsidRPr="004661E9">
        <w:rPr>
          <w:rFonts w:ascii="Arial" w:hAnsi="Arial" w:cs="Arial"/>
          <w:noProof/>
        </w:rPr>
        <w:tab/>
      </w:r>
      <w:r w:rsidRPr="004661E9">
        <w:rPr>
          <w:rFonts w:ascii="Arial" w:hAnsi="Arial" w:cs="Arial"/>
          <w:bCs/>
          <w:noProof/>
        </w:rPr>
        <w:t>Packer M, Anker SD, Butler J, Filippatos G, Pocock SJ, Carson P, Januzzi J, Verma S, Tsutsui H, Brueckmann M, Jamal W, Kimura K, Schnee J, Zeller C, Cotton D, Bocchi E, Böhm M, Choi D-J, Chopra V, Chuquiure E, Giannetti N, Janssens S, Zhang J, Gonzalez Juanatey JR, Kaul S, Brunner-La Rocca H-P, Merkely B, Nicholls SJ, Perrone S, Pina I, Ponikowski P, Sattar N, Senni M, Seronde M-F, Spinar J, Squire I, Taddei S, Wanner C, Zannad F.</w:t>
      </w:r>
      <w:r w:rsidRPr="004661E9">
        <w:rPr>
          <w:rFonts w:ascii="Arial" w:hAnsi="Arial" w:cs="Arial"/>
          <w:noProof/>
        </w:rPr>
        <w:t xml:space="preserve"> Cardiovascular and Renal Outcomes with Empagliflozin in Heart Failure. </w:t>
      </w:r>
      <w:r w:rsidRPr="004661E9">
        <w:rPr>
          <w:rFonts w:ascii="Arial" w:hAnsi="Arial" w:cs="Arial"/>
          <w:iCs/>
          <w:noProof/>
        </w:rPr>
        <w:t>N. Engl. J. Med.</w:t>
      </w:r>
      <w:r w:rsidRPr="004661E9">
        <w:rPr>
          <w:rFonts w:ascii="Arial" w:hAnsi="Arial" w:cs="Arial"/>
          <w:noProof/>
        </w:rPr>
        <w:t xml:space="preserve"> 2020;383(15):1413–1424.</w:t>
      </w:r>
    </w:p>
    <w:p w14:paraId="09D2FC2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191. </w:t>
      </w:r>
      <w:r w:rsidRPr="004661E9">
        <w:rPr>
          <w:rFonts w:ascii="Arial" w:hAnsi="Arial" w:cs="Arial"/>
          <w:noProof/>
        </w:rPr>
        <w:tab/>
      </w:r>
      <w:r w:rsidRPr="004661E9">
        <w:rPr>
          <w:rFonts w:ascii="Arial" w:hAnsi="Arial" w:cs="Arial"/>
          <w:bCs/>
          <w:noProof/>
        </w:rPr>
        <w:t>Braunwald E.</w:t>
      </w:r>
      <w:r w:rsidRPr="004661E9">
        <w:rPr>
          <w:rFonts w:ascii="Arial" w:hAnsi="Arial" w:cs="Arial"/>
          <w:noProof/>
        </w:rPr>
        <w:t xml:space="preserve"> Gliflozins in the Management of Cardiovascular Disease. </w:t>
      </w:r>
      <w:r w:rsidRPr="004661E9">
        <w:rPr>
          <w:rFonts w:ascii="Arial" w:hAnsi="Arial" w:cs="Arial"/>
          <w:iCs/>
          <w:noProof/>
        </w:rPr>
        <w:t>N. Engl. J. Med.</w:t>
      </w:r>
      <w:r w:rsidRPr="004661E9">
        <w:rPr>
          <w:rFonts w:ascii="Arial" w:hAnsi="Arial" w:cs="Arial"/>
          <w:noProof/>
        </w:rPr>
        <w:t xml:space="preserve"> 2022;386(21):2024–2034.</w:t>
      </w:r>
    </w:p>
    <w:p w14:paraId="7E215F9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192. </w:t>
      </w:r>
      <w:r w:rsidRPr="004661E9">
        <w:rPr>
          <w:rFonts w:ascii="Arial" w:hAnsi="Arial" w:cs="Arial"/>
          <w:noProof/>
        </w:rPr>
        <w:tab/>
      </w:r>
      <w:r w:rsidRPr="004661E9">
        <w:rPr>
          <w:rFonts w:ascii="Arial" w:hAnsi="Arial" w:cs="Arial"/>
          <w:bCs/>
          <w:noProof/>
        </w:rPr>
        <w:t>Packer M, Anker SD, Butler J, Filippatos G, Ferreira JP, Pocock SJ, Carson P, Anand I, Doehner W, Haass M, Komajda M, Miller A, Pehrson S, Teerlink JR, Brueckmann M, Jamal W, Zeller C, Schnaidt S, Zannad F.</w:t>
      </w:r>
      <w:r w:rsidRPr="004661E9">
        <w:rPr>
          <w:rFonts w:ascii="Arial" w:hAnsi="Arial" w:cs="Arial"/>
          <w:noProof/>
        </w:rPr>
        <w:t xml:space="preserve"> Effect of Empagliflozin on the Clinical Stability of Patients with Heart Failure and a Reduced Ejection Fraction: The EMPEROR-Reduced Trial. </w:t>
      </w:r>
      <w:r w:rsidRPr="004661E9">
        <w:rPr>
          <w:rFonts w:ascii="Arial" w:hAnsi="Arial" w:cs="Arial"/>
          <w:iCs/>
          <w:noProof/>
        </w:rPr>
        <w:t>Circulation</w:t>
      </w:r>
      <w:r w:rsidRPr="004661E9">
        <w:rPr>
          <w:rFonts w:ascii="Arial" w:hAnsi="Arial" w:cs="Arial"/>
          <w:noProof/>
        </w:rPr>
        <w:t xml:space="preserve"> 2021;143(4):326–336.</w:t>
      </w:r>
    </w:p>
    <w:p w14:paraId="615D908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193. </w:t>
      </w:r>
      <w:r w:rsidRPr="004661E9">
        <w:rPr>
          <w:rFonts w:ascii="Arial" w:hAnsi="Arial" w:cs="Arial"/>
          <w:noProof/>
        </w:rPr>
        <w:tab/>
      </w:r>
      <w:r w:rsidRPr="004661E9">
        <w:rPr>
          <w:rFonts w:ascii="Arial" w:hAnsi="Arial" w:cs="Arial"/>
          <w:bCs/>
          <w:noProof/>
        </w:rPr>
        <w:t>Khan MS, Solomon N, DeVore AD, Sharma A, Felker GM, Hernandez AF, Heidenreich PA, Matsouaka RA, Green JB, Butler J, Yancy CW, Peterson PN, Fonarow GC, Greene SJ.</w:t>
      </w:r>
      <w:r w:rsidRPr="004661E9">
        <w:rPr>
          <w:rFonts w:ascii="Arial" w:hAnsi="Arial" w:cs="Arial"/>
          <w:noProof/>
        </w:rPr>
        <w:t xml:space="preserve"> Clinical Outcomes With Metformin and Sulfonylurea Therapies Among Patients With Heart Failure and Diabetes. </w:t>
      </w:r>
      <w:r w:rsidRPr="004661E9">
        <w:rPr>
          <w:rFonts w:ascii="Arial" w:hAnsi="Arial" w:cs="Arial"/>
          <w:iCs/>
          <w:noProof/>
        </w:rPr>
        <w:t>JACC Hear. Fail.</w:t>
      </w:r>
      <w:r w:rsidRPr="004661E9">
        <w:rPr>
          <w:rFonts w:ascii="Arial" w:hAnsi="Arial" w:cs="Arial"/>
          <w:noProof/>
        </w:rPr>
        <w:t xml:space="preserve"> 2022;10(3):198–210.</w:t>
      </w:r>
    </w:p>
    <w:p w14:paraId="5D7F69E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194. </w:t>
      </w:r>
      <w:r w:rsidRPr="004661E9">
        <w:rPr>
          <w:rFonts w:ascii="Arial" w:hAnsi="Arial" w:cs="Arial"/>
          <w:noProof/>
        </w:rPr>
        <w:tab/>
      </w:r>
      <w:r w:rsidRPr="004661E9">
        <w:rPr>
          <w:rFonts w:ascii="Arial" w:hAnsi="Arial" w:cs="Arial"/>
          <w:bCs/>
          <w:noProof/>
        </w:rPr>
        <w:t>Anker SD, Butler J, Filippatos G, Ferreira JP, Bocchi E, Böhm M, Brunner–La Rocca H-P, Choi D-J, Chopra V, Chuquiure-Valenzuela E, Giannetti N, Gomez-Mesa JE, Janssens S, Januzzi JL, Gonzalez-Juanatey JR, Merkely B, Nicholls SJ, Perrone S V., Piña IL, Ponikowski P, Senni M, Sim D, Spinar J, Squire I, Taddei S, Tsutsui H, Verma S, Vinereanu D, Zhang J, Carson P, Lam CSP, Marx N, Zeller C, Sattar N, Jamal W, Schnaidt S, Schnee JM, Brueckmann M, Pocock SJ, Zannad F, Packer M.</w:t>
      </w:r>
      <w:r w:rsidRPr="004661E9">
        <w:rPr>
          <w:rFonts w:ascii="Arial" w:hAnsi="Arial" w:cs="Arial"/>
          <w:noProof/>
        </w:rPr>
        <w:t xml:space="preserve"> Empagliflozin in Heart Failure with a Preserved Ejection Fraction. </w:t>
      </w:r>
      <w:r w:rsidRPr="004661E9">
        <w:rPr>
          <w:rFonts w:ascii="Arial" w:hAnsi="Arial" w:cs="Arial"/>
          <w:iCs/>
          <w:noProof/>
        </w:rPr>
        <w:t>N. Engl. J. Med.</w:t>
      </w:r>
      <w:r w:rsidRPr="004661E9">
        <w:rPr>
          <w:rFonts w:ascii="Arial" w:hAnsi="Arial" w:cs="Arial"/>
          <w:noProof/>
        </w:rPr>
        <w:t xml:space="preserve"> 2021;385(16):1451–1461.</w:t>
      </w:r>
    </w:p>
    <w:p w14:paraId="7C0FC13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195. </w:t>
      </w:r>
      <w:r w:rsidRPr="004661E9">
        <w:rPr>
          <w:rFonts w:ascii="Arial" w:hAnsi="Arial" w:cs="Arial"/>
          <w:noProof/>
        </w:rPr>
        <w:tab/>
      </w:r>
      <w:r w:rsidRPr="004661E9">
        <w:rPr>
          <w:rFonts w:ascii="Arial" w:hAnsi="Arial" w:cs="Arial"/>
          <w:bCs/>
          <w:noProof/>
        </w:rPr>
        <w:t>Bhatt DL, Szarek M, Steg PG, Cannon CP, Leiter LA, McGuire DK, Lewis JB, Riddle MC, Voors AA, Metra M, Lund LH, Komajda M, Testani JM, Wilcox CS, Ponikowski P, Lopes RD, Verma S, Lapuerta P, Pitt B.</w:t>
      </w:r>
      <w:r w:rsidRPr="004661E9">
        <w:rPr>
          <w:rFonts w:ascii="Arial" w:hAnsi="Arial" w:cs="Arial"/>
          <w:noProof/>
        </w:rPr>
        <w:t xml:space="preserve"> Sotagliflozin in Patients with Diabetes and Recent Worsening Heart Failure. </w:t>
      </w:r>
      <w:r w:rsidRPr="004661E9">
        <w:rPr>
          <w:rFonts w:ascii="Arial" w:hAnsi="Arial" w:cs="Arial"/>
          <w:iCs/>
          <w:noProof/>
        </w:rPr>
        <w:t>N. Engl. J. Med.</w:t>
      </w:r>
      <w:r w:rsidRPr="004661E9">
        <w:rPr>
          <w:rFonts w:ascii="Arial" w:hAnsi="Arial" w:cs="Arial"/>
          <w:noProof/>
        </w:rPr>
        <w:t xml:space="preserve"> 2021;384(2):117–128.</w:t>
      </w:r>
    </w:p>
    <w:p w14:paraId="0373B76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lastRenderedPageBreak/>
        <w:t xml:space="preserve">196. </w:t>
      </w:r>
      <w:r w:rsidRPr="004661E9">
        <w:rPr>
          <w:rFonts w:ascii="Arial" w:hAnsi="Arial" w:cs="Arial"/>
          <w:noProof/>
        </w:rPr>
        <w:tab/>
      </w:r>
      <w:r w:rsidRPr="004661E9">
        <w:rPr>
          <w:rFonts w:ascii="Arial" w:hAnsi="Arial" w:cs="Arial"/>
          <w:bCs/>
          <w:noProof/>
        </w:rPr>
        <w:t>Bardy GH, Lee KL, Mark DB, Poole JE, Packer DL, Boineau R, Domanski M, Troutman C, Anderson J, Johnson G, McNulty SE, Clapp-Channing N, Davidson-Ray LD, Fraulo ES, Fishbein DP, Luceri RM, Ip JH.</w:t>
      </w:r>
      <w:r w:rsidRPr="004661E9">
        <w:rPr>
          <w:rFonts w:ascii="Arial" w:hAnsi="Arial" w:cs="Arial"/>
          <w:noProof/>
        </w:rPr>
        <w:t xml:space="preserve"> Amiodarone or an implantable cardioverter-defibrillator for congestive heart failure. </w:t>
      </w:r>
      <w:r w:rsidRPr="004661E9">
        <w:rPr>
          <w:rFonts w:ascii="Arial" w:hAnsi="Arial" w:cs="Arial"/>
          <w:iCs/>
          <w:noProof/>
        </w:rPr>
        <w:t>N. Engl. J. Med.</w:t>
      </w:r>
      <w:r w:rsidRPr="004661E9">
        <w:rPr>
          <w:rFonts w:ascii="Arial" w:hAnsi="Arial" w:cs="Arial"/>
          <w:noProof/>
        </w:rPr>
        <w:t xml:space="preserve"> 2005;352(3):225–237.</w:t>
      </w:r>
    </w:p>
    <w:p w14:paraId="094F468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197. </w:t>
      </w:r>
      <w:r w:rsidRPr="004661E9">
        <w:rPr>
          <w:rFonts w:ascii="Arial" w:hAnsi="Arial" w:cs="Arial"/>
          <w:noProof/>
        </w:rPr>
        <w:tab/>
      </w:r>
      <w:r w:rsidRPr="004661E9">
        <w:rPr>
          <w:rFonts w:ascii="Arial" w:hAnsi="Arial" w:cs="Arial"/>
          <w:bCs/>
          <w:noProof/>
        </w:rPr>
        <w:t>Wittenberg SM, Cook JR, Hall WJ, McNitt S, Zareba W, Moss AJ.</w:t>
      </w:r>
      <w:r w:rsidRPr="004661E9">
        <w:rPr>
          <w:rFonts w:ascii="Arial" w:hAnsi="Arial" w:cs="Arial"/>
          <w:noProof/>
        </w:rPr>
        <w:t xml:space="preserve"> Comparison of efficacy of implanted cardioverter-defibrillator in patients with versus without diabetes mellitus. </w:t>
      </w:r>
      <w:r w:rsidRPr="004661E9">
        <w:rPr>
          <w:rFonts w:ascii="Arial" w:hAnsi="Arial" w:cs="Arial"/>
          <w:iCs/>
          <w:noProof/>
        </w:rPr>
        <w:t>Am. J. Cardiol.</w:t>
      </w:r>
      <w:r w:rsidRPr="004661E9">
        <w:rPr>
          <w:rFonts w:ascii="Arial" w:hAnsi="Arial" w:cs="Arial"/>
          <w:noProof/>
        </w:rPr>
        <w:t xml:space="preserve"> 2005;96(3):417–419.</w:t>
      </w:r>
    </w:p>
    <w:p w14:paraId="415182A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198. </w:t>
      </w:r>
      <w:r w:rsidRPr="004661E9">
        <w:rPr>
          <w:rFonts w:ascii="Arial" w:hAnsi="Arial" w:cs="Arial"/>
          <w:noProof/>
        </w:rPr>
        <w:tab/>
      </w:r>
      <w:r w:rsidRPr="004661E9">
        <w:rPr>
          <w:rFonts w:ascii="Arial" w:hAnsi="Arial" w:cs="Arial"/>
          <w:bCs/>
          <w:noProof/>
        </w:rPr>
        <w:t>Tan ESJ, Lim J, Chan SP, Seow JTK, Singh D, Yeo WT, Lim TW, Kojodjojo P, Seow SC.</w:t>
      </w:r>
      <w:r w:rsidRPr="004661E9">
        <w:rPr>
          <w:rFonts w:ascii="Arial" w:hAnsi="Arial" w:cs="Arial"/>
          <w:noProof/>
        </w:rPr>
        <w:t xml:space="preserve"> Effect of Diabetes Mellitus on Cardiac Resynchronization Therapy and to Prognosis in Heart Failure (from the Prospective Evaluation of Asian With Cardiac Resynchronization Therapy for Heart Failure Study). </w:t>
      </w:r>
      <w:r w:rsidRPr="004661E9">
        <w:rPr>
          <w:rFonts w:ascii="Arial" w:hAnsi="Arial" w:cs="Arial"/>
          <w:iCs/>
          <w:noProof/>
        </w:rPr>
        <w:t>Am. J. Cardiol.</w:t>
      </w:r>
      <w:r w:rsidRPr="004661E9">
        <w:rPr>
          <w:rFonts w:ascii="Arial" w:hAnsi="Arial" w:cs="Arial"/>
          <w:noProof/>
        </w:rPr>
        <w:t xml:space="preserve"> 2019;124(6):899–906.</w:t>
      </w:r>
    </w:p>
    <w:p w14:paraId="6F0E4A2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199. </w:t>
      </w:r>
      <w:r w:rsidRPr="004661E9">
        <w:rPr>
          <w:rFonts w:ascii="Arial" w:hAnsi="Arial" w:cs="Arial"/>
          <w:noProof/>
        </w:rPr>
        <w:tab/>
      </w:r>
      <w:r w:rsidRPr="004661E9">
        <w:rPr>
          <w:rFonts w:ascii="Arial" w:hAnsi="Arial" w:cs="Arial"/>
          <w:bCs/>
          <w:noProof/>
        </w:rPr>
        <w:t>Ghali J k., Boehmer J, Feldman AM, Saxon LA, Demarco T, Carson P, Yong P, Galle EG, Leigh J, Ecklund FL, Bristow MR.</w:t>
      </w:r>
      <w:r w:rsidRPr="004661E9">
        <w:rPr>
          <w:rFonts w:ascii="Arial" w:hAnsi="Arial" w:cs="Arial"/>
          <w:noProof/>
        </w:rPr>
        <w:t xml:space="preserve"> Influence of Diabetes on Cardiac Resynchronization Therapy With or Without Defibrillator in Patients With Advanced Heart Failure. </w:t>
      </w:r>
      <w:r w:rsidRPr="004661E9">
        <w:rPr>
          <w:rFonts w:ascii="Arial" w:hAnsi="Arial" w:cs="Arial"/>
          <w:iCs/>
          <w:noProof/>
        </w:rPr>
        <w:t>J. Card. Fail.</w:t>
      </w:r>
      <w:r w:rsidRPr="004661E9">
        <w:rPr>
          <w:rFonts w:ascii="Arial" w:hAnsi="Arial" w:cs="Arial"/>
          <w:noProof/>
        </w:rPr>
        <w:t xml:space="preserve"> 2007;13(9):769–773.</w:t>
      </w:r>
    </w:p>
    <w:p w14:paraId="123FECA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200. </w:t>
      </w:r>
      <w:r w:rsidRPr="004661E9">
        <w:rPr>
          <w:rFonts w:ascii="Arial" w:hAnsi="Arial" w:cs="Arial"/>
          <w:noProof/>
        </w:rPr>
        <w:tab/>
      </w:r>
      <w:r w:rsidRPr="004661E9">
        <w:rPr>
          <w:rFonts w:ascii="Arial" w:hAnsi="Arial" w:cs="Arial"/>
          <w:bCs/>
          <w:noProof/>
        </w:rPr>
        <w:t>Hoppe UC, Freemantle N, Cleland JGF, Marijianowski M, Erdmann E.</w:t>
      </w:r>
      <w:r w:rsidRPr="004661E9">
        <w:rPr>
          <w:rFonts w:ascii="Arial" w:hAnsi="Arial" w:cs="Arial"/>
          <w:noProof/>
        </w:rPr>
        <w:t xml:space="preserve"> Effect of cardiac resynchronization on morbidity and mortality of diabetic patients with severe heart failure. </w:t>
      </w:r>
      <w:r w:rsidRPr="004661E9">
        <w:rPr>
          <w:rFonts w:ascii="Arial" w:hAnsi="Arial" w:cs="Arial"/>
          <w:iCs/>
          <w:noProof/>
        </w:rPr>
        <w:t>Diabetes Care</w:t>
      </w:r>
      <w:r w:rsidRPr="004661E9">
        <w:rPr>
          <w:rFonts w:ascii="Arial" w:hAnsi="Arial" w:cs="Arial"/>
          <w:noProof/>
        </w:rPr>
        <w:t xml:space="preserve"> 2007;30(3):722–724.</w:t>
      </w:r>
    </w:p>
    <w:p w14:paraId="3966698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201. </w:t>
      </w:r>
      <w:r w:rsidRPr="004661E9">
        <w:rPr>
          <w:rFonts w:ascii="Arial" w:hAnsi="Arial" w:cs="Arial"/>
          <w:noProof/>
        </w:rPr>
        <w:tab/>
      </w:r>
      <w:r w:rsidRPr="004661E9">
        <w:rPr>
          <w:rFonts w:ascii="Arial" w:hAnsi="Arial" w:cs="Arial"/>
          <w:bCs/>
          <w:noProof/>
        </w:rPr>
        <w:t>Sun H, Guan Y, Wang L, Zhao Y, Lv H, Bi X, Wang H, Zhang X, Liu L, Wei M, Song H, Su G.</w:t>
      </w:r>
      <w:r w:rsidRPr="004661E9">
        <w:rPr>
          <w:rFonts w:ascii="Arial" w:hAnsi="Arial" w:cs="Arial"/>
          <w:noProof/>
        </w:rPr>
        <w:t xml:space="preserve"> Influence of diabetes on cardiac resynchronization therapy in heart failure patients: A meta-analysis. </w:t>
      </w:r>
      <w:r w:rsidRPr="004661E9">
        <w:rPr>
          <w:rFonts w:ascii="Arial" w:hAnsi="Arial" w:cs="Arial"/>
          <w:iCs/>
          <w:noProof/>
        </w:rPr>
        <w:t>BMC Cardiovasc. Disord.</w:t>
      </w:r>
      <w:r w:rsidRPr="004661E9">
        <w:rPr>
          <w:rFonts w:ascii="Arial" w:hAnsi="Arial" w:cs="Arial"/>
          <w:noProof/>
        </w:rPr>
        <w:t xml:space="preserve"> 2015;15(1). doi:10.1186/s12872-015-0018-0.</w:t>
      </w:r>
    </w:p>
    <w:p w14:paraId="28EC50D7"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202. </w:t>
      </w:r>
      <w:r w:rsidRPr="004661E9">
        <w:rPr>
          <w:rFonts w:ascii="Arial" w:hAnsi="Arial" w:cs="Arial"/>
          <w:noProof/>
        </w:rPr>
        <w:tab/>
      </w:r>
      <w:r w:rsidRPr="004661E9">
        <w:rPr>
          <w:rFonts w:ascii="Arial" w:hAnsi="Arial" w:cs="Arial"/>
          <w:bCs/>
          <w:noProof/>
        </w:rPr>
        <w:t>Höke U, Thijssen J, Van Bommel RJ, Van Erven L, Van Der Velde ET, Holman ER, Schalij MJ, Bax JJ, Delgado V, Marsan NA.</w:t>
      </w:r>
      <w:r w:rsidRPr="004661E9">
        <w:rPr>
          <w:rFonts w:ascii="Arial" w:hAnsi="Arial" w:cs="Arial"/>
          <w:noProof/>
        </w:rPr>
        <w:t xml:space="preserve"> Influence of diabetes on left ventricular systolic and diastolic function and on long-term outcome after cardiac resynchronization therapy. </w:t>
      </w:r>
      <w:r w:rsidRPr="004661E9">
        <w:rPr>
          <w:rFonts w:ascii="Arial" w:hAnsi="Arial" w:cs="Arial"/>
          <w:iCs/>
          <w:noProof/>
        </w:rPr>
        <w:t>Diabetes Care</w:t>
      </w:r>
      <w:r w:rsidRPr="004661E9">
        <w:rPr>
          <w:rFonts w:ascii="Arial" w:hAnsi="Arial" w:cs="Arial"/>
          <w:noProof/>
        </w:rPr>
        <w:t xml:space="preserve"> 2013;36(4):985–991.</w:t>
      </w:r>
    </w:p>
    <w:p w14:paraId="0CE6234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203. </w:t>
      </w:r>
      <w:r w:rsidRPr="004661E9">
        <w:rPr>
          <w:rFonts w:ascii="Arial" w:hAnsi="Arial" w:cs="Arial"/>
          <w:noProof/>
        </w:rPr>
        <w:tab/>
      </w:r>
      <w:r w:rsidRPr="004661E9">
        <w:rPr>
          <w:rFonts w:ascii="Arial" w:hAnsi="Arial" w:cs="Arial"/>
          <w:bCs/>
          <w:noProof/>
        </w:rPr>
        <w:t>Kahr PC, Trenson S, Schindler M, Kuster J, Kaufmann P, Tonko J, Hofer D, Inderbitzin DT, Breitenstein A, Saguner AM, Flammer AJ, Ruschitzka F, Steffel J, Winnik S.</w:t>
      </w:r>
      <w:r w:rsidRPr="004661E9">
        <w:rPr>
          <w:rFonts w:ascii="Arial" w:hAnsi="Arial" w:cs="Arial"/>
          <w:noProof/>
        </w:rPr>
        <w:t xml:space="preserve"> Differential effect of cardiac resynchronization therapy in patients with diabetes mellitus: a long-term retrospective cohort study. </w:t>
      </w:r>
      <w:r w:rsidRPr="004661E9">
        <w:rPr>
          <w:rFonts w:ascii="Arial" w:hAnsi="Arial" w:cs="Arial"/>
          <w:iCs/>
          <w:noProof/>
        </w:rPr>
        <w:t>ESC Hear. Fail.</w:t>
      </w:r>
      <w:r w:rsidRPr="004661E9">
        <w:rPr>
          <w:rFonts w:ascii="Arial" w:hAnsi="Arial" w:cs="Arial"/>
          <w:noProof/>
        </w:rPr>
        <w:t xml:space="preserve"> 2020;7(5):2773–2783.</w:t>
      </w:r>
    </w:p>
    <w:p w14:paraId="73E4D04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204. </w:t>
      </w:r>
      <w:r w:rsidRPr="004661E9">
        <w:rPr>
          <w:rFonts w:ascii="Arial" w:hAnsi="Arial" w:cs="Arial"/>
          <w:noProof/>
        </w:rPr>
        <w:tab/>
      </w:r>
      <w:r w:rsidRPr="004661E9">
        <w:rPr>
          <w:rFonts w:ascii="Arial" w:hAnsi="Arial" w:cs="Arial"/>
          <w:bCs/>
          <w:noProof/>
        </w:rPr>
        <w:t>Massie BM, Carson PE, McMurray JJ, Komajda M, McKelvie R, Zile MR, Anderson S, Donovan M, Iverson E, Staiger C, Ptaszynska A.</w:t>
      </w:r>
      <w:r w:rsidRPr="004661E9">
        <w:rPr>
          <w:rFonts w:ascii="Arial" w:hAnsi="Arial" w:cs="Arial"/>
          <w:noProof/>
        </w:rPr>
        <w:t xml:space="preserve"> Irbesartan in patients with heart failure and preserved ejection fraction. </w:t>
      </w:r>
      <w:r w:rsidRPr="004661E9">
        <w:rPr>
          <w:rFonts w:ascii="Arial" w:hAnsi="Arial" w:cs="Arial"/>
          <w:iCs/>
          <w:noProof/>
        </w:rPr>
        <w:t>N. Engl. J. Med.</w:t>
      </w:r>
      <w:r w:rsidRPr="004661E9">
        <w:rPr>
          <w:rFonts w:ascii="Arial" w:hAnsi="Arial" w:cs="Arial"/>
          <w:noProof/>
        </w:rPr>
        <w:t xml:space="preserve"> 2008;359(23):2456–2467.</w:t>
      </w:r>
    </w:p>
    <w:p w14:paraId="2C164FEA"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205. </w:t>
      </w:r>
      <w:r w:rsidRPr="004661E9">
        <w:rPr>
          <w:rFonts w:ascii="Arial" w:hAnsi="Arial" w:cs="Arial"/>
          <w:noProof/>
        </w:rPr>
        <w:tab/>
      </w:r>
      <w:r w:rsidRPr="004661E9">
        <w:rPr>
          <w:rFonts w:ascii="Arial" w:hAnsi="Arial" w:cs="Arial"/>
          <w:bCs/>
          <w:noProof/>
        </w:rPr>
        <w:t>Nassif ME, Windsor SL, Borlaug BA, Kitzman DW, Shah SJ, Tang F, Khariton Y, Malik AO, Khumri T, Umpierrez G, Lamba S, Sharma K, Khan SS, Chandra L, Gordon RA, Ryan JJ, Chaudhry SP, Joseph SM, Chow CH, Kanwar MK, Pursley M, Siraj ES, Lewis GD, Clemson BS, Fong M, Kosiborod MN.</w:t>
      </w:r>
      <w:r w:rsidRPr="004661E9">
        <w:rPr>
          <w:rFonts w:ascii="Arial" w:hAnsi="Arial" w:cs="Arial"/>
          <w:noProof/>
        </w:rPr>
        <w:t xml:space="preserve"> The SGLT2 inhibitor dapagliflozin in heart failure with preserved ejection fraction: a multicenter randomized trial. </w:t>
      </w:r>
      <w:r w:rsidRPr="004661E9">
        <w:rPr>
          <w:rFonts w:ascii="Arial" w:hAnsi="Arial" w:cs="Arial"/>
          <w:iCs/>
          <w:noProof/>
        </w:rPr>
        <w:t>Nat. Med.</w:t>
      </w:r>
      <w:r w:rsidRPr="004661E9">
        <w:rPr>
          <w:rFonts w:ascii="Arial" w:hAnsi="Arial" w:cs="Arial"/>
          <w:noProof/>
        </w:rPr>
        <w:t xml:space="preserve"> 2021;27(11):1954–1960.</w:t>
      </w:r>
    </w:p>
    <w:p w14:paraId="6F04990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206. </w:t>
      </w:r>
      <w:r w:rsidRPr="004661E9">
        <w:rPr>
          <w:rFonts w:ascii="Arial" w:hAnsi="Arial" w:cs="Arial"/>
          <w:noProof/>
        </w:rPr>
        <w:tab/>
      </w:r>
      <w:r w:rsidRPr="004661E9">
        <w:rPr>
          <w:rFonts w:ascii="Arial" w:hAnsi="Arial" w:cs="Arial"/>
          <w:bCs/>
          <w:noProof/>
        </w:rPr>
        <w:t>Zinman B, Wanner C, Lachin JM, Fitchett D, Bluhmki E, Hantel S.</w:t>
      </w:r>
      <w:r w:rsidRPr="004661E9">
        <w:rPr>
          <w:rFonts w:ascii="Arial" w:hAnsi="Arial" w:cs="Arial"/>
          <w:noProof/>
        </w:rPr>
        <w:t xml:space="preserve"> Empagliflozin, cardiovascular outcomes, and mortality in type 2 diabetes. </w:t>
      </w:r>
      <w:r w:rsidRPr="004661E9">
        <w:rPr>
          <w:rFonts w:ascii="Arial" w:hAnsi="Arial" w:cs="Arial"/>
          <w:iCs/>
          <w:noProof/>
        </w:rPr>
        <w:t>N. Engl. J. Med.</w:t>
      </w:r>
      <w:r w:rsidRPr="004661E9">
        <w:rPr>
          <w:rFonts w:ascii="Arial" w:hAnsi="Arial" w:cs="Arial"/>
          <w:noProof/>
        </w:rPr>
        <w:t xml:space="preserve"> 2015;373(22):2117–2128.</w:t>
      </w:r>
    </w:p>
    <w:p w14:paraId="1E7067C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207. </w:t>
      </w:r>
      <w:r w:rsidRPr="004661E9">
        <w:rPr>
          <w:rFonts w:ascii="Arial" w:hAnsi="Arial" w:cs="Arial"/>
          <w:noProof/>
        </w:rPr>
        <w:tab/>
      </w:r>
      <w:r w:rsidRPr="004661E9">
        <w:rPr>
          <w:rFonts w:ascii="Arial" w:hAnsi="Arial" w:cs="Arial"/>
          <w:bCs/>
          <w:noProof/>
        </w:rPr>
        <w:t>Neal B, Perkovic V, Mahaffey KW, De Zeeuw D, Fulcher G, Erondu N, Shaw W, Law G, Desai M, Matthews DR.</w:t>
      </w:r>
      <w:r w:rsidRPr="004661E9">
        <w:rPr>
          <w:rFonts w:ascii="Arial" w:hAnsi="Arial" w:cs="Arial"/>
          <w:noProof/>
        </w:rPr>
        <w:t xml:space="preserve"> Canagliflozin and cardiovascular and renal events in type 2 diabetes. </w:t>
      </w:r>
      <w:r w:rsidRPr="004661E9">
        <w:rPr>
          <w:rFonts w:ascii="Arial" w:hAnsi="Arial" w:cs="Arial"/>
          <w:iCs/>
          <w:noProof/>
        </w:rPr>
        <w:t>N. Engl. J. Med.</w:t>
      </w:r>
      <w:r w:rsidRPr="004661E9">
        <w:rPr>
          <w:rFonts w:ascii="Arial" w:hAnsi="Arial" w:cs="Arial"/>
          <w:noProof/>
        </w:rPr>
        <w:t xml:space="preserve"> 2017;377(7):644–657.</w:t>
      </w:r>
    </w:p>
    <w:p w14:paraId="594A386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lastRenderedPageBreak/>
        <w:t xml:space="preserve">208. </w:t>
      </w:r>
      <w:r w:rsidRPr="004661E9">
        <w:rPr>
          <w:rFonts w:ascii="Arial" w:hAnsi="Arial" w:cs="Arial"/>
          <w:noProof/>
        </w:rPr>
        <w:tab/>
      </w:r>
      <w:r w:rsidRPr="004661E9">
        <w:rPr>
          <w:rFonts w:ascii="Arial" w:hAnsi="Arial" w:cs="Arial"/>
          <w:bCs/>
          <w:noProof/>
        </w:rPr>
        <w:t>Wiviott SD, Raz I, Bonaca MP, Mosenzon O, Kato ET, Cahn A, Silverman MG, Zelniker TA, Kuder JF, Murphy SA, Bhatt DL, Leiter LA, McGuire DK.</w:t>
      </w:r>
      <w:r w:rsidRPr="004661E9">
        <w:rPr>
          <w:rFonts w:ascii="Arial" w:hAnsi="Arial" w:cs="Arial"/>
          <w:noProof/>
        </w:rPr>
        <w:t xml:space="preserve"> Dapagliflozin and cardiovascular outcomes in type 2 diabetes. </w:t>
      </w:r>
      <w:r w:rsidRPr="004661E9">
        <w:rPr>
          <w:rFonts w:ascii="Arial" w:hAnsi="Arial" w:cs="Arial"/>
          <w:iCs/>
          <w:noProof/>
        </w:rPr>
        <w:t>N. Engl. J. Med.</w:t>
      </w:r>
      <w:r w:rsidRPr="004661E9">
        <w:rPr>
          <w:rFonts w:ascii="Arial" w:hAnsi="Arial" w:cs="Arial"/>
          <w:noProof/>
        </w:rPr>
        <w:t xml:space="preserve"> 2019;380(4):347–357.</w:t>
      </w:r>
    </w:p>
    <w:p w14:paraId="0F628B9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209. </w:t>
      </w:r>
      <w:r w:rsidRPr="004661E9">
        <w:rPr>
          <w:rFonts w:ascii="Arial" w:hAnsi="Arial" w:cs="Arial"/>
          <w:noProof/>
        </w:rPr>
        <w:tab/>
      </w:r>
      <w:r w:rsidRPr="004661E9">
        <w:rPr>
          <w:rFonts w:ascii="Arial" w:hAnsi="Arial" w:cs="Arial"/>
          <w:bCs/>
          <w:noProof/>
        </w:rPr>
        <w:t>Perkovic V, Jardine MJ, Neal B, Bompoint S, Heerspink HJL, Charytan DM, Edwards R, Agarwal R, Bakris G, Bull S, Cannon CP, Capuano G, Chu PL, De Zeeuw D, Greene T, Levin A, Pollock C, Wheeler DC, Yavin Y, Zhang H, Zinman B, Meininger G, Brenner BM, Mahaffey KW.</w:t>
      </w:r>
      <w:r w:rsidRPr="004661E9">
        <w:rPr>
          <w:rFonts w:ascii="Arial" w:hAnsi="Arial" w:cs="Arial"/>
          <w:noProof/>
        </w:rPr>
        <w:t xml:space="preserve"> Canagliflozin and renal outcomes in type 2 diabetes and nephropathy. </w:t>
      </w:r>
      <w:r w:rsidRPr="004661E9">
        <w:rPr>
          <w:rFonts w:ascii="Arial" w:hAnsi="Arial" w:cs="Arial"/>
          <w:iCs/>
          <w:noProof/>
        </w:rPr>
        <w:t>N. Engl. J. Med.</w:t>
      </w:r>
      <w:r w:rsidRPr="004661E9">
        <w:rPr>
          <w:rFonts w:ascii="Arial" w:hAnsi="Arial" w:cs="Arial"/>
          <w:noProof/>
        </w:rPr>
        <w:t xml:space="preserve"> 2019;380(24):2295–2306.</w:t>
      </w:r>
    </w:p>
    <w:p w14:paraId="5292780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210. </w:t>
      </w:r>
      <w:r w:rsidRPr="004661E9">
        <w:rPr>
          <w:rFonts w:ascii="Arial" w:hAnsi="Arial" w:cs="Arial"/>
          <w:noProof/>
        </w:rPr>
        <w:tab/>
      </w:r>
      <w:r w:rsidRPr="004661E9">
        <w:rPr>
          <w:rFonts w:ascii="Arial" w:hAnsi="Arial" w:cs="Arial"/>
          <w:bCs/>
          <w:noProof/>
        </w:rPr>
        <w:t>Cannon CP, Pratley R, Dagogo-Jack S, Mancuso J, Huyck S, Masiukiewicz U, Charbonnel B, Frederich R, Gallo S, Cosentino F, Shih WJ, Gantz I, Terra SG, Cherney DZI, McGuire DK.</w:t>
      </w:r>
      <w:r w:rsidRPr="004661E9">
        <w:rPr>
          <w:rFonts w:ascii="Arial" w:hAnsi="Arial" w:cs="Arial"/>
          <w:noProof/>
        </w:rPr>
        <w:t xml:space="preserve"> Cardiovascular Outcomes with Ertugliflozin in Type 2 Diabetes. </w:t>
      </w:r>
      <w:r w:rsidRPr="004661E9">
        <w:rPr>
          <w:rFonts w:ascii="Arial" w:hAnsi="Arial" w:cs="Arial"/>
          <w:iCs/>
          <w:noProof/>
        </w:rPr>
        <w:t>N. Engl. J. Med.</w:t>
      </w:r>
      <w:r w:rsidRPr="004661E9">
        <w:rPr>
          <w:rFonts w:ascii="Arial" w:hAnsi="Arial" w:cs="Arial"/>
          <w:noProof/>
        </w:rPr>
        <w:t xml:space="preserve"> 2020;383(15):1425–1435.</w:t>
      </w:r>
    </w:p>
    <w:p w14:paraId="5813594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211. </w:t>
      </w:r>
      <w:r w:rsidRPr="004661E9">
        <w:rPr>
          <w:rFonts w:ascii="Arial" w:hAnsi="Arial" w:cs="Arial"/>
          <w:noProof/>
        </w:rPr>
        <w:tab/>
      </w:r>
      <w:r w:rsidRPr="004661E9">
        <w:rPr>
          <w:rFonts w:ascii="Arial" w:hAnsi="Arial" w:cs="Arial"/>
          <w:bCs/>
          <w:noProof/>
        </w:rPr>
        <w:t>Akturk HK, Rewers A, Garg SK.</w:t>
      </w:r>
      <w:r w:rsidRPr="004661E9">
        <w:rPr>
          <w:rFonts w:ascii="Arial" w:hAnsi="Arial" w:cs="Arial"/>
          <w:noProof/>
        </w:rPr>
        <w:t xml:space="preserve"> SGLT inhibition: A possible adjunctive treatment for type 1 diabetes. </w:t>
      </w:r>
      <w:r w:rsidRPr="004661E9">
        <w:rPr>
          <w:rFonts w:ascii="Arial" w:hAnsi="Arial" w:cs="Arial"/>
          <w:iCs/>
          <w:noProof/>
        </w:rPr>
        <w:t>Curr. Opin. Endocrinol. Diabetes Obes.</w:t>
      </w:r>
      <w:r w:rsidRPr="004661E9">
        <w:rPr>
          <w:rFonts w:ascii="Arial" w:hAnsi="Arial" w:cs="Arial"/>
          <w:noProof/>
        </w:rPr>
        <w:t xml:space="preserve"> 2018;25(4):246–250.</w:t>
      </w:r>
    </w:p>
    <w:p w14:paraId="7955674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212. </w:t>
      </w:r>
      <w:r w:rsidRPr="004661E9">
        <w:rPr>
          <w:rFonts w:ascii="Arial" w:hAnsi="Arial" w:cs="Arial"/>
          <w:noProof/>
        </w:rPr>
        <w:tab/>
      </w:r>
      <w:r w:rsidRPr="004661E9">
        <w:rPr>
          <w:rFonts w:ascii="Arial" w:hAnsi="Arial" w:cs="Arial"/>
          <w:bCs/>
          <w:noProof/>
        </w:rPr>
        <w:t>Empagliflozin in Patients with Chronic Kidney Disease.</w:t>
      </w:r>
      <w:r w:rsidRPr="004661E9">
        <w:rPr>
          <w:rFonts w:ascii="Arial" w:hAnsi="Arial" w:cs="Arial"/>
          <w:noProof/>
        </w:rPr>
        <w:t xml:space="preserve"> </w:t>
      </w:r>
      <w:r w:rsidRPr="004661E9">
        <w:rPr>
          <w:rFonts w:ascii="Arial" w:hAnsi="Arial" w:cs="Arial"/>
          <w:iCs/>
          <w:noProof/>
        </w:rPr>
        <w:t>N. Engl. J. Med.</w:t>
      </w:r>
      <w:r w:rsidRPr="004661E9">
        <w:rPr>
          <w:rFonts w:ascii="Arial" w:hAnsi="Arial" w:cs="Arial"/>
          <w:noProof/>
        </w:rPr>
        <w:t xml:space="preserve"> 2023;388(2):117–127.</w:t>
      </w:r>
    </w:p>
    <w:p w14:paraId="5C6861F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213. </w:t>
      </w:r>
      <w:r w:rsidRPr="004661E9">
        <w:rPr>
          <w:rFonts w:ascii="Arial" w:hAnsi="Arial" w:cs="Arial"/>
          <w:noProof/>
        </w:rPr>
        <w:tab/>
      </w:r>
      <w:r w:rsidRPr="004661E9">
        <w:rPr>
          <w:rFonts w:ascii="Arial" w:hAnsi="Arial" w:cs="Arial"/>
          <w:bCs/>
          <w:noProof/>
        </w:rPr>
        <w:t>Heerspink HJL, Stefánsson B V., Correa-Rotter R, Chertow GM, Greene T, Hou F-F, Mann JFE, McMurray JJV, Lindberg M, Rossing P, Sjöström CD, Toto RD, Langkilde A-M, Wheeler DC.</w:t>
      </w:r>
      <w:r w:rsidRPr="004661E9">
        <w:rPr>
          <w:rFonts w:ascii="Arial" w:hAnsi="Arial" w:cs="Arial"/>
          <w:noProof/>
        </w:rPr>
        <w:t xml:space="preserve"> Dapagliflozin in Patients with Chronic Kidney Disease. </w:t>
      </w:r>
      <w:r w:rsidRPr="004661E9">
        <w:rPr>
          <w:rFonts w:ascii="Arial" w:hAnsi="Arial" w:cs="Arial"/>
          <w:iCs/>
          <w:noProof/>
        </w:rPr>
        <w:t>N. Engl. J. Med.</w:t>
      </w:r>
      <w:r w:rsidRPr="004661E9">
        <w:rPr>
          <w:rFonts w:ascii="Arial" w:hAnsi="Arial" w:cs="Arial"/>
          <w:noProof/>
        </w:rPr>
        <w:t xml:space="preserve"> 2020;383(15):1436–1446.</w:t>
      </w:r>
    </w:p>
    <w:p w14:paraId="2B822F4C"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214. </w:t>
      </w:r>
      <w:r w:rsidRPr="004661E9">
        <w:rPr>
          <w:rFonts w:ascii="Arial" w:hAnsi="Arial" w:cs="Arial"/>
          <w:noProof/>
        </w:rPr>
        <w:tab/>
      </w:r>
      <w:r w:rsidRPr="004661E9">
        <w:rPr>
          <w:rFonts w:ascii="Arial" w:hAnsi="Arial" w:cs="Arial"/>
          <w:bCs/>
          <w:noProof/>
        </w:rPr>
        <w:t>Bhatt DL, Szarek M, Pitt B, Cannon CP, Leiter LA, McGuire DK, Lewis JB, Riddle MC, Inzucchi SE, Kosiborod MN, Cherney DZI, Dwyer JP, Scirica BM, Bailey CJ, Díaz R, Ray KK, Udell JA, Lopes RD, Lapuerta P, Steg PG.</w:t>
      </w:r>
      <w:r w:rsidRPr="004661E9">
        <w:rPr>
          <w:rFonts w:ascii="Arial" w:hAnsi="Arial" w:cs="Arial"/>
          <w:noProof/>
        </w:rPr>
        <w:t xml:space="preserve"> Sotagliflozin in Patients with Diabetes and Chronic Kidney Disease. </w:t>
      </w:r>
      <w:r w:rsidRPr="004661E9">
        <w:rPr>
          <w:rFonts w:ascii="Arial" w:hAnsi="Arial" w:cs="Arial"/>
          <w:iCs/>
          <w:noProof/>
        </w:rPr>
        <w:t>N. Engl. J. Med.</w:t>
      </w:r>
      <w:r w:rsidRPr="004661E9">
        <w:rPr>
          <w:rFonts w:ascii="Arial" w:hAnsi="Arial" w:cs="Arial"/>
          <w:noProof/>
        </w:rPr>
        <w:t xml:space="preserve"> 2021;384(2):129–139.</w:t>
      </w:r>
    </w:p>
    <w:p w14:paraId="3C5D3ACB"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215. </w:t>
      </w:r>
      <w:r w:rsidRPr="004661E9">
        <w:rPr>
          <w:rFonts w:ascii="Arial" w:hAnsi="Arial" w:cs="Arial"/>
          <w:noProof/>
        </w:rPr>
        <w:tab/>
      </w:r>
      <w:r w:rsidRPr="004661E9">
        <w:rPr>
          <w:rFonts w:ascii="Arial" w:hAnsi="Arial" w:cs="Arial"/>
          <w:bCs/>
          <w:noProof/>
        </w:rPr>
        <w:t>Marso SP, Daniels GH, Frandsen KB, Kristensen P, Mann JFE, Nauck MA, Nissen SE, Pocock S, Poulter NR, Ravn LS, Steinberg WM, Stockner M, Zinman B, Bergenstal RM, Buse JB.</w:t>
      </w:r>
      <w:r w:rsidRPr="004661E9">
        <w:rPr>
          <w:rFonts w:ascii="Arial" w:hAnsi="Arial" w:cs="Arial"/>
          <w:noProof/>
        </w:rPr>
        <w:t xml:space="preserve"> Liraglutide and cardiovascular outcomes in type 2 diabetes. </w:t>
      </w:r>
      <w:r w:rsidRPr="004661E9">
        <w:rPr>
          <w:rFonts w:ascii="Arial" w:hAnsi="Arial" w:cs="Arial"/>
          <w:iCs/>
          <w:noProof/>
        </w:rPr>
        <w:t>N. Engl. J. Med.</w:t>
      </w:r>
      <w:r w:rsidRPr="004661E9">
        <w:rPr>
          <w:rFonts w:ascii="Arial" w:hAnsi="Arial" w:cs="Arial"/>
          <w:noProof/>
        </w:rPr>
        <w:t xml:space="preserve"> 2016;375(4):311–322.</w:t>
      </w:r>
    </w:p>
    <w:p w14:paraId="5FA562D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216. </w:t>
      </w:r>
      <w:r w:rsidRPr="004661E9">
        <w:rPr>
          <w:rFonts w:ascii="Arial" w:hAnsi="Arial" w:cs="Arial"/>
          <w:noProof/>
        </w:rPr>
        <w:tab/>
      </w:r>
      <w:r w:rsidRPr="004661E9">
        <w:rPr>
          <w:rFonts w:ascii="Arial" w:hAnsi="Arial" w:cs="Arial"/>
          <w:bCs/>
          <w:noProof/>
        </w:rPr>
        <w:t>Gerstein HC, Colhoun HM, Dagenais GR, Diaz R, Lakshmanan M, Pais P.</w:t>
      </w:r>
      <w:r w:rsidRPr="004661E9">
        <w:rPr>
          <w:rFonts w:ascii="Arial" w:hAnsi="Arial" w:cs="Arial"/>
          <w:noProof/>
        </w:rPr>
        <w:t xml:space="preserve"> Dulaglutide and cardiovascular outcomes in type 2 diabetes (REWIND): a double-blind, randomised placebo-controlled trial. </w:t>
      </w:r>
      <w:r w:rsidRPr="004661E9">
        <w:rPr>
          <w:rFonts w:ascii="Arial" w:hAnsi="Arial" w:cs="Arial"/>
          <w:iCs/>
          <w:noProof/>
        </w:rPr>
        <w:t>Lancet</w:t>
      </w:r>
      <w:r w:rsidRPr="004661E9">
        <w:rPr>
          <w:rFonts w:ascii="Arial" w:hAnsi="Arial" w:cs="Arial"/>
          <w:noProof/>
        </w:rPr>
        <w:t xml:space="preserve"> 2019;394(10193):121–130.</w:t>
      </w:r>
    </w:p>
    <w:p w14:paraId="66CD13C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217. </w:t>
      </w:r>
      <w:r w:rsidRPr="004661E9">
        <w:rPr>
          <w:rFonts w:ascii="Arial" w:hAnsi="Arial" w:cs="Arial"/>
          <w:noProof/>
        </w:rPr>
        <w:tab/>
      </w:r>
      <w:r w:rsidRPr="004661E9">
        <w:rPr>
          <w:rFonts w:ascii="Arial" w:hAnsi="Arial" w:cs="Arial"/>
          <w:bCs/>
          <w:noProof/>
        </w:rPr>
        <w:t>Gerstein HC, Sattar N, Rosenstock J, Ramasundarahettige C, Pratley R, Lopes RD, Lam CSP, Khurmi NS, Heenan L, Del Prato S, Dyal L, Branch K.</w:t>
      </w:r>
      <w:r w:rsidRPr="004661E9">
        <w:rPr>
          <w:rFonts w:ascii="Arial" w:hAnsi="Arial" w:cs="Arial"/>
          <w:noProof/>
        </w:rPr>
        <w:t xml:space="preserve"> Cardiovascular and Renal Outcomes with Efpeglenatide in Type 2 Diabetes. </w:t>
      </w:r>
      <w:r w:rsidRPr="004661E9">
        <w:rPr>
          <w:rFonts w:ascii="Arial" w:hAnsi="Arial" w:cs="Arial"/>
          <w:iCs/>
          <w:noProof/>
        </w:rPr>
        <w:t>N. Engl. J. Med.</w:t>
      </w:r>
      <w:r w:rsidRPr="004661E9">
        <w:rPr>
          <w:rFonts w:ascii="Arial" w:hAnsi="Arial" w:cs="Arial"/>
          <w:noProof/>
        </w:rPr>
        <w:t xml:space="preserve"> 2021;385(10):896–907.</w:t>
      </w:r>
    </w:p>
    <w:p w14:paraId="647C1B3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218. </w:t>
      </w:r>
      <w:r w:rsidRPr="004661E9">
        <w:rPr>
          <w:rFonts w:ascii="Arial" w:hAnsi="Arial" w:cs="Arial"/>
          <w:noProof/>
        </w:rPr>
        <w:tab/>
      </w:r>
      <w:r w:rsidRPr="004661E9">
        <w:rPr>
          <w:rFonts w:ascii="Arial" w:hAnsi="Arial" w:cs="Arial"/>
          <w:bCs/>
          <w:noProof/>
        </w:rPr>
        <w:t>Ferreira JP, Sharma A, Butler J, Packer M, Zannad F, Vasques-nóvoa F, Leite-moreira A, Neves JS.</w:t>
      </w:r>
      <w:r w:rsidRPr="004661E9">
        <w:rPr>
          <w:rFonts w:ascii="Arial" w:hAnsi="Arial" w:cs="Arial"/>
          <w:noProof/>
        </w:rPr>
        <w:t xml:space="preserve"> Glucagon-Like Peptide-1 Receptor Agonists Across the Spectrum of Heart Failure. 2023;(July):1–6.</w:t>
      </w:r>
    </w:p>
    <w:p w14:paraId="082E1FF3"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219. </w:t>
      </w:r>
      <w:r w:rsidRPr="004661E9">
        <w:rPr>
          <w:rFonts w:ascii="Arial" w:hAnsi="Arial" w:cs="Arial"/>
          <w:noProof/>
        </w:rPr>
        <w:tab/>
      </w:r>
      <w:r w:rsidRPr="004661E9">
        <w:rPr>
          <w:rFonts w:ascii="Arial" w:hAnsi="Arial" w:cs="Arial"/>
          <w:bCs/>
          <w:noProof/>
        </w:rPr>
        <w:t>Ferreira JP, Saraiva F, Sharma A, Vasques-Nóvoa F, Angélico-Gonçalves A, Leite AR, Borges-Canha M, Carvalho D, Packer M, Zannad F, Leite-Moreira A, Neves JS.</w:t>
      </w:r>
      <w:r w:rsidRPr="004661E9">
        <w:rPr>
          <w:rFonts w:ascii="Arial" w:hAnsi="Arial" w:cs="Arial"/>
          <w:noProof/>
        </w:rPr>
        <w:t xml:space="preserve"> Glucagon-like peptide 1 receptor agonists in patients with type 2 diabetes with and without chronic heart failure: A meta-analysis of randomized placebo-controlled outcome trials. </w:t>
      </w:r>
      <w:r w:rsidRPr="004661E9">
        <w:rPr>
          <w:rFonts w:ascii="Arial" w:hAnsi="Arial" w:cs="Arial"/>
          <w:iCs/>
          <w:noProof/>
        </w:rPr>
        <w:t>Diabetes, Obes. Metab.</w:t>
      </w:r>
      <w:r w:rsidRPr="004661E9">
        <w:rPr>
          <w:rFonts w:ascii="Arial" w:hAnsi="Arial" w:cs="Arial"/>
          <w:noProof/>
        </w:rPr>
        <w:t xml:space="preserve"> 2023;25(6):1495–1502.</w:t>
      </w:r>
    </w:p>
    <w:p w14:paraId="6C8C5B8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220. </w:t>
      </w:r>
      <w:r w:rsidRPr="004661E9">
        <w:rPr>
          <w:rFonts w:ascii="Arial" w:hAnsi="Arial" w:cs="Arial"/>
          <w:noProof/>
        </w:rPr>
        <w:tab/>
      </w:r>
      <w:r w:rsidRPr="004661E9">
        <w:rPr>
          <w:rFonts w:ascii="Arial" w:hAnsi="Arial" w:cs="Arial"/>
          <w:bCs/>
          <w:noProof/>
        </w:rPr>
        <w:t xml:space="preserve">Jastreboff AM, Aronne LJ, Ahmad NN, Wharton S, Connery L, Alves B, Kiyosue A, Zhang </w:t>
      </w:r>
      <w:r w:rsidRPr="004661E9">
        <w:rPr>
          <w:rFonts w:ascii="Arial" w:hAnsi="Arial" w:cs="Arial"/>
          <w:bCs/>
          <w:noProof/>
        </w:rPr>
        <w:lastRenderedPageBreak/>
        <w:t>S, Liu B, Bunck MC, Stefanski A.</w:t>
      </w:r>
      <w:r w:rsidRPr="004661E9">
        <w:rPr>
          <w:rFonts w:ascii="Arial" w:hAnsi="Arial" w:cs="Arial"/>
          <w:noProof/>
        </w:rPr>
        <w:t xml:space="preserve"> Tirzepatide Once Weekly for the Treatment of Obesity. </w:t>
      </w:r>
      <w:r w:rsidRPr="004661E9">
        <w:rPr>
          <w:rFonts w:ascii="Arial" w:hAnsi="Arial" w:cs="Arial"/>
          <w:iCs/>
          <w:noProof/>
        </w:rPr>
        <w:t>N. Engl. J. Med.</w:t>
      </w:r>
      <w:r w:rsidRPr="004661E9">
        <w:rPr>
          <w:rFonts w:ascii="Arial" w:hAnsi="Arial" w:cs="Arial"/>
          <w:noProof/>
        </w:rPr>
        <w:t xml:space="preserve"> 2022;387(3):205–216.</w:t>
      </w:r>
    </w:p>
    <w:p w14:paraId="5F9F66D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221. </w:t>
      </w:r>
      <w:r w:rsidRPr="004661E9">
        <w:rPr>
          <w:rFonts w:ascii="Arial" w:hAnsi="Arial" w:cs="Arial"/>
          <w:noProof/>
        </w:rPr>
        <w:tab/>
      </w:r>
      <w:r w:rsidRPr="004661E9">
        <w:rPr>
          <w:rFonts w:ascii="Arial" w:hAnsi="Arial" w:cs="Arial"/>
          <w:bCs/>
          <w:noProof/>
        </w:rPr>
        <w:t>Kosiborod MN, Abildstrøm SZ, Borlaug BA, Butler J, Rasmussen S, Davies M, Hovingh GK, Kitzman DW, Lindegaard ML, Møller D V, Shah SJ, Treppendahl MB, Verma S, Abhayaratna W, Ahmed FZ, Chopra V, Ezekowitz J, Fu M, Ito H, Lelonek M, Melenovsky V, Merkely B, Núñez J, Perna E, Schou M, Senni M, Sharma K, Van der Meer P, von Lewinski D, Wolf D, Petrie MC, STEP-HFpEF Trial Committees and Investigators.</w:t>
      </w:r>
      <w:r w:rsidRPr="004661E9">
        <w:rPr>
          <w:rFonts w:ascii="Arial" w:hAnsi="Arial" w:cs="Arial"/>
          <w:noProof/>
        </w:rPr>
        <w:t xml:space="preserve"> Semaglutide in Patients with Heart Failure with Preserved Ejection Fraction and Obesity. </w:t>
      </w:r>
      <w:r w:rsidRPr="004661E9">
        <w:rPr>
          <w:rFonts w:ascii="Arial" w:hAnsi="Arial" w:cs="Arial"/>
          <w:iCs/>
          <w:noProof/>
        </w:rPr>
        <w:t>N. Engl. J. Med.</w:t>
      </w:r>
      <w:r w:rsidRPr="004661E9">
        <w:rPr>
          <w:rFonts w:ascii="Arial" w:hAnsi="Arial" w:cs="Arial"/>
          <w:noProof/>
        </w:rPr>
        <w:t xml:space="preserve"> 2023:1–16.</w:t>
      </w:r>
    </w:p>
    <w:p w14:paraId="01390D11"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222. </w:t>
      </w:r>
      <w:r w:rsidRPr="004661E9">
        <w:rPr>
          <w:rFonts w:ascii="Arial" w:hAnsi="Arial" w:cs="Arial"/>
          <w:noProof/>
        </w:rPr>
        <w:tab/>
      </w:r>
      <w:r w:rsidRPr="004661E9">
        <w:rPr>
          <w:rFonts w:ascii="Arial" w:hAnsi="Arial" w:cs="Arial"/>
          <w:bCs/>
          <w:noProof/>
        </w:rPr>
        <w:t>Kenny HC, Abel ED.</w:t>
      </w:r>
      <w:r w:rsidRPr="004661E9">
        <w:rPr>
          <w:rFonts w:ascii="Arial" w:hAnsi="Arial" w:cs="Arial"/>
          <w:noProof/>
        </w:rPr>
        <w:t xml:space="preserve"> Heart Failure in Type 2 Diabetes Mellitus: Impact of Glucose-Lowering Agents, Heart Failure Therapies, and Novel Therapeutic Strategies. </w:t>
      </w:r>
      <w:r w:rsidRPr="004661E9">
        <w:rPr>
          <w:rFonts w:ascii="Arial" w:hAnsi="Arial" w:cs="Arial"/>
          <w:iCs/>
          <w:noProof/>
        </w:rPr>
        <w:t>Circ. Res.</w:t>
      </w:r>
      <w:r w:rsidRPr="004661E9">
        <w:rPr>
          <w:rFonts w:ascii="Arial" w:hAnsi="Arial" w:cs="Arial"/>
          <w:noProof/>
        </w:rPr>
        <w:t xml:space="preserve"> 2019;124(1):121–141.</w:t>
      </w:r>
    </w:p>
    <w:p w14:paraId="04B6F92E"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223. </w:t>
      </w:r>
      <w:r w:rsidRPr="004661E9">
        <w:rPr>
          <w:rFonts w:ascii="Arial" w:hAnsi="Arial" w:cs="Arial"/>
          <w:noProof/>
        </w:rPr>
        <w:tab/>
      </w:r>
      <w:r w:rsidRPr="004661E9">
        <w:rPr>
          <w:rFonts w:ascii="Arial" w:hAnsi="Arial" w:cs="Arial"/>
          <w:bCs/>
          <w:noProof/>
        </w:rPr>
        <w:t>Eurich DT, Weir DL, Majumdar SR, Tsuyuki RT, Johnson JA, Tjosvold L, Vanderloo SE, McAlister FA.</w:t>
      </w:r>
      <w:r w:rsidRPr="004661E9">
        <w:rPr>
          <w:rFonts w:ascii="Arial" w:hAnsi="Arial" w:cs="Arial"/>
          <w:noProof/>
        </w:rPr>
        <w:t xml:space="preserve"> Comparative safety and effectiveness of metformin in patients with diabetes mellitus and heart failure: systematic review of observational studies involving 34,000 patients. </w:t>
      </w:r>
      <w:r w:rsidRPr="004661E9">
        <w:rPr>
          <w:rFonts w:ascii="Arial" w:hAnsi="Arial" w:cs="Arial"/>
          <w:iCs/>
          <w:noProof/>
        </w:rPr>
        <w:t>Circ. Heart Fail.</w:t>
      </w:r>
      <w:r w:rsidRPr="004661E9">
        <w:rPr>
          <w:rFonts w:ascii="Arial" w:hAnsi="Arial" w:cs="Arial"/>
          <w:noProof/>
        </w:rPr>
        <w:t xml:space="preserve"> 2013;6(3):395–402.</w:t>
      </w:r>
    </w:p>
    <w:p w14:paraId="7A820F6F"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224. </w:t>
      </w:r>
      <w:r w:rsidRPr="004661E9">
        <w:rPr>
          <w:rFonts w:ascii="Arial" w:hAnsi="Arial" w:cs="Arial"/>
          <w:noProof/>
        </w:rPr>
        <w:tab/>
      </w:r>
      <w:r w:rsidRPr="004661E9">
        <w:rPr>
          <w:rFonts w:ascii="Arial" w:hAnsi="Arial" w:cs="Arial"/>
          <w:bCs/>
          <w:noProof/>
        </w:rPr>
        <w:t>Scirica BM, Braunwald E, Raz I, Cavender MA, Morrow DA, Jarolim P, Udell JA, Mosenzon O, Im K, Umez-Eronini AA, Pollack PS, Hirshberg B, Frederich R, Lewis BS, McGuire DK, Davidson J, Steg PG, Bhatt DL.</w:t>
      </w:r>
      <w:r w:rsidRPr="004661E9">
        <w:rPr>
          <w:rFonts w:ascii="Arial" w:hAnsi="Arial" w:cs="Arial"/>
          <w:noProof/>
        </w:rPr>
        <w:t xml:space="preserve"> Heart failure, saxagliptin, and diabetes mellitus: Observations from the SAVOR-TIMI 53 randomized trial. </w:t>
      </w:r>
      <w:r w:rsidRPr="004661E9">
        <w:rPr>
          <w:rFonts w:ascii="Arial" w:hAnsi="Arial" w:cs="Arial"/>
          <w:iCs/>
          <w:noProof/>
        </w:rPr>
        <w:t>Circulation</w:t>
      </w:r>
      <w:r w:rsidRPr="004661E9">
        <w:rPr>
          <w:rFonts w:ascii="Arial" w:hAnsi="Arial" w:cs="Arial"/>
          <w:noProof/>
        </w:rPr>
        <w:t xml:space="preserve"> 2014;130(18):1579–1588.</w:t>
      </w:r>
    </w:p>
    <w:p w14:paraId="6A9703B9"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225. </w:t>
      </w:r>
      <w:r w:rsidRPr="004661E9">
        <w:rPr>
          <w:rFonts w:ascii="Arial" w:hAnsi="Arial" w:cs="Arial"/>
          <w:noProof/>
        </w:rPr>
        <w:tab/>
      </w:r>
      <w:r w:rsidRPr="004661E9">
        <w:rPr>
          <w:rFonts w:ascii="Arial" w:hAnsi="Arial" w:cs="Arial"/>
          <w:bCs/>
          <w:noProof/>
        </w:rPr>
        <w:t>Zannad F, Cannon CP, Cushman WC, Bakris GL, Menon V, Perez AT, Fleck PR, Mehta CR, Kupfer S, Wilson C, Lam H, White WB.</w:t>
      </w:r>
      <w:r w:rsidRPr="004661E9">
        <w:rPr>
          <w:rFonts w:ascii="Arial" w:hAnsi="Arial" w:cs="Arial"/>
          <w:noProof/>
        </w:rPr>
        <w:t xml:space="preserve"> Heart failure and mortality outcomes in patients with type 2 diabetes taking alogliptin versus placebo in EXAMINE: A multicentre, randomised, double-blind trial. </w:t>
      </w:r>
      <w:r w:rsidRPr="004661E9">
        <w:rPr>
          <w:rFonts w:ascii="Arial" w:hAnsi="Arial" w:cs="Arial"/>
          <w:iCs/>
          <w:noProof/>
        </w:rPr>
        <w:t>Lancet</w:t>
      </w:r>
      <w:r w:rsidRPr="004661E9">
        <w:rPr>
          <w:rFonts w:ascii="Arial" w:hAnsi="Arial" w:cs="Arial"/>
          <w:noProof/>
        </w:rPr>
        <w:t xml:space="preserve"> 2015;385(9982):2067–2076.</w:t>
      </w:r>
    </w:p>
    <w:p w14:paraId="3E76CE76"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226. </w:t>
      </w:r>
      <w:r w:rsidRPr="004661E9">
        <w:rPr>
          <w:rFonts w:ascii="Arial" w:hAnsi="Arial" w:cs="Arial"/>
          <w:noProof/>
        </w:rPr>
        <w:tab/>
      </w:r>
      <w:r w:rsidRPr="004661E9">
        <w:rPr>
          <w:rFonts w:ascii="Arial" w:hAnsi="Arial" w:cs="Arial"/>
          <w:bCs/>
          <w:noProof/>
        </w:rPr>
        <w:t>White WB, Cannon CP, Heller SR, Nissen SE, Bergenstal RM, Bakris GL, Perez AT.</w:t>
      </w:r>
      <w:r w:rsidRPr="004661E9">
        <w:rPr>
          <w:rFonts w:ascii="Arial" w:hAnsi="Arial" w:cs="Arial"/>
          <w:noProof/>
        </w:rPr>
        <w:t xml:space="preserve"> Alogliptin after acute coronary syndrome in patients with type 2 diabetes. </w:t>
      </w:r>
      <w:r w:rsidRPr="004661E9">
        <w:rPr>
          <w:rFonts w:ascii="Arial" w:hAnsi="Arial" w:cs="Arial"/>
          <w:iCs/>
          <w:noProof/>
        </w:rPr>
        <w:t>N. Engl. J. Med.</w:t>
      </w:r>
      <w:r w:rsidRPr="004661E9">
        <w:rPr>
          <w:rFonts w:ascii="Arial" w:hAnsi="Arial" w:cs="Arial"/>
          <w:noProof/>
        </w:rPr>
        <w:t xml:space="preserve"> 2013;369(14):1327–1335.</w:t>
      </w:r>
    </w:p>
    <w:p w14:paraId="6EDB612D"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227. </w:t>
      </w:r>
      <w:r w:rsidRPr="004661E9">
        <w:rPr>
          <w:rFonts w:ascii="Arial" w:hAnsi="Arial" w:cs="Arial"/>
          <w:noProof/>
        </w:rPr>
        <w:tab/>
      </w:r>
      <w:r w:rsidRPr="004661E9">
        <w:rPr>
          <w:rFonts w:ascii="Arial" w:hAnsi="Arial" w:cs="Arial"/>
          <w:bCs/>
          <w:noProof/>
        </w:rPr>
        <w:t>McGuire DK, Van De Werf F, Armstrong PW, Standl E, Koglin J, Green JB, Bethel MA, Cornel JH, Lopes RD, Halvorsen S, Ambrosio G, Buse JB, Josse RG, Lachin JM, Pencina MJ, Garg J, Lokhnygina Y, Holman RR, Peterson ED.</w:t>
      </w:r>
      <w:r w:rsidRPr="004661E9">
        <w:rPr>
          <w:rFonts w:ascii="Arial" w:hAnsi="Arial" w:cs="Arial"/>
          <w:noProof/>
        </w:rPr>
        <w:t xml:space="preserve"> Association between sitagliptin use and heart failure hospitalization and related outcomes in type 2 diabetes mellitus: Secondary analysis of a randomized clinical trial. </w:t>
      </w:r>
      <w:r w:rsidRPr="004661E9">
        <w:rPr>
          <w:rFonts w:ascii="Arial" w:hAnsi="Arial" w:cs="Arial"/>
          <w:iCs/>
          <w:noProof/>
        </w:rPr>
        <w:t>JAMA Cardiol.</w:t>
      </w:r>
      <w:r w:rsidRPr="004661E9">
        <w:rPr>
          <w:rFonts w:ascii="Arial" w:hAnsi="Arial" w:cs="Arial"/>
          <w:noProof/>
        </w:rPr>
        <w:t xml:space="preserve"> 2016;1(2):126–135.</w:t>
      </w:r>
    </w:p>
    <w:p w14:paraId="712BF32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228. </w:t>
      </w:r>
      <w:r w:rsidRPr="004661E9">
        <w:rPr>
          <w:rFonts w:ascii="Arial" w:hAnsi="Arial" w:cs="Arial"/>
          <w:noProof/>
        </w:rPr>
        <w:tab/>
      </w:r>
      <w:r w:rsidRPr="004661E9">
        <w:rPr>
          <w:rFonts w:ascii="Arial" w:hAnsi="Arial" w:cs="Arial"/>
          <w:bCs/>
          <w:noProof/>
        </w:rPr>
        <w:t>Hippisley-Cox J, Coupland C.</w:t>
      </w:r>
      <w:r w:rsidRPr="004661E9">
        <w:rPr>
          <w:rFonts w:ascii="Arial" w:hAnsi="Arial" w:cs="Arial"/>
          <w:noProof/>
        </w:rPr>
        <w:t xml:space="preserve"> Diabetes treatments and risk of heart failure, cardiovascular disease, and all cause mortality: Cohort study in primary care. </w:t>
      </w:r>
      <w:r w:rsidRPr="004661E9">
        <w:rPr>
          <w:rFonts w:ascii="Arial" w:hAnsi="Arial" w:cs="Arial"/>
          <w:iCs/>
          <w:noProof/>
        </w:rPr>
        <w:t>BMJ</w:t>
      </w:r>
      <w:r w:rsidRPr="004661E9">
        <w:rPr>
          <w:rFonts w:ascii="Arial" w:hAnsi="Arial" w:cs="Arial"/>
          <w:noProof/>
        </w:rPr>
        <w:t xml:space="preserve"> 2016;354. doi:10.1136/bmj.i3477.</w:t>
      </w:r>
    </w:p>
    <w:p w14:paraId="3E1C3074"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229. </w:t>
      </w:r>
      <w:r w:rsidRPr="004661E9">
        <w:rPr>
          <w:rFonts w:ascii="Arial" w:hAnsi="Arial" w:cs="Arial"/>
          <w:noProof/>
        </w:rPr>
        <w:tab/>
      </w:r>
      <w:r w:rsidRPr="004661E9">
        <w:rPr>
          <w:rFonts w:ascii="Arial" w:hAnsi="Arial" w:cs="Arial"/>
          <w:bCs/>
          <w:noProof/>
        </w:rPr>
        <w:t>Gerstein HC, Bosch J, Dagenais GR, Díaz R, Jung H, Maggioni AP.</w:t>
      </w:r>
      <w:r w:rsidRPr="004661E9">
        <w:rPr>
          <w:rFonts w:ascii="Arial" w:hAnsi="Arial" w:cs="Arial"/>
          <w:noProof/>
        </w:rPr>
        <w:t xml:space="preserve"> Basal insulin and cardiovascular and other outcomes in dysglycemia. </w:t>
      </w:r>
      <w:r w:rsidRPr="004661E9">
        <w:rPr>
          <w:rFonts w:ascii="Arial" w:hAnsi="Arial" w:cs="Arial"/>
          <w:iCs/>
          <w:noProof/>
        </w:rPr>
        <w:t>N. Engl. J. Med.</w:t>
      </w:r>
      <w:r w:rsidRPr="004661E9">
        <w:rPr>
          <w:rFonts w:ascii="Arial" w:hAnsi="Arial" w:cs="Arial"/>
          <w:noProof/>
        </w:rPr>
        <w:t xml:space="preserve"> 2012;367(4):319–328.</w:t>
      </w:r>
    </w:p>
    <w:p w14:paraId="5A7BB3C5"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230. </w:t>
      </w:r>
      <w:r w:rsidRPr="004661E9">
        <w:rPr>
          <w:rFonts w:ascii="Arial" w:hAnsi="Arial" w:cs="Arial"/>
          <w:noProof/>
        </w:rPr>
        <w:tab/>
      </w:r>
      <w:r w:rsidRPr="004661E9">
        <w:rPr>
          <w:rFonts w:ascii="Arial" w:hAnsi="Arial" w:cs="Arial"/>
          <w:bCs/>
          <w:noProof/>
        </w:rPr>
        <w:t>Home PD, Pocock SJ, Beck-Nielsen H, Curtis PS, Gomis R, Hanefeld M, Jones NP, Komajda M, McMurray JJ.</w:t>
      </w:r>
      <w:r w:rsidRPr="004661E9">
        <w:rPr>
          <w:rFonts w:ascii="Arial" w:hAnsi="Arial" w:cs="Arial"/>
          <w:noProof/>
        </w:rPr>
        <w:t xml:space="preserve"> Rosiglitazone evaluated for cardiovascular outcomes in oral agent combination therapy for type 2 diabetes (RECORD): a multicentre, randomised, open-label trial. </w:t>
      </w:r>
      <w:r w:rsidRPr="004661E9">
        <w:rPr>
          <w:rFonts w:ascii="Arial" w:hAnsi="Arial" w:cs="Arial"/>
          <w:iCs/>
          <w:noProof/>
        </w:rPr>
        <w:t>Lancet</w:t>
      </w:r>
      <w:r w:rsidRPr="004661E9">
        <w:rPr>
          <w:rFonts w:ascii="Arial" w:hAnsi="Arial" w:cs="Arial"/>
          <w:noProof/>
        </w:rPr>
        <w:t xml:space="preserve"> 2009;373(9681):2125–2135.</w:t>
      </w:r>
    </w:p>
    <w:p w14:paraId="56AC8068" w14:textId="77777777" w:rsidR="00D162D8" w:rsidRPr="004661E9" w:rsidRDefault="00D162D8" w:rsidP="004661E9">
      <w:pPr>
        <w:widowControl w:val="0"/>
        <w:autoSpaceDE w:val="0"/>
        <w:autoSpaceDN w:val="0"/>
        <w:adjustRightInd w:val="0"/>
        <w:spacing w:after="0" w:line="276" w:lineRule="auto"/>
        <w:ind w:left="576" w:hanging="576"/>
        <w:rPr>
          <w:rFonts w:ascii="Arial" w:hAnsi="Arial" w:cs="Arial"/>
          <w:noProof/>
        </w:rPr>
      </w:pPr>
      <w:r w:rsidRPr="004661E9">
        <w:rPr>
          <w:rFonts w:ascii="Arial" w:hAnsi="Arial" w:cs="Arial"/>
          <w:noProof/>
        </w:rPr>
        <w:t xml:space="preserve">231. </w:t>
      </w:r>
      <w:r w:rsidRPr="004661E9">
        <w:rPr>
          <w:rFonts w:ascii="Arial" w:hAnsi="Arial" w:cs="Arial"/>
          <w:noProof/>
        </w:rPr>
        <w:tab/>
      </w:r>
      <w:r w:rsidRPr="004661E9">
        <w:rPr>
          <w:rFonts w:ascii="Arial" w:hAnsi="Arial" w:cs="Arial"/>
          <w:bCs/>
          <w:noProof/>
        </w:rPr>
        <w:t xml:space="preserve">Dormandy JA, Charbonnel B, Eckland DJA, Erdmann E, Massi-Benedetti M, Moules IK, </w:t>
      </w:r>
      <w:r w:rsidRPr="004661E9">
        <w:rPr>
          <w:rFonts w:ascii="Arial" w:hAnsi="Arial" w:cs="Arial"/>
          <w:bCs/>
          <w:noProof/>
        </w:rPr>
        <w:lastRenderedPageBreak/>
        <w:t>Skene AM, Tan MH, Lefèbvre PJ, Murray GD, Standl E, Wilcox RG, Wilhelmsen L, Betteridge J, Birkeland K, Golay A, Heine RJ, Korányi L, Laakso M, Mokáň M, Norkus A, Pirags V, Podar T, Scheen A, Scherbaum W, Schernthaner G, Schmitz O, Škrha J, Smith U, Tatoň J.</w:t>
      </w:r>
      <w:r w:rsidRPr="004661E9">
        <w:rPr>
          <w:rFonts w:ascii="Arial" w:hAnsi="Arial" w:cs="Arial"/>
          <w:noProof/>
        </w:rPr>
        <w:t xml:space="preserve"> Secondary prevention of macrovascular events in patients with type 2 diabetes in the PROactive Study (PROspective pioglitAzone Clinical Trial in macroVascular Events): A randomised controlled trial. </w:t>
      </w:r>
      <w:r w:rsidRPr="004661E9">
        <w:rPr>
          <w:rFonts w:ascii="Arial" w:hAnsi="Arial" w:cs="Arial"/>
          <w:iCs/>
          <w:noProof/>
        </w:rPr>
        <w:t>Lancet</w:t>
      </w:r>
      <w:r w:rsidRPr="004661E9">
        <w:rPr>
          <w:rFonts w:ascii="Arial" w:hAnsi="Arial" w:cs="Arial"/>
          <w:noProof/>
        </w:rPr>
        <w:t xml:space="preserve"> 2005;366(9493):1279–1289.</w:t>
      </w:r>
    </w:p>
    <w:p w14:paraId="2C792AD4" w14:textId="77777777" w:rsidR="000F6B29" w:rsidRPr="004661E9" w:rsidRDefault="000F3AD7" w:rsidP="004661E9">
      <w:pPr>
        <w:spacing w:after="0" w:line="276" w:lineRule="auto"/>
        <w:ind w:left="576" w:hanging="576"/>
        <w:rPr>
          <w:rFonts w:ascii="Arial" w:hAnsi="Arial" w:cs="Arial"/>
        </w:rPr>
      </w:pPr>
      <w:r w:rsidRPr="004661E9">
        <w:rPr>
          <w:rFonts w:ascii="Arial" w:hAnsi="Arial" w:cs="Arial"/>
        </w:rPr>
        <w:fldChar w:fldCharType="end"/>
      </w:r>
      <w:bookmarkEnd w:id="26"/>
    </w:p>
    <w:p w14:paraId="3D7291BA" w14:textId="77777777" w:rsidR="00E17A3C" w:rsidRPr="004661E9" w:rsidRDefault="00E17A3C" w:rsidP="004661E9">
      <w:pPr>
        <w:spacing w:after="0" w:line="276" w:lineRule="auto"/>
        <w:ind w:left="576" w:hanging="576"/>
        <w:rPr>
          <w:rFonts w:ascii="Arial" w:hAnsi="Arial" w:cs="Arial"/>
        </w:rPr>
      </w:pPr>
    </w:p>
    <w:p w14:paraId="6F4D73F8" w14:textId="77777777" w:rsidR="0051022E" w:rsidRPr="00C375B6" w:rsidRDefault="0051022E">
      <w:pPr>
        <w:rPr>
          <w:rFonts w:ascii="Arial" w:hAnsi="Arial" w:cs="Arial"/>
        </w:rPr>
      </w:pPr>
    </w:p>
    <w:p w14:paraId="0966E469" w14:textId="77777777" w:rsidR="004B6B92" w:rsidRPr="00C375B6" w:rsidRDefault="004B6B92">
      <w:pPr>
        <w:rPr>
          <w:rFonts w:ascii="Arial" w:hAnsi="Arial" w:cs="Arial"/>
        </w:rPr>
      </w:pPr>
    </w:p>
    <w:p w14:paraId="4B55589A" w14:textId="3EA2B5A3" w:rsidR="004B6B92" w:rsidRPr="00C375B6" w:rsidRDefault="004B6B92"/>
    <w:sectPr w:rsidR="004B6B92" w:rsidRPr="00C375B6" w:rsidSect="00EB184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8AC7" w14:textId="77777777" w:rsidR="004E55CD" w:rsidRDefault="004E55CD">
      <w:pPr>
        <w:spacing w:after="0" w:line="240" w:lineRule="auto"/>
      </w:pPr>
      <w:r>
        <w:separator/>
      </w:r>
    </w:p>
  </w:endnote>
  <w:endnote w:type="continuationSeparator" w:id="0">
    <w:p w14:paraId="5CAB5FB1" w14:textId="77777777" w:rsidR="004E55CD" w:rsidRDefault="004E5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anson Text LT Std">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B67C" w14:textId="77777777" w:rsidR="00B5541A" w:rsidRDefault="00B55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6254F" w14:textId="77777777" w:rsidR="004E55CD" w:rsidRDefault="004E55CD">
      <w:pPr>
        <w:spacing w:after="0" w:line="240" w:lineRule="auto"/>
      </w:pPr>
      <w:r>
        <w:separator/>
      </w:r>
    </w:p>
  </w:footnote>
  <w:footnote w:type="continuationSeparator" w:id="0">
    <w:p w14:paraId="0504C23E" w14:textId="77777777" w:rsidR="004E55CD" w:rsidRDefault="004E55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2236"/>
    <w:multiLevelType w:val="hybridMultilevel"/>
    <w:tmpl w:val="4DD40C80"/>
    <w:lvl w:ilvl="0" w:tplc="E52C6EFE">
      <w:start w:val="1"/>
      <w:numFmt w:val="bullet"/>
      <w:lvlText w:val=""/>
      <w:lvlJc w:val="left"/>
      <w:pPr>
        <w:tabs>
          <w:tab w:val="num" w:pos="720"/>
        </w:tabs>
        <w:ind w:left="720" w:hanging="360"/>
      </w:pPr>
      <w:rPr>
        <w:rFonts w:ascii="Wingdings" w:hAnsi="Wingdings" w:hint="default"/>
      </w:rPr>
    </w:lvl>
    <w:lvl w:ilvl="1" w:tplc="7C880466" w:tentative="1">
      <w:start w:val="1"/>
      <w:numFmt w:val="bullet"/>
      <w:lvlText w:val=""/>
      <w:lvlJc w:val="left"/>
      <w:pPr>
        <w:tabs>
          <w:tab w:val="num" w:pos="1440"/>
        </w:tabs>
        <w:ind w:left="1440" w:hanging="360"/>
      </w:pPr>
      <w:rPr>
        <w:rFonts w:ascii="Wingdings" w:hAnsi="Wingdings" w:hint="default"/>
      </w:rPr>
    </w:lvl>
    <w:lvl w:ilvl="2" w:tplc="0AEA1BB4" w:tentative="1">
      <w:start w:val="1"/>
      <w:numFmt w:val="bullet"/>
      <w:lvlText w:val=""/>
      <w:lvlJc w:val="left"/>
      <w:pPr>
        <w:tabs>
          <w:tab w:val="num" w:pos="2160"/>
        </w:tabs>
        <w:ind w:left="2160" w:hanging="360"/>
      </w:pPr>
      <w:rPr>
        <w:rFonts w:ascii="Wingdings" w:hAnsi="Wingdings" w:hint="default"/>
      </w:rPr>
    </w:lvl>
    <w:lvl w:ilvl="3" w:tplc="0F98B526" w:tentative="1">
      <w:start w:val="1"/>
      <w:numFmt w:val="bullet"/>
      <w:lvlText w:val=""/>
      <w:lvlJc w:val="left"/>
      <w:pPr>
        <w:tabs>
          <w:tab w:val="num" w:pos="2880"/>
        </w:tabs>
        <w:ind w:left="2880" w:hanging="360"/>
      </w:pPr>
      <w:rPr>
        <w:rFonts w:ascii="Wingdings" w:hAnsi="Wingdings" w:hint="default"/>
      </w:rPr>
    </w:lvl>
    <w:lvl w:ilvl="4" w:tplc="1280FA94" w:tentative="1">
      <w:start w:val="1"/>
      <w:numFmt w:val="bullet"/>
      <w:lvlText w:val=""/>
      <w:lvlJc w:val="left"/>
      <w:pPr>
        <w:tabs>
          <w:tab w:val="num" w:pos="3600"/>
        </w:tabs>
        <w:ind w:left="3600" w:hanging="360"/>
      </w:pPr>
      <w:rPr>
        <w:rFonts w:ascii="Wingdings" w:hAnsi="Wingdings" w:hint="default"/>
      </w:rPr>
    </w:lvl>
    <w:lvl w:ilvl="5" w:tplc="B0DC92A4" w:tentative="1">
      <w:start w:val="1"/>
      <w:numFmt w:val="bullet"/>
      <w:lvlText w:val=""/>
      <w:lvlJc w:val="left"/>
      <w:pPr>
        <w:tabs>
          <w:tab w:val="num" w:pos="4320"/>
        </w:tabs>
        <w:ind w:left="4320" w:hanging="360"/>
      </w:pPr>
      <w:rPr>
        <w:rFonts w:ascii="Wingdings" w:hAnsi="Wingdings" w:hint="default"/>
      </w:rPr>
    </w:lvl>
    <w:lvl w:ilvl="6" w:tplc="3EBC107C" w:tentative="1">
      <w:start w:val="1"/>
      <w:numFmt w:val="bullet"/>
      <w:lvlText w:val=""/>
      <w:lvlJc w:val="left"/>
      <w:pPr>
        <w:tabs>
          <w:tab w:val="num" w:pos="5040"/>
        </w:tabs>
        <w:ind w:left="5040" w:hanging="360"/>
      </w:pPr>
      <w:rPr>
        <w:rFonts w:ascii="Wingdings" w:hAnsi="Wingdings" w:hint="default"/>
      </w:rPr>
    </w:lvl>
    <w:lvl w:ilvl="7" w:tplc="B008AA68" w:tentative="1">
      <w:start w:val="1"/>
      <w:numFmt w:val="bullet"/>
      <w:lvlText w:val=""/>
      <w:lvlJc w:val="left"/>
      <w:pPr>
        <w:tabs>
          <w:tab w:val="num" w:pos="5760"/>
        </w:tabs>
        <w:ind w:left="5760" w:hanging="360"/>
      </w:pPr>
      <w:rPr>
        <w:rFonts w:ascii="Wingdings" w:hAnsi="Wingdings" w:hint="default"/>
      </w:rPr>
    </w:lvl>
    <w:lvl w:ilvl="8" w:tplc="CCE26D9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240E13"/>
    <w:multiLevelType w:val="hybridMultilevel"/>
    <w:tmpl w:val="38A6AC9A"/>
    <w:lvl w:ilvl="0" w:tplc="6E229FA0">
      <w:start w:val="1"/>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CA1EC0"/>
    <w:multiLevelType w:val="hybridMultilevel"/>
    <w:tmpl w:val="46EAE6BE"/>
    <w:lvl w:ilvl="0" w:tplc="01383F2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65DBA"/>
    <w:multiLevelType w:val="hybridMultilevel"/>
    <w:tmpl w:val="BFFEF798"/>
    <w:lvl w:ilvl="0" w:tplc="C316BFFC">
      <w:numFmt w:val="bullet"/>
      <w:lvlText w:val="-"/>
      <w:lvlJc w:val="left"/>
      <w:pPr>
        <w:ind w:left="720" w:hanging="360"/>
      </w:pPr>
      <w:rPr>
        <w:rFonts w:ascii="Calibri" w:eastAsia="Times New Roman" w:hAnsi="Calibri" w:cs="Calibri" w:hint="default"/>
        <w:b/>
        <w:color w:val="000000" w:themeColor="dark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33059F"/>
    <w:multiLevelType w:val="hybridMultilevel"/>
    <w:tmpl w:val="78AE2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C97F4C"/>
    <w:multiLevelType w:val="hybridMultilevel"/>
    <w:tmpl w:val="D0FAA00E"/>
    <w:lvl w:ilvl="0" w:tplc="AEAEB85A">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3116A"/>
    <w:multiLevelType w:val="multilevel"/>
    <w:tmpl w:val="78AE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643280"/>
    <w:multiLevelType w:val="hybridMultilevel"/>
    <w:tmpl w:val="B9020588"/>
    <w:lvl w:ilvl="0" w:tplc="6B6A459A">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4C5C7B"/>
    <w:multiLevelType w:val="hybridMultilevel"/>
    <w:tmpl w:val="31AA9DE6"/>
    <w:lvl w:ilvl="0" w:tplc="FDBEE718">
      <w:start w:val="1"/>
      <w:numFmt w:val="bullet"/>
      <w:lvlText w:val=""/>
      <w:lvlJc w:val="left"/>
      <w:pPr>
        <w:tabs>
          <w:tab w:val="num" w:pos="720"/>
        </w:tabs>
        <w:ind w:left="720" w:hanging="360"/>
      </w:pPr>
      <w:rPr>
        <w:rFonts w:ascii="Wingdings" w:hAnsi="Wingdings" w:hint="default"/>
      </w:rPr>
    </w:lvl>
    <w:lvl w:ilvl="1" w:tplc="4A0AE512" w:tentative="1">
      <w:start w:val="1"/>
      <w:numFmt w:val="bullet"/>
      <w:lvlText w:val=""/>
      <w:lvlJc w:val="left"/>
      <w:pPr>
        <w:tabs>
          <w:tab w:val="num" w:pos="1440"/>
        </w:tabs>
        <w:ind w:left="1440" w:hanging="360"/>
      </w:pPr>
      <w:rPr>
        <w:rFonts w:ascii="Wingdings" w:hAnsi="Wingdings" w:hint="default"/>
      </w:rPr>
    </w:lvl>
    <w:lvl w:ilvl="2" w:tplc="8CB229EE" w:tentative="1">
      <w:start w:val="1"/>
      <w:numFmt w:val="bullet"/>
      <w:lvlText w:val=""/>
      <w:lvlJc w:val="left"/>
      <w:pPr>
        <w:tabs>
          <w:tab w:val="num" w:pos="2160"/>
        </w:tabs>
        <w:ind w:left="2160" w:hanging="360"/>
      </w:pPr>
      <w:rPr>
        <w:rFonts w:ascii="Wingdings" w:hAnsi="Wingdings" w:hint="default"/>
      </w:rPr>
    </w:lvl>
    <w:lvl w:ilvl="3" w:tplc="198A3276" w:tentative="1">
      <w:start w:val="1"/>
      <w:numFmt w:val="bullet"/>
      <w:lvlText w:val=""/>
      <w:lvlJc w:val="left"/>
      <w:pPr>
        <w:tabs>
          <w:tab w:val="num" w:pos="2880"/>
        </w:tabs>
        <w:ind w:left="2880" w:hanging="360"/>
      </w:pPr>
      <w:rPr>
        <w:rFonts w:ascii="Wingdings" w:hAnsi="Wingdings" w:hint="default"/>
      </w:rPr>
    </w:lvl>
    <w:lvl w:ilvl="4" w:tplc="46BAB8D2" w:tentative="1">
      <w:start w:val="1"/>
      <w:numFmt w:val="bullet"/>
      <w:lvlText w:val=""/>
      <w:lvlJc w:val="left"/>
      <w:pPr>
        <w:tabs>
          <w:tab w:val="num" w:pos="3600"/>
        </w:tabs>
        <w:ind w:left="3600" w:hanging="360"/>
      </w:pPr>
      <w:rPr>
        <w:rFonts w:ascii="Wingdings" w:hAnsi="Wingdings" w:hint="default"/>
      </w:rPr>
    </w:lvl>
    <w:lvl w:ilvl="5" w:tplc="C8A4CBEA" w:tentative="1">
      <w:start w:val="1"/>
      <w:numFmt w:val="bullet"/>
      <w:lvlText w:val=""/>
      <w:lvlJc w:val="left"/>
      <w:pPr>
        <w:tabs>
          <w:tab w:val="num" w:pos="4320"/>
        </w:tabs>
        <w:ind w:left="4320" w:hanging="360"/>
      </w:pPr>
      <w:rPr>
        <w:rFonts w:ascii="Wingdings" w:hAnsi="Wingdings" w:hint="default"/>
      </w:rPr>
    </w:lvl>
    <w:lvl w:ilvl="6" w:tplc="8DB6070A" w:tentative="1">
      <w:start w:val="1"/>
      <w:numFmt w:val="bullet"/>
      <w:lvlText w:val=""/>
      <w:lvlJc w:val="left"/>
      <w:pPr>
        <w:tabs>
          <w:tab w:val="num" w:pos="5040"/>
        </w:tabs>
        <w:ind w:left="5040" w:hanging="360"/>
      </w:pPr>
      <w:rPr>
        <w:rFonts w:ascii="Wingdings" w:hAnsi="Wingdings" w:hint="default"/>
      </w:rPr>
    </w:lvl>
    <w:lvl w:ilvl="7" w:tplc="444ECEDE" w:tentative="1">
      <w:start w:val="1"/>
      <w:numFmt w:val="bullet"/>
      <w:lvlText w:val=""/>
      <w:lvlJc w:val="left"/>
      <w:pPr>
        <w:tabs>
          <w:tab w:val="num" w:pos="5760"/>
        </w:tabs>
        <w:ind w:left="5760" w:hanging="360"/>
      </w:pPr>
      <w:rPr>
        <w:rFonts w:ascii="Wingdings" w:hAnsi="Wingdings" w:hint="default"/>
      </w:rPr>
    </w:lvl>
    <w:lvl w:ilvl="8" w:tplc="D92E6D9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956B7D"/>
    <w:multiLevelType w:val="hybridMultilevel"/>
    <w:tmpl w:val="AD7CE2C4"/>
    <w:lvl w:ilvl="0" w:tplc="1F94C658">
      <w:numFmt w:val="bullet"/>
      <w:lvlText w:val=""/>
      <w:lvlJc w:val="left"/>
      <w:pPr>
        <w:ind w:left="720" w:hanging="360"/>
      </w:pPr>
      <w:rPr>
        <w:rFonts w:ascii="Symbol" w:eastAsia="Times New Roman" w:hAnsi="Symbol" w:cs="Calibri" w:hint="default"/>
        <w:b/>
        <w:color w:val="000000" w:themeColor="dark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E72F3"/>
    <w:multiLevelType w:val="hybridMultilevel"/>
    <w:tmpl w:val="88DA8F5E"/>
    <w:lvl w:ilvl="0" w:tplc="A2EE0A2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6641D"/>
    <w:multiLevelType w:val="hybridMultilevel"/>
    <w:tmpl w:val="D03C15EE"/>
    <w:lvl w:ilvl="0" w:tplc="A26EEF9A">
      <w:start w:val="1"/>
      <w:numFmt w:val="bullet"/>
      <w:lvlText w:val=""/>
      <w:lvlJc w:val="left"/>
      <w:pPr>
        <w:tabs>
          <w:tab w:val="num" w:pos="720"/>
        </w:tabs>
        <w:ind w:left="720" w:hanging="360"/>
      </w:pPr>
      <w:rPr>
        <w:rFonts w:ascii="Wingdings" w:hAnsi="Wingdings" w:hint="default"/>
      </w:rPr>
    </w:lvl>
    <w:lvl w:ilvl="1" w:tplc="98A8EBBE" w:tentative="1">
      <w:start w:val="1"/>
      <w:numFmt w:val="bullet"/>
      <w:lvlText w:val=""/>
      <w:lvlJc w:val="left"/>
      <w:pPr>
        <w:tabs>
          <w:tab w:val="num" w:pos="1440"/>
        </w:tabs>
        <w:ind w:left="1440" w:hanging="360"/>
      </w:pPr>
      <w:rPr>
        <w:rFonts w:ascii="Wingdings" w:hAnsi="Wingdings" w:hint="default"/>
      </w:rPr>
    </w:lvl>
    <w:lvl w:ilvl="2" w:tplc="75D4D8F6" w:tentative="1">
      <w:start w:val="1"/>
      <w:numFmt w:val="bullet"/>
      <w:lvlText w:val=""/>
      <w:lvlJc w:val="left"/>
      <w:pPr>
        <w:tabs>
          <w:tab w:val="num" w:pos="2160"/>
        </w:tabs>
        <w:ind w:left="2160" w:hanging="360"/>
      </w:pPr>
      <w:rPr>
        <w:rFonts w:ascii="Wingdings" w:hAnsi="Wingdings" w:hint="default"/>
      </w:rPr>
    </w:lvl>
    <w:lvl w:ilvl="3" w:tplc="DB0C0BC4" w:tentative="1">
      <w:start w:val="1"/>
      <w:numFmt w:val="bullet"/>
      <w:lvlText w:val=""/>
      <w:lvlJc w:val="left"/>
      <w:pPr>
        <w:tabs>
          <w:tab w:val="num" w:pos="2880"/>
        </w:tabs>
        <w:ind w:left="2880" w:hanging="360"/>
      </w:pPr>
      <w:rPr>
        <w:rFonts w:ascii="Wingdings" w:hAnsi="Wingdings" w:hint="default"/>
      </w:rPr>
    </w:lvl>
    <w:lvl w:ilvl="4" w:tplc="E0EC61C2" w:tentative="1">
      <w:start w:val="1"/>
      <w:numFmt w:val="bullet"/>
      <w:lvlText w:val=""/>
      <w:lvlJc w:val="left"/>
      <w:pPr>
        <w:tabs>
          <w:tab w:val="num" w:pos="3600"/>
        </w:tabs>
        <w:ind w:left="3600" w:hanging="360"/>
      </w:pPr>
      <w:rPr>
        <w:rFonts w:ascii="Wingdings" w:hAnsi="Wingdings" w:hint="default"/>
      </w:rPr>
    </w:lvl>
    <w:lvl w:ilvl="5" w:tplc="C3401EDC" w:tentative="1">
      <w:start w:val="1"/>
      <w:numFmt w:val="bullet"/>
      <w:lvlText w:val=""/>
      <w:lvlJc w:val="left"/>
      <w:pPr>
        <w:tabs>
          <w:tab w:val="num" w:pos="4320"/>
        </w:tabs>
        <w:ind w:left="4320" w:hanging="360"/>
      </w:pPr>
      <w:rPr>
        <w:rFonts w:ascii="Wingdings" w:hAnsi="Wingdings" w:hint="default"/>
      </w:rPr>
    </w:lvl>
    <w:lvl w:ilvl="6" w:tplc="553AE9CE" w:tentative="1">
      <w:start w:val="1"/>
      <w:numFmt w:val="bullet"/>
      <w:lvlText w:val=""/>
      <w:lvlJc w:val="left"/>
      <w:pPr>
        <w:tabs>
          <w:tab w:val="num" w:pos="5040"/>
        </w:tabs>
        <w:ind w:left="5040" w:hanging="360"/>
      </w:pPr>
      <w:rPr>
        <w:rFonts w:ascii="Wingdings" w:hAnsi="Wingdings" w:hint="default"/>
      </w:rPr>
    </w:lvl>
    <w:lvl w:ilvl="7" w:tplc="291EEC9C" w:tentative="1">
      <w:start w:val="1"/>
      <w:numFmt w:val="bullet"/>
      <w:lvlText w:val=""/>
      <w:lvlJc w:val="left"/>
      <w:pPr>
        <w:tabs>
          <w:tab w:val="num" w:pos="5760"/>
        </w:tabs>
        <w:ind w:left="5760" w:hanging="360"/>
      </w:pPr>
      <w:rPr>
        <w:rFonts w:ascii="Wingdings" w:hAnsi="Wingdings" w:hint="default"/>
      </w:rPr>
    </w:lvl>
    <w:lvl w:ilvl="8" w:tplc="CEB2110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6F2CE8"/>
    <w:multiLevelType w:val="hybridMultilevel"/>
    <w:tmpl w:val="58CC1CB6"/>
    <w:lvl w:ilvl="0" w:tplc="7D48D080">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BA59A9"/>
    <w:multiLevelType w:val="hybridMultilevel"/>
    <w:tmpl w:val="78AE2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0111609">
    <w:abstractNumId w:val="13"/>
  </w:num>
  <w:num w:numId="2" w16cid:durableId="1691450322">
    <w:abstractNumId w:val="5"/>
  </w:num>
  <w:num w:numId="3" w16cid:durableId="1956860516">
    <w:abstractNumId w:val="4"/>
  </w:num>
  <w:num w:numId="4" w16cid:durableId="1522353560">
    <w:abstractNumId w:val="6"/>
  </w:num>
  <w:num w:numId="5" w16cid:durableId="372311058">
    <w:abstractNumId w:val="7"/>
  </w:num>
  <w:num w:numId="6" w16cid:durableId="1675113461">
    <w:abstractNumId w:val="12"/>
  </w:num>
  <w:num w:numId="7" w16cid:durableId="1526090156">
    <w:abstractNumId w:val="10"/>
  </w:num>
  <w:num w:numId="8" w16cid:durableId="840630776">
    <w:abstractNumId w:val="1"/>
  </w:num>
  <w:num w:numId="9" w16cid:durableId="70929016">
    <w:abstractNumId w:val="11"/>
  </w:num>
  <w:num w:numId="10" w16cid:durableId="1298339538">
    <w:abstractNumId w:val="8"/>
  </w:num>
  <w:num w:numId="11" w16cid:durableId="1508327263">
    <w:abstractNumId w:val="0"/>
  </w:num>
  <w:num w:numId="12" w16cid:durableId="329138309">
    <w:abstractNumId w:val="9"/>
  </w:num>
  <w:num w:numId="13" w16cid:durableId="653871023">
    <w:abstractNumId w:val="3"/>
  </w:num>
  <w:num w:numId="14" w16cid:durableId="12262567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szQzMjU1MDI1sjRR0lEKTi0uzszPAykwNasFALWeX/gtAAAA"/>
  </w:docVars>
  <w:rsids>
    <w:rsidRoot w:val="00D14A9A"/>
    <w:rsid w:val="00001BB4"/>
    <w:rsid w:val="00007309"/>
    <w:rsid w:val="00011479"/>
    <w:rsid w:val="00011A57"/>
    <w:rsid w:val="00011F87"/>
    <w:rsid w:val="000129F2"/>
    <w:rsid w:val="0001355D"/>
    <w:rsid w:val="00015A62"/>
    <w:rsid w:val="00016A29"/>
    <w:rsid w:val="00017EAA"/>
    <w:rsid w:val="0002250D"/>
    <w:rsid w:val="0002458A"/>
    <w:rsid w:val="0002613F"/>
    <w:rsid w:val="00027833"/>
    <w:rsid w:val="00030A7B"/>
    <w:rsid w:val="00031694"/>
    <w:rsid w:val="000335DC"/>
    <w:rsid w:val="00036CC3"/>
    <w:rsid w:val="00037397"/>
    <w:rsid w:val="00037BC0"/>
    <w:rsid w:val="00042A25"/>
    <w:rsid w:val="00042E27"/>
    <w:rsid w:val="0004531F"/>
    <w:rsid w:val="00046EB9"/>
    <w:rsid w:val="00047A73"/>
    <w:rsid w:val="00050DAA"/>
    <w:rsid w:val="00052AAC"/>
    <w:rsid w:val="0005463B"/>
    <w:rsid w:val="0005562F"/>
    <w:rsid w:val="00056A36"/>
    <w:rsid w:val="00060404"/>
    <w:rsid w:val="00061F14"/>
    <w:rsid w:val="0006292E"/>
    <w:rsid w:val="00064A11"/>
    <w:rsid w:val="00066074"/>
    <w:rsid w:val="00066811"/>
    <w:rsid w:val="0007043C"/>
    <w:rsid w:val="00072659"/>
    <w:rsid w:val="0007333E"/>
    <w:rsid w:val="00074BC9"/>
    <w:rsid w:val="00080E63"/>
    <w:rsid w:val="00081151"/>
    <w:rsid w:val="000821ED"/>
    <w:rsid w:val="00082278"/>
    <w:rsid w:val="00083219"/>
    <w:rsid w:val="00090D89"/>
    <w:rsid w:val="00091288"/>
    <w:rsid w:val="00091860"/>
    <w:rsid w:val="000949AB"/>
    <w:rsid w:val="000962ED"/>
    <w:rsid w:val="00096C4F"/>
    <w:rsid w:val="000A085E"/>
    <w:rsid w:val="000A20D2"/>
    <w:rsid w:val="000A20EA"/>
    <w:rsid w:val="000A493E"/>
    <w:rsid w:val="000A4FE2"/>
    <w:rsid w:val="000A540D"/>
    <w:rsid w:val="000A63A9"/>
    <w:rsid w:val="000B112D"/>
    <w:rsid w:val="000B14FB"/>
    <w:rsid w:val="000B3908"/>
    <w:rsid w:val="000B3C57"/>
    <w:rsid w:val="000B44DF"/>
    <w:rsid w:val="000B5062"/>
    <w:rsid w:val="000B6058"/>
    <w:rsid w:val="000B6349"/>
    <w:rsid w:val="000B67C6"/>
    <w:rsid w:val="000B6E99"/>
    <w:rsid w:val="000B76A1"/>
    <w:rsid w:val="000B7E00"/>
    <w:rsid w:val="000C23F1"/>
    <w:rsid w:val="000C29FF"/>
    <w:rsid w:val="000C36BA"/>
    <w:rsid w:val="000C51A3"/>
    <w:rsid w:val="000C5CC2"/>
    <w:rsid w:val="000C7E17"/>
    <w:rsid w:val="000D0409"/>
    <w:rsid w:val="000D3E65"/>
    <w:rsid w:val="000D40B9"/>
    <w:rsid w:val="000D563E"/>
    <w:rsid w:val="000D6A20"/>
    <w:rsid w:val="000D6AC7"/>
    <w:rsid w:val="000D757B"/>
    <w:rsid w:val="000E0622"/>
    <w:rsid w:val="000E1F5C"/>
    <w:rsid w:val="000E38DB"/>
    <w:rsid w:val="000E5685"/>
    <w:rsid w:val="000E6CBD"/>
    <w:rsid w:val="000E6D29"/>
    <w:rsid w:val="000E7904"/>
    <w:rsid w:val="000E7B0F"/>
    <w:rsid w:val="000F3AD7"/>
    <w:rsid w:val="000F5A40"/>
    <w:rsid w:val="000F6B29"/>
    <w:rsid w:val="000F7CD6"/>
    <w:rsid w:val="00100E28"/>
    <w:rsid w:val="00103758"/>
    <w:rsid w:val="00104BF1"/>
    <w:rsid w:val="0011167D"/>
    <w:rsid w:val="00111977"/>
    <w:rsid w:val="00113C7B"/>
    <w:rsid w:val="00115AC0"/>
    <w:rsid w:val="0011722E"/>
    <w:rsid w:val="00120421"/>
    <w:rsid w:val="0012199A"/>
    <w:rsid w:val="00122DF2"/>
    <w:rsid w:val="00125337"/>
    <w:rsid w:val="001253FF"/>
    <w:rsid w:val="00126066"/>
    <w:rsid w:val="001273B5"/>
    <w:rsid w:val="00130E48"/>
    <w:rsid w:val="0013148E"/>
    <w:rsid w:val="0013383F"/>
    <w:rsid w:val="00133F45"/>
    <w:rsid w:val="001346A5"/>
    <w:rsid w:val="00135E21"/>
    <w:rsid w:val="001406A5"/>
    <w:rsid w:val="001442C8"/>
    <w:rsid w:val="001451F3"/>
    <w:rsid w:val="00146249"/>
    <w:rsid w:val="0014637F"/>
    <w:rsid w:val="00147E64"/>
    <w:rsid w:val="0015065B"/>
    <w:rsid w:val="00150E4D"/>
    <w:rsid w:val="00152763"/>
    <w:rsid w:val="0015317D"/>
    <w:rsid w:val="001533A1"/>
    <w:rsid w:val="00154D2A"/>
    <w:rsid w:val="001575BC"/>
    <w:rsid w:val="00160378"/>
    <w:rsid w:val="00160C5D"/>
    <w:rsid w:val="00161079"/>
    <w:rsid w:val="00161780"/>
    <w:rsid w:val="00161D3C"/>
    <w:rsid w:val="001620DA"/>
    <w:rsid w:val="0016323A"/>
    <w:rsid w:val="00163BBD"/>
    <w:rsid w:val="00165050"/>
    <w:rsid w:val="00165889"/>
    <w:rsid w:val="00167160"/>
    <w:rsid w:val="001674BD"/>
    <w:rsid w:val="00167B33"/>
    <w:rsid w:val="001714BC"/>
    <w:rsid w:val="001716A5"/>
    <w:rsid w:val="00172895"/>
    <w:rsid w:val="00173DD7"/>
    <w:rsid w:val="00175133"/>
    <w:rsid w:val="001759AE"/>
    <w:rsid w:val="00175C3E"/>
    <w:rsid w:val="00177747"/>
    <w:rsid w:val="001824C9"/>
    <w:rsid w:val="001860FA"/>
    <w:rsid w:val="00190B52"/>
    <w:rsid w:val="001914E6"/>
    <w:rsid w:val="0019372E"/>
    <w:rsid w:val="001942CD"/>
    <w:rsid w:val="00194A8A"/>
    <w:rsid w:val="00194FF0"/>
    <w:rsid w:val="00195B8D"/>
    <w:rsid w:val="00197EA6"/>
    <w:rsid w:val="001A09A5"/>
    <w:rsid w:val="001A5CCA"/>
    <w:rsid w:val="001A632F"/>
    <w:rsid w:val="001A694E"/>
    <w:rsid w:val="001A6F10"/>
    <w:rsid w:val="001A798E"/>
    <w:rsid w:val="001B0606"/>
    <w:rsid w:val="001B0856"/>
    <w:rsid w:val="001B17A7"/>
    <w:rsid w:val="001B2D19"/>
    <w:rsid w:val="001C0A10"/>
    <w:rsid w:val="001C0AC6"/>
    <w:rsid w:val="001C12F2"/>
    <w:rsid w:val="001C1319"/>
    <w:rsid w:val="001C3ABB"/>
    <w:rsid w:val="001C412B"/>
    <w:rsid w:val="001C5013"/>
    <w:rsid w:val="001C5996"/>
    <w:rsid w:val="001C6CDB"/>
    <w:rsid w:val="001C71D3"/>
    <w:rsid w:val="001D0BD6"/>
    <w:rsid w:val="001D6144"/>
    <w:rsid w:val="001E0318"/>
    <w:rsid w:val="001E227D"/>
    <w:rsid w:val="001E2B37"/>
    <w:rsid w:val="001E47F1"/>
    <w:rsid w:val="001E53FC"/>
    <w:rsid w:val="001F00FF"/>
    <w:rsid w:val="001F18AF"/>
    <w:rsid w:val="001F28C5"/>
    <w:rsid w:val="001F57FC"/>
    <w:rsid w:val="001F618D"/>
    <w:rsid w:val="001F6759"/>
    <w:rsid w:val="002037E9"/>
    <w:rsid w:val="00204442"/>
    <w:rsid w:val="00205F88"/>
    <w:rsid w:val="002071E3"/>
    <w:rsid w:val="0020735F"/>
    <w:rsid w:val="002105DB"/>
    <w:rsid w:val="002112B1"/>
    <w:rsid w:val="00211570"/>
    <w:rsid w:val="00211DBF"/>
    <w:rsid w:val="00211E3C"/>
    <w:rsid w:val="00212E8C"/>
    <w:rsid w:val="0021330E"/>
    <w:rsid w:val="00213CDC"/>
    <w:rsid w:val="00215BFF"/>
    <w:rsid w:val="002168E5"/>
    <w:rsid w:val="00216D71"/>
    <w:rsid w:val="00220397"/>
    <w:rsid w:val="002203CF"/>
    <w:rsid w:val="002215FF"/>
    <w:rsid w:val="00222389"/>
    <w:rsid w:val="00224350"/>
    <w:rsid w:val="002247D3"/>
    <w:rsid w:val="002248C6"/>
    <w:rsid w:val="00225664"/>
    <w:rsid w:val="0022783C"/>
    <w:rsid w:val="00227E71"/>
    <w:rsid w:val="002309DE"/>
    <w:rsid w:val="00232EA5"/>
    <w:rsid w:val="00233364"/>
    <w:rsid w:val="00233801"/>
    <w:rsid w:val="00234E04"/>
    <w:rsid w:val="00234E8F"/>
    <w:rsid w:val="00235C33"/>
    <w:rsid w:val="00236D2D"/>
    <w:rsid w:val="0023784A"/>
    <w:rsid w:val="00240C27"/>
    <w:rsid w:val="00241BA5"/>
    <w:rsid w:val="00242641"/>
    <w:rsid w:val="00242D49"/>
    <w:rsid w:val="0024381F"/>
    <w:rsid w:val="002441D6"/>
    <w:rsid w:val="002459A1"/>
    <w:rsid w:val="00247396"/>
    <w:rsid w:val="00252211"/>
    <w:rsid w:val="00253273"/>
    <w:rsid w:val="00253DFF"/>
    <w:rsid w:val="00254513"/>
    <w:rsid w:val="0025464F"/>
    <w:rsid w:val="00254CFD"/>
    <w:rsid w:val="00255767"/>
    <w:rsid w:val="002566E7"/>
    <w:rsid w:val="00257173"/>
    <w:rsid w:val="00260094"/>
    <w:rsid w:val="0026298F"/>
    <w:rsid w:val="00262E32"/>
    <w:rsid w:val="002630AC"/>
    <w:rsid w:val="0026792F"/>
    <w:rsid w:val="00271FF7"/>
    <w:rsid w:val="00272516"/>
    <w:rsid w:val="00274BEF"/>
    <w:rsid w:val="002811B1"/>
    <w:rsid w:val="002853DB"/>
    <w:rsid w:val="0028605A"/>
    <w:rsid w:val="0028738C"/>
    <w:rsid w:val="002913A4"/>
    <w:rsid w:val="00292986"/>
    <w:rsid w:val="00295E97"/>
    <w:rsid w:val="002A2B9E"/>
    <w:rsid w:val="002A2F8E"/>
    <w:rsid w:val="002A311B"/>
    <w:rsid w:val="002A6A8B"/>
    <w:rsid w:val="002B0149"/>
    <w:rsid w:val="002B15E5"/>
    <w:rsid w:val="002B20A1"/>
    <w:rsid w:val="002B2D93"/>
    <w:rsid w:val="002B2EBE"/>
    <w:rsid w:val="002B2FC3"/>
    <w:rsid w:val="002B5010"/>
    <w:rsid w:val="002B5518"/>
    <w:rsid w:val="002B58A8"/>
    <w:rsid w:val="002B627B"/>
    <w:rsid w:val="002C0614"/>
    <w:rsid w:val="002C0E36"/>
    <w:rsid w:val="002C41DA"/>
    <w:rsid w:val="002C6814"/>
    <w:rsid w:val="002D3486"/>
    <w:rsid w:val="002D7607"/>
    <w:rsid w:val="002E06BC"/>
    <w:rsid w:val="002E1816"/>
    <w:rsid w:val="002E1CA4"/>
    <w:rsid w:val="002E2244"/>
    <w:rsid w:val="002E3B49"/>
    <w:rsid w:val="002E3C80"/>
    <w:rsid w:val="002E41C4"/>
    <w:rsid w:val="002F02D6"/>
    <w:rsid w:val="002F1C0F"/>
    <w:rsid w:val="002F2C94"/>
    <w:rsid w:val="002F378C"/>
    <w:rsid w:val="002F396A"/>
    <w:rsid w:val="002F579E"/>
    <w:rsid w:val="002F5AA7"/>
    <w:rsid w:val="002F624F"/>
    <w:rsid w:val="002F6C4A"/>
    <w:rsid w:val="002F752C"/>
    <w:rsid w:val="002F7C09"/>
    <w:rsid w:val="002F7FF7"/>
    <w:rsid w:val="00300095"/>
    <w:rsid w:val="00300576"/>
    <w:rsid w:val="003076B5"/>
    <w:rsid w:val="00311BC7"/>
    <w:rsid w:val="00320D91"/>
    <w:rsid w:val="0032716A"/>
    <w:rsid w:val="00327E84"/>
    <w:rsid w:val="00330DF4"/>
    <w:rsid w:val="00331697"/>
    <w:rsid w:val="00332BC5"/>
    <w:rsid w:val="00333C26"/>
    <w:rsid w:val="00333D16"/>
    <w:rsid w:val="0033474C"/>
    <w:rsid w:val="003352F4"/>
    <w:rsid w:val="00335A0C"/>
    <w:rsid w:val="0033647A"/>
    <w:rsid w:val="00340849"/>
    <w:rsid w:val="00341E0F"/>
    <w:rsid w:val="00342722"/>
    <w:rsid w:val="00342A86"/>
    <w:rsid w:val="00343803"/>
    <w:rsid w:val="00344587"/>
    <w:rsid w:val="00344A77"/>
    <w:rsid w:val="0034591D"/>
    <w:rsid w:val="003464D3"/>
    <w:rsid w:val="00346C43"/>
    <w:rsid w:val="00351026"/>
    <w:rsid w:val="00354105"/>
    <w:rsid w:val="00354969"/>
    <w:rsid w:val="0035617E"/>
    <w:rsid w:val="00357CE2"/>
    <w:rsid w:val="0036100B"/>
    <w:rsid w:val="00361628"/>
    <w:rsid w:val="003650CD"/>
    <w:rsid w:val="003664D8"/>
    <w:rsid w:val="00371089"/>
    <w:rsid w:val="003716DA"/>
    <w:rsid w:val="00371CF4"/>
    <w:rsid w:val="00373C95"/>
    <w:rsid w:val="003757AB"/>
    <w:rsid w:val="00376209"/>
    <w:rsid w:val="00376B28"/>
    <w:rsid w:val="00377E87"/>
    <w:rsid w:val="00380C25"/>
    <w:rsid w:val="003810F6"/>
    <w:rsid w:val="00383E1D"/>
    <w:rsid w:val="00384827"/>
    <w:rsid w:val="0038751F"/>
    <w:rsid w:val="00390475"/>
    <w:rsid w:val="00390B14"/>
    <w:rsid w:val="00391BD7"/>
    <w:rsid w:val="003934BD"/>
    <w:rsid w:val="00394C3A"/>
    <w:rsid w:val="00394D0B"/>
    <w:rsid w:val="00395A5E"/>
    <w:rsid w:val="00397062"/>
    <w:rsid w:val="00397B46"/>
    <w:rsid w:val="003A06C9"/>
    <w:rsid w:val="003A123F"/>
    <w:rsid w:val="003A2B7C"/>
    <w:rsid w:val="003A3AEE"/>
    <w:rsid w:val="003A48E6"/>
    <w:rsid w:val="003A5DB4"/>
    <w:rsid w:val="003A67DC"/>
    <w:rsid w:val="003A74F3"/>
    <w:rsid w:val="003B0DAC"/>
    <w:rsid w:val="003B0EAB"/>
    <w:rsid w:val="003B223D"/>
    <w:rsid w:val="003B3960"/>
    <w:rsid w:val="003B4C22"/>
    <w:rsid w:val="003B557B"/>
    <w:rsid w:val="003B5689"/>
    <w:rsid w:val="003B58B6"/>
    <w:rsid w:val="003B5A47"/>
    <w:rsid w:val="003B7B79"/>
    <w:rsid w:val="003C01B8"/>
    <w:rsid w:val="003C254A"/>
    <w:rsid w:val="003C2D84"/>
    <w:rsid w:val="003C6242"/>
    <w:rsid w:val="003C75B4"/>
    <w:rsid w:val="003D414A"/>
    <w:rsid w:val="003D5DAD"/>
    <w:rsid w:val="003D6FF9"/>
    <w:rsid w:val="003D7C87"/>
    <w:rsid w:val="003E00DC"/>
    <w:rsid w:val="003E06C6"/>
    <w:rsid w:val="003E0E4E"/>
    <w:rsid w:val="003E138A"/>
    <w:rsid w:val="003E169A"/>
    <w:rsid w:val="003E1EEB"/>
    <w:rsid w:val="003E22D6"/>
    <w:rsid w:val="003E4E6F"/>
    <w:rsid w:val="003E5049"/>
    <w:rsid w:val="003E5367"/>
    <w:rsid w:val="003E62E8"/>
    <w:rsid w:val="003E6429"/>
    <w:rsid w:val="003F137D"/>
    <w:rsid w:val="003F16B6"/>
    <w:rsid w:val="003F506D"/>
    <w:rsid w:val="004019BE"/>
    <w:rsid w:val="00401B56"/>
    <w:rsid w:val="004025C0"/>
    <w:rsid w:val="00403B5C"/>
    <w:rsid w:val="00404B03"/>
    <w:rsid w:val="00404CD5"/>
    <w:rsid w:val="00406801"/>
    <w:rsid w:val="00406850"/>
    <w:rsid w:val="004069F7"/>
    <w:rsid w:val="004070B8"/>
    <w:rsid w:val="004100F3"/>
    <w:rsid w:val="0041030D"/>
    <w:rsid w:val="0041079A"/>
    <w:rsid w:val="00414054"/>
    <w:rsid w:val="00414097"/>
    <w:rsid w:val="004165AC"/>
    <w:rsid w:val="004168C5"/>
    <w:rsid w:val="00417E22"/>
    <w:rsid w:val="0042146A"/>
    <w:rsid w:val="00422194"/>
    <w:rsid w:val="004248D9"/>
    <w:rsid w:val="00424D18"/>
    <w:rsid w:val="00424FCB"/>
    <w:rsid w:val="0042655A"/>
    <w:rsid w:val="0042727A"/>
    <w:rsid w:val="00427A03"/>
    <w:rsid w:val="004312FF"/>
    <w:rsid w:val="00431F6F"/>
    <w:rsid w:val="004328B9"/>
    <w:rsid w:val="00433C1F"/>
    <w:rsid w:val="00434DC3"/>
    <w:rsid w:val="004350FA"/>
    <w:rsid w:val="00435BB1"/>
    <w:rsid w:val="00436D8A"/>
    <w:rsid w:val="00440F0B"/>
    <w:rsid w:val="00442AE8"/>
    <w:rsid w:val="004456C3"/>
    <w:rsid w:val="00445AEF"/>
    <w:rsid w:val="00446C95"/>
    <w:rsid w:val="00446F4F"/>
    <w:rsid w:val="00450330"/>
    <w:rsid w:val="00450970"/>
    <w:rsid w:val="00450ADF"/>
    <w:rsid w:val="00451B55"/>
    <w:rsid w:val="00453B91"/>
    <w:rsid w:val="0045792E"/>
    <w:rsid w:val="00457EDE"/>
    <w:rsid w:val="004602C0"/>
    <w:rsid w:val="004608EC"/>
    <w:rsid w:val="00463D21"/>
    <w:rsid w:val="00464ECD"/>
    <w:rsid w:val="00465AEC"/>
    <w:rsid w:val="004661E9"/>
    <w:rsid w:val="00466AD9"/>
    <w:rsid w:val="00467DF8"/>
    <w:rsid w:val="00470A05"/>
    <w:rsid w:val="0047119D"/>
    <w:rsid w:val="00471A81"/>
    <w:rsid w:val="00472110"/>
    <w:rsid w:val="00474C09"/>
    <w:rsid w:val="0048066D"/>
    <w:rsid w:val="00482AE1"/>
    <w:rsid w:val="00482BF4"/>
    <w:rsid w:val="0048383E"/>
    <w:rsid w:val="004852BA"/>
    <w:rsid w:val="00485693"/>
    <w:rsid w:val="00485782"/>
    <w:rsid w:val="0048697B"/>
    <w:rsid w:val="00487B5F"/>
    <w:rsid w:val="00493565"/>
    <w:rsid w:val="004943F1"/>
    <w:rsid w:val="0049543A"/>
    <w:rsid w:val="004956E0"/>
    <w:rsid w:val="00497283"/>
    <w:rsid w:val="004A2062"/>
    <w:rsid w:val="004A3430"/>
    <w:rsid w:val="004A35A5"/>
    <w:rsid w:val="004A41BA"/>
    <w:rsid w:val="004A444C"/>
    <w:rsid w:val="004A556B"/>
    <w:rsid w:val="004A6D67"/>
    <w:rsid w:val="004B0123"/>
    <w:rsid w:val="004B2D38"/>
    <w:rsid w:val="004B2E5A"/>
    <w:rsid w:val="004B4236"/>
    <w:rsid w:val="004B4E14"/>
    <w:rsid w:val="004B6375"/>
    <w:rsid w:val="004B6827"/>
    <w:rsid w:val="004B6B92"/>
    <w:rsid w:val="004B6D98"/>
    <w:rsid w:val="004B7578"/>
    <w:rsid w:val="004C07B0"/>
    <w:rsid w:val="004C15AF"/>
    <w:rsid w:val="004C2CF7"/>
    <w:rsid w:val="004C321D"/>
    <w:rsid w:val="004C38CF"/>
    <w:rsid w:val="004C43F7"/>
    <w:rsid w:val="004C4C78"/>
    <w:rsid w:val="004C5351"/>
    <w:rsid w:val="004C6EAB"/>
    <w:rsid w:val="004D057D"/>
    <w:rsid w:val="004D0652"/>
    <w:rsid w:val="004D0949"/>
    <w:rsid w:val="004D308F"/>
    <w:rsid w:val="004D40F3"/>
    <w:rsid w:val="004D4348"/>
    <w:rsid w:val="004D4E8B"/>
    <w:rsid w:val="004D5A1C"/>
    <w:rsid w:val="004E04C6"/>
    <w:rsid w:val="004E424A"/>
    <w:rsid w:val="004E557E"/>
    <w:rsid w:val="004E55CD"/>
    <w:rsid w:val="004E62F7"/>
    <w:rsid w:val="004E7358"/>
    <w:rsid w:val="004E73B3"/>
    <w:rsid w:val="004F5DA0"/>
    <w:rsid w:val="00501357"/>
    <w:rsid w:val="00501750"/>
    <w:rsid w:val="0050286A"/>
    <w:rsid w:val="005033B1"/>
    <w:rsid w:val="00504C43"/>
    <w:rsid w:val="0050554B"/>
    <w:rsid w:val="005067D9"/>
    <w:rsid w:val="0050776F"/>
    <w:rsid w:val="0051022E"/>
    <w:rsid w:val="00512E0C"/>
    <w:rsid w:val="00513A71"/>
    <w:rsid w:val="00513C3A"/>
    <w:rsid w:val="00513D25"/>
    <w:rsid w:val="0051514F"/>
    <w:rsid w:val="00515CFF"/>
    <w:rsid w:val="005161C8"/>
    <w:rsid w:val="005203E8"/>
    <w:rsid w:val="00521958"/>
    <w:rsid w:val="00521ED1"/>
    <w:rsid w:val="005220BF"/>
    <w:rsid w:val="00523989"/>
    <w:rsid w:val="00523D57"/>
    <w:rsid w:val="005276C1"/>
    <w:rsid w:val="00532805"/>
    <w:rsid w:val="00532911"/>
    <w:rsid w:val="005340E2"/>
    <w:rsid w:val="005401E2"/>
    <w:rsid w:val="00540FA3"/>
    <w:rsid w:val="00541FB3"/>
    <w:rsid w:val="00543EDD"/>
    <w:rsid w:val="00544058"/>
    <w:rsid w:val="0054592C"/>
    <w:rsid w:val="00546205"/>
    <w:rsid w:val="00546947"/>
    <w:rsid w:val="005479A5"/>
    <w:rsid w:val="00550402"/>
    <w:rsid w:val="005511DB"/>
    <w:rsid w:val="0055180C"/>
    <w:rsid w:val="0055331D"/>
    <w:rsid w:val="00554FA4"/>
    <w:rsid w:val="00556494"/>
    <w:rsid w:val="00557AA8"/>
    <w:rsid w:val="00561DD8"/>
    <w:rsid w:val="00563479"/>
    <w:rsid w:val="00563B7C"/>
    <w:rsid w:val="00563FC1"/>
    <w:rsid w:val="00564270"/>
    <w:rsid w:val="005648F6"/>
    <w:rsid w:val="00566758"/>
    <w:rsid w:val="0057178B"/>
    <w:rsid w:val="00571C86"/>
    <w:rsid w:val="00572702"/>
    <w:rsid w:val="00572980"/>
    <w:rsid w:val="00572ACD"/>
    <w:rsid w:val="0057383E"/>
    <w:rsid w:val="00573FEB"/>
    <w:rsid w:val="00574A57"/>
    <w:rsid w:val="00575B45"/>
    <w:rsid w:val="00576CC9"/>
    <w:rsid w:val="00580DAA"/>
    <w:rsid w:val="00581007"/>
    <w:rsid w:val="00582430"/>
    <w:rsid w:val="005900D9"/>
    <w:rsid w:val="00590B04"/>
    <w:rsid w:val="0059301B"/>
    <w:rsid w:val="00593314"/>
    <w:rsid w:val="00594674"/>
    <w:rsid w:val="00595852"/>
    <w:rsid w:val="00596284"/>
    <w:rsid w:val="005968ED"/>
    <w:rsid w:val="005A007A"/>
    <w:rsid w:val="005A32DA"/>
    <w:rsid w:val="005A5414"/>
    <w:rsid w:val="005A5CC6"/>
    <w:rsid w:val="005B01A7"/>
    <w:rsid w:val="005B1858"/>
    <w:rsid w:val="005B2AA0"/>
    <w:rsid w:val="005B339C"/>
    <w:rsid w:val="005B612D"/>
    <w:rsid w:val="005B691F"/>
    <w:rsid w:val="005B692A"/>
    <w:rsid w:val="005B6F92"/>
    <w:rsid w:val="005B71BA"/>
    <w:rsid w:val="005B793A"/>
    <w:rsid w:val="005C07B5"/>
    <w:rsid w:val="005C248F"/>
    <w:rsid w:val="005C2F01"/>
    <w:rsid w:val="005C3D97"/>
    <w:rsid w:val="005C4F6F"/>
    <w:rsid w:val="005C7540"/>
    <w:rsid w:val="005C7D49"/>
    <w:rsid w:val="005D02A7"/>
    <w:rsid w:val="005D31FF"/>
    <w:rsid w:val="005D35E3"/>
    <w:rsid w:val="005D5C4C"/>
    <w:rsid w:val="005D6933"/>
    <w:rsid w:val="005E0F3C"/>
    <w:rsid w:val="005E10F9"/>
    <w:rsid w:val="005E14A1"/>
    <w:rsid w:val="005E2522"/>
    <w:rsid w:val="005E5BF1"/>
    <w:rsid w:val="005E63BD"/>
    <w:rsid w:val="005E6FF9"/>
    <w:rsid w:val="005E7017"/>
    <w:rsid w:val="005E7686"/>
    <w:rsid w:val="005F1116"/>
    <w:rsid w:val="005F1AA0"/>
    <w:rsid w:val="005F2C58"/>
    <w:rsid w:val="005F36AF"/>
    <w:rsid w:val="005F3EF4"/>
    <w:rsid w:val="005F51EE"/>
    <w:rsid w:val="005F5943"/>
    <w:rsid w:val="005F63DB"/>
    <w:rsid w:val="005F67B5"/>
    <w:rsid w:val="005F720E"/>
    <w:rsid w:val="005F7721"/>
    <w:rsid w:val="00600066"/>
    <w:rsid w:val="0060010F"/>
    <w:rsid w:val="006003C9"/>
    <w:rsid w:val="0060044F"/>
    <w:rsid w:val="006012C7"/>
    <w:rsid w:val="00601BD9"/>
    <w:rsid w:val="00601DA9"/>
    <w:rsid w:val="006039A2"/>
    <w:rsid w:val="006039F0"/>
    <w:rsid w:val="00603E6F"/>
    <w:rsid w:val="00604454"/>
    <w:rsid w:val="00605C04"/>
    <w:rsid w:val="00606BF0"/>
    <w:rsid w:val="00607B2D"/>
    <w:rsid w:val="0061174F"/>
    <w:rsid w:val="006122D3"/>
    <w:rsid w:val="00614F0D"/>
    <w:rsid w:val="00616DAB"/>
    <w:rsid w:val="00621E96"/>
    <w:rsid w:val="006224DF"/>
    <w:rsid w:val="00624060"/>
    <w:rsid w:val="00625BA4"/>
    <w:rsid w:val="00626C52"/>
    <w:rsid w:val="0062761C"/>
    <w:rsid w:val="00630B86"/>
    <w:rsid w:val="006311FE"/>
    <w:rsid w:val="00631B38"/>
    <w:rsid w:val="00635518"/>
    <w:rsid w:val="00636CFF"/>
    <w:rsid w:val="00640855"/>
    <w:rsid w:val="0064169C"/>
    <w:rsid w:val="00642252"/>
    <w:rsid w:val="00643169"/>
    <w:rsid w:val="00643FDF"/>
    <w:rsid w:val="0064429E"/>
    <w:rsid w:val="006450DE"/>
    <w:rsid w:val="006501D6"/>
    <w:rsid w:val="006521E1"/>
    <w:rsid w:val="00652381"/>
    <w:rsid w:val="00652F56"/>
    <w:rsid w:val="0065490E"/>
    <w:rsid w:val="00654C6D"/>
    <w:rsid w:val="00655E15"/>
    <w:rsid w:val="006566A9"/>
    <w:rsid w:val="0065759C"/>
    <w:rsid w:val="00657F7C"/>
    <w:rsid w:val="006613F6"/>
    <w:rsid w:val="00661EE2"/>
    <w:rsid w:val="006620E0"/>
    <w:rsid w:val="0066516B"/>
    <w:rsid w:val="00665387"/>
    <w:rsid w:val="0066579E"/>
    <w:rsid w:val="006657A4"/>
    <w:rsid w:val="00666198"/>
    <w:rsid w:val="0066679D"/>
    <w:rsid w:val="00667081"/>
    <w:rsid w:val="00670E24"/>
    <w:rsid w:val="006717E4"/>
    <w:rsid w:val="006740FF"/>
    <w:rsid w:val="00677259"/>
    <w:rsid w:val="00677CA5"/>
    <w:rsid w:val="00680356"/>
    <w:rsid w:val="00680803"/>
    <w:rsid w:val="006820E9"/>
    <w:rsid w:val="0068252B"/>
    <w:rsid w:val="00682639"/>
    <w:rsid w:val="00683DF5"/>
    <w:rsid w:val="006841B6"/>
    <w:rsid w:val="00684C28"/>
    <w:rsid w:val="006933DA"/>
    <w:rsid w:val="00693714"/>
    <w:rsid w:val="00695248"/>
    <w:rsid w:val="00695C31"/>
    <w:rsid w:val="00695EA9"/>
    <w:rsid w:val="006A19FC"/>
    <w:rsid w:val="006A3726"/>
    <w:rsid w:val="006A6A7E"/>
    <w:rsid w:val="006A6BE4"/>
    <w:rsid w:val="006B0C43"/>
    <w:rsid w:val="006B2A5D"/>
    <w:rsid w:val="006B350D"/>
    <w:rsid w:val="006B396F"/>
    <w:rsid w:val="006B425D"/>
    <w:rsid w:val="006B5CEE"/>
    <w:rsid w:val="006B77C0"/>
    <w:rsid w:val="006C02DF"/>
    <w:rsid w:val="006C17FE"/>
    <w:rsid w:val="006C191F"/>
    <w:rsid w:val="006C22AD"/>
    <w:rsid w:val="006C258B"/>
    <w:rsid w:val="006C2ECE"/>
    <w:rsid w:val="006C3EBB"/>
    <w:rsid w:val="006C41B3"/>
    <w:rsid w:val="006C434B"/>
    <w:rsid w:val="006C537F"/>
    <w:rsid w:val="006C6266"/>
    <w:rsid w:val="006D0338"/>
    <w:rsid w:val="006D08DF"/>
    <w:rsid w:val="006D37EE"/>
    <w:rsid w:val="006D3AC5"/>
    <w:rsid w:val="006D411A"/>
    <w:rsid w:val="006D45E4"/>
    <w:rsid w:val="006D635B"/>
    <w:rsid w:val="006D74B6"/>
    <w:rsid w:val="006D7B1E"/>
    <w:rsid w:val="006D7DBF"/>
    <w:rsid w:val="006E08F3"/>
    <w:rsid w:val="006E3BB7"/>
    <w:rsid w:val="006E4107"/>
    <w:rsid w:val="006E4121"/>
    <w:rsid w:val="006E632A"/>
    <w:rsid w:val="006F12D7"/>
    <w:rsid w:val="006F143B"/>
    <w:rsid w:val="006F1BDC"/>
    <w:rsid w:val="006F2849"/>
    <w:rsid w:val="006F632A"/>
    <w:rsid w:val="006F775B"/>
    <w:rsid w:val="006F7ED9"/>
    <w:rsid w:val="00701B64"/>
    <w:rsid w:val="00702377"/>
    <w:rsid w:val="00706341"/>
    <w:rsid w:val="00706442"/>
    <w:rsid w:val="0071094B"/>
    <w:rsid w:val="0071184C"/>
    <w:rsid w:val="007127E3"/>
    <w:rsid w:val="007155CF"/>
    <w:rsid w:val="00715F68"/>
    <w:rsid w:val="00715FBA"/>
    <w:rsid w:val="007161A3"/>
    <w:rsid w:val="00716503"/>
    <w:rsid w:val="00717795"/>
    <w:rsid w:val="00720312"/>
    <w:rsid w:val="00724A66"/>
    <w:rsid w:val="00730960"/>
    <w:rsid w:val="00730BD0"/>
    <w:rsid w:val="00731328"/>
    <w:rsid w:val="0073195E"/>
    <w:rsid w:val="00733B6D"/>
    <w:rsid w:val="00733F97"/>
    <w:rsid w:val="007347C3"/>
    <w:rsid w:val="007351C7"/>
    <w:rsid w:val="007369FC"/>
    <w:rsid w:val="007378DE"/>
    <w:rsid w:val="0074049A"/>
    <w:rsid w:val="00740B2A"/>
    <w:rsid w:val="007443DC"/>
    <w:rsid w:val="007453EB"/>
    <w:rsid w:val="007461FC"/>
    <w:rsid w:val="00746FB3"/>
    <w:rsid w:val="00752DF4"/>
    <w:rsid w:val="00757282"/>
    <w:rsid w:val="0076106D"/>
    <w:rsid w:val="00761BFC"/>
    <w:rsid w:val="00762009"/>
    <w:rsid w:val="007639A2"/>
    <w:rsid w:val="007673AE"/>
    <w:rsid w:val="007679D7"/>
    <w:rsid w:val="00767B43"/>
    <w:rsid w:val="00771D65"/>
    <w:rsid w:val="00771F07"/>
    <w:rsid w:val="007740FE"/>
    <w:rsid w:val="00774888"/>
    <w:rsid w:val="0077540D"/>
    <w:rsid w:val="0078264C"/>
    <w:rsid w:val="00782AE5"/>
    <w:rsid w:val="007832AF"/>
    <w:rsid w:val="00784A88"/>
    <w:rsid w:val="00784FE5"/>
    <w:rsid w:val="007857FA"/>
    <w:rsid w:val="00787C52"/>
    <w:rsid w:val="00787F86"/>
    <w:rsid w:val="00790318"/>
    <w:rsid w:val="007960D7"/>
    <w:rsid w:val="00796FBB"/>
    <w:rsid w:val="0079771F"/>
    <w:rsid w:val="007A081A"/>
    <w:rsid w:val="007A08DA"/>
    <w:rsid w:val="007A37DE"/>
    <w:rsid w:val="007A3AB8"/>
    <w:rsid w:val="007A65C4"/>
    <w:rsid w:val="007A7A54"/>
    <w:rsid w:val="007B0171"/>
    <w:rsid w:val="007B0419"/>
    <w:rsid w:val="007B1853"/>
    <w:rsid w:val="007B24A0"/>
    <w:rsid w:val="007C0752"/>
    <w:rsid w:val="007C2086"/>
    <w:rsid w:val="007C31BE"/>
    <w:rsid w:val="007C5634"/>
    <w:rsid w:val="007C7514"/>
    <w:rsid w:val="007D002B"/>
    <w:rsid w:val="007D020B"/>
    <w:rsid w:val="007D02FB"/>
    <w:rsid w:val="007D032C"/>
    <w:rsid w:val="007D19B9"/>
    <w:rsid w:val="007D1DA7"/>
    <w:rsid w:val="007D262D"/>
    <w:rsid w:val="007D3063"/>
    <w:rsid w:val="007D424B"/>
    <w:rsid w:val="007D4B33"/>
    <w:rsid w:val="007D5E47"/>
    <w:rsid w:val="007D6F1F"/>
    <w:rsid w:val="007D7067"/>
    <w:rsid w:val="007D732F"/>
    <w:rsid w:val="007E1276"/>
    <w:rsid w:val="007E1438"/>
    <w:rsid w:val="007E43A4"/>
    <w:rsid w:val="007E4DA9"/>
    <w:rsid w:val="007E5C07"/>
    <w:rsid w:val="007E6776"/>
    <w:rsid w:val="007E6C6A"/>
    <w:rsid w:val="007E79A4"/>
    <w:rsid w:val="007E7CE5"/>
    <w:rsid w:val="007F3568"/>
    <w:rsid w:val="007F38BD"/>
    <w:rsid w:val="007F45AE"/>
    <w:rsid w:val="007F4C93"/>
    <w:rsid w:val="007F6401"/>
    <w:rsid w:val="00801FE9"/>
    <w:rsid w:val="0080282D"/>
    <w:rsid w:val="008035DA"/>
    <w:rsid w:val="008042AD"/>
    <w:rsid w:val="00804336"/>
    <w:rsid w:val="00805221"/>
    <w:rsid w:val="0080712D"/>
    <w:rsid w:val="00807742"/>
    <w:rsid w:val="00807969"/>
    <w:rsid w:val="00807AFE"/>
    <w:rsid w:val="00810026"/>
    <w:rsid w:val="00813E2C"/>
    <w:rsid w:val="008146A6"/>
    <w:rsid w:val="00815884"/>
    <w:rsid w:val="008160C7"/>
    <w:rsid w:val="008160D5"/>
    <w:rsid w:val="008165F3"/>
    <w:rsid w:val="0081665E"/>
    <w:rsid w:val="008254E7"/>
    <w:rsid w:val="008307D3"/>
    <w:rsid w:val="008326A5"/>
    <w:rsid w:val="00833822"/>
    <w:rsid w:val="008349F7"/>
    <w:rsid w:val="00834A3E"/>
    <w:rsid w:val="00835D37"/>
    <w:rsid w:val="0083608D"/>
    <w:rsid w:val="00841728"/>
    <w:rsid w:val="00842279"/>
    <w:rsid w:val="00843EE6"/>
    <w:rsid w:val="008447B4"/>
    <w:rsid w:val="0084542A"/>
    <w:rsid w:val="00845EAF"/>
    <w:rsid w:val="00847B88"/>
    <w:rsid w:val="00851F67"/>
    <w:rsid w:val="00852B37"/>
    <w:rsid w:val="00853C51"/>
    <w:rsid w:val="008554B0"/>
    <w:rsid w:val="00855F66"/>
    <w:rsid w:val="008612F6"/>
    <w:rsid w:val="00861472"/>
    <w:rsid w:val="00861B67"/>
    <w:rsid w:val="00863C6D"/>
    <w:rsid w:val="00864243"/>
    <w:rsid w:val="0086610F"/>
    <w:rsid w:val="00866AF6"/>
    <w:rsid w:val="00866E28"/>
    <w:rsid w:val="0087311E"/>
    <w:rsid w:val="00873E8D"/>
    <w:rsid w:val="00874626"/>
    <w:rsid w:val="008751D5"/>
    <w:rsid w:val="0087705B"/>
    <w:rsid w:val="00877A7D"/>
    <w:rsid w:val="00877FF5"/>
    <w:rsid w:val="008822B6"/>
    <w:rsid w:val="008829AF"/>
    <w:rsid w:val="00883824"/>
    <w:rsid w:val="00883DD4"/>
    <w:rsid w:val="00886280"/>
    <w:rsid w:val="008864E5"/>
    <w:rsid w:val="008868C1"/>
    <w:rsid w:val="0088749E"/>
    <w:rsid w:val="00887629"/>
    <w:rsid w:val="00887F43"/>
    <w:rsid w:val="008907A7"/>
    <w:rsid w:val="008A1A44"/>
    <w:rsid w:val="008A27BA"/>
    <w:rsid w:val="008A2A57"/>
    <w:rsid w:val="008A3985"/>
    <w:rsid w:val="008A49AD"/>
    <w:rsid w:val="008A49DA"/>
    <w:rsid w:val="008B09B1"/>
    <w:rsid w:val="008B0B5A"/>
    <w:rsid w:val="008B1374"/>
    <w:rsid w:val="008B2216"/>
    <w:rsid w:val="008B232D"/>
    <w:rsid w:val="008B26CE"/>
    <w:rsid w:val="008B2773"/>
    <w:rsid w:val="008B29F1"/>
    <w:rsid w:val="008B2F5C"/>
    <w:rsid w:val="008B3B0A"/>
    <w:rsid w:val="008B3E45"/>
    <w:rsid w:val="008B540D"/>
    <w:rsid w:val="008B605E"/>
    <w:rsid w:val="008B6914"/>
    <w:rsid w:val="008B7001"/>
    <w:rsid w:val="008B71FF"/>
    <w:rsid w:val="008B7593"/>
    <w:rsid w:val="008C0480"/>
    <w:rsid w:val="008C1E3A"/>
    <w:rsid w:val="008C1FA3"/>
    <w:rsid w:val="008C5378"/>
    <w:rsid w:val="008C73FB"/>
    <w:rsid w:val="008C7D3E"/>
    <w:rsid w:val="008C7D9F"/>
    <w:rsid w:val="008D05D6"/>
    <w:rsid w:val="008D0AC9"/>
    <w:rsid w:val="008D0C25"/>
    <w:rsid w:val="008D182F"/>
    <w:rsid w:val="008D2CB0"/>
    <w:rsid w:val="008D35EB"/>
    <w:rsid w:val="008D41E6"/>
    <w:rsid w:val="008D4615"/>
    <w:rsid w:val="008D4849"/>
    <w:rsid w:val="008D4B34"/>
    <w:rsid w:val="008D4FEC"/>
    <w:rsid w:val="008D5195"/>
    <w:rsid w:val="008D60DC"/>
    <w:rsid w:val="008E05AA"/>
    <w:rsid w:val="008E0B40"/>
    <w:rsid w:val="008E11EF"/>
    <w:rsid w:val="008E2092"/>
    <w:rsid w:val="008E25F0"/>
    <w:rsid w:val="008E2E52"/>
    <w:rsid w:val="008E3028"/>
    <w:rsid w:val="008E515B"/>
    <w:rsid w:val="008E53EB"/>
    <w:rsid w:val="008E7895"/>
    <w:rsid w:val="008E7F06"/>
    <w:rsid w:val="008F0B4B"/>
    <w:rsid w:val="008F3072"/>
    <w:rsid w:val="008F3D3C"/>
    <w:rsid w:val="008F3DEC"/>
    <w:rsid w:val="008F728D"/>
    <w:rsid w:val="0090116D"/>
    <w:rsid w:val="009020F0"/>
    <w:rsid w:val="00902C05"/>
    <w:rsid w:val="00903417"/>
    <w:rsid w:val="00904696"/>
    <w:rsid w:val="00904B95"/>
    <w:rsid w:val="00905B1B"/>
    <w:rsid w:val="00905D5A"/>
    <w:rsid w:val="009129E1"/>
    <w:rsid w:val="00914674"/>
    <w:rsid w:val="00914FD7"/>
    <w:rsid w:val="00916C21"/>
    <w:rsid w:val="00917294"/>
    <w:rsid w:val="0091729A"/>
    <w:rsid w:val="009209C4"/>
    <w:rsid w:val="00921351"/>
    <w:rsid w:val="0092193C"/>
    <w:rsid w:val="00922CF9"/>
    <w:rsid w:val="00923433"/>
    <w:rsid w:val="00923838"/>
    <w:rsid w:val="00923B3F"/>
    <w:rsid w:val="00925766"/>
    <w:rsid w:val="00925791"/>
    <w:rsid w:val="00925C35"/>
    <w:rsid w:val="00925DB5"/>
    <w:rsid w:val="009275FC"/>
    <w:rsid w:val="009325A2"/>
    <w:rsid w:val="0093277B"/>
    <w:rsid w:val="00932E9A"/>
    <w:rsid w:val="00933EA8"/>
    <w:rsid w:val="009342AE"/>
    <w:rsid w:val="00934BE7"/>
    <w:rsid w:val="00935ACD"/>
    <w:rsid w:val="009375DA"/>
    <w:rsid w:val="00937D48"/>
    <w:rsid w:val="00941015"/>
    <w:rsid w:val="00941334"/>
    <w:rsid w:val="00942801"/>
    <w:rsid w:val="00943F29"/>
    <w:rsid w:val="00943F2B"/>
    <w:rsid w:val="00944588"/>
    <w:rsid w:val="0094621E"/>
    <w:rsid w:val="0094659E"/>
    <w:rsid w:val="009465B0"/>
    <w:rsid w:val="0094764A"/>
    <w:rsid w:val="00950391"/>
    <w:rsid w:val="009509F8"/>
    <w:rsid w:val="00952267"/>
    <w:rsid w:val="00952561"/>
    <w:rsid w:val="009530E9"/>
    <w:rsid w:val="009554A6"/>
    <w:rsid w:val="009572ED"/>
    <w:rsid w:val="00957C92"/>
    <w:rsid w:val="009611AD"/>
    <w:rsid w:val="00961781"/>
    <w:rsid w:val="0096500A"/>
    <w:rsid w:val="0096574D"/>
    <w:rsid w:val="009658CC"/>
    <w:rsid w:val="00966D20"/>
    <w:rsid w:val="00973DF8"/>
    <w:rsid w:val="00974456"/>
    <w:rsid w:val="00974DD8"/>
    <w:rsid w:val="009759BA"/>
    <w:rsid w:val="00975E67"/>
    <w:rsid w:val="009760CC"/>
    <w:rsid w:val="00976D48"/>
    <w:rsid w:val="009775BD"/>
    <w:rsid w:val="00982B75"/>
    <w:rsid w:val="00983DB6"/>
    <w:rsid w:val="009906B3"/>
    <w:rsid w:val="0099436D"/>
    <w:rsid w:val="0099472A"/>
    <w:rsid w:val="00994B50"/>
    <w:rsid w:val="00994D21"/>
    <w:rsid w:val="0099610C"/>
    <w:rsid w:val="009A0551"/>
    <w:rsid w:val="009A2F68"/>
    <w:rsid w:val="009A30B6"/>
    <w:rsid w:val="009A3197"/>
    <w:rsid w:val="009A3C57"/>
    <w:rsid w:val="009A3C83"/>
    <w:rsid w:val="009A767F"/>
    <w:rsid w:val="009B0645"/>
    <w:rsid w:val="009B135C"/>
    <w:rsid w:val="009B156B"/>
    <w:rsid w:val="009B299D"/>
    <w:rsid w:val="009B2FA1"/>
    <w:rsid w:val="009B439A"/>
    <w:rsid w:val="009B55A4"/>
    <w:rsid w:val="009B56E7"/>
    <w:rsid w:val="009B6BFE"/>
    <w:rsid w:val="009C03BB"/>
    <w:rsid w:val="009C0B10"/>
    <w:rsid w:val="009C2A5D"/>
    <w:rsid w:val="009C35D8"/>
    <w:rsid w:val="009C3BB6"/>
    <w:rsid w:val="009C4B5F"/>
    <w:rsid w:val="009D4CDA"/>
    <w:rsid w:val="009D7B2E"/>
    <w:rsid w:val="009D7C14"/>
    <w:rsid w:val="009E2678"/>
    <w:rsid w:val="009E29E0"/>
    <w:rsid w:val="009E3016"/>
    <w:rsid w:val="009E3765"/>
    <w:rsid w:val="009E4373"/>
    <w:rsid w:val="009E4EDA"/>
    <w:rsid w:val="009E53CB"/>
    <w:rsid w:val="009F1238"/>
    <w:rsid w:val="009F2954"/>
    <w:rsid w:val="009F5F45"/>
    <w:rsid w:val="009F6DAC"/>
    <w:rsid w:val="00A0451E"/>
    <w:rsid w:val="00A05146"/>
    <w:rsid w:val="00A077C1"/>
    <w:rsid w:val="00A10296"/>
    <w:rsid w:val="00A111FC"/>
    <w:rsid w:val="00A11D88"/>
    <w:rsid w:val="00A13737"/>
    <w:rsid w:val="00A13863"/>
    <w:rsid w:val="00A16910"/>
    <w:rsid w:val="00A17C81"/>
    <w:rsid w:val="00A21147"/>
    <w:rsid w:val="00A21315"/>
    <w:rsid w:val="00A226DF"/>
    <w:rsid w:val="00A22963"/>
    <w:rsid w:val="00A242F8"/>
    <w:rsid w:val="00A24332"/>
    <w:rsid w:val="00A2479A"/>
    <w:rsid w:val="00A25C20"/>
    <w:rsid w:val="00A307D1"/>
    <w:rsid w:val="00A30940"/>
    <w:rsid w:val="00A30D79"/>
    <w:rsid w:val="00A36DE2"/>
    <w:rsid w:val="00A37F87"/>
    <w:rsid w:val="00A41BF3"/>
    <w:rsid w:val="00A41D03"/>
    <w:rsid w:val="00A4201B"/>
    <w:rsid w:val="00A423A2"/>
    <w:rsid w:val="00A42B60"/>
    <w:rsid w:val="00A451F4"/>
    <w:rsid w:val="00A46106"/>
    <w:rsid w:val="00A4774F"/>
    <w:rsid w:val="00A4788F"/>
    <w:rsid w:val="00A47E57"/>
    <w:rsid w:val="00A50CB7"/>
    <w:rsid w:val="00A50DA6"/>
    <w:rsid w:val="00A5128A"/>
    <w:rsid w:val="00A51BE3"/>
    <w:rsid w:val="00A52111"/>
    <w:rsid w:val="00A5283E"/>
    <w:rsid w:val="00A53AF4"/>
    <w:rsid w:val="00A53D77"/>
    <w:rsid w:val="00A5442B"/>
    <w:rsid w:val="00A55ED5"/>
    <w:rsid w:val="00A562E1"/>
    <w:rsid w:val="00A57018"/>
    <w:rsid w:val="00A60B81"/>
    <w:rsid w:val="00A61010"/>
    <w:rsid w:val="00A627B2"/>
    <w:rsid w:val="00A63005"/>
    <w:rsid w:val="00A634F8"/>
    <w:rsid w:val="00A63544"/>
    <w:rsid w:val="00A64983"/>
    <w:rsid w:val="00A6627D"/>
    <w:rsid w:val="00A67F42"/>
    <w:rsid w:val="00A723B9"/>
    <w:rsid w:val="00A73282"/>
    <w:rsid w:val="00A74718"/>
    <w:rsid w:val="00A756DF"/>
    <w:rsid w:val="00A77502"/>
    <w:rsid w:val="00A80DC6"/>
    <w:rsid w:val="00A810F2"/>
    <w:rsid w:val="00A86B12"/>
    <w:rsid w:val="00A87F1B"/>
    <w:rsid w:val="00A90040"/>
    <w:rsid w:val="00A909C5"/>
    <w:rsid w:val="00A912E0"/>
    <w:rsid w:val="00A922E3"/>
    <w:rsid w:val="00A924B6"/>
    <w:rsid w:val="00A92C7D"/>
    <w:rsid w:val="00A93447"/>
    <w:rsid w:val="00A9371C"/>
    <w:rsid w:val="00A946B3"/>
    <w:rsid w:val="00A951AF"/>
    <w:rsid w:val="00A967E5"/>
    <w:rsid w:val="00AA194B"/>
    <w:rsid w:val="00AA26E4"/>
    <w:rsid w:val="00AA3834"/>
    <w:rsid w:val="00AA3A95"/>
    <w:rsid w:val="00AA453E"/>
    <w:rsid w:val="00AA4585"/>
    <w:rsid w:val="00AA5A25"/>
    <w:rsid w:val="00AA6DA2"/>
    <w:rsid w:val="00AA705B"/>
    <w:rsid w:val="00AB0E8F"/>
    <w:rsid w:val="00AB20B2"/>
    <w:rsid w:val="00AB2F87"/>
    <w:rsid w:val="00AB3DFE"/>
    <w:rsid w:val="00AB405C"/>
    <w:rsid w:val="00AB47AD"/>
    <w:rsid w:val="00AB4E3D"/>
    <w:rsid w:val="00AB4E7E"/>
    <w:rsid w:val="00AB68BC"/>
    <w:rsid w:val="00AB7280"/>
    <w:rsid w:val="00AC38E4"/>
    <w:rsid w:val="00AC4DB3"/>
    <w:rsid w:val="00AC75E6"/>
    <w:rsid w:val="00AC7743"/>
    <w:rsid w:val="00AC7E47"/>
    <w:rsid w:val="00AD0215"/>
    <w:rsid w:val="00AD09F8"/>
    <w:rsid w:val="00AD4FAE"/>
    <w:rsid w:val="00AD5969"/>
    <w:rsid w:val="00AD630A"/>
    <w:rsid w:val="00AD6C34"/>
    <w:rsid w:val="00AD7D72"/>
    <w:rsid w:val="00AE00B2"/>
    <w:rsid w:val="00AE0B66"/>
    <w:rsid w:val="00AE0C07"/>
    <w:rsid w:val="00AE156C"/>
    <w:rsid w:val="00AE6373"/>
    <w:rsid w:val="00AE65F4"/>
    <w:rsid w:val="00AE6935"/>
    <w:rsid w:val="00AE7C10"/>
    <w:rsid w:val="00AF0B50"/>
    <w:rsid w:val="00AF179B"/>
    <w:rsid w:val="00AF4822"/>
    <w:rsid w:val="00AF665E"/>
    <w:rsid w:val="00B00810"/>
    <w:rsid w:val="00B008E4"/>
    <w:rsid w:val="00B01048"/>
    <w:rsid w:val="00B010F9"/>
    <w:rsid w:val="00B016F0"/>
    <w:rsid w:val="00B0262C"/>
    <w:rsid w:val="00B0350D"/>
    <w:rsid w:val="00B03720"/>
    <w:rsid w:val="00B03ED7"/>
    <w:rsid w:val="00B0673F"/>
    <w:rsid w:val="00B10397"/>
    <w:rsid w:val="00B14A93"/>
    <w:rsid w:val="00B179AD"/>
    <w:rsid w:val="00B17CB3"/>
    <w:rsid w:val="00B2033C"/>
    <w:rsid w:val="00B20CA6"/>
    <w:rsid w:val="00B21194"/>
    <w:rsid w:val="00B213BB"/>
    <w:rsid w:val="00B2480A"/>
    <w:rsid w:val="00B250B7"/>
    <w:rsid w:val="00B304F3"/>
    <w:rsid w:val="00B309DA"/>
    <w:rsid w:val="00B34EAC"/>
    <w:rsid w:val="00B35100"/>
    <w:rsid w:val="00B36C7F"/>
    <w:rsid w:val="00B373C3"/>
    <w:rsid w:val="00B4005D"/>
    <w:rsid w:val="00B40AE0"/>
    <w:rsid w:val="00B4110B"/>
    <w:rsid w:val="00B41773"/>
    <w:rsid w:val="00B42C18"/>
    <w:rsid w:val="00B43B1D"/>
    <w:rsid w:val="00B43F7F"/>
    <w:rsid w:val="00B44E25"/>
    <w:rsid w:val="00B45096"/>
    <w:rsid w:val="00B50072"/>
    <w:rsid w:val="00B51E16"/>
    <w:rsid w:val="00B51FF7"/>
    <w:rsid w:val="00B5267A"/>
    <w:rsid w:val="00B5326B"/>
    <w:rsid w:val="00B534A8"/>
    <w:rsid w:val="00B53CA0"/>
    <w:rsid w:val="00B5541A"/>
    <w:rsid w:val="00B62458"/>
    <w:rsid w:val="00B628EC"/>
    <w:rsid w:val="00B631C8"/>
    <w:rsid w:val="00B63AAD"/>
    <w:rsid w:val="00B65295"/>
    <w:rsid w:val="00B660B9"/>
    <w:rsid w:val="00B66C69"/>
    <w:rsid w:val="00B66F3F"/>
    <w:rsid w:val="00B671DF"/>
    <w:rsid w:val="00B700A3"/>
    <w:rsid w:val="00B702EA"/>
    <w:rsid w:val="00B726C4"/>
    <w:rsid w:val="00B728F3"/>
    <w:rsid w:val="00B7404E"/>
    <w:rsid w:val="00B773D2"/>
    <w:rsid w:val="00B80735"/>
    <w:rsid w:val="00B80DF0"/>
    <w:rsid w:val="00B811EB"/>
    <w:rsid w:val="00B94241"/>
    <w:rsid w:val="00B94559"/>
    <w:rsid w:val="00B95F0B"/>
    <w:rsid w:val="00B965CB"/>
    <w:rsid w:val="00B9715D"/>
    <w:rsid w:val="00BA1383"/>
    <w:rsid w:val="00BA17DE"/>
    <w:rsid w:val="00BA1EAD"/>
    <w:rsid w:val="00BA33BD"/>
    <w:rsid w:val="00BA4090"/>
    <w:rsid w:val="00BA466B"/>
    <w:rsid w:val="00BA591D"/>
    <w:rsid w:val="00BA6776"/>
    <w:rsid w:val="00BB0C40"/>
    <w:rsid w:val="00BB25B4"/>
    <w:rsid w:val="00BB366B"/>
    <w:rsid w:val="00BB75A7"/>
    <w:rsid w:val="00BB7A2C"/>
    <w:rsid w:val="00BB7C69"/>
    <w:rsid w:val="00BC17B9"/>
    <w:rsid w:val="00BC27AF"/>
    <w:rsid w:val="00BC317E"/>
    <w:rsid w:val="00BC6B07"/>
    <w:rsid w:val="00BD2172"/>
    <w:rsid w:val="00BD3427"/>
    <w:rsid w:val="00BD3D16"/>
    <w:rsid w:val="00BD4E6D"/>
    <w:rsid w:val="00BD5515"/>
    <w:rsid w:val="00BD5EC1"/>
    <w:rsid w:val="00BD7110"/>
    <w:rsid w:val="00BE03DC"/>
    <w:rsid w:val="00BE0A99"/>
    <w:rsid w:val="00BE1416"/>
    <w:rsid w:val="00BE15E9"/>
    <w:rsid w:val="00BE1A43"/>
    <w:rsid w:val="00BE2799"/>
    <w:rsid w:val="00BE31DC"/>
    <w:rsid w:val="00BE519E"/>
    <w:rsid w:val="00BE5602"/>
    <w:rsid w:val="00BF20ED"/>
    <w:rsid w:val="00BF3E25"/>
    <w:rsid w:val="00BF47C3"/>
    <w:rsid w:val="00BF70D3"/>
    <w:rsid w:val="00BF73D8"/>
    <w:rsid w:val="00C01698"/>
    <w:rsid w:val="00C01BCD"/>
    <w:rsid w:val="00C0255E"/>
    <w:rsid w:val="00C02BDB"/>
    <w:rsid w:val="00C02F1B"/>
    <w:rsid w:val="00C047AA"/>
    <w:rsid w:val="00C053EF"/>
    <w:rsid w:val="00C0648C"/>
    <w:rsid w:val="00C070CF"/>
    <w:rsid w:val="00C07621"/>
    <w:rsid w:val="00C11E8A"/>
    <w:rsid w:val="00C138AA"/>
    <w:rsid w:val="00C13F76"/>
    <w:rsid w:val="00C172E4"/>
    <w:rsid w:val="00C23BD2"/>
    <w:rsid w:val="00C24C58"/>
    <w:rsid w:val="00C26741"/>
    <w:rsid w:val="00C354FF"/>
    <w:rsid w:val="00C375B6"/>
    <w:rsid w:val="00C40162"/>
    <w:rsid w:val="00C454D1"/>
    <w:rsid w:val="00C45BDC"/>
    <w:rsid w:val="00C46F87"/>
    <w:rsid w:val="00C52D59"/>
    <w:rsid w:val="00C60742"/>
    <w:rsid w:val="00C609FE"/>
    <w:rsid w:val="00C628DA"/>
    <w:rsid w:val="00C62F54"/>
    <w:rsid w:val="00C6335E"/>
    <w:rsid w:val="00C637B3"/>
    <w:rsid w:val="00C66B56"/>
    <w:rsid w:val="00C671CE"/>
    <w:rsid w:val="00C67330"/>
    <w:rsid w:val="00C70205"/>
    <w:rsid w:val="00C708E2"/>
    <w:rsid w:val="00C7214B"/>
    <w:rsid w:val="00C7241E"/>
    <w:rsid w:val="00C74BC0"/>
    <w:rsid w:val="00C75629"/>
    <w:rsid w:val="00C763AA"/>
    <w:rsid w:val="00C830D2"/>
    <w:rsid w:val="00C830F7"/>
    <w:rsid w:val="00C83557"/>
    <w:rsid w:val="00C83B53"/>
    <w:rsid w:val="00C83BB1"/>
    <w:rsid w:val="00C844A0"/>
    <w:rsid w:val="00C847D6"/>
    <w:rsid w:val="00C90D4E"/>
    <w:rsid w:val="00C91CB9"/>
    <w:rsid w:val="00C9290E"/>
    <w:rsid w:val="00C92B9D"/>
    <w:rsid w:val="00C931D4"/>
    <w:rsid w:val="00C937F9"/>
    <w:rsid w:val="00C972A2"/>
    <w:rsid w:val="00C976AE"/>
    <w:rsid w:val="00C97981"/>
    <w:rsid w:val="00CA10E7"/>
    <w:rsid w:val="00CA723D"/>
    <w:rsid w:val="00CA77BE"/>
    <w:rsid w:val="00CB0D33"/>
    <w:rsid w:val="00CB16A8"/>
    <w:rsid w:val="00CB2C75"/>
    <w:rsid w:val="00CC45CC"/>
    <w:rsid w:val="00CC48F1"/>
    <w:rsid w:val="00CC595C"/>
    <w:rsid w:val="00CC6B9C"/>
    <w:rsid w:val="00CD1064"/>
    <w:rsid w:val="00CD13CD"/>
    <w:rsid w:val="00CD207E"/>
    <w:rsid w:val="00CD3432"/>
    <w:rsid w:val="00CD4AFB"/>
    <w:rsid w:val="00CD6DFF"/>
    <w:rsid w:val="00CD7CC8"/>
    <w:rsid w:val="00CE031A"/>
    <w:rsid w:val="00CE06FF"/>
    <w:rsid w:val="00CE2DF2"/>
    <w:rsid w:val="00CE48C4"/>
    <w:rsid w:val="00CE4E28"/>
    <w:rsid w:val="00CE51CF"/>
    <w:rsid w:val="00CE55D6"/>
    <w:rsid w:val="00CE5A22"/>
    <w:rsid w:val="00CE5FF3"/>
    <w:rsid w:val="00CF026F"/>
    <w:rsid w:val="00CF1DA2"/>
    <w:rsid w:val="00CF253F"/>
    <w:rsid w:val="00CF2E72"/>
    <w:rsid w:val="00CF43DB"/>
    <w:rsid w:val="00CF5776"/>
    <w:rsid w:val="00CF70BC"/>
    <w:rsid w:val="00CF736E"/>
    <w:rsid w:val="00D00EB9"/>
    <w:rsid w:val="00D016D5"/>
    <w:rsid w:val="00D02E29"/>
    <w:rsid w:val="00D02F6C"/>
    <w:rsid w:val="00D036FA"/>
    <w:rsid w:val="00D03723"/>
    <w:rsid w:val="00D040EA"/>
    <w:rsid w:val="00D0480B"/>
    <w:rsid w:val="00D0638B"/>
    <w:rsid w:val="00D06404"/>
    <w:rsid w:val="00D11266"/>
    <w:rsid w:val="00D112AD"/>
    <w:rsid w:val="00D129E6"/>
    <w:rsid w:val="00D14A9A"/>
    <w:rsid w:val="00D14D07"/>
    <w:rsid w:val="00D151D6"/>
    <w:rsid w:val="00D154DD"/>
    <w:rsid w:val="00D162D8"/>
    <w:rsid w:val="00D2103B"/>
    <w:rsid w:val="00D24FAA"/>
    <w:rsid w:val="00D25207"/>
    <w:rsid w:val="00D2537D"/>
    <w:rsid w:val="00D2674D"/>
    <w:rsid w:val="00D31465"/>
    <w:rsid w:val="00D327DF"/>
    <w:rsid w:val="00D32FC5"/>
    <w:rsid w:val="00D37B4E"/>
    <w:rsid w:val="00D406C2"/>
    <w:rsid w:val="00D40843"/>
    <w:rsid w:val="00D40CDE"/>
    <w:rsid w:val="00D40DB2"/>
    <w:rsid w:val="00D40E2E"/>
    <w:rsid w:val="00D41C19"/>
    <w:rsid w:val="00D426E5"/>
    <w:rsid w:val="00D42EB8"/>
    <w:rsid w:val="00D431DD"/>
    <w:rsid w:val="00D44032"/>
    <w:rsid w:val="00D45902"/>
    <w:rsid w:val="00D4659C"/>
    <w:rsid w:val="00D47C72"/>
    <w:rsid w:val="00D508FB"/>
    <w:rsid w:val="00D51085"/>
    <w:rsid w:val="00D51CE1"/>
    <w:rsid w:val="00D52EA0"/>
    <w:rsid w:val="00D53379"/>
    <w:rsid w:val="00D53B2D"/>
    <w:rsid w:val="00D54AB0"/>
    <w:rsid w:val="00D54D2A"/>
    <w:rsid w:val="00D55414"/>
    <w:rsid w:val="00D55F50"/>
    <w:rsid w:val="00D57866"/>
    <w:rsid w:val="00D605AB"/>
    <w:rsid w:val="00D60781"/>
    <w:rsid w:val="00D61268"/>
    <w:rsid w:val="00D62098"/>
    <w:rsid w:val="00D631D0"/>
    <w:rsid w:val="00D64DD6"/>
    <w:rsid w:val="00D65CAA"/>
    <w:rsid w:val="00D65D6C"/>
    <w:rsid w:val="00D67CC4"/>
    <w:rsid w:val="00D70D6F"/>
    <w:rsid w:val="00D71031"/>
    <w:rsid w:val="00D713B7"/>
    <w:rsid w:val="00D71C11"/>
    <w:rsid w:val="00D72363"/>
    <w:rsid w:val="00D76442"/>
    <w:rsid w:val="00D77867"/>
    <w:rsid w:val="00D80495"/>
    <w:rsid w:val="00D806C8"/>
    <w:rsid w:val="00D80C0B"/>
    <w:rsid w:val="00D80D2D"/>
    <w:rsid w:val="00D83B97"/>
    <w:rsid w:val="00D84771"/>
    <w:rsid w:val="00D87A5A"/>
    <w:rsid w:val="00D87DDC"/>
    <w:rsid w:val="00D87EEE"/>
    <w:rsid w:val="00D91164"/>
    <w:rsid w:val="00D9187B"/>
    <w:rsid w:val="00D92DD4"/>
    <w:rsid w:val="00D97539"/>
    <w:rsid w:val="00DA33F3"/>
    <w:rsid w:val="00DA6080"/>
    <w:rsid w:val="00DB1913"/>
    <w:rsid w:val="00DB1C17"/>
    <w:rsid w:val="00DB33B3"/>
    <w:rsid w:val="00DB53FB"/>
    <w:rsid w:val="00DB69E6"/>
    <w:rsid w:val="00DB753E"/>
    <w:rsid w:val="00DB7906"/>
    <w:rsid w:val="00DC0CC5"/>
    <w:rsid w:val="00DC0CE5"/>
    <w:rsid w:val="00DC284B"/>
    <w:rsid w:val="00DC2B62"/>
    <w:rsid w:val="00DC359D"/>
    <w:rsid w:val="00DC6EC3"/>
    <w:rsid w:val="00DD33BD"/>
    <w:rsid w:val="00DD5618"/>
    <w:rsid w:val="00DD63DC"/>
    <w:rsid w:val="00DD7C85"/>
    <w:rsid w:val="00DE0983"/>
    <w:rsid w:val="00DE1018"/>
    <w:rsid w:val="00DE167B"/>
    <w:rsid w:val="00DE292A"/>
    <w:rsid w:val="00DE6D02"/>
    <w:rsid w:val="00DE6DF3"/>
    <w:rsid w:val="00DE7C46"/>
    <w:rsid w:val="00DF0C1B"/>
    <w:rsid w:val="00DF2CA0"/>
    <w:rsid w:val="00DF336A"/>
    <w:rsid w:val="00DF5B1A"/>
    <w:rsid w:val="00DF6466"/>
    <w:rsid w:val="00DF6F25"/>
    <w:rsid w:val="00E00564"/>
    <w:rsid w:val="00E0281E"/>
    <w:rsid w:val="00E03B0F"/>
    <w:rsid w:val="00E06734"/>
    <w:rsid w:val="00E068A5"/>
    <w:rsid w:val="00E116E2"/>
    <w:rsid w:val="00E1394C"/>
    <w:rsid w:val="00E14EBD"/>
    <w:rsid w:val="00E151C5"/>
    <w:rsid w:val="00E153CF"/>
    <w:rsid w:val="00E156CB"/>
    <w:rsid w:val="00E16371"/>
    <w:rsid w:val="00E164D5"/>
    <w:rsid w:val="00E17528"/>
    <w:rsid w:val="00E17A3C"/>
    <w:rsid w:val="00E20904"/>
    <w:rsid w:val="00E228D7"/>
    <w:rsid w:val="00E22D28"/>
    <w:rsid w:val="00E2575C"/>
    <w:rsid w:val="00E265CC"/>
    <w:rsid w:val="00E311C3"/>
    <w:rsid w:val="00E31CA4"/>
    <w:rsid w:val="00E32683"/>
    <w:rsid w:val="00E35097"/>
    <w:rsid w:val="00E3510D"/>
    <w:rsid w:val="00E36A32"/>
    <w:rsid w:val="00E3764C"/>
    <w:rsid w:val="00E37E5A"/>
    <w:rsid w:val="00E406A1"/>
    <w:rsid w:val="00E42B57"/>
    <w:rsid w:val="00E434EF"/>
    <w:rsid w:val="00E43923"/>
    <w:rsid w:val="00E43FB0"/>
    <w:rsid w:val="00E46E8C"/>
    <w:rsid w:val="00E50BCF"/>
    <w:rsid w:val="00E52923"/>
    <w:rsid w:val="00E52DB7"/>
    <w:rsid w:val="00E53971"/>
    <w:rsid w:val="00E5636F"/>
    <w:rsid w:val="00E57828"/>
    <w:rsid w:val="00E60D4C"/>
    <w:rsid w:val="00E61E48"/>
    <w:rsid w:val="00E63638"/>
    <w:rsid w:val="00E649EE"/>
    <w:rsid w:val="00E66715"/>
    <w:rsid w:val="00E6740C"/>
    <w:rsid w:val="00E67703"/>
    <w:rsid w:val="00E6771A"/>
    <w:rsid w:val="00E67CB9"/>
    <w:rsid w:val="00E7040E"/>
    <w:rsid w:val="00E70FAC"/>
    <w:rsid w:val="00E71268"/>
    <w:rsid w:val="00E7545F"/>
    <w:rsid w:val="00E75ADE"/>
    <w:rsid w:val="00E77466"/>
    <w:rsid w:val="00E801DF"/>
    <w:rsid w:val="00E80C82"/>
    <w:rsid w:val="00E819A3"/>
    <w:rsid w:val="00E82A5A"/>
    <w:rsid w:val="00E8378B"/>
    <w:rsid w:val="00E837C5"/>
    <w:rsid w:val="00E848BF"/>
    <w:rsid w:val="00E868E1"/>
    <w:rsid w:val="00E86E9E"/>
    <w:rsid w:val="00E8763D"/>
    <w:rsid w:val="00E92BD8"/>
    <w:rsid w:val="00E9348C"/>
    <w:rsid w:val="00E93E55"/>
    <w:rsid w:val="00E95895"/>
    <w:rsid w:val="00E9687D"/>
    <w:rsid w:val="00EA03D0"/>
    <w:rsid w:val="00EA0C70"/>
    <w:rsid w:val="00EA1730"/>
    <w:rsid w:val="00EA30BA"/>
    <w:rsid w:val="00EA6A7C"/>
    <w:rsid w:val="00EB04B0"/>
    <w:rsid w:val="00EB1635"/>
    <w:rsid w:val="00EB184D"/>
    <w:rsid w:val="00EB1D08"/>
    <w:rsid w:val="00EB2C68"/>
    <w:rsid w:val="00EB31C1"/>
    <w:rsid w:val="00EB389A"/>
    <w:rsid w:val="00EB3935"/>
    <w:rsid w:val="00EB3FC3"/>
    <w:rsid w:val="00EB714E"/>
    <w:rsid w:val="00EC118C"/>
    <w:rsid w:val="00EC1D88"/>
    <w:rsid w:val="00EC2381"/>
    <w:rsid w:val="00EC300E"/>
    <w:rsid w:val="00EC386C"/>
    <w:rsid w:val="00EC4E0C"/>
    <w:rsid w:val="00ED240B"/>
    <w:rsid w:val="00ED2C93"/>
    <w:rsid w:val="00ED2FF9"/>
    <w:rsid w:val="00ED3ADA"/>
    <w:rsid w:val="00ED4F93"/>
    <w:rsid w:val="00ED7151"/>
    <w:rsid w:val="00ED741D"/>
    <w:rsid w:val="00EE0189"/>
    <w:rsid w:val="00EE1A6F"/>
    <w:rsid w:val="00EE1FEF"/>
    <w:rsid w:val="00EE350F"/>
    <w:rsid w:val="00EE5519"/>
    <w:rsid w:val="00EE6019"/>
    <w:rsid w:val="00EE6723"/>
    <w:rsid w:val="00EF1132"/>
    <w:rsid w:val="00EF418C"/>
    <w:rsid w:val="00EF48A2"/>
    <w:rsid w:val="00EF52F7"/>
    <w:rsid w:val="00EF68EA"/>
    <w:rsid w:val="00EF6B6D"/>
    <w:rsid w:val="00EF7F43"/>
    <w:rsid w:val="00F01E49"/>
    <w:rsid w:val="00F03A2B"/>
    <w:rsid w:val="00F044BD"/>
    <w:rsid w:val="00F05C65"/>
    <w:rsid w:val="00F06101"/>
    <w:rsid w:val="00F0625C"/>
    <w:rsid w:val="00F13A26"/>
    <w:rsid w:val="00F2034F"/>
    <w:rsid w:val="00F2252F"/>
    <w:rsid w:val="00F24ACD"/>
    <w:rsid w:val="00F24F1B"/>
    <w:rsid w:val="00F26D96"/>
    <w:rsid w:val="00F30053"/>
    <w:rsid w:val="00F30172"/>
    <w:rsid w:val="00F31C51"/>
    <w:rsid w:val="00F33A4B"/>
    <w:rsid w:val="00F3531B"/>
    <w:rsid w:val="00F35988"/>
    <w:rsid w:val="00F35C4E"/>
    <w:rsid w:val="00F378CE"/>
    <w:rsid w:val="00F4060B"/>
    <w:rsid w:val="00F40DBE"/>
    <w:rsid w:val="00F41828"/>
    <w:rsid w:val="00F42479"/>
    <w:rsid w:val="00F4352A"/>
    <w:rsid w:val="00F4450A"/>
    <w:rsid w:val="00F44A4C"/>
    <w:rsid w:val="00F46181"/>
    <w:rsid w:val="00F4649B"/>
    <w:rsid w:val="00F47163"/>
    <w:rsid w:val="00F50D2D"/>
    <w:rsid w:val="00F51110"/>
    <w:rsid w:val="00F51678"/>
    <w:rsid w:val="00F5644C"/>
    <w:rsid w:val="00F63946"/>
    <w:rsid w:val="00F64875"/>
    <w:rsid w:val="00F64C14"/>
    <w:rsid w:val="00F64CE5"/>
    <w:rsid w:val="00F669FA"/>
    <w:rsid w:val="00F672E4"/>
    <w:rsid w:val="00F67F9F"/>
    <w:rsid w:val="00F70252"/>
    <w:rsid w:val="00F72A5C"/>
    <w:rsid w:val="00F72F45"/>
    <w:rsid w:val="00F732FB"/>
    <w:rsid w:val="00F73FFD"/>
    <w:rsid w:val="00F7459D"/>
    <w:rsid w:val="00F774FB"/>
    <w:rsid w:val="00F776F1"/>
    <w:rsid w:val="00F80255"/>
    <w:rsid w:val="00F80BEA"/>
    <w:rsid w:val="00F810F8"/>
    <w:rsid w:val="00F81FFC"/>
    <w:rsid w:val="00F84911"/>
    <w:rsid w:val="00F871EC"/>
    <w:rsid w:val="00F90138"/>
    <w:rsid w:val="00F91664"/>
    <w:rsid w:val="00F917BB"/>
    <w:rsid w:val="00F91BB0"/>
    <w:rsid w:val="00F92BF8"/>
    <w:rsid w:val="00F92CA9"/>
    <w:rsid w:val="00F92CF9"/>
    <w:rsid w:val="00F93F6B"/>
    <w:rsid w:val="00F949F7"/>
    <w:rsid w:val="00F96120"/>
    <w:rsid w:val="00F97F8D"/>
    <w:rsid w:val="00FA0875"/>
    <w:rsid w:val="00FA3196"/>
    <w:rsid w:val="00FA3A23"/>
    <w:rsid w:val="00FA3F51"/>
    <w:rsid w:val="00FA40C2"/>
    <w:rsid w:val="00FA4BBE"/>
    <w:rsid w:val="00FA5B1A"/>
    <w:rsid w:val="00FA7A97"/>
    <w:rsid w:val="00FB00A4"/>
    <w:rsid w:val="00FB37EE"/>
    <w:rsid w:val="00FB40A6"/>
    <w:rsid w:val="00FB4B61"/>
    <w:rsid w:val="00FB5048"/>
    <w:rsid w:val="00FB5A7D"/>
    <w:rsid w:val="00FB66B8"/>
    <w:rsid w:val="00FB698E"/>
    <w:rsid w:val="00FB7299"/>
    <w:rsid w:val="00FC60C8"/>
    <w:rsid w:val="00FC7CE7"/>
    <w:rsid w:val="00FD1255"/>
    <w:rsid w:val="00FD2929"/>
    <w:rsid w:val="00FD3336"/>
    <w:rsid w:val="00FD3CC8"/>
    <w:rsid w:val="00FD4101"/>
    <w:rsid w:val="00FD420D"/>
    <w:rsid w:val="00FD5663"/>
    <w:rsid w:val="00FE1853"/>
    <w:rsid w:val="00FE2166"/>
    <w:rsid w:val="00FE39FE"/>
    <w:rsid w:val="00FE6550"/>
    <w:rsid w:val="00FE6D4D"/>
    <w:rsid w:val="00FE770D"/>
    <w:rsid w:val="00FE7A67"/>
    <w:rsid w:val="00FF1C18"/>
    <w:rsid w:val="00FF29D4"/>
    <w:rsid w:val="00FF3C12"/>
    <w:rsid w:val="00FF40FD"/>
    <w:rsid w:val="00FF44F6"/>
    <w:rsid w:val="00FF4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6BA10"/>
  <w15:docId w15:val="{E3BEBB8B-9D7F-48C4-B869-FD49D79A8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84D"/>
  </w:style>
  <w:style w:type="paragraph" w:styleId="Heading1">
    <w:name w:val="heading 1"/>
    <w:basedOn w:val="Normal"/>
    <w:link w:val="Heading1Char"/>
    <w:uiPriority w:val="9"/>
    <w:qFormat/>
    <w:rsid w:val="003A74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4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A9A"/>
  </w:style>
  <w:style w:type="paragraph" w:styleId="ListParagraph">
    <w:name w:val="List Paragraph"/>
    <w:basedOn w:val="Normal"/>
    <w:uiPriority w:val="34"/>
    <w:qFormat/>
    <w:rsid w:val="00D14A9A"/>
    <w:pPr>
      <w:ind w:left="720"/>
      <w:contextualSpacing/>
    </w:pPr>
  </w:style>
  <w:style w:type="character" w:customStyle="1" w:styleId="Heading1Char">
    <w:name w:val="Heading 1 Char"/>
    <w:basedOn w:val="DefaultParagraphFont"/>
    <w:link w:val="Heading1"/>
    <w:uiPriority w:val="9"/>
    <w:rsid w:val="003A74F3"/>
    <w:rPr>
      <w:rFonts w:ascii="Times New Roman" w:eastAsia="Times New Roman" w:hAnsi="Times New Roman" w:cs="Times New Roman"/>
      <w:b/>
      <w:bCs/>
      <w:kern w:val="36"/>
      <w:sz w:val="48"/>
      <w:szCs w:val="48"/>
    </w:rPr>
  </w:style>
  <w:style w:type="character" w:customStyle="1" w:styleId="highlight">
    <w:name w:val="highlight"/>
    <w:basedOn w:val="DefaultParagraphFont"/>
    <w:rsid w:val="003A74F3"/>
  </w:style>
  <w:style w:type="paragraph" w:styleId="Header">
    <w:name w:val="header"/>
    <w:basedOn w:val="Normal"/>
    <w:link w:val="HeaderChar"/>
    <w:uiPriority w:val="99"/>
    <w:unhideWhenUsed/>
    <w:rsid w:val="000B5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062"/>
  </w:style>
  <w:style w:type="character" w:styleId="PlaceholderText">
    <w:name w:val="Placeholder Text"/>
    <w:basedOn w:val="DefaultParagraphFont"/>
    <w:uiPriority w:val="99"/>
    <w:semiHidden/>
    <w:rsid w:val="00DE6DF3"/>
    <w:rPr>
      <w:color w:val="808080"/>
    </w:rPr>
  </w:style>
  <w:style w:type="character" w:styleId="FootnoteReference">
    <w:name w:val="footnote reference"/>
    <w:basedOn w:val="DefaultParagraphFont"/>
    <w:uiPriority w:val="99"/>
    <w:semiHidden/>
    <w:unhideWhenUsed/>
    <w:rsid w:val="00213CDC"/>
    <w:rPr>
      <w:vertAlign w:val="superscript"/>
    </w:rPr>
  </w:style>
  <w:style w:type="character" w:customStyle="1" w:styleId="citation-part">
    <w:name w:val="citation-part"/>
    <w:basedOn w:val="DefaultParagraphFont"/>
    <w:rsid w:val="00D65CAA"/>
  </w:style>
  <w:style w:type="character" w:customStyle="1" w:styleId="docsum-pmid">
    <w:name w:val="docsum-pmid"/>
    <w:basedOn w:val="DefaultParagraphFont"/>
    <w:rsid w:val="00D65CAA"/>
  </w:style>
  <w:style w:type="character" w:customStyle="1" w:styleId="id-label">
    <w:name w:val="id-label"/>
    <w:basedOn w:val="DefaultParagraphFont"/>
    <w:rsid w:val="00D65CAA"/>
  </w:style>
  <w:style w:type="character" w:styleId="Strong">
    <w:name w:val="Strong"/>
    <w:basedOn w:val="DefaultParagraphFont"/>
    <w:uiPriority w:val="22"/>
    <w:qFormat/>
    <w:rsid w:val="00D65CAA"/>
    <w:rPr>
      <w:b/>
      <w:bCs/>
    </w:rPr>
  </w:style>
  <w:style w:type="table" w:customStyle="1" w:styleId="GridTable4-Accent51">
    <w:name w:val="Grid Table 4 - Accent 51"/>
    <w:basedOn w:val="TableNormal"/>
    <w:uiPriority w:val="49"/>
    <w:rsid w:val="00E17A3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1">
    <w:name w:val="Grid Table 5 Dark - Accent 51"/>
    <w:basedOn w:val="TableNormal"/>
    <w:uiPriority w:val="50"/>
    <w:rsid w:val="00E17A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EB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4B0"/>
    <w:rPr>
      <w:rFonts w:ascii="Tahoma" w:hAnsi="Tahoma" w:cs="Tahoma"/>
      <w:sz w:val="16"/>
      <w:szCs w:val="16"/>
    </w:rPr>
  </w:style>
  <w:style w:type="character" w:styleId="CommentReference">
    <w:name w:val="annotation reference"/>
    <w:basedOn w:val="DefaultParagraphFont"/>
    <w:uiPriority w:val="99"/>
    <w:semiHidden/>
    <w:unhideWhenUsed/>
    <w:rsid w:val="00240C27"/>
    <w:rPr>
      <w:sz w:val="16"/>
      <w:szCs w:val="16"/>
    </w:rPr>
  </w:style>
  <w:style w:type="paragraph" w:styleId="CommentText">
    <w:name w:val="annotation text"/>
    <w:basedOn w:val="Normal"/>
    <w:link w:val="CommentTextChar"/>
    <w:uiPriority w:val="99"/>
    <w:unhideWhenUsed/>
    <w:rsid w:val="00240C27"/>
    <w:pPr>
      <w:spacing w:line="240" w:lineRule="auto"/>
    </w:pPr>
    <w:rPr>
      <w:sz w:val="20"/>
      <w:szCs w:val="20"/>
    </w:rPr>
  </w:style>
  <w:style w:type="character" w:customStyle="1" w:styleId="CommentTextChar">
    <w:name w:val="Comment Text Char"/>
    <w:basedOn w:val="DefaultParagraphFont"/>
    <w:link w:val="CommentText"/>
    <w:uiPriority w:val="99"/>
    <w:rsid w:val="00240C27"/>
    <w:rPr>
      <w:sz w:val="20"/>
      <w:szCs w:val="20"/>
    </w:rPr>
  </w:style>
  <w:style w:type="paragraph" w:styleId="CommentSubject">
    <w:name w:val="annotation subject"/>
    <w:basedOn w:val="CommentText"/>
    <w:next w:val="CommentText"/>
    <w:link w:val="CommentSubjectChar"/>
    <w:uiPriority w:val="99"/>
    <w:semiHidden/>
    <w:unhideWhenUsed/>
    <w:rsid w:val="00240C27"/>
    <w:rPr>
      <w:b/>
      <w:bCs/>
    </w:rPr>
  </w:style>
  <w:style w:type="character" w:customStyle="1" w:styleId="CommentSubjectChar">
    <w:name w:val="Comment Subject Char"/>
    <w:basedOn w:val="CommentTextChar"/>
    <w:link w:val="CommentSubject"/>
    <w:uiPriority w:val="99"/>
    <w:semiHidden/>
    <w:rsid w:val="00240C27"/>
    <w:rPr>
      <w:b/>
      <w:bCs/>
      <w:sz w:val="20"/>
      <w:szCs w:val="20"/>
    </w:rPr>
  </w:style>
  <w:style w:type="paragraph" w:customStyle="1" w:styleId="EndNoteBibliography">
    <w:name w:val="EndNote Bibliography"/>
    <w:basedOn w:val="Normal"/>
    <w:link w:val="EndNoteBibliographyChar"/>
    <w:rsid w:val="00240C27"/>
    <w:pPr>
      <w:widowControl w:val="0"/>
      <w:autoSpaceDE w:val="0"/>
      <w:autoSpaceDN w:val="0"/>
      <w:spacing w:after="0" w:line="240" w:lineRule="auto"/>
    </w:pPr>
    <w:rPr>
      <w:rFonts w:ascii="Janson Text LT Std" w:eastAsia="Janson Text LT Std" w:hAnsi="Janson Text LT Std" w:cs="Janson Text LT Std"/>
      <w:noProof/>
    </w:rPr>
  </w:style>
  <w:style w:type="character" w:customStyle="1" w:styleId="EndNoteBibliographyChar">
    <w:name w:val="EndNote Bibliography Char"/>
    <w:basedOn w:val="DefaultParagraphFont"/>
    <w:link w:val="EndNoteBibliography"/>
    <w:rsid w:val="00240C27"/>
    <w:rPr>
      <w:rFonts w:ascii="Janson Text LT Std" w:eastAsia="Janson Text LT Std" w:hAnsi="Janson Text LT Std" w:cs="Janson Text LT Std"/>
      <w:noProof/>
    </w:rPr>
  </w:style>
  <w:style w:type="table" w:styleId="TableGrid">
    <w:name w:val="Table Grid"/>
    <w:basedOn w:val="TableNormal"/>
    <w:uiPriority w:val="39"/>
    <w:rsid w:val="00B63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572ACD"/>
  </w:style>
  <w:style w:type="character" w:styleId="Hyperlink">
    <w:name w:val="Hyperlink"/>
    <w:basedOn w:val="DefaultParagraphFont"/>
    <w:uiPriority w:val="99"/>
    <w:unhideWhenUsed/>
    <w:rsid w:val="009E3016"/>
    <w:rPr>
      <w:color w:val="0563C1" w:themeColor="hyperlink"/>
      <w:u w:val="single"/>
    </w:rPr>
  </w:style>
  <w:style w:type="character" w:customStyle="1" w:styleId="UnresolvedMention1">
    <w:name w:val="Unresolved Mention1"/>
    <w:basedOn w:val="DefaultParagraphFont"/>
    <w:uiPriority w:val="99"/>
    <w:semiHidden/>
    <w:unhideWhenUsed/>
    <w:rsid w:val="009E3016"/>
    <w:rPr>
      <w:color w:val="605E5C"/>
      <w:shd w:val="clear" w:color="auto" w:fill="E1DFDD"/>
    </w:rPr>
  </w:style>
  <w:style w:type="paragraph" w:styleId="NormalWeb">
    <w:name w:val="Normal (Web)"/>
    <w:basedOn w:val="Normal"/>
    <w:uiPriority w:val="99"/>
    <w:semiHidden/>
    <w:unhideWhenUsed/>
    <w:rsid w:val="001C412B"/>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5">
    <w:name w:val="Grid Table 4 Accent 5"/>
    <w:basedOn w:val="TableNormal"/>
    <w:uiPriority w:val="49"/>
    <w:rsid w:val="001C412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1C412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4">
    <w:name w:val="List Table 3 Accent 4"/>
    <w:basedOn w:val="TableNormal"/>
    <w:uiPriority w:val="48"/>
    <w:rsid w:val="001C412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2">
    <w:name w:val="List Table 3 Accent 2"/>
    <w:basedOn w:val="TableNormal"/>
    <w:uiPriority w:val="48"/>
    <w:rsid w:val="001C412B"/>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2">
    <w:name w:val="Grid Table 4 Accent 2"/>
    <w:basedOn w:val="TableNormal"/>
    <w:uiPriority w:val="49"/>
    <w:rsid w:val="001C412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1C41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Revision">
    <w:name w:val="Revision"/>
    <w:hidden/>
    <w:uiPriority w:val="99"/>
    <w:semiHidden/>
    <w:rsid w:val="0061174F"/>
    <w:pPr>
      <w:spacing w:after="0" w:line="240" w:lineRule="auto"/>
    </w:pPr>
  </w:style>
  <w:style w:type="character" w:styleId="UnresolvedMention">
    <w:name w:val="Unresolved Mention"/>
    <w:basedOn w:val="DefaultParagraphFont"/>
    <w:uiPriority w:val="99"/>
    <w:semiHidden/>
    <w:unhideWhenUsed/>
    <w:rsid w:val="00466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0198">
      <w:bodyDiv w:val="1"/>
      <w:marLeft w:val="0"/>
      <w:marRight w:val="0"/>
      <w:marTop w:val="0"/>
      <w:marBottom w:val="0"/>
      <w:divBdr>
        <w:top w:val="none" w:sz="0" w:space="0" w:color="auto"/>
        <w:left w:val="none" w:sz="0" w:space="0" w:color="auto"/>
        <w:bottom w:val="none" w:sz="0" w:space="0" w:color="auto"/>
        <w:right w:val="none" w:sz="0" w:space="0" w:color="auto"/>
      </w:divBdr>
    </w:div>
    <w:div w:id="166409216">
      <w:bodyDiv w:val="1"/>
      <w:marLeft w:val="0"/>
      <w:marRight w:val="0"/>
      <w:marTop w:val="0"/>
      <w:marBottom w:val="0"/>
      <w:divBdr>
        <w:top w:val="none" w:sz="0" w:space="0" w:color="auto"/>
        <w:left w:val="none" w:sz="0" w:space="0" w:color="auto"/>
        <w:bottom w:val="none" w:sz="0" w:space="0" w:color="auto"/>
        <w:right w:val="none" w:sz="0" w:space="0" w:color="auto"/>
      </w:divBdr>
    </w:div>
    <w:div w:id="451441395">
      <w:bodyDiv w:val="1"/>
      <w:marLeft w:val="0"/>
      <w:marRight w:val="0"/>
      <w:marTop w:val="0"/>
      <w:marBottom w:val="0"/>
      <w:divBdr>
        <w:top w:val="none" w:sz="0" w:space="0" w:color="auto"/>
        <w:left w:val="none" w:sz="0" w:space="0" w:color="auto"/>
        <w:bottom w:val="none" w:sz="0" w:space="0" w:color="auto"/>
        <w:right w:val="none" w:sz="0" w:space="0" w:color="auto"/>
      </w:divBdr>
      <w:divsChild>
        <w:div w:id="652830885">
          <w:marLeft w:val="446"/>
          <w:marRight w:val="0"/>
          <w:marTop w:val="0"/>
          <w:marBottom w:val="0"/>
          <w:divBdr>
            <w:top w:val="none" w:sz="0" w:space="0" w:color="auto"/>
            <w:left w:val="none" w:sz="0" w:space="0" w:color="auto"/>
            <w:bottom w:val="none" w:sz="0" w:space="0" w:color="auto"/>
            <w:right w:val="none" w:sz="0" w:space="0" w:color="auto"/>
          </w:divBdr>
        </w:div>
        <w:div w:id="1496067464">
          <w:marLeft w:val="446"/>
          <w:marRight w:val="0"/>
          <w:marTop w:val="0"/>
          <w:marBottom w:val="0"/>
          <w:divBdr>
            <w:top w:val="none" w:sz="0" w:space="0" w:color="auto"/>
            <w:left w:val="none" w:sz="0" w:space="0" w:color="auto"/>
            <w:bottom w:val="none" w:sz="0" w:space="0" w:color="auto"/>
            <w:right w:val="none" w:sz="0" w:space="0" w:color="auto"/>
          </w:divBdr>
        </w:div>
        <w:div w:id="1211185827">
          <w:marLeft w:val="446"/>
          <w:marRight w:val="0"/>
          <w:marTop w:val="0"/>
          <w:marBottom w:val="0"/>
          <w:divBdr>
            <w:top w:val="none" w:sz="0" w:space="0" w:color="auto"/>
            <w:left w:val="none" w:sz="0" w:space="0" w:color="auto"/>
            <w:bottom w:val="none" w:sz="0" w:space="0" w:color="auto"/>
            <w:right w:val="none" w:sz="0" w:space="0" w:color="auto"/>
          </w:divBdr>
        </w:div>
        <w:div w:id="1773666639">
          <w:marLeft w:val="446"/>
          <w:marRight w:val="0"/>
          <w:marTop w:val="0"/>
          <w:marBottom w:val="0"/>
          <w:divBdr>
            <w:top w:val="none" w:sz="0" w:space="0" w:color="auto"/>
            <w:left w:val="none" w:sz="0" w:space="0" w:color="auto"/>
            <w:bottom w:val="none" w:sz="0" w:space="0" w:color="auto"/>
            <w:right w:val="none" w:sz="0" w:space="0" w:color="auto"/>
          </w:divBdr>
        </w:div>
      </w:divsChild>
    </w:div>
    <w:div w:id="777480333">
      <w:bodyDiv w:val="1"/>
      <w:marLeft w:val="0"/>
      <w:marRight w:val="0"/>
      <w:marTop w:val="0"/>
      <w:marBottom w:val="0"/>
      <w:divBdr>
        <w:top w:val="none" w:sz="0" w:space="0" w:color="auto"/>
        <w:left w:val="none" w:sz="0" w:space="0" w:color="auto"/>
        <w:bottom w:val="none" w:sz="0" w:space="0" w:color="auto"/>
        <w:right w:val="none" w:sz="0" w:space="0" w:color="auto"/>
      </w:divBdr>
    </w:div>
    <w:div w:id="812873064">
      <w:bodyDiv w:val="1"/>
      <w:marLeft w:val="0"/>
      <w:marRight w:val="0"/>
      <w:marTop w:val="0"/>
      <w:marBottom w:val="0"/>
      <w:divBdr>
        <w:top w:val="none" w:sz="0" w:space="0" w:color="auto"/>
        <w:left w:val="none" w:sz="0" w:space="0" w:color="auto"/>
        <w:bottom w:val="none" w:sz="0" w:space="0" w:color="auto"/>
        <w:right w:val="none" w:sz="0" w:space="0" w:color="auto"/>
      </w:divBdr>
    </w:div>
    <w:div w:id="865482741">
      <w:bodyDiv w:val="1"/>
      <w:marLeft w:val="0"/>
      <w:marRight w:val="0"/>
      <w:marTop w:val="0"/>
      <w:marBottom w:val="0"/>
      <w:divBdr>
        <w:top w:val="none" w:sz="0" w:space="0" w:color="auto"/>
        <w:left w:val="none" w:sz="0" w:space="0" w:color="auto"/>
        <w:bottom w:val="none" w:sz="0" w:space="0" w:color="auto"/>
        <w:right w:val="none" w:sz="0" w:space="0" w:color="auto"/>
      </w:divBdr>
    </w:div>
    <w:div w:id="1062216157">
      <w:bodyDiv w:val="1"/>
      <w:marLeft w:val="0"/>
      <w:marRight w:val="0"/>
      <w:marTop w:val="0"/>
      <w:marBottom w:val="0"/>
      <w:divBdr>
        <w:top w:val="none" w:sz="0" w:space="0" w:color="auto"/>
        <w:left w:val="none" w:sz="0" w:space="0" w:color="auto"/>
        <w:bottom w:val="none" w:sz="0" w:space="0" w:color="auto"/>
        <w:right w:val="none" w:sz="0" w:space="0" w:color="auto"/>
      </w:divBdr>
    </w:div>
    <w:div w:id="1206790715">
      <w:bodyDiv w:val="1"/>
      <w:marLeft w:val="0"/>
      <w:marRight w:val="0"/>
      <w:marTop w:val="0"/>
      <w:marBottom w:val="0"/>
      <w:divBdr>
        <w:top w:val="none" w:sz="0" w:space="0" w:color="auto"/>
        <w:left w:val="none" w:sz="0" w:space="0" w:color="auto"/>
        <w:bottom w:val="none" w:sz="0" w:space="0" w:color="auto"/>
        <w:right w:val="none" w:sz="0" w:space="0" w:color="auto"/>
      </w:divBdr>
    </w:div>
    <w:div w:id="1523667975">
      <w:bodyDiv w:val="1"/>
      <w:marLeft w:val="0"/>
      <w:marRight w:val="0"/>
      <w:marTop w:val="0"/>
      <w:marBottom w:val="0"/>
      <w:divBdr>
        <w:top w:val="none" w:sz="0" w:space="0" w:color="auto"/>
        <w:left w:val="none" w:sz="0" w:space="0" w:color="auto"/>
        <w:bottom w:val="none" w:sz="0" w:space="0" w:color="auto"/>
        <w:right w:val="none" w:sz="0" w:space="0" w:color="auto"/>
      </w:divBdr>
    </w:div>
    <w:div w:id="1679308599">
      <w:bodyDiv w:val="1"/>
      <w:marLeft w:val="0"/>
      <w:marRight w:val="0"/>
      <w:marTop w:val="0"/>
      <w:marBottom w:val="0"/>
      <w:divBdr>
        <w:top w:val="none" w:sz="0" w:space="0" w:color="auto"/>
        <w:left w:val="none" w:sz="0" w:space="0" w:color="auto"/>
        <w:bottom w:val="none" w:sz="0" w:space="0" w:color="auto"/>
        <w:right w:val="none" w:sz="0" w:space="0" w:color="auto"/>
      </w:divBdr>
    </w:div>
    <w:div w:id="1786466388">
      <w:bodyDiv w:val="1"/>
      <w:marLeft w:val="0"/>
      <w:marRight w:val="0"/>
      <w:marTop w:val="0"/>
      <w:marBottom w:val="0"/>
      <w:divBdr>
        <w:top w:val="none" w:sz="0" w:space="0" w:color="auto"/>
        <w:left w:val="none" w:sz="0" w:space="0" w:color="auto"/>
        <w:bottom w:val="none" w:sz="0" w:space="0" w:color="auto"/>
        <w:right w:val="none" w:sz="0" w:space="0" w:color="auto"/>
      </w:divBdr>
      <w:divsChild>
        <w:div w:id="969434670">
          <w:marLeft w:val="446"/>
          <w:marRight w:val="0"/>
          <w:marTop w:val="0"/>
          <w:marBottom w:val="0"/>
          <w:divBdr>
            <w:top w:val="none" w:sz="0" w:space="0" w:color="auto"/>
            <w:left w:val="none" w:sz="0" w:space="0" w:color="auto"/>
            <w:bottom w:val="none" w:sz="0" w:space="0" w:color="auto"/>
            <w:right w:val="none" w:sz="0" w:space="0" w:color="auto"/>
          </w:divBdr>
        </w:div>
        <w:div w:id="993338230">
          <w:marLeft w:val="446"/>
          <w:marRight w:val="0"/>
          <w:marTop w:val="0"/>
          <w:marBottom w:val="0"/>
          <w:divBdr>
            <w:top w:val="none" w:sz="0" w:space="0" w:color="auto"/>
            <w:left w:val="none" w:sz="0" w:space="0" w:color="auto"/>
            <w:bottom w:val="none" w:sz="0" w:space="0" w:color="auto"/>
            <w:right w:val="none" w:sz="0" w:space="0" w:color="auto"/>
          </w:divBdr>
        </w:div>
        <w:div w:id="710543551">
          <w:marLeft w:val="446"/>
          <w:marRight w:val="0"/>
          <w:marTop w:val="0"/>
          <w:marBottom w:val="0"/>
          <w:divBdr>
            <w:top w:val="none" w:sz="0" w:space="0" w:color="auto"/>
            <w:left w:val="none" w:sz="0" w:space="0" w:color="auto"/>
            <w:bottom w:val="none" w:sz="0" w:space="0" w:color="auto"/>
            <w:right w:val="none" w:sz="0" w:space="0" w:color="auto"/>
          </w:divBdr>
        </w:div>
        <w:div w:id="3489913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vie@ochsner.org"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072d266d-b8d0-41ac-ac54-fdf1beeb18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F7053033427540A45BCD60A43D3FF7" ma:contentTypeVersion="17" ma:contentTypeDescription="Create a new document." ma:contentTypeScope="" ma:versionID="0371e118ede3e3ccd8f2b026e3b3c469">
  <xsd:schema xmlns:xsd="http://www.w3.org/2001/XMLSchema" xmlns:xs="http://www.w3.org/2001/XMLSchema" xmlns:p="http://schemas.microsoft.com/office/2006/metadata/properties" xmlns:ns1="http://schemas.microsoft.com/sharepoint/v3" xmlns:ns3="072d266d-b8d0-41ac-ac54-fdf1beeb1839" xmlns:ns4="231fd5a7-fc94-41b7-b2ee-740200048191" targetNamespace="http://schemas.microsoft.com/office/2006/metadata/properties" ma:root="true" ma:fieldsID="e02a2a77ad35f27b0a01eb502e6ad440" ns1:_="" ns3:_="" ns4:_="">
    <xsd:import namespace="http://schemas.microsoft.com/sharepoint/v3"/>
    <xsd:import namespace="072d266d-b8d0-41ac-ac54-fdf1beeb1839"/>
    <xsd:import namespace="231fd5a7-fc94-41b7-b2ee-7402000481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2d266d-b8d0-41ac-ac54-fdf1beeb1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5a7-fc94-41b7-b2ee-7402000481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1E54B8-22A1-4387-A9A0-73FED15620AF}">
  <ds:schemaRefs>
    <ds:schemaRef ds:uri="http://schemas.openxmlformats.org/officeDocument/2006/bibliography"/>
  </ds:schemaRefs>
</ds:datastoreItem>
</file>

<file path=customXml/itemProps2.xml><?xml version="1.0" encoding="utf-8"?>
<ds:datastoreItem xmlns:ds="http://schemas.openxmlformats.org/officeDocument/2006/customXml" ds:itemID="{BCB1DB04-9E14-498D-9920-3E2A0546CE10}">
  <ds:schemaRefs>
    <ds:schemaRef ds:uri="http://schemas.microsoft.com/office/2006/metadata/properties"/>
    <ds:schemaRef ds:uri="http://schemas.microsoft.com/office/infopath/2007/PartnerControls"/>
    <ds:schemaRef ds:uri="http://schemas.microsoft.com/sharepoint/v3"/>
    <ds:schemaRef ds:uri="072d266d-b8d0-41ac-ac54-fdf1beeb1839"/>
  </ds:schemaRefs>
</ds:datastoreItem>
</file>

<file path=customXml/itemProps3.xml><?xml version="1.0" encoding="utf-8"?>
<ds:datastoreItem xmlns:ds="http://schemas.openxmlformats.org/officeDocument/2006/customXml" ds:itemID="{3BE6C82D-ABF4-4CD1-ABC1-DFAC1343758F}">
  <ds:schemaRefs>
    <ds:schemaRef ds:uri="http://schemas.microsoft.com/sharepoint/v3/contenttype/forms"/>
  </ds:schemaRefs>
</ds:datastoreItem>
</file>

<file path=customXml/itemProps4.xml><?xml version="1.0" encoding="utf-8"?>
<ds:datastoreItem xmlns:ds="http://schemas.openxmlformats.org/officeDocument/2006/customXml" ds:itemID="{153914C4-6FEC-4BC4-B22D-8A542FB96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2d266d-b8d0-41ac-ac54-fdf1beeb1839"/>
    <ds:schemaRef ds:uri="231fd5a7-fc94-41b7-b2ee-740200048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56</Pages>
  <Words>272168</Words>
  <Characters>1551362</Characters>
  <Application>Microsoft Office Word</Application>
  <DocSecurity>0</DocSecurity>
  <Lines>12928</Lines>
  <Paragraphs>3639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Afsin OKTAY</dc:creator>
  <cp:keywords/>
  <dc:description/>
  <cp:lastModifiedBy>Kenneth Feingold</cp:lastModifiedBy>
  <cp:revision>7</cp:revision>
  <dcterms:created xsi:type="dcterms:W3CDTF">2023-09-25T16:57:00Z</dcterms:created>
  <dcterms:modified xsi:type="dcterms:W3CDTF">2023-09-25T19:39:00Z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http://www.zotero.org/styles/the-journal-of-clinical-endocrinology-and-metabolism</vt:lpwstr>
  </property>
  <property fmtid="{D5CDD505-2E9C-101B-9397-08002B2CF9AE}" pid="19" name="Mendeley Recent Style Name 8_1">
    <vt:lpwstr>The Journal of Clinical Endocrinology &amp; Metabolism</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34bce423-0bba-38ac-b23d-1cf1f9fd9892</vt:lpwstr>
  </property>
  <property fmtid="{D5CDD505-2E9C-101B-9397-08002B2CF9AE}" pid="24" name="Mendeley Citation Style_1">
    <vt:lpwstr>http://www.zotero.org/styles/the-journal-of-clinical-endocrinology-and-metabolism</vt:lpwstr>
  </property>
  <property fmtid="{D5CDD505-2E9C-101B-9397-08002B2CF9AE}" pid="25" name="IFClassification">
    <vt:lpwstr>ea8f6c00-5acf-4edc-ad88-e6c62d3c2e6b|</vt:lpwstr>
  </property>
  <property fmtid="{D5CDD505-2E9C-101B-9397-08002B2CF9AE}" pid="26" name="IFClassification_type">
    <vt:lpwstr>1</vt:lpwstr>
  </property>
  <property fmtid="{D5CDD505-2E9C-101B-9397-08002B2CF9AE}" pid="27" name="IFClassification_name">
    <vt:lpwstr>Proprietary|</vt:lpwstr>
  </property>
  <property fmtid="{D5CDD505-2E9C-101B-9397-08002B2CF9AE}" pid="28" name="IFClassification_name_type">
    <vt:lpwstr>1</vt:lpwstr>
  </property>
  <property fmtid="{D5CDD505-2E9C-101B-9397-08002B2CF9AE}" pid="29" name="IFClassification_flags">
    <vt:lpwstr>32768|</vt:lpwstr>
  </property>
  <property fmtid="{D5CDD505-2E9C-101B-9397-08002B2CF9AE}" pid="30" name="IFClassification_flags_type">
    <vt:lpwstr>1</vt:lpwstr>
  </property>
  <property fmtid="{D5CDD505-2E9C-101B-9397-08002B2CF9AE}" pid="31" name="IFClassification_version">
    <vt:lpwstr>43ee0c5f-e038-421c-8a3e-ab4eB1166124</vt:lpwstr>
  </property>
  <property fmtid="{D5CDD505-2E9C-101B-9397-08002B2CF9AE}" pid="32" name="IFClassification_version_type">
    <vt:lpwstr>1</vt:lpwstr>
  </property>
  <property fmtid="{D5CDD505-2E9C-101B-9397-08002B2CF9AE}" pid="33" name="ContentTypeId">
    <vt:lpwstr>0x01010021F7053033427540A45BCD60A43D3FF7</vt:lpwstr>
  </property>
</Properties>
</file>