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2859C" w14:textId="25C783C4" w:rsidR="003C07A2" w:rsidRPr="00B52E8A" w:rsidRDefault="009E4C10" w:rsidP="008028B0">
      <w:pPr>
        <w:spacing w:after="0" w:line="276" w:lineRule="auto"/>
        <w:rPr>
          <w:rFonts w:ascii="Arial" w:hAnsi="Arial" w:cs="Arial"/>
          <w:b/>
          <w:bCs/>
          <w:sz w:val="28"/>
          <w:szCs w:val="28"/>
        </w:rPr>
      </w:pPr>
      <w:r w:rsidRPr="00B52E8A">
        <w:rPr>
          <w:rFonts w:ascii="Arial" w:hAnsi="Arial" w:cs="Arial"/>
          <w:b/>
          <w:bCs/>
          <w:sz w:val="28"/>
          <w:szCs w:val="28"/>
        </w:rPr>
        <w:t>D</w:t>
      </w:r>
      <w:r w:rsidR="00AD6EB0" w:rsidRPr="00B52E8A">
        <w:rPr>
          <w:rFonts w:ascii="Arial" w:hAnsi="Arial" w:cs="Arial"/>
          <w:b/>
          <w:bCs/>
          <w:sz w:val="28"/>
          <w:szCs w:val="28"/>
        </w:rPr>
        <w:t xml:space="preserve">IABETES MELLITUS AFTER SOLID ORGAN TRANSPLANTATION </w:t>
      </w:r>
      <w:r w:rsidR="0047698C" w:rsidRPr="00B52E8A">
        <w:rPr>
          <w:rFonts w:ascii="Arial" w:hAnsi="Arial" w:cs="Arial"/>
          <w:b/>
          <w:bCs/>
          <w:sz w:val="28"/>
          <w:szCs w:val="28"/>
        </w:rPr>
        <w:t xml:space="preserve"> </w:t>
      </w:r>
    </w:p>
    <w:p w14:paraId="67F44F69" w14:textId="77777777" w:rsidR="008028B0" w:rsidRDefault="008028B0" w:rsidP="008028B0">
      <w:pPr>
        <w:spacing w:after="0" w:line="276" w:lineRule="auto"/>
        <w:rPr>
          <w:rFonts w:ascii="Arial" w:hAnsi="Arial" w:cs="Arial"/>
          <w:b/>
          <w:sz w:val="24"/>
          <w:szCs w:val="24"/>
        </w:rPr>
      </w:pPr>
    </w:p>
    <w:p w14:paraId="20FCB84D" w14:textId="37F25D5B" w:rsidR="00AD639A" w:rsidRDefault="00AD639A" w:rsidP="008028B0">
      <w:pPr>
        <w:spacing w:after="0" w:line="276" w:lineRule="auto"/>
        <w:rPr>
          <w:rFonts w:ascii="Arial" w:hAnsi="Arial" w:cs="Arial"/>
          <w:sz w:val="20"/>
          <w:szCs w:val="20"/>
        </w:rPr>
      </w:pPr>
      <w:r w:rsidRPr="00FA4ABB">
        <w:rPr>
          <w:rFonts w:ascii="Arial" w:hAnsi="Arial" w:cs="Arial"/>
          <w:b/>
          <w:sz w:val="24"/>
          <w:szCs w:val="24"/>
        </w:rPr>
        <w:t xml:space="preserve">Phuong-Thu Pham, MD, </w:t>
      </w:r>
      <w:r w:rsidR="00ED6B9D" w:rsidRPr="00FA4ABB">
        <w:rPr>
          <w:rFonts w:ascii="Arial" w:hAnsi="Arial" w:cs="Arial"/>
          <w:bCs/>
          <w:sz w:val="20"/>
          <w:szCs w:val="20"/>
        </w:rPr>
        <w:t xml:space="preserve">Clinical </w:t>
      </w:r>
      <w:r w:rsidRPr="00FA4ABB">
        <w:rPr>
          <w:rFonts w:ascii="Arial" w:hAnsi="Arial" w:cs="Arial"/>
          <w:bCs/>
          <w:sz w:val="20"/>
          <w:szCs w:val="20"/>
        </w:rPr>
        <w:t>Professor</w:t>
      </w:r>
      <w:r w:rsidRPr="00FA4ABB">
        <w:rPr>
          <w:rFonts w:ascii="Arial" w:hAnsi="Arial" w:cs="Arial"/>
          <w:sz w:val="20"/>
          <w:szCs w:val="20"/>
        </w:rPr>
        <w:t xml:space="preserve"> of Medicine, David Geffen School of Medicine at UCLA, Department of Medicine, Nephrology Division, Kidney Transplant Program, Los Angeles, CA 90095. </w:t>
      </w:r>
      <w:hyperlink r:id="rId10" w:history="1">
        <w:r w:rsidRPr="00FA4ABB">
          <w:rPr>
            <w:rStyle w:val="Hyperlink"/>
            <w:rFonts w:ascii="Arial" w:hAnsi="Arial" w:cs="Arial"/>
            <w:sz w:val="20"/>
            <w:szCs w:val="20"/>
          </w:rPr>
          <w:t>PPham@mednet.ucla.edu</w:t>
        </w:r>
      </w:hyperlink>
      <w:r w:rsidRPr="00FA4ABB">
        <w:rPr>
          <w:rFonts w:ascii="Arial" w:hAnsi="Arial" w:cs="Arial"/>
          <w:sz w:val="20"/>
          <w:szCs w:val="20"/>
        </w:rPr>
        <w:t xml:space="preserve"> </w:t>
      </w:r>
    </w:p>
    <w:p w14:paraId="759597E4" w14:textId="21195BD5" w:rsidR="00ED6B9D" w:rsidRPr="00FA4ABB" w:rsidRDefault="00ED6B9D" w:rsidP="008028B0">
      <w:pPr>
        <w:spacing w:after="0" w:line="276" w:lineRule="auto"/>
        <w:rPr>
          <w:rFonts w:ascii="Arial" w:hAnsi="Arial" w:cs="Arial"/>
          <w:sz w:val="20"/>
          <w:szCs w:val="20"/>
        </w:rPr>
      </w:pPr>
      <w:r w:rsidRPr="00030F15">
        <w:rPr>
          <w:rFonts w:ascii="Arial" w:hAnsi="Arial" w:cs="Arial"/>
          <w:b/>
          <w:sz w:val="24"/>
          <w:szCs w:val="24"/>
        </w:rPr>
        <w:t>Mrinalini Sarkar</w:t>
      </w:r>
      <w:r w:rsidRPr="00030F15">
        <w:rPr>
          <w:rFonts w:ascii="Arial" w:hAnsi="Arial" w:cs="Arial"/>
          <w:sz w:val="24"/>
          <w:szCs w:val="24"/>
        </w:rPr>
        <w:t xml:space="preserve">, </w:t>
      </w:r>
      <w:r w:rsidRPr="00030F15">
        <w:rPr>
          <w:rFonts w:ascii="Arial" w:hAnsi="Arial" w:cs="Arial"/>
          <w:b/>
          <w:sz w:val="24"/>
          <w:szCs w:val="24"/>
        </w:rPr>
        <w:t>MD</w:t>
      </w:r>
      <w:r w:rsidRPr="00030F15">
        <w:rPr>
          <w:rFonts w:ascii="Arial" w:hAnsi="Arial" w:cs="Arial"/>
          <w:b/>
          <w:sz w:val="20"/>
          <w:szCs w:val="20"/>
        </w:rPr>
        <w:t xml:space="preserve">, </w:t>
      </w:r>
      <w:r w:rsidRPr="00030F15">
        <w:rPr>
          <w:rFonts w:ascii="Arial" w:hAnsi="Arial" w:cs="Arial"/>
          <w:bCs/>
          <w:sz w:val="20"/>
          <w:szCs w:val="20"/>
        </w:rPr>
        <w:t>Assistant Clinical Professor of Medicine</w:t>
      </w:r>
      <w:r w:rsidRPr="00030F15">
        <w:rPr>
          <w:rFonts w:ascii="Arial" w:hAnsi="Arial" w:cs="Arial"/>
          <w:sz w:val="20"/>
          <w:szCs w:val="20"/>
        </w:rPr>
        <w:t xml:space="preserve">, David Geffen School of Medicine at UCLA, Department of Medicine, Nephrology Division, Kidney Transplant Program, Los Angeles, CA 90095. </w:t>
      </w:r>
      <w:hyperlink r:id="rId11" w:history="1">
        <w:r w:rsidRPr="00030F15">
          <w:rPr>
            <w:rStyle w:val="Hyperlink"/>
            <w:rFonts w:ascii="Arial" w:hAnsi="Arial" w:cs="Arial"/>
            <w:sz w:val="20"/>
            <w:szCs w:val="20"/>
          </w:rPr>
          <w:t>MSarkar@mednet.ucla.edu</w:t>
        </w:r>
      </w:hyperlink>
    </w:p>
    <w:p w14:paraId="1A3727F5" w14:textId="56633560" w:rsidR="00AD639A" w:rsidRPr="00FA4ABB" w:rsidRDefault="00AD639A" w:rsidP="008028B0">
      <w:pPr>
        <w:spacing w:after="0" w:line="276" w:lineRule="auto"/>
        <w:rPr>
          <w:rFonts w:ascii="Arial" w:hAnsi="Arial" w:cs="Arial"/>
          <w:sz w:val="20"/>
          <w:szCs w:val="20"/>
        </w:rPr>
      </w:pPr>
      <w:r w:rsidRPr="00FA4ABB">
        <w:rPr>
          <w:rFonts w:ascii="Arial" w:hAnsi="Arial" w:cs="Arial"/>
          <w:b/>
          <w:sz w:val="24"/>
          <w:szCs w:val="24"/>
        </w:rPr>
        <w:t xml:space="preserve">Phuong-Mai Pham, MD, </w:t>
      </w:r>
      <w:r w:rsidR="00ED6B9D" w:rsidRPr="00FA4ABB">
        <w:rPr>
          <w:rFonts w:ascii="Arial" w:hAnsi="Arial" w:cs="Arial"/>
          <w:bCs/>
          <w:sz w:val="20"/>
          <w:szCs w:val="20"/>
        </w:rPr>
        <w:t>Clinical</w:t>
      </w:r>
      <w:r w:rsidR="00ED6B9D" w:rsidRPr="00FA4ABB">
        <w:rPr>
          <w:rFonts w:ascii="Arial" w:hAnsi="Arial" w:cs="Arial"/>
          <w:bCs/>
          <w:sz w:val="24"/>
          <w:szCs w:val="24"/>
        </w:rPr>
        <w:t xml:space="preserve"> </w:t>
      </w:r>
      <w:r w:rsidRPr="00FA4ABB">
        <w:rPr>
          <w:rFonts w:ascii="Arial" w:hAnsi="Arial" w:cs="Arial"/>
          <w:bCs/>
          <w:sz w:val="20"/>
          <w:szCs w:val="20"/>
        </w:rPr>
        <w:t>Professor</w:t>
      </w:r>
      <w:r w:rsidRPr="00FA4ABB">
        <w:rPr>
          <w:rFonts w:ascii="Arial" w:hAnsi="Arial" w:cs="Arial"/>
          <w:sz w:val="20"/>
          <w:szCs w:val="20"/>
        </w:rPr>
        <w:t xml:space="preserve"> of Medicine, VA Greater Los Angeles Health Care System, Department of Medicine, North Hills, CA 91343. </w:t>
      </w:r>
      <w:hyperlink r:id="rId12" w:history="1">
        <w:r w:rsidRPr="00FA4ABB">
          <w:rPr>
            <w:rStyle w:val="Hyperlink"/>
            <w:rFonts w:ascii="Arial" w:hAnsi="Arial" w:cs="Arial"/>
            <w:sz w:val="20"/>
            <w:szCs w:val="20"/>
          </w:rPr>
          <w:t>Phuong-mai.pham@va.gov</w:t>
        </w:r>
      </w:hyperlink>
    </w:p>
    <w:p w14:paraId="0255FE44" w14:textId="6E585109" w:rsidR="00AD639A" w:rsidRPr="00FA4ABB" w:rsidRDefault="00AD639A" w:rsidP="008028B0">
      <w:pPr>
        <w:spacing w:after="0" w:line="276" w:lineRule="auto"/>
        <w:rPr>
          <w:rFonts w:ascii="Arial" w:hAnsi="Arial" w:cs="Arial"/>
          <w:b/>
          <w:sz w:val="20"/>
          <w:szCs w:val="20"/>
        </w:rPr>
      </w:pPr>
      <w:r w:rsidRPr="00FA4ABB">
        <w:rPr>
          <w:rFonts w:ascii="Arial" w:hAnsi="Arial" w:cs="Arial"/>
          <w:b/>
          <w:sz w:val="24"/>
          <w:szCs w:val="24"/>
        </w:rPr>
        <w:t>Anum Hamiduzzaman</w:t>
      </w:r>
      <w:r w:rsidR="002974AD" w:rsidRPr="002B0099">
        <w:rPr>
          <w:rFonts w:ascii="Arial" w:hAnsi="Arial" w:cs="Arial"/>
          <w:b/>
          <w:sz w:val="24"/>
          <w:szCs w:val="24"/>
        </w:rPr>
        <w:t>, MD</w:t>
      </w:r>
      <w:r w:rsidR="002974AD" w:rsidRPr="00FA4ABB">
        <w:rPr>
          <w:rFonts w:ascii="Arial" w:hAnsi="Arial" w:cs="Arial"/>
          <w:bCs/>
          <w:sz w:val="20"/>
          <w:szCs w:val="20"/>
        </w:rPr>
        <w:t xml:space="preserve">, Assistant Clinical Professor of Medicine, </w:t>
      </w:r>
      <w:r w:rsidR="00056425" w:rsidRPr="00FA4ABB">
        <w:rPr>
          <w:rFonts w:ascii="Arial" w:hAnsi="Arial" w:cs="Arial"/>
          <w:bCs/>
          <w:sz w:val="20"/>
          <w:szCs w:val="20"/>
        </w:rPr>
        <w:t>David Geffen School of Medicine at UCLA, Departemnt of Medicine, Nephrology Divisi</w:t>
      </w:r>
      <w:r w:rsidR="001F2B62" w:rsidRPr="00FA4ABB">
        <w:rPr>
          <w:rFonts w:ascii="Arial" w:hAnsi="Arial" w:cs="Arial"/>
          <w:bCs/>
          <w:sz w:val="20"/>
          <w:szCs w:val="20"/>
        </w:rPr>
        <w:t>on, Kidney Transplant Program, Los Angeles, CA 90095</w:t>
      </w:r>
    </w:p>
    <w:p w14:paraId="5104AE81" w14:textId="5BBA84D0" w:rsidR="00AD639A" w:rsidRDefault="00AD639A" w:rsidP="008028B0">
      <w:pPr>
        <w:spacing w:after="0" w:line="276" w:lineRule="auto"/>
      </w:pPr>
      <w:r w:rsidRPr="00FA4ABB">
        <w:rPr>
          <w:rFonts w:ascii="Arial" w:hAnsi="Arial" w:cs="Arial"/>
          <w:b/>
          <w:sz w:val="24"/>
          <w:szCs w:val="24"/>
        </w:rPr>
        <w:t xml:space="preserve">Phuong-Chi Pham, MD, </w:t>
      </w:r>
      <w:r w:rsidR="00ED6B9D" w:rsidRPr="00FA4ABB">
        <w:rPr>
          <w:rFonts w:ascii="Arial" w:hAnsi="Arial" w:cs="Arial"/>
          <w:bCs/>
          <w:sz w:val="20"/>
          <w:szCs w:val="20"/>
        </w:rPr>
        <w:t xml:space="preserve">Clinical </w:t>
      </w:r>
      <w:r w:rsidRPr="00FA4ABB">
        <w:rPr>
          <w:rFonts w:ascii="Arial" w:hAnsi="Arial" w:cs="Arial"/>
          <w:bCs/>
          <w:sz w:val="20"/>
          <w:szCs w:val="20"/>
        </w:rPr>
        <w:t>Professor</w:t>
      </w:r>
      <w:r w:rsidRPr="00FA4ABB">
        <w:rPr>
          <w:rFonts w:ascii="Arial" w:hAnsi="Arial" w:cs="Arial"/>
          <w:sz w:val="20"/>
          <w:szCs w:val="20"/>
        </w:rPr>
        <w:t xml:space="preserve"> of Medicine, Olive View-UCLA Medical Center, Department of Medicine, Nephrology Division, Sylmar, CA 91345. </w:t>
      </w:r>
      <w:hyperlink r:id="rId13" w:history="1">
        <w:r w:rsidRPr="00FA4ABB">
          <w:rPr>
            <w:rStyle w:val="Hyperlink"/>
            <w:rFonts w:ascii="Arial" w:hAnsi="Arial" w:cs="Arial"/>
            <w:sz w:val="20"/>
            <w:szCs w:val="20"/>
          </w:rPr>
          <w:t>pctp@ucla.edu</w:t>
        </w:r>
      </w:hyperlink>
    </w:p>
    <w:p w14:paraId="7DF61ACA" w14:textId="77777777" w:rsidR="00AD6EB0" w:rsidRDefault="00AD6EB0" w:rsidP="008028B0">
      <w:pPr>
        <w:spacing w:after="0" w:line="276" w:lineRule="auto"/>
      </w:pPr>
    </w:p>
    <w:p w14:paraId="633B0A99" w14:textId="0D4E3B80" w:rsidR="00AD6EB0" w:rsidRPr="00AD6EB0" w:rsidRDefault="00AD6EB0" w:rsidP="00AD6EB0">
      <w:pPr>
        <w:spacing w:after="0" w:line="276" w:lineRule="auto"/>
        <w:rPr>
          <w:rFonts w:ascii="Arial" w:hAnsi="Arial" w:cs="Arial"/>
          <w:b/>
          <w:bCs/>
        </w:rPr>
      </w:pPr>
      <w:r w:rsidRPr="00AD6EB0">
        <w:rPr>
          <w:rFonts w:ascii="Arial" w:hAnsi="Arial" w:cs="Arial"/>
          <w:b/>
          <w:bCs/>
        </w:rPr>
        <w:t>Updated July 2</w:t>
      </w:r>
      <w:r w:rsidR="000649E9">
        <w:rPr>
          <w:rFonts w:ascii="Arial" w:hAnsi="Arial" w:cs="Arial"/>
          <w:b/>
          <w:bCs/>
        </w:rPr>
        <w:t>2</w:t>
      </w:r>
      <w:r w:rsidRPr="00AD6EB0">
        <w:rPr>
          <w:rFonts w:ascii="Arial" w:hAnsi="Arial" w:cs="Arial"/>
          <w:b/>
          <w:bCs/>
        </w:rPr>
        <w:t>, 2025</w:t>
      </w:r>
    </w:p>
    <w:p w14:paraId="209DDB09" w14:textId="77777777" w:rsidR="009E4C10" w:rsidRPr="00AD6EB0" w:rsidRDefault="009E4C10" w:rsidP="00AD6EB0">
      <w:pPr>
        <w:spacing w:after="0" w:line="276" w:lineRule="auto"/>
        <w:rPr>
          <w:rFonts w:ascii="Arial" w:hAnsi="Arial" w:cs="Arial"/>
        </w:rPr>
      </w:pPr>
    </w:p>
    <w:p w14:paraId="413269A0" w14:textId="77777777" w:rsidR="009E4C10" w:rsidRDefault="009E4C10" w:rsidP="00AD6EB0">
      <w:pPr>
        <w:spacing w:after="0" w:line="276" w:lineRule="auto"/>
        <w:rPr>
          <w:rFonts w:ascii="Arial" w:hAnsi="Arial" w:cs="Arial"/>
          <w:b/>
          <w:bCs/>
          <w:color w:val="4C94D8" w:themeColor="text2" w:themeTint="80"/>
        </w:rPr>
      </w:pPr>
      <w:r w:rsidRPr="00AD6EB0">
        <w:rPr>
          <w:rFonts w:ascii="Arial" w:hAnsi="Arial" w:cs="Arial"/>
          <w:b/>
          <w:bCs/>
          <w:color w:val="4C94D8" w:themeColor="text2" w:themeTint="80"/>
        </w:rPr>
        <w:t>ABSTRACT</w:t>
      </w:r>
    </w:p>
    <w:p w14:paraId="3ED672F6" w14:textId="77777777" w:rsidR="00AD6EB0" w:rsidRPr="00AD6EB0" w:rsidRDefault="00AD6EB0" w:rsidP="00AD6EB0">
      <w:pPr>
        <w:spacing w:after="0" w:line="276" w:lineRule="auto"/>
        <w:rPr>
          <w:rFonts w:ascii="Arial" w:hAnsi="Arial" w:cs="Arial"/>
          <w:b/>
          <w:bCs/>
          <w:color w:val="4C94D8" w:themeColor="text2" w:themeTint="80"/>
        </w:rPr>
      </w:pPr>
    </w:p>
    <w:p w14:paraId="460AFEE2" w14:textId="43EE36FE" w:rsidR="009E4C10" w:rsidRDefault="009E4C10" w:rsidP="00AD6EB0">
      <w:pPr>
        <w:spacing w:after="0" w:line="276" w:lineRule="auto"/>
        <w:rPr>
          <w:rFonts w:ascii="Arial" w:hAnsi="Arial" w:cs="Arial"/>
        </w:rPr>
      </w:pPr>
      <w:r w:rsidRPr="00AD6EB0">
        <w:rPr>
          <w:rFonts w:ascii="Arial" w:hAnsi="Arial" w:cs="Arial"/>
        </w:rPr>
        <w:t>Post transplantation diabetes mellitus (PTDM)</w:t>
      </w:r>
      <w:r w:rsidR="006B0746" w:rsidRPr="00AD6EB0">
        <w:rPr>
          <w:rFonts w:ascii="Arial" w:hAnsi="Arial" w:cs="Arial"/>
        </w:rPr>
        <w:t xml:space="preserve"> </w:t>
      </w:r>
      <w:r w:rsidRPr="00AD6EB0">
        <w:rPr>
          <w:rFonts w:ascii="Arial" w:hAnsi="Arial" w:cs="Arial"/>
        </w:rPr>
        <w:t xml:space="preserve">is a common and important complication following solid organ transplantation. PTDM may arise from both transplant-related and traditional risk factors and has variably been reported to be associated with decreased patient and graft survival and other adverse outcomes including increased cardiovascular disease risk, infection, and graft rejection. This chapter reviews the nomenclature change for post-transplant diabetes, diagnostic criteria, risk factors, incidence after solid organ transplantation, and associated adverse effects. Screening for PTDM including pretransplant evaluation and early detection in the </w:t>
      </w:r>
      <w:r w:rsidR="00D240BD" w:rsidRPr="00AD6EB0">
        <w:rPr>
          <w:rFonts w:ascii="Arial" w:hAnsi="Arial" w:cs="Arial"/>
        </w:rPr>
        <w:t>post-transplant</w:t>
      </w:r>
      <w:r w:rsidRPr="00AD6EB0">
        <w:rPr>
          <w:rFonts w:ascii="Arial" w:hAnsi="Arial" w:cs="Arial"/>
        </w:rPr>
        <w:t xml:space="preserve"> period, and the unique aspects of diabetes management in the context of organ transplantation are also discussed.</w:t>
      </w:r>
    </w:p>
    <w:p w14:paraId="11FD7545" w14:textId="77777777" w:rsidR="00AD6EB0" w:rsidRPr="00AD6EB0" w:rsidRDefault="00AD6EB0" w:rsidP="00AD6EB0">
      <w:pPr>
        <w:spacing w:after="0" w:line="276" w:lineRule="auto"/>
        <w:rPr>
          <w:rFonts w:ascii="Arial" w:hAnsi="Arial" w:cs="Arial"/>
        </w:rPr>
      </w:pPr>
    </w:p>
    <w:p w14:paraId="09440F2C" w14:textId="77777777" w:rsidR="009E4C10" w:rsidRPr="00AD6EB0" w:rsidRDefault="009E4C10" w:rsidP="00AD6EB0">
      <w:pPr>
        <w:spacing w:after="0" w:line="276" w:lineRule="auto"/>
        <w:rPr>
          <w:rFonts w:ascii="Arial" w:hAnsi="Arial" w:cs="Arial"/>
          <w:b/>
          <w:bCs/>
        </w:rPr>
      </w:pPr>
      <w:r w:rsidRPr="00AD6EB0">
        <w:rPr>
          <w:rFonts w:ascii="Arial" w:hAnsi="Arial" w:cs="Arial"/>
          <w:b/>
          <w:bCs/>
          <w:color w:val="4C94D8" w:themeColor="text2" w:themeTint="80"/>
        </w:rPr>
        <w:t>NOMENCLATURES AND DIAGNOSIS OF POSTTRANSPLANTATION DIABETES MELLITUS: HISTORICAL PERSPECTIVES</w:t>
      </w:r>
    </w:p>
    <w:p w14:paraId="06EF99B2" w14:textId="77777777" w:rsidR="00855DB6" w:rsidRDefault="00855DB6" w:rsidP="00AD6EB0">
      <w:pPr>
        <w:spacing w:after="0" w:line="276" w:lineRule="auto"/>
        <w:rPr>
          <w:rFonts w:ascii="Arial" w:hAnsi="Arial" w:cs="Arial"/>
          <w:b/>
          <w:bCs/>
          <w:color w:val="00B050"/>
        </w:rPr>
      </w:pPr>
    </w:p>
    <w:p w14:paraId="1306D072" w14:textId="5A54EC06"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Nomenclatures</w:t>
      </w:r>
    </w:p>
    <w:p w14:paraId="0801DFEB" w14:textId="77777777" w:rsidR="00D240BD" w:rsidRDefault="00D240BD" w:rsidP="00AD6EB0">
      <w:pPr>
        <w:spacing w:after="0" w:line="276" w:lineRule="auto"/>
        <w:rPr>
          <w:rFonts w:ascii="Arial" w:hAnsi="Arial" w:cs="Arial"/>
        </w:rPr>
      </w:pPr>
    </w:p>
    <w:p w14:paraId="07776781" w14:textId="24C0802C" w:rsidR="009E4C10" w:rsidRPr="00AD6EB0" w:rsidRDefault="009E4C10" w:rsidP="00AD6EB0">
      <w:pPr>
        <w:spacing w:after="0" w:line="276" w:lineRule="auto"/>
        <w:rPr>
          <w:rFonts w:ascii="Arial" w:hAnsi="Arial" w:cs="Arial"/>
        </w:rPr>
      </w:pPr>
      <w:r w:rsidRPr="00AD6EB0">
        <w:rPr>
          <w:rFonts w:ascii="Arial" w:hAnsi="Arial" w:cs="Arial"/>
        </w:rPr>
        <w:t>Post transplantation diabetes mellitus (PTDM) was first described in kidney transplant recipients in 1964 (</w:t>
      </w:r>
      <w:hyperlink r:id="rId14" w:history="1">
        <w:r w:rsidRPr="00AD6EB0">
          <w:rPr>
            <w:rStyle w:val="Hyperlink"/>
            <w:rFonts w:ascii="Arial" w:hAnsi="Arial" w:cs="Arial"/>
            <w:color w:val="auto"/>
            <w:u w:val="none"/>
          </w:rPr>
          <w:t>1</w:t>
        </w:r>
      </w:hyperlink>
      <w:r w:rsidRPr="00AD6EB0">
        <w:rPr>
          <w:rFonts w:ascii="Arial" w:hAnsi="Arial" w:cs="Arial"/>
        </w:rPr>
        <w:t>). It was subsequently recognized as a complication of kidney transplantation in the 1970s. Over the years, PTDM has undergone changes in nomenclatures including steroid diabetes, post transplantation diabetes mellitus (PTDM), new onset diabetes mellitus (NODM), transplant-associated hyperglycemia (TAH), and new onset diabetes after transplantation (NODAT) (</w:t>
      </w:r>
      <w:hyperlink r:id="rId15" w:history="1">
        <w:r w:rsidRPr="00AD6EB0">
          <w:rPr>
            <w:rStyle w:val="Hyperlink"/>
            <w:rFonts w:ascii="Arial" w:hAnsi="Arial" w:cs="Arial"/>
            <w:color w:val="auto"/>
            <w:u w:val="none"/>
          </w:rPr>
          <w:t>2</w:t>
        </w:r>
      </w:hyperlink>
      <w:r w:rsidR="000001F4" w:rsidRPr="00AD6EB0">
        <w:rPr>
          <w:rFonts w:ascii="Arial" w:hAnsi="Arial" w:cs="Arial"/>
        </w:rPr>
        <w:t>-6</w:t>
      </w:r>
      <w:r w:rsidRPr="00AD6EB0">
        <w:rPr>
          <w:rFonts w:ascii="Arial" w:hAnsi="Arial" w:cs="Arial"/>
        </w:rPr>
        <w:t>). In 2014, the International Expert Panel consisting of transplant nephrologists, diabetologists, and clinical scientists recommended changing the terminology NODAT back to PTDM, excluding transient post transplantation hyperglycemia (</w:t>
      </w:r>
      <w:hyperlink r:id="rId16" w:history="1">
        <w:r w:rsidRPr="00AD6EB0">
          <w:rPr>
            <w:rStyle w:val="Hyperlink"/>
            <w:rFonts w:ascii="Arial" w:hAnsi="Arial" w:cs="Arial"/>
            <w:color w:val="auto"/>
            <w:u w:val="none"/>
          </w:rPr>
          <w:t>7</w:t>
        </w:r>
      </w:hyperlink>
      <w:r w:rsidRPr="00AD6EB0">
        <w:rPr>
          <w:rFonts w:ascii="Arial" w:hAnsi="Arial" w:cs="Arial"/>
        </w:rPr>
        <w:t xml:space="preserve">). Utilizing the term NODAT is thought to be misleading because it seemingly excludes patients with </w:t>
      </w:r>
      <w:r w:rsidR="005A5E2C" w:rsidRPr="00AD6EB0">
        <w:rPr>
          <w:rFonts w:ascii="Arial" w:hAnsi="Arial" w:cs="Arial"/>
        </w:rPr>
        <w:t xml:space="preserve">undiagnosed </w:t>
      </w:r>
      <w:r w:rsidRPr="00AD6EB0">
        <w:rPr>
          <w:rFonts w:ascii="Arial" w:hAnsi="Arial" w:cs="Arial"/>
        </w:rPr>
        <w:lastRenderedPageBreak/>
        <w:t xml:space="preserve">pretransplant diabetes. </w:t>
      </w:r>
      <w:r w:rsidR="00B82495" w:rsidRPr="00AD6EB0">
        <w:rPr>
          <w:rFonts w:ascii="Arial" w:hAnsi="Arial" w:cs="Arial"/>
        </w:rPr>
        <w:t xml:space="preserve">Factors that </w:t>
      </w:r>
      <w:r w:rsidR="009204E0" w:rsidRPr="00AD6EB0">
        <w:rPr>
          <w:rFonts w:ascii="Arial" w:hAnsi="Arial" w:cs="Arial"/>
        </w:rPr>
        <w:t xml:space="preserve">may lead to undiagnosed pretransplant diabetes include </w:t>
      </w:r>
      <w:r w:rsidR="00E31F72" w:rsidRPr="00AD6EB0">
        <w:rPr>
          <w:rFonts w:ascii="Arial" w:hAnsi="Arial" w:cs="Arial"/>
        </w:rPr>
        <w:t xml:space="preserve">lack of universal pretransplant screening, </w:t>
      </w:r>
      <w:r w:rsidR="00D059C3" w:rsidRPr="00AD6EB0">
        <w:rPr>
          <w:rFonts w:ascii="Arial" w:hAnsi="Arial" w:cs="Arial"/>
        </w:rPr>
        <w:t xml:space="preserve">impaired insulin clearance by the kidneys </w:t>
      </w:r>
      <w:r w:rsidR="00D51448" w:rsidRPr="00AD6EB0">
        <w:rPr>
          <w:rFonts w:ascii="Arial" w:hAnsi="Arial" w:cs="Arial"/>
        </w:rPr>
        <w:t>and/</w:t>
      </w:r>
      <w:r w:rsidR="004F7D6C" w:rsidRPr="00AD6EB0">
        <w:rPr>
          <w:rFonts w:ascii="Arial" w:hAnsi="Arial" w:cs="Arial"/>
        </w:rPr>
        <w:t xml:space="preserve">or </w:t>
      </w:r>
      <w:r w:rsidR="00D51448" w:rsidRPr="00AD6EB0">
        <w:rPr>
          <w:rFonts w:ascii="Arial" w:hAnsi="Arial" w:cs="Arial"/>
        </w:rPr>
        <w:t>impaired gluconeogenesis</w:t>
      </w:r>
      <w:r w:rsidR="00D101EA" w:rsidRPr="00AD6EB0">
        <w:rPr>
          <w:rFonts w:ascii="Arial" w:hAnsi="Arial" w:cs="Arial"/>
        </w:rPr>
        <w:t xml:space="preserve"> (</w:t>
      </w:r>
      <w:r w:rsidR="00D14527" w:rsidRPr="00AD6EB0">
        <w:rPr>
          <w:rFonts w:ascii="Arial" w:hAnsi="Arial" w:cs="Arial"/>
        </w:rPr>
        <w:t>8)</w:t>
      </w:r>
      <w:r w:rsidR="00713FA7" w:rsidRPr="00AD6EB0">
        <w:rPr>
          <w:rFonts w:ascii="Arial" w:hAnsi="Arial" w:cs="Arial"/>
        </w:rPr>
        <w:t>, and spuriously low A1C levels due to decreased red blood cell survival and chronic anemia</w:t>
      </w:r>
      <w:r w:rsidR="00796DDF" w:rsidRPr="00AD6EB0">
        <w:rPr>
          <w:rFonts w:ascii="Arial" w:hAnsi="Arial" w:cs="Arial"/>
        </w:rPr>
        <w:t xml:space="preserve">. </w:t>
      </w:r>
      <w:r w:rsidRPr="00AD6EB0">
        <w:rPr>
          <w:rFonts w:ascii="Arial" w:hAnsi="Arial" w:cs="Arial"/>
        </w:rPr>
        <w:t>The term PTDM will be utilized for the remainder of this chapter.</w:t>
      </w:r>
      <w:r w:rsidR="0040752D" w:rsidRPr="00AD6EB0">
        <w:rPr>
          <w:rFonts w:ascii="Arial" w:hAnsi="Arial" w:cs="Arial"/>
        </w:rPr>
        <w:t xml:space="preserve"> </w:t>
      </w:r>
    </w:p>
    <w:p w14:paraId="4C136A80" w14:textId="77777777" w:rsidR="00855DB6" w:rsidRDefault="00855DB6" w:rsidP="00AD6EB0">
      <w:pPr>
        <w:spacing w:after="0" w:line="276" w:lineRule="auto"/>
        <w:rPr>
          <w:rFonts w:ascii="Arial" w:hAnsi="Arial" w:cs="Arial"/>
          <w:b/>
          <w:bCs/>
          <w:color w:val="00B050"/>
        </w:rPr>
      </w:pPr>
    </w:p>
    <w:p w14:paraId="0ACA7B49" w14:textId="30E7EA47"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Diagnosis</w:t>
      </w:r>
    </w:p>
    <w:p w14:paraId="60ABB7E7" w14:textId="77777777" w:rsidR="00855DB6" w:rsidRDefault="00855DB6" w:rsidP="00AD6EB0">
      <w:pPr>
        <w:spacing w:after="0" w:line="276" w:lineRule="auto"/>
        <w:rPr>
          <w:rFonts w:ascii="Arial" w:hAnsi="Arial" w:cs="Arial"/>
        </w:rPr>
      </w:pPr>
    </w:p>
    <w:p w14:paraId="17472DF4" w14:textId="1FE99FFF" w:rsidR="00EC7D7D" w:rsidRPr="00AD6EB0" w:rsidRDefault="009E4C10" w:rsidP="00AD6EB0">
      <w:pPr>
        <w:spacing w:after="0" w:line="276" w:lineRule="auto"/>
        <w:rPr>
          <w:rFonts w:ascii="Arial" w:hAnsi="Arial" w:cs="Arial"/>
        </w:rPr>
      </w:pPr>
      <w:r w:rsidRPr="00AD6EB0">
        <w:rPr>
          <w:rFonts w:ascii="Arial" w:hAnsi="Arial" w:cs="Arial"/>
        </w:rPr>
        <w:t>Historically, PTDM has been variably defined as having random glucose levels greater than 200 mg/dL, fasting glucose levels greater than 140 mg/dL, or the need for insulin or oral hypoglycemic agents in the post</w:t>
      </w:r>
      <w:r w:rsidR="002F40BB" w:rsidRPr="00AD6EB0">
        <w:rPr>
          <w:rFonts w:ascii="Arial" w:hAnsi="Arial" w:cs="Arial"/>
        </w:rPr>
        <w:t>-</w:t>
      </w:r>
      <w:r w:rsidRPr="00AD6EB0">
        <w:rPr>
          <w:rFonts w:ascii="Arial" w:hAnsi="Arial" w:cs="Arial"/>
        </w:rPr>
        <w:t>transplant</w:t>
      </w:r>
      <w:r w:rsidR="002F40BB" w:rsidRPr="00AD6EB0">
        <w:rPr>
          <w:rFonts w:ascii="Arial" w:hAnsi="Arial" w:cs="Arial"/>
        </w:rPr>
        <w:t>ation</w:t>
      </w:r>
      <w:r w:rsidRPr="00AD6EB0">
        <w:rPr>
          <w:rFonts w:ascii="Arial" w:hAnsi="Arial" w:cs="Arial"/>
        </w:rPr>
        <w:t xml:space="preserve"> period (</w:t>
      </w:r>
      <w:r w:rsidR="005E0F36" w:rsidRPr="00AD6EB0">
        <w:rPr>
          <w:rFonts w:ascii="Arial" w:hAnsi="Arial" w:cs="Arial"/>
        </w:rPr>
        <w:t>9</w:t>
      </w:r>
      <w:r w:rsidRPr="00AD6EB0">
        <w:rPr>
          <w:rFonts w:ascii="Arial" w:hAnsi="Arial" w:cs="Arial"/>
        </w:rPr>
        <w:t>). In 2003 the International Expert panel consisting of leaders from both the transplant and diabetes fields suggested that the definition and diagnosis of diabetes and impaired glucose tolerance should be based on the definition and diagnosis described by the World Health Organizations (</w:t>
      </w:r>
      <w:r w:rsidR="00614C3D" w:rsidRPr="00AD6EB0">
        <w:rPr>
          <w:rFonts w:ascii="Arial" w:hAnsi="Arial" w:cs="Arial"/>
        </w:rPr>
        <w:t>10</w:t>
      </w:r>
      <w:r w:rsidRPr="00AD6EB0">
        <w:rPr>
          <w:rFonts w:ascii="Arial" w:hAnsi="Arial" w:cs="Arial"/>
        </w:rPr>
        <w:t xml:space="preserve">). In 2011, the American Diabetes Association (ADA) incorporated hemoglobin A1C (A1C) </w:t>
      </w:r>
      <w:r w:rsidRPr="00AD6EB0">
        <w:rPr>
          <w:rFonts w:ascii="Arial" w:hAnsi="Arial" w:cs="Arial"/>
          <w:u w:val="single"/>
        </w:rPr>
        <w:t>&gt;</w:t>
      </w:r>
      <w:r w:rsidRPr="00AD6EB0">
        <w:rPr>
          <w:rFonts w:ascii="Arial" w:hAnsi="Arial" w:cs="Arial"/>
        </w:rPr>
        <w:t xml:space="preserve"> 6.5% as a diagnostic criterion for diabetes mellitus in the general population based on the observed association between A1C level and the risk for future development of retinopathy (</w:t>
      </w:r>
      <w:r w:rsidR="00614C3D" w:rsidRPr="00AD6EB0">
        <w:rPr>
          <w:rFonts w:ascii="Arial" w:hAnsi="Arial" w:cs="Arial"/>
        </w:rPr>
        <w:t>11</w:t>
      </w:r>
      <w:r w:rsidRPr="00AD6EB0">
        <w:rPr>
          <w:rFonts w:ascii="Arial" w:hAnsi="Arial" w:cs="Arial"/>
        </w:rPr>
        <w:t>). In 2014, the International Expert Panel recommended expanding screening tests for PTDM using postprandial glucose monitoring and A1C</w:t>
      </w:r>
      <w:r w:rsidR="002F40BB" w:rsidRPr="00AD6EB0">
        <w:rPr>
          <w:rFonts w:ascii="Arial" w:hAnsi="Arial" w:cs="Arial"/>
        </w:rPr>
        <w:t xml:space="preserve"> (7)</w:t>
      </w:r>
      <w:r w:rsidRPr="00AD6EB0">
        <w:rPr>
          <w:rFonts w:ascii="Arial" w:hAnsi="Arial" w:cs="Arial"/>
        </w:rPr>
        <w:t xml:space="preserve">. </w:t>
      </w:r>
      <w:r w:rsidR="00B323F8" w:rsidRPr="00AD6EB0">
        <w:rPr>
          <w:rFonts w:ascii="Arial" w:hAnsi="Arial" w:cs="Arial"/>
        </w:rPr>
        <w:t xml:space="preserve">The </w:t>
      </w:r>
      <w:r w:rsidR="000771FE" w:rsidRPr="00AD6EB0">
        <w:rPr>
          <w:rFonts w:ascii="Arial" w:hAnsi="Arial" w:cs="Arial"/>
        </w:rPr>
        <w:t xml:space="preserve">2024 updated </w:t>
      </w:r>
      <w:r w:rsidR="00790F2F" w:rsidRPr="00AD6EB0">
        <w:rPr>
          <w:rFonts w:ascii="Arial" w:hAnsi="Arial" w:cs="Arial"/>
        </w:rPr>
        <w:t>international consensus guidelines</w:t>
      </w:r>
      <w:r w:rsidR="00D970E9" w:rsidRPr="00AD6EB0">
        <w:rPr>
          <w:rFonts w:ascii="Arial" w:hAnsi="Arial" w:cs="Arial"/>
        </w:rPr>
        <w:t xml:space="preserve"> endors</w:t>
      </w:r>
      <w:r w:rsidR="0091564A" w:rsidRPr="00AD6EB0">
        <w:rPr>
          <w:rFonts w:ascii="Arial" w:hAnsi="Arial" w:cs="Arial"/>
        </w:rPr>
        <w:t xml:space="preserve">e the use of </w:t>
      </w:r>
      <w:r w:rsidR="002F40BB" w:rsidRPr="00AD6EB0">
        <w:rPr>
          <w:rFonts w:ascii="Arial" w:hAnsi="Arial" w:cs="Arial"/>
        </w:rPr>
        <w:t>oral glucose tolerance test (</w:t>
      </w:r>
      <w:r w:rsidR="0091564A" w:rsidRPr="00AD6EB0">
        <w:rPr>
          <w:rFonts w:ascii="Arial" w:hAnsi="Arial" w:cs="Arial"/>
        </w:rPr>
        <w:t>OGTT</w:t>
      </w:r>
      <w:r w:rsidR="002F40BB" w:rsidRPr="00AD6EB0">
        <w:rPr>
          <w:rFonts w:ascii="Arial" w:hAnsi="Arial" w:cs="Arial"/>
        </w:rPr>
        <w:t xml:space="preserve">) </w:t>
      </w:r>
      <w:r w:rsidR="0091564A" w:rsidRPr="00AD6EB0">
        <w:rPr>
          <w:rFonts w:ascii="Arial" w:hAnsi="Arial" w:cs="Arial"/>
        </w:rPr>
        <w:t>as a</w:t>
      </w:r>
      <w:r w:rsidR="003D7E83" w:rsidRPr="00AD6EB0">
        <w:rPr>
          <w:rFonts w:ascii="Arial" w:hAnsi="Arial" w:cs="Arial"/>
        </w:rPr>
        <w:t xml:space="preserve"> </w:t>
      </w:r>
      <w:r w:rsidR="00077ADC" w:rsidRPr="00AD6EB0">
        <w:rPr>
          <w:rFonts w:ascii="Arial" w:hAnsi="Arial" w:cs="Arial"/>
        </w:rPr>
        <w:t xml:space="preserve">tool </w:t>
      </w:r>
      <w:r w:rsidR="00D65FFE" w:rsidRPr="00AD6EB0">
        <w:rPr>
          <w:rFonts w:ascii="Arial" w:hAnsi="Arial" w:cs="Arial"/>
        </w:rPr>
        <w:t xml:space="preserve">for diagnosis and screening </w:t>
      </w:r>
      <w:r w:rsidR="00361457" w:rsidRPr="00AD6EB0">
        <w:rPr>
          <w:rFonts w:ascii="Arial" w:hAnsi="Arial" w:cs="Arial"/>
        </w:rPr>
        <w:t xml:space="preserve">because A1C </w:t>
      </w:r>
      <w:r w:rsidR="009A3F10" w:rsidRPr="00AD6EB0">
        <w:rPr>
          <w:rFonts w:ascii="Arial" w:hAnsi="Arial" w:cs="Arial"/>
        </w:rPr>
        <w:t>lacks</w:t>
      </w:r>
      <w:r w:rsidR="00CD35DF" w:rsidRPr="00AD6EB0">
        <w:rPr>
          <w:rFonts w:ascii="Arial" w:hAnsi="Arial" w:cs="Arial"/>
        </w:rPr>
        <w:t xml:space="preserve"> diagnostic sensitivity </w:t>
      </w:r>
      <w:r w:rsidR="00D004ED" w:rsidRPr="00AD6EB0">
        <w:rPr>
          <w:rFonts w:ascii="Arial" w:hAnsi="Arial" w:cs="Arial"/>
        </w:rPr>
        <w:t xml:space="preserve">and </w:t>
      </w:r>
      <w:r w:rsidR="003873F4" w:rsidRPr="00AD6EB0">
        <w:rPr>
          <w:rFonts w:ascii="Arial" w:hAnsi="Arial" w:cs="Arial"/>
        </w:rPr>
        <w:t>association with</w:t>
      </w:r>
      <w:r w:rsidR="00D004ED" w:rsidRPr="00AD6EB0">
        <w:rPr>
          <w:rFonts w:ascii="Arial" w:hAnsi="Arial" w:cs="Arial"/>
        </w:rPr>
        <w:t xml:space="preserve"> adverse outcomes</w:t>
      </w:r>
      <w:r w:rsidR="005672D0" w:rsidRPr="00AD6EB0">
        <w:rPr>
          <w:rFonts w:ascii="Arial" w:hAnsi="Arial" w:cs="Arial"/>
        </w:rPr>
        <w:t xml:space="preserve"> (12)</w:t>
      </w:r>
      <w:r w:rsidR="002C37E9" w:rsidRPr="00AD6EB0">
        <w:rPr>
          <w:rFonts w:ascii="Arial" w:hAnsi="Arial" w:cs="Arial"/>
        </w:rPr>
        <w:t xml:space="preserve">. Patients </w:t>
      </w:r>
      <w:r w:rsidR="009619E5" w:rsidRPr="00AD6EB0">
        <w:rPr>
          <w:rFonts w:ascii="Arial" w:hAnsi="Arial" w:cs="Arial"/>
        </w:rPr>
        <w:t xml:space="preserve">with </w:t>
      </w:r>
      <w:r w:rsidR="002F40BB" w:rsidRPr="00AD6EB0">
        <w:rPr>
          <w:rFonts w:ascii="Arial" w:hAnsi="Arial" w:cs="Arial"/>
        </w:rPr>
        <w:t>impaired glucose tolerance (</w:t>
      </w:r>
      <w:r w:rsidR="009619E5" w:rsidRPr="00AD6EB0">
        <w:rPr>
          <w:rFonts w:ascii="Arial" w:hAnsi="Arial" w:cs="Arial"/>
        </w:rPr>
        <w:t>IGT</w:t>
      </w:r>
      <w:r w:rsidR="002F40BB" w:rsidRPr="00AD6EB0">
        <w:rPr>
          <w:rFonts w:ascii="Arial" w:hAnsi="Arial" w:cs="Arial"/>
        </w:rPr>
        <w:t>)</w:t>
      </w:r>
      <w:r w:rsidR="009619E5" w:rsidRPr="00AD6EB0">
        <w:rPr>
          <w:rFonts w:ascii="Arial" w:hAnsi="Arial" w:cs="Arial"/>
        </w:rPr>
        <w:t xml:space="preserve"> </w:t>
      </w:r>
      <w:r w:rsidR="004560C2" w:rsidRPr="00AD6EB0">
        <w:rPr>
          <w:rFonts w:ascii="Arial" w:hAnsi="Arial" w:cs="Arial"/>
        </w:rPr>
        <w:t xml:space="preserve">or PTDM, exclusively diagnosed </w:t>
      </w:r>
      <w:r w:rsidR="00DC15FC" w:rsidRPr="00AD6EB0">
        <w:rPr>
          <w:rFonts w:ascii="Arial" w:hAnsi="Arial" w:cs="Arial"/>
        </w:rPr>
        <w:t>by OGTT</w:t>
      </w:r>
      <w:r w:rsidR="00E9418E" w:rsidRPr="00AD6EB0">
        <w:rPr>
          <w:rFonts w:ascii="Arial" w:hAnsi="Arial" w:cs="Arial"/>
        </w:rPr>
        <w:t>,</w:t>
      </w:r>
      <w:r w:rsidR="00DC15FC" w:rsidRPr="00AD6EB0">
        <w:rPr>
          <w:rFonts w:ascii="Arial" w:hAnsi="Arial" w:cs="Arial"/>
        </w:rPr>
        <w:t xml:space="preserve"> are at risk for </w:t>
      </w:r>
      <w:r w:rsidR="00D004ED" w:rsidRPr="00AD6EB0">
        <w:rPr>
          <w:rFonts w:ascii="Arial" w:hAnsi="Arial" w:cs="Arial"/>
        </w:rPr>
        <w:t xml:space="preserve">cardiovascular disease </w:t>
      </w:r>
      <w:r w:rsidR="00DC15FC" w:rsidRPr="00AD6EB0">
        <w:rPr>
          <w:rFonts w:ascii="Arial" w:hAnsi="Arial" w:cs="Arial"/>
        </w:rPr>
        <w:t>and</w:t>
      </w:r>
      <w:r w:rsidR="00D004ED" w:rsidRPr="00AD6EB0">
        <w:rPr>
          <w:rFonts w:ascii="Arial" w:hAnsi="Arial" w:cs="Arial"/>
        </w:rPr>
        <w:t xml:space="preserve"> </w:t>
      </w:r>
      <w:r w:rsidR="007C07DE" w:rsidRPr="00AD6EB0">
        <w:rPr>
          <w:rFonts w:ascii="Arial" w:hAnsi="Arial" w:cs="Arial"/>
        </w:rPr>
        <w:t>premature death</w:t>
      </w:r>
      <w:r w:rsidR="00185D6B" w:rsidRPr="00AD6EB0">
        <w:rPr>
          <w:rFonts w:ascii="Arial" w:hAnsi="Arial" w:cs="Arial"/>
        </w:rPr>
        <w:t xml:space="preserve">. </w:t>
      </w:r>
      <w:r w:rsidR="00E451B9" w:rsidRPr="00AD6EB0">
        <w:rPr>
          <w:rFonts w:ascii="Arial" w:hAnsi="Arial" w:cs="Arial"/>
        </w:rPr>
        <w:t xml:space="preserve">The expert panel proposed </w:t>
      </w:r>
      <w:r w:rsidR="002F40BB" w:rsidRPr="00AD6EB0">
        <w:rPr>
          <w:rFonts w:ascii="Arial" w:hAnsi="Arial" w:cs="Arial"/>
        </w:rPr>
        <w:t xml:space="preserve">performing </w:t>
      </w:r>
      <w:r w:rsidR="00E451B9" w:rsidRPr="00AD6EB0">
        <w:rPr>
          <w:rFonts w:ascii="Arial" w:hAnsi="Arial" w:cs="Arial"/>
        </w:rPr>
        <w:t>OGTT at 10- to 13- week post-transplantation for screening and diagnosis of PTDM and IGT.</w:t>
      </w:r>
      <w:r w:rsidR="00322B69" w:rsidRPr="00AD6EB0">
        <w:rPr>
          <w:rFonts w:ascii="Arial" w:hAnsi="Arial" w:cs="Arial"/>
        </w:rPr>
        <w:t xml:space="preserve"> Patients with </w:t>
      </w:r>
      <w:r w:rsidR="004C313A" w:rsidRPr="00AD6EB0">
        <w:rPr>
          <w:rFonts w:ascii="Arial" w:hAnsi="Arial" w:cs="Arial"/>
        </w:rPr>
        <w:t>prediabetes (</w:t>
      </w:r>
      <w:r w:rsidR="005672D0" w:rsidRPr="00AD6EB0">
        <w:rPr>
          <w:rFonts w:ascii="Arial" w:hAnsi="Arial" w:cs="Arial"/>
        </w:rPr>
        <w:t>impaired fasting glucose</w:t>
      </w:r>
      <w:r w:rsidR="004C313A" w:rsidRPr="00AD6EB0">
        <w:rPr>
          <w:rFonts w:ascii="Arial" w:hAnsi="Arial" w:cs="Arial"/>
        </w:rPr>
        <w:t xml:space="preserve"> or IGT) or PTDM risk factors may benefit from annua</w:t>
      </w:r>
      <w:r w:rsidR="00907057" w:rsidRPr="00AD6EB0">
        <w:rPr>
          <w:rFonts w:ascii="Arial" w:hAnsi="Arial" w:cs="Arial"/>
        </w:rPr>
        <w:t>l</w:t>
      </w:r>
      <w:r w:rsidR="004C313A" w:rsidRPr="00AD6EB0">
        <w:rPr>
          <w:rFonts w:ascii="Arial" w:hAnsi="Arial" w:cs="Arial"/>
        </w:rPr>
        <w:t xml:space="preserve"> OGTT. </w:t>
      </w:r>
    </w:p>
    <w:p w14:paraId="3CAC71E6" w14:textId="77777777" w:rsidR="00855DB6" w:rsidRDefault="00855DB6" w:rsidP="00AD6EB0">
      <w:pPr>
        <w:spacing w:after="0" w:line="276" w:lineRule="auto"/>
        <w:rPr>
          <w:rFonts w:ascii="Arial" w:hAnsi="Arial" w:cs="Arial"/>
        </w:rPr>
      </w:pPr>
    </w:p>
    <w:p w14:paraId="66E30DC8" w14:textId="0B5A8ABB" w:rsidR="00B67BF7" w:rsidRPr="00AD6EB0" w:rsidRDefault="00B67BF7" w:rsidP="00AD6EB0">
      <w:pPr>
        <w:spacing w:after="0" w:line="276" w:lineRule="auto"/>
        <w:rPr>
          <w:rFonts w:ascii="Arial" w:hAnsi="Arial" w:cs="Arial"/>
        </w:rPr>
      </w:pPr>
      <w:r w:rsidRPr="00AD6EB0">
        <w:rPr>
          <w:rFonts w:ascii="Arial" w:hAnsi="Arial" w:cs="Arial"/>
        </w:rPr>
        <w:t xml:space="preserve">Although </w:t>
      </w:r>
      <w:r w:rsidR="00AC0548" w:rsidRPr="00AD6EB0">
        <w:rPr>
          <w:rFonts w:ascii="Arial" w:hAnsi="Arial" w:cs="Arial"/>
        </w:rPr>
        <w:t>OGTT is widely accepted as gold standard for PTDM diagnosis, it is infrequently</w:t>
      </w:r>
      <w:r w:rsidR="00CC3AF9" w:rsidRPr="00AD6EB0">
        <w:rPr>
          <w:rFonts w:ascii="Arial" w:hAnsi="Arial" w:cs="Arial"/>
        </w:rPr>
        <w:t xml:space="preserve"> </w:t>
      </w:r>
      <w:r w:rsidR="00AC0548" w:rsidRPr="00AD6EB0">
        <w:rPr>
          <w:rFonts w:ascii="Arial" w:hAnsi="Arial" w:cs="Arial"/>
        </w:rPr>
        <w:t>performed</w:t>
      </w:r>
      <w:r w:rsidR="00CC3AF9" w:rsidRPr="00AD6EB0">
        <w:rPr>
          <w:rFonts w:ascii="Arial" w:hAnsi="Arial" w:cs="Arial"/>
        </w:rPr>
        <w:t xml:space="preserve"> in clinical practice except in the setting of living donor evaluation because of inconvenience and cost</w:t>
      </w:r>
      <w:r w:rsidR="00544042" w:rsidRPr="00AD6EB0">
        <w:rPr>
          <w:rFonts w:ascii="Arial" w:hAnsi="Arial" w:cs="Arial"/>
        </w:rPr>
        <w:t xml:space="preserve"> (</w:t>
      </w:r>
      <w:r w:rsidR="001D2451" w:rsidRPr="00AD6EB0">
        <w:rPr>
          <w:rFonts w:ascii="Arial" w:hAnsi="Arial" w:cs="Arial"/>
        </w:rPr>
        <w:t>13</w:t>
      </w:r>
      <w:r w:rsidR="00544042" w:rsidRPr="00AD6EB0">
        <w:rPr>
          <w:rFonts w:ascii="Arial" w:hAnsi="Arial" w:cs="Arial"/>
        </w:rPr>
        <w:t>)</w:t>
      </w:r>
      <w:r w:rsidR="00A05E4C" w:rsidRPr="00AD6EB0">
        <w:rPr>
          <w:rFonts w:ascii="Arial" w:hAnsi="Arial" w:cs="Arial"/>
        </w:rPr>
        <w:t xml:space="preserve">. </w:t>
      </w:r>
      <w:r w:rsidR="003C4D8E" w:rsidRPr="00AD6EB0">
        <w:rPr>
          <w:rFonts w:ascii="Arial" w:hAnsi="Arial" w:cs="Arial"/>
        </w:rPr>
        <w:t>In</w:t>
      </w:r>
      <w:r w:rsidR="009206DA" w:rsidRPr="00AD6EB0">
        <w:rPr>
          <w:rFonts w:ascii="Arial" w:hAnsi="Arial" w:cs="Arial"/>
        </w:rPr>
        <w:t xml:space="preserve"> </w:t>
      </w:r>
      <w:r w:rsidR="00462145" w:rsidRPr="00AD6EB0">
        <w:rPr>
          <w:rFonts w:ascii="Arial" w:hAnsi="Arial" w:cs="Arial"/>
        </w:rPr>
        <w:t xml:space="preserve">clinical </w:t>
      </w:r>
      <w:r w:rsidR="007F0B6B" w:rsidRPr="00AD6EB0">
        <w:rPr>
          <w:rFonts w:ascii="Arial" w:hAnsi="Arial" w:cs="Arial"/>
        </w:rPr>
        <w:t>practice</w:t>
      </w:r>
      <w:r w:rsidR="003C4D8E" w:rsidRPr="00AD6EB0">
        <w:rPr>
          <w:rFonts w:ascii="Arial" w:hAnsi="Arial" w:cs="Arial"/>
        </w:rPr>
        <w:t xml:space="preserve">, </w:t>
      </w:r>
      <w:r w:rsidR="00C5446D" w:rsidRPr="00AD6EB0">
        <w:rPr>
          <w:rFonts w:ascii="Arial" w:hAnsi="Arial" w:cs="Arial"/>
        </w:rPr>
        <w:t xml:space="preserve">A1C </w:t>
      </w:r>
      <w:r w:rsidR="00EB4435" w:rsidRPr="00AD6EB0">
        <w:rPr>
          <w:rFonts w:ascii="Arial" w:hAnsi="Arial" w:cs="Arial"/>
        </w:rPr>
        <w:t xml:space="preserve">remains </w:t>
      </w:r>
      <w:r w:rsidR="004616D4" w:rsidRPr="00AD6EB0">
        <w:rPr>
          <w:rFonts w:ascii="Arial" w:hAnsi="Arial" w:cs="Arial"/>
        </w:rPr>
        <w:t>a</w:t>
      </w:r>
      <w:r w:rsidR="00672560" w:rsidRPr="00AD6EB0">
        <w:rPr>
          <w:rFonts w:ascii="Arial" w:hAnsi="Arial" w:cs="Arial"/>
        </w:rPr>
        <w:t xml:space="preserve"> valuable tool</w:t>
      </w:r>
      <w:r w:rsidR="00BB5E29" w:rsidRPr="00AD6EB0">
        <w:rPr>
          <w:rFonts w:ascii="Arial" w:hAnsi="Arial" w:cs="Arial"/>
        </w:rPr>
        <w:t xml:space="preserve"> </w:t>
      </w:r>
      <w:r w:rsidR="002D3714" w:rsidRPr="00AD6EB0">
        <w:rPr>
          <w:rFonts w:ascii="Arial" w:hAnsi="Arial" w:cs="Arial"/>
        </w:rPr>
        <w:t>for screening and diagnosi</w:t>
      </w:r>
      <w:r w:rsidR="004616D4" w:rsidRPr="00AD6EB0">
        <w:rPr>
          <w:rFonts w:ascii="Arial" w:hAnsi="Arial" w:cs="Arial"/>
        </w:rPr>
        <w:t xml:space="preserve">ng </w:t>
      </w:r>
      <w:r w:rsidR="003C4D8E" w:rsidRPr="00AD6EB0">
        <w:rPr>
          <w:rFonts w:ascii="Arial" w:hAnsi="Arial" w:cs="Arial"/>
        </w:rPr>
        <w:t xml:space="preserve">PTDM. </w:t>
      </w:r>
      <w:r w:rsidR="00043624" w:rsidRPr="00AD6EB0">
        <w:rPr>
          <w:rFonts w:ascii="Arial" w:hAnsi="Arial" w:cs="Arial"/>
        </w:rPr>
        <w:t xml:space="preserve">However, A1C should not be used to evaluate for PTDM in the first 3 months </w:t>
      </w:r>
      <w:r w:rsidR="001D2451" w:rsidRPr="00AD6EB0">
        <w:rPr>
          <w:rFonts w:ascii="Arial" w:hAnsi="Arial" w:cs="Arial"/>
        </w:rPr>
        <w:t>after transplant</w:t>
      </w:r>
      <w:r w:rsidR="00E67D74" w:rsidRPr="00AD6EB0">
        <w:rPr>
          <w:rFonts w:ascii="Arial" w:hAnsi="Arial" w:cs="Arial"/>
        </w:rPr>
        <w:t xml:space="preserve"> because </w:t>
      </w:r>
      <w:r w:rsidR="00AF62BA" w:rsidRPr="00AD6EB0">
        <w:rPr>
          <w:rFonts w:ascii="Arial" w:hAnsi="Arial" w:cs="Arial"/>
        </w:rPr>
        <w:t xml:space="preserve">it cannot be accurately interpreted in the setting of </w:t>
      </w:r>
      <w:r w:rsidR="00C177EB" w:rsidRPr="00AD6EB0">
        <w:rPr>
          <w:rFonts w:ascii="Arial" w:hAnsi="Arial" w:cs="Arial"/>
        </w:rPr>
        <w:t>dynamic kidney</w:t>
      </w:r>
      <w:r w:rsidR="00827B71" w:rsidRPr="00AD6EB0">
        <w:rPr>
          <w:rFonts w:ascii="Arial" w:hAnsi="Arial" w:cs="Arial"/>
        </w:rPr>
        <w:t xml:space="preserve"> allograft</w:t>
      </w:r>
      <w:r w:rsidR="00C177EB" w:rsidRPr="00AD6EB0">
        <w:rPr>
          <w:rFonts w:ascii="Arial" w:hAnsi="Arial" w:cs="Arial"/>
        </w:rPr>
        <w:t xml:space="preserve"> function or anemia, both of which are common in the post</w:t>
      </w:r>
      <w:r w:rsidR="005672D0" w:rsidRPr="00AD6EB0">
        <w:rPr>
          <w:rFonts w:ascii="Arial" w:hAnsi="Arial" w:cs="Arial"/>
        </w:rPr>
        <w:t>-</w:t>
      </w:r>
      <w:r w:rsidR="00C177EB" w:rsidRPr="00AD6EB0">
        <w:rPr>
          <w:rFonts w:ascii="Arial" w:hAnsi="Arial" w:cs="Arial"/>
        </w:rPr>
        <w:t xml:space="preserve">transplantation period. </w:t>
      </w:r>
      <w:r w:rsidR="007B2C9D" w:rsidRPr="00AD6EB0">
        <w:rPr>
          <w:rFonts w:ascii="Arial" w:hAnsi="Arial" w:cs="Arial"/>
        </w:rPr>
        <w:t xml:space="preserve">In a small single-center study consisting of 30 patients with </w:t>
      </w:r>
      <w:r w:rsidR="00FA3F4E" w:rsidRPr="00AD6EB0">
        <w:rPr>
          <w:rFonts w:ascii="Arial" w:hAnsi="Arial" w:cs="Arial"/>
        </w:rPr>
        <w:t xml:space="preserve">diabetes and </w:t>
      </w:r>
      <w:r w:rsidR="007B2C9D" w:rsidRPr="00AD6EB0">
        <w:rPr>
          <w:rFonts w:ascii="Arial" w:hAnsi="Arial" w:cs="Arial"/>
        </w:rPr>
        <w:t>CKD stage 3b and 4, treatment with intravenous iron and erythropoietin stimulating agent (ESA) has been shown to result in a fall in A1C independent of glycemic changes (</w:t>
      </w:r>
      <w:r w:rsidR="000B18F8" w:rsidRPr="00AD6EB0">
        <w:rPr>
          <w:rFonts w:ascii="Arial" w:hAnsi="Arial" w:cs="Arial"/>
        </w:rPr>
        <w:t>14</w:t>
      </w:r>
      <w:r w:rsidR="007B2C9D" w:rsidRPr="00AD6EB0">
        <w:rPr>
          <w:rFonts w:ascii="Arial" w:hAnsi="Arial" w:cs="Arial"/>
        </w:rPr>
        <w:t xml:space="preserve">). It is speculated that the fall in A1C level associated with either treatment is due to the formation of new erythrocytes in the circulation (causing a change in the proportion of young to old red blood cells), and an alteration in the red-cell glycation rates. </w:t>
      </w:r>
      <w:r w:rsidR="009F007D">
        <w:rPr>
          <w:rFonts w:ascii="Arial" w:hAnsi="Arial" w:cs="Arial"/>
        </w:rPr>
        <w:t>A s</w:t>
      </w:r>
      <w:r w:rsidR="007B2C9D" w:rsidRPr="00AD6EB0">
        <w:rPr>
          <w:rFonts w:ascii="Arial" w:hAnsi="Arial" w:cs="Arial"/>
        </w:rPr>
        <w:t>imilar study in the transplant setting is lacking and warrants further exploration because intravenous iron and ESA therapy are commonly administered in the early posttransplant period</w:t>
      </w:r>
      <w:r w:rsidR="00E867AE" w:rsidRPr="00AD6EB0">
        <w:rPr>
          <w:rFonts w:ascii="Arial" w:hAnsi="Arial" w:cs="Arial"/>
        </w:rPr>
        <w:t xml:space="preserve">. </w:t>
      </w:r>
    </w:p>
    <w:p w14:paraId="43BC7382" w14:textId="77777777" w:rsidR="00855DB6" w:rsidRDefault="00855DB6" w:rsidP="00AD6EB0">
      <w:pPr>
        <w:spacing w:after="0" w:line="276" w:lineRule="auto"/>
        <w:rPr>
          <w:rFonts w:ascii="Arial" w:hAnsi="Arial" w:cs="Arial"/>
        </w:rPr>
      </w:pPr>
    </w:p>
    <w:p w14:paraId="1EFFABAC" w14:textId="3E9A625E" w:rsidR="002F0D4B" w:rsidRPr="00AD6EB0" w:rsidRDefault="00613449" w:rsidP="00AD6EB0">
      <w:pPr>
        <w:spacing w:after="0" w:line="276" w:lineRule="auto"/>
        <w:rPr>
          <w:rFonts w:ascii="Arial" w:hAnsi="Arial" w:cs="Arial"/>
        </w:rPr>
      </w:pPr>
      <w:r w:rsidRPr="00AD6EB0">
        <w:rPr>
          <w:rFonts w:ascii="Arial" w:hAnsi="Arial" w:cs="Arial"/>
        </w:rPr>
        <w:t xml:space="preserve">The </w:t>
      </w:r>
      <w:r w:rsidR="00BB26A3" w:rsidRPr="00AD6EB0">
        <w:rPr>
          <w:rFonts w:ascii="Arial" w:hAnsi="Arial" w:cs="Arial"/>
        </w:rPr>
        <w:t>2025</w:t>
      </w:r>
      <w:r w:rsidRPr="00AD6EB0">
        <w:rPr>
          <w:rFonts w:ascii="Arial" w:hAnsi="Arial" w:cs="Arial"/>
        </w:rPr>
        <w:t xml:space="preserve"> </w:t>
      </w:r>
      <w:r w:rsidR="0076273D" w:rsidRPr="00AD6EB0">
        <w:rPr>
          <w:rFonts w:ascii="Arial" w:hAnsi="Arial" w:cs="Arial"/>
        </w:rPr>
        <w:t xml:space="preserve">American Diabetes Association </w:t>
      </w:r>
      <w:r w:rsidRPr="00AD6EB0">
        <w:rPr>
          <w:rFonts w:ascii="Arial" w:hAnsi="Arial" w:cs="Arial"/>
        </w:rPr>
        <w:t>criteria for prediabetes and diabetes are shown in </w:t>
      </w:r>
      <w:hyperlink r:id="rId17" w:tgtFrame="object" w:history="1">
        <w:r w:rsidRPr="00AD6EB0">
          <w:rPr>
            <w:rStyle w:val="Hyperlink"/>
            <w:rFonts w:ascii="Arial" w:hAnsi="Arial" w:cs="Arial"/>
            <w:color w:val="auto"/>
            <w:u w:val="none"/>
          </w:rPr>
          <w:t>Figure 1</w:t>
        </w:r>
      </w:hyperlink>
      <w:r w:rsidR="009162B9" w:rsidRPr="00AD6EB0">
        <w:rPr>
          <w:rFonts w:ascii="Arial" w:hAnsi="Arial" w:cs="Arial"/>
        </w:rPr>
        <w:t xml:space="preserve"> (15)</w:t>
      </w:r>
      <w:r w:rsidRPr="00AD6EB0">
        <w:rPr>
          <w:rFonts w:ascii="Arial" w:hAnsi="Arial" w:cs="Arial"/>
        </w:rPr>
        <w:t>.</w:t>
      </w:r>
      <w:r w:rsidR="00123C9C" w:rsidRPr="00AD6EB0">
        <w:rPr>
          <w:rFonts w:ascii="Arial" w:hAnsi="Arial" w:cs="Arial"/>
        </w:rPr>
        <w:t xml:space="preserve"> </w:t>
      </w:r>
      <w:r w:rsidR="002F0D4B" w:rsidRPr="00AD6EB0">
        <w:rPr>
          <w:rFonts w:ascii="Arial" w:hAnsi="Arial" w:cs="Arial"/>
        </w:rPr>
        <w:t xml:space="preserve">It should be noted that the algorithmic approach to the screening and diagnosis of PTDM is largely based on published kidney transplantation literature. Similar studies in the </w:t>
      </w:r>
      <w:r w:rsidR="002F0D4B" w:rsidRPr="00AD6EB0">
        <w:rPr>
          <w:rFonts w:ascii="Arial" w:hAnsi="Arial" w:cs="Arial"/>
        </w:rPr>
        <w:lastRenderedPageBreak/>
        <w:t>settings of liver, heart, and lung transplants are lacking. However, it is speculated that the principles are relevant to all forms of solid organ transplantation (</w:t>
      </w:r>
      <w:hyperlink r:id="rId18" w:history="1">
        <w:r w:rsidR="002F0D4B" w:rsidRPr="00AD6EB0">
          <w:rPr>
            <w:rStyle w:val="Hyperlink"/>
            <w:rFonts w:ascii="Arial" w:hAnsi="Arial" w:cs="Arial"/>
            <w:color w:val="auto"/>
            <w:u w:val="none"/>
          </w:rPr>
          <w:t>7</w:t>
        </w:r>
      </w:hyperlink>
      <w:r w:rsidR="002F0D4B" w:rsidRPr="00AD6EB0">
        <w:rPr>
          <w:rFonts w:ascii="Arial" w:hAnsi="Arial" w:cs="Arial"/>
        </w:rPr>
        <w:t xml:space="preserve">). </w:t>
      </w:r>
    </w:p>
    <w:p w14:paraId="137FFD00" w14:textId="77777777" w:rsidR="000B79B4" w:rsidRPr="00AD6EB0" w:rsidRDefault="000B79B4" w:rsidP="00AD6EB0">
      <w:pPr>
        <w:spacing w:after="0" w:line="276" w:lineRule="auto"/>
        <w:rPr>
          <w:rFonts w:ascii="Arial" w:hAnsi="Arial" w:cs="Arial"/>
        </w:rPr>
      </w:pPr>
    </w:p>
    <w:p w14:paraId="62219FA7" w14:textId="0DFA552E" w:rsidR="000B79B4" w:rsidRPr="00AD6EB0" w:rsidRDefault="00A430B0" w:rsidP="00AD6EB0">
      <w:pPr>
        <w:spacing w:after="0" w:line="276" w:lineRule="auto"/>
        <w:rPr>
          <w:rFonts w:ascii="Arial" w:hAnsi="Arial" w:cs="Arial"/>
          <w:color w:val="C00000"/>
        </w:rPr>
      </w:pPr>
      <w:r w:rsidRPr="00AD6EB0">
        <w:rPr>
          <w:rFonts w:ascii="Arial" w:hAnsi="Arial" w:cs="Arial"/>
          <w:noProof/>
          <w:color w:val="C00000"/>
        </w:rPr>
        <w:drawing>
          <wp:inline distT="0" distB="0" distL="0" distR="0" wp14:anchorId="21989BFD" wp14:editId="63CBC270">
            <wp:extent cx="4921233" cy="2006600"/>
            <wp:effectExtent l="0" t="0" r="0" b="0"/>
            <wp:docPr id="49367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9375" cy="2009920"/>
                    </a:xfrm>
                    <a:prstGeom prst="rect">
                      <a:avLst/>
                    </a:prstGeom>
                    <a:noFill/>
                  </pic:spPr>
                </pic:pic>
              </a:graphicData>
            </a:graphic>
          </wp:inline>
        </w:drawing>
      </w:r>
    </w:p>
    <w:p w14:paraId="221CDAF8" w14:textId="10E12FA3" w:rsidR="009E4C10" w:rsidRPr="00F8754B" w:rsidRDefault="009E4C10" w:rsidP="00AD6EB0">
      <w:pPr>
        <w:spacing w:after="0" w:line="276" w:lineRule="auto"/>
        <w:rPr>
          <w:rFonts w:ascii="Arial" w:hAnsi="Arial" w:cs="Arial"/>
          <w:b/>
          <w:bCs/>
        </w:rPr>
      </w:pPr>
      <w:r w:rsidRPr="00AD6EB0">
        <w:rPr>
          <w:rFonts w:ascii="Arial" w:hAnsi="Arial" w:cs="Arial"/>
          <w:b/>
          <w:bCs/>
        </w:rPr>
        <w:t>Figure 1.</w:t>
      </w:r>
      <w:r w:rsidR="00855DB6">
        <w:rPr>
          <w:rFonts w:ascii="Arial" w:hAnsi="Arial" w:cs="Arial"/>
          <w:b/>
          <w:bCs/>
        </w:rPr>
        <w:t xml:space="preserve"> </w:t>
      </w:r>
      <w:r w:rsidRPr="00F8754B">
        <w:rPr>
          <w:rFonts w:ascii="Arial" w:hAnsi="Arial" w:cs="Arial"/>
          <w:b/>
          <w:bCs/>
        </w:rPr>
        <w:t xml:space="preserve">The </w:t>
      </w:r>
      <w:r w:rsidR="00934E7D" w:rsidRPr="00F8754B">
        <w:rPr>
          <w:rFonts w:ascii="Arial" w:hAnsi="Arial" w:cs="Arial"/>
          <w:b/>
          <w:bCs/>
        </w:rPr>
        <w:t xml:space="preserve">2025 </w:t>
      </w:r>
      <w:r w:rsidRPr="00F8754B">
        <w:rPr>
          <w:rFonts w:ascii="Arial" w:hAnsi="Arial" w:cs="Arial"/>
          <w:b/>
          <w:bCs/>
        </w:rPr>
        <w:t xml:space="preserve"> American Diabetes Association Diagnostic Criteria for Prediabetes and Diabetes.</w:t>
      </w:r>
      <w:r w:rsidR="00F8754B" w:rsidRPr="00F8754B">
        <w:rPr>
          <w:rFonts w:ascii="Arial" w:hAnsi="Arial" w:cs="Arial"/>
          <w:b/>
          <w:bCs/>
        </w:rPr>
        <w:t xml:space="preserve"> </w:t>
      </w:r>
      <w:r w:rsidRPr="00F8754B">
        <w:rPr>
          <w:rFonts w:ascii="Arial" w:hAnsi="Arial" w:cs="Arial"/>
          <w:b/>
          <w:bCs/>
          <w:vertAlign w:val="superscript"/>
        </w:rPr>
        <w:t>1</w:t>
      </w:r>
      <w:r w:rsidRPr="00F8754B">
        <w:rPr>
          <w:rFonts w:ascii="Arial" w:hAnsi="Arial" w:cs="Arial"/>
          <w:b/>
          <w:bCs/>
        </w:rPr>
        <w:t>For A1C, FPG and 2-h OGTT, risk is continuous, extending below the lower limit of the range, becoming disproportionately greater at the higher end of the range. </w:t>
      </w:r>
      <w:r w:rsidRPr="00F8754B">
        <w:rPr>
          <w:rFonts w:ascii="Arial" w:hAnsi="Arial" w:cs="Arial"/>
          <w:b/>
          <w:bCs/>
          <w:vertAlign w:val="superscript"/>
        </w:rPr>
        <w:t>2</w:t>
      </w:r>
      <w:r w:rsidRPr="00F8754B">
        <w:rPr>
          <w:rFonts w:ascii="Arial" w:hAnsi="Arial" w:cs="Arial"/>
          <w:b/>
          <w:bCs/>
        </w:rPr>
        <w:t>In the absence of unequivocal hyperglycemia, diagnosis of DM using A1C, FPG</w:t>
      </w:r>
      <w:r w:rsidR="00041876">
        <w:rPr>
          <w:rFonts w:ascii="Arial" w:hAnsi="Arial" w:cs="Arial"/>
          <w:b/>
          <w:bCs/>
        </w:rPr>
        <w:t>,</w:t>
      </w:r>
      <w:r w:rsidRPr="00F8754B">
        <w:rPr>
          <w:rFonts w:ascii="Arial" w:hAnsi="Arial" w:cs="Arial"/>
          <w:b/>
          <w:bCs/>
        </w:rPr>
        <w:t xml:space="preserve"> or 2-h OGTT requires two abnormal test results from the same sample or in two separate samples. </w:t>
      </w:r>
      <w:r w:rsidRPr="00F8754B">
        <w:rPr>
          <w:rFonts w:ascii="Arial" w:hAnsi="Arial" w:cs="Arial"/>
          <w:b/>
          <w:bCs/>
          <w:vertAlign w:val="superscript"/>
        </w:rPr>
        <w:t>3</w:t>
      </w:r>
      <w:r w:rsidRPr="00F8754B">
        <w:rPr>
          <w:rFonts w:ascii="Arial" w:hAnsi="Arial" w:cs="Arial"/>
          <w:b/>
          <w:bCs/>
        </w:rPr>
        <w:t xml:space="preserve">Random plasma glucose is only diagnostic in patient with classic symptoms of hyperglycemia or hyperglycemic crisis </w:t>
      </w:r>
      <w:r w:rsidR="00492D17" w:rsidRPr="00F8754B">
        <w:rPr>
          <w:rFonts w:ascii="Arial" w:hAnsi="Arial" w:cs="Arial"/>
          <w:b/>
          <w:bCs/>
        </w:rPr>
        <w:t>(</w:t>
      </w:r>
      <w:r w:rsidR="00D478A5" w:rsidRPr="00F8754B">
        <w:rPr>
          <w:rFonts w:ascii="Arial" w:hAnsi="Arial" w:cs="Arial"/>
          <w:b/>
          <w:bCs/>
        </w:rPr>
        <w:t xml:space="preserve">i.e. </w:t>
      </w:r>
      <w:r w:rsidR="00492D17" w:rsidRPr="00F8754B">
        <w:rPr>
          <w:rFonts w:ascii="Arial" w:hAnsi="Arial" w:cs="Arial"/>
          <w:b/>
          <w:bCs/>
        </w:rPr>
        <w:t>polyuria, polydipsia, unexplained weight loss)</w:t>
      </w:r>
      <w:r w:rsidR="004F46C5" w:rsidRPr="00F8754B">
        <w:rPr>
          <w:rFonts w:ascii="Arial" w:hAnsi="Arial" w:cs="Arial"/>
          <w:b/>
          <w:bCs/>
        </w:rPr>
        <w:t xml:space="preserve"> (15)</w:t>
      </w:r>
      <w:r w:rsidRPr="00F8754B">
        <w:rPr>
          <w:rFonts w:ascii="Arial" w:hAnsi="Arial" w:cs="Arial"/>
          <w:b/>
          <w:bCs/>
        </w:rPr>
        <w:t>. OGTT, oral glucose tolerance test; A1C, hemoglobin A1C</w:t>
      </w:r>
      <w:r w:rsidR="00491D9B">
        <w:rPr>
          <w:rFonts w:ascii="Arial" w:hAnsi="Arial" w:cs="Arial"/>
          <w:b/>
          <w:bCs/>
        </w:rPr>
        <w:t>.</w:t>
      </w:r>
    </w:p>
    <w:p w14:paraId="1A6C4562" w14:textId="77777777" w:rsidR="00F8754B" w:rsidRPr="00F8754B" w:rsidRDefault="00F8754B" w:rsidP="00AD6EB0">
      <w:pPr>
        <w:spacing w:after="0" w:line="276" w:lineRule="auto"/>
        <w:rPr>
          <w:rFonts w:ascii="Arial" w:hAnsi="Arial" w:cs="Arial"/>
          <w:b/>
          <w:bCs/>
        </w:rPr>
      </w:pPr>
    </w:p>
    <w:p w14:paraId="16D18C40" w14:textId="77777777" w:rsidR="009E4C10" w:rsidRPr="00AD6EB0" w:rsidRDefault="009E4C10" w:rsidP="00AD6EB0">
      <w:pPr>
        <w:spacing w:after="0" w:line="276" w:lineRule="auto"/>
        <w:rPr>
          <w:rFonts w:ascii="Arial" w:hAnsi="Arial" w:cs="Arial"/>
          <w:b/>
          <w:bCs/>
          <w:color w:val="4C94D8" w:themeColor="text2" w:themeTint="80"/>
        </w:rPr>
      </w:pPr>
      <w:r w:rsidRPr="00AD6EB0">
        <w:rPr>
          <w:rFonts w:ascii="Arial" w:hAnsi="Arial" w:cs="Arial"/>
          <w:b/>
          <w:bCs/>
          <w:color w:val="4C94D8" w:themeColor="text2" w:themeTint="80"/>
        </w:rPr>
        <w:t>INCIDENCE</w:t>
      </w:r>
    </w:p>
    <w:p w14:paraId="30907371" w14:textId="77777777" w:rsidR="00F8754B" w:rsidRDefault="00F8754B" w:rsidP="00AD6EB0">
      <w:pPr>
        <w:spacing w:after="0" w:line="276" w:lineRule="auto"/>
        <w:rPr>
          <w:rFonts w:ascii="Arial" w:hAnsi="Arial" w:cs="Arial"/>
        </w:rPr>
      </w:pPr>
    </w:p>
    <w:p w14:paraId="74F64481" w14:textId="77777777" w:rsidR="00F8754B" w:rsidRDefault="009E4C10" w:rsidP="00AD6EB0">
      <w:pPr>
        <w:spacing w:after="0" w:line="276" w:lineRule="auto"/>
        <w:rPr>
          <w:rFonts w:ascii="Arial" w:hAnsi="Arial" w:cs="Arial"/>
        </w:rPr>
      </w:pPr>
      <w:r w:rsidRPr="00AD6EB0">
        <w:rPr>
          <w:rFonts w:ascii="Arial" w:hAnsi="Arial" w:cs="Arial"/>
        </w:rPr>
        <w:t>PTDM has been reported to occur in 4% to 25% of kidney transplant recipients, 2.5% to 25% of liver transplant recipients, 4% to 40% of heart transplant recipients, and 30% to 35% of lung transplant recipients (</w:t>
      </w:r>
      <w:r w:rsidR="00793684" w:rsidRPr="00AD6EB0">
        <w:rPr>
          <w:rFonts w:ascii="Arial" w:hAnsi="Arial" w:cs="Arial"/>
        </w:rPr>
        <w:t xml:space="preserve">10, </w:t>
      </w:r>
      <w:r w:rsidR="00AA1918" w:rsidRPr="00AD6EB0">
        <w:rPr>
          <w:rFonts w:ascii="Arial" w:hAnsi="Arial" w:cs="Arial"/>
        </w:rPr>
        <w:t>16-19</w:t>
      </w:r>
      <w:r w:rsidRPr="00AD6EB0">
        <w:rPr>
          <w:rFonts w:ascii="Arial" w:hAnsi="Arial" w:cs="Arial"/>
        </w:rPr>
        <w:t>). Higher incidences have also been reported. Variations in the reported incidence may be due in part to the prior lack of a standard definition, presence of both modifiable and nonmodifiable risks factors, duration of follow-up, type of organ transplants, and primary diagnostic indications for transplant. In one retrospective cohort study of 415 liver transplant recipients, PTDM occurred in 34.7%, 46.9%, and 56.2% of patients at 1, 3, and 5-year follow-up, respectively (</w:t>
      </w:r>
      <w:r w:rsidR="00793684" w:rsidRPr="00AD6EB0">
        <w:rPr>
          <w:rFonts w:ascii="Arial" w:hAnsi="Arial" w:cs="Arial"/>
        </w:rPr>
        <w:t>1</w:t>
      </w:r>
      <w:r w:rsidR="00AA1918" w:rsidRPr="00AD6EB0">
        <w:rPr>
          <w:rFonts w:ascii="Arial" w:hAnsi="Arial" w:cs="Arial"/>
        </w:rPr>
        <w:t>9</w:t>
      </w:r>
      <w:r w:rsidRPr="00AD6EB0">
        <w:rPr>
          <w:rFonts w:ascii="Arial" w:hAnsi="Arial" w:cs="Arial"/>
        </w:rPr>
        <w:t>). The 33</w:t>
      </w:r>
      <w:r w:rsidRPr="00AD6EB0">
        <w:rPr>
          <w:rFonts w:ascii="Arial" w:hAnsi="Arial" w:cs="Arial"/>
          <w:vertAlign w:val="superscript"/>
        </w:rPr>
        <w:t>rd</w:t>
      </w:r>
      <w:r w:rsidRPr="00AD6EB0">
        <w:rPr>
          <w:rFonts w:ascii="Arial" w:hAnsi="Arial" w:cs="Arial"/>
        </w:rPr>
        <w:t> International Society of Heart and Lung Transplantation database demonstrated that approximately 29% of lung transplant recipients who survived 5 years post-transplantation developed PTDM, with the highest incidence occurring among those whose primary diagnosis for lung transplantation was cystic fibrosis. (</w:t>
      </w:r>
      <w:r w:rsidR="00AA1918" w:rsidRPr="00AD6EB0">
        <w:rPr>
          <w:rFonts w:ascii="Arial" w:hAnsi="Arial" w:cs="Arial"/>
        </w:rPr>
        <w:t>20</w:t>
      </w:r>
      <w:r w:rsidRPr="00AD6EB0">
        <w:rPr>
          <w:rFonts w:ascii="Arial" w:hAnsi="Arial" w:cs="Arial"/>
        </w:rPr>
        <w:t>).</w:t>
      </w:r>
      <w:r w:rsidR="00392C5F" w:rsidRPr="00AD6EB0">
        <w:rPr>
          <w:rFonts w:ascii="Arial" w:hAnsi="Arial" w:cs="Arial"/>
        </w:rPr>
        <w:t xml:space="preserve"> </w:t>
      </w:r>
      <w:r w:rsidR="00132472" w:rsidRPr="00AD6EB0">
        <w:rPr>
          <w:rFonts w:ascii="Arial" w:hAnsi="Arial" w:cs="Arial"/>
        </w:rPr>
        <w:t xml:space="preserve"> </w:t>
      </w:r>
    </w:p>
    <w:p w14:paraId="53688785" w14:textId="30A99643" w:rsidR="009E4C10" w:rsidRPr="00AD6EB0" w:rsidRDefault="00132472" w:rsidP="00AD6EB0">
      <w:pPr>
        <w:spacing w:after="0" w:line="276" w:lineRule="auto"/>
        <w:rPr>
          <w:rFonts w:ascii="Arial" w:hAnsi="Arial" w:cs="Arial"/>
        </w:rPr>
      </w:pPr>
      <w:r w:rsidRPr="00AD6EB0">
        <w:rPr>
          <w:rFonts w:ascii="Arial" w:hAnsi="Arial" w:cs="Arial"/>
        </w:rPr>
        <w:t xml:space="preserve">  </w:t>
      </w:r>
    </w:p>
    <w:p w14:paraId="6C23CE0F" w14:textId="77777777" w:rsidR="009E4C10" w:rsidRPr="00AD6EB0" w:rsidRDefault="009E4C10" w:rsidP="00AD6EB0">
      <w:pPr>
        <w:spacing w:after="0" w:line="276" w:lineRule="auto"/>
        <w:rPr>
          <w:rFonts w:ascii="Arial" w:hAnsi="Arial" w:cs="Arial"/>
          <w:b/>
          <w:bCs/>
          <w:color w:val="4C94D8" w:themeColor="text2" w:themeTint="80"/>
        </w:rPr>
      </w:pPr>
      <w:r w:rsidRPr="00AD6EB0">
        <w:rPr>
          <w:rFonts w:ascii="Arial" w:hAnsi="Arial" w:cs="Arial"/>
          <w:b/>
          <w:bCs/>
          <w:color w:val="4C94D8" w:themeColor="text2" w:themeTint="80"/>
        </w:rPr>
        <w:t>RISK FACTORS FOR PTDM</w:t>
      </w:r>
    </w:p>
    <w:p w14:paraId="2329CC71" w14:textId="77777777" w:rsidR="00F8754B" w:rsidRDefault="00F8754B" w:rsidP="00AD6EB0">
      <w:pPr>
        <w:spacing w:after="0" w:line="276" w:lineRule="auto"/>
        <w:rPr>
          <w:rFonts w:ascii="Arial" w:hAnsi="Arial" w:cs="Arial"/>
        </w:rPr>
      </w:pPr>
    </w:p>
    <w:p w14:paraId="34A50000" w14:textId="26AF0399" w:rsidR="009E4C10" w:rsidRPr="00AD6EB0" w:rsidRDefault="009E4C10" w:rsidP="00AD6EB0">
      <w:pPr>
        <w:spacing w:after="0" w:line="276" w:lineRule="auto"/>
        <w:rPr>
          <w:rFonts w:ascii="Arial" w:hAnsi="Arial" w:cs="Arial"/>
        </w:rPr>
      </w:pPr>
      <w:r w:rsidRPr="00AD6EB0">
        <w:rPr>
          <w:rFonts w:ascii="Arial" w:hAnsi="Arial" w:cs="Arial"/>
        </w:rPr>
        <w:t xml:space="preserve">PTDM may arise from both transplant-related and traditional risk factors. The diabetogenic effect of various immunosuppressive agents have been well described. Corticosteroids may reduce peripheral insulin sensitivity, inhibit pancreatic production/secretion, and increase hepatic gluconeogenesis. The calcineurin inhibitors tacrolimus and cyclosporine decrease </w:t>
      </w:r>
      <w:r w:rsidRPr="00AD6EB0">
        <w:rPr>
          <w:rFonts w:ascii="Arial" w:hAnsi="Arial" w:cs="Arial"/>
        </w:rPr>
        <w:lastRenderedPageBreak/>
        <w:t>insulin secretion and synthesis. Sirolimus increases peripheral insulin resistance and impairs pancreatic beta-cell response. The antimetabolites azathioprine and mycophenolic acid derivatives (mycophenolate mofetil and mycophenolate sodium) are not diabetogenic. Belatacept is a humanized fusion protein that inhibits the costimulatory pathway. Its use in kidney transplant recipients has not been shown to increase PTDM risk. Transplant patients may have improved appetite and a more liberal diet which can lead to obesity. Risk factors for PTDM can be loosely categorized into those that are non-modifiable, potentially modifiable, and modifiable (</w:t>
      </w:r>
      <w:r w:rsidR="00213810" w:rsidRPr="00AD6EB0">
        <w:rPr>
          <w:rFonts w:ascii="Arial" w:hAnsi="Arial" w:cs="Arial"/>
        </w:rPr>
        <w:t>9,</w:t>
      </w:r>
      <w:r w:rsidR="007045D3" w:rsidRPr="00AD6EB0">
        <w:rPr>
          <w:rFonts w:ascii="Arial" w:hAnsi="Arial" w:cs="Arial"/>
        </w:rPr>
        <w:t>21-28</w:t>
      </w:r>
      <w:r w:rsidRPr="00AD6EB0">
        <w:rPr>
          <w:rFonts w:ascii="Arial" w:hAnsi="Arial" w:cs="Arial"/>
        </w:rPr>
        <w:t>).</w:t>
      </w:r>
    </w:p>
    <w:p w14:paraId="077AA5EA" w14:textId="77777777" w:rsidR="00F8754B" w:rsidRDefault="00F8754B" w:rsidP="00AD6EB0">
      <w:pPr>
        <w:spacing w:after="0" w:line="276" w:lineRule="auto"/>
        <w:rPr>
          <w:rFonts w:ascii="Arial" w:hAnsi="Arial" w:cs="Arial"/>
        </w:rPr>
      </w:pPr>
    </w:p>
    <w:p w14:paraId="38FDBEDE" w14:textId="1594C5F3" w:rsidR="009E4C10" w:rsidRPr="00AD6EB0" w:rsidRDefault="009E4C10" w:rsidP="00AD6EB0">
      <w:pPr>
        <w:spacing w:after="0" w:line="276" w:lineRule="auto"/>
        <w:rPr>
          <w:rFonts w:ascii="Arial" w:hAnsi="Arial" w:cs="Arial"/>
        </w:rPr>
      </w:pPr>
      <w:r w:rsidRPr="00AD6EB0">
        <w:rPr>
          <w:rFonts w:ascii="Arial" w:hAnsi="Arial" w:cs="Arial"/>
        </w:rPr>
        <w:t xml:space="preserve">Solid organ transplant recipients with specific end-organ diagnosis such as end-stage kidney disease due to polycystic kidney disease, end-stage lung disease due to cystic fibrosis, or end-stage liver disease due to hepatitis C infection or </w:t>
      </w:r>
      <w:r w:rsidR="004E79EE" w:rsidRPr="00AD6EB0">
        <w:rPr>
          <w:rFonts w:ascii="Arial" w:hAnsi="Arial" w:cs="Arial"/>
        </w:rPr>
        <w:t xml:space="preserve">metabolic dysfunction-associated </w:t>
      </w:r>
      <w:r w:rsidRPr="00AD6EB0">
        <w:rPr>
          <w:rFonts w:ascii="Arial" w:hAnsi="Arial" w:cs="Arial"/>
        </w:rPr>
        <w:t>steatohepatitis</w:t>
      </w:r>
      <w:r w:rsidR="00706C38" w:rsidRPr="00AD6EB0">
        <w:rPr>
          <w:rFonts w:ascii="Arial" w:hAnsi="Arial" w:cs="Arial"/>
        </w:rPr>
        <w:t xml:space="preserve"> (</w:t>
      </w:r>
      <w:r w:rsidR="00B6183A" w:rsidRPr="00AD6EB0">
        <w:rPr>
          <w:rFonts w:ascii="Arial" w:hAnsi="Arial" w:cs="Arial"/>
        </w:rPr>
        <w:t>previously known as non-alcoholic steatohepatitis)</w:t>
      </w:r>
      <w:r w:rsidRPr="00AD6EB0">
        <w:rPr>
          <w:rFonts w:ascii="Arial" w:hAnsi="Arial" w:cs="Arial"/>
        </w:rPr>
        <w:t xml:space="preserve"> have been reported to be at increased risk for PTDM compared with those without such diagnosis (</w:t>
      </w:r>
      <w:r w:rsidR="009605DF" w:rsidRPr="00AD6EB0">
        <w:rPr>
          <w:rFonts w:ascii="Arial" w:hAnsi="Arial" w:cs="Arial"/>
        </w:rPr>
        <w:t>2</w:t>
      </w:r>
      <w:r w:rsidR="007045D3" w:rsidRPr="00AD6EB0">
        <w:rPr>
          <w:rFonts w:ascii="Arial" w:hAnsi="Arial" w:cs="Arial"/>
        </w:rPr>
        <w:t>5</w:t>
      </w:r>
      <w:r w:rsidRPr="00AD6EB0">
        <w:rPr>
          <w:rFonts w:ascii="Arial" w:hAnsi="Arial" w:cs="Arial"/>
        </w:rPr>
        <w:t>). Donor liver steatosis has also been reported to be associated with an increased incidence of PTDM (</w:t>
      </w:r>
      <w:r w:rsidR="009605DF" w:rsidRPr="00AD6EB0">
        <w:rPr>
          <w:rFonts w:ascii="Arial" w:hAnsi="Arial" w:cs="Arial"/>
        </w:rPr>
        <w:t>2</w:t>
      </w:r>
      <w:r w:rsidR="007045D3" w:rsidRPr="00AD6EB0">
        <w:rPr>
          <w:rFonts w:ascii="Arial" w:hAnsi="Arial" w:cs="Arial"/>
        </w:rPr>
        <w:t>6</w:t>
      </w:r>
      <w:r w:rsidRPr="00AD6EB0">
        <w:rPr>
          <w:rFonts w:ascii="Arial" w:hAnsi="Arial" w:cs="Arial"/>
        </w:rPr>
        <w:t>). Suggested risk factors for the development of PTDM are presented in </w:t>
      </w:r>
      <w:hyperlink r:id="rId20" w:tgtFrame="object" w:history="1">
        <w:r w:rsidRPr="00AD6EB0">
          <w:rPr>
            <w:rStyle w:val="Hyperlink"/>
            <w:rFonts w:ascii="Arial" w:hAnsi="Arial" w:cs="Arial"/>
            <w:color w:val="auto"/>
            <w:u w:val="none"/>
          </w:rPr>
          <w:t>Figure 2</w:t>
        </w:r>
      </w:hyperlink>
      <w:r w:rsidRPr="00AD6EB0">
        <w:rPr>
          <w:rFonts w:ascii="Arial" w:hAnsi="Arial" w:cs="Arial"/>
        </w:rPr>
        <w:t xml:space="preserve">. A more extensive discussion of the studies evaluating PTDM risk factors is beyond the scope of this chapter. Interested readers are referred to reference Pham and colleagues </w:t>
      </w:r>
      <w:r w:rsidRPr="00B328E8">
        <w:rPr>
          <w:rFonts w:ascii="Arial" w:hAnsi="Arial" w:cs="Arial"/>
        </w:rPr>
        <w:t>(</w:t>
      </w:r>
      <w:hyperlink r:id="rId21" w:history="1">
        <w:r w:rsidR="009605DF" w:rsidRPr="00B328E8">
          <w:rPr>
            <w:rStyle w:val="Hyperlink"/>
            <w:rFonts w:ascii="Arial" w:hAnsi="Arial" w:cs="Arial"/>
            <w:color w:val="auto"/>
            <w:u w:val="none"/>
          </w:rPr>
          <w:t>9</w:t>
        </w:r>
      </w:hyperlink>
      <w:r w:rsidRPr="00AD6EB0">
        <w:rPr>
          <w:rFonts w:ascii="Arial" w:hAnsi="Arial" w:cs="Arial"/>
        </w:rPr>
        <w:t>).</w:t>
      </w:r>
    </w:p>
    <w:p w14:paraId="49C6645E" w14:textId="77777777" w:rsidR="00057486" w:rsidRPr="00AD6EB0" w:rsidRDefault="00057486" w:rsidP="00AD6EB0">
      <w:pPr>
        <w:spacing w:after="0" w:line="276" w:lineRule="auto"/>
        <w:rPr>
          <w:rFonts w:ascii="Arial" w:hAnsi="Arial" w:cs="Arial"/>
        </w:rPr>
      </w:pPr>
    </w:p>
    <w:p w14:paraId="6D732A78" w14:textId="56668083" w:rsidR="009E4C10" w:rsidRPr="00AD6EB0" w:rsidRDefault="0071371B" w:rsidP="00AD6EB0">
      <w:pPr>
        <w:spacing w:after="0" w:line="276" w:lineRule="auto"/>
        <w:rPr>
          <w:rFonts w:ascii="Arial" w:hAnsi="Arial" w:cs="Arial"/>
          <w:b/>
          <w:bCs/>
        </w:rPr>
      </w:pPr>
      <w:r w:rsidRPr="00AD6EB0">
        <w:rPr>
          <w:rFonts w:ascii="Arial" w:hAnsi="Arial" w:cs="Arial"/>
          <w:b/>
          <w:bCs/>
          <w:noProof/>
        </w:rPr>
        <w:drawing>
          <wp:inline distT="0" distB="0" distL="0" distR="0" wp14:anchorId="7A5F2740" wp14:editId="5717980E">
            <wp:extent cx="5967470" cy="2476500"/>
            <wp:effectExtent l="0" t="0" r="0" b="0"/>
            <wp:docPr id="1301772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0941" cy="2477941"/>
                    </a:xfrm>
                    <a:prstGeom prst="rect">
                      <a:avLst/>
                    </a:prstGeom>
                    <a:noFill/>
                  </pic:spPr>
                </pic:pic>
              </a:graphicData>
            </a:graphic>
          </wp:inline>
        </w:drawing>
      </w:r>
    </w:p>
    <w:p w14:paraId="14BE6A9C" w14:textId="29ED2FCC" w:rsidR="009E4C10" w:rsidRPr="00F8754B" w:rsidRDefault="009E4C10" w:rsidP="00AD6EB0">
      <w:pPr>
        <w:spacing w:after="0" w:line="276" w:lineRule="auto"/>
        <w:rPr>
          <w:rFonts w:ascii="Arial" w:hAnsi="Arial" w:cs="Arial"/>
          <w:b/>
          <w:bCs/>
        </w:rPr>
      </w:pPr>
      <w:r w:rsidRPr="00AD6EB0">
        <w:rPr>
          <w:rFonts w:ascii="Arial" w:hAnsi="Arial" w:cs="Arial"/>
          <w:b/>
          <w:bCs/>
        </w:rPr>
        <w:t>Figure 2.</w:t>
      </w:r>
      <w:r w:rsidR="00F8754B">
        <w:rPr>
          <w:rFonts w:ascii="Arial" w:hAnsi="Arial" w:cs="Arial"/>
          <w:b/>
          <w:bCs/>
        </w:rPr>
        <w:t xml:space="preserve"> </w:t>
      </w:r>
      <w:r w:rsidRPr="00F8754B">
        <w:rPr>
          <w:rFonts w:ascii="Arial" w:hAnsi="Arial" w:cs="Arial"/>
          <w:b/>
          <w:bCs/>
        </w:rPr>
        <w:t>Suggested Risk factors for PTDM</w:t>
      </w:r>
      <w:r w:rsidR="00F8754B" w:rsidRPr="00F8754B">
        <w:rPr>
          <w:rFonts w:ascii="Arial" w:hAnsi="Arial" w:cs="Arial"/>
          <w:b/>
          <w:bCs/>
        </w:rPr>
        <w:t xml:space="preserve">. </w:t>
      </w:r>
      <w:r w:rsidRPr="00F8754B">
        <w:rPr>
          <w:rFonts w:ascii="Arial" w:hAnsi="Arial" w:cs="Arial"/>
          <w:b/>
          <w:bCs/>
          <w:vertAlign w:val="superscript"/>
        </w:rPr>
        <w:t>1</w:t>
      </w:r>
      <w:r w:rsidR="00DF20A9" w:rsidRPr="00F8754B">
        <w:rPr>
          <w:rFonts w:ascii="Arial" w:hAnsi="Arial" w:cs="Arial"/>
          <w:b/>
          <w:bCs/>
        </w:rPr>
        <w:t xml:space="preserve">The advent of </w:t>
      </w:r>
      <w:r w:rsidR="00995996" w:rsidRPr="00F8754B">
        <w:rPr>
          <w:rFonts w:ascii="Arial" w:hAnsi="Arial" w:cs="Arial"/>
          <w:b/>
          <w:bCs/>
        </w:rPr>
        <w:t>highly effective, pan-genotypic</w:t>
      </w:r>
      <w:r w:rsidR="00A73798" w:rsidRPr="00F8754B">
        <w:rPr>
          <w:rFonts w:ascii="Arial" w:hAnsi="Arial" w:cs="Arial"/>
          <w:b/>
          <w:bCs/>
        </w:rPr>
        <w:t>, d</w:t>
      </w:r>
      <w:r w:rsidR="00995996" w:rsidRPr="00F8754B">
        <w:rPr>
          <w:rFonts w:ascii="Arial" w:hAnsi="Arial" w:cs="Arial"/>
          <w:b/>
          <w:bCs/>
        </w:rPr>
        <w:t>irect-acting antiviral agents and the now widely availabl</w:t>
      </w:r>
      <w:r w:rsidR="005C41F1" w:rsidRPr="00F8754B">
        <w:rPr>
          <w:rFonts w:ascii="Arial" w:hAnsi="Arial" w:cs="Arial"/>
          <w:b/>
          <w:bCs/>
        </w:rPr>
        <w:t>e</w:t>
      </w:r>
      <w:r w:rsidR="00995996" w:rsidRPr="00F8754B">
        <w:rPr>
          <w:rFonts w:ascii="Arial" w:hAnsi="Arial" w:cs="Arial"/>
          <w:b/>
          <w:bCs/>
        </w:rPr>
        <w:t xml:space="preserve"> </w:t>
      </w:r>
      <w:r w:rsidR="00A254FD" w:rsidRPr="00F8754B">
        <w:rPr>
          <w:rFonts w:ascii="Arial" w:hAnsi="Arial" w:cs="Arial"/>
          <w:b/>
          <w:bCs/>
        </w:rPr>
        <w:t xml:space="preserve">of oral combination agents targeting against different stages of the hepatitis C virus replicative cycle can potentially eradicate </w:t>
      </w:r>
      <w:r w:rsidR="00F2747C" w:rsidRPr="00F8754B">
        <w:rPr>
          <w:rFonts w:ascii="Arial" w:hAnsi="Arial" w:cs="Arial"/>
          <w:b/>
          <w:bCs/>
        </w:rPr>
        <w:t>hepatitis C in kidney transplant candidates and recipients</w:t>
      </w:r>
      <w:r w:rsidRPr="00F8754B">
        <w:rPr>
          <w:rFonts w:ascii="Arial" w:hAnsi="Arial" w:cs="Arial"/>
          <w:b/>
          <w:bCs/>
        </w:rPr>
        <w:t>. Stable transplant recipients with HCV viremia by PCR should be referred to Hepatology for treatment. In HCV-positive kidney transplant candidate with a living donor, pretransplant treatment of HCV infection should be considered. </w:t>
      </w:r>
      <w:r w:rsidRPr="00F8754B">
        <w:rPr>
          <w:rFonts w:ascii="Arial" w:hAnsi="Arial" w:cs="Arial"/>
          <w:b/>
          <w:bCs/>
          <w:vertAlign w:val="superscript"/>
        </w:rPr>
        <w:t>2</w:t>
      </w:r>
      <w:r w:rsidRPr="00F8754B">
        <w:rPr>
          <w:rFonts w:ascii="Arial" w:hAnsi="Arial" w:cs="Arial"/>
          <w:b/>
          <w:bCs/>
        </w:rPr>
        <w:t>Posttransplantation CMV prophylaxis is preferred over preemptive therapy after heart and lung transplant. Either prophylaxis or preemptive therapy is recommended after kidney or liver transplant recipients. However, for programs or patients who are unable to meet the stringent logistic requirements required with preemptive therapy, prophylaxis therapy is recommended. </w:t>
      </w:r>
      <w:r w:rsidRPr="00F8754B">
        <w:rPr>
          <w:rFonts w:ascii="Arial" w:hAnsi="Arial" w:cs="Arial"/>
          <w:b/>
          <w:bCs/>
          <w:vertAlign w:val="superscript"/>
        </w:rPr>
        <w:t>3</w:t>
      </w:r>
      <w:r w:rsidRPr="00F8754B">
        <w:rPr>
          <w:rFonts w:ascii="Arial" w:hAnsi="Arial" w:cs="Arial"/>
          <w:b/>
          <w:bCs/>
        </w:rPr>
        <w:t xml:space="preserve">Persistent hypomagnesemia can occasionally be seen despite </w:t>
      </w:r>
      <w:r w:rsidRPr="00F8754B">
        <w:rPr>
          <w:rFonts w:ascii="Arial" w:hAnsi="Arial" w:cs="Arial"/>
          <w:b/>
          <w:bCs/>
        </w:rPr>
        <w:lastRenderedPageBreak/>
        <w:t>aggressive replacement therapy because of ongoing calcineurin inhibitor-induced urinary magnesium wasting. </w:t>
      </w:r>
      <w:r w:rsidRPr="00F8754B">
        <w:rPr>
          <w:rFonts w:ascii="Arial" w:hAnsi="Arial" w:cs="Arial"/>
          <w:b/>
          <w:bCs/>
          <w:vertAlign w:val="superscript"/>
        </w:rPr>
        <w:t>4</w:t>
      </w:r>
      <w:r w:rsidRPr="00F8754B">
        <w:rPr>
          <w:rFonts w:ascii="Arial" w:hAnsi="Arial" w:cs="Arial"/>
          <w:b/>
          <w:bCs/>
        </w:rPr>
        <w:t>Manipulation of immunosuppression should be weighed against the risk of acute rejection. </w:t>
      </w:r>
      <w:r w:rsidRPr="00F8754B">
        <w:rPr>
          <w:rFonts w:ascii="Arial" w:hAnsi="Arial" w:cs="Arial"/>
          <w:b/>
          <w:bCs/>
          <w:vertAlign w:val="superscript"/>
        </w:rPr>
        <w:t>5</w:t>
      </w:r>
      <w:r w:rsidRPr="00F8754B">
        <w:rPr>
          <w:rFonts w:ascii="Arial" w:hAnsi="Arial" w:cs="Arial"/>
          <w:b/>
          <w:bCs/>
        </w:rPr>
        <w:t>Donor liver steatosis has also been reported to be associated with increased PTDM risk. PPAR, peroxisome proliferators activated receptor; IGT, impaired glucose tolerance; IFG, impaired fasting glucose</w:t>
      </w:r>
      <w:r w:rsidR="00491D9B">
        <w:rPr>
          <w:rFonts w:ascii="Arial" w:hAnsi="Arial" w:cs="Arial"/>
          <w:b/>
          <w:bCs/>
        </w:rPr>
        <w:t>.</w:t>
      </w:r>
    </w:p>
    <w:p w14:paraId="06EB923D" w14:textId="77777777" w:rsidR="009E4C10" w:rsidRPr="00AD6EB0" w:rsidRDefault="009E4C10" w:rsidP="00AD6EB0">
      <w:pPr>
        <w:spacing w:after="0" w:line="276" w:lineRule="auto"/>
        <w:rPr>
          <w:rFonts w:ascii="Arial" w:hAnsi="Arial" w:cs="Arial"/>
        </w:rPr>
      </w:pPr>
    </w:p>
    <w:p w14:paraId="630BC128" w14:textId="77777777" w:rsidR="009E4C10" w:rsidRPr="00AD6EB0" w:rsidRDefault="009E4C10" w:rsidP="00AD6EB0">
      <w:pPr>
        <w:spacing w:after="0" w:line="276" w:lineRule="auto"/>
        <w:rPr>
          <w:rFonts w:ascii="Arial" w:hAnsi="Arial" w:cs="Arial"/>
          <w:b/>
          <w:bCs/>
          <w:color w:val="4C94D8" w:themeColor="text2" w:themeTint="80"/>
        </w:rPr>
      </w:pPr>
      <w:r w:rsidRPr="00AD6EB0">
        <w:rPr>
          <w:rFonts w:ascii="Arial" w:hAnsi="Arial" w:cs="Arial"/>
          <w:b/>
          <w:bCs/>
          <w:color w:val="4C94D8" w:themeColor="text2" w:themeTint="80"/>
        </w:rPr>
        <w:t>IMPACT OF PTDM ON OUTCOMES AFTER TRANSPLANTATION</w:t>
      </w:r>
    </w:p>
    <w:p w14:paraId="285E198A" w14:textId="77777777" w:rsidR="00F8754B" w:rsidRDefault="00F8754B" w:rsidP="00AD6EB0">
      <w:pPr>
        <w:spacing w:after="0" w:line="276" w:lineRule="auto"/>
        <w:rPr>
          <w:rFonts w:ascii="Arial" w:hAnsi="Arial" w:cs="Arial"/>
        </w:rPr>
      </w:pPr>
    </w:p>
    <w:p w14:paraId="54FE148A" w14:textId="66500F0B" w:rsidR="009E4C10" w:rsidRPr="00AD6EB0" w:rsidRDefault="009E4C10" w:rsidP="00AD6EB0">
      <w:pPr>
        <w:spacing w:after="0" w:line="276" w:lineRule="auto"/>
        <w:rPr>
          <w:rFonts w:ascii="Arial" w:hAnsi="Arial" w:cs="Arial"/>
        </w:rPr>
      </w:pPr>
      <w:r w:rsidRPr="00AD6EB0">
        <w:rPr>
          <w:rFonts w:ascii="Arial" w:hAnsi="Arial" w:cs="Arial"/>
        </w:rPr>
        <w:t>Studies evaluating the association between PTDM and morbidity and mortality have yielded mixed results (</w:t>
      </w:r>
      <w:r w:rsidR="00CC04BB" w:rsidRPr="00AD6EB0">
        <w:rPr>
          <w:rFonts w:ascii="Arial" w:hAnsi="Arial" w:cs="Arial"/>
        </w:rPr>
        <w:t>29-</w:t>
      </w:r>
      <w:r w:rsidR="006070F2" w:rsidRPr="00AD6EB0">
        <w:rPr>
          <w:rFonts w:ascii="Arial" w:hAnsi="Arial" w:cs="Arial"/>
        </w:rPr>
        <w:t>38</w:t>
      </w:r>
      <w:r w:rsidRPr="00AD6EB0">
        <w:rPr>
          <w:rFonts w:ascii="Arial" w:hAnsi="Arial" w:cs="Arial"/>
        </w:rPr>
        <w:t>).</w:t>
      </w:r>
    </w:p>
    <w:p w14:paraId="3C99697D" w14:textId="77777777" w:rsidR="00F8754B" w:rsidRDefault="00F8754B" w:rsidP="00AD6EB0">
      <w:pPr>
        <w:spacing w:after="0" w:line="276" w:lineRule="auto"/>
        <w:rPr>
          <w:rFonts w:ascii="Arial" w:hAnsi="Arial" w:cs="Arial"/>
          <w:b/>
          <w:bCs/>
          <w:color w:val="00B050"/>
        </w:rPr>
      </w:pPr>
    </w:p>
    <w:p w14:paraId="3266D963" w14:textId="3D067A95"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PTDM After Kidney Transplantation</w:t>
      </w:r>
    </w:p>
    <w:p w14:paraId="0CF39817" w14:textId="77777777" w:rsidR="00470F19" w:rsidRDefault="00470F19" w:rsidP="00AD6EB0">
      <w:pPr>
        <w:spacing w:after="0" w:line="276" w:lineRule="auto"/>
        <w:rPr>
          <w:rFonts w:ascii="Arial" w:hAnsi="Arial" w:cs="Arial"/>
        </w:rPr>
      </w:pPr>
    </w:p>
    <w:p w14:paraId="60BC4915" w14:textId="62D127E0" w:rsidR="00F716A8" w:rsidRPr="00AD6EB0" w:rsidRDefault="009E4C10" w:rsidP="00AD6EB0">
      <w:pPr>
        <w:spacing w:after="0" w:line="276" w:lineRule="auto"/>
        <w:rPr>
          <w:rFonts w:ascii="Arial" w:hAnsi="Arial" w:cs="Arial"/>
        </w:rPr>
      </w:pPr>
      <w:r w:rsidRPr="00AD6EB0">
        <w:rPr>
          <w:rFonts w:ascii="Arial" w:hAnsi="Arial" w:cs="Arial"/>
        </w:rPr>
        <w:t>Retrospective analysis of the United States Renal Data System consisting of more than 11,000 kidney transplant recipients demonstrated that PTDM was a strong, independent predictor of mortality (p &lt; 0.0001), graft failure (unadjusted for graft loss due to rejection) (p &lt; 0.0001), and death-censored graft failure (p &lt; 0.0001) (</w:t>
      </w:r>
      <w:r w:rsidR="006070F2" w:rsidRPr="00AD6EB0">
        <w:rPr>
          <w:rFonts w:ascii="Arial" w:hAnsi="Arial" w:cs="Arial"/>
        </w:rPr>
        <w:t>22</w:t>
      </w:r>
      <w:r w:rsidRPr="00AD6EB0">
        <w:rPr>
          <w:rFonts w:ascii="Arial" w:hAnsi="Arial" w:cs="Arial"/>
        </w:rPr>
        <w:t>). One single-center study consisting of more than 700 kidney transplant recipients similarly demonstrated worse 10-year actuarial patient survival among patients with PTDM compared with those without PTDM (67.1% vs. 81.9%, respectively). Five- and 10-year graft survival rates were similar among patients with PTDM and those without PTDM (</w:t>
      </w:r>
      <w:r w:rsidR="006070F2" w:rsidRPr="00AD6EB0">
        <w:rPr>
          <w:rFonts w:ascii="Arial" w:hAnsi="Arial" w:cs="Arial"/>
        </w:rPr>
        <w:t>29</w:t>
      </w:r>
      <w:r w:rsidRPr="00AD6EB0">
        <w:rPr>
          <w:rFonts w:ascii="Arial" w:hAnsi="Arial" w:cs="Arial"/>
        </w:rPr>
        <w:t>). In contrast, in a multicenter longitudinal cohort study consisting of 632 kidney transplant recipients of deceased-donor kidneys, no association between PTDM and mortality or graft failure was observed at a median follow-up of 6 years post-transplantation (n=632) (</w:t>
      </w:r>
      <w:r w:rsidR="006070F2" w:rsidRPr="00AD6EB0">
        <w:rPr>
          <w:rFonts w:ascii="Arial" w:hAnsi="Arial" w:cs="Arial"/>
        </w:rPr>
        <w:t>30</w:t>
      </w:r>
      <w:r w:rsidRPr="00AD6EB0">
        <w:rPr>
          <w:rFonts w:ascii="Arial" w:hAnsi="Arial" w:cs="Arial"/>
        </w:rPr>
        <w:t>). Subgroup analyses showed that late onset PTDM (developing beyond 1-year post-transplantation) was associated with worse graft outcomes. A retrospective analysis of the UNOS/OPTN database (n &gt; 37,000) similarly failed to demonstrate the negative impact of PTDM on transplant survival or cardiovascular mortality during a median follow up of 548 days (</w:t>
      </w:r>
      <w:r w:rsidR="006070F2" w:rsidRPr="00AD6EB0">
        <w:rPr>
          <w:rFonts w:ascii="Arial" w:hAnsi="Arial" w:cs="Arial"/>
        </w:rPr>
        <w:t>31</w:t>
      </w:r>
      <w:r w:rsidRPr="00AD6EB0">
        <w:rPr>
          <w:rFonts w:ascii="Arial" w:hAnsi="Arial" w:cs="Arial"/>
        </w:rPr>
        <w:t>). However, the study results were considered inconclusive because of the wide confidence intervals and relatively short duration of follow-up.</w:t>
      </w:r>
      <w:r w:rsidR="00A04ED2" w:rsidRPr="00AD6EB0">
        <w:rPr>
          <w:rFonts w:ascii="Arial" w:hAnsi="Arial" w:cs="Arial"/>
        </w:rPr>
        <w:t xml:space="preserve"> </w:t>
      </w:r>
    </w:p>
    <w:p w14:paraId="41E57053" w14:textId="77777777" w:rsidR="00470F19" w:rsidRDefault="00470F19" w:rsidP="00AD6EB0">
      <w:pPr>
        <w:spacing w:after="0" w:line="276" w:lineRule="auto"/>
        <w:rPr>
          <w:rFonts w:ascii="Arial" w:hAnsi="Arial" w:cs="Arial"/>
        </w:rPr>
      </w:pPr>
    </w:p>
    <w:p w14:paraId="418001AA" w14:textId="781E6A6B" w:rsidR="00EF2096" w:rsidRPr="00AD6EB0" w:rsidRDefault="00F716A8" w:rsidP="00AD6EB0">
      <w:pPr>
        <w:spacing w:after="0" w:line="276" w:lineRule="auto"/>
        <w:rPr>
          <w:rFonts w:ascii="Arial" w:hAnsi="Arial" w:cs="Arial"/>
        </w:rPr>
      </w:pPr>
      <w:r w:rsidRPr="00AD6EB0">
        <w:rPr>
          <w:rFonts w:ascii="Arial" w:hAnsi="Arial" w:cs="Arial"/>
        </w:rPr>
        <w:t xml:space="preserve">A </w:t>
      </w:r>
      <w:r w:rsidR="00D82429" w:rsidRPr="00AD6EB0">
        <w:rPr>
          <w:rFonts w:ascii="Arial" w:hAnsi="Arial" w:cs="Arial"/>
        </w:rPr>
        <w:t>s</w:t>
      </w:r>
      <w:r w:rsidR="00A04ED2" w:rsidRPr="00AD6EB0">
        <w:rPr>
          <w:rFonts w:ascii="Arial" w:hAnsi="Arial" w:cs="Arial"/>
        </w:rPr>
        <w:t>ystematic review and meta-analysis</w:t>
      </w:r>
      <w:r w:rsidR="008D620A" w:rsidRPr="00AD6EB0">
        <w:rPr>
          <w:rFonts w:ascii="Arial" w:hAnsi="Arial" w:cs="Arial"/>
        </w:rPr>
        <w:t xml:space="preserve"> </w:t>
      </w:r>
      <w:r w:rsidR="00CF6BE2" w:rsidRPr="00AD6EB0">
        <w:rPr>
          <w:rFonts w:ascii="Arial" w:hAnsi="Arial" w:cs="Arial"/>
        </w:rPr>
        <w:t xml:space="preserve">of </w:t>
      </w:r>
      <w:r w:rsidR="00B874AD" w:rsidRPr="00AD6EB0">
        <w:rPr>
          <w:rFonts w:ascii="Arial" w:hAnsi="Arial" w:cs="Arial"/>
        </w:rPr>
        <w:t>53 studies (n=</w:t>
      </w:r>
      <w:r w:rsidR="00CE7FCA" w:rsidRPr="00AD6EB0">
        <w:rPr>
          <w:rFonts w:ascii="Arial" w:hAnsi="Arial" w:cs="Arial"/>
        </w:rPr>
        <w:t xml:space="preserve"> 1</w:t>
      </w:r>
      <w:r w:rsidR="00B54E1E" w:rsidRPr="00AD6EB0">
        <w:rPr>
          <w:rFonts w:ascii="Arial" w:hAnsi="Arial" w:cs="Arial"/>
        </w:rPr>
        <w:t>38,917</w:t>
      </w:r>
      <w:r w:rsidR="00CE7FCA" w:rsidRPr="00AD6EB0">
        <w:rPr>
          <w:rFonts w:ascii="Arial" w:hAnsi="Arial" w:cs="Arial"/>
        </w:rPr>
        <w:t xml:space="preserve"> </w:t>
      </w:r>
      <w:r w:rsidR="00A327AD" w:rsidRPr="00AD6EB0">
        <w:rPr>
          <w:rFonts w:ascii="Arial" w:hAnsi="Arial" w:cs="Arial"/>
        </w:rPr>
        <w:t>patients</w:t>
      </w:r>
      <w:r w:rsidR="00B54E1E" w:rsidRPr="00AD6EB0">
        <w:rPr>
          <w:rFonts w:ascii="Arial" w:hAnsi="Arial" w:cs="Arial"/>
        </w:rPr>
        <w:t>)</w:t>
      </w:r>
      <w:r w:rsidR="00A327AD" w:rsidRPr="00AD6EB0">
        <w:rPr>
          <w:rFonts w:ascii="Arial" w:hAnsi="Arial" w:cs="Arial"/>
        </w:rPr>
        <w:t xml:space="preserve"> </w:t>
      </w:r>
      <w:r w:rsidR="007B7D75" w:rsidRPr="00AD6EB0">
        <w:rPr>
          <w:rFonts w:ascii="Arial" w:hAnsi="Arial" w:cs="Arial"/>
        </w:rPr>
        <w:t xml:space="preserve">demonstrated </w:t>
      </w:r>
      <w:r w:rsidR="00D0639B" w:rsidRPr="00AD6EB0">
        <w:rPr>
          <w:rFonts w:ascii="Arial" w:hAnsi="Arial" w:cs="Arial"/>
        </w:rPr>
        <w:t xml:space="preserve">that PTDM is associated with </w:t>
      </w:r>
      <w:r w:rsidR="007B7D75" w:rsidRPr="00AD6EB0">
        <w:rPr>
          <w:rFonts w:ascii="Arial" w:hAnsi="Arial" w:cs="Arial"/>
        </w:rPr>
        <w:t xml:space="preserve">a significant increase in </w:t>
      </w:r>
      <w:r w:rsidR="00016994" w:rsidRPr="00AD6EB0">
        <w:rPr>
          <w:rFonts w:ascii="Arial" w:hAnsi="Arial" w:cs="Arial"/>
        </w:rPr>
        <w:t xml:space="preserve">overall graft failure </w:t>
      </w:r>
      <w:r w:rsidR="00CC28D9" w:rsidRPr="00AD6EB0">
        <w:rPr>
          <w:rFonts w:ascii="Arial" w:hAnsi="Arial" w:cs="Arial"/>
        </w:rPr>
        <w:t>[</w:t>
      </w:r>
      <w:r w:rsidR="00E65302" w:rsidRPr="00AD6EB0">
        <w:rPr>
          <w:rFonts w:ascii="Arial" w:hAnsi="Arial" w:cs="Arial"/>
        </w:rPr>
        <w:t>(</w:t>
      </w:r>
      <w:r w:rsidR="00CC28D9" w:rsidRPr="00AD6EB0">
        <w:rPr>
          <w:rFonts w:ascii="Arial" w:hAnsi="Arial" w:cs="Arial"/>
        </w:rPr>
        <w:t xml:space="preserve">Risk ratio </w:t>
      </w:r>
      <w:r w:rsidR="00E65302" w:rsidRPr="00AD6EB0">
        <w:rPr>
          <w:rFonts w:ascii="Arial" w:hAnsi="Arial" w:cs="Arial"/>
        </w:rPr>
        <w:t>[</w:t>
      </w:r>
      <w:r w:rsidR="00016994" w:rsidRPr="00AD6EB0">
        <w:rPr>
          <w:rFonts w:ascii="Arial" w:hAnsi="Arial" w:cs="Arial"/>
        </w:rPr>
        <w:t>RR</w:t>
      </w:r>
      <w:r w:rsidR="00E65302" w:rsidRPr="00AD6EB0">
        <w:rPr>
          <w:rFonts w:ascii="Arial" w:hAnsi="Arial" w:cs="Arial"/>
        </w:rPr>
        <w:t>]</w:t>
      </w:r>
      <w:r w:rsidR="00016994" w:rsidRPr="00AD6EB0">
        <w:rPr>
          <w:rFonts w:ascii="Arial" w:hAnsi="Arial" w:cs="Arial"/>
        </w:rPr>
        <w:t xml:space="preserve"> 1.33, </w:t>
      </w:r>
      <w:r w:rsidR="00F522FA" w:rsidRPr="00AD6EB0">
        <w:rPr>
          <w:rFonts w:ascii="Arial" w:hAnsi="Arial" w:cs="Arial"/>
        </w:rPr>
        <w:t>p</w:t>
      </w:r>
      <w:r w:rsidR="00016994" w:rsidRPr="00AD6EB0">
        <w:rPr>
          <w:rFonts w:ascii="Arial" w:hAnsi="Arial" w:cs="Arial"/>
        </w:rPr>
        <w:t xml:space="preserve"> &lt; .001), </w:t>
      </w:r>
      <w:r w:rsidR="007B7D75" w:rsidRPr="00AD6EB0">
        <w:rPr>
          <w:rFonts w:ascii="Arial" w:hAnsi="Arial" w:cs="Arial"/>
        </w:rPr>
        <w:t xml:space="preserve">all-cause mortality </w:t>
      </w:r>
      <w:r w:rsidR="00BE5265" w:rsidRPr="00AD6EB0">
        <w:rPr>
          <w:rFonts w:ascii="Arial" w:hAnsi="Arial" w:cs="Arial"/>
        </w:rPr>
        <w:t>(RR</w:t>
      </w:r>
      <w:r w:rsidR="007B7D75" w:rsidRPr="00AD6EB0">
        <w:rPr>
          <w:rFonts w:ascii="Arial" w:hAnsi="Arial" w:cs="Arial"/>
        </w:rPr>
        <w:t xml:space="preserve"> 1.70, </w:t>
      </w:r>
      <w:r w:rsidR="00F522FA" w:rsidRPr="00AD6EB0">
        <w:rPr>
          <w:rFonts w:ascii="Arial" w:hAnsi="Arial" w:cs="Arial"/>
        </w:rPr>
        <w:t>p</w:t>
      </w:r>
      <w:r w:rsidR="007B7D75" w:rsidRPr="00AD6EB0">
        <w:rPr>
          <w:rFonts w:ascii="Arial" w:hAnsi="Arial" w:cs="Arial"/>
        </w:rPr>
        <w:t xml:space="preserve"> &lt; .001</w:t>
      </w:r>
      <w:r w:rsidR="00BE5265" w:rsidRPr="00AD6EB0">
        <w:rPr>
          <w:rFonts w:ascii="Arial" w:hAnsi="Arial" w:cs="Arial"/>
        </w:rPr>
        <w:t>)</w:t>
      </w:r>
      <w:r w:rsidR="00B81793" w:rsidRPr="00AD6EB0">
        <w:rPr>
          <w:rFonts w:ascii="Arial" w:hAnsi="Arial" w:cs="Arial"/>
        </w:rPr>
        <w:t>,</w:t>
      </w:r>
      <w:r w:rsidR="007B7D75" w:rsidRPr="00AD6EB0">
        <w:rPr>
          <w:rFonts w:ascii="Arial" w:hAnsi="Arial" w:cs="Arial"/>
        </w:rPr>
        <w:t xml:space="preserve"> </w:t>
      </w:r>
      <w:r w:rsidR="00D524BF" w:rsidRPr="00AD6EB0">
        <w:rPr>
          <w:rFonts w:ascii="Arial" w:hAnsi="Arial" w:cs="Arial"/>
        </w:rPr>
        <w:t>a</w:t>
      </w:r>
      <w:r w:rsidR="008D620A" w:rsidRPr="00AD6EB0">
        <w:rPr>
          <w:rFonts w:ascii="Arial" w:hAnsi="Arial" w:cs="Arial"/>
        </w:rPr>
        <w:t>nd</w:t>
      </w:r>
      <w:r w:rsidR="00D524BF" w:rsidRPr="00AD6EB0">
        <w:rPr>
          <w:rFonts w:ascii="Arial" w:hAnsi="Arial" w:cs="Arial"/>
        </w:rPr>
        <w:t xml:space="preserve"> </w:t>
      </w:r>
      <w:r w:rsidR="007B7D75" w:rsidRPr="00AD6EB0">
        <w:rPr>
          <w:rFonts w:ascii="Arial" w:hAnsi="Arial" w:cs="Arial"/>
        </w:rPr>
        <w:t>cardiovascular</w:t>
      </w:r>
      <w:r w:rsidR="00AA1DC7" w:rsidRPr="00AD6EB0">
        <w:rPr>
          <w:rFonts w:ascii="Arial" w:hAnsi="Arial" w:cs="Arial"/>
        </w:rPr>
        <w:t xml:space="preserve"> </w:t>
      </w:r>
      <w:r w:rsidR="00D0639B" w:rsidRPr="00AD6EB0">
        <w:rPr>
          <w:rFonts w:ascii="Arial" w:hAnsi="Arial" w:cs="Arial"/>
        </w:rPr>
        <w:t>and sepsis-related mortality (</w:t>
      </w:r>
      <w:r w:rsidR="00EB68F8" w:rsidRPr="00AD6EB0">
        <w:rPr>
          <w:rFonts w:ascii="Arial" w:hAnsi="Arial" w:cs="Arial"/>
        </w:rPr>
        <w:t xml:space="preserve">RR 1.86, </w:t>
      </w:r>
      <w:r w:rsidR="00F522FA" w:rsidRPr="00AD6EB0">
        <w:rPr>
          <w:rFonts w:ascii="Arial" w:hAnsi="Arial" w:cs="Arial"/>
        </w:rPr>
        <w:t>p</w:t>
      </w:r>
      <w:r w:rsidR="00EB68F8" w:rsidRPr="00AD6EB0">
        <w:rPr>
          <w:rFonts w:ascii="Arial" w:hAnsi="Arial" w:cs="Arial"/>
        </w:rPr>
        <w:t xml:space="preserve"> &lt; .001</w:t>
      </w:r>
      <w:r w:rsidR="00EB535D" w:rsidRPr="00AD6EB0">
        <w:rPr>
          <w:rFonts w:ascii="Arial" w:hAnsi="Arial" w:cs="Arial"/>
        </w:rPr>
        <w:t xml:space="preserve"> and </w:t>
      </w:r>
      <w:r w:rsidR="00D0639B" w:rsidRPr="00AD6EB0">
        <w:rPr>
          <w:rFonts w:ascii="Arial" w:hAnsi="Arial" w:cs="Arial"/>
        </w:rPr>
        <w:t xml:space="preserve">RR 1.96, </w:t>
      </w:r>
      <w:r w:rsidR="00F522FA" w:rsidRPr="00AD6EB0">
        <w:rPr>
          <w:rFonts w:ascii="Arial" w:hAnsi="Arial" w:cs="Arial"/>
        </w:rPr>
        <w:t>p</w:t>
      </w:r>
      <w:r w:rsidR="00D0639B" w:rsidRPr="00AD6EB0">
        <w:rPr>
          <w:rFonts w:ascii="Arial" w:hAnsi="Arial" w:cs="Arial"/>
        </w:rPr>
        <w:t xml:space="preserve"> &lt; .001</w:t>
      </w:r>
      <w:r w:rsidR="00EB535D" w:rsidRPr="00AD6EB0">
        <w:rPr>
          <w:rFonts w:ascii="Arial" w:hAnsi="Arial" w:cs="Arial"/>
        </w:rPr>
        <w:t>, respectively</w:t>
      </w:r>
      <w:r w:rsidR="00D0639B" w:rsidRPr="00AD6EB0">
        <w:rPr>
          <w:rFonts w:ascii="Arial" w:hAnsi="Arial" w:cs="Arial"/>
        </w:rPr>
        <w:t>)</w:t>
      </w:r>
      <w:r w:rsidR="00CC28D9" w:rsidRPr="00AD6EB0">
        <w:rPr>
          <w:rFonts w:ascii="Arial" w:hAnsi="Arial" w:cs="Arial"/>
        </w:rPr>
        <w:t>]</w:t>
      </w:r>
      <w:r w:rsidR="00D0639B" w:rsidRPr="00AD6EB0">
        <w:rPr>
          <w:rFonts w:ascii="Arial" w:hAnsi="Arial" w:cs="Arial"/>
        </w:rPr>
        <w:t xml:space="preserve">. </w:t>
      </w:r>
      <w:r w:rsidR="00FF3922" w:rsidRPr="00AD6EB0">
        <w:rPr>
          <w:rFonts w:ascii="Arial" w:hAnsi="Arial" w:cs="Arial"/>
        </w:rPr>
        <w:t xml:space="preserve">Although </w:t>
      </w:r>
      <w:r w:rsidR="00FE15E5" w:rsidRPr="00AD6EB0">
        <w:rPr>
          <w:rFonts w:ascii="Arial" w:hAnsi="Arial" w:cs="Arial"/>
        </w:rPr>
        <w:t>systematic review and meta</w:t>
      </w:r>
      <w:r w:rsidR="0088764C" w:rsidRPr="00AD6EB0">
        <w:rPr>
          <w:rFonts w:ascii="Arial" w:hAnsi="Arial" w:cs="Arial"/>
        </w:rPr>
        <w:t>-a</w:t>
      </w:r>
      <w:r w:rsidR="00FE15E5" w:rsidRPr="00AD6EB0">
        <w:rPr>
          <w:rFonts w:ascii="Arial" w:hAnsi="Arial" w:cs="Arial"/>
        </w:rPr>
        <w:t xml:space="preserve">nalysis </w:t>
      </w:r>
      <w:r w:rsidR="00676A41" w:rsidRPr="00AD6EB0">
        <w:rPr>
          <w:rFonts w:ascii="Arial" w:hAnsi="Arial" w:cs="Arial"/>
        </w:rPr>
        <w:t xml:space="preserve">has inherent bias including </w:t>
      </w:r>
      <w:r w:rsidR="00C561C2" w:rsidRPr="00AD6EB0">
        <w:rPr>
          <w:rFonts w:ascii="Arial" w:hAnsi="Arial" w:cs="Arial"/>
        </w:rPr>
        <w:t>heterogeneity of study demographics</w:t>
      </w:r>
      <w:r w:rsidR="00F54A31" w:rsidRPr="00AD6EB0">
        <w:rPr>
          <w:rFonts w:ascii="Arial" w:hAnsi="Arial" w:cs="Arial"/>
        </w:rPr>
        <w:t xml:space="preserve"> and </w:t>
      </w:r>
      <w:r w:rsidR="00EF2096" w:rsidRPr="00AD6EB0">
        <w:rPr>
          <w:rFonts w:ascii="Arial" w:hAnsi="Arial" w:cs="Arial"/>
        </w:rPr>
        <w:t>publication bias (</w:t>
      </w:r>
      <w:r w:rsidR="00866D50" w:rsidRPr="00AD6EB0">
        <w:rPr>
          <w:rFonts w:ascii="Arial" w:hAnsi="Arial" w:cs="Arial"/>
        </w:rPr>
        <w:t>studies with significant results are overrepre</w:t>
      </w:r>
      <w:r w:rsidR="00867F9F" w:rsidRPr="00AD6EB0">
        <w:rPr>
          <w:rFonts w:ascii="Arial" w:hAnsi="Arial" w:cs="Arial"/>
        </w:rPr>
        <w:t>se</w:t>
      </w:r>
      <w:r w:rsidR="00866D50" w:rsidRPr="00AD6EB0">
        <w:rPr>
          <w:rFonts w:ascii="Arial" w:hAnsi="Arial" w:cs="Arial"/>
        </w:rPr>
        <w:t>nted</w:t>
      </w:r>
      <w:r w:rsidR="00EF2096" w:rsidRPr="00AD6EB0">
        <w:rPr>
          <w:rFonts w:ascii="Arial" w:hAnsi="Arial" w:cs="Arial"/>
        </w:rPr>
        <w:t>)</w:t>
      </w:r>
      <w:r w:rsidR="00D9033D" w:rsidRPr="00AD6EB0">
        <w:rPr>
          <w:rFonts w:ascii="Arial" w:hAnsi="Arial" w:cs="Arial"/>
        </w:rPr>
        <w:t xml:space="preserve">, </w:t>
      </w:r>
      <w:r w:rsidR="00C414A1" w:rsidRPr="00AD6EB0">
        <w:rPr>
          <w:rFonts w:ascii="Arial" w:hAnsi="Arial" w:cs="Arial"/>
        </w:rPr>
        <w:t>t</w:t>
      </w:r>
      <w:r w:rsidR="00DC4E72" w:rsidRPr="00AD6EB0">
        <w:rPr>
          <w:rFonts w:ascii="Arial" w:hAnsi="Arial" w:cs="Arial"/>
        </w:rPr>
        <w:t xml:space="preserve">he </w:t>
      </w:r>
      <w:r w:rsidR="00ED43EC" w:rsidRPr="00AD6EB0">
        <w:rPr>
          <w:rFonts w:ascii="Arial" w:hAnsi="Arial" w:cs="Arial"/>
        </w:rPr>
        <w:t>incl</w:t>
      </w:r>
      <w:r w:rsidR="000637EB" w:rsidRPr="00AD6EB0">
        <w:rPr>
          <w:rFonts w:ascii="Arial" w:hAnsi="Arial" w:cs="Arial"/>
        </w:rPr>
        <w:t xml:space="preserve">usion of a </w:t>
      </w:r>
      <w:r w:rsidR="00D9033D" w:rsidRPr="00AD6EB0">
        <w:rPr>
          <w:rFonts w:ascii="Arial" w:hAnsi="Arial" w:cs="Arial"/>
        </w:rPr>
        <w:t xml:space="preserve">substantial number of studies and patients provides a robust basis for </w:t>
      </w:r>
      <w:r w:rsidR="00DA6F6C" w:rsidRPr="00AD6EB0">
        <w:rPr>
          <w:rFonts w:ascii="Arial" w:hAnsi="Arial" w:cs="Arial"/>
        </w:rPr>
        <w:t>assessing</w:t>
      </w:r>
      <w:r w:rsidR="00D9033D" w:rsidRPr="00AD6EB0">
        <w:rPr>
          <w:rFonts w:ascii="Arial" w:hAnsi="Arial" w:cs="Arial"/>
        </w:rPr>
        <w:t xml:space="preserve"> </w:t>
      </w:r>
      <w:r w:rsidR="00817673" w:rsidRPr="00AD6EB0">
        <w:rPr>
          <w:rFonts w:ascii="Arial" w:hAnsi="Arial" w:cs="Arial"/>
        </w:rPr>
        <w:t>the impact of PTDM</w:t>
      </w:r>
      <w:r w:rsidR="00D9033D" w:rsidRPr="00AD6EB0">
        <w:rPr>
          <w:rFonts w:ascii="Arial" w:hAnsi="Arial" w:cs="Arial"/>
        </w:rPr>
        <w:t xml:space="preserve"> </w:t>
      </w:r>
      <w:r w:rsidR="00817673" w:rsidRPr="00AD6EB0">
        <w:rPr>
          <w:rFonts w:ascii="Arial" w:hAnsi="Arial" w:cs="Arial"/>
        </w:rPr>
        <w:t>on</w:t>
      </w:r>
      <w:r w:rsidR="00C330D0" w:rsidRPr="00AD6EB0">
        <w:rPr>
          <w:rFonts w:ascii="Arial" w:hAnsi="Arial" w:cs="Arial"/>
        </w:rPr>
        <w:t xml:space="preserve"> post-transplantation</w:t>
      </w:r>
      <w:r w:rsidR="00D9033D" w:rsidRPr="00AD6EB0">
        <w:rPr>
          <w:rFonts w:ascii="Arial" w:hAnsi="Arial" w:cs="Arial"/>
        </w:rPr>
        <w:t xml:space="preserve"> outcomes</w:t>
      </w:r>
      <w:r w:rsidR="008D620A" w:rsidRPr="00AD6EB0">
        <w:rPr>
          <w:rFonts w:ascii="Arial" w:hAnsi="Arial" w:cs="Arial"/>
        </w:rPr>
        <w:t xml:space="preserve"> (</w:t>
      </w:r>
      <w:r w:rsidR="00934E7D" w:rsidRPr="00AD6EB0">
        <w:rPr>
          <w:rFonts w:ascii="Arial" w:hAnsi="Arial" w:cs="Arial"/>
        </w:rPr>
        <w:t>38</w:t>
      </w:r>
      <w:r w:rsidR="008D620A" w:rsidRPr="00AD6EB0">
        <w:rPr>
          <w:rFonts w:ascii="Arial" w:hAnsi="Arial" w:cs="Arial"/>
        </w:rPr>
        <w:t>)</w:t>
      </w:r>
      <w:r w:rsidR="007A4E74" w:rsidRPr="00AD6EB0">
        <w:rPr>
          <w:rFonts w:ascii="Arial" w:hAnsi="Arial" w:cs="Arial"/>
        </w:rPr>
        <w:t>.</w:t>
      </w:r>
    </w:p>
    <w:p w14:paraId="64BCDA91" w14:textId="77777777" w:rsidR="00470F19" w:rsidRDefault="00470F19" w:rsidP="00AD6EB0">
      <w:pPr>
        <w:spacing w:after="0" w:line="276" w:lineRule="auto"/>
        <w:rPr>
          <w:rFonts w:ascii="Arial" w:hAnsi="Arial" w:cs="Arial"/>
          <w:b/>
          <w:bCs/>
          <w:color w:val="00B050"/>
        </w:rPr>
      </w:pPr>
    </w:p>
    <w:p w14:paraId="742492CE" w14:textId="1A12F7E5"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PTDM After Liver Transplantation</w:t>
      </w:r>
    </w:p>
    <w:p w14:paraId="43DBC7E2" w14:textId="77777777" w:rsidR="00470F19" w:rsidRDefault="00470F19" w:rsidP="00AD6EB0">
      <w:pPr>
        <w:spacing w:after="0" w:line="276" w:lineRule="auto"/>
        <w:rPr>
          <w:rFonts w:ascii="Arial" w:hAnsi="Arial" w:cs="Arial"/>
        </w:rPr>
      </w:pPr>
    </w:p>
    <w:p w14:paraId="3ECF2BF2" w14:textId="77960748" w:rsidR="00730AFC" w:rsidRPr="00AD6EB0" w:rsidRDefault="009E4C10" w:rsidP="00AD6EB0">
      <w:pPr>
        <w:spacing w:after="0" w:line="276" w:lineRule="auto"/>
        <w:rPr>
          <w:rFonts w:ascii="Arial" w:hAnsi="Arial" w:cs="Arial"/>
        </w:rPr>
      </w:pPr>
      <w:r w:rsidRPr="00AD6EB0">
        <w:rPr>
          <w:rFonts w:ascii="Arial" w:hAnsi="Arial" w:cs="Arial"/>
        </w:rPr>
        <w:t xml:space="preserve">Retrospective analysis of the UNOS/OPTN database consisting of &gt; 13,000 liver transplant recipients demonstrated that the presence of both PTDM and acute rejection at 1-year posttransplant but not PTDM alone was associated with higher overall graft failure and mortality </w:t>
      </w:r>
      <w:r w:rsidRPr="00AD6EB0">
        <w:rPr>
          <w:rFonts w:ascii="Arial" w:hAnsi="Arial" w:cs="Arial"/>
        </w:rPr>
        <w:lastRenderedPageBreak/>
        <w:t>risk. However, it should be noted that UNOS database did not distinguish transient post transplantation hyperglycemia from established PTDM. A single-center retrospective cohort study (n=994) compared the incidence of major cardiovascular events (MCE) among four groups of liver transplant recipients 1) without diabetes (39%), 2) with pre-existing diabetes (24%), 3) with transient PTDM (16%), and 4) with sustained PTDM (20%). Sustained PTDM was found to be associated with a significant increase in mortality risk and a doubling of major cardiovascular events at a median follow up of 54.7 months (sub-distribution HR 1.95, 95% CI 1.20–3.18). A greater than threefold increased risk of death was observed among those who experienced MCE (sustained PTDM was defined as PTDM for at least 6 months after transplant). MCE was defined as a composite of cardiac arrest, fatal and nonfatal myocardial infarction, ischemic stroke, and symptomatic peripheral artery disease requiring a revascularization intervention) (</w:t>
      </w:r>
      <w:r w:rsidR="00211931" w:rsidRPr="00AD6EB0">
        <w:rPr>
          <w:rFonts w:ascii="Arial" w:hAnsi="Arial" w:cs="Arial"/>
        </w:rPr>
        <w:t>34</w:t>
      </w:r>
      <w:r w:rsidRPr="00AD6EB0">
        <w:rPr>
          <w:rFonts w:ascii="Arial" w:hAnsi="Arial" w:cs="Arial"/>
        </w:rPr>
        <w:t>). In a retrospective cohort study of 415 adult liver transplant recipients, PTDM was found to be associated with higher rejection rates (31.9% vs. 21.8%, respectively; p=0.055) and a trend towards worse patient survival compared with no-PTDM at 5 year follow up (72.5% vs. 77.2%, respectively; p=0.460) (</w:t>
      </w:r>
      <w:r w:rsidR="00211931" w:rsidRPr="00AD6EB0">
        <w:rPr>
          <w:rFonts w:ascii="Arial" w:hAnsi="Arial" w:cs="Arial"/>
        </w:rPr>
        <w:t>19</w:t>
      </w:r>
      <w:r w:rsidRPr="00AD6EB0">
        <w:rPr>
          <w:rFonts w:ascii="Arial" w:hAnsi="Arial" w:cs="Arial"/>
        </w:rPr>
        <w:t xml:space="preserve">). </w:t>
      </w:r>
    </w:p>
    <w:p w14:paraId="6DF89BC5" w14:textId="77777777" w:rsidR="00470F19" w:rsidRDefault="00470F19" w:rsidP="00AD6EB0">
      <w:pPr>
        <w:spacing w:after="0" w:line="276" w:lineRule="auto"/>
        <w:rPr>
          <w:rFonts w:ascii="Arial" w:hAnsi="Arial" w:cs="Arial"/>
        </w:rPr>
      </w:pPr>
    </w:p>
    <w:p w14:paraId="3A20D3C2" w14:textId="61900ABB" w:rsidR="009E4C10" w:rsidRPr="00AD6EB0" w:rsidRDefault="009E4C10" w:rsidP="00AD6EB0">
      <w:pPr>
        <w:spacing w:after="0" w:line="276" w:lineRule="auto"/>
        <w:rPr>
          <w:rFonts w:ascii="Arial" w:hAnsi="Arial" w:cs="Arial"/>
        </w:rPr>
      </w:pPr>
      <w:r w:rsidRPr="00AD6EB0">
        <w:rPr>
          <w:rFonts w:ascii="Arial" w:hAnsi="Arial" w:cs="Arial"/>
        </w:rPr>
        <w:t>Although studies on the association between PTDM and patient and allograft outcomes after liver transplantation have yielded variable results, most studies demonstrated that PTDM after liver transplantation is associated with increased mortality risk (</w:t>
      </w:r>
      <w:r w:rsidR="00211931" w:rsidRPr="00AD6EB0">
        <w:rPr>
          <w:rFonts w:ascii="Arial" w:hAnsi="Arial" w:cs="Arial"/>
        </w:rPr>
        <w:t>35</w:t>
      </w:r>
      <w:r w:rsidRPr="00AD6EB0">
        <w:rPr>
          <w:rFonts w:ascii="Arial" w:hAnsi="Arial" w:cs="Arial"/>
        </w:rPr>
        <w:t>).</w:t>
      </w:r>
    </w:p>
    <w:p w14:paraId="4FED2778" w14:textId="77777777" w:rsidR="00470F19" w:rsidRDefault="00470F19" w:rsidP="00AD6EB0">
      <w:pPr>
        <w:spacing w:after="0" w:line="276" w:lineRule="auto"/>
        <w:rPr>
          <w:rFonts w:ascii="Arial" w:hAnsi="Arial" w:cs="Arial"/>
          <w:b/>
          <w:bCs/>
          <w:color w:val="00B050"/>
        </w:rPr>
      </w:pPr>
    </w:p>
    <w:p w14:paraId="18689B1C" w14:textId="757CCDB9"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PTDM After Heart Transplantation</w:t>
      </w:r>
    </w:p>
    <w:p w14:paraId="7A7A2225" w14:textId="77777777" w:rsidR="00470F19" w:rsidRDefault="00470F19" w:rsidP="00AD6EB0">
      <w:pPr>
        <w:spacing w:after="0" w:line="276" w:lineRule="auto"/>
        <w:rPr>
          <w:rFonts w:ascii="Arial" w:hAnsi="Arial" w:cs="Arial"/>
        </w:rPr>
      </w:pPr>
    </w:p>
    <w:p w14:paraId="00134EA7" w14:textId="58100AC6" w:rsidR="009E4C10" w:rsidRPr="00AD6EB0" w:rsidRDefault="009E4C10" w:rsidP="00AD6EB0">
      <w:pPr>
        <w:spacing w:after="0" w:line="276" w:lineRule="auto"/>
        <w:rPr>
          <w:rFonts w:ascii="Arial" w:hAnsi="Arial" w:cs="Arial"/>
        </w:rPr>
      </w:pPr>
      <w:r w:rsidRPr="00AD6EB0">
        <w:rPr>
          <w:rFonts w:ascii="Arial" w:hAnsi="Arial" w:cs="Arial"/>
        </w:rPr>
        <w:t>Meta-analysis of observational studies in heart transplant recipients demonstrated that pre-existing diabetes was associated with a 37% increase in mortality risk (HR 1.37, CI 1.15-1.62) (</w:t>
      </w:r>
      <w:r w:rsidR="00FC74DC" w:rsidRPr="00AD6EB0">
        <w:rPr>
          <w:rFonts w:ascii="Arial" w:hAnsi="Arial" w:cs="Arial"/>
        </w:rPr>
        <w:t>36</w:t>
      </w:r>
      <w:r w:rsidRPr="00AD6EB0">
        <w:rPr>
          <w:rFonts w:ascii="Arial" w:hAnsi="Arial" w:cs="Arial"/>
        </w:rPr>
        <w:t>). Studies on the impact of PTDM on outcomes after heart transplantation are lacking. In one single-center South Korean study consisting of 391 isolated heart transplant recipients 1) without diabetes (n=257), 2) with pre-existing diabetes (n=46), and 3) with PTDM (n=88), the risk of death was found to be twofold higher among transplant recipients with pre-existing as well as post</w:t>
      </w:r>
      <w:r w:rsidR="00CC28D9" w:rsidRPr="00AD6EB0">
        <w:rPr>
          <w:rFonts w:ascii="Arial" w:hAnsi="Arial" w:cs="Arial"/>
        </w:rPr>
        <w:t>-</w:t>
      </w:r>
      <w:r w:rsidRPr="00AD6EB0">
        <w:rPr>
          <w:rFonts w:ascii="Arial" w:hAnsi="Arial" w:cs="Arial"/>
        </w:rPr>
        <w:t>transplantation diabetes compared with their counterparts</w:t>
      </w:r>
      <w:r w:rsidR="00414CAF" w:rsidRPr="00AD6EB0">
        <w:rPr>
          <w:rFonts w:ascii="Arial" w:hAnsi="Arial" w:cs="Arial"/>
        </w:rPr>
        <w:t xml:space="preserve"> without diabetes</w:t>
      </w:r>
      <w:r w:rsidRPr="00AD6EB0">
        <w:rPr>
          <w:rFonts w:ascii="Arial" w:hAnsi="Arial" w:cs="Arial"/>
        </w:rPr>
        <w:t xml:space="preserve"> (</w:t>
      </w:r>
      <w:r w:rsidR="00FC74DC" w:rsidRPr="00AD6EB0">
        <w:rPr>
          <w:rFonts w:ascii="Arial" w:hAnsi="Arial" w:cs="Arial"/>
        </w:rPr>
        <w:t>37</w:t>
      </w:r>
      <w:r w:rsidRPr="00AD6EB0">
        <w:rPr>
          <w:rFonts w:ascii="Arial" w:hAnsi="Arial" w:cs="Arial"/>
        </w:rPr>
        <w:t>).</w:t>
      </w:r>
      <w:r w:rsidR="000256F8" w:rsidRPr="00AD6EB0">
        <w:rPr>
          <w:rFonts w:ascii="Arial" w:hAnsi="Arial" w:cs="Arial"/>
        </w:rPr>
        <w:t xml:space="preserve"> </w:t>
      </w:r>
      <w:r w:rsidR="00654283" w:rsidRPr="00AD6EB0">
        <w:rPr>
          <w:rFonts w:ascii="Arial" w:hAnsi="Arial" w:cs="Arial"/>
        </w:rPr>
        <w:t xml:space="preserve">A </w:t>
      </w:r>
      <w:r w:rsidR="00B42355" w:rsidRPr="00AD6EB0">
        <w:rPr>
          <w:rFonts w:ascii="Arial" w:hAnsi="Arial" w:cs="Arial"/>
        </w:rPr>
        <w:t xml:space="preserve">single retrospective cohort study of 141 </w:t>
      </w:r>
      <w:r w:rsidR="007C6451" w:rsidRPr="00AD6EB0">
        <w:rPr>
          <w:rFonts w:ascii="Arial" w:hAnsi="Arial" w:cs="Arial"/>
        </w:rPr>
        <w:t>heart transplant recipients</w:t>
      </w:r>
      <w:r w:rsidR="00B42355" w:rsidRPr="00AD6EB0">
        <w:rPr>
          <w:rFonts w:ascii="Arial" w:hAnsi="Arial" w:cs="Arial"/>
        </w:rPr>
        <w:t xml:space="preserve"> </w:t>
      </w:r>
      <w:r w:rsidR="009D1AE7" w:rsidRPr="00AD6EB0">
        <w:rPr>
          <w:rFonts w:ascii="Arial" w:hAnsi="Arial" w:cs="Arial"/>
        </w:rPr>
        <w:t>(n=25 with pre-existing type 2 DM</w:t>
      </w:r>
      <w:r w:rsidR="00626BB3" w:rsidRPr="00AD6EB0">
        <w:rPr>
          <w:rFonts w:ascii="Arial" w:hAnsi="Arial" w:cs="Arial"/>
        </w:rPr>
        <w:t xml:space="preserve">, n=116 </w:t>
      </w:r>
      <w:r w:rsidR="00A3628B" w:rsidRPr="00AD6EB0">
        <w:rPr>
          <w:rFonts w:ascii="Arial" w:hAnsi="Arial" w:cs="Arial"/>
        </w:rPr>
        <w:t xml:space="preserve">without pre-transplant DM) </w:t>
      </w:r>
      <w:r w:rsidR="00D87388" w:rsidRPr="00AD6EB0">
        <w:rPr>
          <w:rFonts w:ascii="Arial" w:hAnsi="Arial" w:cs="Arial"/>
        </w:rPr>
        <w:t xml:space="preserve">similarly demonstrated that </w:t>
      </w:r>
      <w:r w:rsidR="00903EA9" w:rsidRPr="00AD6EB0">
        <w:rPr>
          <w:rFonts w:ascii="Arial" w:hAnsi="Arial" w:cs="Arial"/>
        </w:rPr>
        <w:t xml:space="preserve">PTDM and pre-existing </w:t>
      </w:r>
      <w:r w:rsidR="00FB2500" w:rsidRPr="00AD6EB0">
        <w:rPr>
          <w:rFonts w:ascii="Arial" w:hAnsi="Arial" w:cs="Arial"/>
        </w:rPr>
        <w:t>type 2 DM</w:t>
      </w:r>
      <w:r w:rsidR="00903EA9" w:rsidRPr="00AD6EB0">
        <w:rPr>
          <w:rFonts w:ascii="Arial" w:hAnsi="Arial" w:cs="Arial"/>
        </w:rPr>
        <w:t xml:space="preserve"> were associated </w:t>
      </w:r>
      <w:r w:rsidR="00C325E1" w:rsidRPr="00AD6EB0">
        <w:rPr>
          <w:rFonts w:ascii="Arial" w:hAnsi="Arial" w:cs="Arial"/>
        </w:rPr>
        <w:t>with greater than three-fold increased likelihood of death</w:t>
      </w:r>
      <w:r w:rsidR="008470B5" w:rsidRPr="00AD6EB0">
        <w:rPr>
          <w:rFonts w:ascii="Arial" w:hAnsi="Arial" w:cs="Arial"/>
        </w:rPr>
        <w:t xml:space="preserve"> </w:t>
      </w:r>
      <w:r w:rsidR="00C325E1" w:rsidRPr="00AD6EB0">
        <w:rPr>
          <w:rFonts w:ascii="Arial" w:hAnsi="Arial" w:cs="Arial"/>
        </w:rPr>
        <w:t>compared to patients who remained free from diabetes</w:t>
      </w:r>
      <w:r w:rsidR="008A69A3" w:rsidRPr="00AD6EB0">
        <w:rPr>
          <w:rFonts w:ascii="Arial" w:hAnsi="Arial" w:cs="Arial"/>
        </w:rPr>
        <w:t xml:space="preserve"> (</w:t>
      </w:r>
      <w:r w:rsidR="00FC74DC" w:rsidRPr="00AD6EB0">
        <w:rPr>
          <w:rFonts w:ascii="Arial" w:hAnsi="Arial" w:cs="Arial"/>
        </w:rPr>
        <w:t>39</w:t>
      </w:r>
      <w:r w:rsidR="008A69A3" w:rsidRPr="00AD6EB0">
        <w:rPr>
          <w:rFonts w:ascii="Arial" w:hAnsi="Arial" w:cs="Arial"/>
        </w:rPr>
        <w:t xml:space="preserve">). </w:t>
      </w:r>
      <w:r w:rsidR="00FB2500" w:rsidRPr="00AD6EB0">
        <w:rPr>
          <w:rFonts w:ascii="Arial" w:hAnsi="Arial" w:cs="Arial"/>
        </w:rPr>
        <w:t>I</w:t>
      </w:r>
      <w:r w:rsidR="008470B5" w:rsidRPr="00AD6EB0">
        <w:rPr>
          <w:rFonts w:ascii="Arial" w:hAnsi="Arial" w:cs="Arial"/>
        </w:rPr>
        <w:t>ncreased rates of graft rejection and hospitalization</w:t>
      </w:r>
      <w:r w:rsidR="00FB2500" w:rsidRPr="00AD6EB0">
        <w:rPr>
          <w:rFonts w:ascii="Arial" w:hAnsi="Arial" w:cs="Arial"/>
        </w:rPr>
        <w:t xml:space="preserve"> were also observed among those with PTDM and pre-existing type 2 DM. </w:t>
      </w:r>
    </w:p>
    <w:p w14:paraId="5EEA8A68" w14:textId="77777777" w:rsidR="008949FA" w:rsidRDefault="008949FA" w:rsidP="00AD6EB0">
      <w:pPr>
        <w:spacing w:after="0" w:line="276" w:lineRule="auto"/>
        <w:rPr>
          <w:rFonts w:ascii="Arial" w:hAnsi="Arial" w:cs="Arial"/>
          <w:b/>
          <w:bCs/>
          <w:color w:val="00B050"/>
        </w:rPr>
      </w:pPr>
    </w:p>
    <w:p w14:paraId="7FBD0919" w14:textId="39326F74"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PTDM After Lung Transplantation</w:t>
      </w:r>
    </w:p>
    <w:p w14:paraId="550BE39E" w14:textId="77777777" w:rsidR="008949FA" w:rsidRDefault="008949FA" w:rsidP="00AD6EB0">
      <w:pPr>
        <w:spacing w:after="0" w:line="276" w:lineRule="auto"/>
        <w:rPr>
          <w:rFonts w:ascii="Arial" w:hAnsi="Arial" w:cs="Arial"/>
        </w:rPr>
      </w:pPr>
    </w:p>
    <w:p w14:paraId="1212F946" w14:textId="66CCACBE" w:rsidR="009E4C10" w:rsidRPr="00AD6EB0" w:rsidRDefault="009E4C10" w:rsidP="00AD6EB0">
      <w:pPr>
        <w:spacing w:after="0" w:line="276" w:lineRule="auto"/>
        <w:rPr>
          <w:rFonts w:ascii="Arial" w:hAnsi="Arial" w:cs="Arial"/>
        </w:rPr>
      </w:pPr>
      <w:r w:rsidRPr="00AD6EB0">
        <w:rPr>
          <w:rFonts w:ascii="Arial" w:hAnsi="Arial" w:cs="Arial"/>
        </w:rPr>
        <w:t>The 27th International Society for Heart and Lung Transplantation Registry consisting of more than 32,000 lung transplant recipients demonstrated that pre-existing diabetes was associated with a 21% increase in 5-year mortality risk (RR 1.21, p=0.0023) (</w:t>
      </w:r>
      <w:r w:rsidR="006F2DF0" w:rsidRPr="00AD6EB0">
        <w:rPr>
          <w:rFonts w:ascii="Arial" w:hAnsi="Arial" w:cs="Arial"/>
        </w:rPr>
        <w:t>40</w:t>
      </w:r>
      <w:r w:rsidRPr="00AD6EB0">
        <w:rPr>
          <w:rFonts w:ascii="Arial" w:hAnsi="Arial" w:cs="Arial"/>
        </w:rPr>
        <w:t>). Limited studies suggest that PTDM similarly adversely affects survival among lung transplant recipients. In a single-center prospective observational Australian study consisting of 210 patients who underwent their first single, bilateral, or heart-lung transplant between 2010-2013, hyperglycemia in both the early and late post</w:t>
      </w:r>
      <w:r w:rsidR="009611F9" w:rsidRPr="00AD6EB0">
        <w:rPr>
          <w:rFonts w:ascii="Arial" w:hAnsi="Arial" w:cs="Arial"/>
        </w:rPr>
        <w:t>-</w:t>
      </w:r>
      <w:r w:rsidRPr="00AD6EB0">
        <w:rPr>
          <w:rFonts w:ascii="Arial" w:hAnsi="Arial" w:cs="Arial"/>
        </w:rPr>
        <w:t>transplant</w:t>
      </w:r>
      <w:r w:rsidR="009611F9" w:rsidRPr="00AD6EB0">
        <w:rPr>
          <w:rFonts w:ascii="Arial" w:hAnsi="Arial" w:cs="Arial"/>
        </w:rPr>
        <w:t>ation</w:t>
      </w:r>
      <w:r w:rsidRPr="00AD6EB0">
        <w:rPr>
          <w:rFonts w:ascii="Arial" w:hAnsi="Arial" w:cs="Arial"/>
        </w:rPr>
        <w:t xml:space="preserve"> periods (defined as first 4 months and beyond 4 months) </w:t>
      </w:r>
      <w:r w:rsidRPr="00AD6EB0">
        <w:rPr>
          <w:rFonts w:ascii="Arial" w:hAnsi="Arial" w:cs="Arial"/>
        </w:rPr>
        <w:lastRenderedPageBreak/>
        <w:t>was found to be associated with increased mortality risk. Of 210 patients, 80 had no DM, and 90 had persistent DM. Patients with preexisting DM (n=45) and PTDM (n=45) were classified together as “persistent DM”. In the whole cohort, each 18 mg/dL increase in mean fasting blood glucose (FBG) and random blood glucose and each 1% increase in mean A1C were associated with 18% (p=0.006), 38% (p&lt; 0.001), and 46% (p=0.002) increase in mortality risk, respectively (median follow up of 3 years). Of interest, random blood glucose correlated with mortality in both the persistent DM and no DM groups (35%, p=0.012 and 109%, p=0.041, respectively). It was concluded that glycemic control strongly correlated with survival after lung transplant (</w:t>
      </w:r>
      <w:r w:rsidR="006F2DF0" w:rsidRPr="00AD6EB0">
        <w:rPr>
          <w:rFonts w:ascii="Arial" w:hAnsi="Arial" w:cs="Arial"/>
        </w:rPr>
        <w:t>41</w:t>
      </w:r>
      <w:r w:rsidRPr="00AD6EB0">
        <w:rPr>
          <w:rFonts w:ascii="Arial" w:hAnsi="Arial" w:cs="Arial"/>
        </w:rPr>
        <w:t>). The same group of investigators previously demonstrated that DM conferred a nearly fourfold increase in mortality risk compared with no DM. When patients were classified into subgroups including 1) no diabetes, 2) pre-existing DM, 3) PTDM, 4) DM diagnosed within 2 weeks of death, and 5) DM developing after transplant but death within 90 days of transplant, pre-existing DM and PTDM were associated with a 65% (p=0.003) and a 90% (p&lt;0.001) increase in mortality risk, respectively (</w:t>
      </w:r>
      <w:r w:rsidR="006F2DF0" w:rsidRPr="00AD6EB0">
        <w:rPr>
          <w:rFonts w:ascii="Arial" w:hAnsi="Arial" w:cs="Arial"/>
        </w:rPr>
        <w:t>42</w:t>
      </w:r>
      <w:r w:rsidRPr="00AD6EB0">
        <w:rPr>
          <w:rFonts w:ascii="Arial" w:hAnsi="Arial" w:cs="Arial"/>
        </w:rPr>
        <w:t>).</w:t>
      </w:r>
    </w:p>
    <w:p w14:paraId="4DE6B51B" w14:textId="77777777" w:rsidR="008949FA" w:rsidRDefault="008949FA" w:rsidP="00AD6EB0">
      <w:pPr>
        <w:spacing w:after="0" w:line="276" w:lineRule="auto"/>
        <w:rPr>
          <w:rFonts w:ascii="Arial" w:hAnsi="Arial" w:cs="Arial"/>
        </w:rPr>
      </w:pPr>
    </w:p>
    <w:p w14:paraId="7CF1B6FC" w14:textId="44280222" w:rsidR="009E4C10" w:rsidRPr="00AD6EB0" w:rsidRDefault="009E4C10" w:rsidP="00AD6EB0">
      <w:pPr>
        <w:spacing w:after="0" w:line="276" w:lineRule="auto"/>
        <w:rPr>
          <w:rFonts w:ascii="Arial" w:hAnsi="Arial" w:cs="Arial"/>
        </w:rPr>
      </w:pPr>
      <w:r w:rsidRPr="00AD6EB0">
        <w:rPr>
          <w:rFonts w:ascii="Arial" w:hAnsi="Arial" w:cs="Arial"/>
        </w:rPr>
        <w:t>Although studies on the impact of PTDM on outcomes after non-renal solid organ transplantation remain limited, PTDM appears to be associated with increased mortality risk regardless of the type of organ transplants (kidney, liver, heart, lung transplant) (</w:t>
      </w:r>
      <w:r w:rsidR="003823EA" w:rsidRPr="00AD6EB0">
        <w:rPr>
          <w:rFonts w:ascii="Arial" w:hAnsi="Arial" w:cs="Arial"/>
        </w:rPr>
        <w:t>25</w:t>
      </w:r>
      <w:r w:rsidRPr="00AD6EB0">
        <w:rPr>
          <w:rFonts w:ascii="Arial" w:hAnsi="Arial" w:cs="Arial"/>
        </w:rPr>
        <w:t>). Patients with PTDM may also develop many of the complications associated with diabetes similar to that observed in the general population. In a study of 4105 patients with PTDM, one or more diabetic complications arose in 58% including ketoacidosis (8%), hyperosmolarity (3%), renal complications (31%), ophthalmic complications (8%), neurological complications (16%), peripheral circulatory disorders (4%), and hypoglycemia/shock (7%). These complications occurred within a mean of 500-600 days of developing PTDM, indicating an accelerated pace for the development of complications (</w:t>
      </w:r>
      <w:r w:rsidR="003823EA" w:rsidRPr="00AD6EB0">
        <w:rPr>
          <w:rFonts w:ascii="Arial" w:hAnsi="Arial" w:cs="Arial"/>
        </w:rPr>
        <w:t>32</w:t>
      </w:r>
      <w:r w:rsidRPr="00AD6EB0">
        <w:rPr>
          <w:rFonts w:ascii="Arial" w:hAnsi="Arial" w:cs="Arial"/>
        </w:rPr>
        <w:t>). Moreover, PTDM patients had an increased rate of infections and sepsis compared with their counterparts</w:t>
      </w:r>
      <w:r w:rsidR="00414CAF" w:rsidRPr="00AD6EB0">
        <w:rPr>
          <w:rFonts w:ascii="Arial" w:hAnsi="Arial" w:cs="Arial"/>
        </w:rPr>
        <w:t xml:space="preserve"> without diabetes</w:t>
      </w:r>
      <w:r w:rsidRPr="00AD6EB0">
        <w:rPr>
          <w:rFonts w:ascii="Arial" w:hAnsi="Arial" w:cs="Arial"/>
        </w:rPr>
        <w:t>.</w:t>
      </w:r>
    </w:p>
    <w:p w14:paraId="6005E977" w14:textId="12FD7E42" w:rsidR="009E4C10" w:rsidRPr="00AD6EB0" w:rsidRDefault="009E4C10" w:rsidP="00AD6EB0">
      <w:pPr>
        <w:spacing w:after="0" w:line="276" w:lineRule="auto"/>
        <w:rPr>
          <w:rFonts w:ascii="Arial" w:hAnsi="Arial" w:cs="Arial"/>
        </w:rPr>
      </w:pPr>
    </w:p>
    <w:p w14:paraId="5DDA6740" w14:textId="77777777" w:rsidR="009E4C10" w:rsidRPr="00AD6EB0" w:rsidRDefault="009E4C10" w:rsidP="00AD6EB0">
      <w:pPr>
        <w:spacing w:after="0" w:line="276" w:lineRule="auto"/>
        <w:rPr>
          <w:rFonts w:ascii="Arial" w:hAnsi="Arial" w:cs="Arial"/>
          <w:b/>
          <w:bCs/>
          <w:color w:val="4C94D8" w:themeColor="text2" w:themeTint="80"/>
        </w:rPr>
      </w:pPr>
      <w:r w:rsidRPr="00AD6EB0">
        <w:rPr>
          <w:rFonts w:ascii="Arial" w:hAnsi="Arial" w:cs="Arial"/>
          <w:b/>
          <w:bCs/>
          <w:color w:val="4C94D8" w:themeColor="text2" w:themeTint="80"/>
        </w:rPr>
        <w:t>DETECTION OF PTDM</w:t>
      </w:r>
    </w:p>
    <w:p w14:paraId="7D5C2555" w14:textId="77777777" w:rsidR="008949FA" w:rsidRDefault="008949FA" w:rsidP="00AD6EB0">
      <w:pPr>
        <w:spacing w:after="0" w:line="276" w:lineRule="auto"/>
        <w:rPr>
          <w:rFonts w:ascii="Arial" w:hAnsi="Arial" w:cs="Arial"/>
          <w:b/>
          <w:bCs/>
          <w:color w:val="00B050"/>
        </w:rPr>
      </w:pPr>
    </w:p>
    <w:p w14:paraId="1EB7E71B" w14:textId="26BEB616"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Pretransplant Baseline Evaluation</w:t>
      </w:r>
    </w:p>
    <w:p w14:paraId="5452B6B0" w14:textId="77777777" w:rsidR="008949FA" w:rsidRDefault="008949FA" w:rsidP="00AD6EB0">
      <w:pPr>
        <w:spacing w:after="0" w:line="276" w:lineRule="auto"/>
        <w:rPr>
          <w:rFonts w:ascii="Arial" w:hAnsi="Arial" w:cs="Arial"/>
        </w:rPr>
      </w:pPr>
    </w:p>
    <w:p w14:paraId="1029BD05" w14:textId="531128AF" w:rsidR="009E4C10" w:rsidRPr="00AD6EB0" w:rsidRDefault="009E4C10" w:rsidP="00AD6EB0">
      <w:pPr>
        <w:spacing w:after="0" w:line="276" w:lineRule="auto"/>
        <w:rPr>
          <w:rFonts w:ascii="Arial" w:hAnsi="Arial" w:cs="Arial"/>
        </w:rPr>
      </w:pPr>
      <w:r w:rsidRPr="00AD6EB0">
        <w:rPr>
          <w:rFonts w:ascii="Arial" w:hAnsi="Arial" w:cs="Arial"/>
        </w:rPr>
        <w:t xml:space="preserve">Pretransplant Evaluation should include history of hyperglycemia, prediabetes, diabetes, and risk factors for PTDM including family history and hepatitis C virus. Those with risk factors for metabolic syndrome can be screened further with laboratory testing. </w:t>
      </w:r>
      <w:r w:rsidR="004F7D6C" w:rsidRPr="00AD6EB0">
        <w:rPr>
          <w:rFonts w:ascii="Arial" w:hAnsi="Arial" w:cs="Arial"/>
        </w:rPr>
        <w:t>The</w:t>
      </w:r>
      <w:r w:rsidR="00343495" w:rsidRPr="00AD6EB0">
        <w:rPr>
          <w:rFonts w:ascii="Arial" w:hAnsi="Arial" w:cs="Arial"/>
        </w:rPr>
        <w:t xml:space="preserve"> 2024 internation</w:t>
      </w:r>
      <w:r w:rsidR="00512010" w:rsidRPr="00AD6EB0">
        <w:rPr>
          <w:rFonts w:ascii="Arial" w:hAnsi="Arial" w:cs="Arial"/>
        </w:rPr>
        <w:t>al expert panel</w:t>
      </w:r>
      <w:r w:rsidR="00343495" w:rsidRPr="00AD6EB0">
        <w:rPr>
          <w:rFonts w:ascii="Arial" w:hAnsi="Arial" w:cs="Arial"/>
        </w:rPr>
        <w:t xml:space="preserve"> recommend</w:t>
      </w:r>
      <w:r w:rsidR="00354EED" w:rsidRPr="00AD6EB0">
        <w:rPr>
          <w:rFonts w:ascii="Arial" w:hAnsi="Arial" w:cs="Arial"/>
        </w:rPr>
        <w:t>s</w:t>
      </w:r>
      <w:r w:rsidR="00343495" w:rsidRPr="00AD6EB0">
        <w:rPr>
          <w:rFonts w:ascii="Arial" w:hAnsi="Arial" w:cs="Arial"/>
        </w:rPr>
        <w:t xml:space="preserve"> performing </w:t>
      </w:r>
      <w:r w:rsidR="004F13E7" w:rsidRPr="00AD6EB0">
        <w:rPr>
          <w:rFonts w:ascii="Arial" w:hAnsi="Arial" w:cs="Arial"/>
        </w:rPr>
        <w:t>OGTT</w:t>
      </w:r>
      <w:r w:rsidR="00343495" w:rsidRPr="00AD6EB0">
        <w:rPr>
          <w:rFonts w:ascii="Arial" w:hAnsi="Arial" w:cs="Arial"/>
        </w:rPr>
        <w:t xml:space="preserve"> for diagnosis and screening starting on the waiting list (</w:t>
      </w:r>
      <w:r w:rsidR="006628F0" w:rsidRPr="00AD6EB0">
        <w:rPr>
          <w:rFonts w:ascii="Arial" w:hAnsi="Arial" w:cs="Arial"/>
        </w:rPr>
        <w:t>12</w:t>
      </w:r>
      <w:r w:rsidR="00343495" w:rsidRPr="00AD6EB0">
        <w:rPr>
          <w:rFonts w:ascii="Arial" w:hAnsi="Arial" w:cs="Arial"/>
        </w:rPr>
        <w:t xml:space="preserve">). </w:t>
      </w:r>
      <w:r w:rsidRPr="00AD6EB0">
        <w:rPr>
          <w:rFonts w:ascii="Arial" w:hAnsi="Arial" w:cs="Arial"/>
        </w:rPr>
        <w:t>Patients with evidence</w:t>
      </w:r>
      <w:r w:rsidR="00376894" w:rsidRPr="00AD6EB0">
        <w:rPr>
          <w:rFonts w:ascii="Arial" w:hAnsi="Arial" w:cs="Arial"/>
        </w:rPr>
        <w:t xml:space="preserve"> of</w:t>
      </w:r>
      <w:r w:rsidRPr="00AD6EB0">
        <w:rPr>
          <w:rFonts w:ascii="Arial" w:hAnsi="Arial" w:cs="Arial"/>
        </w:rPr>
        <w:t xml:space="preserve"> prediabetes can be counseled on lifestyle modifications including dietary modifications, moderate intensity physical activity, and </w:t>
      </w:r>
      <w:r w:rsidR="0040694F" w:rsidRPr="00AD6EB0">
        <w:rPr>
          <w:rFonts w:ascii="Arial" w:hAnsi="Arial" w:cs="Arial"/>
        </w:rPr>
        <w:t xml:space="preserve">weight </w:t>
      </w:r>
      <w:r w:rsidRPr="00AD6EB0">
        <w:rPr>
          <w:rFonts w:ascii="Arial" w:hAnsi="Arial" w:cs="Arial"/>
        </w:rPr>
        <w:t xml:space="preserve">reduction </w:t>
      </w:r>
      <w:r w:rsidR="00D61D69" w:rsidRPr="00AD6EB0">
        <w:rPr>
          <w:rFonts w:ascii="Arial" w:hAnsi="Arial" w:cs="Arial"/>
        </w:rPr>
        <w:t xml:space="preserve">(discussed </w:t>
      </w:r>
      <w:r w:rsidR="00DF31D4" w:rsidRPr="00AD6EB0">
        <w:rPr>
          <w:rFonts w:ascii="Arial" w:hAnsi="Arial" w:cs="Arial"/>
        </w:rPr>
        <w:t xml:space="preserve">further </w:t>
      </w:r>
      <w:r w:rsidR="00D14E59" w:rsidRPr="00AD6EB0">
        <w:rPr>
          <w:rFonts w:ascii="Arial" w:hAnsi="Arial" w:cs="Arial"/>
        </w:rPr>
        <w:t>later</w:t>
      </w:r>
      <w:r w:rsidR="00DF31D4" w:rsidRPr="00AD6EB0">
        <w:rPr>
          <w:rFonts w:ascii="Arial" w:hAnsi="Arial" w:cs="Arial"/>
        </w:rPr>
        <w:t>)</w:t>
      </w:r>
      <w:r w:rsidRPr="00AD6EB0">
        <w:rPr>
          <w:rFonts w:ascii="Arial" w:hAnsi="Arial" w:cs="Arial"/>
        </w:rPr>
        <w:t xml:space="preserve">. In HCV-positive kidney transplant candidates with a living donor, pretransplant treatment of HCV infection should be considered. With the advent of the direct acting antiviral </w:t>
      </w:r>
      <w:r w:rsidR="0032286E" w:rsidRPr="00AD6EB0">
        <w:rPr>
          <w:rFonts w:ascii="Arial" w:hAnsi="Arial" w:cs="Arial"/>
        </w:rPr>
        <w:t xml:space="preserve">agent </w:t>
      </w:r>
      <w:r w:rsidRPr="00AD6EB0">
        <w:rPr>
          <w:rFonts w:ascii="Arial" w:hAnsi="Arial" w:cs="Arial"/>
        </w:rPr>
        <w:t>treatment of hepatitis C in the posttransplant period is a reasonable alternative in selected prospective kidney transplant candidates without a living donor due to a considerably shorter waiting time for a deceased HCV-positive donor kidney (</w:t>
      </w:r>
      <w:r w:rsidR="00ED2E80" w:rsidRPr="00AD6EB0">
        <w:rPr>
          <w:rFonts w:ascii="Arial" w:hAnsi="Arial" w:cs="Arial"/>
        </w:rPr>
        <w:t>43</w:t>
      </w:r>
      <w:r w:rsidRPr="00AD6EB0">
        <w:rPr>
          <w:rFonts w:ascii="Arial" w:hAnsi="Arial" w:cs="Arial"/>
        </w:rPr>
        <w:t>). The choice of an immunosuppressive regimen should be tailored to each individual patient, weighing the risk of acute rejection against that for PTDM.</w:t>
      </w:r>
    </w:p>
    <w:p w14:paraId="59A2654D" w14:textId="77777777" w:rsidR="008949FA" w:rsidRDefault="008949FA" w:rsidP="00AD6EB0">
      <w:pPr>
        <w:spacing w:after="0" w:line="276" w:lineRule="auto"/>
        <w:rPr>
          <w:rFonts w:ascii="Arial" w:hAnsi="Arial" w:cs="Arial"/>
          <w:b/>
          <w:bCs/>
          <w:color w:val="00B050"/>
        </w:rPr>
      </w:pPr>
    </w:p>
    <w:p w14:paraId="2C4523DD" w14:textId="0437541C"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Early Detection of PTDM After Transplantation</w:t>
      </w:r>
    </w:p>
    <w:p w14:paraId="333F108D" w14:textId="77777777" w:rsidR="008949FA" w:rsidRDefault="008949FA" w:rsidP="00AD6EB0">
      <w:pPr>
        <w:spacing w:after="0" w:line="276" w:lineRule="auto"/>
        <w:rPr>
          <w:rFonts w:ascii="Arial" w:hAnsi="Arial" w:cs="Arial"/>
        </w:rPr>
      </w:pPr>
    </w:p>
    <w:p w14:paraId="39871076" w14:textId="46151E7A" w:rsidR="006E006F" w:rsidRPr="00AD6EB0" w:rsidRDefault="009E4C10" w:rsidP="00AD6EB0">
      <w:pPr>
        <w:spacing w:after="0" w:line="276" w:lineRule="auto"/>
        <w:rPr>
          <w:rFonts w:ascii="Arial" w:hAnsi="Arial" w:cs="Arial"/>
        </w:rPr>
      </w:pPr>
      <w:r w:rsidRPr="00AD6EB0">
        <w:rPr>
          <w:rFonts w:ascii="Arial" w:hAnsi="Arial" w:cs="Arial"/>
        </w:rPr>
        <w:t>New onset perioperative hyperglycemia is common and may develop in the context of high dose corticosteroid, as a consequence of posttransplant stress hyperglycemia, or both. Limited studies suggest that post</w:t>
      </w:r>
      <w:r w:rsidR="00EF34F3" w:rsidRPr="00AD6EB0">
        <w:rPr>
          <w:rFonts w:ascii="Arial" w:hAnsi="Arial" w:cs="Arial"/>
        </w:rPr>
        <w:t>-</w:t>
      </w:r>
      <w:r w:rsidRPr="00AD6EB0">
        <w:rPr>
          <w:rFonts w:ascii="Arial" w:hAnsi="Arial" w:cs="Arial"/>
        </w:rPr>
        <w:t>transplant stress hyperglycemia is an independent risk factor for subsequent diabetes (</w:t>
      </w:r>
      <w:r w:rsidR="009379B8" w:rsidRPr="00AD6EB0">
        <w:rPr>
          <w:rFonts w:ascii="Arial" w:hAnsi="Arial" w:cs="Arial"/>
        </w:rPr>
        <w:t>44</w:t>
      </w:r>
      <w:r w:rsidRPr="00AD6EB0">
        <w:rPr>
          <w:rFonts w:ascii="Arial" w:hAnsi="Arial" w:cs="Arial"/>
        </w:rPr>
        <w:t xml:space="preserve">). </w:t>
      </w:r>
      <w:r w:rsidR="006E006F" w:rsidRPr="00AD6EB0">
        <w:rPr>
          <w:rFonts w:ascii="Arial" w:hAnsi="Arial" w:cs="Arial"/>
        </w:rPr>
        <w:t>Suggested screening and diagnosis of early post-transplant hyperglycemia and PTDM is shown in Figure 3. Patients with early post-transplant hyperglycemia (defined as hyperglycemia before 45 days after transplantation) should not be diagnosed as PTDM.</w:t>
      </w:r>
    </w:p>
    <w:p w14:paraId="7347BB81" w14:textId="77777777" w:rsidR="00057486" w:rsidRPr="00AD6EB0" w:rsidRDefault="00057486" w:rsidP="00AD6EB0">
      <w:pPr>
        <w:spacing w:after="0" w:line="276" w:lineRule="auto"/>
        <w:rPr>
          <w:rFonts w:ascii="Arial" w:hAnsi="Arial" w:cs="Arial"/>
        </w:rPr>
      </w:pPr>
    </w:p>
    <w:p w14:paraId="3C5A998D" w14:textId="0BB779F5" w:rsidR="00057486" w:rsidRPr="00AD6EB0" w:rsidRDefault="0042364B" w:rsidP="00AD6EB0">
      <w:pPr>
        <w:spacing w:after="0" w:line="276" w:lineRule="auto"/>
        <w:rPr>
          <w:rFonts w:ascii="Arial" w:hAnsi="Arial" w:cs="Arial"/>
        </w:rPr>
      </w:pPr>
      <w:r w:rsidRPr="00AD6EB0">
        <w:rPr>
          <w:rFonts w:ascii="Arial" w:hAnsi="Arial" w:cs="Arial"/>
          <w:noProof/>
        </w:rPr>
        <w:drawing>
          <wp:inline distT="0" distB="0" distL="0" distR="0" wp14:anchorId="08E9A3EC" wp14:editId="5E88C749">
            <wp:extent cx="6400800" cy="2871216"/>
            <wp:effectExtent l="0" t="0" r="0" b="5715"/>
            <wp:docPr id="1739705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2871216"/>
                    </a:xfrm>
                    <a:prstGeom prst="rect">
                      <a:avLst/>
                    </a:prstGeom>
                    <a:noFill/>
                  </pic:spPr>
                </pic:pic>
              </a:graphicData>
            </a:graphic>
          </wp:inline>
        </w:drawing>
      </w:r>
    </w:p>
    <w:p w14:paraId="6CDD281A" w14:textId="4C1F8848" w:rsidR="00577D82" w:rsidRPr="00B12DB2" w:rsidRDefault="009E4C10" w:rsidP="00AD6EB0">
      <w:pPr>
        <w:spacing w:after="0" w:line="276" w:lineRule="auto"/>
        <w:contextualSpacing/>
        <w:rPr>
          <w:rFonts w:ascii="Arial" w:hAnsi="Arial" w:cs="Arial"/>
          <w:b/>
          <w:bCs/>
        </w:rPr>
      </w:pPr>
      <w:r w:rsidRPr="00AD6EB0">
        <w:rPr>
          <w:rFonts w:ascii="Arial" w:hAnsi="Arial" w:cs="Arial"/>
          <w:b/>
          <w:bCs/>
        </w:rPr>
        <w:t>Figure 3.</w:t>
      </w:r>
      <w:r w:rsidR="00EF267A">
        <w:rPr>
          <w:rFonts w:ascii="Arial" w:hAnsi="Arial" w:cs="Arial"/>
          <w:b/>
          <w:bCs/>
        </w:rPr>
        <w:t xml:space="preserve"> </w:t>
      </w:r>
      <w:r w:rsidR="00913AA3" w:rsidRPr="00B12DB2">
        <w:rPr>
          <w:rFonts w:ascii="Arial" w:hAnsi="Arial" w:cs="Arial"/>
          <w:b/>
          <w:bCs/>
        </w:rPr>
        <w:t>Suggested screening and diagnosis of early post-transplant hyperglycemia and PTDM</w:t>
      </w:r>
      <w:r w:rsidR="00D459B0" w:rsidRPr="00B12DB2">
        <w:rPr>
          <w:rFonts w:ascii="Arial" w:hAnsi="Arial" w:cs="Arial"/>
          <w:b/>
          <w:bCs/>
        </w:rPr>
        <w:t xml:space="preserve"> (based in part on the 2024 international consensus guidelines)</w:t>
      </w:r>
      <w:r w:rsidR="00EF267A" w:rsidRPr="00B12DB2">
        <w:rPr>
          <w:rFonts w:ascii="Arial" w:hAnsi="Arial" w:cs="Arial"/>
          <w:b/>
          <w:bCs/>
        </w:rPr>
        <w:t xml:space="preserve">. </w:t>
      </w:r>
      <w:r w:rsidR="00577D82" w:rsidRPr="00B12DB2">
        <w:rPr>
          <w:rFonts w:ascii="Arial" w:hAnsi="Arial" w:cs="Arial"/>
          <w:b/>
          <w:bCs/>
          <w:vertAlign w:val="superscript"/>
        </w:rPr>
        <w:t>1</w:t>
      </w:r>
      <w:r w:rsidR="00577D82" w:rsidRPr="00B12DB2">
        <w:rPr>
          <w:rFonts w:ascii="Arial" w:hAnsi="Arial" w:cs="Arial"/>
          <w:b/>
          <w:bCs/>
        </w:rPr>
        <w:t>The 2024 international consensus expert panel suggest</w:t>
      </w:r>
      <w:r w:rsidR="00087FB7" w:rsidRPr="00B12DB2">
        <w:rPr>
          <w:rFonts w:ascii="Arial" w:hAnsi="Arial" w:cs="Arial"/>
          <w:b/>
          <w:bCs/>
        </w:rPr>
        <w:t>s</w:t>
      </w:r>
      <w:r w:rsidR="00577D82" w:rsidRPr="00B12DB2">
        <w:rPr>
          <w:rFonts w:ascii="Arial" w:hAnsi="Arial" w:cs="Arial"/>
          <w:b/>
          <w:bCs/>
        </w:rPr>
        <w:t xml:space="preserve"> early use of DDP4-</w:t>
      </w:r>
      <w:r w:rsidR="00EF267A" w:rsidRPr="00B12DB2">
        <w:rPr>
          <w:rFonts w:ascii="Arial" w:hAnsi="Arial" w:cs="Arial"/>
          <w:b/>
          <w:bCs/>
        </w:rPr>
        <w:t xml:space="preserve">I. </w:t>
      </w:r>
      <w:r w:rsidR="00577D82" w:rsidRPr="00B12DB2">
        <w:rPr>
          <w:rFonts w:ascii="Arial" w:hAnsi="Arial" w:cs="Arial"/>
          <w:b/>
          <w:bCs/>
          <w:vertAlign w:val="superscript"/>
        </w:rPr>
        <w:t>2</w:t>
      </w:r>
      <w:r w:rsidR="009B3D18" w:rsidRPr="00B12DB2">
        <w:rPr>
          <w:rFonts w:ascii="Arial" w:hAnsi="Arial" w:cs="Arial"/>
          <w:b/>
          <w:bCs/>
        </w:rPr>
        <w:t xml:space="preserve">Although OGTT is widely accepted as gold standard for PTDM diagnosis, it is infrequently performed in clinical practice because of inconvenience and cost. </w:t>
      </w:r>
      <w:r w:rsidR="00E55086" w:rsidRPr="00B12DB2">
        <w:rPr>
          <w:rFonts w:ascii="Arial" w:hAnsi="Arial" w:cs="Arial"/>
          <w:b/>
          <w:bCs/>
          <w:vertAlign w:val="superscript"/>
        </w:rPr>
        <w:t>3</w:t>
      </w:r>
      <w:r w:rsidR="00043FA3" w:rsidRPr="00B12DB2">
        <w:rPr>
          <w:rFonts w:ascii="Arial" w:hAnsi="Arial" w:cs="Arial"/>
          <w:b/>
          <w:bCs/>
        </w:rPr>
        <w:t>P</w:t>
      </w:r>
      <w:r w:rsidR="00577D82" w:rsidRPr="00B12DB2">
        <w:rPr>
          <w:rFonts w:ascii="Arial" w:hAnsi="Arial" w:cs="Arial"/>
          <w:b/>
          <w:bCs/>
        </w:rPr>
        <w:t>TDM may reverse a) when diagnose</w:t>
      </w:r>
      <w:r w:rsidR="006B1476" w:rsidRPr="00B12DB2">
        <w:rPr>
          <w:rFonts w:ascii="Arial" w:hAnsi="Arial" w:cs="Arial"/>
          <w:b/>
          <w:bCs/>
        </w:rPr>
        <w:t>d</w:t>
      </w:r>
      <w:r w:rsidR="00577D82" w:rsidRPr="00B12DB2">
        <w:rPr>
          <w:rFonts w:ascii="Arial" w:hAnsi="Arial" w:cs="Arial"/>
          <w:b/>
          <w:bCs/>
        </w:rPr>
        <w:t xml:space="preserve"> early post-transplant, b) when diagnosed by 2hPG only, c) with relatively lower A1C, d) with relatively lower BMI</w:t>
      </w:r>
      <w:r w:rsidR="00DE5EE3" w:rsidRPr="00B12DB2">
        <w:rPr>
          <w:rFonts w:ascii="Arial" w:hAnsi="Arial" w:cs="Arial"/>
          <w:b/>
          <w:bCs/>
        </w:rPr>
        <w:t xml:space="preserve"> (ref</w:t>
      </w:r>
      <w:r w:rsidR="00757C32" w:rsidRPr="00B12DB2">
        <w:rPr>
          <w:rFonts w:ascii="Arial" w:hAnsi="Arial" w:cs="Arial"/>
          <w:b/>
          <w:bCs/>
        </w:rPr>
        <w:t>erence</w:t>
      </w:r>
      <w:r w:rsidR="00971E85" w:rsidRPr="00B12DB2">
        <w:rPr>
          <w:rFonts w:ascii="Arial" w:hAnsi="Arial" w:cs="Arial"/>
          <w:b/>
          <w:bCs/>
        </w:rPr>
        <w:t xml:space="preserve"> 12)</w:t>
      </w:r>
      <w:r w:rsidR="00577D82" w:rsidRPr="00B12DB2">
        <w:rPr>
          <w:rFonts w:ascii="Arial" w:hAnsi="Arial" w:cs="Arial"/>
          <w:b/>
          <w:bCs/>
        </w:rPr>
        <w:t>. Patients with prediabetes (IFG or IGT) or PTDM risk factors may benefit from repeated (annual) OGTT.</w:t>
      </w:r>
      <w:r w:rsidR="00043FA3" w:rsidRPr="00B12DB2">
        <w:rPr>
          <w:rFonts w:ascii="Arial" w:hAnsi="Arial" w:cs="Arial"/>
          <w:b/>
          <w:bCs/>
        </w:rPr>
        <w:t xml:space="preserve"> </w:t>
      </w:r>
      <w:r w:rsidR="00E55086" w:rsidRPr="00B12DB2">
        <w:rPr>
          <w:rFonts w:ascii="Arial" w:hAnsi="Arial" w:cs="Arial"/>
          <w:b/>
          <w:bCs/>
          <w:vertAlign w:val="superscript"/>
        </w:rPr>
        <w:t>4</w:t>
      </w:r>
      <w:r w:rsidR="00577D82" w:rsidRPr="00B12DB2">
        <w:rPr>
          <w:rFonts w:ascii="Arial" w:hAnsi="Arial" w:cs="Arial"/>
          <w:b/>
          <w:bCs/>
        </w:rPr>
        <w:t>A1C should not be used to evaluate for PTDM in the first 3 months post</w:t>
      </w:r>
      <w:r w:rsidR="00DD4C5C" w:rsidRPr="00B12DB2">
        <w:rPr>
          <w:rFonts w:ascii="Arial" w:hAnsi="Arial" w:cs="Arial"/>
          <w:b/>
          <w:bCs/>
        </w:rPr>
        <w:t>-</w:t>
      </w:r>
      <w:r w:rsidR="00577D82" w:rsidRPr="00B12DB2">
        <w:rPr>
          <w:rFonts w:ascii="Arial" w:hAnsi="Arial" w:cs="Arial"/>
          <w:b/>
          <w:bCs/>
        </w:rPr>
        <w:t>transplant, because it cannot be accurately interpreted in the setting of dynamic kidney function or anemia, both of which are common in the early posttransplant</w:t>
      </w:r>
      <w:r w:rsidR="00D031AC" w:rsidRPr="00B12DB2">
        <w:rPr>
          <w:rFonts w:ascii="Arial" w:hAnsi="Arial" w:cs="Arial"/>
          <w:b/>
          <w:bCs/>
        </w:rPr>
        <w:t>. Recent blood transfusion and dapsone may alter A1C level.</w:t>
      </w:r>
      <w:r w:rsidR="00BB4AD5" w:rsidRPr="00B12DB2">
        <w:rPr>
          <w:rFonts w:ascii="Arial" w:hAnsi="Arial" w:cs="Arial"/>
          <w:b/>
          <w:bCs/>
        </w:rPr>
        <w:t xml:space="preserve"> At the authors’ institution, fasting and premeal home glucose monitoring is routinely recommended for patients with new-onset </w:t>
      </w:r>
      <w:r w:rsidR="00EE3701" w:rsidRPr="00B12DB2">
        <w:rPr>
          <w:rFonts w:ascii="Arial" w:hAnsi="Arial" w:cs="Arial"/>
          <w:b/>
          <w:bCs/>
        </w:rPr>
        <w:t>post-transplant</w:t>
      </w:r>
      <w:r w:rsidR="00BB4AD5" w:rsidRPr="00B12DB2">
        <w:rPr>
          <w:rFonts w:ascii="Arial" w:hAnsi="Arial" w:cs="Arial"/>
          <w:b/>
          <w:bCs/>
        </w:rPr>
        <w:t xml:space="preserve"> hyperglycemia particularly those requiring insulin therapy in the immediate post transplantation period. Nonetheless, it should be noted that monitoring a 2-hour postprandial blood glucose may be a better indicator of diabetes, particularly in steroid-treated patients. Clinically stable patients with persistent post</w:t>
      </w:r>
      <w:r w:rsidR="001D7DA3" w:rsidRPr="00B12DB2">
        <w:rPr>
          <w:rFonts w:ascii="Arial" w:hAnsi="Arial" w:cs="Arial"/>
          <w:b/>
          <w:bCs/>
        </w:rPr>
        <w:t>-</w:t>
      </w:r>
      <w:r w:rsidR="00BB4AD5" w:rsidRPr="00B12DB2">
        <w:rPr>
          <w:rFonts w:ascii="Arial" w:hAnsi="Arial" w:cs="Arial"/>
          <w:b/>
          <w:bCs/>
        </w:rPr>
        <w:t>transplan</w:t>
      </w:r>
      <w:r w:rsidR="001D7DA3" w:rsidRPr="00B12DB2">
        <w:rPr>
          <w:rFonts w:ascii="Arial" w:hAnsi="Arial" w:cs="Arial"/>
          <w:b/>
          <w:bCs/>
        </w:rPr>
        <w:t>t</w:t>
      </w:r>
      <w:r w:rsidR="00BB4AD5" w:rsidRPr="00B12DB2">
        <w:rPr>
          <w:rFonts w:ascii="Arial" w:hAnsi="Arial" w:cs="Arial"/>
          <w:b/>
          <w:bCs/>
        </w:rPr>
        <w:t xml:space="preserve"> hyperglycemia for &gt; 3 months should be </w:t>
      </w:r>
      <w:r w:rsidR="00BB4AD5" w:rsidRPr="00B12DB2">
        <w:rPr>
          <w:rFonts w:ascii="Arial" w:hAnsi="Arial" w:cs="Arial"/>
          <w:b/>
          <w:bCs/>
        </w:rPr>
        <w:lastRenderedPageBreak/>
        <w:t xml:space="preserve">screened for PTDM </w:t>
      </w:r>
      <w:r w:rsidR="00AB0FAA" w:rsidRPr="00B12DB2">
        <w:rPr>
          <w:rFonts w:ascii="Arial" w:hAnsi="Arial" w:cs="Arial"/>
          <w:b/>
          <w:bCs/>
        </w:rPr>
        <w:t>us</w:t>
      </w:r>
      <w:r w:rsidR="00607DEE" w:rsidRPr="00B12DB2">
        <w:rPr>
          <w:rFonts w:ascii="Arial" w:hAnsi="Arial" w:cs="Arial"/>
          <w:b/>
          <w:bCs/>
        </w:rPr>
        <w:t>ing either A1C</w:t>
      </w:r>
      <w:r w:rsidR="00D031AC" w:rsidRPr="00B12DB2">
        <w:rPr>
          <w:rFonts w:ascii="Arial" w:hAnsi="Arial" w:cs="Arial"/>
          <w:b/>
          <w:bCs/>
        </w:rPr>
        <w:t xml:space="preserve"> </w:t>
      </w:r>
      <w:r w:rsidR="00607DEE" w:rsidRPr="00B12DB2">
        <w:rPr>
          <w:rFonts w:ascii="Arial" w:hAnsi="Arial" w:cs="Arial"/>
          <w:b/>
          <w:bCs/>
        </w:rPr>
        <w:t>(common practice) or OGTT (</w:t>
      </w:r>
      <w:r w:rsidR="00344D68" w:rsidRPr="00B12DB2">
        <w:rPr>
          <w:rFonts w:ascii="Arial" w:hAnsi="Arial" w:cs="Arial"/>
          <w:b/>
          <w:bCs/>
        </w:rPr>
        <w:t>2024 consensus guidelines)</w:t>
      </w:r>
      <w:r w:rsidR="00C41723" w:rsidRPr="00B12DB2">
        <w:rPr>
          <w:rFonts w:ascii="Arial" w:hAnsi="Arial" w:cs="Arial"/>
          <w:b/>
          <w:bCs/>
        </w:rPr>
        <w:t xml:space="preserve">. </w:t>
      </w:r>
      <w:r w:rsidR="00C80BFD" w:rsidRPr="00B12DB2">
        <w:rPr>
          <w:rFonts w:ascii="Arial" w:hAnsi="Arial" w:cs="Arial"/>
          <w:b/>
          <w:bCs/>
          <w:vertAlign w:val="superscript"/>
        </w:rPr>
        <w:t>5</w:t>
      </w:r>
      <w:r w:rsidR="00C41723" w:rsidRPr="00B12DB2">
        <w:rPr>
          <w:rFonts w:ascii="Arial" w:hAnsi="Arial" w:cs="Arial"/>
          <w:b/>
          <w:bCs/>
        </w:rPr>
        <w:t>Thiazolidinediones are better options than sulfonylureas and megletinides (risk of hypoglycemia).</w:t>
      </w:r>
      <w:r w:rsidR="00B12DB2" w:rsidRPr="00B12DB2">
        <w:rPr>
          <w:rFonts w:ascii="Arial" w:hAnsi="Arial" w:cs="Arial"/>
          <w:b/>
          <w:bCs/>
        </w:rPr>
        <w:t xml:space="preserve"> </w:t>
      </w:r>
      <w:r w:rsidR="00577D82" w:rsidRPr="00B12DB2">
        <w:rPr>
          <w:rFonts w:ascii="Arial" w:hAnsi="Arial" w:cs="Arial"/>
          <w:b/>
          <w:bCs/>
          <w:i/>
          <w:iCs/>
        </w:rPr>
        <w:t>PTDM</w:t>
      </w:r>
      <w:r w:rsidR="00577D82" w:rsidRPr="00B12DB2">
        <w:rPr>
          <w:rFonts w:ascii="Arial" w:hAnsi="Arial" w:cs="Arial"/>
          <w:b/>
          <w:bCs/>
        </w:rPr>
        <w:t xml:space="preserve">, </w:t>
      </w:r>
      <w:r w:rsidR="00E7422B" w:rsidRPr="00B12DB2">
        <w:rPr>
          <w:rFonts w:ascii="Arial" w:hAnsi="Arial" w:cs="Arial"/>
          <w:b/>
          <w:bCs/>
        </w:rPr>
        <w:t>post transplantation</w:t>
      </w:r>
      <w:r w:rsidR="00577D82" w:rsidRPr="00B12DB2">
        <w:rPr>
          <w:rFonts w:ascii="Arial" w:hAnsi="Arial" w:cs="Arial"/>
          <w:b/>
          <w:bCs/>
        </w:rPr>
        <w:t xml:space="preserve"> diabetes mellitus; DDP4i, dipeptidyl peptidase 4 inhibitor; </w:t>
      </w:r>
      <w:r w:rsidR="00577D82" w:rsidRPr="00B12DB2">
        <w:rPr>
          <w:rFonts w:ascii="Arial" w:hAnsi="Arial" w:cs="Arial"/>
          <w:b/>
          <w:bCs/>
          <w:i/>
          <w:iCs/>
        </w:rPr>
        <w:t>OGTT</w:t>
      </w:r>
      <w:r w:rsidR="00577D82" w:rsidRPr="00B12DB2">
        <w:rPr>
          <w:rFonts w:ascii="Arial" w:hAnsi="Arial" w:cs="Arial"/>
          <w:b/>
          <w:bCs/>
        </w:rPr>
        <w:t xml:space="preserve">, oral glucose tolerance test; </w:t>
      </w:r>
      <w:r w:rsidR="00577D82" w:rsidRPr="00B12DB2">
        <w:rPr>
          <w:rFonts w:ascii="Arial" w:hAnsi="Arial" w:cs="Arial"/>
          <w:b/>
          <w:bCs/>
          <w:i/>
          <w:iCs/>
        </w:rPr>
        <w:t>CKD</w:t>
      </w:r>
      <w:r w:rsidR="00577D82" w:rsidRPr="00B12DB2">
        <w:rPr>
          <w:rFonts w:ascii="Arial" w:hAnsi="Arial" w:cs="Arial"/>
          <w:b/>
          <w:bCs/>
        </w:rPr>
        <w:t xml:space="preserve">, chronic kidney disease; </w:t>
      </w:r>
      <w:r w:rsidR="00577D82" w:rsidRPr="00B12DB2">
        <w:rPr>
          <w:rFonts w:ascii="Arial" w:hAnsi="Arial" w:cs="Arial"/>
          <w:b/>
          <w:bCs/>
          <w:i/>
          <w:iCs/>
        </w:rPr>
        <w:t>SGLT2</w:t>
      </w:r>
      <w:r w:rsidR="00577D82" w:rsidRPr="00B12DB2">
        <w:rPr>
          <w:rFonts w:ascii="Arial" w:hAnsi="Arial" w:cs="Arial"/>
          <w:b/>
          <w:bCs/>
        </w:rPr>
        <w:t>, sodium glucose cotransporter 2 inhibitor</w:t>
      </w:r>
      <w:r w:rsidR="00577D82" w:rsidRPr="00B12DB2">
        <w:rPr>
          <w:rFonts w:ascii="Arial" w:hAnsi="Arial" w:cs="Arial"/>
          <w:b/>
          <w:bCs/>
          <w:i/>
          <w:iCs/>
        </w:rPr>
        <w:t>; ASCVD</w:t>
      </w:r>
      <w:r w:rsidR="00577D82" w:rsidRPr="00B12DB2">
        <w:rPr>
          <w:rFonts w:ascii="Arial" w:hAnsi="Arial" w:cs="Arial"/>
          <w:b/>
          <w:bCs/>
        </w:rPr>
        <w:t xml:space="preserve">, atherosclerotic cardiovascular disease; </w:t>
      </w:r>
      <w:r w:rsidR="00577D82" w:rsidRPr="00B12DB2">
        <w:rPr>
          <w:rFonts w:ascii="Arial" w:hAnsi="Arial" w:cs="Arial"/>
          <w:b/>
          <w:bCs/>
          <w:i/>
          <w:iCs/>
        </w:rPr>
        <w:t>GLP-1RA</w:t>
      </w:r>
      <w:r w:rsidR="00577D82" w:rsidRPr="00B12DB2">
        <w:rPr>
          <w:rFonts w:ascii="Arial" w:hAnsi="Arial" w:cs="Arial"/>
          <w:b/>
          <w:bCs/>
        </w:rPr>
        <w:t>, glucagon-like peptide 1 receptor agonist.</w:t>
      </w:r>
    </w:p>
    <w:p w14:paraId="17A0EC57" w14:textId="136A3955" w:rsidR="009E4C10" w:rsidRPr="00AD6EB0" w:rsidRDefault="009E4C10" w:rsidP="00AD6EB0">
      <w:pPr>
        <w:spacing w:after="0" w:line="276" w:lineRule="auto"/>
        <w:rPr>
          <w:rFonts w:ascii="Arial" w:hAnsi="Arial" w:cs="Arial"/>
        </w:rPr>
      </w:pPr>
    </w:p>
    <w:p w14:paraId="13977902" w14:textId="77777777" w:rsidR="009E4C10" w:rsidRPr="00AD6EB0" w:rsidRDefault="009E4C10" w:rsidP="00AD6EB0">
      <w:pPr>
        <w:spacing w:after="0" w:line="276" w:lineRule="auto"/>
        <w:rPr>
          <w:rFonts w:ascii="Arial" w:hAnsi="Arial" w:cs="Arial"/>
          <w:b/>
          <w:bCs/>
          <w:color w:val="4C94D8" w:themeColor="text2" w:themeTint="80"/>
        </w:rPr>
      </w:pPr>
      <w:r w:rsidRPr="00AD6EB0">
        <w:rPr>
          <w:rFonts w:ascii="Arial" w:hAnsi="Arial" w:cs="Arial"/>
          <w:b/>
          <w:bCs/>
          <w:color w:val="4C94D8" w:themeColor="text2" w:themeTint="80"/>
        </w:rPr>
        <w:t>PREVENTION AND MANAGEMENT OF PTDM</w:t>
      </w:r>
    </w:p>
    <w:p w14:paraId="79F2B45C" w14:textId="77777777" w:rsidR="005E00BD" w:rsidRDefault="005E00BD" w:rsidP="00AD6EB0">
      <w:pPr>
        <w:spacing w:after="0" w:line="276" w:lineRule="auto"/>
        <w:rPr>
          <w:rFonts w:ascii="Arial" w:hAnsi="Arial" w:cs="Arial"/>
          <w:b/>
          <w:bCs/>
          <w:color w:val="00B050"/>
        </w:rPr>
      </w:pPr>
    </w:p>
    <w:p w14:paraId="350A0C6E" w14:textId="76D23972"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Non-Pharmacological Preventive and Management Strategies</w:t>
      </w:r>
    </w:p>
    <w:p w14:paraId="28F81B90" w14:textId="77777777" w:rsidR="005E00BD" w:rsidRDefault="005E00BD" w:rsidP="00AD6EB0">
      <w:pPr>
        <w:spacing w:after="0" w:line="276" w:lineRule="auto"/>
        <w:contextualSpacing/>
        <w:rPr>
          <w:rFonts w:ascii="Arial" w:hAnsi="Arial" w:cs="Arial"/>
        </w:rPr>
      </w:pPr>
    </w:p>
    <w:p w14:paraId="5D8BB578" w14:textId="6EFE3304" w:rsidR="009E4C10" w:rsidRPr="00AD6EB0" w:rsidRDefault="009E4C10" w:rsidP="00AD6EB0">
      <w:pPr>
        <w:spacing w:after="0" w:line="276" w:lineRule="auto"/>
        <w:contextualSpacing/>
        <w:rPr>
          <w:rFonts w:ascii="Arial" w:hAnsi="Arial" w:cs="Arial"/>
        </w:rPr>
      </w:pPr>
      <w:r w:rsidRPr="00AD6EB0">
        <w:rPr>
          <w:rFonts w:ascii="Arial" w:hAnsi="Arial" w:cs="Arial"/>
        </w:rPr>
        <w:t>Studies in the general population demonstrated that lifestyle modification promoting reduced fat/energy diet, daily moderate intensity physical activity, and modest weight loss reduce the incidence of type 2 diabetes (</w:t>
      </w:r>
      <w:r w:rsidR="00A46573" w:rsidRPr="00AD6EB0">
        <w:rPr>
          <w:rFonts w:ascii="Arial" w:hAnsi="Arial" w:cs="Arial"/>
        </w:rPr>
        <w:t>45</w:t>
      </w:r>
      <w:r w:rsidRPr="00AD6EB0">
        <w:rPr>
          <w:rFonts w:ascii="Arial" w:hAnsi="Arial" w:cs="Arial"/>
        </w:rPr>
        <w:t>). Similar studies in the context of solid organ transplantation are limited. Small single-center studies showed that post transplantation weight gain is associated with persistent PTDM (</w:t>
      </w:r>
      <w:r w:rsidR="00A46573" w:rsidRPr="00AD6EB0">
        <w:rPr>
          <w:rFonts w:ascii="Arial" w:hAnsi="Arial" w:cs="Arial"/>
        </w:rPr>
        <w:t>46</w:t>
      </w:r>
      <w:r w:rsidRPr="00AD6EB0">
        <w:rPr>
          <w:rFonts w:ascii="Arial" w:hAnsi="Arial" w:cs="Arial"/>
        </w:rPr>
        <w:t>). In a small single center study consisting of 25 kidney transplant recipients with impaired glucose tolerance, reversal to normal glucose tolerance with lifestyle modification was observed in 13 patients after a median of 9 months with only one patient progressing to PTDM (</w:t>
      </w:r>
      <w:r w:rsidR="007553AF" w:rsidRPr="00AD6EB0">
        <w:rPr>
          <w:rFonts w:ascii="Arial" w:hAnsi="Arial" w:cs="Arial"/>
        </w:rPr>
        <w:t>47</w:t>
      </w:r>
      <w:r w:rsidRPr="00AD6EB0">
        <w:rPr>
          <w:rFonts w:ascii="Arial" w:hAnsi="Arial" w:cs="Arial"/>
        </w:rPr>
        <w:t>). In contrast, a single-center, randomized controlled trial designed to Compare the benefits of Active Versus passive lifestyle Intervention in kidney Allograft Recipients (CAVIAR) showed no improvement in surrogate markers of glucose metabolism (insulin secretion, insulin sensitivity, and disposition index) among patients randomized to active lifestyle intervention (lifestyle change with the guidance of a renal dietitian, n=66) compared with their passive lifestyle intervention counterparts at 6 month follow-up (leaflet advice alone, n=64). However, clinically, active versus passive lifestyle intervention resulted in weight loss (-2.47 kg, P=0.002) and reduction in fat mass (mean difference, -1.537 kg, P=0.123). A trend towards reduction in PTDM incidence (7.6% versus 15.6%, P = 0.123) was observed in the active intervention arm (</w:t>
      </w:r>
      <w:r w:rsidR="00E1022D" w:rsidRPr="00AD6EB0">
        <w:rPr>
          <w:rFonts w:ascii="Arial" w:hAnsi="Arial" w:cs="Arial"/>
        </w:rPr>
        <w:t>48</w:t>
      </w:r>
      <w:r w:rsidRPr="00AD6EB0">
        <w:rPr>
          <w:rFonts w:ascii="Arial" w:hAnsi="Arial" w:cs="Arial"/>
        </w:rPr>
        <w:t>).</w:t>
      </w:r>
      <w:r w:rsidR="00004E93" w:rsidRPr="00AD6EB0">
        <w:rPr>
          <w:rFonts w:ascii="Arial" w:hAnsi="Arial" w:cs="Arial"/>
        </w:rPr>
        <w:t xml:space="preserve"> </w:t>
      </w:r>
      <w:r w:rsidR="00300EB3" w:rsidRPr="00AD6EB0">
        <w:rPr>
          <w:rFonts w:ascii="Arial" w:hAnsi="Arial" w:cs="Arial"/>
        </w:rPr>
        <w:t xml:space="preserve">At the authors’ institution, all kidney transplant recipients are encouraged to </w:t>
      </w:r>
      <w:r w:rsidR="006B7B47" w:rsidRPr="00AD6EB0">
        <w:rPr>
          <w:rFonts w:ascii="Arial" w:hAnsi="Arial" w:cs="Arial"/>
        </w:rPr>
        <w:t>engage in regular physical activities</w:t>
      </w:r>
      <w:r w:rsidR="00364AFF" w:rsidRPr="00AD6EB0">
        <w:rPr>
          <w:rFonts w:ascii="Arial" w:hAnsi="Arial" w:cs="Arial"/>
        </w:rPr>
        <w:t xml:space="preserve">. </w:t>
      </w:r>
      <w:r w:rsidR="00602C3B" w:rsidRPr="00AD6EB0">
        <w:rPr>
          <w:rFonts w:ascii="Arial" w:hAnsi="Arial" w:cs="Arial"/>
        </w:rPr>
        <w:t xml:space="preserve">Weight reduction </w:t>
      </w:r>
      <w:r w:rsidR="00D800B8" w:rsidRPr="00AD6EB0">
        <w:rPr>
          <w:rFonts w:ascii="Arial" w:hAnsi="Arial" w:cs="Arial"/>
        </w:rPr>
        <w:t xml:space="preserve">(if applicable) </w:t>
      </w:r>
      <w:r w:rsidR="00602C3B" w:rsidRPr="00AD6EB0">
        <w:rPr>
          <w:rFonts w:ascii="Arial" w:hAnsi="Arial" w:cs="Arial"/>
        </w:rPr>
        <w:t xml:space="preserve">or avoidance of </w:t>
      </w:r>
      <w:r w:rsidR="009447C9" w:rsidRPr="00AD6EB0">
        <w:rPr>
          <w:rFonts w:ascii="Arial" w:hAnsi="Arial" w:cs="Arial"/>
        </w:rPr>
        <w:t xml:space="preserve">excessive weight gain is recommended. </w:t>
      </w:r>
      <w:r w:rsidR="00962733" w:rsidRPr="00AD6EB0">
        <w:rPr>
          <w:rFonts w:ascii="Arial" w:hAnsi="Arial" w:cs="Arial"/>
        </w:rPr>
        <w:t xml:space="preserve">For obese </w:t>
      </w:r>
      <w:r w:rsidR="000E3621" w:rsidRPr="00AD6EB0">
        <w:rPr>
          <w:rFonts w:ascii="Arial" w:hAnsi="Arial" w:cs="Arial"/>
        </w:rPr>
        <w:t xml:space="preserve">kidney transplant recipients, </w:t>
      </w:r>
      <w:r w:rsidR="009839DC" w:rsidRPr="00AD6EB0">
        <w:rPr>
          <w:rFonts w:ascii="Arial" w:hAnsi="Arial" w:cs="Arial"/>
        </w:rPr>
        <w:t>it is impor</w:t>
      </w:r>
      <w:r w:rsidR="00034E17" w:rsidRPr="00AD6EB0">
        <w:rPr>
          <w:rFonts w:ascii="Arial" w:hAnsi="Arial" w:cs="Arial"/>
        </w:rPr>
        <w:t xml:space="preserve">tant to </w:t>
      </w:r>
      <w:r w:rsidR="000E3621" w:rsidRPr="00AD6EB0">
        <w:rPr>
          <w:rFonts w:ascii="Arial" w:hAnsi="Arial" w:cs="Arial"/>
        </w:rPr>
        <w:t>defin</w:t>
      </w:r>
      <w:r w:rsidR="00034E17" w:rsidRPr="00AD6EB0">
        <w:rPr>
          <w:rFonts w:ascii="Arial" w:hAnsi="Arial" w:cs="Arial"/>
        </w:rPr>
        <w:t xml:space="preserve">e </w:t>
      </w:r>
      <w:r w:rsidR="000E3621" w:rsidRPr="00AD6EB0">
        <w:rPr>
          <w:rFonts w:ascii="Arial" w:hAnsi="Arial" w:cs="Arial"/>
        </w:rPr>
        <w:t>realistic goal</w:t>
      </w:r>
      <w:r w:rsidR="00284BEC" w:rsidRPr="00AD6EB0">
        <w:rPr>
          <w:rFonts w:ascii="Arial" w:hAnsi="Arial" w:cs="Arial"/>
        </w:rPr>
        <w:t>s</w:t>
      </w:r>
      <w:r w:rsidR="000E3621" w:rsidRPr="00AD6EB0">
        <w:rPr>
          <w:rFonts w:ascii="Arial" w:hAnsi="Arial" w:cs="Arial"/>
        </w:rPr>
        <w:t xml:space="preserve"> such as </w:t>
      </w:r>
      <w:r w:rsidR="00C2703B" w:rsidRPr="00AD6EB0">
        <w:rPr>
          <w:rFonts w:ascii="Arial" w:hAnsi="Arial" w:cs="Arial"/>
        </w:rPr>
        <w:t xml:space="preserve">weight loss </w:t>
      </w:r>
      <w:r w:rsidR="00AE36F4" w:rsidRPr="00AD6EB0">
        <w:rPr>
          <w:rFonts w:ascii="Arial" w:hAnsi="Arial" w:cs="Arial"/>
        </w:rPr>
        <w:t xml:space="preserve">of </w:t>
      </w:r>
      <w:r w:rsidR="000E3621" w:rsidRPr="00AD6EB0">
        <w:rPr>
          <w:rFonts w:ascii="Arial" w:hAnsi="Arial" w:cs="Arial"/>
        </w:rPr>
        <w:t xml:space="preserve">5% to 10% </w:t>
      </w:r>
      <w:r w:rsidR="00AE36F4" w:rsidRPr="00AD6EB0">
        <w:rPr>
          <w:rFonts w:ascii="Arial" w:hAnsi="Arial" w:cs="Arial"/>
        </w:rPr>
        <w:t>of t</w:t>
      </w:r>
      <w:r w:rsidR="00C72752" w:rsidRPr="00AD6EB0">
        <w:rPr>
          <w:rFonts w:ascii="Arial" w:hAnsi="Arial" w:cs="Arial"/>
        </w:rPr>
        <w:t xml:space="preserve">otal </w:t>
      </w:r>
      <w:r w:rsidR="00AE36F4" w:rsidRPr="00AD6EB0">
        <w:rPr>
          <w:rFonts w:ascii="Arial" w:hAnsi="Arial" w:cs="Arial"/>
        </w:rPr>
        <w:t>body weight</w:t>
      </w:r>
      <w:r w:rsidR="002A0922" w:rsidRPr="00AD6EB0">
        <w:rPr>
          <w:rFonts w:ascii="Arial" w:hAnsi="Arial" w:cs="Arial"/>
        </w:rPr>
        <w:t xml:space="preserve"> (</w:t>
      </w:r>
      <w:r w:rsidR="003466AE" w:rsidRPr="00AD6EB0">
        <w:rPr>
          <w:rFonts w:ascii="Arial" w:hAnsi="Arial" w:cs="Arial"/>
        </w:rPr>
        <w:t>13</w:t>
      </w:r>
      <w:r w:rsidR="002A0922" w:rsidRPr="00AD6EB0">
        <w:rPr>
          <w:rFonts w:ascii="Arial" w:hAnsi="Arial" w:cs="Arial"/>
        </w:rPr>
        <w:t>)</w:t>
      </w:r>
      <w:r w:rsidR="00AE36F4" w:rsidRPr="00AD6EB0">
        <w:rPr>
          <w:rFonts w:ascii="Arial" w:hAnsi="Arial" w:cs="Arial"/>
        </w:rPr>
        <w:t xml:space="preserve">. </w:t>
      </w:r>
      <w:r w:rsidR="00004E93" w:rsidRPr="00AD6EB0">
        <w:rPr>
          <w:rFonts w:ascii="Arial" w:hAnsi="Arial" w:cs="Arial"/>
        </w:rPr>
        <w:t>The ideal dietary intervention for PTDM has not been well-defined. Observational data support Mediterranean diets or increased vegetable intake</w:t>
      </w:r>
      <w:r w:rsidR="00371C37" w:rsidRPr="00AD6EB0">
        <w:rPr>
          <w:rFonts w:ascii="Arial" w:hAnsi="Arial" w:cs="Arial"/>
        </w:rPr>
        <w:t xml:space="preserve"> (</w:t>
      </w:r>
      <w:r w:rsidR="00E1022D" w:rsidRPr="00AD6EB0">
        <w:rPr>
          <w:rFonts w:ascii="Arial" w:hAnsi="Arial" w:cs="Arial"/>
        </w:rPr>
        <w:t>49-50</w:t>
      </w:r>
      <w:r w:rsidR="00371C37" w:rsidRPr="00AD6EB0">
        <w:rPr>
          <w:rFonts w:ascii="Arial" w:hAnsi="Arial" w:cs="Arial"/>
        </w:rPr>
        <w:t>)</w:t>
      </w:r>
      <w:r w:rsidR="00004E93" w:rsidRPr="00AD6EB0">
        <w:rPr>
          <w:rFonts w:ascii="Arial" w:hAnsi="Arial" w:cs="Arial"/>
        </w:rPr>
        <w:t xml:space="preserve">. </w:t>
      </w:r>
    </w:p>
    <w:p w14:paraId="13ADB0D7" w14:textId="77777777" w:rsidR="00004E93" w:rsidRPr="00AD6EB0" w:rsidRDefault="00004E93" w:rsidP="00AD6EB0">
      <w:pPr>
        <w:spacing w:after="0" w:line="276" w:lineRule="auto"/>
        <w:contextualSpacing/>
        <w:rPr>
          <w:rFonts w:ascii="Arial" w:hAnsi="Arial" w:cs="Arial"/>
        </w:rPr>
      </w:pPr>
    </w:p>
    <w:p w14:paraId="53BDB0CF" w14:textId="77777777" w:rsidR="009E4C10" w:rsidRPr="00AD6EB0" w:rsidRDefault="009E4C10" w:rsidP="00AD6EB0">
      <w:pPr>
        <w:spacing w:after="0" w:line="276" w:lineRule="auto"/>
        <w:contextualSpacing/>
        <w:rPr>
          <w:rFonts w:ascii="Arial" w:hAnsi="Arial" w:cs="Arial"/>
          <w:b/>
          <w:bCs/>
        </w:rPr>
      </w:pPr>
      <w:r w:rsidRPr="00AD6EB0">
        <w:rPr>
          <w:rFonts w:ascii="Arial" w:hAnsi="Arial" w:cs="Arial"/>
          <w:b/>
          <w:bCs/>
          <w:color w:val="00B050"/>
        </w:rPr>
        <w:t>Pharmacological Preventive and Management Strategies</w:t>
      </w:r>
    </w:p>
    <w:p w14:paraId="0B68F817" w14:textId="77777777" w:rsidR="005E00BD" w:rsidRDefault="005E00BD" w:rsidP="00AD6EB0">
      <w:pPr>
        <w:spacing w:after="0" w:line="276" w:lineRule="auto"/>
        <w:rPr>
          <w:rFonts w:ascii="Arial" w:hAnsi="Arial" w:cs="Arial"/>
        </w:rPr>
      </w:pPr>
    </w:p>
    <w:p w14:paraId="2F34C47A" w14:textId="51462792" w:rsidR="009E4C10" w:rsidRPr="00AD6EB0" w:rsidRDefault="009E4C10" w:rsidP="00AD6EB0">
      <w:pPr>
        <w:spacing w:after="0" w:line="276" w:lineRule="auto"/>
        <w:rPr>
          <w:rFonts w:ascii="Arial" w:hAnsi="Arial" w:cs="Arial"/>
        </w:rPr>
      </w:pPr>
      <w:r w:rsidRPr="00AD6EB0">
        <w:rPr>
          <w:rFonts w:ascii="Arial" w:hAnsi="Arial" w:cs="Arial"/>
        </w:rPr>
        <w:t>In the immediate post</w:t>
      </w:r>
      <w:r w:rsidR="00357A82" w:rsidRPr="00AD6EB0">
        <w:rPr>
          <w:rFonts w:ascii="Arial" w:hAnsi="Arial" w:cs="Arial"/>
        </w:rPr>
        <w:t>-</w:t>
      </w:r>
      <w:r w:rsidRPr="00AD6EB0">
        <w:rPr>
          <w:rFonts w:ascii="Arial" w:hAnsi="Arial" w:cs="Arial"/>
        </w:rPr>
        <w:t>transplant period, the pancreatic β-cells are exposed to multiple hyperglycemic stressors including the transplant surgery itself, high-dose corticosteroids, and the introduction of cyclosporine or tacrolimus immunosuppression therapy. It has been suggested that early basal insulin therapy decreases PTDM through insulin-mediated protection of pancreatic beta-cells (</w:t>
      </w:r>
      <w:r w:rsidR="00154471" w:rsidRPr="00AD6EB0">
        <w:rPr>
          <w:rFonts w:ascii="Arial" w:hAnsi="Arial" w:cs="Arial"/>
        </w:rPr>
        <w:t>51-52</w:t>
      </w:r>
      <w:r w:rsidRPr="00AD6EB0">
        <w:rPr>
          <w:rFonts w:ascii="Arial" w:hAnsi="Arial" w:cs="Arial"/>
        </w:rPr>
        <w:t>). In a randomized controlled trial</w:t>
      </w:r>
      <w:r w:rsidR="007733D3" w:rsidRPr="00AD6EB0">
        <w:rPr>
          <w:rFonts w:ascii="Arial" w:hAnsi="Arial" w:cs="Arial"/>
        </w:rPr>
        <w:t xml:space="preserve"> consisting of 50 kidney transplant recipients </w:t>
      </w:r>
      <w:r w:rsidR="002C182C" w:rsidRPr="00AD6EB0">
        <w:rPr>
          <w:rFonts w:ascii="Arial" w:hAnsi="Arial" w:cs="Arial"/>
        </w:rPr>
        <w:t xml:space="preserve">who were </w:t>
      </w:r>
      <w:r w:rsidR="007733D3" w:rsidRPr="00AD6EB0">
        <w:rPr>
          <w:rFonts w:ascii="Arial" w:hAnsi="Arial" w:cs="Arial"/>
        </w:rPr>
        <w:t xml:space="preserve">randomized </w:t>
      </w:r>
      <w:r w:rsidR="002C182C" w:rsidRPr="00AD6EB0">
        <w:rPr>
          <w:rFonts w:ascii="Arial" w:hAnsi="Arial" w:cs="Arial"/>
        </w:rPr>
        <w:t xml:space="preserve">in a 1:1 ratio </w:t>
      </w:r>
      <w:r w:rsidR="007733D3" w:rsidRPr="00AD6EB0">
        <w:rPr>
          <w:rFonts w:ascii="Arial" w:hAnsi="Arial" w:cs="Arial"/>
        </w:rPr>
        <w:t>to receive</w:t>
      </w:r>
      <w:r w:rsidR="00720236" w:rsidRPr="00AD6EB0">
        <w:rPr>
          <w:rFonts w:ascii="Arial" w:hAnsi="Arial" w:cs="Arial"/>
        </w:rPr>
        <w:t xml:space="preserve"> either</w:t>
      </w:r>
      <w:r w:rsidR="00D569A8" w:rsidRPr="00AD6EB0">
        <w:rPr>
          <w:rFonts w:ascii="Arial" w:hAnsi="Arial" w:cs="Arial"/>
        </w:rPr>
        <w:t xml:space="preserve"> immediate-postoperative isophane insulin </w:t>
      </w:r>
      <w:r w:rsidR="002C182C" w:rsidRPr="00AD6EB0">
        <w:rPr>
          <w:rFonts w:ascii="Arial" w:hAnsi="Arial" w:cs="Arial"/>
        </w:rPr>
        <w:t xml:space="preserve">for evening blood glucose ≥140 mg/dl (treatment group) or short-acting insulin and/or oral antidiabetic agents for blood glucose ≥180-250 mg/dl (standard-of-care </w:t>
      </w:r>
      <w:r w:rsidR="002C182C" w:rsidRPr="00AD6EB0">
        <w:rPr>
          <w:rFonts w:ascii="Arial" w:hAnsi="Arial" w:cs="Arial"/>
        </w:rPr>
        <w:lastRenderedPageBreak/>
        <w:t>control group)</w:t>
      </w:r>
      <w:r w:rsidR="00F77474" w:rsidRPr="00AD6EB0">
        <w:rPr>
          <w:rFonts w:ascii="Arial" w:hAnsi="Arial" w:cs="Arial"/>
        </w:rPr>
        <w:t>, early basal insulin therapy following detection of early post</w:t>
      </w:r>
      <w:r w:rsidR="006B5AF5" w:rsidRPr="00AD6EB0">
        <w:rPr>
          <w:rFonts w:ascii="Arial" w:hAnsi="Arial" w:cs="Arial"/>
        </w:rPr>
        <w:t>-</w:t>
      </w:r>
      <w:r w:rsidR="00F77474" w:rsidRPr="00AD6EB0">
        <w:rPr>
          <w:rFonts w:ascii="Arial" w:hAnsi="Arial" w:cs="Arial"/>
        </w:rPr>
        <w:t>transplantation hyperglycemia (defined as &lt; 3 weeks) reduced the subsequent odds of developing PTDM within the first year after transplantation by 73%</w:t>
      </w:r>
      <w:r w:rsidR="00607BA4" w:rsidRPr="00AD6EB0">
        <w:rPr>
          <w:rFonts w:ascii="Arial" w:hAnsi="Arial" w:cs="Arial"/>
        </w:rPr>
        <w:t>. Asymptomatic hypoglycemia occurred five times in the treatment group and once in the control group</w:t>
      </w:r>
      <w:r w:rsidR="00F77474" w:rsidRPr="00AD6EB0">
        <w:rPr>
          <w:rFonts w:ascii="Arial" w:hAnsi="Arial" w:cs="Arial"/>
        </w:rPr>
        <w:t xml:space="preserve"> (</w:t>
      </w:r>
      <w:r w:rsidR="00154471" w:rsidRPr="00AD6EB0">
        <w:rPr>
          <w:rFonts w:ascii="Arial" w:hAnsi="Arial" w:cs="Arial"/>
        </w:rPr>
        <w:t>52</w:t>
      </w:r>
      <w:r w:rsidR="00F77474" w:rsidRPr="00AD6EB0">
        <w:rPr>
          <w:rFonts w:ascii="Arial" w:hAnsi="Arial" w:cs="Arial"/>
        </w:rPr>
        <w:t>)</w:t>
      </w:r>
      <w:r w:rsidRPr="00AD6EB0">
        <w:rPr>
          <w:rFonts w:ascii="Arial" w:hAnsi="Arial" w:cs="Arial"/>
        </w:rPr>
        <w:t>. In an open-label, multicenter randomized trial comparing early post-operative basal insulin therapy vs. standard of care for the prevention of PTDM in kidney transplant recipients, early insulin therapy was similarly found to result in reduced odds for PTDM at 12 months (OR: 0.21 [95% CI, 0.07 to 0.62]) and at 24 months (OR 0.35 [95% CI, 0.14 to 0.87]) after adjustment for baseline differences including polycystic kidney disease. However, treatment resulted in significantly higher hypoglycemia rates (</w:t>
      </w:r>
      <w:r w:rsidR="00154471" w:rsidRPr="00AD6EB0">
        <w:rPr>
          <w:rFonts w:ascii="Arial" w:hAnsi="Arial" w:cs="Arial"/>
        </w:rPr>
        <w:t>53</w:t>
      </w:r>
      <w:r w:rsidRPr="00AD6EB0">
        <w:rPr>
          <w:rFonts w:ascii="Arial" w:hAnsi="Arial" w:cs="Arial"/>
        </w:rPr>
        <w:t>). Currently, initiation of insulin therapy in the early post-transplantation period solely to prevent PTDM cannot be routinely recommended and awaits further study. The glucose threshold for starting insulin therapy remains to be defined. Insulin tapering or withdrawal and transitioning to noninsulin-based regimen can be considered after the first 1-3 month</w:t>
      </w:r>
      <w:r w:rsidR="00A0745B" w:rsidRPr="00AD6EB0">
        <w:rPr>
          <w:rFonts w:ascii="Arial" w:hAnsi="Arial" w:cs="Arial"/>
        </w:rPr>
        <w:t>s</w:t>
      </w:r>
      <w:r w:rsidRPr="00AD6EB0">
        <w:rPr>
          <w:rFonts w:ascii="Arial" w:hAnsi="Arial" w:cs="Arial"/>
        </w:rPr>
        <w:t xml:space="preserve"> after transplant when insulin requirement is less than 15-20 units a day (opinion-based). The choice of individual agents should be based on the potential advantages and disadvantages of different classes of agents at the discretion of the clinicians (</w:t>
      </w:r>
      <w:hyperlink r:id="rId24" w:tgtFrame="object" w:history="1">
        <w:r w:rsidRPr="00AD6EB0">
          <w:rPr>
            <w:rStyle w:val="Hyperlink"/>
            <w:rFonts w:ascii="Arial" w:hAnsi="Arial" w:cs="Arial"/>
            <w:color w:val="auto"/>
            <w:u w:val="none"/>
          </w:rPr>
          <w:t>Figure 4</w:t>
        </w:r>
      </w:hyperlink>
      <w:r w:rsidRPr="00AD6EB0">
        <w:rPr>
          <w:rFonts w:ascii="Arial" w:hAnsi="Arial" w:cs="Arial"/>
        </w:rPr>
        <w:t>).</w:t>
      </w:r>
    </w:p>
    <w:p w14:paraId="010712FF" w14:textId="26130D8F" w:rsidR="0031617F" w:rsidRPr="00AD6EB0" w:rsidRDefault="00D247B2" w:rsidP="00AD6EB0">
      <w:pPr>
        <w:spacing w:after="0" w:line="276" w:lineRule="auto"/>
        <w:rPr>
          <w:rFonts w:ascii="Arial" w:hAnsi="Arial" w:cs="Arial"/>
        </w:rPr>
      </w:pPr>
      <w:r w:rsidRPr="00AD6EB0">
        <w:rPr>
          <w:rFonts w:ascii="Arial" w:hAnsi="Arial" w:cs="Arial"/>
          <w:noProof/>
        </w:rPr>
        <w:lastRenderedPageBreak/>
        <w:drawing>
          <wp:inline distT="0" distB="0" distL="0" distR="0" wp14:anchorId="53F8EF95" wp14:editId="76D22519">
            <wp:extent cx="6400800" cy="8275320"/>
            <wp:effectExtent l="0" t="0" r="0" b="0"/>
            <wp:docPr id="6349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8275320"/>
                    </a:xfrm>
                    <a:prstGeom prst="rect">
                      <a:avLst/>
                    </a:prstGeom>
                    <a:noFill/>
                  </pic:spPr>
                </pic:pic>
              </a:graphicData>
            </a:graphic>
          </wp:inline>
        </w:drawing>
      </w:r>
    </w:p>
    <w:p w14:paraId="3C3394D8" w14:textId="38CCFD05" w:rsidR="001A1B7D" w:rsidRPr="00AD6EB0" w:rsidRDefault="009E4C10" w:rsidP="00AD6EB0">
      <w:pPr>
        <w:spacing w:after="0" w:line="276" w:lineRule="auto"/>
        <w:rPr>
          <w:rFonts w:ascii="Arial" w:hAnsi="Arial" w:cs="Arial"/>
        </w:rPr>
      </w:pPr>
      <w:r w:rsidRPr="00AD6EB0">
        <w:rPr>
          <w:rFonts w:ascii="Arial" w:hAnsi="Arial" w:cs="Arial"/>
          <w:b/>
          <w:bCs/>
        </w:rPr>
        <w:lastRenderedPageBreak/>
        <w:t>Figure 4.</w:t>
      </w:r>
      <w:r w:rsidR="00DE6D4D" w:rsidRPr="00AD6EB0">
        <w:rPr>
          <w:rFonts w:ascii="Arial" w:hAnsi="Arial" w:cs="Arial"/>
          <w:b/>
          <w:bCs/>
        </w:rPr>
        <w:t xml:space="preserve"> </w:t>
      </w:r>
      <w:r w:rsidRPr="009303F3">
        <w:rPr>
          <w:rFonts w:ascii="Arial" w:hAnsi="Arial" w:cs="Arial"/>
          <w:b/>
          <w:bCs/>
        </w:rPr>
        <w:t>The potential advantages and disadvantages of various classes of antihyperglycemic agents.</w:t>
      </w:r>
      <w:r w:rsidR="009303F3" w:rsidRPr="009303F3">
        <w:rPr>
          <w:rFonts w:ascii="Arial" w:hAnsi="Arial" w:cs="Arial"/>
          <w:b/>
          <w:bCs/>
        </w:rPr>
        <w:t xml:space="preserve"> </w:t>
      </w:r>
      <w:r w:rsidRPr="009303F3">
        <w:rPr>
          <w:rFonts w:ascii="Arial" w:hAnsi="Arial" w:cs="Arial"/>
          <w:b/>
          <w:bCs/>
          <w:vertAlign w:val="superscript"/>
        </w:rPr>
        <w:t>1</w:t>
      </w:r>
      <w:r w:rsidRPr="009303F3">
        <w:rPr>
          <w:rFonts w:ascii="Arial" w:hAnsi="Arial" w:cs="Arial"/>
          <w:b/>
          <w:bCs/>
        </w:rPr>
        <w:t> KDIGO guidelines: Reduce dose if estimated glomerular filtration rate (eGFR) &lt; 45 cc/min/1.73 m</w:t>
      </w:r>
      <w:r w:rsidRPr="009303F3">
        <w:rPr>
          <w:rFonts w:ascii="Arial" w:hAnsi="Arial" w:cs="Arial"/>
          <w:b/>
          <w:bCs/>
          <w:vertAlign w:val="superscript"/>
        </w:rPr>
        <w:t>2</w:t>
      </w:r>
      <w:r w:rsidRPr="009303F3">
        <w:rPr>
          <w:rFonts w:ascii="Arial" w:hAnsi="Arial" w:cs="Arial"/>
          <w:b/>
          <w:bCs/>
        </w:rPr>
        <w:t>. Discontinue if eGFR &lt; 30 cc/min/1.73m</w:t>
      </w:r>
      <w:r w:rsidRPr="009303F3">
        <w:rPr>
          <w:rFonts w:ascii="Arial" w:hAnsi="Arial" w:cs="Arial"/>
          <w:b/>
          <w:bCs/>
          <w:vertAlign w:val="superscript"/>
        </w:rPr>
        <w:t>2.</w:t>
      </w:r>
      <w:r w:rsidRPr="009303F3">
        <w:rPr>
          <w:rFonts w:ascii="Arial" w:hAnsi="Arial" w:cs="Arial"/>
          <w:b/>
          <w:bCs/>
        </w:rPr>
        <w:t> . </w:t>
      </w:r>
      <w:r w:rsidR="008F46B2" w:rsidRPr="009303F3">
        <w:rPr>
          <w:rFonts w:ascii="Arial" w:hAnsi="Arial" w:cs="Arial"/>
          <w:b/>
          <w:bCs/>
          <w:vertAlign w:val="superscript"/>
        </w:rPr>
        <w:t>2</w:t>
      </w:r>
      <w:r w:rsidRPr="009303F3">
        <w:rPr>
          <w:rFonts w:ascii="Arial" w:hAnsi="Arial" w:cs="Arial"/>
          <w:b/>
          <w:bCs/>
        </w:rPr>
        <w:t> Contraindicated in patients with personal history or family history of medullary thyroid cancer or multiple endocrine neoplasia (MEN) type 2. </w:t>
      </w:r>
      <w:r w:rsidR="008F46B2" w:rsidRPr="009303F3">
        <w:rPr>
          <w:rFonts w:ascii="Arial" w:hAnsi="Arial" w:cs="Arial"/>
          <w:b/>
          <w:bCs/>
          <w:vertAlign w:val="superscript"/>
        </w:rPr>
        <w:t>3</w:t>
      </w:r>
      <w:r w:rsidRPr="009303F3">
        <w:rPr>
          <w:rFonts w:ascii="Arial" w:hAnsi="Arial" w:cs="Arial"/>
          <w:b/>
          <w:bCs/>
        </w:rPr>
        <w:t> Sitagliptin may prolong QT interval particularly when used with cyclosporine.</w:t>
      </w:r>
      <w:r w:rsidR="00CE4E16" w:rsidRPr="009303F3">
        <w:rPr>
          <w:rFonts w:ascii="Arial" w:hAnsi="Arial" w:cs="Arial"/>
          <w:b/>
          <w:bCs/>
        </w:rPr>
        <w:t xml:space="preserve"> </w:t>
      </w:r>
      <w:r w:rsidR="008F46B2" w:rsidRPr="009303F3">
        <w:rPr>
          <w:rFonts w:ascii="Arial" w:hAnsi="Arial" w:cs="Arial"/>
          <w:b/>
          <w:bCs/>
          <w:vertAlign w:val="superscript"/>
        </w:rPr>
        <w:t>4</w:t>
      </w:r>
      <w:r w:rsidR="00250F9D" w:rsidRPr="009303F3">
        <w:rPr>
          <w:rFonts w:ascii="Arial" w:hAnsi="Arial" w:cs="Arial"/>
          <w:b/>
          <w:bCs/>
        </w:rPr>
        <w:t>Recurrent genital mycotic infections, UTIs, pyelonephritis or urosepsis</w:t>
      </w:r>
      <w:r w:rsidR="00813F0A" w:rsidRPr="009303F3">
        <w:rPr>
          <w:rFonts w:ascii="Arial" w:hAnsi="Arial" w:cs="Arial"/>
          <w:b/>
          <w:bCs/>
        </w:rPr>
        <w:t>, neurogenic bladder, vesicoureteral reflux, urinary incontinence, indwelling Foley catheter</w:t>
      </w:r>
      <w:r w:rsidR="00CC0BA4" w:rsidRPr="009303F3">
        <w:rPr>
          <w:rFonts w:ascii="Arial" w:hAnsi="Arial" w:cs="Arial"/>
          <w:b/>
          <w:bCs/>
        </w:rPr>
        <w:t>, clean intermittent catheterization, presence of ureteral stent, hypotension or recurrent volume depletion</w:t>
      </w:r>
      <w:r w:rsidR="007328AE" w:rsidRPr="009303F3">
        <w:rPr>
          <w:rFonts w:ascii="Arial" w:hAnsi="Arial" w:cs="Arial"/>
          <w:b/>
          <w:bCs/>
        </w:rPr>
        <w:t>. Others: patients at risk for or with history of lower limb amputation</w:t>
      </w:r>
      <w:r w:rsidR="00A53C19" w:rsidRPr="009303F3">
        <w:rPr>
          <w:rFonts w:ascii="Arial" w:hAnsi="Arial" w:cs="Arial"/>
          <w:b/>
          <w:bCs/>
        </w:rPr>
        <w:t>, risk factors for Fournier gangrene, peripheral vascular disease, and recurrent pancreatitis</w:t>
      </w:r>
      <w:r w:rsidR="009303F3">
        <w:rPr>
          <w:rFonts w:ascii="Arial" w:hAnsi="Arial" w:cs="Arial"/>
        </w:rPr>
        <w:t>.</w:t>
      </w:r>
      <w:r w:rsidR="00A53C19" w:rsidRPr="00AD6EB0">
        <w:rPr>
          <w:rFonts w:ascii="Arial" w:hAnsi="Arial" w:cs="Arial"/>
        </w:rPr>
        <w:t xml:space="preserve"> </w:t>
      </w:r>
    </w:p>
    <w:p w14:paraId="22171C27" w14:textId="77777777" w:rsidR="009303F3" w:rsidRDefault="009303F3" w:rsidP="00AD6EB0">
      <w:pPr>
        <w:spacing w:after="0" w:line="276" w:lineRule="auto"/>
        <w:rPr>
          <w:rFonts w:ascii="Arial" w:hAnsi="Arial" w:cs="Arial"/>
          <w:b/>
          <w:bCs/>
          <w:color w:val="00B050"/>
        </w:rPr>
      </w:pPr>
    </w:p>
    <w:p w14:paraId="22BAEF90" w14:textId="618E1060"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Modification of Immunosuppression</w:t>
      </w:r>
    </w:p>
    <w:p w14:paraId="6A82D908" w14:textId="77777777" w:rsidR="009303F3" w:rsidRDefault="009303F3" w:rsidP="00AD6EB0">
      <w:pPr>
        <w:spacing w:after="0" w:line="276" w:lineRule="auto"/>
        <w:rPr>
          <w:rFonts w:ascii="Arial" w:hAnsi="Arial" w:cs="Arial"/>
        </w:rPr>
      </w:pPr>
    </w:p>
    <w:p w14:paraId="78853DDA" w14:textId="6B9FBF82" w:rsidR="009E4C10" w:rsidRDefault="009E4C10" w:rsidP="00AD6EB0">
      <w:pPr>
        <w:spacing w:after="0" w:line="276" w:lineRule="auto"/>
        <w:rPr>
          <w:rFonts w:ascii="Arial" w:hAnsi="Arial" w:cs="Arial"/>
        </w:rPr>
      </w:pPr>
      <w:r w:rsidRPr="00AD6EB0">
        <w:rPr>
          <w:rFonts w:ascii="Arial" w:hAnsi="Arial" w:cs="Arial"/>
        </w:rPr>
        <w:t>Although clinical trials comparing the incidence of PTDM in cyclosporine versus tacrolimus-treated patients have yielded variable results, tacrolimus has more consistently been shown to have a greater diabetogenic effect than cyclosporine (</w:t>
      </w:r>
      <w:r w:rsidR="00154471" w:rsidRPr="00AD6EB0">
        <w:rPr>
          <w:rFonts w:ascii="Arial" w:hAnsi="Arial" w:cs="Arial"/>
        </w:rPr>
        <w:t>54</w:t>
      </w:r>
      <w:r w:rsidRPr="00AD6EB0">
        <w:rPr>
          <w:rFonts w:ascii="Arial" w:hAnsi="Arial" w:cs="Arial"/>
        </w:rPr>
        <w:t xml:space="preserve">). Modification of immunosuppression including cyclosporine </w:t>
      </w:r>
      <w:r w:rsidR="00992A6A" w:rsidRPr="00AD6EB0">
        <w:rPr>
          <w:rFonts w:ascii="Arial" w:hAnsi="Arial" w:cs="Arial"/>
        </w:rPr>
        <w:t xml:space="preserve">(CSA) </w:t>
      </w:r>
      <w:r w:rsidRPr="00AD6EB0">
        <w:rPr>
          <w:rFonts w:ascii="Arial" w:hAnsi="Arial" w:cs="Arial"/>
        </w:rPr>
        <w:t xml:space="preserve">to tacrolimus </w:t>
      </w:r>
      <w:r w:rsidR="00992A6A" w:rsidRPr="00AD6EB0">
        <w:rPr>
          <w:rFonts w:ascii="Arial" w:hAnsi="Arial" w:cs="Arial"/>
        </w:rPr>
        <w:t xml:space="preserve">(TAC) </w:t>
      </w:r>
      <w:r w:rsidRPr="00AD6EB0">
        <w:rPr>
          <w:rFonts w:ascii="Arial" w:hAnsi="Arial" w:cs="Arial"/>
        </w:rPr>
        <w:t>conversion therapy or steroid avoidance, or withdrawal has variably been shown to improve glycemic control (</w:t>
      </w:r>
      <w:r w:rsidR="0024604A" w:rsidRPr="00AD6EB0">
        <w:rPr>
          <w:rFonts w:ascii="Arial" w:hAnsi="Arial" w:cs="Arial"/>
        </w:rPr>
        <w:t xml:space="preserve">9, </w:t>
      </w:r>
      <w:r w:rsidR="00154471" w:rsidRPr="00AD6EB0">
        <w:rPr>
          <w:rFonts w:ascii="Arial" w:hAnsi="Arial" w:cs="Arial"/>
        </w:rPr>
        <w:t>54-58</w:t>
      </w:r>
      <w:r w:rsidRPr="00AD6EB0">
        <w:rPr>
          <w:rFonts w:ascii="Arial" w:hAnsi="Arial" w:cs="Arial"/>
        </w:rPr>
        <w:t>). However, manipulation of immunosuppression is not without immunological risk</w:t>
      </w:r>
      <w:r w:rsidR="004E2D47" w:rsidRPr="00AD6EB0">
        <w:rPr>
          <w:rFonts w:ascii="Arial" w:hAnsi="Arial" w:cs="Arial"/>
        </w:rPr>
        <w:t xml:space="preserve">. In a meta-analysis of controlled clinical trials to assess the safety and efficacy of early steroid withdrawal or steroid avoidance in kidney transplant recipients receiving induction </w:t>
      </w:r>
      <w:r w:rsidR="00336638" w:rsidRPr="00AD6EB0">
        <w:rPr>
          <w:rFonts w:ascii="Arial" w:hAnsi="Arial" w:cs="Arial"/>
        </w:rPr>
        <w:t xml:space="preserve">therapy </w:t>
      </w:r>
      <w:r w:rsidR="004E2D47" w:rsidRPr="00AD6EB0">
        <w:rPr>
          <w:rFonts w:ascii="Arial" w:hAnsi="Arial" w:cs="Arial"/>
        </w:rPr>
        <w:t>with anti-interleukin-2 receptor antibodies or thymoglobulin and a calcineurin inhibitor-based</w:t>
      </w:r>
      <w:r w:rsidR="00495965" w:rsidRPr="00AD6EB0">
        <w:rPr>
          <w:rFonts w:ascii="Arial" w:hAnsi="Arial" w:cs="Arial"/>
        </w:rPr>
        <w:t xml:space="preserve"> </w:t>
      </w:r>
      <w:r w:rsidR="004E2D47" w:rsidRPr="00AD6EB0">
        <w:rPr>
          <w:rFonts w:ascii="Arial" w:hAnsi="Arial" w:cs="Arial"/>
        </w:rPr>
        <w:t>regimen, steroid avoidance, or steroid withdrawal within a few days after transplant was found to be associated with a decrease in PTDM incidence among CSA- but not TAC-treated patients. However, among CSA-treated patients, acute rejection episodes were more frequently observed in steroid avoidance compared with conventional steroid-treated groups</w:t>
      </w:r>
      <w:r w:rsidR="00B46255" w:rsidRPr="00AD6EB0">
        <w:rPr>
          <w:rFonts w:ascii="Arial" w:hAnsi="Arial" w:cs="Arial"/>
        </w:rPr>
        <w:t xml:space="preserve"> </w:t>
      </w:r>
      <w:r w:rsidRPr="00AD6EB0">
        <w:rPr>
          <w:rFonts w:ascii="Arial" w:hAnsi="Arial" w:cs="Arial"/>
        </w:rPr>
        <w:t>(</w:t>
      </w:r>
      <w:r w:rsidR="00DA0F4F" w:rsidRPr="00AD6EB0">
        <w:rPr>
          <w:rFonts w:ascii="Arial" w:hAnsi="Arial" w:cs="Arial"/>
        </w:rPr>
        <w:t>59</w:t>
      </w:r>
      <w:r w:rsidRPr="00AD6EB0">
        <w:rPr>
          <w:rFonts w:ascii="Arial" w:hAnsi="Arial" w:cs="Arial"/>
        </w:rPr>
        <w:t xml:space="preserve">). </w:t>
      </w:r>
      <w:r w:rsidR="00704631" w:rsidRPr="00AD6EB0">
        <w:rPr>
          <w:rFonts w:ascii="Arial" w:hAnsi="Arial" w:cs="Arial"/>
        </w:rPr>
        <w:t>S</w:t>
      </w:r>
      <w:r w:rsidR="005C5686" w:rsidRPr="00AD6EB0">
        <w:rPr>
          <w:rFonts w:ascii="Arial" w:hAnsi="Arial" w:cs="Arial"/>
        </w:rPr>
        <w:t>t</w:t>
      </w:r>
      <w:r w:rsidR="006C652D" w:rsidRPr="00AD6EB0">
        <w:rPr>
          <w:rFonts w:ascii="Arial" w:hAnsi="Arial" w:cs="Arial"/>
        </w:rPr>
        <w:t>udies evaluating</w:t>
      </w:r>
      <w:r w:rsidR="00E74F78" w:rsidRPr="00AD6EB0">
        <w:rPr>
          <w:rFonts w:ascii="Arial" w:hAnsi="Arial" w:cs="Arial"/>
        </w:rPr>
        <w:t xml:space="preserve"> </w:t>
      </w:r>
      <w:r w:rsidR="00704631" w:rsidRPr="00AD6EB0">
        <w:rPr>
          <w:rFonts w:ascii="Arial" w:hAnsi="Arial" w:cs="Arial"/>
        </w:rPr>
        <w:t xml:space="preserve">the safety and efficacy of </w:t>
      </w:r>
      <w:r w:rsidR="00EA33E2" w:rsidRPr="00AD6EB0">
        <w:rPr>
          <w:rFonts w:ascii="Arial" w:hAnsi="Arial" w:cs="Arial"/>
        </w:rPr>
        <w:t>late steroid withdrawal (3 to 6 months</w:t>
      </w:r>
      <w:r w:rsidR="00E74F78" w:rsidRPr="00AD6EB0">
        <w:rPr>
          <w:rFonts w:ascii="Arial" w:hAnsi="Arial" w:cs="Arial"/>
        </w:rPr>
        <w:t xml:space="preserve"> </w:t>
      </w:r>
      <w:r w:rsidR="000C7AF6" w:rsidRPr="00AD6EB0">
        <w:rPr>
          <w:rFonts w:ascii="Arial" w:hAnsi="Arial" w:cs="Arial"/>
        </w:rPr>
        <w:t xml:space="preserve">after transplantation) </w:t>
      </w:r>
      <w:r w:rsidR="009C4B16" w:rsidRPr="00AD6EB0">
        <w:rPr>
          <w:rFonts w:ascii="Arial" w:hAnsi="Arial" w:cs="Arial"/>
        </w:rPr>
        <w:t xml:space="preserve">similarly demonstrated that </w:t>
      </w:r>
      <w:r w:rsidR="00661B4E" w:rsidRPr="00AD6EB0">
        <w:rPr>
          <w:rFonts w:ascii="Arial" w:hAnsi="Arial" w:cs="Arial"/>
        </w:rPr>
        <w:t xml:space="preserve">steroid withdrawal was </w:t>
      </w:r>
      <w:r w:rsidR="000004B0" w:rsidRPr="00AD6EB0">
        <w:rPr>
          <w:rFonts w:ascii="Arial" w:hAnsi="Arial" w:cs="Arial"/>
        </w:rPr>
        <w:t>associated with increased rates of acute rejection</w:t>
      </w:r>
      <w:r w:rsidR="00661B4E" w:rsidRPr="00AD6EB0">
        <w:rPr>
          <w:rFonts w:ascii="Arial" w:hAnsi="Arial" w:cs="Arial"/>
        </w:rPr>
        <w:t xml:space="preserve"> in CSA- </w:t>
      </w:r>
      <w:r w:rsidR="000004B0" w:rsidRPr="00AD6EB0">
        <w:rPr>
          <w:rFonts w:ascii="Arial" w:hAnsi="Arial" w:cs="Arial"/>
        </w:rPr>
        <w:t>but</w:t>
      </w:r>
      <w:r w:rsidR="00C51060" w:rsidRPr="00AD6EB0">
        <w:rPr>
          <w:rFonts w:ascii="Arial" w:hAnsi="Arial" w:cs="Arial"/>
        </w:rPr>
        <w:t xml:space="preserve"> not</w:t>
      </w:r>
      <w:r w:rsidR="000004B0" w:rsidRPr="00AD6EB0">
        <w:rPr>
          <w:rFonts w:ascii="Arial" w:hAnsi="Arial" w:cs="Arial"/>
        </w:rPr>
        <w:t xml:space="preserve"> </w:t>
      </w:r>
      <w:r w:rsidR="00520B44" w:rsidRPr="00AD6EB0">
        <w:rPr>
          <w:rFonts w:ascii="Arial" w:hAnsi="Arial" w:cs="Arial"/>
        </w:rPr>
        <w:t>TAC</w:t>
      </w:r>
      <w:r w:rsidR="00661B4E" w:rsidRPr="00AD6EB0">
        <w:rPr>
          <w:rFonts w:ascii="Arial" w:hAnsi="Arial" w:cs="Arial"/>
        </w:rPr>
        <w:t xml:space="preserve">-treated </w:t>
      </w:r>
      <w:r w:rsidR="00075D22" w:rsidRPr="00AD6EB0">
        <w:rPr>
          <w:rFonts w:ascii="Arial" w:hAnsi="Arial" w:cs="Arial"/>
        </w:rPr>
        <w:t>patients</w:t>
      </w:r>
      <w:r w:rsidR="000004B0" w:rsidRPr="00AD6EB0">
        <w:rPr>
          <w:rFonts w:ascii="Arial" w:hAnsi="Arial" w:cs="Arial"/>
        </w:rPr>
        <w:t>. </w:t>
      </w:r>
      <w:r w:rsidR="00C12C0C" w:rsidRPr="00AD6EB0">
        <w:rPr>
          <w:rFonts w:ascii="Arial" w:hAnsi="Arial" w:cs="Arial"/>
        </w:rPr>
        <w:t>N</w:t>
      </w:r>
      <w:r w:rsidRPr="00AD6EB0">
        <w:rPr>
          <w:rFonts w:ascii="Arial" w:hAnsi="Arial" w:cs="Arial"/>
        </w:rPr>
        <w:t xml:space="preserve">o significant beneficial effect on the incidence of PTDM </w:t>
      </w:r>
      <w:r w:rsidR="00C12C0C" w:rsidRPr="00AD6EB0">
        <w:rPr>
          <w:rFonts w:ascii="Arial" w:hAnsi="Arial" w:cs="Arial"/>
        </w:rPr>
        <w:t>was obser</w:t>
      </w:r>
      <w:r w:rsidR="00C05648" w:rsidRPr="00AD6EB0">
        <w:rPr>
          <w:rFonts w:ascii="Arial" w:hAnsi="Arial" w:cs="Arial"/>
        </w:rPr>
        <w:t xml:space="preserve">ved </w:t>
      </w:r>
      <w:r w:rsidRPr="00AD6EB0">
        <w:rPr>
          <w:rFonts w:ascii="Arial" w:hAnsi="Arial" w:cs="Arial"/>
        </w:rPr>
        <w:t>(</w:t>
      </w:r>
      <w:r w:rsidR="00DA0F4F" w:rsidRPr="00AD6EB0">
        <w:rPr>
          <w:rFonts w:ascii="Arial" w:hAnsi="Arial" w:cs="Arial"/>
        </w:rPr>
        <w:t>60</w:t>
      </w:r>
      <w:r w:rsidRPr="00AD6EB0">
        <w:rPr>
          <w:rFonts w:ascii="Arial" w:hAnsi="Arial" w:cs="Arial"/>
        </w:rPr>
        <w:t xml:space="preserve">). </w:t>
      </w:r>
      <w:r w:rsidR="0056461D" w:rsidRPr="00AD6EB0">
        <w:rPr>
          <w:rFonts w:ascii="Arial" w:hAnsi="Arial" w:cs="Arial"/>
        </w:rPr>
        <w:t>A randomized trial of corticosteroid withdrawal (CSWD) demonstrated that CSWD has a limited impact in reducing PTDM compared with low-dose prednisone (5 mg/day from month 6</w:t>
      </w:r>
      <w:r w:rsidR="00DF7748" w:rsidRPr="00AD6EB0">
        <w:rPr>
          <w:rStyle w:val="splChar"/>
          <w:rFonts w:ascii="Arial" w:hAnsi="Arial" w:cs="Arial"/>
          <w:sz w:val="22"/>
          <w:szCs w:val="22"/>
        </w:rPr>
        <w:t>-</w:t>
      </w:r>
      <w:r w:rsidR="0056461D" w:rsidRPr="00AD6EB0">
        <w:rPr>
          <w:rFonts w:ascii="Arial" w:hAnsi="Arial" w:cs="Arial"/>
        </w:rPr>
        <w:t xml:space="preserve">5 years). The proportion of PTDM patients requiring treatment was similar between CSWD and chronic corticosteroid (CCS) groups (CSWD 22.5% vs. CCS 21.5%). However, insulin use at 5 years was lower in the CSWD group (3.7% vs. 11.6%; </w:t>
      </w:r>
      <w:r w:rsidR="0056461D" w:rsidRPr="00AD6EB0">
        <w:rPr>
          <w:rFonts w:ascii="Arial" w:hAnsi="Arial" w:cs="Arial"/>
          <w:i/>
          <w:iCs/>
        </w:rPr>
        <w:t>P</w:t>
      </w:r>
      <w:r w:rsidR="0056461D" w:rsidRPr="00AD6EB0">
        <w:rPr>
          <w:rFonts w:ascii="Arial" w:hAnsi="Arial" w:cs="Arial"/>
        </w:rPr>
        <w:t xml:space="preserve"> = .049)</w:t>
      </w:r>
      <w:r w:rsidR="007E6B57" w:rsidRPr="00AD6EB0">
        <w:rPr>
          <w:rFonts w:ascii="Arial" w:hAnsi="Arial" w:cs="Arial"/>
        </w:rPr>
        <w:t xml:space="preserve"> (</w:t>
      </w:r>
      <w:r w:rsidR="00DA0F4F" w:rsidRPr="00AD6EB0">
        <w:rPr>
          <w:rFonts w:ascii="Arial" w:hAnsi="Arial" w:cs="Arial"/>
        </w:rPr>
        <w:t>61</w:t>
      </w:r>
      <w:r w:rsidR="007E6B57" w:rsidRPr="00AD6EB0">
        <w:rPr>
          <w:rFonts w:ascii="Arial" w:hAnsi="Arial" w:cs="Arial"/>
        </w:rPr>
        <w:t>)</w:t>
      </w:r>
      <w:r w:rsidR="0056461D" w:rsidRPr="00AD6EB0">
        <w:rPr>
          <w:rFonts w:ascii="Arial" w:hAnsi="Arial" w:cs="Arial"/>
        </w:rPr>
        <w:t>. In the current era of transplantation, most transplant centers advocate rapid steroid taper and lower target CSA and TAC levels, which may improve PTDM risk.</w:t>
      </w:r>
      <w:r w:rsidR="00781D05" w:rsidRPr="00AD6EB0">
        <w:rPr>
          <w:rFonts w:ascii="Arial" w:hAnsi="Arial" w:cs="Arial"/>
        </w:rPr>
        <w:t xml:space="preserve"> </w:t>
      </w:r>
      <w:r w:rsidRPr="00AD6EB0">
        <w:rPr>
          <w:rFonts w:ascii="Arial" w:hAnsi="Arial" w:cs="Arial"/>
        </w:rPr>
        <w:t>The use of tacrolimus and mTOR inhibitor combination therapy may increase PTDM risk and should probably be avoided. Nonetheless, low dose calcineurin inhibitor (cyclosporine or tacrolimus) and mTOR inhibitor combination therapy seems justifiable in transplant recipients with a history of malignancies (such as skin cancers, renal cell carcinoma, or Kaposi sarcoma). Due to the lack of well-defined guidelines, modification of immunosuppression to alleviate the incidence of PTDM should be tailored to each individual patient. Reduction in immunosuppression should be weighed against the risk of acute rejection.</w:t>
      </w:r>
    </w:p>
    <w:p w14:paraId="25FB5F0B" w14:textId="77777777" w:rsidR="009303F3" w:rsidRPr="00AD6EB0" w:rsidRDefault="009303F3" w:rsidP="00AD6EB0">
      <w:pPr>
        <w:spacing w:after="0" w:line="276" w:lineRule="auto"/>
        <w:rPr>
          <w:rFonts w:ascii="Arial" w:hAnsi="Arial" w:cs="Arial"/>
        </w:rPr>
      </w:pPr>
    </w:p>
    <w:p w14:paraId="2AA2CC88" w14:textId="7EC0E57D" w:rsidR="009E4C10" w:rsidRPr="00AD6EB0" w:rsidRDefault="009E4C10" w:rsidP="00AD6EB0">
      <w:pPr>
        <w:spacing w:after="0" w:line="276" w:lineRule="auto"/>
        <w:rPr>
          <w:rFonts w:ascii="Arial" w:hAnsi="Arial" w:cs="Arial"/>
          <w:b/>
          <w:bCs/>
          <w:color w:val="00B050"/>
        </w:rPr>
      </w:pPr>
      <w:r w:rsidRPr="00AD6EB0">
        <w:rPr>
          <w:rFonts w:ascii="Arial" w:hAnsi="Arial" w:cs="Arial"/>
          <w:b/>
          <w:bCs/>
          <w:color w:val="00B050"/>
        </w:rPr>
        <w:t>Management of Established PTDM in the Late Post</w:t>
      </w:r>
      <w:r w:rsidR="004D70A2" w:rsidRPr="00AD6EB0">
        <w:rPr>
          <w:rFonts w:ascii="Arial" w:hAnsi="Arial" w:cs="Arial"/>
          <w:b/>
          <w:bCs/>
          <w:color w:val="00B050"/>
        </w:rPr>
        <w:t>-</w:t>
      </w:r>
      <w:r w:rsidRPr="00AD6EB0">
        <w:rPr>
          <w:rFonts w:ascii="Arial" w:hAnsi="Arial" w:cs="Arial"/>
          <w:b/>
          <w:bCs/>
          <w:color w:val="00B050"/>
        </w:rPr>
        <w:t>transplant</w:t>
      </w:r>
      <w:r w:rsidR="004D70A2" w:rsidRPr="00AD6EB0">
        <w:rPr>
          <w:rFonts w:ascii="Arial" w:hAnsi="Arial" w:cs="Arial"/>
          <w:b/>
          <w:bCs/>
          <w:color w:val="00B050"/>
        </w:rPr>
        <w:t>ation</w:t>
      </w:r>
      <w:r w:rsidRPr="00AD6EB0">
        <w:rPr>
          <w:rFonts w:ascii="Arial" w:hAnsi="Arial" w:cs="Arial"/>
          <w:b/>
          <w:bCs/>
          <w:color w:val="00B050"/>
        </w:rPr>
        <w:t xml:space="preserve"> Period</w:t>
      </w:r>
    </w:p>
    <w:p w14:paraId="5A7EAEF2" w14:textId="77777777" w:rsidR="009303F3" w:rsidRDefault="009303F3" w:rsidP="00AD6EB0">
      <w:pPr>
        <w:spacing w:after="0" w:line="276" w:lineRule="auto"/>
        <w:rPr>
          <w:rFonts w:ascii="Arial" w:hAnsi="Arial" w:cs="Arial"/>
        </w:rPr>
      </w:pPr>
    </w:p>
    <w:p w14:paraId="428D4C75" w14:textId="3779E623" w:rsidR="009E4C10" w:rsidRPr="00AD6EB0" w:rsidRDefault="009E4C10" w:rsidP="00AD6EB0">
      <w:pPr>
        <w:spacing w:after="0" w:line="276" w:lineRule="auto"/>
        <w:rPr>
          <w:rFonts w:ascii="Arial" w:hAnsi="Arial" w:cs="Arial"/>
        </w:rPr>
      </w:pPr>
      <w:r w:rsidRPr="00AD6EB0">
        <w:rPr>
          <w:rFonts w:ascii="Arial" w:hAnsi="Arial" w:cs="Arial"/>
        </w:rPr>
        <w:t>Although there may be differences in the pathogenesis and presentation of PTDM compared to type 2 diabetes mellitus, management of established PTDM in the late posttransplant period should follow the conventional approach and clinical guidelines as established by well-recognized organizations. The American Diabetes Association and European Association for the Study of Diabetes generally recommend an A1c target of &lt; 7% (</w:t>
      </w:r>
      <w:r w:rsidR="00DA0F4F" w:rsidRPr="00AD6EB0">
        <w:rPr>
          <w:rFonts w:ascii="Arial" w:hAnsi="Arial" w:cs="Arial"/>
        </w:rPr>
        <w:t>62-63</w:t>
      </w:r>
      <w:r w:rsidRPr="00AD6EB0">
        <w:rPr>
          <w:rFonts w:ascii="Arial" w:hAnsi="Arial" w:cs="Arial"/>
        </w:rPr>
        <w:t>). Lower A1C levels may be acceptable and even beneficial if it can be achieved safely without significant hypoglycemia or other treatment-related adverse effects. In contrast, less stringent A1C goals may be appropriate for patients with limited life expectancy or where the harms of treatment are greater than the benefits. Lifestyle modifications including weight reduction, dietary changes, and regular moderate cardiovascular activity should be employed. If glycemic control does not reach therapeutic targets, medical management with antidiabetic agents and ultimately insulin can be initiated.</w:t>
      </w:r>
    </w:p>
    <w:p w14:paraId="2CFC7C1F" w14:textId="77777777" w:rsidR="009303F3" w:rsidRDefault="009303F3" w:rsidP="00AD6EB0">
      <w:pPr>
        <w:spacing w:after="0" w:line="276" w:lineRule="auto"/>
        <w:rPr>
          <w:rFonts w:ascii="Arial" w:hAnsi="Arial" w:cs="Arial"/>
        </w:rPr>
      </w:pPr>
    </w:p>
    <w:p w14:paraId="41BAF02F" w14:textId="38A0ED9E" w:rsidR="009E4C10" w:rsidRPr="00AD6EB0" w:rsidRDefault="009E4C10" w:rsidP="00AD6EB0">
      <w:pPr>
        <w:spacing w:after="0" w:line="276" w:lineRule="auto"/>
        <w:rPr>
          <w:rFonts w:ascii="Arial" w:hAnsi="Arial" w:cs="Arial"/>
        </w:rPr>
      </w:pPr>
      <w:r w:rsidRPr="00AD6EB0">
        <w:rPr>
          <w:rFonts w:ascii="Arial" w:hAnsi="Arial" w:cs="Arial"/>
        </w:rPr>
        <w:t xml:space="preserve">Metformin has not been widely used in the setting of transplantation due to the concern for lactic acidosis in the presence of dynamic kidney allograft function particularly in the early post transplantation period. In contrast, the potential </w:t>
      </w:r>
      <w:r w:rsidR="00115784" w:rsidRPr="00AD6EB0">
        <w:rPr>
          <w:rFonts w:ascii="Arial" w:hAnsi="Arial" w:cs="Arial"/>
        </w:rPr>
        <w:t>advantages</w:t>
      </w:r>
      <w:r w:rsidRPr="00AD6EB0">
        <w:rPr>
          <w:rFonts w:ascii="Arial" w:hAnsi="Arial" w:cs="Arial"/>
        </w:rPr>
        <w:t xml:space="preserve"> of metformin including weight neutral or weight loss,</w:t>
      </w:r>
      <w:r w:rsidR="003A39BC" w:rsidRPr="00AD6EB0">
        <w:rPr>
          <w:rFonts w:ascii="Arial" w:hAnsi="Arial" w:cs="Arial"/>
        </w:rPr>
        <w:t xml:space="preserve"> cardioprotection,</w:t>
      </w:r>
      <w:r w:rsidRPr="00AD6EB0">
        <w:rPr>
          <w:rFonts w:ascii="Arial" w:hAnsi="Arial" w:cs="Arial"/>
        </w:rPr>
        <w:t xml:space="preserve"> lack of significant drug-drug interactions</w:t>
      </w:r>
      <w:r w:rsidR="00115784" w:rsidRPr="00AD6EB0">
        <w:rPr>
          <w:rFonts w:ascii="Arial" w:hAnsi="Arial" w:cs="Arial"/>
        </w:rPr>
        <w:t>, wide availability</w:t>
      </w:r>
      <w:r w:rsidR="00517EE5">
        <w:rPr>
          <w:rFonts w:ascii="Arial" w:hAnsi="Arial" w:cs="Arial"/>
        </w:rPr>
        <w:t>,</w:t>
      </w:r>
      <w:r w:rsidR="00115784" w:rsidRPr="00AD6EB0">
        <w:rPr>
          <w:rFonts w:ascii="Arial" w:hAnsi="Arial" w:cs="Arial"/>
        </w:rPr>
        <w:t xml:space="preserve"> and </w:t>
      </w:r>
      <w:r w:rsidR="00517EE5" w:rsidRPr="00AD6EB0">
        <w:rPr>
          <w:rFonts w:ascii="Arial" w:hAnsi="Arial" w:cs="Arial"/>
        </w:rPr>
        <w:t>low-cost</w:t>
      </w:r>
      <w:r w:rsidRPr="00AD6EB0">
        <w:rPr>
          <w:rFonts w:ascii="Arial" w:hAnsi="Arial" w:cs="Arial"/>
        </w:rPr>
        <w:t xml:space="preserve"> render metformin an attractive treatment option for solid organ transplant recipients. There has been only one randomized clinical trial assessing the efficacy of metformin in the prevention of PTDM in kidney transplant recipients –The Transplantation and Diabetes (Transdiab) study (</w:t>
      </w:r>
      <w:r w:rsidR="00DA0F4F" w:rsidRPr="00AD6EB0">
        <w:rPr>
          <w:rFonts w:ascii="Arial" w:hAnsi="Arial" w:cs="Arial"/>
        </w:rPr>
        <w:t>64</w:t>
      </w:r>
      <w:r w:rsidRPr="00AD6EB0">
        <w:rPr>
          <w:rFonts w:ascii="Arial" w:hAnsi="Arial" w:cs="Arial"/>
        </w:rPr>
        <w:t>). The Transdiab study is a single-center, open label, randomized controlled trial designed to assess the feasibility, gastrointestinal tolerability, and efficacy of metformin in patients with post</w:t>
      </w:r>
      <w:r w:rsidR="004D70A2" w:rsidRPr="00AD6EB0">
        <w:rPr>
          <w:rFonts w:ascii="Arial" w:hAnsi="Arial" w:cs="Arial"/>
        </w:rPr>
        <w:t>-</w:t>
      </w:r>
      <w:r w:rsidRPr="00AD6EB0">
        <w:rPr>
          <w:rFonts w:ascii="Arial" w:hAnsi="Arial" w:cs="Arial"/>
        </w:rPr>
        <w:t xml:space="preserve"> transplantation impaired glucose tolerance. The latter is diagnosed using a 2-hour oral glucose tolerance test in the 4-12 weeks after transplant. Patients with eGFR &lt; 30 mL/min/1.73 m</w:t>
      </w:r>
      <w:r w:rsidRPr="00AD6EB0">
        <w:rPr>
          <w:rFonts w:ascii="Arial" w:hAnsi="Arial" w:cs="Arial"/>
          <w:vertAlign w:val="superscript"/>
        </w:rPr>
        <w:t>2</w:t>
      </w:r>
      <w:r w:rsidRPr="00AD6EB0">
        <w:rPr>
          <w:rFonts w:ascii="Arial" w:hAnsi="Arial" w:cs="Arial"/>
        </w:rPr>
        <w:t xml:space="preserve"> were excluded from the study. Eligible patients with IFG were randomized to standard of care (n=9) or standard of care </w:t>
      </w:r>
      <w:r w:rsidR="0087596A">
        <w:rPr>
          <w:rFonts w:ascii="Arial" w:hAnsi="Arial" w:cs="Arial"/>
        </w:rPr>
        <w:t>plus</w:t>
      </w:r>
      <w:r w:rsidRPr="00AD6EB0">
        <w:rPr>
          <w:rFonts w:ascii="Arial" w:hAnsi="Arial" w:cs="Arial"/>
        </w:rPr>
        <w:t xml:space="preserve"> metformin 500 mg twice daily (n=10). The efficacy of metformin was assessed by measuring fasting blood glucose and A1C at 3, 6, 9, and 12-month follow up. The study demonstrated similar tolerability and efficacy between the two groups. The former was evaluated by the gastrointestinal symptom rating scale at 3- and 12-months post randomization. At 12-month follow-up, 60% of patients in the metformin arm and 22% in the control arm returned to a normal OGGT (P=0.2). Both groups gained weight by the end of 12 months with the intervention group gaining 2.2 kg and the control group 6.7 kg (P=0.12). One patient discontinued metformin due to gastrointestinal symptoms and another patient required metformin dose reduction due to a metallic taste. One patient in the control group was started on metformin 500 mg twice daily by the treating physician 6 months after randomization due to elevated FBG and A1C. There were no episodes of lactic acidosis or serious adverse events in either arm. Although large randomized controlled trials to assess the risk benefit ratio of metformin are </w:t>
      </w:r>
      <w:r w:rsidR="00E53270" w:rsidRPr="00AD6EB0">
        <w:rPr>
          <w:rFonts w:ascii="Arial" w:hAnsi="Arial" w:cs="Arial"/>
        </w:rPr>
        <w:t xml:space="preserve">lacking, </w:t>
      </w:r>
      <w:r w:rsidR="00130791" w:rsidRPr="00AD6EB0">
        <w:rPr>
          <w:rFonts w:ascii="Arial" w:hAnsi="Arial" w:cs="Arial"/>
        </w:rPr>
        <w:t xml:space="preserve">metformin use </w:t>
      </w:r>
      <w:r w:rsidR="0093408C" w:rsidRPr="00AD6EB0">
        <w:rPr>
          <w:rFonts w:ascii="Arial" w:hAnsi="Arial" w:cs="Arial"/>
        </w:rPr>
        <w:t>appears</w:t>
      </w:r>
      <w:r w:rsidR="00130791" w:rsidRPr="00AD6EB0">
        <w:rPr>
          <w:rFonts w:ascii="Arial" w:hAnsi="Arial" w:cs="Arial"/>
        </w:rPr>
        <w:t xml:space="preserve"> safe and effective </w:t>
      </w:r>
      <w:r w:rsidR="0093408C" w:rsidRPr="00AD6EB0">
        <w:rPr>
          <w:rFonts w:ascii="Arial" w:hAnsi="Arial" w:cs="Arial"/>
        </w:rPr>
        <w:t xml:space="preserve">in </w:t>
      </w:r>
      <w:r w:rsidR="003F2237" w:rsidRPr="00AD6EB0">
        <w:rPr>
          <w:rFonts w:ascii="Arial" w:hAnsi="Arial" w:cs="Arial"/>
        </w:rPr>
        <w:t>in kidney transplant recipients with mild to moderate renal impairment (eGFR 30-60 mL/min).</w:t>
      </w:r>
      <w:r w:rsidR="005A4B3D" w:rsidRPr="00AD6EB0">
        <w:rPr>
          <w:rFonts w:ascii="Arial" w:hAnsi="Arial" w:cs="Arial"/>
        </w:rPr>
        <w:t xml:space="preserve"> </w:t>
      </w:r>
      <w:r w:rsidR="00D83C80" w:rsidRPr="00AD6EB0">
        <w:rPr>
          <w:rFonts w:ascii="Arial" w:hAnsi="Arial" w:cs="Arial"/>
        </w:rPr>
        <w:t xml:space="preserve">The </w:t>
      </w:r>
      <w:r w:rsidR="002F4F32" w:rsidRPr="00AD6EB0">
        <w:rPr>
          <w:rFonts w:ascii="Arial" w:hAnsi="Arial" w:cs="Arial"/>
        </w:rPr>
        <w:t xml:space="preserve">2024 </w:t>
      </w:r>
      <w:r w:rsidR="00656A32" w:rsidRPr="00AD6EB0">
        <w:rPr>
          <w:rFonts w:ascii="Arial" w:hAnsi="Arial" w:cs="Arial"/>
        </w:rPr>
        <w:t xml:space="preserve">international consensus </w:t>
      </w:r>
      <w:r w:rsidR="00AC3E39" w:rsidRPr="00AD6EB0">
        <w:rPr>
          <w:rFonts w:ascii="Arial" w:hAnsi="Arial" w:cs="Arial"/>
        </w:rPr>
        <w:t>expert panel</w:t>
      </w:r>
      <w:r w:rsidR="00550F99" w:rsidRPr="00AD6EB0">
        <w:rPr>
          <w:rFonts w:ascii="Arial" w:hAnsi="Arial" w:cs="Arial"/>
        </w:rPr>
        <w:t xml:space="preserve"> </w:t>
      </w:r>
      <w:r w:rsidR="004F50A5" w:rsidRPr="00AD6EB0">
        <w:rPr>
          <w:rFonts w:ascii="Arial" w:hAnsi="Arial" w:cs="Arial"/>
        </w:rPr>
        <w:t>endorses</w:t>
      </w:r>
      <w:r w:rsidR="00AC3E39" w:rsidRPr="00AD6EB0">
        <w:rPr>
          <w:rFonts w:ascii="Arial" w:hAnsi="Arial" w:cs="Arial"/>
        </w:rPr>
        <w:t xml:space="preserve"> the use of metformin </w:t>
      </w:r>
      <w:r w:rsidR="00FB4064" w:rsidRPr="00AD6EB0">
        <w:rPr>
          <w:rFonts w:ascii="Arial" w:hAnsi="Arial" w:cs="Arial"/>
        </w:rPr>
        <w:t>for</w:t>
      </w:r>
      <w:r w:rsidRPr="00AD6EB0">
        <w:rPr>
          <w:rFonts w:ascii="Arial" w:hAnsi="Arial" w:cs="Arial"/>
        </w:rPr>
        <w:t xml:space="preserve"> </w:t>
      </w:r>
      <w:r w:rsidRPr="00AD6EB0">
        <w:rPr>
          <w:rFonts w:ascii="Arial" w:hAnsi="Arial" w:cs="Arial"/>
        </w:rPr>
        <w:lastRenderedPageBreak/>
        <w:t>PTDM</w:t>
      </w:r>
      <w:r w:rsidR="00FC0B52" w:rsidRPr="00AD6EB0">
        <w:rPr>
          <w:rFonts w:ascii="Arial" w:hAnsi="Arial" w:cs="Arial"/>
        </w:rPr>
        <w:t xml:space="preserve"> </w:t>
      </w:r>
      <w:r w:rsidR="001037A9" w:rsidRPr="00AD6EB0">
        <w:rPr>
          <w:rFonts w:ascii="Arial" w:hAnsi="Arial" w:cs="Arial"/>
        </w:rPr>
        <w:t>in patients with low risk for cardiorenal outcomes</w:t>
      </w:r>
      <w:r w:rsidR="006A3A89" w:rsidRPr="00AD6EB0">
        <w:rPr>
          <w:rFonts w:ascii="Arial" w:hAnsi="Arial" w:cs="Arial"/>
        </w:rPr>
        <w:t xml:space="preserve"> or </w:t>
      </w:r>
      <w:r w:rsidR="001952B1" w:rsidRPr="00AD6EB0">
        <w:rPr>
          <w:rFonts w:ascii="Arial" w:hAnsi="Arial" w:cs="Arial"/>
        </w:rPr>
        <w:t>i</w:t>
      </w:r>
      <w:r w:rsidR="00FB4064" w:rsidRPr="00AD6EB0">
        <w:rPr>
          <w:rFonts w:ascii="Arial" w:hAnsi="Arial" w:cs="Arial"/>
        </w:rPr>
        <w:t xml:space="preserve">n those </w:t>
      </w:r>
      <w:r w:rsidR="0013550D" w:rsidRPr="00AD6EB0">
        <w:rPr>
          <w:rFonts w:ascii="Arial" w:hAnsi="Arial" w:cs="Arial"/>
        </w:rPr>
        <w:t xml:space="preserve">without </w:t>
      </w:r>
      <w:r w:rsidR="001952B1" w:rsidRPr="00AD6EB0">
        <w:rPr>
          <w:rFonts w:ascii="Arial" w:hAnsi="Arial" w:cs="Arial"/>
        </w:rPr>
        <w:t>access</w:t>
      </w:r>
      <w:r w:rsidR="00D7558D" w:rsidRPr="00AD6EB0">
        <w:rPr>
          <w:rFonts w:ascii="Arial" w:hAnsi="Arial" w:cs="Arial"/>
        </w:rPr>
        <w:t>ibility</w:t>
      </w:r>
      <w:r w:rsidR="001952B1" w:rsidRPr="00AD6EB0">
        <w:rPr>
          <w:rFonts w:ascii="Arial" w:hAnsi="Arial" w:cs="Arial"/>
        </w:rPr>
        <w:t xml:space="preserve"> to novel anti-diabetic agents</w:t>
      </w:r>
      <w:r w:rsidR="001E4216" w:rsidRPr="00AD6EB0">
        <w:rPr>
          <w:rFonts w:ascii="Arial" w:hAnsi="Arial" w:cs="Arial"/>
        </w:rPr>
        <w:t xml:space="preserve"> (12)</w:t>
      </w:r>
    </w:p>
    <w:p w14:paraId="45DBA3F4" w14:textId="77777777" w:rsidR="009303F3" w:rsidRDefault="009303F3" w:rsidP="00AD6EB0">
      <w:pPr>
        <w:spacing w:after="0" w:line="276" w:lineRule="auto"/>
        <w:rPr>
          <w:rFonts w:ascii="Arial" w:hAnsi="Arial" w:cs="Arial"/>
        </w:rPr>
      </w:pPr>
    </w:p>
    <w:p w14:paraId="100D5120" w14:textId="6D328315" w:rsidR="004B45EF" w:rsidRPr="00AD6EB0" w:rsidRDefault="009E4C10" w:rsidP="00AD6EB0">
      <w:pPr>
        <w:spacing w:after="0" w:line="276" w:lineRule="auto"/>
        <w:rPr>
          <w:rFonts w:ascii="Arial" w:hAnsi="Arial" w:cs="Arial"/>
        </w:rPr>
      </w:pPr>
      <w:r w:rsidRPr="00AD6EB0">
        <w:rPr>
          <w:rFonts w:ascii="Arial" w:hAnsi="Arial" w:cs="Arial"/>
        </w:rPr>
        <w:t>Experimental studies suggest that sulfonylureas are associated with β-cell apoptosis and β-cell exhaustion (</w:t>
      </w:r>
      <w:r w:rsidR="00634D50" w:rsidRPr="00AD6EB0">
        <w:rPr>
          <w:rFonts w:ascii="Arial" w:hAnsi="Arial" w:cs="Arial"/>
        </w:rPr>
        <w:t>65</w:t>
      </w:r>
      <w:r w:rsidRPr="00AD6EB0">
        <w:rPr>
          <w:rFonts w:ascii="Arial" w:hAnsi="Arial" w:cs="Arial"/>
        </w:rPr>
        <w:t xml:space="preserve">), raising theoretical concern about their use in PTDM, particularly in the early posttransplant period. </w:t>
      </w:r>
      <w:r w:rsidR="00476DAC" w:rsidRPr="00AD6EB0">
        <w:rPr>
          <w:rFonts w:ascii="Arial" w:hAnsi="Arial" w:cs="Arial"/>
        </w:rPr>
        <w:t xml:space="preserve">Currently </w:t>
      </w:r>
      <w:r w:rsidR="00012B49" w:rsidRPr="00AD6EB0">
        <w:rPr>
          <w:rFonts w:ascii="Arial" w:hAnsi="Arial" w:cs="Arial"/>
        </w:rPr>
        <w:t>sulfonylurea</w:t>
      </w:r>
      <w:r w:rsidR="004B45EF" w:rsidRPr="00AD6EB0">
        <w:rPr>
          <w:rFonts w:ascii="Arial" w:hAnsi="Arial" w:cs="Arial"/>
        </w:rPr>
        <w:t xml:space="preserve"> </w:t>
      </w:r>
      <w:r w:rsidR="00137004" w:rsidRPr="00AD6EB0">
        <w:rPr>
          <w:rFonts w:ascii="Arial" w:hAnsi="Arial" w:cs="Arial"/>
        </w:rPr>
        <w:t xml:space="preserve">has </w:t>
      </w:r>
      <w:r w:rsidR="0070178A" w:rsidRPr="00AD6EB0">
        <w:rPr>
          <w:rFonts w:ascii="Arial" w:hAnsi="Arial" w:cs="Arial"/>
        </w:rPr>
        <w:t>low</w:t>
      </w:r>
      <w:r w:rsidR="00137004" w:rsidRPr="00AD6EB0">
        <w:rPr>
          <w:rFonts w:ascii="Arial" w:hAnsi="Arial" w:cs="Arial"/>
        </w:rPr>
        <w:t xml:space="preserve"> priority for clinical use</w:t>
      </w:r>
      <w:r w:rsidR="000E35C0" w:rsidRPr="00AD6EB0">
        <w:rPr>
          <w:rFonts w:ascii="Arial" w:hAnsi="Arial" w:cs="Arial"/>
        </w:rPr>
        <w:t xml:space="preserve"> </w:t>
      </w:r>
      <w:r w:rsidR="00246529" w:rsidRPr="00AD6EB0">
        <w:rPr>
          <w:rFonts w:ascii="Arial" w:hAnsi="Arial" w:cs="Arial"/>
        </w:rPr>
        <w:t xml:space="preserve">(2024 </w:t>
      </w:r>
      <w:r w:rsidR="000026E2" w:rsidRPr="00AD6EB0">
        <w:rPr>
          <w:rFonts w:ascii="Arial" w:hAnsi="Arial" w:cs="Arial"/>
        </w:rPr>
        <w:t>consensus expert opinion</w:t>
      </w:r>
      <w:r w:rsidR="007C2697" w:rsidRPr="00AD6EB0">
        <w:rPr>
          <w:rFonts w:ascii="Arial" w:hAnsi="Arial" w:cs="Arial"/>
        </w:rPr>
        <w:t>) (12</w:t>
      </w:r>
      <w:r w:rsidR="000E35C0" w:rsidRPr="00AD6EB0">
        <w:rPr>
          <w:rFonts w:ascii="Arial" w:hAnsi="Arial" w:cs="Arial"/>
        </w:rPr>
        <w:t xml:space="preserve">). </w:t>
      </w:r>
    </w:p>
    <w:p w14:paraId="72619D48" w14:textId="77777777" w:rsidR="009303F3" w:rsidRDefault="009303F3" w:rsidP="00AD6EB0">
      <w:pPr>
        <w:spacing w:after="0" w:line="276" w:lineRule="auto"/>
        <w:rPr>
          <w:rFonts w:ascii="Arial" w:hAnsi="Arial" w:cs="Arial"/>
        </w:rPr>
      </w:pPr>
    </w:p>
    <w:p w14:paraId="11190AA3" w14:textId="162DB411" w:rsidR="009E4C10" w:rsidRPr="00AD6EB0" w:rsidRDefault="009E4C10" w:rsidP="00AD6EB0">
      <w:pPr>
        <w:spacing w:after="0" w:line="276" w:lineRule="auto"/>
        <w:rPr>
          <w:rFonts w:ascii="Arial" w:hAnsi="Arial" w:cs="Arial"/>
        </w:rPr>
      </w:pPr>
      <w:r w:rsidRPr="00AD6EB0">
        <w:rPr>
          <w:rFonts w:ascii="Arial" w:hAnsi="Arial" w:cs="Arial"/>
        </w:rPr>
        <w:t>In contrast</w:t>
      </w:r>
      <w:r w:rsidR="00A07C6D" w:rsidRPr="00AD6EB0">
        <w:rPr>
          <w:rFonts w:ascii="Arial" w:hAnsi="Arial" w:cs="Arial"/>
        </w:rPr>
        <w:t xml:space="preserve"> to</w:t>
      </w:r>
      <w:r w:rsidR="007B6DBB" w:rsidRPr="00AD6EB0">
        <w:rPr>
          <w:rFonts w:ascii="Arial" w:hAnsi="Arial" w:cs="Arial"/>
        </w:rPr>
        <w:t xml:space="preserve"> </w:t>
      </w:r>
      <w:r w:rsidR="00D231A8" w:rsidRPr="00AD6EB0">
        <w:rPr>
          <w:rFonts w:ascii="Arial" w:hAnsi="Arial" w:cs="Arial"/>
        </w:rPr>
        <w:t xml:space="preserve">the </w:t>
      </w:r>
      <w:r w:rsidR="007B6DBB" w:rsidRPr="00AD6EB0">
        <w:rPr>
          <w:rFonts w:ascii="Arial" w:hAnsi="Arial" w:cs="Arial"/>
        </w:rPr>
        <w:t>sulfonylurea drug class,</w:t>
      </w:r>
      <w:r w:rsidRPr="00AD6EB0">
        <w:rPr>
          <w:rFonts w:ascii="Arial" w:hAnsi="Arial" w:cs="Arial"/>
        </w:rPr>
        <w:t xml:space="preserve"> the anti-hyperglycemic dipeptidyl peptidase-4 inhibitor (DPP-4) inhibitors have been shown to preserve pancreatic beta-cell function in diabetic animal models (</w:t>
      </w:r>
      <w:r w:rsidR="00634D50" w:rsidRPr="00AD6EB0">
        <w:rPr>
          <w:rFonts w:ascii="Arial" w:hAnsi="Arial" w:cs="Arial"/>
        </w:rPr>
        <w:t>66-67</w:t>
      </w:r>
      <w:r w:rsidRPr="00AD6EB0">
        <w:rPr>
          <w:rFonts w:ascii="Arial" w:hAnsi="Arial" w:cs="Arial"/>
        </w:rPr>
        <w:t>).</w:t>
      </w:r>
      <w:r w:rsidR="009F169A" w:rsidRPr="00AD6EB0">
        <w:rPr>
          <w:rFonts w:ascii="Arial" w:hAnsi="Arial" w:cs="Arial"/>
        </w:rPr>
        <w:t xml:space="preserve"> </w:t>
      </w:r>
      <w:r w:rsidRPr="00AD6EB0">
        <w:rPr>
          <w:rFonts w:ascii="Arial" w:hAnsi="Arial" w:cs="Arial"/>
        </w:rPr>
        <w:t>Early clinical studies suggest that DPP-4 inhibitors are safe and effective in the treatment of PTDM in kidney transplant recipients (</w:t>
      </w:r>
      <w:r w:rsidR="00634D50" w:rsidRPr="00AD6EB0">
        <w:rPr>
          <w:rFonts w:ascii="Arial" w:hAnsi="Arial" w:cs="Arial"/>
        </w:rPr>
        <w:t>68-71</w:t>
      </w:r>
      <w:r w:rsidRPr="00AD6EB0">
        <w:rPr>
          <w:rFonts w:ascii="Arial" w:hAnsi="Arial" w:cs="Arial"/>
        </w:rPr>
        <w:t xml:space="preserve">). In a randomized controlled trial comparing vildagliptin with placebo in the treatment of PTDM, </w:t>
      </w:r>
      <w:r w:rsidR="005267F0" w:rsidRPr="00AD6EB0">
        <w:rPr>
          <w:rFonts w:ascii="Arial" w:hAnsi="Arial" w:cs="Arial"/>
        </w:rPr>
        <w:t xml:space="preserve">vildagliptin-treated patients </w:t>
      </w:r>
      <w:r w:rsidR="00B269A8" w:rsidRPr="00AD6EB0">
        <w:rPr>
          <w:rFonts w:ascii="Arial" w:hAnsi="Arial" w:cs="Arial"/>
        </w:rPr>
        <w:t>showed</w:t>
      </w:r>
      <w:r w:rsidR="005267F0" w:rsidRPr="00AD6EB0">
        <w:rPr>
          <w:rFonts w:ascii="Arial" w:hAnsi="Arial" w:cs="Arial"/>
        </w:rPr>
        <w:t xml:space="preserve"> a significant reduction in A1C and 2-h plasma glucose (2HPG) during an OGTT compared with their placebo-treated counterparts at 3</w:t>
      </w:r>
      <w:r w:rsidR="00583161" w:rsidRPr="00AD6EB0">
        <w:rPr>
          <w:rFonts w:ascii="Arial" w:hAnsi="Arial" w:cs="Arial"/>
        </w:rPr>
        <w:t>-</w:t>
      </w:r>
      <w:r w:rsidR="005267F0" w:rsidRPr="00AD6EB0">
        <w:rPr>
          <w:rFonts w:ascii="Arial" w:hAnsi="Arial" w:cs="Arial"/>
        </w:rPr>
        <w:t xml:space="preserve">month follow-up (vildagliptin: A1C 6.1%, 2HPG = 182.7 mg/dL; placebo: A1C = 6.5%, 2HPG = 231.2 mg/dL; both p ≤ 0.05) </w:t>
      </w:r>
      <w:r w:rsidRPr="00AD6EB0">
        <w:rPr>
          <w:rFonts w:ascii="Arial" w:hAnsi="Arial" w:cs="Arial"/>
        </w:rPr>
        <w:t>(</w:t>
      </w:r>
      <w:r w:rsidR="00AB7A15" w:rsidRPr="00AD6EB0">
        <w:rPr>
          <w:rFonts w:ascii="Arial" w:hAnsi="Arial" w:cs="Arial"/>
        </w:rPr>
        <w:t>68</w:t>
      </w:r>
      <w:r w:rsidRPr="00AD6EB0">
        <w:rPr>
          <w:rFonts w:ascii="Arial" w:hAnsi="Arial" w:cs="Arial"/>
        </w:rPr>
        <w:t>). In a systematic review and meta-analysis to assess the efficacy and safety of DDP-4 inhibitors in kidney transplant recipients with PTDM, DDP4-inhibitor use was found to have a favorable glycemic effect (assessed by A1C) compared with either placebo or oral anti-</w:t>
      </w:r>
      <w:r w:rsidR="002F2139" w:rsidRPr="00AD6EB0">
        <w:rPr>
          <w:rFonts w:ascii="Arial" w:hAnsi="Arial" w:cs="Arial"/>
        </w:rPr>
        <w:t>h</w:t>
      </w:r>
      <w:r w:rsidRPr="00AD6EB0">
        <w:rPr>
          <w:rFonts w:ascii="Arial" w:hAnsi="Arial" w:cs="Arial"/>
        </w:rPr>
        <w:t>yperglycemic agent (A1C= -0.993, p=0.001) at 6-month follow-up. No significant changes in eGFR or tacrolimus levels were observed in DDP-4 inhibitor-treated patients (</w:t>
      </w:r>
      <w:r w:rsidR="006B4296" w:rsidRPr="00AD6EB0">
        <w:rPr>
          <w:rFonts w:ascii="Arial" w:hAnsi="Arial" w:cs="Arial"/>
        </w:rPr>
        <w:t>72</w:t>
      </w:r>
      <w:r w:rsidRPr="00AD6EB0">
        <w:rPr>
          <w:rFonts w:ascii="Arial" w:hAnsi="Arial" w:cs="Arial"/>
        </w:rPr>
        <w:t>).</w:t>
      </w:r>
      <w:r w:rsidR="00805D65" w:rsidRPr="00AD6EB0">
        <w:rPr>
          <w:rFonts w:ascii="Arial" w:hAnsi="Arial" w:cs="Arial"/>
        </w:rPr>
        <w:t xml:space="preserve"> </w:t>
      </w:r>
      <w:r w:rsidR="005C6124" w:rsidRPr="00AD6EB0">
        <w:rPr>
          <w:rFonts w:ascii="Arial" w:hAnsi="Arial" w:cs="Arial"/>
        </w:rPr>
        <w:t>Currently available literature</w:t>
      </w:r>
      <w:r w:rsidR="007502EE" w:rsidRPr="00AD6EB0">
        <w:rPr>
          <w:rFonts w:ascii="Arial" w:hAnsi="Arial" w:cs="Arial"/>
        </w:rPr>
        <w:t xml:space="preserve"> </w:t>
      </w:r>
      <w:r w:rsidR="00BB7B76" w:rsidRPr="00AD6EB0">
        <w:rPr>
          <w:rFonts w:ascii="Arial" w:hAnsi="Arial" w:cs="Arial"/>
        </w:rPr>
        <w:t xml:space="preserve">shows that </w:t>
      </w:r>
      <w:r w:rsidR="007025DB" w:rsidRPr="00AD6EB0">
        <w:rPr>
          <w:rFonts w:ascii="Arial" w:hAnsi="Arial" w:cs="Arial"/>
        </w:rPr>
        <w:t xml:space="preserve">DDP-4 inhibitor </w:t>
      </w:r>
      <w:r w:rsidR="006A1149" w:rsidRPr="00AD6EB0">
        <w:rPr>
          <w:rFonts w:ascii="Arial" w:hAnsi="Arial" w:cs="Arial"/>
        </w:rPr>
        <w:t xml:space="preserve">use </w:t>
      </w:r>
      <w:r w:rsidR="00A8032E" w:rsidRPr="00AD6EB0">
        <w:rPr>
          <w:rFonts w:ascii="Arial" w:hAnsi="Arial" w:cs="Arial"/>
        </w:rPr>
        <w:t xml:space="preserve">in the setting of kidney transplantation </w:t>
      </w:r>
      <w:r w:rsidR="0064796E" w:rsidRPr="00AD6EB0">
        <w:rPr>
          <w:rFonts w:ascii="Arial" w:hAnsi="Arial" w:cs="Arial"/>
        </w:rPr>
        <w:t>is</w:t>
      </w:r>
      <w:r w:rsidR="007025DB" w:rsidRPr="00AD6EB0">
        <w:rPr>
          <w:rFonts w:ascii="Arial" w:hAnsi="Arial" w:cs="Arial"/>
        </w:rPr>
        <w:t xml:space="preserve"> safe but</w:t>
      </w:r>
      <w:r w:rsidR="006A1149" w:rsidRPr="00AD6EB0">
        <w:rPr>
          <w:rFonts w:ascii="Arial" w:hAnsi="Arial" w:cs="Arial"/>
        </w:rPr>
        <w:t xml:space="preserve"> </w:t>
      </w:r>
      <w:r w:rsidR="007102A2" w:rsidRPr="00AD6EB0">
        <w:rPr>
          <w:rFonts w:ascii="Arial" w:hAnsi="Arial" w:cs="Arial"/>
        </w:rPr>
        <w:t xml:space="preserve">its use </w:t>
      </w:r>
      <w:r w:rsidR="008B6215" w:rsidRPr="00AD6EB0">
        <w:rPr>
          <w:rFonts w:ascii="Arial" w:hAnsi="Arial" w:cs="Arial"/>
        </w:rPr>
        <w:t>demonstrates</w:t>
      </w:r>
      <w:r w:rsidR="00CD4A00" w:rsidRPr="00AD6EB0">
        <w:rPr>
          <w:rFonts w:ascii="Arial" w:hAnsi="Arial" w:cs="Arial"/>
        </w:rPr>
        <w:t xml:space="preserve"> no </w:t>
      </w:r>
      <w:r w:rsidR="008C0147" w:rsidRPr="00AD6EB0">
        <w:rPr>
          <w:rFonts w:ascii="Arial" w:hAnsi="Arial" w:cs="Arial"/>
        </w:rPr>
        <w:t xml:space="preserve">cardio-renal benefit. </w:t>
      </w:r>
    </w:p>
    <w:p w14:paraId="79882D5C" w14:textId="77777777" w:rsidR="009303F3" w:rsidRDefault="009303F3" w:rsidP="00AD6EB0">
      <w:pPr>
        <w:spacing w:after="0" w:line="276" w:lineRule="auto"/>
        <w:rPr>
          <w:rFonts w:ascii="Arial" w:hAnsi="Arial" w:cs="Arial"/>
        </w:rPr>
      </w:pPr>
    </w:p>
    <w:p w14:paraId="75FF2FBE" w14:textId="051EBAC0" w:rsidR="00B65B2A" w:rsidRPr="00AD6EB0" w:rsidRDefault="009E4C10" w:rsidP="00AD6EB0">
      <w:pPr>
        <w:spacing w:after="0" w:line="276" w:lineRule="auto"/>
        <w:rPr>
          <w:rFonts w:ascii="Arial" w:hAnsi="Arial" w:cs="Arial"/>
        </w:rPr>
      </w:pPr>
      <w:r w:rsidRPr="00AD6EB0">
        <w:rPr>
          <w:rFonts w:ascii="Arial" w:hAnsi="Arial" w:cs="Arial"/>
        </w:rPr>
        <w:t>Studies evaluating the safety and efficacy of DDP-4 inhibitors in non-renal solid organ transplant recipients remain lacking. In a small retrospective study of 30 stable heart transplant recipients with type 2 diabetes, vildagliptin was found to significantly reduce A1C level compared with their control counterparts. Mean A1C in the vildagliptin-treated patients was 7.4% ± 0.7% before versus 6.8% ± 0.8% after 8 months of therapy (P = 0.002 vs baseline). Mean A1C levels at baseline and at 8-month follow up in the control group were 7.0% ± 0.7% versus 7.3% ± 1.2%, respectively (P = 0.21) (</w:t>
      </w:r>
      <w:r w:rsidR="006B4296" w:rsidRPr="00AD6EB0">
        <w:rPr>
          <w:rFonts w:ascii="Arial" w:hAnsi="Arial" w:cs="Arial"/>
        </w:rPr>
        <w:t>73</w:t>
      </w:r>
      <w:r w:rsidRPr="00AD6EB0">
        <w:rPr>
          <w:rFonts w:ascii="Arial" w:hAnsi="Arial" w:cs="Arial"/>
        </w:rPr>
        <w:t>). No statistically significant changes in body weight, total cholesterol or triglyceride levels were seen in vildagliptin-treated patients. Furthermore, no significant changes in immunosuppressive drug levels or dosages were observed in either group. Whether vildagliptin is safe and effective in the treatment of PTDM after orthotopic heart transplantation warrants further exploration. In contrast, in a multicenter, randomized, double-blind, placebo-controlled trial designed to evaluate the long-term cardiovascular efficacy and safety of saxagliptin in patients with type 2 DM at risk of cardiovascular events, saxagliptin administration was unexpectedly found to be associated with a significant 27% increase in hospitalizations for heart failure [the Saxagliptin Assessment of Vascular Outcomes Recorded in Patients with Diabetes Mellitus–Thrombolysis in Myocardial Infarction 53 (SAVOR-TIMI 53) trial, n =16,492) (</w:t>
      </w:r>
      <w:r w:rsidR="006B4296" w:rsidRPr="00AD6EB0">
        <w:rPr>
          <w:rFonts w:ascii="Arial" w:hAnsi="Arial" w:cs="Arial"/>
        </w:rPr>
        <w:t>74</w:t>
      </w:r>
      <w:r w:rsidRPr="00AD6EB0">
        <w:rPr>
          <w:rFonts w:ascii="Arial" w:hAnsi="Arial" w:cs="Arial"/>
        </w:rPr>
        <w:t>). However, subsequent </w:t>
      </w:r>
      <w:r w:rsidRPr="00AD6EB0">
        <w:rPr>
          <w:rFonts w:ascii="Arial" w:hAnsi="Arial" w:cs="Arial"/>
          <w:i/>
          <w:iCs/>
        </w:rPr>
        <w:t>post-hoc</w:t>
      </w:r>
      <w:r w:rsidRPr="00AD6EB0">
        <w:rPr>
          <w:rFonts w:ascii="Arial" w:hAnsi="Arial" w:cs="Arial"/>
        </w:rPr>
        <w:t xml:space="preserve"> analyses of two </w:t>
      </w:r>
      <w:r w:rsidR="0027061E" w:rsidRPr="00AD6EB0">
        <w:rPr>
          <w:rFonts w:ascii="Arial" w:hAnsi="Arial" w:cs="Arial"/>
        </w:rPr>
        <w:t>large, randomized</w:t>
      </w:r>
      <w:r w:rsidRPr="00AD6EB0">
        <w:rPr>
          <w:rFonts w:ascii="Arial" w:hAnsi="Arial" w:cs="Arial"/>
        </w:rPr>
        <w:t xml:space="preserve"> placebo-controlled trials (EXAMINE and TECOS trials) showed no increase in heart failure risk in alogliptin- (</w:t>
      </w:r>
      <w:r w:rsidR="006B4296" w:rsidRPr="00AD6EB0">
        <w:rPr>
          <w:rFonts w:ascii="Arial" w:hAnsi="Arial" w:cs="Arial"/>
        </w:rPr>
        <w:t>75</w:t>
      </w:r>
      <w:r w:rsidRPr="00AD6EB0">
        <w:rPr>
          <w:rFonts w:ascii="Arial" w:hAnsi="Arial" w:cs="Arial"/>
        </w:rPr>
        <w:t>) or sitagliptin-treated patients (</w:t>
      </w:r>
      <w:r w:rsidR="006B4296" w:rsidRPr="00AD6EB0">
        <w:rPr>
          <w:rFonts w:ascii="Arial" w:hAnsi="Arial" w:cs="Arial"/>
        </w:rPr>
        <w:t>76</w:t>
      </w:r>
      <w:r w:rsidRPr="00AD6EB0">
        <w:rPr>
          <w:rFonts w:ascii="Arial" w:hAnsi="Arial" w:cs="Arial"/>
        </w:rPr>
        <w:t xml:space="preserve">) compared with their placebo-treated counterparts, suggesting that the increase in heart failure incidence observed with saxagliptin may be specific to the drug </w:t>
      </w:r>
      <w:r w:rsidRPr="00AD6EB0">
        <w:rPr>
          <w:rFonts w:ascii="Arial" w:hAnsi="Arial" w:cs="Arial"/>
        </w:rPr>
        <w:lastRenderedPageBreak/>
        <w:t xml:space="preserve">rather than a drug class effect. Nonetheless, based on early clinical study results, the FDA has issued a warning about the potential for increased risk for heart failure associated with the use of saxagliptin and alogliptin. Saxagliptin use in recipients of heart transplantation with PTDM is not recommended. Whether alogliptin is safe for use after heart transplantation </w:t>
      </w:r>
      <w:r w:rsidR="00DB5CBA" w:rsidRPr="00AD6EB0">
        <w:rPr>
          <w:rFonts w:ascii="Arial" w:hAnsi="Arial" w:cs="Arial"/>
        </w:rPr>
        <w:t xml:space="preserve">remains </w:t>
      </w:r>
      <w:r w:rsidR="001B45B9" w:rsidRPr="00AD6EB0">
        <w:rPr>
          <w:rFonts w:ascii="Arial" w:hAnsi="Arial" w:cs="Arial"/>
        </w:rPr>
        <w:t xml:space="preserve">to be studied. </w:t>
      </w:r>
    </w:p>
    <w:p w14:paraId="76220290" w14:textId="77777777" w:rsidR="009303F3" w:rsidRDefault="009303F3" w:rsidP="00AD6EB0">
      <w:pPr>
        <w:spacing w:after="0" w:line="276" w:lineRule="auto"/>
        <w:rPr>
          <w:rFonts w:ascii="Arial" w:hAnsi="Arial" w:cs="Arial"/>
        </w:rPr>
      </w:pPr>
    </w:p>
    <w:p w14:paraId="28EF9334" w14:textId="7841247F" w:rsidR="000269F8" w:rsidRPr="00AD6EB0" w:rsidRDefault="009E4C10" w:rsidP="00AD6EB0">
      <w:pPr>
        <w:spacing w:after="0" w:line="276" w:lineRule="auto"/>
        <w:rPr>
          <w:rFonts w:ascii="Arial" w:hAnsi="Arial" w:cs="Arial"/>
        </w:rPr>
      </w:pPr>
      <w:r w:rsidRPr="00AD6EB0">
        <w:rPr>
          <w:rFonts w:ascii="Arial" w:hAnsi="Arial" w:cs="Arial"/>
        </w:rPr>
        <w:t xml:space="preserve">GLP-1 </w:t>
      </w:r>
      <w:r w:rsidR="00396E70" w:rsidRPr="00AD6EB0">
        <w:rPr>
          <w:rFonts w:ascii="Arial" w:hAnsi="Arial" w:cs="Arial"/>
        </w:rPr>
        <w:t xml:space="preserve">receptor </w:t>
      </w:r>
      <w:r w:rsidRPr="00AD6EB0">
        <w:rPr>
          <w:rFonts w:ascii="Arial" w:hAnsi="Arial" w:cs="Arial"/>
        </w:rPr>
        <w:t xml:space="preserve">agonist </w:t>
      </w:r>
      <w:r w:rsidR="00396E70" w:rsidRPr="00AD6EB0">
        <w:rPr>
          <w:rFonts w:ascii="Arial" w:hAnsi="Arial" w:cs="Arial"/>
        </w:rPr>
        <w:t xml:space="preserve">(GLP-1 RA) </w:t>
      </w:r>
      <w:r w:rsidRPr="00AD6EB0">
        <w:rPr>
          <w:rFonts w:ascii="Arial" w:hAnsi="Arial" w:cs="Arial"/>
        </w:rPr>
        <w:t>therapy may confer cardio</w:t>
      </w:r>
      <w:r w:rsidR="008A1B46" w:rsidRPr="00AD6EB0">
        <w:rPr>
          <w:rFonts w:ascii="Arial" w:hAnsi="Arial" w:cs="Arial"/>
        </w:rPr>
        <w:t xml:space="preserve">renal </w:t>
      </w:r>
      <w:r w:rsidRPr="00AD6EB0">
        <w:rPr>
          <w:rFonts w:ascii="Arial" w:hAnsi="Arial" w:cs="Arial"/>
        </w:rPr>
        <w:t>protective and weight-loss benefits, counteracting the weight gain commonly seen in the setting of hyperglycemia and steroid therapy after transplantation (</w:t>
      </w:r>
      <w:r w:rsidR="006B4296" w:rsidRPr="00AD6EB0">
        <w:rPr>
          <w:rFonts w:ascii="Arial" w:hAnsi="Arial" w:cs="Arial"/>
        </w:rPr>
        <w:t>77-78</w:t>
      </w:r>
      <w:r w:rsidRPr="00AD6EB0">
        <w:rPr>
          <w:rFonts w:ascii="Arial" w:hAnsi="Arial" w:cs="Arial"/>
        </w:rPr>
        <w:t>)</w:t>
      </w:r>
      <w:r w:rsidR="00CA3A66" w:rsidRPr="00AD6EB0">
        <w:rPr>
          <w:rFonts w:ascii="Arial" w:hAnsi="Arial" w:cs="Arial"/>
        </w:rPr>
        <w:t xml:space="preserve">. Multiple </w:t>
      </w:r>
      <w:r w:rsidR="00F96107" w:rsidRPr="00AD6EB0">
        <w:rPr>
          <w:rFonts w:ascii="Arial" w:hAnsi="Arial" w:cs="Arial"/>
        </w:rPr>
        <w:t>large cardiovascular outcome trials have demonstrated that the use of GLP</w:t>
      </w:r>
      <w:r w:rsidR="00E94FBB" w:rsidRPr="00AD6EB0">
        <w:rPr>
          <w:rFonts w:ascii="Arial" w:hAnsi="Arial" w:cs="Arial"/>
        </w:rPr>
        <w:t>-1 RA is associated with a robust and consistent reduction in atheroembolic events, particularly in patients with established atherosclerotic cardiovascular disease (ASCVD)</w:t>
      </w:r>
      <w:r w:rsidR="0005060D" w:rsidRPr="00AD6EB0">
        <w:rPr>
          <w:rFonts w:ascii="Arial" w:hAnsi="Arial" w:cs="Arial"/>
        </w:rPr>
        <w:t xml:space="preserve"> (</w:t>
      </w:r>
      <w:r w:rsidR="006B4296" w:rsidRPr="00AD6EB0">
        <w:rPr>
          <w:rFonts w:ascii="Arial" w:hAnsi="Arial" w:cs="Arial"/>
        </w:rPr>
        <w:t>79</w:t>
      </w:r>
      <w:r w:rsidR="00396E70" w:rsidRPr="00AD6EB0">
        <w:rPr>
          <w:rFonts w:ascii="Arial" w:hAnsi="Arial" w:cs="Arial"/>
        </w:rPr>
        <w:t>)</w:t>
      </w:r>
      <w:r w:rsidR="00E94FBB" w:rsidRPr="00AD6EB0">
        <w:rPr>
          <w:rFonts w:ascii="Arial" w:hAnsi="Arial" w:cs="Arial"/>
        </w:rPr>
        <w:t xml:space="preserve">. </w:t>
      </w:r>
      <w:r w:rsidR="009D6567" w:rsidRPr="00AD6EB0">
        <w:rPr>
          <w:rFonts w:ascii="Arial" w:hAnsi="Arial" w:cs="Arial"/>
        </w:rPr>
        <w:t xml:space="preserve">Whether </w:t>
      </w:r>
      <w:r w:rsidR="00C53BB9" w:rsidRPr="00AD6EB0">
        <w:rPr>
          <w:rFonts w:ascii="Arial" w:hAnsi="Arial" w:cs="Arial"/>
        </w:rPr>
        <w:t xml:space="preserve">favorable </w:t>
      </w:r>
      <w:r w:rsidR="009D6567" w:rsidRPr="00AD6EB0">
        <w:rPr>
          <w:rFonts w:ascii="Arial" w:hAnsi="Arial" w:cs="Arial"/>
        </w:rPr>
        <w:t xml:space="preserve">cardiovascular </w:t>
      </w:r>
      <w:r w:rsidR="0019637D" w:rsidRPr="00AD6EB0">
        <w:rPr>
          <w:rFonts w:ascii="Arial" w:hAnsi="Arial" w:cs="Arial"/>
        </w:rPr>
        <w:t>outcomes</w:t>
      </w:r>
      <w:r w:rsidR="00C53BB9" w:rsidRPr="00AD6EB0">
        <w:rPr>
          <w:rFonts w:ascii="Arial" w:hAnsi="Arial" w:cs="Arial"/>
        </w:rPr>
        <w:t xml:space="preserve"> can be extrapolated to the transplant population warrant further exploration. </w:t>
      </w:r>
    </w:p>
    <w:p w14:paraId="6ED69DBD" w14:textId="77777777" w:rsidR="009303F3" w:rsidRDefault="009303F3" w:rsidP="00AD6EB0">
      <w:pPr>
        <w:spacing w:after="0" w:line="276" w:lineRule="auto"/>
        <w:rPr>
          <w:rFonts w:ascii="Arial" w:hAnsi="Arial" w:cs="Arial"/>
        </w:rPr>
      </w:pPr>
    </w:p>
    <w:p w14:paraId="0E756A08" w14:textId="11C933D8" w:rsidR="004B537B" w:rsidRDefault="005D6D2D" w:rsidP="00AD6EB0">
      <w:pPr>
        <w:spacing w:after="0" w:line="276" w:lineRule="auto"/>
        <w:rPr>
          <w:rFonts w:ascii="Arial" w:hAnsi="Arial" w:cs="Arial"/>
        </w:rPr>
      </w:pPr>
      <w:r w:rsidRPr="00AD6EB0">
        <w:rPr>
          <w:rFonts w:ascii="Arial" w:hAnsi="Arial" w:cs="Arial"/>
        </w:rPr>
        <w:t xml:space="preserve">In a </w:t>
      </w:r>
      <w:r w:rsidR="004B537B" w:rsidRPr="00AD6EB0">
        <w:rPr>
          <w:rFonts w:ascii="Arial" w:hAnsi="Arial" w:cs="Arial"/>
        </w:rPr>
        <w:t>USA-based retrospective cohort study consist</w:t>
      </w:r>
      <w:r w:rsidRPr="00AD6EB0">
        <w:rPr>
          <w:rFonts w:ascii="Arial" w:hAnsi="Arial" w:cs="Arial"/>
        </w:rPr>
        <w:t>ing</w:t>
      </w:r>
      <w:r w:rsidR="004B537B" w:rsidRPr="00AD6EB0">
        <w:rPr>
          <w:rFonts w:ascii="Arial" w:hAnsi="Arial" w:cs="Arial"/>
        </w:rPr>
        <w:t xml:space="preserve"> of more than 18</w:t>
      </w:r>
      <w:r w:rsidRPr="00AD6EB0">
        <w:rPr>
          <w:rFonts w:ascii="Arial" w:hAnsi="Arial" w:cs="Arial"/>
        </w:rPr>
        <w:t>,000</w:t>
      </w:r>
      <w:r w:rsidR="004B537B" w:rsidRPr="00AD6EB0">
        <w:rPr>
          <w:rFonts w:ascii="Arial" w:hAnsi="Arial" w:cs="Arial"/>
        </w:rPr>
        <w:t xml:space="preserve"> kidney transplant recipients with type 2 diabetes</w:t>
      </w:r>
      <w:r w:rsidRPr="00AD6EB0">
        <w:rPr>
          <w:rFonts w:ascii="Arial" w:hAnsi="Arial" w:cs="Arial"/>
        </w:rPr>
        <w:t xml:space="preserve">, </w:t>
      </w:r>
      <w:r w:rsidR="004B537B" w:rsidRPr="00AD6EB0">
        <w:rPr>
          <w:rFonts w:ascii="Arial" w:hAnsi="Arial" w:cs="Arial"/>
        </w:rPr>
        <w:t>GLP-1 RA use was</w:t>
      </w:r>
      <w:r w:rsidR="00942C30" w:rsidRPr="00AD6EB0">
        <w:rPr>
          <w:rFonts w:ascii="Arial" w:hAnsi="Arial" w:cs="Arial"/>
        </w:rPr>
        <w:t xml:space="preserve"> </w:t>
      </w:r>
      <w:r w:rsidR="004B537B" w:rsidRPr="00AD6EB0">
        <w:rPr>
          <w:rFonts w:ascii="Arial" w:hAnsi="Arial" w:cs="Arial"/>
        </w:rPr>
        <w:t>associated with a 49% lower incidence of death-censored graft loss (adjusted subhazard ratio [aSHR] 0·51, p=0·0001) and 31% lower mortality</w:t>
      </w:r>
      <w:r w:rsidR="003E7F9D" w:rsidRPr="00AD6EB0">
        <w:rPr>
          <w:rFonts w:ascii="Arial" w:hAnsi="Arial" w:cs="Arial"/>
        </w:rPr>
        <w:t xml:space="preserve"> rates</w:t>
      </w:r>
      <w:r w:rsidR="004B537B" w:rsidRPr="00AD6EB0">
        <w:rPr>
          <w:rFonts w:ascii="Arial" w:hAnsi="Arial" w:cs="Arial"/>
        </w:rPr>
        <w:t xml:space="preserve"> (adjusted hazard ratio [aHR] 0·69,</w:t>
      </w:r>
      <w:r w:rsidR="00960C80" w:rsidRPr="00AD6EB0">
        <w:rPr>
          <w:rFonts w:ascii="Arial" w:hAnsi="Arial" w:cs="Arial"/>
        </w:rPr>
        <w:t xml:space="preserve"> </w:t>
      </w:r>
      <w:r w:rsidR="004B537B" w:rsidRPr="00AD6EB0">
        <w:rPr>
          <w:rFonts w:ascii="Arial" w:hAnsi="Arial" w:cs="Arial"/>
        </w:rPr>
        <w:t xml:space="preserve">p=0·001). </w:t>
      </w:r>
      <w:r w:rsidR="00EE504D" w:rsidRPr="00AD6EB0">
        <w:rPr>
          <w:rFonts w:ascii="Arial" w:hAnsi="Arial" w:cs="Arial"/>
        </w:rPr>
        <w:t>Notably, i</w:t>
      </w:r>
      <w:r w:rsidR="004B537B" w:rsidRPr="00AD6EB0">
        <w:rPr>
          <w:rFonts w:ascii="Arial" w:hAnsi="Arial" w:cs="Arial"/>
        </w:rPr>
        <w:t xml:space="preserve">nferences were robust when matched on survival time (death-censored graft loss aSHR 0·53, p=0·0005; mortality aHR 0·70, p=0·003). </w:t>
      </w:r>
      <w:r w:rsidR="00437AED" w:rsidRPr="00AD6EB0">
        <w:rPr>
          <w:rFonts w:ascii="Arial" w:hAnsi="Arial" w:cs="Arial"/>
        </w:rPr>
        <w:t>An increase</w:t>
      </w:r>
      <w:r w:rsidR="00305571" w:rsidRPr="00AD6EB0">
        <w:rPr>
          <w:rFonts w:ascii="Arial" w:hAnsi="Arial" w:cs="Arial"/>
        </w:rPr>
        <w:t>d</w:t>
      </w:r>
      <w:r w:rsidR="004E0FC4" w:rsidRPr="00AD6EB0">
        <w:rPr>
          <w:rFonts w:ascii="Arial" w:hAnsi="Arial" w:cs="Arial"/>
        </w:rPr>
        <w:t xml:space="preserve"> </w:t>
      </w:r>
      <w:r w:rsidR="00437AED" w:rsidRPr="00AD6EB0">
        <w:rPr>
          <w:rFonts w:ascii="Arial" w:hAnsi="Arial" w:cs="Arial"/>
        </w:rPr>
        <w:t xml:space="preserve">incidence </w:t>
      </w:r>
      <w:r w:rsidR="004E0FC4" w:rsidRPr="00AD6EB0">
        <w:rPr>
          <w:rFonts w:ascii="Arial" w:hAnsi="Arial" w:cs="Arial"/>
        </w:rPr>
        <w:t>of diabetic retinopathy was observed among GLP-1 RA use</w:t>
      </w:r>
      <w:r w:rsidR="00305571" w:rsidRPr="00AD6EB0">
        <w:rPr>
          <w:rFonts w:ascii="Arial" w:hAnsi="Arial" w:cs="Arial"/>
        </w:rPr>
        <w:t>rs</w:t>
      </w:r>
      <w:r w:rsidR="004E0FC4" w:rsidRPr="00AD6EB0">
        <w:rPr>
          <w:rFonts w:ascii="Arial" w:hAnsi="Arial" w:cs="Arial"/>
        </w:rPr>
        <w:t xml:space="preserve"> </w:t>
      </w:r>
      <w:r w:rsidR="00D04FD5" w:rsidRPr="00AD6EB0">
        <w:rPr>
          <w:rFonts w:ascii="Arial" w:hAnsi="Arial" w:cs="Arial"/>
        </w:rPr>
        <w:t xml:space="preserve">vs. non-users </w:t>
      </w:r>
      <w:r w:rsidR="004B537B" w:rsidRPr="00AD6EB0">
        <w:rPr>
          <w:rFonts w:ascii="Arial" w:hAnsi="Arial" w:cs="Arial"/>
        </w:rPr>
        <w:t>(aHR 1·49, p=0·008) (</w:t>
      </w:r>
      <w:r w:rsidR="006B4296" w:rsidRPr="00AD6EB0">
        <w:rPr>
          <w:rFonts w:ascii="Arial" w:hAnsi="Arial" w:cs="Arial"/>
        </w:rPr>
        <w:t>80</w:t>
      </w:r>
      <w:r w:rsidR="004B537B" w:rsidRPr="00AD6EB0">
        <w:rPr>
          <w:rFonts w:ascii="Arial" w:hAnsi="Arial" w:cs="Arial"/>
        </w:rPr>
        <w:t xml:space="preserve">). </w:t>
      </w:r>
      <w:r w:rsidR="00BB309E" w:rsidRPr="00AD6EB0">
        <w:rPr>
          <w:rFonts w:ascii="Arial" w:hAnsi="Arial" w:cs="Arial"/>
        </w:rPr>
        <w:t xml:space="preserve">Pancreatitis, </w:t>
      </w:r>
      <w:r w:rsidR="005033CC" w:rsidRPr="00AD6EB0">
        <w:rPr>
          <w:rFonts w:ascii="Arial" w:hAnsi="Arial" w:cs="Arial"/>
        </w:rPr>
        <w:t>biliary complications, and medullary thyroid cancer were infrequent and not associated with GLP-1 RA use</w:t>
      </w:r>
      <w:r w:rsidR="00622DDB" w:rsidRPr="00AD6EB0">
        <w:rPr>
          <w:rFonts w:ascii="Arial" w:hAnsi="Arial" w:cs="Arial"/>
        </w:rPr>
        <w:t xml:space="preserve">. </w:t>
      </w:r>
      <w:r w:rsidR="00B77757" w:rsidRPr="00AD6EB0">
        <w:rPr>
          <w:rFonts w:ascii="Arial" w:hAnsi="Arial" w:cs="Arial"/>
        </w:rPr>
        <w:t>Nevertheless</w:t>
      </w:r>
      <w:r w:rsidR="006051BB" w:rsidRPr="00AD6EB0">
        <w:rPr>
          <w:rFonts w:ascii="Arial" w:hAnsi="Arial" w:cs="Arial"/>
        </w:rPr>
        <w:t xml:space="preserve">, </w:t>
      </w:r>
      <w:r w:rsidR="00CC564E" w:rsidRPr="00AD6EB0">
        <w:rPr>
          <w:rFonts w:ascii="Arial" w:hAnsi="Arial" w:cs="Arial"/>
        </w:rPr>
        <w:t xml:space="preserve">it should be noted that </w:t>
      </w:r>
      <w:r w:rsidR="001A1DF1" w:rsidRPr="00AD6EB0">
        <w:rPr>
          <w:rFonts w:ascii="Arial" w:hAnsi="Arial" w:cs="Arial"/>
        </w:rPr>
        <w:t xml:space="preserve">GLP-1 RA use is contraindicated in </w:t>
      </w:r>
      <w:r w:rsidR="008B39C4" w:rsidRPr="00AD6EB0">
        <w:rPr>
          <w:rFonts w:ascii="Arial" w:hAnsi="Arial" w:cs="Arial"/>
        </w:rPr>
        <w:t xml:space="preserve">individuals with </w:t>
      </w:r>
      <w:r w:rsidR="00EB64BE" w:rsidRPr="00AD6EB0">
        <w:rPr>
          <w:rFonts w:ascii="Arial" w:hAnsi="Arial" w:cs="Arial"/>
        </w:rPr>
        <w:t xml:space="preserve">personal or family history of </w:t>
      </w:r>
      <w:r w:rsidR="00807572" w:rsidRPr="00AD6EB0">
        <w:rPr>
          <w:rFonts w:ascii="Arial" w:hAnsi="Arial" w:cs="Arial"/>
        </w:rPr>
        <w:t>medullary thyroid cancer</w:t>
      </w:r>
      <w:r w:rsidR="00846A08" w:rsidRPr="00AD6EB0">
        <w:rPr>
          <w:rFonts w:ascii="Arial" w:hAnsi="Arial" w:cs="Arial"/>
        </w:rPr>
        <w:t xml:space="preserve"> </w:t>
      </w:r>
      <w:r w:rsidR="0012795C" w:rsidRPr="00AD6EB0">
        <w:rPr>
          <w:rFonts w:ascii="Arial" w:hAnsi="Arial" w:cs="Arial"/>
        </w:rPr>
        <w:t>(</w:t>
      </w:r>
      <w:r w:rsidR="00846A08" w:rsidRPr="00AD6EB0">
        <w:rPr>
          <w:rFonts w:ascii="Arial" w:hAnsi="Arial" w:cs="Arial"/>
        </w:rPr>
        <w:t>or multiple endocrine neoplasia type 2</w:t>
      </w:r>
      <w:r w:rsidR="0012795C" w:rsidRPr="00AD6EB0">
        <w:rPr>
          <w:rFonts w:ascii="Arial" w:hAnsi="Arial" w:cs="Arial"/>
        </w:rPr>
        <w:t xml:space="preserve">), and </w:t>
      </w:r>
      <w:r w:rsidR="008B39C4" w:rsidRPr="00AD6EB0">
        <w:rPr>
          <w:rFonts w:ascii="Arial" w:hAnsi="Arial" w:cs="Arial"/>
        </w:rPr>
        <w:t>in the setting of acute</w:t>
      </w:r>
      <w:r w:rsidR="0012795C" w:rsidRPr="00AD6EB0">
        <w:rPr>
          <w:rFonts w:ascii="Arial" w:hAnsi="Arial" w:cs="Arial"/>
        </w:rPr>
        <w:t xml:space="preserve"> pancreatitis</w:t>
      </w:r>
      <w:r w:rsidR="008B39C4" w:rsidRPr="00AD6EB0">
        <w:rPr>
          <w:rFonts w:ascii="Arial" w:hAnsi="Arial" w:cs="Arial"/>
        </w:rPr>
        <w:t xml:space="preserve">. </w:t>
      </w:r>
      <w:r w:rsidR="00627F40" w:rsidRPr="00AD6EB0">
        <w:rPr>
          <w:rFonts w:ascii="Arial" w:hAnsi="Arial" w:cs="Arial"/>
        </w:rPr>
        <w:t>GLP-1 R</w:t>
      </w:r>
      <w:r w:rsidR="00B77757" w:rsidRPr="00AD6EB0">
        <w:rPr>
          <w:rFonts w:ascii="Arial" w:hAnsi="Arial" w:cs="Arial"/>
        </w:rPr>
        <w:t>A</w:t>
      </w:r>
      <w:r w:rsidR="00627F40" w:rsidRPr="00AD6EB0">
        <w:rPr>
          <w:rFonts w:ascii="Arial" w:hAnsi="Arial" w:cs="Arial"/>
        </w:rPr>
        <w:t xml:space="preserve">s have not been studied in patients with </w:t>
      </w:r>
      <w:r w:rsidR="00E74884" w:rsidRPr="00AD6EB0">
        <w:rPr>
          <w:rFonts w:ascii="Arial" w:hAnsi="Arial" w:cs="Arial"/>
        </w:rPr>
        <w:t xml:space="preserve">a history of pancreatitis. One single-center retrospective </w:t>
      </w:r>
      <w:r w:rsidR="003650AD" w:rsidRPr="00AD6EB0">
        <w:rPr>
          <w:rFonts w:ascii="Arial" w:hAnsi="Arial" w:cs="Arial"/>
        </w:rPr>
        <w:t>study suggests that GLP-1 RA use is not associated with increased risk of recurrent acute pancreati</w:t>
      </w:r>
      <w:r w:rsidR="00EB7709" w:rsidRPr="00AD6EB0">
        <w:rPr>
          <w:rFonts w:ascii="Arial" w:hAnsi="Arial" w:cs="Arial"/>
        </w:rPr>
        <w:t>tis</w:t>
      </w:r>
      <w:r w:rsidR="00A2180C" w:rsidRPr="00AD6EB0">
        <w:rPr>
          <w:rFonts w:ascii="Arial" w:hAnsi="Arial" w:cs="Arial"/>
        </w:rPr>
        <w:t xml:space="preserve"> (</w:t>
      </w:r>
      <w:r w:rsidR="006B4296" w:rsidRPr="00AD6EB0">
        <w:rPr>
          <w:rFonts w:ascii="Arial" w:hAnsi="Arial" w:cs="Arial"/>
        </w:rPr>
        <w:t>81</w:t>
      </w:r>
      <w:r w:rsidR="00793F61" w:rsidRPr="00AD6EB0">
        <w:rPr>
          <w:rFonts w:ascii="Arial" w:hAnsi="Arial" w:cs="Arial"/>
        </w:rPr>
        <w:t>)</w:t>
      </w:r>
      <w:r w:rsidR="00EB7709" w:rsidRPr="00AD6EB0">
        <w:rPr>
          <w:rFonts w:ascii="Arial" w:hAnsi="Arial" w:cs="Arial"/>
        </w:rPr>
        <w:t xml:space="preserve">. Nonetheless, its use has generally been avoided in such patients. Further studies are needed. </w:t>
      </w:r>
    </w:p>
    <w:p w14:paraId="2A7EC478" w14:textId="77777777" w:rsidR="00F325EA" w:rsidRPr="00AD6EB0" w:rsidRDefault="00F325EA" w:rsidP="00AD6EB0">
      <w:pPr>
        <w:spacing w:after="0" w:line="276" w:lineRule="auto"/>
        <w:rPr>
          <w:rFonts w:ascii="Arial" w:hAnsi="Arial" w:cs="Arial"/>
        </w:rPr>
      </w:pPr>
    </w:p>
    <w:p w14:paraId="36F881A9" w14:textId="2FBED494" w:rsidR="004935C8" w:rsidRDefault="002706C3" w:rsidP="00AD6EB0">
      <w:pPr>
        <w:spacing w:after="0" w:line="276" w:lineRule="auto"/>
        <w:rPr>
          <w:rFonts w:ascii="Arial" w:hAnsi="Arial" w:cs="Arial"/>
        </w:rPr>
      </w:pPr>
      <w:r w:rsidRPr="00AD6EB0">
        <w:rPr>
          <w:rFonts w:ascii="Arial" w:hAnsi="Arial" w:cs="Arial"/>
        </w:rPr>
        <w:t>Tirzepatide</w:t>
      </w:r>
      <w:r w:rsidR="009E1350" w:rsidRPr="00AD6EB0">
        <w:rPr>
          <w:rFonts w:ascii="Arial" w:hAnsi="Arial" w:cs="Arial"/>
        </w:rPr>
        <w:t xml:space="preserve"> is the first </w:t>
      </w:r>
      <w:r w:rsidRPr="00AD6EB0">
        <w:rPr>
          <w:rFonts w:ascii="Arial" w:hAnsi="Arial" w:cs="Arial"/>
        </w:rPr>
        <w:t>dual glucose-dependent insulinotropic polypeptide and GLP-1 R</w:t>
      </w:r>
      <w:r w:rsidR="00556100" w:rsidRPr="00AD6EB0">
        <w:rPr>
          <w:rFonts w:ascii="Arial" w:hAnsi="Arial" w:cs="Arial"/>
        </w:rPr>
        <w:t>A</w:t>
      </w:r>
      <w:r w:rsidR="00E67FA0" w:rsidRPr="00AD6EB0">
        <w:rPr>
          <w:rFonts w:ascii="Arial" w:hAnsi="Arial" w:cs="Arial"/>
        </w:rPr>
        <w:t xml:space="preserve"> and the first </w:t>
      </w:r>
      <w:r w:rsidR="00701469" w:rsidRPr="00AD6EB0">
        <w:rPr>
          <w:rFonts w:ascii="Arial" w:hAnsi="Arial" w:cs="Arial"/>
        </w:rPr>
        <w:t xml:space="preserve">drug in the new class known as twincretins. </w:t>
      </w:r>
      <w:r w:rsidR="0047499D" w:rsidRPr="00AD6EB0">
        <w:rPr>
          <w:rFonts w:ascii="Arial" w:hAnsi="Arial" w:cs="Arial"/>
        </w:rPr>
        <w:t xml:space="preserve">Its use is associated with </w:t>
      </w:r>
      <w:r w:rsidR="00DD13BB" w:rsidRPr="00AD6EB0">
        <w:rPr>
          <w:rFonts w:ascii="Arial" w:hAnsi="Arial" w:cs="Arial"/>
        </w:rPr>
        <w:t>greater</w:t>
      </w:r>
      <w:r w:rsidR="00ED25E1" w:rsidRPr="00AD6EB0">
        <w:rPr>
          <w:rFonts w:ascii="Arial" w:hAnsi="Arial" w:cs="Arial"/>
        </w:rPr>
        <w:t xml:space="preserve"> </w:t>
      </w:r>
      <w:r w:rsidR="0047499D" w:rsidRPr="00AD6EB0">
        <w:rPr>
          <w:rFonts w:ascii="Arial" w:hAnsi="Arial" w:cs="Arial"/>
        </w:rPr>
        <w:t>weight l</w:t>
      </w:r>
      <w:r w:rsidR="00DD13BB" w:rsidRPr="00AD6EB0">
        <w:rPr>
          <w:rFonts w:ascii="Arial" w:hAnsi="Arial" w:cs="Arial"/>
        </w:rPr>
        <w:t>oss</w:t>
      </w:r>
      <w:r w:rsidR="00ED25E1" w:rsidRPr="00AD6EB0">
        <w:rPr>
          <w:rFonts w:ascii="Arial" w:hAnsi="Arial" w:cs="Arial"/>
        </w:rPr>
        <w:t xml:space="preserve"> compared with</w:t>
      </w:r>
      <w:r w:rsidR="00FC58D4" w:rsidRPr="00AD6EB0">
        <w:rPr>
          <w:rFonts w:ascii="Arial" w:hAnsi="Arial" w:cs="Arial"/>
        </w:rPr>
        <w:t xml:space="preserve"> </w:t>
      </w:r>
      <w:r w:rsidR="00556100" w:rsidRPr="00AD6EB0">
        <w:rPr>
          <w:rFonts w:ascii="Arial" w:hAnsi="Arial" w:cs="Arial"/>
        </w:rPr>
        <w:t>semaglutide</w:t>
      </w:r>
      <w:r w:rsidR="00986A7B" w:rsidRPr="00AD6EB0">
        <w:rPr>
          <w:rFonts w:ascii="Arial" w:hAnsi="Arial" w:cs="Arial"/>
        </w:rPr>
        <w:t xml:space="preserve"> (82)</w:t>
      </w:r>
      <w:r w:rsidR="00556100" w:rsidRPr="00AD6EB0">
        <w:rPr>
          <w:rFonts w:ascii="Arial" w:hAnsi="Arial" w:cs="Arial"/>
        </w:rPr>
        <w:t>.</w:t>
      </w:r>
      <w:r w:rsidR="00567871" w:rsidRPr="00AD6EB0">
        <w:rPr>
          <w:rFonts w:ascii="Arial" w:hAnsi="Arial" w:cs="Arial"/>
        </w:rPr>
        <w:t xml:space="preserve"> Its cardioprotective effect is </w:t>
      </w:r>
      <w:r w:rsidR="00C20433" w:rsidRPr="00AD6EB0">
        <w:rPr>
          <w:rFonts w:ascii="Arial" w:hAnsi="Arial" w:cs="Arial"/>
        </w:rPr>
        <w:t>a subject of ongoing clinical research.</w:t>
      </w:r>
      <w:r w:rsidR="00556100" w:rsidRPr="00AD6EB0">
        <w:rPr>
          <w:rFonts w:ascii="Arial" w:hAnsi="Arial" w:cs="Arial"/>
        </w:rPr>
        <w:t xml:space="preserve"> </w:t>
      </w:r>
      <w:r w:rsidR="00902C52" w:rsidRPr="00AD6EB0">
        <w:rPr>
          <w:rFonts w:ascii="Arial" w:hAnsi="Arial" w:cs="Arial"/>
        </w:rPr>
        <w:t>In a double-blind, randomized, placebo-controlled trial consisting of 731 patients with heart failure</w:t>
      </w:r>
      <w:r w:rsidR="00A268A5" w:rsidRPr="00AD6EB0">
        <w:rPr>
          <w:rFonts w:ascii="Arial" w:hAnsi="Arial" w:cs="Arial"/>
        </w:rPr>
        <w:t xml:space="preserve"> with</w:t>
      </w:r>
      <w:r w:rsidR="00902C52" w:rsidRPr="00AD6EB0">
        <w:rPr>
          <w:rFonts w:ascii="Arial" w:hAnsi="Arial" w:cs="Arial"/>
        </w:rPr>
        <w:t xml:space="preserve"> ejection fraction of at least 50%, and a body-mass index of at least 30 who were randomized to receive either tirzepatide (n=364) or placebo (n=367) for at least 52 weeks, treatment with tirzepatide was associated with a lower risk of a composite of death from cardiovascular causes or worsening heart failure compared with placebo at a median follow-up of 104 weeks</w:t>
      </w:r>
      <w:r w:rsidR="00352215" w:rsidRPr="00AD6EB0">
        <w:rPr>
          <w:rFonts w:ascii="Arial" w:hAnsi="Arial" w:cs="Arial"/>
        </w:rPr>
        <w:t xml:space="preserve"> (</w:t>
      </w:r>
      <w:r w:rsidR="00642526" w:rsidRPr="00AD6EB0">
        <w:rPr>
          <w:rFonts w:ascii="Arial" w:hAnsi="Arial" w:cs="Arial"/>
        </w:rPr>
        <w:t>83</w:t>
      </w:r>
      <w:r w:rsidR="00352215" w:rsidRPr="00AD6EB0">
        <w:rPr>
          <w:rFonts w:ascii="Arial" w:hAnsi="Arial" w:cs="Arial"/>
        </w:rPr>
        <w:t>)</w:t>
      </w:r>
      <w:r w:rsidR="00902C52" w:rsidRPr="00AD6EB0">
        <w:rPr>
          <w:rFonts w:ascii="Arial" w:hAnsi="Arial" w:cs="Arial"/>
        </w:rPr>
        <w:t xml:space="preserve">. </w:t>
      </w:r>
      <w:r w:rsidR="008F15E4" w:rsidRPr="00AD6EB0">
        <w:rPr>
          <w:rFonts w:ascii="Arial" w:hAnsi="Arial" w:cs="Arial"/>
        </w:rPr>
        <w:t xml:space="preserve">In </w:t>
      </w:r>
      <w:r w:rsidR="00201B50" w:rsidRPr="00AD6EB0">
        <w:rPr>
          <w:rFonts w:ascii="Arial" w:hAnsi="Arial" w:cs="Arial"/>
        </w:rPr>
        <w:t xml:space="preserve">a </w:t>
      </w:r>
      <w:r w:rsidR="005A02E7" w:rsidRPr="00AD6EB0">
        <w:rPr>
          <w:rFonts w:ascii="Arial" w:hAnsi="Arial" w:cs="Arial"/>
        </w:rPr>
        <w:t xml:space="preserve">small single-center </w:t>
      </w:r>
      <w:r w:rsidR="007F3F6D" w:rsidRPr="00AD6EB0">
        <w:rPr>
          <w:rFonts w:ascii="Arial" w:hAnsi="Arial" w:cs="Arial"/>
        </w:rPr>
        <w:t xml:space="preserve">retrospective </w:t>
      </w:r>
      <w:r w:rsidR="005A02E7" w:rsidRPr="00AD6EB0">
        <w:rPr>
          <w:rFonts w:ascii="Arial" w:hAnsi="Arial" w:cs="Arial"/>
        </w:rPr>
        <w:t xml:space="preserve">study </w:t>
      </w:r>
      <w:r w:rsidR="0047047F" w:rsidRPr="00AD6EB0">
        <w:rPr>
          <w:rFonts w:ascii="Arial" w:hAnsi="Arial" w:cs="Arial"/>
        </w:rPr>
        <w:t xml:space="preserve">consisting of </w:t>
      </w:r>
      <w:r w:rsidR="005A02E7" w:rsidRPr="00AD6EB0">
        <w:rPr>
          <w:rFonts w:ascii="Arial" w:hAnsi="Arial" w:cs="Arial"/>
        </w:rPr>
        <w:t>41</w:t>
      </w:r>
      <w:r w:rsidR="00201B50" w:rsidRPr="00AD6EB0">
        <w:rPr>
          <w:rFonts w:ascii="Arial" w:hAnsi="Arial" w:cs="Arial"/>
        </w:rPr>
        <w:t xml:space="preserve"> </w:t>
      </w:r>
      <w:r w:rsidR="004B03A0" w:rsidRPr="00AD6EB0">
        <w:rPr>
          <w:rFonts w:ascii="Arial" w:hAnsi="Arial" w:cs="Arial"/>
        </w:rPr>
        <w:t>solid organ transplant recipient</w:t>
      </w:r>
      <w:r w:rsidR="008F15E4" w:rsidRPr="00AD6EB0">
        <w:rPr>
          <w:rFonts w:ascii="Arial" w:hAnsi="Arial" w:cs="Arial"/>
        </w:rPr>
        <w:t>s</w:t>
      </w:r>
      <w:r w:rsidR="0045234B" w:rsidRPr="00AD6EB0">
        <w:rPr>
          <w:rFonts w:ascii="Arial" w:hAnsi="Arial" w:cs="Arial"/>
        </w:rPr>
        <w:t xml:space="preserve"> who were started on t</w:t>
      </w:r>
      <w:r w:rsidR="0046793B" w:rsidRPr="00AD6EB0">
        <w:rPr>
          <w:rFonts w:ascii="Arial" w:hAnsi="Arial" w:cs="Arial"/>
        </w:rPr>
        <w:t>i</w:t>
      </w:r>
      <w:r w:rsidR="0045234B" w:rsidRPr="00AD6EB0">
        <w:rPr>
          <w:rFonts w:ascii="Arial" w:hAnsi="Arial" w:cs="Arial"/>
        </w:rPr>
        <w:t>rzepatide</w:t>
      </w:r>
      <w:r w:rsidR="0046793B" w:rsidRPr="00AD6EB0">
        <w:rPr>
          <w:rFonts w:ascii="Arial" w:hAnsi="Arial" w:cs="Arial"/>
        </w:rPr>
        <w:t xml:space="preserve"> therapy at a median of </w:t>
      </w:r>
      <w:r w:rsidR="007F3F6D" w:rsidRPr="00AD6EB0">
        <w:rPr>
          <w:rFonts w:ascii="Arial" w:hAnsi="Arial" w:cs="Arial"/>
        </w:rPr>
        <w:t>2.91 years after transplant</w:t>
      </w:r>
      <w:r w:rsidR="008F15E4" w:rsidRPr="00AD6EB0">
        <w:rPr>
          <w:rFonts w:ascii="Arial" w:hAnsi="Arial" w:cs="Arial"/>
        </w:rPr>
        <w:t xml:space="preserve">, </w:t>
      </w:r>
      <w:r w:rsidR="00EC3335" w:rsidRPr="00AD6EB0">
        <w:rPr>
          <w:rFonts w:ascii="Arial" w:hAnsi="Arial" w:cs="Arial"/>
        </w:rPr>
        <w:t xml:space="preserve">improved </w:t>
      </w:r>
      <w:r w:rsidR="007F7B17" w:rsidRPr="00AD6EB0">
        <w:rPr>
          <w:rFonts w:ascii="Arial" w:hAnsi="Arial" w:cs="Arial"/>
        </w:rPr>
        <w:t>glycemic control</w:t>
      </w:r>
      <w:r w:rsidR="00CD33E9" w:rsidRPr="00AD6EB0">
        <w:rPr>
          <w:rFonts w:ascii="Arial" w:hAnsi="Arial" w:cs="Arial"/>
        </w:rPr>
        <w:t>, significant weight reduction</w:t>
      </w:r>
      <w:r w:rsidR="00EB4CB8" w:rsidRPr="00AD6EB0">
        <w:rPr>
          <w:rFonts w:ascii="Arial" w:hAnsi="Arial" w:cs="Arial"/>
        </w:rPr>
        <w:t>,</w:t>
      </w:r>
      <w:r w:rsidR="007F7B17" w:rsidRPr="00AD6EB0">
        <w:rPr>
          <w:rFonts w:ascii="Arial" w:hAnsi="Arial" w:cs="Arial"/>
        </w:rPr>
        <w:t xml:space="preserve"> and </w:t>
      </w:r>
      <w:r w:rsidR="003F3EAC" w:rsidRPr="00AD6EB0">
        <w:rPr>
          <w:rFonts w:ascii="Arial" w:hAnsi="Arial" w:cs="Arial"/>
        </w:rPr>
        <w:t xml:space="preserve">improved </w:t>
      </w:r>
      <w:r w:rsidR="00EC3335" w:rsidRPr="00AD6EB0">
        <w:rPr>
          <w:rFonts w:ascii="Arial" w:hAnsi="Arial" w:cs="Arial"/>
        </w:rPr>
        <w:t xml:space="preserve">renal function </w:t>
      </w:r>
      <w:r w:rsidR="003F3EAC" w:rsidRPr="00AD6EB0">
        <w:rPr>
          <w:rFonts w:ascii="Arial" w:hAnsi="Arial" w:cs="Arial"/>
        </w:rPr>
        <w:t xml:space="preserve">were observed at a median follow-up of 11 months </w:t>
      </w:r>
      <w:r w:rsidR="002508B4" w:rsidRPr="00AD6EB0">
        <w:rPr>
          <w:rFonts w:ascii="Arial" w:hAnsi="Arial" w:cs="Arial"/>
        </w:rPr>
        <w:t>(</w:t>
      </w:r>
      <w:r w:rsidR="00642526" w:rsidRPr="00AD6EB0">
        <w:rPr>
          <w:rFonts w:ascii="Arial" w:hAnsi="Arial" w:cs="Arial"/>
        </w:rPr>
        <w:t>84</w:t>
      </w:r>
      <w:r w:rsidR="002508B4" w:rsidRPr="00AD6EB0">
        <w:rPr>
          <w:rFonts w:ascii="Arial" w:hAnsi="Arial" w:cs="Arial"/>
        </w:rPr>
        <w:t>)</w:t>
      </w:r>
      <w:r w:rsidR="00574077" w:rsidRPr="00AD6EB0">
        <w:rPr>
          <w:rFonts w:ascii="Arial" w:hAnsi="Arial" w:cs="Arial"/>
        </w:rPr>
        <w:t xml:space="preserve">. </w:t>
      </w:r>
      <w:r w:rsidR="000510D9" w:rsidRPr="00AD6EB0">
        <w:rPr>
          <w:rFonts w:ascii="Arial" w:hAnsi="Arial" w:cs="Arial"/>
        </w:rPr>
        <w:t>Whether tirzepat</w:t>
      </w:r>
      <w:r w:rsidR="00CA6683" w:rsidRPr="00AD6EB0">
        <w:rPr>
          <w:rFonts w:ascii="Arial" w:hAnsi="Arial" w:cs="Arial"/>
        </w:rPr>
        <w:t>i</w:t>
      </w:r>
      <w:r w:rsidR="000510D9" w:rsidRPr="00AD6EB0">
        <w:rPr>
          <w:rFonts w:ascii="Arial" w:hAnsi="Arial" w:cs="Arial"/>
        </w:rPr>
        <w:t xml:space="preserve">de confers cardiorenal protection </w:t>
      </w:r>
      <w:r w:rsidR="00FB7BC1" w:rsidRPr="00AD6EB0">
        <w:rPr>
          <w:rFonts w:ascii="Arial" w:hAnsi="Arial" w:cs="Arial"/>
        </w:rPr>
        <w:t xml:space="preserve">that is superior to GLP-1 RA </w:t>
      </w:r>
      <w:r w:rsidR="00245D04" w:rsidRPr="00AD6EB0">
        <w:rPr>
          <w:rFonts w:ascii="Arial" w:hAnsi="Arial" w:cs="Arial"/>
        </w:rPr>
        <w:t xml:space="preserve">in the setting of </w:t>
      </w:r>
      <w:r w:rsidR="00E45897" w:rsidRPr="00AD6EB0">
        <w:rPr>
          <w:rFonts w:ascii="Arial" w:hAnsi="Arial" w:cs="Arial"/>
        </w:rPr>
        <w:t xml:space="preserve">solid organ transplantation remains to be studied. </w:t>
      </w:r>
    </w:p>
    <w:p w14:paraId="3910DA29" w14:textId="77777777" w:rsidR="00F325EA" w:rsidRPr="00AD6EB0" w:rsidRDefault="00F325EA" w:rsidP="00AD6EB0">
      <w:pPr>
        <w:spacing w:after="0" w:line="276" w:lineRule="auto"/>
        <w:rPr>
          <w:rFonts w:ascii="Arial" w:hAnsi="Arial" w:cs="Arial"/>
        </w:rPr>
      </w:pPr>
    </w:p>
    <w:p w14:paraId="4E92A728" w14:textId="46EE0995" w:rsidR="009E4C10" w:rsidRDefault="009E4C10" w:rsidP="00AD6EB0">
      <w:pPr>
        <w:spacing w:after="0" w:line="276" w:lineRule="auto"/>
        <w:rPr>
          <w:rFonts w:ascii="Arial" w:hAnsi="Arial" w:cs="Arial"/>
        </w:rPr>
      </w:pPr>
      <w:r w:rsidRPr="00AD6EB0">
        <w:rPr>
          <w:rFonts w:ascii="Arial" w:hAnsi="Arial" w:cs="Arial"/>
        </w:rPr>
        <w:lastRenderedPageBreak/>
        <w:t>The sodium-glucose cotransporter type 2 inhibitor (SGLT2i) antidiabetic drug class inhibits glucose reabsorption in the proximal convoluted tubule resulting in glucosuria. The glucosuric effect of SGLT2i is attenuated in patients without hyperglycemia thereby lessening hypoglycemia risk. An experimental animal model of tacrolimus-induced diabetes demonstrated that empagliflozin improves hyperglycemia and suppressed the tacrolimus-induced twofold increase in the expression of SGLT2 receptors (</w:t>
      </w:r>
      <w:r w:rsidR="002C2B44" w:rsidRPr="00AD6EB0">
        <w:rPr>
          <w:rFonts w:ascii="Arial" w:hAnsi="Arial" w:cs="Arial"/>
        </w:rPr>
        <w:t>85</w:t>
      </w:r>
      <w:r w:rsidRPr="00AD6EB0">
        <w:rPr>
          <w:rFonts w:ascii="Arial" w:hAnsi="Arial" w:cs="Arial"/>
        </w:rPr>
        <w:t>). Furthermore, empagliflozin was found to have a direct protective effect on tacrolimus-induced renal injury. The study findings suggest that SGLT2 inhibitor is a suitable therapeutic option for transplant recipients with tacrolimus</w:t>
      </w:r>
      <w:r w:rsidR="00644C23" w:rsidRPr="00AD6EB0">
        <w:rPr>
          <w:rFonts w:ascii="Arial" w:hAnsi="Arial" w:cs="Arial"/>
        </w:rPr>
        <w:t>-</w:t>
      </w:r>
      <w:r w:rsidRPr="00AD6EB0">
        <w:rPr>
          <w:rFonts w:ascii="Arial" w:hAnsi="Arial" w:cs="Arial"/>
        </w:rPr>
        <w:t>induced PTDM.</w:t>
      </w:r>
    </w:p>
    <w:p w14:paraId="27AE50F2" w14:textId="77777777" w:rsidR="00F325EA" w:rsidRPr="00AD6EB0" w:rsidRDefault="00F325EA" w:rsidP="00AD6EB0">
      <w:pPr>
        <w:spacing w:after="0" w:line="276" w:lineRule="auto"/>
        <w:rPr>
          <w:rFonts w:ascii="Arial" w:hAnsi="Arial" w:cs="Arial"/>
        </w:rPr>
      </w:pPr>
    </w:p>
    <w:p w14:paraId="71A6DFD2" w14:textId="70EA5157" w:rsidR="0015609D" w:rsidRDefault="009E4C10" w:rsidP="00AD6EB0">
      <w:pPr>
        <w:spacing w:after="0" w:line="276" w:lineRule="auto"/>
        <w:rPr>
          <w:rFonts w:ascii="Arial" w:hAnsi="Arial" w:cs="Arial"/>
        </w:rPr>
      </w:pPr>
      <w:r w:rsidRPr="00AD6EB0">
        <w:rPr>
          <w:rFonts w:ascii="Arial" w:hAnsi="Arial" w:cs="Arial"/>
        </w:rPr>
        <w:t>Although initially approved for use as an antidiabetic agent, SGLT2i use was unexpectedly found to have cardio- and reno-protective effects in subjects with or without type 2 DM (</w:t>
      </w:r>
      <w:r w:rsidR="002C2B44" w:rsidRPr="00AD6EB0">
        <w:rPr>
          <w:rFonts w:ascii="Arial" w:hAnsi="Arial" w:cs="Arial"/>
        </w:rPr>
        <w:t>86-88</w:t>
      </w:r>
      <w:r w:rsidRPr="00AD6EB0">
        <w:rPr>
          <w:rFonts w:ascii="Arial" w:hAnsi="Arial" w:cs="Arial"/>
        </w:rPr>
        <w:t>). The EMPEROR-Reduced randomized placebo-controlled trial designed to study the effect of empagliflozin on cardiovascular and kidney outcomes across the spectrum of kidney function demonstrated a significant reduction in cardiovascular death, heart failure hospitalization, and total heart failure hospitalization among empagliflozin-treated patients compared with their placebo-treated counterparts at a median follow up of 16 months. A reduction in the composite kidney outcome (defined as sustained profound decline in eGFR, chronic dialysis, or transplant) was also observed among patients randomized to receive empagliflozin irrespective of baseline renal function (HR for patients with vs. without CKD: 0.53 vs. 0.46, respectively, p=0.78) (</w:t>
      </w:r>
      <w:r w:rsidR="002C2B44" w:rsidRPr="00AD6EB0">
        <w:rPr>
          <w:rFonts w:ascii="Arial" w:hAnsi="Arial" w:cs="Arial"/>
        </w:rPr>
        <w:t>89</w:t>
      </w:r>
      <w:r w:rsidRPr="00AD6EB0">
        <w:rPr>
          <w:rFonts w:ascii="Arial" w:hAnsi="Arial" w:cs="Arial"/>
        </w:rPr>
        <w:t>). Whether the cardiorenal benefits of SGLT2i seen in the general population can be extrapolated to the transplant population awaits further studies. Limited prospective and retrospective studies in the setting of solid organ transplantation showed that SGLT2i has a modest effect on glycemic control and a favorable effect on weight reduction (</w:t>
      </w:r>
      <w:r w:rsidR="002C2B44" w:rsidRPr="00AD6EB0">
        <w:rPr>
          <w:rFonts w:ascii="Arial" w:hAnsi="Arial" w:cs="Arial"/>
        </w:rPr>
        <w:t>90-92</w:t>
      </w:r>
      <w:r w:rsidRPr="00AD6EB0">
        <w:rPr>
          <w:rFonts w:ascii="Arial" w:hAnsi="Arial" w:cs="Arial"/>
        </w:rPr>
        <w:t>). In a single-center, prospective, double-blind study consisting of 44 kidney transplant recipients with PTDM randomized to receive either empagliflozin (n=22) or placebo (n=22) for 24 weeks, a significant reduction in A1C was observed among empagliflozin-treated patients compared with their placebo-treated counterparts (-0.2% vs. 0.1%, p=0.025). A significant reduction in body weight was also observed (-2.5 kg vs. +1.0 kg, respectively p=0.014). There were no significant differences in adverse events, immunosuppressive drug levels, or eGFR between the two treatment groups (</w:t>
      </w:r>
      <w:r w:rsidR="00674B67" w:rsidRPr="00AD6EB0">
        <w:rPr>
          <w:rFonts w:ascii="Arial" w:hAnsi="Arial" w:cs="Arial"/>
        </w:rPr>
        <w:t>88</w:t>
      </w:r>
      <w:r w:rsidRPr="00AD6EB0">
        <w:rPr>
          <w:rFonts w:ascii="Arial" w:hAnsi="Arial" w:cs="Arial"/>
        </w:rPr>
        <w:t xml:space="preserve">). A small retrospective single-center observational study consisting of 97 heart transplant recipients with PTDM demonstrated that empagliflozin-based treatment (n=20) resulted in a significant reduction in body weight (p=0.05), BMI (p=0.04), mean furosemide dose (p=0.05), and systolic and diastolic blood pressure (p=0.03) compared with control (non-empaglifloxin-based treatment, n=77) at 12-month follow-up. There was a statistically </w:t>
      </w:r>
      <w:r w:rsidR="00764BDE" w:rsidRPr="00AD6EB0">
        <w:rPr>
          <w:rFonts w:ascii="Arial" w:hAnsi="Arial" w:cs="Arial"/>
        </w:rPr>
        <w:t>nonsignificant</w:t>
      </w:r>
      <w:r w:rsidRPr="00AD6EB0">
        <w:rPr>
          <w:rFonts w:ascii="Arial" w:hAnsi="Arial" w:cs="Arial"/>
        </w:rPr>
        <w:t xml:space="preserve"> mean reduction in A1C of 0.6%. No serious adverse events were observed (</w:t>
      </w:r>
      <w:r w:rsidR="00674B67" w:rsidRPr="00AD6EB0">
        <w:rPr>
          <w:rFonts w:ascii="Arial" w:hAnsi="Arial" w:cs="Arial"/>
        </w:rPr>
        <w:t>90</w:t>
      </w:r>
      <w:r w:rsidRPr="00AD6EB0">
        <w:rPr>
          <w:rFonts w:ascii="Arial" w:hAnsi="Arial" w:cs="Arial"/>
        </w:rPr>
        <w:t>). Based on the study findings the investigators suggest that SGLT-2 inhibitors are suitable for use following heart transplantation (</w:t>
      </w:r>
      <w:r w:rsidR="002C2B44" w:rsidRPr="00AD6EB0">
        <w:rPr>
          <w:rFonts w:ascii="Arial" w:hAnsi="Arial" w:cs="Arial"/>
        </w:rPr>
        <w:t>93</w:t>
      </w:r>
      <w:r w:rsidRPr="00AD6EB0">
        <w:rPr>
          <w:rFonts w:ascii="Arial" w:hAnsi="Arial" w:cs="Arial"/>
        </w:rPr>
        <w:t xml:space="preserve">). </w:t>
      </w:r>
    </w:p>
    <w:p w14:paraId="4C1FDA9C" w14:textId="77777777" w:rsidR="00F325EA" w:rsidRPr="00AD6EB0" w:rsidRDefault="00F325EA" w:rsidP="00AD6EB0">
      <w:pPr>
        <w:spacing w:after="0" w:line="276" w:lineRule="auto"/>
        <w:rPr>
          <w:rFonts w:ascii="Arial" w:hAnsi="Arial" w:cs="Arial"/>
        </w:rPr>
      </w:pPr>
    </w:p>
    <w:p w14:paraId="04EF2387" w14:textId="73D37906" w:rsidR="005050A6" w:rsidRDefault="00E653D4" w:rsidP="00AD6EB0">
      <w:pPr>
        <w:spacing w:after="0" w:line="276" w:lineRule="auto"/>
        <w:rPr>
          <w:rFonts w:ascii="Arial" w:hAnsi="Arial" w:cs="Arial"/>
        </w:rPr>
      </w:pPr>
      <w:r w:rsidRPr="00AD6EB0">
        <w:rPr>
          <w:rFonts w:ascii="Arial" w:hAnsi="Arial" w:cs="Arial"/>
        </w:rPr>
        <w:t xml:space="preserve">In a multicenter </w:t>
      </w:r>
      <w:r w:rsidR="005C3BC8" w:rsidRPr="00AD6EB0">
        <w:rPr>
          <w:rFonts w:ascii="Arial" w:hAnsi="Arial" w:cs="Arial"/>
        </w:rPr>
        <w:t xml:space="preserve">propensity-matched </w:t>
      </w:r>
      <w:r w:rsidRPr="00AD6EB0">
        <w:rPr>
          <w:rFonts w:ascii="Arial" w:hAnsi="Arial" w:cs="Arial"/>
        </w:rPr>
        <w:t xml:space="preserve">cohort study </w:t>
      </w:r>
      <w:r w:rsidR="00107313" w:rsidRPr="00AD6EB0">
        <w:rPr>
          <w:rFonts w:ascii="Arial" w:hAnsi="Arial" w:cs="Arial"/>
        </w:rPr>
        <w:t>consistin</w:t>
      </w:r>
      <w:r w:rsidR="00105020" w:rsidRPr="00AD6EB0">
        <w:rPr>
          <w:rFonts w:ascii="Arial" w:hAnsi="Arial" w:cs="Arial"/>
        </w:rPr>
        <w:t xml:space="preserve">g of 1063 pairs </w:t>
      </w:r>
      <w:r w:rsidR="000E0230" w:rsidRPr="00AD6EB0">
        <w:rPr>
          <w:rFonts w:ascii="Arial" w:hAnsi="Arial" w:cs="Arial"/>
        </w:rPr>
        <w:t>of</w:t>
      </w:r>
      <w:r w:rsidR="0054659C" w:rsidRPr="00AD6EB0">
        <w:rPr>
          <w:rFonts w:ascii="Arial" w:hAnsi="Arial" w:cs="Arial"/>
        </w:rPr>
        <w:t xml:space="preserve"> heart transplant </w:t>
      </w:r>
      <w:r w:rsidR="007536D2" w:rsidRPr="00AD6EB0">
        <w:rPr>
          <w:rFonts w:ascii="Arial" w:hAnsi="Arial" w:cs="Arial"/>
        </w:rPr>
        <w:t>recipients with diabetes</w:t>
      </w:r>
      <w:r w:rsidR="005410E5" w:rsidRPr="00AD6EB0">
        <w:rPr>
          <w:rFonts w:ascii="Arial" w:hAnsi="Arial" w:cs="Arial"/>
        </w:rPr>
        <w:t xml:space="preserve"> </w:t>
      </w:r>
      <w:r w:rsidR="00E36C43" w:rsidRPr="00AD6EB0">
        <w:rPr>
          <w:rFonts w:ascii="Arial" w:hAnsi="Arial" w:cs="Arial"/>
        </w:rPr>
        <w:t>who received SGLT2i vs. those who did not (non-</w:t>
      </w:r>
      <w:r w:rsidR="00CF7739" w:rsidRPr="00AD6EB0">
        <w:rPr>
          <w:rFonts w:ascii="Arial" w:hAnsi="Arial" w:cs="Arial"/>
        </w:rPr>
        <w:t>users)</w:t>
      </w:r>
      <w:r w:rsidR="000B508A" w:rsidRPr="00AD6EB0">
        <w:rPr>
          <w:rFonts w:ascii="Arial" w:hAnsi="Arial" w:cs="Arial"/>
        </w:rPr>
        <w:t xml:space="preserve">, </w:t>
      </w:r>
      <w:r w:rsidR="00593A28" w:rsidRPr="00AD6EB0">
        <w:rPr>
          <w:rFonts w:ascii="Arial" w:hAnsi="Arial" w:cs="Arial"/>
        </w:rPr>
        <w:t>SGLT2i</w:t>
      </w:r>
      <w:r w:rsidR="002A34AC" w:rsidRPr="00AD6EB0">
        <w:rPr>
          <w:rFonts w:ascii="Arial" w:hAnsi="Arial" w:cs="Arial"/>
        </w:rPr>
        <w:t xml:space="preserve"> users</w:t>
      </w:r>
      <w:r w:rsidR="00593A28" w:rsidRPr="00AD6EB0">
        <w:rPr>
          <w:rFonts w:ascii="Arial" w:hAnsi="Arial" w:cs="Arial"/>
        </w:rPr>
        <w:t xml:space="preserve"> exhibited a lower risk of dialysis</w:t>
      </w:r>
      <w:r w:rsidR="00837FC5" w:rsidRPr="00AD6EB0">
        <w:rPr>
          <w:rFonts w:ascii="Arial" w:hAnsi="Arial" w:cs="Arial"/>
        </w:rPr>
        <w:t xml:space="preserve"> requirement</w:t>
      </w:r>
      <w:r w:rsidR="00593A28" w:rsidRPr="00AD6EB0">
        <w:rPr>
          <w:rFonts w:ascii="Arial" w:hAnsi="Arial" w:cs="Arial"/>
        </w:rPr>
        <w:t xml:space="preserve"> [hazard ratio (HR) (95% confidence interval [CI]): 0.566 (0.385-0.833)], graft rejection and failure [0.873 (0.774-0.985)], hospitalizations [0.822 (0.739-0.916)], and all-cause </w:t>
      </w:r>
      <w:r w:rsidR="00A46144" w:rsidRPr="00AD6EB0">
        <w:rPr>
          <w:rFonts w:ascii="Arial" w:hAnsi="Arial" w:cs="Arial"/>
        </w:rPr>
        <w:t>mortality</w:t>
      </w:r>
      <w:r w:rsidR="00593A28" w:rsidRPr="00AD6EB0">
        <w:rPr>
          <w:rFonts w:ascii="Arial" w:hAnsi="Arial" w:cs="Arial"/>
        </w:rPr>
        <w:t xml:space="preserve"> [0.767 (0.627-0.938)] compared to non</w:t>
      </w:r>
      <w:r w:rsidR="00CF7739" w:rsidRPr="00AD6EB0">
        <w:rPr>
          <w:rFonts w:ascii="Arial" w:hAnsi="Arial" w:cs="Arial"/>
        </w:rPr>
        <w:t>-</w:t>
      </w:r>
      <w:r w:rsidR="00593A28" w:rsidRPr="00AD6EB0">
        <w:rPr>
          <w:rFonts w:ascii="Arial" w:hAnsi="Arial" w:cs="Arial"/>
        </w:rPr>
        <w:t xml:space="preserve">users. </w:t>
      </w:r>
      <w:r w:rsidR="00D00B64" w:rsidRPr="00AD6EB0">
        <w:rPr>
          <w:rFonts w:ascii="Arial" w:hAnsi="Arial" w:cs="Arial"/>
        </w:rPr>
        <w:t xml:space="preserve">The risks </w:t>
      </w:r>
      <w:r w:rsidR="00D00B64" w:rsidRPr="00AD6EB0">
        <w:rPr>
          <w:rFonts w:ascii="Arial" w:hAnsi="Arial" w:cs="Arial"/>
        </w:rPr>
        <w:lastRenderedPageBreak/>
        <w:t>of p</w:t>
      </w:r>
      <w:r w:rsidR="00593A28" w:rsidRPr="00AD6EB0">
        <w:rPr>
          <w:rFonts w:ascii="Arial" w:hAnsi="Arial" w:cs="Arial"/>
        </w:rPr>
        <w:t>ost-transplant</w:t>
      </w:r>
      <w:r w:rsidR="00FC5C76" w:rsidRPr="00AD6EB0">
        <w:rPr>
          <w:rFonts w:ascii="Arial" w:hAnsi="Arial" w:cs="Arial"/>
        </w:rPr>
        <w:t>ation</w:t>
      </w:r>
      <w:r w:rsidR="00593A28" w:rsidRPr="00AD6EB0">
        <w:rPr>
          <w:rFonts w:ascii="Arial" w:hAnsi="Arial" w:cs="Arial"/>
        </w:rPr>
        <w:t xml:space="preserve"> infection or sepsis, ischemic heart disease, and </w:t>
      </w:r>
      <w:r w:rsidR="00D00B64" w:rsidRPr="00AD6EB0">
        <w:rPr>
          <w:rFonts w:ascii="Arial" w:hAnsi="Arial" w:cs="Arial"/>
        </w:rPr>
        <w:t xml:space="preserve">worsening </w:t>
      </w:r>
      <w:r w:rsidR="00593A28" w:rsidRPr="00AD6EB0">
        <w:rPr>
          <w:rFonts w:ascii="Arial" w:hAnsi="Arial" w:cs="Arial"/>
        </w:rPr>
        <w:t xml:space="preserve">heart failure </w:t>
      </w:r>
      <w:r w:rsidR="00FC5C76" w:rsidRPr="00AD6EB0">
        <w:rPr>
          <w:rFonts w:ascii="Arial" w:hAnsi="Arial" w:cs="Arial"/>
        </w:rPr>
        <w:t>were comparable between the two treatment groups (</w:t>
      </w:r>
      <w:r w:rsidR="002C2B44" w:rsidRPr="00AD6EB0">
        <w:rPr>
          <w:rFonts w:ascii="Arial" w:hAnsi="Arial" w:cs="Arial"/>
        </w:rPr>
        <w:t>94</w:t>
      </w:r>
      <w:r w:rsidR="005B4B19" w:rsidRPr="00AD6EB0">
        <w:rPr>
          <w:rFonts w:ascii="Arial" w:hAnsi="Arial" w:cs="Arial"/>
        </w:rPr>
        <w:t xml:space="preserve">). </w:t>
      </w:r>
    </w:p>
    <w:p w14:paraId="45612034" w14:textId="77777777" w:rsidR="00F325EA" w:rsidRPr="00AD6EB0" w:rsidRDefault="00F325EA" w:rsidP="00AD6EB0">
      <w:pPr>
        <w:spacing w:after="0" w:line="276" w:lineRule="auto"/>
        <w:rPr>
          <w:rFonts w:ascii="Arial" w:hAnsi="Arial" w:cs="Arial"/>
        </w:rPr>
      </w:pPr>
    </w:p>
    <w:p w14:paraId="6B2381A5" w14:textId="12D6D637" w:rsidR="009E4C10" w:rsidRDefault="00EA497E" w:rsidP="00AD6EB0">
      <w:pPr>
        <w:spacing w:after="0" w:line="276" w:lineRule="auto"/>
        <w:rPr>
          <w:rFonts w:ascii="Arial" w:hAnsi="Arial" w:cs="Arial"/>
        </w:rPr>
      </w:pPr>
      <w:r w:rsidRPr="00AD6EB0">
        <w:rPr>
          <w:rFonts w:ascii="Arial" w:hAnsi="Arial" w:cs="Arial"/>
        </w:rPr>
        <w:t>A</w:t>
      </w:r>
      <w:r w:rsidR="009E4C10" w:rsidRPr="00AD6EB0">
        <w:rPr>
          <w:rFonts w:ascii="Arial" w:hAnsi="Arial" w:cs="Arial"/>
        </w:rPr>
        <w:t>dverse effects associated with SGLT2</w:t>
      </w:r>
      <w:r w:rsidRPr="00AD6EB0">
        <w:rPr>
          <w:rFonts w:ascii="Arial" w:hAnsi="Arial" w:cs="Arial"/>
        </w:rPr>
        <w:t>i</w:t>
      </w:r>
      <w:r w:rsidR="009E4C10" w:rsidRPr="00AD6EB0">
        <w:rPr>
          <w:rFonts w:ascii="Arial" w:hAnsi="Arial" w:cs="Arial"/>
        </w:rPr>
        <w:t xml:space="preserve"> use include increased risk for urinary tract infections, genital candidiasis, euglycemic diabetic ketoacidosis, and acute kidney injury. </w:t>
      </w:r>
      <w:r w:rsidR="00581E73" w:rsidRPr="00AD6EB0">
        <w:rPr>
          <w:rFonts w:ascii="Arial" w:hAnsi="Arial" w:cs="Arial"/>
        </w:rPr>
        <w:t>Similar to the general population, the use of SGLT2i in the transplant setting can cause an acute transient dip in eGFR, thought to be due to SGLT2i induced afferent arteriolar vasoconstriction. It is suggested that the natriuretic effect of SGLT2i leads to increased tubuloglomerular feedback and afferent arteriolar vasoconstriction even in denervated kidney allograft</w:t>
      </w:r>
      <w:r w:rsidR="009018DE" w:rsidRPr="00AD6EB0">
        <w:rPr>
          <w:rFonts w:ascii="Arial" w:hAnsi="Arial" w:cs="Arial"/>
        </w:rPr>
        <w:t xml:space="preserve"> (</w:t>
      </w:r>
      <w:r w:rsidR="002C2B44" w:rsidRPr="00AD6EB0">
        <w:rPr>
          <w:rFonts w:ascii="Arial" w:hAnsi="Arial" w:cs="Arial"/>
        </w:rPr>
        <w:t>95</w:t>
      </w:r>
      <w:r w:rsidR="009018DE" w:rsidRPr="00AD6EB0">
        <w:rPr>
          <w:rFonts w:ascii="Arial" w:hAnsi="Arial" w:cs="Arial"/>
        </w:rPr>
        <w:t>)</w:t>
      </w:r>
      <w:r w:rsidR="00581E73" w:rsidRPr="00AD6EB0">
        <w:rPr>
          <w:rFonts w:ascii="Arial" w:hAnsi="Arial" w:cs="Arial"/>
        </w:rPr>
        <w:t>. Whether the resultant reduction in intraglomerular hypertension and hyperfiltration play a role in reducing proteinuria and preserving eGFR in diabetic kidney transplant recipients warrants further investigation.</w:t>
      </w:r>
      <w:r w:rsidR="00295B98" w:rsidRPr="00AD6EB0">
        <w:rPr>
          <w:rFonts w:ascii="Arial" w:hAnsi="Arial" w:cs="Arial"/>
        </w:rPr>
        <w:t xml:space="preserve"> </w:t>
      </w:r>
      <w:r w:rsidR="009E4C10" w:rsidRPr="00AD6EB0">
        <w:rPr>
          <w:rFonts w:ascii="Arial" w:hAnsi="Arial" w:cs="Arial"/>
        </w:rPr>
        <w:t>Distal limb amputation and Fournier gangrene associated with SGLT2i use have not consistently been demonstrated.</w:t>
      </w:r>
      <w:r w:rsidR="0067136E" w:rsidRPr="00AD6EB0">
        <w:rPr>
          <w:rFonts w:ascii="Arial" w:hAnsi="Arial" w:cs="Arial"/>
        </w:rPr>
        <w:t xml:space="preserve"> </w:t>
      </w:r>
    </w:p>
    <w:p w14:paraId="103E8778" w14:textId="77777777" w:rsidR="00F325EA" w:rsidRPr="00AD6EB0" w:rsidRDefault="00F325EA" w:rsidP="00AD6EB0">
      <w:pPr>
        <w:spacing w:after="0" w:line="276" w:lineRule="auto"/>
        <w:rPr>
          <w:rFonts w:ascii="Arial" w:hAnsi="Arial" w:cs="Arial"/>
        </w:rPr>
      </w:pPr>
    </w:p>
    <w:p w14:paraId="4C318828" w14:textId="71B147AB" w:rsidR="009E4C10" w:rsidRPr="00AD6EB0" w:rsidRDefault="00793EB9" w:rsidP="00AD6EB0">
      <w:pPr>
        <w:spacing w:after="0" w:line="276" w:lineRule="auto"/>
        <w:rPr>
          <w:rFonts w:ascii="Arial" w:hAnsi="Arial" w:cs="Arial"/>
        </w:rPr>
      </w:pPr>
      <w:r w:rsidRPr="00AD6EB0">
        <w:rPr>
          <w:rFonts w:ascii="Arial" w:hAnsi="Arial" w:cs="Arial"/>
        </w:rPr>
        <w:t>Randomized controlled trials comparing the advantages and disadvantages of different classes of anti-diabetic drugs in the setting of solid organ transplantation are lacking. Current recommendations are largely based on lessons learned from the general population.</w:t>
      </w:r>
      <w:r w:rsidR="0042270F" w:rsidRPr="00AD6EB0">
        <w:rPr>
          <w:rFonts w:ascii="Arial" w:hAnsi="Arial" w:cs="Arial"/>
        </w:rPr>
        <w:t xml:space="preserve"> </w:t>
      </w:r>
      <w:r w:rsidR="00455173" w:rsidRPr="00AD6EB0">
        <w:rPr>
          <w:rFonts w:ascii="Arial" w:hAnsi="Arial" w:cs="Arial"/>
        </w:rPr>
        <w:t>Metformin is a therapeutic option for solid organ transplant recipients at low risk for cardiorenal outcomes. For those at moderate to high risk for cardiorenal outcomes novel antidiabetic therapies should strongly be considered before metformin</w:t>
      </w:r>
      <w:r w:rsidR="00C629F4" w:rsidRPr="00AD6EB0">
        <w:rPr>
          <w:rFonts w:ascii="Arial" w:hAnsi="Arial" w:cs="Arial"/>
        </w:rPr>
        <w:t xml:space="preserve"> (</w:t>
      </w:r>
      <w:r w:rsidR="00907D59" w:rsidRPr="00AD6EB0">
        <w:rPr>
          <w:rFonts w:ascii="Arial" w:hAnsi="Arial" w:cs="Arial"/>
        </w:rPr>
        <w:t>12</w:t>
      </w:r>
      <w:r w:rsidR="00C629F4" w:rsidRPr="00AD6EB0">
        <w:rPr>
          <w:rFonts w:ascii="Arial" w:hAnsi="Arial" w:cs="Arial"/>
        </w:rPr>
        <w:t>)</w:t>
      </w:r>
      <w:r w:rsidR="00396B7F" w:rsidRPr="00AD6EB0">
        <w:rPr>
          <w:rFonts w:ascii="Arial" w:hAnsi="Arial" w:cs="Arial"/>
        </w:rPr>
        <w:t>.</w:t>
      </w:r>
      <w:r w:rsidR="00455173" w:rsidRPr="00AD6EB0">
        <w:rPr>
          <w:rFonts w:ascii="Arial" w:hAnsi="Arial" w:cs="Arial"/>
        </w:rPr>
        <w:t xml:space="preserve"> GLP-1 RAs should be considered in transplant recipients with established ASCVD or multiple CVD risk factors</w:t>
      </w:r>
      <w:r w:rsidR="0013355F" w:rsidRPr="00AD6EB0">
        <w:rPr>
          <w:rFonts w:ascii="Arial" w:hAnsi="Arial" w:cs="Arial"/>
        </w:rPr>
        <w:t xml:space="preserve"> whereas</w:t>
      </w:r>
      <w:r w:rsidR="00455173" w:rsidRPr="00AD6EB0">
        <w:rPr>
          <w:rFonts w:ascii="Arial" w:hAnsi="Arial" w:cs="Arial"/>
        </w:rPr>
        <w:t xml:space="preserve"> SGLT2is may be the preferred agent for those with a history of heart failure. </w:t>
      </w:r>
      <w:r w:rsidR="0013355F" w:rsidRPr="00AD6EB0">
        <w:rPr>
          <w:rFonts w:ascii="Arial" w:hAnsi="Arial" w:cs="Arial"/>
        </w:rPr>
        <w:t>Its</w:t>
      </w:r>
      <w:r w:rsidR="00455173" w:rsidRPr="00AD6EB0">
        <w:rPr>
          <w:rFonts w:ascii="Arial" w:hAnsi="Arial" w:cs="Arial"/>
        </w:rPr>
        <w:t xml:space="preserve"> use may have the added benefit of renoprotection independent of its glucose-lowering effects. Thiazolidinediones are better options than sulfonylureas and meglitinides (hypoglycemic risk). The</w:t>
      </w:r>
      <w:r w:rsidR="003654B6" w:rsidRPr="00AD6EB0">
        <w:rPr>
          <w:rFonts w:ascii="Arial" w:hAnsi="Arial" w:cs="Arial"/>
        </w:rPr>
        <w:t xml:space="preserve"> latter two</w:t>
      </w:r>
      <w:r w:rsidR="00455173" w:rsidRPr="00AD6EB0">
        <w:rPr>
          <w:rFonts w:ascii="Arial" w:hAnsi="Arial" w:cs="Arial"/>
        </w:rPr>
        <w:t xml:space="preserve"> drug classes have the lowest priority for clinical use</w:t>
      </w:r>
      <w:r w:rsidR="00C629F4" w:rsidRPr="00AD6EB0">
        <w:rPr>
          <w:rFonts w:ascii="Arial" w:hAnsi="Arial" w:cs="Arial"/>
        </w:rPr>
        <w:t xml:space="preserve"> (</w:t>
      </w:r>
      <w:r w:rsidR="00907D59" w:rsidRPr="00AD6EB0">
        <w:rPr>
          <w:rFonts w:ascii="Arial" w:hAnsi="Arial" w:cs="Arial"/>
        </w:rPr>
        <w:t>12</w:t>
      </w:r>
      <w:r w:rsidR="00C629F4" w:rsidRPr="00AD6EB0">
        <w:rPr>
          <w:rFonts w:ascii="Arial" w:hAnsi="Arial" w:cs="Arial"/>
        </w:rPr>
        <w:t xml:space="preserve">). </w:t>
      </w:r>
      <w:r w:rsidR="009E4C10" w:rsidRPr="00AD6EB0">
        <w:rPr>
          <w:rFonts w:ascii="Arial" w:hAnsi="Arial" w:cs="Arial"/>
        </w:rPr>
        <w:t xml:space="preserve">Failure to achieve glycemic control despite </w:t>
      </w:r>
      <w:r w:rsidR="0013355F" w:rsidRPr="00AD6EB0">
        <w:rPr>
          <w:rFonts w:ascii="Arial" w:hAnsi="Arial" w:cs="Arial"/>
        </w:rPr>
        <w:t>2-3 antidiabetic</w:t>
      </w:r>
      <w:r w:rsidR="009E4C10" w:rsidRPr="00AD6EB0">
        <w:rPr>
          <w:rFonts w:ascii="Arial" w:hAnsi="Arial" w:cs="Arial"/>
        </w:rPr>
        <w:t xml:space="preserve"> combination therapy generally requires initiation of insulin therapy. </w:t>
      </w:r>
      <w:r w:rsidR="003654B6" w:rsidRPr="00AD6EB0">
        <w:rPr>
          <w:rFonts w:ascii="Arial" w:hAnsi="Arial" w:cs="Arial"/>
        </w:rPr>
        <w:t>Suggested</w:t>
      </w:r>
      <w:r w:rsidR="009E4C10" w:rsidRPr="00AD6EB0">
        <w:rPr>
          <w:rFonts w:ascii="Arial" w:hAnsi="Arial" w:cs="Arial"/>
        </w:rPr>
        <w:t xml:space="preserve"> screening, diagnosis, and management of early posttransplant hyperglycemia and PTDM is shown in </w:t>
      </w:r>
      <w:hyperlink r:id="rId26" w:tgtFrame="object" w:history="1">
        <w:r w:rsidR="009E4C10" w:rsidRPr="00AD6EB0">
          <w:rPr>
            <w:rStyle w:val="Hyperlink"/>
            <w:rFonts w:ascii="Arial" w:hAnsi="Arial" w:cs="Arial"/>
            <w:color w:val="auto"/>
            <w:u w:val="none"/>
          </w:rPr>
          <w:t>Figure 5</w:t>
        </w:r>
      </w:hyperlink>
      <w:r w:rsidR="009E4C10" w:rsidRPr="00AD6EB0">
        <w:rPr>
          <w:rFonts w:ascii="Arial" w:hAnsi="Arial" w:cs="Arial"/>
        </w:rPr>
        <w:t> (practice varies among centers).</w:t>
      </w:r>
    </w:p>
    <w:p w14:paraId="50A38CF5" w14:textId="4D6DC5CE" w:rsidR="00F7251A" w:rsidRPr="00AD6EB0" w:rsidRDefault="00A972BE" w:rsidP="00AD6EB0">
      <w:pPr>
        <w:spacing w:after="0" w:line="276" w:lineRule="auto"/>
        <w:rPr>
          <w:rFonts w:ascii="Arial" w:hAnsi="Arial" w:cs="Arial"/>
        </w:rPr>
      </w:pPr>
      <w:r w:rsidRPr="00AD6EB0">
        <w:rPr>
          <w:rFonts w:ascii="Arial" w:hAnsi="Arial" w:cs="Arial"/>
          <w:noProof/>
        </w:rPr>
        <w:lastRenderedPageBreak/>
        <w:drawing>
          <wp:inline distT="0" distB="0" distL="0" distR="0" wp14:anchorId="303865EA" wp14:editId="37F26937">
            <wp:extent cx="5835650" cy="6967765"/>
            <wp:effectExtent l="0" t="0" r="0" b="5080"/>
            <wp:docPr id="516176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4770" cy="6978655"/>
                    </a:xfrm>
                    <a:prstGeom prst="rect">
                      <a:avLst/>
                    </a:prstGeom>
                    <a:noFill/>
                  </pic:spPr>
                </pic:pic>
              </a:graphicData>
            </a:graphic>
          </wp:inline>
        </w:drawing>
      </w:r>
    </w:p>
    <w:p w14:paraId="1CB3B876" w14:textId="6D28FA89" w:rsidR="009E4C10" w:rsidRPr="00446715" w:rsidRDefault="009E4C10" w:rsidP="00AD6EB0">
      <w:pPr>
        <w:spacing w:after="0" w:line="276" w:lineRule="auto"/>
        <w:rPr>
          <w:rFonts w:ascii="Arial" w:hAnsi="Arial" w:cs="Arial"/>
          <w:b/>
          <w:bCs/>
        </w:rPr>
      </w:pPr>
      <w:r w:rsidRPr="00AD6EB0">
        <w:rPr>
          <w:rFonts w:ascii="Arial" w:hAnsi="Arial" w:cs="Arial"/>
          <w:b/>
          <w:bCs/>
        </w:rPr>
        <w:t>Figure 5.</w:t>
      </w:r>
      <w:r w:rsidR="00F325EA">
        <w:rPr>
          <w:rFonts w:ascii="Arial" w:hAnsi="Arial" w:cs="Arial"/>
          <w:b/>
          <w:bCs/>
        </w:rPr>
        <w:t xml:space="preserve"> </w:t>
      </w:r>
      <w:r w:rsidRPr="00446715">
        <w:rPr>
          <w:rFonts w:ascii="Arial" w:hAnsi="Arial" w:cs="Arial"/>
          <w:b/>
          <w:bCs/>
        </w:rPr>
        <w:t>Suggested screening and management of PTDM (opinion-based)</w:t>
      </w:r>
      <w:r w:rsidR="0090619A" w:rsidRPr="00446715">
        <w:rPr>
          <w:rFonts w:ascii="Arial" w:hAnsi="Arial" w:cs="Arial"/>
          <w:b/>
          <w:bCs/>
        </w:rPr>
        <w:t xml:space="preserve">. </w:t>
      </w:r>
      <w:r w:rsidR="00F77F90" w:rsidRPr="00446715">
        <w:rPr>
          <w:rFonts w:ascii="Arial" w:hAnsi="Arial" w:cs="Arial"/>
          <w:b/>
          <w:bCs/>
          <w:vertAlign w:val="superscript"/>
        </w:rPr>
        <w:t>1</w:t>
      </w:r>
      <w:r w:rsidR="00223E5B" w:rsidRPr="00446715">
        <w:rPr>
          <w:rFonts w:ascii="Arial" w:hAnsi="Arial" w:cs="Arial"/>
          <w:b/>
          <w:bCs/>
        </w:rPr>
        <w:t>A</w:t>
      </w:r>
      <w:r w:rsidR="00AC625C" w:rsidRPr="00446715">
        <w:rPr>
          <w:rFonts w:ascii="Arial" w:hAnsi="Arial" w:cs="Arial"/>
          <w:b/>
          <w:bCs/>
        </w:rPr>
        <w:t xml:space="preserve">merican </w:t>
      </w:r>
      <w:r w:rsidR="0076597A" w:rsidRPr="00446715">
        <w:rPr>
          <w:rFonts w:ascii="Arial" w:hAnsi="Arial" w:cs="Arial"/>
          <w:b/>
          <w:bCs/>
        </w:rPr>
        <w:t>H</w:t>
      </w:r>
      <w:r w:rsidR="00AC625C" w:rsidRPr="00446715">
        <w:rPr>
          <w:rFonts w:ascii="Arial" w:hAnsi="Arial" w:cs="Arial"/>
          <w:b/>
          <w:bCs/>
        </w:rPr>
        <w:t xml:space="preserve">eart </w:t>
      </w:r>
      <w:r w:rsidR="0076597A" w:rsidRPr="00446715">
        <w:rPr>
          <w:rFonts w:ascii="Arial" w:hAnsi="Arial" w:cs="Arial"/>
          <w:b/>
          <w:bCs/>
        </w:rPr>
        <w:t>A</w:t>
      </w:r>
      <w:r w:rsidR="00AC625C" w:rsidRPr="00446715">
        <w:rPr>
          <w:rFonts w:ascii="Arial" w:hAnsi="Arial" w:cs="Arial"/>
          <w:b/>
          <w:bCs/>
        </w:rPr>
        <w:t>ssociation</w:t>
      </w:r>
      <w:r w:rsidR="00F77F90" w:rsidRPr="00446715">
        <w:rPr>
          <w:rFonts w:ascii="Arial" w:hAnsi="Arial" w:cs="Arial"/>
          <w:b/>
          <w:bCs/>
        </w:rPr>
        <w:t xml:space="preserve"> guidelines</w:t>
      </w:r>
      <w:r w:rsidR="0090619A" w:rsidRPr="00446715">
        <w:rPr>
          <w:rFonts w:ascii="Arial" w:hAnsi="Arial" w:cs="Arial"/>
          <w:b/>
          <w:bCs/>
        </w:rPr>
        <w:t xml:space="preserve">. </w:t>
      </w:r>
      <w:r w:rsidRPr="00446715">
        <w:rPr>
          <w:rFonts w:ascii="Arial" w:hAnsi="Arial" w:cs="Arial"/>
          <w:b/>
          <w:bCs/>
          <w:i/>
          <w:iCs/>
        </w:rPr>
        <w:t>AHA</w:t>
      </w:r>
      <w:r w:rsidRPr="00446715">
        <w:rPr>
          <w:rFonts w:ascii="Arial" w:hAnsi="Arial" w:cs="Arial"/>
          <w:b/>
          <w:bCs/>
        </w:rPr>
        <w:t>, American Heart Association</w:t>
      </w:r>
      <w:r w:rsidR="00446715">
        <w:rPr>
          <w:rFonts w:ascii="Arial" w:hAnsi="Arial" w:cs="Arial"/>
          <w:b/>
          <w:bCs/>
        </w:rPr>
        <w:t>.</w:t>
      </w:r>
    </w:p>
    <w:p w14:paraId="6CC27517" w14:textId="77777777" w:rsidR="00E503CE" w:rsidRPr="00AD6EB0" w:rsidRDefault="00E503CE" w:rsidP="00AD6EB0">
      <w:pPr>
        <w:spacing w:after="0" w:line="276" w:lineRule="auto"/>
        <w:rPr>
          <w:rFonts w:ascii="Arial" w:hAnsi="Arial" w:cs="Arial"/>
        </w:rPr>
      </w:pPr>
    </w:p>
    <w:p w14:paraId="770D9A5D" w14:textId="027F67EC" w:rsidR="009E4C10" w:rsidRPr="00AD6EB0" w:rsidRDefault="009E4C10" w:rsidP="00AD6EB0">
      <w:pPr>
        <w:spacing w:after="0" w:line="276" w:lineRule="auto"/>
        <w:rPr>
          <w:rFonts w:ascii="Arial" w:hAnsi="Arial" w:cs="Arial"/>
          <w:b/>
          <w:bCs/>
          <w:color w:val="4C94D8" w:themeColor="text2" w:themeTint="80"/>
        </w:rPr>
      </w:pPr>
      <w:r w:rsidRPr="00AD6EB0">
        <w:rPr>
          <w:rFonts w:ascii="Arial" w:hAnsi="Arial" w:cs="Arial"/>
          <w:b/>
          <w:bCs/>
          <w:color w:val="4C94D8" w:themeColor="text2" w:themeTint="80"/>
        </w:rPr>
        <w:t>SUMMARY</w:t>
      </w:r>
    </w:p>
    <w:p w14:paraId="08CB5AE5" w14:textId="77777777" w:rsidR="0090619A" w:rsidRDefault="0090619A" w:rsidP="00AD6EB0">
      <w:pPr>
        <w:spacing w:after="0" w:line="276" w:lineRule="auto"/>
        <w:rPr>
          <w:rFonts w:ascii="Arial" w:hAnsi="Arial" w:cs="Arial"/>
        </w:rPr>
      </w:pPr>
    </w:p>
    <w:p w14:paraId="5FE7D1A7" w14:textId="0E393AB2" w:rsidR="009E4C10" w:rsidRPr="00AD6EB0" w:rsidRDefault="009E4C10" w:rsidP="00AD6EB0">
      <w:pPr>
        <w:spacing w:after="0" w:line="276" w:lineRule="auto"/>
        <w:rPr>
          <w:rFonts w:ascii="Arial" w:hAnsi="Arial" w:cs="Arial"/>
        </w:rPr>
      </w:pPr>
      <w:r w:rsidRPr="00AD6EB0">
        <w:rPr>
          <w:rFonts w:ascii="Arial" w:hAnsi="Arial" w:cs="Arial"/>
        </w:rPr>
        <w:lastRenderedPageBreak/>
        <w:t>PTDM is a common complication after solid organ transplantation and has variably been reported to be associated with increased morbidity and mortality. Risk stratification, intervention to minimize risk and early diagnosis may alleviate the incidence of PTDM and improve outcomes following solid organ transplantation.</w:t>
      </w:r>
      <w:r w:rsidR="00CD09AA" w:rsidRPr="00AD6EB0">
        <w:rPr>
          <w:rFonts w:ascii="Arial" w:hAnsi="Arial" w:cs="Arial"/>
        </w:rPr>
        <w:t xml:space="preserve"> </w:t>
      </w:r>
      <w:r w:rsidR="000311D6" w:rsidRPr="00AD6EB0">
        <w:rPr>
          <w:rFonts w:ascii="Arial" w:hAnsi="Arial" w:cs="Arial"/>
        </w:rPr>
        <w:t xml:space="preserve">The 2024 international consensus guidelines propose early OGTT at 10-13 week post-transplantation for screening and diagnosis of PTDM and IGT. </w:t>
      </w:r>
      <w:r w:rsidR="000435E2" w:rsidRPr="00AD6EB0">
        <w:rPr>
          <w:rFonts w:ascii="Arial" w:hAnsi="Arial" w:cs="Arial"/>
        </w:rPr>
        <w:t>Nonetheless,</w:t>
      </w:r>
      <w:r w:rsidR="005F5138" w:rsidRPr="00AD6EB0">
        <w:rPr>
          <w:rFonts w:ascii="Arial" w:hAnsi="Arial" w:cs="Arial"/>
        </w:rPr>
        <w:t xml:space="preserve"> OGTT is</w:t>
      </w:r>
      <w:r w:rsidR="009D7385" w:rsidRPr="00AD6EB0">
        <w:rPr>
          <w:rFonts w:ascii="Arial" w:hAnsi="Arial" w:cs="Arial"/>
        </w:rPr>
        <w:t xml:space="preserve"> infrequently performed in clinical practice </w:t>
      </w:r>
      <w:r w:rsidR="004F5F8B" w:rsidRPr="00AD6EB0">
        <w:rPr>
          <w:rFonts w:ascii="Arial" w:hAnsi="Arial" w:cs="Arial"/>
        </w:rPr>
        <w:t xml:space="preserve">except in the setting of living donor evaluation because of inconvenience and cost. </w:t>
      </w:r>
      <w:r w:rsidR="005F5138" w:rsidRPr="00AD6EB0">
        <w:rPr>
          <w:rFonts w:ascii="Arial" w:hAnsi="Arial" w:cs="Arial"/>
        </w:rPr>
        <w:t xml:space="preserve">In contrast, </w:t>
      </w:r>
      <w:r w:rsidR="00B46AEC" w:rsidRPr="00AD6EB0">
        <w:rPr>
          <w:rFonts w:ascii="Arial" w:hAnsi="Arial" w:cs="Arial"/>
        </w:rPr>
        <w:t xml:space="preserve">A1C </w:t>
      </w:r>
      <w:r w:rsidR="00B03D06" w:rsidRPr="00AD6EB0">
        <w:rPr>
          <w:rFonts w:ascii="Arial" w:hAnsi="Arial" w:cs="Arial"/>
        </w:rPr>
        <w:t xml:space="preserve">should be </w:t>
      </w:r>
      <w:r w:rsidR="003F420E" w:rsidRPr="00AD6EB0">
        <w:rPr>
          <w:rFonts w:ascii="Arial" w:hAnsi="Arial" w:cs="Arial"/>
        </w:rPr>
        <w:t xml:space="preserve">interpreted </w:t>
      </w:r>
      <w:r w:rsidR="00B03D06" w:rsidRPr="00AD6EB0">
        <w:rPr>
          <w:rFonts w:ascii="Arial" w:hAnsi="Arial" w:cs="Arial"/>
        </w:rPr>
        <w:t xml:space="preserve">with caution in the early </w:t>
      </w:r>
      <w:r w:rsidR="009A1DC8" w:rsidRPr="00AD6EB0">
        <w:rPr>
          <w:rFonts w:ascii="Arial" w:hAnsi="Arial" w:cs="Arial"/>
        </w:rPr>
        <w:t>post transplantation</w:t>
      </w:r>
      <w:r w:rsidR="006B799E" w:rsidRPr="00AD6EB0">
        <w:rPr>
          <w:rFonts w:ascii="Arial" w:hAnsi="Arial" w:cs="Arial"/>
        </w:rPr>
        <w:t xml:space="preserve"> </w:t>
      </w:r>
      <w:r w:rsidR="00B03D06" w:rsidRPr="00AD6EB0">
        <w:rPr>
          <w:rFonts w:ascii="Arial" w:hAnsi="Arial" w:cs="Arial"/>
        </w:rPr>
        <w:t>period. A normal A1C does not exclude the diagnosis of PTDM in the presence of early posttransplant anemia and/or dynamic kidney allograft function.</w:t>
      </w:r>
      <w:r w:rsidR="003F420E" w:rsidRPr="00AD6EB0">
        <w:rPr>
          <w:rFonts w:ascii="Arial" w:hAnsi="Arial" w:cs="Arial"/>
        </w:rPr>
        <w:t xml:space="preserve"> </w:t>
      </w:r>
      <w:r w:rsidR="00AB6E40" w:rsidRPr="00AD6EB0">
        <w:rPr>
          <w:rFonts w:ascii="Arial" w:hAnsi="Arial" w:cs="Arial"/>
        </w:rPr>
        <w:t xml:space="preserve">The use of A1C for screening and diagnosis within the first three months after transplant is not recommended. </w:t>
      </w:r>
      <w:r w:rsidRPr="00AD6EB0">
        <w:rPr>
          <w:rFonts w:ascii="Arial" w:hAnsi="Arial" w:cs="Arial"/>
        </w:rPr>
        <w:t xml:space="preserve">Whether intravenous iron therapy and/or the use of erythropoietin stimulating agent result in falsely low A1C levels remains to be studied. Currently early initiation of basal insulin therapy in patients with new onset hyperglycemia during the first post transplantation week to preserve β-cell function and progression to overt PTDM cannot be routinely recommended. Management of established late PTDM should follow the conventional approach and guidelines established for the general population. When lifestyle modification fails to achieve glycemic control, medical intervention is often necessary. The choice of one antihyperglycemic agent over the other should be based on the potential advantages and disadvantages of individual agents. Similar to the general population, insulin therapy should be considered in individuals with suboptimal glycemic control despite </w:t>
      </w:r>
      <w:r w:rsidR="003A1C1B" w:rsidRPr="00AD6EB0">
        <w:rPr>
          <w:rFonts w:ascii="Arial" w:hAnsi="Arial" w:cs="Arial"/>
        </w:rPr>
        <w:t>multiple</w:t>
      </w:r>
      <w:r w:rsidRPr="00AD6EB0">
        <w:rPr>
          <w:rFonts w:ascii="Arial" w:hAnsi="Arial" w:cs="Arial"/>
        </w:rPr>
        <w:t xml:space="preserve"> antihyperglycemic agent combination therapy.</w:t>
      </w:r>
    </w:p>
    <w:p w14:paraId="2C1730E8" w14:textId="77777777" w:rsidR="009E4C10" w:rsidRPr="00AD6EB0" w:rsidRDefault="009E4C10" w:rsidP="00AD6EB0">
      <w:pPr>
        <w:spacing w:after="0" w:line="276" w:lineRule="auto"/>
        <w:rPr>
          <w:rFonts w:ascii="Arial" w:hAnsi="Arial" w:cs="Arial"/>
        </w:rPr>
      </w:pPr>
    </w:p>
    <w:p w14:paraId="51077C42" w14:textId="1C761443" w:rsidR="009E4C10" w:rsidRDefault="009E4C10" w:rsidP="00AD6EB0">
      <w:pPr>
        <w:spacing w:after="0" w:line="276" w:lineRule="auto"/>
        <w:rPr>
          <w:rFonts w:ascii="Arial" w:hAnsi="Arial" w:cs="Arial"/>
          <w:b/>
          <w:bCs/>
          <w:color w:val="4C94D8" w:themeColor="text2" w:themeTint="80"/>
        </w:rPr>
      </w:pPr>
      <w:r w:rsidRPr="00AD6EB0">
        <w:rPr>
          <w:rFonts w:ascii="Arial" w:hAnsi="Arial" w:cs="Arial"/>
          <w:b/>
          <w:bCs/>
          <w:color w:val="4C94D8" w:themeColor="text2" w:themeTint="80"/>
        </w:rPr>
        <w:t>REFERENCES</w:t>
      </w:r>
    </w:p>
    <w:p w14:paraId="44F00E61" w14:textId="77777777" w:rsidR="00AD6EB0" w:rsidRPr="00AD6EB0" w:rsidRDefault="00AD6EB0" w:rsidP="00AD6EB0">
      <w:pPr>
        <w:spacing w:after="0" w:line="276" w:lineRule="auto"/>
        <w:rPr>
          <w:rFonts w:ascii="Arial" w:hAnsi="Arial" w:cs="Arial"/>
          <w:b/>
          <w:bCs/>
          <w:color w:val="4C94D8" w:themeColor="text2" w:themeTint="80"/>
        </w:rPr>
      </w:pPr>
    </w:p>
    <w:p w14:paraId="02256CB8" w14:textId="70C879A0" w:rsidR="00172809"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Starlz TE. Experience in renal transplantation. Philadelphia: Saunders 1964:111.</w:t>
      </w:r>
    </w:p>
    <w:p w14:paraId="347EBAED" w14:textId="6592BADA" w:rsidR="00172809"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Gunnarsson R, Arner P, Lundgren G, et al. Steroid diabetes after renal transplantation. A preliminary report. Scan Urol Nephrol Suppl. 1977;42:191–194. </w:t>
      </w:r>
    </w:p>
    <w:p w14:paraId="4344E6D6" w14:textId="079E72F0" w:rsidR="009C72CC"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Araki M, Flechner SM, Ismail HR, et al. Posttransplant diabetes mellitus in kidney transplant recipients receiving calcineurin or mTOR inhibitor drugs. Transplantation. 2006;81(3):335–341. </w:t>
      </w:r>
    </w:p>
    <w:p w14:paraId="0C1F7EEF" w14:textId="486F723A" w:rsidR="009C72CC"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Crutchlow MF, Bloom RD. Transplant-associated hyperglycemia: a new look at an old problem. Clin J Am Soc Nephrol. 2007;2(2):343–355. </w:t>
      </w:r>
    </w:p>
    <w:p w14:paraId="1869E28C" w14:textId="1A45E81D" w:rsidR="009C72CC"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Bloom RD, Crutchlow MF. New-onset diabetes mellitus in the kidney recipients: diagnosis and management strategies. Clinical J Am Soc Nephrol. 2008;3:S38–48.</w:t>
      </w:r>
    </w:p>
    <w:p w14:paraId="37878D29" w14:textId="68637213" w:rsidR="009C72CC"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Pham PT, Pham PVC, Lipshutz G. New onset diabetes mellitus after solid organ transplantation. Endocrinol Metab Clin North Am. 2007;36(4):873–890. </w:t>
      </w:r>
    </w:p>
    <w:p w14:paraId="000554E9" w14:textId="69B2CBBB" w:rsidR="009C72CC"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Sharif A, Hecking M, de Vries AP, et al. Proceedings from an international consensus meeting on posttransplantation diabetes mellitus: recommendations and future directions. Am J Transplant. 2014; 14(9):1992-2000.</w:t>
      </w:r>
    </w:p>
    <w:p w14:paraId="1861FD74" w14:textId="024504C4" w:rsidR="009C72CC" w:rsidRPr="00AD6EB0" w:rsidRDefault="0073675C"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Legouis </w:t>
      </w:r>
      <w:r w:rsidR="00793624" w:rsidRPr="00AD6EB0">
        <w:rPr>
          <w:rFonts w:ascii="Arial" w:hAnsi="Arial" w:cs="Arial"/>
        </w:rPr>
        <w:t>D,</w:t>
      </w:r>
      <w:r w:rsidR="009C72CC" w:rsidRPr="00AD6EB0">
        <w:rPr>
          <w:rFonts w:ascii="Arial" w:hAnsi="Arial" w:cs="Arial"/>
        </w:rPr>
        <w:t xml:space="preserve"> </w:t>
      </w:r>
      <w:r w:rsidR="00793624" w:rsidRPr="00AD6EB0">
        <w:rPr>
          <w:rFonts w:ascii="Arial" w:hAnsi="Arial" w:cs="Arial"/>
        </w:rPr>
        <w:t>Faivre A, Cippa PE, et al. Renal gluconeogenesis: an underestimated role of the kidney in systemic glucose metabolism. Nephrol Dial Transplant. 2022 Jul 26;37(8):1417-1425. PMID: 33247734. DOI: </w:t>
      </w:r>
      <w:hyperlink r:id="rId28" w:tgtFrame="_blank" w:history="1">
        <w:r w:rsidR="00793624" w:rsidRPr="00AD6EB0">
          <w:rPr>
            <w:rStyle w:val="Hyperlink"/>
            <w:rFonts w:ascii="Arial" w:hAnsi="Arial" w:cs="Arial"/>
            <w:color w:val="auto"/>
          </w:rPr>
          <w:t>10.1093/ndt/gfaa302</w:t>
        </w:r>
      </w:hyperlink>
    </w:p>
    <w:p w14:paraId="480C677A" w14:textId="7C2DF9E6" w:rsidR="00217AC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Pham PT, Pham PM, Pham SV, Pham PA, Pham PC. New onset diabetes after transplantation (NODAT): an overview. Diabetes Metab Syndr Obes. 2011;4:175–86. </w:t>
      </w:r>
    </w:p>
    <w:p w14:paraId="4FA4F114" w14:textId="0B0DB29B"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lastRenderedPageBreak/>
        <w:t>Davidson J, Wilkinson AH, Dantal J, et al. New-onset diabetes after transplantation: 2003 International Consensus Guidelines. Transplantation. 2003;7:SS3–SS24. </w:t>
      </w:r>
    </w:p>
    <w:p w14:paraId="73EFC5F6" w14:textId="1241FB96"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American Diabetes Association. Standards of Medical Care in Diabetes 2011. Diabetes Care. 2011;34:S11.</w:t>
      </w:r>
    </w:p>
    <w:p w14:paraId="33A346B9" w14:textId="77777777" w:rsidR="00133CD7" w:rsidRPr="00AD6EB0" w:rsidRDefault="001F42B5"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Sharif A, Chakkera H de Vries APJ, et al. International consensus on post-transplantation diabetes mellitus. Nephrol Dial Transplant. 2024;39(3):531-549. PMID 38171510. </w:t>
      </w:r>
      <w:hyperlink r:id="rId29" w:history="1">
        <w:r w:rsidR="004D0903" w:rsidRPr="00AD6EB0">
          <w:rPr>
            <w:rStyle w:val="Hyperlink"/>
            <w:rFonts w:ascii="Arial" w:hAnsi="Arial" w:cs="Arial"/>
            <w:color w:val="auto"/>
          </w:rPr>
          <w:t>https://doi.org/10.1093/ndt/gfad258</w:t>
        </w:r>
      </w:hyperlink>
    </w:p>
    <w:p w14:paraId="3C6F6B77" w14:textId="77777777" w:rsidR="00133CD7" w:rsidRPr="00AD6EB0" w:rsidRDefault="0055346C"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Pham PM</w:t>
      </w:r>
      <w:r w:rsidR="00554BAC" w:rsidRPr="00AD6EB0">
        <w:rPr>
          <w:rFonts w:ascii="Arial" w:hAnsi="Arial" w:cs="Arial"/>
        </w:rPr>
        <w:t xml:space="preserve">, Pham PC, Pham PT. Post-Transplant Diabetes. </w:t>
      </w:r>
      <w:hyperlink r:id="rId30" w:history="1">
        <w:r w:rsidR="0048615E" w:rsidRPr="00AD6EB0">
          <w:rPr>
            <w:rStyle w:val="Hyperlink"/>
            <w:rFonts w:ascii="Arial" w:hAnsi="Arial" w:cs="Arial"/>
            <w:color w:val="auto"/>
            <w:shd w:val="clear" w:color="auto" w:fill="FFFFFF"/>
          </w:rPr>
          <w:t>Clinicaloverview@elsevier.com</w:t>
        </w:r>
      </w:hyperlink>
      <w:r w:rsidR="0048615E" w:rsidRPr="00AD6EB0">
        <w:rPr>
          <w:rFonts w:ascii="Arial" w:hAnsi="Arial" w:cs="Arial"/>
          <w:shd w:val="clear" w:color="auto" w:fill="FFFFFF"/>
        </w:rPr>
        <w:t>, 2024</w:t>
      </w:r>
    </w:p>
    <w:p w14:paraId="70601F07" w14:textId="414BED26"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Ng JM, Cooke M, Bhandari S, et al. The effect of iron and erythropoietin treatment on the A1C of patients with diabetes and chronic kidney disease. Diabetes Care. 2010;33(11):2310–2313. </w:t>
      </w:r>
    </w:p>
    <w:p w14:paraId="29A1E452" w14:textId="6806DCF1" w:rsidR="00290135" w:rsidRPr="00AD6EB0" w:rsidRDefault="00290135"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American Diabetes Association Professional Practice Committee; 2. Diagnosis and Classification of Diabetes: Standards of Care in Diabetes—2025. </w:t>
      </w:r>
      <w:r w:rsidRPr="00AD6EB0">
        <w:rPr>
          <w:rFonts w:ascii="Arial" w:hAnsi="Arial" w:cs="Arial"/>
          <w:i/>
          <w:iCs/>
        </w:rPr>
        <w:t>Diabetes Care</w:t>
      </w:r>
      <w:r w:rsidRPr="00AD6EB0">
        <w:rPr>
          <w:rFonts w:ascii="Arial" w:hAnsi="Arial" w:cs="Arial"/>
        </w:rPr>
        <w:t> 1 January 2025; 48 (Supplement_1): S27–S49</w:t>
      </w:r>
    </w:p>
    <w:p w14:paraId="583EA4B3" w14:textId="21E44D47"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Baid S, Cosimi AB, Farrell ML, et al. Posttransplant diabetes mellitus in liver transplant recipients: risk factors, temporal relationship with hepatitis C virus allograft hepatitis, and impact on mortality. Transplantation. 2001;72:1066–1072. </w:t>
      </w:r>
    </w:p>
    <w:p w14:paraId="478CB600" w14:textId="7F83F039"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Knobler H, Stagnaro-Green A, Wallenstein S, et al. Higher incidence of diabetes in liver transplant recipients with hepatitis C. J Clin Gastroenterol. 1998;26:30–33. </w:t>
      </w:r>
    </w:p>
    <w:p w14:paraId="0447F12F" w14:textId="53EF6A81"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Ye X, Kuo H-T, Sampaio MS, Jiang Y, Bunnapradist S. Risk factors for the development of new-onset diabetes mellitus after transplant in adult lung transplant recipients. Clin Transplant. 2010 </w:t>
      </w:r>
    </w:p>
    <w:p w14:paraId="2A1915D8" w14:textId="208F8FB3"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Lieber SR, Lee RA, Jiang Y, et al. The Impact of PostTransplant Diabetes Mellitus on Liver Transplant Outcomes. Clin Transplant. 2019 Jun;33(6):e13554. </w:t>
      </w:r>
    </w:p>
    <w:p w14:paraId="27DF814D" w14:textId="0DADD244"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Yusen RD, Edwards LB, Anne I, Dipchand AI, et al. The Registry of the International Society for Heart and Lung Transplantation: Thirty-third Adult Lung and Heart-Lung Transplant Report-2016; Focus Theme: Primary Diagnostic Indications for Transplant. J Heart Lung Transplant. 2016 Oct;35(10):1170–1184. Epub 2016 Sep 13. </w:t>
      </w:r>
    </w:p>
    <w:p w14:paraId="546681EB" w14:textId="40633265"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Cosio FG, Pesavento TE, Osei K, et al. Posttransplant diabetes mellitus: increasing incidence in renal allograft recipients transplanted in recent years. Kid Int. 2001;59(2):732–737. </w:t>
      </w:r>
    </w:p>
    <w:p w14:paraId="34371A30" w14:textId="5EA203A3"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Kasiske BL, Snyder JJ, Gilbertson D, et al. Diabetes mellitus after kidney transplantation in the United States. Am J transplant. 2003;3(2):178–185. </w:t>
      </w:r>
    </w:p>
    <w:p w14:paraId="3ED3E02E" w14:textId="77777777" w:rsidR="00133CD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Martinez-Castelao A, Hernandez MD, Pascual J, et al. Detection and treatment of post kidney transplant hyperglycemia: a Spanish multicenter cross-sectional study. Transplant Proc. 2005;37:3813–3816. [</w:t>
      </w:r>
      <w:hyperlink r:id="rId31" w:history="1">
        <w:r w:rsidRPr="00AD6EB0">
          <w:rPr>
            <w:rStyle w:val="Hyperlink"/>
            <w:rFonts w:ascii="Arial" w:hAnsi="Arial" w:cs="Arial"/>
            <w:color w:val="auto"/>
          </w:rPr>
          <w:t>PubMed</w:t>
        </w:r>
      </w:hyperlink>
      <w:r w:rsidRPr="00AD6EB0">
        <w:rPr>
          <w:rFonts w:ascii="Arial" w:hAnsi="Arial" w:cs="Arial"/>
        </w:rPr>
        <w:t>]</w:t>
      </w:r>
    </w:p>
    <w:p w14:paraId="6B636C9D" w14:textId="674F6CBD"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Quaglia M1. The Role of TCF7L2 rs7903146 in Diabetes After Kidney Transplant: Results From a Single-Center Cohort and Meta-Analysis of the Literature. Transplantation. 2016;100(8):1750–1758. Terrazzino S, Musetti C, et al. </w:t>
      </w:r>
    </w:p>
    <w:p w14:paraId="61839AD0" w14:textId="659A0C88"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Jenssen T, Hartmann A. Post-transplant diabetes mellitus in patients with solid organ transplants. Nat Rev Endocrinol. 2019;15(3):172–188. </w:t>
      </w:r>
    </w:p>
    <w:p w14:paraId="7DE9A6E3" w14:textId="415B2024"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Xue M, Lv C, Chen X, et al. Donor liver steatosis: A risk factor for early new-onset diabetes after liver transplantation. J Diabetes Investig. 2017 Mar;8(2):181–187</w:t>
      </w:r>
      <w:r w:rsidR="008F4FA4" w:rsidRPr="00AD6EB0">
        <w:rPr>
          <w:rFonts w:ascii="Arial" w:hAnsi="Arial" w:cs="Arial"/>
        </w:rPr>
        <w:t>.</w:t>
      </w:r>
    </w:p>
    <w:p w14:paraId="1DB44DB6" w14:textId="5000CDFF"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lastRenderedPageBreak/>
        <w:t xml:space="preserve">Elens L, Sombogaard F, Hesselink D, et al. Single-nucleotide polymorphism in P450 oxidoreductase and peroxisome proliferator-activated receptor are associated with the development of new onset diabetes after transplantation in kidney transplant recipients treated with tacrolimus. Pharmacogenet Genomics. 2013; 23:649-657 (21) </w:t>
      </w:r>
    </w:p>
    <w:p w14:paraId="4D5B364C" w14:textId="5F6A66E7"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El Essawy B, Kandeel F. Pre, peri and posttransplant diabetes mellitus. Current opinion Nephrol Hypertens. 2018; 28: 47-57 (22) </w:t>
      </w:r>
    </w:p>
    <w:p w14:paraId="4381FD37" w14:textId="5E391B51"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Joss N, Staatz CE, Thomson AH, et al. Predictors of new onset diabetes after renal transplantation 2007;21(1): 136- 143. </w:t>
      </w:r>
    </w:p>
    <w:p w14:paraId="25D5D8F0" w14:textId="2329D89D"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Malik RF, Jia Y, Mansour SG, et al. Post-transplant Diabetes Mellitus in Kidney Transplant Recipients: A Multicenter Study. Kidney360. 2021 Jun 2;2(8):1296-1307. </w:t>
      </w:r>
    </w:p>
    <w:p w14:paraId="16111B56" w14:textId="2CB10AED"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Kuo H-T, Sampaio MS, Vincenti F, et al. Associations of pretransplant diabetes mellitus, New-Onset Diabetes Mellitus after Transplant, and acute rejection with transplant outcomes: an analysis of the Organ Procurement and Transplant Network/United Network for Organ Sharing (OPTN/UNOS) database. 2010;56(6): 1026-1028. </w:t>
      </w:r>
    </w:p>
    <w:p w14:paraId="6E722808" w14:textId="09369281"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Burroughs TE, Swindle J, Takemoto S, et al. Diabetic complications associated with new-onset diabetes mellitus in renal transplant recipients. Transplantation. 2007;83(8):1027. </w:t>
      </w:r>
    </w:p>
    <w:p w14:paraId="608C0EBB" w14:textId="68381945"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Kuo HT, Lum E, Martin P, et al. Effect of diabetes and acute rejection on liver transplant outcomes, an analysis of the OPTN/UNOS database. Liver Transpl. 2016;22(16):796–804. </w:t>
      </w:r>
    </w:p>
    <w:p w14:paraId="4E4CB014" w14:textId="06E0300F"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Roccaro GA, Goldberg DS, Hwang WT, et al. Sustained post transplantation diabetes is associated with long-term major cardiovascular events following liver transplantation. Am J Transplant. 2018;18(1):207–215</w:t>
      </w:r>
      <w:r w:rsidR="008F4FA4" w:rsidRPr="00AD6EB0">
        <w:rPr>
          <w:rFonts w:ascii="Arial" w:hAnsi="Arial" w:cs="Arial"/>
        </w:rPr>
        <w:t>.</w:t>
      </w:r>
    </w:p>
    <w:p w14:paraId="42C64476" w14:textId="7DE7BAB6"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Peláez-Jaramillo MJ, Cárdenas-Mojica AA, Gaete PV, Mendivil CO. Post-Liver Transplantation Diabetes Mellitus: A Review of Relevance and Approach to Treatment. Diabetes Ther. 2018 Apr;9(2):521–543. </w:t>
      </w:r>
    </w:p>
    <w:p w14:paraId="24C0F8FD" w14:textId="03D5B597"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Foroutan F, Alba AC, Guyatt G, et al. Predictors of 1-year mortality in heart transplant recipients: a systematic review and meta-analysis. Heart. 2018 Jan;104(2):151–160. </w:t>
      </w:r>
    </w:p>
    <w:p w14:paraId="7CCF6446" w14:textId="7DBC08ED"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Kim HJ, Jung SH, Kim JJ, et al. New-onset diabetes mellitus after heart transplantation: incidence, risk factors, and impact on clinical outcome. Circ J. 2017:806–814. </w:t>
      </w:r>
    </w:p>
    <w:p w14:paraId="562020E4" w14:textId="77777777" w:rsidR="00910797" w:rsidRPr="00AD6EB0" w:rsidRDefault="009E729A"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Kanbay</w:t>
      </w:r>
      <w:r w:rsidR="005F62E0" w:rsidRPr="00AD6EB0">
        <w:rPr>
          <w:rFonts w:ascii="Arial" w:hAnsi="Arial" w:cs="Arial"/>
        </w:rPr>
        <w:t xml:space="preserve"> M,</w:t>
      </w:r>
      <w:r w:rsidRPr="00AD6EB0">
        <w:rPr>
          <w:rFonts w:ascii="Arial" w:hAnsi="Arial" w:cs="Arial"/>
        </w:rPr>
        <w:t xml:space="preserve"> </w:t>
      </w:r>
      <w:r w:rsidR="005F62E0" w:rsidRPr="00AD6EB0">
        <w:rPr>
          <w:rFonts w:ascii="Arial" w:hAnsi="Arial" w:cs="Arial"/>
        </w:rPr>
        <w:t xml:space="preserve">Siriopol D, Guldan M, et al. </w:t>
      </w:r>
      <w:hyperlink r:id="rId32" w:history="1">
        <w:r w:rsidR="005F62E0" w:rsidRPr="00AD6EB0">
          <w:rPr>
            <w:rStyle w:val="Hyperlink"/>
            <w:rFonts w:ascii="Arial" w:hAnsi="Arial" w:cs="Arial"/>
            <w:color w:val="auto"/>
            <w:u w:val="none"/>
          </w:rPr>
          <w:t>Prognostic impact of post-transplant diabetes mellitus in kidney allograft recipients: a meta-analysis.</w:t>
        </w:r>
      </w:hyperlink>
      <w:r w:rsidR="005F62E0" w:rsidRPr="00AD6EB0">
        <w:rPr>
          <w:rFonts w:ascii="Arial" w:hAnsi="Arial" w:cs="Arial"/>
        </w:rPr>
        <w:t xml:space="preserve"> Nephrol Dial Transplant. 2025 Feb 28;40(3):554-576. doi: 10.1093/ndt/gfae185.</w:t>
      </w:r>
    </w:p>
    <w:p w14:paraId="18DCE027" w14:textId="77777777" w:rsidR="00910797" w:rsidRPr="00AD6EB0" w:rsidRDefault="00D6591D"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Muir CA, Kuang W, Muthiah K, et al. Association of early post-transplant hyperglycaemia and diabetes mellitus on outcomes following heart transplantation. Diabet Med. 2025 Jan;42(1):e15441. doi: 10.1111/dme.15441.</w:t>
      </w:r>
    </w:p>
    <w:p w14:paraId="45AE8C7B" w14:textId="300A71D8"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Christie JD, Edwards LB, Kucheryavaya AY, et al. The registry of the international society of heart and lung transplantation: twenty-seventh official adult transplant report 2010. J Heart Lung Transplant. 2010:1105–1118. </w:t>
      </w:r>
    </w:p>
    <w:p w14:paraId="5C30CE30" w14:textId="3EE1076E"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Hackman KL, Snell GI, Bach LA. Poor glycemic control is associated with decreased survival in lung transplant recipients. Transplantation. 2017:2200–2205. </w:t>
      </w:r>
    </w:p>
    <w:p w14:paraId="6058544C" w14:textId="51382A54"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Hackman KL, Bailey MJ, Snell GI. Diabetes is a major risk factor for mortality after lung transplant. Am J Transplant. 2014;14:438–445. </w:t>
      </w:r>
    </w:p>
    <w:p w14:paraId="621DA98F" w14:textId="77777777"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Pham PT, Pham SV, Lee M, et al. Evaluation of the potential kidney transplant candidates. In: Pham PT, Pham PC. Quick Guide to Kidney Transplantation: From Initial Evaluation to </w:t>
      </w:r>
      <w:r w:rsidRPr="00AD6EB0">
        <w:rPr>
          <w:rFonts w:ascii="Arial" w:hAnsi="Arial" w:cs="Arial"/>
        </w:rPr>
        <w:lastRenderedPageBreak/>
        <w:t>Long-Term Post-Transplant Care. First Edition. Lippincott, Williams and Wilkins 2019; pp 40-58.</w:t>
      </w:r>
    </w:p>
    <w:p w14:paraId="11236E0B" w14:textId="7896ECB5"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Chakkera HA, Weil EJ, Pham PT, et al. Can new-onset diabetes after kidney transplant be prevented? Diabetes Care. 2013;36:1406–1412. </w:t>
      </w:r>
    </w:p>
    <w:p w14:paraId="58B3EBC1" w14:textId="7A0A4D25"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Knowler WC, Barrett-Connor E, Fowler SE, et al. Diabetes Prevention Program Research Group. Reduction in the incidence of type 2 diabetes with lifestyle intervention or metformin. N Engl J Med. 2002;346:393–403. </w:t>
      </w:r>
    </w:p>
    <w:p w14:paraId="11E4B22D" w14:textId="429373A9"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Kim Y, Kim JR, Choi H, et al. Patients with persistent new</w:t>
      </w:r>
      <w:r w:rsidR="005A1076" w:rsidRPr="00AD6EB0">
        <w:rPr>
          <w:rFonts w:ascii="Arial" w:hAnsi="Arial" w:cs="Arial"/>
        </w:rPr>
        <w:t xml:space="preserve"> </w:t>
      </w:r>
      <w:r w:rsidRPr="00AD6EB0">
        <w:rPr>
          <w:rFonts w:ascii="Arial" w:hAnsi="Arial" w:cs="Arial"/>
        </w:rPr>
        <w:t>onset diabetes after transplantation have greater weight gain after kidney transplantation. J Korean Med Sci. 2013 Oct;28(10):1431–4. </w:t>
      </w:r>
    </w:p>
    <w:p w14:paraId="679FDF78" w14:textId="428C0955"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Sharif A, Moore R, Baboolal K. Influence of lifestyle modification in renal transplant recipients with postprandial hyperglycemia. Transplantation. 2008;85:353–358. </w:t>
      </w:r>
    </w:p>
    <w:p w14:paraId="1FB39A33" w14:textId="1528A792"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Kuningas K, Driscoll J, Reena Mair R, et al. Comparing Glycemic Benefits of Active Versus Passive Lifestyle Intervention in Kidney Allograft Recipients: A Randomized Controlled Trial. Transplantation. 2020 Jul;104(7):1491–1499. </w:t>
      </w:r>
    </w:p>
    <w:p w14:paraId="171A0246" w14:textId="77777777" w:rsidR="00910797" w:rsidRPr="00AD6EB0" w:rsidRDefault="003D0E35"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Osté MC, Corpeleijn E, Navis GJ, et al: </w:t>
      </w:r>
      <w:hyperlink r:id="rId33" w:history="1">
        <w:r w:rsidRPr="00AD6EB0">
          <w:rPr>
            <w:rStyle w:val="Hyperlink"/>
            <w:rFonts w:ascii="Arial" w:hAnsi="Arial" w:cs="Arial"/>
            <w:color w:val="auto"/>
            <w:u w:val="none"/>
          </w:rPr>
          <w:t>Mediterranean style diet is associated with low risk of new-onset diabetes after renal transplantation.</w:t>
        </w:r>
      </w:hyperlink>
      <w:r w:rsidRPr="00AD6EB0">
        <w:rPr>
          <w:rFonts w:ascii="Arial" w:hAnsi="Arial" w:cs="Arial"/>
        </w:rPr>
        <w:t xml:space="preserve"> BMJ Open Diabetes Res Care. 2017 Jan 13;5(1):e000283. doi: 10.1136/bmjdrc-2016-000283. eCollection 2017</w:t>
      </w:r>
    </w:p>
    <w:p w14:paraId="32C3A96F" w14:textId="77777777" w:rsidR="00910797" w:rsidRPr="00AD6EB0" w:rsidRDefault="003D0E35"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Gomes-Neto AW, Oste MCJ, Sotomayor CG, et al: </w:t>
      </w:r>
      <w:hyperlink r:id="rId34" w:history="1">
        <w:r w:rsidRPr="00AD6EB0">
          <w:rPr>
            <w:rStyle w:val="Hyperlink"/>
            <w:rFonts w:ascii="Arial" w:hAnsi="Arial" w:cs="Arial"/>
            <w:color w:val="auto"/>
            <w:u w:val="none"/>
          </w:rPr>
          <w:t>Fruit and Vegetable Intake and Risk of Posttransplantation Diabetes in Renal Transplant Recipients.</w:t>
        </w:r>
      </w:hyperlink>
      <w:r w:rsidRPr="00AD6EB0">
        <w:rPr>
          <w:rFonts w:ascii="Arial" w:hAnsi="Arial" w:cs="Arial"/>
        </w:rPr>
        <w:t xml:space="preserve"> Diabetes Care. 42(9):1645-1652, 2019</w:t>
      </w:r>
    </w:p>
    <w:p w14:paraId="6930BE2B" w14:textId="2ED36337"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Hecking M, Werzowa J, Haidinger M, et al. Novel views on new-onset diabetes after transplantation: development, prevention and treatment. Nephrol Dial Transplant. 2013 Mar;28(3):550–66. </w:t>
      </w:r>
    </w:p>
    <w:p w14:paraId="287B2D36" w14:textId="2EEB59D7"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Hecking M, Haidinger M, Doller D, et al. Early basal insulin therapy decreases new-onset diabetes after transplantation. J Am Soc Nephrol. 2012;23:739–749. </w:t>
      </w:r>
    </w:p>
    <w:p w14:paraId="3D4FBFC4" w14:textId="7F9CA02C"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Schwaiger E, Krenn S, Kurnikowski A et al. Early Postoperative Basal Insulin Therapy versus Standard of Care for the Prevention of Diabetes Mellitus after Kidney Transplantation: A Multicenter Randomized Trial. J Am Soc Nephrol. 2021 Aug;32(8):2083-2098. doi: 10.1681/ASN.2021010127. 552. </w:t>
      </w:r>
    </w:p>
    <w:p w14:paraId="3E1FC48D" w14:textId="44AF9359"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Boudreaux JP, McHugh L, Canafax DM, et al. The impact of cyclosporine and combination immunosuppression on the incidence of post transplant diabetes in renal allograft recipients. Transplantation. 1987;44(3):376–381. </w:t>
      </w:r>
    </w:p>
    <w:p w14:paraId="0293B006" w14:textId="481802A1"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Heisel O, Heisel R, Balshaw R, et al. New onset diabetes in patients receiving calcineurin inhibitors: a systematic review and meta-analysis. Am J Transplant. 2004;4(4):583–595. </w:t>
      </w:r>
    </w:p>
    <w:p w14:paraId="4E64F847" w14:textId="5E68CAE0"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Vincenti F, Friman S, Scheuermann E, et al. Results of an international, randomized trial comparing glucose metabolism disorders and outcome with cyclosporine versus tacrolimus. Am J Transplant. 2007 Jun;7(6):1506–14. </w:t>
      </w:r>
    </w:p>
    <w:p w14:paraId="7CEF1BD4" w14:textId="71D75F67"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Rathi M, Rajkumar V, Rao N, et al. Conversion from tacrolimus to cyclosporine in patients with new-onset diabetes after renal transplant: an open-label randomized prospective pilot study. Transplant Proc. 2015 May;47(4):1158–61. </w:t>
      </w:r>
    </w:p>
    <w:p w14:paraId="5F97207A" w14:textId="21441D14"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Wissing KM, Abramowicz D, Weekers L, et al. Prospective randomized study of conversion from tacrolimus to cyclosporine A to improve glucose metabolism in patients </w:t>
      </w:r>
      <w:r w:rsidRPr="00AD6EB0">
        <w:rPr>
          <w:rFonts w:ascii="Arial" w:hAnsi="Arial" w:cs="Arial"/>
        </w:rPr>
        <w:lastRenderedPageBreak/>
        <w:t>with posttransplant diabetes mellitus after renal transplantation. Am J Transplant. 2018;18(7):1726–1734. </w:t>
      </w:r>
    </w:p>
    <w:p w14:paraId="664D7D16" w14:textId="20C77081"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Pascual J, Royuela A, Galeano C, et al. Very early steroid withdrawal or avoidance for kidney transplant recipients: A systematic review. Nephrol Dial Transplant. 2012;27:825–832. </w:t>
      </w:r>
    </w:p>
    <w:p w14:paraId="49303245" w14:textId="33BD6257"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Pascual J, Galeano C, Royuela A</w:t>
      </w:r>
      <w:r w:rsidR="005D7038" w:rsidRPr="00AD6EB0">
        <w:rPr>
          <w:rFonts w:ascii="Arial" w:hAnsi="Arial" w:cs="Arial"/>
        </w:rPr>
        <w:t>, et al. A systematic review on steroid withdrawal between 3 and 6 months after kidney transplantation. Transplantation. 2010;90:343–349. </w:t>
      </w:r>
    </w:p>
    <w:p w14:paraId="0E353B6F" w14:textId="77777777" w:rsidR="00910797" w:rsidRPr="00AD6EB0" w:rsidRDefault="00163FA4" w:rsidP="00AD6EB0">
      <w:pPr>
        <w:pStyle w:val="ListParagraph"/>
        <w:numPr>
          <w:ilvl w:val="0"/>
          <w:numId w:val="9"/>
        </w:numPr>
        <w:spacing w:after="0" w:line="276" w:lineRule="auto"/>
        <w:ind w:left="576" w:hanging="576"/>
        <w:rPr>
          <w:rFonts w:ascii="Arial" w:hAnsi="Arial" w:cs="Arial"/>
        </w:rPr>
      </w:pPr>
      <w:r w:rsidRPr="00AD6EB0">
        <w:rPr>
          <w:rFonts w:ascii="Arial" w:eastAsia="Times New Roman" w:hAnsi="Arial" w:cs="Arial"/>
        </w:rPr>
        <w:t xml:space="preserve">Pirsch JD, Henning AK, First MR, et al. </w:t>
      </w:r>
      <w:hyperlink r:id="rId35" w:history="1">
        <w:r w:rsidRPr="00AD6EB0">
          <w:rPr>
            <w:rStyle w:val="Hyperlink"/>
            <w:rFonts w:ascii="Arial" w:eastAsia="Times New Roman" w:hAnsi="Arial" w:cs="Arial"/>
            <w:color w:val="auto"/>
            <w:u w:val="none"/>
          </w:rPr>
          <w:t>New-Onset Diabetes After Transplantation: Results From a Double-Blind Early Corticosteroid Withdrawal Trial.</w:t>
        </w:r>
      </w:hyperlink>
      <w:r w:rsidRPr="00AD6EB0">
        <w:rPr>
          <w:rFonts w:ascii="Arial" w:eastAsia="Times New Roman" w:hAnsi="Arial" w:cs="Arial"/>
        </w:rPr>
        <w:t xml:space="preserve"> </w:t>
      </w:r>
      <w:r w:rsidRPr="00AD6EB0">
        <w:rPr>
          <w:rFonts w:ascii="Arial" w:eastAsia="Times New Roman" w:hAnsi="Arial" w:cs="Arial"/>
          <w:i/>
          <w:iCs/>
        </w:rPr>
        <w:t>Am J Transplant</w:t>
      </w:r>
      <w:r w:rsidRPr="00AD6EB0">
        <w:rPr>
          <w:rFonts w:ascii="Arial" w:eastAsia="Times New Roman" w:hAnsi="Arial" w:cs="Arial"/>
        </w:rPr>
        <w:t>. 2015 Jul;15(7):1982-90. doi: 10.1111/ajt.13247.</w:t>
      </w:r>
    </w:p>
    <w:p w14:paraId="58A67722" w14:textId="77777777" w:rsidR="00910797" w:rsidRPr="00AD6EB0" w:rsidRDefault="00090A1F"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Davies MJ, Aroda VR, Collins BS, et al. Management of hyperglycemia in type 2 diabetes, 2022. A consensus report by the American Diabetes Association (ADA) and the European Association for the Study of Diabetes (EASD). Diabetes Care. 2022;45(11):2753-2786. PMID 36148880 </w:t>
      </w:r>
      <w:hyperlink r:id="rId36" w:history="1">
        <w:r w:rsidRPr="00AD6EB0">
          <w:rPr>
            <w:rStyle w:val="Hyperlink"/>
            <w:rFonts w:ascii="Arial" w:hAnsi="Arial" w:cs="Arial"/>
            <w:color w:val="auto"/>
            <w:u w:val="none"/>
          </w:rPr>
          <w:t>https://doi.org/10.2337/dci22-0034</w:t>
        </w:r>
      </w:hyperlink>
    </w:p>
    <w:p w14:paraId="25E3ED30" w14:textId="77777777" w:rsidR="00910797" w:rsidRPr="00AD6EB0" w:rsidRDefault="00090A1F"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Standards of Care in Diabetes. American Diabetes Association. Accessed November 4, 2024. </w:t>
      </w:r>
      <w:hyperlink r:id="rId37" w:history="1">
        <w:r w:rsidRPr="00AD6EB0">
          <w:rPr>
            <w:rStyle w:val="Hyperlink"/>
            <w:rFonts w:ascii="Arial" w:hAnsi="Arial" w:cs="Arial"/>
            <w:color w:val="auto"/>
            <w:u w:val="none"/>
          </w:rPr>
          <w:t>https://professional.diabetes.org/standards-of-care</w:t>
        </w:r>
      </w:hyperlink>
    </w:p>
    <w:p w14:paraId="449B9A49" w14:textId="2864E616"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Alnasrallah B, Goh TL, Chan LW, et al. Transplantation and diabetes (Transdiab): a pilot randomised controlled trial of metformin in impaired glucose tolerance after kidney transplantation. BMC Nephrol. 2019 Apr 29;20(1):147.</w:t>
      </w:r>
    </w:p>
    <w:p w14:paraId="71704F4A" w14:textId="753867C4"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Maedler K, Carr RD, Bosco D, et al. Sulfonylurea induced beta-cell apoptosis in cultured human islets. The J of Clin End and Metab. 2005;90:501–506. </w:t>
      </w:r>
    </w:p>
    <w:p w14:paraId="11B45862" w14:textId="3D6929B7"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Mu J, Petrov A, Eiermann GJ, Woods J, et al. Inhibition of DPP-4 with sitagliptin improves glycemic control and restores islet cell mass and function in a rodent model of type 2 diabetes. Eur J Pharmacol. 2009;623(1-3):148–154. </w:t>
      </w:r>
    </w:p>
    <w:p w14:paraId="62CC2879" w14:textId="4D5E6BC7"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Cho JM, Jang HW, Cheon H, et al. A novel dipeptidyl peptidase IV inhibitor DA-1229 ameliorates streptozocin induced diabetes by increasing β-cell replication and neogenesis. Diabetes Res Clin Pract. 2011;91(1):72–79. </w:t>
      </w:r>
    </w:p>
    <w:p w14:paraId="4471F420" w14:textId="14BFB72F"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Halden TAS, Asberg A, Vik K, et al. Short-term efficacy and safety of sitagliptin treatment in long-term stable renal recipients with new-onset diabetes after transplantation. Nephrol Dial Transplant. 2014;14:115–123. </w:t>
      </w:r>
    </w:p>
    <w:p w14:paraId="38048FAB" w14:textId="1BECD595"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Haidinger M, Werzowa J, Hecking M, et al. Efficacy and safety of vildagliptin in new-onset diabetes after kidney transplantation. A randomized, double-blind, placebo controlled trial. Am J Transplant. 2014;14:115–123. </w:t>
      </w:r>
    </w:p>
    <w:p w14:paraId="70C86B8B" w14:textId="656D1F5E"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Boerner BP, Miles CD, Shivaswamy V. Efficacy and safety of sitagliptin for the treatment of new-onset diabetes after renal transplantation. Int J Endocrinol. 2014;2014:617638. </w:t>
      </w:r>
    </w:p>
    <w:p w14:paraId="204E6C4D" w14:textId="77777777" w:rsidR="00910797" w:rsidRPr="00AD6EB0" w:rsidRDefault="00E016B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Sanyal d, Gupta S, Das P, et al. A retrospective study evaluating efficacy and safety of linagliptin in treatment of NODAT (in renal transplant recipients) in a real world setting. Indian J Endocrinol Metab. 2013 Oct;17(Suppl 1):S203-5. doi: 10.4103/2230-8210.119572.</w:t>
      </w:r>
    </w:p>
    <w:p w14:paraId="5286C4F3" w14:textId="15E10386"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Abdelaziz TS. Ali AY1, Fatthy M. Efficacy and safety of Dipeptidyl Peptidase-4 Inhibitors in kidney transplant recipients with Post-transplant diabetes mellitus (PTDM)-a systematic review and Meta-Analysis. Curr Diabetes Rev. 2019 Mar 21</w:t>
      </w:r>
      <w:r w:rsidR="00006738" w:rsidRPr="00AD6EB0">
        <w:rPr>
          <w:rFonts w:ascii="Arial" w:hAnsi="Arial" w:cs="Arial"/>
        </w:rPr>
        <w:t>.</w:t>
      </w:r>
    </w:p>
    <w:p w14:paraId="46D02AEF" w14:textId="46044781"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lastRenderedPageBreak/>
        <w:t>Gueler I, Mueller S, Helmschrott M, et al. Effects of vildagliptin (Galvus®) therapy in patients with type 2 diabetes mellitus after heart transplantation. Drug Des Devel Ther. 2013 Apr 8;7:297–303.</w:t>
      </w:r>
    </w:p>
    <w:p w14:paraId="2AE3A37E" w14:textId="7DBA985C"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Scirica BM, Braunwald E, Raz I, et al. Heart failure, saxagliptin, and diabetes mellitus: observations from the SAVOR-TIMI 53 randomized trial. Circulation. 2014 Oct 28;130(18):1579–1588. </w:t>
      </w:r>
    </w:p>
    <w:p w14:paraId="12BC4136" w14:textId="1364BDFE"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Zannad F, Cannon CP. Heart failure and mortality outcomes in patients with type 2 diabetes taking alogliptin versus placebo in EXAMINE: a multicentre, randomised, double-blind trial. Lancet. 2015 May 23;385(9982):2067–76. </w:t>
      </w:r>
    </w:p>
    <w:p w14:paraId="063E857A" w14:textId="0FC34616"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McGuire DK, Van de Werf F, Armstrong PW, et al. Association Between Sitagliptin Use and Heart Failure Hospitalization and Related Outcomes in Type 2 Diabetes Mellitus: Secondary Analysis of a Randomized Clinical Trial. JAMA Cardiol. 2016 May 1;1(2):126–135.</w:t>
      </w:r>
    </w:p>
    <w:p w14:paraId="247C2DD7" w14:textId="1930B1DD"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Pinelli NR, Patel A, Salinitri FD. Coadministration of liraglutide with tacrolimus in kidney transplant recipients: a case series. Diabetes Care. 2013 Oct;36(10):e171–172. </w:t>
      </w:r>
    </w:p>
    <w:p w14:paraId="229FB596" w14:textId="21D04A7A"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Sadhu AR, Schwartz SS, Herman ME. The rationale for use of incretins in the management of New Onset Diabetes after Transplantation (NODAT). Endocr Pract. 2015 Jul;21(7):814–822. </w:t>
      </w:r>
    </w:p>
    <w:p w14:paraId="46136A3F" w14:textId="77777777" w:rsidR="00910797" w:rsidRPr="00AD6EB0" w:rsidRDefault="00A006B6"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Marx N, Husain M, Lehrke M, et al. GLP-1 receptor agonists for the reduction of atherosclerotic cardiovascular risk in patients with type 2 diabetes. Circulation. 2022;146(24):1882-1894. PMID 36508493 </w:t>
      </w:r>
      <w:hyperlink r:id="rId38" w:history="1">
        <w:r w:rsidR="00DD19BB" w:rsidRPr="00AD6EB0">
          <w:rPr>
            <w:rStyle w:val="Hyperlink"/>
            <w:rFonts w:ascii="Arial" w:hAnsi="Arial" w:cs="Arial"/>
            <w:color w:val="auto"/>
          </w:rPr>
          <w:t>https://doi.org/10.1161/CIRCULATIONAHA.122.059595</w:t>
        </w:r>
      </w:hyperlink>
    </w:p>
    <w:p w14:paraId="24D72914" w14:textId="77777777" w:rsidR="00910797" w:rsidRPr="00AD6EB0" w:rsidRDefault="00B129A9"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Orandi BJ, Chen Y, Li Y, et al. GLP-1 receptor agonists in kidney transplant recipients with pre-existing diabetes: a retrospective cohort study. </w:t>
      </w:r>
      <w:hyperlink r:id="rId39" w:history="1">
        <w:r w:rsidRPr="00AD6EB0">
          <w:rPr>
            <w:rStyle w:val="Hyperlink"/>
            <w:rFonts w:ascii="Arial" w:hAnsi="Arial" w:cs="Arial"/>
            <w:color w:val="auto"/>
            <w:u w:val="none"/>
          </w:rPr>
          <w:t>Lancet Diabetes Endocrinol 2025; 13: 374-383</w:t>
        </w:r>
      </w:hyperlink>
    </w:p>
    <w:p w14:paraId="3583CC99" w14:textId="77777777" w:rsidR="00910797" w:rsidRPr="00AD6EB0" w:rsidRDefault="00B129A9"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Lomelli LD, Kodali AM, Tsushima Y, et al. The incidence of acute pancreatitis with GLP-1 receptor agonist therapy in individuals with a known history of pancreatitis. Diabetes Res Clin Pract. 2024;215:111806. PMID 39111552 </w:t>
      </w:r>
      <w:hyperlink r:id="rId40" w:history="1">
        <w:r w:rsidRPr="00AD6EB0">
          <w:rPr>
            <w:rStyle w:val="Hyperlink"/>
            <w:rFonts w:ascii="Arial" w:hAnsi="Arial" w:cs="Arial"/>
            <w:color w:val="auto"/>
            <w:u w:val="none"/>
          </w:rPr>
          <w:t>https://doi.org/10.1016/j.diabres.2024.111806</w:t>
        </w:r>
      </w:hyperlink>
    </w:p>
    <w:p w14:paraId="3EF2C5A7" w14:textId="6C39FF44" w:rsidR="00A21EAD" w:rsidRPr="00AD6EB0" w:rsidRDefault="00A21EAD" w:rsidP="00AD6EB0">
      <w:pPr>
        <w:pStyle w:val="ListParagraph"/>
        <w:numPr>
          <w:ilvl w:val="0"/>
          <w:numId w:val="9"/>
        </w:numPr>
        <w:autoSpaceDE w:val="0"/>
        <w:autoSpaceDN w:val="0"/>
        <w:adjustRightInd w:val="0"/>
        <w:spacing w:after="0" w:line="276" w:lineRule="auto"/>
        <w:ind w:left="576" w:hanging="576"/>
        <w:rPr>
          <w:rFonts w:ascii="Arial" w:hAnsi="Arial" w:cs="Arial"/>
        </w:rPr>
      </w:pPr>
      <w:r w:rsidRPr="00AD6EB0">
        <w:rPr>
          <w:rFonts w:ascii="Arial" w:hAnsi="Arial" w:cs="Arial"/>
        </w:rPr>
        <w:t xml:space="preserve">Frías JP, Davies MJ, Rosenstock J, Pérez Manghi FC, Fernández Landó L, Bergman BK, Liu B, Cui X, Brown K; SURPASS-2 Investigators. Tirzepatide versus Semaglutide Once Weekly in Patients with Type 2 Diabetes. N Engl J Med. 2021 Aug 5;385(6):503-515. doi: 10.1056/NEJMoa2107519.  </w:t>
      </w:r>
    </w:p>
    <w:p w14:paraId="10123012" w14:textId="77777777" w:rsidR="00910797" w:rsidRPr="00AD6EB0" w:rsidRDefault="00291033"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Packer M, Zile MR, Kramer CM, et al. Tirzepatide for Heart Failure with Preserved Ejection Fraction and Obesity. N Engl J Med. 2025 Jan 30;392(5):427-437. doi: 10.1056/NEJMoa2410027. Epub 2024 Nov 16.</w:t>
      </w:r>
    </w:p>
    <w:p w14:paraId="3F052432" w14:textId="77777777" w:rsidR="00910797" w:rsidRPr="00AD6EB0" w:rsidRDefault="00291033"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Khatib OE, Chiha M, Hijazi R, et al. Safety and Efficacy of Tirzepatide in Solid-Organ Transplant Recipients: Experience of a Quaternary Care Center in the Middle East. Clin Transplant. 2025 Jan;23(1):12-20. doi: 10.6002/ect.2024.0284.</w:t>
      </w:r>
    </w:p>
    <w:p w14:paraId="03B325AF" w14:textId="13088DF4"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Jin J, Jin L, Luo K, et al. Effect of Empagliflozin on Tacrolimus-Induced Pancreas Islet Dysfunction and Renal Injury. Am J Transplant. 2017;17(10):2601–2616. </w:t>
      </w:r>
    </w:p>
    <w:p w14:paraId="300CE622" w14:textId="5ABF4451"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Zelniker TA, Wiviott SD, Raz I, et al. SGLT2 inhibitors for primary and secondary prevention of cardiovascular and renal outcomes in type 2 diabetes: a systematic review </w:t>
      </w:r>
      <w:r w:rsidRPr="00AD6EB0">
        <w:rPr>
          <w:rFonts w:ascii="Arial" w:hAnsi="Arial" w:cs="Arial"/>
        </w:rPr>
        <w:lastRenderedPageBreak/>
        <w:t xml:space="preserve">and meta-analysis of cardiovascular outcome trials. Lancet. 2019 Jan 5;393(10166):31–39. Epub 2018 Nov 10. </w:t>
      </w:r>
    </w:p>
    <w:p w14:paraId="0B5EB266" w14:textId="75DE579F"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Zelniker TA, Braunwald E. Mechanisms of Cardiorenal Effects of Sodium-Glucose Cotransporter 2 Inhibitors: JACC State-of-the-Art Review. J Am Coll Cardiol. 2020 Feb 4;75(4):422–434. doiErratum in: J Am Coll Cardiol. 2020 Sep 22;76(12):1505. PMID: 32000955. </w:t>
      </w:r>
    </w:p>
    <w:p w14:paraId="0DB8C58B" w14:textId="669B261E"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Yang S, He W, Zhao L, Mi Y. Association between use of sodium-glucose cotransporter 2 inhibitors, glucagon-like peptide 1 agonists, and dipeptidyl peptidase 4 inhibitors with kidney outcomes in patients with type 2 diabetes: A systematic review and network meta-analysis. PLoS One. 2022 Apr 14;17(4):e0267025. doiPMCID: PMC9009659. </w:t>
      </w:r>
    </w:p>
    <w:p w14:paraId="3960E0D9" w14:textId="7A35E4A5"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Zannad F, Ferreira JP, Pocock SJ, et al. Cardiac and Kidney Benefits of Empagliflozin in Heart Failure Across the Spectrum of Kidney Function: Insights From EMPEROR-Reduced. Circulation. 2021 Jan 26;143(4):310–321</w:t>
      </w:r>
      <w:r w:rsidR="00006738" w:rsidRPr="00AD6EB0">
        <w:rPr>
          <w:rFonts w:ascii="Arial" w:hAnsi="Arial" w:cs="Arial"/>
        </w:rPr>
        <w:t>.</w:t>
      </w:r>
    </w:p>
    <w:p w14:paraId="56A2CBEA" w14:textId="07EEAD34"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Halden TAS, Kvitne KE, Karsten Midtvedt K, et al. Efficacy and Safety of Empagliflozin in Renal Transplant Recipients With Posttransplant Diabetes Mellitus. Diabetes Care. 2019 Jun;42(6):1067–1074.</w:t>
      </w:r>
    </w:p>
    <w:p w14:paraId="0B11A0C1" w14:textId="0837A547"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Mahling M, Schork A, Nadalin S, et al. Sodium-Glucose Cotransporter 2 (SGLT2) Inhibition in kidney transplant recipients with diabetes mellitus. Kidney Blood Press Res. 2019;44(5):984–992. </w:t>
      </w:r>
    </w:p>
    <w:p w14:paraId="60060905" w14:textId="619164C6"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Cehic MG, Christopher A, Muir CA, et al. Efficacy and Safety of Empagliflozin in the Management of Diabetes Mellitus in Heart Transplant Recipients. Transplant Direct. 2019 May;5(5):e450. </w:t>
      </w:r>
    </w:p>
    <w:p w14:paraId="62585762" w14:textId="7E67A2EA" w:rsidR="00910797" w:rsidRPr="00AD6EB0" w:rsidRDefault="009E4C10"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Cehic MG, Nundall N, Greenfield JR, et al. Management Strategies for Posttransplant Diabetes Mellitus after Heart Transplantation: A Review. J Transplant. 2018 Jan 29;2018:1025893. doi: 10.1155/2018/1025893. eCollection 2018.</w:t>
      </w:r>
    </w:p>
    <w:p w14:paraId="5295A61E" w14:textId="77777777" w:rsidR="007326CB" w:rsidRPr="00AD6EB0" w:rsidRDefault="00EF3088"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Yen F-S, Hung Y-M, Huang J-Y, et al. Effects of SGLT2 inhibitors on transplant survival and key clinical outcomes in heart transplant recipients with diabetes. J Intern Med. 2025 May;297(5):532-542. doi: 10.1111/joim.20077. Epub 2025 Feb 25.</w:t>
      </w:r>
    </w:p>
    <w:p w14:paraId="73902517" w14:textId="3CC4524A" w:rsidR="00CB288E" w:rsidRPr="00AD6EB0" w:rsidRDefault="00CB288E"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Parekh TM, Raji M, Lin YL, et al. Hypoglycemia after antimicrobial drug prescription for older patients using sulfonylureas. JAMA Intern Med. 2014;174(10):1605-1612</w:t>
      </w:r>
    </w:p>
    <w:p w14:paraId="3895D40B" w14:textId="3F58641E" w:rsidR="009B561C" w:rsidRPr="00AD6EB0" w:rsidRDefault="002A1C58" w:rsidP="00AD6EB0">
      <w:pPr>
        <w:pStyle w:val="ListParagraph"/>
        <w:numPr>
          <w:ilvl w:val="0"/>
          <w:numId w:val="9"/>
        </w:numPr>
        <w:spacing w:after="0" w:line="276" w:lineRule="auto"/>
        <w:ind w:left="576" w:hanging="576"/>
        <w:rPr>
          <w:rFonts w:ascii="Arial" w:hAnsi="Arial" w:cs="Arial"/>
        </w:rPr>
      </w:pPr>
      <w:r w:rsidRPr="00AD6EB0">
        <w:rPr>
          <w:rFonts w:ascii="Arial" w:hAnsi="Arial" w:cs="Arial"/>
        </w:rPr>
        <w:t xml:space="preserve">Pham PT, Pham PT. </w:t>
      </w:r>
      <w:hyperlink r:id="rId41" w:history="1">
        <w:r w:rsidRPr="00AD6EB0">
          <w:rPr>
            <w:rStyle w:val="Hyperlink"/>
            <w:rFonts w:ascii="Arial" w:hAnsi="Arial" w:cs="Arial"/>
            <w:color w:val="auto"/>
            <w:u w:val="none"/>
          </w:rPr>
          <w:t>Optimal use of SGLT2 inhibitors in diabetic kidney transplant recipients.</w:t>
        </w:r>
      </w:hyperlink>
      <w:r w:rsidRPr="00AD6EB0">
        <w:rPr>
          <w:rFonts w:ascii="Arial" w:hAnsi="Arial" w:cs="Arial"/>
        </w:rPr>
        <w:t xml:space="preserve"> Front Nephrol. 2022 Nov 10;2:1014241. doi: 10.3389/fneph.2022.1014241. eCollection 2022.PMID: 37674999. </w:t>
      </w:r>
    </w:p>
    <w:p w14:paraId="33F3A967" w14:textId="77777777" w:rsidR="00D25ED1" w:rsidRPr="00AD6EB0" w:rsidRDefault="00D25ED1" w:rsidP="00AD6EB0">
      <w:pPr>
        <w:spacing w:after="0" w:line="276" w:lineRule="auto"/>
        <w:ind w:left="576" w:hanging="576"/>
        <w:rPr>
          <w:rFonts w:ascii="Arial" w:hAnsi="Arial" w:cs="Arial"/>
        </w:rPr>
      </w:pPr>
    </w:p>
    <w:p w14:paraId="63B0C2B2" w14:textId="6AA6B606" w:rsidR="001D3E9E" w:rsidRPr="00AD6EB0" w:rsidRDefault="001D3E9E" w:rsidP="00AD6EB0">
      <w:pPr>
        <w:spacing w:after="0" w:line="276" w:lineRule="auto"/>
        <w:ind w:left="576" w:hanging="576"/>
        <w:rPr>
          <w:rFonts w:ascii="Arial" w:hAnsi="Arial" w:cs="Arial"/>
        </w:rPr>
      </w:pPr>
    </w:p>
    <w:sectPr w:rsidR="001D3E9E" w:rsidRPr="00AD6E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4D639" w14:textId="77777777" w:rsidR="00631B7E" w:rsidRDefault="00631B7E" w:rsidP="00215223">
      <w:pPr>
        <w:spacing w:after="0" w:line="240" w:lineRule="auto"/>
      </w:pPr>
      <w:r>
        <w:separator/>
      </w:r>
    </w:p>
  </w:endnote>
  <w:endnote w:type="continuationSeparator" w:id="0">
    <w:p w14:paraId="220E3E63" w14:textId="77777777" w:rsidR="00631B7E" w:rsidRDefault="00631B7E" w:rsidP="00215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AF1F9" w14:textId="77777777" w:rsidR="00631B7E" w:rsidRDefault="00631B7E" w:rsidP="00215223">
      <w:pPr>
        <w:spacing w:after="0" w:line="240" w:lineRule="auto"/>
      </w:pPr>
      <w:r>
        <w:separator/>
      </w:r>
    </w:p>
  </w:footnote>
  <w:footnote w:type="continuationSeparator" w:id="0">
    <w:p w14:paraId="75112DC0" w14:textId="77777777" w:rsidR="00631B7E" w:rsidRDefault="00631B7E" w:rsidP="002152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514BE"/>
    <w:multiLevelType w:val="multilevel"/>
    <w:tmpl w:val="E9AA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D2EAE"/>
    <w:multiLevelType w:val="hybridMultilevel"/>
    <w:tmpl w:val="E8D85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643D9"/>
    <w:multiLevelType w:val="hybridMultilevel"/>
    <w:tmpl w:val="E2AEE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A1B44"/>
    <w:multiLevelType w:val="hybridMultilevel"/>
    <w:tmpl w:val="BDB8B1F0"/>
    <w:lvl w:ilvl="0" w:tplc="04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E247AE4"/>
    <w:multiLevelType w:val="multilevel"/>
    <w:tmpl w:val="AD8C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CD0DBC"/>
    <w:multiLevelType w:val="multilevel"/>
    <w:tmpl w:val="3D88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5C6029"/>
    <w:multiLevelType w:val="hybridMultilevel"/>
    <w:tmpl w:val="EF3C7E30"/>
    <w:lvl w:ilvl="0" w:tplc="04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7E2C2552"/>
    <w:multiLevelType w:val="hybridMultilevel"/>
    <w:tmpl w:val="F8BCE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CC7C84"/>
    <w:multiLevelType w:val="hybridMultilevel"/>
    <w:tmpl w:val="9A3EDC6A"/>
    <w:lvl w:ilvl="0" w:tplc="04090003">
      <w:start w:val="1"/>
      <w:numFmt w:val="bullet"/>
      <w:lvlText w:val="o"/>
      <w:lvlJc w:val="left"/>
      <w:pPr>
        <w:ind w:left="1440" w:hanging="360"/>
      </w:pPr>
      <w:rPr>
        <w:rFonts w:ascii="Courier New" w:hAnsi="Courier New" w:cs="Courier New"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406101027">
    <w:abstractNumId w:val="4"/>
  </w:num>
  <w:num w:numId="2" w16cid:durableId="1611350156">
    <w:abstractNumId w:val="2"/>
  </w:num>
  <w:num w:numId="3" w16cid:durableId="1098674646">
    <w:abstractNumId w:val="3"/>
  </w:num>
  <w:num w:numId="4" w16cid:durableId="1514955034">
    <w:abstractNumId w:val="6"/>
  </w:num>
  <w:num w:numId="5" w16cid:durableId="514811735">
    <w:abstractNumId w:val="8"/>
  </w:num>
  <w:num w:numId="6" w16cid:durableId="1274051311">
    <w:abstractNumId w:val="5"/>
  </w:num>
  <w:num w:numId="7" w16cid:durableId="2059815064">
    <w:abstractNumId w:val="0"/>
  </w:num>
  <w:num w:numId="8" w16cid:durableId="451364320">
    <w:abstractNumId w:val="1"/>
  </w:num>
  <w:num w:numId="9" w16cid:durableId="18418907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10"/>
    <w:rsid w:val="000001F4"/>
    <w:rsid w:val="000004B0"/>
    <w:rsid w:val="000026E2"/>
    <w:rsid w:val="00002A9C"/>
    <w:rsid w:val="00004E93"/>
    <w:rsid w:val="00006738"/>
    <w:rsid w:val="00012B49"/>
    <w:rsid w:val="00013A5A"/>
    <w:rsid w:val="00014322"/>
    <w:rsid w:val="00016994"/>
    <w:rsid w:val="000211F3"/>
    <w:rsid w:val="00023BAD"/>
    <w:rsid w:val="000256F8"/>
    <w:rsid w:val="000261D0"/>
    <w:rsid w:val="000269F8"/>
    <w:rsid w:val="000311D6"/>
    <w:rsid w:val="00034E17"/>
    <w:rsid w:val="00041876"/>
    <w:rsid w:val="00042065"/>
    <w:rsid w:val="000435E2"/>
    <w:rsid w:val="00043624"/>
    <w:rsid w:val="00043FA3"/>
    <w:rsid w:val="000448E2"/>
    <w:rsid w:val="00045530"/>
    <w:rsid w:val="0005060D"/>
    <w:rsid w:val="000510D9"/>
    <w:rsid w:val="00053B37"/>
    <w:rsid w:val="00053CEB"/>
    <w:rsid w:val="00056425"/>
    <w:rsid w:val="00057486"/>
    <w:rsid w:val="00057E4A"/>
    <w:rsid w:val="000602EA"/>
    <w:rsid w:val="000637EB"/>
    <w:rsid w:val="00063E52"/>
    <w:rsid w:val="00064974"/>
    <w:rsid w:val="000649E9"/>
    <w:rsid w:val="0006524E"/>
    <w:rsid w:val="00071980"/>
    <w:rsid w:val="00075D22"/>
    <w:rsid w:val="000771FE"/>
    <w:rsid w:val="00077ADC"/>
    <w:rsid w:val="00080E9C"/>
    <w:rsid w:val="000843C5"/>
    <w:rsid w:val="00085744"/>
    <w:rsid w:val="00085B13"/>
    <w:rsid w:val="000869AE"/>
    <w:rsid w:val="00087FB7"/>
    <w:rsid w:val="00090A1F"/>
    <w:rsid w:val="000A1E06"/>
    <w:rsid w:val="000A66FA"/>
    <w:rsid w:val="000B18F8"/>
    <w:rsid w:val="000B2D7F"/>
    <w:rsid w:val="000B508A"/>
    <w:rsid w:val="000B79B4"/>
    <w:rsid w:val="000C16C1"/>
    <w:rsid w:val="000C2C94"/>
    <w:rsid w:val="000C523F"/>
    <w:rsid w:val="000C7AF6"/>
    <w:rsid w:val="000D07B7"/>
    <w:rsid w:val="000D71E8"/>
    <w:rsid w:val="000D7209"/>
    <w:rsid w:val="000E0230"/>
    <w:rsid w:val="000E35C0"/>
    <w:rsid w:val="000E3621"/>
    <w:rsid w:val="000E37F2"/>
    <w:rsid w:val="000E7666"/>
    <w:rsid w:val="000F0696"/>
    <w:rsid w:val="000F2AC5"/>
    <w:rsid w:val="000F3B4A"/>
    <w:rsid w:val="000F4890"/>
    <w:rsid w:val="000F4EFA"/>
    <w:rsid w:val="00101934"/>
    <w:rsid w:val="001037A9"/>
    <w:rsid w:val="00105020"/>
    <w:rsid w:val="00105E76"/>
    <w:rsid w:val="00107313"/>
    <w:rsid w:val="00110EE2"/>
    <w:rsid w:val="00111245"/>
    <w:rsid w:val="00112064"/>
    <w:rsid w:val="00112B64"/>
    <w:rsid w:val="00115784"/>
    <w:rsid w:val="00117362"/>
    <w:rsid w:val="00123C9C"/>
    <w:rsid w:val="00124B75"/>
    <w:rsid w:val="00125AEA"/>
    <w:rsid w:val="0012795C"/>
    <w:rsid w:val="00130791"/>
    <w:rsid w:val="00130C70"/>
    <w:rsid w:val="0013164B"/>
    <w:rsid w:val="00132472"/>
    <w:rsid w:val="001327F9"/>
    <w:rsid w:val="0013355F"/>
    <w:rsid w:val="00133CD7"/>
    <w:rsid w:val="00133F0A"/>
    <w:rsid w:val="00134F7A"/>
    <w:rsid w:val="0013550D"/>
    <w:rsid w:val="00137004"/>
    <w:rsid w:val="00141A6C"/>
    <w:rsid w:val="00142F82"/>
    <w:rsid w:val="00143293"/>
    <w:rsid w:val="00144BC1"/>
    <w:rsid w:val="00147D99"/>
    <w:rsid w:val="001506E8"/>
    <w:rsid w:val="00150E7C"/>
    <w:rsid w:val="00154471"/>
    <w:rsid w:val="0015609D"/>
    <w:rsid w:val="00161E3B"/>
    <w:rsid w:val="00162752"/>
    <w:rsid w:val="00163175"/>
    <w:rsid w:val="00163FA4"/>
    <w:rsid w:val="0016569B"/>
    <w:rsid w:val="00167E87"/>
    <w:rsid w:val="00171BD9"/>
    <w:rsid w:val="00172809"/>
    <w:rsid w:val="00175CC7"/>
    <w:rsid w:val="00181DB8"/>
    <w:rsid w:val="00182C1F"/>
    <w:rsid w:val="001842C8"/>
    <w:rsid w:val="00185D6B"/>
    <w:rsid w:val="001902B0"/>
    <w:rsid w:val="00193C52"/>
    <w:rsid w:val="001952B1"/>
    <w:rsid w:val="0019637D"/>
    <w:rsid w:val="001A0994"/>
    <w:rsid w:val="001A1B7D"/>
    <w:rsid w:val="001A1DF1"/>
    <w:rsid w:val="001A4BBF"/>
    <w:rsid w:val="001B3605"/>
    <w:rsid w:val="001B3C6E"/>
    <w:rsid w:val="001B45B9"/>
    <w:rsid w:val="001B48B4"/>
    <w:rsid w:val="001B7174"/>
    <w:rsid w:val="001C6B10"/>
    <w:rsid w:val="001D1462"/>
    <w:rsid w:val="001D1927"/>
    <w:rsid w:val="001D2451"/>
    <w:rsid w:val="001D355C"/>
    <w:rsid w:val="001D3ABA"/>
    <w:rsid w:val="001D3CF3"/>
    <w:rsid w:val="001D3E9E"/>
    <w:rsid w:val="001D7DA3"/>
    <w:rsid w:val="001E4216"/>
    <w:rsid w:val="001E7030"/>
    <w:rsid w:val="001E7849"/>
    <w:rsid w:val="001F109F"/>
    <w:rsid w:val="001F2B62"/>
    <w:rsid w:val="001F39D7"/>
    <w:rsid w:val="001F42B5"/>
    <w:rsid w:val="00200220"/>
    <w:rsid w:val="0020088C"/>
    <w:rsid w:val="0020133E"/>
    <w:rsid w:val="00201B50"/>
    <w:rsid w:val="00201B9D"/>
    <w:rsid w:val="00201F1A"/>
    <w:rsid w:val="00211931"/>
    <w:rsid w:val="00213810"/>
    <w:rsid w:val="00215223"/>
    <w:rsid w:val="00217AC7"/>
    <w:rsid w:val="00217F3C"/>
    <w:rsid w:val="00221727"/>
    <w:rsid w:val="00223E5B"/>
    <w:rsid w:val="00224A84"/>
    <w:rsid w:val="00225826"/>
    <w:rsid w:val="00225878"/>
    <w:rsid w:val="00231676"/>
    <w:rsid w:val="002360C9"/>
    <w:rsid w:val="00240A42"/>
    <w:rsid w:val="00241223"/>
    <w:rsid w:val="0024192B"/>
    <w:rsid w:val="00245B47"/>
    <w:rsid w:val="00245D04"/>
    <w:rsid w:val="0024604A"/>
    <w:rsid w:val="00246529"/>
    <w:rsid w:val="002508B4"/>
    <w:rsid w:val="00250F9D"/>
    <w:rsid w:val="00253501"/>
    <w:rsid w:val="00256E7A"/>
    <w:rsid w:val="00263BC9"/>
    <w:rsid w:val="0027061E"/>
    <w:rsid w:val="002706C3"/>
    <w:rsid w:val="002800EB"/>
    <w:rsid w:val="00284BEC"/>
    <w:rsid w:val="00285EBB"/>
    <w:rsid w:val="00286101"/>
    <w:rsid w:val="00290135"/>
    <w:rsid w:val="00291033"/>
    <w:rsid w:val="0029574E"/>
    <w:rsid w:val="00295B98"/>
    <w:rsid w:val="002974AD"/>
    <w:rsid w:val="002A028B"/>
    <w:rsid w:val="002A0922"/>
    <w:rsid w:val="002A1C58"/>
    <w:rsid w:val="002A235A"/>
    <w:rsid w:val="002A34AC"/>
    <w:rsid w:val="002A5739"/>
    <w:rsid w:val="002A5B77"/>
    <w:rsid w:val="002A6C28"/>
    <w:rsid w:val="002A6C3D"/>
    <w:rsid w:val="002A7639"/>
    <w:rsid w:val="002B0099"/>
    <w:rsid w:val="002B1063"/>
    <w:rsid w:val="002B77AC"/>
    <w:rsid w:val="002C1371"/>
    <w:rsid w:val="002C182C"/>
    <w:rsid w:val="002C2945"/>
    <w:rsid w:val="002C2B44"/>
    <w:rsid w:val="002C37E9"/>
    <w:rsid w:val="002D3714"/>
    <w:rsid w:val="002E0463"/>
    <w:rsid w:val="002E2045"/>
    <w:rsid w:val="002F0D4B"/>
    <w:rsid w:val="002F2139"/>
    <w:rsid w:val="002F40BB"/>
    <w:rsid w:val="002F4F32"/>
    <w:rsid w:val="002F5D14"/>
    <w:rsid w:val="002F738D"/>
    <w:rsid w:val="002F7502"/>
    <w:rsid w:val="00300EB3"/>
    <w:rsid w:val="003039EC"/>
    <w:rsid w:val="00305571"/>
    <w:rsid w:val="0031350C"/>
    <w:rsid w:val="0031462F"/>
    <w:rsid w:val="0031617F"/>
    <w:rsid w:val="0031760A"/>
    <w:rsid w:val="0032003A"/>
    <w:rsid w:val="0032035A"/>
    <w:rsid w:val="00321040"/>
    <w:rsid w:val="0032286E"/>
    <w:rsid w:val="00322B69"/>
    <w:rsid w:val="00323AF7"/>
    <w:rsid w:val="00327AE1"/>
    <w:rsid w:val="003328E6"/>
    <w:rsid w:val="0033438F"/>
    <w:rsid w:val="00336638"/>
    <w:rsid w:val="003367FA"/>
    <w:rsid w:val="0034230F"/>
    <w:rsid w:val="00343495"/>
    <w:rsid w:val="00343EA2"/>
    <w:rsid w:val="00344D68"/>
    <w:rsid w:val="003466AE"/>
    <w:rsid w:val="00352215"/>
    <w:rsid w:val="00354B3F"/>
    <w:rsid w:val="00354EED"/>
    <w:rsid w:val="00356C56"/>
    <w:rsid w:val="00357A82"/>
    <w:rsid w:val="003605C2"/>
    <w:rsid w:val="00361457"/>
    <w:rsid w:val="00361C85"/>
    <w:rsid w:val="00362496"/>
    <w:rsid w:val="00364AFF"/>
    <w:rsid w:val="003650AD"/>
    <w:rsid w:val="003654B6"/>
    <w:rsid w:val="0037044B"/>
    <w:rsid w:val="00371C37"/>
    <w:rsid w:val="00372164"/>
    <w:rsid w:val="00376894"/>
    <w:rsid w:val="00381561"/>
    <w:rsid w:val="00381A63"/>
    <w:rsid w:val="003823EA"/>
    <w:rsid w:val="003825AE"/>
    <w:rsid w:val="003872D7"/>
    <w:rsid w:val="003873F4"/>
    <w:rsid w:val="003929F7"/>
    <w:rsid w:val="00392C5F"/>
    <w:rsid w:val="003956DB"/>
    <w:rsid w:val="00396B7F"/>
    <w:rsid w:val="00396E70"/>
    <w:rsid w:val="003A1C1B"/>
    <w:rsid w:val="003A39BC"/>
    <w:rsid w:val="003A3CC9"/>
    <w:rsid w:val="003A6461"/>
    <w:rsid w:val="003B3F39"/>
    <w:rsid w:val="003B47FA"/>
    <w:rsid w:val="003C07A2"/>
    <w:rsid w:val="003C0E42"/>
    <w:rsid w:val="003C2617"/>
    <w:rsid w:val="003C2C98"/>
    <w:rsid w:val="003C39BB"/>
    <w:rsid w:val="003C4D8E"/>
    <w:rsid w:val="003D0E35"/>
    <w:rsid w:val="003D6F14"/>
    <w:rsid w:val="003D7DF0"/>
    <w:rsid w:val="003D7E83"/>
    <w:rsid w:val="003E2AA7"/>
    <w:rsid w:val="003E7F9D"/>
    <w:rsid w:val="003F16BE"/>
    <w:rsid w:val="003F2237"/>
    <w:rsid w:val="003F3EAC"/>
    <w:rsid w:val="003F420E"/>
    <w:rsid w:val="00401195"/>
    <w:rsid w:val="0040694F"/>
    <w:rsid w:val="0040752D"/>
    <w:rsid w:val="00413B02"/>
    <w:rsid w:val="00414CAF"/>
    <w:rsid w:val="00414FED"/>
    <w:rsid w:val="0041640F"/>
    <w:rsid w:val="0042270F"/>
    <w:rsid w:val="0042364B"/>
    <w:rsid w:val="0043041E"/>
    <w:rsid w:val="00433D54"/>
    <w:rsid w:val="00433E41"/>
    <w:rsid w:val="004344B0"/>
    <w:rsid w:val="00434D41"/>
    <w:rsid w:val="00437074"/>
    <w:rsid w:val="004371EC"/>
    <w:rsid w:val="00437AED"/>
    <w:rsid w:val="00441F0D"/>
    <w:rsid w:val="00446715"/>
    <w:rsid w:val="00447340"/>
    <w:rsid w:val="00447381"/>
    <w:rsid w:val="0045234B"/>
    <w:rsid w:val="00452B80"/>
    <w:rsid w:val="00455173"/>
    <w:rsid w:val="004560C2"/>
    <w:rsid w:val="004566F0"/>
    <w:rsid w:val="00460AA5"/>
    <w:rsid w:val="004616D4"/>
    <w:rsid w:val="00462145"/>
    <w:rsid w:val="00464655"/>
    <w:rsid w:val="004653B2"/>
    <w:rsid w:val="0046793B"/>
    <w:rsid w:val="0047047F"/>
    <w:rsid w:val="00470611"/>
    <w:rsid w:val="00470F19"/>
    <w:rsid w:val="0047499D"/>
    <w:rsid w:val="0047559A"/>
    <w:rsid w:val="004759D7"/>
    <w:rsid w:val="0047698C"/>
    <w:rsid w:val="00476DAC"/>
    <w:rsid w:val="004777DC"/>
    <w:rsid w:val="0048410E"/>
    <w:rsid w:val="00485AD3"/>
    <w:rsid w:val="0048615E"/>
    <w:rsid w:val="00490716"/>
    <w:rsid w:val="004918B8"/>
    <w:rsid w:val="00491D9B"/>
    <w:rsid w:val="00492D17"/>
    <w:rsid w:val="004935C8"/>
    <w:rsid w:val="00495965"/>
    <w:rsid w:val="0049743F"/>
    <w:rsid w:val="004A5685"/>
    <w:rsid w:val="004A7A26"/>
    <w:rsid w:val="004B03A0"/>
    <w:rsid w:val="004B2B88"/>
    <w:rsid w:val="004B45EF"/>
    <w:rsid w:val="004B537B"/>
    <w:rsid w:val="004C0581"/>
    <w:rsid w:val="004C27DE"/>
    <w:rsid w:val="004C313A"/>
    <w:rsid w:val="004C5782"/>
    <w:rsid w:val="004C6604"/>
    <w:rsid w:val="004C69A5"/>
    <w:rsid w:val="004D0903"/>
    <w:rsid w:val="004D3A12"/>
    <w:rsid w:val="004D64A3"/>
    <w:rsid w:val="004D6B83"/>
    <w:rsid w:val="004D70A2"/>
    <w:rsid w:val="004E0FC4"/>
    <w:rsid w:val="004E1725"/>
    <w:rsid w:val="004E2313"/>
    <w:rsid w:val="004E2D47"/>
    <w:rsid w:val="004E74F4"/>
    <w:rsid w:val="004E79EE"/>
    <w:rsid w:val="004F13E7"/>
    <w:rsid w:val="004F46C5"/>
    <w:rsid w:val="004F50A5"/>
    <w:rsid w:val="004F5F8B"/>
    <w:rsid w:val="004F60B5"/>
    <w:rsid w:val="004F7D6C"/>
    <w:rsid w:val="005017CF"/>
    <w:rsid w:val="005033CC"/>
    <w:rsid w:val="005050A6"/>
    <w:rsid w:val="005057AE"/>
    <w:rsid w:val="00510601"/>
    <w:rsid w:val="00512010"/>
    <w:rsid w:val="005127EA"/>
    <w:rsid w:val="00514FC3"/>
    <w:rsid w:val="00517EE5"/>
    <w:rsid w:val="00520B44"/>
    <w:rsid w:val="005256F1"/>
    <w:rsid w:val="0052594C"/>
    <w:rsid w:val="005267F0"/>
    <w:rsid w:val="005303E0"/>
    <w:rsid w:val="00531104"/>
    <w:rsid w:val="005315FA"/>
    <w:rsid w:val="00532D64"/>
    <w:rsid w:val="00536CAC"/>
    <w:rsid w:val="005410E5"/>
    <w:rsid w:val="00544042"/>
    <w:rsid w:val="0054659C"/>
    <w:rsid w:val="0054668C"/>
    <w:rsid w:val="00550F99"/>
    <w:rsid w:val="0055346C"/>
    <w:rsid w:val="00554BAC"/>
    <w:rsid w:val="00556100"/>
    <w:rsid w:val="00560515"/>
    <w:rsid w:val="0056461D"/>
    <w:rsid w:val="0056540E"/>
    <w:rsid w:val="005672BD"/>
    <w:rsid w:val="005672D0"/>
    <w:rsid w:val="00567566"/>
    <w:rsid w:val="00567871"/>
    <w:rsid w:val="00573C7C"/>
    <w:rsid w:val="00574077"/>
    <w:rsid w:val="00576C49"/>
    <w:rsid w:val="00577D82"/>
    <w:rsid w:val="00581E73"/>
    <w:rsid w:val="00583161"/>
    <w:rsid w:val="00592FD4"/>
    <w:rsid w:val="00593A28"/>
    <w:rsid w:val="00593E2B"/>
    <w:rsid w:val="005A02E7"/>
    <w:rsid w:val="005A05D2"/>
    <w:rsid w:val="005A1076"/>
    <w:rsid w:val="005A1F0B"/>
    <w:rsid w:val="005A4B3D"/>
    <w:rsid w:val="005A5D1B"/>
    <w:rsid w:val="005A5E2C"/>
    <w:rsid w:val="005B00DC"/>
    <w:rsid w:val="005B062A"/>
    <w:rsid w:val="005B186D"/>
    <w:rsid w:val="005B4B19"/>
    <w:rsid w:val="005B5A36"/>
    <w:rsid w:val="005C2918"/>
    <w:rsid w:val="005C3692"/>
    <w:rsid w:val="005C3BC8"/>
    <w:rsid w:val="005C41F1"/>
    <w:rsid w:val="005C5686"/>
    <w:rsid w:val="005C6124"/>
    <w:rsid w:val="005C62C3"/>
    <w:rsid w:val="005D0825"/>
    <w:rsid w:val="005D6045"/>
    <w:rsid w:val="005D6D2D"/>
    <w:rsid w:val="005D7038"/>
    <w:rsid w:val="005D711F"/>
    <w:rsid w:val="005E00BD"/>
    <w:rsid w:val="005E0F36"/>
    <w:rsid w:val="005E141E"/>
    <w:rsid w:val="005E2CCC"/>
    <w:rsid w:val="005F2BE9"/>
    <w:rsid w:val="005F5138"/>
    <w:rsid w:val="005F62E0"/>
    <w:rsid w:val="00602C3B"/>
    <w:rsid w:val="00604ED0"/>
    <w:rsid w:val="006051BB"/>
    <w:rsid w:val="006070F2"/>
    <w:rsid w:val="00607BA4"/>
    <w:rsid w:val="00607DEE"/>
    <w:rsid w:val="00613449"/>
    <w:rsid w:val="00614C3D"/>
    <w:rsid w:val="00614D2B"/>
    <w:rsid w:val="00622DDB"/>
    <w:rsid w:val="00626BB3"/>
    <w:rsid w:val="00627F40"/>
    <w:rsid w:val="006313F6"/>
    <w:rsid w:val="00631B7E"/>
    <w:rsid w:val="00632674"/>
    <w:rsid w:val="00634D50"/>
    <w:rsid w:val="00642526"/>
    <w:rsid w:val="00643616"/>
    <w:rsid w:val="00644C23"/>
    <w:rsid w:val="00645377"/>
    <w:rsid w:val="0064796E"/>
    <w:rsid w:val="00654283"/>
    <w:rsid w:val="006561F7"/>
    <w:rsid w:val="00656A32"/>
    <w:rsid w:val="006578E4"/>
    <w:rsid w:val="00661B4E"/>
    <w:rsid w:val="006628F0"/>
    <w:rsid w:val="00663134"/>
    <w:rsid w:val="00663370"/>
    <w:rsid w:val="006700CF"/>
    <w:rsid w:val="0067136E"/>
    <w:rsid w:val="00672560"/>
    <w:rsid w:val="006736F6"/>
    <w:rsid w:val="00674B67"/>
    <w:rsid w:val="00675570"/>
    <w:rsid w:val="00676A41"/>
    <w:rsid w:val="00682D56"/>
    <w:rsid w:val="00683ED6"/>
    <w:rsid w:val="00686E05"/>
    <w:rsid w:val="00692CF3"/>
    <w:rsid w:val="00693058"/>
    <w:rsid w:val="0069488B"/>
    <w:rsid w:val="00696117"/>
    <w:rsid w:val="00696B71"/>
    <w:rsid w:val="006A1149"/>
    <w:rsid w:val="006A3A89"/>
    <w:rsid w:val="006B0746"/>
    <w:rsid w:val="006B1476"/>
    <w:rsid w:val="006B4296"/>
    <w:rsid w:val="006B5AF5"/>
    <w:rsid w:val="006B799E"/>
    <w:rsid w:val="006B7B47"/>
    <w:rsid w:val="006C37A0"/>
    <w:rsid w:val="006C5888"/>
    <w:rsid w:val="006C652D"/>
    <w:rsid w:val="006C6CD4"/>
    <w:rsid w:val="006C7173"/>
    <w:rsid w:val="006D7AEB"/>
    <w:rsid w:val="006E006F"/>
    <w:rsid w:val="006E08AD"/>
    <w:rsid w:val="006E4950"/>
    <w:rsid w:val="006E49FA"/>
    <w:rsid w:val="006E4C5F"/>
    <w:rsid w:val="006F2DF0"/>
    <w:rsid w:val="006F3FB6"/>
    <w:rsid w:val="006F4806"/>
    <w:rsid w:val="00701469"/>
    <w:rsid w:val="0070178A"/>
    <w:rsid w:val="00701C7E"/>
    <w:rsid w:val="007025DB"/>
    <w:rsid w:val="007045D3"/>
    <w:rsid w:val="00704631"/>
    <w:rsid w:val="00706C38"/>
    <w:rsid w:val="007102A2"/>
    <w:rsid w:val="00710B62"/>
    <w:rsid w:val="00711AE0"/>
    <w:rsid w:val="00711D80"/>
    <w:rsid w:val="0071371B"/>
    <w:rsid w:val="00713EFB"/>
    <w:rsid w:val="00713FA7"/>
    <w:rsid w:val="00717931"/>
    <w:rsid w:val="00720236"/>
    <w:rsid w:val="007203B6"/>
    <w:rsid w:val="00721181"/>
    <w:rsid w:val="00723017"/>
    <w:rsid w:val="00723543"/>
    <w:rsid w:val="00730AFC"/>
    <w:rsid w:val="007326CB"/>
    <w:rsid w:val="007328AE"/>
    <w:rsid w:val="00732BD2"/>
    <w:rsid w:val="00733A6C"/>
    <w:rsid w:val="0073675C"/>
    <w:rsid w:val="007430DD"/>
    <w:rsid w:val="007502EE"/>
    <w:rsid w:val="0075157A"/>
    <w:rsid w:val="007536D2"/>
    <w:rsid w:val="007542E2"/>
    <w:rsid w:val="007553AF"/>
    <w:rsid w:val="00755B19"/>
    <w:rsid w:val="00757C32"/>
    <w:rsid w:val="00760D75"/>
    <w:rsid w:val="0076273D"/>
    <w:rsid w:val="0076290B"/>
    <w:rsid w:val="00762C60"/>
    <w:rsid w:val="00764BDE"/>
    <w:rsid w:val="0076597A"/>
    <w:rsid w:val="00772B10"/>
    <w:rsid w:val="007733D3"/>
    <w:rsid w:val="00773C8B"/>
    <w:rsid w:val="00781D05"/>
    <w:rsid w:val="0078519A"/>
    <w:rsid w:val="00786EC1"/>
    <w:rsid w:val="00790162"/>
    <w:rsid w:val="00790EEE"/>
    <w:rsid w:val="00790F2F"/>
    <w:rsid w:val="00793624"/>
    <w:rsid w:val="00793684"/>
    <w:rsid w:val="00793EB9"/>
    <w:rsid w:val="00793F61"/>
    <w:rsid w:val="007949AE"/>
    <w:rsid w:val="00796DDF"/>
    <w:rsid w:val="007A4E74"/>
    <w:rsid w:val="007A59D9"/>
    <w:rsid w:val="007B032E"/>
    <w:rsid w:val="007B2C9D"/>
    <w:rsid w:val="007B6DBB"/>
    <w:rsid w:val="007B7A44"/>
    <w:rsid w:val="007B7D75"/>
    <w:rsid w:val="007C07DE"/>
    <w:rsid w:val="007C2697"/>
    <w:rsid w:val="007C4EBF"/>
    <w:rsid w:val="007C6451"/>
    <w:rsid w:val="007C79A1"/>
    <w:rsid w:val="007C7E44"/>
    <w:rsid w:val="007D6A60"/>
    <w:rsid w:val="007E59D4"/>
    <w:rsid w:val="007E5DAE"/>
    <w:rsid w:val="007E5F63"/>
    <w:rsid w:val="007E65E5"/>
    <w:rsid w:val="007E6B57"/>
    <w:rsid w:val="007F023D"/>
    <w:rsid w:val="007F0B6B"/>
    <w:rsid w:val="007F0F3F"/>
    <w:rsid w:val="007F3F6D"/>
    <w:rsid w:val="007F7B17"/>
    <w:rsid w:val="008013C0"/>
    <w:rsid w:val="008028B0"/>
    <w:rsid w:val="00803097"/>
    <w:rsid w:val="00805D65"/>
    <w:rsid w:val="00807572"/>
    <w:rsid w:val="008110EB"/>
    <w:rsid w:val="00811E60"/>
    <w:rsid w:val="00813F0A"/>
    <w:rsid w:val="00817673"/>
    <w:rsid w:val="008205A7"/>
    <w:rsid w:val="0082114C"/>
    <w:rsid w:val="00821F52"/>
    <w:rsid w:val="00827B71"/>
    <w:rsid w:val="00834868"/>
    <w:rsid w:val="00835EDB"/>
    <w:rsid w:val="008364ED"/>
    <w:rsid w:val="00837583"/>
    <w:rsid w:val="00837727"/>
    <w:rsid w:val="00837FC5"/>
    <w:rsid w:val="00841E30"/>
    <w:rsid w:val="0084414B"/>
    <w:rsid w:val="00845D21"/>
    <w:rsid w:val="008466F0"/>
    <w:rsid w:val="00846A08"/>
    <w:rsid w:val="008470B5"/>
    <w:rsid w:val="00850D67"/>
    <w:rsid w:val="0085157B"/>
    <w:rsid w:val="008517EF"/>
    <w:rsid w:val="008526CE"/>
    <w:rsid w:val="00855DB6"/>
    <w:rsid w:val="008577A4"/>
    <w:rsid w:val="00865A51"/>
    <w:rsid w:val="00865B61"/>
    <w:rsid w:val="00866D50"/>
    <w:rsid w:val="00867F9F"/>
    <w:rsid w:val="00870E50"/>
    <w:rsid w:val="0087168C"/>
    <w:rsid w:val="00873465"/>
    <w:rsid w:val="0087596A"/>
    <w:rsid w:val="00881446"/>
    <w:rsid w:val="0088764C"/>
    <w:rsid w:val="00887752"/>
    <w:rsid w:val="00890A21"/>
    <w:rsid w:val="00891C45"/>
    <w:rsid w:val="00893218"/>
    <w:rsid w:val="008949FA"/>
    <w:rsid w:val="008A1B46"/>
    <w:rsid w:val="008A4D38"/>
    <w:rsid w:val="008A69A3"/>
    <w:rsid w:val="008B118E"/>
    <w:rsid w:val="008B326F"/>
    <w:rsid w:val="008B39C4"/>
    <w:rsid w:val="008B53AE"/>
    <w:rsid w:val="008B5DFE"/>
    <w:rsid w:val="008B6215"/>
    <w:rsid w:val="008B6A7D"/>
    <w:rsid w:val="008B7C63"/>
    <w:rsid w:val="008C0147"/>
    <w:rsid w:val="008C2478"/>
    <w:rsid w:val="008C3528"/>
    <w:rsid w:val="008C45D4"/>
    <w:rsid w:val="008D3DD9"/>
    <w:rsid w:val="008D620A"/>
    <w:rsid w:val="008E4D8C"/>
    <w:rsid w:val="008F15E4"/>
    <w:rsid w:val="008F1894"/>
    <w:rsid w:val="008F2514"/>
    <w:rsid w:val="008F4093"/>
    <w:rsid w:val="008F46B2"/>
    <w:rsid w:val="008F4F96"/>
    <w:rsid w:val="008F4FA4"/>
    <w:rsid w:val="008F51C8"/>
    <w:rsid w:val="0090004A"/>
    <w:rsid w:val="009018DE"/>
    <w:rsid w:val="00902C52"/>
    <w:rsid w:val="00903EA9"/>
    <w:rsid w:val="0090619A"/>
    <w:rsid w:val="00907057"/>
    <w:rsid w:val="0090708E"/>
    <w:rsid w:val="00907D59"/>
    <w:rsid w:val="00910797"/>
    <w:rsid w:val="00913AA3"/>
    <w:rsid w:val="0091564A"/>
    <w:rsid w:val="009162B9"/>
    <w:rsid w:val="00916AD8"/>
    <w:rsid w:val="009204E0"/>
    <w:rsid w:val="009206DA"/>
    <w:rsid w:val="009303F3"/>
    <w:rsid w:val="009308CC"/>
    <w:rsid w:val="009330CE"/>
    <w:rsid w:val="00933407"/>
    <w:rsid w:val="0093408C"/>
    <w:rsid w:val="00934E7D"/>
    <w:rsid w:val="009354F8"/>
    <w:rsid w:val="009379B8"/>
    <w:rsid w:val="0094005A"/>
    <w:rsid w:val="00940D6B"/>
    <w:rsid w:val="00942C30"/>
    <w:rsid w:val="009447C9"/>
    <w:rsid w:val="0095004D"/>
    <w:rsid w:val="00953BC8"/>
    <w:rsid w:val="00955EF2"/>
    <w:rsid w:val="009605DF"/>
    <w:rsid w:val="00960C80"/>
    <w:rsid w:val="009611F9"/>
    <w:rsid w:val="009619E5"/>
    <w:rsid w:val="00962733"/>
    <w:rsid w:val="00964172"/>
    <w:rsid w:val="00967A9B"/>
    <w:rsid w:val="00970874"/>
    <w:rsid w:val="00971E85"/>
    <w:rsid w:val="00972239"/>
    <w:rsid w:val="00972603"/>
    <w:rsid w:val="00975B30"/>
    <w:rsid w:val="00980877"/>
    <w:rsid w:val="00982029"/>
    <w:rsid w:val="009839DC"/>
    <w:rsid w:val="00986A7B"/>
    <w:rsid w:val="00990E66"/>
    <w:rsid w:val="00992A6A"/>
    <w:rsid w:val="00995996"/>
    <w:rsid w:val="009A0649"/>
    <w:rsid w:val="009A0720"/>
    <w:rsid w:val="009A166C"/>
    <w:rsid w:val="009A1DC8"/>
    <w:rsid w:val="009A20FC"/>
    <w:rsid w:val="009A3F10"/>
    <w:rsid w:val="009A6FA8"/>
    <w:rsid w:val="009B03AF"/>
    <w:rsid w:val="009B3D18"/>
    <w:rsid w:val="009B561C"/>
    <w:rsid w:val="009B5E7B"/>
    <w:rsid w:val="009B7DD9"/>
    <w:rsid w:val="009C1F87"/>
    <w:rsid w:val="009C4B16"/>
    <w:rsid w:val="009C72CC"/>
    <w:rsid w:val="009D1AE7"/>
    <w:rsid w:val="009D6567"/>
    <w:rsid w:val="009D7385"/>
    <w:rsid w:val="009E1350"/>
    <w:rsid w:val="009E224D"/>
    <w:rsid w:val="009E4205"/>
    <w:rsid w:val="009E4BAA"/>
    <w:rsid w:val="009E4C10"/>
    <w:rsid w:val="009E60B5"/>
    <w:rsid w:val="009E729A"/>
    <w:rsid w:val="009F007D"/>
    <w:rsid w:val="009F054D"/>
    <w:rsid w:val="009F169A"/>
    <w:rsid w:val="009F4C73"/>
    <w:rsid w:val="00A006B6"/>
    <w:rsid w:val="00A04ED2"/>
    <w:rsid w:val="00A05E4C"/>
    <w:rsid w:val="00A0724E"/>
    <w:rsid w:val="00A0745B"/>
    <w:rsid w:val="00A075CD"/>
    <w:rsid w:val="00A07C6D"/>
    <w:rsid w:val="00A105C5"/>
    <w:rsid w:val="00A11331"/>
    <w:rsid w:val="00A2180C"/>
    <w:rsid w:val="00A21EAD"/>
    <w:rsid w:val="00A23458"/>
    <w:rsid w:val="00A23FFF"/>
    <w:rsid w:val="00A254FD"/>
    <w:rsid w:val="00A26823"/>
    <w:rsid w:val="00A268A5"/>
    <w:rsid w:val="00A268AF"/>
    <w:rsid w:val="00A26EC1"/>
    <w:rsid w:val="00A27D70"/>
    <w:rsid w:val="00A327AD"/>
    <w:rsid w:val="00A35BC7"/>
    <w:rsid w:val="00A3628B"/>
    <w:rsid w:val="00A3744B"/>
    <w:rsid w:val="00A4040F"/>
    <w:rsid w:val="00A430B0"/>
    <w:rsid w:val="00A46144"/>
    <w:rsid w:val="00A46573"/>
    <w:rsid w:val="00A46A9D"/>
    <w:rsid w:val="00A53A01"/>
    <w:rsid w:val="00A53C19"/>
    <w:rsid w:val="00A60CE0"/>
    <w:rsid w:val="00A61E90"/>
    <w:rsid w:val="00A62485"/>
    <w:rsid w:val="00A63F75"/>
    <w:rsid w:val="00A648A6"/>
    <w:rsid w:val="00A66DDC"/>
    <w:rsid w:val="00A7039F"/>
    <w:rsid w:val="00A73798"/>
    <w:rsid w:val="00A77724"/>
    <w:rsid w:val="00A8032E"/>
    <w:rsid w:val="00A84496"/>
    <w:rsid w:val="00A845BC"/>
    <w:rsid w:val="00A94AAA"/>
    <w:rsid w:val="00A972BE"/>
    <w:rsid w:val="00AA1918"/>
    <w:rsid w:val="00AA1CD1"/>
    <w:rsid w:val="00AA1DC7"/>
    <w:rsid w:val="00AA4BB3"/>
    <w:rsid w:val="00AA6276"/>
    <w:rsid w:val="00AB0FAA"/>
    <w:rsid w:val="00AB2C9B"/>
    <w:rsid w:val="00AB6BE6"/>
    <w:rsid w:val="00AB6E40"/>
    <w:rsid w:val="00AB7A15"/>
    <w:rsid w:val="00AC0548"/>
    <w:rsid w:val="00AC31E6"/>
    <w:rsid w:val="00AC3E39"/>
    <w:rsid w:val="00AC625C"/>
    <w:rsid w:val="00AC6AC0"/>
    <w:rsid w:val="00AD639A"/>
    <w:rsid w:val="00AD6EB0"/>
    <w:rsid w:val="00AE21A6"/>
    <w:rsid w:val="00AE36F4"/>
    <w:rsid w:val="00AE6991"/>
    <w:rsid w:val="00AE7B57"/>
    <w:rsid w:val="00AF2529"/>
    <w:rsid w:val="00AF62BA"/>
    <w:rsid w:val="00B03D06"/>
    <w:rsid w:val="00B03F58"/>
    <w:rsid w:val="00B06B39"/>
    <w:rsid w:val="00B07B5F"/>
    <w:rsid w:val="00B10F18"/>
    <w:rsid w:val="00B129A9"/>
    <w:rsid w:val="00B12DB2"/>
    <w:rsid w:val="00B138C0"/>
    <w:rsid w:val="00B16511"/>
    <w:rsid w:val="00B16E44"/>
    <w:rsid w:val="00B269A8"/>
    <w:rsid w:val="00B30467"/>
    <w:rsid w:val="00B323F8"/>
    <w:rsid w:val="00B328E8"/>
    <w:rsid w:val="00B42355"/>
    <w:rsid w:val="00B44CD8"/>
    <w:rsid w:val="00B46255"/>
    <w:rsid w:val="00B46AEC"/>
    <w:rsid w:val="00B50E50"/>
    <w:rsid w:val="00B52E8A"/>
    <w:rsid w:val="00B54E1E"/>
    <w:rsid w:val="00B55172"/>
    <w:rsid w:val="00B6183A"/>
    <w:rsid w:val="00B65B2A"/>
    <w:rsid w:val="00B664BC"/>
    <w:rsid w:val="00B66732"/>
    <w:rsid w:val="00B67ABE"/>
    <w:rsid w:val="00B67B91"/>
    <w:rsid w:val="00B67BF7"/>
    <w:rsid w:val="00B7053D"/>
    <w:rsid w:val="00B705EA"/>
    <w:rsid w:val="00B72A92"/>
    <w:rsid w:val="00B72F00"/>
    <w:rsid w:val="00B77757"/>
    <w:rsid w:val="00B81793"/>
    <w:rsid w:val="00B82495"/>
    <w:rsid w:val="00B874AD"/>
    <w:rsid w:val="00B95186"/>
    <w:rsid w:val="00B95D57"/>
    <w:rsid w:val="00B963E3"/>
    <w:rsid w:val="00BA2075"/>
    <w:rsid w:val="00BA47B4"/>
    <w:rsid w:val="00BB26A3"/>
    <w:rsid w:val="00BB26DF"/>
    <w:rsid w:val="00BB2D64"/>
    <w:rsid w:val="00BB309E"/>
    <w:rsid w:val="00BB3BD8"/>
    <w:rsid w:val="00BB4AD5"/>
    <w:rsid w:val="00BB5E29"/>
    <w:rsid w:val="00BB7B76"/>
    <w:rsid w:val="00BB7BD8"/>
    <w:rsid w:val="00BC4D7D"/>
    <w:rsid w:val="00BC51A0"/>
    <w:rsid w:val="00BC684A"/>
    <w:rsid w:val="00BE5265"/>
    <w:rsid w:val="00BE5BC5"/>
    <w:rsid w:val="00BF5BF0"/>
    <w:rsid w:val="00C046C8"/>
    <w:rsid w:val="00C04A0D"/>
    <w:rsid w:val="00C05648"/>
    <w:rsid w:val="00C06D33"/>
    <w:rsid w:val="00C0755C"/>
    <w:rsid w:val="00C11FA9"/>
    <w:rsid w:val="00C12C0C"/>
    <w:rsid w:val="00C177EB"/>
    <w:rsid w:val="00C20433"/>
    <w:rsid w:val="00C22191"/>
    <w:rsid w:val="00C2703B"/>
    <w:rsid w:val="00C27412"/>
    <w:rsid w:val="00C325E1"/>
    <w:rsid w:val="00C32843"/>
    <w:rsid w:val="00C330D0"/>
    <w:rsid w:val="00C3362C"/>
    <w:rsid w:val="00C34BF2"/>
    <w:rsid w:val="00C3585A"/>
    <w:rsid w:val="00C37927"/>
    <w:rsid w:val="00C414A1"/>
    <w:rsid w:val="00C41723"/>
    <w:rsid w:val="00C422AC"/>
    <w:rsid w:val="00C4508F"/>
    <w:rsid w:val="00C46C01"/>
    <w:rsid w:val="00C47080"/>
    <w:rsid w:val="00C51060"/>
    <w:rsid w:val="00C53BB9"/>
    <w:rsid w:val="00C5446D"/>
    <w:rsid w:val="00C561C2"/>
    <w:rsid w:val="00C57401"/>
    <w:rsid w:val="00C629F4"/>
    <w:rsid w:val="00C62ED9"/>
    <w:rsid w:val="00C6365C"/>
    <w:rsid w:val="00C65A40"/>
    <w:rsid w:val="00C66127"/>
    <w:rsid w:val="00C70A39"/>
    <w:rsid w:val="00C72752"/>
    <w:rsid w:val="00C72FFF"/>
    <w:rsid w:val="00C7573D"/>
    <w:rsid w:val="00C76F69"/>
    <w:rsid w:val="00C80BFD"/>
    <w:rsid w:val="00C80D31"/>
    <w:rsid w:val="00C84C78"/>
    <w:rsid w:val="00C92925"/>
    <w:rsid w:val="00C95255"/>
    <w:rsid w:val="00C953A5"/>
    <w:rsid w:val="00C96B10"/>
    <w:rsid w:val="00CA043A"/>
    <w:rsid w:val="00CA3A66"/>
    <w:rsid w:val="00CA40E6"/>
    <w:rsid w:val="00CA6683"/>
    <w:rsid w:val="00CA687E"/>
    <w:rsid w:val="00CB288E"/>
    <w:rsid w:val="00CC04BB"/>
    <w:rsid w:val="00CC0BA4"/>
    <w:rsid w:val="00CC0EB6"/>
    <w:rsid w:val="00CC14E0"/>
    <w:rsid w:val="00CC28D9"/>
    <w:rsid w:val="00CC298C"/>
    <w:rsid w:val="00CC3AF9"/>
    <w:rsid w:val="00CC529E"/>
    <w:rsid w:val="00CC564E"/>
    <w:rsid w:val="00CD09AA"/>
    <w:rsid w:val="00CD33E9"/>
    <w:rsid w:val="00CD35DF"/>
    <w:rsid w:val="00CD4A00"/>
    <w:rsid w:val="00CE1211"/>
    <w:rsid w:val="00CE4E16"/>
    <w:rsid w:val="00CE5086"/>
    <w:rsid w:val="00CE7FCA"/>
    <w:rsid w:val="00CF5757"/>
    <w:rsid w:val="00CF618A"/>
    <w:rsid w:val="00CF670D"/>
    <w:rsid w:val="00CF6BE2"/>
    <w:rsid w:val="00CF7739"/>
    <w:rsid w:val="00D004ED"/>
    <w:rsid w:val="00D00B64"/>
    <w:rsid w:val="00D01A10"/>
    <w:rsid w:val="00D031AC"/>
    <w:rsid w:val="00D04FD5"/>
    <w:rsid w:val="00D059C3"/>
    <w:rsid w:val="00D0639B"/>
    <w:rsid w:val="00D07F3B"/>
    <w:rsid w:val="00D101EA"/>
    <w:rsid w:val="00D10D5E"/>
    <w:rsid w:val="00D121DF"/>
    <w:rsid w:val="00D13D8B"/>
    <w:rsid w:val="00D14527"/>
    <w:rsid w:val="00D14E59"/>
    <w:rsid w:val="00D231A8"/>
    <w:rsid w:val="00D240BD"/>
    <w:rsid w:val="00D247B2"/>
    <w:rsid w:val="00D25ED1"/>
    <w:rsid w:val="00D355B7"/>
    <w:rsid w:val="00D40B89"/>
    <w:rsid w:val="00D41EC4"/>
    <w:rsid w:val="00D45042"/>
    <w:rsid w:val="00D459B0"/>
    <w:rsid w:val="00D469CD"/>
    <w:rsid w:val="00D478A5"/>
    <w:rsid w:val="00D50806"/>
    <w:rsid w:val="00D51448"/>
    <w:rsid w:val="00D524BF"/>
    <w:rsid w:val="00D5687E"/>
    <w:rsid w:val="00D569A8"/>
    <w:rsid w:val="00D56CA2"/>
    <w:rsid w:val="00D61D69"/>
    <w:rsid w:val="00D6591D"/>
    <w:rsid w:val="00D65FFE"/>
    <w:rsid w:val="00D669F3"/>
    <w:rsid w:val="00D6779C"/>
    <w:rsid w:val="00D71D76"/>
    <w:rsid w:val="00D72476"/>
    <w:rsid w:val="00D731DE"/>
    <w:rsid w:val="00D7558D"/>
    <w:rsid w:val="00D800B8"/>
    <w:rsid w:val="00D82429"/>
    <w:rsid w:val="00D83C80"/>
    <w:rsid w:val="00D8698D"/>
    <w:rsid w:val="00D87388"/>
    <w:rsid w:val="00D9033D"/>
    <w:rsid w:val="00D93D96"/>
    <w:rsid w:val="00D94E16"/>
    <w:rsid w:val="00D970E9"/>
    <w:rsid w:val="00DA003B"/>
    <w:rsid w:val="00DA0F4F"/>
    <w:rsid w:val="00DA3D1A"/>
    <w:rsid w:val="00DA6F6C"/>
    <w:rsid w:val="00DB2DBA"/>
    <w:rsid w:val="00DB5CBA"/>
    <w:rsid w:val="00DC08CD"/>
    <w:rsid w:val="00DC15FC"/>
    <w:rsid w:val="00DC1776"/>
    <w:rsid w:val="00DC1A62"/>
    <w:rsid w:val="00DC2919"/>
    <w:rsid w:val="00DC4E72"/>
    <w:rsid w:val="00DD13BB"/>
    <w:rsid w:val="00DD19BB"/>
    <w:rsid w:val="00DD268C"/>
    <w:rsid w:val="00DD2D3E"/>
    <w:rsid w:val="00DD4C5C"/>
    <w:rsid w:val="00DD54C1"/>
    <w:rsid w:val="00DD5512"/>
    <w:rsid w:val="00DD721F"/>
    <w:rsid w:val="00DE1284"/>
    <w:rsid w:val="00DE3F84"/>
    <w:rsid w:val="00DE5EE3"/>
    <w:rsid w:val="00DE60A6"/>
    <w:rsid w:val="00DE6D4D"/>
    <w:rsid w:val="00DE7BAA"/>
    <w:rsid w:val="00DF20A9"/>
    <w:rsid w:val="00DF31D4"/>
    <w:rsid w:val="00DF336E"/>
    <w:rsid w:val="00DF7748"/>
    <w:rsid w:val="00E016B0"/>
    <w:rsid w:val="00E02738"/>
    <w:rsid w:val="00E0431A"/>
    <w:rsid w:val="00E1022D"/>
    <w:rsid w:val="00E22D7B"/>
    <w:rsid w:val="00E24D10"/>
    <w:rsid w:val="00E25D47"/>
    <w:rsid w:val="00E26DDC"/>
    <w:rsid w:val="00E31F72"/>
    <w:rsid w:val="00E322D8"/>
    <w:rsid w:val="00E35AE5"/>
    <w:rsid w:val="00E35E0B"/>
    <w:rsid w:val="00E36C43"/>
    <w:rsid w:val="00E41B84"/>
    <w:rsid w:val="00E451B9"/>
    <w:rsid w:val="00E45372"/>
    <w:rsid w:val="00E45897"/>
    <w:rsid w:val="00E478FA"/>
    <w:rsid w:val="00E503CE"/>
    <w:rsid w:val="00E52111"/>
    <w:rsid w:val="00E53270"/>
    <w:rsid w:val="00E55086"/>
    <w:rsid w:val="00E64BDD"/>
    <w:rsid w:val="00E65302"/>
    <w:rsid w:val="00E653D4"/>
    <w:rsid w:val="00E67D74"/>
    <w:rsid w:val="00E67FA0"/>
    <w:rsid w:val="00E70945"/>
    <w:rsid w:val="00E717AB"/>
    <w:rsid w:val="00E72201"/>
    <w:rsid w:val="00E73568"/>
    <w:rsid w:val="00E7422B"/>
    <w:rsid w:val="00E74884"/>
    <w:rsid w:val="00E74F78"/>
    <w:rsid w:val="00E80390"/>
    <w:rsid w:val="00E82AD9"/>
    <w:rsid w:val="00E82BC8"/>
    <w:rsid w:val="00E867AE"/>
    <w:rsid w:val="00E87AEA"/>
    <w:rsid w:val="00E91EE0"/>
    <w:rsid w:val="00E93A0A"/>
    <w:rsid w:val="00E9418E"/>
    <w:rsid w:val="00E94FBB"/>
    <w:rsid w:val="00EA21BB"/>
    <w:rsid w:val="00EA33E2"/>
    <w:rsid w:val="00EA497E"/>
    <w:rsid w:val="00EB2952"/>
    <w:rsid w:val="00EB440D"/>
    <w:rsid w:val="00EB4435"/>
    <w:rsid w:val="00EB49F0"/>
    <w:rsid w:val="00EB4CB8"/>
    <w:rsid w:val="00EB535D"/>
    <w:rsid w:val="00EB64BE"/>
    <w:rsid w:val="00EB68F8"/>
    <w:rsid w:val="00EB7709"/>
    <w:rsid w:val="00EC07C5"/>
    <w:rsid w:val="00EC0DA1"/>
    <w:rsid w:val="00EC17A8"/>
    <w:rsid w:val="00EC2F1D"/>
    <w:rsid w:val="00EC3335"/>
    <w:rsid w:val="00EC4525"/>
    <w:rsid w:val="00EC7D7D"/>
    <w:rsid w:val="00ED25E1"/>
    <w:rsid w:val="00ED2E80"/>
    <w:rsid w:val="00ED43EC"/>
    <w:rsid w:val="00ED6B9D"/>
    <w:rsid w:val="00EE3701"/>
    <w:rsid w:val="00EE47E1"/>
    <w:rsid w:val="00EE504D"/>
    <w:rsid w:val="00EF2096"/>
    <w:rsid w:val="00EF267A"/>
    <w:rsid w:val="00EF3088"/>
    <w:rsid w:val="00EF34F3"/>
    <w:rsid w:val="00EF776A"/>
    <w:rsid w:val="00F00912"/>
    <w:rsid w:val="00F033C4"/>
    <w:rsid w:val="00F13067"/>
    <w:rsid w:val="00F13177"/>
    <w:rsid w:val="00F22344"/>
    <w:rsid w:val="00F2747C"/>
    <w:rsid w:val="00F278F5"/>
    <w:rsid w:val="00F325EA"/>
    <w:rsid w:val="00F33B80"/>
    <w:rsid w:val="00F33C25"/>
    <w:rsid w:val="00F3754D"/>
    <w:rsid w:val="00F37E50"/>
    <w:rsid w:val="00F40811"/>
    <w:rsid w:val="00F42A1A"/>
    <w:rsid w:val="00F438D3"/>
    <w:rsid w:val="00F43A93"/>
    <w:rsid w:val="00F44958"/>
    <w:rsid w:val="00F473AE"/>
    <w:rsid w:val="00F5178F"/>
    <w:rsid w:val="00F522FA"/>
    <w:rsid w:val="00F54745"/>
    <w:rsid w:val="00F54A31"/>
    <w:rsid w:val="00F65FB8"/>
    <w:rsid w:val="00F67651"/>
    <w:rsid w:val="00F716A8"/>
    <w:rsid w:val="00F7251A"/>
    <w:rsid w:val="00F7689C"/>
    <w:rsid w:val="00F77474"/>
    <w:rsid w:val="00F77A1F"/>
    <w:rsid w:val="00F77F90"/>
    <w:rsid w:val="00F80AD8"/>
    <w:rsid w:val="00F82130"/>
    <w:rsid w:val="00F85B12"/>
    <w:rsid w:val="00F8754B"/>
    <w:rsid w:val="00F91B60"/>
    <w:rsid w:val="00F94E66"/>
    <w:rsid w:val="00F94EC1"/>
    <w:rsid w:val="00F95401"/>
    <w:rsid w:val="00F96107"/>
    <w:rsid w:val="00FA1409"/>
    <w:rsid w:val="00FA1835"/>
    <w:rsid w:val="00FA3F4E"/>
    <w:rsid w:val="00FA4ABB"/>
    <w:rsid w:val="00FA70DB"/>
    <w:rsid w:val="00FB2500"/>
    <w:rsid w:val="00FB2E39"/>
    <w:rsid w:val="00FB4064"/>
    <w:rsid w:val="00FB7BC1"/>
    <w:rsid w:val="00FC0B52"/>
    <w:rsid w:val="00FC1365"/>
    <w:rsid w:val="00FC20F7"/>
    <w:rsid w:val="00FC58D4"/>
    <w:rsid w:val="00FC5C76"/>
    <w:rsid w:val="00FC7433"/>
    <w:rsid w:val="00FC74DC"/>
    <w:rsid w:val="00FD59B4"/>
    <w:rsid w:val="00FD68A6"/>
    <w:rsid w:val="00FD6C17"/>
    <w:rsid w:val="00FE0A48"/>
    <w:rsid w:val="00FE15E5"/>
    <w:rsid w:val="00FE4427"/>
    <w:rsid w:val="00FE4742"/>
    <w:rsid w:val="00FE4CB9"/>
    <w:rsid w:val="00FE6DF1"/>
    <w:rsid w:val="00FF0E70"/>
    <w:rsid w:val="00FF1346"/>
    <w:rsid w:val="00FF3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AC3CF"/>
  <w15:chartTrackingRefBased/>
  <w15:docId w15:val="{4B6D3765-7923-49BF-A3F1-C278351C3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4C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4C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4C1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4C1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4C1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4C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C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C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C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C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4C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4C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4C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4C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4C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C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C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C10"/>
    <w:rPr>
      <w:rFonts w:eastAsiaTheme="majorEastAsia" w:cstheme="majorBidi"/>
      <w:color w:val="272727" w:themeColor="text1" w:themeTint="D8"/>
    </w:rPr>
  </w:style>
  <w:style w:type="paragraph" w:styleId="Title">
    <w:name w:val="Title"/>
    <w:basedOn w:val="Normal"/>
    <w:next w:val="Normal"/>
    <w:link w:val="TitleChar"/>
    <w:uiPriority w:val="10"/>
    <w:qFormat/>
    <w:rsid w:val="009E4C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C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C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C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C10"/>
    <w:pPr>
      <w:spacing w:before="160"/>
      <w:jc w:val="center"/>
    </w:pPr>
    <w:rPr>
      <w:i/>
      <w:iCs/>
      <w:color w:val="404040" w:themeColor="text1" w:themeTint="BF"/>
    </w:rPr>
  </w:style>
  <w:style w:type="character" w:customStyle="1" w:styleId="QuoteChar">
    <w:name w:val="Quote Char"/>
    <w:basedOn w:val="DefaultParagraphFont"/>
    <w:link w:val="Quote"/>
    <w:uiPriority w:val="29"/>
    <w:rsid w:val="009E4C10"/>
    <w:rPr>
      <w:i/>
      <w:iCs/>
      <w:color w:val="404040" w:themeColor="text1" w:themeTint="BF"/>
    </w:rPr>
  </w:style>
  <w:style w:type="paragraph" w:styleId="ListParagraph">
    <w:name w:val="List Paragraph"/>
    <w:basedOn w:val="Normal"/>
    <w:link w:val="ListParagraphChar"/>
    <w:uiPriority w:val="34"/>
    <w:qFormat/>
    <w:rsid w:val="009E4C10"/>
    <w:pPr>
      <w:ind w:left="720"/>
      <w:contextualSpacing/>
    </w:pPr>
  </w:style>
  <w:style w:type="character" w:styleId="IntenseEmphasis">
    <w:name w:val="Intense Emphasis"/>
    <w:basedOn w:val="DefaultParagraphFont"/>
    <w:uiPriority w:val="21"/>
    <w:qFormat/>
    <w:rsid w:val="009E4C10"/>
    <w:rPr>
      <w:i/>
      <w:iCs/>
      <w:color w:val="0F4761" w:themeColor="accent1" w:themeShade="BF"/>
    </w:rPr>
  </w:style>
  <w:style w:type="paragraph" w:styleId="IntenseQuote">
    <w:name w:val="Intense Quote"/>
    <w:basedOn w:val="Normal"/>
    <w:next w:val="Normal"/>
    <w:link w:val="IntenseQuoteChar"/>
    <w:uiPriority w:val="30"/>
    <w:qFormat/>
    <w:rsid w:val="009E4C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4C10"/>
    <w:rPr>
      <w:i/>
      <w:iCs/>
      <w:color w:val="0F4761" w:themeColor="accent1" w:themeShade="BF"/>
    </w:rPr>
  </w:style>
  <w:style w:type="character" w:styleId="IntenseReference">
    <w:name w:val="Intense Reference"/>
    <w:basedOn w:val="DefaultParagraphFont"/>
    <w:uiPriority w:val="32"/>
    <w:qFormat/>
    <w:rsid w:val="009E4C10"/>
    <w:rPr>
      <w:b/>
      <w:bCs/>
      <w:smallCaps/>
      <w:color w:val="0F4761" w:themeColor="accent1" w:themeShade="BF"/>
      <w:spacing w:val="5"/>
    </w:rPr>
  </w:style>
  <w:style w:type="character" w:styleId="Hyperlink">
    <w:name w:val="Hyperlink"/>
    <w:basedOn w:val="DefaultParagraphFont"/>
    <w:uiPriority w:val="99"/>
    <w:unhideWhenUsed/>
    <w:rsid w:val="009E4C10"/>
    <w:rPr>
      <w:color w:val="467886" w:themeColor="hyperlink"/>
      <w:u w:val="single"/>
    </w:rPr>
  </w:style>
  <w:style w:type="character" w:styleId="UnresolvedMention">
    <w:name w:val="Unresolved Mention"/>
    <w:basedOn w:val="DefaultParagraphFont"/>
    <w:uiPriority w:val="99"/>
    <w:semiHidden/>
    <w:unhideWhenUsed/>
    <w:rsid w:val="009E4C10"/>
    <w:rPr>
      <w:color w:val="605E5C"/>
      <w:shd w:val="clear" w:color="auto" w:fill="E1DFDD"/>
    </w:rPr>
  </w:style>
  <w:style w:type="character" w:customStyle="1" w:styleId="ListParagraphChar">
    <w:name w:val="List Paragraph Char"/>
    <w:basedOn w:val="DefaultParagraphFont"/>
    <w:link w:val="ListParagraph"/>
    <w:uiPriority w:val="34"/>
    <w:rsid w:val="00371C37"/>
  </w:style>
  <w:style w:type="paragraph" w:styleId="NormalWeb">
    <w:name w:val="Normal (Web)"/>
    <w:basedOn w:val="Normal"/>
    <w:uiPriority w:val="99"/>
    <w:semiHidden/>
    <w:unhideWhenUsed/>
    <w:rsid w:val="00B10F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itsup">
    <w:name w:val="citsup"/>
    <w:uiPriority w:val="99"/>
    <w:rsid w:val="009330CE"/>
    <w:rPr>
      <w:vertAlign w:val="superscript"/>
    </w:rPr>
  </w:style>
  <w:style w:type="character" w:customStyle="1" w:styleId="splChar">
    <w:name w:val="splChar"/>
    <w:uiPriority w:val="99"/>
    <w:rsid w:val="0056461D"/>
    <w:rPr>
      <w:rFonts w:ascii="Arial Unicode MS" w:hAnsi="Arial Unicode MS" w:cs="Arial Unicode MS"/>
      <w:sz w:val="24"/>
      <w:szCs w:val="24"/>
    </w:rPr>
  </w:style>
  <w:style w:type="paragraph" w:styleId="Revision">
    <w:name w:val="Revision"/>
    <w:hidden/>
    <w:uiPriority w:val="99"/>
    <w:semiHidden/>
    <w:rsid w:val="00AD639A"/>
    <w:pPr>
      <w:spacing w:after="0" w:line="240" w:lineRule="auto"/>
    </w:pPr>
  </w:style>
  <w:style w:type="character" w:styleId="CommentReference">
    <w:name w:val="annotation reference"/>
    <w:basedOn w:val="DefaultParagraphFont"/>
    <w:uiPriority w:val="99"/>
    <w:semiHidden/>
    <w:unhideWhenUsed/>
    <w:rsid w:val="00AD639A"/>
    <w:rPr>
      <w:sz w:val="16"/>
      <w:szCs w:val="16"/>
    </w:rPr>
  </w:style>
  <w:style w:type="paragraph" w:styleId="CommentText">
    <w:name w:val="annotation text"/>
    <w:basedOn w:val="Normal"/>
    <w:link w:val="CommentTextChar"/>
    <w:uiPriority w:val="99"/>
    <w:unhideWhenUsed/>
    <w:rsid w:val="00AD639A"/>
    <w:pPr>
      <w:spacing w:line="240" w:lineRule="auto"/>
    </w:pPr>
    <w:rPr>
      <w:sz w:val="20"/>
      <w:szCs w:val="20"/>
    </w:rPr>
  </w:style>
  <w:style w:type="character" w:customStyle="1" w:styleId="CommentTextChar">
    <w:name w:val="Comment Text Char"/>
    <w:basedOn w:val="DefaultParagraphFont"/>
    <w:link w:val="CommentText"/>
    <w:uiPriority w:val="99"/>
    <w:rsid w:val="00AD639A"/>
    <w:rPr>
      <w:sz w:val="20"/>
      <w:szCs w:val="20"/>
    </w:rPr>
  </w:style>
  <w:style w:type="paragraph" w:styleId="CommentSubject">
    <w:name w:val="annotation subject"/>
    <w:basedOn w:val="CommentText"/>
    <w:next w:val="CommentText"/>
    <w:link w:val="CommentSubjectChar"/>
    <w:uiPriority w:val="99"/>
    <w:semiHidden/>
    <w:unhideWhenUsed/>
    <w:rsid w:val="00AD639A"/>
    <w:rPr>
      <w:b/>
      <w:bCs/>
    </w:rPr>
  </w:style>
  <w:style w:type="character" w:customStyle="1" w:styleId="CommentSubjectChar">
    <w:name w:val="Comment Subject Char"/>
    <w:basedOn w:val="CommentTextChar"/>
    <w:link w:val="CommentSubject"/>
    <w:uiPriority w:val="99"/>
    <w:semiHidden/>
    <w:rsid w:val="00AD639A"/>
    <w:rPr>
      <w:b/>
      <w:bCs/>
      <w:sz w:val="20"/>
      <w:szCs w:val="20"/>
    </w:rPr>
  </w:style>
  <w:style w:type="paragraph" w:styleId="Header">
    <w:name w:val="header"/>
    <w:basedOn w:val="Normal"/>
    <w:link w:val="HeaderChar"/>
    <w:uiPriority w:val="99"/>
    <w:unhideWhenUsed/>
    <w:rsid w:val="002152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223"/>
  </w:style>
  <w:style w:type="paragraph" w:styleId="Footer">
    <w:name w:val="footer"/>
    <w:basedOn w:val="Normal"/>
    <w:link w:val="FooterChar"/>
    <w:uiPriority w:val="99"/>
    <w:unhideWhenUsed/>
    <w:rsid w:val="002152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2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80216">
      <w:bodyDiv w:val="1"/>
      <w:marLeft w:val="0"/>
      <w:marRight w:val="0"/>
      <w:marTop w:val="0"/>
      <w:marBottom w:val="0"/>
      <w:divBdr>
        <w:top w:val="none" w:sz="0" w:space="0" w:color="auto"/>
        <w:left w:val="none" w:sz="0" w:space="0" w:color="auto"/>
        <w:bottom w:val="none" w:sz="0" w:space="0" w:color="auto"/>
        <w:right w:val="none" w:sz="0" w:space="0" w:color="auto"/>
      </w:divBdr>
      <w:divsChild>
        <w:div w:id="1470438388">
          <w:marLeft w:val="0"/>
          <w:marRight w:val="0"/>
          <w:marTop w:val="0"/>
          <w:marBottom w:val="0"/>
          <w:divBdr>
            <w:top w:val="none" w:sz="0" w:space="0" w:color="auto"/>
            <w:left w:val="none" w:sz="0" w:space="0" w:color="auto"/>
            <w:bottom w:val="none" w:sz="0" w:space="0" w:color="auto"/>
            <w:right w:val="none" w:sz="0" w:space="0" w:color="auto"/>
          </w:divBdr>
          <w:divsChild>
            <w:div w:id="832915497">
              <w:marLeft w:val="0"/>
              <w:marRight w:val="0"/>
              <w:marTop w:val="332"/>
              <w:marBottom w:val="332"/>
              <w:divBdr>
                <w:top w:val="single" w:sz="6" w:space="8" w:color="DDDDDD"/>
                <w:left w:val="single" w:sz="6" w:space="8" w:color="DDDDDD"/>
                <w:bottom w:val="single" w:sz="6" w:space="0" w:color="DDDDDD"/>
                <w:right w:val="single" w:sz="6" w:space="8" w:color="DDDDDD"/>
              </w:divBdr>
              <w:divsChild>
                <w:div w:id="113116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8089">
          <w:marLeft w:val="0"/>
          <w:marRight w:val="0"/>
          <w:marTop w:val="0"/>
          <w:marBottom w:val="0"/>
          <w:divBdr>
            <w:top w:val="none" w:sz="0" w:space="0" w:color="auto"/>
            <w:left w:val="none" w:sz="0" w:space="0" w:color="auto"/>
            <w:bottom w:val="none" w:sz="0" w:space="0" w:color="auto"/>
            <w:right w:val="none" w:sz="0" w:space="0" w:color="auto"/>
          </w:divBdr>
        </w:div>
        <w:div w:id="1125924571">
          <w:marLeft w:val="0"/>
          <w:marRight w:val="0"/>
          <w:marTop w:val="0"/>
          <w:marBottom w:val="0"/>
          <w:divBdr>
            <w:top w:val="none" w:sz="0" w:space="0" w:color="auto"/>
            <w:left w:val="none" w:sz="0" w:space="0" w:color="auto"/>
            <w:bottom w:val="none" w:sz="0" w:space="0" w:color="auto"/>
            <w:right w:val="none" w:sz="0" w:space="0" w:color="auto"/>
          </w:divBdr>
        </w:div>
      </w:divsChild>
    </w:div>
    <w:div w:id="143816032">
      <w:bodyDiv w:val="1"/>
      <w:marLeft w:val="0"/>
      <w:marRight w:val="0"/>
      <w:marTop w:val="0"/>
      <w:marBottom w:val="0"/>
      <w:divBdr>
        <w:top w:val="none" w:sz="0" w:space="0" w:color="auto"/>
        <w:left w:val="none" w:sz="0" w:space="0" w:color="auto"/>
        <w:bottom w:val="none" w:sz="0" w:space="0" w:color="auto"/>
        <w:right w:val="none" w:sz="0" w:space="0" w:color="auto"/>
      </w:divBdr>
    </w:div>
    <w:div w:id="315182951">
      <w:bodyDiv w:val="1"/>
      <w:marLeft w:val="0"/>
      <w:marRight w:val="0"/>
      <w:marTop w:val="0"/>
      <w:marBottom w:val="0"/>
      <w:divBdr>
        <w:top w:val="none" w:sz="0" w:space="0" w:color="auto"/>
        <w:left w:val="none" w:sz="0" w:space="0" w:color="auto"/>
        <w:bottom w:val="none" w:sz="0" w:space="0" w:color="auto"/>
        <w:right w:val="none" w:sz="0" w:space="0" w:color="auto"/>
      </w:divBdr>
    </w:div>
    <w:div w:id="483012838">
      <w:bodyDiv w:val="1"/>
      <w:marLeft w:val="0"/>
      <w:marRight w:val="0"/>
      <w:marTop w:val="0"/>
      <w:marBottom w:val="0"/>
      <w:divBdr>
        <w:top w:val="none" w:sz="0" w:space="0" w:color="auto"/>
        <w:left w:val="none" w:sz="0" w:space="0" w:color="auto"/>
        <w:bottom w:val="none" w:sz="0" w:space="0" w:color="auto"/>
        <w:right w:val="none" w:sz="0" w:space="0" w:color="auto"/>
      </w:divBdr>
      <w:divsChild>
        <w:div w:id="1196230563">
          <w:marLeft w:val="0"/>
          <w:marRight w:val="0"/>
          <w:marTop w:val="0"/>
          <w:marBottom w:val="0"/>
          <w:divBdr>
            <w:top w:val="none" w:sz="0" w:space="0" w:color="auto"/>
            <w:left w:val="none" w:sz="0" w:space="0" w:color="auto"/>
            <w:bottom w:val="none" w:sz="0" w:space="0" w:color="auto"/>
            <w:right w:val="none" w:sz="0" w:space="0" w:color="auto"/>
          </w:divBdr>
        </w:div>
        <w:div w:id="328405352">
          <w:marLeft w:val="0"/>
          <w:marRight w:val="0"/>
          <w:marTop w:val="0"/>
          <w:marBottom w:val="0"/>
          <w:divBdr>
            <w:top w:val="none" w:sz="0" w:space="0" w:color="auto"/>
            <w:left w:val="none" w:sz="0" w:space="0" w:color="auto"/>
            <w:bottom w:val="none" w:sz="0" w:space="0" w:color="auto"/>
            <w:right w:val="none" w:sz="0" w:space="0" w:color="auto"/>
          </w:divBdr>
        </w:div>
        <w:div w:id="1430346528">
          <w:marLeft w:val="0"/>
          <w:marRight w:val="0"/>
          <w:marTop w:val="0"/>
          <w:marBottom w:val="0"/>
          <w:divBdr>
            <w:top w:val="none" w:sz="0" w:space="0" w:color="auto"/>
            <w:left w:val="none" w:sz="0" w:space="0" w:color="auto"/>
            <w:bottom w:val="none" w:sz="0" w:space="0" w:color="auto"/>
            <w:right w:val="none" w:sz="0" w:space="0" w:color="auto"/>
          </w:divBdr>
        </w:div>
        <w:div w:id="1985890059">
          <w:marLeft w:val="0"/>
          <w:marRight w:val="0"/>
          <w:marTop w:val="0"/>
          <w:marBottom w:val="0"/>
          <w:divBdr>
            <w:top w:val="none" w:sz="0" w:space="0" w:color="auto"/>
            <w:left w:val="none" w:sz="0" w:space="0" w:color="auto"/>
            <w:bottom w:val="none" w:sz="0" w:space="0" w:color="auto"/>
            <w:right w:val="none" w:sz="0" w:space="0" w:color="auto"/>
          </w:divBdr>
        </w:div>
        <w:div w:id="185558554">
          <w:marLeft w:val="0"/>
          <w:marRight w:val="0"/>
          <w:marTop w:val="0"/>
          <w:marBottom w:val="0"/>
          <w:divBdr>
            <w:top w:val="none" w:sz="0" w:space="0" w:color="auto"/>
            <w:left w:val="none" w:sz="0" w:space="0" w:color="auto"/>
            <w:bottom w:val="none" w:sz="0" w:space="0" w:color="auto"/>
            <w:right w:val="none" w:sz="0" w:space="0" w:color="auto"/>
          </w:divBdr>
        </w:div>
        <w:div w:id="708263603">
          <w:marLeft w:val="0"/>
          <w:marRight w:val="0"/>
          <w:marTop w:val="0"/>
          <w:marBottom w:val="0"/>
          <w:divBdr>
            <w:top w:val="none" w:sz="0" w:space="0" w:color="auto"/>
            <w:left w:val="none" w:sz="0" w:space="0" w:color="auto"/>
            <w:bottom w:val="none" w:sz="0" w:space="0" w:color="auto"/>
            <w:right w:val="none" w:sz="0" w:space="0" w:color="auto"/>
          </w:divBdr>
        </w:div>
        <w:div w:id="2008752002">
          <w:marLeft w:val="0"/>
          <w:marRight w:val="0"/>
          <w:marTop w:val="0"/>
          <w:marBottom w:val="0"/>
          <w:divBdr>
            <w:top w:val="none" w:sz="0" w:space="0" w:color="auto"/>
            <w:left w:val="none" w:sz="0" w:space="0" w:color="auto"/>
            <w:bottom w:val="none" w:sz="0" w:space="0" w:color="auto"/>
            <w:right w:val="none" w:sz="0" w:space="0" w:color="auto"/>
          </w:divBdr>
        </w:div>
        <w:div w:id="1027566681">
          <w:marLeft w:val="0"/>
          <w:marRight w:val="0"/>
          <w:marTop w:val="0"/>
          <w:marBottom w:val="0"/>
          <w:divBdr>
            <w:top w:val="none" w:sz="0" w:space="0" w:color="auto"/>
            <w:left w:val="none" w:sz="0" w:space="0" w:color="auto"/>
            <w:bottom w:val="none" w:sz="0" w:space="0" w:color="auto"/>
            <w:right w:val="none" w:sz="0" w:space="0" w:color="auto"/>
          </w:divBdr>
        </w:div>
        <w:div w:id="672731493">
          <w:marLeft w:val="0"/>
          <w:marRight w:val="0"/>
          <w:marTop w:val="0"/>
          <w:marBottom w:val="0"/>
          <w:divBdr>
            <w:top w:val="none" w:sz="0" w:space="0" w:color="auto"/>
            <w:left w:val="none" w:sz="0" w:space="0" w:color="auto"/>
            <w:bottom w:val="none" w:sz="0" w:space="0" w:color="auto"/>
            <w:right w:val="none" w:sz="0" w:space="0" w:color="auto"/>
          </w:divBdr>
        </w:div>
        <w:div w:id="1474518221">
          <w:marLeft w:val="0"/>
          <w:marRight w:val="0"/>
          <w:marTop w:val="0"/>
          <w:marBottom w:val="0"/>
          <w:divBdr>
            <w:top w:val="none" w:sz="0" w:space="0" w:color="auto"/>
            <w:left w:val="none" w:sz="0" w:space="0" w:color="auto"/>
            <w:bottom w:val="none" w:sz="0" w:space="0" w:color="auto"/>
            <w:right w:val="none" w:sz="0" w:space="0" w:color="auto"/>
          </w:divBdr>
        </w:div>
        <w:div w:id="1274705641">
          <w:marLeft w:val="0"/>
          <w:marRight w:val="0"/>
          <w:marTop w:val="0"/>
          <w:marBottom w:val="0"/>
          <w:divBdr>
            <w:top w:val="none" w:sz="0" w:space="0" w:color="auto"/>
            <w:left w:val="none" w:sz="0" w:space="0" w:color="auto"/>
            <w:bottom w:val="none" w:sz="0" w:space="0" w:color="auto"/>
            <w:right w:val="none" w:sz="0" w:space="0" w:color="auto"/>
          </w:divBdr>
        </w:div>
        <w:div w:id="1706907991">
          <w:marLeft w:val="0"/>
          <w:marRight w:val="0"/>
          <w:marTop w:val="0"/>
          <w:marBottom w:val="0"/>
          <w:divBdr>
            <w:top w:val="none" w:sz="0" w:space="0" w:color="auto"/>
            <w:left w:val="none" w:sz="0" w:space="0" w:color="auto"/>
            <w:bottom w:val="none" w:sz="0" w:space="0" w:color="auto"/>
            <w:right w:val="none" w:sz="0" w:space="0" w:color="auto"/>
          </w:divBdr>
        </w:div>
        <w:div w:id="314798546">
          <w:marLeft w:val="0"/>
          <w:marRight w:val="0"/>
          <w:marTop w:val="0"/>
          <w:marBottom w:val="0"/>
          <w:divBdr>
            <w:top w:val="none" w:sz="0" w:space="0" w:color="auto"/>
            <w:left w:val="none" w:sz="0" w:space="0" w:color="auto"/>
            <w:bottom w:val="none" w:sz="0" w:space="0" w:color="auto"/>
            <w:right w:val="none" w:sz="0" w:space="0" w:color="auto"/>
          </w:divBdr>
        </w:div>
        <w:div w:id="1101954677">
          <w:marLeft w:val="0"/>
          <w:marRight w:val="0"/>
          <w:marTop w:val="0"/>
          <w:marBottom w:val="0"/>
          <w:divBdr>
            <w:top w:val="none" w:sz="0" w:space="0" w:color="auto"/>
            <w:left w:val="none" w:sz="0" w:space="0" w:color="auto"/>
            <w:bottom w:val="none" w:sz="0" w:space="0" w:color="auto"/>
            <w:right w:val="none" w:sz="0" w:space="0" w:color="auto"/>
          </w:divBdr>
        </w:div>
        <w:div w:id="147595559">
          <w:marLeft w:val="0"/>
          <w:marRight w:val="0"/>
          <w:marTop w:val="0"/>
          <w:marBottom w:val="0"/>
          <w:divBdr>
            <w:top w:val="none" w:sz="0" w:space="0" w:color="auto"/>
            <w:left w:val="none" w:sz="0" w:space="0" w:color="auto"/>
            <w:bottom w:val="none" w:sz="0" w:space="0" w:color="auto"/>
            <w:right w:val="none" w:sz="0" w:space="0" w:color="auto"/>
          </w:divBdr>
        </w:div>
        <w:div w:id="2003921607">
          <w:marLeft w:val="0"/>
          <w:marRight w:val="0"/>
          <w:marTop w:val="0"/>
          <w:marBottom w:val="0"/>
          <w:divBdr>
            <w:top w:val="none" w:sz="0" w:space="0" w:color="auto"/>
            <w:left w:val="none" w:sz="0" w:space="0" w:color="auto"/>
            <w:bottom w:val="none" w:sz="0" w:space="0" w:color="auto"/>
            <w:right w:val="none" w:sz="0" w:space="0" w:color="auto"/>
          </w:divBdr>
        </w:div>
        <w:div w:id="156502162">
          <w:marLeft w:val="0"/>
          <w:marRight w:val="0"/>
          <w:marTop w:val="0"/>
          <w:marBottom w:val="0"/>
          <w:divBdr>
            <w:top w:val="none" w:sz="0" w:space="0" w:color="auto"/>
            <w:left w:val="none" w:sz="0" w:space="0" w:color="auto"/>
            <w:bottom w:val="none" w:sz="0" w:space="0" w:color="auto"/>
            <w:right w:val="none" w:sz="0" w:space="0" w:color="auto"/>
          </w:divBdr>
        </w:div>
        <w:div w:id="1185170913">
          <w:marLeft w:val="0"/>
          <w:marRight w:val="0"/>
          <w:marTop w:val="0"/>
          <w:marBottom w:val="0"/>
          <w:divBdr>
            <w:top w:val="none" w:sz="0" w:space="0" w:color="auto"/>
            <w:left w:val="none" w:sz="0" w:space="0" w:color="auto"/>
            <w:bottom w:val="none" w:sz="0" w:space="0" w:color="auto"/>
            <w:right w:val="none" w:sz="0" w:space="0" w:color="auto"/>
          </w:divBdr>
        </w:div>
        <w:div w:id="1616671916">
          <w:marLeft w:val="0"/>
          <w:marRight w:val="0"/>
          <w:marTop w:val="0"/>
          <w:marBottom w:val="0"/>
          <w:divBdr>
            <w:top w:val="none" w:sz="0" w:space="0" w:color="auto"/>
            <w:left w:val="none" w:sz="0" w:space="0" w:color="auto"/>
            <w:bottom w:val="none" w:sz="0" w:space="0" w:color="auto"/>
            <w:right w:val="none" w:sz="0" w:space="0" w:color="auto"/>
          </w:divBdr>
        </w:div>
        <w:div w:id="410273450">
          <w:marLeft w:val="0"/>
          <w:marRight w:val="0"/>
          <w:marTop w:val="0"/>
          <w:marBottom w:val="0"/>
          <w:divBdr>
            <w:top w:val="none" w:sz="0" w:space="0" w:color="auto"/>
            <w:left w:val="none" w:sz="0" w:space="0" w:color="auto"/>
            <w:bottom w:val="none" w:sz="0" w:space="0" w:color="auto"/>
            <w:right w:val="none" w:sz="0" w:space="0" w:color="auto"/>
          </w:divBdr>
        </w:div>
        <w:div w:id="179972911">
          <w:marLeft w:val="0"/>
          <w:marRight w:val="0"/>
          <w:marTop w:val="0"/>
          <w:marBottom w:val="0"/>
          <w:divBdr>
            <w:top w:val="none" w:sz="0" w:space="0" w:color="auto"/>
            <w:left w:val="none" w:sz="0" w:space="0" w:color="auto"/>
            <w:bottom w:val="none" w:sz="0" w:space="0" w:color="auto"/>
            <w:right w:val="none" w:sz="0" w:space="0" w:color="auto"/>
          </w:divBdr>
        </w:div>
        <w:div w:id="831607294">
          <w:marLeft w:val="0"/>
          <w:marRight w:val="0"/>
          <w:marTop w:val="0"/>
          <w:marBottom w:val="0"/>
          <w:divBdr>
            <w:top w:val="none" w:sz="0" w:space="0" w:color="auto"/>
            <w:left w:val="none" w:sz="0" w:space="0" w:color="auto"/>
            <w:bottom w:val="none" w:sz="0" w:space="0" w:color="auto"/>
            <w:right w:val="none" w:sz="0" w:space="0" w:color="auto"/>
          </w:divBdr>
        </w:div>
        <w:div w:id="678308927">
          <w:marLeft w:val="0"/>
          <w:marRight w:val="0"/>
          <w:marTop w:val="0"/>
          <w:marBottom w:val="0"/>
          <w:divBdr>
            <w:top w:val="none" w:sz="0" w:space="0" w:color="auto"/>
            <w:left w:val="none" w:sz="0" w:space="0" w:color="auto"/>
            <w:bottom w:val="none" w:sz="0" w:space="0" w:color="auto"/>
            <w:right w:val="none" w:sz="0" w:space="0" w:color="auto"/>
          </w:divBdr>
        </w:div>
        <w:div w:id="1871146422">
          <w:marLeft w:val="0"/>
          <w:marRight w:val="0"/>
          <w:marTop w:val="0"/>
          <w:marBottom w:val="0"/>
          <w:divBdr>
            <w:top w:val="none" w:sz="0" w:space="0" w:color="auto"/>
            <w:left w:val="none" w:sz="0" w:space="0" w:color="auto"/>
            <w:bottom w:val="none" w:sz="0" w:space="0" w:color="auto"/>
            <w:right w:val="none" w:sz="0" w:space="0" w:color="auto"/>
          </w:divBdr>
        </w:div>
        <w:div w:id="317534080">
          <w:marLeft w:val="0"/>
          <w:marRight w:val="0"/>
          <w:marTop w:val="0"/>
          <w:marBottom w:val="0"/>
          <w:divBdr>
            <w:top w:val="none" w:sz="0" w:space="0" w:color="auto"/>
            <w:left w:val="none" w:sz="0" w:space="0" w:color="auto"/>
            <w:bottom w:val="none" w:sz="0" w:space="0" w:color="auto"/>
            <w:right w:val="none" w:sz="0" w:space="0" w:color="auto"/>
          </w:divBdr>
        </w:div>
        <w:div w:id="1532769435">
          <w:marLeft w:val="0"/>
          <w:marRight w:val="0"/>
          <w:marTop w:val="0"/>
          <w:marBottom w:val="0"/>
          <w:divBdr>
            <w:top w:val="none" w:sz="0" w:space="0" w:color="auto"/>
            <w:left w:val="none" w:sz="0" w:space="0" w:color="auto"/>
            <w:bottom w:val="none" w:sz="0" w:space="0" w:color="auto"/>
            <w:right w:val="none" w:sz="0" w:space="0" w:color="auto"/>
          </w:divBdr>
        </w:div>
        <w:div w:id="1114210201">
          <w:marLeft w:val="0"/>
          <w:marRight w:val="0"/>
          <w:marTop w:val="0"/>
          <w:marBottom w:val="0"/>
          <w:divBdr>
            <w:top w:val="none" w:sz="0" w:space="0" w:color="auto"/>
            <w:left w:val="none" w:sz="0" w:space="0" w:color="auto"/>
            <w:bottom w:val="none" w:sz="0" w:space="0" w:color="auto"/>
            <w:right w:val="none" w:sz="0" w:space="0" w:color="auto"/>
          </w:divBdr>
        </w:div>
        <w:div w:id="905146014">
          <w:marLeft w:val="0"/>
          <w:marRight w:val="0"/>
          <w:marTop w:val="0"/>
          <w:marBottom w:val="0"/>
          <w:divBdr>
            <w:top w:val="none" w:sz="0" w:space="0" w:color="auto"/>
            <w:left w:val="none" w:sz="0" w:space="0" w:color="auto"/>
            <w:bottom w:val="none" w:sz="0" w:space="0" w:color="auto"/>
            <w:right w:val="none" w:sz="0" w:space="0" w:color="auto"/>
          </w:divBdr>
        </w:div>
        <w:div w:id="1094131502">
          <w:marLeft w:val="0"/>
          <w:marRight w:val="0"/>
          <w:marTop w:val="0"/>
          <w:marBottom w:val="0"/>
          <w:divBdr>
            <w:top w:val="none" w:sz="0" w:space="0" w:color="auto"/>
            <w:left w:val="none" w:sz="0" w:space="0" w:color="auto"/>
            <w:bottom w:val="none" w:sz="0" w:space="0" w:color="auto"/>
            <w:right w:val="none" w:sz="0" w:space="0" w:color="auto"/>
          </w:divBdr>
        </w:div>
        <w:div w:id="1044407707">
          <w:marLeft w:val="0"/>
          <w:marRight w:val="0"/>
          <w:marTop w:val="0"/>
          <w:marBottom w:val="0"/>
          <w:divBdr>
            <w:top w:val="none" w:sz="0" w:space="0" w:color="auto"/>
            <w:left w:val="none" w:sz="0" w:space="0" w:color="auto"/>
            <w:bottom w:val="none" w:sz="0" w:space="0" w:color="auto"/>
            <w:right w:val="none" w:sz="0" w:space="0" w:color="auto"/>
          </w:divBdr>
        </w:div>
        <w:div w:id="572667011">
          <w:marLeft w:val="0"/>
          <w:marRight w:val="0"/>
          <w:marTop w:val="0"/>
          <w:marBottom w:val="0"/>
          <w:divBdr>
            <w:top w:val="none" w:sz="0" w:space="0" w:color="auto"/>
            <w:left w:val="none" w:sz="0" w:space="0" w:color="auto"/>
            <w:bottom w:val="none" w:sz="0" w:space="0" w:color="auto"/>
            <w:right w:val="none" w:sz="0" w:space="0" w:color="auto"/>
          </w:divBdr>
        </w:div>
        <w:div w:id="806047232">
          <w:marLeft w:val="0"/>
          <w:marRight w:val="0"/>
          <w:marTop w:val="0"/>
          <w:marBottom w:val="0"/>
          <w:divBdr>
            <w:top w:val="none" w:sz="0" w:space="0" w:color="auto"/>
            <w:left w:val="none" w:sz="0" w:space="0" w:color="auto"/>
            <w:bottom w:val="none" w:sz="0" w:space="0" w:color="auto"/>
            <w:right w:val="none" w:sz="0" w:space="0" w:color="auto"/>
          </w:divBdr>
        </w:div>
        <w:div w:id="1790928243">
          <w:marLeft w:val="0"/>
          <w:marRight w:val="0"/>
          <w:marTop w:val="0"/>
          <w:marBottom w:val="0"/>
          <w:divBdr>
            <w:top w:val="none" w:sz="0" w:space="0" w:color="auto"/>
            <w:left w:val="none" w:sz="0" w:space="0" w:color="auto"/>
            <w:bottom w:val="none" w:sz="0" w:space="0" w:color="auto"/>
            <w:right w:val="none" w:sz="0" w:space="0" w:color="auto"/>
          </w:divBdr>
        </w:div>
        <w:div w:id="388190103">
          <w:marLeft w:val="0"/>
          <w:marRight w:val="0"/>
          <w:marTop w:val="0"/>
          <w:marBottom w:val="0"/>
          <w:divBdr>
            <w:top w:val="none" w:sz="0" w:space="0" w:color="auto"/>
            <w:left w:val="none" w:sz="0" w:space="0" w:color="auto"/>
            <w:bottom w:val="none" w:sz="0" w:space="0" w:color="auto"/>
            <w:right w:val="none" w:sz="0" w:space="0" w:color="auto"/>
          </w:divBdr>
        </w:div>
        <w:div w:id="1767575871">
          <w:marLeft w:val="0"/>
          <w:marRight w:val="0"/>
          <w:marTop w:val="0"/>
          <w:marBottom w:val="0"/>
          <w:divBdr>
            <w:top w:val="none" w:sz="0" w:space="0" w:color="auto"/>
            <w:left w:val="none" w:sz="0" w:space="0" w:color="auto"/>
            <w:bottom w:val="none" w:sz="0" w:space="0" w:color="auto"/>
            <w:right w:val="none" w:sz="0" w:space="0" w:color="auto"/>
          </w:divBdr>
        </w:div>
        <w:div w:id="666597462">
          <w:marLeft w:val="0"/>
          <w:marRight w:val="0"/>
          <w:marTop w:val="0"/>
          <w:marBottom w:val="0"/>
          <w:divBdr>
            <w:top w:val="none" w:sz="0" w:space="0" w:color="auto"/>
            <w:left w:val="none" w:sz="0" w:space="0" w:color="auto"/>
            <w:bottom w:val="none" w:sz="0" w:space="0" w:color="auto"/>
            <w:right w:val="none" w:sz="0" w:space="0" w:color="auto"/>
          </w:divBdr>
        </w:div>
        <w:div w:id="857811870">
          <w:marLeft w:val="0"/>
          <w:marRight w:val="0"/>
          <w:marTop w:val="0"/>
          <w:marBottom w:val="0"/>
          <w:divBdr>
            <w:top w:val="none" w:sz="0" w:space="0" w:color="auto"/>
            <w:left w:val="none" w:sz="0" w:space="0" w:color="auto"/>
            <w:bottom w:val="none" w:sz="0" w:space="0" w:color="auto"/>
            <w:right w:val="none" w:sz="0" w:space="0" w:color="auto"/>
          </w:divBdr>
        </w:div>
        <w:div w:id="1818956053">
          <w:marLeft w:val="0"/>
          <w:marRight w:val="0"/>
          <w:marTop w:val="0"/>
          <w:marBottom w:val="0"/>
          <w:divBdr>
            <w:top w:val="none" w:sz="0" w:space="0" w:color="auto"/>
            <w:left w:val="none" w:sz="0" w:space="0" w:color="auto"/>
            <w:bottom w:val="none" w:sz="0" w:space="0" w:color="auto"/>
            <w:right w:val="none" w:sz="0" w:space="0" w:color="auto"/>
          </w:divBdr>
        </w:div>
        <w:div w:id="1556969463">
          <w:marLeft w:val="0"/>
          <w:marRight w:val="0"/>
          <w:marTop w:val="0"/>
          <w:marBottom w:val="0"/>
          <w:divBdr>
            <w:top w:val="none" w:sz="0" w:space="0" w:color="auto"/>
            <w:left w:val="none" w:sz="0" w:space="0" w:color="auto"/>
            <w:bottom w:val="none" w:sz="0" w:space="0" w:color="auto"/>
            <w:right w:val="none" w:sz="0" w:space="0" w:color="auto"/>
          </w:divBdr>
        </w:div>
        <w:div w:id="1731029490">
          <w:marLeft w:val="0"/>
          <w:marRight w:val="0"/>
          <w:marTop w:val="0"/>
          <w:marBottom w:val="0"/>
          <w:divBdr>
            <w:top w:val="none" w:sz="0" w:space="0" w:color="auto"/>
            <w:left w:val="none" w:sz="0" w:space="0" w:color="auto"/>
            <w:bottom w:val="none" w:sz="0" w:space="0" w:color="auto"/>
            <w:right w:val="none" w:sz="0" w:space="0" w:color="auto"/>
          </w:divBdr>
        </w:div>
        <w:div w:id="379212707">
          <w:marLeft w:val="0"/>
          <w:marRight w:val="0"/>
          <w:marTop w:val="0"/>
          <w:marBottom w:val="0"/>
          <w:divBdr>
            <w:top w:val="none" w:sz="0" w:space="0" w:color="auto"/>
            <w:left w:val="none" w:sz="0" w:space="0" w:color="auto"/>
            <w:bottom w:val="none" w:sz="0" w:space="0" w:color="auto"/>
            <w:right w:val="none" w:sz="0" w:space="0" w:color="auto"/>
          </w:divBdr>
        </w:div>
        <w:div w:id="970401903">
          <w:marLeft w:val="0"/>
          <w:marRight w:val="0"/>
          <w:marTop w:val="0"/>
          <w:marBottom w:val="0"/>
          <w:divBdr>
            <w:top w:val="none" w:sz="0" w:space="0" w:color="auto"/>
            <w:left w:val="none" w:sz="0" w:space="0" w:color="auto"/>
            <w:bottom w:val="none" w:sz="0" w:space="0" w:color="auto"/>
            <w:right w:val="none" w:sz="0" w:space="0" w:color="auto"/>
          </w:divBdr>
        </w:div>
        <w:div w:id="1013534217">
          <w:marLeft w:val="0"/>
          <w:marRight w:val="0"/>
          <w:marTop w:val="0"/>
          <w:marBottom w:val="0"/>
          <w:divBdr>
            <w:top w:val="none" w:sz="0" w:space="0" w:color="auto"/>
            <w:left w:val="none" w:sz="0" w:space="0" w:color="auto"/>
            <w:bottom w:val="none" w:sz="0" w:space="0" w:color="auto"/>
            <w:right w:val="none" w:sz="0" w:space="0" w:color="auto"/>
          </w:divBdr>
        </w:div>
        <w:div w:id="1549107158">
          <w:marLeft w:val="0"/>
          <w:marRight w:val="0"/>
          <w:marTop w:val="0"/>
          <w:marBottom w:val="0"/>
          <w:divBdr>
            <w:top w:val="none" w:sz="0" w:space="0" w:color="auto"/>
            <w:left w:val="none" w:sz="0" w:space="0" w:color="auto"/>
            <w:bottom w:val="none" w:sz="0" w:space="0" w:color="auto"/>
            <w:right w:val="none" w:sz="0" w:space="0" w:color="auto"/>
          </w:divBdr>
        </w:div>
        <w:div w:id="1807309136">
          <w:marLeft w:val="0"/>
          <w:marRight w:val="0"/>
          <w:marTop w:val="0"/>
          <w:marBottom w:val="0"/>
          <w:divBdr>
            <w:top w:val="none" w:sz="0" w:space="0" w:color="auto"/>
            <w:left w:val="none" w:sz="0" w:space="0" w:color="auto"/>
            <w:bottom w:val="none" w:sz="0" w:space="0" w:color="auto"/>
            <w:right w:val="none" w:sz="0" w:space="0" w:color="auto"/>
          </w:divBdr>
        </w:div>
        <w:div w:id="1933395733">
          <w:marLeft w:val="0"/>
          <w:marRight w:val="0"/>
          <w:marTop w:val="0"/>
          <w:marBottom w:val="0"/>
          <w:divBdr>
            <w:top w:val="none" w:sz="0" w:space="0" w:color="auto"/>
            <w:left w:val="none" w:sz="0" w:space="0" w:color="auto"/>
            <w:bottom w:val="none" w:sz="0" w:space="0" w:color="auto"/>
            <w:right w:val="none" w:sz="0" w:space="0" w:color="auto"/>
          </w:divBdr>
        </w:div>
        <w:div w:id="88891347">
          <w:marLeft w:val="0"/>
          <w:marRight w:val="0"/>
          <w:marTop w:val="0"/>
          <w:marBottom w:val="0"/>
          <w:divBdr>
            <w:top w:val="none" w:sz="0" w:space="0" w:color="auto"/>
            <w:left w:val="none" w:sz="0" w:space="0" w:color="auto"/>
            <w:bottom w:val="none" w:sz="0" w:space="0" w:color="auto"/>
            <w:right w:val="none" w:sz="0" w:space="0" w:color="auto"/>
          </w:divBdr>
        </w:div>
        <w:div w:id="1122649179">
          <w:marLeft w:val="0"/>
          <w:marRight w:val="0"/>
          <w:marTop w:val="0"/>
          <w:marBottom w:val="0"/>
          <w:divBdr>
            <w:top w:val="none" w:sz="0" w:space="0" w:color="auto"/>
            <w:left w:val="none" w:sz="0" w:space="0" w:color="auto"/>
            <w:bottom w:val="none" w:sz="0" w:space="0" w:color="auto"/>
            <w:right w:val="none" w:sz="0" w:space="0" w:color="auto"/>
          </w:divBdr>
        </w:div>
        <w:div w:id="1700206721">
          <w:marLeft w:val="0"/>
          <w:marRight w:val="0"/>
          <w:marTop w:val="0"/>
          <w:marBottom w:val="0"/>
          <w:divBdr>
            <w:top w:val="none" w:sz="0" w:space="0" w:color="auto"/>
            <w:left w:val="none" w:sz="0" w:space="0" w:color="auto"/>
            <w:bottom w:val="none" w:sz="0" w:space="0" w:color="auto"/>
            <w:right w:val="none" w:sz="0" w:space="0" w:color="auto"/>
          </w:divBdr>
        </w:div>
        <w:div w:id="273251304">
          <w:marLeft w:val="0"/>
          <w:marRight w:val="0"/>
          <w:marTop w:val="0"/>
          <w:marBottom w:val="0"/>
          <w:divBdr>
            <w:top w:val="none" w:sz="0" w:space="0" w:color="auto"/>
            <w:left w:val="none" w:sz="0" w:space="0" w:color="auto"/>
            <w:bottom w:val="none" w:sz="0" w:space="0" w:color="auto"/>
            <w:right w:val="none" w:sz="0" w:space="0" w:color="auto"/>
          </w:divBdr>
        </w:div>
        <w:div w:id="854153237">
          <w:marLeft w:val="0"/>
          <w:marRight w:val="0"/>
          <w:marTop w:val="0"/>
          <w:marBottom w:val="0"/>
          <w:divBdr>
            <w:top w:val="none" w:sz="0" w:space="0" w:color="auto"/>
            <w:left w:val="none" w:sz="0" w:space="0" w:color="auto"/>
            <w:bottom w:val="none" w:sz="0" w:space="0" w:color="auto"/>
            <w:right w:val="none" w:sz="0" w:space="0" w:color="auto"/>
          </w:divBdr>
        </w:div>
        <w:div w:id="1321541383">
          <w:marLeft w:val="0"/>
          <w:marRight w:val="0"/>
          <w:marTop w:val="0"/>
          <w:marBottom w:val="0"/>
          <w:divBdr>
            <w:top w:val="none" w:sz="0" w:space="0" w:color="auto"/>
            <w:left w:val="none" w:sz="0" w:space="0" w:color="auto"/>
            <w:bottom w:val="none" w:sz="0" w:space="0" w:color="auto"/>
            <w:right w:val="none" w:sz="0" w:space="0" w:color="auto"/>
          </w:divBdr>
        </w:div>
        <w:div w:id="1412660007">
          <w:marLeft w:val="0"/>
          <w:marRight w:val="0"/>
          <w:marTop w:val="0"/>
          <w:marBottom w:val="0"/>
          <w:divBdr>
            <w:top w:val="none" w:sz="0" w:space="0" w:color="auto"/>
            <w:left w:val="none" w:sz="0" w:space="0" w:color="auto"/>
            <w:bottom w:val="none" w:sz="0" w:space="0" w:color="auto"/>
            <w:right w:val="none" w:sz="0" w:space="0" w:color="auto"/>
          </w:divBdr>
        </w:div>
        <w:div w:id="650446957">
          <w:marLeft w:val="0"/>
          <w:marRight w:val="0"/>
          <w:marTop w:val="0"/>
          <w:marBottom w:val="0"/>
          <w:divBdr>
            <w:top w:val="none" w:sz="0" w:space="0" w:color="auto"/>
            <w:left w:val="none" w:sz="0" w:space="0" w:color="auto"/>
            <w:bottom w:val="none" w:sz="0" w:space="0" w:color="auto"/>
            <w:right w:val="none" w:sz="0" w:space="0" w:color="auto"/>
          </w:divBdr>
        </w:div>
        <w:div w:id="1032146058">
          <w:marLeft w:val="0"/>
          <w:marRight w:val="0"/>
          <w:marTop w:val="0"/>
          <w:marBottom w:val="0"/>
          <w:divBdr>
            <w:top w:val="none" w:sz="0" w:space="0" w:color="auto"/>
            <w:left w:val="none" w:sz="0" w:space="0" w:color="auto"/>
            <w:bottom w:val="none" w:sz="0" w:space="0" w:color="auto"/>
            <w:right w:val="none" w:sz="0" w:space="0" w:color="auto"/>
          </w:divBdr>
        </w:div>
        <w:div w:id="2082216193">
          <w:marLeft w:val="0"/>
          <w:marRight w:val="0"/>
          <w:marTop w:val="0"/>
          <w:marBottom w:val="0"/>
          <w:divBdr>
            <w:top w:val="none" w:sz="0" w:space="0" w:color="auto"/>
            <w:left w:val="none" w:sz="0" w:space="0" w:color="auto"/>
            <w:bottom w:val="none" w:sz="0" w:space="0" w:color="auto"/>
            <w:right w:val="none" w:sz="0" w:space="0" w:color="auto"/>
          </w:divBdr>
        </w:div>
        <w:div w:id="1290012636">
          <w:marLeft w:val="0"/>
          <w:marRight w:val="0"/>
          <w:marTop w:val="0"/>
          <w:marBottom w:val="0"/>
          <w:divBdr>
            <w:top w:val="none" w:sz="0" w:space="0" w:color="auto"/>
            <w:left w:val="none" w:sz="0" w:space="0" w:color="auto"/>
            <w:bottom w:val="none" w:sz="0" w:space="0" w:color="auto"/>
            <w:right w:val="none" w:sz="0" w:space="0" w:color="auto"/>
          </w:divBdr>
        </w:div>
        <w:div w:id="104278947">
          <w:marLeft w:val="0"/>
          <w:marRight w:val="0"/>
          <w:marTop w:val="0"/>
          <w:marBottom w:val="0"/>
          <w:divBdr>
            <w:top w:val="none" w:sz="0" w:space="0" w:color="auto"/>
            <w:left w:val="none" w:sz="0" w:space="0" w:color="auto"/>
            <w:bottom w:val="none" w:sz="0" w:space="0" w:color="auto"/>
            <w:right w:val="none" w:sz="0" w:space="0" w:color="auto"/>
          </w:divBdr>
        </w:div>
        <w:div w:id="478229917">
          <w:marLeft w:val="0"/>
          <w:marRight w:val="0"/>
          <w:marTop w:val="0"/>
          <w:marBottom w:val="0"/>
          <w:divBdr>
            <w:top w:val="none" w:sz="0" w:space="0" w:color="auto"/>
            <w:left w:val="none" w:sz="0" w:space="0" w:color="auto"/>
            <w:bottom w:val="none" w:sz="0" w:space="0" w:color="auto"/>
            <w:right w:val="none" w:sz="0" w:space="0" w:color="auto"/>
          </w:divBdr>
        </w:div>
        <w:div w:id="1388063307">
          <w:marLeft w:val="0"/>
          <w:marRight w:val="0"/>
          <w:marTop w:val="0"/>
          <w:marBottom w:val="0"/>
          <w:divBdr>
            <w:top w:val="none" w:sz="0" w:space="0" w:color="auto"/>
            <w:left w:val="none" w:sz="0" w:space="0" w:color="auto"/>
            <w:bottom w:val="none" w:sz="0" w:space="0" w:color="auto"/>
            <w:right w:val="none" w:sz="0" w:space="0" w:color="auto"/>
          </w:divBdr>
        </w:div>
        <w:div w:id="606540851">
          <w:marLeft w:val="0"/>
          <w:marRight w:val="0"/>
          <w:marTop w:val="0"/>
          <w:marBottom w:val="0"/>
          <w:divBdr>
            <w:top w:val="none" w:sz="0" w:space="0" w:color="auto"/>
            <w:left w:val="none" w:sz="0" w:space="0" w:color="auto"/>
            <w:bottom w:val="none" w:sz="0" w:space="0" w:color="auto"/>
            <w:right w:val="none" w:sz="0" w:space="0" w:color="auto"/>
          </w:divBdr>
        </w:div>
        <w:div w:id="2106223810">
          <w:marLeft w:val="0"/>
          <w:marRight w:val="0"/>
          <w:marTop w:val="0"/>
          <w:marBottom w:val="0"/>
          <w:divBdr>
            <w:top w:val="none" w:sz="0" w:space="0" w:color="auto"/>
            <w:left w:val="none" w:sz="0" w:space="0" w:color="auto"/>
            <w:bottom w:val="none" w:sz="0" w:space="0" w:color="auto"/>
            <w:right w:val="none" w:sz="0" w:space="0" w:color="auto"/>
          </w:divBdr>
        </w:div>
        <w:div w:id="19623538">
          <w:marLeft w:val="0"/>
          <w:marRight w:val="0"/>
          <w:marTop w:val="0"/>
          <w:marBottom w:val="0"/>
          <w:divBdr>
            <w:top w:val="none" w:sz="0" w:space="0" w:color="auto"/>
            <w:left w:val="none" w:sz="0" w:space="0" w:color="auto"/>
            <w:bottom w:val="none" w:sz="0" w:space="0" w:color="auto"/>
            <w:right w:val="none" w:sz="0" w:space="0" w:color="auto"/>
          </w:divBdr>
        </w:div>
        <w:div w:id="1079519495">
          <w:marLeft w:val="0"/>
          <w:marRight w:val="0"/>
          <w:marTop w:val="0"/>
          <w:marBottom w:val="0"/>
          <w:divBdr>
            <w:top w:val="none" w:sz="0" w:space="0" w:color="auto"/>
            <w:left w:val="none" w:sz="0" w:space="0" w:color="auto"/>
            <w:bottom w:val="none" w:sz="0" w:space="0" w:color="auto"/>
            <w:right w:val="none" w:sz="0" w:space="0" w:color="auto"/>
          </w:divBdr>
        </w:div>
        <w:div w:id="27151415">
          <w:marLeft w:val="0"/>
          <w:marRight w:val="0"/>
          <w:marTop w:val="0"/>
          <w:marBottom w:val="0"/>
          <w:divBdr>
            <w:top w:val="none" w:sz="0" w:space="0" w:color="auto"/>
            <w:left w:val="none" w:sz="0" w:space="0" w:color="auto"/>
            <w:bottom w:val="none" w:sz="0" w:space="0" w:color="auto"/>
            <w:right w:val="none" w:sz="0" w:space="0" w:color="auto"/>
          </w:divBdr>
        </w:div>
        <w:div w:id="163862600">
          <w:marLeft w:val="0"/>
          <w:marRight w:val="0"/>
          <w:marTop w:val="0"/>
          <w:marBottom w:val="0"/>
          <w:divBdr>
            <w:top w:val="none" w:sz="0" w:space="0" w:color="auto"/>
            <w:left w:val="none" w:sz="0" w:space="0" w:color="auto"/>
            <w:bottom w:val="none" w:sz="0" w:space="0" w:color="auto"/>
            <w:right w:val="none" w:sz="0" w:space="0" w:color="auto"/>
          </w:divBdr>
        </w:div>
        <w:div w:id="1771924630">
          <w:marLeft w:val="0"/>
          <w:marRight w:val="0"/>
          <w:marTop w:val="0"/>
          <w:marBottom w:val="0"/>
          <w:divBdr>
            <w:top w:val="none" w:sz="0" w:space="0" w:color="auto"/>
            <w:left w:val="none" w:sz="0" w:space="0" w:color="auto"/>
            <w:bottom w:val="none" w:sz="0" w:space="0" w:color="auto"/>
            <w:right w:val="none" w:sz="0" w:space="0" w:color="auto"/>
          </w:divBdr>
        </w:div>
        <w:div w:id="1795708083">
          <w:marLeft w:val="0"/>
          <w:marRight w:val="0"/>
          <w:marTop w:val="0"/>
          <w:marBottom w:val="0"/>
          <w:divBdr>
            <w:top w:val="none" w:sz="0" w:space="0" w:color="auto"/>
            <w:left w:val="none" w:sz="0" w:space="0" w:color="auto"/>
            <w:bottom w:val="none" w:sz="0" w:space="0" w:color="auto"/>
            <w:right w:val="none" w:sz="0" w:space="0" w:color="auto"/>
          </w:divBdr>
        </w:div>
        <w:div w:id="1885362829">
          <w:marLeft w:val="0"/>
          <w:marRight w:val="0"/>
          <w:marTop w:val="0"/>
          <w:marBottom w:val="0"/>
          <w:divBdr>
            <w:top w:val="none" w:sz="0" w:space="0" w:color="auto"/>
            <w:left w:val="none" w:sz="0" w:space="0" w:color="auto"/>
            <w:bottom w:val="none" w:sz="0" w:space="0" w:color="auto"/>
            <w:right w:val="none" w:sz="0" w:space="0" w:color="auto"/>
          </w:divBdr>
        </w:div>
        <w:div w:id="2100439639">
          <w:marLeft w:val="0"/>
          <w:marRight w:val="0"/>
          <w:marTop w:val="0"/>
          <w:marBottom w:val="0"/>
          <w:divBdr>
            <w:top w:val="none" w:sz="0" w:space="0" w:color="auto"/>
            <w:left w:val="none" w:sz="0" w:space="0" w:color="auto"/>
            <w:bottom w:val="none" w:sz="0" w:space="0" w:color="auto"/>
            <w:right w:val="none" w:sz="0" w:space="0" w:color="auto"/>
          </w:divBdr>
        </w:div>
        <w:div w:id="1404058524">
          <w:marLeft w:val="0"/>
          <w:marRight w:val="0"/>
          <w:marTop w:val="0"/>
          <w:marBottom w:val="0"/>
          <w:divBdr>
            <w:top w:val="none" w:sz="0" w:space="0" w:color="auto"/>
            <w:left w:val="none" w:sz="0" w:space="0" w:color="auto"/>
            <w:bottom w:val="none" w:sz="0" w:space="0" w:color="auto"/>
            <w:right w:val="none" w:sz="0" w:space="0" w:color="auto"/>
          </w:divBdr>
        </w:div>
        <w:div w:id="2043626860">
          <w:marLeft w:val="0"/>
          <w:marRight w:val="0"/>
          <w:marTop w:val="0"/>
          <w:marBottom w:val="0"/>
          <w:divBdr>
            <w:top w:val="none" w:sz="0" w:space="0" w:color="auto"/>
            <w:left w:val="none" w:sz="0" w:space="0" w:color="auto"/>
            <w:bottom w:val="none" w:sz="0" w:space="0" w:color="auto"/>
            <w:right w:val="none" w:sz="0" w:space="0" w:color="auto"/>
          </w:divBdr>
        </w:div>
        <w:div w:id="1468166618">
          <w:marLeft w:val="0"/>
          <w:marRight w:val="0"/>
          <w:marTop w:val="0"/>
          <w:marBottom w:val="0"/>
          <w:divBdr>
            <w:top w:val="none" w:sz="0" w:space="0" w:color="auto"/>
            <w:left w:val="none" w:sz="0" w:space="0" w:color="auto"/>
            <w:bottom w:val="none" w:sz="0" w:space="0" w:color="auto"/>
            <w:right w:val="none" w:sz="0" w:space="0" w:color="auto"/>
          </w:divBdr>
        </w:div>
        <w:div w:id="1876041929">
          <w:marLeft w:val="0"/>
          <w:marRight w:val="0"/>
          <w:marTop w:val="0"/>
          <w:marBottom w:val="0"/>
          <w:divBdr>
            <w:top w:val="none" w:sz="0" w:space="0" w:color="auto"/>
            <w:left w:val="none" w:sz="0" w:space="0" w:color="auto"/>
            <w:bottom w:val="none" w:sz="0" w:space="0" w:color="auto"/>
            <w:right w:val="none" w:sz="0" w:space="0" w:color="auto"/>
          </w:divBdr>
        </w:div>
        <w:div w:id="1561211478">
          <w:marLeft w:val="0"/>
          <w:marRight w:val="0"/>
          <w:marTop w:val="0"/>
          <w:marBottom w:val="0"/>
          <w:divBdr>
            <w:top w:val="none" w:sz="0" w:space="0" w:color="auto"/>
            <w:left w:val="none" w:sz="0" w:space="0" w:color="auto"/>
            <w:bottom w:val="none" w:sz="0" w:space="0" w:color="auto"/>
            <w:right w:val="none" w:sz="0" w:space="0" w:color="auto"/>
          </w:divBdr>
        </w:div>
        <w:div w:id="874778437">
          <w:marLeft w:val="0"/>
          <w:marRight w:val="0"/>
          <w:marTop w:val="0"/>
          <w:marBottom w:val="0"/>
          <w:divBdr>
            <w:top w:val="none" w:sz="0" w:space="0" w:color="auto"/>
            <w:left w:val="none" w:sz="0" w:space="0" w:color="auto"/>
            <w:bottom w:val="none" w:sz="0" w:space="0" w:color="auto"/>
            <w:right w:val="none" w:sz="0" w:space="0" w:color="auto"/>
          </w:divBdr>
        </w:div>
        <w:div w:id="1199705716">
          <w:marLeft w:val="0"/>
          <w:marRight w:val="0"/>
          <w:marTop w:val="0"/>
          <w:marBottom w:val="0"/>
          <w:divBdr>
            <w:top w:val="none" w:sz="0" w:space="0" w:color="auto"/>
            <w:left w:val="none" w:sz="0" w:space="0" w:color="auto"/>
            <w:bottom w:val="none" w:sz="0" w:space="0" w:color="auto"/>
            <w:right w:val="none" w:sz="0" w:space="0" w:color="auto"/>
          </w:divBdr>
        </w:div>
        <w:div w:id="241451819">
          <w:marLeft w:val="0"/>
          <w:marRight w:val="0"/>
          <w:marTop w:val="0"/>
          <w:marBottom w:val="0"/>
          <w:divBdr>
            <w:top w:val="none" w:sz="0" w:space="0" w:color="auto"/>
            <w:left w:val="none" w:sz="0" w:space="0" w:color="auto"/>
            <w:bottom w:val="none" w:sz="0" w:space="0" w:color="auto"/>
            <w:right w:val="none" w:sz="0" w:space="0" w:color="auto"/>
          </w:divBdr>
        </w:div>
        <w:div w:id="1595506028">
          <w:marLeft w:val="0"/>
          <w:marRight w:val="0"/>
          <w:marTop w:val="0"/>
          <w:marBottom w:val="0"/>
          <w:divBdr>
            <w:top w:val="none" w:sz="0" w:space="0" w:color="auto"/>
            <w:left w:val="none" w:sz="0" w:space="0" w:color="auto"/>
            <w:bottom w:val="none" w:sz="0" w:space="0" w:color="auto"/>
            <w:right w:val="none" w:sz="0" w:space="0" w:color="auto"/>
          </w:divBdr>
        </w:div>
        <w:div w:id="893004979">
          <w:marLeft w:val="0"/>
          <w:marRight w:val="0"/>
          <w:marTop w:val="0"/>
          <w:marBottom w:val="0"/>
          <w:divBdr>
            <w:top w:val="none" w:sz="0" w:space="0" w:color="auto"/>
            <w:left w:val="none" w:sz="0" w:space="0" w:color="auto"/>
            <w:bottom w:val="none" w:sz="0" w:space="0" w:color="auto"/>
            <w:right w:val="none" w:sz="0" w:space="0" w:color="auto"/>
          </w:divBdr>
        </w:div>
        <w:div w:id="1697803319">
          <w:marLeft w:val="0"/>
          <w:marRight w:val="0"/>
          <w:marTop w:val="0"/>
          <w:marBottom w:val="0"/>
          <w:divBdr>
            <w:top w:val="none" w:sz="0" w:space="0" w:color="auto"/>
            <w:left w:val="none" w:sz="0" w:space="0" w:color="auto"/>
            <w:bottom w:val="none" w:sz="0" w:space="0" w:color="auto"/>
            <w:right w:val="none" w:sz="0" w:space="0" w:color="auto"/>
          </w:divBdr>
        </w:div>
      </w:divsChild>
    </w:div>
    <w:div w:id="494807523">
      <w:bodyDiv w:val="1"/>
      <w:marLeft w:val="0"/>
      <w:marRight w:val="0"/>
      <w:marTop w:val="0"/>
      <w:marBottom w:val="0"/>
      <w:divBdr>
        <w:top w:val="none" w:sz="0" w:space="0" w:color="auto"/>
        <w:left w:val="none" w:sz="0" w:space="0" w:color="auto"/>
        <w:bottom w:val="none" w:sz="0" w:space="0" w:color="auto"/>
        <w:right w:val="none" w:sz="0" w:space="0" w:color="auto"/>
      </w:divBdr>
      <w:divsChild>
        <w:div w:id="1350788387">
          <w:marLeft w:val="0"/>
          <w:marRight w:val="0"/>
          <w:marTop w:val="0"/>
          <w:marBottom w:val="0"/>
          <w:divBdr>
            <w:top w:val="none" w:sz="0" w:space="0" w:color="auto"/>
            <w:left w:val="none" w:sz="0" w:space="0" w:color="auto"/>
            <w:bottom w:val="none" w:sz="0" w:space="0" w:color="auto"/>
            <w:right w:val="none" w:sz="0" w:space="0" w:color="auto"/>
          </w:divBdr>
        </w:div>
        <w:div w:id="973946918">
          <w:marLeft w:val="0"/>
          <w:marRight w:val="0"/>
          <w:marTop w:val="0"/>
          <w:marBottom w:val="0"/>
          <w:divBdr>
            <w:top w:val="none" w:sz="0" w:space="0" w:color="auto"/>
            <w:left w:val="none" w:sz="0" w:space="0" w:color="auto"/>
            <w:bottom w:val="none" w:sz="0" w:space="0" w:color="auto"/>
            <w:right w:val="none" w:sz="0" w:space="0" w:color="auto"/>
          </w:divBdr>
        </w:div>
      </w:divsChild>
    </w:div>
    <w:div w:id="555430357">
      <w:bodyDiv w:val="1"/>
      <w:marLeft w:val="0"/>
      <w:marRight w:val="0"/>
      <w:marTop w:val="0"/>
      <w:marBottom w:val="0"/>
      <w:divBdr>
        <w:top w:val="none" w:sz="0" w:space="0" w:color="auto"/>
        <w:left w:val="none" w:sz="0" w:space="0" w:color="auto"/>
        <w:bottom w:val="none" w:sz="0" w:space="0" w:color="auto"/>
        <w:right w:val="none" w:sz="0" w:space="0" w:color="auto"/>
      </w:divBdr>
    </w:div>
    <w:div w:id="556742536">
      <w:bodyDiv w:val="1"/>
      <w:marLeft w:val="0"/>
      <w:marRight w:val="0"/>
      <w:marTop w:val="0"/>
      <w:marBottom w:val="0"/>
      <w:divBdr>
        <w:top w:val="none" w:sz="0" w:space="0" w:color="auto"/>
        <w:left w:val="none" w:sz="0" w:space="0" w:color="auto"/>
        <w:bottom w:val="none" w:sz="0" w:space="0" w:color="auto"/>
        <w:right w:val="none" w:sz="0" w:space="0" w:color="auto"/>
      </w:divBdr>
      <w:divsChild>
        <w:div w:id="987788583">
          <w:marLeft w:val="0"/>
          <w:marRight w:val="0"/>
          <w:marTop w:val="0"/>
          <w:marBottom w:val="0"/>
          <w:divBdr>
            <w:top w:val="none" w:sz="0" w:space="0" w:color="auto"/>
            <w:left w:val="none" w:sz="0" w:space="0" w:color="auto"/>
            <w:bottom w:val="none" w:sz="0" w:space="0" w:color="auto"/>
            <w:right w:val="none" w:sz="0" w:space="0" w:color="auto"/>
          </w:divBdr>
        </w:div>
        <w:div w:id="2125877316">
          <w:marLeft w:val="0"/>
          <w:marRight w:val="0"/>
          <w:marTop w:val="0"/>
          <w:marBottom w:val="0"/>
          <w:divBdr>
            <w:top w:val="none" w:sz="0" w:space="0" w:color="auto"/>
            <w:left w:val="none" w:sz="0" w:space="0" w:color="auto"/>
            <w:bottom w:val="none" w:sz="0" w:space="0" w:color="auto"/>
            <w:right w:val="none" w:sz="0" w:space="0" w:color="auto"/>
          </w:divBdr>
        </w:div>
        <w:div w:id="1533377050">
          <w:marLeft w:val="0"/>
          <w:marRight w:val="0"/>
          <w:marTop w:val="0"/>
          <w:marBottom w:val="0"/>
          <w:divBdr>
            <w:top w:val="none" w:sz="0" w:space="0" w:color="auto"/>
            <w:left w:val="none" w:sz="0" w:space="0" w:color="auto"/>
            <w:bottom w:val="none" w:sz="0" w:space="0" w:color="auto"/>
            <w:right w:val="none" w:sz="0" w:space="0" w:color="auto"/>
          </w:divBdr>
        </w:div>
        <w:div w:id="1778941155">
          <w:marLeft w:val="0"/>
          <w:marRight w:val="0"/>
          <w:marTop w:val="0"/>
          <w:marBottom w:val="0"/>
          <w:divBdr>
            <w:top w:val="none" w:sz="0" w:space="0" w:color="auto"/>
            <w:left w:val="none" w:sz="0" w:space="0" w:color="auto"/>
            <w:bottom w:val="none" w:sz="0" w:space="0" w:color="auto"/>
            <w:right w:val="none" w:sz="0" w:space="0" w:color="auto"/>
          </w:divBdr>
        </w:div>
        <w:div w:id="1032459483">
          <w:marLeft w:val="0"/>
          <w:marRight w:val="0"/>
          <w:marTop w:val="0"/>
          <w:marBottom w:val="0"/>
          <w:divBdr>
            <w:top w:val="none" w:sz="0" w:space="0" w:color="auto"/>
            <w:left w:val="none" w:sz="0" w:space="0" w:color="auto"/>
            <w:bottom w:val="none" w:sz="0" w:space="0" w:color="auto"/>
            <w:right w:val="none" w:sz="0" w:space="0" w:color="auto"/>
          </w:divBdr>
        </w:div>
        <w:div w:id="452674362">
          <w:marLeft w:val="0"/>
          <w:marRight w:val="0"/>
          <w:marTop w:val="0"/>
          <w:marBottom w:val="0"/>
          <w:divBdr>
            <w:top w:val="none" w:sz="0" w:space="0" w:color="auto"/>
            <w:left w:val="none" w:sz="0" w:space="0" w:color="auto"/>
            <w:bottom w:val="none" w:sz="0" w:space="0" w:color="auto"/>
            <w:right w:val="none" w:sz="0" w:space="0" w:color="auto"/>
          </w:divBdr>
        </w:div>
      </w:divsChild>
    </w:div>
    <w:div w:id="585309929">
      <w:bodyDiv w:val="1"/>
      <w:marLeft w:val="0"/>
      <w:marRight w:val="0"/>
      <w:marTop w:val="0"/>
      <w:marBottom w:val="0"/>
      <w:divBdr>
        <w:top w:val="none" w:sz="0" w:space="0" w:color="auto"/>
        <w:left w:val="none" w:sz="0" w:space="0" w:color="auto"/>
        <w:bottom w:val="none" w:sz="0" w:space="0" w:color="auto"/>
        <w:right w:val="none" w:sz="0" w:space="0" w:color="auto"/>
      </w:divBdr>
      <w:divsChild>
        <w:div w:id="364058710">
          <w:marLeft w:val="0"/>
          <w:marRight w:val="0"/>
          <w:marTop w:val="0"/>
          <w:marBottom w:val="0"/>
          <w:divBdr>
            <w:top w:val="none" w:sz="0" w:space="0" w:color="auto"/>
            <w:left w:val="none" w:sz="0" w:space="0" w:color="auto"/>
            <w:bottom w:val="none" w:sz="0" w:space="0" w:color="auto"/>
            <w:right w:val="none" w:sz="0" w:space="0" w:color="auto"/>
          </w:divBdr>
        </w:div>
        <w:div w:id="552236448">
          <w:marLeft w:val="0"/>
          <w:marRight w:val="0"/>
          <w:marTop w:val="0"/>
          <w:marBottom w:val="0"/>
          <w:divBdr>
            <w:top w:val="none" w:sz="0" w:space="0" w:color="auto"/>
            <w:left w:val="none" w:sz="0" w:space="0" w:color="auto"/>
            <w:bottom w:val="none" w:sz="0" w:space="0" w:color="auto"/>
            <w:right w:val="none" w:sz="0" w:space="0" w:color="auto"/>
          </w:divBdr>
          <w:divsChild>
            <w:div w:id="441923754">
              <w:marLeft w:val="0"/>
              <w:marRight w:val="0"/>
              <w:marTop w:val="0"/>
              <w:marBottom w:val="0"/>
              <w:divBdr>
                <w:top w:val="none" w:sz="0" w:space="0" w:color="auto"/>
                <w:left w:val="none" w:sz="0" w:space="0" w:color="auto"/>
                <w:bottom w:val="none" w:sz="0" w:space="0" w:color="auto"/>
                <w:right w:val="none" w:sz="0" w:space="0" w:color="auto"/>
              </w:divBdr>
            </w:div>
            <w:div w:id="11859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5716">
      <w:bodyDiv w:val="1"/>
      <w:marLeft w:val="0"/>
      <w:marRight w:val="0"/>
      <w:marTop w:val="0"/>
      <w:marBottom w:val="0"/>
      <w:divBdr>
        <w:top w:val="none" w:sz="0" w:space="0" w:color="auto"/>
        <w:left w:val="none" w:sz="0" w:space="0" w:color="auto"/>
        <w:bottom w:val="none" w:sz="0" w:space="0" w:color="auto"/>
        <w:right w:val="none" w:sz="0" w:space="0" w:color="auto"/>
      </w:divBdr>
      <w:divsChild>
        <w:div w:id="1416440719">
          <w:marLeft w:val="0"/>
          <w:marRight w:val="0"/>
          <w:marTop w:val="0"/>
          <w:marBottom w:val="0"/>
          <w:divBdr>
            <w:top w:val="none" w:sz="0" w:space="0" w:color="auto"/>
            <w:left w:val="none" w:sz="0" w:space="0" w:color="auto"/>
            <w:bottom w:val="none" w:sz="0" w:space="0" w:color="auto"/>
            <w:right w:val="none" w:sz="0" w:space="0" w:color="auto"/>
          </w:divBdr>
          <w:divsChild>
            <w:div w:id="1942912248">
              <w:marLeft w:val="0"/>
              <w:marRight w:val="0"/>
              <w:marTop w:val="332"/>
              <w:marBottom w:val="332"/>
              <w:divBdr>
                <w:top w:val="single" w:sz="6" w:space="8" w:color="DDDDDD"/>
                <w:left w:val="single" w:sz="6" w:space="8" w:color="DDDDDD"/>
                <w:bottom w:val="single" w:sz="6" w:space="0" w:color="DDDDDD"/>
                <w:right w:val="single" w:sz="6" w:space="8" w:color="DDDDDD"/>
              </w:divBdr>
              <w:divsChild>
                <w:div w:id="3982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77895">
          <w:marLeft w:val="0"/>
          <w:marRight w:val="0"/>
          <w:marTop w:val="0"/>
          <w:marBottom w:val="0"/>
          <w:divBdr>
            <w:top w:val="none" w:sz="0" w:space="0" w:color="auto"/>
            <w:left w:val="none" w:sz="0" w:space="0" w:color="auto"/>
            <w:bottom w:val="none" w:sz="0" w:space="0" w:color="auto"/>
            <w:right w:val="none" w:sz="0" w:space="0" w:color="auto"/>
          </w:divBdr>
        </w:div>
        <w:div w:id="803430031">
          <w:marLeft w:val="0"/>
          <w:marRight w:val="0"/>
          <w:marTop w:val="0"/>
          <w:marBottom w:val="0"/>
          <w:divBdr>
            <w:top w:val="none" w:sz="0" w:space="0" w:color="auto"/>
            <w:left w:val="none" w:sz="0" w:space="0" w:color="auto"/>
            <w:bottom w:val="none" w:sz="0" w:space="0" w:color="auto"/>
            <w:right w:val="none" w:sz="0" w:space="0" w:color="auto"/>
          </w:divBdr>
        </w:div>
      </w:divsChild>
    </w:div>
    <w:div w:id="780688627">
      <w:bodyDiv w:val="1"/>
      <w:marLeft w:val="0"/>
      <w:marRight w:val="0"/>
      <w:marTop w:val="0"/>
      <w:marBottom w:val="0"/>
      <w:divBdr>
        <w:top w:val="none" w:sz="0" w:space="0" w:color="auto"/>
        <w:left w:val="none" w:sz="0" w:space="0" w:color="auto"/>
        <w:bottom w:val="none" w:sz="0" w:space="0" w:color="auto"/>
        <w:right w:val="none" w:sz="0" w:space="0" w:color="auto"/>
      </w:divBdr>
      <w:divsChild>
        <w:div w:id="16200076">
          <w:marLeft w:val="0"/>
          <w:marRight w:val="0"/>
          <w:marTop w:val="0"/>
          <w:marBottom w:val="0"/>
          <w:divBdr>
            <w:top w:val="none" w:sz="0" w:space="0" w:color="auto"/>
            <w:left w:val="none" w:sz="0" w:space="0" w:color="auto"/>
            <w:bottom w:val="none" w:sz="0" w:space="0" w:color="auto"/>
            <w:right w:val="none" w:sz="0" w:space="0" w:color="auto"/>
          </w:divBdr>
        </w:div>
        <w:div w:id="1723745275">
          <w:marLeft w:val="0"/>
          <w:marRight w:val="0"/>
          <w:marTop w:val="0"/>
          <w:marBottom w:val="0"/>
          <w:divBdr>
            <w:top w:val="none" w:sz="0" w:space="0" w:color="auto"/>
            <w:left w:val="none" w:sz="0" w:space="0" w:color="auto"/>
            <w:bottom w:val="none" w:sz="0" w:space="0" w:color="auto"/>
            <w:right w:val="none" w:sz="0" w:space="0" w:color="auto"/>
          </w:divBdr>
        </w:div>
        <w:div w:id="372003223">
          <w:marLeft w:val="0"/>
          <w:marRight w:val="0"/>
          <w:marTop w:val="0"/>
          <w:marBottom w:val="0"/>
          <w:divBdr>
            <w:top w:val="none" w:sz="0" w:space="0" w:color="auto"/>
            <w:left w:val="none" w:sz="0" w:space="0" w:color="auto"/>
            <w:bottom w:val="none" w:sz="0" w:space="0" w:color="auto"/>
            <w:right w:val="none" w:sz="0" w:space="0" w:color="auto"/>
          </w:divBdr>
        </w:div>
        <w:div w:id="947202633">
          <w:marLeft w:val="0"/>
          <w:marRight w:val="0"/>
          <w:marTop w:val="0"/>
          <w:marBottom w:val="0"/>
          <w:divBdr>
            <w:top w:val="none" w:sz="0" w:space="0" w:color="auto"/>
            <w:left w:val="none" w:sz="0" w:space="0" w:color="auto"/>
            <w:bottom w:val="none" w:sz="0" w:space="0" w:color="auto"/>
            <w:right w:val="none" w:sz="0" w:space="0" w:color="auto"/>
          </w:divBdr>
        </w:div>
        <w:div w:id="1107113762">
          <w:marLeft w:val="0"/>
          <w:marRight w:val="0"/>
          <w:marTop w:val="0"/>
          <w:marBottom w:val="0"/>
          <w:divBdr>
            <w:top w:val="none" w:sz="0" w:space="0" w:color="auto"/>
            <w:left w:val="none" w:sz="0" w:space="0" w:color="auto"/>
            <w:bottom w:val="none" w:sz="0" w:space="0" w:color="auto"/>
            <w:right w:val="none" w:sz="0" w:space="0" w:color="auto"/>
          </w:divBdr>
        </w:div>
        <w:div w:id="1011033337">
          <w:marLeft w:val="0"/>
          <w:marRight w:val="0"/>
          <w:marTop w:val="0"/>
          <w:marBottom w:val="0"/>
          <w:divBdr>
            <w:top w:val="none" w:sz="0" w:space="0" w:color="auto"/>
            <w:left w:val="none" w:sz="0" w:space="0" w:color="auto"/>
            <w:bottom w:val="none" w:sz="0" w:space="0" w:color="auto"/>
            <w:right w:val="none" w:sz="0" w:space="0" w:color="auto"/>
          </w:divBdr>
        </w:div>
        <w:div w:id="1711758236">
          <w:marLeft w:val="0"/>
          <w:marRight w:val="0"/>
          <w:marTop w:val="0"/>
          <w:marBottom w:val="0"/>
          <w:divBdr>
            <w:top w:val="none" w:sz="0" w:space="0" w:color="auto"/>
            <w:left w:val="none" w:sz="0" w:space="0" w:color="auto"/>
            <w:bottom w:val="none" w:sz="0" w:space="0" w:color="auto"/>
            <w:right w:val="none" w:sz="0" w:space="0" w:color="auto"/>
          </w:divBdr>
        </w:div>
        <w:div w:id="305357345">
          <w:marLeft w:val="0"/>
          <w:marRight w:val="0"/>
          <w:marTop w:val="0"/>
          <w:marBottom w:val="0"/>
          <w:divBdr>
            <w:top w:val="none" w:sz="0" w:space="0" w:color="auto"/>
            <w:left w:val="none" w:sz="0" w:space="0" w:color="auto"/>
            <w:bottom w:val="none" w:sz="0" w:space="0" w:color="auto"/>
            <w:right w:val="none" w:sz="0" w:space="0" w:color="auto"/>
          </w:divBdr>
        </w:div>
        <w:div w:id="866212884">
          <w:marLeft w:val="0"/>
          <w:marRight w:val="0"/>
          <w:marTop w:val="0"/>
          <w:marBottom w:val="0"/>
          <w:divBdr>
            <w:top w:val="none" w:sz="0" w:space="0" w:color="auto"/>
            <w:left w:val="none" w:sz="0" w:space="0" w:color="auto"/>
            <w:bottom w:val="none" w:sz="0" w:space="0" w:color="auto"/>
            <w:right w:val="none" w:sz="0" w:space="0" w:color="auto"/>
          </w:divBdr>
        </w:div>
        <w:div w:id="560217623">
          <w:marLeft w:val="0"/>
          <w:marRight w:val="0"/>
          <w:marTop w:val="0"/>
          <w:marBottom w:val="0"/>
          <w:divBdr>
            <w:top w:val="none" w:sz="0" w:space="0" w:color="auto"/>
            <w:left w:val="none" w:sz="0" w:space="0" w:color="auto"/>
            <w:bottom w:val="none" w:sz="0" w:space="0" w:color="auto"/>
            <w:right w:val="none" w:sz="0" w:space="0" w:color="auto"/>
          </w:divBdr>
        </w:div>
        <w:div w:id="156774929">
          <w:marLeft w:val="0"/>
          <w:marRight w:val="0"/>
          <w:marTop w:val="0"/>
          <w:marBottom w:val="0"/>
          <w:divBdr>
            <w:top w:val="none" w:sz="0" w:space="0" w:color="auto"/>
            <w:left w:val="none" w:sz="0" w:space="0" w:color="auto"/>
            <w:bottom w:val="none" w:sz="0" w:space="0" w:color="auto"/>
            <w:right w:val="none" w:sz="0" w:space="0" w:color="auto"/>
          </w:divBdr>
        </w:div>
        <w:div w:id="1279097436">
          <w:marLeft w:val="0"/>
          <w:marRight w:val="0"/>
          <w:marTop w:val="0"/>
          <w:marBottom w:val="0"/>
          <w:divBdr>
            <w:top w:val="none" w:sz="0" w:space="0" w:color="auto"/>
            <w:left w:val="none" w:sz="0" w:space="0" w:color="auto"/>
            <w:bottom w:val="none" w:sz="0" w:space="0" w:color="auto"/>
            <w:right w:val="none" w:sz="0" w:space="0" w:color="auto"/>
          </w:divBdr>
        </w:div>
        <w:div w:id="1353067496">
          <w:marLeft w:val="0"/>
          <w:marRight w:val="0"/>
          <w:marTop w:val="0"/>
          <w:marBottom w:val="0"/>
          <w:divBdr>
            <w:top w:val="none" w:sz="0" w:space="0" w:color="auto"/>
            <w:left w:val="none" w:sz="0" w:space="0" w:color="auto"/>
            <w:bottom w:val="none" w:sz="0" w:space="0" w:color="auto"/>
            <w:right w:val="none" w:sz="0" w:space="0" w:color="auto"/>
          </w:divBdr>
        </w:div>
        <w:div w:id="1720083135">
          <w:marLeft w:val="0"/>
          <w:marRight w:val="0"/>
          <w:marTop w:val="0"/>
          <w:marBottom w:val="0"/>
          <w:divBdr>
            <w:top w:val="none" w:sz="0" w:space="0" w:color="auto"/>
            <w:left w:val="none" w:sz="0" w:space="0" w:color="auto"/>
            <w:bottom w:val="none" w:sz="0" w:space="0" w:color="auto"/>
            <w:right w:val="none" w:sz="0" w:space="0" w:color="auto"/>
          </w:divBdr>
        </w:div>
        <w:div w:id="1747335445">
          <w:marLeft w:val="0"/>
          <w:marRight w:val="0"/>
          <w:marTop w:val="0"/>
          <w:marBottom w:val="0"/>
          <w:divBdr>
            <w:top w:val="none" w:sz="0" w:space="0" w:color="auto"/>
            <w:left w:val="none" w:sz="0" w:space="0" w:color="auto"/>
            <w:bottom w:val="none" w:sz="0" w:space="0" w:color="auto"/>
            <w:right w:val="none" w:sz="0" w:space="0" w:color="auto"/>
          </w:divBdr>
        </w:div>
        <w:div w:id="1965037543">
          <w:marLeft w:val="0"/>
          <w:marRight w:val="0"/>
          <w:marTop w:val="0"/>
          <w:marBottom w:val="0"/>
          <w:divBdr>
            <w:top w:val="none" w:sz="0" w:space="0" w:color="auto"/>
            <w:left w:val="none" w:sz="0" w:space="0" w:color="auto"/>
            <w:bottom w:val="none" w:sz="0" w:space="0" w:color="auto"/>
            <w:right w:val="none" w:sz="0" w:space="0" w:color="auto"/>
          </w:divBdr>
        </w:div>
        <w:div w:id="115874132">
          <w:marLeft w:val="0"/>
          <w:marRight w:val="0"/>
          <w:marTop w:val="0"/>
          <w:marBottom w:val="0"/>
          <w:divBdr>
            <w:top w:val="none" w:sz="0" w:space="0" w:color="auto"/>
            <w:left w:val="none" w:sz="0" w:space="0" w:color="auto"/>
            <w:bottom w:val="none" w:sz="0" w:space="0" w:color="auto"/>
            <w:right w:val="none" w:sz="0" w:space="0" w:color="auto"/>
          </w:divBdr>
        </w:div>
        <w:div w:id="895243435">
          <w:marLeft w:val="0"/>
          <w:marRight w:val="0"/>
          <w:marTop w:val="0"/>
          <w:marBottom w:val="0"/>
          <w:divBdr>
            <w:top w:val="none" w:sz="0" w:space="0" w:color="auto"/>
            <w:left w:val="none" w:sz="0" w:space="0" w:color="auto"/>
            <w:bottom w:val="none" w:sz="0" w:space="0" w:color="auto"/>
            <w:right w:val="none" w:sz="0" w:space="0" w:color="auto"/>
          </w:divBdr>
        </w:div>
        <w:div w:id="1059093038">
          <w:marLeft w:val="0"/>
          <w:marRight w:val="0"/>
          <w:marTop w:val="0"/>
          <w:marBottom w:val="0"/>
          <w:divBdr>
            <w:top w:val="none" w:sz="0" w:space="0" w:color="auto"/>
            <w:left w:val="none" w:sz="0" w:space="0" w:color="auto"/>
            <w:bottom w:val="none" w:sz="0" w:space="0" w:color="auto"/>
            <w:right w:val="none" w:sz="0" w:space="0" w:color="auto"/>
          </w:divBdr>
        </w:div>
        <w:div w:id="1624340529">
          <w:marLeft w:val="0"/>
          <w:marRight w:val="0"/>
          <w:marTop w:val="0"/>
          <w:marBottom w:val="0"/>
          <w:divBdr>
            <w:top w:val="none" w:sz="0" w:space="0" w:color="auto"/>
            <w:left w:val="none" w:sz="0" w:space="0" w:color="auto"/>
            <w:bottom w:val="none" w:sz="0" w:space="0" w:color="auto"/>
            <w:right w:val="none" w:sz="0" w:space="0" w:color="auto"/>
          </w:divBdr>
        </w:div>
        <w:div w:id="621502958">
          <w:marLeft w:val="0"/>
          <w:marRight w:val="0"/>
          <w:marTop w:val="0"/>
          <w:marBottom w:val="0"/>
          <w:divBdr>
            <w:top w:val="none" w:sz="0" w:space="0" w:color="auto"/>
            <w:left w:val="none" w:sz="0" w:space="0" w:color="auto"/>
            <w:bottom w:val="none" w:sz="0" w:space="0" w:color="auto"/>
            <w:right w:val="none" w:sz="0" w:space="0" w:color="auto"/>
          </w:divBdr>
        </w:div>
        <w:div w:id="2051570089">
          <w:marLeft w:val="0"/>
          <w:marRight w:val="0"/>
          <w:marTop w:val="0"/>
          <w:marBottom w:val="0"/>
          <w:divBdr>
            <w:top w:val="none" w:sz="0" w:space="0" w:color="auto"/>
            <w:left w:val="none" w:sz="0" w:space="0" w:color="auto"/>
            <w:bottom w:val="none" w:sz="0" w:space="0" w:color="auto"/>
            <w:right w:val="none" w:sz="0" w:space="0" w:color="auto"/>
          </w:divBdr>
        </w:div>
        <w:div w:id="113133453">
          <w:marLeft w:val="0"/>
          <w:marRight w:val="0"/>
          <w:marTop w:val="0"/>
          <w:marBottom w:val="0"/>
          <w:divBdr>
            <w:top w:val="none" w:sz="0" w:space="0" w:color="auto"/>
            <w:left w:val="none" w:sz="0" w:space="0" w:color="auto"/>
            <w:bottom w:val="none" w:sz="0" w:space="0" w:color="auto"/>
            <w:right w:val="none" w:sz="0" w:space="0" w:color="auto"/>
          </w:divBdr>
        </w:div>
        <w:div w:id="458646752">
          <w:marLeft w:val="0"/>
          <w:marRight w:val="0"/>
          <w:marTop w:val="0"/>
          <w:marBottom w:val="0"/>
          <w:divBdr>
            <w:top w:val="none" w:sz="0" w:space="0" w:color="auto"/>
            <w:left w:val="none" w:sz="0" w:space="0" w:color="auto"/>
            <w:bottom w:val="none" w:sz="0" w:space="0" w:color="auto"/>
            <w:right w:val="none" w:sz="0" w:space="0" w:color="auto"/>
          </w:divBdr>
        </w:div>
        <w:div w:id="145442307">
          <w:marLeft w:val="0"/>
          <w:marRight w:val="0"/>
          <w:marTop w:val="0"/>
          <w:marBottom w:val="0"/>
          <w:divBdr>
            <w:top w:val="none" w:sz="0" w:space="0" w:color="auto"/>
            <w:left w:val="none" w:sz="0" w:space="0" w:color="auto"/>
            <w:bottom w:val="none" w:sz="0" w:space="0" w:color="auto"/>
            <w:right w:val="none" w:sz="0" w:space="0" w:color="auto"/>
          </w:divBdr>
        </w:div>
        <w:div w:id="141385397">
          <w:marLeft w:val="0"/>
          <w:marRight w:val="0"/>
          <w:marTop w:val="0"/>
          <w:marBottom w:val="0"/>
          <w:divBdr>
            <w:top w:val="none" w:sz="0" w:space="0" w:color="auto"/>
            <w:left w:val="none" w:sz="0" w:space="0" w:color="auto"/>
            <w:bottom w:val="none" w:sz="0" w:space="0" w:color="auto"/>
            <w:right w:val="none" w:sz="0" w:space="0" w:color="auto"/>
          </w:divBdr>
        </w:div>
        <w:div w:id="1598295695">
          <w:marLeft w:val="0"/>
          <w:marRight w:val="0"/>
          <w:marTop w:val="0"/>
          <w:marBottom w:val="0"/>
          <w:divBdr>
            <w:top w:val="none" w:sz="0" w:space="0" w:color="auto"/>
            <w:left w:val="none" w:sz="0" w:space="0" w:color="auto"/>
            <w:bottom w:val="none" w:sz="0" w:space="0" w:color="auto"/>
            <w:right w:val="none" w:sz="0" w:space="0" w:color="auto"/>
          </w:divBdr>
        </w:div>
        <w:div w:id="140007528">
          <w:marLeft w:val="0"/>
          <w:marRight w:val="0"/>
          <w:marTop w:val="0"/>
          <w:marBottom w:val="0"/>
          <w:divBdr>
            <w:top w:val="none" w:sz="0" w:space="0" w:color="auto"/>
            <w:left w:val="none" w:sz="0" w:space="0" w:color="auto"/>
            <w:bottom w:val="none" w:sz="0" w:space="0" w:color="auto"/>
            <w:right w:val="none" w:sz="0" w:space="0" w:color="auto"/>
          </w:divBdr>
        </w:div>
        <w:div w:id="735662372">
          <w:marLeft w:val="0"/>
          <w:marRight w:val="0"/>
          <w:marTop w:val="0"/>
          <w:marBottom w:val="0"/>
          <w:divBdr>
            <w:top w:val="none" w:sz="0" w:space="0" w:color="auto"/>
            <w:left w:val="none" w:sz="0" w:space="0" w:color="auto"/>
            <w:bottom w:val="none" w:sz="0" w:space="0" w:color="auto"/>
            <w:right w:val="none" w:sz="0" w:space="0" w:color="auto"/>
          </w:divBdr>
        </w:div>
        <w:div w:id="2119138387">
          <w:marLeft w:val="0"/>
          <w:marRight w:val="0"/>
          <w:marTop w:val="0"/>
          <w:marBottom w:val="0"/>
          <w:divBdr>
            <w:top w:val="none" w:sz="0" w:space="0" w:color="auto"/>
            <w:left w:val="none" w:sz="0" w:space="0" w:color="auto"/>
            <w:bottom w:val="none" w:sz="0" w:space="0" w:color="auto"/>
            <w:right w:val="none" w:sz="0" w:space="0" w:color="auto"/>
          </w:divBdr>
        </w:div>
        <w:div w:id="695083078">
          <w:marLeft w:val="0"/>
          <w:marRight w:val="0"/>
          <w:marTop w:val="0"/>
          <w:marBottom w:val="0"/>
          <w:divBdr>
            <w:top w:val="none" w:sz="0" w:space="0" w:color="auto"/>
            <w:left w:val="none" w:sz="0" w:space="0" w:color="auto"/>
            <w:bottom w:val="none" w:sz="0" w:space="0" w:color="auto"/>
            <w:right w:val="none" w:sz="0" w:space="0" w:color="auto"/>
          </w:divBdr>
        </w:div>
        <w:div w:id="939532761">
          <w:marLeft w:val="0"/>
          <w:marRight w:val="0"/>
          <w:marTop w:val="0"/>
          <w:marBottom w:val="0"/>
          <w:divBdr>
            <w:top w:val="none" w:sz="0" w:space="0" w:color="auto"/>
            <w:left w:val="none" w:sz="0" w:space="0" w:color="auto"/>
            <w:bottom w:val="none" w:sz="0" w:space="0" w:color="auto"/>
            <w:right w:val="none" w:sz="0" w:space="0" w:color="auto"/>
          </w:divBdr>
        </w:div>
        <w:div w:id="117652619">
          <w:marLeft w:val="0"/>
          <w:marRight w:val="0"/>
          <w:marTop w:val="0"/>
          <w:marBottom w:val="0"/>
          <w:divBdr>
            <w:top w:val="none" w:sz="0" w:space="0" w:color="auto"/>
            <w:left w:val="none" w:sz="0" w:space="0" w:color="auto"/>
            <w:bottom w:val="none" w:sz="0" w:space="0" w:color="auto"/>
            <w:right w:val="none" w:sz="0" w:space="0" w:color="auto"/>
          </w:divBdr>
        </w:div>
        <w:div w:id="1155296580">
          <w:marLeft w:val="0"/>
          <w:marRight w:val="0"/>
          <w:marTop w:val="0"/>
          <w:marBottom w:val="0"/>
          <w:divBdr>
            <w:top w:val="none" w:sz="0" w:space="0" w:color="auto"/>
            <w:left w:val="none" w:sz="0" w:space="0" w:color="auto"/>
            <w:bottom w:val="none" w:sz="0" w:space="0" w:color="auto"/>
            <w:right w:val="none" w:sz="0" w:space="0" w:color="auto"/>
          </w:divBdr>
        </w:div>
        <w:div w:id="1846168248">
          <w:marLeft w:val="0"/>
          <w:marRight w:val="0"/>
          <w:marTop w:val="0"/>
          <w:marBottom w:val="0"/>
          <w:divBdr>
            <w:top w:val="none" w:sz="0" w:space="0" w:color="auto"/>
            <w:left w:val="none" w:sz="0" w:space="0" w:color="auto"/>
            <w:bottom w:val="none" w:sz="0" w:space="0" w:color="auto"/>
            <w:right w:val="none" w:sz="0" w:space="0" w:color="auto"/>
          </w:divBdr>
        </w:div>
        <w:div w:id="386271615">
          <w:marLeft w:val="0"/>
          <w:marRight w:val="0"/>
          <w:marTop w:val="0"/>
          <w:marBottom w:val="0"/>
          <w:divBdr>
            <w:top w:val="none" w:sz="0" w:space="0" w:color="auto"/>
            <w:left w:val="none" w:sz="0" w:space="0" w:color="auto"/>
            <w:bottom w:val="none" w:sz="0" w:space="0" w:color="auto"/>
            <w:right w:val="none" w:sz="0" w:space="0" w:color="auto"/>
          </w:divBdr>
        </w:div>
        <w:div w:id="1191189414">
          <w:marLeft w:val="0"/>
          <w:marRight w:val="0"/>
          <w:marTop w:val="0"/>
          <w:marBottom w:val="0"/>
          <w:divBdr>
            <w:top w:val="none" w:sz="0" w:space="0" w:color="auto"/>
            <w:left w:val="none" w:sz="0" w:space="0" w:color="auto"/>
            <w:bottom w:val="none" w:sz="0" w:space="0" w:color="auto"/>
            <w:right w:val="none" w:sz="0" w:space="0" w:color="auto"/>
          </w:divBdr>
        </w:div>
        <w:div w:id="930625103">
          <w:marLeft w:val="0"/>
          <w:marRight w:val="0"/>
          <w:marTop w:val="0"/>
          <w:marBottom w:val="0"/>
          <w:divBdr>
            <w:top w:val="none" w:sz="0" w:space="0" w:color="auto"/>
            <w:left w:val="none" w:sz="0" w:space="0" w:color="auto"/>
            <w:bottom w:val="none" w:sz="0" w:space="0" w:color="auto"/>
            <w:right w:val="none" w:sz="0" w:space="0" w:color="auto"/>
          </w:divBdr>
        </w:div>
        <w:div w:id="361174334">
          <w:marLeft w:val="0"/>
          <w:marRight w:val="0"/>
          <w:marTop w:val="0"/>
          <w:marBottom w:val="0"/>
          <w:divBdr>
            <w:top w:val="none" w:sz="0" w:space="0" w:color="auto"/>
            <w:left w:val="none" w:sz="0" w:space="0" w:color="auto"/>
            <w:bottom w:val="none" w:sz="0" w:space="0" w:color="auto"/>
            <w:right w:val="none" w:sz="0" w:space="0" w:color="auto"/>
          </w:divBdr>
        </w:div>
        <w:div w:id="1781141499">
          <w:marLeft w:val="0"/>
          <w:marRight w:val="0"/>
          <w:marTop w:val="0"/>
          <w:marBottom w:val="0"/>
          <w:divBdr>
            <w:top w:val="none" w:sz="0" w:space="0" w:color="auto"/>
            <w:left w:val="none" w:sz="0" w:space="0" w:color="auto"/>
            <w:bottom w:val="none" w:sz="0" w:space="0" w:color="auto"/>
            <w:right w:val="none" w:sz="0" w:space="0" w:color="auto"/>
          </w:divBdr>
        </w:div>
        <w:div w:id="398402821">
          <w:marLeft w:val="0"/>
          <w:marRight w:val="0"/>
          <w:marTop w:val="0"/>
          <w:marBottom w:val="0"/>
          <w:divBdr>
            <w:top w:val="none" w:sz="0" w:space="0" w:color="auto"/>
            <w:left w:val="none" w:sz="0" w:space="0" w:color="auto"/>
            <w:bottom w:val="none" w:sz="0" w:space="0" w:color="auto"/>
            <w:right w:val="none" w:sz="0" w:space="0" w:color="auto"/>
          </w:divBdr>
        </w:div>
        <w:div w:id="1370914133">
          <w:marLeft w:val="0"/>
          <w:marRight w:val="0"/>
          <w:marTop w:val="0"/>
          <w:marBottom w:val="0"/>
          <w:divBdr>
            <w:top w:val="none" w:sz="0" w:space="0" w:color="auto"/>
            <w:left w:val="none" w:sz="0" w:space="0" w:color="auto"/>
            <w:bottom w:val="none" w:sz="0" w:space="0" w:color="auto"/>
            <w:right w:val="none" w:sz="0" w:space="0" w:color="auto"/>
          </w:divBdr>
        </w:div>
        <w:div w:id="1347976360">
          <w:marLeft w:val="0"/>
          <w:marRight w:val="0"/>
          <w:marTop w:val="0"/>
          <w:marBottom w:val="0"/>
          <w:divBdr>
            <w:top w:val="none" w:sz="0" w:space="0" w:color="auto"/>
            <w:left w:val="none" w:sz="0" w:space="0" w:color="auto"/>
            <w:bottom w:val="none" w:sz="0" w:space="0" w:color="auto"/>
            <w:right w:val="none" w:sz="0" w:space="0" w:color="auto"/>
          </w:divBdr>
        </w:div>
        <w:div w:id="1457140222">
          <w:marLeft w:val="0"/>
          <w:marRight w:val="0"/>
          <w:marTop w:val="0"/>
          <w:marBottom w:val="0"/>
          <w:divBdr>
            <w:top w:val="none" w:sz="0" w:space="0" w:color="auto"/>
            <w:left w:val="none" w:sz="0" w:space="0" w:color="auto"/>
            <w:bottom w:val="none" w:sz="0" w:space="0" w:color="auto"/>
            <w:right w:val="none" w:sz="0" w:space="0" w:color="auto"/>
          </w:divBdr>
        </w:div>
        <w:div w:id="1825001407">
          <w:marLeft w:val="0"/>
          <w:marRight w:val="0"/>
          <w:marTop w:val="0"/>
          <w:marBottom w:val="0"/>
          <w:divBdr>
            <w:top w:val="none" w:sz="0" w:space="0" w:color="auto"/>
            <w:left w:val="none" w:sz="0" w:space="0" w:color="auto"/>
            <w:bottom w:val="none" w:sz="0" w:space="0" w:color="auto"/>
            <w:right w:val="none" w:sz="0" w:space="0" w:color="auto"/>
          </w:divBdr>
        </w:div>
        <w:div w:id="43986579">
          <w:marLeft w:val="0"/>
          <w:marRight w:val="0"/>
          <w:marTop w:val="0"/>
          <w:marBottom w:val="0"/>
          <w:divBdr>
            <w:top w:val="none" w:sz="0" w:space="0" w:color="auto"/>
            <w:left w:val="none" w:sz="0" w:space="0" w:color="auto"/>
            <w:bottom w:val="none" w:sz="0" w:space="0" w:color="auto"/>
            <w:right w:val="none" w:sz="0" w:space="0" w:color="auto"/>
          </w:divBdr>
        </w:div>
        <w:div w:id="1182166963">
          <w:marLeft w:val="0"/>
          <w:marRight w:val="0"/>
          <w:marTop w:val="0"/>
          <w:marBottom w:val="0"/>
          <w:divBdr>
            <w:top w:val="none" w:sz="0" w:space="0" w:color="auto"/>
            <w:left w:val="none" w:sz="0" w:space="0" w:color="auto"/>
            <w:bottom w:val="none" w:sz="0" w:space="0" w:color="auto"/>
            <w:right w:val="none" w:sz="0" w:space="0" w:color="auto"/>
          </w:divBdr>
        </w:div>
        <w:div w:id="1173841568">
          <w:marLeft w:val="0"/>
          <w:marRight w:val="0"/>
          <w:marTop w:val="0"/>
          <w:marBottom w:val="0"/>
          <w:divBdr>
            <w:top w:val="none" w:sz="0" w:space="0" w:color="auto"/>
            <w:left w:val="none" w:sz="0" w:space="0" w:color="auto"/>
            <w:bottom w:val="none" w:sz="0" w:space="0" w:color="auto"/>
            <w:right w:val="none" w:sz="0" w:space="0" w:color="auto"/>
          </w:divBdr>
        </w:div>
        <w:div w:id="1105079538">
          <w:marLeft w:val="0"/>
          <w:marRight w:val="0"/>
          <w:marTop w:val="0"/>
          <w:marBottom w:val="0"/>
          <w:divBdr>
            <w:top w:val="none" w:sz="0" w:space="0" w:color="auto"/>
            <w:left w:val="none" w:sz="0" w:space="0" w:color="auto"/>
            <w:bottom w:val="none" w:sz="0" w:space="0" w:color="auto"/>
            <w:right w:val="none" w:sz="0" w:space="0" w:color="auto"/>
          </w:divBdr>
        </w:div>
        <w:div w:id="1475945084">
          <w:marLeft w:val="0"/>
          <w:marRight w:val="0"/>
          <w:marTop w:val="0"/>
          <w:marBottom w:val="0"/>
          <w:divBdr>
            <w:top w:val="none" w:sz="0" w:space="0" w:color="auto"/>
            <w:left w:val="none" w:sz="0" w:space="0" w:color="auto"/>
            <w:bottom w:val="none" w:sz="0" w:space="0" w:color="auto"/>
            <w:right w:val="none" w:sz="0" w:space="0" w:color="auto"/>
          </w:divBdr>
        </w:div>
        <w:div w:id="67464667">
          <w:marLeft w:val="0"/>
          <w:marRight w:val="0"/>
          <w:marTop w:val="0"/>
          <w:marBottom w:val="0"/>
          <w:divBdr>
            <w:top w:val="none" w:sz="0" w:space="0" w:color="auto"/>
            <w:left w:val="none" w:sz="0" w:space="0" w:color="auto"/>
            <w:bottom w:val="none" w:sz="0" w:space="0" w:color="auto"/>
            <w:right w:val="none" w:sz="0" w:space="0" w:color="auto"/>
          </w:divBdr>
        </w:div>
        <w:div w:id="89203910">
          <w:marLeft w:val="0"/>
          <w:marRight w:val="0"/>
          <w:marTop w:val="0"/>
          <w:marBottom w:val="0"/>
          <w:divBdr>
            <w:top w:val="none" w:sz="0" w:space="0" w:color="auto"/>
            <w:left w:val="none" w:sz="0" w:space="0" w:color="auto"/>
            <w:bottom w:val="none" w:sz="0" w:space="0" w:color="auto"/>
            <w:right w:val="none" w:sz="0" w:space="0" w:color="auto"/>
          </w:divBdr>
        </w:div>
        <w:div w:id="1513034372">
          <w:marLeft w:val="0"/>
          <w:marRight w:val="0"/>
          <w:marTop w:val="0"/>
          <w:marBottom w:val="0"/>
          <w:divBdr>
            <w:top w:val="none" w:sz="0" w:space="0" w:color="auto"/>
            <w:left w:val="none" w:sz="0" w:space="0" w:color="auto"/>
            <w:bottom w:val="none" w:sz="0" w:space="0" w:color="auto"/>
            <w:right w:val="none" w:sz="0" w:space="0" w:color="auto"/>
          </w:divBdr>
        </w:div>
        <w:div w:id="1644583841">
          <w:marLeft w:val="0"/>
          <w:marRight w:val="0"/>
          <w:marTop w:val="0"/>
          <w:marBottom w:val="0"/>
          <w:divBdr>
            <w:top w:val="none" w:sz="0" w:space="0" w:color="auto"/>
            <w:left w:val="none" w:sz="0" w:space="0" w:color="auto"/>
            <w:bottom w:val="none" w:sz="0" w:space="0" w:color="auto"/>
            <w:right w:val="none" w:sz="0" w:space="0" w:color="auto"/>
          </w:divBdr>
        </w:div>
        <w:div w:id="1162618442">
          <w:marLeft w:val="0"/>
          <w:marRight w:val="0"/>
          <w:marTop w:val="0"/>
          <w:marBottom w:val="0"/>
          <w:divBdr>
            <w:top w:val="none" w:sz="0" w:space="0" w:color="auto"/>
            <w:left w:val="none" w:sz="0" w:space="0" w:color="auto"/>
            <w:bottom w:val="none" w:sz="0" w:space="0" w:color="auto"/>
            <w:right w:val="none" w:sz="0" w:space="0" w:color="auto"/>
          </w:divBdr>
        </w:div>
        <w:div w:id="2436282">
          <w:marLeft w:val="0"/>
          <w:marRight w:val="0"/>
          <w:marTop w:val="0"/>
          <w:marBottom w:val="0"/>
          <w:divBdr>
            <w:top w:val="none" w:sz="0" w:space="0" w:color="auto"/>
            <w:left w:val="none" w:sz="0" w:space="0" w:color="auto"/>
            <w:bottom w:val="none" w:sz="0" w:space="0" w:color="auto"/>
            <w:right w:val="none" w:sz="0" w:space="0" w:color="auto"/>
          </w:divBdr>
        </w:div>
        <w:div w:id="1992371903">
          <w:marLeft w:val="0"/>
          <w:marRight w:val="0"/>
          <w:marTop w:val="0"/>
          <w:marBottom w:val="0"/>
          <w:divBdr>
            <w:top w:val="none" w:sz="0" w:space="0" w:color="auto"/>
            <w:left w:val="none" w:sz="0" w:space="0" w:color="auto"/>
            <w:bottom w:val="none" w:sz="0" w:space="0" w:color="auto"/>
            <w:right w:val="none" w:sz="0" w:space="0" w:color="auto"/>
          </w:divBdr>
        </w:div>
        <w:div w:id="2079204689">
          <w:marLeft w:val="0"/>
          <w:marRight w:val="0"/>
          <w:marTop w:val="0"/>
          <w:marBottom w:val="0"/>
          <w:divBdr>
            <w:top w:val="none" w:sz="0" w:space="0" w:color="auto"/>
            <w:left w:val="none" w:sz="0" w:space="0" w:color="auto"/>
            <w:bottom w:val="none" w:sz="0" w:space="0" w:color="auto"/>
            <w:right w:val="none" w:sz="0" w:space="0" w:color="auto"/>
          </w:divBdr>
        </w:div>
        <w:div w:id="660625797">
          <w:marLeft w:val="0"/>
          <w:marRight w:val="0"/>
          <w:marTop w:val="0"/>
          <w:marBottom w:val="0"/>
          <w:divBdr>
            <w:top w:val="none" w:sz="0" w:space="0" w:color="auto"/>
            <w:left w:val="none" w:sz="0" w:space="0" w:color="auto"/>
            <w:bottom w:val="none" w:sz="0" w:space="0" w:color="auto"/>
            <w:right w:val="none" w:sz="0" w:space="0" w:color="auto"/>
          </w:divBdr>
        </w:div>
        <w:div w:id="1673801506">
          <w:marLeft w:val="0"/>
          <w:marRight w:val="0"/>
          <w:marTop w:val="0"/>
          <w:marBottom w:val="0"/>
          <w:divBdr>
            <w:top w:val="none" w:sz="0" w:space="0" w:color="auto"/>
            <w:left w:val="none" w:sz="0" w:space="0" w:color="auto"/>
            <w:bottom w:val="none" w:sz="0" w:space="0" w:color="auto"/>
            <w:right w:val="none" w:sz="0" w:space="0" w:color="auto"/>
          </w:divBdr>
        </w:div>
        <w:div w:id="1344164498">
          <w:marLeft w:val="0"/>
          <w:marRight w:val="0"/>
          <w:marTop w:val="0"/>
          <w:marBottom w:val="0"/>
          <w:divBdr>
            <w:top w:val="none" w:sz="0" w:space="0" w:color="auto"/>
            <w:left w:val="none" w:sz="0" w:space="0" w:color="auto"/>
            <w:bottom w:val="none" w:sz="0" w:space="0" w:color="auto"/>
            <w:right w:val="none" w:sz="0" w:space="0" w:color="auto"/>
          </w:divBdr>
        </w:div>
        <w:div w:id="1005354406">
          <w:marLeft w:val="0"/>
          <w:marRight w:val="0"/>
          <w:marTop w:val="0"/>
          <w:marBottom w:val="0"/>
          <w:divBdr>
            <w:top w:val="none" w:sz="0" w:space="0" w:color="auto"/>
            <w:left w:val="none" w:sz="0" w:space="0" w:color="auto"/>
            <w:bottom w:val="none" w:sz="0" w:space="0" w:color="auto"/>
            <w:right w:val="none" w:sz="0" w:space="0" w:color="auto"/>
          </w:divBdr>
        </w:div>
        <w:div w:id="2098741843">
          <w:marLeft w:val="0"/>
          <w:marRight w:val="0"/>
          <w:marTop w:val="0"/>
          <w:marBottom w:val="0"/>
          <w:divBdr>
            <w:top w:val="none" w:sz="0" w:space="0" w:color="auto"/>
            <w:left w:val="none" w:sz="0" w:space="0" w:color="auto"/>
            <w:bottom w:val="none" w:sz="0" w:space="0" w:color="auto"/>
            <w:right w:val="none" w:sz="0" w:space="0" w:color="auto"/>
          </w:divBdr>
        </w:div>
        <w:div w:id="212893580">
          <w:marLeft w:val="0"/>
          <w:marRight w:val="0"/>
          <w:marTop w:val="0"/>
          <w:marBottom w:val="0"/>
          <w:divBdr>
            <w:top w:val="none" w:sz="0" w:space="0" w:color="auto"/>
            <w:left w:val="none" w:sz="0" w:space="0" w:color="auto"/>
            <w:bottom w:val="none" w:sz="0" w:space="0" w:color="auto"/>
            <w:right w:val="none" w:sz="0" w:space="0" w:color="auto"/>
          </w:divBdr>
        </w:div>
        <w:div w:id="1457405819">
          <w:marLeft w:val="0"/>
          <w:marRight w:val="0"/>
          <w:marTop w:val="0"/>
          <w:marBottom w:val="0"/>
          <w:divBdr>
            <w:top w:val="none" w:sz="0" w:space="0" w:color="auto"/>
            <w:left w:val="none" w:sz="0" w:space="0" w:color="auto"/>
            <w:bottom w:val="none" w:sz="0" w:space="0" w:color="auto"/>
            <w:right w:val="none" w:sz="0" w:space="0" w:color="auto"/>
          </w:divBdr>
        </w:div>
        <w:div w:id="1943412573">
          <w:marLeft w:val="0"/>
          <w:marRight w:val="0"/>
          <w:marTop w:val="0"/>
          <w:marBottom w:val="0"/>
          <w:divBdr>
            <w:top w:val="none" w:sz="0" w:space="0" w:color="auto"/>
            <w:left w:val="none" w:sz="0" w:space="0" w:color="auto"/>
            <w:bottom w:val="none" w:sz="0" w:space="0" w:color="auto"/>
            <w:right w:val="none" w:sz="0" w:space="0" w:color="auto"/>
          </w:divBdr>
        </w:div>
        <w:div w:id="1092244611">
          <w:marLeft w:val="0"/>
          <w:marRight w:val="0"/>
          <w:marTop w:val="0"/>
          <w:marBottom w:val="0"/>
          <w:divBdr>
            <w:top w:val="none" w:sz="0" w:space="0" w:color="auto"/>
            <w:left w:val="none" w:sz="0" w:space="0" w:color="auto"/>
            <w:bottom w:val="none" w:sz="0" w:space="0" w:color="auto"/>
            <w:right w:val="none" w:sz="0" w:space="0" w:color="auto"/>
          </w:divBdr>
        </w:div>
        <w:div w:id="1330522851">
          <w:marLeft w:val="0"/>
          <w:marRight w:val="0"/>
          <w:marTop w:val="0"/>
          <w:marBottom w:val="0"/>
          <w:divBdr>
            <w:top w:val="none" w:sz="0" w:space="0" w:color="auto"/>
            <w:left w:val="none" w:sz="0" w:space="0" w:color="auto"/>
            <w:bottom w:val="none" w:sz="0" w:space="0" w:color="auto"/>
            <w:right w:val="none" w:sz="0" w:space="0" w:color="auto"/>
          </w:divBdr>
        </w:div>
        <w:div w:id="1297756569">
          <w:marLeft w:val="0"/>
          <w:marRight w:val="0"/>
          <w:marTop w:val="0"/>
          <w:marBottom w:val="0"/>
          <w:divBdr>
            <w:top w:val="none" w:sz="0" w:space="0" w:color="auto"/>
            <w:left w:val="none" w:sz="0" w:space="0" w:color="auto"/>
            <w:bottom w:val="none" w:sz="0" w:space="0" w:color="auto"/>
            <w:right w:val="none" w:sz="0" w:space="0" w:color="auto"/>
          </w:divBdr>
        </w:div>
        <w:div w:id="1258174301">
          <w:marLeft w:val="0"/>
          <w:marRight w:val="0"/>
          <w:marTop w:val="0"/>
          <w:marBottom w:val="0"/>
          <w:divBdr>
            <w:top w:val="none" w:sz="0" w:space="0" w:color="auto"/>
            <w:left w:val="none" w:sz="0" w:space="0" w:color="auto"/>
            <w:bottom w:val="none" w:sz="0" w:space="0" w:color="auto"/>
            <w:right w:val="none" w:sz="0" w:space="0" w:color="auto"/>
          </w:divBdr>
        </w:div>
        <w:div w:id="151144191">
          <w:marLeft w:val="0"/>
          <w:marRight w:val="0"/>
          <w:marTop w:val="0"/>
          <w:marBottom w:val="0"/>
          <w:divBdr>
            <w:top w:val="none" w:sz="0" w:space="0" w:color="auto"/>
            <w:left w:val="none" w:sz="0" w:space="0" w:color="auto"/>
            <w:bottom w:val="none" w:sz="0" w:space="0" w:color="auto"/>
            <w:right w:val="none" w:sz="0" w:space="0" w:color="auto"/>
          </w:divBdr>
        </w:div>
        <w:div w:id="1342006034">
          <w:marLeft w:val="0"/>
          <w:marRight w:val="0"/>
          <w:marTop w:val="0"/>
          <w:marBottom w:val="0"/>
          <w:divBdr>
            <w:top w:val="none" w:sz="0" w:space="0" w:color="auto"/>
            <w:left w:val="none" w:sz="0" w:space="0" w:color="auto"/>
            <w:bottom w:val="none" w:sz="0" w:space="0" w:color="auto"/>
            <w:right w:val="none" w:sz="0" w:space="0" w:color="auto"/>
          </w:divBdr>
        </w:div>
        <w:div w:id="1372682493">
          <w:marLeft w:val="0"/>
          <w:marRight w:val="0"/>
          <w:marTop w:val="0"/>
          <w:marBottom w:val="0"/>
          <w:divBdr>
            <w:top w:val="none" w:sz="0" w:space="0" w:color="auto"/>
            <w:left w:val="none" w:sz="0" w:space="0" w:color="auto"/>
            <w:bottom w:val="none" w:sz="0" w:space="0" w:color="auto"/>
            <w:right w:val="none" w:sz="0" w:space="0" w:color="auto"/>
          </w:divBdr>
        </w:div>
        <w:div w:id="484276998">
          <w:marLeft w:val="0"/>
          <w:marRight w:val="0"/>
          <w:marTop w:val="0"/>
          <w:marBottom w:val="0"/>
          <w:divBdr>
            <w:top w:val="none" w:sz="0" w:space="0" w:color="auto"/>
            <w:left w:val="none" w:sz="0" w:space="0" w:color="auto"/>
            <w:bottom w:val="none" w:sz="0" w:space="0" w:color="auto"/>
            <w:right w:val="none" w:sz="0" w:space="0" w:color="auto"/>
          </w:divBdr>
        </w:div>
        <w:div w:id="1154879283">
          <w:marLeft w:val="0"/>
          <w:marRight w:val="0"/>
          <w:marTop w:val="0"/>
          <w:marBottom w:val="0"/>
          <w:divBdr>
            <w:top w:val="none" w:sz="0" w:space="0" w:color="auto"/>
            <w:left w:val="none" w:sz="0" w:space="0" w:color="auto"/>
            <w:bottom w:val="none" w:sz="0" w:space="0" w:color="auto"/>
            <w:right w:val="none" w:sz="0" w:space="0" w:color="auto"/>
          </w:divBdr>
        </w:div>
        <w:div w:id="703561225">
          <w:marLeft w:val="0"/>
          <w:marRight w:val="0"/>
          <w:marTop w:val="0"/>
          <w:marBottom w:val="0"/>
          <w:divBdr>
            <w:top w:val="none" w:sz="0" w:space="0" w:color="auto"/>
            <w:left w:val="none" w:sz="0" w:space="0" w:color="auto"/>
            <w:bottom w:val="none" w:sz="0" w:space="0" w:color="auto"/>
            <w:right w:val="none" w:sz="0" w:space="0" w:color="auto"/>
          </w:divBdr>
        </w:div>
        <w:div w:id="1514883896">
          <w:marLeft w:val="0"/>
          <w:marRight w:val="0"/>
          <w:marTop w:val="0"/>
          <w:marBottom w:val="0"/>
          <w:divBdr>
            <w:top w:val="none" w:sz="0" w:space="0" w:color="auto"/>
            <w:left w:val="none" w:sz="0" w:space="0" w:color="auto"/>
            <w:bottom w:val="none" w:sz="0" w:space="0" w:color="auto"/>
            <w:right w:val="none" w:sz="0" w:space="0" w:color="auto"/>
          </w:divBdr>
        </w:div>
        <w:div w:id="915021264">
          <w:marLeft w:val="0"/>
          <w:marRight w:val="0"/>
          <w:marTop w:val="0"/>
          <w:marBottom w:val="0"/>
          <w:divBdr>
            <w:top w:val="none" w:sz="0" w:space="0" w:color="auto"/>
            <w:left w:val="none" w:sz="0" w:space="0" w:color="auto"/>
            <w:bottom w:val="none" w:sz="0" w:space="0" w:color="auto"/>
            <w:right w:val="none" w:sz="0" w:space="0" w:color="auto"/>
          </w:divBdr>
        </w:div>
        <w:div w:id="857279329">
          <w:marLeft w:val="0"/>
          <w:marRight w:val="0"/>
          <w:marTop w:val="0"/>
          <w:marBottom w:val="0"/>
          <w:divBdr>
            <w:top w:val="none" w:sz="0" w:space="0" w:color="auto"/>
            <w:left w:val="none" w:sz="0" w:space="0" w:color="auto"/>
            <w:bottom w:val="none" w:sz="0" w:space="0" w:color="auto"/>
            <w:right w:val="none" w:sz="0" w:space="0" w:color="auto"/>
          </w:divBdr>
        </w:div>
        <w:div w:id="175727222">
          <w:marLeft w:val="0"/>
          <w:marRight w:val="0"/>
          <w:marTop w:val="0"/>
          <w:marBottom w:val="0"/>
          <w:divBdr>
            <w:top w:val="none" w:sz="0" w:space="0" w:color="auto"/>
            <w:left w:val="none" w:sz="0" w:space="0" w:color="auto"/>
            <w:bottom w:val="none" w:sz="0" w:space="0" w:color="auto"/>
            <w:right w:val="none" w:sz="0" w:space="0" w:color="auto"/>
          </w:divBdr>
        </w:div>
        <w:div w:id="1889142228">
          <w:marLeft w:val="0"/>
          <w:marRight w:val="0"/>
          <w:marTop w:val="0"/>
          <w:marBottom w:val="0"/>
          <w:divBdr>
            <w:top w:val="none" w:sz="0" w:space="0" w:color="auto"/>
            <w:left w:val="none" w:sz="0" w:space="0" w:color="auto"/>
            <w:bottom w:val="none" w:sz="0" w:space="0" w:color="auto"/>
            <w:right w:val="none" w:sz="0" w:space="0" w:color="auto"/>
          </w:divBdr>
        </w:div>
      </w:divsChild>
    </w:div>
    <w:div w:id="864447089">
      <w:bodyDiv w:val="1"/>
      <w:marLeft w:val="0"/>
      <w:marRight w:val="0"/>
      <w:marTop w:val="0"/>
      <w:marBottom w:val="0"/>
      <w:divBdr>
        <w:top w:val="none" w:sz="0" w:space="0" w:color="auto"/>
        <w:left w:val="none" w:sz="0" w:space="0" w:color="auto"/>
        <w:bottom w:val="none" w:sz="0" w:space="0" w:color="auto"/>
        <w:right w:val="none" w:sz="0" w:space="0" w:color="auto"/>
      </w:divBdr>
      <w:divsChild>
        <w:div w:id="69622619">
          <w:marLeft w:val="0"/>
          <w:marRight w:val="0"/>
          <w:marTop w:val="0"/>
          <w:marBottom w:val="0"/>
          <w:divBdr>
            <w:top w:val="none" w:sz="0" w:space="0" w:color="auto"/>
            <w:left w:val="none" w:sz="0" w:space="0" w:color="auto"/>
            <w:bottom w:val="none" w:sz="0" w:space="0" w:color="auto"/>
            <w:right w:val="none" w:sz="0" w:space="0" w:color="auto"/>
          </w:divBdr>
          <w:divsChild>
            <w:div w:id="528494762">
              <w:marLeft w:val="0"/>
              <w:marRight w:val="0"/>
              <w:marTop w:val="332"/>
              <w:marBottom w:val="332"/>
              <w:divBdr>
                <w:top w:val="single" w:sz="6" w:space="8" w:color="DDDDDD"/>
                <w:left w:val="single" w:sz="6" w:space="8" w:color="DDDDDD"/>
                <w:bottom w:val="single" w:sz="6" w:space="0" w:color="DDDDDD"/>
                <w:right w:val="single" w:sz="6" w:space="8" w:color="DDDDDD"/>
              </w:divBdr>
              <w:divsChild>
                <w:div w:id="970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03839">
          <w:marLeft w:val="0"/>
          <w:marRight w:val="0"/>
          <w:marTop w:val="0"/>
          <w:marBottom w:val="0"/>
          <w:divBdr>
            <w:top w:val="none" w:sz="0" w:space="0" w:color="auto"/>
            <w:left w:val="none" w:sz="0" w:space="0" w:color="auto"/>
            <w:bottom w:val="none" w:sz="0" w:space="0" w:color="auto"/>
            <w:right w:val="none" w:sz="0" w:space="0" w:color="auto"/>
          </w:divBdr>
        </w:div>
        <w:div w:id="1478762683">
          <w:marLeft w:val="0"/>
          <w:marRight w:val="0"/>
          <w:marTop w:val="0"/>
          <w:marBottom w:val="0"/>
          <w:divBdr>
            <w:top w:val="none" w:sz="0" w:space="0" w:color="auto"/>
            <w:left w:val="none" w:sz="0" w:space="0" w:color="auto"/>
            <w:bottom w:val="none" w:sz="0" w:space="0" w:color="auto"/>
            <w:right w:val="none" w:sz="0" w:space="0" w:color="auto"/>
          </w:divBdr>
        </w:div>
      </w:divsChild>
    </w:div>
    <w:div w:id="877011917">
      <w:bodyDiv w:val="1"/>
      <w:marLeft w:val="0"/>
      <w:marRight w:val="0"/>
      <w:marTop w:val="0"/>
      <w:marBottom w:val="0"/>
      <w:divBdr>
        <w:top w:val="none" w:sz="0" w:space="0" w:color="auto"/>
        <w:left w:val="none" w:sz="0" w:space="0" w:color="auto"/>
        <w:bottom w:val="none" w:sz="0" w:space="0" w:color="auto"/>
        <w:right w:val="none" w:sz="0" w:space="0" w:color="auto"/>
      </w:divBdr>
      <w:divsChild>
        <w:div w:id="419066629">
          <w:marLeft w:val="0"/>
          <w:marRight w:val="0"/>
          <w:marTop w:val="0"/>
          <w:marBottom w:val="0"/>
          <w:divBdr>
            <w:top w:val="none" w:sz="0" w:space="0" w:color="auto"/>
            <w:left w:val="none" w:sz="0" w:space="0" w:color="auto"/>
            <w:bottom w:val="none" w:sz="0" w:space="0" w:color="auto"/>
            <w:right w:val="none" w:sz="0" w:space="0" w:color="auto"/>
          </w:divBdr>
          <w:divsChild>
            <w:div w:id="1953391347">
              <w:marLeft w:val="0"/>
              <w:marRight w:val="0"/>
              <w:marTop w:val="332"/>
              <w:marBottom w:val="332"/>
              <w:divBdr>
                <w:top w:val="single" w:sz="6" w:space="8" w:color="DDDDDD"/>
                <w:left w:val="single" w:sz="6" w:space="8" w:color="DDDDDD"/>
                <w:bottom w:val="single" w:sz="6" w:space="0" w:color="DDDDDD"/>
                <w:right w:val="single" w:sz="6" w:space="8" w:color="DDDDDD"/>
              </w:divBdr>
              <w:divsChild>
                <w:div w:id="394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08788">
      <w:bodyDiv w:val="1"/>
      <w:marLeft w:val="0"/>
      <w:marRight w:val="0"/>
      <w:marTop w:val="0"/>
      <w:marBottom w:val="0"/>
      <w:divBdr>
        <w:top w:val="none" w:sz="0" w:space="0" w:color="auto"/>
        <w:left w:val="none" w:sz="0" w:space="0" w:color="auto"/>
        <w:bottom w:val="none" w:sz="0" w:space="0" w:color="auto"/>
        <w:right w:val="none" w:sz="0" w:space="0" w:color="auto"/>
      </w:divBdr>
      <w:divsChild>
        <w:div w:id="1991591165">
          <w:marLeft w:val="0"/>
          <w:marRight w:val="0"/>
          <w:marTop w:val="0"/>
          <w:marBottom w:val="0"/>
          <w:divBdr>
            <w:top w:val="none" w:sz="0" w:space="0" w:color="auto"/>
            <w:left w:val="none" w:sz="0" w:space="0" w:color="auto"/>
            <w:bottom w:val="none" w:sz="0" w:space="0" w:color="auto"/>
            <w:right w:val="none" w:sz="0" w:space="0" w:color="auto"/>
          </w:divBdr>
        </w:div>
        <w:div w:id="660814478">
          <w:marLeft w:val="0"/>
          <w:marRight w:val="0"/>
          <w:marTop w:val="0"/>
          <w:marBottom w:val="0"/>
          <w:divBdr>
            <w:top w:val="none" w:sz="0" w:space="0" w:color="auto"/>
            <w:left w:val="none" w:sz="0" w:space="0" w:color="auto"/>
            <w:bottom w:val="none" w:sz="0" w:space="0" w:color="auto"/>
            <w:right w:val="none" w:sz="0" w:space="0" w:color="auto"/>
          </w:divBdr>
        </w:div>
        <w:div w:id="1629777501">
          <w:marLeft w:val="0"/>
          <w:marRight w:val="0"/>
          <w:marTop w:val="0"/>
          <w:marBottom w:val="0"/>
          <w:divBdr>
            <w:top w:val="none" w:sz="0" w:space="0" w:color="auto"/>
            <w:left w:val="none" w:sz="0" w:space="0" w:color="auto"/>
            <w:bottom w:val="none" w:sz="0" w:space="0" w:color="auto"/>
            <w:right w:val="none" w:sz="0" w:space="0" w:color="auto"/>
          </w:divBdr>
        </w:div>
        <w:div w:id="393967830">
          <w:marLeft w:val="0"/>
          <w:marRight w:val="0"/>
          <w:marTop w:val="0"/>
          <w:marBottom w:val="0"/>
          <w:divBdr>
            <w:top w:val="none" w:sz="0" w:space="0" w:color="auto"/>
            <w:left w:val="none" w:sz="0" w:space="0" w:color="auto"/>
            <w:bottom w:val="none" w:sz="0" w:space="0" w:color="auto"/>
            <w:right w:val="none" w:sz="0" w:space="0" w:color="auto"/>
          </w:divBdr>
        </w:div>
        <w:div w:id="1549149943">
          <w:marLeft w:val="0"/>
          <w:marRight w:val="0"/>
          <w:marTop w:val="0"/>
          <w:marBottom w:val="0"/>
          <w:divBdr>
            <w:top w:val="none" w:sz="0" w:space="0" w:color="auto"/>
            <w:left w:val="none" w:sz="0" w:space="0" w:color="auto"/>
            <w:bottom w:val="none" w:sz="0" w:space="0" w:color="auto"/>
            <w:right w:val="none" w:sz="0" w:space="0" w:color="auto"/>
          </w:divBdr>
        </w:div>
        <w:div w:id="1783182965">
          <w:marLeft w:val="0"/>
          <w:marRight w:val="0"/>
          <w:marTop w:val="0"/>
          <w:marBottom w:val="0"/>
          <w:divBdr>
            <w:top w:val="none" w:sz="0" w:space="0" w:color="auto"/>
            <w:left w:val="none" w:sz="0" w:space="0" w:color="auto"/>
            <w:bottom w:val="none" w:sz="0" w:space="0" w:color="auto"/>
            <w:right w:val="none" w:sz="0" w:space="0" w:color="auto"/>
          </w:divBdr>
        </w:div>
      </w:divsChild>
    </w:div>
    <w:div w:id="985011737">
      <w:bodyDiv w:val="1"/>
      <w:marLeft w:val="0"/>
      <w:marRight w:val="0"/>
      <w:marTop w:val="0"/>
      <w:marBottom w:val="0"/>
      <w:divBdr>
        <w:top w:val="none" w:sz="0" w:space="0" w:color="auto"/>
        <w:left w:val="none" w:sz="0" w:space="0" w:color="auto"/>
        <w:bottom w:val="none" w:sz="0" w:space="0" w:color="auto"/>
        <w:right w:val="none" w:sz="0" w:space="0" w:color="auto"/>
      </w:divBdr>
      <w:divsChild>
        <w:div w:id="1044523926">
          <w:marLeft w:val="0"/>
          <w:marRight w:val="0"/>
          <w:marTop w:val="0"/>
          <w:marBottom w:val="0"/>
          <w:divBdr>
            <w:top w:val="none" w:sz="0" w:space="0" w:color="auto"/>
            <w:left w:val="none" w:sz="0" w:space="0" w:color="auto"/>
            <w:bottom w:val="none" w:sz="0" w:space="0" w:color="auto"/>
            <w:right w:val="none" w:sz="0" w:space="0" w:color="auto"/>
          </w:divBdr>
          <w:divsChild>
            <w:div w:id="932590510">
              <w:marLeft w:val="0"/>
              <w:marRight w:val="0"/>
              <w:marTop w:val="0"/>
              <w:marBottom w:val="0"/>
              <w:divBdr>
                <w:top w:val="none" w:sz="0" w:space="0" w:color="auto"/>
                <w:left w:val="none" w:sz="0" w:space="0" w:color="auto"/>
                <w:bottom w:val="none" w:sz="0" w:space="0" w:color="auto"/>
                <w:right w:val="none" w:sz="0" w:space="0" w:color="auto"/>
              </w:divBdr>
              <w:divsChild>
                <w:div w:id="2093695712">
                  <w:marLeft w:val="0"/>
                  <w:marRight w:val="0"/>
                  <w:marTop w:val="0"/>
                  <w:marBottom w:val="0"/>
                  <w:divBdr>
                    <w:top w:val="none" w:sz="0" w:space="0" w:color="auto"/>
                    <w:left w:val="none" w:sz="0" w:space="0" w:color="auto"/>
                    <w:bottom w:val="none" w:sz="0" w:space="0" w:color="auto"/>
                    <w:right w:val="none" w:sz="0" w:space="0" w:color="auto"/>
                  </w:divBdr>
                  <w:divsChild>
                    <w:div w:id="20832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472164">
      <w:bodyDiv w:val="1"/>
      <w:marLeft w:val="0"/>
      <w:marRight w:val="0"/>
      <w:marTop w:val="0"/>
      <w:marBottom w:val="0"/>
      <w:divBdr>
        <w:top w:val="none" w:sz="0" w:space="0" w:color="auto"/>
        <w:left w:val="none" w:sz="0" w:space="0" w:color="auto"/>
        <w:bottom w:val="none" w:sz="0" w:space="0" w:color="auto"/>
        <w:right w:val="none" w:sz="0" w:space="0" w:color="auto"/>
      </w:divBdr>
    </w:div>
    <w:div w:id="1272972635">
      <w:bodyDiv w:val="1"/>
      <w:marLeft w:val="0"/>
      <w:marRight w:val="0"/>
      <w:marTop w:val="0"/>
      <w:marBottom w:val="0"/>
      <w:divBdr>
        <w:top w:val="none" w:sz="0" w:space="0" w:color="auto"/>
        <w:left w:val="none" w:sz="0" w:space="0" w:color="auto"/>
        <w:bottom w:val="none" w:sz="0" w:space="0" w:color="auto"/>
        <w:right w:val="none" w:sz="0" w:space="0" w:color="auto"/>
      </w:divBdr>
      <w:divsChild>
        <w:div w:id="1856336645">
          <w:marLeft w:val="0"/>
          <w:marRight w:val="0"/>
          <w:marTop w:val="0"/>
          <w:marBottom w:val="0"/>
          <w:divBdr>
            <w:top w:val="none" w:sz="0" w:space="0" w:color="auto"/>
            <w:left w:val="none" w:sz="0" w:space="0" w:color="auto"/>
            <w:bottom w:val="none" w:sz="0" w:space="0" w:color="auto"/>
            <w:right w:val="none" w:sz="0" w:space="0" w:color="auto"/>
          </w:divBdr>
          <w:divsChild>
            <w:div w:id="2051606708">
              <w:marLeft w:val="0"/>
              <w:marRight w:val="0"/>
              <w:marTop w:val="332"/>
              <w:marBottom w:val="332"/>
              <w:divBdr>
                <w:top w:val="single" w:sz="6" w:space="8" w:color="DDDDDD"/>
                <w:left w:val="single" w:sz="6" w:space="8" w:color="DDDDDD"/>
                <w:bottom w:val="single" w:sz="6" w:space="0" w:color="DDDDDD"/>
                <w:right w:val="single" w:sz="6" w:space="8" w:color="DDDDDD"/>
              </w:divBdr>
              <w:divsChild>
                <w:div w:id="125639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61124">
          <w:marLeft w:val="0"/>
          <w:marRight w:val="0"/>
          <w:marTop w:val="0"/>
          <w:marBottom w:val="0"/>
          <w:divBdr>
            <w:top w:val="none" w:sz="0" w:space="0" w:color="auto"/>
            <w:left w:val="none" w:sz="0" w:space="0" w:color="auto"/>
            <w:bottom w:val="none" w:sz="0" w:space="0" w:color="auto"/>
            <w:right w:val="none" w:sz="0" w:space="0" w:color="auto"/>
          </w:divBdr>
        </w:div>
        <w:div w:id="1639336543">
          <w:marLeft w:val="0"/>
          <w:marRight w:val="0"/>
          <w:marTop w:val="0"/>
          <w:marBottom w:val="0"/>
          <w:divBdr>
            <w:top w:val="none" w:sz="0" w:space="0" w:color="auto"/>
            <w:left w:val="none" w:sz="0" w:space="0" w:color="auto"/>
            <w:bottom w:val="none" w:sz="0" w:space="0" w:color="auto"/>
            <w:right w:val="none" w:sz="0" w:space="0" w:color="auto"/>
          </w:divBdr>
        </w:div>
      </w:divsChild>
    </w:div>
    <w:div w:id="1560820173">
      <w:bodyDiv w:val="1"/>
      <w:marLeft w:val="0"/>
      <w:marRight w:val="0"/>
      <w:marTop w:val="0"/>
      <w:marBottom w:val="0"/>
      <w:divBdr>
        <w:top w:val="none" w:sz="0" w:space="0" w:color="auto"/>
        <w:left w:val="none" w:sz="0" w:space="0" w:color="auto"/>
        <w:bottom w:val="none" w:sz="0" w:space="0" w:color="auto"/>
        <w:right w:val="none" w:sz="0" w:space="0" w:color="auto"/>
      </w:divBdr>
    </w:div>
    <w:div w:id="1565022283">
      <w:bodyDiv w:val="1"/>
      <w:marLeft w:val="0"/>
      <w:marRight w:val="0"/>
      <w:marTop w:val="0"/>
      <w:marBottom w:val="0"/>
      <w:divBdr>
        <w:top w:val="none" w:sz="0" w:space="0" w:color="auto"/>
        <w:left w:val="none" w:sz="0" w:space="0" w:color="auto"/>
        <w:bottom w:val="none" w:sz="0" w:space="0" w:color="auto"/>
        <w:right w:val="none" w:sz="0" w:space="0" w:color="auto"/>
      </w:divBdr>
    </w:div>
    <w:div w:id="1571623125">
      <w:bodyDiv w:val="1"/>
      <w:marLeft w:val="0"/>
      <w:marRight w:val="0"/>
      <w:marTop w:val="0"/>
      <w:marBottom w:val="0"/>
      <w:divBdr>
        <w:top w:val="none" w:sz="0" w:space="0" w:color="auto"/>
        <w:left w:val="none" w:sz="0" w:space="0" w:color="auto"/>
        <w:bottom w:val="none" w:sz="0" w:space="0" w:color="auto"/>
        <w:right w:val="none" w:sz="0" w:space="0" w:color="auto"/>
      </w:divBdr>
    </w:div>
    <w:div w:id="1709528145">
      <w:bodyDiv w:val="1"/>
      <w:marLeft w:val="0"/>
      <w:marRight w:val="0"/>
      <w:marTop w:val="0"/>
      <w:marBottom w:val="0"/>
      <w:divBdr>
        <w:top w:val="none" w:sz="0" w:space="0" w:color="auto"/>
        <w:left w:val="none" w:sz="0" w:space="0" w:color="auto"/>
        <w:bottom w:val="none" w:sz="0" w:space="0" w:color="auto"/>
        <w:right w:val="none" w:sz="0" w:space="0" w:color="auto"/>
      </w:divBdr>
    </w:div>
    <w:div w:id="1742365648">
      <w:bodyDiv w:val="1"/>
      <w:marLeft w:val="0"/>
      <w:marRight w:val="0"/>
      <w:marTop w:val="0"/>
      <w:marBottom w:val="0"/>
      <w:divBdr>
        <w:top w:val="none" w:sz="0" w:space="0" w:color="auto"/>
        <w:left w:val="none" w:sz="0" w:space="0" w:color="auto"/>
        <w:bottom w:val="none" w:sz="0" w:space="0" w:color="auto"/>
        <w:right w:val="none" w:sz="0" w:space="0" w:color="auto"/>
      </w:divBdr>
      <w:divsChild>
        <w:div w:id="1739285704">
          <w:marLeft w:val="0"/>
          <w:marRight w:val="0"/>
          <w:marTop w:val="0"/>
          <w:marBottom w:val="0"/>
          <w:divBdr>
            <w:top w:val="none" w:sz="0" w:space="0" w:color="auto"/>
            <w:left w:val="none" w:sz="0" w:space="0" w:color="auto"/>
            <w:bottom w:val="none" w:sz="0" w:space="0" w:color="auto"/>
            <w:right w:val="none" w:sz="0" w:space="0" w:color="auto"/>
          </w:divBdr>
          <w:divsChild>
            <w:div w:id="259916369">
              <w:marLeft w:val="0"/>
              <w:marRight w:val="0"/>
              <w:marTop w:val="332"/>
              <w:marBottom w:val="332"/>
              <w:divBdr>
                <w:top w:val="single" w:sz="6" w:space="8" w:color="DDDDDD"/>
                <w:left w:val="single" w:sz="6" w:space="8" w:color="DDDDDD"/>
                <w:bottom w:val="single" w:sz="6" w:space="0" w:color="DDDDDD"/>
                <w:right w:val="single" w:sz="6" w:space="8" w:color="DDDDDD"/>
              </w:divBdr>
              <w:divsChild>
                <w:div w:id="57864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18733">
      <w:bodyDiv w:val="1"/>
      <w:marLeft w:val="0"/>
      <w:marRight w:val="0"/>
      <w:marTop w:val="0"/>
      <w:marBottom w:val="0"/>
      <w:divBdr>
        <w:top w:val="none" w:sz="0" w:space="0" w:color="auto"/>
        <w:left w:val="none" w:sz="0" w:space="0" w:color="auto"/>
        <w:bottom w:val="none" w:sz="0" w:space="0" w:color="auto"/>
        <w:right w:val="none" w:sz="0" w:space="0" w:color="auto"/>
      </w:divBdr>
    </w:div>
    <w:div w:id="1834955404">
      <w:bodyDiv w:val="1"/>
      <w:marLeft w:val="0"/>
      <w:marRight w:val="0"/>
      <w:marTop w:val="0"/>
      <w:marBottom w:val="0"/>
      <w:divBdr>
        <w:top w:val="none" w:sz="0" w:space="0" w:color="auto"/>
        <w:left w:val="none" w:sz="0" w:space="0" w:color="auto"/>
        <w:bottom w:val="none" w:sz="0" w:space="0" w:color="auto"/>
        <w:right w:val="none" w:sz="0" w:space="0" w:color="auto"/>
      </w:divBdr>
    </w:div>
    <w:div w:id="1839496935">
      <w:bodyDiv w:val="1"/>
      <w:marLeft w:val="0"/>
      <w:marRight w:val="0"/>
      <w:marTop w:val="0"/>
      <w:marBottom w:val="0"/>
      <w:divBdr>
        <w:top w:val="none" w:sz="0" w:space="0" w:color="auto"/>
        <w:left w:val="none" w:sz="0" w:space="0" w:color="auto"/>
        <w:bottom w:val="none" w:sz="0" w:space="0" w:color="auto"/>
        <w:right w:val="none" w:sz="0" w:space="0" w:color="auto"/>
      </w:divBdr>
    </w:div>
    <w:div w:id="1877767920">
      <w:bodyDiv w:val="1"/>
      <w:marLeft w:val="0"/>
      <w:marRight w:val="0"/>
      <w:marTop w:val="0"/>
      <w:marBottom w:val="0"/>
      <w:divBdr>
        <w:top w:val="none" w:sz="0" w:space="0" w:color="auto"/>
        <w:left w:val="none" w:sz="0" w:space="0" w:color="auto"/>
        <w:bottom w:val="none" w:sz="0" w:space="0" w:color="auto"/>
        <w:right w:val="none" w:sz="0" w:space="0" w:color="auto"/>
      </w:divBdr>
      <w:divsChild>
        <w:div w:id="1306199100">
          <w:marLeft w:val="0"/>
          <w:marRight w:val="0"/>
          <w:marTop w:val="0"/>
          <w:marBottom w:val="0"/>
          <w:divBdr>
            <w:top w:val="none" w:sz="0" w:space="0" w:color="auto"/>
            <w:left w:val="none" w:sz="0" w:space="0" w:color="auto"/>
            <w:bottom w:val="none" w:sz="0" w:space="0" w:color="auto"/>
            <w:right w:val="none" w:sz="0" w:space="0" w:color="auto"/>
          </w:divBdr>
        </w:div>
        <w:div w:id="1216817505">
          <w:marLeft w:val="0"/>
          <w:marRight w:val="0"/>
          <w:marTop w:val="0"/>
          <w:marBottom w:val="0"/>
          <w:divBdr>
            <w:top w:val="none" w:sz="0" w:space="0" w:color="auto"/>
            <w:left w:val="none" w:sz="0" w:space="0" w:color="auto"/>
            <w:bottom w:val="none" w:sz="0" w:space="0" w:color="auto"/>
            <w:right w:val="none" w:sz="0" w:space="0" w:color="auto"/>
          </w:divBdr>
        </w:div>
      </w:divsChild>
    </w:div>
    <w:div w:id="1939755402">
      <w:bodyDiv w:val="1"/>
      <w:marLeft w:val="0"/>
      <w:marRight w:val="0"/>
      <w:marTop w:val="0"/>
      <w:marBottom w:val="0"/>
      <w:divBdr>
        <w:top w:val="none" w:sz="0" w:space="0" w:color="auto"/>
        <w:left w:val="none" w:sz="0" w:space="0" w:color="auto"/>
        <w:bottom w:val="none" w:sz="0" w:space="0" w:color="auto"/>
        <w:right w:val="none" w:sz="0" w:space="0" w:color="auto"/>
      </w:divBdr>
      <w:divsChild>
        <w:div w:id="1822379523">
          <w:marLeft w:val="0"/>
          <w:marRight w:val="0"/>
          <w:marTop w:val="0"/>
          <w:marBottom w:val="0"/>
          <w:divBdr>
            <w:top w:val="none" w:sz="0" w:space="0" w:color="auto"/>
            <w:left w:val="none" w:sz="0" w:space="0" w:color="auto"/>
            <w:bottom w:val="none" w:sz="0" w:space="0" w:color="auto"/>
            <w:right w:val="none" w:sz="0" w:space="0" w:color="auto"/>
          </w:divBdr>
          <w:divsChild>
            <w:div w:id="320890136">
              <w:marLeft w:val="0"/>
              <w:marRight w:val="0"/>
              <w:marTop w:val="0"/>
              <w:marBottom w:val="0"/>
              <w:divBdr>
                <w:top w:val="none" w:sz="0" w:space="0" w:color="auto"/>
                <w:left w:val="none" w:sz="0" w:space="0" w:color="auto"/>
                <w:bottom w:val="none" w:sz="0" w:space="0" w:color="auto"/>
                <w:right w:val="none" w:sz="0" w:space="0" w:color="auto"/>
              </w:divBdr>
              <w:divsChild>
                <w:div w:id="887254695">
                  <w:marLeft w:val="0"/>
                  <w:marRight w:val="0"/>
                  <w:marTop w:val="0"/>
                  <w:marBottom w:val="0"/>
                  <w:divBdr>
                    <w:top w:val="none" w:sz="0" w:space="0" w:color="auto"/>
                    <w:left w:val="none" w:sz="0" w:space="0" w:color="auto"/>
                    <w:bottom w:val="none" w:sz="0" w:space="0" w:color="auto"/>
                    <w:right w:val="none" w:sz="0" w:space="0" w:color="auto"/>
                  </w:divBdr>
                  <w:divsChild>
                    <w:div w:id="1935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76959">
      <w:bodyDiv w:val="1"/>
      <w:marLeft w:val="0"/>
      <w:marRight w:val="0"/>
      <w:marTop w:val="0"/>
      <w:marBottom w:val="0"/>
      <w:divBdr>
        <w:top w:val="none" w:sz="0" w:space="0" w:color="auto"/>
        <w:left w:val="none" w:sz="0" w:space="0" w:color="auto"/>
        <w:bottom w:val="none" w:sz="0" w:space="0" w:color="auto"/>
        <w:right w:val="none" w:sz="0" w:space="0" w:color="auto"/>
      </w:divBdr>
      <w:divsChild>
        <w:div w:id="1940866094">
          <w:marLeft w:val="0"/>
          <w:marRight w:val="0"/>
          <w:marTop w:val="0"/>
          <w:marBottom w:val="0"/>
          <w:divBdr>
            <w:top w:val="none" w:sz="0" w:space="0" w:color="auto"/>
            <w:left w:val="none" w:sz="0" w:space="0" w:color="auto"/>
            <w:bottom w:val="none" w:sz="0" w:space="0" w:color="auto"/>
            <w:right w:val="none" w:sz="0" w:space="0" w:color="auto"/>
          </w:divBdr>
        </w:div>
        <w:div w:id="1125122368">
          <w:marLeft w:val="0"/>
          <w:marRight w:val="0"/>
          <w:marTop w:val="0"/>
          <w:marBottom w:val="0"/>
          <w:divBdr>
            <w:top w:val="none" w:sz="0" w:space="0" w:color="auto"/>
            <w:left w:val="none" w:sz="0" w:space="0" w:color="auto"/>
            <w:bottom w:val="none" w:sz="0" w:space="0" w:color="auto"/>
            <w:right w:val="none" w:sz="0" w:space="0" w:color="auto"/>
          </w:divBdr>
          <w:divsChild>
            <w:div w:id="1042436332">
              <w:marLeft w:val="0"/>
              <w:marRight w:val="0"/>
              <w:marTop w:val="0"/>
              <w:marBottom w:val="0"/>
              <w:divBdr>
                <w:top w:val="none" w:sz="0" w:space="0" w:color="auto"/>
                <w:left w:val="none" w:sz="0" w:space="0" w:color="auto"/>
                <w:bottom w:val="none" w:sz="0" w:space="0" w:color="auto"/>
                <w:right w:val="none" w:sz="0" w:space="0" w:color="auto"/>
              </w:divBdr>
            </w:div>
            <w:div w:id="18409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ctp@ucla.edu" TargetMode="External"/><Relationship Id="rId18" Type="http://schemas.openxmlformats.org/officeDocument/2006/relationships/hyperlink" Target="https://www.ncbi.nlm.nih.gov/books/NBK378977/" TargetMode="External"/><Relationship Id="rId26" Type="http://schemas.openxmlformats.org/officeDocument/2006/relationships/hyperlink" Target="https://www.ncbi.nlm.nih.gov/books/NBK378977/figure/diab-transplant.F5/?report=objectonly" TargetMode="External"/><Relationship Id="rId39" Type="http://schemas.openxmlformats.org/officeDocument/2006/relationships/hyperlink" Target="https://www.thelancet.com/journals/landia/article/PIIS2213-8587(25)00128-7/fulltext" TargetMode="External"/><Relationship Id="rId21" Type="http://schemas.openxmlformats.org/officeDocument/2006/relationships/hyperlink" Target="https://www.ncbi.nlm.nih.gov/books/NBK378977/" TargetMode="External"/><Relationship Id="rId34" Type="http://schemas.openxmlformats.org/officeDocument/2006/relationships/hyperlink" Target="https://pubmed.ncbi.nlm.nih.gov/31296643/"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ncbi.nlm.nih.gov/books/NBK378977/" TargetMode="External"/><Relationship Id="rId20" Type="http://schemas.openxmlformats.org/officeDocument/2006/relationships/hyperlink" Target="https://www.ncbi.nlm.nih.gov/books/NBK378977/figure/diab-transplant.F2/?report=objectonly" TargetMode="External"/><Relationship Id="rId29" Type="http://schemas.openxmlformats.org/officeDocument/2006/relationships/hyperlink" Target="https://doi.org/10.1093/ndt/gfad258" TargetMode="External"/><Relationship Id="rId41" Type="http://schemas.openxmlformats.org/officeDocument/2006/relationships/hyperlink" Target="https://pubmed.ncbi.nlm.nih.gov/3767499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Sarkar@mednet.ucla.edu" TargetMode="External"/><Relationship Id="rId24" Type="http://schemas.openxmlformats.org/officeDocument/2006/relationships/hyperlink" Target="https://www.ncbi.nlm.nih.gov/books/NBK378977/figure/diab-transplant.F4/?report=objectonly" TargetMode="External"/><Relationship Id="rId32" Type="http://schemas.openxmlformats.org/officeDocument/2006/relationships/hyperlink" Target="https://pubmed.ncbi.nlm.nih.gov/39134508/" TargetMode="External"/><Relationship Id="rId37" Type="http://schemas.openxmlformats.org/officeDocument/2006/relationships/hyperlink" Target="https://professional.diabetes.org/standards-of-care" TargetMode="External"/><Relationship Id="rId40" Type="http://schemas.openxmlformats.org/officeDocument/2006/relationships/hyperlink" Target="https://doi.org/10.1016/j.diabres.2024.111806" TargetMode="External"/><Relationship Id="rId5" Type="http://schemas.openxmlformats.org/officeDocument/2006/relationships/styles" Target="styles.xml"/><Relationship Id="rId15" Type="http://schemas.openxmlformats.org/officeDocument/2006/relationships/hyperlink" Target="https://www.ncbi.nlm.nih.gov/books/NBK378977/" TargetMode="External"/><Relationship Id="rId23" Type="http://schemas.openxmlformats.org/officeDocument/2006/relationships/image" Target="media/image3.jpeg"/><Relationship Id="rId28" Type="http://schemas.openxmlformats.org/officeDocument/2006/relationships/hyperlink" Target="https://doi.org/10.1093/ndt/gfaa302" TargetMode="External"/><Relationship Id="rId36" Type="http://schemas.openxmlformats.org/officeDocument/2006/relationships/hyperlink" Target="https://doi.org/10.2337/dci22-0034" TargetMode="External"/><Relationship Id="rId10" Type="http://schemas.openxmlformats.org/officeDocument/2006/relationships/hyperlink" Target="mailto:PPham@mednet.ucla.edu" TargetMode="External"/><Relationship Id="rId19" Type="http://schemas.openxmlformats.org/officeDocument/2006/relationships/image" Target="media/image1.jpeg"/><Relationship Id="rId31" Type="http://schemas.openxmlformats.org/officeDocument/2006/relationships/hyperlink" Target="https://pubmed.ncbi.nlm.nih.gov/16386547"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cbi.nlm.nih.gov/books/NBK378977/" TargetMode="Externa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hyperlink" Target="mailto:Clinicaloverview@elsevier.com" TargetMode="External"/><Relationship Id="rId35" Type="http://schemas.openxmlformats.org/officeDocument/2006/relationships/hyperlink" Target="https://pubmed.ncbi.nlm.nih.gov/25881802/"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Phuong-mai.pham@va.gov" TargetMode="External"/><Relationship Id="rId17" Type="http://schemas.openxmlformats.org/officeDocument/2006/relationships/hyperlink" Target="https://www.ncbi.nlm.nih.gov/books/NBK378977/figure/diab-transplant.F1/?report=objectonly" TargetMode="External"/><Relationship Id="rId25" Type="http://schemas.openxmlformats.org/officeDocument/2006/relationships/image" Target="media/image4.jpeg"/><Relationship Id="rId33" Type="http://schemas.openxmlformats.org/officeDocument/2006/relationships/hyperlink" Target="https://pubmed.ncbi.nlm.nih.gov/28123752/" TargetMode="External"/><Relationship Id="rId38" Type="http://schemas.openxmlformats.org/officeDocument/2006/relationships/hyperlink" Target="https://doi.org/10.1161/CIRCULATIONAHA.122.0595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F7053033427540A45BCD60A43D3FF7" ma:contentTypeVersion="19" ma:contentTypeDescription="Create a new document." ma:contentTypeScope="" ma:versionID="46735052c7aff9b729b552d5e4e0bd98">
  <xsd:schema xmlns:xsd="http://www.w3.org/2001/XMLSchema" xmlns:xs="http://www.w3.org/2001/XMLSchema" xmlns:p="http://schemas.microsoft.com/office/2006/metadata/properties" xmlns:ns1="http://schemas.microsoft.com/sharepoint/v3" xmlns:ns3="072d266d-b8d0-41ac-ac54-fdf1beeb1839" xmlns:ns4="231fd5a7-fc94-41b7-b2ee-740200048191" targetNamespace="http://schemas.microsoft.com/office/2006/metadata/properties" ma:root="true" ma:fieldsID="410507d8a895643bce7f03affcd5a211" ns1:_="" ns3:_="" ns4:_="">
    <xsd:import namespace="http://schemas.microsoft.com/sharepoint/v3"/>
    <xsd:import namespace="072d266d-b8d0-41ac-ac54-fdf1beeb1839"/>
    <xsd:import namespace="231fd5a7-fc94-41b7-b2ee-74020004819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2d266d-b8d0-41ac-ac54-fdf1beeb1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fd5a7-fc94-41b7-b2ee-7402000481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072d266d-b8d0-41ac-ac54-fdf1beeb183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2C07BC-AD20-4CE6-9D8A-CFC99F359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2d266d-b8d0-41ac-ac54-fdf1beeb1839"/>
    <ds:schemaRef ds:uri="231fd5a7-fc94-41b7-b2ee-740200048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944F66-9063-40E8-818E-76FFFCD106AF}">
  <ds:schemaRefs>
    <ds:schemaRef ds:uri="http://schemas.microsoft.com/office/2006/metadata/properties"/>
    <ds:schemaRef ds:uri="http://schemas.microsoft.com/office/infopath/2007/PartnerControls"/>
    <ds:schemaRef ds:uri="http://schemas.microsoft.com/sharepoint/v3"/>
    <ds:schemaRef ds:uri="072d266d-b8d0-41ac-ac54-fdf1beeb1839"/>
  </ds:schemaRefs>
</ds:datastoreItem>
</file>

<file path=customXml/itemProps3.xml><?xml version="1.0" encoding="utf-8"?>
<ds:datastoreItem xmlns:ds="http://schemas.openxmlformats.org/officeDocument/2006/customXml" ds:itemID="{EC803DB6-55BF-4D7F-9C67-1C21838725DA}">
  <ds:schemaRefs>
    <ds:schemaRef ds:uri="http://schemas.microsoft.com/sharepoint/v3/contenttype/forms"/>
  </ds:schemaRefs>
</ds:datastoreItem>
</file>

<file path=docMetadata/LabelInfo.xml><?xml version="1.0" encoding="utf-8"?>
<clbl:labelList xmlns:clbl="http://schemas.microsoft.com/office/2020/mipLabelMetadata">
  <clbl:label id="{0b95a125-791c-4f0a-9f9e-99e363117506}" enabled="0" method="" siteId="{0b95a125-791c-4f0a-9f9e-99e363117506}" removed="1"/>
</clbl:labelList>
</file>

<file path=docProps/app.xml><?xml version="1.0" encoding="utf-8"?>
<Properties xmlns="http://schemas.openxmlformats.org/officeDocument/2006/extended-properties" xmlns:vt="http://schemas.openxmlformats.org/officeDocument/2006/docPropsVTypes">
  <Template>Normal</Template>
  <TotalTime>1057</TotalTime>
  <Pages>25</Pages>
  <Words>10665</Words>
  <Characters>60792</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Pham</dc:creator>
  <cp:keywords/>
  <dc:description/>
  <cp:lastModifiedBy>Kenneth Feingold</cp:lastModifiedBy>
  <cp:revision>33</cp:revision>
  <dcterms:created xsi:type="dcterms:W3CDTF">2025-07-22T00:55:00Z</dcterms:created>
  <dcterms:modified xsi:type="dcterms:W3CDTF">2025-07-22T18:56:00Z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0x01010021F7053033427540A45BCD60A43D3FF7</vt:lpwstr>
  </property>
</Properties>
</file>