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79EA" w14:textId="77777777" w:rsidR="00E015D8" w:rsidRDefault="00002F76" w:rsidP="005F15BA">
      <w:pPr>
        <w:spacing w:after="0" w:line="276" w:lineRule="auto"/>
        <w:rPr>
          <w:rFonts w:ascii="Arial" w:hAnsi="Arial" w:cs="Arial"/>
          <w:b/>
          <w:sz w:val="28"/>
          <w:szCs w:val="28"/>
        </w:rPr>
      </w:pPr>
      <w:r w:rsidRPr="004135A4">
        <w:rPr>
          <w:rFonts w:ascii="Arial" w:hAnsi="Arial" w:cs="Arial"/>
          <w:b/>
          <w:sz w:val="28"/>
          <w:szCs w:val="28"/>
        </w:rPr>
        <w:t>D</w:t>
      </w:r>
      <w:r w:rsidR="004135A4">
        <w:rPr>
          <w:rFonts w:ascii="Arial" w:hAnsi="Arial" w:cs="Arial"/>
          <w:b/>
          <w:sz w:val="28"/>
          <w:szCs w:val="28"/>
        </w:rPr>
        <w:t>IABETES MELLITUS IN PEOPLE WITH CANCER</w:t>
      </w:r>
    </w:p>
    <w:p w14:paraId="4497C986" w14:textId="77777777" w:rsidR="00E015D8" w:rsidRDefault="00E015D8" w:rsidP="005F15BA">
      <w:pPr>
        <w:spacing w:after="0" w:line="276" w:lineRule="auto"/>
        <w:rPr>
          <w:rFonts w:ascii="Arial" w:hAnsi="Arial" w:cs="Arial"/>
          <w:b/>
          <w:sz w:val="28"/>
          <w:szCs w:val="28"/>
        </w:rPr>
      </w:pPr>
    </w:p>
    <w:p w14:paraId="50FC7BC1" w14:textId="2585B409" w:rsidR="00E015D8" w:rsidRPr="00E015D8" w:rsidRDefault="005F15BA" w:rsidP="005F15BA">
      <w:pPr>
        <w:spacing w:after="0" w:line="276" w:lineRule="auto"/>
        <w:rPr>
          <w:rFonts w:ascii="Arial" w:hAnsi="Arial" w:cs="Arial"/>
          <w:i/>
          <w:sz w:val="20"/>
          <w:szCs w:val="20"/>
          <w:vertAlign w:val="superscript"/>
        </w:rPr>
      </w:pPr>
      <w:r>
        <w:rPr>
          <w:rFonts w:ascii="Arial" w:hAnsi="Arial" w:cs="Arial"/>
          <w:b/>
          <w:bCs/>
          <w:sz w:val="24"/>
          <w:szCs w:val="24"/>
        </w:rPr>
        <w:t xml:space="preserve">Dr </w:t>
      </w:r>
      <w:proofErr w:type="spellStart"/>
      <w:r w:rsidR="00E015D8" w:rsidRPr="00E015D8">
        <w:rPr>
          <w:rFonts w:ascii="Arial" w:hAnsi="Arial" w:cs="Arial"/>
          <w:b/>
          <w:bCs/>
          <w:sz w:val="24"/>
          <w:szCs w:val="24"/>
        </w:rPr>
        <w:t>Nalinie</w:t>
      </w:r>
      <w:proofErr w:type="spellEnd"/>
      <w:r w:rsidR="00E015D8" w:rsidRPr="00E015D8">
        <w:rPr>
          <w:rFonts w:ascii="Arial" w:hAnsi="Arial" w:cs="Arial"/>
          <w:b/>
          <w:bCs/>
          <w:sz w:val="24"/>
          <w:szCs w:val="24"/>
        </w:rPr>
        <w:t xml:space="preserve"> </w:t>
      </w:r>
      <w:proofErr w:type="spellStart"/>
      <w:r w:rsidR="00E015D8" w:rsidRPr="00E015D8">
        <w:rPr>
          <w:rFonts w:ascii="Arial" w:hAnsi="Arial" w:cs="Arial"/>
          <w:b/>
          <w:bCs/>
          <w:sz w:val="24"/>
          <w:szCs w:val="24"/>
        </w:rPr>
        <w:t>Joharatnam</w:t>
      </w:r>
      <w:proofErr w:type="spellEnd"/>
      <w:r w:rsidR="00E015D8" w:rsidRPr="00E015D8">
        <w:rPr>
          <w:rFonts w:ascii="Arial" w:hAnsi="Arial" w:cs="Arial"/>
          <w:b/>
          <w:bCs/>
          <w:sz w:val="24"/>
          <w:szCs w:val="24"/>
        </w:rPr>
        <w:t>-Hogan</w:t>
      </w:r>
      <w:r w:rsidR="00E015D8">
        <w:rPr>
          <w:rFonts w:ascii="Arial" w:hAnsi="Arial" w:cs="Arial"/>
        </w:rPr>
        <w:t xml:space="preserve">, </w:t>
      </w:r>
      <w:r w:rsidR="00E015D8" w:rsidRPr="00E015D8">
        <w:rPr>
          <w:rFonts w:ascii="Arial" w:hAnsi="Arial" w:cs="Arial"/>
          <w:sz w:val="20"/>
          <w:szCs w:val="20"/>
        </w:rPr>
        <w:t xml:space="preserve">Medical Oncology SpR, The Royal Marsden NHS Foundation Trust, </w:t>
      </w:r>
      <w:hyperlink r:id="rId5" w:history="1">
        <w:r w:rsidR="00E015D8" w:rsidRPr="00E015D8">
          <w:rPr>
            <w:rStyle w:val="Hyperlink"/>
            <w:rFonts w:ascii="Arial" w:hAnsi="Arial" w:cs="Arial"/>
            <w:sz w:val="20"/>
            <w:szCs w:val="20"/>
          </w:rPr>
          <w:t>nalinie.joharatnam-hogan@nhs.net</w:t>
        </w:r>
      </w:hyperlink>
    </w:p>
    <w:p w14:paraId="01248331" w14:textId="27DEB2FF" w:rsidR="00E015D8" w:rsidRPr="00E015D8" w:rsidRDefault="005F15BA" w:rsidP="005F15BA">
      <w:pPr>
        <w:spacing w:after="0" w:line="276" w:lineRule="auto"/>
        <w:rPr>
          <w:rFonts w:ascii="Arial" w:hAnsi="Arial" w:cs="Arial"/>
          <w:sz w:val="20"/>
          <w:szCs w:val="20"/>
        </w:rPr>
      </w:pPr>
      <w:r>
        <w:rPr>
          <w:rFonts w:ascii="Arial" w:hAnsi="Arial" w:cs="Arial"/>
          <w:b/>
          <w:bCs/>
          <w:sz w:val="24"/>
          <w:szCs w:val="24"/>
        </w:rPr>
        <w:t xml:space="preserve">Dr </w:t>
      </w:r>
      <w:bookmarkStart w:id="0" w:name="_Hlk90140046"/>
      <w:r w:rsidR="00E015D8" w:rsidRPr="005F15BA">
        <w:rPr>
          <w:rFonts w:ascii="Arial" w:hAnsi="Arial" w:cs="Arial"/>
          <w:b/>
          <w:bCs/>
          <w:sz w:val="24"/>
          <w:szCs w:val="24"/>
        </w:rPr>
        <w:t xml:space="preserve">Thomas J. </w:t>
      </w:r>
      <w:bookmarkEnd w:id="0"/>
      <w:r w:rsidR="00E015D8" w:rsidRPr="005F15BA">
        <w:rPr>
          <w:rFonts w:ascii="Arial" w:hAnsi="Arial" w:cs="Arial"/>
          <w:b/>
          <w:bCs/>
          <w:sz w:val="24"/>
          <w:szCs w:val="24"/>
        </w:rPr>
        <w:t>Carter</w:t>
      </w:r>
      <w:r w:rsidR="00E015D8" w:rsidRPr="00E015D8">
        <w:rPr>
          <w:rFonts w:ascii="Arial" w:hAnsi="Arial" w:cs="Arial"/>
          <w:sz w:val="20"/>
          <w:szCs w:val="20"/>
        </w:rPr>
        <w:t xml:space="preserve">, </w:t>
      </w:r>
      <w:bookmarkStart w:id="1" w:name="_Hlk90140247"/>
      <w:r w:rsidR="00E015D8" w:rsidRPr="00E015D8">
        <w:rPr>
          <w:rFonts w:ascii="Arial" w:hAnsi="Arial" w:cs="Arial"/>
          <w:sz w:val="20"/>
          <w:szCs w:val="20"/>
        </w:rPr>
        <w:t>Medical Oncology SpR, The Royal Free NHS Foundation Trust</w:t>
      </w:r>
      <w:bookmarkEnd w:id="1"/>
    </w:p>
    <w:p w14:paraId="70C9ADBD" w14:textId="2DC1D5CC" w:rsidR="00E015D8" w:rsidRPr="00E015D8" w:rsidRDefault="00E015D8" w:rsidP="005F15BA">
      <w:pPr>
        <w:spacing w:after="0" w:line="276" w:lineRule="auto"/>
        <w:rPr>
          <w:rFonts w:ascii="Arial" w:hAnsi="Arial" w:cs="Arial"/>
          <w:sz w:val="20"/>
          <w:szCs w:val="20"/>
        </w:rPr>
      </w:pPr>
      <w:r w:rsidRPr="005F15BA">
        <w:rPr>
          <w:rFonts w:ascii="Arial" w:hAnsi="Arial" w:cs="Arial"/>
          <w:b/>
          <w:bCs/>
          <w:sz w:val="24"/>
          <w:szCs w:val="24"/>
        </w:rPr>
        <w:t xml:space="preserve">Neil </w:t>
      </w:r>
      <w:bookmarkStart w:id="2" w:name="_Hlk90140074"/>
      <w:r w:rsidRPr="005F15BA">
        <w:rPr>
          <w:rFonts w:ascii="Arial" w:hAnsi="Arial" w:cs="Arial"/>
          <w:b/>
          <w:bCs/>
          <w:sz w:val="24"/>
          <w:szCs w:val="24"/>
        </w:rPr>
        <w:t>Reynolds</w:t>
      </w:r>
      <w:bookmarkEnd w:id="2"/>
      <w:r w:rsidRPr="00E015D8">
        <w:rPr>
          <w:rFonts w:ascii="Arial" w:hAnsi="Arial" w:cs="Arial"/>
          <w:sz w:val="20"/>
          <w:szCs w:val="20"/>
        </w:rPr>
        <w:t>, Senior Haematology Pharmacist, University College London NHS Foundation Trust</w:t>
      </w:r>
    </w:p>
    <w:p w14:paraId="041B1BAF" w14:textId="1558771E" w:rsidR="00E015D8" w:rsidRPr="00E015D8" w:rsidRDefault="005F15BA" w:rsidP="005F15BA">
      <w:pPr>
        <w:spacing w:after="0" w:line="276" w:lineRule="auto"/>
        <w:rPr>
          <w:rFonts w:ascii="Arial" w:hAnsi="Arial" w:cs="Arial"/>
          <w:sz w:val="20"/>
          <w:szCs w:val="20"/>
        </w:rPr>
      </w:pPr>
      <w:r>
        <w:rPr>
          <w:rFonts w:ascii="Arial" w:hAnsi="Arial" w:cs="Arial"/>
          <w:b/>
          <w:bCs/>
          <w:sz w:val="24"/>
          <w:szCs w:val="24"/>
        </w:rPr>
        <w:t xml:space="preserve">Dr </w:t>
      </w:r>
      <w:r w:rsidR="00E015D8" w:rsidRPr="005F15BA">
        <w:rPr>
          <w:rFonts w:ascii="Arial" w:hAnsi="Arial" w:cs="Arial"/>
          <w:b/>
          <w:bCs/>
          <w:sz w:val="24"/>
          <w:szCs w:val="24"/>
        </w:rPr>
        <w:t>Jan Hoong Ho</w:t>
      </w:r>
      <w:r w:rsidR="00E015D8" w:rsidRPr="00E015D8">
        <w:rPr>
          <w:rFonts w:ascii="Arial" w:hAnsi="Arial" w:cs="Arial"/>
          <w:sz w:val="20"/>
          <w:szCs w:val="20"/>
        </w:rPr>
        <w:t>, Consultant in Diabetes and Endocrinology, The Christie NHS Foundation Trust</w:t>
      </w:r>
    </w:p>
    <w:p w14:paraId="1F01B682" w14:textId="7DDE7610" w:rsidR="00E015D8" w:rsidRPr="00E015D8" w:rsidRDefault="00E015D8" w:rsidP="005F15BA">
      <w:pPr>
        <w:spacing w:after="0" w:line="276" w:lineRule="auto"/>
        <w:rPr>
          <w:rFonts w:ascii="Arial" w:hAnsi="Arial" w:cs="Arial"/>
          <w:sz w:val="20"/>
          <w:szCs w:val="20"/>
        </w:rPr>
      </w:pPr>
      <w:r w:rsidRPr="005F15BA">
        <w:rPr>
          <w:rFonts w:ascii="Arial" w:hAnsi="Arial" w:cs="Arial"/>
          <w:b/>
          <w:bCs/>
          <w:sz w:val="24"/>
          <w:szCs w:val="24"/>
        </w:rPr>
        <w:t>Dr Safwaan Adam</w:t>
      </w:r>
      <w:r w:rsidRPr="00E015D8">
        <w:rPr>
          <w:rFonts w:ascii="Arial" w:hAnsi="Arial" w:cs="Arial"/>
          <w:sz w:val="20"/>
          <w:szCs w:val="20"/>
        </w:rPr>
        <w:t>, Consultant Endocrinologist, The Christie NHS Foundation Trust</w:t>
      </w:r>
    </w:p>
    <w:p w14:paraId="1FC359F8" w14:textId="5A643E8B" w:rsidR="00E015D8" w:rsidRDefault="00E015D8" w:rsidP="005F15BA">
      <w:pPr>
        <w:spacing w:after="0" w:line="276" w:lineRule="auto"/>
        <w:rPr>
          <w:rFonts w:ascii="Arial" w:hAnsi="Arial" w:cs="Arial"/>
          <w:sz w:val="20"/>
          <w:szCs w:val="20"/>
        </w:rPr>
      </w:pPr>
      <w:r w:rsidRPr="005F15BA">
        <w:rPr>
          <w:rFonts w:ascii="Arial" w:hAnsi="Arial" w:cs="Arial"/>
          <w:b/>
          <w:bCs/>
          <w:sz w:val="24"/>
          <w:szCs w:val="24"/>
        </w:rPr>
        <w:t>Dr Ruth Board</w:t>
      </w:r>
      <w:r w:rsidRPr="00E015D8">
        <w:rPr>
          <w:rFonts w:ascii="Arial" w:hAnsi="Arial" w:cs="Arial"/>
          <w:sz w:val="20"/>
          <w:szCs w:val="20"/>
        </w:rPr>
        <w:t>, Consultant Medical Oncologist, Lancashire Teaching Hospitals NHS Foundation Trust</w:t>
      </w:r>
    </w:p>
    <w:p w14:paraId="3B3CA8BD" w14:textId="21222837" w:rsidR="005F15BA" w:rsidRDefault="005F15BA" w:rsidP="005F15BA">
      <w:pPr>
        <w:spacing w:after="0" w:line="276" w:lineRule="auto"/>
        <w:rPr>
          <w:rFonts w:ascii="Arial" w:hAnsi="Arial" w:cs="Arial"/>
          <w:sz w:val="20"/>
          <w:szCs w:val="20"/>
        </w:rPr>
      </w:pPr>
    </w:p>
    <w:p w14:paraId="366D7962" w14:textId="474ED36F" w:rsidR="005F15BA" w:rsidRDefault="005F15BA" w:rsidP="005F15BA">
      <w:pPr>
        <w:spacing w:after="0" w:line="276" w:lineRule="auto"/>
        <w:rPr>
          <w:rFonts w:ascii="Arial" w:hAnsi="Arial" w:cs="Arial"/>
          <w:b/>
          <w:bCs/>
        </w:rPr>
      </w:pPr>
      <w:r w:rsidRPr="005F15BA">
        <w:rPr>
          <w:rFonts w:ascii="Arial" w:hAnsi="Arial" w:cs="Arial"/>
          <w:b/>
          <w:bCs/>
        </w:rPr>
        <w:t>Received December 11, 2021</w:t>
      </w:r>
    </w:p>
    <w:p w14:paraId="36122962" w14:textId="71CA6931" w:rsidR="005F15BA" w:rsidRDefault="005F15BA" w:rsidP="005F15BA">
      <w:pPr>
        <w:spacing w:after="0" w:line="276" w:lineRule="auto"/>
        <w:rPr>
          <w:rFonts w:ascii="Arial" w:hAnsi="Arial" w:cs="Arial"/>
          <w:b/>
          <w:bCs/>
        </w:rPr>
      </w:pPr>
    </w:p>
    <w:p w14:paraId="42FD4E0F" w14:textId="77777777" w:rsidR="005F15BA" w:rsidRPr="00A30B0F" w:rsidRDefault="005F15BA" w:rsidP="005F15BA">
      <w:pPr>
        <w:pStyle w:val="Heading1"/>
        <w:spacing w:before="0" w:line="276" w:lineRule="auto"/>
        <w:rPr>
          <w:rFonts w:ascii="Arial" w:hAnsi="Arial" w:cs="Arial"/>
          <w:b/>
          <w:bCs/>
          <w:sz w:val="22"/>
          <w:szCs w:val="22"/>
          <w:lang w:val="en-US"/>
        </w:rPr>
      </w:pPr>
      <w:bookmarkStart w:id="3" w:name="_Hlk90140406"/>
      <w:r>
        <w:rPr>
          <w:rFonts w:ascii="Arial" w:hAnsi="Arial" w:cs="Arial"/>
          <w:b/>
          <w:bCs/>
          <w:sz w:val="22"/>
          <w:szCs w:val="22"/>
          <w:lang w:val="en-US"/>
        </w:rPr>
        <w:t>ABSTRACT</w:t>
      </w:r>
    </w:p>
    <w:p w14:paraId="0AA866AD" w14:textId="77777777" w:rsidR="005F15BA" w:rsidRDefault="005F15BA" w:rsidP="005F15BA">
      <w:pPr>
        <w:spacing w:after="0" w:line="276" w:lineRule="auto"/>
      </w:pPr>
    </w:p>
    <w:p w14:paraId="3F9AF899" w14:textId="77777777" w:rsidR="005F15BA" w:rsidRDefault="005F15BA" w:rsidP="005F15BA">
      <w:pPr>
        <w:spacing w:after="0" w:line="276" w:lineRule="auto"/>
        <w:rPr>
          <w:rFonts w:ascii="Arial" w:hAnsi="Arial" w:cs="Arial"/>
          <w:lang w:val="en-US"/>
        </w:rPr>
      </w:pPr>
      <w:r w:rsidRPr="005F15BA">
        <w:rPr>
          <w:rFonts w:ascii="Arial" w:hAnsi="Arial" w:cs="Arial"/>
          <w:lang w:val="en-US"/>
        </w:rPr>
        <w:t>There is increasing evidence of an association between cancer and diabetes mellitus. Patients with type II diabetes are at increased risk of malignancy due to shared risk factors between the two conditions, and people with a diagnosis of cancer may develop new onset diabetes or impaired glycemic control, partly as a result of the systemic anti-cancer treatments (SACT) they receive. Many newer targeted anti-cancer treatments can have off-target metabolic toxicities not seen with conventional chemotherapy agents. Early recognition of diabetes or hyperglycemia in people with cancer can improve outcomes. This chapter aims to summari</w:t>
      </w:r>
      <w:r w:rsidRPr="005F15BA">
        <w:rPr>
          <w:rFonts w:ascii="Arial" w:hAnsi="Arial" w:cs="Arial"/>
          <w:lang w:val="en-US"/>
        </w:rPr>
        <w:t>z</w:t>
      </w:r>
      <w:r w:rsidRPr="005F15BA">
        <w:rPr>
          <w:rFonts w:ascii="Arial" w:hAnsi="Arial" w:cs="Arial"/>
          <w:lang w:val="en-US"/>
        </w:rPr>
        <w:t xml:space="preserve">e these associations, provide an overview of how different SACT modalities can impact on glycemic control, and highlight key recommendations for the management of this complex patient group. </w:t>
      </w:r>
    </w:p>
    <w:bookmarkEnd w:id="3"/>
    <w:p w14:paraId="28232724" w14:textId="77777777" w:rsidR="005F15BA" w:rsidRDefault="005F15BA" w:rsidP="005F15BA">
      <w:pPr>
        <w:spacing w:after="0" w:line="276" w:lineRule="auto"/>
        <w:rPr>
          <w:rFonts w:ascii="Arial" w:hAnsi="Arial" w:cs="Arial"/>
          <w:lang w:val="en-US"/>
        </w:rPr>
      </w:pPr>
    </w:p>
    <w:p w14:paraId="6C2DC122" w14:textId="71DF6D5E" w:rsidR="00002F76" w:rsidRPr="00A30B0F" w:rsidRDefault="0067418B" w:rsidP="00C96EE5">
      <w:pPr>
        <w:pStyle w:val="Heading1"/>
        <w:spacing w:before="0" w:line="276" w:lineRule="auto"/>
        <w:rPr>
          <w:rFonts w:ascii="Arial" w:hAnsi="Arial" w:cs="Arial"/>
          <w:b/>
          <w:bCs/>
          <w:sz w:val="22"/>
          <w:szCs w:val="22"/>
          <w:lang w:val="en-US"/>
        </w:rPr>
      </w:pPr>
      <w:bookmarkStart w:id="4" w:name="_Hlk90140525"/>
      <w:r w:rsidRPr="00A30B0F">
        <w:rPr>
          <w:rFonts w:ascii="Arial" w:hAnsi="Arial" w:cs="Arial"/>
          <w:b/>
          <w:bCs/>
          <w:sz w:val="22"/>
          <w:szCs w:val="22"/>
          <w:lang w:val="en-US"/>
        </w:rPr>
        <w:t>INTRODUCTION</w:t>
      </w:r>
    </w:p>
    <w:p w14:paraId="62DAA8B5" w14:textId="77777777" w:rsidR="00C96EE5" w:rsidRPr="00A30B0F" w:rsidRDefault="00C96EE5" w:rsidP="00C96EE5">
      <w:pPr>
        <w:autoSpaceDE w:val="0"/>
        <w:autoSpaceDN w:val="0"/>
        <w:adjustRightInd w:val="0"/>
        <w:spacing w:after="0" w:line="276" w:lineRule="auto"/>
        <w:rPr>
          <w:rFonts w:ascii="Arial" w:hAnsi="Arial" w:cs="Arial"/>
          <w:lang w:val="en-US"/>
        </w:rPr>
      </w:pPr>
    </w:p>
    <w:p w14:paraId="32572525" w14:textId="15097444" w:rsidR="00002F76" w:rsidRPr="00A30B0F" w:rsidRDefault="00002F76" w:rsidP="00C96EE5">
      <w:pPr>
        <w:autoSpaceDE w:val="0"/>
        <w:autoSpaceDN w:val="0"/>
        <w:adjustRightInd w:val="0"/>
        <w:spacing w:after="0" w:line="276" w:lineRule="auto"/>
        <w:rPr>
          <w:rFonts w:ascii="Arial" w:hAnsi="Arial" w:cs="Arial"/>
          <w:lang w:val="en-US"/>
        </w:rPr>
      </w:pPr>
      <w:r w:rsidRPr="00A30B0F">
        <w:rPr>
          <w:rFonts w:ascii="Arial" w:hAnsi="Arial" w:cs="Arial"/>
          <w:lang w:val="en-US"/>
        </w:rPr>
        <w:t xml:space="preserve">Diabetes mellitus (DM) is a rising global public health emergency, with recent estimates suggesting that over </w:t>
      </w:r>
      <w:r w:rsidR="00C04B27" w:rsidRPr="00A30B0F">
        <w:rPr>
          <w:rFonts w:ascii="Arial" w:hAnsi="Arial" w:cs="Arial"/>
          <w:lang w:val="en-US"/>
        </w:rPr>
        <w:t>780</w:t>
      </w:r>
      <w:r w:rsidRPr="00A30B0F">
        <w:rPr>
          <w:rFonts w:ascii="Arial" w:hAnsi="Arial" w:cs="Arial"/>
          <w:lang w:val="en-US"/>
        </w:rPr>
        <w:t xml:space="preserve"> million people globally will be affected by 2045 </w:t>
      </w:r>
      <w:r w:rsidR="006354C4" w:rsidRPr="00A30B0F">
        <w:rPr>
          <w:rFonts w:ascii="Arial" w:hAnsi="Arial" w:cs="Arial"/>
          <w:lang w:val="en-US"/>
        </w:rPr>
        <w:t>(</w:t>
      </w:r>
      <w:r w:rsidRPr="00A30B0F">
        <w:rPr>
          <w:rFonts w:ascii="Arial" w:hAnsi="Arial" w:cs="Arial"/>
          <w:noProof/>
          <w:lang w:val="en-US"/>
        </w:rPr>
        <w:t>1</w:t>
      </w:r>
      <w:r w:rsidR="006354C4" w:rsidRPr="00A30B0F">
        <w:rPr>
          <w:rFonts w:ascii="Arial" w:hAnsi="Arial" w:cs="Arial"/>
          <w:noProof/>
          <w:lang w:val="en-US"/>
        </w:rPr>
        <w:t>)</w:t>
      </w:r>
      <w:r w:rsidRPr="00A30B0F">
        <w:rPr>
          <w:rFonts w:ascii="Arial" w:hAnsi="Arial" w:cs="Arial"/>
          <w:lang w:val="en-US"/>
        </w:rPr>
        <w:t>. DM is typically classified into broad categories including type 1 (T1DM), type 2 (T2DM), gestational, monogenic, pharmacologically-induced, endocrinopathy-driven and DM due to pancreatic disease/deficiency (sometimes referred to as type 3c)</w:t>
      </w:r>
      <w:r w:rsidR="006354C4" w:rsidRPr="00A30B0F">
        <w:rPr>
          <w:rFonts w:ascii="Arial" w:hAnsi="Arial" w:cs="Arial"/>
          <w:lang w:val="en-US"/>
        </w:rPr>
        <w:t xml:space="preserve"> (</w:t>
      </w:r>
      <w:r w:rsidRPr="00A30B0F">
        <w:rPr>
          <w:rFonts w:ascii="Arial" w:hAnsi="Arial" w:cs="Arial"/>
          <w:noProof/>
          <w:color w:val="1D1D1B"/>
          <w:lang w:val="en-US" w:eastAsia="en-GB"/>
        </w:rPr>
        <w:t>2, 3</w:t>
      </w:r>
      <w:r w:rsidR="006354C4" w:rsidRPr="00A30B0F">
        <w:rPr>
          <w:rFonts w:ascii="Arial" w:hAnsi="Arial" w:cs="Arial"/>
          <w:noProof/>
          <w:color w:val="1D1D1B"/>
          <w:lang w:val="en-US" w:eastAsia="en-GB"/>
        </w:rPr>
        <w:t>)</w:t>
      </w:r>
      <w:r w:rsidRPr="00A30B0F">
        <w:rPr>
          <w:rFonts w:ascii="Arial" w:hAnsi="Arial" w:cs="Arial"/>
          <w:lang w:val="en-US"/>
        </w:rPr>
        <w:t>. T2DM is regarded as the most common subtype and is reported to account for over 85% of cases</w:t>
      </w:r>
      <w:r w:rsidR="006354C4" w:rsidRPr="00A30B0F">
        <w:rPr>
          <w:rFonts w:ascii="Arial" w:hAnsi="Arial" w:cs="Arial"/>
          <w:lang w:val="en-US"/>
        </w:rPr>
        <w:t xml:space="preserve"> (</w:t>
      </w:r>
      <w:r w:rsidRPr="00A30B0F">
        <w:rPr>
          <w:rFonts w:ascii="Arial" w:hAnsi="Arial" w:cs="Arial"/>
          <w:noProof/>
          <w:lang w:val="en-US"/>
        </w:rPr>
        <w:t>1</w:t>
      </w:r>
      <w:r w:rsidR="006354C4" w:rsidRPr="00A30B0F">
        <w:rPr>
          <w:rFonts w:ascii="Arial" w:hAnsi="Arial" w:cs="Arial"/>
          <w:noProof/>
          <w:lang w:val="en-US"/>
        </w:rPr>
        <w:t>)</w:t>
      </w:r>
      <w:r w:rsidRPr="00A30B0F">
        <w:rPr>
          <w:rFonts w:ascii="Arial" w:hAnsi="Arial" w:cs="Arial"/>
          <w:lang w:val="en-US"/>
        </w:rPr>
        <w:t xml:space="preserve">. </w:t>
      </w:r>
      <w:r w:rsidRPr="00A30B0F">
        <w:rPr>
          <w:rFonts w:ascii="Arial" w:hAnsi="Arial" w:cs="Arial"/>
          <w:color w:val="1D1D1B"/>
          <w:lang w:val="en-US" w:eastAsia="en-GB"/>
        </w:rPr>
        <w:t>All</w:t>
      </w:r>
      <w:r w:rsidRPr="00A30B0F">
        <w:rPr>
          <w:rFonts w:ascii="Arial" w:hAnsi="Arial" w:cs="Arial"/>
          <w:lang w:val="en-US"/>
        </w:rPr>
        <w:t xml:space="preserve"> types of DM can lead to multisystem microvascular (nephropathy, retinopathy, neuropathy) and macrovascular (</w:t>
      </w:r>
      <w:r w:rsidR="00A4356B" w:rsidRPr="00A30B0F">
        <w:rPr>
          <w:rFonts w:ascii="Arial" w:hAnsi="Arial" w:cs="Arial"/>
          <w:lang w:val="en-US"/>
        </w:rPr>
        <w:t>ischemic</w:t>
      </w:r>
      <w:r w:rsidRPr="00A30B0F">
        <w:rPr>
          <w:rFonts w:ascii="Arial" w:hAnsi="Arial" w:cs="Arial"/>
          <w:lang w:val="en-US"/>
        </w:rPr>
        <w:t xml:space="preserve"> heart disease, stroke and peripheral vascular disease) complications, with management of these complications placing </w:t>
      </w:r>
      <w:r w:rsidR="006354C4" w:rsidRPr="00A30B0F">
        <w:rPr>
          <w:rFonts w:ascii="Arial" w:hAnsi="Arial" w:cs="Arial"/>
          <w:lang w:val="en-US"/>
        </w:rPr>
        <w:t xml:space="preserve">a </w:t>
      </w:r>
      <w:r w:rsidRPr="00A30B0F">
        <w:rPr>
          <w:rFonts w:ascii="Arial" w:hAnsi="Arial" w:cs="Arial"/>
          <w:lang w:val="en-US"/>
        </w:rPr>
        <w:t xml:space="preserve">strain upon many health services. </w:t>
      </w:r>
    </w:p>
    <w:p w14:paraId="5438D694" w14:textId="77777777" w:rsidR="00002F76" w:rsidRPr="00A30B0F" w:rsidRDefault="00002F76" w:rsidP="00C96EE5">
      <w:pPr>
        <w:autoSpaceDE w:val="0"/>
        <w:autoSpaceDN w:val="0"/>
        <w:adjustRightInd w:val="0"/>
        <w:spacing w:after="0" w:line="276" w:lineRule="auto"/>
        <w:rPr>
          <w:rFonts w:ascii="Arial" w:hAnsi="Arial" w:cs="Arial"/>
          <w:color w:val="1D1D1B"/>
          <w:lang w:val="en-US" w:eastAsia="en-GB"/>
        </w:rPr>
      </w:pPr>
    </w:p>
    <w:p w14:paraId="238CD950" w14:textId="7987222F" w:rsidR="00002F76" w:rsidRPr="00A30B0F" w:rsidRDefault="00002F76" w:rsidP="00C96EE5">
      <w:pPr>
        <w:spacing w:after="0" w:line="276" w:lineRule="auto"/>
        <w:rPr>
          <w:rFonts w:ascii="Arial" w:hAnsi="Arial" w:cs="Arial"/>
          <w:lang w:val="en-US"/>
        </w:rPr>
      </w:pPr>
      <w:r w:rsidRPr="00A30B0F">
        <w:rPr>
          <w:rFonts w:ascii="Arial" w:hAnsi="Arial" w:cs="Arial"/>
          <w:lang w:val="en-US"/>
        </w:rPr>
        <w:t xml:space="preserve">People with a diagnosis of DM are also at higher risk for developing several cancers </w:t>
      </w:r>
      <w:r w:rsidR="006354C4" w:rsidRPr="00A30B0F">
        <w:rPr>
          <w:rFonts w:ascii="Arial" w:hAnsi="Arial" w:cs="Arial"/>
          <w:lang w:val="en-US"/>
        </w:rPr>
        <w:t>(</w:t>
      </w:r>
      <w:r w:rsidRPr="00A30B0F">
        <w:rPr>
          <w:rFonts w:ascii="Arial" w:hAnsi="Arial" w:cs="Arial"/>
          <w:bCs/>
          <w:noProof/>
          <w:bdr w:val="none" w:sz="0" w:space="0" w:color="auto" w:frame="1"/>
          <w:lang w:val="en-US"/>
        </w:rPr>
        <w:t>4</w:t>
      </w:r>
      <w:r w:rsidR="006354C4" w:rsidRPr="00A30B0F">
        <w:rPr>
          <w:rFonts w:ascii="Arial" w:hAnsi="Arial" w:cs="Arial"/>
          <w:bCs/>
          <w:noProof/>
          <w:bdr w:val="none" w:sz="0" w:space="0" w:color="auto" w:frame="1"/>
          <w:lang w:val="en-US"/>
        </w:rPr>
        <w:t>)</w:t>
      </w:r>
      <w:r w:rsidRPr="00A30B0F">
        <w:rPr>
          <w:rFonts w:ascii="Arial" w:hAnsi="Arial" w:cs="Arial"/>
          <w:lang w:val="en-US"/>
        </w:rPr>
        <w:t>, with reasons for this in part due to shared risk factors between the two, including age, obesity, sedentary lifestyle</w:t>
      </w:r>
      <w:r w:rsidR="006354C4" w:rsidRPr="00A30B0F">
        <w:rPr>
          <w:rFonts w:ascii="Arial" w:hAnsi="Arial" w:cs="Arial"/>
          <w:lang w:val="en-US"/>
        </w:rPr>
        <w:t>,</w:t>
      </w:r>
      <w:r w:rsidRPr="00A30B0F">
        <w:rPr>
          <w:rFonts w:ascii="Arial" w:hAnsi="Arial" w:cs="Arial"/>
          <w:lang w:val="en-US"/>
        </w:rPr>
        <w:t xml:space="preserve"> and diet </w:t>
      </w:r>
      <w:r w:rsidR="006354C4" w:rsidRPr="00A30B0F">
        <w:rPr>
          <w:rFonts w:ascii="Arial" w:hAnsi="Arial" w:cs="Arial"/>
          <w:lang w:val="en-US"/>
        </w:rPr>
        <w:t>(</w:t>
      </w:r>
      <w:r w:rsidRPr="00A30B0F">
        <w:rPr>
          <w:rFonts w:ascii="Arial" w:hAnsi="Arial" w:cs="Arial"/>
          <w:noProof/>
          <w:lang w:val="en-US"/>
        </w:rPr>
        <w:t>5</w:t>
      </w:r>
      <w:r w:rsidRPr="00A30B0F">
        <w:rPr>
          <w:rFonts w:ascii="Arial" w:hAnsi="Arial" w:cs="Arial"/>
          <w:lang w:val="en-US"/>
        </w:rPr>
        <w:t>,</w:t>
      </w:r>
      <w:r w:rsidRPr="00A30B0F">
        <w:rPr>
          <w:rFonts w:ascii="Arial" w:hAnsi="Arial" w:cs="Arial"/>
          <w:bCs/>
          <w:noProof/>
          <w:bdr w:val="none" w:sz="0" w:space="0" w:color="auto" w:frame="1"/>
          <w:lang w:val="en-US"/>
        </w:rPr>
        <w:t>6</w:t>
      </w:r>
      <w:r w:rsidR="006354C4" w:rsidRPr="00A30B0F">
        <w:rPr>
          <w:rFonts w:ascii="Arial" w:hAnsi="Arial" w:cs="Arial"/>
          <w:bCs/>
          <w:noProof/>
          <w:bdr w:val="none" w:sz="0" w:space="0" w:color="auto" w:frame="1"/>
          <w:lang w:val="en-US"/>
        </w:rPr>
        <w:t>)</w:t>
      </w:r>
      <w:r w:rsidRPr="00A30B0F">
        <w:rPr>
          <w:rFonts w:ascii="Arial" w:hAnsi="Arial" w:cs="Arial"/>
          <w:bCs/>
          <w:bdr w:val="none" w:sz="0" w:space="0" w:color="auto" w:frame="1"/>
          <w:lang w:val="en-US"/>
        </w:rPr>
        <w:t>.</w:t>
      </w:r>
      <w:r w:rsidRPr="00A30B0F">
        <w:rPr>
          <w:rFonts w:ascii="Arial" w:hAnsi="Arial" w:cs="Arial"/>
          <w:lang w:val="en-US"/>
        </w:rPr>
        <w:t xml:space="preserve"> A recent umbrella review of meta-analyses found that </w:t>
      </w:r>
      <w:r w:rsidRPr="00A30B0F">
        <w:rPr>
          <w:rFonts w:ascii="Arial" w:hAnsi="Arial" w:cs="Arial"/>
          <w:bCs/>
          <w:bdr w:val="none" w:sz="0" w:space="0" w:color="auto" w:frame="1"/>
          <w:lang w:val="en-US"/>
        </w:rPr>
        <w:t xml:space="preserve">risks of developing most cancers were higher in people with DM compared to those without, with the most convincing evidence seen in breast cancer, intrahepatic cholangiocarcinoma, colorectal cancer, and endometrial cancer. </w:t>
      </w:r>
      <w:r w:rsidRPr="00A30B0F">
        <w:rPr>
          <w:rFonts w:ascii="Arial" w:hAnsi="Arial" w:cs="Arial"/>
          <w:bCs/>
          <w:lang w:val="en-US"/>
        </w:rPr>
        <w:t xml:space="preserve">One exception in this study </w:t>
      </w:r>
      <w:r w:rsidRPr="00A30B0F">
        <w:rPr>
          <w:rFonts w:ascii="Arial" w:hAnsi="Arial" w:cs="Arial"/>
          <w:bCs/>
          <w:bdr w:val="none" w:sz="0" w:space="0" w:color="auto" w:frame="1"/>
          <w:lang w:val="en-US"/>
        </w:rPr>
        <w:t xml:space="preserve">was prostate cancer, </w:t>
      </w:r>
      <w:r w:rsidRPr="00A30B0F">
        <w:rPr>
          <w:rFonts w:ascii="Arial" w:hAnsi="Arial" w:cs="Arial"/>
          <w:bCs/>
          <w:bdr w:val="none" w:sz="0" w:space="0" w:color="auto" w:frame="1"/>
          <w:lang w:val="en-US"/>
        </w:rPr>
        <w:lastRenderedPageBreak/>
        <w:t xml:space="preserve">where the risk appeared lower in individuals with DM </w:t>
      </w:r>
      <w:r w:rsidR="006354C4" w:rsidRPr="00A30B0F">
        <w:rPr>
          <w:rFonts w:ascii="Arial" w:hAnsi="Arial" w:cs="Arial"/>
          <w:bCs/>
          <w:bdr w:val="none" w:sz="0" w:space="0" w:color="auto" w:frame="1"/>
          <w:lang w:val="en-US"/>
        </w:rPr>
        <w:t>(</w:t>
      </w:r>
      <w:r w:rsidRPr="00A30B0F">
        <w:rPr>
          <w:rFonts w:ascii="Arial" w:hAnsi="Arial" w:cs="Arial"/>
          <w:bCs/>
          <w:noProof/>
          <w:bdr w:val="none" w:sz="0" w:space="0" w:color="auto" w:frame="1"/>
          <w:lang w:val="en-US"/>
        </w:rPr>
        <w:t>4</w:t>
      </w:r>
      <w:r w:rsidR="006354C4" w:rsidRPr="00A30B0F">
        <w:rPr>
          <w:rFonts w:ascii="Arial" w:hAnsi="Arial" w:cs="Arial"/>
          <w:bCs/>
          <w:noProof/>
          <w:bdr w:val="none" w:sz="0" w:space="0" w:color="auto" w:frame="1"/>
          <w:lang w:val="en-US"/>
        </w:rPr>
        <w:t>)</w:t>
      </w:r>
      <w:r w:rsidRPr="00A30B0F">
        <w:rPr>
          <w:rFonts w:ascii="Arial" w:hAnsi="Arial" w:cs="Arial"/>
          <w:bCs/>
          <w:bdr w:val="none" w:sz="0" w:space="0" w:color="auto" w:frame="1"/>
          <w:lang w:val="en-US"/>
        </w:rPr>
        <w:t xml:space="preserve">. </w:t>
      </w:r>
      <w:r w:rsidRPr="00A30B0F">
        <w:rPr>
          <w:rFonts w:ascii="Arial" w:hAnsi="Arial" w:cs="Arial"/>
          <w:lang w:val="en-US"/>
        </w:rPr>
        <w:t>In view of this increased cancer risk in people with DM, some groups even advocate that regular screening for underlying cancer should be part of routine DM assessments</w:t>
      </w:r>
      <w:r w:rsidR="006354C4" w:rsidRPr="00A30B0F">
        <w:rPr>
          <w:rFonts w:ascii="Arial" w:hAnsi="Arial" w:cs="Arial"/>
          <w:lang w:val="en-US"/>
        </w:rPr>
        <w:t xml:space="preserve"> (</w:t>
      </w:r>
      <w:r w:rsidRPr="00A30B0F">
        <w:rPr>
          <w:rFonts w:ascii="Arial" w:hAnsi="Arial" w:cs="Arial"/>
          <w:noProof/>
          <w:lang w:val="en-US"/>
        </w:rPr>
        <w:t>7</w:t>
      </w:r>
      <w:r w:rsidR="006354C4" w:rsidRPr="00A30B0F">
        <w:rPr>
          <w:rFonts w:ascii="Arial" w:hAnsi="Arial" w:cs="Arial"/>
          <w:noProof/>
          <w:lang w:val="en-US"/>
        </w:rPr>
        <w:t>)</w:t>
      </w:r>
      <w:r w:rsidRPr="00A30B0F">
        <w:rPr>
          <w:rFonts w:ascii="Arial" w:hAnsi="Arial" w:cs="Arial"/>
          <w:lang w:val="en-US"/>
        </w:rPr>
        <w:t>.</w:t>
      </w:r>
    </w:p>
    <w:p w14:paraId="50375DA2" w14:textId="77777777" w:rsidR="00C96EE5" w:rsidRPr="00A30B0F" w:rsidRDefault="00C96EE5" w:rsidP="00C96EE5">
      <w:pPr>
        <w:spacing w:after="0" w:line="276" w:lineRule="auto"/>
        <w:rPr>
          <w:rFonts w:ascii="Arial" w:hAnsi="Arial" w:cs="Arial"/>
          <w:b/>
          <w:bdr w:val="none" w:sz="0" w:space="0" w:color="auto" w:frame="1"/>
          <w:lang w:val="en-US"/>
        </w:rPr>
      </w:pPr>
    </w:p>
    <w:p w14:paraId="6D799AF7" w14:textId="2593F15E" w:rsidR="00002F76" w:rsidRPr="00A30B0F" w:rsidRDefault="00002F76" w:rsidP="00C96EE5">
      <w:pPr>
        <w:spacing w:after="0" w:line="276" w:lineRule="auto"/>
        <w:rPr>
          <w:rFonts w:ascii="Arial" w:hAnsi="Arial" w:cs="Arial"/>
          <w:lang w:val="en-US"/>
        </w:rPr>
      </w:pPr>
      <w:r w:rsidRPr="00A30B0F">
        <w:rPr>
          <w:rFonts w:ascii="Arial" w:hAnsi="Arial" w:cs="Arial"/>
          <w:bCs/>
          <w:bdr w:val="none" w:sz="0" w:space="0" w:color="auto" w:frame="1"/>
          <w:lang w:val="en-US"/>
        </w:rPr>
        <w:t xml:space="preserve">It </w:t>
      </w:r>
      <w:r w:rsidRPr="00A30B0F">
        <w:rPr>
          <w:rFonts w:ascii="Arial" w:hAnsi="Arial" w:cs="Arial"/>
          <w:bCs/>
          <w:lang w:val="en-US"/>
        </w:rPr>
        <w:t>i</w:t>
      </w:r>
      <w:r w:rsidRPr="00A30B0F">
        <w:rPr>
          <w:rFonts w:ascii="Arial" w:hAnsi="Arial" w:cs="Arial"/>
          <w:lang w:val="en-US"/>
        </w:rPr>
        <w:t xml:space="preserve">s estimated that approximately 20% of people with cancer have concurrent diabetes </w:t>
      </w:r>
      <w:r w:rsidR="006354C4" w:rsidRPr="00A30B0F">
        <w:rPr>
          <w:rFonts w:ascii="Arial" w:hAnsi="Arial" w:cs="Arial"/>
          <w:lang w:val="en-US"/>
        </w:rPr>
        <w:t>(</w:t>
      </w:r>
      <w:r w:rsidRPr="00A30B0F">
        <w:rPr>
          <w:rFonts w:ascii="Arial" w:hAnsi="Arial" w:cs="Arial"/>
          <w:noProof/>
          <w:lang w:val="en-US"/>
        </w:rPr>
        <w:t>8</w:t>
      </w:r>
      <w:r w:rsidR="006354C4" w:rsidRPr="00A30B0F">
        <w:rPr>
          <w:rFonts w:ascii="Arial" w:hAnsi="Arial" w:cs="Arial"/>
          <w:noProof/>
          <w:lang w:val="en-US"/>
        </w:rPr>
        <w:t>)</w:t>
      </w:r>
      <w:r w:rsidRPr="00A30B0F">
        <w:rPr>
          <w:rFonts w:ascii="Arial" w:hAnsi="Arial" w:cs="Arial"/>
          <w:lang w:val="en-US"/>
        </w:rPr>
        <w:t xml:space="preserve">. Individuals with cancer are also at an increased risk of developing new onset DM or </w:t>
      </w:r>
      <w:r w:rsidR="00A4356B" w:rsidRPr="00A30B0F">
        <w:rPr>
          <w:rFonts w:ascii="Arial" w:hAnsi="Arial" w:cs="Arial"/>
          <w:lang w:val="en-US"/>
        </w:rPr>
        <w:t>hyperglycemia</w:t>
      </w:r>
      <w:r w:rsidRPr="00A30B0F">
        <w:rPr>
          <w:rFonts w:ascii="Arial" w:hAnsi="Arial" w:cs="Arial"/>
          <w:lang w:val="en-US"/>
        </w:rPr>
        <w:t xml:space="preserve">, independent of an underlying diagnosis of diabetes, whilst cancer patients with concurrent DM often experience worsening </w:t>
      </w:r>
      <w:r w:rsidR="00A4356B" w:rsidRPr="00A30B0F">
        <w:rPr>
          <w:rFonts w:ascii="Arial" w:hAnsi="Arial" w:cs="Arial"/>
          <w:lang w:val="en-US"/>
        </w:rPr>
        <w:t>glycemic</w:t>
      </w:r>
      <w:r w:rsidRPr="00A30B0F">
        <w:rPr>
          <w:rFonts w:ascii="Arial" w:hAnsi="Arial" w:cs="Arial"/>
          <w:lang w:val="en-US"/>
        </w:rPr>
        <w:t xml:space="preserve"> control </w:t>
      </w:r>
      <w:r w:rsidR="0067418B" w:rsidRPr="00A30B0F">
        <w:rPr>
          <w:rFonts w:ascii="Arial" w:hAnsi="Arial" w:cs="Arial"/>
          <w:lang w:val="en-US"/>
        </w:rPr>
        <w:t>(</w:t>
      </w:r>
      <w:r w:rsidRPr="00A30B0F">
        <w:rPr>
          <w:rFonts w:ascii="Arial" w:hAnsi="Arial" w:cs="Arial"/>
          <w:noProof/>
          <w:lang w:val="en-US"/>
        </w:rPr>
        <w:t>9</w:t>
      </w:r>
      <w:r w:rsidR="0067418B" w:rsidRPr="00A30B0F">
        <w:rPr>
          <w:rFonts w:ascii="Arial" w:hAnsi="Arial" w:cs="Arial"/>
          <w:noProof/>
          <w:lang w:val="en-US"/>
        </w:rPr>
        <w:t>)</w:t>
      </w:r>
      <w:r w:rsidRPr="00A30B0F">
        <w:rPr>
          <w:rFonts w:ascii="Arial" w:hAnsi="Arial" w:cs="Arial"/>
          <w:lang w:val="en-US"/>
        </w:rPr>
        <w:t xml:space="preserve">. Reasons for poor </w:t>
      </w:r>
      <w:r w:rsidR="00A4356B" w:rsidRPr="00A30B0F">
        <w:rPr>
          <w:rFonts w:ascii="Arial" w:hAnsi="Arial" w:cs="Arial"/>
          <w:lang w:val="en-US"/>
        </w:rPr>
        <w:t>glycemic</w:t>
      </w:r>
      <w:r w:rsidRPr="00A30B0F">
        <w:rPr>
          <w:rFonts w:ascii="Arial" w:hAnsi="Arial" w:cs="Arial"/>
          <w:lang w:val="en-US"/>
        </w:rPr>
        <w:t xml:space="preserve"> control in these </w:t>
      </w:r>
      <w:r w:rsidR="00EA5F01" w:rsidRPr="00A30B0F">
        <w:rPr>
          <w:rFonts w:ascii="Arial" w:hAnsi="Arial" w:cs="Arial"/>
          <w:lang w:val="en-US"/>
        </w:rPr>
        <w:t>individuals</w:t>
      </w:r>
      <w:r w:rsidRPr="00A30B0F">
        <w:rPr>
          <w:rFonts w:ascii="Arial" w:hAnsi="Arial" w:cs="Arial"/>
          <w:lang w:val="en-US"/>
        </w:rPr>
        <w:t xml:space="preserve"> include complications from systemic anticancer treatments (SACT) along with supportive medications to treat treatment side effects</w:t>
      </w:r>
      <w:r w:rsidR="0067418B" w:rsidRPr="00A30B0F">
        <w:rPr>
          <w:rFonts w:ascii="Arial" w:hAnsi="Arial" w:cs="Arial"/>
          <w:lang w:val="en-US"/>
        </w:rPr>
        <w:t>,</w:t>
      </w:r>
      <w:r w:rsidRPr="00A30B0F">
        <w:rPr>
          <w:rFonts w:ascii="Arial" w:hAnsi="Arial" w:cs="Arial"/>
          <w:lang w:val="en-US"/>
        </w:rPr>
        <w:t xml:space="preserve"> and symptoms of the underlying malignancy. This chapter aims to </w:t>
      </w:r>
      <w:r w:rsidR="00A4356B" w:rsidRPr="00A30B0F">
        <w:rPr>
          <w:rFonts w:ascii="Arial" w:hAnsi="Arial" w:cs="Arial"/>
          <w:lang w:val="en-US"/>
        </w:rPr>
        <w:t>summarize</w:t>
      </w:r>
      <w:r w:rsidRPr="00A30B0F">
        <w:rPr>
          <w:rFonts w:ascii="Arial" w:hAnsi="Arial" w:cs="Arial"/>
          <w:lang w:val="en-US"/>
        </w:rPr>
        <w:t xml:space="preserve"> the complex relationship between malignancy and DM, particularly the effects of SACT on </w:t>
      </w:r>
      <w:r w:rsidR="00A4356B" w:rsidRPr="00A30B0F">
        <w:rPr>
          <w:rFonts w:ascii="Arial" w:hAnsi="Arial" w:cs="Arial"/>
          <w:lang w:val="en-US"/>
        </w:rPr>
        <w:t>glycemic</w:t>
      </w:r>
      <w:r w:rsidRPr="00A30B0F">
        <w:rPr>
          <w:rFonts w:ascii="Arial" w:hAnsi="Arial" w:cs="Arial"/>
          <w:lang w:val="en-US"/>
        </w:rPr>
        <w:t xml:space="preserve"> control and risk of DM, as well as outlining management guidelines for DM in people with cancer. </w:t>
      </w:r>
    </w:p>
    <w:p w14:paraId="3A062BA5" w14:textId="77777777" w:rsidR="00C96EE5" w:rsidRPr="00A30B0F" w:rsidRDefault="00C96EE5" w:rsidP="00C96EE5">
      <w:pPr>
        <w:spacing w:after="0" w:line="276" w:lineRule="auto"/>
        <w:rPr>
          <w:rFonts w:ascii="Arial" w:hAnsi="Arial" w:cs="Arial"/>
          <w:lang w:val="en-US"/>
        </w:rPr>
      </w:pPr>
    </w:p>
    <w:p w14:paraId="087594F5" w14:textId="433A5475" w:rsidR="00002F76" w:rsidRPr="00A30B0F" w:rsidRDefault="00002F76" w:rsidP="00C96EE5">
      <w:pPr>
        <w:pStyle w:val="Heading1"/>
        <w:spacing w:before="0" w:line="276" w:lineRule="auto"/>
        <w:rPr>
          <w:rFonts w:ascii="Arial" w:hAnsi="Arial" w:cs="Arial"/>
          <w:sz w:val="22"/>
          <w:szCs w:val="22"/>
          <w:lang w:val="en-US"/>
        </w:rPr>
      </w:pPr>
      <w:r w:rsidRPr="00A30B0F">
        <w:rPr>
          <w:rFonts w:ascii="Arial" w:hAnsi="Arial" w:cs="Arial"/>
          <w:b/>
          <w:bCs/>
          <w:sz w:val="22"/>
          <w:szCs w:val="22"/>
          <w:lang w:val="en-US"/>
        </w:rPr>
        <w:t>D</w:t>
      </w:r>
      <w:r w:rsidR="0067418B" w:rsidRPr="00A30B0F">
        <w:rPr>
          <w:rFonts w:ascii="Arial" w:hAnsi="Arial" w:cs="Arial"/>
          <w:b/>
          <w:bCs/>
          <w:sz w:val="22"/>
          <w:szCs w:val="22"/>
          <w:lang w:val="en-US"/>
        </w:rPr>
        <w:t xml:space="preserve">IABETES/HYPERGLYCEMIA AND CANCER OUTCOMES                        </w:t>
      </w:r>
    </w:p>
    <w:p w14:paraId="3AE40F3A" w14:textId="77777777" w:rsidR="00C96EE5" w:rsidRPr="00A30B0F" w:rsidRDefault="00C96EE5" w:rsidP="00C96EE5">
      <w:pPr>
        <w:spacing w:after="0" w:line="276" w:lineRule="auto"/>
        <w:rPr>
          <w:rFonts w:ascii="Arial" w:hAnsi="Arial" w:cs="Arial"/>
          <w:lang w:val="en-US"/>
        </w:rPr>
      </w:pPr>
    </w:p>
    <w:p w14:paraId="21E0415D" w14:textId="4514755C" w:rsidR="00002F76" w:rsidRDefault="00002F76" w:rsidP="00C96EE5">
      <w:pPr>
        <w:spacing w:after="0" w:line="276" w:lineRule="auto"/>
        <w:rPr>
          <w:rFonts w:ascii="Arial" w:hAnsi="Arial" w:cs="Arial"/>
          <w:lang w:val="en-US"/>
        </w:rPr>
      </w:pPr>
      <w:r w:rsidRPr="00A30B0F">
        <w:rPr>
          <w:rFonts w:ascii="Arial" w:hAnsi="Arial" w:cs="Arial"/>
          <w:lang w:val="en-US"/>
        </w:rPr>
        <w:t xml:space="preserve">A number of observational studies have demonstrated that </w:t>
      </w:r>
      <w:r w:rsidR="00A4356B" w:rsidRPr="00A30B0F">
        <w:rPr>
          <w:rFonts w:ascii="Arial" w:hAnsi="Arial" w:cs="Arial"/>
          <w:lang w:val="en-US"/>
        </w:rPr>
        <w:t>hyperglycemia</w:t>
      </w:r>
      <w:r w:rsidRPr="00A30B0F">
        <w:rPr>
          <w:rFonts w:ascii="Arial" w:hAnsi="Arial" w:cs="Arial"/>
          <w:lang w:val="en-US"/>
        </w:rPr>
        <w:t xml:space="preserve"> is associated with poorer overall survival (OS) and increased risk of disease recurrence in a number of malignancies, solid and </w:t>
      </w:r>
      <w:r w:rsidR="00A4356B" w:rsidRPr="00A30B0F">
        <w:rPr>
          <w:rFonts w:ascii="Arial" w:hAnsi="Arial" w:cs="Arial"/>
          <w:lang w:val="en-US"/>
        </w:rPr>
        <w:t>hematological</w:t>
      </w:r>
      <w:r w:rsidRPr="00A30B0F">
        <w:rPr>
          <w:rFonts w:ascii="Arial" w:hAnsi="Arial" w:cs="Arial"/>
          <w:lang w:val="en-US"/>
        </w:rPr>
        <w:t xml:space="preserve"> </w:t>
      </w:r>
      <w:r w:rsidR="0067418B" w:rsidRPr="00A30B0F">
        <w:rPr>
          <w:rFonts w:ascii="Arial" w:hAnsi="Arial" w:cs="Arial"/>
          <w:lang w:val="en-US"/>
        </w:rPr>
        <w:t>(</w:t>
      </w:r>
      <w:r w:rsidRPr="00A30B0F">
        <w:rPr>
          <w:rFonts w:ascii="Arial" w:hAnsi="Arial" w:cs="Arial"/>
          <w:noProof/>
          <w:lang w:val="en-US"/>
        </w:rPr>
        <w:t>10-17</w:t>
      </w:r>
      <w:r w:rsidR="0067418B" w:rsidRPr="00A30B0F">
        <w:rPr>
          <w:rFonts w:ascii="Arial" w:hAnsi="Arial" w:cs="Arial"/>
          <w:noProof/>
          <w:lang w:val="en-US"/>
        </w:rPr>
        <w:t>)</w:t>
      </w:r>
      <w:r w:rsidRPr="00A30B0F">
        <w:rPr>
          <w:rFonts w:ascii="Arial" w:hAnsi="Arial" w:cs="Arial"/>
          <w:lang w:val="en-US"/>
        </w:rPr>
        <w:t xml:space="preserve">, with a number of individual studies, and larger meta-analyses supporting this. One meta-analysis reviewed 12 studies comprising 9,872 people with a diagnosis of cancer without known diabetes. Individuals with </w:t>
      </w:r>
      <w:r w:rsidR="00A4356B" w:rsidRPr="00A30B0F">
        <w:rPr>
          <w:rFonts w:ascii="Arial" w:hAnsi="Arial" w:cs="Arial"/>
          <w:lang w:val="en-US"/>
        </w:rPr>
        <w:t>hyperglycemia</w:t>
      </w:r>
      <w:r w:rsidRPr="00A30B0F">
        <w:rPr>
          <w:rFonts w:ascii="Arial" w:hAnsi="Arial" w:cs="Arial"/>
          <w:lang w:val="en-US"/>
        </w:rPr>
        <w:t xml:space="preserve"> were found to have significantly worse disease-free survival (DFS) (hazard ratio (HR) 1.98, 95% confidence interval (CI) 1.20-3.27) compared to those without, as well as worse OS (HR 2.05, 95% CI 1.67-2.551) </w:t>
      </w:r>
      <w:r w:rsidR="0067418B" w:rsidRPr="00A30B0F">
        <w:rPr>
          <w:rFonts w:ascii="Arial" w:hAnsi="Arial" w:cs="Arial"/>
          <w:lang w:val="en-US"/>
        </w:rPr>
        <w:t>(</w:t>
      </w:r>
      <w:r w:rsidRPr="00A30B0F">
        <w:rPr>
          <w:rFonts w:ascii="Arial" w:hAnsi="Arial" w:cs="Arial"/>
          <w:noProof/>
          <w:lang w:val="en-US"/>
        </w:rPr>
        <w:t>18</w:t>
      </w:r>
      <w:r w:rsidR="0067418B" w:rsidRPr="00A30B0F">
        <w:rPr>
          <w:rFonts w:ascii="Arial" w:hAnsi="Arial" w:cs="Arial"/>
          <w:noProof/>
          <w:lang w:val="en-US"/>
        </w:rPr>
        <w:t>)</w:t>
      </w:r>
      <w:r w:rsidRPr="00A30B0F">
        <w:rPr>
          <w:rFonts w:ascii="Arial" w:hAnsi="Arial" w:cs="Arial"/>
          <w:lang w:val="en-US"/>
        </w:rPr>
        <w:t xml:space="preserve">. A further meta-analysis of 4,241 patients with pancreatic cancer suggested that those </w:t>
      </w:r>
      <w:r w:rsidR="00EA5F01" w:rsidRPr="00A30B0F">
        <w:rPr>
          <w:rFonts w:ascii="Arial" w:hAnsi="Arial" w:cs="Arial"/>
          <w:lang w:val="en-US"/>
        </w:rPr>
        <w:t>individuals</w:t>
      </w:r>
      <w:r w:rsidRPr="00A30B0F">
        <w:rPr>
          <w:rFonts w:ascii="Arial" w:hAnsi="Arial" w:cs="Arial"/>
          <w:lang w:val="en-US"/>
        </w:rPr>
        <w:t xml:space="preserve"> with concurrent DM (1,034) have poorer OS (HR 1.16, 95% CI 1.08-1.25) and a higher risk of on-treatment death than those without concurrent DM </w:t>
      </w:r>
      <w:r w:rsidR="0067418B" w:rsidRPr="00A30B0F">
        <w:rPr>
          <w:rFonts w:ascii="Arial" w:hAnsi="Arial" w:cs="Arial"/>
          <w:lang w:val="en-US"/>
        </w:rPr>
        <w:t>(</w:t>
      </w:r>
      <w:r w:rsidRPr="00A30B0F">
        <w:rPr>
          <w:rFonts w:ascii="Arial" w:hAnsi="Arial" w:cs="Arial"/>
          <w:noProof/>
          <w:lang w:val="en-US"/>
        </w:rPr>
        <w:t>19</w:t>
      </w:r>
      <w:r w:rsidR="0067418B" w:rsidRPr="00A30B0F">
        <w:rPr>
          <w:rFonts w:ascii="Arial" w:hAnsi="Arial" w:cs="Arial"/>
          <w:noProof/>
          <w:lang w:val="en-US"/>
        </w:rPr>
        <w:t>)</w:t>
      </w:r>
      <w:r w:rsidRPr="00A30B0F">
        <w:rPr>
          <w:rFonts w:ascii="Arial" w:hAnsi="Arial" w:cs="Arial"/>
          <w:lang w:val="en-US"/>
        </w:rPr>
        <w:t xml:space="preserve">. Furthermore, in a meta-analysis of 8 studies in breast cancer, concurrent DM was found to confer a greater risk of death, and a later stage at presentation, as well as impact on the treatment given </w:t>
      </w:r>
      <w:r w:rsidR="0067418B" w:rsidRPr="00A30B0F">
        <w:rPr>
          <w:rFonts w:ascii="Arial" w:hAnsi="Arial" w:cs="Arial"/>
          <w:lang w:val="en-US"/>
        </w:rPr>
        <w:t>(</w:t>
      </w:r>
      <w:r w:rsidRPr="00A30B0F">
        <w:rPr>
          <w:rFonts w:ascii="Arial" w:hAnsi="Arial" w:cs="Arial"/>
          <w:noProof/>
          <w:lang w:val="en-US"/>
        </w:rPr>
        <w:t>20</w:t>
      </w:r>
      <w:r w:rsidR="0067418B" w:rsidRPr="00A30B0F">
        <w:rPr>
          <w:rFonts w:ascii="Arial" w:hAnsi="Arial" w:cs="Arial"/>
          <w:noProof/>
          <w:lang w:val="en-US"/>
        </w:rPr>
        <w:t>)</w:t>
      </w:r>
      <w:r w:rsidRPr="00A30B0F">
        <w:rPr>
          <w:rFonts w:ascii="Arial" w:hAnsi="Arial" w:cs="Arial"/>
          <w:lang w:val="en-US"/>
        </w:rPr>
        <w:t xml:space="preserve">. People with DM also have a higher prevalence of oral cancers, as well as a higher mortality from these cancers </w:t>
      </w:r>
      <w:r w:rsidR="0067418B" w:rsidRPr="00A30B0F">
        <w:rPr>
          <w:rFonts w:ascii="Arial" w:hAnsi="Arial" w:cs="Arial"/>
          <w:lang w:val="en-US"/>
        </w:rPr>
        <w:t>(</w:t>
      </w:r>
      <w:r w:rsidRPr="00A30B0F">
        <w:rPr>
          <w:rFonts w:ascii="Arial" w:hAnsi="Arial" w:cs="Arial"/>
          <w:noProof/>
          <w:lang w:val="en-US"/>
        </w:rPr>
        <w:t>21</w:t>
      </w:r>
      <w:r w:rsidR="0067418B" w:rsidRPr="00A30B0F">
        <w:rPr>
          <w:rFonts w:ascii="Arial" w:hAnsi="Arial" w:cs="Arial"/>
          <w:noProof/>
          <w:lang w:val="en-US"/>
        </w:rPr>
        <w:t>)</w:t>
      </w:r>
      <w:r w:rsidRPr="00A30B0F">
        <w:rPr>
          <w:rFonts w:ascii="Arial" w:hAnsi="Arial" w:cs="Arial"/>
          <w:lang w:val="en-US"/>
        </w:rPr>
        <w:t xml:space="preserve">. </w:t>
      </w:r>
    </w:p>
    <w:p w14:paraId="3CE725FC" w14:textId="77777777" w:rsidR="00754BE7" w:rsidRPr="00A30B0F" w:rsidRDefault="00754BE7" w:rsidP="00C96EE5">
      <w:pPr>
        <w:spacing w:after="0" w:line="276" w:lineRule="auto"/>
        <w:rPr>
          <w:rFonts w:ascii="Arial" w:hAnsi="Arial" w:cs="Arial"/>
          <w:lang w:val="en-US"/>
        </w:rPr>
      </w:pPr>
    </w:p>
    <w:p w14:paraId="333855C4" w14:textId="07CE53FB" w:rsidR="00002F76" w:rsidRPr="00A30B0F" w:rsidRDefault="00002F76" w:rsidP="00C96EE5">
      <w:pPr>
        <w:spacing w:after="0" w:line="276" w:lineRule="auto"/>
        <w:rPr>
          <w:rFonts w:ascii="Arial" w:hAnsi="Arial" w:cs="Arial"/>
          <w:lang w:val="en-US"/>
        </w:rPr>
      </w:pPr>
      <w:r w:rsidRPr="00A30B0F">
        <w:rPr>
          <w:rFonts w:ascii="Arial" w:hAnsi="Arial" w:cs="Arial"/>
          <w:lang w:val="en-US"/>
        </w:rPr>
        <w:t xml:space="preserve">In addition to this, a number of preclinical studies have suggested that </w:t>
      </w:r>
      <w:r w:rsidR="00A4356B" w:rsidRPr="00A30B0F">
        <w:rPr>
          <w:rFonts w:ascii="Arial" w:hAnsi="Arial" w:cs="Arial"/>
          <w:lang w:val="en-US"/>
        </w:rPr>
        <w:t>hyperglycemia</w:t>
      </w:r>
      <w:r w:rsidRPr="00A30B0F">
        <w:rPr>
          <w:rFonts w:ascii="Arial" w:hAnsi="Arial" w:cs="Arial"/>
          <w:lang w:val="en-US"/>
        </w:rPr>
        <w:t xml:space="preserve"> may specifically attenuate the efficacy of chemotherapy in people with cancer with or without diabetes, which could in part account for these observations </w:t>
      </w:r>
      <w:r w:rsidR="00C96EE5" w:rsidRPr="00A30B0F">
        <w:rPr>
          <w:rFonts w:ascii="Arial" w:hAnsi="Arial" w:cs="Arial"/>
          <w:lang w:val="en-US"/>
        </w:rPr>
        <w:t>(</w:t>
      </w:r>
      <w:r w:rsidRPr="00A30B0F">
        <w:rPr>
          <w:rFonts w:ascii="Arial" w:hAnsi="Arial" w:cs="Arial"/>
          <w:noProof/>
          <w:lang w:val="en-US"/>
        </w:rPr>
        <w:t>22</w:t>
      </w:r>
      <w:r w:rsidR="00C96EE5" w:rsidRPr="00A30B0F">
        <w:rPr>
          <w:rFonts w:ascii="Arial" w:hAnsi="Arial" w:cs="Arial"/>
          <w:noProof/>
          <w:lang w:val="en-US"/>
        </w:rPr>
        <w:t>)</w:t>
      </w:r>
      <w:r w:rsidRPr="00A30B0F">
        <w:rPr>
          <w:rFonts w:ascii="Arial" w:hAnsi="Arial" w:cs="Arial"/>
          <w:lang w:val="en-US"/>
        </w:rPr>
        <w:t xml:space="preserve">. For example, </w:t>
      </w:r>
      <w:r w:rsidR="00A4356B" w:rsidRPr="00A30B0F">
        <w:rPr>
          <w:rFonts w:ascii="Arial" w:hAnsi="Arial" w:cs="Arial"/>
          <w:lang w:val="en-US"/>
        </w:rPr>
        <w:t>hyperglycemia</w:t>
      </w:r>
      <w:r w:rsidRPr="00A30B0F">
        <w:rPr>
          <w:rFonts w:ascii="Arial" w:hAnsi="Arial" w:cs="Arial"/>
          <w:lang w:val="en-US"/>
        </w:rPr>
        <w:t xml:space="preserve"> may attenuate chemotherapy-induced reactive oxygen species (ROS) production, which in-turn can diminish the efficacy of treatment </w:t>
      </w:r>
      <w:r w:rsidR="00C96EE5" w:rsidRPr="00A30B0F">
        <w:rPr>
          <w:rFonts w:ascii="Arial" w:hAnsi="Arial" w:cs="Arial"/>
          <w:lang w:val="en-US"/>
        </w:rPr>
        <w:t>(</w:t>
      </w:r>
      <w:r w:rsidRPr="00A30B0F">
        <w:rPr>
          <w:rFonts w:ascii="Arial" w:hAnsi="Arial" w:cs="Arial"/>
          <w:noProof/>
          <w:lang w:val="en-US"/>
        </w:rPr>
        <w:t>23</w:t>
      </w:r>
      <w:r w:rsidR="00C96EE5" w:rsidRPr="00A30B0F">
        <w:rPr>
          <w:rFonts w:ascii="Arial" w:hAnsi="Arial" w:cs="Arial"/>
          <w:noProof/>
          <w:lang w:val="en-US"/>
        </w:rPr>
        <w:t>)</w:t>
      </w:r>
      <w:r w:rsidRPr="00A30B0F">
        <w:rPr>
          <w:rFonts w:ascii="Arial" w:hAnsi="Arial" w:cs="Arial"/>
          <w:lang w:val="en-US"/>
        </w:rPr>
        <w:t xml:space="preserve">. In vivo, there are some small series that have demonstrated an association between </w:t>
      </w:r>
      <w:r w:rsidR="00A4356B" w:rsidRPr="00A30B0F">
        <w:rPr>
          <w:rFonts w:ascii="Arial" w:hAnsi="Arial" w:cs="Arial"/>
          <w:lang w:val="en-US"/>
        </w:rPr>
        <w:t>hyperglycemia</w:t>
      </w:r>
      <w:r w:rsidRPr="00A30B0F">
        <w:rPr>
          <w:rFonts w:ascii="Arial" w:hAnsi="Arial" w:cs="Arial"/>
          <w:lang w:val="en-US"/>
        </w:rPr>
        <w:t xml:space="preserve"> and resistance to chemotherapy. A clinical study of 88 </w:t>
      </w:r>
      <w:r w:rsidR="00EA5F01" w:rsidRPr="00A30B0F">
        <w:rPr>
          <w:rFonts w:ascii="Arial" w:hAnsi="Arial" w:cs="Arial"/>
          <w:lang w:val="en-US"/>
        </w:rPr>
        <w:t>people</w:t>
      </w:r>
      <w:r w:rsidRPr="00A30B0F">
        <w:rPr>
          <w:rFonts w:ascii="Arial" w:hAnsi="Arial" w:cs="Arial"/>
          <w:lang w:val="en-US"/>
        </w:rPr>
        <w:t xml:space="preserve"> with </w:t>
      </w:r>
      <w:r w:rsidR="00A4356B" w:rsidRPr="00A30B0F">
        <w:rPr>
          <w:rFonts w:ascii="Arial" w:hAnsi="Arial" w:cs="Arial"/>
          <w:lang w:val="en-US"/>
        </w:rPr>
        <w:t>estrogen</w:t>
      </w:r>
      <w:r w:rsidRPr="00A30B0F">
        <w:rPr>
          <w:rFonts w:ascii="Arial" w:hAnsi="Arial" w:cs="Arial"/>
          <w:lang w:val="en-US"/>
        </w:rPr>
        <w:t xml:space="preserve">-receptor positive breast cancer demonstrated impaired glucose tolerance significantly correlated with disease progression in those patients receiving chemotherapy </w:t>
      </w:r>
      <w:r w:rsidR="00C96EE5" w:rsidRPr="00A30B0F">
        <w:rPr>
          <w:rFonts w:ascii="Arial" w:hAnsi="Arial" w:cs="Arial"/>
          <w:lang w:val="en-US"/>
        </w:rPr>
        <w:t>(</w:t>
      </w:r>
      <w:r w:rsidRPr="00A30B0F">
        <w:rPr>
          <w:rFonts w:ascii="Arial" w:hAnsi="Arial" w:cs="Arial"/>
          <w:noProof/>
          <w:lang w:val="en-US"/>
        </w:rPr>
        <w:t>24</w:t>
      </w:r>
      <w:r w:rsidR="00C96EE5" w:rsidRPr="00A30B0F">
        <w:rPr>
          <w:rFonts w:ascii="Arial" w:hAnsi="Arial" w:cs="Arial"/>
          <w:noProof/>
          <w:lang w:val="en-US"/>
        </w:rPr>
        <w:t>)</w:t>
      </w:r>
      <w:r w:rsidRPr="00A30B0F">
        <w:rPr>
          <w:rFonts w:ascii="Arial" w:hAnsi="Arial" w:cs="Arial"/>
          <w:lang w:val="en-US"/>
        </w:rPr>
        <w:t xml:space="preserve">. Furthermore, high blood glucose levels irrespective of an underlying DM diagnosis, were shown to significantly enhance oxaliplatin resistance in </w:t>
      </w:r>
      <w:r w:rsidR="00EA5F01" w:rsidRPr="00A30B0F">
        <w:rPr>
          <w:rFonts w:ascii="Arial" w:hAnsi="Arial" w:cs="Arial"/>
          <w:lang w:val="en-US"/>
        </w:rPr>
        <w:t>individuals</w:t>
      </w:r>
      <w:r w:rsidRPr="00A30B0F">
        <w:rPr>
          <w:rFonts w:ascii="Arial" w:hAnsi="Arial" w:cs="Arial"/>
          <w:lang w:val="en-US"/>
        </w:rPr>
        <w:t xml:space="preserve"> with stage III colorectal cancer receiving adjuvant chemotherapy</w:t>
      </w:r>
      <w:r w:rsidRPr="00A30B0F">
        <w:rPr>
          <w:rFonts w:ascii="Arial" w:hAnsi="Arial" w:cs="Arial"/>
          <w:noProof/>
          <w:lang w:val="en-US"/>
        </w:rPr>
        <w:t xml:space="preserve"> </w:t>
      </w:r>
      <w:r w:rsidR="00C96EE5" w:rsidRPr="00A30B0F">
        <w:rPr>
          <w:rFonts w:ascii="Arial" w:hAnsi="Arial" w:cs="Arial"/>
          <w:noProof/>
          <w:lang w:val="en-US"/>
        </w:rPr>
        <w:t>(</w:t>
      </w:r>
      <w:r w:rsidRPr="00A30B0F">
        <w:rPr>
          <w:rFonts w:ascii="Arial" w:hAnsi="Arial" w:cs="Arial"/>
          <w:noProof/>
          <w:lang w:val="en-US"/>
        </w:rPr>
        <w:t>22</w:t>
      </w:r>
      <w:r w:rsidR="00C96EE5" w:rsidRPr="00A30B0F">
        <w:rPr>
          <w:rFonts w:ascii="Arial" w:hAnsi="Arial" w:cs="Arial"/>
          <w:noProof/>
          <w:lang w:val="en-US"/>
        </w:rPr>
        <w:t>)</w:t>
      </w:r>
      <w:r w:rsidRPr="00A30B0F">
        <w:rPr>
          <w:rFonts w:ascii="Arial" w:hAnsi="Arial" w:cs="Arial"/>
          <w:lang w:val="en-US"/>
        </w:rPr>
        <w:t xml:space="preserve">. Studies such as these highlight the importance of adequate </w:t>
      </w:r>
      <w:r w:rsidR="00A4356B" w:rsidRPr="00A30B0F">
        <w:rPr>
          <w:rFonts w:ascii="Arial" w:hAnsi="Arial" w:cs="Arial"/>
          <w:lang w:val="en-US"/>
        </w:rPr>
        <w:t>glycemic</w:t>
      </w:r>
      <w:r w:rsidRPr="00A30B0F">
        <w:rPr>
          <w:rFonts w:ascii="Arial" w:hAnsi="Arial" w:cs="Arial"/>
          <w:lang w:val="en-US"/>
        </w:rPr>
        <w:t xml:space="preserve"> control during treatment for cancer to potentially improve outcomes, although these </w:t>
      </w:r>
      <w:r w:rsidR="00E91A80" w:rsidRPr="00A30B0F">
        <w:rPr>
          <w:rFonts w:ascii="Arial" w:hAnsi="Arial" w:cs="Arial"/>
          <w:lang w:val="en-US"/>
        </w:rPr>
        <w:t xml:space="preserve">data </w:t>
      </w:r>
      <w:r w:rsidRPr="00A30B0F">
        <w:rPr>
          <w:rFonts w:ascii="Arial" w:hAnsi="Arial" w:cs="Arial"/>
          <w:lang w:val="en-US"/>
        </w:rPr>
        <w:t xml:space="preserve">are mainly from observational </w:t>
      </w:r>
      <w:r w:rsidR="00E91A80" w:rsidRPr="00A30B0F">
        <w:rPr>
          <w:rFonts w:ascii="Arial" w:hAnsi="Arial" w:cs="Arial"/>
          <w:lang w:val="en-US"/>
        </w:rPr>
        <w:t>studies</w:t>
      </w:r>
      <w:r w:rsidRPr="00A30B0F">
        <w:rPr>
          <w:rFonts w:ascii="Arial" w:hAnsi="Arial" w:cs="Arial"/>
          <w:lang w:val="en-US"/>
        </w:rPr>
        <w:t>, with interventional studies lacking.</w:t>
      </w:r>
    </w:p>
    <w:p w14:paraId="133F16E6" w14:textId="77777777" w:rsidR="00002F76" w:rsidRPr="00A30B0F" w:rsidRDefault="00002F76" w:rsidP="00C96EE5">
      <w:pPr>
        <w:spacing w:after="0" w:line="276" w:lineRule="auto"/>
        <w:rPr>
          <w:rFonts w:ascii="Arial" w:hAnsi="Arial" w:cs="Arial"/>
          <w:lang w:val="en-US"/>
        </w:rPr>
      </w:pPr>
    </w:p>
    <w:p w14:paraId="765E2F19" w14:textId="5D844D8D" w:rsidR="00002F76" w:rsidRPr="00A30B0F" w:rsidRDefault="00002F76" w:rsidP="00C96EE5">
      <w:pPr>
        <w:pStyle w:val="Heading2"/>
        <w:spacing w:before="0" w:after="0" w:line="276" w:lineRule="auto"/>
        <w:rPr>
          <w:rFonts w:ascii="Arial" w:hAnsi="Arial" w:cs="Arial"/>
          <w:color w:val="2E74B5"/>
          <w:sz w:val="22"/>
          <w:szCs w:val="22"/>
          <w:lang w:val="en-US"/>
        </w:rPr>
      </w:pPr>
      <w:r w:rsidRPr="00A30B0F">
        <w:rPr>
          <w:rFonts w:ascii="Arial" w:hAnsi="Arial" w:cs="Arial"/>
          <w:color w:val="2E74B5"/>
          <w:sz w:val="22"/>
          <w:szCs w:val="22"/>
          <w:lang w:val="en-US"/>
        </w:rPr>
        <w:lastRenderedPageBreak/>
        <w:t>E</w:t>
      </w:r>
      <w:r w:rsidR="00C96EE5" w:rsidRPr="00A30B0F">
        <w:rPr>
          <w:rFonts w:ascii="Arial" w:hAnsi="Arial" w:cs="Arial"/>
          <w:color w:val="2E74B5"/>
          <w:sz w:val="22"/>
          <w:szCs w:val="22"/>
          <w:lang w:val="en-US"/>
        </w:rPr>
        <w:t xml:space="preserve">FFECT OF DIABETES OR HYPERGLYCEMIA ON QUALITY OF LIFE IN PEOPLE WITH CANCER </w:t>
      </w:r>
    </w:p>
    <w:p w14:paraId="738A4F54" w14:textId="77777777" w:rsidR="00C96EE5" w:rsidRPr="00A30B0F" w:rsidRDefault="00C96EE5" w:rsidP="00C96EE5">
      <w:pPr>
        <w:spacing w:after="0" w:line="276" w:lineRule="auto"/>
        <w:rPr>
          <w:rFonts w:ascii="Arial" w:hAnsi="Arial" w:cs="Arial"/>
          <w:lang w:val="en-US"/>
        </w:rPr>
      </w:pPr>
    </w:p>
    <w:p w14:paraId="1641BF1B" w14:textId="57428CAB" w:rsidR="00002F76" w:rsidRPr="00A30B0F" w:rsidRDefault="00002F76" w:rsidP="00C96EE5">
      <w:pPr>
        <w:spacing w:after="0" w:line="276" w:lineRule="auto"/>
        <w:rPr>
          <w:rFonts w:ascii="Arial" w:hAnsi="Arial" w:cs="Arial"/>
          <w:color w:val="FF0000"/>
          <w:shd w:val="clear" w:color="auto" w:fill="FFFFFF"/>
          <w:lang w:val="en-US"/>
        </w:rPr>
      </w:pPr>
      <w:r w:rsidRPr="00A30B0F">
        <w:rPr>
          <w:rFonts w:ascii="Arial" w:hAnsi="Arial" w:cs="Arial"/>
          <w:lang w:val="en-US"/>
        </w:rPr>
        <w:t xml:space="preserve">Cancer-related symptoms and SACT side effects, such as fatigue, nausea, anorexia and pain can be debilitating to patients. When confounded by symptoms of </w:t>
      </w:r>
      <w:r w:rsidR="00A4356B" w:rsidRPr="00A30B0F">
        <w:rPr>
          <w:rFonts w:ascii="Arial" w:hAnsi="Arial" w:cs="Arial"/>
          <w:lang w:val="en-US"/>
        </w:rPr>
        <w:t>hyperglycemia</w:t>
      </w:r>
      <w:r w:rsidRPr="00A30B0F">
        <w:rPr>
          <w:rFonts w:ascii="Arial" w:hAnsi="Arial" w:cs="Arial"/>
          <w:lang w:val="en-US"/>
        </w:rPr>
        <w:t xml:space="preserve">, the impact upon </w:t>
      </w:r>
      <w:r w:rsidR="00EA5F01" w:rsidRPr="00A30B0F">
        <w:rPr>
          <w:rFonts w:ascii="Arial" w:hAnsi="Arial" w:cs="Arial"/>
          <w:lang w:val="en-US"/>
        </w:rPr>
        <w:t>an individuals’</w:t>
      </w:r>
      <w:r w:rsidRPr="00A30B0F">
        <w:rPr>
          <w:rFonts w:ascii="Arial" w:hAnsi="Arial" w:cs="Arial"/>
          <w:lang w:val="en-US"/>
        </w:rPr>
        <w:t xml:space="preserve"> quality of life can be significant </w:t>
      </w:r>
      <w:r w:rsidR="002A0323" w:rsidRPr="00A30B0F">
        <w:rPr>
          <w:rFonts w:ascii="Arial" w:hAnsi="Arial" w:cs="Arial"/>
          <w:lang w:val="en-US"/>
        </w:rPr>
        <w:t>(</w:t>
      </w:r>
      <w:r w:rsidRPr="00A30B0F">
        <w:rPr>
          <w:rFonts w:ascii="Arial" w:hAnsi="Arial" w:cs="Arial"/>
          <w:noProof/>
          <w:lang w:val="en-US"/>
        </w:rPr>
        <w:t>25</w:t>
      </w:r>
      <w:r w:rsidR="002A0323" w:rsidRPr="00A30B0F">
        <w:rPr>
          <w:rFonts w:ascii="Arial" w:hAnsi="Arial" w:cs="Arial"/>
          <w:noProof/>
          <w:lang w:val="en-US"/>
        </w:rPr>
        <w:t>)</w:t>
      </w:r>
      <w:r w:rsidRPr="00A30B0F">
        <w:rPr>
          <w:rFonts w:ascii="Arial" w:hAnsi="Arial" w:cs="Arial"/>
          <w:lang w:val="en-US"/>
        </w:rPr>
        <w:t xml:space="preserve">. Furthermore, the impact of a cancer diagnosis, as well as treatment and cancer-related symptoms can have major negative impacts on diabetes self-care </w:t>
      </w:r>
      <w:r w:rsidR="002A0323" w:rsidRPr="00A30B0F">
        <w:rPr>
          <w:rFonts w:ascii="Arial" w:hAnsi="Arial" w:cs="Arial"/>
          <w:lang w:val="en-US"/>
        </w:rPr>
        <w:t>(</w:t>
      </w:r>
      <w:r w:rsidRPr="00A30B0F">
        <w:rPr>
          <w:rFonts w:ascii="Arial" w:hAnsi="Arial" w:cs="Arial"/>
          <w:noProof/>
          <w:lang w:val="en-US"/>
        </w:rPr>
        <w:t>26</w:t>
      </w:r>
      <w:r w:rsidR="002A0323" w:rsidRPr="00A30B0F">
        <w:rPr>
          <w:rFonts w:ascii="Arial" w:hAnsi="Arial" w:cs="Arial"/>
          <w:noProof/>
          <w:lang w:val="en-US"/>
        </w:rPr>
        <w:t>)</w:t>
      </w:r>
      <w:r w:rsidRPr="00A30B0F">
        <w:rPr>
          <w:rFonts w:ascii="Arial" w:hAnsi="Arial" w:cs="Arial"/>
          <w:lang w:val="en-US"/>
        </w:rPr>
        <w:t xml:space="preserve">, with data suggesting that adherence to glucose lowering drugs often decreases in individuals following a cancer diagnosis </w:t>
      </w:r>
      <w:r w:rsidR="002A0323" w:rsidRPr="00A30B0F">
        <w:rPr>
          <w:rFonts w:ascii="Arial" w:hAnsi="Arial" w:cs="Arial"/>
          <w:lang w:val="en-US"/>
        </w:rPr>
        <w:t>(</w:t>
      </w:r>
      <w:r w:rsidRPr="00A30B0F">
        <w:rPr>
          <w:rFonts w:ascii="Arial" w:hAnsi="Arial" w:cs="Arial"/>
          <w:noProof/>
          <w:lang w:val="en-US"/>
        </w:rPr>
        <w:t>27</w:t>
      </w:r>
      <w:r w:rsidR="002A0323" w:rsidRPr="00A30B0F">
        <w:rPr>
          <w:rFonts w:ascii="Arial" w:hAnsi="Arial" w:cs="Arial"/>
          <w:noProof/>
          <w:lang w:val="en-US"/>
        </w:rPr>
        <w:t>)</w:t>
      </w:r>
      <w:r w:rsidRPr="00A30B0F">
        <w:rPr>
          <w:rFonts w:ascii="Arial" w:hAnsi="Arial" w:cs="Arial"/>
          <w:noProof/>
          <w:lang w:val="en-US"/>
        </w:rPr>
        <w:t>.</w:t>
      </w:r>
      <w:r w:rsidRPr="00A30B0F">
        <w:rPr>
          <w:rFonts w:ascii="Arial" w:hAnsi="Arial" w:cs="Arial"/>
          <w:lang w:val="en-US"/>
        </w:rPr>
        <w:t xml:space="preserve"> A cancer diagnosis can also have financial and social impacts upon individuals, affecting access to healthy food and outpatient diabetes services, resulting in lower quality of life and a higher symptom burden </w:t>
      </w:r>
      <w:r w:rsidR="002A0323" w:rsidRPr="00A30B0F">
        <w:rPr>
          <w:rFonts w:ascii="Arial" w:hAnsi="Arial" w:cs="Arial"/>
          <w:lang w:val="en-US"/>
        </w:rPr>
        <w:t>(</w:t>
      </w:r>
      <w:r w:rsidRPr="00A30B0F">
        <w:rPr>
          <w:rFonts w:ascii="Arial" w:hAnsi="Arial" w:cs="Arial"/>
          <w:noProof/>
          <w:lang w:val="en-US"/>
        </w:rPr>
        <w:t>28</w:t>
      </w:r>
      <w:r w:rsidR="002A0323" w:rsidRPr="00A30B0F">
        <w:rPr>
          <w:rFonts w:ascii="Arial" w:hAnsi="Arial" w:cs="Arial"/>
          <w:noProof/>
          <w:lang w:val="en-US"/>
        </w:rPr>
        <w:t>)</w:t>
      </w:r>
      <w:r w:rsidRPr="00A30B0F">
        <w:rPr>
          <w:rFonts w:ascii="Arial" w:hAnsi="Arial" w:cs="Arial"/>
          <w:lang w:val="en-US"/>
        </w:rPr>
        <w:t xml:space="preserve">. A systematic review of 10 studies, demonstrated poorer patient reported outcomes (PROs) in those diagnosed with both cancer and DM compared to having either one of these diseases alone </w:t>
      </w:r>
      <w:r w:rsidR="002A0323" w:rsidRPr="00A30B0F">
        <w:rPr>
          <w:rFonts w:ascii="Arial" w:hAnsi="Arial" w:cs="Arial"/>
          <w:lang w:val="en-US"/>
        </w:rPr>
        <w:t>(</w:t>
      </w:r>
      <w:r w:rsidRPr="00A30B0F">
        <w:rPr>
          <w:rFonts w:ascii="Arial" w:hAnsi="Arial" w:cs="Arial"/>
          <w:noProof/>
          <w:lang w:val="en-US"/>
        </w:rPr>
        <w:t>29</w:t>
      </w:r>
      <w:r w:rsidR="002A0323" w:rsidRPr="00A30B0F">
        <w:rPr>
          <w:rFonts w:ascii="Arial" w:hAnsi="Arial" w:cs="Arial"/>
          <w:noProof/>
          <w:lang w:val="en-US"/>
        </w:rPr>
        <w:t>)</w:t>
      </w:r>
      <w:r w:rsidRPr="00A30B0F">
        <w:rPr>
          <w:rFonts w:ascii="Arial" w:hAnsi="Arial" w:cs="Arial"/>
          <w:lang w:val="en-US"/>
        </w:rPr>
        <w:t xml:space="preserve">. </w:t>
      </w:r>
    </w:p>
    <w:p w14:paraId="734D2D5F" w14:textId="77777777" w:rsidR="00002F76" w:rsidRPr="00A30B0F" w:rsidRDefault="00002F76" w:rsidP="00C96EE5">
      <w:pPr>
        <w:spacing w:after="0" w:line="276" w:lineRule="auto"/>
        <w:rPr>
          <w:rFonts w:ascii="Arial" w:hAnsi="Arial" w:cs="Arial"/>
          <w:lang w:val="en-US"/>
        </w:rPr>
      </w:pPr>
    </w:p>
    <w:p w14:paraId="72D2890C" w14:textId="5FD81705" w:rsidR="00002F76" w:rsidRPr="00A30B0F" w:rsidRDefault="00002F76" w:rsidP="00C96EE5">
      <w:pPr>
        <w:pStyle w:val="Heading1"/>
        <w:spacing w:before="0" w:line="276" w:lineRule="auto"/>
        <w:rPr>
          <w:rFonts w:ascii="Arial" w:hAnsi="Arial" w:cs="Arial"/>
          <w:b/>
          <w:bCs/>
          <w:sz w:val="22"/>
          <w:szCs w:val="22"/>
          <w:lang w:val="en-US"/>
        </w:rPr>
      </w:pPr>
      <w:r w:rsidRPr="00A30B0F">
        <w:rPr>
          <w:rFonts w:ascii="Arial" w:hAnsi="Arial" w:cs="Arial"/>
          <w:b/>
          <w:bCs/>
          <w:sz w:val="22"/>
          <w:szCs w:val="22"/>
          <w:lang w:val="en-US"/>
        </w:rPr>
        <w:t>D</w:t>
      </w:r>
      <w:r w:rsidR="002A0323" w:rsidRPr="00A30B0F">
        <w:rPr>
          <w:rFonts w:ascii="Arial" w:hAnsi="Arial" w:cs="Arial"/>
          <w:b/>
          <w:bCs/>
          <w:sz w:val="22"/>
          <w:szCs w:val="22"/>
          <w:lang w:val="en-US"/>
        </w:rPr>
        <w:t xml:space="preserve">IABETES AND RISK OF TREATMENT RELATED TOXICITY </w:t>
      </w:r>
    </w:p>
    <w:p w14:paraId="7A905F9E" w14:textId="77777777" w:rsidR="002A0323" w:rsidRPr="00A30B0F" w:rsidRDefault="002A0323" w:rsidP="00C96EE5">
      <w:pPr>
        <w:spacing w:after="0" w:line="276" w:lineRule="auto"/>
        <w:rPr>
          <w:rFonts w:ascii="Arial" w:hAnsi="Arial" w:cs="Arial"/>
          <w:lang w:val="en-US"/>
        </w:rPr>
      </w:pPr>
    </w:p>
    <w:p w14:paraId="11E09529" w14:textId="2607BE5F" w:rsidR="00002F76" w:rsidRPr="00A30B0F" w:rsidRDefault="00002F76" w:rsidP="00C96EE5">
      <w:pPr>
        <w:spacing w:after="0" w:line="276" w:lineRule="auto"/>
        <w:rPr>
          <w:rFonts w:ascii="Arial" w:hAnsi="Arial" w:cs="Arial"/>
          <w:lang w:val="en-US"/>
        </w:rPr>
      </w:pPr>
      <w:r w:rsidRPr="00A30B0F">
        <w:rPr>
          <w:rFonts w:ascii="Arial" w:hAnsi="Arial" w:cs="Arial"/>
          <w:lang w:val="en-US"/>
        </w:rPr>
        <w:t xml:space="preserve">People with DM are known to be at higher risk from infections, and undergoing SACT can exacerbate this, resulting in higher rates of infection and </w:t>
      </w:r>
      <w:r w:rsidR="00A4356B" w:rsidRPr="00A30B0F">
        <w:rPr>
          <w:rFonts w:ascii="Arial" w:hAnsi="Arial" w:cs="Arial"/>
          <w:lang w:val="en-US"/>
        </w:rPr>
        <w:t>hospitalization</w:t>
      </w:r>
      <w:r w:rsidRPr="00A30B0F">
        <w:rPr>
          <w:rFonts w:ascii="Arial" w:hAnsi="Arial" w:cs="Arial"/>
          <w:lang w:val="en-US"/>
        </w:rPr>
        <w:t xml:space="preserve"> observed in those with cancer and DM </w:t>
      </w:r>
      <w:r w:rsidR="002A0323" w:rsidRPr="00A30B0F">
        <w:rPr>
          <w:rFonts w:ascii="Arial" w:hAnsi="Arial" w:cs="Arial"/>
          <w:lang w:val="en-US"/>
        </w:rPr>
        <w:t>(</w:t>
      </w:r>
      <w:r w:rsidRPr="00A30B0F">
        <w:rPr>
          <w:rFonts w:ascii="Arial" w:hAnsi="Arial" w:cs="Arial"/>
          <w:noProof/>
          <w:lang w:val="en-US"/>
        </w:rPr>
        <w:t>30, 31</w:t>
      </w:r>
      <w:r w:rsidR="002A0323" w:rsidRPr="00A30B0F">
        <w:rPr>
          <w:rFonts w:ascii="Arial" w:hAnsi="Arial" w:cs="Arial"/>
          <w:noProof/>
          <w:lang w:val="en-US"/>
        </w:rPr>
        <w:t>)</w:t>
      </w:r>
      <w:r w:rsidRPr="00A30B0F">
        <w:rPr>
          <w:rFonts w:ascii="Arial" w:hAnsi="Arial" w:cs="Arial"/>
          <w:lang w:val="en-US"/>
        </w:rPr>
        <w:t xml:space="preserve">. This in turn leads to higher rates of chemotherapy dose reductions and early treatment cessation </w:t>
      </w:r>
      <w:r w:rsidR="002A0323" w:rsidRPr="00A30B0F">
        <w:rPr>
          <w:rFonts w:ascii="Arial" w:hAnsi="Arial" w:cs="Arial"/>
          <w:lang w:val="en-US"/>
        </w:rPr>
        <w:t>(</w:t>
      </w:r>
      <w:r w:rsidRPr="00A30B0F">
        <w:rPr>
          <w:rFonts w:ascii="Arial" w:hAnsi="Arial" w:cs="Arial"/>
          <w:noProof/>
          <w:lang w:val="en-US"/>
        </w:rPr>
        <w:t>28, 32-34</w:t>
      </w:r>
      <w:r w:rsidR="002A0323" w:rsidRPr="00A30B0F">
        <w:rPr>
          <w:rFonts w:ascii="Arial" w:hAnsi="Arial" w:cs="Arial"/>
          <w:noProof/>
          <w:lang w:val="en-US"/>
        </w:rPr>
        <w:t>)</w:t>
      </w:r>
      <w:r w:rsidRPr="00A30B0F">
        <w:rPr>
          <w:rFonts w:ascii="Arial" w:hAnsi="Arial" w:cs="Arial"/>
          <w:lang w:val="en-US"/>
        </w:rPr>
        <w:t>. A meta-analysis of 10 observational studies involving 8,688 cases found that the likelihood of developing chemotherapy-induced neutropenia w</w:t>
      </w:r>
      <w:r w:rsidR="002A0323" w:rsidRPr="00A30B0F">
        <w:rPr>
          <w:rFonts w:ascii="Arial" w:hAnsi="Arial" w:cs="Arial"/>
          <w:lang w:val="en-US"/>
        </w:rPr>
        <w:t>as</w:t>
      </w:r>
      <w:r w:rsidRPr="00A30B0F">
        <w:rPr>
          <w:rFonts w:ascii="Arial" w:hAnsi="Arial" w:cs="Arial"/>
          <w:lang w:val="en-US"/>
        </w:rPr>
        <w:t xml:space="preserve"> higher amongst individuals with DM/</w:t>
      </w:r>
      <w:r w:rsidR="00A4356B" w:rsidRPr="00A30B0F">
        <w:rPr>
          <w:rFonts w:ascii="Arial" w:hAnsi="Arial" w:cs="Arial"/>
          <w:lang w:val="en-US"/>
        </w:rPr>
        <w:t>hyperglycemia</w:t>
      </w:r>
      <w:r w:rsidRPr="00A30B0F">
        <w:rPr>
          <w:rFonts w:ascii="Arial" w:hAnsi="Arial" w:cs="Arial"/>
          <w:lang w:val="en-US"/>
        </w:rPr>
        <w:t xml:space="preserve"> than those without (odds ratio (OR) 1.32, 95% CI 1.06-1.64) </w:t>
      </w:r>
      <w:r w:rsidR="002A0323" w:rsidRPr="00A30B0F">
        <w:rPr>
          <w:rFonts w:ascii="Arial" w:hAnsi="Arial" w:cs="Arial"/>
          <w:lang w:val="en-US"/>
        </w:rPr>
        <w:t>(</w:t>
      </w:r>
      <w:r w:rsidRPr="00A30B0F">
        <w:rPr>
          <w:rFonts w:ascii="Arial" w:hAnsi="Arial" w:cs="Arial"/>
          <w:noProof/>
          <w:lang w:val="en-US"/>
        </w:rPr>
        <w:t>31</w:t>
      </w:r>
      <w:r w:rsidR="002A0323" w:rsidRPr="00A30B0F">
        <w:rPr>
          <w:rFonts w:ascii="Arial" w:hAnsi="Arial" w:cs="Arial"/>
          <w:noProof/>
          <w:lang w:val="en-US"/>
        </w:rPr>
        <w:t>)</w:t>
      </w:r>
      <w:r w:rsidRPr="00A30B0F">
        <w:rPr>
          <w:rFonts w:ascii="Arial" w:hAnsi="Arial" w:cs="Arial"/>
          <w:lang w:val="en-US"/>
        </w:rPr>
        <w:t xml:space="preserve">. Chemotherapy-induced neutropenia poses a significant risk for infection and </w:t>
      </w:r>
      <w:r w:rsidR="00A4356B" w:rsidRPr="00A30B0F">
        <w:rPr>
          <w:rFonts w:ascii="Arial" w:hAnsi="Arial" w:cs="Arial"/>
          <w:lang w:val="en-US"/>
        </w:rPr>
        <w:t>hospitalization</w:t>
      </w:r>
      <w:r w:rsidRPr="00A30B0F">
        <w:rPr>
          <w:rFonts w:ascii="Arial" w:hAnsi="Arial" w:cs="Arial"/>
          <w:lang w:val="en-US"/>
        </w:rPr>
        <w:t xml:space="preserve"> in all people with cancer, with an associated rate of morbidity and mortality which is higher in those with raised blood glucose levels </w:t>
      </w:r>
      <w:r w:rsidR="002A0323" w:rsidRPr="00A30B0F">
        <w:rPr>
          <w:rFonts w:ascii="Arial" w:hAnsi="Arial" w:cs="Arial"/>
          <w:lang w:val="en-US"/>
        </w:rPr>
        <w:t>(</w:t>
      </w:r>
      <w:r w:rsidRPr="00A30B0F">
        <w:rPr>
          <w:rFonts w:ascii="Arial" w:hAnsi="Arial" w:cs="Arial"/>
          <w:noProof/>
          <w:lang w:val="en-US"/>
        </w:rPr>
        <w:t>30</w:t>
      </w:r>
      <w:r w:rsidR="002A0323" w:rsidRPr="00A30B0F">
        <w:rPr>
          <w:rFonts w:ascii="Arial" w:hAnsi="Arial" w:cs="Arial"/>
          <w:noProof/>
          <w:lang w:val="en-US"/>
        </w:rPr>
        <w:t>)</w:t>
      </w:r>
      <w:r w:rsidRPr="00A30B0F">
        <w:rPr>
          <w:rFonts w:ascii="Arial" w:hAnsi="Arial" w:cs="Arial"/>
          <w:lang w:val="en-US"/>
        </w:rPr>
        <w:t xml:space="preserve">. In addition to severe </w:t>
      </w:r>
      <w:r w:rsidR="00A4356B" w:rsidRPr="00A30B0F">
        <w:rPr>
          <w:rFonts w:ascii="Arial" w:hAnsi="Arial" w:cs="Arial"/>
          <w:lang w:val="en-US"/>
        </w:rPr>
        <w:t>hematological</w:t>
      </w:r>
      <w:r w:rsidRPr="00A30B0F">
        <w:rPr>
          <w:rFonts w:ascii="Arial" w:hAnsi="Arial" w:cs="Arial"/>
          <w:lang w:val="en-US"/>
        </w:rPr>
        <w:t xml:space="preserve"> toxicity, more severe rates of non-</w:t>
      </w:r>
      <w:r w:rsidR="00A4356B" w:rsidRPr="00A30B0F">
        <w:rPr>
          <w:rFonts w:ascii="Arial" w:hAnsi="Arial" w:cs="Arial"/>
          <w:lang w:val="en-US"/>
        </w:rPr>
        <w:t>hematological</w:t>
      </w:r>
      <w:r w:rsidRPr="00A30B0F">
        <w:rPr>
          <w:rFonts w:ascii="Arial" w:hAnsi="Arial" w:cs="Arial"/>
          <w:lang w:val="en-US"/>
        </w:rPr>
        <w:t xml:space="preserve"> toxicity have also been associated with </w:t>
      </w:r>
      <w:r w:rsidR="00A4356B" w:rsidRPr="00A30B0F">
        <w:rPr>
          <w:rFonts w:ascii="Arial" w:hAnsi="Arial" w:cs="Arial"/>
          <w:lang w:val="en-US"/>
        </w:rPr>
        <w:t>hyperglycemia</w:t>
      </w:r>
      <w:r w:rsidRPr="00A30B0F">
        <w:rPr>
          <w:rFonts w:ascii="Arial" w:hAnsi="Arial" w:cs="Arial"/>
          <w:lang w:val="en-US"/>
        </w:rPr>
        <w:t xml:space="preserve"> during chemotherapy in people with prostate cancer and lymphoma </w:t>
      </w:r>
      <w:r w:rsidR="002A0323" w:rsidRPr="00A30B0F">
        <w:rPr>
          <w:rFonts w:ascii="Arial" w:hAnsi="Arial" w:cs="Arial"/>
          <w:lang w:val="en-US"/>
        </w:rPr>
        <w:t>(</w:t>
      </w:r>
      <w:r w:rsidRPr="00A30B0F">
        <w:rPr>
          <w:rFonts w:ascii="Arial" w:hAnsi="Arial" w:cs="Arial"/>
          <w:noProof/>
          <w:lang w:val="en-US"/>
        </w:rPr>
        <w:t>35</w:t>
      </w:r>
      <w:r w:rsidR="002A0323" w:rsidRPr="00A30B0F">
        <w:rPr>
          <w:rFonts w:ascii="Arial" w:hAnsi="Arial" w:cs="Arial"/>
          <w:noProof/>
          <w:lang w:val="en-US"/>
        </w:rPr>
        <w:t>)</w:t>
      </w:r>
      <w:r w:rsidRPr="00A30B0F">
        <w:rPr>
          <w:rFonts w:ascii="Arial" w:hAnsi="Arial" w:cs="Arial"/>
          <w:lang w:val="en-US"/>
        </w:rPr>
        <w:t>. A single-</w:t>
      </w:r>
      <w:r w:rsidR="00A4356B" w:rsidRPr="00A30B0F">
        <w:rPr>
          <w:rFonts w:ascii="Arial" w:hAnsi="Arial" w:cs="Arial"/>
          <w:lang w:val="en-US"/>
        </w:rPr>
        <w:t>center</w:t>
      </w:r>
      <w:r w:rsidRPr="00A30B0F">
        <w:rPr>
          <w:rFonts w:ascii="Arial" w:hAnsi="Arial" w:cs="Arial"/>
          <w:lang w:val="en-US"/>
        </w:rPr>
        <w:t xml:space="preserve"> retrospective analysis found that in</w:t>
      </w:r>
      <w:r w:rsidRPr="00A30B0F">
        <w:rPr>
          <w:rFonts w:ascii="Arial" w:hAnsi="Arial" w:cs="Arial"/>
          <w:shd w:val="clear" w:color="auto" w:fill="FFFFFF"/>
          <w:lang w:val="en-US"/>
        </w:rPr>
        <w:t xml:space="preserve">dividuals with cancer and DM who had good </w:t>
      </w:r>
      <w:r w:rsidR="00A4356B" w:rsidRPr="00A30B0F">
        <w:rPr>
          <w:rFonts w:ascii="Arial" w:hAnsi="Arial" w:cs="Arial"/>
          <w:shd w:val="clear" w:color="auto" w:fill="FFFFFF"/>
          <w:lang w:val="en-US"/>
        </w:rPr>
        <w:t>glycemic</w:t>
      </w:r>
      <w:r w:rsidRPr="00A30B0F">
        <w:rPr>
          <w:rFonts w:ascii="Arial" w:hAnsi="Arial" w:cs="Arial"/>
          <w:shd w:val="clear" w:color="auto" w:fill="FFFFFF"/>
          <w:lang w:val="en-US"/>
        </w:rPr>
        <w:t xml:space="preserve"> control had no increased risk of treatment-related complications compared with individuals without DM </w:t>
      </w:r>
      <w:r w:rsidR="00A30B0F" w:rsidRPr="00A30B0F">
        <w:rPr>
          <w:rFonts w:ascii="Arial" w:hAnsi="Arial" w:cs="Arial"/>
          <w:shd w:val="clear" w:color="auto" w:fill="FFFFFF"/>
          <w:lang w:val="en-US"/>
        </w:rPr>
        <w:t>(</w:t>
      </w:r>
      <w:r w:rsidRPr="00A30B0F">
        <w:rPr>
          <w:rFonts w:ascii="Arial" w:hAnsi="Arial" w:cs="Arial"/>
          <w:noProof/>
          <w:shd w:val="clear" w:color="auto" w:fill="FFFFFF"/>
          <w:lang w:val="en-US"/>
        </w:rPr>
        <w:t>36</w:t>
      </w:r>
      <w:r w:rsidR="00A30B0F" w:rsidRPr="00A30B0F">
        <w:rPr>
          <w:rFonts w:ascii="Arial" w:hAnsi="Arial" w:cs="Arial"/>
          <w:noProof/>
          <w:shd w:val="clear" w:color="auto" w:fill="FFFFFF"/>
          <w:lang w:val="en-US"/>
        </w:rPr>
        <w:t>)</w:t>
      </w:r>
      <w:r w:rsidRPr="00A30B0F">
        <w:rPr>
          <w:rFonts w:ascii="Arial" w:hAnsi="Arial" w:cs="Arial"/>
          <w:shd w:val="clear" w:color="auto" w:fill="FFFFFF"/>
          <w:lang w:val="en-US"/>
        </w:rPr>
        <w:t xml:space="preserve">, suggesting that </w:t>
      </w:r>
      <w:r w:rsidRPr="00A30B0F">
        <w:rPr>
          <w:rFonts w:ascii="Arial" w:hAnsi="Arial" w:cs="Arial"/>
          <w:lang w:val="en-US"/>
        </w:rPr>
        <w:t xml:space="preserve">optimal </w:t>
      </w:r>
      <w:r w:rsidR="00A4356B" w:rsidRPr="00A30B0F">
        <w:rPr>
          <w:rFonts w:ascii="Arial" w:hAnsi="Arial" w:cs="Arial"/>
          <w:lang w:val="en-US"/>
        </w:rPr>
        <w:t>glycemic</w:t>
      </w:r>
      <w:r w:rsidRPr="00A30B0F">
        <w:rPr>
          <w:rFonts w:ascii="Arial" w:hAnsi="Arial" w:cs="Arial"/>
          <w:lang w:val="en-US"/>
        </w:rPr>
        <w:t xml:space="preserve"> control during SACT could improve tolerability, thereby reducing rates of admission and dose-limiting toxicity.</w:t>
      </w:r>
    </w:p>
    <w:p w14:paraId="4C9406D0" w14:textId="77777777" w:rsidR="00A30B0F" w:rsidRPr="00A30B0F" w:rsidRDefault="00A30B0F" w:rsidP="00C96EE5">
      <w:pPr>
        <w:spacing w:after="0" w:line="276" w:lineRule="auto"/>
        <w:rPr>
          <w:rFonts w:ascii="Arial" w:hAnsi="Arial" w:cs="Arial"/>
          <w:lang w:val="en-US"/>
        </w:rPr>
      </w:pPr>
    </w:p>
    <w:p w14:paraId="6FC70CD9" w14:textId="64F1EE6D" w:rsidR="00002F76" w:rsidRPr="00A30B0F" w:rsidRDefault="00002F76" w:rsidP="00C96EE5">
      <w:pPr>
        <w:spacing w:after="0" w:line="276" w:lineRule="auto"/>
        <w:rPr>
          <w:rFonts w:ascii="Arial" w:hAnsi="Arial" w:cs="Arial"/>
          <w:lang w:val="en-US"/>
        </w:rPr>
      </w:pPr>
      <w:r w:rsidRPr="00A30B0F">
        <w:rPr>
          <w:rFonts w:ascii="Arial" w:hAnsi="Arial" w:cs="Arial"/>
          <w:lang w:val="en-US"/>
        </w:rPr>
        <w:t xml:space="preserve">Conceivably, people with DM may be more prone to neuro- and nephrotoxic agents due to their underlying predisposition conferred by the DM. Indeed, a previous report suggested that taxane-based chemotherapy regimens resulted in a significantly higher rates of peripheral neuropathy in those with DM compared to those without (74.4% vs. 58.5%) </w:t>
      </w:r>
      <w:r w:rsidR="00A30B0F" w:rsidRPr="00A30B0F">
        <w:rPr>
          <w:rFonts w:ascii="Arial" w:hAnsi="Arial" w:cs="Arial"/>
          <w:lang w:val="en-US"/>
        </w:rPr>
        <w:t>(</w:t>
      </w:r>
      <w:r w:rsidRPr="00A30B0F">
        <w:rPr>
          <w:rFonts w:ascii="Arial" w:hAnsi="Arial" w:cs="Arial"/>
          <w:noProof/>
          <w:lang w:val="en-US"/>
        </w:rPr>
        <w:t>37</w:t>
      </w:r>
      <w:r w:rsidR="00A30B0F" w:rsidRPr="00A30B0F">
        <w:rPr>
          <w:rFonts w:ascii="Arial" w:hAnsi="Arial" w:cs="Arial"/>
          <w:noProof/>
          <w:lang w:val="en-US"/>
        </w:rPr>
        <w:t>)</w:t>
      </w:r>
      <w:r w:rsidRPr="00A30B0F">
        <w:rPr>
          <w:rFonts w:ascii="Arial" w:hAnsi="Arial" w:cs="Arial"/>
          <w:lang w:val="en-US"/>
        </w:rPr>
        <w:t>. There are no convincing data to suggest that a concurrent cancer diagnosis accelerates the risk of diabetic nephropathy or retinopathy.</w:t>
      </w:r>
    </w:p>
    <w:p w14:paraId="4244E18F" w14:textId="77777777" w:rsidR="00002F76" w:rsidRPr="00A30B0F" w:rsidRDefault="00002F76" w:rsidP="00C96EE5">
      <w:pPr>
        <w:spacing w:after="0" w:line="276" w:lineRule="auto"/>
        <w:rPr>
          <w:rFonts w:ascii="Arial" w:hAnsi="Arial" w:cs="Arial"/>
          <w:lang w:val="en-US"/>
        </w:rPr>
      </w:pPr>
    </w:p>
    <w:p w14:paraId="678E072F" w14:textId="5233C916" w:rsidR="00002F76" w:rsidRPr="00A30B0F" w:rsidRDefault="00002F76" w:rsidP="00C96EE5">
      <w:pPr>
        <w:spacing w:after="0" w:line="276" w:lineRule="auto"/>
        <w:rPr>
          <w:rFonts w:ascii="Arial" w:hAnsi="Arial" w:cs="Arial"/>
          <w:b/>
          <w:bCs/>
          <w:color w:val="2E74B5" w:themeColor="accent1" w:themeShade="BF"/>
          <w:lang w:val="en-US"/>
        </w:rPr>
      </w:pPr>
      <w:r w:rsidRPr="00A30B0F">
        <w:rPr>
          <w:rFonts w:ascii="Arial" w:hAnsi="Arial" w:cs="Arial"/>
          <w:b/>
          <w:bCs/>
          <w:color w:val="2E74B5" w:themeColor="accent1" w:themeShade="BF"/>
          <w:lang w:val="en-US"/>
        </w:rPr>
        <w:t>E</w:t>
      </w:r>
      <w:r w:rsidR="002357EB">
        <w:rPr>
          <w:rFonts w:ascii="Arial" w:hAnsi="Arial" w:cs="Arial"/>
          <w:b/>
          <w:bCs/>
          <w:color w:val="2E74B5" w:themeColor="accent1" w:themeShade="BF"/>
          <w:lang w:val="en-US"/>
        </w:rPr>
        <w:t xml:space="preserve">FFECTS OF SYSTEMIC ANTICANCER THERAPIES ON GLYCEMIA </w:t>
      </w:r>
      <w:r w:rsidRPr="00A30B0F">
        <w:rPr>
          <w:rFonts w:ascii="Arial" w:hAnsi="Arial" w:cs="Arial"/>
          <w:b/>
          <w:bCs/>
          <w:color w:val="2E74B5" w:themeColor="accent1" w:themeShade="BF"/>
          <w:lang w:val="en-US"/>
        </w:rPr>
        <w:t xml:space="preserve"> </w:t>
      </w:r>
    </w:p>
    <w:p w14:paraId="7EC155A5" w14:textId="77777777" w:rsidR="002357EB" w:rsidRDefault="002357EB" w:rsidP="00C96EE5">
      <w:pPr>
        <w:spacing w:after="0" w:line="276" w:lineRule="auto"/>
        <w:rPr>
          <w:rFonts w:ascii="Arial" w:hAnsi="Arial" w:cs="Arial"/>
          <w:lang w:val="en-US"/>
        </w:rPr>
      </w:pPr>
    </w:p>
    <w:p w14:paraId="4EB686EA" w14:textId="5088C94E" w:rsidR="00002F76" w:rsidRPr="002C3F79" w:rsidRDefault="00002F76" w:rsidP="00C96EE5">
      <w:pPr>
        <w:spacing w:after="0" w:line="276" w:lineRule="auto"/>
        <w:rPr>
          <w:rFonts w:ascii="Arial" w:hAnsi="Arial" w:cs="Arial"/>
          <w:lang w:val="en-US"/>
        </w:rPr>
      </w:pPr>
      <w:r w:rsidRPr="00A30B0F">
        <w:rPr>
          <w:rFonts w:ascii="Arial" w:hAnsi="Arial" w:cs="Arial"/>
          <w:lang w:val="en-US"/>
        </w:rPr>
        <w:t xml:space="preserve">Systemic anti-cancer therapies (SACT) </w:t>
      </w:r>
      <w:r w:rsidR="00A4356B" w:rsidRPr="00A30B0F">
        <w:rPr>
          <w:rFonts w:ascii="Arial" w:hAnsi="Arial" w:cs="Arial"/>
          <w:lang w:val="en-US"/>
        </w:rPr>
        <w:t>encompass</w:t>
      </w:r>
      <w:r w:rsidRPr="00A30B0F">
        <w:rPr>
          <w:rFonts w:ascii="Arial" w:hAnsi="Arial" w:cs="Arial"/>
          <w:lang w:val="en-US"/>
        </w:rPr>
        <w:t xml:space="preserve"> a wide range of treatments including cytotoxic chemotherapy, hormone therapy, targeted therapy</w:t>
      </w:r>
      <w:r w:rsidR="002357EB">
        <w:rPr>
          <w:rFonts w:ascii="Arial" w:hAnsi="Arial" w:cs="Arial"/>
          <w:lang w:val="en-US"/>
        </w:rPr>
        <w:t>,</w:t>
      </w:r>
      <w:r w:rsidRPr="00A30B0F">
        <w:rPr>
          <w:rFonts w:ascii="Arial" w:hAnsi="Arial" w:cs="Arial"/>
          <w:lang w:val="en-US"/>
        </w:rPr>
        <w:t xml:space="preserve"> and immunotherapy, many of which can impact upon </w:t>
      </w:r>
      <w:r w:rsidR="00A4356B" w:rsidRPr="00A30B0F">
        <w:rPr>
          <w:rFonts w:ascii="Arial" w:hAnsi="Arial" w:cs="Arial"/>
          <w:lang w:val="en-US"/>
        </w:rPr>
        <w:t>glycemic</w:t>
      </w:r>
      <w:r w:rsidRPr="00A30B0F">
        <w:rPr>
          <w:rFonts w:ascii="Arial" w:hAnsi="Arial" w:cs="Arial"/>
          <w:lang w:val="en-US"/>
        </w:rPr>
        <w:t xml:space="preserve"> control directly or as a result of toxicity management or supportive medications which are given alongside treatment. Several anti-cancer agents have been demonstrated to increase the risk of </w:t>
      </w:r>
      <w:r w:rsidR="00A4356B" w:rsidRPr="00A30B0F">
        <w:rPr>
          <w:rFonts w:ascii="Arial" w:hAnsi="Arial" w:cs="Arial"/>
          <w:lang w:val="en-US"/>
        </w:rPr>
        <w:t>hyperglycemia</w:t>
      </w:r>
      <w:r w:rsidRPr="00A30B0F">
        <w:rPr>
          <w:rFonts w:ascii="Arial" w:hAnsi="Arial" w:cs="Arial"/>
          <w:lang w:val="en-US"/>
        </w:rPr>
        <w:t xml:space="preserve"> as </w:t>
      </w:r>
      <w:r w:rsidR="00A4356B" w:rsidRPr="00A30B0F">
        <w:rPr>
          <w:rFonts w:ascii="Arial" w:hAnsi="Arial" w:cs="Arial"/>
          <w:lang w:val="en-US"/>
        </w:rPr>
        <w:t>summarized</w:t>
      </w:r>
      <w:r w:rsidRPr="00A30B0F">
        <w:rPr>
          <w:rFonts w:ascii="Arial" w:hAnsi="Arial" w:cs="Arial"/>
          <w:lang w:val="en-US"/>
        </w:rPr>
        <w:t xml:space="preserve"> in </w:t>
      </w:r>
      <w:r w:rsidRPr="002357EB">
        <w:rPr>
          <w:rFonts w:ascii="Arial" w:hAnsi="Arial" w:cs="Arial"/>
          <w:lang w:val="en-US"/>
        </w:rPr>
        <w:t>Table 1</w:t>
      </w:r>
      <w:r w:rsidRPr="00A30B0F">
        <w:rPr>
          <w:rFonts w:ascii="Arial" w:hAnsi="Arial" w:cs="Arial"/>
          <w:lang w:val="en-US"/>
        </w:rPr>
        <w:t xml:space="preserve">, </w:t>
      </w:r>
      <w:r w:rsidRPr="00A30B0F">
        <w:rPr>
          <w:rFonts w:ascii="Arial" w:hAnsi="Arial" w:cs="Arial"/>
          <w:lang w:val="en-US"/>
        </w:rPr>
        <w:lastRenderedPageBreak/>
        <w:t>and many can do this even in those without a known diagnosis of DM. People receiving SACT are also at risk of developing a new diagnosis of diabetes. One study demonstrated that 11% of people (15/134) undergoing routine chemotherapy met the criteria for a new diagnosis of diabetes (using the diagnostic criteria as per guidelines from the UK National Institute for Clinical and Healthcare Excellence (NICE) and without a previous known diagnosis) based upon HbA</w:t>
      </w:r>
      <w:r w:rsidRPr="00A30B0F">
        <w:rPr>
          <w:rFonts w:ascii="Arial" w:hAnsi="Arial" w:cs="Arial"/>
          <w:vertAlign w:val="subscript"/>
          <w:lang w:val="en-US"/>
        </w:rPr>
        <w:t>1c</w:t>
      </w:r>
      <w:r w:rsidRPr="00A30B0F">
        <w:rPr>
          <w:rFonts w:ascii="Arial" w:hAnsi="Arial" w:cs="Arial"/>
          <w:lang w:val="en-US"/>
        </w:rPr>
        <w:t xml:space="preserve"> measurements). The majority of these individuals (73%) had been receiving short course steroids with chemotherapy, and 40% were being treated in the curative/</w:t>
      </w:r>
      <w:r w:rsidRPr="002C3F79">
        <w:rPr>
          <w:rFonts w:ascii="Arial" w:hAnsi="Arial" w:cs="Arial"/>
          <w:lang w:val="en-US"/>
        </w:rPr>
        <w:t xml:space="preserve">adjuvant setting </w:t>
      </w:r>
      <w:r w:rsidR="002C3F79">
        <w:rPr>
          <w:rFonts w:ascii="Arial" w:hAnsi="Arial" w:cs="Arial"/>
          <w:lang w:val="en-US"/>
        </w:rPr>
        <w:t>(</w:t>
      </w:r>
      <w:r w:rsidRPr="002C3F79">
        <w:rPr>
          <w:rFonts w:ascii="Arial" w:hAnsi="Arial" w:cs="Arial"/>
          <w:noProof/>
          <w:lang w:val="en-US"/>
        </w:rPr>
        <w:t>38</w:t>
      </w:r>
      <w:r w:rsidR="002C3F79">
        <w:rPr>
          <w:rFonts w:ascii="Arial" w:hAnsi="Arial" w:cs="Arial"/>
          <w:noProof/>
          <w:lang w:val="en-US"/>
        </w:rPr>
        <w:t>)</w:t>
      </w:r>
      <w:r w:rsidRPr="002C3F79">
        <w:rPr>
          <w:rFonts w:ascii="Arial" w:hAnsi="Arial" w:cs="Arial"/>
          <w:lang w:val="en-US"/>
        </w:rPr>
        <w:t xml:space="preserve">. A second prospective cohort study in 90 people taking glucocorticoids as part of therapy protocols for primary brain </w:t>
      </w:r>
      <w:r w:rsidR="00A4356B" w:rsidRPr="002C3F79">
        <w:rPr>
          <w:rFonts w:ascii="Arial" w:hAnsi="Arial" w:cs="Arial"/>
          <w:lang w:val="en-US"/>
        </w:rPr>
        <w:t>tumor</w:t>
      </w:r>
      <w:r w:rsidRPr="002C3F79">
        <w:rPr>
          <w:rFonts w:ascii="Arial" w:hAnsi="Arial" w:cs="Arial"/>
          <w:lang w:val="en-US"/>
        </w:rPr>
        <w:t xml:space="preserve"> or metastases, lymphoma</w:t>
      </w:r>
      <w:r w:rsidR="002C3F79">
        <w:rPr>
          <w:rFonts w:ascii="Arial" w:hAnsi="Arial" w:cs="Arial"/>
          <w:lang w:val="en-US"/>
        </w:rPr>
        <w:t>,</w:t>
      </w:r>
      <w:r w:rsidRPr="002C3F79">
        <w:rPr>
          <w:rFonts w:ascii="Arial" w:hAnsi="Arial" w:cs="Arial"/>
          <w:lang w:val="en-US"/>
        </w:rPr>
        <w:t xml:space="preserve"> or for bone marrow transplant, found non-DM range </w:t>
      </w:r>
      <w:r w:rsidR="00A4356B" w:rsidRPr="002C3F79">
        <w:rPr>
          <w:rFonts w:ascii="Arial" w:hAnsi="Arial" w:cs="Arial"/>
          <w:lang w:val="en-US"/>
        </w:rPr>
        <w:t>hyperglycemia</w:t>
      </w:r>
      <w:r w:rsidRPr="002C3F79">
        <w:rPr>
          <w:rFonts w:ascii="Arial" w:hAnsi="Arial" w:cs="Arial"/>
          <w:lang w:val="en-US"/>
        </w:rPr>
        <w:t xml:space="preserve"> in 58% and DM-range </w:t>
      </w:r>
      <w:r w:rsidR="00A4356B" w:rsidRPr="002C3F79">
        <w:rPr>
          <w:rFonts w:ascii="Arial" w:hAnsi="Arial" w:cs="Arial"/>
          <w:lang w:val="en-US"/>
        </w:rPr>
        <w:t>hyperglycemia</w:t>
      </w:r>
      <w:r w:rsidRPr="002C3F79">
        <w:rPr>
          <w:rFonts w:ascii="Arial" w:hAnsi="Arial" w:cs="Arial"/>
          <w:lang w:val="en-US"/>
        </w:rPr>
        <w:t xml:space="preserve"> in 18.9% </w:t>
      </w:r>
      <w:r w:rsidR="002C3F79">
        <w:rPr>
          <w:rFonts w:ascii="Arial" w:hAnsi="Arial" w:cs="Arial"/>
          <w:lang w:val="en-US"/>
        </w:rPr>
        <w:t>(</w:t>
      </w:r>
      <w:r w:rsidRPr="002C3F79">
        <w:rPr>
          <w:rFonts w:ascii="Arial" w:hAnsi="Arial" w:cs="Arial"/>
          <w:noProof/>
          <w:lang w:val="en-US"/>
        </w:rPr>
        <w:t>39</w:t>
      </w:r>
      <w:r w:rsidR="002C3F79">
        <w:rPr>
          <w:rFonts w:ascii="Arial" w:hAnsi="Arial" w:cs="Arial"/>
          <w:noProof/>
          <w:lang w:val="en-US"/>
        </w:rPr>
        <w:t>)</w:t>
      </w:r>
      <w:r w:rsidRPr="002C3F79">
        <w:rPr>
          <w:rFonts w:ascii="Arial" w:hAnsi="Arial" w:cs="Arial"/>
          <w:lang w:val="en-US"/>
        </w:rPr>
        <w:t xml:space="preserve">. These individuals with </w:t>
      </w:r>
      <w:r w:rsidR="00A4356B" w:rsidRPr="002C3F79">
        <w:rPr>
          <w:rFonts w:ascii="Arial" w:hAnsi="Arial" w:cs="Arial"/>
          <w:lang w:val="en-US"/>
        </w:rPr>
        <w:t>hyperglycemia</w:t>
      </w:r>
      <w:r w:rsidRPr="002C3F79">
        <w:rPr>
          <w:rFonts w:ascii="Arial" w:hAnsi="Arial" w:cs="Arial"/>
          <w:lang w:val="en-US"/>
        </w:rPr>
        <w:t xml:space="preserve"> are also more likely to present with an emergency admission during cancer therapy than those with </w:t>
      </w:r>
      <w:r w:rsidR="00A4356B" w:rsidRPr="002C3F79">
        <w:rPr>
          <w:rFonts w:ascii="Arial" w:hAnsi="Arial" w:cs="Arial"/>
          <w:lang w:val="en-US"/>
        </w:rPr>
        <w:t>normoglycemia</w:t>
      </w:r>
      <w:r w:rsidRPr="002C3F79">
        <w:rPr>
          <w:rFonts w:ascii="Arial" w:hAnsi="Arial" w:cs="Arial"/>
          <w:lang w:val="en-US"/>
        </w:rPr>
        <w:t xml:space="preserve"> </w:t>
      </w:r>
      <w:r w:rsidR="002C3F79">
        <w:rPr>
          <w:rFonts w:ascii="Arial" w:hAnsi="Arial" w:cs="Arial"/>
          <w:lang w:val="en-US"/>
        </w:rPr>
        <w:t>(</w:t>
      </w:r>
      <w:r w:rsidRPr="002C3F79">
        <w:rPr>
          <w:rFonts w:ascii="Arial" w:hAnsi="Arial" w:cs="Arial"/>
          <w:noProof/>
          <w:lang w:val="en-US"/>
        </w:rPr>
        <w:t>40</w:t>
      </w:r>
      <w:r w:rsidR="002C3F79">
        <w:rPr>
          <w:rFonts w:ascii="Arial" w:hAnsi="Arial" w:cs="Arial"/>
          <w:noProof/>
          <w:lang w:val="en-US"/>
        </w:rPr>
        <w:t>)</w:t>
      </w:r>
      <w:r w:rsidRPr="002C3F79">
        <w:rPr>
          <w:rFonts w:ascii="Arial" w:hAnsi="Arial" w:cs="Arial"/>
          <w:lang w:val="en-US"/>
        </w:rPr>
        <w:t>.</w:t>
      </w:r>
    </w:p>
    <w:p w14:paraId="4B62ADFA" w14:textId="77777777" w:rsidR="00002F76" w:rsidRPr="00A30B0F" w:rsidRDefault="00002F76" w:rsidP="00C96EE5">
      <w:pPr>
        <w:spacing w:after="0" w:line="276" w:lineRule="auto"/>
        <w:rPr>
          <w:rFonts w:ascii="Arial" w:hAnsi="Arial" w:cs="Arial"/>
          <w:lang w:val="en-US"/>
        </w:rPr>
      </w:pPr>
    </w:p>
    <w:tbl>
      <w:tblPr>
        <w:tblStyle w:val="TableGrid"/>
        <w:tblW w:w="9464" w:type="dxa"/>
        <w:tblLook w:val="04A0" w:firstRow="1" w:lastRow="0" w:firstColumn="1" w:lastColumn="0" w:noHBand="0" w:noVBand="1"/>
      </w:tblPr>
      <w:tblGrid>
        <w:gridCol w:w="1779"/>
        <w:gridCol w:w="2655"/>
        <w:gridCol w:w="2762"/>
        <w:gridCol w:w="2268"/>
      </w:tblGrid>
      <w:tr w:rsidR="002C3F79" w:rsidRPr="00A30B0F" w14:paraId="67A884EA" w14:textId="77777777" w:rsidTr="002C3F79">
        <w:tc>
          <w:tcPr>
            <w:tcW w:w="9464" w:type="dxa"/>
            <w:gridSpan w:val="4"/>
            <w:shd w:val="clear" w:color="auto" w:fill="FFFF00"/>
          </w:tcPr>
          <w:p w14:paraId="4363D328" w14:textId="5BD88541" w:rsidR="002C3F79" w:rsidRPr="002C3F79" w:rsidRDefault="002C3F79" w:rsidP="00C96EE5">
            <w:pPr>
              <w:spacing w:line="276" w:lineRule="auto"/>
              <w:rPr>
                <w:rFonts w:ascii="Arial" w:hAnsi="Arial" w:cs="Arial"/>
                <w:b/>
                <w:bCs/>
                <w:lang w:val="en-US"/>
              </w:rPr>
            </w:pPr>
            <w:r w:rsidRPr="002C3F79">
              <w:rPr>
                <w:rFonts w:ascii="Arial" w:hAnsi="Arial" w:cs="Arial"/>
                <w:b/>
                <w:bCs/>
                <w:lang w:val="en-US"/>
              </w:rPr>
              <w:t>Table 1. SACT used in the Treatment of Cancer Demonstrated to be Associated with Worsening Glycemic Control</w:t>
            </w:r>
          </w:p>
        </w:tc>
      </w:tr>
      <w:tr w:rsidR="00002F76" w:rsidRPr="00A30B0F" w14:paraId="0E3CF0FF" w14:textId="77777777" w:rsidTr="002C3F79">
        <w:tc>
          <w:tcPr>
            <w:tcW w:w="1779" w:type="dxa"/>
          </w:tcPr>
          <w:p w14:paraId="118E696C" w14:textId="77777777" w:rsidR="00002F76" w:rsidRPr="002C3F79" w:rsidRDefault="00002F76" w:rsidP="00C96EE5">
            <w:pPr>
              <w:pStyle w:val="Heading3"/>
              <w:spacing w:before="0" w:line="276" w:lineRule="auto"/>
              <w:outlineLvl w:val="2"/>
              <w:rPr>
                <w:rFonts w:ascii="Arial" w:hAnsi="Arial" w:cs="Arial"/>
                <w:b/>
                <w:bCs/>
                <w:color w:val="auto"/>
                <w:sz w:val="22"/>
                <w:szCs w:val="22"/>
                <w:lang w:val="en-US"/>
              </w:rPr>
            </w:pPr>
            <w:r w:rsidRPr="002C3F79">
              <w:rPr>
                <w:rFonts w:ascii="Arial" w:hAnsi="Arial" w:cs="Arial"/>
                <w:b/>
                <w:bCs/>
                <w:color w:val="auto"/>
                <w:sz w:val="22"/>
                <w:szCs w:val="22"/>
                <w:lang w:val="en-US"/>
              </w:rPr>
              <w:t>Type of SACT</w:t>
            </w:r>
          </w:p>
        </w:tc>
        <w:tc>
          <w:tcPr>
            <w:tcW w:w="2655" w:type="dxa"/>
          </w:tcPr>
          <w:p w14:paraId="1F6F1905" w14:textId="77777777" w:rsidR="00002F76" w:rsidRPr="002C3F79" w:rsidRDefault="00002F76" w:rsidP="00C96EE5">
            <w:pPr>
              <w:pStyle w:val="Heading3"/>
              <w:spacing w:before="0" w:line="276" w:lineRule="auto"/>
              <w:outlineLvl w:val="2"/>
              <w:rPr>
                <w:rFonts w:ascii="Arial" w:hAnsi="Arial" w:cs="Arial"/>
                <w:b/>
                <w:bCs/>
                <w:color w:val="auto"/>
                <w:sz w:val="22"/>
                <w:szCs w:val="22"/>
                <w:lang w:val="en-US"/>
              </w:rPr>
            </w:pPr>
            <w:r w:rsidRPr="002C3F79">
              <w:rPr>
                <w:rFonts w:ascii="Arial" w:hAnsi="Arial" w:cs="Arial"/>
                <w:b/>
                <w:bCs/>
                <w:color w:val="auto"/>
                <w:sz w:val="22"/>
                <w:szCs w:val="22"/>
                <w:lang w:val="en-US"/>
              </w:rPr>
              <w:t>Drug Examples</w:t>
            </w:r>
          </w:p>
        </w:tc>
        <w:tc>
          <w:tcPr>
            <w:tcW w:w="2762" w:type="dxa"/>
          </w:tcPr>
          <w:p w14:paraId="041FA4EB" w14:textId="52F130D2" w:rsidR="00002F76" w:rsidRPr="002C3F79" w:rsidRDefault="00002F76" w:rsidP="00C96EE5">
            <w:pPr>
              <w:spacing w:line="276" w:lineRule="auto"/>
              <w:rPr>
                <w:rFonts w:ascii="Arial" w:hAnsi="Arial" w:cs="Arial"/>
                <w:b/>
                <w:bCs/>
                <w:lang w:val="en-US"/>
              </w:rPr>
            </w:pPr>
            <w:r w:rsidRPr="002C3F79">
              <w:rPr>
                <w:rFonts w:ascii="Arial" w:hAnsi="Arial" w:cs="Arial"/>
                <w:b/>
                <w:bCs/>
                <w:lang w:val="en-US"/>
              </w:rPr>
              <w:t>Risk of Diabetes/</w:t>
            </w:r>
            <w:r w:rsidR="00A4356B" w:rsidRPr="002C3F79">
              <w:rPr>
                <w:rFonts w:ascii="Arial" w:hAnsi="Arial" w:cs="Arial"/>
                <w:b/>
                <w:bCs/>
                <w:lang w:val="en-US"/>
              </w:rPr>
              <w:t>Hyperglycemia</w:t>
            </w:r>
            <w:r w:rsidRPr="002C3F79">
              <w:rPr>
                <w:rFonts w:ascii="Arial" w:hAnsi="Arial" w:cs="Arial"/>
                <w:b/>
                <w:bCs/>
                <w:lang w:val="en-US"/>
              </w:rPr>
              <w:t xml:space="preserve"> (Range of any grade)</w:t>
            </w:r>
          </w:p>
        </w:tc>
        <w:tc>
          <w:tcPr>
            <w:tcW w:w="2268" w:type="dxa"/>
          </w:tcPr>
          <w:p w14:paraId="4D068584" w14:textId="77777777" w:rsidR="00002F76" w:rsidRPr="002C3F79" w:rsidRDefault="00002F76" w:rsidP="00C96EE5">
            <w:pPr>
              <w:spacing w:line="276" w:lineRule="auto"/>
              <w:rPr>
                <w:rFonts w:ascii="Arial" w:hAnsi="Arial" w:cs="Arial"/>
                <w:b/>
                <w:bCs/>
                <w:lang w:val="en-US"/>
              </w:rPr>
            </w:pPr>
            <w:r w:rsidRPr="002C3F79">
              <w:rPr>
                <w:rFonts w:ascii="Arial" w:hAnsi="Arial" w:cs="Arial"/>
                <w:b/>
                <w:bCs/>
                <w:lang w:val="en-US"/>
              </w:rPr>
              <w:t>Type of diabetes most likely to develop</w:t>
            </w:r>
          </w:p>
        </w:tc>
      </w:tr>
      <w:tr w:rsidR="00002F76" w:rsidRPr="00A30B0F" w14:paraId="0D360CB4" w14:textId="77777777" w:rsidTr="002C3F79">
        <w:tc>
          <w:tcPr>
            <w:tcW w:w="7196" w:type="dxa"/>
            <w:gridSpan w:val="3"/>
          </w:tcPr>
          <w:p w14:paraId="52F62A85" w14:textId="77777777" w:rsidR="00002F76" w:rsidRPr="002C3F79" w:rsidRDefault="00002F76" w:rsidP="00C96EE5">
            <w:pPr>
              <w:spacing w:line="276" w:lineRule="auto"/>
              <w:rPr>
                <w:rFonts w:ascii="Arial" w:hAnsi="Arial" w:cs="Arial"/>
                <w:b/>
                <w:bCs/>
                <w:lang w:val="en-US"/>
              </w:rPr>
            </w:pPr>
            <w:r w:rsidRPr="002C3F79">
              <w:rPr>
                <w:rFonts w:ascii="Arial" w:hAnsi="Arial" w:cs="Arial"/>
                <w:b/>
                <w:bCs/>
                <w:lang w:val="en-US"/>
              </w:rPr>
              <w:t>Targeted therapy</w:t>
            </w:r>
          </w:p>
        </w:tc>
        <w:tc>
          <w:tcPr>
            <w:tcW w:w="2268" w:type="dxa"/>
          </w:tcPr>
          <w:p w14:paraId="48CA1FE2" w14:textId="77777777" w:rsidR="00002F76" w:rsidRPr="00A30B0F" w:rsidRDefault="00002F76" w:rsidP="00C96EE5">
            <w:pPr>
              <w:spacing w:line="276" w:lineRule="auto"/>
              <w:rPr>
                <w:rFonts w:ascii="Arial" w:hAnsi="Arial" w:cs="Arial"/>
                <w:lang w:val="en-US"/>
              </w:rPr>
            </w:pPr>
          </w:p>
        </w:tc>
      </w:tr>
      <w:tr w:rsidR="00002F76" w:rsidRPr="00A30B0F" w14:paraId="60A506E0" w14:textId="77777777" w:rsidTr="002C3F79">
        <w:tc>
          <w:tcPr>
            <w:tcW w:w="1779" w:type="dxa"/>
            <w:vMerge w:val="restart"/>
          </w:tcPr>
          <w:p w14:paraId="6D920292"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mTOR inhibitors</w:t>
            </w:r>
          </w:p>
        </w:tc>
        <w:tc>
          <w:tcPr>
            <w:tcW w:w="2655" w:type="dxa"/>
          </w:tcPr>
          <w:p w14:paraId="15798930" w14:textId="30D088D8"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Everolimus </w:t>
            </w:r>
            <w:r w:rsidR="008E193D">
              <w:rPr>
                <w:rFonts w:ascii="Arial" w:hAnsi="Arial" w:cs="Arial"/>
                <w:lang w:val="en-US"/>
              </w:rPr>
              <w:t>(</w:t>
            </w:r>
            <w:r w:rsidRPr="008E193D">
              <w:rPr>
                <w:rFonts w:ascii="Arial" w:hAnsi="Arial" w:cs="Arial"/>
                <w:noProof/>
                <w:lang w:val="en-US"/>
              </w:rPr>
              <w:t>41, 42</w:t>
            </w:r>
            <w:r w:rsidR="008E193D">
              <w:rPr>
                <w:rFonts w:ascii="Arial" w:hAnsi="Arial" w:cs="Arial"/>
                <w:noProof/>
                <w:lang w:val="en-US"/>
              </w:rPr>
              <w:t>)</w:t>
            </w:r>
          </w:p>
        </w:tc>
        <w:tc>
          <w:tcPr>
            <w:tcW w:w="2762" w:type="dxa"/>
          </w:tcPr>
          <w:p w14:paraId="7290AA83"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12-50%</w:t>
            </w:r>
          </w:p>
        </w:tc>
        <w:tc>
          <w:tcPr>
            <w:tcW w:w="2268" w:type="dxa"/>
            <w:vMerge w:val="restart"/>
          </w:tcPr>
          <w:p w14:paraId="32EA46A5"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T2DM</w:t>
            </w:r>
          </w:p>
        </w:tc>
      </w:tr>
      <w:tr w:rsidR="00002F76" w:rsidRPr="00A30B0F" w14:paraId="3C8740CD" w14:textId="77777777" w:rsidTr="002C3F79">
        <w:tc>
          <w:tcPr>
            <w:tcW w:w="1779" w:type="dxa"/>
            <w:vMerge/>
          </w:tcPr>
          <w:p w14:paraId="36059E89" w14:textId="77777777" w:rsidR="00002F76" w:rsidRPr="00A30B0F" w:rsidRDefault="00002F76" w:rsidP="00C96EE5">
            <w:pPr>
              <w:spacing w:line="276" w:lineRule="auto"/>
              <w:rPr>
                <w:rFonts w:ascii="Arial" w:hAnsi="Arial" w:cs="Arial"/>
                <w:b/>
                <w:lang w:val="en-US"/>
              </w:rPr>
            </w:pPr>
          </w:p>
        </w:tc>
        <w:tc>
          <w:tcPr>
            <w:tcW w:w="2655" w:type="dxa"/>
          </w:tcPr>
          <w:p w14:paraId="109FBB79" w14:textId="6DC2AD5B"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Temsirolimus </w:t>
            </w:r>
            <w:r w:rsidR="008E193D">
              <w:rPr>
                <w:rFonts w:ascii="Arial" w:hAnsi="Arial" w:cs="Arial"/>
                <w:lang w:val="en-US"/>
              </w:rPr>
              <w:t>(</w:t>
            </w:r>
            <w:r w:rsidRPr="008E193D">
              <w:rPr>
                <w:rFonts w:ascii="Arial" w:hAnsi="Arial" w:cs="Arial"/>
                <w:noProof/>
                <w:lang w:val="en-US"/>
              </w:rPr>
              <w:t>42</w:t>
            </w:r>
            <w:r w:rsidR="008E193D">
              <w:rPr>
                <w:rFonts w:ascii="Arial" w:hAnsi="Arial" w:cs="Arial"/>
                <w:noProof/>
                <w:lang w:val="en-US"/>
              </w:rPr>
              <w:t>)</w:t>
            </w:r>
          </w:p>
        </w:tc>
        <w:tc>
          <w:tcPr>
            <w:tcW w:w="2762" w:type="dxa"/>
          </w:tcPr>
          <w:p w14:paraId="5AE7D24B"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 xml:space="preserve">26% </w:t>
            </w:r>
          </w:p>
        </w:tc>
        <w:tc>
          <w:tcPr>
            <w:tcW w:w="2268" w:type="dxa"/>
            <w:vMerge/>
          </w:tcPr>
          <w:p w14:paraId="0A7B7013" w14:textId="77777777" w:rsidR="00002F76" w:rsidRPr="00A30B0F" w:rsidRDefault="00002F76" w:rsidP="00C96EE5">
            <w:pPr>
              <w:spacing w:line="276" w:lineRule="auto"/>
              <w:rPr>
                <w:rFonts w:ascii="Arial" w:hAnsi="Arial" w:cs="Arial"/>
                <w:lang w:val="en-US"/>
              </w:rPr>
            </w:pPr>
          </w:p>
        </w:tc>
      </w:tr>
      <w:tr w:rsidR="00002F76" w:rsidRPr="00A30B0F" w14:paraId="1165824A" w14:textId="77777777" w:rsidTr="002C3F79">
        <w:tc>
          <w:tcPr>
            <w:tcW w:w="1779" w:type="dxa"/>
            <w:vMerge w:val="restart"/>
          </w:tcPr>
          <w:p w14:paraId="2BCDBF48"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PI3K inhibitors</w:t>
            </w:r>
          </w:p>
        </w:tc>
        <w:tc>
          <w:tcPr>
            <w:tcW w:w="2655" w:type="dxa"/>
          </w:tcPr>
          <w:p w14:paraId="0F2FF996" w14:textId="60DF7B3A"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Alpelisib </w:t>
            </w:r>
            <w:r w:rsidR="008E193D">
              <w:rPr>
                <w:rFonts w:ascii="Arial" w:hAnsi="Arial" w:cs="Arial"/>
                <w:lang w:val="en-US"/>
              </w:rPr>
              <w:t>(</w:t>
            </w:r>
            <w:r w:rsidRPr="008E193D">
              <w:rPr>
                <w:rFonts w:ascii="Arial" w:hAnsi="Arial" w:cs="Arial"/>
                <w:noProof/>
                <w:lang w:val="en-US"/>
              </w:rPr>
              <w:t>43</w:t>
            </w:r>
            <w:r w:rsidR="008E193D">
              <w:rPr>
                <w:rFonts w:ascii="Arial" w:hAnsi="Arial" w:cs="Arial"/>
                <w:noProof/>
                <w:lang w:val="en-US"/>
              </w:rPr>
              <w:t>)</w:t>
            </w:r>
          </w:p>
        </w:tc>
        <w:tc>
          <w:tcPr>
            <w:tcW w:w="2762" w:type="dxa"/>
          </w:tcPr>
          <w:p w14:paraId="3E86AD75"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37%</w:t>
            </w:r>
          </w:p>
        </w:tc>
        <w:tc>
          <w:tcPr>
            <w:tcW w:w="2268" w:type="dxa"/>
            <w:vMerge w:val="restart"/>
          </w:tcPr>
          <w:p w14:paraId="4FB943A9"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T2DM</w:t>
            </w:r>
          </w:p>
        </w:tc>
      </w:tr>
      <w:tr w:rsidR="00002F76" w:rsidRPr="00A30B0F" w14:paraId="361F0F07" w14:textId="77777777" w:rsidTr="002C3F79">
        <w:tc>
          <w:tcPr>
            <w:tcW w:w="1779" w:type="dxa"/>
            <w:vMerge/>
          </w:tcPr>
          <w:p w14:paraId="7E4406D4" w14:textId="77777777" w:rsidR="00002F76" w:rsidRPr="00A30B0F" w:rsidRDefault="00002F76" w:rsidP="00C96EE5">
            <w:pPr>
              <w:spacing w:line="276" w:lineRule="auto"/>
              <w:rPr>
                <w:rFonts w:ascii="Arial" w:hAnsi="Arial" w:cs="Arial"/>
                <w:b/>
                <w:lang w:val="en-US"/>
              </w:rPr>
            </w:pPr>
          </w:p>
        </w:tc>
        <w:tc>
          <w:tcPr>
            <w:tcW w:w="2655" w:type="dxa"/>
          </w:tcPr>
          <w:p w14:paraId="12C6EAD4" w14:textId="772A0CC9"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Idelialisib </w:t>
            </w:r>
            <w:r w:rsidR="008E193D">
              <w:rPr>
                <w:rFonts w:ascii="Arial" w:hAnsi="Arial" w:cs="Arial"/>
                <w:lang w:val="en-US"/>
              </w:rPr>
              <w:t>(</w:t>
            </w:r>
            <w:r w:rsidRPr="008E193D">
              <w:rPr>
                <w:rFonts w:ascii="Arial" w:hAnsi="Arial" w:cs="Arial"/>
                <w:noProof/>
                <w:lang w:val="en-US"/>
              </w:rPr>
              <w:t>44</w:t>
            </w:r>
            <w:r w:rsidR="008E193D">
              <w:rPr>
                <w:rFonts w:ascii="Arial" w:hAnsi="Arial" w:cs="Arial"/>
                <w:noProof/>
                <w:lang w:val="en-US"/>
              </w:rPr>
              <w:t>)</w:t>
            </w:r>
          </w:p>
        </w:tc>
        <w:tc>
          <w:tcPr>
            <w:tcW w:w="2762" w:type="dxa"/>
          </w:tcPr>
          <w:p w14:paraId="742B8B92"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28/30%</w:t>
            </w:r>
          </w:p>
        </w:tc>
        <w:tc>
          <w:tcPr>
            <w:tcW w:w="2268" w:type="dxa"/>
            <w:vMerge/>
          </w:tcPr>
          <w:p w14:paraId="459667F5" w14:textId="77777777" w:rsidR="00002F76" w:rsidRPr="00A30B0F" w:rsidRDefault="00002F76" w:rsidP="00C96EE5">
            <w:pPr>
              <w:spacing w:line="276" w:lineRule="auto"/>
              <w:rPr>
                <w:rFonts w:ascii="Arial" w:hAnsi="Arial" w:cs="Arial"/>
                <w:lang w:val="en-US"/>
              </w:rPr>
            </w:pPr>
          </w:p>
        </w:tc>
      </w:tr>
      <w:tr w:rsidR="00002F76" w:rsidRPr="00A30B0F" w14:paraId="2410A406" w14:textId="77777777" w:rsidTr="002C3F79">
        <w:tc>
          <w:tcPr>
            <w:tcW w:w="1779" w:type="dxa"/>
            <w:vMerge w:val="restart"/>
          </w:tcPr>
          <w:p w14:paraId="60903E08"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EGFR inhibitor</w:t>
            </w:r>
          </w:p>
        </w:tc>
        <w:tc>
          <w:tcPr>
            <w:tcW w:w="2655" w:type="dxa"/>
          </w:tcPr>
          <w:p w14:paraId="18A8A57B" w14:textId="708C3C31"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Osimertinib </w:t>
            </w:r>
            <w:r w:rsidR="008E193D">
              <w:rPr>
                <w:rFonts w:ascii="Arial" w:hAnsi="Arial" w:cs="Arial"/>
                <w:lang w:val="en-US"/>
              </w:rPr>
              <w:t>(</w:t>
            </w:r>
            <w:r w:rsidRPr="008E193D">
              <w:rPr>
                <w:rFonts w:ascii="Arial" w:hAnsi="Arial" w:cs="Arial"/>
                <w:noProof/>
                <w:lang w:val="en-US"/>
              </w:rPr>
              <w:t>45</w:t>
            </w:r>
            <w:r w:rsidR="008E193D">
              <w:rPr>
                <w:rFonts w:ascii="Arial" w:hAnsi="Arial" w:cs="Arial"/>
                <w:noProof/>
                <w:lang w:val="en-US"/>
              </w:rPr>
              <w:t>)</w:t>
            </w:r>
          </w:p>
        </w:tc>
        <w:tc>
          <w:tcPr>
            <w:tcW w:w="2762" w:type="dxa"/>
          </w:tcPr>
          <w:p w14:paraId="18E11ABB"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2%</w:t>
            </w:r>
          </w:p>
        </w:tc>
        <w:tc>
          <w:tcPr>
            <w:tcW w:w="2268" w:type="dxa"/>
            <w:vMerge w:val="restart"/>
          </w:tcPr>
          <w:p w14:paraId="0ECB3082"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T2DM</w:t>
            </w:r>
          </w:p>
        </w:tc>
      </w:tr>
      <w:tr w:rsidR="00002F76" w:rsidRPr="00A30B0F" w14:paraId="1C027FE0" w14:textId="77777777" w:rsidTr="002C3F79">
        <w:tc>
          <w:tcPr>
            <w:tcW w:w="1779" w:type="dxa"/>
            <w:vMerge/>
          </w:tcPr>
          <w:p w14:paraId="2D7147E2" w14:textId="77777777" w:rsidR="00002F76" w:rsidRPr="00A30B0F" w:rsidRDefault="00002F76" w:rsidP="00C96EE5">
            <w:pPr>
              <w:spacing w:line="276" w:lineRule="auto"/>
              <w:rPr>
                <w:rFonts w:ascii="Arial" w:hAnsi="Arial" w:cs="Arial"/>
                <w:b/>
                <w:lang w:val="en-US"/>
              </w:rPr>
            </w:pPr>
          </w:p>
        </w:tc>
        <w:tc>
          <w:tcPr>
            <w:tcW w:w="2655" w:type="dxa"/>
          </w:tcPr>
          <w:p w14:paraId="6DDF6A70" w14:textId="1DFF8D88"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Panitumumab </w:t>
            </w:r>
            <w:r w:rsidR="008E193D">
              <w:rPr>
                <w:rFonts w:ascii="Arial" w:hAnsi="Arial" w:cs="Arial"/>
                <w:lang w:val="en-US"/>
              </w:rPr>
              <w:t>(</w:t>
            </w:r>
            <w:r w:rsidRPr="008E193D">
              <w:rPr>
                <w:rFonts w:ascii="Arial" w:hAnsi="Arial" w:cs="Arial"/>
                <w:noProof/>
                <w:lang w:val="en-US"/>
              </w:rPr>
              <w:t>46, 47</w:t>
            </w:r>
            <w:r w:rsidR="008E193D">
              <w:rPr>
                <w:rFonts w:ascii="Arial" w:hAnsi="Arial" w:cs="Arial"/>
                <w:noProof/>
                <w:lang w:val="en-US"/>
              </w:rPr>
              <w:t>)</w:t>
            </w:r>
          </w:p>
        </w:tc>
        <w:tc>
          <w:tcPr>
            <w:tcW w:w="2762" w:type="dxa"/>
          </w:tcPr>
          <w:p w14:paraId="2F033383"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1-10%</w:t>
            </w:r>
          </w:p>
        </w:tc>
        <w:tc>
          <w:tcPr>
            <w:tcW w:w="2268" w:type="dxa"/>
            <w:vMerge/>
          </w:tcPr>
          <w:p w14:paraId="28DC06ED" w14:textId="77777777" w:rsidR="00002F76" w:rsidRPr="00A30B0F" w:rsidRDefault="00002F76" w:rsidP="00C96EE5">
            <w:pPr>
              <w:spacing w:line="276" w:lineRule="auto"/>
              <w:rPr>
                <w:rFonts w:ascii="Arial" w:hAnsi="Arial" w:cs="Arial"/>
                <w:lang w:val="en-US"/>
              </w:rPr>
            </w:pPr>
          </w:p>
        </w:tc>
      </w:tr>
      <w:tr w:rsidR="00002F76" w:rsidRPr="00A30B0F" w14:paraId="73AF43B4" w14:textId="77777777" w:rsidTr="002C3F79">
        <w:trPr>
          <w:trHeight w:val="462"/>
        </w:trPr>
        <w:tc>
          <w:tcPr>
            <w:tcW w:w="1779" w:type="dxa"/>
            <w:vMerge w:val="restart"/>
          </w:tcPr>
          <w:p w14:paraId="26F07CAF"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Multikinase inhibitor</w:t>
            </w:r>
          </w:p>
        </w:tc>
        <w:tc>
          <w:tcPr>
            <w:tcW w:w="2655" w:type="dxa"/>
          </w:tcPr>
          <w:p w14:paraId="72EC03E9" w14:textId="4F92931A"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Sunitinib </w:t>
            </w:r>
            <w:r w:rsidR="008E193D">
              <w:rPr>
                <w:rFonts w:ascii="Arial" w:hAnsi="Arial" w:cs="Arial"/>
                <w:lang w:val="en-US"/>
              </w:rPr>
              <w:t>(</w:t>
            </w:r>
            <w:r w:rsidRPr="008E193D">
              <w:rPr>
                <w:rFonts w:ascii="Arial" w:hAnsi="Arial" w:cs="Arial"/>
                <w:noProof/>
                <w:lang w:val="en-US"/>
              </w:rPr>
              <w:t>48-50</w:t>
            </w:r>
            <w:r w:rsidR="008E193D">
              <w:rPr>
                <w:rFonts w:ascii="Arial" w:hAnsi="Arial" w:cs="Arial"/>
                <w:noProof/>
                <w:lang w:val="en-US"/>
              </w:rPr>
              <w:t>)</w:t>
            </w:r>
          </w:p>
        </w:tc>
        <w:tc>
          <w:tcPr>
            <w:tcW w:w="2762" w:type="dxa"/>
            <w:vMerge w:val="restart"/>
          </w:tcPr>
          <w:p w14:paraId="635F06A4"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 xml:space="preserve">0-8% </w:t>
            </w:r>
          </w:p>
          <w:p w14:paraId="4F8EAB4D" w14:textId="65CE0EDD" w:rsidR="00002F76" w:rsidRPr="00A30B0F" w:rsidRDefault="00002F76" w:rsidP="00C96EE5">
            <w:pPr>
              <w:spacing w:line="276" w:lineRule="auto"/>
              <w:rPr>
                <w:rFonts w:ascii="Arial" w:hAnsi="Arial" w:cs="Arial"/>
                <w:lang w:val="en-US"/>
              </w:rPr>
            </w:pPr>
            <w:r w:rsidRPr="00A30B0F">
              <w:rPr>
                <w:rFonts w:ascii="Arial" w:hAnsi="Arial" w:cs="Arial"/>
                <w:lang w:val="en-US"/>
              </w:rPr>
              <w:t xml:space="preserve">Risk of </w:t>
            </w:r>
            <w:r w:rsidR="00A4356B" w:rsidRPr="00A30B0F">
              <w:rPr>
                <w:rFonts w:ascii="Arial" w:hAnsi="Arial" w:cs="Arial"/>
                <w:lang w:val="en-US"/>
              </w:rPr>
              <w:t>hypoglycemia</w:t>
            </w:r>
          </w:p>
        </w:tc>
        <w:tc>
          <w:tcPr>
            <w:tcW w:w="2268" w:type="dxa"/>
            <w:vMerge w:val="restart"/>
          </w:tcPr>
          <w:p w14:paraId="2F4E8E21" w14:textId="118496DE" w:rsidR="00002F76" w:rsidRPr="00A30B0F" w:rsidRDefault="00002F76" w:rsidP="00C96EE5">
            <w:pPr>
              <w:spacing w:line="276" w:lineRule="auto"/>
              <w:rPr>
                <w:rFonts w:ascii="Arial" w:hAnsi="Arial" w:cs="Arial"/>
                <w:lang w:val="en-US"/>
              </w:rPr>
            </w:pPr>
            <w:r w:rsidRPr="00A30B0F">
              <w:rPr>
                <w:rFonts w:ascii="Arial" w:hAnsi="Arial" w:cs="Arial"/>
                <w:shd w:val="clear" w:color="auto" w:fill="FFFFFF"/>
                <w:lang w:val="en-US"/>
              </w:rPr>
              <w:t xml:space="preserve">Reverses T1/T2DM, but also causes </w:t>
            </w:r>
            <w:r w:rsidR="00A4356B" w:rsidRPr="00A30B0F">
              <w:rPr>
                <w:rFonts w:ascii="Arial" w:hAnsi="Arial" w:cs="Arial"/>
                <w:shd w:val="clear" w:color="auto" w:fill="FFFFFF"/>
                <w:lang w:val="en-US"/>
              </w:rPr>
              <w:t>hyperglycemia</w:t>
            </w:r>
          </w:p>
        </w:tc>
      </w:tr>
      <w:tr w:rsidR="00002F76" w:rsidRPr="00A30B0F" w14:paraId="641425E1" w14:textId="77777777" w:rsidTr="002C3F79">
        <w:trPr>
          <w:trHeight w:val="462"/>
        </w:trPr>
        <w:tc>
          <w:tcPr>
            <w:tcW w:w="1779" w:type="dxa"/>
            <w:vMerge/>
          </w:tcPr>
          <w:p w14:paraId="25C547AE" w14:textId="77777777" w:rsidR="00002F76" w:rsidRPr="00A30B0F" w:rsidRDefault="00002F76" w:rsidP="00C96EE5">
            <w:pPr>
              <w:spacing w:line="276" w:lineRule="auto"/>
              <w:rPr>
                <w:rFonts w:ascii="Arial" w:hAnsi="Arial" w:cs="Arial"/>
                <w:b/>
                <w:lang w:val="en-US"/>
              </w:rPr>
            </w:pPr>
          </w:p>
        </w:tc>
        <w:tc>
          <w:tcPr>
            <w:tcW w:w="2655" w:type="dxa"/>
          </w:tcPr>
          <w:p w14:paraId="1C5B9848" w14:textId="4C7F3508"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Pazopanib </w:t>
            </w:r>
            <w:r w:rsidR="008E193D">
              <w:rPr>
                <w:rFonts w:ascii="Arial" w:hAnsi="Arial" w:cs="Arial"/>
                <w:lang w:val="en-US"/>
              </w:rPr>
              <w:t>(</w:t>
            </w:r>
            <w:r w:rsidRPr="008E193D">
              <w:rPr>
                <w:rFonts w:ascii="Arial" w:hAnsi="Arial" w:cs="Arial"/>
                <w:noProof/>
                <w:lang w:val="en-US"/>
              </w:rPr>
              <w:t>50</w:t>
            </w:r>
            <w:r w:rsidR="008E193D">
              <w:rPr>
                <w:rFonts w:ascii="Arial" w:hAnsi="Arial" w:cs="Arial"/>
                <w:noProof/>
                <w:lang w:val="en-US"/>
              </w:rPr>
              <w:t>)</w:t>
            </w:r>
          </w:p>
        </w:tc>
        <w:tc>
          <w:tcPr>
            <w:tcW w:w="2762" w:type="dxa"/>
            <w:vMerge/>
          </w:tcPr>
          <w:p w14:paraId="00EDD33C" w14:textId="77777777" w:rsidR="00002F76" w:rsidRPr="00A30B0F" w:rsidRDefault="00002F76" w:rsidP="00C96EE5">
            <w:pPr>
              <w:spacing w:line="276" w:lineRule="auto"/>
              <w:rPr>
                <w:rFonts w:ascii="Arial" w:hAnsi="Arial" w:cs="Arial"/>
                <w:lang w:val="en-US"/>
              </w:rPr>
            </w:pPr>
          </w:p>
        </w:tc>
        <w:tc>
          <w:tcPr>
            <w:tcW w:w="2268" w:type="dxa"/>
            <w:vMerge/>
          </w:tcPr>
          <w:p w14:paraId="3ECD4671" w14:textId="77777777" w:rsidR="00002F76" w:rsidRPr="00A30B0F" w:rsidRDefault="00002F76" w:rsidP="00C96EE5">
            <w:pPr>
              <w:spacing w:line="276" w:lineRule="auto"/>
              <w:rPr>
                <w:rFonts w:ascii="Arial" w:hAnsi="Arial" w:cs="Arial"/>
                <w:shd w:val="clear" w:color="auto" w:fill="FFFFFF"/>
                <w:lang w:val="en-US"/>
              </w:rPr>
            </w:pPr>
          </w:p>
        </w:tc>
      </w:tr>
      <w:tr w:rsidR="00002F76" w:rsidRPr="00A30B0F" w14:paraId="4116E39D" w14:textId="77777777" w:rsidTr="002C3F79">
        <w:trPr>
          <w:trHeight w:val="306"/>
        </w:trPr>
        <w:tc>
          <w:tcPr>
            <w:tcW w:w="1779" w:type="dxa"/>
            <w:vMerge w:val="restart"/>
          </w:tcPr>
          <w:p w14:paraId="73FE2351"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Tyrosine kinase inhibitor (TKI)</w:t>
            </w:r>
          </w:p>
        </w:tc>
        <w:tc>
          <w:tcPr>
            <w:tcW w:w="2655" w:type="dxa"/>
          </w:tcPr>
          <w:p w14:paraId="779DE0EB" w14:textId="0C85CD9C"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Nilotinib </w:t>
            </w:r>
            <w:r w:rsidR="008E193D">
              <w:rPr>
                <w:rFonts w:ascii="Arial" w:hAnsi="Arial" w:cs="Arial"/>
                <w:lang w:val="en-US"/>
              </w:rPr>
              <w:t>(</w:t>
            </w:r>
            <w:r w:rsidRPr="008E193D">
              <w:rPr>
                <w:rFonts w:ascii="Arial" w:hAnsi="Arial" w:cs="Arial"/>
                <w:noProof/>
                <w:lang w:val="en-US"/>
              </w:rPr>
              <w:t>51</w:t>
            </w:r>
            <w:r w:rsidR="008E193D">
              <w:rPr>
                <w:rFonts w:ascii="Arial" w:hAnsi="Arial" w:cs="Arial"/>
                <w:noProof/>
                <w:lang w:val="en-US"/>
              </w:rPr>
              <w:t>)</w:t>
            </w:r>
          </w:p>
        </w:tc>
        <w:tc>
          <w:tcPr>
            <w:tcW w:w="2762" w:type="dxa"/>
          </w:tcPr>
          <w:p w14:paraId="7ECA995E"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6%</w:t>
            </w:r>
          </w:p>
        </w:tc>
        <w:tc>
          <w:tcPr>
            <w:tcW w:w="2268" w:type="dxa"/>
            <w:vMerge w:val="restart"/>
          </w:tcPr>
          <w:p w14:paraId="3D6AB10C" w14:textId="77777777" w:rsidR="00002F76" w:rsidRPr="00A30B0F" w:rsidRDefault="00002F76" w:rsidP="00C96EE5">
            <w:pPr>
              <w:spacing w:line="276" w:lineRule="auto"/>
              <w:rPr>
                <w:rFonts w:ascii="Arial" w:hAnsi="Arial" w:cs="Arial"/>
                <w:shd w:val="clear" w:color="auto" w:fill="FFFFFF"/>
                <w:lang w:val="en-US"/>
              </w:rPr>
            </w:pPr>
            <w:r w:rsidRPr="00A30B0F">
              <w:rPr>
                <w:rFonts w:ascii="Arial" w:hAnsi="Arial" w:cs="Arial"/>
                <w:lang w:val="en-US"/>
              </w:rPr>
              <w:t>T2DM</w:t>
            </w:r>
          </w:p>
        </w:tc>
      </w:tr>
      <w:tr w:rsidR="00002F76" w:rsidRPr="00A30B0F" w14:paraId="66C832AE" w14:textId="77777777" w:rsidTr="002C3F79">
        <w:trPr>
          <w:trHeight w:val="306"/>
        </w:trPr>
        <w:tc>
          <w:tcPr>
            <w:tcW w:w="1779" w:type="dxa"/>
            <w:vMerge/>
          </w:tcPr>
          <w:p w14:paraId="2626D81A" w14:textId="77777777" w:rsidR="00002F76" w:rsidRPr="00A30B0F" w:rsidRDefault="00002F76" w:rsidP="00C96EE5">
            <w:pPr>
              <w:spacing w:line="276" w:lineRule="auto"/>
              <w:rPr>
                <w:rFonts w:ascii="Arial" w:hAnsi="Arial" w:cs="Arial"/>
                <w:b/>
                <w:lang w:val="en-US"/>
              </w:rPr>
            </w:pPr>
          </w:p>
        </w:tc>
        <w:tc>
          <w:tcPr>
            <w:tcW w:w="2655" w:type="dxa"/>
          </w:tcPr>
          <w:p w14:paraId="3B3D1DA9" w14:textId="6497E4F0"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Ponatinib </w:t>
            </w:r>
            <w:r w:rsidR="008E193D">
              <w:rPr>
                <w:rFonts w:ascii="Arial" w:hAnsi="Arial" w:cs="Arial"/>
                <w:lang w:val="en-US"/>
              </w:rPr>
              <w:t>(</w:t>
            </w:r>
            <w:r w:rsidRPr="008E193D">
              <w:rPr>
                <w:rFonts w:ascii="Arial" w:hAnsi="Arial" w:cs="Arial"/>
                <w:noProof/>
                <w:lang w:val="en-US"/>
              </w:rPr>
              <w:t>52</w:t>
            </w:r>
            <w:r w:rsidR="008E193D">
              <w:rPr>
                <w:rFonts w:ascii="Arial" w:hAnsi="Arial" w:cs="Arial"/>
                <w:noProof/>
                <w:lang w:val="en-US"/>
              </w:rPr>
              <w:t>)</w:t>
            </w:r>
          </w:p>
        </w:tc>
        <w:tc>
          <w:tcPr>
            <w:tcW w:w="2762" w:type="dxa"/>
          </w:tcPr>
          <w:p w14:paraId="32A7A96C"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3%</w:t>
            </w:r>
          </w:p>
        </w:tc>
        <w:tc>
          <w:tcPr>
            <w:tcW w:w="2268" w:type="dxa"/>
            <w:vMerge/>
          </w:tcPr>
          <w:p w14:paraId="651B6395" w14:textId="77777777" w:rsidR="00002F76" w:rsidRPr="00A30B0F" w:rsidRDefault="00002F76" w:rsidP="00C96EE5">
            <w:pPr>
              <w:spacing w:line="276" w:lineRule="auto"/>
              <w:rPr>
                <w:rFonts w:ascii="Arial" w:hAnsi="Arial" w:cs="Arial"/>
                <w:lang w:val="en-US"/>
              </w:rPr>
            </w:pPr>
          </w:p>
        </w:tc>
      </w:tr>
      <w:tr w:rsidR="00002F76" w:rsidRPr="00A30B0F" w14:paraId="5976227A" w14:textId="77777777" w:rsidTr="002C3F79">
        <w:tc>
          <w:tcPr>
            <w:tcW w:w="1779" w:type="dxa"/>
          </w:tcPr>
          <w:p w14:paraId="294D181A"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ALK Inhibitor</w:t>
            </w:r>
          </w:p>
        </w:tc>
        <w:tc>
          <w:tcPr>
            <w:tcW w:w="2655" w:type="dxa"/>
          </w:tcPr>
          <w:p w14:paraId="0DA25D96" w14:textId="77E9B23E"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Ceritinib </w:t>
            </w:r>
            <w:r w:rsidR="008E193D">
              <w:rPr>
                <w:rFonts w:ascii="Arial" w:hAnsi="Arial" w:cs="Arial"/>
                <w:lang w:val="en-US"/>
              </w:rPr>
              <w:t>(</w:t>
            </w:r>
            <w:r w:rsidRPr="008E193D">
              <w:rPr>
                <w:rFonts w:ascii="Arial" w:hAnsi="Arial" w:cs="Arial"/>
                <w:noProof/>
                <w:lang w:val="en-US"/>
              </w:rPr>
              <w:t>53</w:t>
            </w:r>
            <w:r w:rsidR="008E193D">
              <w:rPr>
                <w:rFonts w:ascii="Arial" w:hAnsi="Arial" w:cs="Arial"/>
                <w:noProof/>
                <w:lang w:val="en-US"/>
              </w:rPr>
              <w:t>)</w:t>
            </w:r>
          </w:p>
        </w:tc>
        <w:tc>
          <w:tcPr>
            <w:tcW w:w="2762" w:type="dxa"/>
          </w:tcPr>
          <w:p w14:paraId="28ED098D"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49%</w:t>
            </w:r>
          </w:p>
        </w:tc>
        <w:tc>
          <w:tcPr>
            <w:tcW w:w="2268" w:type="dxa"/>
          </w:tcPr>
          <w:p w14:paraId="289439B2"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T2DM</w:t>
            </w:r>
          </w:p>
        </w:tc>
      </w:tr>
      <w:tr w:rsidR="00002F76" w:rsidRPr="00A30B0F" w14:paraId="40C67CAE" w14:textId="77777777" w:rsidTr="002C3F79">
        <w:trPr>
          <w:trHeight w:val="306"/>
        </w:trPr>
        <w:tc>
          <w:tcPr>
            <w:tcW w:w="1779" w:type="dxa"/>
            <w:vMerge w:val="restart"/>
          </w:tcPr>
          <w:p w14:paraId="241580BB"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FLT3 inhibitor</w:t>
            </w:r>
          </w:p>
        </w:tc>
        <w:tc>
          <w:tcPr>
            <w:tcW w:w="2655" w:type="dxa"/>
          </w:tcPr>
          <w:p w14:paraId="67F85AAD" w14:textId="3DB71A3B" w:rsidR="00002F76" w:rsidRPr="008E193D" w:rsidRDefault="00002F76" w:rsidP="00C96EE5">
            <w:pPr>
              <w:spacing w:line="276" w:lineRule="auto"/>
              <w:rPr>
                <w:rFonts w:ascii="Arial" w:hAnsi="Arial" w:cs="Arial"/>
                <w:lang w:val="en-US"/>
              </w:rPr>
            </w:pPr>
            <w:proofErr w:type="spellStart"/>
            <w:r w:rsidRPr="008E193D">
              <w:rPr>
                <w:rFonts w:ascii="Arial" w:hAnsi="Arial" w:cs="Arial"/>
                <w:lang w:val="en-US"/>
              </w:rPr>
              <w:t>Midostaurin</w:t>
            </w:r>
            <w:proofErr w:type="spellEnd"/>
            <w:r w:rsidRPr="008E193D">
              <w:rPr>
                <w:rFonts w:ascii="Arial" w:hAnsi="Arial" w:cs="Arial"/>
                <w:lang w:val="en-US"/>
              </w:rPr>
              <w:t xml:space="preserve"> </w:t>
            </w:r>
            <w:r w:rsidR="008E193D">
              <w:rPr>
                <w:rFonts w:ascii="Arial" w:hAnsi="Arial" w:cs="Arial"/>
                <w:lang w:val="en-US"/>
              </w:rPr>
              <w:t>(</w:t>
            </w:r>
            <w:r w:rsidRPr="008E193D">
              <w:rPr>
                <w:rFonts w:ascii="Arial" w:hAnsi="Arial" w:cs="Arial"/>
                <w:noProof/>
                <w:lang w:val="en-US"/>
              </w:rPr>
              <w:t>54, 55</w:t>
            </w:r>
            <w:r w:rsidR="008E193D">
              <w:rPr>
                <w:rFonts w:ascii="Arial" w:hAnsi="Arial" w:cs="Arial"/>
                <w:noProof/>
                <w:lang w:val="en-US"/>
              </w:rPr>
              <w:t>)</w:t>
            </w:r>
          </w:p>
        </w:tc>
        <w:tc>
          <w:tcPr>
            <w:tcW w:w="2762" w:type="dxa"/>
          </w:tcPr>
          <w:p w14:paraId="3DBB8965"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7-20%</w:t>
            </w:r>
          </w:p>
        </w:tc>
        <w:tc>
          <w:tcPr>
            <w:tcW w:w="2268" w:type="dxa"/>
            <w:vMerge w:val="restart"/>
          </w:tcPr>
          <w:p w14:paraId="5E92CCC5"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T2DM</w:t>
            </w:r>
          </w:p>
        </w:tc>
      </w:tr>
      <w:tr w:rsidR="00002F76" w:rsidRPr="00A30B0F" w14:paraId="2F3705B2" w14:textId="77777777" w:rsidTr="002C3F79">
        <w:trPr>
          <w:trHeight w:val="306"/>
        </w:trPr>
        <w:tc>
          <w:tcPr>
            <w:tcW w:w="1779" w:type="dxa"/>
            <w:vMerge/>
          </w:tcPr>
          <w:p w14:paraId="19A9F442" w14:textId="77777777" w:rsidR="00002F76" w:rsidRPr="00A30B0F" w:rsidRDefault="00002F76" w:rsidP="00C96EE5">
            <w:pPr>
              <w:spacing w:line="276" w:lineRule="auto"/>
              <w:rPr>
                <w:rFonts w:ascii="Arial" w:hAnsi="Arial" w:cs="Arial"/>
                <w:lang w:val="en-US"/>
              </w:rPr>
            </w:pPr>
          </w:p>
        </w:tc>
        <w:tc>
          <w:tcPr>
            <w:tcW w:w="2655" w:type="dxa"/>
          </w:tcPr>
          <w:p w14:paraId="280C41AC" w14:textId="34A6D56B" w:rsidR="00002F76" w:rsidRPr="008E193D" w:rsidRDefault="00002F76" w:rsidP="00C96EE5">
            <w:pPr>
              <w:spacing w:line="276" w:lineRule="auto"/>
              <w:rPr>
                <w:rFonts w:ascii="Arial" w:hAnsi="Arial" w:cs="Arial"/>
                <w:lang w:val="en-US"/>
              </w:rPr>
            </w:pPr>
            <w:proofErr w:type="spellStart"/>
            <w:r w:rsidRPr="008E193D">
              <w:rPr>
                <w:rFonts w:ascii="Arial" w:hAnsi="Arial" w:cs="Arial"/>
                <w:lang w:val="en-US"/>
              </w:rPr>
              <w:t>Gilteritinib</w:t>
            </w:r>
            <w:proofErr w:type="spellEnd"/>
            <w:r w:rsidRPr="008E193D">
              <w:rPr>
                <w:rFonts w:ascii="Arial" w:hAnsi="Arial" w:cs="Arial"/>
                <w:lang w:val="en-US"/>
              </w:rPr>
              <w:t xml:space="preserve"> </w:t>
            </w:r>
            <w:r w:rsidR="008E193D">
              <w:rPr>
                <w:rFonts w:ascii="Arial" w:hAnsi="Arial" w:cs="Arial"/>
                <w:lang w:val="en-US"/>
              </w:rPr>
              <w:t>(</w:t>
            </w:r>
            <w:r w:rsidRPr="008E193D">
              <w:rPr>
                <w:rFonts w:ascii="Arial" w:hAnsi="Arial" w:cs="Arial"/>
                <w:noProof/>
                <w:lang w:val="en-US"/>
              </w:rPr>
              <w:t>56</w:t>
            </w:r>
            <w:r w:rsidR="008E193D">
              <w:rPr>
                <w:rFonts w:ascii="Arial" w:hAnsi="Arial" w:cs="Arial"/>
                <w:noProof/>
                <w:lang w:val="en-US"/>
              </w:rPr>
              <w:t>)</w:t>
            </w:r>
          </w:p>
        </w:tc>
        <w:tc>
          <w:tcPr>
            <w:tcW w:w="2762" w:type="dxa"/>
          </w:tcPr>
          <w:p w14:paraId="79403813"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13%</w:t>
            </w:r>
          </w:p>
        </w:tc>
        <w:tc>
          <w:tcPr>
            <w:tcW w:w="2268" w:type="dxa"/>
            <w:vMerge/>
          </w:tcPr>
          <w:p w14:paraId="2FB433E1" w14:textId="77777777" w:rsidR="00002F76" w:rsidRPr="00A30B0F" w:rsidRDefault="00002F76" w:rsidP="00C96EE5">
            <w:pPr>
              <w:spacing w:line="276" w:lineRule="auto"/>
              <w:rPr>
                <w:rFonts w:ascii="Arial" w:hAnsi="Arial" w:cs="Arial"/>
                <w:lang w:val="en-US"/>
              </w:rPr>
            </w:pPr>
          </w:p>
        </w:tc>
      </w:tr>
      <w:tr w:rsidR="00002F76" w:rsidRPr="00A30B0F" w14:paraId="7B9EF37C" w14:textId="77777777" w:rsidTr="002C3F79">
        <w:tc>
          <w:tcPr>
            <w:tcW w:w="1779" w:type="dxa"/>
          </w:tcPr>
          <w:p w14:paraId="6CE25806"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Monoclonal antibody</w:t>
            </w:r>
          </w:p>
        </w:tc>
        <w:tc>
          <w:tcPr>
            <w:tcW w:w="2655" w:type="dxa"/>
          </w:tcPr>
          <w:p w14:paraId="4257E0A1" w14:textId="6BC09B9C" w:rsidR="00002F76" w:rsidRPr="008E193D" w:rsidRDefault="00002F76" w:rsidP="00C96EE5">
            <w:pPr>
              <w:spacing w:line="276" w:lineRule="auto"/>
              <w:rPr>
                <w:rFonts w:ascii="Arial" w:hAnsi="Arial" w:cs="Arial"/>
                <w:i/>
                <w:lang w:val="en-US"/>
              </w:rPr>
            </w:pPr>
            <w:r w:rsidRPr="008E193D">
              <w:rPr>
                <w:rFonts w:ascii="Arial" w:hAnsi="Arial" w:cs="Arial"/>
                <w:lang w:val="en-US"/>
              </w:rPr>
              <w:t xml:space="preserve">Gemtuzumab (anti-CD33) *inpatient use </w:t>
            </w:r>
            <w:r w:rsidR="008E193D" w:rsidRPr="008E193D">
              <w:rPr>
                <w:rFonts w:ascii="Arial" w:hAnsi="Arial" w:cs="Arial"/>
                <w:lang w:val="en-US"/>
              </w:rPr>
              <w:t>(</w:t>
            </w:r>
            <w:r w:rsidRPr="008E193D">
              <w:rPr>
                <w:rFonts w:ascii="Arial" w:hAnsi="Arial" w:cs="Arial"/>
                <w:noProof/>
                <w:lang w:val="en-US"/>
              </w:rPr>
              <w:t>57</w:t>
            </w:r>
            <w:r w:rsidR="008E193D" w:rsidRPr="008E193D">
              <w:rPr>
                <w:rFonts w:ascii="Arial" w:hAnsi="Arial" w:cs="Arial"/>
                <w:noProof/>
                <w:lang w:val="en-US"/>
              </w:rPr>
              <w:t>)</w:t>
            </w:r>
          </w:p>
        </w:tc>
        <w:tc>
          <w:tcPr>
            <w:tcW w:w="2762" w:type="dxa"/>
          </w:tcPr>
          <w:p w14:paraId="40516378"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10%</w:t>
            </w:r>
          </w:p>
        </w:tc>
        <w:tc>
          <w:tcPr>
            <w:tcW w:w="2268" w:type="dxa"/>
          </w:tcPr>
          <w:p w14:paraId="0D61CA6A"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T2DM</w:t>
            </w:r>
          </w:p>
        </w:tc>
      </w:tr>
      <w:tr w:rsidR="00002F76" w:rsidRPr="00A30B0F" w14:paraId="258D8B53" w14:textId="77777777" w:rsidTr="002C3F79">
        <w:tc>
          <w:tcPr>
            <w:tcW w:w="1779" w:type="dxa"/>
          </w:tcPr>
          <w:p w14:paraId="1BEFD7FB"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Somatostatin Analogues</w:t>
            </w:r>
          </w:p>
        </w:tc>
        <w:tc>
          <w:tcPr>
            <w:tcW w:w="2655" w:type="dxa"/>
          </w:tcPr>
          <w:p w14:paraId="5B3D7C71" w14:textId="4BB61F81"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Octreotide, </w:t>
            </w:r>
            <w:proofErr w:type="spellStart"/>
            <w:r w:rsidRPr="008E193D">
              <w:rPr>
                <w:rFonts w:ascii="Arial" w:hAnsi="Arial" w:cs="Arial"/>
                <w:lang w:val="en-US"/>
              </w:rPr>
              <w:t>Lanreotide</w:t>
            </w:r>
            <w:proofErr w:type="spellEnd"/>
            <w:r w:rsidRPr="008E193D">
              <w:rPr>
                <w:rFonts w:ascii="Arial" w:hAnsi="Arial" w:cs="Arial"/>
                <w:lang w:val="en-US"/>
              </w:rPr>
              <w:t xml:space="preserve"> </w:t>
            </w:r>
            <w:r w:rsidR="008E193D">
              <w:rPr>
                <w:rFonts w:ascii="Arial" w:hAnsi="Arial" w:cs="Arial"/>
                <w:lang w:val="en-US"/>
              </w:rPr>
              <w:t>(</w:t>
            </w:r>
            <w:r w:rsidRPr="008E193D">
              <w:rPr>
                <w:rFonts w:ascii="Arial" w:hAnsi="Arial" w:cs="Arial"/>
                <w:noProof/>
                <w:lang w:val="en-US"/>
              </w:rPr>
              <w:t>58</w:t>
            </w:r>
            <w:r w:rsidR="008E193D">
              <w:rPr>
                <w:rFonts w:ascii="Arial" w:hAnsi="Arial" w:cs="Arial"/>
                <w:noProof/>
                <w:lang w:val="en-US"/>
              </w:rPr>
              <w:t>)</w:t>
            </w:r>
          </w:p>
        </w:tc>
        <w:tc>
          <w:tcPr>
            <w:tcW w:w="2762" w:type="dxa"/>
          </w:tcPr>
          <w:p w14:paraId="60DBE718"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Up to 30%</w:t>
            </w:r>
          </w:p>
        </w:tc>
        <w:tc>
          <w:tcPr>
            <w:tcW w:w="2268" w:type="dxa"/>
          </w:tcPr>
          <w:p w14:paraId="6F3D8112" w14:textId="50B07C68" w:rsidR="00002F76" w:rsidRPr="00A30B0F" w:rsidRDefault="00002F76" w:rsidP="00C96EE5">
            <w:pPr>
              <w:spacing w:line="276" w:lineRule="auto"/>
              <w:rPr>
                <w:rFonts w:ascii="Arial" w:hAnsi="Arial" w:cs="Arial"/>
                <w:lang w:val="en-US"/>
              </w:rPr>
            </w:pPr>
            <w:r w:rsidRPr="00A30B0F">
              <w:rPr>
                <w:rFonts w:ascii="Arial" w:hAnsi="Arial" w:cs="Arial"/>
                <w:lang w:val="en-US"/>
              </w:rPr>
              <w:t xml:space="preserve">T2DM, but risk of </w:t>
            </w:r>
            <w:r w:rsidR="00A4356B" w:rsidRPr="00A30B0F">
              <w:rPr>
                <w:rFonts w:ascii="Arial" w:hAnsi="Arial" w:cs="Arial"/>
                <w:lang w:val="en-US"/>
              </w:rPr>
              <w:t>hypoglycemia</w:t>
            </w:r>
          </w:p>
        </w:tc>
      </w:tr>
      <w:tr w:rsidR="00002F76" w:rsidRPr="00A30B0F" w14:paraId="4940FE59" w14:textId="77777777" w:rsidTr="002C3F79">
        <w:tc>
          <w:tcPr>
            <w:tcW w:w="7196" w:type="dxa"/>
            <w:gridSpan w:val="3"/>
          </w:tcPr>
          <w:p w14:paraId="4226A553" w14:textId="77777777" w:rsidR="00002F76" w:rsidRPr="008E193D" w:rsidRDefault="00002F76" w:rsidP="00C96EE5">
            <w:pPr>
              <w:spacing w:line="276" w:lineRule="auto"/>
              <w:textAlignment w:val="baseline"/>
              <w:rPr>
                <w:rFonts w:ascii="Arial" w:hAnsi="Arial" w:cs="Arial"/>
                <w:b/>
                <w:bCs/>
                <w:lang w:val="en-US"/>
              </w:rPr>
            </w:pPr>
            <w:r w:rsidRPr="008E193D">
              <w:rPr>
                <w:rFonts w:ascii="Arial" w:hAnsi="Arial" w:cs="Arial"/>
                <w:b/>
                <w:bCs/>
                <w:lang w:val="en-US"/>
              </w:rPr>
              <w:t xml:space="preserve">Chemotherapy </w:t>
            </w:r>
          </w:p>
        </w:tc>
        <w:tc>
          <w:tcPr>
            <w:tcW w:w="2268" w:type="dxa"/>
          </w:tcPr>
          <w:p w14:paraId="5FA14781" w14:textId="77777777" w:rsidR="00002F76" w:rsidRPr="00A30B0F" w:rsidRDefault="00002F76" w:rsidP="00C96EE5">
            <w:pPr>
              <w:spacing w:line="276" w:lineRule="auto"/>
              <w:rPr>
                <w:rFonts w:ascii="Arial" w:hAnsi="Arial" w:cs="Arial"/>
                <w:lang w:val="en-US"/>
              </w:rPr>
            </w:pPr>
          </w:p>
        </w:tc>
      </w:tr>
      <w:tr w:rsidR="00002F76" w:rsidRPr="00A30B0F" w14:paraId="5AFF84D8" w14:textId="77777777" w:rsidTr="002C3F79">
        <w:tc>
          <w:tcPr>
            <w:tcW w:w="1779" w:type="dxa"/>
            <w:vMerge w:val="restart"/>
          </w:tcPr>
          <w:p w14:paraId="5D6A780B"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Anti-metabolite</w:t>
            </w:r>
          </w:p>
        </w:tc>
        <w:tc>
          <w:tcPr>
            <w:tcW w:w="2655" w:type="dxa"/>
          </w:tcPr>
          <w:p w14:paraId="588C246C" w14:textId="47AFD3FB"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5-fluorouracil </w:t>
            </w:r>
            <w:r w:rsidR="008E193D">
              <w:rPr>
                <w:rFonts w:ascii="Arial" w:hAnsi="Arial" w:cs="Arial"/>
                <w:lang w:val="en-US"/>
              </w:rPr>
              <w:t>(</w:t>
            </w:r>
            <w:r w:rsidRPr="008E193D">
              <w:rPr>
                <w:rFonts w:ascii="Arial" w:hAnsi="Arial" w:cs="Arial"/>
                <w:noProof/>
                <w:lang w:val="en-US"/>
              </w:rPr>
              <w:t>59, 60</w:t>
            </w:r>
            <w:r w:rsidR="008E193D">
              <w:rPr>
                <w:rFonts w:ascii="Arial" w:hAnsi="Arial" w:cs="Arial"/>
                <w:noProof/>
                <w:lang w:val="en-US"/>
              </w:rPr>
              <w:t>)</w:t>
            </w:r>
          </w:p>
        </w:tc>
        <w:tc>
          <w:tcPr>
            <w:tcW w:w="2762" w:type="dxa"/>
          </w:tcPr>
          <w:p w14:paraId="135E28B1"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 xml:space="preserve">Up to 10% </w:t>
            </w:r>
          </w:p>
        </w:tc>
        <w:tc>
          <w:tcPr>
            <w:tcW w:w="2268" w:type="dxa"/>
            <w:vMerge w:val="restart"/>
          </w:tcPr>
          <w:p w14:paraId="1E4BBF88"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T2DM</w:t>
            </w:r>
          </w:p>
        </w:tc>
      </w:tr>
      <w:tr w:rsidR="00002F76" w:rsidRPr="00A30B0F" w14:paraId="029F200D" w14:textId="77777777" w:rsidTr="002C3F79">
        <w:tc>
          <w:tcPr>
            <w:tcW w:w="1779" w:type="dxa"/>
            <w:vMerge/>
          </w:tcPr>
          <w:p w14:paraId="17983467" w14:textId="77777777" w:rsidR="00002F76" w:rsidRPr="00A30B0F" w:rsidRDefault="00002F76" w:rsidP="00C96EE5">
            <w:pPr>
              <w:spacing w:line="276" w:lineRule="auto"/>
              <w:rPr>
                <w:rFonts w:ascii="Arial" w:hAnsi="Arial" w:cs="Arial"/>
                <w:b/>
                <w:lang w:val="en-US"/>
              </w:rPr>
            </w:pPr>
          </w:p>
        </w:tc>
        <w:tc>
          <w:tcPr>
            <w:tcW w:w="2655" w:type="dxa"/>
          </w:tcPr>
          <w:p w14:paraId="451F1667" w14:textId="7EFA7CAF"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Pemetrexed </w:t>
            </w:r>
            <w:r w:rsidR="008E193D">
              <w:rPr>
                <w:rFonts w:ascii="Arial" w:hAnsi="Arial" w:cs="Arial"/>
                <w:lang w:val="en-US"/>
              </w:rPr>
              <w:t>(</w:t>
            </w:r>
            <w:r w:rsidRPr="008E193D">
              <w:rPr>
                <w:rFonts w:ascii="Arial" w:hAnsi="Arial" w:cs="Arial"/>
                <w:noProof/>
                <w:lang w:val="en-US"/>
              </w:rPr>
              <w:t>61, 62</w:t>
            </w:r>
            <w:r w:rsidR="008E193D">
              <w:rPr>
                <w:rFonts w:ascii="Arial" w:hAnsi="Arial" w:cs="Arial"/>
                <w:noProof/>
                <w:lang w:val="en-US"/>
              </w:rPr>
              <w:t>)</w:t>
            </w:r>
          </w:p>
        </w:tc>
        <w:tc>
          <w:tcPr>
            <w:tcW w:w="2762" w:type="dxa"/>
          </w:tcPr>
          <w:p w14:paraId="54AB5618"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4%</w:t>
            </w:r>
          </w:p>
        </w:tc>
        <w:tc>
          <w:tcPr>
            <w:tcW w:w="2268" w:type="dxa"/>
            <w:vMerge/>
          </w:tcPr>
          <w:p w14:paraId="4C12A70B" w14:textId="77777777" w:rsidR="00002F76" w:rsidRPr="00A30B0F" w:rsidRDefault="00002F76" w:rsidP="00C96EE5">
            <w:pPr>
              <w:spacing w:line="276" w:lineRule="auto"/>
              <w:rPr>
                <w:rFonts w:ascii="Arial" w:hAnsi="Arial" w:cs="Arial"/>
                <w:lang w:val="en-US"/>
              </w:rPr>
            </w:pPr>
          </w:p>
        </w:tc>
      </w:tr>
      <w:tr w:rsidR="00002F76" w:rsidRPr="00A30B0F" w14:paraId="268B1F08" w14:textId="77777777" w:rsidTr="002C3F79">
        <w:tc>
          <w:tcPr>
            <w:tcW w:w="1779" w:type="dxa"/>
            <w:vMerge/>
          </w:tcPr>
          <w:p w14:paraId="2D9D380A" w14:textId="77777777" w:rsidR="00002F76" w:rsidRPr="00A30B0F" w:rsidRDefault="00002F76" w:rsidP="00C96EE5">
            <w:pPr>
              <w:spacing w:line="276" w:lineRule="auto"/>
              <w:rPr>
                <w:rFonts w:ascii="Arial" w:hAnsi="Arial" w:cs="Arial"/>
                <w:b/>
                <w:lang w:val="en-US"/>
              </w:rPr>
            </w:pPr>
          </w:p>
        </w:tc>
        <w:tc>
          <w:tcPr>
            <w:tcW w:w="2655" w:type="dxa"/>
          </w:tcPr>
          <w:p w14:paraId="037B9CA6" w14:textId="6F3753B1" w:rsidR="00002F76" w:rsidRPr="008E193D" w:rsidRDefault="00002F76" w:rsidP="00C96EE5">
            <w:pPr>
              <w:spacing w:line="276" w:lineRule="auto"/>
              <w:rPr>
                <w:rFonts w:ascii="Arial" w:hAnsi="Arial" w:cs="Arial"/>
                <w:lang w:val="en-US"/>
              </w:rPr>
            </w:pPr>
            <w:proofErr w:type="spellStart"/>
            <w:r w:rsidRPr="008E193D">
              <w:rPr>
                <w:rFonts w:ascii="Arial" w:hAnsi="Arial" w:cs="Arial"/>
                <w:lang w:val="en-US"/>
              </w:rPr>
              <w:t>Decitadine</w:t>
            </w:r>
            <w:proofErr w:type="spellEnd"/>
            <w:r w:rsidRPr="008E193D">
              <w:rPr>
                <w:rFonts w:ascii="Arial" w:hAnsi="Arial" w:cs="Arial"/>
                <w:lang w:val="en-US"/>
              </w:rPr>
              <w:t>/</w:t>
            </w:r>
            <w:proofErr w:type="spellStart"/>
            <w:r w:rsidRPr="008E193D">
              <w:rPr>
                <w:rFonts w:ascii="Arial" w:hAnsi="Arial" w:cs="Arial"/>
                <w:lang w:val="en-US"/>
              </w:rPr>
              <w:t>Azacitidine</w:t>
            </w:r>
            <w:proofErr w:type="spellEnd"/>
            <w:r w:rsidRPr="008E193D">
              <w:rPr>
                <w:rFonts w:ascii="Arial" w:hAnsi="Arial" w:cs="Arial"/>
                <w:lang w:val="en-US"/>
              </w:rPr>
              <w:t xml:space="preserve"> </w:t>
            </w:r>
            <w:r w:rsidR="008E193D">
              <w:rPr>
                <w:rFonts w:ascii="Arial" w:hAnsi="Arial" w:cs="Arial"/>
                <w:lang w:val="en-US"/>
              </w:rPr>
              <w:t>(</w:t>
            </w:r>
            <w:r w:rsidRPr="008E193D">
              <w:rPr>
                <w:rFonts w:ascii="Arial" w:hAnsi="Arial" w:cs="Arial"/>
                <w:noProof/>
                <w:lang w:val="en-US"/>
              </w:rPr>
              <w:t>63</w:t>
            </w:r>
            <w:r w:rsidR="008E193D">
              <w:rPr>
                <w:rFonts w:ascii="Arial" w:hAnsi="Arial" w:cs="Arial"/>
                <w:noProof/>
                <w:lang w:val="en-US"/>
              </w:rPr>
              <w:t>)</w:t>
            </w:r>
          </w:p>
        </w:tc>
        <w:tc>
          <w:tcPr>
            <w:tcW w:w="2762" w:type="dxa"/>
          </w:tcPr>
          <w:p w14:paraId="38353B96"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6-33%</w:t>
            </w:r>
          </w:p>
        </w:tc>
        <w:tc>
          <w:tcPr>
            <w:tcW w:w="2268" w:type="dxa"/>
            <w:vMerge/>
          </w:tcPr>
          <w:p w14:paraId="6D3BB491" w14:textId="77777777" w:rsidR="00002F76" w:rsidRPr="00A30B0F" w:rsidRDefault="00002F76" w:rsidP="00C96EE5">
            <w:pPr>
              <w:spacing w:line="276" w:lineRule="auto"/>
              <w:rPr>
                <w:rFonts w:ascii="Arial" w:hAnsi="Arial" w:cs="Arial"/>
                <w:lang w:val="en-US"/>
              </w:rPr>
            </w:pPr>
          </w:p>
        </w:tc>
      </w:tr>
      <w:tr w:rsidR="00002F76" w:rsidRPr="00A30B0F" w14:paraId="6C30247C" w14:textId="77777777" w:rsidTr="002C3F79">
        <w:tc>
          <w:tcPr>
            <w:tcW w:w="1779" w:type="dxa"/>
          </w:tcPr>
          <w:p w14:paraId="42322F3A"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Alkylating agents</w:t>
            </w:r>
          </w:p>
        </w:tc>
        <w:tc>
          <w:tcPr>
            <w:tcW w:w="2655" w:type="dxa"/>
          </w:tcPr>
          <w:p w14:paraId="1A4A9C30" w14:textId="695156A5"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Busulfan </w:t>
            </w:r>
            <w:r w:rsidR="008E193D">
              <w:rPr>
                <w:rFonts w:ascii="Arial" w:hAnsi="Arial" w:cs="Arial"/>
                <w:lang w:val="en-US"/>
              </w:rPr>
              <w:t>(</w:t>
            </w:r>
            <w:r w:rsidRPr="008E193D">
              <w:rPr>
                <w:rFonts w:ascii="Arial" w:hAnsi="Arial" w:cs="Arial"/>
                <w:noProof/>
                <w:lang w:val="en-US"/>
              </w:rPr>
              <w:t>64</w:t>
            </w:r>
            <w:r w:rsidR="008E193D">
              <w:rPr>
                <w:rFonts w:ascii="Arial" w:hAnsi="Arial" w:cs="Arial"/>
                <w:noProof/>
                <w:lang w:val="en-US"/>
              </w:rPr>
              <w:t>)</w:t>
            </w:r>
          </w:p>
        </w:tc>
        <w:tc>
          <w:tcPr>
            <w:tcW w:w="2762" w:type="dxa"/>
          </w:tcPr>
          <w:p w14:paraId="3B56A84B"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66-67%</w:t>
            </w:r>
          </w:p>
        </w:tc>
        <w:tc>
          <w:tcPr>
            <w:tcW w:w="2268" w:type="dxa"/>
            <w:vMerge/>
          </w:tcPr>
          <w:p w14:paraId="06830A55" w14:textId="77777777" w:rsidR="00002F76" w:rsidRPr="00A30B0F" w:rsidRDefault="00002F76" w:rsidP="00C96EE5">
            <w:pPr>
              <w:spacing w:line="276" w:lineRule="auto"/>
              <w:rPr>
                <w:rFonts w:ascii="Arial" w:hAnsi="Arial" w:cs="Arial"/>
                <w:lang w:val="en-US"/>
              </w:rPr>
            </w:pPr>
          </w:p>
        </w:tc>
      </w:tr>
      <w:tr w:rsidR="00002F76" w:rsidRPr="00A30B0F" w14:paraId="58E2C659" w14:textId="77777777" w:rsidTr="002C3F79">
        <w:tc>
          <w:tcPr>
            <w:tcW w:w="1779" w:type="dxa"/>
          </w:tcPr>
          <w:p w14:paraId="0DF49F70"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lastRenderedPageBreak/>
              <w:t>Platinum based</w:t>
            </w:r>
          </w:p>
        </w:tc>
        <w:tc>
          <w:tcPr>
            <w:tcW w:w="2655" w:type="dxa"/>
          </w:tcPr>
          <w:p w14:paraId="7C953EDC" w14:textId="78C614B9"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Oxaliplatin </w:t>
            </w:r>
            <w:r w:rsidR="008E193D">
              <w:rPr>
                <w:rFonts w:ascii="Arial" w:hAnsi="Arial" w:cs="Arial"/>
                <w:lang w:val="en-US"/>
              </w:rPr>
              <w:t>(</w:t>
            </w:r>
            <w:r w:rsidRPr="008E193D">
              <w:rPr>
                <w:rFonts w:ascii="Arial" w:hAnsi="Arial" w:cs="Arial"/>
                <w:noProof/>
                <w:lang w:val="en-US"/>
              </w:rPr>
              <w:t>65, 66</w:t>
            </w:r>
            <w:r w:rsidR="008E193D">
              <w:rPr>
                <w:rFonts w:ascii="Arial" w:hAnsi="Arial" w:cs="Arial"/>
                <w:noProof/>
                <w:lang w:val="en-US"/>
              </w:rPr>
              <w:t>)</w:t>
            </w:r>
          </w:p>
        </w:tc>
        <w:tc>
          <w:tcPr>
            <w:tcW w:w="2762" w:type="dxa"/>
          </w:tcPr>
          <w:p w14:paraId="04998073"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4%</w:t>
            </w:r>
          </w:p>
        </w:tc>
        <w:tc>
          <w:tcPr>
            <w:tcW w:w="2268" w:type="dxa"/>
            <w:vMerge/>
          </w:tcPr>
          <w:p w14:paraId="0FE17F71" w14:textId="77777777" w:rsidR="00002F76" w:rsidRPr="00A30B0F" w:rsidRDefault="00002F76" w:rsidP="00C96EE5">
            <w:pPr>
              <w:spacing w:line="276" w:lineRule="auto"/>
              <w:rPr>
                <w:rFonts w:ascii="Arial" w:hAnsi="Arial" w:cs="Arial"/>
                <w:lang w:val="en-US"/>
              </w:rPr>
            </w:pPr>
          </w:p>
        </w:tc>
      </w:tr>
      <w:tr w:rsidR="00002F76" w:rsidRPr="00A30B0F" w14:paraId="5582D6F4" w14:textId="77777777" w:rsidTr="002C3F79">
        <w:tc>
          <w:tcPr>
            <w:tcW w:w="1779" w:type="dxa"/>
          </w:tcPr>
          <w:p w14:paraId="0EE03C4C"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Anthracyclines</w:t>
            </w:r>
          </w:p>
        </w:tc>
        <w:tc>
          <w:tcPr>
            <w:tcW w:w="2655" w:type="dxa"/>
          </w:tcPr>
          <w:p w14:paraId="4B75DBAB" w14:textId="7EBECCE0"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Doxorubicin </w:t>
            </w:r>
            <w:r w:rsidR="008E193D">
              <w:rPr>
                <w:rFonts w:ascii="Arial" w:hAnsi="Arial" w:cs="Arial"/>
                <w:lang w:val="en-US"/>
              </w:rPr>
              <w:t>(</w:t>
            </w:r>
            <w:r w:rsidRPr="008E193D">
              <w:rPr>
                <w:rFonts w:ascii="Arial" w:hAnsi="Arial" w:cs="Arial"/>
                <w:noProof/>
                <w:lang w:val="en-US"/>
              </w:rPr>
              <w:t>60, 67</w:t>
            </w:r>
            <w:r w:rsidR="008E193D">
              <w:rPr>
                <w:rFonts w:ascii="Arial" w:hAnsi="Arial" w:cs="Arial"/>
                <w:noProof/>
                <w:lang w:val="en-US"/>
              </w:rPr>
              <w:t>)</w:t>
            </w:r>
          </w:p>
        </w:tc>
        <w:tc>
          <w:tcPr>
            <w:tcW w:w="2762" w:type="dxa"/>
          </w:tcPr>
          <w:p w14:paraId="03790179"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Up to 10%</w:t>
            </w:r>
          </w:p>
        </w:tc>
        <w:tc>
          <w:tcPr>
            <w:tcW w:w="2268" w:type="dxa"/>
            <w:vMerge/>
          </w:tcPr>
          <w:p w14:paraId="543A23F9" w14:textId="77777777" w:rsidR="00002F76" w:rsidRPr="00A30B0F" w:rsidRDefault="00002F76" w:rsidP="00C96EE5">
            <w:pPr>
              <w:spacing w:line="276" w:lineRule="auto"/>
              <w:rPr>
                <w:rFonts w:ascii="Arial" w:hAnsi="Arial" w:cs="Arial"/>
                <w:lang w:val="en-US"/>
              </w:rPr>
            </w:pPr>
          </w:p>
        </w:tc>
      </w:tr>
      <w:tr w:rsidR="00002F76" w:rsidRPr="00A30B0F" w14:paraId="0B824747" w14:textId="77777777" w:rsidTr="002C3F79">
        <w:tc>
          <w:tcPr>
            <w:tcW w:w="1779" w:type="dxa"/>
          </w:tcPr>
          <w:p w14:paraId="177D4422"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Other</w:t>
            </w:r>
          </w:p>
        </w:tc>
        <w:tc>
          <w:tcPr>
            <w:tcW w:w="2655" w:type="dxa"/>
          </w:tcPr>
          <w:p w14:paraId="3BAB78A3" w14:textId="75B95E11"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Arsenic trioxide (ATO) </w:t>
            </w:r>
            <w:r w:rsidR="008E193D">
              <w:rPr>
                <w:rFonts w:ascii="Arial" w:hAnsi="Arial" w:cs="Arial"/>
                <w:lang w:val="en-US"/>
              </w:rPr>
              <w:t>(</w:t>
            </w:r>
            <w:r w:rsidRPr="008E193D">
              <w:rPr>
                <w:rFonts w:ascii="Arial" w:hAnsi="Arial" w:cs="Arial"/>
                <w:noProof/>
                <w:lang w:val="en-US"/>
              </w:rPr>
              <w:t>68</w:t>
            </w:r>
            <w:r w:rsidR="008E193D">
              <w:rPr>
                <w:rFonts w:ascii="Arial" w:hAnsi="Arial" w:cs="Arial"/>
                <w:noProof/>
                <w:lang w:val="en-US"/>
              </w:rPr>
              <w:t>)</w:t>
            </w:r>
          </w:p>
        </w:tc>
        <w:tc>
          <w:tcPr>
            <w:tcW w:w="2762" w:type="dxa"/>
          </w:tcPr>
          <w:p w14:paraId="3C3FC61A"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45%</w:t>
            </w:r>
          </w:p>
        </w:tc>
        <w:tc>
          <w:tcPr>
            <w:tcW w:w="2268" w:type="dxa"/>
          </w:tcPr>
          <w:p w14:paraId="759FB8D2" w14:textId="77777777" w:rsidR="00002F76" w:rsidRPr="00A30B0F" w:rsidRDefault="00002F76" w:rsidP="00C96EE5">
            <w:pPr>
              <w:spacing w:line="276" w:lineRule="auto"/>
              <w:rPr>
                <w:rFonts w:ascii="Arial" w:hAnsi="Arial" w:cs="Arial"/>
                <w:lang w:val="en-US"/>
              </w:rPr>
            </w:pPr>
          </w:p>
        </w:tc>
      </w:tr>
      <w:tr w:rsidR="00002F76" w:rsidRPr="00A30B0F" w14:paraId="08CAB520" w14:textId="77777777" w:rsidTr="002C3F79">
        <w:tc>
          <w:tcPr>
            <w:tcW w:w="7196" w:type="dxa"/>
            <w:gridSpan w:val="3"/>
          </w:tcPr>
          <w:p w14:paraId="1FF5335B" w14:textId="77777777" w:rsidR="00002F76" w:rsidRPr="008E193D" w:rsidRDefault="00002F76" w:rsidP="00C96EE5">
            <w:pPr>
              <w:spacing w:line="276" w:lineRule="auto"/>
              <w:rPr>
                <w:rFonts w:ascii="Arial" w:hAnsi="Arial" w:cs="Arial"/>
                <w:b/>
                <w:bCs/>
                <w:lang w:val="en-US"/>
              </w:rPr>
            </w:pPr>
            <w:r w:rsidRPr="008E193D">
              <w:rPr>
                <w:rFonts w:ascii="Arial" w:hAnsi="Arial" w:cs="Arial"/>
                <w:b/>
                <w:bCs/>
                <w:lang w:val="en-US"/>
              </w:rPr>
              <w:t>Immune Checkpoint Inhibitors</w:t>
            </w:r>
          </w:p>
        </w:tc>
        <w:tc>
          <w:tcPr>
            <w:tcW w:w="2268" w:type="dxa"/>
          </w:tcPr>
          <w:p w14:paraId="1CBFE541" w14:textId="77777777" w:rsidR="00002F76" w:rsidRPr="00A30B0F" w:rsidRDefault="00002F76" w:rsidP="00C96EE5">
            <w:pPr>
              <w:spacing w:line="276" w:lineRule="auto"/>
              <w:rPr>
                <w:rFonts w:ascii="Arial" w:hAnsi="Arial" w:cs="Arial"/>
                <w:lang w:val="en-US"/>
              </w:rPr>
            </w:pPr>
          </w:p>
        </w:tc>
      </w:tr>
      <w:tr w:rsidR="00002F76" w:rsidRPr="00A30B0F" w14:paraId="28154A89" w14:textId="77777777" w:rsidTr="002C3F79">
        <w:tc>
          <w:tcPr>
            <w:tcW w:w="1779" w:type="dxa"/>
            <w:vMerge w:val="restart"/>
          </w:tcPr>
          <w:p w14:paraId="63933D2D"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PD-1</w:t>
            </w:r>
          </w:p>
        </w:tc>
        <w:tc>
          <w:tcPr>
            <w:tcW w:w="2655" w:type="dxa"/>
          </w:tcPr>
          <w:p w14:paraId="229EDC2A" w14:textId="2AE9F46F"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Nivolumab </w:t>
            </w:r>
            <w:r w:rsidR="008E193D">
              <w:rPr>
                <w:rFonts w:ascii="Arial" w:hAnsi="Arial" w:cs="Arial"/>
                <w:lang w:val="en-US"/>
              </w:rPr>
              <w:t>(</w:t>
            </w:r>
            <w:r w:rsidRPr="008E193D">
              <w:rPr>
                <w:rFonts w:ascii="Arial" w:hAnsi="Arial" w:cs="Arial"/>
                <w:noProof/>
                <w:lang w:val="en-US"/>
              </w:rPr>
              <w:t>69</w:t>
            </w:r>
            <w:r w:rsidR="008E193D">
              <w:rPr>
                <w:rFonts w:ascii="Arial" w:hAnsi="Arial" w:cs="Arial"/>
                <w:noProof/>
                <w:lang w:val="en-US"/>
              </w:rPr>
              <w:t>)</w:t>
            </w:r>
          </w:p>
        </w:tc>
        <w:tc>
          <w:tcPr>
            <w:tcW w:w="2762" w:type="dxa"/>
          </w:tcPr>
          <w:p w14:paraId="4370F18D"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 xml:space="preserve">&lt;1% </w:t>
            </w:r>
          </w:p>
        </w:tc>
        <w:tc>
          <w:tcPr>
            <w:tcW w:w="2268" w:type="dxa"/>
            <w:vMerge w:val="restart"/>
          </w:tcPr>
          <w:p w14:paraId="5EEF9433"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T1DM</w:t>
            </w:r>
          </w:p>
        </w:tc>
      </w:tr>
      <w:tr w:rsidR="00002F76" w:rsidRPr="00A30B0F" w14:paraId="6335EAD4" w14:textId="77777777" w:rsidTr="002C3F79">
        <w:tc>
          <w:tcPr>
            <w:tcW w:w="1779" w:type="dxa"/>
            <w:vMerge/>
          </w:tcPr>
          <w:p w14:paraId="53D933B9" w14:textId="77777777" w:rsidR="00002F76" w:rsidRPr="00A30B0F" w:rsidRDefault="00002F76" w:rsidP="00C96EE5">
            <w:pPr>
              <w:spacing w:line="276" w:lineRule="auto"/>
              <w:rPr>
                <w:rFonts w:ascii="Arial" w:hAnsi="Arial" w:cs="Arial"/>
                <w:b/>
                <w:lang w:val="en-US"/>
              </w:rPr>
            </w:pPr>
          </w:p>
        </w:tc>
        <w:tc>
          <w:tcPr>
            <w:tcW w:w="2655" w:type="dxa"/>
          </w:tcPr>
          <w:p w14:paraId="4EA224C3" w14:textId="48B00357" w:rsidR="00002F76" w:rsidRPr="008E193D" w:rsidRDefault="00002F76" w:rsidP="00C96EE5">
            <w:pPr>
              <w:spacing w:line="276" w:lineRule="auto"/>
              <w:rPr>
                <w:rFonts w:ascii="Arial" w:hAnsi="Arial" w:cs="Arial"/>
                <w:lang w:val="en-US"/>
              </w:rPr>
            </w:pPr>
            <w:r w:rsidRPr="008E193D">
              <w:rPr>
                <w:rFonts w:ascii="Arial" w:hAnsi="Arial" w:cs="Arial"/>
                <w:lang w:val="en-US"/>
              </w:rPr>
              <w:t xml:space="preserve">Pembrolizumab </w:t>
            </w:r>
            <w:r w:rsidR="008E193D">
              <w:rPr>
                <w:rFonts w:ascii="Arial" w:hAnsi="Arial" w:cs="Arial"/>
                <w:lang w:val="en-US"/>
              </w:rPr>
              <w:t>(</w:t>
            </w:r>
            <w:r w:rsidRPr="008E193D">
              <w:rPr>
                <w:rFonts w:ascii="Arial" w:hAnsi="Arial" w:cs="Arial"/>
                <w:noProof/>
                <w:lang w:val="en-US"/>
              </w:rPr>
              <w:t>70</w:t>
            </w:r>
            <w:r w:rsidR="008E193D">
              <w:rPr>
                <w:rFonts w:ascii="Arial" w:hAnsi="Arial" w:cs="Arial"/>
                <w:noProof/>
                <w:lang w:val="en-US"/>
              </w:rPr>
              <w:t>)</w:t>
            </w:r>
          </w:p>
        </w:tc>
        <w:tc>
          <w:tcPr>
            <w:tcW w:w="2762" w:type="dxa"/>
          </w:tcPr>
          <w:p w14:paraId="3D691D8A"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 xml:space="preserve">1-2.2% </w:t>
            </w:r>
          </w:p>
        </w:tc>
        <w:tc>
          <w:tcPr>
            <w:tcW w:w="2268" w:type="dxa"/>
            <w:vMerge/>
          </w:tcPr>
          <w:p w14:paraId="049F02AA" w14:textId="77777777" w:rsidR="00002F76" w:rsidRPr="00A30B0F" w:rsidRDefault="00002F76" w:rsidP="00C96EE5">
            <w:pPr>
              <w:spacing w:line="276" w:lineRule="auto"/>
              <w:rPr>
                <w:rFonts w:ascii="Arial" w:hAnsi="Arial" w:cs="Arial"/>
                <w:lang w:val="en-US"/>
              </w:rPr>
            </w:pPr>
          </w:p>
        </w:tc>
      </w:tr>
      <w:tr w:rsidR="00002F76" w:rsidRPr="00A30B0F" w14:paraId="4607A310" w14:textId="77777777" w:rsidTr="002C3F79">
        <w:tc>
          <w:tcPr>
            <w:tcW w:w="1779" w:type="dxa"/>
          </w:tcPr>
          <w:p w14:paraId="267EB443"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CTLA-4</w:t>
            </w:r>
          </w:p>
        </w:tc>
        <w:tc>
          <w:tcPr>
            <w:tcW w:w="2655" w:type="dxa"/>
          </w:tcPr>
          <w:p w14:paraId="65D641BC" w14:textId="0C058013" w:rsidR="00002F76" w:rsidRPr="008E193D" w:rsidRDefault="00002F76" w:rsidP="00C96EE5">
            <w:pPr>
              <w:spacing w:line="276" w:lineRule="auto"/>
              <w:rPr>
                <w:rFonts w:ascii="Arial" w:hAnsi="Arial" w:cs="Arial"/>
                <w:lang w:val="en-US"/>
              </w:rPr>
            </w:pPr>
            <w:proofErr w:type="spellStart"/>
            <w:r w:rsidRPr="008E193D">
              <w:rPr>
                <w:rFonts w:ascii="Arial" w:hAnsi="Arial" w:cs="Arial"/>
                <w:lang w:val="en-US"/>
              </w:rPr>
              <w:t>Ipilumumab</w:t>
            </w:r>
            <w:proofErr w:type="spellEnd"/>
            <w:r w:rsidRPr="008E193D">
              <w:rPr>
                <w:rFonts w:ascii="Arial" w:hAnsi="Arial" w:cs="Arial"/>
                <w:lang w:val="en-US"/>
              </w:rPr>
              <w:t xml:space="preserve"> </w:t>
            </w:r>
            <w:r w:rsidR="008E193D">
              <w:rPr>
                <w:rFonts w:ascii="Arial" w:hAnsi="Arial" w:cs="Arial"/>
                <w:lang w:val="en-US"/>
              </w:rPr>
              <w:t>(</w:t>
            </w:r>
            <w:r w:rsidRPr="008E193D">
              <w:rPr>
                <w:rFonts w:ascii="Arial" w:hAnsi="Arial" w:cs="Arial"/>
                <w:noProof/>
                <w:lang w:val="en-US"/>
              </w:rPr>
              <w:t>69</w:t>
            </w:r>
            <w:r w:rsidR="008E193D">
              <w:rPr>
                <w:rFonts w:ascii="Arial" w:hAnsi="Arial" w:cs="Arial"/>
                <w:noProof/>
                <w:lang w:val="en-US"/>
              </w:rPr>
              <w:t>)</w:t>
            </w:r>
          </w:p>
        </w:tc>
        <w:tc>
          <w:tcPr>
            <w:tcW w:w="2762" w:type="dxa"/>
          </w:tcPr>
          <w:p w14:paraId="67A4A981"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&lt;1%</w:t>
            </w:r>
          </w:p>
        </w:tc>
        <w:tc>
          <w:tcPr>
            <w:tcW w:w="2268" w:type="dxa"/>
            <w:vMerge/>
          </w:tcPr>
          <w:p w14:paraId="33079C65" w14:textId="77777777" w:rsidR="00002F76" w:rsidRPr="00A30B0F" w:rsidRDefault="00002F76" w:rsidP="00C96EE5">
            <w:pPr>
              <w:spacing w:line="276" w:lineRule="auto"/>
              <w:rPr>
                <w:rFonts w:ascii="Arial" w:hAnsi="Arial" w:cs="Arial"/>
                <w:lang w:val="en-US"/>
              </w:rPr>
            </w:pPr>
          </w:p>
        </w:tc>
      </w:tr>
      <w:tr w:rsidR="00002F76" w:rsidRPr="00A30B0F" w14:paraId="4180A69D" w14:textId="77777777" w:rsidTr="002C3F79">
        <w:tc>
          <w:tcPr>
            <w:tcW w:w="1779" w:type="dxa"/>
          </w:tcPr>
          <w:p w14:paraId="2E076485" w14:textId="77777777" w:rsidR="00002F76" w:rsidRPr="00A30B0F" w:rsidRDefault="00002F76" w:rsidP="00C96EE5">
            <w:pPr>
              <w:spacing w:line="276" w:lineRule="auto"/>
              <w:rPr>
                <w:rFonts w:ascii="Arial" w:hAnsi="Arial" w:cs="Arial"/>
                <w:lang w:val="en-US"/>
              </w:rPr>
            </w:pPr>
          </w:p>
        </w:tc>
        <w:tc>
          <w:tcPr>
            <w:tcW w:w="2655" w:type="dxa"/>
          </w:tcPr>
          <w:p w14:paraId="6CA815A2" w14:textId="06F34189" w:rsidR="00002F76" w:rsidRPr="0003060E" w:rsidRDefault="00002F76" w:rsidP="00C96EE5">
            <w:pPr>
              <w:spacing w:line="276" w:lineRule="auto"/>
              <w:rPr>
                <w:rFonts w:ascii="Arial" w:hAnsi="Arial" w:cs="Arial"/>
                <w:lang w:val="en-US"/>
              </w:rPr>
            </w:pPr>
            <w:r w:rsidRPr="0003060E">
              <w:rPr>
                <w:rFonts w:ascii="Arial" w:hAnsi="Arial" w:cs="Arial"/>
                <w:lang w:val="en-US"/>
              </w:rPr>
              <w:t xml:space="preserve">Combination ICP </w:t>
            </w:r>
            <w:r w:rsidR="0003060E">
              <w:rPr>
                <w:rFonts w:ascii="Arial" w:hAnsi="Arial" w:cs="Arial"/>
                <w:lang w:val="en-US"/>
              </w:rPr>
              <w:t>(</w:t>
            </w:r>
            <w:r w:rsidRPr="0003060E">
              <w:rPr>
                <w:rFonts w:ascii="Arial" w:hAnsi="Arial" w:cs="Arial"/>
                <w:noProof/>
                <w:lang w:val="en-US"/>
              </w:rPr>
              <w:t>71</w:t>
            </w:r>
            <w:r w:rsidR="0003060E">
              <w:rPr>
                <w:rFonts w:ascii="Arial" w:hAnsi="Arial" w:cs="Arial"/>
                <w:noProof/>
                <w:lang w:val="en-US"/>
              </w:rPr>
              <w:t>)</w:t>
            </w:r>
          </w:p>
        </w:tc>
        <w:tc>
          <w:tcPr>
            <w:tcW w:w="2762" w:type="dxa"/>
          </w:tcPr>
          <w:p w14:paraId="0752E775"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 xml:space="preserve">4% </w:t>
            </w:r>
          </w:p>
        </w:tc>
        <w:tc>
          <w:tcPr>
            <w:tcW w:w="2268" w:type="dxa"/>
            <w:vMerge/>
          </w:tcPr>
          <w:p w14:paraId="128633DF" w14:textId="77777777" w:rsidR="00002F76" w:rsidRPr="00A30B0F" w:rsidRDefault="00002F76" w:rsidP="00C96EE5">
            <w:pPr>
              <w:spacing w:line="276" w:lineRule="auto"/>
              <w:rPr>
                <w:rFonts w:ascii="Arial" w:hAnsi="Arial" w:cs="Arial"/>
                <w:lang w:val="en-US"/>
              </w:rPr>
            </w:pPr>
          </w:p>
        </w:tc>
      </w:tr>
      <w:tr w:rsidR="00002F76" w:rsidRPr="00A30B0F" w14:paraId="1279D216" w14:textId="77777777" w:rsidTr="002C3F79">
        <w:tc>
          <w:tcPr>
            <w:tcW w:w="7196" w:type="dxa"/>
            <w:gridSpan w:val="3"/>
          </w:tcPr>
          <w:p w14:paraId="7F849C23" w14:textId="77777777" w:rsidR="00002F76" w:rsidRPr="0003060E" w:rsidRDefault="00002F76" w:rsidP="00C96EE5">
            <w:pPr>
              <w:spacing w:line="276" w:lineRule="auto"/>
              <w:rPr>
                <w:rFonts w:ascii="Arial" w:hAnsi="Arial" w:cs="Arial"/>
                <w:b/>
                <w:bCs/>
                <w:i/>
                <w:lang w:val="en-US"/>
              </w:rPr>
            </w:pPr>
            <w:r w:rsidRPr="0003060E">
              <w:rPr>
                <w:rFonts w:ascii="Arial" w:hAnsi="Arial" w:cs="Arial"/>
                <w:b/>
                <w:bCs/>
                <w:lang w:val="en-US"/>
              </w:rPr>
              <w:t>Hormone Therapy</w:t>
            </w:r>
          </w:p>
        </w:tc>
        <w:tc>
          <w:tcPr>
            <w:tcW w:w="2268" w:type="dxa"/>
          </w:tcPr>
          <w:p w14:paraId="1D66F961" w14:textId="77777777" w:rsidR="00002F76" w:rsidRPr="00A30B0F" w:rsidRDefault="00002F76" w:rsidP="00C96EE5">
            <w:pPr>
              <w:spacing w:line="276" w:lineRule="auto"/>
              <w:rPr>
                <w:rFonts w:ascii="Arial" w:hAnsi="Arial" w:cs="Arial"/>
                <w:lang w:val="en-US"/>
              </w:rPr>
            </w:pPr>
          </w:p>
        </w:tc>
      </w:tr>
      <w:tr w:rsidR="00002F76" w:rsidRPr="00A30B0F" w14:paraId="447AC701" w14:textId="77777777" w:rsidTr="002C3F79">
        <w:tc>
          <w:tcPr>
            <w:tcW w:w="1779" w:type="dxa"/>
            <w:vMerge w:val="restart"/>
          </w:tcPr>
          <w:p w14:paraId="667D5348"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Hormone Treatment</w:t>
            </w:r>
          </w:p>
        </w:tc>
        <w:tc>
          <w:tcPr>
            <w:tcW w:w="2655" w:type="dxa"/>
          </w:tcPr>
          <w:p w14:paraId="70F0E152" w14:textId="720DA1BA" w:rsidR="00002F76" w:rsidRPr="0003060E" w:rsidRDefault="00002F76" w:rsidP="00C96EE5">
            <w:pPr>
              <w:spacing w:line="276" w:lineRule="auto"/>
              <w:rPr>
                <w:rFonts w:ascii="Arial" w:hAnsi="Arial" w:cs="Arial"/>
                <w:lang w:val="en-US"/>
              </w:rPr>
            </w:pPr>
            <w:r w:rsidRPr="0003060E">
              <w:rPr>
                <w:rFonts w:ascii="Arial" w:hAnsi="Arial" w:cs="Arial"/>
                <w:lang w:val="en-US"/>
              </w:rPr>
              <w:t xml:space="preserve">ADT </w:t>
            </w:r>
            <w:r w:rsidR="0003060E">
              <w:rPr>
                <w:rFonts w:ascii="Arial" w:hAnsi="Arial" w:cs="Arial"/>
                <w:lang w:val="en-US"/>
              </w:rPr>
              <w:t>(</w:t>
            </w:r>
            <w:r w:rsidRPr="0003060E">
              <w:rPr>
                <w:rFonts w:ascii="Arial" w:hAnsi="Arial" w:cs="Arial"/>
                <w:noProof/>
                <w:lang w:val="en-US"/>
              </w:rPr>
              <w:t>44, 72</w:t>
            </w:r>
            <w:r w:rsidR="0003060E">
              <w:rPr>
                <w:rFonts w:ascii="Arial" w:hAnsi="Arial" w:cs="Arial"/>
                <w:noProof/>
                <w:lang w:val="en-US"/>
              </w:rPr>
              <w:t>)</w:t>
            </w:r>
          </w:p>
        </w:tc>
        <w:tc>
          <w:tcPr>
            <w:tcW w:w="2762" w:type="dxa"/>
          </w:tcPr>
          <w:p w14:paraId="640103C4"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Risk ratio 1.39 (95% CI 1.27-1.53) n=65,595 cases</w:t>
            </w:r>
          </w:p>
        </w:tc>
        <w:tc>
          <w:tcPr>
            <w:tcW w:w="2268" w:type="dxa"/>
            <w:vMerge w:val="restart"/>
          </w:tcPr>
          <w:p w14:paraId="15FA7582"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T2DM</w:t>
            </w:r>
          </w:p>
        </w:tc>
      </w:tr>
      <w:tr w:rsidR="00002F76" w:rsidRPr="00A30B0F" w14:paraId="708C168C" w14:textId="77777777" w:rsidTr="002C3F79">
        <w:tc>
          <w:tcPr>
            <w:tcW w:w="1779" w:type="dxa"/>
            <w:vMerge/>
          </w:tcPr>
          <w:p w14:paraId="353155D8" w14:textId="77777777" w:rsidR="00002F76" w:rsidRPr="00A30B0F" w:rsidRDefault="00002F76" w:rsidP="00C96EE5">
            <w:pPr>
              <w:spacing w:line="276" w:lineRule="auto"/>
              <w:rPr>
                <w:rFonts w:ascii="Arial" w:hAnsi="Arial" w:cs="Arial"/>
                <w:lang w:val="en-US"/>
              </w:rPr>
            </w:pPr>
          </w:p>
        </w:tc>
        <w:tc>
          <w:tcPr>
            <w:tcW w:w="2655" w:type="dxa"/>
          </w:tcPr>
          <w:p w14:paraId="40B70933" w14:textId="4204D3D6" w:rsidR="00002F76" w:rsidRPr="0003060E" w:rsidRDefault="00002F76" w:rsidP="00C96EE5">
            <w:pPr>
              <w:spacing w:line="276" w:lineRule="auto"/>
              <w:rPr>
                <w:rFonts w:ascii="Arial" w:hAnsi="Arial" w:cs="Arial"/>
                <w:lang w:val="en-US"/>
              </w:rPr>
            </w:pPr>
            <w:r w:rsidRPr="0003060E">
              <w:rPr>
                <w:rFonts w:ascii="Arial" w:hAnsi="Arial" w:cs="Arial"/>
                <w:lang w:val="en-US"/>
              </w:rPr>
              <w:t xml:space="preserve">Tamoxifen </w:t>
            </w:r>
            <w:r w:rsidR="0003060E">
              <w:rPr>
                <w:rFonts w:ascii="Arial" w:hAnsi="Arial" w:cs="Arial"/>
                <w:lang w:val="en-US"/>
              </w:rPr>
              <w:t>(</w:t>
            </w:r>
            <w:r w:rsidRPr="0003060E">
              <w:rPr>
                <w:rFonts w:ascii="Arial" w:hAnsi="Arial" w:cs="Arial"/>
                <w:noProof/>
                <w:lang w:val="en-US"/>
              </w:rPr>
              <w:t>73</w:t>
            </w:r>
            <w:r w:rsidR="0003060E">
              <w:rPr>
                <w:rFonts w:ascii="Arial" w:hAnsi="Arial" w:cs="Arial"/>
                <w:noProof/>
                <w:lang w:val="en-US"/>
              </w:rPr>
              <w:t>)</w:t>
            </w:r>
          </w:p>
        </w:tc>
        <w:tc>
          <w:tcPr>
            <w:tcW w:w="2762" w:type="dxa"/>
          </w:tcPr>
          <w:p w14:paraId="48E8B92D"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 xml:space="preserve">Diabetes risk adj. odds ratio 1.24 (95% CI 1.08-1.42) </w:t>
            </w:r>
          </w:p>
        </w:tc>
        <w:tc>
          <w:tcPr>
            <w:tcW w:w="2268" w:type="dxa"/>
            <w:vMerge/>
          </w:tcPr>
          <w:p w14:paraId="2314D069" w14:textId="77777777" w:rsidR="00002F76" w:rsidRPr="00A30B0F" w:rsidRDefault="00002F76" w:rsidP="00C96EE5">
            <w:pPr>
              <w:spacing w:line="276" w:lineRule="auto"/>
              <w:rPr>
                <w:rFonts w:ascii="Arial" w:hAnsi="Arial" w:cs="Arial"/>
                <w:lang w:val="en-US"/>
              </w:rPr>
            </w:pPr>
          </w:p>
        </w:tc>
      </w:tr>
    </w:tbl>
    <w:p w14:paraId="4949E0DC" w14:textId="77777777" w:rsidR="00002F76" w:rsidRPr="00A30B0F" w:rsidRDefault="00002F76" w:rsidP="00C96EE5">
      <w:pPr>
        <w:spacing w:after="0" w:line="276" w:lineRule="auto"/>
        <w:rPr>
          <w:rFonts w:ascii="Arial" w:hAnsi="Arial" w:cs="Arial"/>
          <w:lang w:val="en-US"/>
        </w:rPr>
      </w:pPr>
      <w:r w:rsidRPr="00A30B0F">
        <w:rPr>
          <w:rFonts w:ascii="Arial" w:hAnsi="Arial" w:cs="Arial"/>
          <w:lang w:val="en-US"/>
        </w:rPr>
        <w:t>Abbreviations: ADT = androgen deprivation therapy; ALK – anaplastic lymphoma kinase; ATO – arsenic trioxide; CTLA-4 – cytotoxic T-lymphocyte protein-4; EGFR – epidermal growth factor receptor; FLT3 – FMS-like tyrosine kinase-3; ICP – immune checkpoint inhibitor; TKI – tyrosine kinase inhibitor; mTOR – mechanistic target of rapamycin; PI3K – phosphoinositide-3 kinase; PD-1 – programmed cell death protein-1; T1DM – type 1 diabetes mellitus; T2DM – type 2 diabetes mellitus</w:t>
      </w:r>
    </w:p>
    <w:p w14:paraId="3F6E42A7" w14:textId="77777777" w:rsidR="0003060E" w:rsidRDefault="0003060E" w:rsidP="0003060E">
      <w:pPr>
        <w:pStyle w:val="Heading2"/>
        <w:spacing w:before="0" w:after="0" w:line="276" w:lineRule="auto"/>
        <w:rPr>
          <w:rFonts w:ascii="Arial" w:hAnsi="Arial" w:cs="Arial"/>
          <w:sz w:val="22"/>
          <w:szCs w:val="22"/>
          <w:lang w:val="en-US"/>
        </w:rPr>
      </w:pPr>
    </w:p>
    <w:p w14:paraId="7DE24FC0" w14:textId="17CA59DB" w:rsidR="00002F76" w:rsidRPr="0003060E" w:rsidRDefault="00002F76" w:rsidP="0003060E">
      <w:pPr>
        <w:pStyle w:val="Heading2"/>
        <w:spacing w:before="0" w:after="0" w:line="276" w:lineRule="auto"/>
        <w:rPr>
          <w:rFonts w:ascii="Arial" w:hAnsi="Arial" w:cs="Arial"/>
          <w:color w:val="00B050"/>
          <w:sz w:val="22"/>
          <w:szCs w:val="22"/>
          <w:lang w:val="en-US"/>
        </w:rPr>
      </w:pPr>
      <w:r w:rsidRPr="0003060E">
        <w:rPr>
          <w:rFonts w:ascii="Arial" w:hAnsi="Arial" w:cs="Arial"/>
          <w:color w:val="00B050"/>
          <w:sz w:val="22"/>
          <w:szCs w:val="22"/>
          <w:lang w:val="en-US"/>
        </w:rPr>
        <w:t xml:space="preserve">Cytotoxic </w:t>
      </w:r>
      <w:r w:rsidR="0003060E" w:rsidRPr="0003060E">
        <w:rPr>
          <w:rFonts w:ascii="Arial" w:hAnsi="Arial" w:cs="Arial"/>
          <w:color w:val="00B050"/>
          <w:sz w:val="22"/>
          <w:szCs w:val="22"/>
          <w:lang w:val="en-US"/>
        </w:rPr>
        <w:t>C</w:t>
      </w:r>
      <w:r w:rsidRPr="0003060E">
        <w:rPr>
          <w:rFonts w:ascii="Arial" w:hAnsi="Arial" w:cs="Arial"/>
          <w:color w:val="00B050"/>
          <w:sz w:val="22"/>
          <w:szCs w:val="22"/>
          <w:lang w:val="en-US"/>
        </w:rPr>
        <w:t>hemotherapy</w:t>
      </w:r>
    </w:p>
    <w:p w14:paraId="091562E9" w14:textId="77777777" w:rsidR="0003060E" w:rsidRDefault="0003060E" w:rsidP="00C96EE5">
      <w:pPr>
        <w:spacing w:after="0" w:line="276" w:lineRule="auto"/>
        <w:rPr>
          <w:rFonts w:ascii="Arial" w:hAnsi="Arial" w:cs="Arial"/>
          <w:lang w:val="en-US"/>
        </w:rPr>
      </w:pPr>
    </w:p>
    <w:p w14:paraId="508F27FE" w14:textId="77777777" w:rsidR="00946B9E" w:rsidRDefault="00A4356B" w:rsidP="00C96EE5">
      <w:pPr>
        <w:spacing w:after="0" w:line="276" w:lineRule="auto"/>
        <w:rPr>
          <w:rFonts w:ascii="Arial" w:hAnsi="Arial" w:cs="Arial"/>
          <w:lang w:val="en-US"/>
        </w:rPr>
      </w:pPr>
      <w:r w:rsidRPr="00946B9E">
        <w:rPr>
          <w:rFonts w:ascii="Arial" w:hAnsi="Arial" w:cs="Arial"/>
          <w:lang w:val="en-US"/>
        </w:rPr>
        <w:t>Hyperglycemia</w:t>
      </w:r>
      <w:r w:rsidR="00002F76" w:rsidRPr="00946B9E">
        <w:rPr>
          <w:rFonts w:ascii="Arial" w:hAnsi="Arial" w:cs="Arial"/>
          <w:lang w:val="en-US"/>
        </w:rPr>
        <w:t xml:space="preserve"> occurs in between 10 and 30% of people undergoing cytotoxic chemotherapy for malignancy </w:t>
      </w:r>
      <w:r w:rsidR="00946B9E">
        <w:rPr>
          <w:rFonts w:ascii="Arial" w:hAnsi="Arial" w:cs="Arial"/>
          <w:lang w:val="en-US"/>
        </w:rPr>
        <w:t>(</w:t>
      </w:r>
      <w:r w:rsidR="00002F76" w:rsidRPr="00946B9E">
        <w:rPr>
          <w:rFonts w:ascii="Arial" w:hAnsi="Arial" w:cs="Arial"/>
          <w:noProof/>
          <w:lang w:val="en-US"/>
        </w:rPr>
        <w:t>74</w:t>
      </w:r>
      <w:r w:rsidR="00946B9E">
        <w:rPr>
          <w:rFonts w:ascii="Arial" w:hAnsi="Arial" w:cs="Arial"/>
          <w:noProof/>
          <w:lang w:val="en-US"/>
        </w:rPr>
        <w:t>)</w:t>
      </w:r>
      <w:r w:rsidR="00002F76" w:rsidRPr="00946B9E">
        <w:rPr>
          <w:rFonts w:ascii="Arial" w:hAnsi="Arial" w:cs="Arial"/>
          <w:lang w:val="en-US"/>
        </w:rPr>
        <w:t xml:space="preserve">, and although often transient during treatment, can persist, or even lead to DM in some </w:t>
      </w:r>
      <w:r w:rsidR="00EA5F01" w:rsidRPr="00946B9E">
        <w:rPr>
          <w:rFonts w:ascii="Arial" w:hAnsi="Arial" w:cs="Arial"/>
          <w:lang w:val="en-US"/>
        </w:rPr>
        <w:t>people</w:t>
      </w:r>
      <w:r w:rsidR="00002F76" w:rsidRPr="00946B9E">
        <w:rPr>
          <w:rFonts w:ascii="Arial" w:hAnsi="Arial" w:cs="Arial"/>
          <w:lang w:val="en-US"/>
        </w:rPr>
        <w:t xml:space="preserve">. Poor </w:t>
      </w:r>
      <w:r w:rsidRPr="00946B9E">
        <w:rPr>
          <w:rFonts w:ascii="Arial" w:hAnsi="Arial" w:cs="Arial"/>
          <w:lang w:val="en-US"/>
        </w:rPr>
        <w:t>glycemic</w:t>
      </w:r>
      <w:r w:rsidR="00002F76" w:rsidRPr="00946B9E">
        <w:rPr>
          <w:rFonts w:ascii="Arial" w:hAnsi="Arial" w:cs="Arial"/>
          <w:lang w:val="en-US"/>
        </w:rPr>
        <w:t xml:space="preserve"> control can increase the risk of infections and </w:t>
      </w:r>
      <w:r w:rsidRPr="00946B9E">
        <w:rPr>
          <w:rFonts w:ascii="Arial" w:hAnsi="Arial" w:cs="Arial"/>
          <w:lang w:val="en-US"/>
        </w:rPr>
        <w:t>hospitalization</w:t>
      </w:r>
      <w:r w:rsidR="00002F76" w:rsidRPr="00946B9E">
        <w:rPr>
          <w:rFonts w:ascii="Arial" w:hAnsi="Arial" w:cs="Arial"/>
          <w:lang w:val="en-US"/>
        </w:rPr>
        <w:t xml:space="preserve"> </w:t>
      </w:r>
      <w:r w:rsidR="00946B9E">
        <w:rPr>
          <w:rFonts w:ascii="Arial" w:hAnsi="Arial" w:cs="Arial"/>
          <w:lang w:val="en-US"/>
        </w:rPr>
        <w:t>(</w:t>
      </w:r>
      <w:r w:rsidR="00002F76" w:rsidRPr="00946B9E">
        <w:rPr>
          <w:rFonts w:ascii="Arial" w:hAnsi="Arial" w:cs="Arial"/>
          <w:noProof/>
          <w:lang w:val="en-US"/>
        </w:rPr>
        <w:t>28, 34</w:t>
      </w:r>
      <w:r w:rsidR="00946B9E">
        <w:rPr>
          <w:rFonts w:ascii="Arial" w:hAnsi="Arial" w:cs="Arial"/>
          <w:noProof/>
          <w:lang w:val="en-US"/>
        </w:rPr>
        <w:t>)</w:t>
      </w:r>
      <w:r w:rsidR="00002F76" w:rsidRPr="00946B9E">
        <w:rPr>
          <w:rFonts w:ascii="Arial" w:hAnsi="Arial" w:cs="Arial"/>
          <w:lang w:val="en-US"/>
        </w:rPr>
        <w:t xml:space="preserve">, as previously discussed, leading to treatment interruptions and dose reductions, as well as significant morbidity, and even mortality </w:t>
      </w:r>
      <w:r w:rsidR="00946B9E">
        <w:rPr>
          <w:rFonts w:ascii="Arial" w:hAnsi="Arial" w:cs="Arial"/>
          <w:lang w:val="en-US"/>
        </w:rPr>
        <w:t>(</w:t>
      </w:r>
      <w:r w:rsidR="00002F76" w:rsidRPr="00946B9E">
        <w:rPr>
          <w:rFonts w:ascii="Arial" w:hAnsi="Arial" w:cs="Arial"/>
          <w:noProof/>
          <w:lang w:val="en-US"/>
        </w:rPr>
        <w:t>33</w:t>
      </w:r>
      <w:r w:rsidR="00946B9E">
        <w:rPr>
          <w:rFonts w:ascii="Arial" w:hAnsi="Arial" w:cs="Arial"/>
          <w:noProof/>
          <w:lang w:val="en-US"/>
        </w:rPr>
        <w:t>)</w:t>
      </w:r>
      <w:r w:rsidR="00002F76" w:rsidRPr="00946B9E">
        <w:rPr>
          <w:rFonts w:ascii="Arial" w:hAnsi="Arial" w:cs="Arial"/>
          <w:lang w:val="en-US"/>
        </w:rPr>
        <w:t>. A number</w:t>
      </w:r>
      <w:r w:rsidR="00002F76" w:rsidRPr="00A30B0F">
        <w:rPr>
          <w:rFonts w:ascii="Arial" w:hAnsi="Arial" w:cs="Arial"/>
          <w:lang w:val="en-US"/>
        </w:rPr>
        <w:t xml:space="preserve"> of cytotoxic </w:t>
      </w:r>
      <w:r w:rsidR="00002F76" w:rsidRPr="00946B9E">
        <w:rPr>
          <w:rFonts w:ascii="Arial" w:hAnsi="Arial" w:cs="Arial"/>
          <w:lang w:val="en-US"/>
        </w:rPr>
        <w:t xml:space="preserve">chemotherapy regimens are reported to cause </w:t>
      </w:r>
      <w:r w:rsidRPr="00946B9E">
        <w:rPr>
          <w:rFonts w:ascii="Arial" w:hAnsi="Arial" w:cs="Arial"/>
          <w:lang w:val="en-US"/>
        </w:rPr>
        <w:t>hyperglycemia</w:t>
      </w:r>
      <w:r w:rsidR="00002F76" w:rsidRPr="00946B9E">
        <w:rPr>
          <w:rFonts w:ascii="Arial" w:hAnsi="Arial" w:cs="Arial"/>
          <w:lang w:val="en-US"/>
        </w:rPr>
        <w:t xml:space="preserve"> in people without diabetes, including commonly used drugs such as 5-fluorouracil (5-FU), platinum-based drugs (oxaliplatin, carboplatin, cisplatin) and anthracyclines (doxorubicin, </w:t>
      </w:r>
      <w:proofErr w:type="spellStart"/>
      <w:r w:rsidR="00002F76" w:rsidRPr="00946B9E">
        <w:rPr>
          <w:rFonts w:ascii="Arial" w:hAnsi="Arial" w:cs="Arial"/>
          <w:lang w:val="en-US"/>
        </w:rPr>
        <w:t>epirubicin</w:t>
      </w:r>
      <w:proofErr w:type="spellEnd"/>
      <w:r w:rsidR="00002F76" w:rsidRPr="00946B9E">
        <w:rPr>
          <w:rFonts w:ascii="Arial" w:hAnsi="Arial" w:cs="Arial"/>
          <w:lang w:val="en-US"/>
        </w:rPr>
        <w:t xml:space="preserve">) </w:t>
      </w:r>
      <w:r w:rsidR="00946B9E">
        <w:rPr>
          <w:rFonts w:ascii="Arial" w:hAnsi="Arial" w:cs="Arial"/>
          <w:lang w:val="en-US"/>
        </w:rPr>
        <w:t>(</w:t>
      </w:r>
      <w:r w:rsidR="00002F76" w:rsidRPr="00946B9E">
        <w:rPr>
          <w:rFonts w:ascii="Arial" w:hAnsi="Arial" w:cs="Arial"/>
          <w:noProof/>
          <w:lang w:val="en-US"/>
        </w:rPr>
        <w:t>75</w:t>
      </w:r>
      <w:r w:rsidR="00946B9E">
        <w:rPr>
          <w:rFonts w:ascii="Arial" w:hAnsi="Arial" w:cs="Arial"/>
          <w:noProof/>
          <w:lang w:val="en-US"/>
        </w:rPr>
        <w:t>)</w:t>
      </w:r>
      <w:r w:rsidR="00002F76" w:rsidRPr="00946B9E">
        <w:rPr>
          <w:rFonts w:ascii="Arial" w:hAnsi="Arial" w:cs="Arial"/>
          <w:lang w:val="en-US"/>
        </w:rPr>
        <w:t xml:space="preserve">. In one cohort study of 422 people receiving 5FU-based chemotherapy regimens for the treatment of early or advanced colorectal cancer, 11.6% (42 people) developed diabetes and a further 11.3% developed impaired fasting blood glucose (FBG) levels. Of the 42 people who developed diabetes, 7 required no treatment, 13 received diet control and physiotherapy only, and 22 received antidiabetic medication </w:t>
      </w:r>
      <w:r w:rsidR="00946B9E">
        <w:rPr>
          <w:rFonts w:ascii="Arial" w:hAnsi="Arial" w:cs="Arial"/>
          <w:lang w:val="en-US"/>
        </w:rPr>
        <w:t>(</w:t>
      </w:r>
      <w:r w:rsidR="00002F76" w:rsidRPr="00946B9E">
        <w:rPr>
          <w:rFonts w:ascii="Arial" w:hAnsi="Arial" w:cs="Arial"/>
          <w:noProof/>
          <w:lang w:val="en-US"/>
        </w:rPr>
        <w:t>75</w:t>
      </w:r>
      <w:r w:rsidR="00946B9E">
        <w:rPr>
          <w:rFonts w:ascii="Arial" w:hAnsi="Arial" w:cs="Arial"/>
          <w:noProof/>
          <w:lang w:val="en-US"/>
        </w:rPr>
        <w:t>)</w:t>
      </w:r>
      <w:r w:rsidR="00002F76" w:rsidRPr="00946B9E">
        <w:rPr>
          <w:rFonts w:ascii="Arial" w:hAnsi="Arial" w:cs="Arial"/>
          <w:lang w:val="en-US"/>
        </w:rPr>
        <w:t>.</w:t>
      </w:r>
      <w:r w:rsidR="00002F76" w:rsidRPr="00946B9E">
        <w:rPr>
          <w:rFonts w:ascii="Arial" w:hAnsi="Arial" w:cs="Arial"/>
          <w:i/>
          <w:lang w:val="en-US"/>
        </w:rPr>
        <w:t xml:space="preserve"> </w:t>
      </w:r>
      <w:r w:rsidR="00002F76" w:rsidRPr="00946B9E">
        <w:rPr>
          <w:rFonts w:ascii="Arial" w:hAnsi="Arial" w:cs="Arial"/>
          <w:lang w:val="en-US"/>
        </w:rPr>
        <w:t xml:space="preserve">In a second cohort of 185 people with head and neck cancer treated with platinum-containing regimens, 3.8% developed type 2 DM, with 3 presenting with </w:t>
      </w:r>
      <w:r w:rsidR="00715A14" w:rsidRPr="00946B9E">
        <w:rPr>
          <w:rFonts w:ascii="Arial" w:hAnsi="Arial" w:cs="Arial"/>
          <w:lang w:val="en-US"/>
        </w:rPr>
        <w:t>hyperglycemic</w:t>
      </w:r>
      <w:r w:rsidR="00002F76" w:rsidRPr="00946B9E">
        <w:rPr>
          <w:rFonts w:ascii="Arial" w:hAnsi="Arial" w:cs="Arial"/>
          <w:lang w:val="en-US"/>
        </w:rPr>
        <w:t xml:space="preserve"> crises (DKA, HHS) </w:t>
      </w:r>
      <w:r w:rsidR="00946B9E">
        <w:rPr>
          <w:rFonts w:ascii="Arial" w:hAnsi="Arial" w:cs="Arial"/>
          <w:lang w:val="en-US"/>
        </w:rPr>
        <w:t>(</w:t>
      </w:r>
      <w:r w:rsidR="00002F76" w:rsidRPr="00946B9E">
        <w:rPr>
          <w:rFonts w:ascii="Arial" w:hAnsi="Arial" w:cs="Arial"/>
          <w:noProof/>
          <w:lang w:val="en-US"/>
        </w:rPr>
        <w:t>65</w:t>
      </w:r>
      <w:r w:rsidR="00946B9E">
        <w:rPr>
          <w:rFonts w:ascii="Arial" w:hAnsi="Arial" w:cs="Arial"/>
          <w:noProof/>
          <w:lang w:val="en-US"/>
        </w:rPr>
        <w:t>)</w:t>
      </w:r>
      <w:r w:rsidR="00002F76" w:rsidRPr="00946B9E">
        <w:rPr>
          <w:rFonts w:ascii="Arial" w:hAnsi="Arial" w:cs="Arial"/>
          <w:lang w:val="en-US"/>
        </w:rPr>
        <w:t>.</w:t>
      </w:r>
      <w:r w:rsidR="00002F76" w:rsidRPr="00946B9E">
        <w:rPr>
          <w:rFonts w:ascii="Arial" w:hAnsi="Arial" w:cs="Arial"/>
          <w:i/>
          <w:lang w:val="en-US"/>
        </w:rPr>
        <w:t xml:space="preserve"> </w:t>
      </w:r>
      <w:r w:rsidR="00002F76" w:rsidRPr="00946B9E">
        <w:rPr>
          <w:rFonts w:ascii="Arial" w:hAnsi="Arial" w:cs="Arial"/>
          <w:lang w:val="en-US"/>
        </w:rPr>
        <w:t>One possible contributing factor for developing impaired FBG levels and/or type 2 DM is the concurrent use of corticosteroids in highly emetogenic chemotherapy regimens, but an analysis of type 2 DM following anthracycline use in 3,147 lymphoma patients suggested that the use of these drugs independently increases the risk of T2DM, when data was adjusted for corticosteroid use, comorbidities, age</w:t>
      </w:r>
      <w:r w:rsidR="00946B9E">
        <w:rPr>
          <w:rFonts w:ascii="Arial" w:hAnsi="Arial" w:cs="Arial"/>
          <w:lang w:val="en-US"/>
        </w:rPr>
        <w:t>,</w:t>
      </w:r>
      <w:r w:rsidR="00002F76" w:rsidRPr="00946B9E">
        <w:rPr>
          <w:rFonts w:ascii="Arial" w:hAnsi="Arial" w:cs="Arial"/>
          <w:lang w:val="en-US"/>
        </w:rPr>
        <w:t xml:space="preserve"> and gender.</w:t>
      </w:r>
      <w:r w:rsidR="00002F76" w:rsidRPr="00946B9E">
        <w:rPr>
          <w:rFonts w:ascii="Arial" w:hAnsi="Arial" w:cs="Arial"/>
          <w:i/>
          <w:lang w:val="en-US"/>
        </w:rPr>
        <w:t xml:space="preserve"> </w:t>
      </w:r>
      <w:r w:rsidR="00002F76" w:rsidRPr="00946B9E">
        <w:rPr>
          <w:rFonts w:ascii="Arial" w:hAnsi="Arial" w:cs="Arial"/>
          <w:lang w:val="en-US"/>
        </w:rPr>
        <w:t>A threshold doxorubicin dose of 253mg was identified, below which there was no increased risk of developing T2DM</w:t>
      </w:r>
      <w:r w:rsidR="00002F76" w:rsidRPr="00946B9E">
        <w:rPr>
          <w:rFonts w:ascii="Arial" w:hAnsi="Arial" w:cs="Arial"/>
          <w:i/>
          <w:lang w:val="en-US"/>
        </w:rPr>
        <w:t xml:space="preserve"> </w:t>
      </w:r>
      <w:r w:rsidR="00946B9E" w:rsidRPr="00946B9E">
        <w:rPr>
          <w:rFonts w:ascii="Arial" w:hAnsi="Arial" w:cs="Arial"/>
          <w:iCs/>
          <w:lang w:val="en-US"/>
        </w:rPr>
        <w:t>(</w:t>
      </w:r>
      <w:r w:rsidR="00002F76" w:rsidRPr="00946B9E">
        <w:rPr>
          <w:rFonts w:ascii="Arial" w:hAnsi="Arial" w:cs="Arial"/>
          <w:iCs/>
          <w:noProof/>
          <w:lang w:val="en-US"/>
        </w:rPr>
        <w:t>76</w:t>
      </w:r>
      <w:r w:rsidR="00946B9E" w:rsidRPr="00946B9E">
        <w:rPr>
          <w:rFonts w:ascii="Arial" w:hAnsi="Arial" w:cs="Arial"/>
          <w:iCs/>
          <w:noProof/>
          <w:lang w:val="en-US"/>
        </w:rPr>
        <w:t>)</w:t>
      </w:r>
      <w:r w:rsidR="00002F76" w:rsidRPr="00946B9E">
        <w:rPr>
          <w:rFonts w:ascii="Arial" w:hAnsi="Arial" w:cs="Arial"/>
          <w:iCs/>
          <w:lang w:val="en-US"/>
        </w:rPr>
        <w:t>.</w:t>
      </w:r>
      <w:r w:rsidR="00002F76" w:rsidRPr="00946B9E">
        <w:rPr>
          <w:rFonts w:ascii="Arial" w:hAnsi="Arial" w:cs="Arial"/>
          <w:lang w:val="en-US"/>
        </w:rPr>
        <w:t xml:space="preserve"> Risk of diabetes from cytotoxic chemotherapy may also increase with age, with one </w:t>
      </w:r>
      <w:r w:rsidR="00715A14" w:rsidRPr="00946B9E">
        <w:rPr>
          <w:rFonts w:ascii="Arial" w:hAnsi="Arial" w:cs="Arial"/>
          <w:lang w:val="en-US"/>
        </w:rPr>
        <w:t>pediatric</w:t>
      </w:r>
      <w:r w:rsidR="00002F76" w:rsidRPr="00946B9E">
        <w:rPr>
          <w:rFonts w:ascii="Arial" w:hAnsi="Arial" w:cs="Arial"/>
          <w:lang w:val="en-US"/>
        </w:rPr>
        <w:t xml:space="preserve"> study suggesting that </w:t>
      </w:r>
      <w:r w:rsidR="00002F76" w:rsidRPr="00946B9E">
        <w:rPr>
          <w:rFonts w:ascii="Arial" w:hAnsi="Arial" w:cs="Arial"/>
          <w:lang w:val="en-US"/>
        </w:rPr>
        <w:lastRenderedPageBreak/>
        <w:t xml:space="preserve">the risk was higher in acute lymphoblastic </w:t>
      </w:r>
      <w:r w:rsidR="00715A14" w:rsidRPr="00946B9E">
        <w:rPr>
          <w:rFonts w:ascii="Arial" w:hAnsi="Arial" w:cs="Arial"/>
          <w:lang w:val="en-US"/>
        </w:rPr>
        <w:t>leukemia</w:t>
      </w:r>
      <w:r w:rsidR="00002F76" w:rsidRPr="00946B9E">
        <w:rPr>
          <w:rFonts w:ascii="Arial" w:hAnsi="Arial" w:cs="Arial"/>
          <w:lang w:val="en-US"/>
        </w:rPr>
        <w:t xml:space="preserve"> (ALL) patients aged &gt; 10, compared with those &lt; 10 years old </w:t>
      </w:r>
      <w:r w:rsidR="00946B9E">
        <w:rPr>
          <w:rFonts w:ascii="Arial" w:hAnsi="Arial" w:cs="Arial"/>
          <w:lang w:val="en-US"/>
        </w:rPr>
        <w:t>(</w:t>
      </w:r>
      <w:r w:rsidR="00002F76" w:rsidRPr="00946B9E">
        <w:rPr>
          <w:rFonts w:ascii="Arial" w:hAnsi="Arial" w:cs="Arial"/>
          <w:noProof/>
          <w:lang w:val="en-US"/>
        </w:rPr>
        <w:t>77</w:t>
      </w:r>
      <w:r w:rsidR="00946B9E">
        <w:rPr>
          <w:rFonts w:ascii="Arial" w:hAnsi="Arial" w:cs="Arial"/>
          <w:noProof/>
          <w:lang w:val="en-US"/>
        </w:rPr>
        <w:t>)</w:t>
      </w:r>
      <w:r w:rsidR="00002F76" w:rsidRPr="00946B9E">
        <w:rPr>
          <w:rFonts w:ascii="Arial" w:hAnsi="Arial" w:cs="Arial"/>
          <w:lang w:val="en-US"/>
        </w:rPr>
        <w:t>.</w:t>
      </w:r>
    </w:p>
    <w:p w14:paraId="6E1A676B" w14:textId="11D9188A" w:rsidR="00002F76" w:rsidRPr="00946B9E" w:rsidRDefault="00002F76" w:rsidP="00C96EE5">
      <w:pPr>
        <w:spacing w:after="0" w:line="276" w:lineRule="auto"/>
        <w:rPr>
          <w:rFonts w:ascii="Arial" w:hAnsi="Arial" w:cs="Arial"/>
          <w:i/>
          <w:lang w:val="en-US"/>
        </w:rPr>
      </w:pPr>
      <w:r w:rsidRPr="00946B9E">
        <w:rPr>
          <w:rFonts w:ascii="Arial" w:hAnsi="Arial" w:cs="Arial"/>
          <w:i/>
          <w:lang w:val="en-US"/>
        </w:rPr>
        <w:t xml:space="preserve"> </w:t>
      </w:r>
    </w:p>
    <w:p w14:paraId="05FE58A7" w14:textId="129781E8" w:rsidR="00002F76" w:rsidRPr="00946B9E" w:rsidRDefault="00002F76" w:rsidP="00C96EE5">
      <w:pPr>
        <w:spacing w:after="0" w:line="276" w:lineRule="auto"/>
        <w:rPr>
          <w:rFonts w:ascii="Arial" w:hAnsi="Arial" w:cs="Arial"/>
          <w:lang w:val="en-US"/>
        </w:rPr>
      </w:pPr>
      <w:r w:rsidRPr="00946B9E">
        <w:rPr>
          <w:rFonts w:ascii="Arial" w:hAnsi="Arial" w:cs="Arial"/>
          <w:lang w:val="en-US"/>
        </w:rPr>
        <w:t xml:space="preserve">Exact mechanisms of how and why some cytotoxic chemotherapies can lead to </w:t>
      </w:r>
      <w:r w:rsidR="00A4356B" w:rsidRPr="00946B9E">
        <w:rPr>
          <w:rFonts w:ascii="Arial" w:hAnsi="Arial" w:cs="Arial"/>
          <w:lang w:val="en-US"/>
        </w:rPr>
        <w:t>hyperglycemia</w:t>
      </w:r>
      <w:r w:rsidRPr="00946B9E">
        <w:rPr>
          <w:rFonts w:ascii="Arial" w:hAnsi="Arial" w:cs="Arial"/>
          <w:lang w:val="en-US"/>
        </w:rPr>
        <w:t xml:space="preserve"> or T2DM remain unclear. Proposed mechanisms include the induction of an inflammatory state which predisposes to </w:t>
      </w:r>
      <w:r w:rsidR="00A4356B" w:rsidRPr="00946B9E">
        <w:rPr>
          <w:rFonts w:ascii="Arial" w:hAnsi="Arial" w:cs="Arial"/>
          <w:lang w:val="en-US"/>
        </w:rPr>
        <w:t>hyperglycemia</w:t>
      </w:r>
      <w:r w:rsidRPr="00946B9E">
        <w:rPr>
          <w:rFonts w:ascii="Arial" w:hAnsi="Arial" w:cs="Arial"/>
          <w:lang w:val="en-US"/>
        </w:rPr>
        <w:t xml:space="preserve"> </w:t>
      </w:r>
      <w:r w:rsidR="00946B9E">
        <w:rPr>
          <w:rFonts w:ascii="Arial" w:hAnsi="Arial" w:cs="Arial"/>
          <w:lang w:val="en-US"/>
        </w:rPr>
        <w:t>(</w:t>
      </w:r>
      <w:r w:rsidRPr="00946B9E">
        <w:rPr>
          <w:rFonts w:ascii="Arial" w:hAnsi="Arial" w:cs="Arial"/>
          <w:noProof/>
          <w:lang w:val="en-US"/>
        </w:rPr>
        <w:t>78</w:t>
      </w:r>
      <w:r w:rsidR="00946B9E">
        <w:rPr>
          <w:rFonts w:ascii="Arial" w:hAnsi="Arial" w:cs="Arial"/>
          <w:noProof/>
          <w:lang w:val="en-US"/>
        </w:rPr>
        <w:t>)</w:t>
      </w:r>
      <w:r w:rsidRPr="00946B9E">
        <w:rPr>
          <w:rFonts w:ascii="Arial" w:hAnsi="Arial" w:cs="Arial"/>
          <w:lang w:val="en-US"/>
        </w:rPr>
        <w:t xml:space="preserve"> or direct metabolic effects on tissues vital to glucose homeostasis such as skeletal muscles </w:t>
      </w:r>
      <w:r w:rsidR="00946B9E">
        <w:rPr>
          <w:rFonts w:ascii="Arial" w:hAnsi="Arial" w:cs="Arial"/>
          <w:lang w:val="en-US"/>
        </w:rPr>
        <w:t>(</w:t>
      </w:r>
      <w:r w:rsidRPr="00946B9E">
        <w:rPr>
          <w:rFonts w:ascii="Arial" w:hAnsi="Arial" w:cs="Arial"/>
          <w:noProof/>
          <w:lang w:val="en-US"/>
        </w:rPr>
        <w:t>79</w:t>
      </w:r>
      <w:r w:rsidR="00946B9E">
        <w:rPr>
          <w:rFonts w:ascii="Arial" w:hAnsi="Arial" w:cs="Arial"/>
          <w:noProof/>
          <w:lang w:val="en-US"/>
        </w:rPr>
        <w:t>)</w:t>
      </w:r>
      <w:r w:rsidRPr="00946B9E">
        <w:rPr>
          <w:rFonts w:ascii="Arial" w:hAnsi="Arial" w:cs="Arial"/>
          <w:lang w:val="en-US"/>
        </w:rPr>
        <w:t>.</w:t>
      </w:r>
    </w:p>
    <w:p w14:paraId="099BBDFC" w14:textId="77777777" w:rsidR="00002F76" w:rsidRPr="00A30B0F" w:rsidRDefault="00002F76" w:rsidP="00C96EE5">
      <w:pPr>
        <w:spacing w:after="0" w:line="276" w:lineRule="auto"/>
        <w:rPr>
          <w:rFonts w:ascii="Arial" w:hAnsi="Arial" w:cs="Arial"/>
          <w:lang w:val="en-US"/>
        </w:rPr>
      </w:pPr>
    </w:p>
    <w:p w14:paraId="36D432AE" w14:textId="2E874D21" w:rsidR="00002F76" w:rsidRPr="002D55F5" w:rsidRDefault="00002F76" w:rsidP="00946B9E">
      <w:pPr>
        <w:pStyle w:val="Heading2"/>
        <w:spacing w:before="0" w:after="0" w:line="276" w:lineRule="auto"/>
        <w:rPr>
          <w:rFonts w:ascii="Arial" w:hAnsi="Arial" w:cs="Arial"/>
          <w:color w:val="00B050"/>
          <w:sz w:val="22"/>
          <w:szCs w:val="22"/>
          <w:lang w:val="en-US"/>
        </w:rPr>
      </w:pPr>
      <w:r w:rsidRPr="002D55F5">
        <w:rPr>
          <w:rFonts w:ascii="Arial" w:hAnsi="Arial" w:cs="Arial"/>
          <w:color w:val="00B050"/>
          <w:sz w:val="22"/>
          <w:szCs w:val="22"/>
          <w:lang w:val="en-US"/>
        </w:rPr>
        <w:t xml:space="preserve">Oral </w:t>
      </w:r>
      <w:r w:rsidR="002D55F5" w:rsidRPr="002D55F5">
        <w:rPr>
          <w:rFonts w:ascii="Arial" w:hAnsi="Arial" w:cs="Arial"/>
          <w:color w:val="00B050"/>
          <w:sz w:val="22"/>
          <w:szCs w:val="22"/>
          <w:lang w:val="en-US"/>
        </w:rPr>
        <w:t>T</w:t>
      </w:r>
      <w:r w:rsidRPr="002D55F5">
        <w:rPr>
          <w:rFonts w:ascii="Arial" w:hAnsi="Arial" w:cs="Arial"/>
          <w:color w:val="00B050"/>
          <w:sz w:val="22"/>
          <w:szCs w:val="22"/>
          <w:lang w:val="en-US"/>
        </w:rPr>
        <w:t xml:space="preserve">argeted </w:t>
      </w:r>
      <w:r w:rsidR="002D55F5" w:rsidRPr="002D55F5">
        <w:rPr>
          <w:rFonts w:ascii="Arial" w:hAnsi="Arial" w:cs="Arial"/>
          <w:color w:val="00B050"/>
          <w:sz w:val="22"/>
          <w:szCs w:val="22"/>
          <w:lang w:val="en-US"/>
        </w:rPr>
        <w:t>A</w:t>
      </w:r>
      <w:r w:rsidRPr="002D55F5">
        <w:rPr>
          <w:rFonts w:ascii="Arial" w:hAnsi="Arial" w:cs="Arial"/>
          <w:color w:val="00B050"/>
          <w:sz w:val="22"/>
          <w:szCs w:val="22"/>
          <w:lang w:val="en-US"/>
        </w:rPr>
        <w:t xml:space="preserve">nticancer </w:t>
      </w:r>
      <w:r w:rsidR="002D55F5" w:rsidRPr="002D55F5">
        <w:rPr>
          <w:rFonts w:ascii="Arial" w:hAnsi="Arial" w:cs="Arial"/>
          <w:color w:val="00B050"/>
          <w:sz w:val="22"/>
          <w:szCs w:val="22"/>
          <w:lang w:val="en-US"/>
        </w:rPr>
        <w:t>A</w:t>
      </w:r>
      <w:r w:rsidRPr="002D55F5">
        <w:rPr>
          <w:rFonts w:ascii="Arial" w:hAnsi="Arial" w:cs="Arial"/>
          <w:color w:val="00B050"/>
          <w:sz w:val="22"/>
          <w:szCs w:val="22"/>
          <w:lang w:val="en-US"/>
        </w:rPr>
        <w:t>gents</w:t>
      </w:r>
    </w:p>
    <w:p w14:paraId="3C376623" w14:textId="77777777" w:rsidR="00946B9E" w:rsidRDefault="00946B9E" w:rsidP="00C96EE5">
      <w:pPr>
        <w:spacing w:after="0" w:line="276" w:lineRule="auto"/>
        <w:rPr>
          <w:rFonts w:ascii="Arial" w:hAnsi="Arial" w:cs="Arial"/>
          <w:lang w:val="en-US"/>
        </w:rPr>
      </w:pPr>
    </w:p>
    <w:p w14:paraId="18CF11FD" w14:textId="77777777" w:rsidR="00664A6B" w:rsidRDefault="00002F76" w:rsidP="00C96EE5">
      <w:pPr>
        <w:spacing w:after="0" w:line="276" w:lineRule="auto"/>
        <w:rPr>
          <w:rFonts w:ascii="Arial" w:hAnsi="Arial" w:cs="Arial"/>
          <w:lang w:val="en-US"/>
        </w:rPr>
      </w:pPr>
      <w:r w:rsidRPr="00664A6B">
        <w:rPr>
          <w:rFonts w:ascii="Arial" w:hAnsi="Arial" w:cs="Arial"/>
          <w:lang w:val="en-US"/>
        </w:rPr>
        <w:t xml:space="preserve">Many new targeted cancer therapies inhibit various points in the insulin receptor </w:t>
      </w:r>
      <w:r w:rsidR="00715A14" w:rsidRPr="00664A6B">
        <w:rPr>
          <w:rFonts w:ascii="Arial" w:hAnsi="Arial" w:cs="Arial"/>
          <w:lang w:val="en-US"/>
        </w:rPr>
        <w:t>signaling</w:t>
      </w:r>
      <w:r w:rsidRPr="00664A6B">
        <w:rPr>
          <w:rFonts w:ascii="Arial" w:hAnsi="Arial" w:cs="Arial"/>
          <w:lang w:val="en-US"/>
        </w:rPr>
        <w:t xml:space="preserve"> pathway including the commonly used class of tyrosine kinase inhibitors (TKIs) </w:t>
      </w:r>
      <w:r w:rsidR="00664A6B">
        <w:rPr>
          <w:rFonts w:ascii="Arial" w:hAnsi="Arial" w:cs="Arial"/>
          <w:lang w:val="en-US"/>
        </w:rPr>
        <w:t>(</w:t>
      </w:r>
      <w:r w:rsidRPr="00664A6B">
        <w:rPr>
          <w:rFonts w:ascii="Arial" w:hAnsi="Arial" w:cs="Arial"/>
          <w:noProof/>
          <w:lang w:val="en-US"/>
        </w:rPr>
        <w:t>80</w:t>
      </w:r>
      <w:r w:rsidR="00664A6B">
        <w:rPr>
          <w:rFonts w:ascii="Arial" w:hAnsi="Arial" w:cs="Arial"/>
          <w:noProof/>
          <w:lang w:val="en-US"/>
        </w:rPr>
        <w:t>)</w:t>
      </w:r>
      <w:r w:rsidRPr="00664A6B">
        <w:rPr>
          <w:rFonts w:ascii="Arial" w:hAnsi="Arial" w:cs="Arial"/>
          <w:lang w:val="en-US"/>
        </w:rPr>
        <w:t xml:space="preserve">. Reported effects of targeted TKIs on blood glucose metabolism range from the development of metabolic syndrome and diabetes via the blocking of insulin </w:t>
      </w:r>
      <w:r w:rsidR="00715A14" w:rsidRPr="00664A6B">
        <w:rPr>
          <w:rFonts w:ascii="Arial" w:hAnsi="Arial" w:cs="Arial"/>
          <w:lang w:val="en-US"/>
        </w:rPr>
        <w:t>signaling</w:t>
      </w:r>
      <w:r w:rsidRPr="00664A6B">
        <w:rPr>
          <w:rFonts w:ascii="Arial" w:hAnsi="Arial" w:cs="Arial"/>
          <w:lang w:val="en-US"/>
        </w:rPr>
        <w:t xml:space="preserve"> </w:t>
      </w:r>
      <w:r w:rsidR="00664A6B">
        <w:rPr>
          <w:rFonts w:ascii="Arial" w:hAnsi="Arial" w:cs="Arial"/>
          <w:lang w:val="en-US"/>
        </w:rPr>
        <w:t>(</w:t>
      </w:r>
      <w:r w:rsidRPr="00664A6B">
        <w:rPr>
          <w:rFonts w:ascii="Arial" w:hAnsi="Arial" w:cs="Arial"/>
          <w:noProof/>
          <w:lang w:val="en-US"/>
        </w:rPr>
        <w:t>80</w:t>
      </w:r>
      <w:r w:rsidR="00664A6B">
        <w:rPr>
          <w:rFonts w:ascii="Arial" w:hAnsi="Arial" w:cs="Arial"/>
          <w:noProof/>
          <w:lang w:val="en-US"/>
        </w:rPr>
        <w:t>)</w:t>
      </w:r>
      <w:r w:rsidRPr="00664A6B">
        <w:rPr>
          <w:rFonts w:ascii="Arial" w:hAnsi="Arial" w:cs="Arial"/>
          <w:lang w:val="en-US"/>
        </w:rPr>
        <w:t>,</w:t>
      </w:r>
      <w:r w:rsidRPr="00664A6B" w:rsidDel="00A24E4C">
        <w:rPr>
          <w:rFonts w:ascii="Arial" w:hAnsi="Arial" w:cs="Arial"/>
          <w:lang w:val="en-US"/>
        </w:rPr>
        <w:t xml:space="preserve"> </w:t>
      </w:r>
      <w:r w:rsidRPr="00664A6B">
        <w:rPr>
          <w:rFonts w:ascii="Arial" w:hAnsi="Arial" w:cs="Arial"/>
          <w:lang w:val="en-US"/>
        </w:rPr>
        <w:t xml:space="preserve">as well as erratic </w:t>
      </w:r>
      <w:r w:rsidR="00A4356B" w:rsidRPr="00664A6B">
        <w:rPr>
          <w:rFonts w:ascii="Arial" w:hAnsi="Arial" w:cs="Arial"/>
          <w:lang w:val="en-US"/>
        </w:rPr>
        <w:t>glycemic</w:t>
      </w:r>
      <w:r w:rsidRPr="00664A6B">
        <w:rPr>
          <w:rFonts w:ascii="Arial" w:hAnsi="Arial" w:cs="Arial"/>
          <w:lang w:val="en-US"/>
        </w:rPr>
        <w:t xml:space="preserve"> control and even </w:t>
      </w:r>
      <w:r w:rsidR="00715A14" w:rsidRPr="00664A6B">
        <w:rPr>
          <w:rFonts w:ascii="Arial" w:hAnsi="Arial" w:cs="Arial"/>
          <w:lang w:val="en-US"/>
        </w:rPr>
        <w:t>hypoglycemia</w:t>
      </w:r>
      <w:r w:rsidRPr="00664A6B">
        <w:rPr>
          <w:rFonts w:ascii="Arial" w:hAnsi="Arial" w:cs="Arial"/>
          <w:lang w:val="en-US"/>
        </w:rPr>
        <w:t xml:space="preserve"> in those with pre-existing type 1 or type 2 DM</w:t>
      </w:r>
      <w:r w:rsidRPr="00664A6B">
        <w:rPr>
          <w:rFonts w:ascii="Arial" w:hAnsi="Arial" w:cs="Arial"/>
          <w:noProof/>
          <w:lang w:val="en-US"/>
        </w:rPr>
        <w:t xml:space="preserve">49, </w:t>
      </w:r>
      <w:r w:rsidR="00664A6B">
        <w:rPr>
          <w:rFonts w:ascii="Arial" w:hAnsi="Arial" w:cs="Arial"/>
          <w:noProof/>
          <w:lang w:val="en-US"/>
        </w:rPr>
        <w:t>(</w:t>
      </w:r>
      <w:r w:rsidRPr="00664A6B">
        <w:rPr>
          <w:rFonts w:ascii="Arial" w:hAnsi="Arial" w:cs="Arial"/>
          <w:noProof/>
          <w:lang w:val="en-US"/>
        </w:rPr>
        <w:t>81, 82</w:t>
      </w:r>
      <w:r w:rsidR="00664A6B">
        <w:rPr>
          <w:rFonts w:ascii="Arial" w:hAnsi="Arial" w:cs="Arial"/>
          <w:noProof/>
          <w:lang w:val="en-US"/>
        </w:rPr>
        <w:t>)</w:t>
      </w:r>
      <w:r w:rsidRPr="00664A6B">
        <w:rPr>
          <w:rFonts w:ascii="Arial" w:hAnsi="Arial" w:cs="Arial"/>
          <w:lang w:val="en-US"/>
        </w:rPr>
        <w:t xml:space="preserve">. In contrast some TKIs may improve </w:t>
      </w:r>
      <w:r w:rsidR="00A4356B" w:rsidRPr="00664A6B">
        <w:rPr>
          <w:rFonts w:ascii="Arial" w:hAnsi="Arial" w:cs="Arial"/>
          <w:lang w:val="en-US"/>
        </w:rPr>
        <w:t>glycemic</w:t>
      </w:r>
      <w:r w:rsidRPr="00664A6B">
        <w:rPr>
          <w:rFonts w:ascii="Arial" w:hAnsi="Arial" w:cs="Arial"/>
          <w:lang w:val="en-US"/>
        </w:rPr>
        <w:t xml:space="preserve"> control suggesting that management of these individuals needs to be </w:t>
      </w:r>
      <w:r w:rsidR="00715A14" w:rsidRPr="00664A6B">
        <w:rPr>
          <w:rFonts w:ascii="Arial" w:hAnsi="Arial" w:cs="Arial"/>
          <w:lang w:val="en-US"/>
        </w:rPr>
        <w:t>individualized</w:t>
      </w:r>
      <w:r w:rsidRPr="00664A6B">
        <w:rPr>
          <w:rFonts w:ascii="Arial" w:hAnsi="Arial" w:cs="Arial"/>
          <w:lang w:val="en-US"/>
        </w:rPr>
        <w:t xml:space="preserve"> with no one-size-fits-all management algorithm. Reversibility of these effects is also unclear, with reported improvements in </w:t>
      </w:r>
      <w:r w:rsidR="00A4356B" w:rsidRPr="00664A6B">
        <w:rPr>
          <w:rFonts w:ascii="Arial" w:hAnsi="Arial" w:cs="Arial"/>
          <w:lang w:val="en-US"/>
        </w:rPr>
        <w:t>glycemic</w:t>
      </w:r>
      <w:r w:rsidRPr="00664A6B">
        <w:rPr>
          <w:rFonts w:ascii="Arial" w:hAnsi="Arial" w:cs="Arial"/>
          <w:lang w:val="en-US"/>
        </w:rPr>
        <w:t xml:space="preserve"> control and HbA1c levels following dose reductions or treatment termination </w:t>
      </w:r>
      <w:r w:rsidR="00664A6B">
        <w:rPr>
          <w:rFonts w:ascii="Arial" w:hAnsi="Arial" w:cs="Arial"/>
          <w:lang w:val="en-US"/>
        </w:rPr>
        <w:t>(</w:t>
      </w:r>
      <w:r w:rsidRPr="00664A6B">
        <w:rPr>
          <w:rFonts w:ascii="Arial" w:hAnsi="Arial" w:cs="Arial"/>
          <w:noProof/>
          <w:lang w:val="en-US"/>
        </w:rPr>
        <w:t>83</w:t>
      </w:r>
      <w:r w:rsidR="00664A6B">
        <w:rPr>
          <w:rFonts w:ascii="Arial" w:hAnsi="Arial" w:cs="Arial"/>
          <w:noProof/>
          <w:lang w:val="en-US"/>
        </w:rPr>
        <w:t>)</w:t>
      </w:r>
      <w:r w:rsidRPr="00664A6B">
        <w:rPr>
          <w:rFonts w:ascii="Arial" w:hAnsi="Arial" w:cs="Arial"/>
          <w:lang w:val="en-US"/>
        </w:rPr>
        <w:t>.</w:t>
      </w:r>
    </w:p>
    <w:p w14:paraId="05A917A7" w14:textId="17B5140E" w:rsidR="00002F76" w:rsidRPr="00664A6B" w:rsidRDefault="00002F76" w:rsidP="00C96EE5">
      <w:pPr>
        <w:spacing w:after="0" w:line="276" w:lineRule="auto"/>
        <w:rPr>
          <w:rFonts w:ascii="Arial" w:hAnsi="Arial" w:cs="Arial"/>
          <w:lang w:val="en-US"/>
        </w:rPr>
      </w:pPr>
      <w:r w:rsidRPr="00664A6B">
        <w:rPr>
          <w:rFonts w:ascii="Arial" w:hAnsi="Arial" w:cs="Arial"/>
          <w:lang w:val="en-US"/>
        </w:rPr>
        <w:t xml:space="preserve"> </w:t>
      </w:r>
    </w:p>
    <w:p w14:paraId="42FD1E5C" w14:textId="44996104" w:rsidR="00002F76" w:rsidRDefault="00002F76" w:rsidP="00C96EE5">
      <w:pPr>
        <w:spacing w:after="0" w:line="276" w:lineRule="auto"/>
        <w:rPr>
          <w:rFonts w:ascii="Arial" w:hAnsi="Arial" w:cs="Arial"/>
          <w:lang w:val="en-US"/>
        </w:rPr>
      </w:pPr>
      <w:r w:rsidRPr="00664A6B">
        <w:rPr>
          <w:rFonts w:ascii="Arial" w:hAnsi="Arial" w:cs="Arial"/>
          <w:lang w:val="en-US"/>
        </w:rPr>
        <w:t xml:space="preserve">Inhibitors of mTOR (everolimus, </w:t>
      </w:r>
      <w:bookmarkStart w:id="5" w:name="_Hlk89775416"/>
      <w:r w:rsidRPr="00664A6B">
        <w:rPr>
          <w:rFonts w:ascii="Arial" w:hAnsi="Arial" w:cs="Arial"/>
          <w:lang w:val="en-US"/>
        </w:rPr>
        <w:t>temsirolimus</w:t>
      </w:r>
      <w:bookmarkEnd w:id="5"/>
      <w:r w:rsidRPr="00664A6B">
        <w:rPr>
          <w:rFonts w:ascii="Arial" w:hAnsi="Arial" w:cs="Arial"/>
          <w:lang w:val="en-US"/>
        </w:rPr>
        <w:t xml:space="preserve"> or ridaforolimus) have also been shown to impact </w:t>
      </w:r>
      <w:r w:rsidR="00A4356B" w:rsidRPr="00664A6B">
        <w:rPr>
          <w:rFonts w:ascii="Arial" w:hAnsi="Arial" w:cs="Arial"/>
          <w:lang w:val="en-US"/>
        </w:rPr>
        <w:t>glycemic</w:t>
      </w:r>
      <w:r w:rsidRPr="00664A6B">
        <w:rPr>
          <w:rFonts w:ascii="Arial" w:hAnsi="Arial" w:cs="Arial"/>
          <w:lang w:val="en-US"/>
        </w:rPr>
        <w:t xml:space="preserve"> control since mTOR is a protein kinase that plays a key role in regulating cell growth as well as lipid and glucose metabolism </w:t>
      </w:r>
      <w:r w:rsidR="00664A6B">
        <w:rPr>
          <w:rFonts w:ascii="Arial" w:hAnsi="Arial" w:cs="Arial"/>
          <w:lang w:val="en-US"/>
        </w:rPr>
        <w:t>(</w:t>
      </w:r>
      <w:r w:rsidRPr="00664A6B">
        <w:rPr>
          <w:rFonts w:ascii="Arial" w:hAnsi="Arial" w:cs="Arial"/>
          <w:noProof/>
          <w:lang w:val="en-US"/>
        </w:rPr>
        <w:t>84, 85</w:t>
      </w:r>
      <w:r w:rsidR="00664A6B">
        <w:rPr>
          <w:rFonts w:ascii="Arial" w:hAnsi="Arial" w:cs="Arial"/>
          <w:noProof/>
          <w:lang w:val="en-US"/>
        </w:rPr>
        <w:t>)</w:t>
      </w:r>
      <w:r w:rsidRPr="00664A6B">
        <w:rPr>
          <w:rFonts w:ascii="Arial" w:hAnsi="Arial" w:cs="Arial"/>
          <w:lang w:val="en-US"/>
        </w:rPr>
        <w:t xml:space="preserve">. Meta-analyses looking into these effects have demonstrated significantly higher rates of </w:t>
      </w:r>
      <w:r w:rsidR="00A4356B" w:rsidRPr="00664A6B">
        <w:rPr>
          <w:rFonts w:ascii="Arial" w:hAnsi="Arial" w:cs="Arial"/>
          <w:lang w:val="en-US"/>
        </w:rPr>
        <w:t>hyperglycemia</w:t>
      </w:r>
      <w:r w:rsidRPr="00664A6B">
        <w:rPr>
          <w:rFonts w:ascii="Arial" w:hAnsi="Arial" w:cs="Arial"/>
          <w:lang w:val="en-US"/>
        </w:rPr>
        <w:t xml:space="preserve">, </w:t>
      </w:r>
      <w:r w:rsidR="00715A14" w:rsidRPr="00664A6B">
        <w:rPr>
          <w:rFonts w:ascii="Arial" w:hAnsi="Arial" w:cs="Arial"/>
          <w:lang w:val="en-US"/>
        </w:rPr>
        <w:t>hypercholesterolemia</w:t>
      </w:r>
      <w:r w:rsidRPr="00664A6B">
        <w:rPr>
          <w:rFonts w:ascii="Arial" w:hAnsi="Arial" w:cs="Arial"/>
          <w:lang w:val="en-US"/>
        </w:rPr>
        <w:t xml:space="preserve">, and </w:t>
      </w:r>
      <w:r w:rsidR="00715A14" w:rsidRPr="00664A6B">
        <w:rPr>
          <w:rFonts w:ascii="Arial" w:hAnsi="Arial" w:cs="Arial"/>
          <w:lang w:val="en-US"/>
        </w:rPr>
        <w:t>hypertriglyceridemia</w:t>
      </w:r>
      <w:r w:rsidRPr="00664A6B">
        <w:rPr>
          <w:rFonts w:ascii="Arial" w:hAnsi="Arial" w:cs="Arial"/>
          <w:lang w:val="en-US"/>
        </w:rPr>
        <w:t xml:space="preserve"> compared with controls </w:t>
      </w:r>
      <w:r w:rsidR="00664A6B">
        <w:rPr>
          <w:rFonts w:ascii="Arial" w:hAnsi="Arial" w:cs="Arial"/>
          <w:lang w:val="en-US"/>
        </w:rPr>
        <w:t>(</w:t>
      </w:r>
      <w:r w:rsidRPr="00664A6B">
        <w:rPr>
          <w:rFonts w:ascii="Arial" w:hAnsi="Arial" w:cs="Arial"/>
          <w:noProof/>
          <w:lang w:val="en-US"/>
        </w:rPr>
        <w:t>86, 87</w:t>
      </w:r>
      <w:r w:rsidR="00664A6B">
        <w:rPr>
          <w:rFonts w:ascii="Arial" w:hAnsi="Arial" w:cs="Arial"/>
          <w:noProof/>
          <w:lang w:val="en-US"/>
        </w:rPr>
        <w:t>)</w:t>
      </w:r>
      <w:r w:rsidRPr="00664A6B">
        <w:rPr>
          <w:rFonts w:ascii="Arial" w:hAnsi="Arial" w:cs="Arial"/>
          <w:lang w:val="en-US"/>
        </w:rPr>
        <w:t xml:space="preserve"> In isolated cases, the effects have been severe enough to precipitate DKA </w:t>
      </w:r>
      <w:r w:rsidR="00664A6B">
        <w:rPr>
          <w:rFonts w:ascii="Arial" w:hAnsi="Arial" w:cs="Arial"/>
          <w:lang w:val="en-US"/>
        </w:rPr>
        <w:t>(</w:t>
      </w:r>
      <w:r w:rsidRPr="00664A6B">
        <w:rPr>
          <w:rFonts w:ascii="Arial" w:hAnsi="Arial" w:cs="Arial"/>
          <w:noProof/>
          <w:lang w:val="en-US"/>
        </w:rPr>
        <w:t>88</w:t>
      </w:r>
      <w:r w:rsidR="00664A6B">
        <w:rPr>
          <w:rFonts w:ascii="Arial" w:hAnsi="Arial" w:cs="Arial"/>
          <w:noProof/>
          <w:lang w:val="en-US"/>
        </w:rPr>
        <w:t>)</w:t>
      </w:r>
      <w:r w:rsidRPr="00664A6B">
        <w:rPr>
          <w:rFonts w:ascii="Arial" w:hAnsi="Arial" w:cs="Arial"/>
          <w:lang w:val="en-US"/>
        </w:rPr>
        <w:t xml:space="preserve">. To date, studies have not demonstrated either positive or negative associations between treatment response rates and incidence of metabolic complications </w:t>
      </w:r>
      <w:r w:rsidR="00664A6B">
        <w:rPr>
          <w:rFonts w:ascii="Arial" w:hAnsi="Arial" w:cs="Arial"/>
          <w:lang w:val="en-US"/>
        </w:rPr>
        <w:t>(</w:t>
      </w:r>
      <w:r w:rsidRPr="00664A6B">
        <w:rPr>
          <w:rFonts w:ascii="Arial" w:hAnsi="Arial" w:cs="Arial"/>
          <w:noProof/>
          <w:lang w:val="en-US"/>
        </w:rPr>
        <w:t>89</w:t>
      </w:r>
      <w:r w:rsidR="00664A6B">
        <w:rPr>
          <w:rFonts w:ascii="Arial" w:hAnsi="Arial" w:cs="Arial"/>
          <w:noProof/>
          <w:lang w:val="en-US"/>
        </w:rPr>
        <w:t>)</w:t>
      </w:r>
      <w:r w:rsidRPr="00664A6B">
        <w:rPr>
          <w:rFonts w:ascii="Arial" w:hAnsi="Arial" w:cs="Arial"/>
          <w:lang w:val="en-US"/>
        </w:rPr>
        <w:t xml:space="preserve">. </w:t>
      </w:r>
    </w:p>
    <w:p w14:paraId="0A4CB9DD" w14:textId="77777777" w:rsidR="00664A6B" w:rsidRPr="00664A6B" w:rsidRDefault="00664A6B" w:rsidP="00C96EE5">
      <w:pPr>
        <w:spacing w:after="0" w:line="276" w:lineRule="auto"/>
        <w:rPr>
          <w:rFonts w:ascii="Arial" w:hAnsi="Arial" w:cs="Arial"/>
          <w:lang w:val="en-US"/>
        </w:rPr>
      </w:pPr>
    </w:p>
    <w:p w14:paraId="03828E36" w14:textId="321DCC3D" w:rsidR="00002F76" w:rsidRPr="009F53D6" w:rsidRDefault="00002F76" w:rsidP="00462C96">
      <w:pPr>
        <w:spacing w:after="0" w:line="276" w:lineRule="auto"/>
        <w:rPr>
          <w:rFonts w:ascii="Arial" w:hAnsi="Arial" w:cs="Arial"/>
          <w:lang w:val="en-US"/>
        </w:rPr>
      </w:pPr>
      <w:r w:rsidRPr="009F53D6">
        <w:rPr>
          <w:rFonts w:ascii="Arial" w:hAnsi="Arial" w:cs="Arial"/>
          <w:lang w:val="en-US"/>
        </w:rPr>
        <w:t xml:space="preserve">As novel targeted agents continue to be introduced to manage a range of cancers, it is expected that metabolic toxicities continue to be reported given the homeostatic function of many of these </w:t>
      </w:r>
      <w:r w:rsidR="00715A14" w:rsidRPr="009F53D6">
        <w:rPr>
          <w:rFonts w:ascii="Arial" w:hAnsi="Arial" w:cs="Arial"/>
          <w:lang w:val="en-US"/>
        </w:rPr>
        <w:t>druggable</w:t>
      </w:r>
      <w:r w:rsidRPr="009F53D6">
        <w:rPr>
          <w:rFonts w:ascii="Arial" w:hAnsi="Arial" w:cs="Arial"/>
          <w:lang w:val="en-US"/>
        </w:rPr>
        <w:t xml:space="preserve"> targets. Whilst some of these agents will provide meaningful benefit in terms of survival for people with advanced cancers, such as the PI3K</w:t>
      </w:r>
      <w:r w:rsidRPr="009F53D6">
        <w:rPr>
          <w:rFonts w:ascii="Arial" w:hAnsi="Arial" w:cs="Arial"/>
          <w:lang w:val="en-US"/>
        </w:rPr>
        <w:sym w:font="Symbol" w:char="F061"/>
      </w:r>
      <w:r w:rsidRPr="009F53D6">
        <w:rPr>
          <w:rFonts w:ascii="Arial" w:hAnsi="Arial" w:cs="Arial"/>
          <w:lang w:val="en-US"/>
        </w:rPr>
        <w:t xml:space="preserve"> inhibitor alpelisib for PI3KA-mutated metastatic breast cancer </w:t>
      </w:r>
      <w:r w:rsidR="009F53D6">
        <w:rPr>
          <w:rFonts w:ascii="Arial" w:hAnsi="Arial" w:cs="Arial"/>
          <w:lang w:val="en-US"/>
        </w:rPr>
        <w:t>(</w:t>
      </w:r>
      <w:r w:rsidRPr="009F53D6">
        <w:rPr>
          <w:rFonts w:ascii="Arial" w:hAnsi="Arial" w:cs="Arial"/>
          <w:noProof/>
          <w:lang w:val="en-US"/>
        </w:rPr>
        <w:t>43</w:t>
      </w:r>
      <w:r w:rsidR="009F53D6">
        <w:rPr>
          <w:rFonts w:ascii="Arial" w:hAnsi="Arial" w:cs="Arial"/>
          <w:noProof/>
          <w:lang w:val="en-US"/>
        </w:rPr>
        <w:t>)</w:t>
      </w:r>
      <w:r w:rsidRPr="009F53D6">
        <w:rPr>
          <w:rFonts w:ascii="Arial" w:hAnsi="Arial" w:cs="Arial"/>
          <w:lang w:val="en-US"/>
        </w:rPr>
        <w:t xml:space="preserve">, </w:t>
      </w:r>
      <w:r w:rsidR="00A4356B" w:rsidRPr="009F53D6">
        <w:rPr>
          <w:rFonts w:ascii="Arial" w:hAnsi="Arial" w:cs="Arial"/>
          <w:lang w:val="en-US"/>
        </w:rPr>
        <w:t>glycemic</w:t>
      </w:r>
      <w:r w:rsidRPr="009F53D6">
        <w:rPr>
          <w:rFonts w:ascii="Arial" w:hAnsi="Arial" w:cs="Arial"/>
          <w:lang w:val="en-US"/>
        </w:rPr>
        <w:t xml:space="preserve"> control needs to be at the forefront of the </w:t>
      </w:r>
      <w:r w:rsidR="00715A14" w:rsidRPr="009F53D6">
        <w:rPr>
          <w:rFonts w:ascii="Arial" w:hAnsi="Arial" w:cs="Arial"/>
          <w:lang w:val="en-US"/>
        </w:rPr>
        <w:t>prescriber’s</w:t>
      </w:r>
      <w:r w:rsidRPr="009F53D6">
        <w:rPr>
          <w:rFonts w:ascii="Arial" w:hAnsi="Arial" w:cs="Arial"/>
          <w:lang w:val="en-US"/>
        </w:rPr>
        <w:t xml:space="preserve"> mind at initiation, to ensure adequate management of toxicities. </w:t>
      </w:r>
    </w:p>
    <w:p w14:paraId="4296587A" w14:textId="77777777" w:rsidR="00002F76" w:rsidRPr="00A30B0F" w:rsidRDefault="00002F76" w:rsidP="00462C96">
      <w:pPr>
        <w:spacing w:after="0" w:line="276" w:lineRule="auto"/>
        <w:rPr>
          <w:rFonts w:ascii="Arial" w:hAnsi="Arial" w:cs="Arial"/>
          <w:i/>
          <w:lang w:val="en-US"/>
        </w:rPr>
      </w:pPr>
    </w:p>
    <w:p w14:paraId="1CCD1644" w14:textId="25AD2B5C" w:rsidR="00002F76" w:rsidRPr="00462C96" w:rsidRDefault="00002F76" w:rsidP="00462C96">
      <w:pPr>
        <w:pStyle w:val="Heading2"/>
        <w:spacing w:before="0" w:after="0" w:line="276" w:lineRule="auto"/>
        <w:rPr>
          <w:rFonts w:ascii="Arial" w:hAnsi="Arial" w:cs="Arial"/>
          <w:color w:val="00B050"/>
          <w:sz w:val="22"/>
          <w:szCs w:val="22"/>
          <w:lang w:val="en-US"/>
        </w:rPr>
      </w:pPr>
      <w:r w:rsidRPr="00462C96">
        <w:rPr>
          <w:rFonts w:ascii="Arial" w:hAnsi="Arial" w:cs="Arial"/>
          <w:color w:val="00B050"/>
          <w:sz w:val="22"/>
          <w:szCs w:val="22"/>
          <w:lang w:val="en-US"/>
        </w:rPr>
        <w:t xml:space="preserve">Hormone </w:t>
      </w:r>
      <w:r w:rsidR="00462C96" w:rsidRPr="00462C96">
        <w:rPr>
          <w:rFonts w:ascii="Arial" w:hAnsi="Arial" w:cs="Arial"/>
          <w:color w:val="00B050"/>
          <w:sz w:val="22"/>
          <w:szCs w:val="22"/>
          <w:lang w:val="en-US"/>
        </w:rPr>
        <w:t>T</w:t>
      </w:r>
      <w:r w:rsidRPr="00462C96">
        <w:rPr>
          <w:rFonts w:ascii="Arial" w:hAnsi="Arial" w:cs="Arial"/>
          <w:color w:val="00B050"/>
          <w:sz w:val="22"/>
          <w:szCs w:val="22"/>
          <w:lang w:val="en-US"/>
        </w:rPr>
        <w:t>herapy</w:t>
      </w:r>
    </w:p>
    <w:p w14:paraId="7F651D65" w14:textId="77777777" w:rsidR="00462C96" w:rsidRPr="00462C96" w:rsidRDefault="00462C96" w:rsidP="00462C96">
      <w:pPr>
        <w:spacing w:after="0" w:line="276" w:lineRule="auto"/>
        <w:rPr>
          <w:lang w:val="en-US"/>
        </w:rPr>
      </w:pPr>
    </w:p>
    <w:p w14:paraId="53CE8313" w14:textId="3F280778" w:rsidR="00462C96" w:rsidRPr="00462C96" w:rsidRDefault="00002F76" w:rsidP="00462C96">
      <w:pPr>
        <w:pStyle w:val="Heading3"/>
        <w:spacing w:before="0" w:line="276" w:lineRule="auto"/>
        <w:rPr>
          <w:rFonts w:ascii="Arial" w:hAnsi="Arial" w:cs="Arial"/>
          <w:color w:val="FF0000"/>
          <w:sz w:val="22"/>
          <w:szCs w:val="22"/>
          <w:lang w:val="en-US"/>
        </w:rPr>
      </w:pPr>
      <w:bookmarkStart w:id="6" w:name="_Toc17887050"/>
      <w:bookmarkStart w:id="7" w:name="_Toc18235073"/>
      <w:bookmarkStart w:id="8" w:name="_Toc18598611"/>
      <w:r w:rsidRPr="00462C96">
        <w:rPr>
          <w:rFonts w:ascii="Arial" w:hAnsi="Arial" w:cs="Arial"/>
          <w:color w:val="FF0000"/>
          <w:sz w:val="22"/>
          <w:szCs w:val="22"/>
          <w:lang w:val="en-US"/>
        </w:rPr>
        <w:lastRenderedPageBreak/>
        <w:t>A</w:t>
      </w:r>
      <w:r w:rsidR="00462C96" w:rsidRPr="00462C96">
        <w:rPr>
          <w:rFonts w:ascii="Arial" w:hAnsi="Arial" w:cs="Arial"/>
          <w:color w:val="FF0000"/>
          <w:sz w:val="22"/>
          <w:szCs w:val="22"/>
          <w:lang w:val="en-US"/>
        </w:rPr>
        <w:t xml:space="preserve">NDROGEN DEPRIVATION THERAPY </w:t>
      </w:r>
      <w:bookmarkEnd w:id="6"/>
      <w:bookmarkEnd w:id="7"/>
      <w:bookmarkEnd w:id="8"/>
    </w:p>
    <w:p w14:paraId="480D4E33" w14:textId="77777777" w:rsidR="00462C96" w:rsidRDefault="00462C96" w:rsidP="00462C96">
      <w:pPr>
        <w:pStyle w:val="Heading3"/>
        <w:spacing w:before="0" w:line="276" w:lineRule="auto"/>
        <w:rPr>
          <w:rFonts w:ascii="Arial" w:hAnsi="Arial" w:cs="Arial"/>
          <w:i/>
          <w:iCs/>
          <w:sz w:val="22"/>
          <w:szCs w:val="22"/>
          <w:lang w:val="en-US"/>
        </w:rPr>
      </w:pPr>
    </w:p>
    <w:p w14:paraId="02DBEF4C" w14:textId="55BBD79D" w:rsidR="00002F76" w:rsidRPr="00462C96" w:rsidRDefault="00002F76" w:rsidP="00462C96">
      <w:pPr>
        <w:pStyle w:val="Heading3"/>
        <w:spacing w:before="0" w:line="276" w:lineRule="auto"/>
        <w:rPr>
          <w:rFonts w:ascii="Arial" w:hAnsi="Arial" w:cs="Arial"/>
          <w:color w:val="000000" w:themeColor="text1"/>
          <w:sz w:val="22"/>
          <w:szCs w:val="22"/>
          <w:lang w:val="en-US"/>
        </w:rPr>
      </w:pPr>
      <w:r w:rsidRPr="00462C96">
        <w:rPr>
          <w:rFonts w:ascii="Arial" w:hAnsi="Arial" w:cs="Arial"/>
          <w:color w:val="000000" w:themeColor="text1"/>
          <w:sz w:val="22"/>
          <w:szCs w:val="22"/>
          <w:lang w:val="en-US"/>
        </w:rPr>
        <w:t xml:space="preserve">Androgen deprivation therapy (ADT) is </w:t>
      </w:r>
      <w:r w:rsidR="00715A14" w:rsidRPr="00462C96">
        <w:rPr>
          <w:rFonts w:ascii="Arial" w:hAnsi="Arial" w:cs="Arial"/>
          <w:color w:val="000000" w:themeColor="text1"/>
          <w:sz w:val="22"/>
          <w:szCs w:val="22"/>
          <w:lang w:val="en-US"/>
        </w:rPr>
        <w:t>recognized</w:t>
      </w:r>
      <w:r w:rsidRPr="00462C96">
        <w:rPr>
          <w:rFonts w:ascii="Arial" w:hAnsi="Arial" w:cs="Arial"/>
          <w:color w:val="000000" w:themeColor="text1"/>
          <w:sz w:val="22"/>
          <w:szCs w:val="22"/>
          <w:lang w:val="en-US"/>
        </w:rPr>
        <w:t xml:space="preserve"> as a risk factor for development of diabetes, metabolic syndrome</w:t>
      </w:r>
      <w:r w:rsidR="00462C96">
        <w:rPr>
          <w:rFonts w:ascii="Arial" w:hAnsi="Arial" w:cs="Arial"/>
          <w:color w:val="000000" w:themeColor="text1"/>
          <w:sz w:val="22"/>
          <w:szCs w:val="22"/>
          <w:lang w:val="en-US"/>
        </w:rPr>
        <w:t>,</w:t>
      </w:r>
      <w:r w:rsidRPr="00462C96">
        <w:rPr>
          <w:rFonts w:ascii="Arial" w:hAnsi="Arial" w:cs="Arial"/>
          <w:color w:val="000000" w:themeColor="text1"/>
          <w:sz w:val="22"/>
          <w:szCs w:val="22"/>
          <w:lang w:val="en-US"/>
        </w:rPr>
        <w:t xml:space="preserve"> and cardiovascular disease </w:t>
      </w:r>
      <w:r w:rsidR="00462C96">
        <w:rPr>
          <w:rFonts w:ascii="Arial" w:hAnsi="Arial" w:cs="Arial"/>
          <w:color w:val="000000" w:themeColor="text1"/>
          <w:sz w:val="22"/>
          <w:szCs w:val="22"/>
          <w:lang w:val="en-US"/>
        </w:rPr>
        <w:t>(</w:t>
      </w:r>
      <w:r w:rsidRPr="00462C96">
        <w:rPr>
          <w:rFonts w:ascii="Arial" w:hAnsi="Arial" w:cs="Arial"/>
          <w:noProof/>
          <w:color w:val="000000" w:themeColor="text1"/>
          <w:sz w:val="22"/>
          <w:szCs w:val="22"/>
          <w:lang w:val="en-US"/>
        </w:rPr>
        <w:t>72, 90, 91</w:t>
      </w:r>
      <w:r w:rsidR="00462C96">
        <w:rPr>
          <w:rFonts w:ascii="Arial" w:hAnsi="Arial" w:cs="Arial"/>
          <w:noProof/>
          <w:color w:val="000000" w:themeColor="text1"/>
          <w:sz w:val="22"/>
          <w:szCs w:val="22"/>
          <w:lang w:val="en-US"/>
        </w:rPr>
        <w:t>)</w:t>
      </w:r>
      <w:r w:rsidRPr="00462C96">
        <w:rPr>
          <w:rFonts w:ascii="Arial" w:hAnsi="Arial" w:cs="Arial"/>
          <w:color w:val="000000" w:themeColor="text1"/>
          <w:sz w:val="22"/>
          <w:szCs w:val="22"/>
          <w:lang w:val="en-US"/>
        </w:rPr>
        <w:t>. In a large observational study of over 35,000 men treated for prostate cancer, ADT in the form of gonadotropin-releasing hormone (GnRH) agonists, oral antiandrogens, a combination of the two</w:t>
      </w:r>
      <w:r w:rsidR="00462C96">
        <w:rPr>
          <w:rFonts w:ascii="Arial" w:hAnsi="Arial" w:cs="Arial"/>
          <w:color w:val="000000" w:themeColor="text1"/>
          <w:sz w:val="22"/>
          <w:szCs w:val="22"/>
          <w:lang w:val="en-US"/>
        </w:rPr>
        <w:t>,</w:t>
      </w:r>
      <w:r w:rsidRPr="00462C96">
        <w:rPr>
          <w:rFonts w:ascii="Arial" w:hAnsi="Arial" w:cs="Arial"/>
          <w:color w:val="000000" w:themeColor="text1"/>
          <w:sz w:val="22"/>
          <w:szCs w:val="22"/>
          <w:lang w:val="en-US"/>
        </w:rPr>
        <w:t xml:space="preserve"> or orchiectomy was associated with a significantly increased risk of diabetes, coronary heart disease, myocardial infarction</w:t>
      </w:r>
      <w:r w:rsidR="00462C96">
        <w:rPr>
          <w:rFonts w:ascii="Arial" w:hAnsi="Arial" w:cs="Arial"/>
          <w:color w:val="000000" w:themeColor="text1"/>
          <w:sz w:val="22"/>
          <w:szCs w:val="22"/>
          <w:lang w:val="en-US"/>
        </w:rPr>
        <w:t>,</w:t>
      </w:r>
      <w:r w:rsidRPr="00462C96">
        <w:rPr>
          <w:rFonts w:ascii="Arial" w:hAnsi="Arial" w:cs="Arial"/>
          <w:color w:val="000000" w:themeColor="text1"/>
          <w:sz w:val="22"/>
          <w:szCs w:val="22"/>
          <w:lang w:val="en-US"/>
        </w:rPr>
        <w:t xml:space="preserve"> and sudden cardiac death </w:t>
      </w:r>
      <w:r w:rsidR="00462C96">
        <w:rPr>
          <w:rFonts w:ascii="Arial" w:hAnsi="Arial" w:cs="Arial"/>
          <w:color w:val="000000" w:themeColor="text1"/>
          <w:sz w:val="22"/>
          <w:szCs w:val="22"/>
          <w:lang w:val="en-US"/>
        </w:rPr>
        <w:t>(</w:t>
      </w:r>
      <w:r w:rsidRPr="00462C96">
        <w:rPr>
          <w:rFonts w:ascii="Arial" w:hAnsi="Arial" w:cs="Arial"/>
          <w:noProof/>
          <w:color w:val="000000" w:themeColor="text1"/>
          <w:sz w:val="22"/>
          <w:szCs w:val="22"/>
          <w:lang w:val="en-US"/>
        </w:rPr>
        <w:t>90</w:t>
      </w:r>
      <w:r w:rsidR="00462C96">
        <w:rPr>
          <w:rFonts w:ascii="Arial" w:hAnsi="Arial" w:cs="Arial"/>
          <w:noProof/>
          <w:color w:val="000000" w:themeColor="text1"/>
          <w:sz w:val="22"/>
          <w:szCs w:val="22"/>
          <w:lang w:val="en-US"/>
        </w:rPr>
        <w:t>)</w:t>
      </w:r>
      <w:r w:rsidRPr="00462C96">
        <w:rPr>
          <w:rFonts w:ascii="Arial" w:hAnsi="Arial" w:cs="Arial"/>
          <w:color w:val="000000" w:themeColor="text1"/>
          <w:sz w:val="22"/>
          <w:szCs w:val="22"/>
          <w:lang w:val="en-US"/>
        </w:rPr>
        <w:t xml:space="preserve">. These findings are supported by other studies, including a meta-analysis of over 150,000 men with prostate cancer receiving ADT </w:t>
      </w:r>
      <w:r w:rsidR="00462C96">
        <w:rPr>
          <w:rFonts w:ascii="Arial" w:hAnsi="Arial" w:cs="Arial"/>
          <w:color w:val="000000" w:themeColor="text1"/>
          <w:sz w:val="22"/>
          <w:szCs w:val="22"/>
          <w:lang w:val="en-US"/>
        </w:rPr>
        <w:t>(</w:t>
      </w:r>
      <w:r w:rsidRPr="00462C96">
        <w:rPr>
          <w:rFonts w:ascii="Arial" w:hAnsi="Arial" w:cs="Arial"/>
          <w:noProof/>
          <w:color w:val="000000" w:themeColor="text1"/>
          <w:sz w:val="22"/>
          <w:szCs w:val="22"/>
          <w:lang w:val="en-US"/>
        </w:rPr>
        <w:t>72</w:t>
      </w:r>
      <w:r w:rsidR="00462C96">
        <w:rPr>
          <w:rFonts w:ascii="Arial" w:hAnsi="Arial" w:cs="Arial"/>
          <w:noProof/>
          <w:color w:val="000000" w:themeColor="text1"/>
          <w:sz w:val="22"/>
          <w:szCs w:val="22"/>
          <w:lang w:val="en-US"/>
        </w:rPr>
        <w:t>)</w:t>
      </w:r>
      <w:r w:rsidRPr="00462C96">
        <w:rPr>
          <w:rFonts w:ascii="Arial" w:hAnsi="Arial" w:cs="Arial"/>
          <w:color w:val="000000" w:themeColor="text1"/>
          <w:sz w:val="22"/>
          <w:szCs w:val="22"/>
          <w:lang w:val="en-US"/>
        </w:rPr>
        <w:t>, with association observed with all forms of ADT, with the weakest association with anti-androgen therapy alone.</w:t>
      </w:r>
    </w:p>
    <w:p w14:paraId="4A77D9C0" w14:textId="77777777" w:rsidR="00002F76" w:rsidRPr="00A30B0F" w:rsidRDefault="00002F76" w:rsidP="00C96EE5">
      <w:pPr>
        <w:spacing w:after="0" w:line="276" w:lineRule="auto"/>
        <w:rPr>
          <w:rFonts w:ascii="Arial" w:hAnsi="Arial" w:cs="Arial"/>
          <w:lang w:val="en-US"/>
        </w:rPr>
      </w:pPr>
    </w:p>
    <w:p w14:paraId="28ECBF59" w14:textId="5CD58A54" w:rsidR="00462C96" w:rsidRPr="00462C96" w:rsidRDefault="00715A14" w:rsidP="00C96EE5">
      <w:pPr>
        <w:pStyle w:val="Heading3"/>
        <w:spacing w:before="0" w:line="276" w:lineRule="auto"/>
        <w:rPr>
          <w:rFonts w:ascii="Arial" w:hAnsi="Arial" w:cs="Arial"/>
          <w:color w:val="FF0000"/>
          <w:sz w:val="22"/>
          <w:szCs w:val="22"/>
          <w:lang w:val="en-US"/>
        </w:rPr>
      </w:pPr>
      <w:bookmarkStart w:id="9" w:name="_Toc17887051"/>
      <w:bookmarkStart w:id="10" w:name="_Toc18235074"/>
      <w:bookmarkStart w:id="11" w:name="_Toc18598612"/>
      <w:r w:rsidRPr="00462C96">
        <w:rPr>
          <w:rFonts w:ascii="Arial" w:hAnsi="Arial" w:cs="Arial"/>
          <w:color w:val="FF0000"/>
          <w:sz w:val="22"/>
          <w:szCs w:val="22"/>
          <w:lang w:val="en-US"/>
        </w:rPr>
        <w:t>E</w:t>
      </w:r>
      <w:r w:rsidR="00462C96" w:rsidRPr="00462C96">
        <w:rPr>
          <w:rFonts w:ascii="Arial" w:hAnsi="Arial" w:cs="Arial"/>
          <w:color w:val="FF0000"/>
          <w:sz w:val="22"/>
          <w:szCs w:val="22"/>
          <w:lang w:val="en-US"/>
        </w:rPr>
        <w:t xml:space="preserve">STROGEN TARGETED THERAPY </w:t>
      </w:r>
      <w:bookmarkEnd w:id="9"/>
      <w:bookmarkEnd w:id="10"/>
      <w:bookmarkEnd w:id="11"/>
    </w:p>
    <w:p w14:paraId="3D82CB5F" w14:textId="77777777" w:rsidR="00462C96" w:rsidRDefault="00462C96" w:rsidP="00C96EE5">
      <w:pPr>
        <w:pStyle w:val="Heading3"/>
        <w:spacing w:before="0" w:line="276" w:lineRule="auto"/>
        <w:rPr>
          <w:rFonts w:ascii="Arial" w:hAnsi="Arial" w:cs="Arial"/>
          <w:i/>
          <w:iCs/>
          <w:sz w:val="22"/>
          <w:szCs w:val="22"/>
          <w:lang w:val="en-US"/>
        </w:rPr>
      </w:pPr>
    </w:p>
    <w:p w14:paraId="72E97BDB" w14:textId="6581C29E" w:rsidR="00002F76" w:rsidRPr="001C5A4F" w:rsidRDefault="00002F76" w:rsidP="00C96EE5">
      <w:pPr>
        <w:pStyle w:val="Heading3"/>
        <w:spacing w:before="0" w:line="276" w:lineRule="auto"/>
        <w:rPr>
          <w:rFonts w:ascii="Arial" w:hAnsi="Arial" w:cs="Arial"/>
          <w:color w:val="000000" w:themeColor="text1"/>
          <w:sz w:val="22"/>
          <w:szCs w:val="22"/>
          <w:lang w:val="en-US"/>
        </w:rPr>
      </w:pPr>
      <w:r w:rsidRPr="001C5A4F">
        <w:rPr>
          <w:rFonts w:ascii="Arial" w:hAnsi="Arial" w:cs="Arial"/>
          <w:color w:val="000000" w:themeColor="text1"/>
          <w:sz w:val="22"/>
          <w:szCs w:val="22"/>
          <w:lang w:val="en-US"/>
        </w:rPr>
        <w:t xml:space="preserve">Studies examining the effect of </w:t>
      </w:r>
      <w:r w:rsidR="00A4356B" w:rsidRPr="001C5A4F">
        <w:rPr>
          <w:rFonts w:ascii="Arial" w:hAnsi="Arial" w:cs="Arial"/>
          <w:color w:val="000000" w:themeColor="text1"/>
          <w:sz w:val="22"/>
          <w:szCs w:val="22"/>
          <w:lang w:val="en-US"/>
        </w:rPr>
        <w:t>estrogen</w:t>
      </w:r>
      <w:r w:rsidRPr="001C5A4F">
        <w:rPr>
          <w:rFonts w:ascii="Arial" w:hAnsi="Arial" w:cs="Arial"/>
          <w:color w:val="000000" w:themeColor="text1"/>
          <w:sz w:val="22"/>
          <w:szCs w:val="22"/>
          <w:lang w:val="en-US"/>
        </w:rPr>
        <w:t xml:space="preserve">-targeted therapies on the development of diabetes in women with breast cancer are less clear cut. Whilst one retrospective cohort analysis failed to demonstrate a link between tamoxifen use and the development of DM </w:t>
      </w:r>
      <w:r w:rsidR="001C5A4F">
        <w:rPr>
          <w:rFonts w:ascii="Arial" w:hAnsi="Arial" w:cs="Arial"/>
          <w:color w:val="000000" w:themeColor="text1"/>
          <w:sz w:val="22"/>
          <w:szCs w:val="22"/>
          <w:lang w:val="en-US"/>
        </w:rPr>
        <w:t>(</w:t>
      </w:r>
      <w:r w:rsidRPr="001C5A4F">
        <w:rPr>
          <w:rFonts w:ascii="Arial" w:hAnsi="Arial" w:cs="Arial"/>
          <w:noProof/>
          <w:color w:val="000000" w:themeColor="text1"/>
          <w:sz w:val="22"/>
          <w:szCs w:val="22"/>
          <w:lang w:val="en-US"/>
        </w:rPr>
        <w:t>92</w:t>
      </w:r>
      <w:r w:rsidR="001C5A4F">
        <w:rPr>
          <w:rFonts w:ascii="Arial" w:hAnsi="Arial" w:cs="Arial"/>
          <w:noProof/>
          <w:color w:val="000000" w:themeColor="text1"/>
          <w:sz w:val="22"/>
          <w:szCs w:val="22"/>
          <w:lang w:val="en-US"/>
        </w:rPr>
        <w:t>)</w:t>
      </w:r>
      <w:r w:rsidRPr="001C5A4F">
        <w:rPr>
          <w:rFonts w:ascii="Arial" w:hAnsi="Arial" w:cs="Arial"/>
          <w:color w:val="000000" w:themeColor="text1"/>
          <w:sz w:val="22"/>
          <w:szCs w:val="22"/>
          <w:lang w:val="en-US"/>
        </w:rPr>
        <w:t xml:space="preserve">, two large population-based studies demonstrated a significant association between tamoxifen use and the development of diabetes in women diagnosed with breast cancer </w:t>
      </w:r>
      <w:r w:rsidR="001C5A4F">
        <w:rPr>
          <w:rFonts w:ascii="Arial" w:hAnsi="Arial" w:cs="Arial"/>
          <w:color w:val="000000" w:themeColor="text1"/>
          <w:sz w:val="22"/>
          <w:szCs w:val="22"/>
          <w:lang w:val="en-US"/>
        </w:rPr>
        <w:t>(</w:t>
      </w:r>
      <w:r w:rsidRPr="001C5A4F">
        <w:rPr>
          <w:rFonts w:ascii="Arial" w:hAnsi="Arial" w:cs="Arial"/>
          <w:noProof/>
          <w:color w:val="000000" w:themeColor="text1"/>
          <w:sz w:val="22"/>
          <w:szCs w:val="22"/>
          <w:lang w:val="en-US"/>
        </w:rPr>
        <w:t>73, 93</w:t>
      </w:r>
      <w:r w:rsidR="001C5A4F">
        <w:rPr>
          <w:rFonts w:ascii="Arial" w:hAnsi="Arial" w:cs="Arial"/>
          <w:noProof/>
          <w:color w:val="000000" w:themeColor="text1"/>
          <w:sz w:val="22"/>
          <w:szCs w:val="22"/>
          <w:lang w:val="en-US"/>
        </w:rPr>
        <w:t>)</w:t>
      </w:r>
      <w:r w:rsidRPr="001C5A4F">
        <w:rPr>
          <w:rFonts w:ascii="Arial" w:hAnsi="Arial" w:cs="Arial"/>
          <w:color w:val="000000" w:themeColor="text1"/>
          <w:sz w:val="22"/>
          <w:szCs w:val="22"/>
          <w:lang w:val="en-US"/>
        </w:rPr>
        <w:t xml:space="preserve">; The first of these studies included almost 15,000 Canadian women aged 65 years or older diagnosed with early breast cancer, whilst the second included over 22,000 women in Taiwan aged 20 years and over. Whilst tamoxifen appears to increase the risk of developing DM, aromatase inhibitor therapy does not, with no link found in any of these three studies. </w:t>
      </w:r>
    </w:p>
    <w:p w14:paraId="024180FD" w14:textId="77777777" w:rsidR="00002F76" w:rsidRPr="00A30B0F" w:rsidRDefault="00002F76" w:rsidP="00C96EE5">
      <w:pPr>
        <w:spacing w:after="0" w:line="276" w:lineRule="auto"/>
        <w:rPr>
          <w:rFonts w:ascii="Arial" w:hAnsi="Arial" w:cs="Arial"/>
          <w:i/>
          <w:lang w:val="en-US"/>
        </w:rPr>
      </w:pPr>
    </w:p>
    <w:p w14:paraId="25FE2A47" w14:textId="64CFC0A6" w:rsidR="00002F76" w:rsidRPr="001C5A4F" w:rsidRDefault="00002F76" w:rsidP="001C5A4F">
      <w:pPr>
        <w:pStyle w:val="Heading2"/>
        <w:spacing w:before="0" w:after="0" w:line="276" w:lineRule="auto"/>
        <w:rPr>
          <w:rFonts w:ascii="Arial" w:hAnsi="Arial" w:cs="Arial"/>
          <w:color w:val="00B050"/>
          <w:sz w:val="22"/>
          <w:szCs w:val="22"/>
          <w:lang w:val="en-US"/>
        </w:rPr>
      </w:pPr>
      <w:r w:rsidRPr="001C5A4F">
        <w:rPr>
          <w:rFonts w:ascii="Arial" w:hAnsi="Arial" w:cs="Arial"/>
          <w:color w:val="00B050"/>
          <w:sz w:val="22"/>
          <w:szCs w:val="22"/>
          <w:lang w:val="en-US"/>
        </w:rPr>
        <w:t xml:space="preserve">Immune </w:t>
      </w:r>
      <w:r w:rsidR="001C5A4F" w:rsidRPr="001C5A4F">
        <w:rPr>
          <w:rFonts w:ascii="Arial" w:hAnsi="Arial" w:cs="Arial"/>
          <w:color w:val="00B050"/>
          <w:sz w:val="22"/>
          <w:szCs w:val="22"/>
          <w:lang w:val="en-US"/>
        </w:rPr>
        <w:t>C</w:t>
      </w:r>
      <w:r w:rsidRPr="001C5A4F">
        <w:rPr>
          <w:rFonts w:ascii="Arial" w:hAnsi="Arial" w:cs="Arial"/>
          <w:color w:val="00B050"/>
          <w:sz w:val="22"/>
          <w:szCs w:val="22"/>
          <w:lang w:val="en-US"/>
        </w:rPr>
        <w:t xml:space="preserve">heckpoint </w:t>
      </w:r>
      <w:r w:rsidR="001C5A4F" w:rsidRPr="001C5A4F">
        <w:rPr>
          <w:rFonts w:ascii="Arial" w:hAnsi="Arial" w:cs="Arial"/>
          <w:color w:val="00B050"/>
          <w:sz w:val="22"/>
          <w:szCs w:val="22"/>
          <w:lang w:val="en-US"/>
        </w:rPr>
        <w:t>I</w:t>
      </w:r>
      <w:r w:rsidRPr="001C5A4F">
        <w:rPr>
          <w:rFonts w:ascii="Arial" w:hAnsi="Arial" w:cs="Arial"/>
          <w:color w:val="00B050"/>
          <w:sz w:val="22"/>
          <w:szCs w:val="22"/>
          <w:lang w:val="en-US"/>
        </w:rPr>
        <w:t>nhibitors</w:t>
      </w:r>
    </w:p>
    <w:p w14:paraId="25265D4B" w14:textId="77777777" w:rsidR="001C5A4F" w:rsidRDefault="001C5A4F" w:rsidP="00C96EE5">
      <w:pPr>
        <w:spacing w:after="0" w:line="276" w:lineRule="auto"/>
        <w:rPr>
          <w:rFonts w:ascii="Arial" w:hAnsi="Arial" w:cs="Arial"/>
          <w:lang w:val="en-US"/>
        </w:rPr>
      </w:pPr>
    </w:p>
    <w:p w14:paraId="22A89A66" w14:textId="0C80459A" w:rsidR="00002F76" w:rsidRDefault="00002F76" w:rsidP="00C96EE5">
      <w:pPr>
        <w:spacing w:after="0" w:line="276" w:lineRule="auto"/>
        <w:rPr>
          <w:rFonts w:ascii="Arial" w:hAnsi="Arial" w:cs="Arial"/>
          <w:lang w:val="en-US"/>
        </w:rPr>
      </w:pPr>
      <w:r w:rsidRPr="001C5A4F">
        <w:rPr>
          <w:rFonts w:ascii="Arial" w:hAnsi="Arial" w:cs="Arial"/>
          <w:lang w:val="en-US"/>
        </w:rPr>
        <w:t xml:space="preserve">Immune checkpoint inhibitors (ICPi), including cytotoxic T-lymphocyte associated protein 4 (CTLA-4) and programmed cell death protein 1/programmed cell death ligand 1 (PD-1/PDL-1) inhibitors are a sub-class of monoclonal antibody treatments that have </w:t>
      </w:r>
      <w:r w:rsidR="00715A14" w:rsidRPr="001C5A4F">
        <w:rPr>
          <w:rFonts w:ascii="Arial" w:hAnsi="Arial" w:cs="Arial"/>
          <w:lang w:val="en-US"/>
        </w:rPr>
        <w:t>revolutionized</w:t>
      </w:r>
      <w:r w:rsidRPr="001C5A4F">
        <w:rPr>
          <w:rFonts w:ascii="Arial" w:hAnsi="Arial" w:cs="Arial"/>
          <w:lang w:val="en-US"/>
        </w:rPr>
        <w:t xml:space="preserve"> cancer treatment over the last decade. First approved for use in the treatment of melanoma, ICPi are now </w:t>
      </w:r>
      <w:r w:rsidR="00715A14" w:rsidRPr="001C5A4F">
        <w:rPr>
          <w:rFonts w:ascii="Arial" w:hAnsi="Arial" w:cs="Arial"/>
          <w:lang w:val="en-US"/>
        </w:rPr>
        <w:t>recognized</w:t>
      </w:r>
      <w:r w:rsidRPr="001C5A4F">
        <w:rPr>
          <w:rFonts w:ascii="Arial" w:hAnsi="Arial" w:cs="Arial"/>
          <w:lang w:val="en-US"/>
        </w:rPr>
        <w:t xml:space="preserve"> as providing a survival benefit across a number of cancers, and are increasingly used in </w:t>
      </w:r>
      <w:r w:rsidR="00715A14" w:rsidRPr="001C5A4F">
        <w:rPr>
          <w:rFonts w:ascii="Arial" w:hAnsi="Arial" w:cs="Arial"/>
          <w:lang w:val="en-US"/>
        </w:rPr>
        <w:t>early-stage</w:t>
      </w:r>
      <w:r w:rsidRPr="001C5A4F">
        <w:rPr>
          <w:rFonts w:ascii="Arial" w:hAnsi="Arial" w:cs="Arial"/>
          <w:lang w:val="en-US"/>
        </w:rPr>
        <w:t xml:space="preserve"> cancers in the adjuvant setting and also in combination with chemotherapy </w:t>
      </w:r>
      <w:r w:rsidR="001C5A4F">
        <w:rPr>
          <w:rFonts w:ascii="Arial" w:hAnsi="Arial" w:cs="Arial"/>
          <w:lang w:val="en-US"/>
        </w:rPr>
        <w:t>(</w:t>
      </w:r>
      <w:r w:rsidRPr="001C5A4F">
        <w:rPr>
          <w:rFonts w:ascii="Arial" w:hAnsi="Arial" w:cs="Arial"/>
          <w:noProof/>
          <w:lang w:val="en-US"/>
        </w:rPr>
        <w:t>94</w:t>
      </w:r>
      <w:r w:rsidR="001C5A4F">
        <w:rPr>
          <w:rFonts w:ascii="Arial" w:hAnsi="Arial" w:cs="Arial"/>
          <w:noProof/>
          <w:lang w:val="en-US"/>
        </w:rPr>
        <w:t>)</w:t>
      </w:r>
      <w:r w:rsidRPr="001C5A4F">
        <w:rPr>
          <w:rFonts w:ascii="Arial" w:hAnsi="Arial" w:cs="Arial"/>
          <w:lang w:val="en-US"/>
        </w:rPr>
        <w:t xml:space="preserve">. Whilst clinically effective, ICPi can lead to a spectrum of immune-related adverse events (IRAEs). Endocrine IRAEs include hypophysitis, thyroiditis, adrenalitis and </w:t>
      </w:r>
      <w:r w:rsidRPr="001C5A4F">
        <w:rPr>
          <w:rFonts w:ascii="Arial" w:hAnsi="Arial" w:cs="Arial"/>
          <w:i/>
          <w:lang w:val="en-US"/>
        </w:rPr>
        <w:t>de novo</w:t>
      </w:r>
      <w:r w:rsidRPr="001C5A4F">
        <w:rPr>
          <w:rFonts w:ascii="Arial" w:hAnsi="Arial" w:cs="Arial"/>
          <w:lang w:val="en-US"/>
        </w:rPr>
        <w:t xml:space="preserve"> diabetes. The risk of developing de novo diabetes is low, occurring in 0.2-4% of ICPi treated </w:t>
      </w:r>
      <w:r w:rsidR="00EA5F01" w:rsidRPr="001C5A4F">
        <w:rPr>
          <w:rFonts w:ascii="Arial" w:hAnsi="Arial" w:cs="Arial"/>
          <w:lang w:val="en-US"/>
        </w:rPr>
        <w:t>individuals</w:t>
      </w:r>
      <w:r w:rsidRPr="001C5A4F">
        <w:rPr>
          <w:rFonts w:ascii="Arial" w:hAnsi="Arial" w:cs="Arial"/>
          <w:lang w:val="en-US"/>
        </w:rPr>
        <w:t xml:space="preserve"> depending on the immunotherapy given </w:t>
      </w:r>
      <w:r w:rsidR="001C5A4F">
        <w:rPr>
          <w:rFonts w:ascii="Arial" w:hAnsi="Arial" w:cs="Arial"/>
          <w:lang w:val="en-US"/>
        </w:rPr>
        <w:t>(</w:t>
      </w:r>
      <w:r w:rsidRPr="001C5A4F">
        <w:rPr>
          <w:rFonts w:ascii="Arial" w:hAnsi="Arial" w:cs="Arial"/>
          <w:noProof/>
          <w:lang w:val="en-US"/>
        </w:rPr>
        <w:t>69</w:t>
      </w:r>
      <w:r w:rsidR="001C5A4F">
        <w:rPr>
          <w:rFonts w:ascii="Arial" w:hAnsi="Arial" w:cs="Arial"/>
          <w:noProof/>
          <w:lang w:val="en-US"/>
        </w:rPr>
        <w:t>)</w:t>
      </w:r>
      <w:r w:rsidRPr="001C5A4F">
        <w:rPr>
          <w:rFonts w:ascii="Arial" w:hAnsi="Arial" w:cs="Arial"/>
          <w:lang w:val="en-US"/>
        </w:rPr>
        <w:t xml:space="preserve">. The immune checkpoint PD-1 and its ligand PD-L1 have been shown to have an important immune homeostatic function in the pancreas by promoting beta cell maturation and preventing immune-mediated beta cell destruction </w:t>
      </w:r>
      <w:r w:rsidR="001C5A4F">
        <w:rPr>
          <w:rFonts w:ascii="Arial" w:hAnsi="Arial" w:cs="Arial"/>
          <w:lang w:val="en-US"/>
        </w:rPr>
        <w:t>(</w:t>
      </w:r>
      <w:r w:rsidRPr="001C5A4F">
        <w:rPr>
          <w:rFonts w:ascii="Arial" w:hAnsi="Arial" w:cs="Arial"/>
          <w:noProof/>
          <w:lang w:val="en-US"/>
        </w:rPr>
        <w:t>95</w:t>
      </w:r>
      <w:r w:rsidR="001C5A4F">
        <w:rPr>
          <w:rFonts w:ascii="Arial" w:hAnsi="Arial" w:cs="Arial"/>
          <w:noProof/>
          <w:lang w:val="en-US"/>
        </w:rPr>
        <w:t>)</w:t>
      </w:r>
      <w:r w:rsidRPr="001C5A4F">
        <w:rPr>
          <w:rFonts w:ascii="Arial" w:hAnsi="Arial" w:cs="Arial"/>
          <w:lang w:val="en-US"/>
        </w:rPr>
        <w:t>. To date, there is no convincing evidence for a physiological role for CTLA-4 within the pancreas. PD-1 inhibitors, PD-L1 inhibitors</w:t>
      </w:r>
      <w:r w:rsidR="001C5A4F">
        <w:rPr>
          <w:rFonts w:ascii="Arial" w:hAnsi="Arial" w:cs="Arial"/>
          <w:lang w:val="en-US"/>
        </w:rPr>
        <w:t>,</w:t>
      </w:r>
      <w:r w:rsidRPr="001C5A4F">
        <w:rPr>
          <w:rFonts w:ascii="Arial" w:hAnsi="Arial" w:cs="Arial"/>
          <w:lang w:val="en-US"/>
        </w:rPr>
        <w:t xml:space="preserve"> and combination CTLA-4/PD-1 therapy have been demonstrated to precipitate diabetes more commonly than CTLA-4 inhibitors alone. The underlying clinical presentation is akin to type 1 diabetes </w:t>
      </w:r>
      <w:r w:rsidR="001C5A4F">
        <w:rPr>
          <w:rFonts w:ascii="Arial" w:hAnsi="Arial" w:cs="Arial"/>
          <w:lang w:val="en-US"/>
        </w:rPr>
        <w:t>(</w:t>
      </w:r>
      <w:r w:rsidRPr="001C5A4F">
        <w:rPr>
          <w:rFonts w:ascii="Arial" w:hAnsi="Arial" w:cs="Arial"/>
          <w:noProof/>
          <w:lang w:val="en-US"/>
        </w:rPr>
        <w:t>70</w:t>
      </w:r>
      <w:r w:rsidR="001C5A4F">
        <w:rPr>
          <w:rFonts w:ascii="Arial" w:hAnsi="Arial" w:cs="Arial"/>
          <w:noProof/>
          <w:lang w:val="en-US"/>
        </w:rPr>
        <w:t>)</w:t>
      </w:r>
      <w:r w:rsidRPr="001C5A4F">
        <w:rPr>
          <w:rFonts w:ascii="Arial" w:hAnsi="Arial" w:cs="Arial"/>
          <w:i/>
          <w:lang w:val="en-US"/>
        </w:rPr>
        <w:t xml:space="preserve"> </w:t>
      </w:r>
      <w:r w:rsidRPr="001C5A4F">
        <w:rPr>
          <w:rFonts w:ascii="Arial" w:hAnsi="Arial" w:cs="Arial"/>
          <w:lang w:val="en-US"/>
        </w:rPr>
        <w:t>and</w:t>
      </w:r>
      <w:r w:rsidRPr="001C5A4F">
        <w:rPr>
          <w:rFonts w:ascii="Arial" w:hAnsi="Arial" w:cs="Arial"/>
          <w:i/>
          <w:lang w:val="en-US"/>
        </w:rPr>
        <w:t xml:space="preserve"> </w:t>
      </w:r>
      <w:r w:rsidRPr="001C5A4F">
        <w:rPr>
          <w:rFonts w:ascii="Arial" w:hAnsi="Arial" w:cs="Arial"/>
          <w:lang w:val="en-US"/>
        </w:rPr>
        <w:t xml:space="preserve">believed to be precipitated by inappropriate activation of self-reactive T-cells and destruction of insulin-producing pancreatic islet β-cells. ICP-induced insulin deficiency may lead to new-onset insulin-dependent diabetes or worsening pre-existing type 2 diabetes. Up to 75% of people who develop ICP-induced </w:t>
      </w:r>
      <w:r w:rsidR="00A4356B" w:rsidRPr="001C5A4F">
        <w:rPr>
          <w:rFonts w:ascii="Arial" w:hAnsi="Arial" w:cs="Arial"/>
          <w:lang w:val="en-US"/>
        </w:rPr>
        <w:t>hyperglycemia</w:t>
      </w:r>
      <w:r w:rsidRPr="001C5A4F">
        <w:rPr>
          <w:rFonts w:ascii="Arial" w:hAnsi="Arial" w:cs="Arial"/>
          <w:lang w:val="en-US"/>
        </w:rPr>
        <w:t xml:space="preserve">/diabetes present with diabetic ketoacidosis (DKA) </w:t>
      </w:r>
      <w:r w:rsidR="00D035B5">
        <w:rPr>
          <w:rFonts w:ascii="Arial" w:hAnsi="Arial" w:cs="Arial"/>
          <w:lang w:val="en-US"/>
        </w:rPr>
        <w:t>(</w:t>
      </w:r>
      <w:r w:rsidRPr="001C5A4F">
        <w:rPr>
          <w:rFonts w:ascii="Arial" w:hAnsi="Arial" w:cs="Arial"/>
          <w:noProof/>
          <w:lang w:val="en-US"/>
        </w:rPr>
        <w:t>96-98</w:t>
      </w:r>
      <w:r w:rsidR="00D035B5">
        <w:rPr>
          <w:rFonts w:ascii="Arial" w:hAnsi="Arial" w:cs="Arial"/>
          <w:noProof/>
          <w:lang w:val="en-US"/>
        </w:rPr>
        <w:t>)</w:t>
      </w:r>
      <w:r w:rsidRPr="001C5A4F">
        <w:rPr>
          <w:rFonts w:ascii="Arial" w:hAnsi="Arial" w:cs="Arial"/>
          <w:lang w:val="en-US"/>
        </w:rPr>
        <w:t xml:space="preserve">. Presentations are frequently acute with a precipitous increase in blood glucose </w:t>
      </w:r>
      <w:r w:rsidR="00D035B5">
        <w:rPr>
          <w:rFonts w:ascii="Arial" w:hAnsi="Arial" w:cs="Arial"/>
          <w:lang w:val="en-US"/>
        </w:rPr>
        <w:t>(</w:t>
      </w:r>
      <w:r w:rsidRPr="001C5A4F">
        <w:rPr>
          <w:rFonts w:ascii="Arial" w:hAnsi="Arial" w:cs="Arial"/>
          <w:noProof/>
          <w:lang w:val="en-US"/>
        </w:rPr>
        <w:t>99</w:t>
      </w:r>
      <w:r w:rsidR="00D035B5">
        <w:rPr>
          <w:rFonts w:ascii="Arial" w:hAnsi="Arial" w:cs="Arial"/>
          <w:noProof/>
          <w:lang w:val="en-US"/>
        </w:rPr>
        <w:t>)</w:t>
      </w:r>
      <w:r w:rsidRPr="001C5A4F">
        <w:rPr>
          <w:rFonts w:ascii="Arial" w:hAnsi="Arial" w:cs="Arial"/>
          <w:lang w:val="en-US"/>
        </w:rPr>
        <w:t xml:space="preserve">. Therefore ICP-induced diabetes can be </w:t>
      </w:r>
      <w:r w:rsidRPr="001C5A4F">
        <w:rPr>
          <w:rFonts w:ascii="Arial" w:hAnsi="Arial" w:cs="Arial"/>
          <w:lang w:val="en-US"/>
        </w:rPr>
        <w:lastRenderedPageBreak/>
        <w:t>discriminated from ‘standard’ type 1 diabetes mellitus, by its tendency towards a faster onset, apparently fulminant course</w:t>
      </w:r>
      <w:r w:rsidR="00D035B5">
        <w:rPr>
          <w:rFonts w:ascii="Arial" w:hAnsi="Arial" w:cs="Arial"/>
          <w:lang w:val="en-US"/>
        </w:rPr>
        <w:t>,</w:t>
      </w:r>
      <w:r w:rsidRPr="001C5A4F">
        <w:rPr>
          <w:rFonts w:ascii="Arial" w:hAnsi="Arial" w:cs="Arial"/>
          <w:lang w:val="en-US"/>
        </w:rPr>
        <w:t xml:space="preserve"> and high degree of antibody negativity </w:t>
      </w:r>
      <w:r w:rsidR="00D035B5">
        <w:rPr>
          <w:rFonts w:ascii="Arial" w:hAnsi="Arial" w:cs="Arial"/>
          <w:lang w:val="en-US"/>
        </w:rPr>
        <w:t>(</w:t>
      </w:r>
      <w:r w:rsidRPr="001C5A4F">
        <w:rPr>
          <w:rFonts w:ascii="Arial" w:hAnsi="Arial" w:cs="Arial"/>
          <w:noProof/>
          <w:lang w:val="en-US"/>
        </w:rPr>
        <w:t>99</w:t>
      </w:r>
      <w:r w:rsidR="00D035B5">
        <w:rPr>
          <w:rFonts w:ascii="Arial" w:hAnsi="Arial" w:cs="Arial"/>
          <w:noProof/>
          <w:lang w:val="en-US"/>
        </w:rPr>
        <w:t>)</w:t>
      </w:r>
      <w:r w:rsidRPr="001C5A4F">
        <w:rPr>
          <w:rFonts w:ascii="Arial" w:hAnsi="Arial" w:cs="Arial"/>
          <w:lang w:val="en-US"/>
        </w:rPr>
        <w:t>. The nomenclature of the condition in the published literature varies mainly between ‘type 1 like’ to ‘fulminant’ with there being differences between the presentation of ICPi-induced diabetes and type 1 and fulminant diabetes. Kyriacou and colleagues compared the characteristics of 75 published cases and concluded that there is some overlap with type 1 DM and fulminant DM. However, this was felt to be insufficient overlap for ICPi diabetes to be wholly classified as either type 1 like or fulminant</w:t>
      </w:r>
      <w:r w:rsidR="00D035B5">
        <w:rPr>
          <w:rFonts w:ascii="Arial" w:hAnsi="Arial" w:cs="Arial"/>
          <w:lang w:val="en-US"/>
        </w:rPr>
        <w:t xml:space="preserve"> (</w:t>
      </w:r>
      <w:r w:rsidRPr="001C5A4F">
        <w:rPr>
          <w:rFonts w:ascii="Arial" w:hAnsi="Arial" w:cs="Arial"/>
          <w:noProof/>
          <w:lang w:val="en-US"/>
        </w:rPr>
        <w:t>100</w:t>
      </w:r>
      <w:r w:rsidR="00D035B5">
        <w:rPr>
          <w:rFonts w:ascii="Arial" w:hAnsi="Arial" w:cs="Arial"/>
          <w:noProof/>
          <w:lang w:val="en-US"/>
        </w:rPr>
        <w:t>)</w:t>
      </w:r>
      <w:r w:rsidRPr="001C5A4F">
        <w:rPr>
          <w:rFonts w:ascii="Arial" w:hAnsi="Arial" w:cs="Arial"/>
          <w:lang w:val="en-US"/>
        </w:rPr>
        <w:t xml:space="preserve">. Nevertheless, the recognition that these agents can precipitate rapid beta cell destruction which results in an unusually high number of emergency presentations is key. Treatment of non-endocrine IRAEs is typically with high dose steroids, often for prolonged periods of time. At present, steroids are used in up to a third of people receiving ICPs, further increasing the risk of </w:t>
      </w:r>
      <w:r w:rsidR="00A4356B" w:rsidRPr="001C5A4F">
        <w:rPr>
          <w:rFonts w:ascii="Arial" w:hAnsi="Arial" w:cs="Arial"/>
          <w:lang w:val="en-US"/>
        </w:rPr>
        <w:t>hyperglycemia</w:t>
      </w:r>
      <w:r w:rsidRPr="001C5A4F">
        <w:rPr>
          <w:rFonts w:ascii="Arial" w:hAnsi="Arial" w:cs="Arial"/>
          <w:lang w:val="en-US"/>
        </w:rPr>
        <w:t xml:space="preserve">, and steroid induced T2DM. </w:t>
      </w:r>
    </w:p>
    <w:p w14:paraId="2FFACB89" w14:textId="77777777" w:rsidR="00D035B5" w:rsidRPr="001C5A4F" w:rsidRDefault="00D035B5" w:rsidP="00C96EE5">
      <w:pPr>
        <w:spacing w:after="0" w:line="276" w:lineRule="auto"/>
        <w:rPr>
          <w:rFonts w:ascii="Arial" w:hAnsi="Arial" w:cs="Arial"/>
          <w:lang w:val="en-US"/>
        </w:rPr>
      </w:pPr>
    </w:p>
    <w:p w14:paraId="3937F2CD" w14:textId="37D5EB66" w:rsidR="00002F76" w:rsidRPr="001C5A4F" w:rsidRDefault="00002F76" w:rsidP="00C96EE5">
      <w:pPr>
        <w:spacing w:after="0" w:line="276" w:lineRule="auto"/>
        <w:rPr>
          <w:rFonts w:ascii="Arial" w:hAnsi="Arial" w:cs="Arial"/>
          <w:lang w:val="en-US"/>
        </w:rPr>
      </w:pPr>
      <w:r w:rsidRPr="001C5A4F">
        <w:rPr>
          <w:rFonts w:ascii="Arial" w:hAnsi="Arial" w:cs="Arial"/>
          <w:lang w:val="en-US"/>
        </w:rPr>
        <w:t xml:space="preserve">An analysis of the World Health </w:t>
      </w:r>
      <w:r w:rsidR="00715A14" w:rsidRPr="001C5A4F">
        <w:rPr>
          <w:rFonts w:ascii="Arial" w:hAnsi="Arial" w:cs="Arial"/>
          <w:lang w:val="en-US"/>
        </w:rPr>
        <w:t>Organizations</w:t>
      </w:r>
      <w:r w:rsidRPr="001C5A4F">
        <w:rPr>
          <w:rFonts w:ascii="Arial" w:hAnsi="Arial" w:cs="Arial"/>
          <w:lang w:val="en-US"/>
        </w:rPr>
        <w:t xml:space="preserve"> (WHO) pharmacovigilance database over a 4-year period detected 283 cases of ICP-induced diabetes mellitus, 50.2% of which presented with DKA, and 6% of whom were on concurrent steroids at diagnosis </w:t>
      </w:r>
      <w:r w:rsidR="00D035B5">
        <w:rPr>
          <w:rFonts w:ascii="Arial" w:hAnsi="Arial" w:cs="Arial"/>
          <w:lang w:val="en-US"/>
        </w:rPr>
        <w:t>(</w:t>
      </w:r>
      <w:r w:rsidRPr="001C5A4F">
        <w:rPr>
          <w:rFonts w:ascii="Arial" w:hAnsi="Arial" w:cs="Arial"/>
          <w:noProof/>
          <w:lang w:val="en-US"/>
        </w:rPr>
        <w:t>101</w:t>
      </w:r>
      <w:r w:rsidR="00D035B5">
        <w:rPr>
          <w:rFonts w:ascii="Arial" w:hAnsi="Arial" w:cs="Arial"/>
          <w:noProof/>
          <w:lang w:val="en-US"/>
        </w:rPr>
        <w:t>)</w:t>
      </w:r>
      <w:r w:rsidRPr="001C5A4F">
        <w:rPr>
          <w:rFonts w:ascii="Arial" w:hAnsi="Arial" w:cs="Arial"/>
          <w:lang w:val="en-US"/>
        </w:rPr>
        <w:t xml:space="preserve">. There was a wide variability in duration of ICP treatment, and timing of DM onset, occurring even up to 8 months after cessation of ICP treatment. A systematic review of 90 cases, demonstrated a diagnosis of DM on average after 4.5 cycles of ICP </w:t>
      </w:r>
      <w:r w:rsidR="00D035B5">
        <w:rPr>
          <w:rFonts w:ascii="Arial" w:hAnsi="Arial" w:cs="Arial"/>
          <w:lang w:val="en-US"/>
        </w:rPr>
        <w:t>(</w:t>
      </w:r>
      <w:r w:rsidRPr="001C5A4F">
        <w:rPr>
          <w:rFonts w:ascii="Arial" w:hAnsi="Arial" w:cs="Arial"/>
          <w:noProof/>
          <w:lang w:val="en-US"/>
        </w:rPr>
        <w:t>102</w:t>
      </w:r>
      <w:r w:rsidR="00D035B5">
        <w:rPr>
          <w:rFonts w:ascii="Arial" w:hAnsi="Arial" w:cs="Arial"/>
          <w:noProof/>
          <w:lang w:val="en-US"/>
        </w:rPr>
        <w:t>)</w:t>
      </w:r>
      <w:r w:rsidRPr="001C5A4F">
        <w:rPr>
          <w:rFonts w:ascii="Arial" w:hAnsi="Arial" w:cs="Arial"/>
          <w:lang w:val="en-US"/>
        </w:rPr>
        <w:t xml:space="preserve">. C-peptide levels were usually low or undetectable at diagnosis, islet autoantibodies were positive in 53%, with a predominance of glutamic acid decarboxylase antibodies, and susceptible HLA genotypes present in 65% </w:t>
      </w:r>
      <w:r w:rsidR="00D035B5">
        <w:rPr>
          <w:rFonts w:ascii="Arial" w:hAnsi="Arial" w:cs="Arial"/>
          <w:lang w:val="en-US"/>
        </w:rPr>
        <w:t>(</w:t>
      </w:r>
      <w:r w:rsidRPr="001C5A4F">
        <w:rPr>
          <w:rFonts w:ascii="Arial" w:hAnsi="Arial" w:cs="Arial"/>
          <w:noProof/>
          <w:lang w:val="en-US"/>
        </w:rPr>
        <w:t>102</w:t>
      </w:r>
      <w:r w:rsidR="00D035B5">
        <w:rPr>
          <w:rFonts w:ascii="Arial" w:hAnsi="Arial" w:cs="Arial"/>
          <w:noProof/>
          <w:lang w:val="en-US"/>
        </w:rPr>
        <w:t>)</w:t>
      </w:r>
      <w:r w:rsidRPr="001C5A4F">
        <w:rPr>
          <w:rFonts w:ascii="Arial" w:hAnsi="Arial" w:cs="Arial"/>
          <w:lang w:val="en-US"/>
        </w:rPr>
        <w:t>. HbA1c levels were relatively low, consistent with the observed rapid onset of beta cell inflammation. Importantly, an elegant albeit small single-</w:t>
      </w:r>
      <w:r w:rsidR="00A4356B" w:rsidRPr="001C5A4F">
        <w:rPr>
          <w:rFonts w:ascii="Arial" w:hAnsi="Arial" w:cs="Arial"/>
          <w:lang w:val="en-US"/>
        </w:rPr>
        <w:t>center</w:t>
      </w:r>
      <w:r w:rsidRPr="001C5A4F">
        <w:rPr>
          <w:rFonts w:ascii="Arial" w:hAnsi="Arial" w:cs="Arial"/>
          <w:lang w:val="en-US"/>
        </w:rPr>
        <w:t xml:space="preserve"> study, used radiological and biochemical phenotyping to demonstrate that ICPi DM is irreversible </w:t>
      </w:r>
      <w:r w:rsidR="00D035B5">
        <w:rPr>
          <w:rFonts w:ascii="Arial" w:hAnsi="Arial" w:cs="Arial"/>
          <w:lang w:val="en-US"/>
        </w:rPr>
        <w:t>(</w:t>
      </w:r>
      <w:r w:rsidRPr="001C5A4F">
        <w:rPr>
          <w:rFonts w:ascii="Arial" w:hAnsi="Arial" w:cs="Arial"/>
          <w:noProof/>
          <w:lang w:val="en-US"/>
        </w:rPr>
        <w:t>103</w:t>
      </w:r>
      <w:r w:rsidR="00D035B5">
        <w:rPr>
          <w:rFonts w:ascii="Arial" w:hAnsi="Arial" w:cs="Arial"/>
          <w:noProof/>
          <w:lang w:val="en-US"/>
        </w:rPr>
        <w:t>)</w:t>
      </w:r>
      <w:r w:rsidRPr="001C5A4F">
        <w:rPr>
          <w:rFonts w:ascii="Arial" w:hAnsi="Arial" w:cs="Arial"/>
          <w:lang w:val="en-US"/>
        </w:rPr>
        <w:t xml:space="preserve">. This has important clinical implications such that any </w:t>
      </w:r>
      <w:r w:rsidR="00EA5F01" w:rsidRPr="001C5A4F">
        <w:rPr>
          <w:rFonts w:ascii="Arial" w:hAnsi="Arial" w:cs="Arial"/>
          <w:lang w:val="en-US"/>
        </w:rPr>
        <w:t>individual</w:t>
      </w:r>
      <w:r w:rsidRPr="001C5A4F">
        <w:rPr>
          <w:rFonts w:ascii="Arial" w:hAnsi="Arial" w:cs="Arial"/>
          <w:lang w:val="en-US"/>
        </w:rPr>
        <w:t xml:space="preserve"> diagnosed with ICPi-induced DM should be counselled around an expected life-long requirement of insulin.</w:t>
      </w:r>
    </w:p>
    <w:p w14:paraId="326A81B5" w14:textId="77777777" w:rsidR="00002F76" w:rsidRPr="00A30B0F" w:rsidRDefault="00002F76" w:rsidP="00C96EE5">
      <w:pPr>
        <w:spacing w:after="0" w:line="276" w:lineRule="auto"/>
        <w:rPr>
          <w:rFonts w:ascii="Arial" w:hAnsi="Arial" w:cs="Arial"/>
          <w:lang w:val="en-US"/>
        </w:rPr>
      </w:pPr>
    </w:p>
    <w:p w14:paraId="3AFED16C" w14:textId="07E6EE98" w:rsidR="00002F76" w:rsidRPr="00D035B5" w:rsidRDefault="00002F76" w:rsidP="00D035B5">
      <w:pPr>
        <w:pStyle w:val="Heading2"/>
        <w:spacing w:before="0" w:after="0" w:line="276" w:lineRule="auto"/>
        <w:rPr>
          <w:rFonts w:ascii="Arial" w:hAnsi="Arial" w:cs="Arial"/>
          <w:color w:val="00B050"/>
          <w:sz w:val="22"/>
          <w:szCs w:val="22"/>
          <w:lang w:val="en-US"/>
        </w:rPr>
      </w:pPr>
      <w:r w:rsidRPr="00D035B5">
        <w:rPr>
          <w:rFonts w:ascii="Arial" w:hAnsi="Arial" w:cs="Arial"/>
          <w:color w:val="00B050"/>
          <w:sz w:val="22"/>
          <w:szCs w:val="22"/>
          <w:lang w:val="en-US"/>
        </w:rPr>
        <w:t>Glucocorticoid (</w:t>
      </w:r>
      <w:r w:rsidR="00D035B5" w:rsidRPr="00D035B5">
        <w:rPr>
          <w:rFonts w:ascii="Arial" w:hAnsi="Arial" w:cs="Arial"/>
          <w:color w:val="00B050"/>
          <w:sz w:val="22"/>
          <w:szCs w:val="22"/>
          <w:lang w:val="en-US"/>
        </w:rPr>
        <w:t>S</w:t>
      </w:r>
      <w:r w:rsidRPr="00D035B5">
        <w:rPr>
          <w:rFonts w:ascii="Arial" w:hAnsi="Arial" w:cs="Arial"/>
          <w:color w:val="00B050"/>
          <w:sz w:val="22"/>
          <w:szCs w:val="22"/>
          <w:lang w:val="en-US"/>
        </w:rPr>
        <w:t xml:space="preserve">teroid) </w:t>
      </w:r>
      <w:r w:rsidR="00D035B5" w:rsidRPr="00D035B5">
        <w:rPr>
          <w:rFonts w:ascii="Arial" w:hAnsi="Arial" w:cs="Arial"/>
          <w:color w:val="00B050"/>
          <w:sz w:val="22"/>
          <w:szCs w:val="22"/>
          <w:lang w:val="en-US"/>
        </w:rPr>
        <w:t>T</w:t>
      </w:r>
      <w:r w:rsidRPr="00D035B5">
        <w:rPr>
          <w:rFonts w:ascii="Arial" w:hAnsi="Arial" w:cs="Arial"/>
          <w:color w:val="00B050"/>
          <w:sz w:val="22"/>
          <w:szCs w:val="22"/>
          <w:lang w:val="en-US"/>
        </w:rPr>
        <w:t>reatment</w:t>
      </w:r>
    </w:p>
    <w:p w14:paraId="7A1B9F43" w14:textId="77777777" w:rsidR="00D035B5" w:rsidRDefault="00D035B5" w:rsidP="00C96EE5">
      <w:pPr>
        <w:spacing w:after="0" w:line="276" w:lineRule="auto"/>
        <w:rPr>
          <w:rFonts w:ascii="Arial" w:hAnsi="Arial" w:cs="Arial"/>
          <w:lang w:val="en-US"/>
        </w:rPr>
      </w:pPr>
    </w:p>
    <w:p w14:paraId="5CB4FFD0" w14:textId="0297BEBD" w:rsidR="00002F76" w:rsidRDefault="00002F76" w:rsidP="00C96EE5">
      <w:pPr>
        <w:spacing w:after="0" w:line="276" w:lineRule="auto"/>
        <w:rPr>
          <w:rFonts w:ascii="Arial" w:hAnsi="Arial" w:cs="Arial"/>
          <w:lang w:val="en-US"/>
        </w:rPr>
      </w:pPr>
      <w:r w:rsidRPr="00D035B5">
        <w:rPr>
          <w:rFonts w:ascii="Arial" w:hAnsi="Arial" w:cs="Arial"/>
          <w:lang w:val="en-US"/>
        </w:rPr>
        <w:t xml:space="preserve">Glucocorticoids (GC) increase insulin resistance and glucose production and inhibit the production and secretion of insulin by pancreatic beta cells, as well as acting centrally to counteract the appetite-reducing effects of insulin </w:t>
      </w:r>
      <w:r w:rsidR="00D035B5">
        <w:rPr>
          <w:rFonts w:ascii="Arial" w:hAnsi="Arial" w:cs="Arial"/>
          <w:lang w:val="en-US"/>
        </w:rPr>
        <w:t>(</w:t>
      </w:r>
      <w:r w:rsidRPr="00D035B5">
        <w:rPr>
          <w:rFonts w:ascii="Arial" w:hAnsi="Arial" w:cs="Arial"/>
          <w:noProof/>
          <w:lang w:val="en-US"/>
        </w:rPr>
        <w:t>104</w:t>
      </w:r>
      <w:r w:rsidR="00D035B5">
        <w:rPr>
          <w:rFonts w:ascii="Arial" w:hAnsi="Arial" w:cs="Arial"/>
          <w:noProof/>
          <w:lang w:val="en-US"/>
        </w:rPr>
        <w:t>)</w:t>
      </w:r>
      <w:r w:rsidRPr="00D035B5">
        <w:rPr>
          <w:rFonts w:ascii="Arial" w:hAnsi="Arial" w:cs="Arial"/>
          <w:lang w:val="en-US"/>
        </w:rPr>
        <w:t xml:space="preserve">. As such they are commonly associated with the development of </w:t>
      </w:r>
      <w:r w:rsidR="00A4356B" w:rsidRPr="00D035B5">
        <w:rPr>
          <w:rFonts w:ascii="Arial" w:hAnsi="Arial" w:cs="Arial"/>
          <w:lang w:val="en-US"/>
        </w:rPr>
        <w:t>hyperglycemia</w:t>
      </w:r>
      <w:r w:rsidRPr="00D035B5">
        <w:rPr>
          <w:rFonts w:ascii="Arial" w:hAnsi="Arial" w:cs="Arial"/>
          <w:lang w:val="en-US"/>
        </w:rPr>
        <w:t xml:space="preserve"> and diabetes. </w:t>
      </w:r>
      <w:r w:rsidRPr="00D035B5">
        <w:rPr>
          <w:rFonts w:ascii="Arial" w:eastAsia="Calibri" w:hAnsi="Arial" w:cs="Arial"/>
          <w:color w:val="000000"/>
          <w:lang w:val="en-US" w:eastAsia="en-GB"/>
        </w:rPr>
        <w:t xml:space="preserve">GCs have a direct </w:t>
      </w:r>
      <w:r w:rsidR="00715A14" w:rsidRPr="00D035B5">
        <w:rPr>
          <w:rFonts w:ascii="Arial" w:eastAsia="Calibri" w:hAnsi="Arial" w:cs="Arial"/>
          <w:color w:val="000000"/>
          <w:lang w:val="en-US" w:eastAsia="en-GB"/>
        </w:rPr>
        <w:t>hyperglycemic</w:t>
      </w:r>
      <w:r w:rsidRPr="00D035B5">
        <w:rPr>
          <w:rFonts w:ascii="Arial" w:eastAsia="Calibri" w:hAnsi="Arial" w:cs="Arial"/>
          <w:color w:val="000000"/>
          <w:lang w:val="en-US" w:eastAsia="en-GB"/>
        </w:rPr>
        <w:t xml:space="preserve"> effect which starts very early after ingestion </w:t>
      </w:r>
      <w:r w:rsidR="00D035B5">
        <w:rPr>
          <w:rFonts w:ascii="Arial" w:eastAsia="Calibri" w:hAnsi="Arial" w:cs="Arial"/>
          <w:color w:val="000000"/>
          <w:lang w:val="en-US" w:eastAsia="en-GB"/>
        </w:rPr>
        <w:t>(</w:t>
      </w:r>
      <w:r w:rsidRPr="00D035B5">
        <w:rPr>
          <w:rFonts w:ascii="Arial" w:eastAsia="Calibri" w:hAnsi="Arial" w:cs="Arial"/>
          <w:noProof/>
          <w:color w:val="000000"/>
          <w:lang w:val="en-US" w:eastAsia="en-GB"/>
        </w:rPr>
        <w:t>105, 106</w:t>
      </w:r>
      <w:r w:rsidR="00D035B5">
        <w:rPr>
          <w:rFonts w:ascii="Arial" w:eastAsia="Calibri" w:hAnsi="Arial" w:cs="Arial"/>
          <w:noProof/>
          <w:color w:val="000000"/>
          <w:lang w:val="en-US" w:eastAsia="en-GB"/>
        </w:rPr>
        <w:t>)</w:t>
      </w:r>
      <w:r w:rsidRPr="00D035B5">
        <w:rPr>
          <w:rFonts w:ascii="Arial" w:eastAsia="Calibri" w:hAnsi="Arial" w:cs="Arial"/>
          <w:color w:val="000000"/>
          <w:lang w:val="en-US" w:eastAsia="en-GB"/>
        </w:rPr>
        <w:t xml:space="preserve">. They typically cause an increase in blood glucose levels 4-8 hours after ingestion leading to a peak blood glucose level between midday meal and evening meal </w:t>
      </w:r>
      <w:r w:rsidR="00D035B5">
        <w:rPr>
          <w:rFonts w:ascii="Arial" w:eastAsia="Calibri" w:hAnsi="Arial" w:cs="Arial"/>
          <w:color w:val="000000"/>
          <w:lang w:val="en-US" w:eastAsia="en-GB"/>
        </w:rPr>
        <w:t>(</w:t>
      </w:r>
      <w:r w:rsidRPr="00D035B5">
        <w:rPr>
          <w:rFonts w:ascii="Arial" w:eastAsia="Calibri" w:hAnsi="Arial" w:cs="Arial"/>
          <w:noProof/>
          <w:color w:val="000000"/>
          <w:lang w:val="en-US" w:eastAsia="en-GB"/>
        </w:rPr>
        <w:t>106, 107</w:t>
      </w:r>
      <w:r w:rsidR="00D035B5">
        <w:rPr>
          <w:rFonts w:ascii="Arial" w:eastAsia="Calibri" w:hAnsi="Arial" w:cs="Arial"/>
          <w:noProof/>
          <w:color w:val="000000"/>
          <w:lang w:val="en-US" w:eastAsia="en-GB"/>
        </w:rPr>
        <w:t>)</w:t>
      </w:r>
      <w:r w:rsidRPr="00D035B5">
        <w:rPr>
          <w:rFonts w:ascii="Arial" w:eastAsia="Calibri" w:hAnsi="Arial" w:cs="Arial"/>
          <w:color w:val="000000"/>
          <w:lang w:val="en-US" w:eastAsia="en-GB"/>
        </w:rPr>
        <w:t xml:space="preserve">. One in ten people not known to </w:t>
      </w:r>
      <w:r w:rsidRPr="00166CBD">
        <w:rPr>
          <w:rFonts w:ascii="Arial" w:eastAsia="Calibri" w:hAnsi="Arial" w:cs="Arial"/>
          <w:color w:val="000000"/>
          <w:lang w:val="en-US" w:eastAsia="en-GB"/>
        </w:rPr>
        <w:t xml:space="preserve">have diabetes develop GC-induced diabetes </w:t>
      </w:r>
      <w:r w:rsidR="00166CBD">
        <w:rPr>
          <w:rFonts w:ascii="Arial" w:eastAsia="Calibri" w:hAnsi="Arial" w:cs="Arial"/>
          <w:color w:val="000000"/>
          <w:lang w:val="en-US" w:eastAsia="en-GB"/>
        </w:rPr>
        <w:t>(</w:t>
      </w:r>
      <w:r w:rsidRPr="00166CBD">
        <w:rPr>
          <w:rFonts w:ascii="Arial" w:eastAsia="Calibri" w:hAnsi="Arial" w:cs="Arial"/>
          <w:noProof/>
          <w:color w:val="000000"/>
          <w:lang w:val="en-US" w:eastAsia="en-GB"/>
        </w:rPr>
        <w:t>108</w:t>
      </w:r>
      <w:r w:rsidR="00166CBD">
        <w:rPr>
          <w:rFonts w:ascii="Arial" w:eastAsia="Calibri" w:hAnsi="Arial" w:cs="Arial"/>
          <w:noProof/>
          <w:color w:val="000000"/>
          <w:lang w:val="en-US" w:eastAsia="en-GB"/>
        </w:rPr>
        <w:t>)</w:t>
      </w:r>
      <w:r w:rsidRPr="00166CBD">
        <w:rPr>
          <w:rFonts w:ascii="Arial" w:eastAsia="Calibri" w:hAnsi="Arial" w:cs="Arial"/>
          <w:color w:val="000000"/>
          <w:lang w:val="en-US" w:eastAsia="en-GB"/>
        </w:rPr>
        <w:t xml:space="preserve"> an effect which is dose dependent </w:t>
      </w:r>
      <w:r w:rsidR="00166CBD">
        <w:rPr>
          <w:rFonts w:ascii="Arial" w:eastAsia="Calibri" w:hAnsi="Arial" w:cs="Arial"/>
          <w:color w:val="000000"/>
          <w:lang w:val="en-US" w:eastAsia="en-GB"/>
        </w:rPr>
        <w:t>(</w:t>
      </w:r>
      <w:r w:rsidRPr="00166CBD">
        <w:rPr>
          <w:rFonts w:ascii="Arial" w:eastAsia="Calibri" w:hAnsi="Arial" w:cs="Arial"/>
          <w:noProof/>
          <w:color w:val="000000"/>
          <w:lang w:val="en-US" w:eastAsia="en-GB"/>
        </w:rPr>
        <w:t>109</w:t>
      </w:r>
      <w:r w:rsidR="00166CBD">
        <w:rPr>
          <w:rFonts w:ascii="Arial" w:eastAsia="Calibri" w:hAnsi="Arial" w:cs="Arial"/>
          <w:noProof/>
          <w:color w:val="000000"/>
          <w:lang w:val="en-US" w:eastAsia="en-GB"/>
        </w:rPr>
        <w:t>)</w:t>
      </w:r>
      <w:r w:rsidRPr="00166CBD">
        <w:rPr>
          <w:rFonts w:ascii="Arial" w:eastAsia="Calibri" w:hAnsi="Arial" w:cs="Arial"/>
          <w:color w:val="000000"/>
          <w:lang w:val="en-US" w:eastAsia="en-GB"/>
        </w:rPr>
        <w:t>.</w:t>
      </w:r>
      <w:r w:rsidRPr="00166CBD">
        <w:rPr>
          <w:rFonts w:ascii="Arial" w:hAnsi="Arial" w:cs="Arial"/>
          <w:lang w:val="en-US"/>
        </w:rPr>
        <w:t xml:space="preserve"> The incidence of glucocorticoid-induced </w:t>
      </w:r>
      <w:r w:rsidR="00A4356B" w:rsidRPr="00166CBD">
        <w:rPr>
          <w:rFonts w:ascii="Arial" w:hAnsi="Arial" w:cs="Arial"/>
          <w:lang w:val="en-US"/>
        </w:rPr>
        <w:t>hyperglycemia</w:t>
      </w:r>
      <w:r w:rsidRPr="00166CBD">
        <w:rPr>
          <w:rFonts w:ascii="Arial" w:hAnsi="Arial" w:cs="Arial"/>
          <w:lang w:val="en-US"/>
        </w:rPr>
        <w:t xml:space="preserve"> has been shown to occur in up to 30% of </w:t>
      </w:r>
      <w:r w:rsidR="00EA5F01" w:rsidRPr="00166CBD">
        <w:rPr>
          <w:rFonts w:ascii="Arial" w:hAnsi="Arial" w:cs="Arial"/>
          <w:lang w:val="en-US"/>
        </w:rPr>
        <w:t>individuals</w:t>
      </w:r>
      <w:r w:rsidRPr="00166CBD">
        <w:rPr>
          <w:rFonts w:ascii="Arial" w:hAnsi="Arial" w:cs="Arial"/>
          <w:lang w:val="en-US"/>
        </w:rPr>
        <w:t xml:space="preserve"> without diabetes </w:t>
      </w:r>
      <w:r w:rsidR="00166CBD">
        <w:rPr>
          <w:rFonts w:ascii="Arial" w:hAnsi="Arial" w:cs="Arial"/>
          <w:lang w:val="en-US"/>
        </w:rPr>
        <w:t>(</w:t>
      </w:r>
      <w:r w:rsidRPr="00166CBD">
        <w:rPr>
          <w:rFonts w:ascii="Arial" w:hAnsi="Arial" w:cs="Arial"/>
          <w:noProof/>
          <w:lang w:val="en-US"/>
        </w:rPr>
        <w:t>110</w:t>
      </w:r>
      <w:r w:rsidR="00166CBD">
        <w:rPr>
          <w:rFonts w:ascii="Arial" w:hAnsi="Arial" w:cs="Arial"/>
          <w:noProof/>
          <w:lang w:val="en-US"/>
        </w:rPr>
        <w:t>)</w:t>
      </w:r>
      <w:r w:rsidRPr="00166CBD">
        <w:rPr>
          <w:rFonts w:ascii="Arial" w:hAnsi="Arial" w:cs="Arial"/>
          <w:lang w:val="en-US"/>
        </w:rPr>
        <w:t xml:space="preserve">, but could be as high as 50%. The consequences of missing it can lead to significant harm, including the development of Hyperosmolar </w:t>
      </w:r>
      <w:r w:rsidR="00715A14" w:rsidRPr="00166CBD">
        <w:rPr>
          <w:rFonts w:ascii="Arial" w:hAnsi="Arial" w:cs="Arial"/>
          <w:lang w:val="en-US"/>
        </w:rPr>
        <w:t>Hyperglycemic</w:t>
      </w:r>
      <w:r w:rsidRPr="00166CBD">
        <w:rPr>
          <w:rFonts w:ascii="Arial" w:hAnsi="Arial" w:cs="Arial"/>
          <w:lang w:val="en-US"/>
        </w:rPr>
        <w:t xml:space="preserve"> State (HHS), </w:t>
      </w:r>
      <w:r w:rsidR="00A4356B" w:rsidRPr="00166CBD">
        <w:rPr>
          <w:rFonts w:ascii="Arial" w:hAnsi="Arial" w:cs="Arial"/>
          <w:lang w:val="en-US"/>
        </w:rPr>
        <w:t>hospitalization</w:t>
      </w:r>
      <w:r w:rsidRPr="00166CBD">
        <w:rPr>
          <w:rFonts w:ascii="Arial" w:hAnsi="Arial" w:cs="Arial"/>
          <w:lang w:val="en-US"/>
        </w:rPr>
        <w:t xml:space="preserve">, and in extreme circumstances, death. In a single </w:t>
      </w:r>
      <w:r w:rsidR="00A4356B" w:rsidRPr="00166CBD">
        <w:rPr>
          <w:rFonts w:ascii="Arial" w:hAnsi="Arial" w:cs="Arial"/>
          <w:lang w:val="en-US"/>
        </w:rPr>
        <w:t>center</w:t>
      </w:r>
      <w:r w:rsidRPr="00166CBD">
        <w:rPr>
          <w:rFonts w:ascii="Arial" w:hAnsi="Arial" w:cs="Arial"/>
          <w:lang w:val="en-US"/>
        </w:rPr>
        <w:t xml:space="preserve"> UK prevalence study 12.8% (120/940) of inpatients were found to be on glucocorticoids, however only 20.5% of these </w:t>
      </w:r>
      <w:r w:rsidR="00EA5F01" w:rsidRPr="00166CBD">
        <w:rPr>
          <w:rFonts w:ascii="Arial" w:hAnsi="Arial" w:cs="Arial"/>
          <w:lang w:val="en-US"/>
        </w:rPr>
        <w:t>individuals</w:t>
      </w:r>
      <w:r w:rsidRPr="00166CBD">
        <w:rPr>
          <w:rFonts w:ascii="Arial" w:hAnsi="Arial" w:cs="Arial"/>
          <w:lang w:val="en-US"/>
        </w:rPr>
        <w:t xml:space="preserve"> (25/120) had their blood glucose levels measured during admission, demonstrating how infrequently glucose is measured in hospital </w:t>
      </w:r>
      <w:r w:rsidR="00166CBD">
        <w:rPr>
          <w:rFonts w:ascii="Arial" w:hAnsi="Arial" w:cs="Arial"/>
          <w:lang w:val="en-US"/>
        </w:rPr>
        <w:t>(</w:t>
      </w:r>
      <w:r w:rsidRPr="00166CBD">
        <w:rPr>
          <w:rFonts w:ascii="Arial" w:hAnsi="Arial" w:cs="Arial"/>
          <w:noProof/>
          <w:lang w:val="en-US"/>
        </w:rPr>
        <w:t>111</w:t>
      </w:r>
      <w:r w:rsidR="00166CBD">
        <w:rPr>
          <w:rFonts w:ascii="Arial" w:hAnsi="Arial" w:cs="Arial"/>
          <w:noProof/>
          <w:lang w:val="en-US"/>
        </w:rPr>
        <w:t>)</w:t>
      </w:r>
      <w:r w:rsidRPr="00166CBD">
        <w:rPr>
          <w:rFonts w:ascii="Arial" w:hAnsi="Arial" w:cs="Arial"/>
          <w:lang w:val="en-US"/>
        </w:rPr>
        <w:t xml:space="preserve">. It is important to ensure that if glucocorticoid (steroid) induced </w:t>
      </w:r>
      <w:r w:rsidR="00A4356B" w:rsidRPr="00166CBD">
        <w:rPr>
          <w:rFonts w:ascii="Arial" w:hAnsi="Arial" w:cs="Arial"/>
          <w:lang w:val="en-US"/>
        </w:rPr>
        <w:t>hyperglycemia</w:t>
      </w:r>
      <w:r w:rsidRPr="00166CBD">
        <w:rPr>
          <w:rFonts w:ascii="Arial" w:hAnsi="Arial" w:cs="Arial"/>
          <w:lang w:val="en-US"/>
        </w:rPr>
        <w:t xml:space="preserve"> does occur, it is picked up early.</w:t>
      </w:r>
    </w:p>
    <w:p w14:paraId="127D1A3A" w14:textId="77777777" w:rsidR="00166CBD" w:rsidRPr="00166CBD" w:rsidRDefault="00166CBD" w:rsidP="00C96EE5">
      <w:pPr>
        <w:spacing w:after="0" w:line="276" w:lineRule="auto"/>
        <w:rPr>
          <w:rFonts w:ascii="Arial" w:hAnsi="Arial" w:cs="Arial"/>
          <w:lang w:val="en-US"/>
        </w:rPr>
      </w:pPr>
    </w:p>
    <w:p w14:paraId="26C6B7C4" w14:textId="0FA71B7E" w:rsidR="00002F76" w:rsidRDefault="00002F76" w:rsidP="00C96EE5">
      <w:pPr>
        <w:spacing w:after="0" w:line="276" w:lineRule="auto"/>
        <w:rPr>
          <w:rFonts w:ascii="Arial" w:hAnsi="Arial" w:cs="Arial"/>
          <w:lang w:val="en-US"/>
        </w:rPr>
      </w:pPr>
      <w:r w:rsidRPr="00166CBD">
        <w:rPr>
          <w:rFonts w:ascii="Arial" w:hAnsi="Arial" w:cs="Arial"/>
          <w:lang w:val="en-US" w:eastAsia="en-GB"/>
        </w:rPr>
        <w:lastRenderedPageBreak/>
        <w:t>The use of GCs, is common in advanced cancer, to reduce peri-lesional edema, relieve pain, control nausea, combat fatigue</w:t>
      </w:r>
      <w:r w:rsidR="00166CBD">
        <w:rPr>
          <w:rFonts w:ascii="Arial" w:hAnsi="Arial" w:cs="Arial"/>
          <w:lang w:val="en-US" w:eastAsia="en-GB"/>
        </w:rPr>
        <w:t>,</w:t>
      </w:r>
      <w:r w:rsidRPr="00166CBD">
        <w:rPr>
          <w:rFonts w:ascii="Arial" w:hAnsi="Arial" w:cs="Arial"/>
          <w:lang w:val="en-US" w:eastAsia="en-GB"/>
        </w:rPr>
        <w:t xml:space="preserve"> or boost appetite. For oncological emergencies such as cerebral metastases, superior vena-cava obstruction (SVCO), or metastatic spinal cord compression (MSCC), high dose GC treatment is integral to patient management. Furthermore, GC treatments are the backbone of many </w:t>
      </w:r>
      <w:r w:rsidR="00A4356B" w:rsidRPr="00166CBD">
        <w:rPr>
          <w:rFonts w:ascii="Arial" w:hAnsi="Arial" w:cs="Arial"/>
          <w:lang w:val="en-US" w:eastAsia="en-GB"/>
        </w:rPr>
        <w:t>hematological</w:t>
      </w:r>
      <w:r w:rsidRPr="00166CBD">
        <w:rPr>
          <w:rFonts w:ascii="Arial" w:hAnsi="Arial" w:cs="Arial"/>
          <w:lang w:val="en-US" w:eastAsia="en-GB"/>
        </w:rPr>
        <w:t xml:space="preserve"> cancer treatment regimens, and are often used as supportive anti-emetic medications, or to prevent allergic reactions, in many solid </w:t>
      </w:r>
      <w:r w:rsidR="00A4356B" w:rsidRPr="00166CBD">
        <w:rPr>
          <w:rFonts w:ascii="Arial" w:hAnsi="Arial" w:cs="Arial"/>
          <w:lang w:val="en-US" w:eastAsia="en-GB"/>
        </w:rPr>
        <w:t>tumor</w:t>
      </w:r>
      <w:r w:rsidRPr="00166CBD">
        <w:rPr>
          <w:rFonts w:ascii="Arial" w:hAnsi="Arial" w:cs="Arial"/>
          <w:lang w:val="en-US" w:eastAsia="en-GB"/>
        </w:rPr>
        <w:t xml:space="preserve"> regimens </w:t>
      </w:r>
      <w:r w:rsidR="00166CBD">
        <w:rPr>
          <w:rFonts w:ascii="Arial" w:hAnsi="Arial" w:cs="Arial"/>
          <w:lang w:val="en-US" w:eastAsia="en-GB"/>
        </w:rPr>
        <w:t>(</w:t>
      </w:r>
      <w:r w:rsidRPr="00166CBD">
        <w:rPr>
          <w:rFonts w:ascii="Arial" w:hAnsi="Arial" w:cs="Arial"/>
          <w:noProof/>
          <w:lang w:val="en-US" w:eastAsia="en-GB"/>
        </w:rPr>
        <w:t>105</w:t>
      </w:r>
      <w:r w:rsidR="00166CBD">
        <w:rPr>
          <w:rFonts w:ascii="Arial" w:hAnsi="Arial" w:cs="Arial"/>
          <w:noProof/>
          <w:lang w:val="en-US" w:eastAsia="en-GB"/>
        </w:rPr>
        <w:t>)</w:t>
      </w:r>
      <w:r w:rsidRPr="00166CBD">
        <w:rPr>
          <w:rFonts w:ascii="Arial" w:hAnsi="Arial" w:cs="Arial"/>
          <w:lang w:val="en-US" w:eastAsia="en-GB"/>
        </w:rPr>
        <w:t xml:space="preserve">, and, as discussed above, the main first-line treatment for the management of ICP toxicity. In one study, </w:t>
      </w:r>
      <w:r w:rsidRPr="00166CBD">
        <w:rPr>
          <w:rFonts w:ascii="Arial" w:hAnsi="Arial" w:cs="Arial"/>
          <w:lang w:val="en-US"/>
        </w:rPr>
        <w:t>the</w:t>
      </w:r>
      <w:r w:rsidRPr="00166CBD">
        <w:rPr>
          <w:rFonts w:ascii="Arial" w:hAnsi="Arial" w:cs="Arial"/>
          <w:i/>
          <w:lang w:val="en-US"/>
        </w:rPr>
        <w:t xml:space="preserve"> </w:t>
      </w:r>
      <w:r w:rsidRPr="00166CBD">
        <w:rPr>
          <w:rFonts w:ascii="Arial" w:hAnsi="Arial" w:cs="Arial"/>
          <w:lang w:val="en-US"/>
        </w:rPr>
        <w:t>incidence of glucocorticoid-induced diabetes was 20% in those with newly diagnosed gastrointestinal cancer following at least 3 cycles of highly or moderately emetogenic chemotherapy, including dexamethasone as a supportive medication. Furthermore, almost 60% of people in the study exhibited signs of insulin resistance and multivariate analysis showed a significant association between the cumulative dose of dexamethasone and the incidence of corticosteroid-induced diabetes</w:t>
      </w:r>
      <w:r w:rsidR="00166CBD">
        <w:rPr>
          <w:rFonts w:ascii="Arial" w:hAnsi="Arial" w:cs="Arial"/>
          <w:lang w:val="en-US"/>
        </w:rPr>
        <w:t xml:space="preserve"> (</w:t>
      </w:r>
      <w:r w:rsidRPr="00166CBD">
        <w:rPr>
          <w:rFonts w:ascii="Arial" w:hAnsi="Arial" w:cs="Arial"/>
          <w:noProof/>
          <w:lang w:val="en-US"/>
        </w:rPr>
        <w:t>112</w:t>
      </w:r>
      <w:r w:rsidR="00166CBD">
        <w:rPr>
          <w:rFonts w:ascii="Arial" w:hAnsi="Arial" w:cs="Arial"/>
          <w:noProof/>
          <w:lang w:val="en-US"/>
        </w:rPr>
        <w:t>)</w:t>
      </w:r>
      <w:r w:rsidRPr="00166CBD">
        <w:rPr>
          <w:rFonts w:ascii="Arial" w:hAnsi="Arial" w:cs="Arial"/>
          <w:lang w:val="en-US"/>
        </w:rPr>
        <w:t xml:space="preserve">. In a separate smaller study of 16 women without diabetes with ovarian or endometrial cancer receiving carboplatin/paclitaxel chemotherapy with dexamethasone as supportive care, almost all experienced elevated interstitial glucose levels with diurnal variation during the first five days of treatment </w:t>
      </w:r>
      <w:r w:rsidR="00166CBD">
        <w:rPr>
          <w:rFonts w:ascii="Arial" w:hAnsi="Arial" w:cs="Arial"/>
          <w:lang w:val="en-US"/>
        </w:rPr>
        <w:t>(</w:t>
      </w:r>
      <w:r w:rsidRPr="00166CBD">
        <w:rPr>
          <w:rFonts w:ascii="Arial" w:hAnsi="Arial" w:cs="Arial"/>
          <w:noProof/>
          <w:lang w:val="en-US"/>
        </w:rPr>
        <w:t>113</w:t>
      </w:r>
      <w:r w:rsidR="00166CBD">
        <w:rPr>
          <w:rFonts w:ascii="Arial" w:hAnsi="Arial" w:cs="Arial"/>
          <w:noProof/>
          <w:lang w:val="en-US"/>
        </w:rPr>
        <w:t>)</w:t>
      </w:r>
      <w:r w:rsidRPr="00166CBD">
        <w:rPr>
          <w:rFonts w:ascii="Arial" w:hAnsi="Arial" w:cs="Arial"/>
          <w:lang w:val="en-US"/>
        </w:rPr>
        <w:t xml:space="preserve">. For those who receive prednisolone as part of a treatment regimen for </w:t>
      </w:r>
      <w:r w:rsidR="00A4356B" w:rsidRPr="00166CBD">
        <w:rPr>
          <w:rFonts w:ascii="Arial" w:hAnsi="Arial" w:cs="Arial"/>
          <w:lang w:val="en-US"/>
        </w:rPr>
        <w:t>hematological</w:t>
      </w:r>
      <w:r w:rsidRPr="00166CBD">
        <w:rPr>
          <w:rFonts w:ascii="Arial" w:hAnsi="Arial" w:cs="Arial"/>
          <w:lang w:val="en-US"/>
        </w:rPr>
        <w:t xml:space="preserve"> malignancies, rates of steroid-induced diabetes and </w:t>
      </w:r>
      <w:r w:rsidR="00A4356B" w:rsidRPr="00166CBD">
        <w:rPr>
          <w:rFonts w:ascii="Arial" w:hAnsi="Arial" w:cs="Arial"/>
          <w:lang w:val="en-US"/>
        </w:rPr>
        <w:t>hyperglycemia</w:t>
      </w:r>
      <w:r w:rsidRPr="00166CBD">
        <w:rPr>
          <w:rFonts w:ascii="Arial" w:hAnsi="Arial" w:cs="Arial"/>
          <w:lang w:val="en-US"/>
        </w:rPr>
        <w:t xml:space="preserve"> have been reported to be as high as 32.5% and 47% respectively, highlighting the scale of this issue </w:t>
      </w:r>
      <w:r w:rsidR="00166CBD">
        <w:rPr>
          <w:rFonts w:ascii="Arial" w:hAnsi="Arial" w:cs="Arial"/>
          <w:lang w:val="en-US"/>
        </w:rPr>
        <w:t>(</w:t>
      </w:r>
      <w:r w:rsidRPr="00166CBD">
        <w:rPr>
          <w:rFonts w:ascii="Arial" w:hAnsi="Arial" w:cs="Arial"/>
          <w:noProof/>
          <w:lang w:val="en-US"/>
        </w:rPr>
        <w:t>114, 115</w:t>
      </w:r>
      <w:r w:rsidR="00166CBD">
        <w:rPr>
          <w:rFonts w:ascii="Arial" w:hAnsi="Arial" w:cs="Arial"/>
          <w:noProof/>
          <w:lang w:val="en-US"/>
        </w:rPr>
        <w:t>)</w:t>
      </w:r>
      <w:r w:rsidRPr="00166CBD">
        <w:rPr>
          <w:rFonts w:ascii="Arial" w:hAnsi="Arial" w:cs="Arial"/>
          <w:lang w:val="en-US"/>
        </w:rPr>
        <w:t>.</w:t>
      </w:r>
    </w:p>
    <w:p w14:paraId="6C4357AE" w14:textId="77777777" w:rsidR="00166CBD" w:rsidRPr="00166CBD" w:rsidRDefault="00166CBD" w:rsidP="00C96EE5">
      <w:pPr>
        <w:spacing w:after="0" w:line="276" w:lineRule="auto"/>
        <w:rPr>
          <w:rFonts w:ascii="Arial" w:eastAsia="Calibri" w:hAnsi="Arial" w:cs="Arial"/>
          <w:color w:val="000000"/>
          <w:lang w:val="en-US" w:eastAsia="en-GB"/>
        </w:rPr>
      </w:pPr>
    </w:p>
    <w:p w14:paraId="30848E94" w14:textId="5872FB85" w:rsidR="00002F76" w:rsidRDefault="00002F76" w:rsidP="00C96EE5">
      <w:pPr>
        <w:pStyle w:val="ListParagraph"/>
        <w:spacing w:after="0" w:line="276" w:lineRule="auto"/>
        <w:ind w:left="0"/>
        <w:rPr>
          <w:rFonts w:ascii="Arial" w:hAnsi="Arial" w:cs="Arial"/>
          <w:lang w:val="en-US"/>
        </w:rPr>
      </w:pPr>
      <w:r w:rsidRPr="00166CBD">
        <w:rPr>
          <w:rFonts w:ascii="Arial" w:eastAsia="Calibri" w:hAnsi="Arial" w:cs="Arial"/>
          <w:color w:val="000000"/>
          <w:lang w:val="en-US" w:eastAsia="en-GB"/>
        </w:rPr>
        <w:t>S</w:t>
      </w:r>
      <w:r w:rsidRPr="00166CBD">
        <w:rPr>
          <w:rFonts w:ascii="Arial" w:hAnsi="Arial" w:cs="Arial"/>
          <w:lang w:val="en-US"/>
        </w:rPr>
        <w:t xml:space="preserve">upra-physiological doses of glucocorticoids approximate to a dose of prednisolone greater than 5mg per day – or an equivalent dose of the alternative synthetic GC </w:t>
      </w:r>
      <w:r w:rsidR="00166CBD">
        <w:rPr>
          <w:rFonts w:ascii="Arial" w:hAnsi="Arial" w:cs="Arial"/>
          <w:lang w:val="en-US"/>
        </w:rPr>
        <w:t>(</w:t>
      </w:r>
      <w:r w:rsidRPr="00166CBD">
        <w:rPr>
          <w:rFonts w:ascii="Arial" w:hAnsi="Arial" w:cs="Arial"/>
          <w:lang w:val="en-US"/>
        </w:rPr>
        <w:t>Table 2</w:t>
      </w:r>
      <w:r w:rsidR="00166CBD">
        <w:rPr>
          <w:rFonts w:ascii="Arial" w:hAnsi="Arial" w:cs="Arial"/>
          <w:b/>
          <w:bCs/>
          <w:lang w:val="en-US"/>
        </w:rPr>
        <w:t>)</w:t>
      </w:r>
      <w:r w:rsidRPr="00166CBD">
        <w:rPr>
          <w:rFonts w:ascii="Arial" w:hAnsi="Arial" w:cs="Arial"/>
          <w:lang w:val="en-US"/>
        </w:rPr>
        <w:t xml:space="preserve">. With increasing dose of GC, the risk of potential </w:t>
      </w:r>
      <w:r w:rsidR="00A4356B" w:rsidRPr="00166CBD">
        <w:rPr>
          <w:rFonts w:ascii="Arial" w:hAnsi="Arial" w:cs="Arial"/>
          <w:lang w:val="en-US"/>
        </w:rPr>
        <w:t>hyperglycemia</w:t>
      </w:r>
      <w:r w:rsidRPr="00166CBD">
        <w:rPr>
          <w:rFonts w:ascii="Arial" w:hAnsi="Arial" w:cs="Arial"/>
          <w:lang w:val="en-US"/>
        </w:rPr>
        <w:t xml:space="preserve"> increases, and in </w:t>
      </w:r>
      <w:r w:rsidR="00EA5F01" w:rsidRPr="00166CBD">
        <w:rPr>
          <w:rFonts w:ascii="Arial" w:hAnsi="Arial" w:cs="Arial"/>
          <w:lang w:val="en-US"/>
        </w:rPr>
        <w:t>people</w:t>
      </w:r>
      <w:r w:rsidRPr="00166CBD">
        <w:rPr>
          <w:rFonts w:ascii="Arial" w:hAnsi="Arial" w:cs="Arial"/>
          <w:lang w:val="en-US"/>
        </w:rPr>
        <w:t xml:space="preserve"> without pre-existing diabetes, a glucocorticoid dose equivalent </w:t>
      </w:r>
      <w:r w:rsidR="00166CBD">
        <w:rPr>
          <w:rFonts w:ascii="Arial" w:hAnsi="Arial" w:cs="Arial"/>
          <w:lang w:val="en-US"/>
        </w:rPr>
        <w:t>of</w:t>
      </w:r>
      <w:r w:rsidRPr="00166CBD">
        <w:rPr>
          <w:rFonts w:ascii="Arial" w:hAnsi="Arial" w:cs="Arial"/>
          <w:lang w:val="en-US"/>
        </w:rPr>
        <w:t xml:space="preserve"> &gt;12mg dexamethasone and longer acting steroids are associated with a greater degree of </w:t>
      </w:r>
      <w:r w:rsidR="00A4356B" w:rsidRPr="00166CBD">
        <w:rPr>
          <w:rFonts w:ascii="Arial" w:hAnsi="Arial" w:cs="Arial"/>
          <w:lang w:val="en-US"/>
        </w:rPr>
        <w:t>hyperglycemia</w:t>
      </w:r>
      <w:r w:rsidRPr="00166CBD">
        <w:rPr>
          <w:rFonts w:ascii="Arial" w:hAnsi="Arial" w:cs="Arial"/>
          <w:lang w:val="en-US"/>
        </w:rPr>
        <w:t xml:space="preserve"> </w:t>
      </w:r>
      <w:r w:rsidR="00166CBD">
        <w:rPr>
          <w:rFonts w:ascii="Arial" w:hAnsi="Arial" w:cs="Arial"/>
          <w:lang w:val="en-US"/>
        </w:rPr>
        <w:t>(</w:t>
      </w:r>
      <w:r w:rsidRPr="00166CBD">
        <w:rPr>
          <w:rFonts w:ascii="Arial" w:hAnsi="Arial" w:cs="Arial"/>
          <w:noProof/>
          <w:lang w:val="en-US"/>
        </w:rPr>
        <w:t>116</w:t>
      </w:r>
      <w:r w:rsidR="00166CBD">
        <w:rPr>
          <w:rFonts w:ascii="Arial" w:hAnsi="Arial" w:cs="Arial"/>
          <w:noProof/>
          <w:lang w:val="en-US"/>
        </w:rPr>
        <w:t>)</w:t>
      </w:r>
      <w:r w:rsidRPr="00166CBD">
        <w:rPr>
          <w:rFonts w:ascii="Arial" w:hAnsi="Arial" w:cs="Arial"/>
          <w:lang w:val="en-US"/>
        </w:rPr>
        <w:t xml:space="preserve">. As duration of GC treatment increases, it becomes increasingly likely that </w:t>
      </w:r>
      <w:r w:rsidR="00A4356B" w:rsidRPr="00166CBD">
        <w:rPr>
          <w:rFonts w:ascii="Arial" w:hAnsi="Arial" w:cs="Arial"/>
          <w:lang w:val="en-US"/>
        </w:rPr>
        <w:t>hyperglycemia</w:t>
      </w:r>
      <w:r w:rsidRPr="00166CBD">
        <w:rPr>
          <w:rFonts w:ascii="Arial" w:hAnsi="Arial" w:cs="Arial"/>
          <w:lang w:val="en-US"/>
        </w:rPr>
        <w:t xml:space="preserve"> may not resolve once the GCs are withdrawn, with those groups at particular risk of developing glucocorticoid induced diabetes, shown in </w:t>
      </w:r>
      <w:r w:rsidRPr="00785400">
        <w:rPr>
          <w:rFonts w:ascii="Arial" w:hAnsi="Arial" w:cs="Arial"/>
          <w:lang w:val="en-US"/>
        </w:rPr>
        <w:t>Table 3.</w:t>
      </w:r>
    </w:p>
    <w:p w14:paraId="4E27FE33" w14:textId="77777777" w:rsidR="00785400" w:rsidRPr="00166CBD" w:rsidRDefault="00785400" w:rsidP="00C96EE5">
      <w:pPr>
        <w:pStyle w:val="ListParagraph"/>
        <w:spacing w:after="0" w:line="276" w:lineRule="auto"/>
        <w:ind w:left="0"/>
        <w:rPr>
          <w:rFonts w:ascii="Arial" w:hAnsi="Arial" w:cs="Arial"/>
          <w:color w:val="FF0000"/>
          <w:lang w:val="en-US"/>
        </w:rPr>
      </w:pPr>
    </w:p>
    <w:tbl>
      <w:tblPr>
        <w:tblStyle w:val="TableGrid"/>
        <w:tblW w:w="9039" w:type="dxa"/>
        <w:tblLook w:val="04A0" w:firstRow="1" w:lastRow="0" w:firstColumn="1" w:lastColumn="0" w:noHBand="0" w:noVBand="1"/>
      </w:tblPr>
      <w:tblGrid>
        <w:gridCol w:w="2835"/>
        <w:gridCol w:w="3102"/>
        <w:gridCol w:w="3102"/>
      </w:tblGrid>
      <w:tr w:rsidR="00785400" w:rsidRPr="00A30B0F" w14:paraId="43CE4FF6" w14:textId="77777777" w:rsidTr="00785400">
        <w:tc>
          <w:tcPr>
            <w:tcW w:w="9039" w:type="dxa"/>
            <w:gridSpan w:val="3"/>
            <w:shd w:val="clear" w:color="auto" w:fill="FFFF00"/>
          </w:tcPr>
          <w:p w14:paraId="6513CDE2" w14:textId="6746E111" w:rsidR="00785400" w:rsidRPr="00785400" w:rsidRDefault="00785400" w:rsidP="00C96EE5">
            <w:pPr>
              <w:spacing w:line="276" w:lineRule="auto"/>
              <w:rPr>
                <w:rFonts w:ascii="Arial" w:hAnsi="Arial" w:cs="Arial"/>
                <w:b/>
                <w:bCs/>
                <w:lang w:val="en-US"/>
              </w:rPr>
            </w:pPr>
            <w:r w:rsidRPr="00785400">
              <w:rPr>
                <w:rFonts w:ascii="Arial" w:hAnsi="Arial" w:cs="Arial"/>
                <w:b/>
                <w:bCs/>
                <w:lang w:val="en-US"/>
              </w:rPr>
              <w:t>Table 2. Glucocorticoid Dose Equivalent</w:t>
            </w:r>
          </w:p>
        </w:tc>
      </w:tr>
      <w:tr w:rsidR="00002F76" w:rsidRPr="00A30B0F" w14:paraId="7F2E0A0A" w14:textId="77777777" w:rsidTr="00785400">
        <w:tc>
          <w:tcPr>
            <w:tcW w:w="2835" w:type="dxa"/>
          </w:tcPr>
          <w:p w14:paraId="10A0372F" w14:textId="77777777" w:rsidR="00002F76" w:rsidRPr="00785400" w:rsidRDefault="00002F76" w:rsidP="00C96EE5">
            <w:pPr>
              <w:spacing w:line="276" w:lineRule="auto"/>
              <w:rPr>
                <w:rFonts w:ascii="Arial" w:hAnsi="Arial" w:cs="Arial"/>
                <w:b/>
                <w:bCs/>
                <w:lang w:val="en-US"/>
              </w:rPr>
            </w:pPr>
            <w:r w:rsidRPr="00785400">
              <w:rPr>
                <w:rFonts w:ascii="Arial" w:hAnsi="Arial" w:cs="Arial"/>
                <w:b/>
                <w:bCs/>
                <w:lang w:val="en-US"/>
              </w:rPr>
              <w:t>Glucocorticoid (steroid)</w:t>
            </w:r>
          </w:p>
        </w:tc>
        <w:tc>
          <w:tcPr>
            <w:tcW w:w="3102" w:type="dxa"/>
          </w:tcPr>
          <w:p w14:paraId="6D71B26E" w14:textId="77777777" w:rsidR="00002F76" w:rsidRPr="00785400" w:rsidRDefault="00002F76" w:rsidP="00C96EE5">
            <w:pPr>
              <w:spacing w:line="276" w:lineRule="auto"/>
              <w:rPr>
                <w:rFonts w:ascii="Arial" w:hAnsi="Arial" w:cs="Arial"/>
                <w:b/>
                <w:bCs/>
                <w:lang w:val="en-US"/>
              </w:rPr>
            </w:pPr>
            <w:r w:rsidRPr="00785400">
              <w:rPr>
                <w:rFonts w:ascii="Arial" w:hAnsi="Arial" w:cs="Arial"/>
                <w:b/>
                <w:bCs/>
                <w:lang w:val="en-US"/>
              </w:rPr>
              <w:t>Potency (equivalent doses)</w:t>
            </w:r>
          </w:p>
        </w:tc>
        <w:tc>
          <w:tcPr>
            <w:tcW w:w="3102" w:type="dxa"/>
          </w:tcPr>
          <w:p w14:paraId="3DD7142E" w14:textId="77777777" w:rsidR="00002F76" w:rsidRPr="00785400" w:rsidRDefault="00002F76" w:rsidP="00C96EE5">
            <w:pPr>
              <w:spacing w:line="276" w:lineRule="auto"/>
              <w:rPr>
                <w:rFonts w:ascii="Arial" w:hAnsi="Arial" w:cs="Arial"/>
                <w:b/>
                <w:bCs/>
                <w:lang w:val="en-US"/>
              </w:rPr>
            </w:pPr>
            <w:r w:rsidRPr="00785400">
              <w:rPr>
                <w:rFonts w:ascii="Arial" w:hAnsi="Arial" w:cs="Arial"/>
                <w:b/>
                <w:bCs/>
                <w:lang w:val="en-US"/>
              </w:rPr>
              <w:t>Duration of action (half-life, in hours)</w:t>
            </w:r>
          </w:p>
        </w:tc>
      </w:tr>
      <w:tr w:rsidR="00002F76" w:rsidRPr="00A30B0F" w14:paraId="3B6C137E" w14:textId="77777777" w:rsidTr="00785400">
        <w:tc>
          <w:tcPr>
            <w:tcW w:w="2835" w:type="dxa"/>
          </w:tcPr>
          <w:p w14:paraId="24441FF7"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Hydrocortisone</w:t>
            </w:r>
          </w:p>
        </w:tc>
        <w:tc>
          <w:tcPr>
            <w:tcW w:w="3102" w:type="dxa"/>
          </w:tcPr>
          <w:p w14:paraId="648B03CC"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20 mg</w:t>
            </w:r>
          </w:p>
        </w:tc>
        <w:tc>
          <w:tcPr>
            <w:tcW w:w="3102" w:type="dxa"/>
          </w:tcPr>
          <w:p w14:paraId="441D845F"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8</w:t>
            </w:r>
          </w:p>
        </w:tc>
      </w:tr>
      <w:tr w:rsidR="00002F76" w:rsidRPr="00A30B0F" w14:paraId="2C999B32" w14:textId="77777777" w:rsidTr="00785400">
        <w:tc>
          <w:tcPr>
            <w:tcW w:w="2835" w:type="dxa"/>
          </w:tcPr>
          <w:p w14:paraId="3C34A097"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Prednisolone</w:t>
            </w:r>
          </w:p>
        </w:tc>
        <w:tc>
          <w:tcPr>
            <w:tcW w:w="3102" w:type="dxa"/>
          </w:tcPr>
          <w:p w14:paraId="4A019633"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5 mg</w:t>
            </w:r>
          </w:p>
        </w:tc>
        <w:tc>
          <w:tcPr>
            <w:tcW w:w="3102" w:type="dxa"/>
          </w:tcPr>
          <w:p w14:paraId="39EBF819"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16-36</w:t>
            </w:r>
          </w:p>
        </w:tc>
      </w:tr>
      <w:tr w:rsidR="00002F76" w:rsidRPr="00A30B0F" w14:paraId="1148BA5E" w14:textId="77777777" w:rsidTr="00785400">
        <w:tc>
          <w:tcPr>
            <w:tcW w:w="2835" w:type="dxa"/>
          </w:tcPr>
          <w:p w14:paraId="1BE384EA"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Methylprednisolone</w:t>
            </w:r>
          </w:p>
        </w:tc>
        <w:tc>
          <w:tcPr>
            <w:tcW w:w="3102" w:type="dxa"/>
          </w:tcPr>
          <w:p w14:paraId="026EBDE2"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4 mg</w:t>
            </w:r>
          </w:p>
        </w:tc>
        <w:tc>
          <w:tcPr>
            <w:tcW w:w="3102" w:type="dxa"/>
          </w:tcPr>
          <w:p w14:paraId="6D773568"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18-40</w:t>
            </w:r>
          </w:p>
        </w:tc>
      </w:tr>
      <w:tr w:rsidR="00002F76" w:rsidRPr="00A30B0F" w14:paraId="194E05CE" w14:textId="77777777" w:rsidTr="00785400">
        <w:tc>
          <w:tcPr>
            <w:tcW w:w="2835" w:type="dxa"/>
          </w:tcPr>
          <w:p w14:paraId="2E225BA0"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Dexamethasone</w:t>
            </w:r>
          </w:p>
        </w:tc>
        <w:tc>
          <w:tcPr>
            <w:tcW w:w="3102" w:type="dxa"/>
          </w:tcPr>
          <w:p w14:paraId="7721DACB"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0.8 mg</w:t>
            </w:r>
          </w:p>
        </w:tc>
        <w:tc>
          <w:tcPr>
            <w:tcW w:w="3102" w:type="dxa"/>
          </w:tcPr>
          <w:p w14:paraId="68D39D7F"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36-54</w:t>
            </w:r>
          </w:p>
        </w:tc>
      </w:tr>
      <w:tr w:rsidR="00002F76" w:rsidRPr="00A30B0F" w14:paraId="33A8E8E7" w14:textId="77777777" w:rsidTr="00785400">
        <w:tc>
          <w:tcPr>
            <w:tcW w:w="2835" w:type="dxa"/>
          </w:tcPr>
          <w:p w14:paraId="61415C31"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Betamethasone</w:t>
            </w:r>
          </w:p>
        </w:tc>
        <w:tc>
          <w:tcPr>
            <w:tcW w:w="3102" w:type="dxa"/>
          </w:tcPr>
          <w:p w14:paraId="237AB206"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0.8 mg</w:t>
            </w:r>
          </w:p>
        </w:tc>
        <w:tc>
          <w:tcPr>
            <w:tcW w:w="3102" w:type="dxa"/>
          </w:tcPr>
          <w:p w14:paraId="350C4B13" w14:textId="77777777" w:rsidR="00002F76" w:rsidRPr="00A30B0F" w:rsidRDefault="00002F76" w:rsidP="00C96EE5">
            <w:pPr>
              <w:spacing w:line="276" w:lineRule="auto"/>
              <w:rPr>
                <w:rFonts w:ascii="Arial" w:hAnsi="Arial" w:cs="Arial"/>
                <w:lang w:val="en-US"/>
              </w:rPr>
            </w:pPr>
            <w:r w:rsidRPr="00A30B0F">
              <w:rPr>
                <w:rFonts w:ascii="Arial" w:hAnsi="Arial" w:cs="Arial"/>
                <w:lang w:val="en-US"/>
              </w:rPr>
              <w:t>26-54</w:t>
            </w:r>
          </w:p>
        </w:tc>
      </w:tr>
    </w:tbl>
    <w:p w14:paraId="71FBA6F4" w14:textId="77777777" w:rsidR="00002F76" w:rsidRPr="00A30B0F" w:rsidRDefault="00002F76" w:rsidP="00C96EE5">
      <w:pPr>
        <w:pStyle w:val="ListParagraph"/>
        <w:spacing w:after="0" w:line="276" w:lineRule="auto"/>
        <w:ind w:left="0"/>
        <w:rPr>
          <w:rFonts w:ascii="Arial" w:hAnsi="Arial" w:cs="Arial"/>
          <w:color w:val="FF0000"/>
          <w:lang w:val="en-US"/>
        </w:rPr>
      </w:pPr>
    </w:p>
    <w:tbl>
      <w:tblPr>
        <w:tblStyle w:val="TableGrid"/>
        <w:tblW w:w="0" w:type="auto"/>
        <w:tblLook w:val="04A0" w:firstRow="1" w:lastRow="0" w:firstColumn="1" w:lastColumn="0" w:noHBand="0" w:noVBand="1"/>
      </w:tblPr>
      <w:tblGrid>
        <w:gridCol w:w="9016"/>
      </w:tblGrid>
      <w:tr w:rsidR="00785400" w:rsidRPr="00A30B0F" w14:paraId="3BB56249" w14:textId="77777777" w:rsidTr="00785400">
        <w:tc>
          <w:tcPr>
            <w:tcW w:w="9016" w:type="dxa"/>
            <w:shd w:val="clear" w:color="auto" w:fill="FFFF00"/>
          </w:tcPr>
          <w:p w14:paraId="2414595F" w14:textId="0B7EB1BC" w:rsidR="00785400" w:rsidRPr="00785400" w:rsidRDefault="00785400" w:rsidP="00C96EE5">
            <w:pPr>
              <w:spacing w:line="276" w:lineRule="auto"/>
              <w:rPr>
                <w:rFonts w:ascii="Arial" w:hAnsi="Arial" w:cs="Arial"/>
                <w:b/>
                <w:bCs/>
                <w:lang w:val="en-US"/>
              </w:rPr>
            </w:pPr>
            <w:r w:rsidRPr="00785400">
              <w:rPr>
                <w:rFonts w:ascii="Arial" w:hAnsi="Arial" w:cs="Arial"/>
                <w:b/>
                <w:bCs/>
                <w:lang w:val="en-US"/>
              </w:rPr>
              <w:t>Table 3. Risk Factors for Glucocorticoid-Inducted Diabetes</w:t>
            </w:r>
          </w:p>
        </w:tc>
      </w:tr>
      <w:tr w:rsidR="00002F76" w:rsidRPr="00A30B0F" w14:paraId="5E92DCFB" w14:textId="77777777" w:rsidTr="00785400">
        <w:tc>
          <w:tcPr>
            <w:tcW w:w="9016" w:type="dxa"/>
          </w:tcPr>
          <w:p w14:paraId="1F24B726"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Pre-existing type 1 or type 2 diabetes</w:t>
            </w:r>
          </w:p>
        </w:tc>
      </w:tr>
      <w:tr w:rsidR="00002F76" w:rsidRPr="00A30B0F" w14:paraId="50599A37" w14:textId="77777777" w:rsidTr="00785400">
        <w:tc>
          <w:tcPr>
            <w:tcW w:w="9016" w:type="dxa"/>
          </w:tcPr>
          <w:p w14:paraId="43348185"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Family history of diabetes</w:t>
            </w:r>
          </w:p>
        </w:tc>
      </w:tr>
      <w:tr w:rsidR="00002F76" w:rsidRPr="00A30B0F" w14:paraId="37D55D3E" w14:textId="77777777" w:rsidTr="00785400">
        <w:tc>
          <w:tcPr>
            <w:tcW w:w="9016" w:type="dxa"/>
          </w:tcPr>
          <w:p w14:paraId="187E1416"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Increasing age</w:t>
            </w:r>
          </w:p>
        </w:tc>
      </w:tr>
      <w:tr w:rsidR="00002F76" w:rsidRPr="00A30B0F" w14:paraId="7C3C687A" w14:textId="77777777" w:rsidTr="00785400">
        <w:tc>
          <w:tcPr>
            <w:tcW w:w="9016" w:type="dxa"/>
          </w:tcPr>
          <w:p w14:paraId="0F66F7C8"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Obesity</w:t>
            </w:r>
          </w:p>
        </w:tc>
      </w:tr>
      <w:tr w:rsidR="00002F76" w:rsidRPr="00A30B0F" w14:paraId="56B7129A" w14:textId="77777777" w:rsidTr="00785400">
        <w:tc>
          <w:tcPr>
            <w:tcW w:w="9016" w:type="dxa"/>
          </w:tcPr>
          <w:p w14:paraId="348112B2" w14:textId="77777777" w:rsidR="00002F76" w:rsidRPr="00A30B0F" w:rsidRDefault="00002F76" w:rsidP="00C96EE5">
            <w:pPr>
              <w:spacing w:line="276" w:lineRule="auto"/>
              <w:rPr>
                <w:rFonts w:ascii="Arial" w:hAnsi="Arial" w:cs="Arial"/>
                <w:b/>
                <w:lang w:val="en-US"/>
              </w:rPr>
            </w:pPr>
            <w:r w:rsidRPr="00A30B0F">
              <w:rPr>
                <w:rFonts w:ascii="Arial" w:hAnsi="Arial" w:cs="Arial"/>
                <w:lang w:val="en-US"/>
              </w:rPr>
              <w:t>Ethnic minorities</w:t>
            </w:r>
          </w:p>
        </w:tc>
      </w:tr>
      <w:tr w:rsidR="00002F76" w:rsidRPr="00A30B0F" w14:paraId="77B25418" w14:textId="77777777" w:rsidTr="00785400">
        <w:tc>
          <w:tcPr>
            <w:tcW w:w="9016" w:type="dxa"/>
          </w:tcPr>
          <w:p w14:paraId="485172EA" w14:textId="77777777" w:rsidR="00002F76" w:rsidRPr="00A30B0F" w:rsidRDefault="00002F76" w:rsidP="00C96EE5">
            <w:pPr>
              <w:autoSpaceDE w:val="0"/>
              <w:autoSpaceDN w:val="0"/>
              <w:adjustRightInd w:val="0"/>
              <w:spacing w:line="276" w:lineRule="auto"/>
              <w:rPr>
                <w:rFonts w:ascii="Arial" w:hAnsi="Arial" w:cs="Arial"/>
                <w:b/>
                <w:lang w:val="en-US"/>
              </w:rPr>
            </w:pPr>
            <w:r w:rsidRPr="00A30B0F">
              <w:rPr>
                <w:rFonts w:ascii="Arial" w:hAnsi="Arial" w:cs="Arial"/>
                <w:lang w:val="en-US"/>
              </w:rPr>
              <w:t>Impaired fasting glucose or impaired glucose tolerance</w:t>
            </w:r>
          </w:p>
        </w:tc>
      </w:tr>
      <w:tr w:rsidR="00002F76" w:rsidRPr="00A30B0F" w14:paraId="35A43D59" w14:textId="77777777" w:rsidTr="00785400">
        <w:tc>
          <w:tcPr>
            <w:tcW w:w="9016" w:type="dxa"/>
          </w:tcPr>
          <w:p w14:paraId="0F511BCD" w14:textId="77777777" w:rsidR="00002F76" w:rsidRPr="00A30B0F" w:rsidRDefault="00002F76" w:rsidP="00C96EE5">
            <w:pPr>
              <w:autoSpaceDE w:val="0"/>
              <w:autoSpaceDN w:val="0"/>
              <w:adjustRightInd w:val="0"/>
              <w:spacing w:line="276" w:lineRule="auto"/>
              <w:rPr>
                <w:rFonts w:ascii="Arial" w:hAnsi="Arial" w:cs="Arial"/>
                <w:b/>
                <w:lang w:val="en-US"/>
              </w:rPr>
            </w:pPr>
            <w:r w:rsidRPr="00A30B0F">
              <w:rPr>
                <w:rFonts w:ascii="Arial" w:hAnsi="Arial" w:cs="Arial"/>
                <w:lang w:val="en-US"/>
              </w:rPr>
              <w:t>Polycystic ovarian syndrome</w:t>
            </w:r>
          </w:p>
        </w:tc>
      </w:tr>
      <w:tr w:rsidR="00002F76" w:rsidRPr="00A30B0F" w14:paraId="3666792B" w14:textId="77777777" w:rsidTr="00785400">
        <w:tc>
          <w:tcPr>
            <w:tcW w:w="9016" w:type="dxa"/>
          </w:tcPr>
          <w:p w14:paraId="78D249CF" w14:textId="77777777" w:rsidR="00002F76" w:rsidRPr="00A30B0F" w:rsidRDefault="00002F76" w:rsidP="00C96EE5">
            <w:pPr>
              <w:autoSpaceDE w:val="0"/>
              <w:autoSpaceDN w:val="0"/>
              <w:adjustRightInd w:val="0"/>
              <w:spacing w:line="276" w:lineRule="auto"/>
              <w:rPr>
                <w:rFonts w:ascii="Arial" w:hAnsi="Arial" w:cs="Arial"/>
                <w:b/>
                <w:lang w:val="en-US"/>
              </w:rPr>
            </w:pPr>
            <w:r w:rsidRPr="00A30B0F">
              <w:rPr>
                <w:rFonts w:ascii="Arial" w:hAnsi="Arial" w:cs="Arial"/>
                <w:lang w:val="en-US"/>
              </w:rPr>
              <w:lastRenderedPageBreak/>
              <w:t>Previous gestational diabetes</w:t>
            </w:r>
          </w:p>
        </w:tc>
      </w:tr>
      <w:tr w:rsidR="00002F76" w:rsidRPr="00A30B0F" w14:paraId="731DFFC3" w14:textId="77777777" w:rsidTr="00785400">
        <w:tc>
          <w:tcPr>
            <w:tcW w:w="9016" w:type="dxa"/>
          </w:tcPr>
          <w:p w14:paraId="144340EA" w14:textId="733DF92D" w:rsidR="00002F76" w:rsidRPr="00785400" w:rsidRDefault="00002F76" w:rsidP="00C96EE5">
            <w:pPr>
              <w:autoSpaceDE w:val="0"/>
              <w:autoSpaceDN w:val="0"/>
              <w:adjustRightInd w:val="0"/>
              <w:spacing w:line="276" w:lineRule="auto"/>
              <w:rPr>
                <w:rFonts w:ascii="Arial" w:hAnsi="Arial" w:cs="Arial"/>
                <w:lang w:val="en-US"/>
              </w:rPr>
            </w:pPr>
            <w:r w:rsidRPr="00785400">
              <w:rPr>
                <w:rFonts w:ascii="Arial" w:hAnsi="Arial" w:cs="Arial"/>
                <w:lang w:val="en-US"/>
              </w:rPr>
              <w:t xml:space="preserve">Previous development of </w:t>
            </w:r>
            <w:r w:rsidR="00A4356B" w:rsidRPr="00785400">
              <w:rPr>
                <w:rFonts w:ascii="Arial" w:hAnsi="Arial" w:cs="Arial"/>
                <w:lang w:val="en-US"/>
              </w:rPr>
              <w:t>hyperglycemia</w:t>
            </w:r>
            <w:r w:rsidRPr="00785400">
              <w:rPr>
                <w:rFonts w:ascii="Arial" w:hAnsi="Arial" w:cs="Arial"/>
                <w:lang w:val="en-US"/>
              </w:rPr>
              <w:t xml:space="preserve"> on glucocorticoid therapy</w:t>
            </w:r>
          </w:p>
        </w:tc>
      </w:tr>
      <w:tr w:rsidR="00002F76" w:rsidRPr="00A30B0F" w14:paraId="02E58F33" w14:textId="77777777" w:rsidTr="00785400">
        <w:tc>
          <w:tcPr>
            <w:tcW w:w="9016" w:type="dxa"/>
          </w:tcPr>
          <w:p w14:paraId="60E9C2DD" w14:textId="640ACDDE" w:rsidR="00002F76" w:rsidRPr="00785400" w:rsidRDefault="00002F76" w:rsidP="00C96EE5">
            <w:pPr>
              <w:autoSpaceDE w:val="0"/>
              <w:autoSpaceDN w:val="0"/>
              <w:adjustRightInd w:val="0"/>
              <w:spacing w:line="276" w:lineRule="auto"/>
              <w:rPr>
                <w:rFonts w:ascii="Arial" w:hAnsi="Arial" w:cs="Arial"/>
                <w:lang w:val="en-US"/>
              </w:rPr>
            </w:pPr>
            <w:r w:rsidRPr="00785400">
              <w:rPr>
                <w:rFonts w:ascii="Arial" w:hAnsi="Arial" w:cs="Arial"/>
                <w:lang w:val="en-US"/>
              </w:rPr>
              <w:t xml:space="preserve">Concurrent cytotoxic therapy known to cause </w:t>
            </w:r>
            <w:r w:rsidR="00A4356B" w:rsidRPr="00785400">
              <w:rPr>
                <w:rFonts w:ascii="Arial" w:hAnsi="Arial" w:cs="Arial"/>
                <w:lang w:val="en-US"/>
              </w:rPr>
              <w:t>hyperglycemia</w:t>
            </w:r>
          </w:p>
        </w:tc>
      </w:tr>
    </w:tbl>
    <w:p w14:paraId="3BB3551E" w14:textId="77777777" w:rsidR="00002F76" w:rsidRPr="00A30B0F" w:rsidRDefault="00002F76" w:rsidP="00C96EE5">
      <w:pPr>
        <w:pStyle w:val="ListParagraph"/>
        <w:spacing w:after="0" w:line="276" w:lineRule="auto"/>
        <w:ind w:left="0"/>
        <w:rPr>
          <w:rFonts w:ascii="Arial" w:hAnsi="Arial" w:cs="Arial"/>
          <w:color w:val="FF0000"/>
          <w:lang w:val="en-US"/>
        </w:rPr>
      </w:pPr>
    </w:p>
    <w:p w14:paraId="31CA3E4B" w14:textId="0D94B44A" w:rsidR="00002F76" w:rsidRPr="00A30B0F" w:rsidRDefault="00715A14" w:rsidP="00C96EE5">
      <w:pPr>
        <w:pStyle w:val="Heading1"/>
        <w:spacing w:before="0" w:line="276" w:lineRule="auto"/>
        <w:rPr>
          <w:rFonts w:ascii="Arial" w:hAnsi="Arial" w:cs="Arial"/>
          <w:b/>
          <w:bCs/>
          <w:sz w:val="22"/>
          <w:szCs w:val="22"/>
          <w:lang w:val="en-US"/>
        </w:rPr>
      </w:pPr>
      <w:r w:rsidRPr="00A30B0F">
        <w:rPr>
          <w:rFonts w:ascii="Arial" w:hAnsi="Arial" w:cs="Arial"/>
          <w:b/>
          <w:bCs/>
          <w:sz w:val="22"/>
          <w:szCs w:val="22"/>
          <w:lang w:val="en-US"/>
        </w:rPr>
        <w:t>H</w:t>
      </w:r>
      <w:r w:rsidR="00785400">
        <w:rPr>
          <w:rFonts w:ascii="Arial" w:hAnsi="Arial" w:cs="Arial"/>
          <w:b/>
          <w:bCs/>
          <w:sz w:val="22"/>
          <w:szCs w:val="22"/>
          <w:lang w:val="en-US"/>
        </w:rPr>
        <w:t xml:space="preserve">YPOGYCEMIA IN PEOPLE ON SACT </w:t>
      </w:r>
    </w:p>
    <w:p w14:paraId="36C480C3" w14:textId="77777777" w:rsidR="00002F76" w:rsidRPr="00A30B0F" w:rsidRDefault="00002F76" w:rsidP="00C96EE5">
      <w:pPr>
        <w:spacing w:after="0" w:line="276" w:lineRule="auto"/>
        <w:rPr>
          <w:rFonts w:ascii="Arial" w:hAnsi="Arial" w:cs="Arial"/>
          <w:lang w:val="en-US"/>
        </w:rPr>
      </w:pPr>
    </w:p>
    <w:p w14:paraId="2B8C978D" w14:textId="2F087653" w:rsidR="00002F76" w:rsidRDefault="00002F76" w:rsidP="00C96EE5">
      <w:pPr>
        <w:spacing w:after="0" w:line="276" w:lineRule="auto"/>
        <w:rPr>
          <w:rFonts w:ascii="Arial" w:hAnsi="Arial" w:cs="Arial"/>
          <w:shd w:val="clear" w:color="auto" w:fill="FFFFFF"/>
          <w:lang w:val="en-US"/>
        </w:rPr>
      </w:pPr>
      <w:r w:rsidRPr="00785400">
        <w:rPr>
          <w:rFonts w:ascii="Arial" w:hAnsi="Arial" w:cs="Arial"/>
          <w:lang w:val="en-US"/>
        </w:rPr>
        <w:t xml:space="preserve">Although anti-cancer therapies and glucocorticoid use lead predominantly to </w:t>
      </w:r>
      <w:r w:rsidR="00A4356B" w:rsidRPr="00785400">
        <w:rPr>
          <w:rFonts w:ascii="Arial" w:hAnsi="Arial" w:cs="Arial"/>
          <w:lang w:val="en-US"/>
        </w:rPr>
        <w:t>hyperglycemia</w:t>
      </w:r>
      <w:r w:rsidRPr="00785400">
        <w:rPr>
          <w:rFonts w:ascii="Arial" w:hAnsi="Arial" w:cs="Arial"/>
          <w:lang w:val="en-US"/>
        </w:rPr>
        <w:t xml:space="preserve">, there are risks of </w:t>
      </w:r>
      <w:r w:rsidR="00715A14" w:rsidRPr="00785400">
        <w:rPr>
          <w:rFonts w:ascii="Arial" w:hAnsi="Arial" w:cs="Arial"/>
          <w:lang w:val="en-US"/>
        </w:rPr>
        <w:t>hypoglycemia</w:t>
      </w:r>
      <w:r w:rsidRPr="00785400">
        <w:rPr>
          <w:rFonts w:ascii="Arial" w:hAnsi="Arial" w:cs="Arial"/>
          <w:lang w:val="en-US"/>
        </w:rPr>
        <w:t xml:space="preserve"> that require consideration. </w:t>
      </w:r>
      <w:r w:rsidRPr="00785400">
        <w:rPr>
          <w:rFonts w:ascii="Arial" w:hAnsi="Arial" w:cs="Arial"/>
          <w:shd w:val="clear" w:color="auto" w:fill="FFFFFF"/>
          <w:lang w:val="en-US"/>
        </w:rPr>
        <w:t xml:space="preserve">People at risk of </w:t>
      </w:r>
      <w:r w:rsidR="00715A14" w:rsidRPr="00785400">
        <w:rPr>
          <w:rFonts w:ascii="Arial" w:hAnsi="Arial" w:cs="Arial"/>
          <w:shd w:val="clear" w:color="auto" w:fill="FFFFFF"/>
          <w:lang w:val="en-US"/>
        </w:rPr>
        <w:t>hypoglycemia</w:t>
      </w:r>
      <w:r w:rsidRPr="00785400">
        <w:rPr>
          <w:rFonts w:ascii="Arial" w:hAnsi="Arial" w:cs="Arial"/>
          <w:shd w:val="clear" w:color="auto" w:fill="FFFFFF"/>
          <w:lang w:val="en-US"/>
        </w:rPr>
        <w:t xml:space="preserve"> should be counselled on the signs and symptoms to be aware of, and of the requirement to inform the driver and vehicle licensing agency should they experience any episodes of </w:t>
      </w:r>
      <w:r w:rsidR="00715A14" w:rsidRPr="00785400">
        <w:rPr>
          <w:rFonts w:ascii="Arial" w:hAnsi="Arial" w:cs="Arial"/>
          <w:shd w:val="clear" w:color="auto" w:fill="FFFFFF"/>
          <w:lang w:val="en-US"/>
        </w:rPr>
        <w:t>hypoglycemia</w:t>
      </w:r>
      <w:r w:rsidRPr="00785400">
        <w:rPr>
          <w:rFonts w:ascii="Arial" w:hAnsi="Arial" w:cs="Arial"/>
          <w:shd w:val="clear" w:color="auto" w:fill="FFFFFF"/>
          <w:lang w:val="en-US"/>
        </w:rPr>
        <w:t xml:space="preserve"> requiring third party assistance. </w:t>
      </w:r>
    </w:p>
    <w:p w14:paraId="72B01209" w14:textId="77777777" w:rsidR="00C24CBA" w:rsidRPr="00785400" w:rsidRDefault="00C24CBA" w:rsidP="00C96EE5">
      <w:pPr>
        <w:spacing w:after="0" w:line="276" w:lineRule="auto"/>
        <w:rPr>
          <w:rFonts w:ascii="Arial" w:hAnsi="Arial" w:cs="Arial"/>
          <w:shd w:val="clear" w:color="auto" w:fill="FFFFFF"/>
          <w:lang w:val="en-US"/>
        </w:rPr>
      </w:pPr>
    </w:p>
    <w:p w14:paraId="4B9EC67A" w14:textId="67B0D2D6" w:rsidR="00002F76" w:rsidRPr="00785400" w:rsidRDefault="00002F76" w:rsidP="00C96EE5">
      <w:pPr>
        <w:spacing w:after="0" w:line="276" w:lineRule="auto"/>
        <w:rPr>
          <w:rFonts w:ascii="Arial" w:hAnsi="Arial" w:cs="Arial"/>
          <w:lang w:val="en-US"/>
        </w:rPr>
      </w:pPr>
      <w:r w:rsidRPr="00785400">
        <w:rPr>
          <w:rFonts w:ascii="Arial" w:hAnsi="Arial" w:cs="Arial"/>
          <w:lang w:val="en-US"/>
        </w:rPr>
        <w:t xml:space="preserve">Poor oral intake and nausea/vomiting from the underlying cancer or treatments put individuals at increased risk of </w:t>
      </w:r>
      <w:r w:rsidR="00715A14" w:rsidRPr="00785400">
        <w:rPr>
          <w:rFonts w:ascii="Arial" w:hAnsi="Arial" w:cs="Arial"/>
          <w:lang w:val="en-US"/>
        </w:rPr>
        <w:t>hypoglycemia</w:t>
      </w:r>
      <w:r w:rsidRPr="00785400">
        <w:rPr>
          <w:rFonts w:ascii="Arial" w:hAnsi="Arial" w:cs="Arial"/>
          <w:lang w:val="en-US"/>
        </w:rPr>
        <w:t xml:space="preserve">. Poor </w:t>
      </w:r>
      <w:r w:rsidR="00A4356B" w:rsidRPr="00785400">
        <w:rPr>
          <w:rFonts w:ascii="Arial" w:hAnsi="Arial" w:cs="Arial"/>
          <w:lang w:val="en-US"/>
        </w:rPr>
        <w:t>glycemic</w:t>
      </w:r>
      <w:r w:rsidRPr="00785400">
        <w:rPr>
          <w:rFonts w:ascii="Arial" w:hAnsi="Arial" w:cs="Arial"/>
          <w:lang w:val="en-US"/>
        </w:rPr>
        <w:t xml:space="preserve"> control can cause weight loss and precipitate nutrition impact symptoms (NIS) such as nausea, poor appetite</w:t>
      </w:r>
      <w:r w:rsidR="00C24CBA">
        <w:rPr>
          <w:rFonts w:ascii="Arial" w:hAnsi="Arial" w:cs="Arial"/>
          <w:lang w:val="en-US"/>
        </w:rPr>
        <w:t>,</w:t>
      </w:r>
      <w:r w:rsidRPr="00785400">
        <w:rPr>
          <w:rFonts w:ascii="Arial" w:hAnsi="Arial" w:cs="Arial"/>
          <w:lang w:val="en-US"/>
        </w:rPr>
        <w:t xml:space="preserve"> and altered bowel movements, further increasing the risks of </w:t>
      </w:r>
      <w:r w:rsidR="00715A14" w:rsidRPr="00785400">
        <w:rPr>
          <w:rFonts w:ascii="Arial" w:hAnsi="Arial" w:cs="Arial"/>
          <w:lang w:val="en-US"/>
        </w:rPr>
        <w:t>hypoglycemia</w:t>
      </w:r>
      <w:r w:rsidRPr="00785400">
        <w:rPr>
          <w:rFonts w:ascii="Arial" w:hAnsi="Arial" w:cs="Arial"/>
          <w:lang w:val="en-US"/>
        </w:rPr>
        <w:t xml:space="preserve">, particularly when dietary intake has been poor for some time. People with diabetes on an insulin secretagogue (sulfonylureas or meglitinides), or those on insulin, are also at higher risk of </w:t>
      </w:r>
      <w:r w:rsidR="00715A14" w:rsidRPr="00785400">
        <w:rPr>
          <w:rFonts w:ascii="Arial" w:hAnsi="Arial" w:cs="Arial"/>
          <w:lang w:val="en-US"/>
        </w:rPr>
        <w:t>hypoglycemia</w:t>
      </w:r>
      <w:r w:rsidRPr="00785400">
        <w:rPr>
          <w:rFonts w:ascii="Arial" w:hAnsi="Arial" w:cs="Arial"/>
          <w:lang w:val="en-US"/>
        </w:rPr>
        <w:t xml:space="preserve">. </w:t>
      </w:r>
    </w:p>
    <w:p w14:paraId="3EC3A35A" w14:textId="77777777" w:rsidR="00E60358" w:rsidRDefault="00E60358" w:rsidP="00C96EE5">
      <w:pPr>
        <w:spacing w:after="0" w:line="276" w:lineRule="auto"/>
        <w:rPr>
          <w:rFonts w:ascii="Arial" w:hAnsi="Arial" w:cs="Arial"/>
          <w:lang w:val="en-US"/>
        </w:rPr>
      </w:pPr>
    </w:p>
    <w:p w14:paraId="25311063" w14:textId="48855967" w:rsidR="00002F76" w:rsidRDefault="00002F76" w:rsidP="00C96EE5">
      <w:pPr>
        <w:spacing w:after="0" w:line="276" w:lineRule="auto"/>
        <w:rPr>
          <w:rFonts w:ascii="Arial" w:hAnsi="Arial" w:cs="Arial"/>
          <w:lang w:val="en-US"/>
        </w:rPr>
      </w:pPr>
      <w:r w:rsidRPr="00785400">
        <w:rPr>
          <w:rFonts w:ascii="Arial" w:hAnsi="Arial" w:cs="Arial"/>
          <w:lang w:val="en-US"/>
        </w:rPr>
        <w:t xml:space="preserve">In patients with end-stage metastatic disease, and shortened life expectancy, tight glucose control is not indicated, potentially placing individuals at unnecessary risk for </w:t>
      </w:r>
      <w:r w:rsidR="00715A14" w:rsidRPr="00785400">
        <w:rPr>
          <w:rFonts w:ascii="Arial" w:hAnsi="Arial" w:cs="Arial"/>
          <w:lang w:val="en-US"/>
        </w:rPr>
        <w:t>hypoglycemia</w:t>
      </w:r>
      <w:r w:rsidRPr="00785400">
        <w:rPr>
          <w:rFonts w:ascii="Arial" w:hAnsi="Arial" w:cs="Arial"/>
          <w:lang w:val="en-US"/>
        </w:rPr>
        <w:t xml:space="preserve">, particularly in those with a poor performance status &gt;2. Individual risk for </w:t>
      </w:r>
      <w:r w:rsidR="00715A14" w:rsidRPr="00785400">
        <w:rPr>
          <w:rFonts w:ascii="Arial" w:hAnsi="Arial" w:cs="Arial"/>
          <w:lang w:val="en-US"/>
        </w:rPr>
        <w:t>hypoglycemia</w:t>
      </w:r>
      <w:r w:rsidRPr="00785400">
        <w:rPr>
          <w:rFonts w:ascii="Arial" w:hAnsi="Arial" w:cs="Arial"/>
          <w:lang w:val="en-US"/>
        </w:rPr>
        <w:t xml:space="preserve"> and prognosis should be considered and recommended </w:t>
      </w:r>
      <w:r w:rsidR="00A4356B" w:rsidRPr="00785400">
        <w:rPr>
          <w:rFonts w:ascii="Arial" w:hAnsi="Arial" w:cs="Arial"/>
          <w:lang w:val="en-US"/>
        </w:rPr>
        <w:t>glycemic</w:t>
      </w:r>
      <w:r w:rsidRPr="00785400">
        <w:rPr>
          <w:rFonts w:ascii="Arial" w:hAnsi="Arial" w:cs="Arial"/>
          <w:lang w:val="en-US"/>
        </w:rPr>
        <w:t xml:space="preserve"> measurement targets are between 6.0 mmol/L – 15 mmol/L (108 – 225 mg/dl) </w:t>
      </w:r>
      <w:r w:rsidR="00C24CBA">
        <w:rPr>
          <w:rFonts w:ascii="Arial" w:hAnsi="Arial" w:cs="Arial"/>
          <w:lang w:val="en-US"/>
        </w:rPr>
        <w:t>(</w:t>
      </w:r>
      <w:r w:rsidRPr="00785400">
        <w:rPr>
          <w:rFonts w:ascii="Arial" w:hAnsi="Arial" w:cs="Arial"/>
          <w:noProof/>
          <w:lang w:val="en-US"/>
        </w:rPr>
        <w:t>117</w:t>
      </w:r>
      <w:r w:rsidR="00C24CBA">
        <w:rPr>
          <w:rFonts w:ascii="Arial" w:hAnsi="Arial" w:cs="Arial"/>
          <w:noProof/>
          <w:lang w:val="en-US"/>
        </w:rPr>
        <w:t>)</w:t>
      </w:r>
      <w:r w:rsidRPr="00785400">
        <w:rPr>
          <w:rFonts w:ascii="Arial" w:hAnsi="Arial" w:cs="Arial"/>
          <w:lang w:val="en-US"/>
        </w:rPr>
        <w:t>.</w:t>
      </w:r>
    </w:p>
    <w:p w14:paraId="3AB53FC5" w14:textId="77777777" w:rsidR="00C24CBA" w:rsidRPr="00785400" w:rsidRDefault="00C24CBA" w:rsidP="00C96EE5">
      <w:pPr>
        <w:spacing w:after="0" w:line="276" w:lineRule="auto"/>
        <w:rPr>
          <w:rFonts w:ascii="Arial" w:hAnsi="Arial" w:cs="Arial"/>
          <w:lang w:val="en-US"/>
        </w:rPr>
      </w:pPr>
    </w:p>
    <w:p w14:paraId="664E662D" w14:textId="004ECF53" w:rsidR="00002F76" w:rsidRDefault="00002F76" w:rsidP="00C96EE5">
      <w:pPr>
        <w:spacing w:after="0" w:line="276" w:lineRule="auto"/>
        <w:rPr>
          <w:rFonts w:ascii="Arial" w:hAnsi="Arial" w:cs="Arial"/>
          <w:lang w:val="en-US"/>
        </w:rPr>
      </w:pPr>
      <w:r w:rsidRPr="00785400">
        <w:rPr>
          <w:rFonts w:ascii="Arial" w:hAnsi="Arial" w:cs="Arial"/>
          <w:lang w:val="en-US"/>
        </w:rPr>
        <w:t xml:space="preserve">People with new onset ICPi-induced insulin deficiency often have labile glucose control </w:t>
      </w:r>
      <w:r w:rsidR="00C24CBA">
        <w:rPr>
          <w:rFonts w:ascii="Arial" w:hAnsi="Arial" w:cs="Arial"/>
          <w:lang w:val="en-US"/>
        </w:rPr>
        <w:t>(</w:t>
      </w:r>
      <w:r w:rsidRPr="00785400">
        <w:rPr>
          <w:rFonts w:ascii="Arial" w:hAnsi="Arial" w:cs="Arial"/>
          <w:noProof/>
          <w:lang w:val="en-US"/>
        </w:rPr>
        <w:t>99</w:t>
      </w:r>
      <w:r w:rsidR="00C24CBA">
        <w:rPr>
          <w:rFonts w:ascii="Arial" w:hAnsi="Arial" w:cs="Arial"/>
          <w:noProof/>
          <w:lang w:val="en-US"/>
        </w:rPr>
        <w:t>)</w:t>
      </w:r>
      <w:r w:rsidRPr="00785400">
        <w:rPr>
          <w:rFonts w:ascii="Arial" w:hAnsi="Arial" w:cs="Arial"/>
          <w:lang w:val="en-US"/>
        </w:rPr>
        <w:t xml:space="preserve">. More relaxed glucose targets may be required to avoid </w:t>
      </w:r>
      <w:r w:rsidR="00715A14" w:rsidRPr="00785400">
        <w:rPr>
          <w:rFonts w:ascii="Arial" w:hAnsi="Arial" w:cs="Arial"/>
          <w:lang w:val="en-US"/>
        </w:rPr>
        <w:t>hypoglycemia</w:t>
      </w:r>
      <w:r w:rsidRPr="00785400">
        <w:rPr>
          <w:rFonts w:ascii="Arial" w:hAnsi="Arial" w:cs="Arial"/>
          <w:lang w:val="en-US"/>
        </w:rPr>
        <w:t xml:space="preserve"> wherever possible. Immune checkpoint inhibitors can also induce hypopituitarism leading to secondary adrenal insufficiency. This may lead to </w:t>
      </w:r>
      <w:r w:rsidR="00715A14" w:rsidRPr="00785400">
        <w:rPr>
          <w:rFonts w:ascii="Arial" w:hAnsi="Arial" w:cs="Arial"/>
          <w:lang w:val="en-US"/>
        </w:rPr>
        <w:t>hypoglycemia</w:t>
      </w:r>
      <w:r w:rsidRPr="00785400">
        <w:rPr>
          <w:rFonts w:ascii="Arial" w:hAnsi="Arial" w:cs="Arial"/>
          <w:lang w:val="en-US"/>
        </w:rPr>
        <w:t xml:space="preserve"> (together with any of the following - </w:t>
      </w:r>
      <w:r w:rsidR="00715A14" w:rsidRPr="00785400">
        <w:rPr>
          <w:rFonts w:ascii="Arial" w:hAnsi="Arial" w:cs="Arial"/>
          <w:lang w:val="en-US"/>
        </w:rPr>
        <w:t>hyponatremia</w:t>
      </w:r>
      <w:r w:rsidRPr="00785400">
        <w:rPr>
          <w:rFonts w:ascii="Arial" w:hAnsi="Arial" w:cs="Arial"/>
          <w:lang w:val="en-US"/>
        </w:rPr>
        <w:t xml:space="preserve">, </w:t>
      </w:r>
      <w:r w:rsidR="00715A14" w:rsidRPr="00785400">
        <w:rPr>
          <w:rFonts w:ascii="Arial" w:hAnsi="Arial" w:cs="Arial"/>
          <w:lang w:val="en-US"/>
        </w:rPr>
        <w:t>hyperkalemia</w:t>
      </w:r>
      <w:r w:rsidRPr="00785400">
        <w:rPr>
          <w:rFonts w:ascii="Arial" w:hAnsi="Arial" w:cs="Arial"/>
          <w:lang w:val="en-US"/>
        </w:rPr>
        <w:t xml:space="preserve"> and hypotension). Adrenalitis leading to primary adrenal insufficiency is very rare. Presentation of adrenal insufficiency ranges from asymptomatic laboratory alterations to the acutely unwell, with management depending on the severity </w:t>
      </w:r>
      <w:r w:rsidR="00C24CBA">
        <w:rPr>
          <w:rFonts w:ascii="Arial" w:hAnsi="Arial" w:cs="Arial"/>
          <w:lang w:val="en-US"/>
        </w:rPr>
        <w:t>(</w:t>
      </w:r>
      <w:r w:rsidRPr="00785400">
        <w:rPr>
          <w:rFonts w:ascii="Arial" w:hAnsi="Arial" w:cs="Arial"/>
          <w:noProof/>
          <w:lang w:val="en-US"/>
        </w:rPr>
        <w:t>118</w:t>
      </w:r>
      <w:r w:rsidR="00C24CBA">
        <w:rPr>
          <w:rFonts w:ascii="Arial" w:hAnsi="Arial" w:cs="Arial"/>
          <w:noProof/>
          <w:lang w:val="en-US"/>
        </w:rPr>
        <w:t>)</w:t>
      </w:r>
      <w:r w:rsidRPr="00785400">
        <w:rPr>
          <w:rFonts w:ascii="Arial" w:hAnsi="Arial" w:cs="Arial"/>
          <w:lang w:val="en-US"/>
        </w:rPr>
        <w:t xml:space="preserve">. Other causes of adrenal or pituitary deficiency leading to </w:t>
      </w:r>
      <w:r w:rsidR="00715A14" w:rsidRPr="00785400">
        <w:rPr>
          <w:rFonts w:ascii="Arial" w:hAnsi="Arial" w:cs="Arial"/>
          <w:lang w:val="en-US"/>
        </w:rPr>
        <w:t>hypoglycemia</w:t>
      </w:r>
      <w:r w:rsidRPr="00785400">
        <w:rPr>
          <w:rFonts w:ascii="Arial" w:hAnsi="Arial" w:cs="Arial"/>
          <w:lang w:val="en-US"/>
        </w:rPr>
        <w:t xml:space="preserve"> include metastases at these sites, surgery, irradiation, azole class of anti-fungal medication, and inappropriate abrupt cessation of glucocorticoid medication.</w:t>
      </w:r>
    </w:p>
    <w:p w14:paraId="6A744731" w14:textId="77777777" w:rsidR="00C24CBA" w:rsidRPr="00785400" w:rsidRDefault="00C24CBA" w:rsidP="00C96EE5">
      <w:pPr>
        <w:spacing w:after="0" w:line="276" w:lineRule="auto"/>
        <w:rPr>
          <w:rFonts w:ascii="Arial" w:hAnsi="Arial" w:cs="Arial"/>
          <w:lang w:val="en-US"/>
        </w:rPr>
      </w:pPr>
    </w:p>
    <w:p w14:paraId="68B2BFBC" w14:textId="7BCBFF7D" w:rsidR="00002F76" w:rsidRDefault="00002F76" w:rsidP="00C96EE5">
      <w:pPr>
        <w:spacing w:after="0" w:line="276" w:lineRule="auto"/>
        <w:rPr>
          <w:rFonts w:ascii="Arial" w:hAnsi="Arial" w:cs="Arial"/>
          <w:shd w:val="clear" w:color="auto" w:fill="FFFFFF"/>
          <w:lang w:val="en-US"/>
        </w:rPr>
      </w:pPr>
      <w:r w:rsidRPr="00785400">
        <w:rPr>
          <w:rFonts w:ascii="Arial" w:hAnsi="Arial" w:cs="Arial"/>
          <w:lang w:val="en-US"/>
        </w:rPr>
        <w:t xml:space="preserve">In oncology patients being weaned from long-term steroids, glucose monitoring will need to be continued after glucocorticoid cessation, with doses of anti-diabetic treatments adjusted accordingly, and individuals advised on risks of </w:t>
      </w:r>
      <w:r w:rsidR="00715A14" w:rsidRPr="00785400">
        <w:rPr>
          <w:rFonts w:ascii="Arial" w:hAnsi="Arial" w:cs="Arial"/>
          <w:lang w:val="en-US"/>
        </w:rPr>
        <w:t>hypoglycemia</w:t>
      </w:r>
      <w:r w:rsidRPr="00785400">
        <w:rPr>
          <w:rFonts w:ascii="Arial" w:hAnsi="Arial" w:cs="Arial"/>
          <w:lang w:val="en-US"/>
        </w:rPr>
        <w:t xml:space="preserve">. </w:t>
      </w:r>
      <w:r w:rsidRPr="00785400">
        <w:rPr>
          <w:rFonts w:ascii="Arial" w:hAnsi="Arial" w:cs="Arial"/>
          <w:shd w:val="clear" w:color="auto" w:fill="FFFFFF"/>
          <w:lang w:val="en-US"/>
        </w:rPr>
        <w:t xml:space="preserve">Caution is also required whilst using certain </w:t>
      </w:r>
      <w:r w:rsidR="00A4356B" w:rsidRPr="00785400">
        <w:rPr>
          <w:rFonts w:ascii="Arial" w:hAnsi="Arial" w:cs="Arial"/>
          <w:shd w:val="clear" w:color="auto" w:fill="FFFFFF"/>
          <w:lang w:val="en-US"/>
        </w:rPr>
        <w:t>hematological</w:t>
      </w:r>
      <w:r w:rsidRPr="00785400">
        <w:rPr>
          <w:rFonts w:ascii="Arial" w:hAnsi="Arial" w:cs="Arial"/>
          <w:shd w:val="clear" w:color="auto" w:fill="FFFFFF"/>
          <w:lang w:val="en-US"/>
        </w:rPr>
        <w:t xml:space="preserve"> anti-cancer therapies, including lenalidomide</w:t>
      </w:r>
      <w:r w:rsidR="00C24CBA">
        <w:rPr>
          <w:rFonts w:ascii="Arial" w:hAnsi="Arial" w:cs="Arial"/>
          <w:shd w:val="clear" w:color="auto" w:fill="FFFFFF"/>
          <w:lang w:val="en-US"/>
        </w:rPr>
        <w:t xml:space="preserve"> (</w:t>
      </w:r>
      <w:r w:rsidRPr="00785400">
        <w:rPr>
          <w:rFonts w:ascii="Arial" w:hAnsi="Arial" w:cs="Arial"/>
          <w:noProof/>
          <w:shd w:val="clear" w:color="auto" w:fill="FFFFFF"/>
          <w:lang w:val="en-US"/>
        </w:rPr>
        <w:t>119</w:t>
      </w:r>
      <w:r w:rsidR="00C24CBA">
        <w:rPr>
          <w:rFonts w:ascii="Arial" w:hAnsi="Arial" w:cs="Arial"/>
          <w:noProof/>
          <w:shd w:val="clear" w:color="auto" w:fill="FFFFFF"/>
          <w:lang w:val="en-US"/>
        </w:rPr>
        <w:t>)</w:t>
      </w:r>
      <w:r w:rsidRPr="00785400">
        <w:rPr>
          <w:rFonts w:ascii="Arial" w:hAnsi="Arial" w:cs="Arial"/>
          <w:shd w:val="clear" w:color="auto" w:fill="FFFFFF"/>
          <w:lang w:val="en-US"/>
        </w:rPr>
        <w:t xml:space="preserve"> and</w:t>
      </w:r>
      <w:r w:rsidRPr="00A30B0F">
        <w:rPr>
          <w:rFonts w:ascii="Arial" w:hAnsi="Arial" w:cs="Arial"/>
          <w:shd w:val="clear" w:color="auto" w:fill="FFFFFF"/>
          <w:lang w:val="en-US"/>
        </w:rPr>
        <w:t xml:space="preserve"> </w:t>
      </w:r>
      <w:r w:rsidRPr="00C24CBA">
        <w:rPr>
          <w:rFonts w:ascii="Arial" w:hAnsi="Arial" w:cs="Arial"/>
          <w:shd w:val="clear" w:color="auto" w:fill="FFFFFF"/>
          <w:lang w:val="en-US"/>
        </w:rPr>
        <w:t>bortezomib</w:t>
      </w:r>
      <w:r w:rsidR="00C24CBA">
        <w:rPr>
          <w:rFonts w:ascii="Arial" w:hAnsi="Arial" w:cs="Arial"/>
          <w:shd w:val="clear" w:color="auto" w:fill="FFFFFF"/>
          <w:lang w:val="en-US"/>
        </w:rPr>
        <w:t xml:space="preserve"> (</w:t>
      </w:r>
      <w:r w:rsidRPr="00C24CBA">
        <w:rPr>
          <w:rFonts w:ascii="Arial" w:hAnsi="Arial" w:cs="Arial"/>
          <w:noProof/>
          <w:shd w:val="clear" w:color="auto" w:fill="FFFFFF"/>
          <w:lang w:val="en-US"/>
        </w:rPr>
        <w:t>120</w:t>
      </w:r>
      <w:r w:rsidR="00C24CBA">
        <w:rPr>
          <w:rFonts w:ascii="Arial" w:hAnsi="Arial" w:cs="Arial"/>
          <w:noProof/>
          <w:shd w:val="clear" w:color="auto" w:fill="FFFFFF"/>
          <w:lang w:val="en-US"/>
        </w:rPr>
        <w:t>)</w:t>
      </w:r>
      <w:r w:rsidRPr="00C24CBA">
        <w:rPr>
          <w:rFonts w:ascii="Arial" w:hAnsi="Arial" w:cs="Arial"/>
          <w:shd w:val="clear" w:color="auto" w:fill="FFFFFF"/>
          <w:lang w:val="en-US"/>
        </w:rPr>
        <w:t xml:space="preserve">, which can precipitate </w:t>
      </w:r>
      <w:r w:rsidR="00715A14" w:rsidRPr="00C24CBA">
        <w:rPr>
          <w:rFonts w:ascii="Arial" w:hAnsi="Arial" w:cs="Arial"/>
          <w:shd w:val="clear" w:color="auto" w:fill="FFFFFF"/>
          <w:lang w:val="en-US"/>
        </w:rPr>
        <w:t>hypoglycemia</w:t>
      </w:r>
      <w:r w:rsidRPr="00C24CBA">
        <w:rPr>
          <w:rFonts w:ascii="Arial" w:hAnsi="Arial" w:cs="Arial"/>
          <w:shd w:val="clear" w:color="auto" w:fill="FFFFFF"/>
          <w:lang w:val="en-US"/>
        </w:rPr>
        <w:t xml:space="preserve">, particularly in people with an underlying diagnosis of diabetes. </w:t>
      </w:r>
    </w:p>
    <w:p w14:paraId="5C154AFB" w14:textId="77777777" w:rsidR="00C24CBA" w:rsidRPr="00C24CBA" w:rsidRDefault="00C24CBA" w:rsidP="00C96EE5">
      <w:pPr>
        <w:spacing w:after="0" w:line="276" w:lineRule="auto"/>
        <w:rPr>
          <w:rFonts w:ascii="Arial" w:hAnsi="Arial" w:cs="Arial"/>
          <w:lang w:val="en-US"/>
        </w:rPr>
      </w:pPr>
    </w:p>
    <w:p w14:paraId="2C728503" w14:textId="7BA79D65" w:rsidR="00002F76" w:rsidRPr="00C24CBA" w:rsidRDefault="00002F76" w:rsidP="00C96EE5">
      <w:pPr>
        <w:spacing w:after="0" w:line="276" w:lineRule="auto"/>
        <w:rPr>
          <w:rFonts w:ascii="Arial" w:eastAsia="Times New Roman" w:hAnsi="Arial" w:cs="Arial"/>
          <w:shd w:val="clear" w:color="auto" w:fill="FFFFFF"/>
          <w:lang w:val="en-US" w:eastAsia="en-GB"/>
        </w:rPr>
      </w:pPr>
      <w:r w:rsidRPr="00C24CBA">
        <w:rPr>
          <w:rFonts w:ascii="Arial" w:hAnsi="Arial" w:cs="Arial"/>
          <w:lang w:val="en-US"/>
        </w:rPr>
        <w:t xml:space="preserve">All cancer patients at risk from </w:t>
      </w:r>
      <w:r w:rsidR="00715A14" w:rsidRPr="00C24CBA">
        <w:rPr>
          <w:rFonts w:ascii="Arial" w:hAnsi="Arial" w:cs="Arial"/>
          <w:lang w:val="en-US"/>
        </w:rPr>
        <w:t>hypoglycemia</w:t>
      </w:r>
      <w:r w:rsidRPr="00C24CBA">
        <w:rPr>
          <w:rFonts w:ascii="Arial" w:hAnsi="Arial" w:cs="Arial"/>
          <w:lang w:val="en-US"/>
        </w:rPr>
        <w:t xml:space="preserve"> should receive advice regarding appropriate treatment with </w:t>
      </w:r>
      <w:r w:rsidRPr="00C24CBA">
        <w:rPr>
          <w:rFonts w:ascii="Arial" w:eastAsia="Times New Roman" w:hAnsi="Arial" w:cs="Arial"/>
          <w:shd w:val="clear" w:color="auto" w:fill="FFFFFF"/>
          <w:lang w:val="en-US" w:eastAsia="en-GB"/>
        </w:rPr>
        <w:t xml:space="preserve">15–20 g of fast-acting carbohydrate, taken immediately </w:t>
      </w:r>
      <w:r w:rsidR="00C24CBA">
        <w:rPr>
          <w:rFonts w:ascii="Arial" w:eastAsia="Times New Roman" w:hAnsi="Arial" w:cs="Arial"/>
          <w:shd w:val="clear" w:color="auto" w:fill="FFFFFF"/>
          <w:lang w:val="en-US" w:eastAsia="en-GB"/>
        </w:rPr>
        <w:t>(</w:t>
      </w:r>
      <w:r w:rsidRPr="00C24CBA">
        <w:rPr>
          <w:rFonts w:ascii="Arial" w:eastAsia="Times New Roman" w:hAnsi="Arial" w:cs="Arial"/>
          <w:noProof/>
          <w:shd w:val="clear" w:color="auto" w:fill="FFFFFF"/>
          <w:lang w:val="en-US" w:eastAsia="en-GB"/>
        </w:rPr>
        <w:t>121</w:t>
      </w:r>
      <w:r w:rsidR="00C24CBA">
        <w:rPr>
          <w:rFonts w:ascii="Arial" w:eastAsia="Times New Roman" w:hAnsi="Arial" w:cs="Arial"/>
          <w:noProof/>
          <w:shd w:val="clear" w:color="auto" w:fill="FFFFFF"/>
          <w:lang w:val="en-US" w:eastAsia="en-GB"/>
        </w:rPr>
        <w:t>)</w:t>
      </w:r>
      <w:r w:rsidRPr="00C24CBA">
        <w:rPr>
          <w:rFonts w:ascii="Arial" w:eastAsia="Times New Roman" w:hAnsi="Arial" w:cs="Arial"/>
          <w:shd w:val="clear" w:color="auto" w:fill="FFFFFF"/>
          <w:lang w:val="en-US" w:eastAsia="en-GB"/>
        </w:rPr>
        <w:t xml:space="preserve">. Comprehensive guidelines from the Joint British Diabetes Societies for Inpatient Care on the management of </w:t>
      </w:r>
      <w:r w:rsidR="00715A14" w:rsidRPr="00C24CBA">
        <w:rPr>
          <w:rFonts w:ascii="Arial" w:eastAsia="Times New Roman" w:hAnsi="Arial" w:cs="Arial"/>
          <w:shd w:val="clear" w:color="auto" w:fill="FFFFFF"/>
          <w:lang w:val="en-US" w:eastAsia="en-GB"/>
        </w:rPr>
        <w:t>hypoglycemia</w:t>
      </w:r>
      <w:r w:rsidRPr="00C24CBA">
        <w:rPr>
          <w:rFonts w:ascii="Arial" w:eastAsia="Times New Roman" w:hAnsi="Arial" w:cs="Arial"/>
          <w:shd w:val="clear" w:color="auto" w:fill="FFFFFF"/>
          <w:lang w:val="en-US" w:eastAsia="en-GB"/>
        </w:rPr>
        <w:t xml:space="preserve"> can be found at this reference </w:t>
      </w:r>
      <w:r w:rsidR="00C24CBA">
        <w:rPr>
          <w:rFonts w:ascii="Arial" w:eastAsia="Times New Roman" w:hAnsi="Arial" w:cs="Arial"/>
          <w:shd w:val="clear" w:color="auto" w:fill="FFFFFF"/>
          <w:lang w:val="en-US" w:eastAsia="en-GB"/>
        </w:rPr>
        <w:t>(</w:t>
      </w:r>
      <w:r w:rsidRPr="00C24CBA">
        <w:rPr>
          <w:rFonts w:ascii="Arial" w:eastAsia="Times New Roman" w:hAnsi="Arial" w:cs="Arial"/>
          <w:noProof/>
          <w:shd w:val="clear" w:color="auto" w:fill="FFFFFF"/>
          <w:lang w:val="en-US" w:eastAsia="en-GB"/>
        </w:rPr>
        <w:t>122</w:t>
      </w:r>
      <w:r w:rsidR="00C24CBA">
        <w:rPr>
          <w:rFonts w:ascii="Arial" w:eastAsia="Times New Roman" w:hAnsi="Arial" w:cs="Arial"/>
          <w:noProof/>
          <w:shd w:val="clear" w:color="auto" w:fill="FFFFFF"/>
          <w:lang w:val="en-US" w:eastAsia="en-GB"/>
        </w:rPr>
        <w:t>)</w:t>
      </w:r>
      <w:r w:rsidRPr="00C24CBA">
        <w:rPr>
          <w:rFonts w:ascii="Arial" w:eastAsia="Times New Roman" w:hAnsi="Arial" w:cs="Arial"/>
          <w:shd w:val="clear" w:color="auto" w:fill="FFFFFF"/>
          <w:lang w:val="en-US" w:eastAsia="en-GB"/>
        </w:rPr>
        <w:t>.</w:t>
      </w:r>
    </w:p>
    <w:p w14:paraId="40658547" w14:textId="77777777" w:rsidR="00002F76" w:rsidRPr="00A30B0F" w:rsidRDefault="00002F76" w:rsidP="00C96EE5">
      <w:pPr>
        <w:spacing w:after="0" w:line="276" w:lineRule="auto"/>
        <w:rPr>
          <w:rFonts w:ascii="Arial" w:eastAsia="Times New Roman" w:hAnsi="Arial" w:cs="Arial"/>
          <w:shd w:val="clear" w:color="auto" w:fill="FFFFFF"/>
          <w:lang w:val="en-US" w:eastAsia="en-GB"/>
        </w:rPr>
      </w:pPr>
    </w:p>
    <w:p w14:paraId="11B6CFAF" w14:textId="3A082DD5" w:rsidR="00002F76" w:rsidRPr="00A30B0F" w:rsidRDefault="00002F76" w:rsidP="00C96EE5">
      <w:pPr>
        <w:pStyle w:val="Heading1"/>
        <w:spacing w:before="0" w:line="276" w:lineRule="auto"/>
        <w:rPr>
          <w:rFonts w:ascii="Arial" w:hAnsi="Arial" w:cs="Arial"/>
          <w:b/>
          <w:bCs/>
          <w:sz w:val="22"/>
          <w:szCs w:val="22"/>
          <w:lang w:val="en-US"/>
        </w:rPr>
      </w:pPr>
      <w:r w:rsidRPr="00A30B0F">
        <w:rPr>
          <w:rFonts w:ascii="Arial" w:hAnsi="Arial" w:cs="Arial"/>
          <w:b/>
          <w:bCs/>
          <w:sz w:val="22"/>
          <w:szCs w:val="22"/>
          <w:lang w:val="en-US"/>
        </w:rPr>
        <w:t>M</w:t>
      </w:r>
      <w:r w:rsidR="00C24CBA">
        <w:rPr>
          <w:rFonts w:ascii="Arial" w:hAnsi="Arial" w:cs="Arial"/>
          <w:b/>
          <w:bCs/>
          <w:sz w:val="22"/>
          <w:szCs w:val="22"/>
          <w:lang w:val="en-US"/>
        </w:rPr>
        <w:t xml:space="preserve">ANAGEMENT RECOMMENDATIONS </w:t>
      </w:r>
      <w:r w:rsidRPr="00A30B0F">
        <w:rPr>
          <w:rFonts w:ascii="Arial" w:hAnsi="Arial" w:cs="Arial"/>
          <w:b/>
          <w:bCs/>
          <w:sz w:val="22"/>
          <w:szCs w:val="22"/>
          <w:lang w:val="en-US"/>
        </w:rPr>
        <w:t xml:space="preserve"> </w:t>
      </w:r>
    </w:p>
    <w:p w14:paraId="2D4A2CB7" w14:textId="77777777" w:rsidR="00002F76" w:rsidRPr="00A30B0F" w:rsidRDefault="00002F76" w:rsidP="00C96EE5">
      <w:pPr>
        <w:pStyle w:val="NoSpacing"/>
        <w:spacing w:line="276" w:lineRule="auto"/>
        <w:rPr>
          <w:rFonts w:ascii="Arial" w:hAnsi="Arial" w:cs="Arial"/>
          <w:lang w:val="en-US"/>
        </w:rPr>
      </w:pPr>
    </w:p>
    <w:p w14:paraId="11A22E8B" w14:textId="4943AAE1" w:rsidR="00002F76" w:rsidRPr="00A30B0F" w:rsidRDefault="00002F76" w:rsidP="00C96EE5">
      <w:pPr>
        <w:spacing w:after="0" w:line="276" w:lineRule="auto"/>
        <w:rPr>
          <w:rFonts w:ascii="Arial" w:hAnsi="Arial" w:cs="Arial"/>
          <w:lang w:val="en-US"/>
        </w:rPr>
      </w:pPr>
      <w:r w:rsidRPr="00C24CBA">
        <w:rPr>
          <w:rFonts w:ascii="Arial" w:hAnsi="Arial" w:cs="Arial"/>
          <w:lang w:val="en-US"/>
        </w:rPr>
        <w:t xml:space="preserve">Despite the effects of hyper- and </w:t>
      </w:r>
      <w:r w:rsidR="00715A14" w:rsidRPr="00C24CBA">
        <w:rPr>
          <w:rFonts w:ascii="Arial" w:hAnsi="Arial" w:cs="Arial"/>
          <w:lang w:val="en-US"/>
        </w:rPr>
        <w:t>hypoglycemia</w:t>
      </w:r>
      <w:r w:rsidRPr="00C24CBA">
        <w:rPr>
          <w:rFonts w:ascii="Arial" w:hAnsi="Arial" w:cs="Arial"/>
          <w:lang w:val="en-US"/>
        </w:rPr>
        <w:t xml:space="preserve"> in people with diabetes (PWD) and those without known diabetes in cancer, there is a sparsity of guidance on the specific management considerations of these individuals. To address this, collaborative guidelines have recently been produced by the UK Chemotherapy Board (UKCB) and Joint British Diabetes Society for Inpatient Care (JBDS) </w:t>
      </w:r>
      <w:r w:rsidR="001E501A">
        <w:rPr>
          <w:rFonts w:ascii="Arial" w:hAnsi="Arial" w:cs="Arial"/>
          <w:lang w:val="en-US"/>
        </w:rPr>
        <w:t>(</w:t>
      </w:r>
      <w:r w:rsidRPr="00C24CBA">
        <w:rPr>
          <w:rFonts w:ascii="Arial" w:hAnsi="Arial" w:cs="Arial"/>
          <w:noProof/>
          <w:lang w:val="en-US"/>
        </w:rPr>
        <w:t>123, 124</w:t>
      </w:r>
      <w:r w:rsidR="001E501A">
        <w:rPr>
          <w:rFonts w:ascii="Arial" w:hAnsi="Arial" w:cs="Arial"/>
          <w:noProof/>
          <w:lang w:val="en-US"/>
        </w:rPr>
        <w:t>)</w:t>
      </w:r>
      <w:r w:rsidRPr="00C24CBA">
        <w:rPr>
          <w:rFonts w:ascii="Arial" w:hAnsi="Arial" w:cs="Arial"/>
          <w:lang w:val="en-US"/>
        </w:rPr>
        <w:t xml:space="preserve">. The scope of these guidelines </w:t>
      </w:r>
      <w:proofErr w:type="gramStart"/>
      <w:r w:rsidRPr="00C24CBA">
        <w:rPr>
          <w:rFonts w:ascii="Arial" w:hAnsi="Arial" w:cs="Arial"/>
          <w:lang w:val="en-US"/>
        </w:rPr>
        <w:t>are</w:t>
      </w:r>
      <w:proofErr w:type="gramEnd"/>
      <w:r w:rsidRPr="00C24CBA">
        <w:rPr>
          <w:rFonts w:ascii="Arial" w:hAnsi="Arial" w:cs="Arial"/>
          <w:lang w:val="en-US"/>
        </w:rPr>
        <w:t xml:space="preserve"> to provide advice for the oncology/</w:t>
      </w:r>
      <w:proofErr w:type="spellStart"/>
      <w:r w:rsidRPr="00C24CBA">
        <w:rPr>
          <w:rFonts w:ascii="Arial" w:hAnsi="Arial" w:cs="Arial"/>
          <w:lang w:val="en-US"/>
        </w:rPr>
        <w:t>hemato</w:t>
      </w:r>
      <w:proofErr w:type="spellEnd"/>
      <w:r w:rsidRPr="00C24CBA">
        <w:rPr>
          <w:rFonts w:ascii="Arial" w:hAnsi="Arial" w:cs="Arial"/>
          <w:lang w:val="en-US"/>
        </w:rPr>
        <w:t xml:space="preserve">-oncology and diabetes multidisciplinary teams to manage people with diabetes, commencing anti-cancer/ steroid therapy, as well as identifying individuals without a known diagnosis of diabetes who are at risk of developing </w:t>
      </w:r>
      <w:r w:rsidR="00A4356B" w:rsidRPr="00C24CBA">
        <w:rPr>
          <w:rFonts w:ascii="Arial" w:hAnsi="Arial" w:cs="Arial"/>
          <w:lang w:val="en-US"/>
        </w:rPr>
        <w:t>hyperglycemia</w:t>
      </w:r>
      <w:r w:rsidRPr="00C24CBA">
        <w:rPr>
          <w:rFonts w:ascii="Arial" w:hAnsi="Arial" w:cs="Arial"/>
          <w:lang w:val="en-US"/>
        </w:rPr>
        <w:t xml:space="preserve"> and new onset diabetes. These guidelines are intended for the outpatient management of people with cancer, particularly in the setting of the oncology/</w:t>
      </w:r>
      <w:proofErr w:type="spellStart"/>
      <w:r w:rsidRPr="00C24CBA">
        <w:rPr>
          <w:rFonts w:ascii="Arial" w:hAnsi="Arial" w:cs="Arial"/>
          <w:lang w:val="en-US"/>
        </w:rPr>
        <w:t>hemato</w:t>
      </w:r>
      <w:proofErr w:type="spellEnd"/>
      <w:r w:rsidRPr="00C24CBA">
        <w:rPr>
          <w:rFonts w:ascii="Arial" w:hAnsi="Arial" w:cs="Arial"/>
          <w:lang w:val="en-US"/>
        </w:rPr>
        <w:t xml:space="preserve">-oncology clinic, and provision of advice for individuals at home, but where necessary, may be applied to inpatients as well. Whilst covering these guidelines in detail is beyond the scope of this chapter, key management considerations are </w:t>
      </w:r>
      <w:r w:rsidR="00A4356B" w:rsidRPr="00C24CBA">
        <w:rPr>
          <w:rFonts w:ascii="Arial" w:hAnsi="Arial" w:cs="Arial"/>
          <w:lang w:val="en-US"/>
        </w:rPr>
        <w:t>summarized</w:t>
      </w:r>
      <w:r w:rsidRPr="00C24CBA">
        <w:rPr>
          <w:rFonts w:ascii="Arial" w:hAnsi="Arial" w:cs="Arial"/>
          <w:lang w:val="en-US"/>
        </w:rPr>
        <w:t xml:space="preserve"> in </w:t>
      </w:r>
      <w:r w:rsidR="001E501A" w:rsidRPr="001E501A">
        <w:rPr>
          <w:rFonts w:ascii="Arial" w:hAnsi="Arial" w:cs="Arial"/>
          <w:lang w:val="en-US"/>
        </w:rPr>
        <w:t>tables</w:t>
      </w:r>
      <w:r w:rsidRPr="001E501A">
        <w:rPr>
          <w:rFonts w:ascii="Arial" w:hAnsi="Arial" w:cs="Arial"/>
          <w:lang w:val="en-US"/>
        </w:rPr>
        <w:t xml:space="preserve"> </w:t>
      </w:r>
      <w:r w:rsidR="001E501A" w:rsidRPr="001E501A">
        <w:rPr>
          <w:rFonts w:ascii="Arial" w:hAnsi="Arial" w:cs="Arial"/>
          <w:lang w:val="en-US"/>
        </w:rPr>
        <w:t>4-9</w:t>
      </w:r>
      <w:r w:rsidRPr="00A30B0F">
        <w:rPr>
          <w:rFonts w:ascii="Arial" w:hAnsi="Arial" w:cs="Arial"/>
          <w:lang w:val="en-US"/>
        </w:rPr>
        <w:t>.</w:t>
      </w:r>
    </w:p>
    <w:p w14:paraId="15E0379B" w14:textId="77777777" w:rsidR="00002F76" w:rsidRPr="00A30B0F" w:rsidRDefault="00002F76" w:rsidP="00C96EE5">
      <w:pPr>
        <w:spacing w:after="0" w:line="276" w:lineRule="auto"/>
        <w:rPr>
          <w:rFonts w:ascii="Arial" w:hAnsi="Arial" w:cs="Arial"/>
          <w:lang w:val="en-US"/>
        </w:rPr>
      </w:pPr>
    </w:p>
    <w:tbl>
      <w:tblPr>
        <w:tblStyle w:val="TableGrid"/>
        <w:tblW w:w="0" w:type="auto"/>
        <w:tblLook w:val="04A0" w:firstRow="1" w:lastRow="0" w:firstColumn="1" w:lastColumn="0" w:noHBand="0" w:noVBand="1"/>
      </w:tblPr>
      <w:tblGrid>
        <w:gridCol w:w="9016"/>
      </w:tblGrid>
      <w:tr w:rsidR="001E501A" w14:paraId="3FBFE838" w14:textId="77777777" w:rsidTr="001E501A">
        <w:tc>
          <w:tcPr>
            <w:tcW w:w="9016" w:type="dxa"/>
            <w:shd w:val="clear" w:color="auto" w:fill="FFFF00"/>
          </w:tcPr>
          <w:p w14:paraId="02E25412" w14:textId="25EEA6A6" w:rsidR="001E501A" w:rsidRPr="001E501A" w:rsidRDefault="001E501A" w:rsidP="00C96EE5">
            <w:pPr>
              <w:spacing w:line="276" w:lineRule="auto"/>
              <w:rPr>
                <w:rFonts w:ascii="Arial" w:hAnsi="Arial" w:cs="Arial"/>
                <w:b/>
                <w:bCs/>
                <w:lang w:val="en-US"/>
              </w:rPr>
            </w:pPr>
            <w:r w:rsidRPr="001E501A">
              <w:rPr>
                <w:rFonts w:ascii="Arial" w:hAnsi="Arial" w:cs="Arial"/>
                <w:b/>
                <w:bCs/>
                <w:lang w:val="en-US"/>
              </w:rPr>
              <w:t>Table 4. At Baseline</w:t>
            </w:r>
          </w:p>
        </w:tc>
      </w:tr>
      <w:tr w:rsidR="001E501A" w14:paraId="69AA67A4" w14:textId="77777777" w:rsidTr="001E501A">
        <w:tc>
          <w:tcPr>
            <w:tcW w:w="9016" w:type="dxa"/>
          </w:tcPr>
          <w:p w14:paraId="2FEFF23D" w14:textId="77777777" w:rsidR="001E501A" w:rsidRPr="00BE4BD4" w:rsidRDefault="001E501A" w:rsidP="001E501A">
            <w:pPr>
              <w:pStyle w:val="ListParagraph"/>
              <w:numPr>
                <w:ilvl w:val="0"/>
                <w:numId w:val="31"/>
              </w:numPr>
              <w:spacing w:line="276" w:lineRule="auto"/>
              <w:jc w:val="both"/>
              <w:rPr>
                <w:rFonts w:ascii="Arial" w:hAnsi="Arial" w:cs="Arial"/>
              </w:rPr>
            </w:pPr>
            <w:r w:rsidRPr="00BE4BD4">
              <w:rPr>
                <w:rFonts w:ascii="Arial" w:hAnsi="Arial" w:cs="Arial"/>
              </w:rPr>
              <w:t>HbA</w:t>
            </w:r>
            <w:r w:rsidRPr="00BE4BD4">
              <w:rPr>
                <w:rFonts w:ascii="Arial" w:hAnsi="Arial" w:cs="Arial"/>
                <w:vertAlign w:val="subscript"/>
              </w:rPr>
              <w:t>1c</w:t>
            </w:r>
            <w:r w:rsidRPr="00BE4BD4" w:rsidDel="002064F6">
              <w:rPr>
                <w:rFonts w:ascii="Arial" w:hAnsi="Arial" w:cs="Arial"/>
              </w:rPr>
              <w:t xml:space="preserve"> </w:t>
            </w:r>
            <w:r w:rsidRPr="00BE4BD4">
              <w:rPr>
                <w:rFonts w:ascii="Arial" w:hAnsi="Arial" w:cs="Arial"/>
              </w:rPr>
              <w:t>and venous plasma glucose should be checked in all people with cancer at baseline clinic visit</w:t>
            </w:r>
          </w:p>
          <w:p w14:paraId="232CE9BA" w14:textId="77777777" w:rsidR="001E501A" w:rsidRPr="00BE4BD4" w:rsidRDefault="001E501A" w:rsidP="001E501A">
            <w:pPr>
              <w:pStyle w:val="ListParagraph"/>
              <w:numPr>
                <w:ilvl w:val="0"/>
                <w:numId w:val="31"/>
              </w:numPr>
              <w:spacing w:line="276" w:lineRule="auto"/>
              <w:jc w:val="both"/>
              <w:rPr>
                <w:rFonts w:ascii="Arial" w:hAnsi="Arial" w:cs="Arial"/>
              </w:rPr>
            </w:pPr>
            <w:r w:rsidRPr="00BE4BD4">
              <w:rPr>
                <w:rFonts w:ascii="Arial" w:hAnsi="Arial" w:cs="Arial"/>
              </w:rPr>
              <w:t>Provide high risk individuals with capillary blood glucose (CBG) meter and glucose testing strips, or if baseline plasma glucose is ≥12 mmol/L</w:t>
            </w:r>
            <w:r>
              <w:rPr>
                <w:rFonts w:ascii="Arial" w:hAnsi="Arial" w:cs="Arial"/>
              </w:rPr>
              <w:t xml:space="preserve"> (216 mg/dl)</w:t>
            </w:r>
          </w:p>
          <w:p w14:paraId="0D0F36B3" w14:textId="43FF61D0" w:rsidR="001E501A" w:rsidRPr="00BE4BD4" w:rsidRDefault="001E501A" w:rsidP="001E501A">
            <w:pPr>
              <w:pStyle w:val="ListParagraph"/>
              <w:numPr>
                <w:ilvl w:val="0"/>
                <w:numId w:val="31"/>
              </w:numPr>
              <w:spacing w:line="276" w:lineRule="auto"/>
              <w:jc w:val="both"/>
              <w:rPr>
                <w:rFonts w:ascii="Arial" w:hAnsi="Arial" w:cs="Arial"/>
              </w:rPr>
            </w:pPr>
            <w:r w:rsidRPr="00BE4BD4">
              <w:rPr>
                <w:rFonts w:ascii="Arial" w:hAnsi="Arial" w:cs="Arial"/>
              </w:rPr>
              <w:t>Individuals with raised baseline HbA</w:t>
            </w:r>
            <w:r w:rsidRPr="00BE4BD4">
              <w:rPr>
                <w:rFonts w:ascii="Arial" w:hAnsi="Arial" w:cs="Arial"/>
                <w:vertAlign w:val="subscript"/>
              </w:rPr>
              <w:t>1c</w:t>
            </w:r>
            <w:r w:rsidRPr="00BE4BD4" w:rsidDel="002064F6">
              <w:rPr>
                <w:rFonts w:ascii="Arial" w:hAnsi="Arial" w:cs="Arial"/>
              </w:rPr>
              <w:t xml:space="preserve"> </w:t>
            </w:r>
            <w:r w:rsidRPr="00BE4BD4">
              <w:rPr>
                <w:rFonts w:ascii="Arial" w:hAnsi="Arial" w:cs="Arial"/>
              </w:rPr>
              <w:t>(&gt;47 mmol/mol</w:t>
            </w:r>
            <w:r>
              <w:rPr>
                <w:rFonts w:ascii="Arial" w:hAnsi="Arial" w:cs="Arial"/>
              </w:rPr>
              <w:t xml:space="preserve"> [6.5%]</w:t>
            </w:r>
            <w:r w:rsidRPr="00BE4BD4">
              <w:rPr>
                <w:rFonts w:ascii="Arial" w:hAnsi="Arial" w:cs="Arial"/>
              </w:rPr>
              <w:t xml:space="preserve">) should be referred to primary care for management of </w:t>
            </w:r>
            <w:proofErr w:type="spellStart"/>
            <w:r w:rsidRPr="00BE4BD4">
              <w:rPr>
                <w:rFonts w:ascii="Arial" w:hAnsi="Arial" w:cs="Arial"/>
              </w:rPr>
              <w:t>hyperglycemia</w:t>
            </w:r>
            <w:proofErr w:type="spellEnd"/>
            <w:r w:rsidRPr="00BE4BD4">
              <w:rPr>
                <w:rFonts w:ascii="Arial" w:hAnsi="Arial" w:cs="Arial"/>
              </w:rPr>
              <w:t xml:space="preserve"> prior to next follow up visit</w:t>
            </w:r>
          </w:p>
          <w:p w14:paraId="1BB2385D" w14:textId="37584DDE" w:rsidR="001E501A" w:rsidRDefault="001E501A" w:rsidP="001E501A">
            <w:pPr>
              <w:pStyle w:val="ListParagraph"/>
              <w:numPr>
                <w:ilvl w:val="0"/>
                <w:numId w:val="31"/>
              </w:numPr>
              <w:spacing w:line="276" w:lineRule="auto"/>
              <w:jc w:val="both"/>
              <w:rPr>
                <w:rFonts w:ascii="Arial" w:hAnsi="Arial" w:cs="Arial"/>
              </w:rPr>
            </w:pPr>
            <w:r w:rsidRPr="00BE4BD4">
              <w:rPr>
                <w:rFonts w:ascii="Arial" w:hAnsi="Arial" w:cs="Arial"/>
              </w:rPr>
              <w:t xml:space="preserve">When initiating SACT/glucocorticoids individuals must be informed of the risk of developing </w:t>
            </w:r>
            <w:proofErr w:type="spellStart"/>
            <w:r w:rsidRPr="00BE4BD4">
              <w:rPr>
                <w:rFonts w:ascii="Arial" w:hAnsi="Arial" w:cs="Arial"/>
              </w:rPr>
              <w:t>hyperglycemia</w:t>
            </w:r>
            <w:proofErr w:type="spellEnd"/>
            <w:r w:rsidRPr="00BE4BD4">
              <w:rPr>
                <w:rFonts w:ascii="Arial" w:hAnsi="Arial" w:cs="Arial"/>
              </w:rPr>
              <w:t>/diabetes and potential symptoms to expect</w:t>
            </w:r>
          </w:p>
          <w:p w14:paraId="1F28F844" w14:textId="77777777" w:rsidR="001E501A" w:rsidRDefault="001E501A" w:rsidP="001E501A">
            <w:pPr>
              <w:pStyle w:val="ListParagraph"/>
              <w:numPr>
                <w:ilvl w:val="0"/>
                <w:numId w:val="31"/>
              </w:numPr>
              <w:spacing w:line="276" w:lineRule="auto"/>
              <w:jc w:val="both"/>
              <w:rPr>
                <w:rFonts w:ascii="Arial" w:hAnsi="Arial" w:cs="Arial"/>
              </w:rPr>
            </w:pPr>
            <w:r>
              <w:rPr>
                <w:rFonts w:ascii="Arial" w:hAnsi="Arial" w:cs="Arial"/>
              </w:rPr>
              <w:t xml:space="preserve">The recommended glucose target </w:t>
            </w:r>
            <w:r w:rsidRPr="003C2F6C">
              <w:rPr>
                <w:rFonts w:ascii="Arial" w:hAnsi="Arial" w:cs="Arial"/>
              </w:rPr>
              <w:t>level is 6.0-10.0 mmol/L</w:t>
            </w:r>
            <w:r>
              <w:rPr>
                <w:rFonts w:ascii="Arial" w:hAnsi="Arial" w:cs="Arial"/>
              </w:rPr>
              <w:t xml:space="preserve"> (108 – 180 mg/dl)</w:t>
            </w:r>
            <w:r w:rsidRPr="003C2F6C">
              <w:rPr>
                <w:rFonts w:ascii="Arial" w:hAnsi="Arial" w:cs="Arial"/>
              </w:rPr>
              <w:t>, allowing a range</w:t>
            </w:r>
            <w:r>
              <w:rPr>
                <w:rFonts w:ascii="Arial" w:hAnsi="Arial" w:cs="Arial"/>
              </w:rPr>
              <w:t xml:space="preserve"> of 6.0-12.0 mmol/L (108 – 216 mg/dl)</w:t>
            </w:r>
          </w:p>
          <w:p w14:paraId="403C703B" w14:textId="738826C1" w:rsidR="001E501A" w:rsidRDefault="001E501A" w:rsidP="00DE180E">
            <w:pPr>
              <w:pStyle w:val="ListParagraph"/>
              <w:numPr>
                <w:ilvl w:val="0"/>
                <w:numId w:val="31"/>
              </w:numPr>
              <w:spacing w:line="276" w:lineRule="auto"/>
              <w:jc w:val="both"/>
              <w:rPr>
                <w:rFonts w:ascii="Arial" w:hAnsi="Arial" w:cs="Arial"/>
                <w:lang w:val="en-US"/>
              </w:rPr>
            </w:pPr>
            <w:r>
              <w:rPr>
                <w:rFonts w:ascii="Arial" w:hAnsi="Arial" w:cs="Arial"/>
              </w:rPr>
              <w:t>T</w:t>
            </w:r>
            <w:r w:rsidRPr="002102B4">
              <w:rPr>
                <w:rFonts w:ascii="Arial" w:hAnsi="Arial" w:cs="Arial"/>
              </w:rPr>
              <w:t>here are differences in opinion at where the threshold for intervention should be drawn</w:t>
            </w:r>
            <w:r>
              <w:rPr>
                <w:rFonts w:ascii="Arial" w:hAnsi="Arial" w:cs="Arial"/>
              </w:rPr>
              <w:t xml:space="preserve"> - </w:t>
            </w:r>
            <w:r w:rsidRPr="002102B4">
              <w:rPr>
                <w:rFonts w:ascii="Arial" w:hAnsi="Arial" w:cs="Arial"/>
              </w:rPr>
              <w:t xml:space="preserve">12.0 mmol/L </w:t>
            </w:r>
            <w:r>
              <w:rPr>
                <w:rFonts w:ascii="Arial" w:hAnsi="Arial" w:cs="Arial"/>
              </w:rPr>
              <w:t xml:space="preserve">(216 mg/dl) </w:t>
            </w:r>
            <w:r w:rsidRPr="002102B4">
              <w:rPr>
                <w:rFonts w:ascii="Arial" w:hAnsi="Arial" w:cs="Arial"/>
              </w:rPr>
              <w:t>is a pragmatic threshold</w:t>
            </w:r>
          </w:p>
        </w:tc>
      </w:tr>
    </w:tbl>
    <w:p w14:paraId="55C1F61F" w14:textId="77777777" w:rsidR="00002F76" w:rsidRPr="00A30B0F" w:rsidRDefault="00002F76" w:rsidP="00C96EE5">
      <w:pPr>
        <w:spacing w:after="0" w:line="276" w:lineRule="auto"/>
        <w:rPr>
          <w:rFonts w:ascii="Arial" w:hAnsi="Arial" w:cs="Arial"/>
          <w:lang w:val="en-US"/>
        </w:rPr>
      </w:pPr>
    </w:p>
    <w:tbl>
      <w:tblPr>
        <w:tblStyle w:val="TableGrid"/>
        <w:tblW w:w="0" w:type="auto"/>
        <w:tblLook w:val="04A0" w:firstRow="1" w:lastRow="0" w:firstColumn="1" w:lastColumn="0" w:noHBand="0" w:noVBand="1"/>
      </w:tblPr>
      <w:tblGrid>
        <w:gridCol w:w="9016"/>
      </w:tblGrid>
      <w:tr w:rsidR="00DE180E" w14:paraId="1060E543" w14:textId="77777777" w:rsidTr="00DE180E">
        <w:tc>
          <w:tcPr>
            <w:tcW w:w="9016" w:type="dxa"/>
            <w:shd w:val="clear" w:color="auto" w:fill="FFFF00"/>
          </w:tcPr>
          <w:p w14:paraId="4AEA0F7C" w14:textId="2D041704" w:rsidR="00DE180E" w:rsidRPr="00DE180E" w:rsidRDefault="00DE180E" w:rsidP="00C96EE5">
            <w:pPr>
              <w:spacing w:line="276" w:lineRule="auto"/>
              <w:rPr>
                <w:rFonts w:ascii="Arial" w:hAnsi="Arial" w:cs="Arial"/>
                <w:b/>
                <w:bCs/>
                <w:lang w:val="en-US"/>
              </w:rPr>
            </w:pPr>
            <w:r w:rsidRPr="00DE180E">
              <w:rPr>
                <w:rFonts w:ascii="Arial" w:hAnsi="Arial" w:cs="Arial"/>
                <w:b/>
                <w:bCs/>
                <w:lang w:val="en-US"/>
              </w:rPr>
              <w:t>Table 5. Commencing Glucocorticoids (GC) /Systemic Anti-Cancer Therapy</w:t>
            </w:r>
          </w:p>
        </w:tc>
      </w:tr>
      <w:tr w:rsidR="00DE180E" w14:paraId="12681C30" w14:textId="77777777" w:rsidTr="00DE180E">
        <w:tc>
          <w:tcPr>
            <w:tcW w:w="9016" w:type="dxa"/>
          </w:tcPr>
          <w:p w14:paraId="3A99BA39" w14:textId="77777777" w:rsidR="00DE180E" w:rsidRPr="001270E8" w:rsidRDefault="00DE180E" w:rsidP="00DE180E">
            <w:pPr>
              <w:pStyle w:val="ListParagraph"/>
              <w:numPr>
                <w:ilvl w:val="0"/>
                <w:numId w:val="32"/>
              </w:numPr>
              <w:spacing w:line="276" w:lineRule="auto"/>
              <w:jc w:val="both"/>
              <w:rPr>
                <w:rFonts w:ascii="Arial" w:hAnsi="Arial" w:cs="Arial"/>
              </w:rPr>
            </w:pPr>
            <w:r w:rsidRPr="001270E8">
              <w:rPr>
                <w:rFonts w:ascii="Arial" w:hAnsi="Arial" w:cs="Arial"/>
              </w:rPr>
              <w:t>Check baseline HbA</w:t>
            </w:r>
            <w:r w:rsidRPr="001270E8">
              <w:rPr>
                <w:rFonts w:ascii="Arial" w:hAnsi="Arial" w:cs="Arial"/>
                <w:vertAlign w:val="subscript"/>
              </w:rPr>
              <w:t>1c</w:t>
            </w:r>
            <w:r w:rsidRPr="001270E8">
              <w:rPr>
                <w:rFonts w:ascii="Arial" w:hAnsi="Arial" w:cs="Arial"/>
              </w:rPr>
              <w:t xml:space="preserve"> and random venous plasma glucose before starting therapy</w:t>
            </w:r>
          </w:p>
          <w:p w14:paraId="3689E2B1" w14:textId="77777777" w:rsidR="00DE180E" w:rsidRPr="001270E8" w:rsidRDefault="00DE180E" w:rsidP="00DE180E">
            <w:pPr>
              <w:pStyle w:val="ListParagraph"/>
              <w:numPr>
                <w:ilvl w:val="0"/>
                <w:numId w:val="32"/>
              </w:numPr>
              <w:spacing w:line="276" w:lineRule="auto"/>
              <w:jc w:val="both"/>
              <w:rPr>
                <w:rFonts w:ascii="Arial" w:hAnsi="Arial" w:cs="Arial"/>
              </w:rPr>
            </w:pPr>
            <w:r w:rsidRPr="001270E8">
              <w:rPr>
                <w:rFonts w:ascii="Arial" w:hAnsi="Arial" w:cs="Arial"/>
              </w:rPr>
              <w:t>Monitor random plasma glucose at each treatment visit</w:t>
            </w:r>
          </w:p>
          <w:p w14:paraId="62CA6CCD" w14:textId="485C2D0D" w:rsidR="00DE180E" w:rsidRPr="001270E8" w:rsidRDefault="00DE180E" w:rsidP="00DE180E">
            <w:pPr>
              <w:pStyle w:val="ListParagraph"/>
              <w:numPr>
                <w:ilvl w:val="0"/>
                <w:numId w:val="32"/>
              </w:numPr>
              <w:spacing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0E8">
              <w:rPr>
                <w:rFonts w:ascii="Arial" w:hAnsi="Arial" w:cs="Arial"/>
              </w:rPr>
              <w:t xml:space="preserve">Educate patients in symptoms of </w:t>
            </w:r>
            <w:proofErr w:type="spellStart"/>
            <w:r w:rsidRPr="001270E8">
              <w:rPr>
                <w:rFonts w:ascii="Arial" w:hAnsi="Arial" w:cs="Arial"/>
              </w:rPr>
              <w:t>hyperglycemia</w:t>
            </w:r>
            <w:proofErr w:type="spellEnd"/>
          </w:p>
          <w:p w14:paraId="0ABCDFC6" w14:textId="77777777" w:rsidR="00DE180E" w:rsidRPr="001270E8" w:rsidRDefault="00DE180E" w:rsidP="00DE180E">
            <w:pPr>
              <w:pStyle w:val="ListParagraph"/>
              <w:numPr>
                <w:ilvl w:val="0"/>
                <w:numId w:val="32"/>
              </w:numPr>
              <w:spacing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0E8">
              <w:rPr>
                <w:rFonts w:ascii="Arial" w:hAnsi="Arial" w:cs="Arial"/>
              </w:rPr>
              <w:t xml:space="preserve">Consider commencing gliclazide 40mg if raised blood glucose ≥12mmol/L </w:t>
            </w:r>
            <w:r>
              <w:rPr>
                <w:rFonts w:ascii="Arial" w:hAnsi="Arial" w:cs="Arial"/>
              </w:rPr>
              <w:t xml:space="preserve">(216 mg/dl) </w:t>
            </w:r>
            <w:r w:rsidRPr="001270E8">
              <w:rPr>
                <w:rFonts w:ascii="Arial" w:hAnsi="Arial" w:cs="Arial"/>
              </w:rPr>
              <w:t>on two occasions</w:t>
            </w:r>
          </w:p>
          <w:p w14:paraId="0AE1669B" w14:textId="77777777" w:rsidR="00DE180E" w:rsidRPr="001270E8" w:rsidRDefault="00DE180E" w:rsidP="00DE180E">
            <w:pPr>
              <w:pStyle w:val="ListParagraph"/>
              <w:numPr>
                <w:ilvl w:val="0"/>
                <w:numId w:val="32"/>
              </w:numPr>
              <w:spacing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0E8">
              <w:rPr>
                <w:rFonts w:ascii="Arial" w:hAnsi="Arial" w:cs="Arial"/>
              </w:rPr>
              <w:t>Gliclazide may require frequent and significant increases in dose to reduce glucose levels, particularly on high dose steroids</w:t>
            </w:r>
          </w:p>
          <w:p w14:paraId="0429FA37" w14:textId="77777777" w:rsidR="00DE180E" w:rsidRPr="001270E8" w:rsidRDefault="00DE180E" w:rsidP="00DE180E">
            <w:pPr>
              <w:pStyle w:val="ListParagraph"/>
              <w:numPr>
                <w:ilvl w:val="0"/>
                <w:numId w:val="32"/>
              </w:numPr>
              <w:spacing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0E8">
              <w:rPr>
                <w:rFonts w:ascii="Arial" w:hAnsi="Arial" w:cs="Arial"/>
              </w:rPr>
              <w:t>Inform diabetes care provider if persistently raised blood glucose</w:t>
            </w:r>
          </w:p>
          <w:p w14:paraId="7047ED50" w14:textId="1557120D" w:rsidR="00DE180E" w:rsidRDefault="00DE180E" w:rsidP="00DE180E">
            <w:pPr>
              <w:pStyle w:val="ListParagraph"/>
              <w:numPr>
                <w:ilvl w:val="0"/>
                <w:numId w:val="31"/>
              </w:numPr>
              <w:spacing w:line="276" w:lineRule="auto"/>
              <w:jc w:val="both"/>
              <w:rPr>
                <w:rFonts w:ascii="Arial" w:hAnsi="Arial" w:cs="Arial"/>
                <w:lang w:val="en-US"/>
              </w:rPr>
            </w:pPr>
            <w:r w:rsidRPr="001270E8">
              <w:rPr>
                <w:rFonts w:ascii="Arial" w:hAnsi="Arial" w:cs="Arial"/>
              </w:rPr>
              <w:t>If blood glucose is ≥20mmol/L</w:t>
            </w:r>
            <w:r>
              <w:rPr>
                <w:rFonts w:ascii="Arial" w:hAnsi="Arial" w:cs="Arial"/>
              </w:rPr>
              <w:t xml:space="preserve"> (360 mg/dl)</w:t>
            </w:r>
            <w:r w:rsidRPr="001270E8">
              <w:rPr>
                <w:rFonts w:ascii="Arial" w:hAnsi="Arial" w:cs="Arial"/>
              </w:rPr>
              <w:t>, rule out DKA/HHS</w:t>
            </w:r>
          </w:p>
        </w:tc>
      </w:tr>
    </w:tbl>
    <w:p w14:paraId="0D0BE1AD" w14:textId="77777777" w:rsidR="00002F76" w:rsidRPr="00A30B0F" w:rsidRDefault="00002F76" w:rsidP="00C96EE5">
      <w:pPr>
        <w:spacing w:after="0" w:line="276" w:lineRule="auto"/>
        <w:rPr>
          <w:rFonts w:ascii="Arial" w:hAnsi="Arial" w:cs="Arial"/>
          <w:lang w:val="en-US"/>
        </w:rPr>
      </w:pPr>
    </w:p>
    <w:tbl>
      <w:tblPr>
        <w:tblStyle w:val="TableGrid"/>
        <w:tblW w:w="0" w:type="auto"/>
        <w:tblLook w:val="04A0" w:firstRow="1" w:lastRow="0" w:firstColumn="1" w:lastColumn="0" w:noHBand="0" w:noVBand="1"/>
      </w:tblPr>
      <w:tblGrid>
        <w:gridCol w:w="9016"/>
      </w:tblGrid>
      <w:tr w:rsidR="00031C9F" w14:paraId="0A669D21" w14:textId="77777777" w:rsidTr="00031C9F">
        <w:tc>
          <w:tcPr>
            <w:tcW w:w="9016" w:type="dxa"/>
            <w:shd w:val="clear" w:color="auto" w:fill="FFFF00"/>
          </w:tcPr>
          <w:p w14:paraId="2427153D" w14:textId="16772CFD" w:rsidR="00031C9F" w:rsidRDefault="00031C9F" w:rsidP="00C96EE5">
            <w:pPr>
              <w:pStyle w:val="Heading2"/>
              <w:spacing w:before="0" w:after="0" w:line="276" w:lineRule="auto"/>
              <w:outlineLvl w:val="1"/>
              <w:rPr>
                <w:rFonts w:ascii="Arial" w:hAnsi="Arial" w:cs="Arial"/>
                <w:sz w:val="22"/>
                <w:szCs w:val="22"/>
                <w:lang w:val="en-US"/>
              </w:rPr>
            </w:pPr>
            <w:r>
              <w:rPr>
                <w:rFonts w:ascii="Arial" w:hAnsi="Arial" w:cs="Arial"/>
                <w:sz w:val="22"/>
                <w:szCs w:val="22"/>
                <w:lang w:val="en-US"/>
              </w:rPr>
              <w:t xml:space="preserve">Table 6. </w:t>
            </w:r>
            <w:r w:rsidRPr="00031C9F">
              <w:rPr>
                <w:rFonts w:ascii="Arial" w:hAnsi="Arial" w:cs="Arial"/>
                <w:sz w:val="22"/>
                <w:szCs w:val="22"/>
                <w:lang w:val="en-US"/>
              </w:rPr>
              <w:t>Commencing Immune Checkpoint Inhibitors (ICP)</w:t>
            </w:r>
          </w:p>
        </w:tc>
      </w:tr>
      <w:tr w:rsidR="00031C9F" w14:paraId="1FEA0C9C" w14:textId="77777777" w:rsidTr="00031C9F">
        <w:tc>
          <w:tcPr>
            <w:tcW w:w="9016" w:type="dxa"/>
          </w:tcPr>
          <w:p w14:paraId="3CC0A764" w14:textId="3F023D10" w:rsidR="00031C9F" w:rsidRPr="001270E8" w:rsidRDefault="00031C9F" w:rsidP="00031C9F">
            <w:pPr>
              <w:pStyle w:val="ListParagraph"/>
              <w:numPr>
                <w:ilvl w:val="0"/>
                <w:numId w:val="32"/>
              </w:numPr>
              <w:spacing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0E8">
              <w:rPr>
                <w:rFonts w:ascii="Arial" w:hAnsi="Arial" w:cs="Arial"/>
              </w:rPr>
              <w:t xml:space="preserve">Educate patients </w:t>
            </w:r>
            <w:r>
              <w:rPr>
                <w:rFonts w:ascii="Arial" w:hAnsi="Arial" w:cs="Arial"/>
              </w:rPr>
              <w:t xml:space="preserve">to be aware of </w:t>
            </w:r>
            <w:r w:rsidRPr="001270E8">
              <w:rPr>
                <w:rFonts w:ascii="Arial" w:hAnsi="Arial" w:cs="Arial"/>
              </w:rPr>
              <w:t xml:space="preserve">symptoms of </w:t>
            </w:r>
            <w:proofErr w:type="spellStart"/>
            <w:r w:rsidRPr="001270E8">
              <w:rPr>
                <w:rFonts w:ascii="Arial" w:hAnsi="Arial" w:cs="Arial"/>
              </w:rPr>
              <w:t>hyperglycemia</w:t>
            </w:r>
            <w:proofErr w:type="spellEnd"/>
          </w:p>
          <w:p w14:paraId="45E26F69" w14:textId="77777777" w:rsidR="00031C9F" w:rsidRDefault="00031C9F" w:rsidP="00031C9F">
            <w:pPr>
              <w:pStyle w:val="ListParagraph"/>
              <w:numPr>
                <w:ilvl w:val="0"/>
                <w:numId w:val="32"/>
              </w:numPr>
              <w:spacing w:line="276" w:lineRule="auto"/>
              <w:jc w:val="both"/>
              <w:rPr>
                <w:rFonts w:ascii="Arial" w:hAnsi="Arial" w:cs="Arial"/>
              </w:rPr>
            </w:pPr>
            <w:r>
              <w:rPr>
                <w:rFonts w:ascii="Arial" w:hAnsi="Arial" w:cs="Arial"/>
              </w:rPr>
              <w:t xml:space="preserve">Rule out DKA or HHS which often occurs precipitously </w:t>
            </w:r>
          </w:p>
          <w:p w14:paraId="1AD8DEF2" w14:textId="77777777" w:rsidR="00031C9F" w:rsidRDefault="00031C9F" w:rsidP="00031C9F">
            <w:pPr>
              <w:pStyle w:val="ListParagraph"/>
              <w:numPr>
                <w:ilvl w:val="0"/>
                <w:numId w:val="32"/>
              </w:numPr>
              <w:spacing w:line="276" w:lineRule="auto"/>
              <w:jc w:val="both"/>
              <w:rPr>
                <w:rFonts w:ascii="Arial" w:hAnsi="Arial" w:cs="Arial"/>
              </w:rPr>
            </w:pPr>
            <w:r>
              <w:rPr>
                <w:rFonts w:ascii="Arial" w:hAnsi="Arial" w:cs="Arial"/>
              </w:rPr>
              <w:lastRenderedPageBreak/>
              <w:t>Withhold ICP if evidence of ICP-induced diabetes emergency. Once patient has been regulated with insulin substitution, consider restarting ICP</w:t>
            </w:r>
          </w:p>
          <w:p w14:paraId="1DA6B7E8" w14:textId="154E1963" w:rsidR="00031C9F" w:rsidRDefault="00031C9F" w:rsidP="00031C9F">
            <w:pPr>
              <w:pStyle w:val="ListParagraph"/>
              <w:numPr>
                <w:ilvl w:val="0"/>
                <w:numId w:val="31"/>
              </w:numPr>
              <w:spacing w:line="276" w:lineRule="auto"/>
              <w:jc w:val="both"/>
              <w:rPr>
                <w:rFonts w:ascii="Arial" w:hAnsi="Arial" w:cs="Arial"/>
                <w:lang w:val="en-US"/>
              </w:rPr>
            </w:pPr>
            <w:r w:rsidRPr="00483573">
              <w:rPr>
                <w:rFonts w:ascii="Arial" w:hAnsi="Arial" w:cs="Arial"/>
              </w:rPr>
              <w:t>Almost all patients require insulin therapy – refer urgently to diabetes team</w:t>
            </w:r>
          </w:p>
        </w:tc>
      </w:tr>
    </w:tbl>
    <w:p w14:paraId="7E29D862" w14:textId="32543F6B" w:rsidR="00031C9F" w:rsidRDefault="00031C9F" w:rsidP="00C96EE5">
      <w:pPr>
        <w:pStyle w:val="Heading2"/>
        <w:spacing w:before="0" w:after="0" w:line="276" w:lineRule="auto"/>
        <w:rPr>
          <w:rFonts w:ascii="Arial" w:hAnsi="Arial" w:cs="Arial"/>
          <w:sz w:val="22"/>
          <w:szCs w:val="22"/>
          <w:lang w:val="en-US"/>
        </w:rPr>
      </w:pPr>
    </w:p>
    <w:tbl>
      <w:tblPr>
        <w:tblStyle w:val="TableGrid"/>
        <w:tblW w:w="0" w:type="auto"/>
        <w:tblLook w:val="04A0" w:firstRow="1" w:lastRow="0" w:firstColumn="1" w:lastColumn="0" w:noHBand="0" w:noVBand="1"/>
      </w:tblPr>
      <w:tblGrid>
        <w:gridCol w:w="9016"/>
      </w:tblGrid>
      <w:tr w:rsidR="003F5774" w14:paraId="0D09A7F6" w14:textId="77777777" w:rsidTr="003F5774">
        <w:tc>
          <w:tcPr>
            <w:tcW w:w="9016" w:type="dxa"/>
            <w:shd w:val="clear" w:color="auto" w:fill="FFFF00"/>
          </w:tcPr>
          <w:p w14:paraId="1DA99018" w14:textId="02A61306" w:rsidR="003F5774" w:rsidRPr="003F5774" w:rsidRDefault="003F5774" w:rsidP="003F5774">
            <w:pPr>
              <w:rPr>
                <w:rFonts w:ascii="Arial" w:hAnsi="Arial" w:cs="Arial"/>
                <w:b/>
                <w:bCs/>
                <w:lang w:val="en-US"/>
              </w:rPr>
            </w:pPr>
            <w:r w:rsidRPr="003F5774">
              <w:rPr>
                <w:rFonts w:ascii="Arial" w:hAnsi="Arial" w:cs="Arial"/>
                <w:b/>
                <w:bCs/>
                <w:lang w:val="en-US"/>
              </w:rPr>
              <w:t>Table 7. Managing Nausea and Vomiting</w:t>
            </w:r>
          </w:p>
        </w:tc>
      </w:tr>
      <w:tr w:rsidR="003F5774" w14:paraId="4F2E0AF7" w14:textId="77777777" w:rsidTr="003F5774">
        <w:tc>
          <w:tcPr>
            <w:tcW w:w="9016" w:type="dxa"/>
          </w:tcPr>
          <w:p w14:paraId="540CCF21" w14:textId="107EECB0" w:rsidR="003F5774" w:rsidRPr="00483573" w:rsidRDefault="003F5774" w:rsidP="003F5774">
            <w:pPr>
              <w:pStyle w:val="ListParagraph"/>
              <w:numPr>
                <w:ilvl w:val="0"/>
                <w:numId w:val="32"/>
              </w:numPr>
              <w:spacing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rPr>
              <w:t xml:space="preserve">People with diabetes should be made aware of likely exacerbation of </w:t>
            </w:r>
            <w:proofErr w:type="spellStart"/>
            <w:r>
              <w:rPr>
                <w:rFonts w:ascii="Arial" w:hAnsi="Arial" w:cs="Arial"/>
              </w:rPr>
              <w:t>hyperglycemia</w:t>
            </w:r>
            <w:proofErr w:type="spellEnd"/>
            <w:r>
              <w:rPr>
                <w:rFonts w:ascii="Arial" w:hAnsi="Arial" w:cs="Arial"/>
              </w:rPr>
              <w:t xml:space="preserve"> whilst on anti-emetic therapy</w:t>
            </w:r>
          </w:p>
          <w:p w14:paraId="0A730DD1" w14:textId="5DAFDFA4" w:rsidR="003F5774" w:rsidRDefault="003F5774" w:rsidP="003F5774">
            <w:pPr>
              <w:pStyle w:val="ListParagraph"/>
              <w:numPr>
                <w:ilvl w:val="0"/>
                <w:numId w:val="32"/>
              </w:numPr>
              <w:spacing w:line="276" w:lineRule="auto"/>
              <w:jc w:val="both"/>
              <w:rPr>
                <w:rFonts w:ascii="Arial" w:hAnsi="Arial" w:cs="Arial"/>
              </w:rPr>
            </w:pPr>
            <w:r>
              <w:rPr>
                <w:rFonts w:ascii="Arial" w:hAnsi="Arial" w:cs="Arial"/>
              </w:rPr>
              <w:t xml:space="preserve">People with diabetes receiving emetogenic chemotherapy should be offered an NK1 antagonist (e.g., </w:t>
            </w:r>
            <w:proofErr w:type="spellStart"/>
            <w:r>
              <w:rPr>
                <w:rFonts w:ascii="Arial" w:hAnsi="Arial" w:cs="Arial"/>
              </w:rPr>
              <w:t>aprepitant</w:t>
            </w:r>
            <w:proofErr w:type="spellEnd"/>
            <w:r>
              <w:rPr>
                <w:rFonts w:ascii="Arial" w:hAnsi="Arial" w:cs="Arial"/>
              </w:rPr>
              <w:t>) with a long acting 5HT3 inhibitor (e.g., ondansetron)</w:t>
            </w:r>
          </w:p>
          <w:p w14:paraId="467D4788" w14:textId="3F237F41" w:rsidR="003F5774" w:rsidRDefault="003F5774" w:rsidP="003F5774">
            <w:pPr>
              <w:pStyle w:val="ListParagraph"/>
              <w:numPr>
                <w:ilvl w:val="0"/>
                <w:numId w:val="32"/>
              </w:numPr>
              <w:spacing w:line="276" w:lineRule="auto"/>
              <w:jc w:val="both"/>
              <w:rPr>
                <w:lang w:val="en-US"/>
              </w:rPr>
            </w:pPr>
            <w:r>
              <w:rPr>
                <w:rFonts w:ascii="Arial" w:hAnsi="Arial" w:cs="Arial"/>
              </w:rPr>
              <w:t xml:space="preserve">Consider the use of a GC in the first cycle and reduce doses or withdraw completely based on the PWD’s emetic control and on blood glucose management </w:t>
            </w:r>
          </w:p>
        </w:tc>
      </w:tr>
    </w:tbl>
    <w:p w14:paraId="6511BCF1" w14:textId="748A57EB" w:rsidR="003F5774" w:rsidRDefault="003F5774" w:rsidP="003F5774">
      <w:pPr>
        <w:rPr>
          <w:lang w:val="en-US"/>
        </w:rPr>
      </w:pPr>
    </w:p>
    <w:tbl>
      <w:tblPr>
        <w:tblStyle w:val="TableGrid"/>
        <w:tblW w:w="0" w:type="auto"/>
        <w:tblLook w:val="04A0" w:firstRow="1" w:lastRow="0" w:firstColumn="1" w:lastColumn="0" w:noHBand="0" w:noVBand="1"/>
      </w:tblPr>
      <w:tblGrid>
        <w:gridCol w:w="9016"/>
      </w:tblGrid>
      <w:tr w:rsidR="003F5774" w14:paraId="2246D9CA" w14:textId="77777777" w:rsidTr="00F0758C">
        <w:tc>
          <w:tcPr>
            <w:tcW w:w="9016" w:type="dxa"/>
            <w:shd w:val="clear" w:color="auto" w:fill="FFFF00"/>
          </w:tcPr>
          <w:p w14:paraId="038862E7" w14:textId="59082204" w:rsidR="003F5774" w:rsidRPr="00F0758C" w:rsidRDefault="00F0758C" w:rsidP="003F5774">
            <w:pPr>
              <w:rPr>
                <w:rFonts w:ascii="Arial" w:hAnsi="Arial" w:cs="Arial"/>
                <w:b/>
                <w:bCs/>
                <w:lang w:val="en-US"/>
              </w:rPr>
            </w:pPr>
            <w:r w:rsidRPr="00F0758C">
              <w:rPr>
                <w:rFonts w:ascii="Arial" w:hAnsi="Arial" w:cs="Arial"/>
                <w:b/>
                <w:bCs/>
                <w:lang w:val="en-US"/>
              </w:rPr>
              <w:t xml:space="preserve">Table 8. For </w:t>
            </w:r>
            <w:r>
              <w:rPr>
                <w:rFonts w:ascii="Arial" w:hAnsi="Arial" w:cs="Arial"/>
                <w:b/>
                <w:bCs/>
                <w:lang w:val="en-US"/>
              </w:rPr>
              <w:t>N</w:t>
            </w:r>
            <w:r w:rsidRPr="00F0758C">
              <w:rPr>
                <w:rFonts w:ascii="Arial" w:hAnsi="Arial" w:cs="Arial"/>
                <w:b/>
                <w:bCs/>
                <w:lang w:val="en-US"/>
              </w:rPr>
              <w:t>on-</w:t>
            </w:r>
            <w:r>
              <w:rPr>
                <w:rFonts w:ascii="Arial" w:hAnsi="Arial" w:cs="Arial"/>
                <w:b/>
                <w:bCs/>
                <w:lang w:val="en-US"/>
              </w:rPr>
              <w:t>I</w:t>
            </w:r>
            <w:r w:rsidRPr="00F0758C">
              <w:rPr>
                <w:rFonts w:ascii="Arial" w:hAnsi="Arial" w:cs="Arial"/>
                <w:b/>
                <w:bCs/>
                <w:lang w:val="en-US"/>
              </w:rPr>
              <w:t>nsulin-</w:t>
            </w:r>
            <w:r>
              <w:rPr>
                <w:rFonts w:ascii="Arial" w:hAnsi="Arial" w:cs="Arial"/>
                <w:b/>
                <w:bCs/>
                <w:lang w:val="en-US"/>
              </w:rPr>
              <w:t>T</w:t>
            </w:r>
            <w:r w:rsidRPr="00F0758C">
              <w:rPr>
                <w:rFonts w:ascii="Arial" w:hAnsi="Arial" w:cs="Arial"/>
                <w:b/>
                <w:bCs/>
                <w:lang w:val="en-US"/>
              </w:rPr>
              <w:t xml:space="preserve">reated </w:t>
            </w:r>
            <w:r>
              <w:rPr>
                <w:rFonts w:ascii="Arial" w:hAnsi="Arial" w:cs="Arial"/>
                <w:b/>
                <w:bCs/>
                <w:lang w:val="en-US"/>
              </w:rPr>
              <w:t>I</w:t>
            </w:r>
            <w:r w:rsidRPr="00F0758C">
              <w:rPr>
                <w:rFonts w:ascii="Arial" w:hAnsi="Arial" w:cs="Arial"/>
                <w:b/>
                <w:bCs/>
                <w:lang w:val="en-US"/>
              </w:rPr>
              <w:t xml:space="preserve">ndividuals with </w:t>
            </w:r>
            <w:r>
              <w:rPr>
                <w:rFonts w:ascii="Arial" w:hAnsi="Arial" w:cs="Arial"/>
                <w:b/>
                <w:bCs/>
                <w:lang w:val="en-US"/>
              </w:rPr>
              <w:t>T</w:t>
            </w:r>
            <w:r w:rsidRPr="00F0758C">
              <w:rPr>
                <w:rFonts w:ascii="Arial" w:hAnsi="Arial" w:cs="Arial"/>
                <w:b/>
                <w:bCs/>
                <w:lang w:val="en-US"/>
              </w:rPr>
              <w:t xml:space="preserve">ype 2 </w:t>
            </w:r>
            <w:r>
              <w:rPr>
                <w:rFonts w:ascii="Arial" w:hAnsi="Arial" w:cs="Arial"/>
                <w:b/>
                <w:bCs/>
                <w:lang w:val="en-US"/>
              </w:rPr>
              <w:t>D</w:t>
            </w:r>
            <w:r w:rsidRPr="00F0758C">
              <w:rPr>
                <w:rFonts w:ascii="Arial" w:hAnsi="Arial" w:cs="Arial"/>
                <w:b/>
                <w:bCs/>
                <w:lang w:val="en-US"/>
              </w:rPr>
              <w:t>iabetes</w:t>
            </w:r>
          </w:p>
        </w:tc>
      </w:tr>
      <w:tr w:rsidR="003F5774" w14:paraId="7A04BBDE" w14:textId="77777777" w:rsidTr="003F5774">
        <w:tc>
          <w:tcPr>
            <w:tcW w:w="9016" w:type="dxa"/>
          </w:tcPr>
          <w:p w14:paraId="2AA6AF11" w14:textId="77777777" w:rsidR="00F0758C" w:rsidRPr="001270E8" w:rsidRDefault="00F0758C" w:rsidP="00F0758C">
            <w:pPr>
              <w:pStyle w:val="ListParagraph"/>
              <w:numPr>
                <w:ilvl w:val="0"/>
                <w:numId w:val="32"/>
              </w:numPr>
              <w:spacing w:line="276" w:lineRule="auto"/>
              <w:jc w:val="both"/>
              <w:rPr>
                <w:rFonts w:ascii="Arial" w:hAnsi="Arial" w:cs="Arial"/>
              </w:rPr>
            </w:pPr>
            <w:r w:rsidRPr="001270E8">
              <w:rPr>
                <w:rFonts w:ascii="Arial" w:hAnsi="Arial" w:cs="Arial"/>
              </w:rPr>
              <w:t>Check baseline HbA</w:t>
            </w:r>
            <w:r w:rsidRPr="001270E8">
              <w:rPr>
                <w:rFonts w:ascii="Arial" w:hAnsi="Arial" w:cs="Arial"/>
                <w:vertAlign w:val="subscript"/>
              </w:rPr>
              <w:t>1c</w:t>
            </w:r>
            <w:r w:rsidRPr="001270E8">
              <w:rPr>
                <w:rFonts w:ascii="Arial" w:hAnsi="Arial" w:cs="Arial"/>
              </w:rPr>
              <w:t xml:space="preserve"> and random venous plasma glucose before starting therapy</w:t>
            </w:r>
          </w:p>
          <w:p w14:paraId="5796EEC0" w14:textId="77777777" w:rsidR="00F0758C" w:rsidRPr="001270E8" w:rsidRDefault="00F0758C" w:rsidP="00F0758C">
            <w:pPr>
              <w:pStyle w:val="ListParagraph"/>
              <w:numPr>
                <w:ilvl w:val="0"/>
                <w:numId w:val="32"/>
              </w:numPr>
              <w:spacing w:line="276" w:lineRule="auto"/>
              <w:jc w:val="both"/>
              <w:rPr>
                <w:rFonts w:ascii="Arial" w:hAnsi="Arial" w:cs="Arial"/>
              </w:rPr>
            </w:pPr>
            <w:r w:rsidRPr="001270E8">
              <w:rPr>
                <w:rFonts w:ascii="Arial" w:hAnsi="Arial" w:cs="Arial"/>
              </w:rPr>
              <w:t>Monitor random plasma glucose at each treatment visit</w:t>
            </w:r>
          </w:p>
          <w:p w14:paraId="545211D7" w14:textId="03242E5F" w:rsidR="00F0758C" w:rsidRPr="001459F6" w:rsidRDefault="00F0758C" w:rsidP="00F0758C">
            <w:pPr>
              <w:pStyle w:val="ListParagraph"/>
              <w:numPr>
                <w:ilvl w:val="0"/>
                <w:numId w:val="32"/>
              </w:numPr>
              <w:spacing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0E8">
              <w:rPr>
                <w:rFonts w:ascii="Arial" w:hAnsi="Arial" w:cs="Arial"/>
              </w:rPr>
              <w:t xml:space="preserve">Educate patients in symptoms of </w:t>
            </w:r>
            <w:proofErr w:type="spellStart"/>
            <w:r w:rsidRPr="001270E8">
              <w:rPr>
                <w:rFonts w:ascii="Arial" w:hAnsi="Arial" w:cs="Arial"/>
              </w:rPr>
              <w:t>hyperglycemia</w:t>
            </w:r>
            <w:proofErr w:type="spellEnd"/>
          </w:p>
          <w:p w14:paraId="6B8359FE" w14:textId="71669D02" w:rsidR="00F0758C" w:rsidRDefault="00F0758C" w:rsidP="00F0758C">
            <w:pPr>
              <w:pStyle w:val="ListParagraph"/>
              <w:numPr>
                <w:ilvl w:val="0"/>
                <w:numId w:val="32"/>
              </w:numPr>
              <w:spacing w:line="276" w:lineRule="auto"/>
              <w:jc w:val="both"/>
              <w:rPr>
                <w:rFonts w:ascii="Arial" w:hAnsi="Arial" w:cs="Arial"/>
              </w:rPr>
            </w:pPr>
            <w:r>
              <w:rPr>
                <w:rFonts w:ascii="Arial" w:hAnsi="Arial" w:cs="Arial"/>
              </w:rPr>
              <w:t xml:space="preserve">If plasma glucose is </w:t>
            </w:r>
            <w:r w:rsidRPr="003C2F6C">
              <w:rPr>
                <w:rFonts w:ascii="Arial" w:hAnsi="Arial" w:cs="Arial"/>
              </w:rPr>
              <w:t xml:space="preserve">≥12 mmol/L </w:t>
            </w:r>
            <w:r>
              <w:rPr>
                <w:rFonts w:ascii="Arial" w:hAnsi="Arial" w:cs="Arial"/>
              </w:rPr>
              <w:t xml:space="preserve">(216 mg/dl) </w:t>
            </w:r>
            <w:r w:rsidRPr="003C2F6C">
              <w:rPr>
                <w:rFonts w:ascii="Arial" w:hAnsi="Arial" w:cs="Arial"/>
              </w:rPr>
              <w:t>on two occasions</w:t>
            </w:r>
            <w:r>
              <w:rPr>
                <w:rFonts w:ascii="Arial" w:hAnsi="Arial" w:cs="Arial"/>
              </w:rPr>
              <w:t xml:space="preserve">, screen for symptoms of </w:t>
            </w:r>
            <w:proofErr w:type="spellStart"/>
            <w:r>
              <w:rPr>
                <w:rFonts w:ascii="Arial" w:hAnsi="Arial" w:cs="Arial"/>
              </w:rPr>
              <w:t>hyperglycemia</w:t>
            </w:r>
            <w:proofErr w:type="spellEnd"/>
            <w:r>
              <w:rPr>
                <w:rFonts w:ascii="Arial" w:hAnsi="Arial" w:cs="Arial"/>
              </w:rPr>
              <w:t xml:space="preserve"> and ketonuria/ketonemia</w:t>
            </w:r>
          </w:p>
          <w:p w14:paraId="29204CE7" w14:textId="08A23869" w:rsidR="00F0758C" w:rsidRDefault="00F0758C" w:rsidP="00F0758C">
            <w:pPr>
              <w:pStyle w:val="ListParagraph"/>
              <w:numPr>
                <w:ilvl w:val="0"/>
                <w:numId w:val="32"/>
              </w:numPr>
              <w:spacing w:line="276" w:lineRule="auto"/>
              <w:jc w:val="both"/>
              <w:rPr>
                <w:rFonts w:ascii="Arial" w:hAnsi="Arial" w:cs="Arial"/>
              </w:rPr>
            </w:pPr>
            <w:r>
              <w:rPr>
                <w:rFonts w:ascii="Arial" w:hAnsi="Arial" w:cs="Arial"/>
              </w:rPr>
              <w:t>In</w:t>
            </w:r>
            <w:r w:rsidRPr="003C2F6C">
              <w:rPr>
                <w:rFonts w:ascii="Arial" w:hAnsi="Arial" w:cs="Arial"/>
              </w:rPr>
              <w:t xml:space="preserve"> individual</w:t>
            </w:r>
            <w:r>
              <w:rPr>
                <w:rFonts w:ascii="Arial" w:hAnsi="Arial" w:cs="Arial"/>
              </w:rPr>
              <w:t>s</w:t>
            </w:r>
            <w:r w:rsidRPr="003C2F6C">
              <w:rPr>
                <w:rFonts w:ascii="Arial" w:hAnsi="Arial" w:cs="Arial"/>
              </w:rPr>
              <w:t xml:space="preserve"> already on a </w:t>
            </w:r>
            <w:proofErr w:type="spellStart"/>
            <w:r w:rsidRPr="003C2F6C">
              <w:rPr>
                <w:rFonts w:ascii="Arial" w:hAnsi="Arial" w:cs="Arial"/>
              </w:rPr>
              <w:t>sulphonyurea</w:t>
            </w:r>
            <w:proofErr w:type="spellEnd"/>
            <w:r w:rsidRPr="003C2F6C">
              <w:rPr>
                <w:rFonts w:ascii="Arial" w:hAnsi="Arial" w:cs="Arial"/>
              </w:rPr>
              <w:t xml:space="preserve"> such as gliclazide or </w:t>
            </w:r>
            <w:r>
              <w:rPr>
                <w:rFonts w:ascii="Arial" w:eastAsia="Times New Roman" w:hAnsi="Arial" w:cs="Arial"/>
                <w:color w:val="000000"/>
              </w:rPr>
              <w:t>meglitinides</w:t>
            </w:r>
            <w:r w:rsidRPr="003C2F6C">
              <w:rPr>
                <w:rFonts w:ascii="Arial" w:hAnsi="Arial" w:cs="Arial"/>
              </w:rPr>
              <w:t>, up</w:t>
            </w:r>
            <w:r>
              <w:rPr>
                <w:rFonts w:ascii="Arial" w:hAnsi="Arial" w:cs="Arial"/>
              </w:rPr>
              <w:t>-</w:t>
            </w:r>
            <w:r w:rsidRPr="003C2F6C">
              <w:rPr>
                <w:rFonts w:ascii="Arial" w:hAnsi="Arial" w:cs="Arial"/>
              </w:rPr>
              <w:t>titrate</w:t>
            </w:r>
            <w:r>
              <w:rPr>
                <w:rFonts w:ascii="Arial" w:hAnsi="Arial" w:cs="Arial"/>
              </w:rPr>
              <w:t xml:space="preserve"> morning dose of gliclazide to a maximum doses of 240 mg. Ev</w:t>
            </w:r>
            <w:r w:rsidRPr="003C2F6C">
              <w:rPr>
                <w:rFonts w:ascii="Arial" w:hAnsi="Arial" w:cs="Arial"/>
              </w:rPr>
              <w:t>ening dose of gliclazide may be initiated to achieve a maximum daily dose of 320 mg</w:t>
            </w:r>
          </w:p>
          <w:p w14:paraId="5732F57C" w14:textId="77777777" w:rsidR="00F0758C" w:rsidRDefault="00F0758C" w:rsidP="00F0758C">
            <w:pPr>
              <w:pStyle w:val="ListParagraph"/>
              <w:numPr>
                <w:ilvl w:val="0"/>
                <w:numId w:val="32"/>
              </w:numPr>
              <w:spacing w:line="276" w:lineRule="auto"/>
              <w:jc w:val="both"/>
              <w:rPr>
                <w:rFonts w:ascii="Arial" w:hAnsi="Arial" w:cs="Arial"/>
              </w:rPr>
            </w:pPr>
            <w:r w:rsidRPr="001459F6">
              <w:rPr>
                <w:rFonts w:ascii="Arial" w:hAnsi="Arial" w:cs="Arial"/>
              </w:rPr>
              <w:t>Insulin therapy may be required</w:t>
            </w:r>
          </w:p>
          <w:p w14:paraId="131DD1C2" w14:textId="50F43689" w:rsidR="003F5774" w:rsidRDefault="00F0758C" w:rsidP="00F0758C">
            <w:pPr>
              <w:pStyle w:val="ListParagraph"/>
              <w:numPr>
                <w:ilvl w:val="0"/>
                <w:numId w:val="32"/>
              </w:numPr>
              <w:spacing w:line="276" w:lineRule="auto"/>
              <w:jc w:val="both"/>
              <w:rPr>
                <w:lang w:val="en-US"/>
              </w:rPr>
            </w:pPr>
            <w:r w:rsidRPr="001459F6">
              <w:rPr>
                <w:rFonts w:ascii="Arial" w:hAnsi="Arial" w:cs="Arial"/>
              </w:rPr>
              <w:t xml:space="preserve">In individuals on </w:t>
            </w:r>
            <w:r>
              <w:rPr>
                <w:rFonts w:ascii="Arial" w:hAnsi="Arial" w:cs="Arial"/>
              </w:rPr>
              <w:t xml:space="preserve">a </w:t>
            </w:r>
            <w:r w:rsidRPr="001459F6">
              <w:rPr>
                <w:rFonts w:ascii="Arial" w:hAnsi="Arial" w:cs="Arial"/>
              </w:rPr>
              <w:t>diet</w:t>
            </w:r>
            <w:r>
              <w:rPr>
                <w:rFonts w:ascii="Arial" w:hAnsi="Arial" w:cs="Arial"/>
              </w:rPr>
              <w:t>-</w:t>
            </w:r>
            <w:r w:rsidRPr="001459F6">
              <w:rPr>
                <w:rFonts w:ascii="Arial" w:hAnsi="Arial" w:cs="Arial"/>
              </w:rPr>
              <w:t xml:space="preserve">controlled regimen, or on other </w:t>
            </w:r>
            <w:r>
              <w:rPr>
                <w:rFonts w:ascii="Arial" w:hAnsi="Arial" w:cs="Arial"/>
              </w:rPr>
              <w:t>non-sulfonylurea treatments (e.g., metformin, DPP4 inhibitors, pioglitazone, SGLT2 inhibitors) commence gliclazide 40 mg, and up-titrate</w:t>
            </w:r>
          </w:p>
        </w:tc>
      </w:tr>
    </w:tbl>
    <w:p w14:paraId="7A5BC190" w14:textId="2D1DA06F" w:rsidR="003F5774" w:rsidRDefault="003F5774" w:rsidP="003F5774">
      <w:pPr>
        <w:rPr>
          <w:lang w:val="en-US"/>
        </w:rPr>
      </w:pPr>
    </w:p>
    <w:tbl>
      <w:tblPr>
        <w:tblStyle w:val="TableGrid"/>
        <w:tblW w:w="0" w:type="auto"/>
        <w:tblLook w:val="04A0" w:firstRow="1" w:lastRow="0" w:firstColumn="1" w:lastColumn="0" w:noHBand="0" w:noVBand="1"/>
      </w:tblPr>
      <w:tblGrid>
        <w:gridCol w:w="9016"/>
      </w:tblGrid>
      <w:tr w:rsidR="00F0758C" w14:paraId="127FE6CC" w14:textId="77777777" w:rsidTr="00A102D8">
        <w:tc>
          <w:tcPr>
            <w:tcW w:w="9016" w:type="dxa"/>
            <w:shd w:val="clear" w:color="auto" w:fill="FFFF00"/>
          </w:tcPr>
          <w:p w14:paraId="3C0B2464" w14:textId="2F66A61B" w:rsidR="00F0758C" w:rsidRPr="00F0758C" w:rsidRDefault="00F0758C" w:rsidP="003F5774">
            <w:pPr>
              <w:rPr>
                <w:rFonts w:ascii="Arial" w:hAnsi="Arial" w:cs="Arial"/>
                <w:b/>
                <w:bCs/>
                <w:lang w:val="en-US"/>
              </w:rPr>
            </w:pPr>
            <w:r w:rsidRPr="00F0758C">
              <w:rPr>
                <w:rFonts w:ascii="Arial" w:hAnsi="Arial" w:cs="Arial"/>
                <w:b/>
                <w:bCs/>
                <w:lang w:val="en-US"/>
              </w:rPr>
              <w:t>Table 9.</w:t>
            </w:r>
            <w:r w:rsidR="00A102D8">
              <w:rPr>
                <w:rFonts w:ascii="Arial" w:hAnsi="Arial" w:cs="Arial"/>
                <w:b/>
                <w:bCs/>
                <w:lang w:val="en-US"/>
              </w:rPr>
              <w:t xml:space="preserve"> </w:t>
            </w:r>
            <w:r w:rsidR="00A102D8" w:rsidRPr="00A102D8">
              <w:rPr>
                <w:rFonts w:ascii="Arial" w:hAnsi="Arial" w:cs="Arial"/>
                <w:b/>
                <w:bCs/>
                <w:lang w:val="en-US"/>
              </w:rPr>
              <w:t xml:space="preserve">For </w:t>
            </w:r>
            <w:r w:rsidR="00A102D8">
              <w:rPr>
                <w:rFonts w:ascii="Arial" w:hAnsi="Arial" w:cs="Arial"/>
                <w:b/>
                <w:bCs/>
                <w:lang w:val="en-US"/>
              </w:rPr>
              <w:t>I</w:t>
            </w:r>
            <w:r w:rsidR="00A102D8" w:rsidRPr="00A102D8">
              <w:rPr>
                <w:rFonts w:ascii="Arial" w:hAnsi="Arial" w:cs="Arial"/>
                <w:b/>
                <w:bCs/>
                <w:lang w:val="en-US"/>
              </w:rPr>
              <w:t>nsulin-</w:t>
            </w:r>
            <w:r w:rsidR="00A102D8">
              <w:rPr>
                <w:rFonts w:ascii="Arial" w:hAnsi="Arial" w:cs="Arial"/>
                <w:b/>
                <w:bCs/>
                <w:lang w:val="en-US"/>
              </w:rPr>
              <w:t>T</w:t>
            </w:r>
            <w:r w:rsidR="00A102D8" w:rsidRPr="00A102D8">
              <w:rPr>
                <w:rFonts w:ascii="Arial" w:hAnsi="Arial" w:cs="Arial"/>
                <w:b/>
                <w:bCs/>
                <w:lang w:val="en-US"/>
              </w:rPr>
              <w:t xml:space="preserve">reated </w:t>
            </w:r>
            <w:r w:rsidR="00A102D8">
              <w:rPr>
                <w:rFonts w:ascii="Arial" w:hAnsi="Arial" w:cs="Arial"/>
                <w:b/>
                <w:bCs/>
                <w:lang w:val="en-US"/>
              </w:rPr>
              <w:t>I</w:t>
            </w:r>
            <w:r w:rsidR="00A102D8" w:rsidRPr="00A102D8">
              <w:rPr>
                <w:rFonts w:ascii="Arial" w:hAnsi="Arial" w:cs="Arial"/>
                <w:b/>
                <w:bCs/>
                <w:lang w:val="en-US"/>
              </w:rPr>
              <w:t xml:space="preserve">ndividuals with </w:t>
            </w:r>
            <w:r w:rsidR="00A102D8">
              <w:rPr>
                <w:rFonts w:ascii="Arial" w:hAnsi="Arial" w:cs="Arial"/>
                <w:b/>
                <w:bCs/>
                <w:lang w:val="en-US"/>
              </w:rPr>
              <w:t>T</w:t>
            </w:r>
            <w:r w:rsidR="00A102D8" w:rsidRPr="00A102D8">
              <w:rPr>
                <w:rFonts w:ascii="Arial" w:hAnsi="Arial" w:cs="Arial"/>
                <w:b/>
                <w:bCs/>
                <w:lang w:val="en-US"/>
              </w:rPr>
              <w:t xml:space="preserve">ype 2 </w:t>
            </w:r>
            <w:r w:rsidR="00A102D8">
              <w:rPr>
                <w:rFonts w:ascii="Arial" w:hAnsi="Arial" w:cs="Arial"/>
                <w:b/>
                <w:bCs/>
                <w:lang w:val="en-US"/>
              </w:rPr>
              <w:t>D</w:t>
            </w:r>
            <w:r w:rsidR="00A102D8" w:rsidRPr="00A102D8">
              <w:rPr>
                <w:rFonts w:ascii="Arial" w:hAnsi="Arial" w:cs="Arial"/>
                <w:b/>
                <w:bCs/>
                <w:lang w:val="en-US"/>
              </w:rPr>
              <w:t>iabetes</w:t>
            </w:r>
          </w:p>
        </w:tc>
      </w:tr>
      <w:tr w:rsidR="00F0758C" w14:paraId="76D98A8D" w14:textId="77777777" w:rsidTr="00F0758C">
        <w:tc>
          <w:tcPr>
            <w:tcW w:w="9016" w:type="dxa"/>
          </w:tcPr>
          <w:p w14:paraId="44E94E7B" w14:textId="77777777" w:rsidR="00A102D8" w:rsidRPr="001270E8" w:rsidRDefault="00A102D8" w:rsidP="00A102D8">
            <w:pPr>
              <w:pStyle w:val="ListParagraph"/>
              <w:numPr>
                <w:ilvl w:val="0"/>
                <w:numId w:val="32"/>
              </w:numPr>
              <w:spacing w:line="276" w:lineRule="auto"/>
              <w:jc w:val="both"/>
              <w:rPr>
                <w:rFonts w:ascii="Arial" w:hAnsi="Arial" w:cs="Arial"/>
              </w:rPr>
            </w:pPr>
            <w:r w:rsidRPr="001270E8">
              <w:rPr>
                <w:rFonts w:ascii="Arial" w:hAnsi="Arial" w:cs="Arial"/>
              </w:rPr>
              <w:t>Check baseline HbA</w:t>
            </w:r>
            <w:r w:rsidRPr="001270E8">
              <w:rPr>
                <w:rFonts w:ascii="Arial" w:hAnsi="Arial" w:cs="Arial"/>
                <w:vertAlign w:val="subscript"/>
              </w:rPr>
              <w:t>1c</w:t>
            </w:r>
            <w:r w:rsidRPr="001270E8">
              <w:rPr>
                <w:rFonts w:ascii="Arial" w:hAnsi="Arial" w:cs="Arial"/>
              </w:rPr>
              <w:t xml:space="preserve"> and random venous plasma glucose before starting therapy</w:t>
            </w:r>
          </w:p>
          <w:p w14:paraId="45748BB7" w14:textId="77777777" w:rsidR="00A102D8" w:rsidRPr="001270E8" w:rsidRDefault="00A102D8" w:rsidP="00A102D8">
            <w:pPr>
              <w:pStyle w:val="ListParagraph"/>
              <w:numPr>
                <w:ilvl w:val="0"/>
                <w:numId w:val="32"/>
              </w:numPr>
              <w:spacing w:line="276" w:lineRule="auto"/>
              <w:jc w:val="both"/>
              <w:rPr>
                <w:rFonts w:ascii="Arial" w:hAnsi="Arial" w:cs="Arial"/>
              </w:rPr>
            </w:pPr>
            <w:r w:rsidRPr="001270E8">
              <w:rPr>
                <w:rFonts w:ascii="Arial" w:hAnsi="Arial" w:cs="Arial"/>
              </w:rPr>
              <w:t>Monitor random plasma glucose at each treatment visit</w:t>
            </w:r>
          </w:p>
          <w:p w14:paraId="2320CCD0" w14:textId="2B491391" w:rsidR="00A102D8" w:rsidRDefault="00A102D8" w:rsidP="00A102D8">
            <w:pPr>
              <w:pStyle w:val="ListParagraph"/>
              <w:numPr>
                <w:ilvl w:val="0"/>
                <w:numId w:val="32"/>
              </w:numPr>
              <w:spacing w:line="276" w:lineRule="auto"/>
              <w:jc w:val="both"/>
              <w:rPr>
                <w:rFonts w:ascii="Arial" w:hAnsi="Arial" w:cs="Arial"/>
              </w:rPr>
            </w:pPr>
            <w:r>
              <w:rPr>
                <w:rFonts w:ascii="Arial" w:hAnsi="Arial" w:cs="Arial"/>
              </w:rPr>
              <w:t xml:space="preserve">If plasma glucose is </w:t>
            </w:r>
            <w:r w:rsidRPr="003C2F6C">
              <w:rPr>
                <w:rFonts w:ascii="Arial" w:hAnsi="Arial" w:cs="Arial"/>
              </w:rPr>
              <w:t xml:space="preserve">≥12 mmol/L </w:t>
            </w:r>
            <w:r>
              <w:rPr>
                <w:rFonts w:ascii="Arial" w:hAnsi="Arial" w:cs="Arial"/>
              </w:rPr>
              <w:t xml:space="preserve">(216 mg/dl) </w:t>
            </w:r>
            <w:r w:rsidRPr="003C2F6C">
              <w:rPr>
                <w:rFonts w:ascii="Arial" w:hAnsi="Arial" w:cs="Arial"/>
              </w:rPr>
              <w:t>on two occasions</w:t>
            </w:r>
            <w:r>
              <w:rPr>
                <w:rFonts w:ascii="Arial" w:hAnsi="Arial" w:cs="Arial"/>
              </w:rPr>
              <w:t xml:space="preserve">, screen for symptoms of </w:t>
            </w:r>
            <w:proofErr w:type="spellStart"/>
            <w:r>
              <w:rPr>
                <w:rFonts w:ascii="Arial" w:hAnsi="Arial" w:cs="Arial"/>
              </w:rPr>
              <w:t>hyperglycemia</w:t>
            </w:r>
            <w:proofErr w:type="spellEnd"/>
            <w:r>
              <w:rPr>
                <w:rFonts w:ascii="Arial" w:hAnsi="Arial" w:cs="Arial"/>
              </w:rPr>
              <w:t xml:space="preserve"> and ketonuria/ketonemia</w:t>
            </w:r>
          </w:p>
          <w:p w14:paraId="3C5E1F87" w14:textId="77777777" w:rsidR="00A102D8" w:rsidRDefault="00A102D8" w:rsidP="00A102D8">
            <w:pPr>
              <w:pStyle w:val="ListParagraph"/>
              <w:numPr>
                <w:ilvl w:val="0"/>
                <w:numId w:val="32"/>
              </w:numPr>
              <w:spacing w:line="276" w:lineRule="auto"/>
              <w:jc w:val="both"/>
              <w:rPr>
                <w:rFonts w:ascii="Arial" w:hAnsi="Arial" w:cs="Arial"/>
              </w:rPr>
            </w:pPr>
            <w:r>
              <w:rPr>
                <w:rFonts w:ascii="Arial" w:hAnsi="Arial" w:cs="Arial"/>
              </w:rPr>
              <w:t>Contact usual diabetes team for support in titrating insulin</w:t>
            </w:r>
          </w:p>
          <w:p w14:paraId="01EC6154" w14:textId="77777777" w:rsidR="00A102D8" w:rsidRDefault="00A102D8" w:rsidP="00A102D8">
            <w:pPr>
              <w:pStyle w:val="ListParagraph"/>
              <w:numPr>
                <w:ilvl w:val="0"/>
                <w:numId w:val="32"/>
              </w:numPr>
              <w:spacing w:line="276" w:lineRule="auto"/>
              <w:jc w:val="both"/>
              <w:rPr>
                <w:rFonts w:ascii="Arial" w:hAnsi="Arial" w:cs="Arial"/>
              </w:rPr>
            </w:pPr>
            <w:r>
              <w:rPr>
                <w:rFonts w:ascii="Arial" w:hAnsi="Arial" w:cs="Arial"/>
              </w:rPr>
              <w:t>Consider titrating</w:t>
            </w:r>
            <w:r w:rsidRPr="003C2F6C">
              <w:rPr>
                <w:rFonts w:ascii="Arial" w:hAnsi="Arial" w:cs="Arial"/>
              </w:rPr>
              <w:t xml:space="preserve"> insulin by 10-20% of the original dose daily</w:t>
            </w:r>
          </w:p>
          <w:p w14:paraId="4FC5EB1D" w14:textId="645E7A7A" w:rsidR="00F0758C" w:rsidRPr="00A102D8" w:rsidRDefault="00A102D8" w:rsidP="00A102D8">
            <w:pPr>
              <w:pStyle w:val="ListParagraph"/>
              <w:numPr>
                <w:ilvl w:val="0"/>
                <w:numId w:val="32"/>
              </w:numPr>
              <w:rPr>
                <w:lang w:val="en-US"/>
              </w:rPr>
            </w:pPr>
            <w:r w:rsidRPr="00A102D8">
              <w:rPr>
                <w:rFonts w:ascii="Arial" w:hAnsi="Arial" w:cs="Arial"/>
              </w:rPr>
              <w:t>Individuals should be made aware of ‘sick day rules’ with insulin administration</w:t>
            </w:r>
          </w:p>
        </w:tc>
      </w:tr>
    </w:tbl>
    <w:p w14:paraId="64A0842F" w14:textId="7CFBF24F" w:rsidR="003F5774" w:rsidRDefault="003F5774" w:rsidP="003F5774">
      <w:pPr>
        <w:rPr>
          <w:lang w:val="en-US"/>
        </w:rPr>
      </w:pPr>
    </w:p>
    <w:p w14:paraId="418C986F" w14:textId="227744E9" w:rsidR="00002F76" w:rsidRPr="00A102D8" w:rsidRDefault="00002F76" w:rsidP="00A102D8">
      <w:pPr>
        <w:pStyle w:val="Heading2"/>
        <w:spacing w:before="0" w:after="0" w:line="276" w:lineRule="auto"/>
        <w:rPr>
          <w:rFonts w:ascii="Arial" w:hAnsi="Arial" w:cs="Arial"/>
          <w:b w:val="0"/>
          <w:bCs/>
          <w:sz w:val="22"/>
          <w:szCs w:val="22"/>
          <w:lang w:val="en-US"/>
        </w:rPr>
      </w:pPr>
      <w:r w:rsidRPr="00A102D8">
        <w:rPr>
          <w:rFonts w:ascii="Arial" w:hAnsi="Arial" w:cs="Arial"/>
          <w:b w:val="0"/>
          <w:bCs/>
          <w:sz w:val="22"/>
          <w:szCs w:val="22"/>
          <w:lang w:val="en-US"/>
        </w:rPr>
        <w:t>Full management guidelines can be found at the UK Chemotherapy Board (UKCB) and Joint British Diabetes Society for Inpatient Care (JBDS) websites.</w:t>
      </w:r>
    </w:p>
    <w:p w14:paraId="49C0AF5E" w14:textId="77777777" w:rsidR="00002F76" w:rsidRPr="00A30B0F" w:rsidRDefault="00002F76" w:rsidP="00C96EE5">
      <w:pPr>
        <w:spacing w:after="0" w:line="276" w:lineRule="auto"/>
        <w:rPr>
          <w:rFonts w:ascii="Arial" w:hAnsi="Arial" w:cs="Arial"/>
          <w:lang w:val="en-US"/>
        </w:rPr>
      </w:pPr>
    </w:p>
    <w:p w14:paraId="00148936" w14:textId="4EA0C4F9" w:rsidR="00002F76" w:rsidRPr="00A30B0F" w:rsidRDefault="00002F76" w:rsidP="00C96EE5">
      <w:pPr>
        <w:spacing w:after="0" w:line="276" w:lineRule="auto"/>
        <w:rPr>
          <w:rFonts w:ascii="Arial" w:hAnsi="Arial" w:cs="Arial"/>
          <w:b/>
          <w:color w:val="000000"/>
          <w:shd w:val="clear" w:color="auto" w:fill="FFFFFF"/>
          <w:lang w:val="en-US"/>
        </w:rPr>
      </w:pPr>
      <w:r w:rsidRPr="00A30B0F">
        <w:rPr>
          <w:rFonts w:ascii="Arial" w:hAnsi="Arial" w:cs="Arial"/>
          <w:b/>
          <w:color w:val="2E74B5" w:themeColor="accent1" w:themeShade="BF"/>
          <w:shd w:val="clear" w:color="auto" w:fill="FFFFFF"/>
          <w:lang w:val="en-US"/>
        </w:rPr>
        <w:t>A</w:t>
      </w:r>
      <w:r w:rsidR="00A102D8">
        <w:rPr>
          <w:rFonts w:ascii="Arial" w:hAnsi="Arial" w:cs="Arial"/>
          <w:b/>
          <w:color w:val="2E74B5" w:themeColor="accent1" w:themeShade="BF"/>
          <w:shd w:val="clear" w:color="auto" w:fill="FFFFFF"/>
          <w:lang w:val="en-US"/>
        </w:rPr>
        <w:t xml:space="preserve">DDITIONAL MANAGEMENT CONSIDERATIONS: CHOICE OF DIABETES THERAPEUTIC AGENT </w:t>
      </w:r>
    </w:p>
    <w:p w14:paraId="3EDDC31D" w14:textId="77777777" w:rsidR="00A102D8" w:rsidRDefault="00A102D8" w:rsidP="00C96EE5">
      <w:pPr>
        <w:spacing w:after="0" w:line="276" w:lineRule="auto"/>
        <w:rPr>
          <w:rFonts w:ascii="Arial" w:hAnsi="Arial" w:cs="Arial"/>
          <w:lang w:val="en-US"/>
        </w:rPr>
      </w:pPr>
    </w:p>
    <w:p w14:paraId="68071FA3" w14:textId="549B6EAB" w:rsidR="001250B4" w:rsidRDefault="00002F76" w:rsidP="00C96EE5">
      <w:pPr>
        <w:spacing w:after="0" w:line="276" w:lineRule="auto"/>
        <w:rPr>
          <w:rFonts w:ascii="Arial" w:hAnsi="Arial" w:cs="Arial"/>
          <w:lang w:val="en-US"/>
        </w:rPr>
      </w:pPr>
      <w:r w:rsidRPr="00A30B0F">
        <w:rPr>
          <w:rFonts w:ascii="Arial" w:hAnsi="Arial" w:cs="Arial"/>
          <w:lang w:val="en-US"/>
        </w:rPr>
        <w:t>Special consideration should also be given to the non-</w:t>
      </w:r>
      <w:r w:rsidR="00A4356B" w:rsidRPr="00A30B0F">
        <w:rPr>
          <w:rFonts w:ascii="Arial" w:hAnsi="Arial" w:cs="Arial"/>
          <w:lang w:val="en-US"/>
        </w:rPr>
        <w:t>glycemic</w:t>
      </w:r>
      <w:r w:rsidRPr="00A30B0F">
        <w:rPr>
          <w:rFonts w:ascii="Arial" w:hAnsi="Arial" w:cs="Arial"/>
          <w:lang w:val="en-US"/>
        </w:rPr>
        <w:t xml:space="preserve"> effects of </w:t>
      </w:r>
      <w:r w:rsidR="00715A14" w:rsidRPr="00A30B0F">
        <w:rPr>
          <w:rFonts w:ascii="Arial" w:hAnsi="Arial" w:cs="Arial"/>
          <w:lang w:val="en-US"/>
        </w:rPr>
        <w:t>hypoglycemic</w:t>
      </w:r>
      <w:r w:rsidRPr="00A30B0F">
        <w:rPr>
          <w:rFonts w:ascii="Arial" w:hAnsi="Arial" w:cs="Arial"/>
          <w:lang w:val="en-US"/>
        </w:rPr>
        <w:t xml:space="preserve"> agents, including specific side effects and the impact on weight. Although weight reduction is associated with improvement in </w:t>
      </w:r>
      <w:r w:rsidR="00A4356B" w:rsidRPr="00A30B0F">
        <w:rPr>
          <w:rFonts w:ascii="Arial" w:hAnsi="Arial" w:cs="Arial"/>
          <w:lang w:val="en-US"/>
        </w:rPr>
        <w:t>glycemic</w:t>
      </w:r>
      <w:r w:rsidRPr="00A30B0F">
        <w:rPr>
          <w:rFonts w:ascii="Arial" w:hAnsi="Arial" w:cs="Arial"/>
          <w:lang w:val="en-US"/>
        </w:rPr>
        <w:t xml:space="preserve"> and metabolic profile in </w:t>
      </w:r>
      <w:r w:rsidR="00EA5F01" w:rsidRPr="00A30B0F">
        <w:rPr>
          <w:rFonts w:ascii="Arial" w:hAnsi="Arial" w:cs="Arial"/>
          <w:lang w:val="en-US"/>
        </w:rPr>
        <w:t>people</w:t>
      </w:r>
      <w:r w:rsidRPr="00A30B0F">
        <w:rPr>
          <w:rFonts w:ascii="Arial" w:hAnsi="Arial" w:cs="Arial"/>
          <w:lang w:val="en-US"/>
        </w:rPr>
        <w:t xml:space="preserve"> with type 2 diabetes and is a key consideration in the choice of therapy, significant weight loss would </w:t>
      </w:r>
      <w:r w:rsidRPr="00A30B0F">
        <w:rPr>
          <w:rFonts w:ascii="Arial" w:hAnsi="Arial" w:cs="Arial"/>
          <w:lang w:val="en-US"/>
        </w:rPr>
        <w:lastRenderedPageBreak/>
        <w:t xml:space="preserve">usually be an unwanted effect in the oncology population. Indeed, weight gain is often used as a metric of improving nutritional state, especially in cancer related cachexia. This also has implications when counselling people with cancer about dietary choices when there is an additional cancer diagnosis. It is imperative that </w:t>
      </w:r>
      <w:r w:rsidR="00715A14" w:rsidRPr="00A30B0F">
        <w:rPr>
          <w:rFonts w:ascii="Arial" w:hAnsi="Arial" w:cs="Arial"/>
          <w:lang w:val="en-US"/>
        </w:rPr>
        <w:t>personalized</w:t>
      </w:r>
      <w:r w:rsidRPr="00A30B0F">
        <w:rPr>
          <w:rFonts w:ascii="Arial" w:hAnsi="Arial" w:cs="Arial"/>
          <w:lang w:val="en-US"/>
        </w:rPr>
        <w:t xml:space="preserve"> advice is offered by healthcare professionals considering the global impact on the </w:t>
      </w:r>
      <w:r w:rsidR="00EA5F01" w:rsidRPr="00A30B0F">
        <w:rPr>
          <w:rFonts w:ascii="Arial" w:hAnsi="Arial" w:cs="Arial"/>
          <w:lang w:val="en-US"/>
        </w:rPr>
        <w:t>individual</w:t>
      </w:r>
      <w:r w:rsidRPr="00A30B0F">
        <w:rPr>
          <w:rFonts w:ascii="Arial" w:hAnsi="Arial" w:cs="Arial"/>
          <w:lang w:val="en-US"/>
        </w:rPr>
        <w:t xml:space="preserve"> of any dietary or even lifestyle advice. SGLT2 inhibitors and GLP-1 agonists, for their potential weight reduction effects, are therefore less attractive options in the oncology setting. Insulin and sulfonylureas, on the other hand, offer an anabolic effect and therefore may be more desirable. Gastrointestinal side effects are common among </w:t>
      </w:r>
      <w:r w:rsidR="00715A14" w:rsidRPr="00A30B0F">
        <w:rPr>
          <w:rFonts w:ascii="Arial" w:hAnsi="Arial" w:cs="Arial"/>
          <w:lang w:val="en-US"/>
        </w:rPr>
        <w:t>hypoglycemic</w:t>
      </w:r>
      <w:r w:rsidRPr="00A30B0F">
        <w:rPr>
          <w:rFonts w:ascii="Arial" w:hAnsi="Arial" w:cs="Arial"/>
          <w:lang w:val="en-US"/>
        </w:rPr>
        <w:t xml:space="preserve"> agents including metformin, DPP4 inhibitors</w:t>
      </w:r>
      <w:r w:rsidR="001250B4">
        <w:rPr>
          <w:rFonts w:ascii="Arial" w:hAnsi="Arial" w:cs="Arial"/>
          <w:lang w:val="en-US"/>
        </w:rPr>
        <w:t>,</w:t>
      </w:r>
      <w:r w:rsidRPr="00A30B0F">
        <w:rPr>
          <w:rFonts w:ascii="Arial" w:hAnsi="Arial" w:cs="Arial"/>
          <w:lang w:val="en-US"/>
        </w:rPr>
        <w:t xml:space="preserve"> and GLP-1 agonists, and have the potential to complicate issues with nausea, vomiting</w:t>
      </w:r>
      <w:r w:rsidR="001250B4">
        <w:rPr>
          <w:rFonts w:ascii="Arial" w:hAnsi="Arial" w:cs="Arial"/>
          <w:lang w:val="en-US"/>
        </w:rPr>
        <w:t>,</w:t>
      </w:r>
      <w:r w:rsidRPr="00A30B0F">
        <w:rPr>
          <w:rFonts w:ascii="Arial" w:hAnsi="Arial" w:cs="Arial"/>
          <w:lang w:val="en-US"/>
        </w:rPr>
        <w:t xml:space="preserve"> and oral intake from the underlying cancer and its treatment. Similarly, poor oral intake and nephrotoxic effects of certain SACT, added to a potential osmotic diuretic effect of SGLT2 </w:t>
      </w:r>
    </w:p>
    <w:p w14:paraId="2EE08AD9" w14:textId="65B4E6CC" w:rsidR="00002F76" w:rsidRPr="00A30B0F" w:rsidRDefault="00002F76" w:rsidP="00C96EE5">
      <w:pPr>
        <w:spacing w:after="0" w:line="276" w:lineRule="auto"/>
        <w:rPr>
          <w:rFonts w:ascii="Arial" w:hAnsi="Arial" w:cs="Arial"/>
          <w:lang w:val="en-US"/>
        </w:rPr>
      </w:pPr>
      <w:r w:rsidRPr="00A30B0F">
        <w:rPr>
          <w:rFonts w:ascii="Arial" w:hAnsi="Arial" w:cs="Arial"/>
          <w:lang w:val="en-US"/>
        </w:rPr>
        <w:t xml:space="preserve">inhibitors, could also increase the risk of acute kidney injury. The associated risk of genital tract infections with SGLT2 inhibitors would also be an additional consideration especially within an immunocompromised population </w:t>
      </w:r>
      <w:r w:rsidR="006354C4" w:rsidRPr="00A30B0F">
        <w:rPr>
          <w:rFonts w:ascii="Arial" w:hAnsi="Arial" w:cs="Arial"/>
          <w:lang w:val="en-US"/>
        </w:rPr>
        <w:t>(125).</w:t>
      </w:r>
      <w:r w:rsidRPr="00A30B0F">
        <w:rPr>
          <w:rFonts w:ascii="Arial" w:hAnsi="Arial" w:cs="Arial"/>
          <w:lang w:val="en-US"/>
        </w:rPr>
        <w:t xml:space="preserve"> The impact and significance of these non-</w:t>
      </w:r>
      <w:r w:rsidR="00A4356B" w:rsidRPr="00A30B0F">
        <w:rPr>
          <w:rFonts w:ascii="Arial" w:hAnsi="Arial" w:cs="Arial"/>
          <w:lang w:val="en-US"/>
        </w:rPr>
        <w:t>glycemic</w:t>
      </w:r>
      <w:r w:rsidRPr="00A30B0F">
        <w:rPr>
          <w:rFonts w:ascii="Arial" w:hAnsi="Arial" w:cs="Arial"/>
          <w:lang w:val="en-US"/>
        </w:rPr>
        <w:t xml:space="preserve"> effects in the oncology population clearly differ to that of the general population, therefore highlighting the importance of a </w:t>
      </w:r>
      <w:r w:rsidR="00715A14" w:rsidRPr="00A30B0F">
        <w:rPr>
          <w:rFonts w:ascii="Arial" w:hAnsi="Arial" w:cs="Arial"/>
          <w:lang w:val="en-US"/>
        </w:rPr>
        <w:t>personalized</w:t>
      </w:r>
      <w:r w:rsidRPr="00A30B0F">
        <w:rPr>
          <w:rFonts w:ascii="Arial" w:hAnsi="Arial" w:cs="Arial"/>
          <w:lang w:val="en-US"/>
        </w:rPr>
        <w:t xml:space="preserve"> approach with regular review of patients’ diabetes treatment through their oncology journey.  </w:t>
      </w:r>
    </w:p>
    <w:p w14:paraId="6E55828E" w14:textId="77777777" w:rsidR="001250B4" w:rsidRDefault="001250B4" w:rsidP="00C96EE5">
      <w:pPr>
        <w:spacing w:after="0" w:line="276" w:lineRule="auto"/>
        <w:rPr>
          <w:rFonts w:ascii="Arial" w:hAnsi="Arial" w:cs="Arial"/>
          <w:b/>
          <w:color w:val="2E74B5" w:themeColor="accent1" w:themeShade="BF"/>
          <w:shd w:val="clear" w:color="auto" w:fill="FFFFFF"/>
          <w:lang w:val="en-US"/>
        </w:rPr>
      </w:pPr>
    </w:p>
    <w:p w14:paraId="773B8371" w14:textId="08883255" w:rsidR="00002F76" w:rsidRPr="00A30B0F" w:rsidRDefault="00002F76" w:rsidP="00C96EE5">
      <w:pPr>
        <w:spacing w:after="0" w:line="276" w:lineRule="auto"/>
        <w:rPr>
          <w:rFonts w:ascii="Arial" w:hAnsi="Arial" w:cs="Arial"/>
          <w:b/>
          <w:color w:val="000000"/>
          <w:shd w:val="clear" w:color="auto" w:fill="FFFFFF"/>
          <w:lang w:val="en-US"/>
        </w:rPr>
      </w:pPr>
      <w:r w:rsidRPr="00A30B0F">
        <w:rPr>
          <w:rFonts w:ascii="Arial" w:hAnsi="Arial" w:cs="Arial"/>
          <w:b/>
          <w:color w:val="2E74B5" w:themeColor="accent1" w:themeShade="BF"/>
          <w:shd w:val="clear" w:color="auto" w:fill="FFFFFF"/>
          <w:lang w:val="en-US"/>
        </w:rPr>
        <w:t>C</w:t>
      </w:r>
      <w:r w:rsidR="001250B4">
        <w:rPr>
          <w:rFonts w:ascii="Arial" w:hAnsi="Arial" w:cs="Arial"/>
          <w:b/>
          <w:color w:val="2E74B5" w:themeColor="accent1" w:themeShade="BF"/>
          <w:shd w:val="clear" w:color="auto" w:fill="FFFFFF"/>
          <w:lang w:val="en-US"/>
        </w:rPr>
        <w:t xml:space="preserve">ONCLUSIONS </w:t>
      </w:r>
    </w:p>
    <w:p w14:paraId="49ED5AAB" w14:textId="77777777" w:rsidR="001250B4" w:rsidRDefault="001250B4" w:rsidP="00C96EE5">
      <w:pPr>
        <w:spacing w:after="0" w:line="276" w:lineRule="auto"/>
        <w:rPr>
          <w:rFonts w:ascii="Arial" w:hAnsi="Arial" w:cs="Arial"/>
          <w:lang w:val="en-US"/>
        </w:rPr>
      </w:pPr>
    </w:p>
    <w:p w14:paraId="412E8102" w14:textId="617E6B75" w:rsidR="00002F76" w:rsidRDefault="00002F76" w:rsidP="00C96EE5">
      <w:pPr>
        <w:spacing w:after="0" w:line="276" w:lineRule="auto"/>
        <w:rPr>
          <w:rFonts w:ascii="Arial" w:hAnsi="Arial" w:cs="Arial"/>
          <w:lang w:val="en-US"/>
        </w:rPr>
      </w:pPr>
      <w:r w:rsidRPr="00A30B0F">
        <w:rPr>
          <w:rFonts w:ascii="Arial" w:hAnsi="Arial" w:cs="Arial"/>
          <w:lang w:val="en-US"/>
        </w:rPr>
        <w:t xml:space="preserve">It is common practice in oncology to initiate systemic anti-cancer therapy (including chemotherapy, targeted treatment, immunotherapy and steroids) in people with pre-existing diabetes. Diabetes, or risk of developing diabetes are by no means a contraindication to treatment but treating clinicians should be aware of the risks to patients, and counsel them appropriately. As more sophisticated anti-cancer treatments become licensed for use, the metabolic effects of these treatments will become better understood, and oncology teams should </w:t>
      </w:r>
      <w:r w:rsidR="00715A14" w:rsidRPr="00A30B0F">
        <w:rPr>
          <w:rFonts w:ascii="Arial" w:hAnsi="Arial" w:cs="Arial"/>
          <w:lang w:val="en-US"/>
        </w:rPr>
        <w:t>utilize</w:t>
      </w:r>
      <w:r w:rsidRPr="00A30B0F">
        <w:rPr>
          <w:rFonts w:ascii="Arial" w:hAnsi="Arial" w:cs="Arial"/>
          <w:lang w:val="en-US"/>
        </w:rPr>
        <w:t xml:space="preserve"> and collaborate with endocrinology and primary care services to </w:t>
      </w:r>
      <w:r w:rsidR="00715A14" w:rsidRPr="00A30B0F">
        <w:rPr>
          <w:rFonts w:ascii="Arial" w:hAnsi="Arial" w:cs="Arial"/>
          <w:lang w:val="en-US"/>
        </w:rPr>
        <w:t>minimize</w:t>
      </w:r>
      <w:r w:rsidRPr="00A30B0F">
        <w:rPr>
          <w:rFonts w:ascii="Arial" w:hAnsi="Arial" w:cs="Arial"/>
          <w:lang w:val="en-US"/>
        </w:rPr>
        <w:t xml:space="preserve"> the risks to </w:t>
      </w:r>
      <w:r w:rsidR="00EA5F01" w:rsidRPr="00A30B0F">
        <w:rPr>
          <w:rFonts w:ascii="Arial" w:hAnsi="Arial" w:cs="Arial"/>
          <w:lang w:val="en-US"/>
        </w:rPr>
        <w:t>individuals</w:t>
      </w:r>
      <w:r w:rsidRPr="00A30B0F">
        <w:rPr>
          <w:rFonts w:ascii="Arial" w:hAnsi="Arial" w:cs="Arial"/>
          <w:lang w:val="en-US"/>
        </w:rPr>
        <w:t xml:space="preserve"> from poor </w:t>
      </w:r>
      <w:r w:rsidR="00A4356B" w:rsidRPr="00A30B0F">
        <w:rPr>
          <w:rFonts w:ascii="Arial" w:hAnsi="Arial" w:cs="Arial"/>
          <w:lang w:val="en-US"/>
        </w:rPr>
        <w:t>glycemic</w:t>
      </w:r>
      <w:r w:rsidRPr="00A30B0F">
        <w:rPr>
          <w:rFonts w:ascii="Arial" w:hAnsi="Arial" w:cs="Arial"/>
          <w:lang w:val="en-US"/>
        </w:rPr>
        <w:t xml:space="preserve"> control and diabetes. The recent publication of specific guidelines should act as a reference aid for clinicians and wider healthcare professionals to aid in risk recognition, diagnostic and screening for treatment induced diabetes, and provide the tools to appropriately manage these individuals and reduce the risks of complications. </w:t>
      </w:r>
    </w:p>
    <w:p w14:paraId="3BCE5AAD" w14:textId="76797DB4" w:rsidR="00A30B0F" w:rsidRDefault="00A30B0F" w:rsidP="00C96EE5">
      <w:pPr>
        <w:spacing w:after="0" w:line="276" w:lineRule="auto"/>
        <w:rPr>
          <w:rFonts w:ascii="Arial" w:hAnsi="Arial" w:cs="Arial"/>
          <w:lang w:val="en-US"/>
        </w:rPr>
      </w:pPr>
    </w:p>
    <w:p w14:paraId="4FFDAEAD" w14:textId="5622321F" w:rsidR="00002F76" w:rsidRPr="00A30B0F" w:rsidRDefault="00002F76" w:rsidP="00C96EE5">
      <w:pPr>
        <w:spacing w:after="0" w:line="276" w:lineRule="auto"/>
        <w:rPr>
          <w:rFonts w:ascii="Arial" w:hAnsi="Arial" w:cs="Arial"/>
          <w:b/>
          <w:color w:val="0070C0"/>
          <w:lang w:val="en-US"/>
        </w:rPr>
      </w:pPr>
      <w:r w:rsidRPr="00A30B0F">
        <w:rPr>
          <w:rFonts w:ascii="Arial" w:hAnsi="Arial" w:cs="Arial"/>
          <w:b/>
          <w:color w:val="0070C0"/>
          <w:lang w:val="en-US"/>
        </w:rPr>
        <w:t>R</w:t>
      </w:r>
      <w:r w:rsidR="00A30B0F" w:rsidRPr="00A30B0F">
        <w:rPr>
          <w:rFonts w:ascii="Arial" w:hAnsi="Arial" w:cs="Arial"/>
          <w:b/>
          <w:color w:val="0070C0"/>
          <w:lang w:val="en-US"/>
        </w:rPr>
        <w:t>EFERENCES</w:t>
      </w:r>
    </w:p>
    <w:bookmarkEnd w:id="4"/>
    <w:p w14:paraId="516D6DFF" w14:textId="77777777" w:rsidR="00A30B0F" w:rsidRPr="00A30B0F" w:rsidRDefault="00A30B0F" w:rsidP="00C96EE5">
      <w:pPr>
        <w:spacing w:after="0" w:line="276" w:lineRule="auto"/>
        <w:rPr>
          <w:rFonts w:ascii="Arial" w:hAnsi="Arial" w:cs="Arial"/>
          <w:b/>
          <w:lang w:val="en-US"/>
        </w:rPr>
      </w:pPr>
    </w:p>
    <w:p w14:paraId="5222F69E" w14:textId="64DA2A3B" w:rsidR="00002F76" w:rsidRPr="001250B4" w:rsidRDefault="00002F76" w:rsidP="001250B4">
      <w:pPr>
        <w:pStyle w:val="NoSpacing"/>
        <w:spacing w:line="276" w:lineRule="auto"/>
        <w:ind w:left="576" w:hanging="576"/>
        <w:rPr>
          <w:rFonts w:ascii="Arial" w:hAnsi="Arial" w:cs="Arial"/>
        </w:rPr>
      </w:pPr>
      <w:r w:rsidRPr="001250B4">
        <w:rPr>
          <w:rFonts w:ascii="Arial" w:hAnsi="Arial" w:cs="Arial"/>
        </w:rPr>
        <w:t>1.</w:t>
      </w:r>
      <w:r w:rsidRPr="001250B4">
        <w:rPr>
          <w:rFonts w:ascii="Arial" w:hAnsi="Arial" w:cs="Arial"/>
        </w:rPr>
        <w:tab/>
      </w:r>
      <w:r w:rsidR="00C04B27" w:rsidRPr="001250B4">
        <w:rPr>
          <w:rFonts w:ascii="Arial" w:hAnsi="Arial" w:cs="Arial"/>
        </w:rPr>
        <w:t>International Diabetes Federation. IDF Diabetes Atlas</w:t>
      </w:r>
      <w:r w:rsidRPr="001250B4">
        <w:rPr>
          <w:rFonts w:ascii="Arial" w:hAnsi="Arial" w:cs="Arial"/>
        </w:rPr>
        <w:t xml:space="preserve"> </w:t>
      </w:r>
      <w:r w:rsidR="00C04B27" w:rsidRPr="001250B4">
        <w:rPr>
          <w:rFonts w:ascii="Arial" w:hAnsi="Arial" w:cs="Arial"/>
        </w:rPr>
        <w:t xml:space="preserve">2021. Available at </w:t>
      </w:r>
      <w:hyperlink r:id="rId6" w:history="1">
        <w:r w:rsidR="00C04B27" w:rsidRPr="001250B4">
          <w:rPr>
            <w:rStyle w:val="Hyperlink"/>
            <w:rFonts w:ascii="Arial" w:hAnsi="Arial" w:cs="Arial"/>
          </w:rPr>
          <w:t>https://diabetesatlas.org/atlas/tenth-edition/</w:t>
        </w:r>
      </w:hyperlink>
      <w:r w:rsidR="00C04B27" w:rsidRPr="001250B4">
        <w:rPr>
          <w:rFonts w:ascii="Arial" w:hAnsi="Arial" w:cs="Arial"/>
        </w:rPr>
        <w:t xml:space="preserve">. Accessed Dec 2021. </w:t>
      </w:r>
    </w:p>
    <w:p w14:paraId="225BE816" w14:textId="527AB442" w:rsidR="00002F76" w:rsidRPr="001250B4" w:rsidRDefault="00002F76" w:rsidP="001250B4">
      <w:pPr>
        <w:pStyle w:val="NoSpacing"/>
        <w:spacing w:line="276" w:lineRule="auto"/>
        <w:ind w:left="576" w:hanging="576"/>
        <w:rPr>
          <w:rFonts w:ascii="Arial" w:hAnsi="Arial" w:cs="Arial"/>
        </w:rPr>
      </w:pPr>
      <w:r w:rsidRPr="001250B4">
        <w:rPr>
          <w:rFonts w:ascii="Arial" w:hAnsi="Arial" w:cs="Arial"/>
        </w:rPr>
        <w:t>2.</w:t>
      </w:r>
      <w:r w:rsidRPr="001250B4">
        <w:rPr>
          <w:rFonts w:ascii="Arial" w:hAnsi="Arial" w:cs="Arial"/>
        </w:rPr>
        <w:tab/>
        <w:t xml:space="preserve">American Diabetes Association. </w:t>
      </w:r>
      <w:r w:rsidR="00E91A80" w:rsidRPr="001250B4">
        <w:rPr>
          <w:rFonts w:ascii="Arial" w:hAnsi="Arial" w:cs="Arial"/>
          <w:spacing w:val="-7"/>
        </w:rPr>
        <w:t>Classification and Diagnosis of Diabetes: </w:t>
      </w:r>
      <w:r w:rsidR="00E91A80" w:rsidRPr="001250B4">
        <w:rPr>
          <w:rStyle w:val="Emphasis"/>
          <w:rFonts w:ascii="Arial" w:hAnsi="Arial" w:cs="Arial"/>
          <w:i w:val="0"/>
          <w:spacing w:val="-7"/>
          <w:bdr w:val="none" w:sz="0" w:space="0" w:color="auto" w:frame="1"/>
        </w:rPr>
        <w:t>Standards of Medical Care in Diabetes-2021</w:t>
      </w:r>
      <w:r w:rsidRPr="001250B4">
        <w:rPr>
          <w:rFonts w:ascii="Arial" w:hAnsi="Arial" w:cs="Arial"/>
        </w:rPr>
        <w:t>. Diabetes Care [Internet]</w:t>
      </w:r>
      <w:r w:rsidR="00E91A80" w:rsidRPr="001250B4">
        <w:rPr>
          <w:rFonts w:ascii="Arial" w:hAnsi="Arial" w:cs="Arial"/>
        </w:rPr>
        <w:t xml:space="preserve">. 2021; </w:t>
      </w:r>
      <w:r w:rsidR="00E91A80" w:rsidRPr="001250B4">
        <w:rPr>
          <w:rStyle w:val="highwire-cite-metadata-volume"/>
          <w:rFonts w:ascii="Arial" w:hAnsi="Arial" w:cs="Arial"/>
          <w:bdr w:val="none" w:sz="0" w:space="0" w:color="auto" w:frame="1"/>
          <w:shd w:val="clear" w:color="auto" w:fill="FFFFFF"/>
        </w:rPr>
        <w:t>44</w:t>
      </w:r>
      <w:r w:rsidR="00E91A80" w:rsidRPr="001250B4">
        <w:rPr>
          <w:rStyle w:val="highwire-cite-metadata-issue"/>
          <w:rFonts w:ascii="Arial" w:hAnsi="Arial" w:cs="Arial"/>
          <w:bdr w:val="none" w:sz="0" w:space="0" w:color="auto" w:frame="1"/>
          <w:shd w:val="clear" w:color="auto" w:fill="FFFFFF"/>
        </w:rPr>
        <w:t>(Supplement 1): </w:t>
      </w:r>
      <w:r w:rsidR="00E91A80" w:rsidRPr="001250B4">
        <w:rPr>
          <w:rStyle w:val="highwire-cite-metadata-pages"/>
          <w:rFonts w:ascii="Arial" w:hAnsi="Arial" w:cs="Arial"/>
          <w:bdr w:val="none" w:sz="0" w:space="0" w:color="auto" w:frame="1"/>
          <w:shd w:val="clear" w:color="auto" w:fill="FFFFFF"/>
        </w:rPr>
        <w:t>S15-S33.</w:t>
      </w:r>
      <w:hyperlink r:id="rId7" w:history="1">
        <w:r w:rsidR="00E91A80" w:rsidRPr="001250B4">
          <w:rPr>
            <w:rStyle w:val="Hyperlink"/>
            <w:rFonts w:ascii="Arial" w:hAnsi="Arial" w:cs="Arial"/>
            <w:color w:val="auto"/>
            <w:u w:val="none"/>
            <w:bdr w:val="none" w:sz="0" w:space="0" w:color="auto" w:frame="1"/>
            <w:shd w:val="clear" w:color="auto" w:fill="FFFFFF"/>
          </w:rPr>
          <w:t>https://doi.org/10.2337/dc21-S002</w:t>
        </w:r>
      </w:hyperlink>
    </w:p>
    <w:p w14:paraId="3AE361EB" w14:textId="77777777" w:rsidR="00002F76" w:rsidRPr="001250B4" w:rsidRDefault="00002F76" w:rsidP="001250B4">
      <w:pPr>
        <w:pStyle w:val="NoSpacing"/>
        <w:spacing w:line="276" w:lineRule="auto"/>
        <w:ind w:left="576" w:hanging="576"/>
        <w:rPr>
          <w:rFonts w:ascii="Arial" w:hAnsi="Arial" w:cs="Arial"/>
        </w:rPr>
      </w:pPr>
      <w:r w:rsidRPr="001250B4">
        <w:rPr>
          <w:rFonts w:ascii="Arial" w:hAnsi="Arial" w:cs="Arial"/>
        </w:rPr>
        <w:t>3.</w:t>
      </w:r>
      <w:r w:rsidRPr="001250B4">
        <w:rPr>
          <w:rFonts w:ascii="Arial" w:hAnsi="Arial" w:cs="Arial"/>
        </w:rPr>
        <w:tab/>
        <w:t xml:space="preserve">Diagnosis and classification of diabetes mellitus. Diabetes Care. 2010;33 </w:t>
      </w:r>
      <w:proofErr w:type="spellStart"/>
      <w:r w:rsidRPr="001250B4">
        <w:rPr>
          <w:rFonts w:ascii="Arial" w:hAnsi="Arial" w:cs="Arial"/>
        </w:rPr>
        <w:t>Suppl</w:t>
      </w:r>
      <w:proofErr w:type="spellEnd"/>
      <w:r w:rsidRPr="001250B4">
        <w:rPr>
          <w:rFonts w:ascii="Arial" w:hAnsi="Arial" w:cs="Arial"/>
        </w:rPr>
        <w:t xml:space="preserve"> 1(</w:t>
      </w:r>
      <w:proofErr w:type="spellStart"/>
      <w:r w:rsidRPr="001250B4">
        <w:rPr>
          <w:rFonts w:ascii="Arial" w:hAnsi="Arial" w:cs="Arial"/>
        </w:rPr>
        <w:t>Suppl</w:t>
      </w:r>
      <w:proofErr w:type="spellEnd"/>
      <w:r w:rsidRPr="001250B4">
        <w:rPr>
          <w:rFonts w:ascii="Arial" w:hAnsi="Arial" w:cs="Arial"/>
        </w:rPr>
        <w:t xml:space="preserve"> 1</w:t>
      </w:r>
      <w:proofErr w:type="gramStart"/>
      <w:r w:rsidRPr="001250B4">
        <w:rPr>
          <w:rFonts w:ascii="Arial" w:hAnsi="Arial" w:cs="Arial"/>
        </w:rPr>
        <w:t>):S</w:t>
      </w:r>
      <w:proofErr w:type="gramEnd"/>
      <w:r w:rsidRPr="001250B4">
        <w:rPr>
          <w:rFonts w:ascii="Arial" w:hAnsi="Arial" w:cs="Arial"/>
        </w:rPr>
        <w:t>62-9. doi:10.2337/dc10-S062</w:t>
      </w:r>
    </w:p>
    <w:p w14:paraId="40304A9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w:t>
      </w:r>
      <w:r w:rsidRPr="001250B4">
        <w:rPr>
          <w:rFonts w:ascii="Arial" w:hAnsi="Arial" w:cs="Arial"/>
        </w:rPr>
        <w:tab/>
        <w:t>Tsilidis KK, Kasimis JC, Lopez DS, Ntzani EE, Ioannidis JPA. Type 2 diabetes and cancer: umbrella review of meta-analyses of observational studies. BMJ : British Medical Journal. 2015;350:g7607. doi:10.1136/bmj.g7607</w:t>
      </w:r>
    </w:p>
    <w:p w14:paraId="17AB4580"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w:t>
      </w:r>
      <w:r w:rsidRPr="001250B4">
        <w:rPr>
          <w:rFonts w:ascii="Arial" w:hAnsi="Arial" w:cs="Arial"/>
        </w:rPr>
        <w:tab/>
        <w:t>Giovannucci E, Harlan DM, Archer MC, et al. Diabetes and cancer: a consensus report. CA Cancer J Clin. 2010;60(4):207-21. doi:10.3322/caac.20078</w:t>
      </w:r>
    </w:p>
    <w:p w14:paraId="2095F886"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lastRenderedPageBreak/>
        <w:t>6.</w:t>
      </w:r>
      <w:r w:rsidRPr="001250B4">
        <w:rPr>
          <w:rFonts w:ascii="Arial" w:hAnsi="Arial" w:cs="Arial"/>
        </w:rPr>
        <w:tab/>
        <w:t>Yan P, Wang Y, Yu X, Liu Y, Zhang ZJ. Type 2 diabetes mellitus and risk of head and neck cancer subtypes: a systematic review and meta-analysis of observational studies. Acta Diabetol. 2021;58(5):549-565. doi:10.1007/s00592-020-01643-0</w:t>
      </w:r>
    </w:p>
    <w:p w14:paraId="346BE8EC"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w:t>
      </w:r>
      <w:r w:rsidRPr="001250B4">
        <w:rPr>
          <w:rFonts w:ascii="Arial" w:hAnsi="Arial" w:cs="Arial"/>
        </w:rPr>
        <w:tab/>
        <w:t>Suh S, Kim KW. Diabetes and Cancer: Cancer should be screened in routine diabetes assessment. Diabetes Metab J. 2019;43(6):733-743. doi:10.4093/dmj.2019.0177</w:t>
      </w:r>
    </w:p>
    <w:p w14:paraId="2AD3811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w:t>
      </w:r>
      <w:r w:rsidRPr="001250B4">
        <w:rPr>
          <w:rFonts w:ascii="Arial" w:hAnsi="Arial" w:cs="Arial"/>
        </w:rPr>
        <w:tab/>
        <w:t>Diabetes UK. Diabetes and Cancer. https://wwwdiabetesorguk/diabetes-the-basics/related-conditions/diabetes-and-cancer. Accessed 28th February 2020</w:t>
      </w:r>
    </w:p>
    <w:p w14:paraId="0F0B797E"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9.</w:t>
      </w:r>
      <w:r w:rsidRPr="001250B4">
        <w:rPr>
          <w:rFonts w:ascii="Arial" w:hAnsi="Arial" w:cs="Arial"/>
        </w:rPr>
        <w:tab/>
        <w:t>Barone BB, Yeh HC, Snyder CF, et al. Long-term all-cause mortality in cancer patients with preexisting diabetes mellitus: a systematic review and meta-analysis. JAMA. 2008;300(23):2754-64. doi:10.1001/jama.2008.824</w:t>
      </w:r>
    </w:p>
    <w:p w14:paraId="4640841B"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w:t>
      </w:r>
      <w:r w:rsidRPr="001250B4">
        <w:rPr>
          <w:rFonts w:ascii="Arial" w:hAnsi="Arial" w:cs="Arial"/>
        </w:rPr>
        <w:tab/>
        <w:t>Calderillo-Ruiz G, Lopez H, Herrera M, et al. P-149 - Obesity and hyperglycemia as a bad prognosis factor for recurrence and survival in colon cancer. Annals of Oncology. 2019;30:iv40-iv41. doi:https://doi.org/10.1093/annonc/mdz155.148</w:t>
      </w:r>
    </w:p>
    <w:p w14:paraId="3418D587"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11.</w:t>
      </w:r>
      <w:r w:rsidRPr="001250B4">
        <w:rPr>
          <w:rFonts w:ascii="Arial" w:hAnsi="Arial" w:cs="Arial"/>
        </w:rPr>
        <w:tab/>
        <w:t>Villarreal-Garza C, Shaw-Dulin R, Lara-Medina F, et al. Impact of diabetes and hyperglycemia on survival in advanced breast cancer patients. Exp Diabetes Res. 2012;2012:732027. doi:10.1155/2012/732027</w:t>
      </w:r>
    </w:p>
    <w:p w14:paraId="37C46E17"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12.</w:t>
      </w:r>
      <w:r w:rsidRPr="001250B4">
        <w:rPr>
          <w:rFonts w:ascii="Arial" w:hAnsi="Arial" w:cs="Arial"/>
        </w:rPr>
        <w:tab/>
        <w:t>Hosokawa T, Kurosaki M, Tsuchiya K, et al. Hyperglycemia is a significant prognostic factor of hepatocellular carcinoma after curative therapy. World journal of gastroenterology. 2013;19(2):249-57. doi:10.3748/wjg.v19.i2.249</w:t>
      </w:r>
    </w:p>
    <w:p w14:paraId="05C03E3A"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13.</w:t>
      </w:r>
      <w:r w:rsidRPr="001250B4">
        <w:rPr>
          <w:rFonts w:ascii="Arial" w:hAnsi="Arial" w:cs="Arial"/>
        </w:rPr>
        <w:tab/>
        <w:t>Wright JL, Plymate SR, Porter MP, et al. Hyperglycemia and prostate cancer recurrence in men treated for localized prostate cancer. Prostate cancer and prostatic diseases. 2013;16(2):204-8. doi:10.1038/pcan.2013.5</w:t>
      </w:r>
    </w:p>
    <w:p w14:paraId="3B1FF0B1"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14.</w:t>
      </w:r>
      <w:r w:rsidRPr="001250B4">
        <w:rPr>
          <w:rFonts w:ascii="Arial" w:hAnsi="Arial" w:cs="Arial"/>
        </w:rPr>
        <w:tab/>
        <w:t>Barba M, Sperati F, Stranges S, et al. Fasting glucose and treatment outcome in breast and colorectal cancer patients treated with targeted agents: results from a historic cohort. Ann Oncol. 2012;23(7):1838-45. doi:10.1093/annonc/mdr540</w:t>
      </w:r>
    </w:p>
    <w:p w14:paraId="536183E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15.</w:t>
      </w:r>
      <w:r w:rsidRPr="001250B4">
        <w:rPr>
          <w:rFonts w:ascii="Arial" w:hAnsi="Arial" w:cs="Arial"/>
        </w:rPr>
        <w:tab/>
        <w:t>Chen S, Tao M, Zhao L, Zhang X. The association between diabetes/hyperglycemia and the prognosis of cervical cancer patients: A systematic review and meta-analysis. Medicine (Baltimore). 2017;96(40):e7981. doi:10.1097/md.0000000000007981</w:t>
      </w:r>
    </w:p>
    <w:p w14:paraId="5F0EFBD4"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16.</w:t>
      </w:r>
      <w:r w:rsidRPr="001250B4">
        <w:rPr>
          <w:rFonts w:ascii="Arial" w:hAnsi="Arial" w:cs="Arial"/>
        </w:rPr>
        <w:tab/>
        <w:t>Liu H, Liu Z, Jiang B, et al. Prognostic significance of hyperglycemia in patients with brain tumors: a meta-analysis. Mol Neurobiol. 2016;53(3):1654-1660. doi:10.1007/s12035-015-9115-4</w:t>
      </w:r>
    </w:p>
    <w:p w14:paraId="5CDFE0F6"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17.</w:t>
      </w:r>
      <w:r w:rsidRPr="001250B4">
        <w:rPr>
          <w:rFonts w:ascii="Arial" w:hAnsi="Arial" w:cs="Arial"/>
        </w:rPr>
        <w:tab/>
        <w:t>Ali NA, O'Brien Jr JM, Blum W, et al. Hyperglycemia in patients with acute myeloid leukemia is associated with increased hospital mortality. https://doi.org/10.1002/cncr.22777. Cancer. 2007/07/01 2007;110(1):96-102. doi:https://doi.org/10.1002/cncr.22777</w:t>
      </w:r>
    </w:p>
    <w:p w14:paraId="13C61B41"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18.</w:t>
      </w:r>
      <w:r w:rsidRPr="001250B4">
        <w:rPr>
          <w:rFonts w:ascii="Arial" w:hAnsi="Arial" w:cs="Arial"/>
        </w:rPr>
        <w:tab/>
        <w:t>Barua R, Templeton AJ, Seruga B, Ocana A, Amir E, Ethier JL. Hyperglycaemia and survival in solid tumours: A systematic review and meta-analysis. Clin Oncol (R Coll Radiol). 2018;30(4):215-224. doi:10.1016/j.clon.2018.01.003</w:t>
      </w:r>
    </w:p>
    <w:p w14:paraId="321056F1"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19.</w:t>
      </w:r>
      <w:r w:rsidRPr="001250B4">
        <w:rPr>
          <w:rFonts w:ascii="Arial" w:hAnsi="Arial" w:cs="Arial"/>
        </w:rPr>
        <w:tab/>
        <w:t>Ma J, Wang J, Ge L, Long B, Zhang J. The impact of diabetes mellitus on clinical outcomes following chemotherapy for the patients with pancreatic cancer: a meta-analysis. Acta Diabetol. 2019;56(10):1103-1111. doi:10.1007/s00592-019-01337-2</w:t>
      </w:r>
    </w:p>
    <w:p w14:paraId="37E43C95"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20.</w:t>
      </w:r>
      <w:r w:rsidRPr="001250B4">
        <w:rPr>
          <w:rFonts w:ascii="Arial" w:hAnsi="Arial" w:cs="Arial"/>
        </w:rPr>
        <w:tab/>
        <w:t>Peairs KS, Barone BB, Snyder CF, et al. Diabetes mellitus and breast cancer outcomes: a systematic review and meta-analysis. J Clin Oncol. 2011;29(1):40-6. doi:10.1200/jco.2009.27.3011</w:t>
      </w:r>
    </w:p>
    <w:p w14:paraId="49F50296"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21.</w:t>
      </w:r>
      <w:r w:rsidRPr="001250B4">
        <w:rPr>
          <w:rFonts w:ascii="Arial" w:hAnsi="Arial" w:cs="Arial"/>
        </w:rPr>
        <w:tab/>
        <w:t>Ramos-Garcia P, Roca-Rodriguez MDM, Aguilar-Diosdado M, Gonzalez-Moles MA. Diabetes mellitus and oral cancer/oral potentially malignant disorders: A systematic review and meta-analysis. Oral Dis. 2021;27(3):404-421. doi:10.1111/odi.13289</w:t>
      </w:r>
    </w:p>
    <w:p w14:paraId="577101E4"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lastRenderedPageBreak/>
        <w:t>22.</w:t>
      </w:r>
      <w:r w:rsidRPr="001250B4">
        <w:rPr>
          <w:rFonts w:ascii="Arial" w:hAnsi="Arial" w:cs="Arial"/>
        </w:rPr>
        <w:tab/>
        <w:t>Gerards MC, van der Velden DL, Baars JW, et al. Impact of hyperglycemia on the efficacy of chemotherapy—A systematic review of preclinical studies. Critical reviews in oncology/hematology. 2017;113:235-241. doi:https://doi.org/10.1016/j.critrevonc.2017.03.007</w:t>
      </w:r>
    </w:p>
    <w:p w14:paraId="25627A05"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23.</w:t>
      </w:r>
      <w:r w:rsidRPr="001250B4">
        <w:rPr>
          <w:rFonts w:ascii="Arial" w:hAnsi="Arial" w:cs="Arial"/>
        </w:rPr>
        <w:tab/>
        <w:t>Garufi A, Traversi G, Gilardini Montani MS, et al. Reduced chemotherapeutic sensitivity in high glucose condition: implication of antioxidant response. Oncotarget. 2019;10(45):4691-4702. doi:10.18632/oncotarget.27087</w:t>
      </w:r>
    </w:p>
    <w:p w14:paraId="4DEFE4C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24.</w:t>
      </w:r>
      <w:r w:rsidRPr="001250B4">
        <w:rPr>
          <w:rFonts w:ascii="Arial" w:hAnsi="Arial" w:cs="Arial"/>
        </w:rPr>
        <w:tab/>
        <w:t>Stebbing J, Sharma A, North B, et al. A metabolic phenotyping approach to understanding relationships between metabolic syndrome and breast tumour responses to chemotherapy. Ann Oncol. 2012;23(4):860-6. doi:10.1093/annonc/mdr347</w:t>
      </w:r>
    </w:p>
    <w:p w14:paraId="0727E99B"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25.</w:t>
      </w:r>
      <w:r w:rsidRPr="001250B4">
        <w:rPr>
          <w:rFonts w:ascii="Arial" w:hAnsi="Arial" w:cs="Arial"/>
        </w:rPr>
        <w:tab/>
        <w:t>Hershey DS, Given B, Given C, Von Eye A, You M. Diabetes and cancer: impact on health-related quality of life. Oncol Nurs Forum. 2012;39(5):449-57. doi:10.1188/12.Onf.449-457</w:t>
      </w:r>
    </w:p>
    <w:p w14:paraId="21398DD7"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26.</w:t>
      </w:r>
      <w:r w:rsidRPr="001250B4">
        <w:rPr>
          <w:rFonts w:ascii="Arial" w:hAnsi="Arial" w:cs="Arial"/>
        </w:rPr>
        <w:tab/>
        <w:t>Hershey DS, Tipton J, Given B, Davis E. Perceived impact of cancer treatment on diabetes self-management. Diabetes Educ. 2012;38(6):779-90. doi:10.1177/0145721712458835</w:t>
      </w:r>
    </w:p>
    <w:p w14:paraId="3803433A"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27.</w:t>
      </w:r>
      <w:r w:rsidRPr="001250B4">
        <w:rPr>
          <w:rFonts w:ascii="Arial" w:hAnsi="Arial" w:cs="Arial"/>
        </w:rPr>
        <w:tab/>
        <w:t>Pettit S, Cresta E, Winkley K, Purssell E, Armes J. Glycaemic control in people with type 2 diabetes mellitus during and after cancer treatment: A systematic review and meta-analysis. PLoS One. 2017;12(5):e0176941. doi:10.1371/journal.pone.0176941</w:t>
      </w:r>
    </w:p>
    <w:p w14:paraId="7036E4E7"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28.</w:t>
      </w:r>
      <w:r w:rsidRPr="001250B4">
        <w:rPr>
          <w:rFonts w:ascii="Arial" w:hAnsi="Arial" w:cs="Arial"/>
        </w:rPr>
        <w:tab/>
        <w:t>Hershey DS. Importance of glycemic control in cancer patients with diabetes: treatment through end of life. Asia-Pacific journal of oncology nursing. 2017;4(4):313-318. doi:10.4103/apjon.apjon_40_17</w:t>
      </w:r>
    </w:p>
    <w:p w14:paraId="04F87426"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29.</w:t>
      </w:r>
      <w:r w:rsidRPr="001250B4">
        <w:rPr>
          <w:rFonts w:ascii="Arial" w:hAnsi="Arial" w:cs="Arial"/>
        </w:rPr>
        <w:tab/>
        <w:t>Vissers PAJ, Falzon L, van de Poll-Franse LV, Pouwer F, Thong MSY. The impact of having both cancer and diabetes on patient-reported outcomes: a systematic review and directions for future research. J Cancer Surviv. 2016;10(2):406-415. doi:10.1007/s11764-015-0486-3</w:t>
      </w:r>
    </w:p>
    <w:p w14:paraId="4A8C7D97"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30.</w:t>
      </w:r>
      <w:r w:rsidRPr="001250B4">
        <w:rPr>
          <w:rFonts w:ascii="Arial" w:hAnsi="Arial" w:cs="Arial"/>
        </w:rPr>
        <w:tab/>
        <w:t>Alenzi EO, Kelley GA. The association of hyperglycemia and diabetes mellitus and the risk of chemotherapy-induced neutropenia among cancer patients: A systematic review with meta-analysis. J Diabetes Complications. Jan 2017;31(1):267-272. doi:10.1016/j.jdiacomp.2016.09.006</w:t>
      </w:r>
    </w:p>
    <w:p w14:paraId="0ABAF502"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31.</w:t>
      </w:r>
      <w:r w:rsidRPr="001250B4">
        <w:rPr>
          <w:rFonts w:ascii="Arial" w:hAnsi="Arial" w:cs="Arial"/>
        </w:rPr>
        <w:tab/>
        <w:t>Chao C, Page JH, Yang SJ, Rodriguez R, Huynh J, Chia VM. History of chronic comorbidity and risk of chemotherapy-induced febrile neutropenia in cancer patients not receiving G-CSF prophylaxis. Annals of Oncology. 2014;25(9):1821-1829. doi:10.1093/annonc/mdu203</w:t>
      </w:r>
    </w:p>
    <w:p w14:paraId="4155F776"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32.</w:t>
      </w:r>
      <w:r w:rsidRPr="001250B4">
        <w:rPr>
          <w:rFonts w:ascii="Arial" w:hAnsi="Arial" w:cs="Arial"/>
        </w:rPr>
        <w:tab/>
        <w:t>Yang IP, Miao ZF, Huang CW, et al. High blood sugar levels but not diabetes mellitus significantly enhance oxaliplatin chemoresistance in patients with stage III colorectal cancer receiving adjuvant FOLFOX6 chemotherapy. Ther Adv Med Oncol. 2019;11:1758835919866964. doi:10.1177/1758835919866964</w:t>
      </w:r>
    </w:p>
    <w:p w14:paraId="1A034A61"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33.</w:t>
      </w:r>
      <w:r w:rsidRPr="001250B4">
        <w:rPr>
          <w:rFonts w:ascii="Arial" w:hAnsi="Arial" w:cs="Arial"/>
        </w:rPr>
        <w:tab/>
        <w:t>Liu X, Ji J, Sundquist K, Sundquist J, Hemminki K. The impact of type 2 diabetes mellitus on cancer-specific survival: a follow-up study in Sweden. Cancer. 2012;118(5):1353-61. doi:10.1002/cncr.26420</w:t>
      </w:r>
    </w:p>
    <w:p w14:paraId="0B491CEB"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34.</w:t>
      </w:r>
      <w:r w:rsidRPr="001250B4">
        <w:rPr>
          <w:rFonts w:ascii="Arial" w:hAnsi="Arial" w:cs="Arial"/>
        </w:rPr>
        <w:tab/>
        <w:t>Park JH, Kim H-Y, Lee H, Yun EK. A retrospective analysis to identify the factors affecting infection in patients undergoing chemotherapy. European Journal of Oncology Nursing. 2015;19(6):597-603. doi:https://doi.org/10.1016/j.ejon.2015.03.006</w:t>
      </w:r>
    </w:p>
    <w:p w14:paraId="0EE72742"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35.</w:t>
      </w:r>
      <w:r w:rsidRPr="001250B4">
        <w:rPr>
          <w:rFonts w:ascii="Arial" w:hAnsi="Arial" w:cs="Arial"/>
        </w:rPr>
        <w:tab/>
        <w:t>Brunello A, Kapoor R, Extermann M. Hyperglycemia during chemotherapy for hematologic and solid tumors is correlated with increased toxicity. Am J Clin Oncol. 2011;34(3):292-6. doi:10.1097/COC.0b013e3181e1d0c0</w:t>
      </w:r>
    </w:p>
    <w:p w14:paraId="54D9D82E"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lastRenderedPageBreak/>
        <w:t>36.</w:t>
      </w:r>
      <w:r w:rsidRPr="001250B4">
        <w:rPr>
          <w:rFonts w:ascii="Arial" w:hAnsi="Arial" w:cs="Arial"/>
        </w:rPr>
        <w:tab/>
        <w:t>Attili V, Bapsy P, Dadhich HK, Batra U, Lokanatha D, Babu KG. Impact of diabetes on cancer chemotherapy outcome: A retrospective analysis. International Journal of Diabetes in Developing Countries. 2007;27(4)122-128</w:t>
      </w:r>
    </w:p>
    <w:p w14:paraId="4447484F"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37.</w:t>
      </w:r>
      <w:r w:rsidRPr="001250B4">
        <w:rPr>
          <w:rFonts w:ascii="Arial" w:hAnsi="Arial" w:cs="Arial"/>
        </w:rPr>
        <w:tab/>
        <w:t>de la Morena Barrio P, Conesa M, González-Billalabeitia E, et al. Delayed recovery and increased severity of Paclitaxel-induced peripheral neuropathy in patients with diabetes. J Natl Compr Canc Netw. 2015;13(4):417-23. doi:10.6004/jnccn.2015.0057</w:t>
      </w:r>
    </w:p>
    <w:p w14:paraId="7DADD23E"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38.</w:t>
      </w:r>
      <w:r w:rsidRPr="001250B4">
        <w:rPr>
          <w:rFonts w:ascii="Arial" w:hAnsi="Arial" w:cs="Arial"/>
        </w:rPr>
        <w:tab/>
        <w:t>Kim S, Garg A, Raja F. Cancer patients with undiagnosed and poorly managed diabetes mellitus. Journal of Clinical Oncology. 2017;35(15_suppl):e18232-e18232. doi:10.1200/JCO.2017.35.15_suppl.e18232</w:t>
      </w:r>
    </w:p>
    <w:p w14:paraId="106782AC"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39.</w:t>
      </w:r>
      <w:r w:rsidRPr="001250B4">
        <w:rPr>
          <w:rFonts w:ascii="Arial" w:hAnsi="Arial" w:cs="Arial"/>
        </w:rPr>
        <w:tab/>
        <w:t>Hamilton A, Todd A, Wallace H, et al. Improving identification and management of steroid-induced hyperglycaemia in day-case chemotherapy patients: Results from a quality improvement project in a regional oncology centre. 2018. (Abstract) Diabetic Medicine 2018;35 (Suppl 1)</w:t>
      </w:r>
    </w:p>
    <w:p w14:paraId="6E0CB48F"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40.</w:t>
      </w:r>
      <w:r w:rsidRPr="001250B4">
        <w:rPr>
          <w:rFonts w:ascii="Arial" w:hAnsi="Arial" w:cs="Arial"/>
        </w:rPr>
        <w:tab/>
        <w:t>Zylla D, Gilmore G, Eklund J, Richter S, Carlson A. Impact of diabetes and hyperglycemia on health care utilization, infection risk, and survival in patients with cancer receiving glucocorticoids with chemotherapy. J Diabetes Complications. 2019;33(4):335-339. doi:10.1016/j.jdiacomp.2018.12.012</w:t>
      </w:r>
    </w:p>
    <w:p w14:paraId="7877B500"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41.</w:t>
      </w:r>
      <w:r w:rsidRPr="001250B4">
        <w:rPr>
          <w:rFonts w:ascii="Arial" w:hAnsi="Arial" w:cs="Arial"/>
        </w:rPr>
        <w:tab/>
        <w:t>Xu KY, Shameem R, Wu S. Risk of hyperglycemia attributable to everolimus in cancer patients: A meta-analysis. Acta Oncol. 2016;55(9-10):1196-1203. doi:10.3109/0284186x.2016.1168939</w:t>
      </w:r>
    </w:p>
    <w:p w14:paraId="2367C64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42.</w:t>
      </w:r>
      <w:r w:rsidRPr="001250B4">
        <w:rPr>
          <w:rFonts w:ascii="Arial" w:hAnsi="Arial" w:cs="Arial"/>
        </w:rPr>
        <w:tab/>
        <w:t>Verges B, Walter T, Cariou B. Endocrine side effects of anti-cancer drugs: effects of anti-cancer targeted therapies on lipid and glucose metabolism. Eur J Endocrinol. 2014;170(2):R43-55. doi:10.1530/EJE-13-0586</w:t>
      </w:r>
    </w:p>
    <w:p w14:paraId="5F2F30D7"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43.</w:t>
      </w:r>
      <w:r w:rsidRPr="001250B4">
        <w:rPr>
          <w:rFonts w:ascii="Arial" w:hAnsi="Arial" w:cs="Arial"/>
        </w:rPr>
        <w:tab/>
        <w:t>André F, Ciruelos E, Rubovszky G, et al. Alpelisib for PIK3CA-mutated, hormone receptor–positive advanced breast cancer. New England Journal of Medicine. 2019;380(20):1929-1940. doi:10.1056/NEJMoa1813904</w:t>
      </w:r>
    </w:p>
    <w:p w14:paraId="3071A324"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44.</w:t>
      </w:r>
      <w:r w:rsidRPr="001250B4">
        <w:rPr>
          <w:rFonts w:ascii="Arial" w:hAnsi="Arial" w:cs="Arial"/>
        </w:rPr>
        <w:tab/>
        <w:t>Shariff AI, Syed S, Shelby RA, et al. Novel cancer therapies and their association with diabetes. 2019;62(2):R187. doi:10.1530/jme-18-0002</w:t>
      </w:r>
    </w:p>
    <w:p w14:paraId="128C594C"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45.</w:t>
      </w:r>
      <w:r w:rsidRPr="001250B4">
        <w:rPr>
          <w:rFonts w:ascii="Arial" w:hAnsi="Arial" w:cs="Arial"/>
        </w:rPr>
        <w:tab/>
        <w:t>Sullivan I, Planchard D. Osimertinib in the treatment of patients with epidermal growth factor receptor T790M mutation-positive metastatic non-small cell lung cancer: clinical trial evidence and experience. Therapeutic Advances in Respiratory Disease. 2016;10(6):549-565. doi:10.1177/1753465816670498</w:t>
      </w:r>
    </w:p>
    <w:p w14:paraId="2D4A7B72"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46.</w:t>
      </w:r>
      <w:r w:rsidRPr="001250B4">
        <w:rPr>
          <w:rFonts w:ascii="Arial" w:hAnsi="Arial" w:cs="Arial"/>
        </w:rPr>
        <w:tab/>
        <w:t>Wadlow RC, Hezel AF, Abrams TA, et al. Panitumumab in patients with KRAS wild-type colorectal cancer after progression on cetuximab. Oncologist. 2012;17(1):14. doi:10.1634/theoncologist.2011-0452</w:t>
      </w:r>
    </w:p>
    <w:p w14:paraId="1D6E9F28" w14:textId="28ED1590"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47.</w:t>
      </w:r>
      <w:r w:rsidRPr="001250B4">
        <w:rPr>
          <w:rFonts w:ascii="Arial" w:hAnsi="Arial" w:cs="Arial"/>
        </w:rPr>
        <w:tab/>
        <w:t>Joint Formulary Committee. British National Formulary. Available at: https://bnf</w:t>
      </w:r>
      <w:r w:rsidR="00C04B27" w:rsidRPr="001250B4">
        <w:rPr>
          <w:rFonts w:ascii="Arial" w:hAnsi="Arial" w:cs="Arial"/>
        </w:rPr>
        <w:t>.</w:t>
      </w:r>
      <w:r w:rsidRPr="001250B4">
        <w:rPr>
          <w:rFonts w:ascii="Arial" w:hAnsi="Arial" w:cs="Arial"/>
        </w:rPr>
        <w:t>nice</w:t>
      </w:r>
      <w:r w:rsidR="00C04B27" w:rsidRPr="001250B4">
        <w:rPr>
          <w:rFonts w:ascii="Arial" w:hAnsi="Arial" w:cs="Arial"/>
        </w:rPr>
        <w:t>.</w:t>
      </w:r>
      <w:r w:rsidRPr="001250B4">
        <w:rPr>
          <w:rFonts w:ascii="Arial" w:hAnsi="Arial" w:cs="Arial"/>
        </w:rPr>
        <w:t>org</w:t>
      </w:r>
      <w:r w:rsidR="00C04B27" w:rsidRPr="001250B4">
        <w:rPr>
          <w:rFonts w:ascii="Arial" w:hAnsi="Arial" w:cs="Arial"/>
        </w:rPr>
        <w:t>.</w:t>
      </w:r>
      <w:r w:rsidRPr="001250B4">
        <w:rPr>
          <w:rFonts w:ascii="Arial" w:hAnsi="Arial" w:cs="Arial"/>
        </w:rPr>
        <w:t>uk/drug/panitumumabhtml. 2020;Accessed 3rd March 2020</w:t>
      </w:r>
    </w:p>
    <w:p w14:paraId="37DC73BC"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48.</w:t>
      </w:r>
      <w:r w:rsidRPr="001250B4">
        <w:rPr>
          <w:rFonts w:ascii="Arial" w:hAnsi="Arial" w:cs="Arial"/>
        </w:rPr>
        <w:tab/>
        <w:t>Armstrong AJ, Halabi S, Eisen T, et al. Everolimus versus sunitinib for patients with metastatic non-clear cell renal cell carcinoma (ASPEN): a multicentre, open-label, randomised phase 2 trial. The Lancet Oncology. 2016;17(3):378-388. doi:10.1016/S1470-2045(15)00515-X</w:t>
      </w:r>
    </w:p>
    <w:p w14:paraId="1F50C199"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49.</w:t>
      </w:r>
      <w:r w:rsidRPr="001250B4">
        <w:rPr>
          <w:rFonts w:ascii="Arial" w:hAnsi="Arial" w:cs="Arial"/>
        </w:rPr>
        <w:tab/>
        <w:t>Agostino NM, Chinchilli VM, Lynch CJ, et al. Effect of the tyrosine kinase inhibitors (sunitinib, sorafenib, dasatinib, and imatinib) on blood glucose levels in diabetic and nondiabetic patients in general clinical practice. J Oncol Pharm Pract. 2011;17(3):197-202. doi:10.1177/1078155210378913</w:t>
      </w:r>
    </w:p>
    <w:p w14:paraId="781FDD4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50.</w:t>
      </w:r>
      <w:r w:rsidRPr="001250B4">
        <w:rPr>
          <w:rFonts w:ascii="Arial" w:hAnsi="Arial" w:cs="Arial"/>
        </w:rPr>
        <w:tab/>
        <w:t xml:space="preserve">Chang L, An Y, Yang S, Zhang X. Meta-analysis of therapeutic effects and the risks of hypertension and hyperglycemia in patients with renal cell carcinoma who were </w:t>
      </w:r>
      <w:r w:rsidRPr="001250B4">
        <w:rPr>
          <w:rFonts w:ascii="Arial" w:hAnsi="Arial" w:cs="Arial"/>
        </w:rPr>
        <w:lastRenderedPageBreak/>
        <w:t>receiving antiangiogenic drugs. J Cancer Res Ther. 2016;12(Supplement):96-103. doi:10.4103/0973-1482.191614</w:t>
      </w:r>
    </w:p>
    <w:p w14:paraId="7979C130"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51.</w:t>
      </w:r>
      <w:r w:rsidRPr="001250B4">
        <w:rPr>
          <w:rFonts w:ascii="Arial" w:hAnsi="Arial" w:cs="Arial"/>
        </w:rPr>
        <w:tab/>
        <w:t>Saglio G, Larson RA, Hughes TP, et al. Efficacy and Safety of Nilotinib In Chronic Phase (CP) Chronic Myeloid Leukemia (CML) Patients (Pts) with Type 2 Diabetes In the ENESTnd Trial. Blood. 2010;116(21):3430-3430. doi:10.1182/blood.V116.21.3430.3430</w:t>
      </w:r>
    </w:p>
    <w:p w14:paraId="4EF55622"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52.</w:t>
      </w:r>
      <w:r w:rsidRPr="001250B4">
        <w:rPr>
          <w:rFonts w:ascii="Arial" w:hAnsi="Arial" w:cs="Arial"/>
        </w:rPr>
        <w:tab/>
        <w:t>Chan O, Talati C, Isenalumhe L, et al. Side-effects profile and outcomes of ponatinib in the treatment of chronic myeloid leukemia. Blood advances. 2020;4(3):530-538. doi:10.1182/bloodadvances.2019000268</w:t>
      </w:r>
    </w:p>
    <w:p w14:paraId="34F62E65"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53.</w:t>
      </w:r>
      <w:r w:rsidRPr="001250B4">
        <w:rPr>
          <w:rFonts w:ascii="Arial" w:hAnsi="Arial" w:cs="Arial"/>
        </w:rPr>
        <w:tab/>
        <w:t>Villadolid J, Ersek JL, Fong MK, Sirianno L, Story ES. Management of hyperglycemia from epidermal growth factor receptor (EGFR) tyrosine kinase inhibitors (TKIs) targeting T790M-mediated resistance. Transl Lung Cancer Res. 2015;4(5):576-583. doi:10.3978/j.issn.2218-6751.2015.10.01</w:t>
      </w:r>
    </w:p>
    <w:p w14:paraId="635E9C9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54.</w:t>
      </w:r>
      <w:r w:rsidRPr="001250B4">
        <w:rPr>
          <w:rFonts w:ascii="Arial" w:hAnsi="Arial" w:cs="Arial"/>
        </w:rPr>
        <w:tab/>
        <w:t>Schlenk RF, Weber D, Fiedler W, et al. Midostaurin added to chemotherapy and continued single-agent maintenance therapy in acute myeloid leukemia with FLT3-ITD. Blood. 2019;133(8):840-851. doi:10.1182/blood-2018-08-869453</w:t>
      </w:r>
    </w:p>
    <w:p w14:paraId="3FA9A2F9"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55.</w:t>
      </w:r>
      <w:r w:rsidRPr="001250B4">
        <w:rPr>
          <w:rFonts w:ascii="Arial" w:hAnsi="Arial" w:cs="Arial"/>
        </w:rPr>
        <w:tab/>
        <w:t>Stone RM, Mandrekar SJ, Sanford BL, et al. Midostaurin plus chemotherapy for acute myeloid leukemia with a FLT3 mutation. New England Journal of Medicine. 2017;377(5):454-464. doi:10.1056/NEJMoa1614359</w:t>
      </w:r>
    </w:p>
    <w:p w14:paraId="69DDEFB0"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56.</w:t>
      </w:r>
      <w:r w:rsidRPr="001250B4">
        <w:rPr>
          <w:rFonts w:ascii="Arial" w:hAnsi="Arial" w:cs="Arial"/>
        </w:rPr>
        <w:tab/>
        <w:t>Perl AE, Martinelli G, Cortes JE, et al. Gilteritinib or Chemotherapy for Relapsed or Refractory FLT3-Mutated AML. New England Journal of Medicine. 2019;381(18):1728-1740. doi:10.1056/NEJMoa1902688</w:t>
      </w:r>
    </w:p>
    <w:p w14:paraId="02412CDA" w14:textId="597D5CF1"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57.</w:t>
      </w:r>
      <w:r w:rsidRPr="001250B4">
        <w:rPr>
          <w:rFonts w:ascii="Arial" w:hAnsi="Arial" w:cs="Arial"/>
        </w:rPr>
        <w:tab/>
        <w:t>US FDA. Mylotarg (gemtuzumab ozogamicin for injection). Available at: https://www</w:t>
      </w:r>
      <w:r w:rsidR="00C04B27" w:rsidRPr="001250B4">
        <w:rPr>
          <w:rFonts w:ascii="Arial" w:hAnsi="Arial" w:cs="Arial"/>
        </w:rPr>
        <w:t>.</w:t>
      </w:r>
      <w:r w:rsidRPr="001250B4">
        <w:rPr>
          <w:rFonts w:ascii="Arial" w:hAnsi="Arial" w:cs="Arial"/>
        </w:rPr>
        <w:t>accessdata</w:t>
      </w:r>
      <w:r w:rsidR="00C04B27" w:rsidRPr="001250B4">
        <w:rPr>
          <w:rFonts w:ascii="Arial" w:hAnsi="Arial" w:cs="Arial"/>
        </w:rPr>
        <w:t>.</w:t>
      </w:r>
      <w:r w:rsidRPr="001250B4">
        <w:rPr>
          <w:rFonts w:ascii="Arial" w:hAnsi="Arial" w:cs="Arial"/>
        </w:rPr>
        <w:t>fda</w:t>
      </w:r>
      <w:r w:rsidR="00C04B27" w:rsidRPr="001250B4">
        <w:rPr>
          <w:rFonts w:ascii="Arial" w:hAnsi="Arial" w:cs="Arial"/>
        </w:rPr>
        <w:t>.</w:t>
      </w:r>
      <w:r w:rsidRPr="001250B4">
        <w:rPr>
          <w:rFonts w:ascii="Arial" w:hAnsi="Arial" w:cs="Arial"/>
        </w:rPr>
        <w:t>gov/drugsatfda_docs/label/2006/021174s020lblpdf. Accessed January 2021;</w:t>
      </w:r>
    </w:p>
    <w:p w14:paraId="1962489E"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58.</w:t>
      </w:r>
      <w:r w:rsidRPr="001250B4">
        <w:rPr>
          <w:rFonts w:ascii="Arial" w:hAnsi="Arial" w:cs="Arial"/>
        </w:rPr>
        <w:tab/>
        <w:t xml:space="preserve">Wolin EM. The expanding role of somatostatin analogs in the management of neuroendocrine tumors. Gastrointest Cancer Res. 2012;5(5):161-168. </w:t>
      </w:r>
    </w:p>
    <w:p w14:paraId="6A88895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59.</w:t>
      </w:r>
      <w:r w:rsidRPr="001250B4">
        <w:rPr>
          <w:rFonts w:ascii="Arial" w:hAnsi="Arial" w:cs="Arial"/>
        </w:rPr>
        <w:tab/>
        <w:t>Yang J, Jia B, Qiao Y, Chen W, Qi X. Variations of blood glucose in cancer patients during chemotherapy. Original Article. Nigerian Journal of Clinical Practice. 2016 2016;19(6):704-708. doi:10.4103/1119-3077.187323</w:t>
      </w:r>
    </w:p>
    <w:p w14:paraId="13092147"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60.</w:t>
      </w:r>
      <w:r w:rsidRPr="001250B4">
        <w:rPr>
          <w:rFonts w:ascii="Arial" w:hAnsi="Arial" w:cs="Arial"/>
        </w:rPr>
        <w:tab/>
        <w:t>Yang J, Jia B, Yan J, He J. Glycaemic adverse drug reactions from anti-neoplastics used in treating pancreatic cancer. Niger J Clin Pract. 2017;20(11):1422-1427. doi:10.4103/njcp.njcp_444_16</w:t>
      </w:r>
    </w:p>
    <w:p w14:paraId="604E586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61.</w:t>
      </w:r>
      <w:r w:rsidRPr="001250B4">
        <w:rPr>
          <w:rFonts w:ascii="Arial" w:hAnsi="Arial" w:cs="Arial"/>
        </w:rPr>
        <w:tab/>
        <w:t>Paz-Ares L, de Marinis F, Dediu M, et al. Maintenance therapy with pemetrexed plus best supportive care versus placebo plus best supportive care after induction therapy with pemetrexed plus cisplatin for advanced non-squamous non-small-cell lung cancer (PARAMOUNT): a double-blind, phase 3, randomised controlled trial. Lancet Oncol. 2012;13(3):247-55. doi:10.1016/s1470-2045(12)70063-3</w:t>
      </w:r>
    </w:p>
    <w:p w14:paraId="38A1C5A0"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62.</w:t>
      </w:r>
      <w:r w:rsidRPr="001250B4">
        <w:rPr>
          <w:rFonts w:ascii="Arial" w:hAnsi="Arial" w:cs="Arial"/>
        </w:rPr>
        <w:tab/>
        <w:t>Clinical Trials. Pemetrexed and best supportive care versus placebo and best supportive care in non-small cell lung cancer (NSCLC). Available at: https://clinicaltrialsgov/ct2/show/results/NCT00102804. 2014;Accessed 3rd March 2020</w:t>
      </w:r>
    </w:p>
    <w:p w14:paraId="3127680A"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63.</w:t>
      </w:r>
      <w:r w:rsidRPr="001250B4">
        <w:rPr>
          <w:rFonts w:ascii="Arial" w:hAnsi="Arial" w:cs="Arial"/>
        </w:rPr>
        <w:tab/>
        <w:t>Ma YY, Zhao M, Liu Y, et al. Use of decitabine for patients with refractory or relapsed acute myeloid leukemia: a systematic review and meta-analysis. Hematology. 2019;24(1):507-515. doi:10.1080/16078454.2019.1632407</w:t>
      </w:r>
    </w:p>
    <w:p w14:paraId="4FCF0419" w14:textId="4AB77A9E"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64.</w:t>
      </w:r>
      <w:r w:rsidRPr="001250B4">
        <w:rPr>
          <w:rFonts w:ascii="Arial" w:hAnsi="Arial" w:cs="Arial"/>
        </w:rPr>
        <w:tab/>
        <w:t>Electronic Medicines Compendium (emc). Busulfan concentrate for infusion. Available at : https://www</w:t>
      </w:r>
      <w:r w:rsidR="00C04B27" w:rsidRPr="001250B4">
        <w:rPr>
          <w:rFonts w:ascii="Arial" w:hAnsi="Arial" w:cs="Arial"/>
        </w:rPr>
        <w:t>.</w:t>
      </w:r>
      <w:r w:rsidRPr="001250B4">
        <w:rPr>
          <w:rFonts w:ascii="Arial" w:hAnsi="Arial" w:cs="Arial"/>
        </w:rPr>
        <w:t>medicines</w:t>
      </w:r>
      <w:r w:rsidR="00C04B27" w:rsidRPr="001250B4">
        <w:rPr>
          <w:rFonts w:ascii="Arial" w:hAnsi="Arial" w:cs="Arial"/>
        </w:rPr>
        <w:t>.</w:t>
      </w:r>
      <w:r w:rsidRPr="001250B4">
        <w:rPr>
          <w:rFonts w:ascii="Arial" w:hAnsi="Arial" w:cs="Arial"/>
        </w:rPr>
        <w:t>org</w:t>
      </w:r>
      <w:r w:rsidR="00C04B27" w:rsidRPr="001250B4">
        <w:rPr>
          <w:rFonts w:ascii="Arial" w:hAnsi="Arial" w:cs="Arial"/>
        </w:rPr>
        <w:t>.</w:t>
      </w:r>
      <w:r w:rsidRPr="001250B4">
        <w:rPr>
          <w:rFonts w:ascii="Arial" w:hAnsi="Arial" w:cs="Arial"/>
        </w:rPr>
        <w:t>uk/emc/product/2160/smpc#gref. Accessed January 2021;</w:t>
      </w:r>
    </w:p>
    <w:p w14:paraId="53DD235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lastRenderedPageBreak/>
        <w:t>65.</w:t>
      </w:r>
      <w:r w:rsidRPr="001250B4">
        <w:rPr>
          <w:rFonts w:ascii="Arial" w:hAnsi="Arial" w:cs="Arial"/>
        </w:rPr>
        <w:tab/>
        <w:t>Huang CY, Lin YS, Liu YH, Lin SC, Kang BH. Hyperglycemia crisis in head and neck cancer patients with platinum-based chemotherapy. J Chin Med Assoc. 2018;81(12):1060-1064. doi:10.1016/j.jcma.2018.05.008</w:t>
      </w:r>
    </w:p>
    <w:p w14:paraId="65A104BC"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66.</w:t>
      </w:r>
      <w:r w:rsidRPr="001250B4">
        <w:rPr>
          <w:rFonts w:ascii="Arial" w:hAnsi="Arial" w:cs="Arial"/>
        </w:rPr>
        <w:tab/>
        <w:t>Nan DN, Fernandez-Ayala M, Vega Villegas ME, et al. Diabetes mellitus following cisplatin treatment. Acta Oncol. 2003;42(1):75-8. doi:10.1080/0891060310002276</w:t>
      </w:r>
    </w:p>
    <w:p w14:paraId="6D3F9B7A"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67.</w:t>
      </w:r>
      <w:r w:rsidRPr="001250B4">
        <w:rPr>
          <w:rFonts w:ascii="Arial" w:hAnsi="Arial" w:cs="Arial"/>
        </w:rPr>
        <w:tab/>
        <w:t>Yang J, Wang Y, Liu K, Yang W, Zhang J. Risk factors for doxorubicin-induced serious hyperglycaemia-related adverse drug reactions. Diabetes Ther. 2019;10(5):1949-1957. doi:10.1007/s13300-019-00677-0</w:t>
      </w:r>
    </w:p>
    <w:p w14:paraId="3C3C88D6"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68.</w:t>
      </w:r>
      <w:r w:rsidRPr="001250B4">
        <w:rPr>
          <w:rFonts w:ascii="Arial" w:hAnsi="Arial" w:cs="Arial"/>
        </w:rPr>
        <w:tab/>
        <w:t>Kritharis A, Bradley TP, Budman DR. Association of diabetes mellitus with arsenic trioxide (ATO) evaluated in the treatment of acute promyelocytic leukemia (APL). Journal of Clinical Oncology. 2011;29(15_suppl):e19724-e19724. doi:10.1200/jco.2011.29.15_suppl.e19724</w:t>
      </w:r>
    </w:p>
    <w:p w14:paraId="795A5AC5"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69.</w:t>
      </w:r>
      <w:r w:rsidRPr="001250B4">
        <w:rPr>
          <w:rFonts w:ascii="Arial" w:hAnsi="Arial" w:cs="Arial"/>
        </w:rPr>
        <w:tab/>
        <w:t>Haanen JBAG, Carbonnel F, Robert C, et al. Management of toxicities from immunotherapy: ESMO Clinical Practice Guidelines for diagnosis, treatment and follow-up†. Annals of Oncology. 2017;28:iv119-iv142. doi:https://doi.org/10.1093/annonc/mdx225</w:t>
      </w:r>
    </w:p>
    <w:p w14:paraId="1A59406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70.</w:t>
      </w:r>
      <w:r w:rsidRPr="001250B4">
        <w:rPr>
          <w:rFonts w:ascii="Arial" w:hAnsi="Arial" w:cs="Arial"/>
        </w:rPr>
        <w:tab/>
        <w:t>Kotwal A, Haddox C, Block M, Kudva YC. Immune checkpoint inhibitors: an emerging cause of insulin-dependent diabetes. BMJ Open Diabetes Research &amp; Care. 2019;7(1):e000591. doi:10.1136/bmjdrc-2018-000591</w:t>
      </w:r>
    </w:p>
    <w:p w14:paraId="6D07E38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71.</w:t>
      </w:r>
      <w:r w:rsidRPr="001250B4">
        <w:rPr>
          <w:rFonts w:ascii="Arial" w:hAnsi="Arial" w:cs="Arial"/>
        </w:rPr>
        <w:tab/>
        <w:t>Lu J, Yang J, Liang Y, Meng H, Zhao J, Zhang X. Incidence of immune checkpoint inhibitor-associated diabetes: A meta-analysis of randomized controlled studies. Systematic Review. Frontiers in Pharmacology. 2019;10(1453)doi:10.3389/fphar.2019.01453</w:t>
      </w:r>
    </w:p>
    <w:p w14:paraId="62B018B7"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72.</w:t>
      </w:r>
      <w:r w:rsidRPr="001250B4">
        <w:rPr>
          <w:rFonts w:ascii="Arial" w:hAnsi="Arial" w:cs="Arial"/>
        </w:rPr>
        <w:tab/>
        <w:t>Wang H, Sun X, Zhao L, Chen X, Zhao J. Androgen deprivation therapy is associated with diabetes: Evidence from meta-analysis. J Diabetes Investig. 2016;7(4):629-636. doi:10.1111/jdi.12472</w:t>
      </w:r>
    </w:p>
    <w:p w14:paraId="18B115B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73.</w:t>
      </w:r>
      <w:r w:rsidRPr="001250B4">
        <w:rPr>
          <w:rFonts w:ascii="Arial" w:hAnsi="Arial" w:cs="Arial"/>
        </w:rPr>
        <w:tab/>
        <w:t>Lipscombe LL, Fischer HD, Yun L, et al. Association between tamoxifen treatment and diabetes: a population-based study. Cancer. 2012;118(10):2615-22. doi:10.1002/cncr.26559</w:t>
      </w:r>
    </w:p>
    <w:p w14:paraId="5C9A391C"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74.</w:t>
      </w:r>
      <w:r w:rsidRPr="001250B4">
        <w:rPr>
          <w:rFonts w:ascii="Arial" w:hAnsi="Arial" w:cs="Arial"/>
        </w:rPr>
        <w:tab/>
        <w:t>Hwangbo Y, Lee EK. Acute hyperglycemia associated with anti-cancer medication. Endocrinol Metab (Seoul). 2017;32(1):23-29. doi:10.3803/EnM.2017.32.1.23</w:t>
      </w:r>
    </w:p>
    <w:p w14:paraId="238DD325"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75.</w:t>
      </w:r>
      <w:r w:rsidRPr="001250B4">
        <w:rPr>
          <w:rFonts w:ascii="Arial" w:hAnsi="Arial" w:cs="Arial"/>
        </w:rPr>
        <w:tab/>
        <w:t>Feng JP, Yuan XL, Li M, et al. Secondary diabetes associated with 5-fluorouracil-based chemotherapy regimens in non-diabetic patients with colorectal cancer: results from a single-centre cohort study. Colorectal Dis. 2013;15(1):27-33. doi:10.1111/j.1463-1318.2012.03097.x</w:t>
      </w:r>
    </w:p>
    <w:p w14:paraId="12EA0278"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76.</w:t>
      </w:r>
      <w:r w:rsidRPr="001250B4">
        <w:rPr>
          <w:rFonts w:ascii="Arial" w:hAnsi="Arial" w:cs="Arial"/>
        </w:rPr>
        <w:tab/>
        <w:t>Teng CJ, Chang KH, Tsai IJ, Hwang WL, Hsu CY, Sheu WH. Impact of anthracyclines on diabetes mellitus development in B-cell lymphoma patients: A nationwide population-based study. Clin Drug Investig. 2018;38(7):603-610. doi:10.1007/s40261-018-0645-1</w:t>
      </w:r>
    </w:p>
    <w:p w14:paraId="366D68C5"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77.</w:t>
      </w:r>
      <w:r w:rsidRPr="001250B4">
        <w:rPr>
          <w:rFonts w:ascii="Arial" w:hAnsi="Arial" w:cs="Arial"/>
        </w:rPr>
        <w:tab/>
        <w:t>Koltin D, Sung L, Naqvi A, Urbach SL. Medication induced diabetes during induction in pediatric acute lymphoblastic leukemia: prevalence, risk factors and characteristics. Support Care Cancer. 2012;20(9):2009-15. doi:10.1007/s00520-011-1307-5</w:t>
      </w:r>
    </w:p>
    <w:p w14:paraId="1E5929BB"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78.</w:t>
      </w:r>
      <w:r w:rsidRPr="001250B4">
        <w:rPr>
          <w:rFonts w:ascii="Arial" w:hAnsi="Arial" w:cs="Arial"/>
        </w:rPr>
        <w:tab/>
        <w:t>van Niekerk G, Engelbrecht AM. Inflammation-induced metabolic derangements or adaptation: An immunometabolic perspective. Cytokine Growth Factor Rev. 2018;43:47-53. doi:10.1016/j.cytogfr.2018.06.003</w:t>
      </w:r>
    </w:p>
    <w:p w14:paraId="5DA2AE71"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79.</w:t>
      </w:r>
      <w:r w:rsidRPr="001250B4">
        <w:rPr>
          <w:rFonts w:ascii="Arial" w:hAnsi="Arial" w:cs="Arial"/>
        </w:rPr>
        <w:tab/>
        <w:t xml:space="preserve">de Lima Junior EA, Yamashita AS, Pimentel GD, et al. Doxorubicin caused severe hyperglycaemia and insulin resistance, mediated by inhibition in AMPk signalling in </w:t>
      </w:r>
      <w:r w:rsidRPr="001250B4">
        <w:rPr>
          <w:rFonts w:ascii="Arial" w:hAnsi="Arial" w:cs="Arial"/>
        </w:rPr>
        <w:lastRenderedPageBreak/>
        <w:t>skeletal muscle. J Cachexia Sarcopenia Muscle. 2016;7(5):615-625. doi:10.1002/jcsm.12104</w:t>
      </w:r>
    </w:p>
    <w:p w14:paraId="450B1824"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80.</w:t>
      </w:r>
      <w:r w:rsidRPr="001250B4">
        <w:rPr>
          <w:rFonts w:ascii="Arial" w:hAnsi="Arial" w:cs="Arial"/>
        </w:rPr>
        <w:tab/>
        <w:t>Giovannucci E. The critical need for guidance in managing glycaemic control in patients with cancer. https://doi.org/10.1111/dme.14624. Diabetic Medicine. 2021;e14624. doi:https://doi.org/10.1111/dme.14624</w:t>
      </w:r>
    </w:p>
    <w:p w14:paraId="55A9F6EB"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81.</w:t>
      </w:r>
      <w:r w:rsidRPr="001250B4">
        <w:rPr>
          <w:rFonts w:ascii="Arial" w:hAnsi="Arial" w:cs="Arial"/>
        </w:rPr>
        <w:tab/>
        <w:t>Buffier P, Bouillet B, Smati S, Archambeaud F, Cariou B, Verges B. Expert opinion on the metabolic complications of new anticancer therapies: Tyrosine kinase inhibitors. Ann Endocrinol (Paris). 2018;79(5):574-582. doi:10.1016/j.ando.2018.07.011</w:t>
      </w:r>
    </w:p>
    <w:p w14:paraId="7472670A"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82.</w:t>
      </w:r>
      <w:r w:rsidRPr="001250B4">
        <w:rPr>
          <w:rFonts w:ascii="Arial" w:hAnsi="Arial" w:cs="Arial"/>
        </w:rPr>
        <w:tab/>
        <w:t>Romero-Ventosa EY, Otero-Millán L, González-Costas S, et al. Effect of tyrosine kinase inhibitors on the glucose levels in diabetic and nondiabetic patients. Indian journal of cancer. 2017;54(1):136-143. doi:10.4103/ijc.IJC_190_17</w:t>
      </w:r>
    </w:p>
    <w:p w14:paraId="63E7EA62"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83.</w:t>
      </w:r>
      <w:r w:rsidRPr="001250B4">
        <w:rPr>
          <w:rFonts w:ascii="Arial" w:hAnsi="Arial" w:cs="Arial"/>
        </w:rPr>
        <w:tab/>
        <w:t>Sakuma I, Nagano H, Yoshino I, Yokote K, Tanaka T. Ceritinib aggravates glycemic control in insulin-treated patients with diabetes and metastatic ALK-positive lung cancer. Intern Med. 2019;58(6):817-820. doi:10.2169/internalmedicine.1870-18</w:t>
      </w:r>
    </w:p>
    <w:p w14:paraId="5317A644"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84.</w:t>
      </w:r>
      <w:r w:rsidRPr="001250B4">
        <w:rPr>
          <w:rFonts w:ascii="Arial" w:hAnsi="Arial" w:cs="Arial"/>
        </w:rPr>
        <w:tab/>
        <w:t>Bouillet B, Buffier P, Smati S, Archambeaud F, Cariou B, Vergès B. Expert opinion on the metabolic complications of mTOR inhibitors. Ann Endocrinol (Paris). 2018;79(5):583-590. doi:10.1016/j.ando.2018.07.010</w:t>
      </w:r>
    </w:p>
    <w:p w14:paraId="4D52516C"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85.</w:t>
      </w:r>
      <w:r w:rsidRPr="001250B4">
        <w:rPr>
          <w:rFonts w:ascii="Arial" w:hAnsi="Arial" w:cs="Arial"/>
        </w:rPr>
        <w:tab/>
        <w:t>Vergès B. mTOR and cardiovascular diseases: diabetes mellitus. Transplantation. 2018;102(2S Suppl 1):S47-s49. doi:10.1097/tp.0000000000001722</w:t>
      </w:r>
    </w:p>
    <w:p w14:paraId="6A0A8A74"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86.</w:t>
      </w:r>
      <w:r w:rsidRPr="001250B4">
        <w:rPr>
          <w:rFonts w:ascii="Arial" w:hAnsi="Arial" w:cs="Arial"/>
        </w:rPr>
        <w:tab/>
        <w:t>Martel S, Bruzzone M, Ceppi M, et al. Risk of adverse events with the addition of targeted agents to endocrine therapy in patients with hormone receptor-positive metastatic breast cancer: A systematic review and meta-analysis. Cancer treatment reviews. 2018;62:123-132. doi:10.1016/j.ctrv.2017.09.009</w:t>
      </w:r>
    </w:p>
    <w:p w14:paraId="316E6566"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87.</w:t>
      </w:r>
      <w:r w:rsidRPr="001250B4">
        <w:rPr>
          <w:rFonts w:ascii="Arial" w:hAnsi="Arial" w:cs="Arial"/>
        </w:rPr>
        <w:tab/>
        <w:t>Sivendran S, Agarwal N, Gartrell B, et al. Metabolic complications with the use of mTOR inhibitors for cancer therapy. Cancer treatment reviews. 2014;40(1):190-6. doi:10.1016/j.ctrv.2013.04.005</w:t>
      </w:r>
    </w:p>
    <w:p w14:paraId="7334CB0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88.</w:t>
      </w:r>
      <w:r w:rsidRPr="001250B4">
        <w:rPr>
          <w:rFonts w:ascii="Arial" w:hAnsi="Arial" w:cs="Arial"/>
        </w:rPr>
        <w:tab/>
        <w:t>Acharya GK, Hita AG, Yeung SJ, Yeung SJ. Diabetic ketoacidosis and acute pancreatitis: serious adverse effects of everolimus. Ann Emerg Med. 2017;69(5):666-667. doi:10.1016/j.annemergmed.2017.01.002</w:t>
      </w:r>
    </w:p>
    <w:p w14:paraId="4B5E9920"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89.</w:t>
      </w:r>
      <w:r w:rsidRPr="001250B4">
        <w:rPr>
          <w:rFonts w:ascii="Arial" w:hAnsi="Arial" w:cs="Arial"/>
        </w:rPr>
        <w:tab/>
        <w:t>Bono P, Oudard S, Bodrogi I, et al. Outcomes in patients with metastatic renal cell carcinoma who develop everolimus-related hyperglycemia and hypercholesterolemia: combined subgroup analyses of the RECORD-1 and REACT Trials. Clin Genitourin Cancer. 2016;14(5):406-414. doi:10.1016/j.clgc.2016.04.011</w:t>
      </w:r>
    </w:p>
    <w:p w14:paraId="07252D95"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90.</w:t>
      </w:r>
      <w:r w:rsidRPr="001250B4">
        <w:rPr>
          <w:rFonts w:ascii="Arial" w:hAnsi="Arial" w:cs="Arial"/>
        </w:rPr>
        <w:tab/>
        <w:t>Keating NL, O'Malley AJ, Freedland SJ, Smith MR. Diabetes and cardiovascular disease during androgen deprivation therapy: observational study of veterans with prostate cancer. J Natl Cancer Inst. 2010;102(1):39-46. doi:10.1093/jnci/djp404</w:t>
      </w:r>
    </w:p>
    <w:p w14:paraId="38524F26"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91.</w:t>
      </w:r>
      <w:r w:rsidRPr="001250B4">
        <w:rPr>
          <w:rFonts w:ascii="Arial" w:hAnsi="Arial" w:cs="Arial"/>
        </w:rPr>
        <w:tab/>
        <w:t>Ng HS, Koczwara B, Roder D, Vitry A. Development of comorbidities in men with prostate cancer treated with androgen deprivation therapy: an Australian population-based cohort study. Prostate cancer and prostatic diseases. 2018;21(3):403-410. doi:10.1038/s41391-018-0036-y</w:t>
      </w:r>
    </w:p>
    <w:p w14:paraId="48B32A1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92.</w:t>
      </w:r>
      <w:r w:rsidRPr="001250B4">
        <w:rPr>
          <w:rFonts w:ascii="Arial" w:hAnsi="Arial" w:cs="Arial"/>
        </w:rPr>
        <w:tab/>
        <w:t>Santorelli ML, Hirshfield KM, Steinberg MB, Rhoads GG, Lin Y, Demissie K. Hormonal therapy for breast cancer and diabetes incidence among postmenopausal women. Ann Epidemiol. 2016;26(6):436-40. doi:10.1016/j.annepidem.2016.04.004</w:t>
      </w:r>
    </w:p>
    <w:p w14:paraId="1C63750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93.</w:t>
      </w:r>
      <w:r w:rsidRPr="001250B4">
        <w:rPr>
          <w:rFonts w:ascii="Arial" w:hAnsi="Arial" w:cs="Arial"/>
        </w:rPr>
        <w:tab/>
        <w:t>Sun LM, Chen HJ, Liang JA, Li TC, Kao CH. Association of tamoxifen use and increased diabetes among Asian women diagnosed with breast cancer. Br J Cancer. 2014;111(9):1836-42. doi:10.1038/bjc.2014.488</w:t>
      </w:r>
    </w:p>
    <w:p w14:paraId="2E8E3762"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lastRenderedPageBreak/>
        <w:t>94.</w:t>
      </w:r>
      <w:r w:rsidRPr="001250B4">
        <w:rPr>
          <w:rFonts w:ascii="Arial" w:hAnsi="Arial" w:cs="Arial"/>
        </w:rPr>
        <w:tab/>
        <w:t>Quandt Z, Young A, Anderson M. Immune checkpoint inhibitor diabetes mellitus: a novel form of autoimmune diabetes. https://doi.org/10.1111/cei.13424. Clinical &amp; Experimental Immunology. 2020;200(2):131-140. doi:https://doi.org/10.1111/cei.13424</w:t>
      </w:r>
    </w:p>
    <w:p w14:paraId="20EF8544"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95.</w:t>
      </w:r>
      <w:r w:rsidRPr="001250B4">
        <w:rPr>
          <w:rFonts w:ascii="Arial" w:hAnsi="Arial" w:cs="Arial"/>
        </w:rPr>
        <w:tab/>
        <w:t>Falcone M, Fousteri G. Role of the PD-1/PD-L1 dyad in the maintenance of pancreatic immune tolerance for prevention of type 1 diabetes. Review. Frontiers in Endocrinology. 2020;11(569)doi:10.3389/fendo.2020.00569</w:t>
      </w:r>
    </w:p>
    <w:p w14:paraId="1FD8534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96.</w:t>
      </w:r>
      <w:r w:rsidRPr="001250B4">
        <w:rPr>
          <w:rFonts w:ascii="Arial" w:hAnsi="Arial" w:cs="Arial"/>
        </w:rPr>
        <w:tab/>
        <w:t>Clotman K, Janssens K, Specenier P, Weets I, De Block CEM. Programmed cell death-1 inhibitor–induced type 1 diabetes mellitus. The Journal of Clinical Endocrinology &amp; Metabolism. 2018;103(9):3144-3154. doi:10.1210/jc.2018-00728</w:t>
      </w:r>
    </w:p>
    <w:p w14:paraId="49008365"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97.</w:t>
      </w:r>
      <w:r w:rsidRPr="001250B4">
        <w:rPr>
          <w:rFonts w:ascii="Arial" w:hAnsi="Arial" w:cs="Arial"/>
        </w:rPr>
        <w:tab/>
        <w:t>Stamatouli AM, Quandt Z, Perdigoto AL, et al. Collateral damage: insulin-dependent diabetes induced with checkpoint inhibitors. Diabetes. 2018;67(8):1471-1480. doi:10.2337/dbi18-0002</w:t>
      </w:r>
    </w:p>
    <w:p w14:paraId="33BD8C0A"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98.</w:t>
      </w:r>
      <w:r w:rsidRPr="001250B4">
        <w:rPr>
          <w:rFonts w:ascii="Arial" w:hAnsi="Arial" w:cs="Arial"/>
        </w:rPr>
        <w:tab/>
        <w:t>Akturk HK, Kahramangil D, Sarwal A, Hoffecker L, Murad MH, Michels AW. Immune checkpoint inhibitor-induced Type 1 diabetes: a systematic review and meta-analysis. https://doi.org/10.1111/dme.14050. Diabetic Medicine. 2019;36(9):1075-1081. doi:https://doi.org/10.1111/dme.14050</w:t>
      </w:r>
    </w:p>
    <w:p w14:paraId="09B22704"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99.</w:t>
      </w:r>
      <w:r w:rsidRPr="001250B4">
        <w:rPr>
          <w:rFonts w:ascii="Arial" w:hAnsi="Arial" w:cs="Arial"/>
        </w:rPr>
        <w:tab/>
        <w:t>Perdigoto AL, Quandt Z, Anderson M, Herold KC. Checkpoint inhibitor-induced insulin-dependent diabetes: an emerging syndrome. The Lancet Diabetes &amp; Endocrinology. 2019;7(6):421-423. doi:10.1016/S2213-8587(19)30072-5</w:t>
      </w:r>
    </w:p>
    <w:p w14:paraId="128F6D98"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100.</w:t>
      </w:r>
      <w:r w:rsidRPr="001250B4">
        <w:rPr>
          <w:rFonts w:ascii="Arial" w:hAnsi="Arial" w:cs="Arial"/>
        </w:rPr>
        <w:tab/>
        <w:t>Kyriacou A, Melson E, Chen W, Kempegowda P. Is immune checkpoint inhibitor-associated diabetes the same as fulminant type 1 diabetes mellitus? Clinical Medicine. 2020;20(4):417-423. doi:10.7861/clinmed.2020-0054</w:t>
      </w:r>
    </w:p>
    <w:p w14:paraId="236C08FB"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101.</w:t>
      </w:r>
      <w:r w:rsidRPr="001250B4">
        <w:rPr>
          <w:rFonts w:ascii="Arial" w:hAnsi="Arial" w:cs="Arial"/>
        </w:rPr>
        <w:tab/>
        <w:t>Wright JJ, Salem J-E, Johnson DB, et al. Increased reporting of immune checkpoint inhibitor–associated diabetes. Diabetes Care. 2018;41(12):e150. doi:10.2337/dc18-1465</w:t>
      </w:r>
    </w:p>
    <w:p w14:paraId="02A157D5"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102.</w:t>
      </w:r>
      <w:r w:rsidRPr="001250B4">
        <w:rPr>
          <w:rFonts w:ascii="Arial" w:hAnsi="Arial" w:cs="Arial"/>
        </w:rPr>
        <w:tab/>
        <w:t>de Filette JMK, Pen JJ, Decoster L, et al. Immune checkpoint inhibitors and type 1 diabetes mellitus: a case report and systematic review. Eur J Endocrinol. Sep 2019;181(3):363-374. doi:10.1530/eje-19-0291</w:t>
      </w:r>
    </w:p>
    <w:p w14:paraId="02B34745"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103.</w:t>
      </w:r>
      <w:r w:rsidRPr="001250B4">
        <w:rPr>
          <w:rFonts w:ascii="Arial" w:hAnsi="Arial" w:cs="Arial"/>
        </w:rPr>
        <w:tab/>
        <w:t>Byun DJ, Braunstein R, Flynn J, et al. Immune checkpoint inhibitor-associated diabetes: A single-institution experience. Diabetes Care. 2020;43(12):3106-3109. doi:10.2337/dc20-0609</w:t>
      </w:r>
    </w:p>
    <w:p w14:paraId="32C1E116"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104.</w:t>
      </w:r>
      <w:r w:rsidRPr="001250B4">
        <w:rPr>
          <w:rFonts w:ascii="Arial" w:hAnsi="Arial" w:cs="Arial"/>
        </w:rPr>
        <w:tab/>
        <w:t>Perez A, Jansen-Chaparro S, Saigi I, Bernal-Lopez MR, Miñambres I, Gomez-Huelgas R. Glucocorticoid-induced hyperglycemia. J Diabetes. 2014;6(1):9-20. doi:10.1111/1753-0407.12090</w:t>
      </w:r>
    </w:p>
    <w:p w14:paraId="52E4CA40"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105.</w:t>
      </w:r>
      <w:r w:rsidRPr="001250B4">
        <w:rPr>
          <w:rFonts w:ascii="Arial" w:hAnsi="Arial" w:cs="Arial"/>
        </w:rPr>
        <w:tab/>
        <w:t>Dunning T, Martin P. Palliative and end of life care of people with diabetes: Issues, challenges and strategies. Diabetes Res Clin Pract. 2018;143:454-463. doi:10.1016/j.diabres.2017.09.018</w:t>
      </w:r>
    </w:p>
    <w:p w14:paraId="2E2FD377"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106.</w:t>
      </w:r>
      <w:r w:rsidRPr="001250B4">
        <w:rPr>
          <w:rFonts w:ascii="Arial" w:hAnsi="Arial" w:cs="Arial"/>
        </w:rPr>
        <w:tab/>
        <w:t xml:space="preserve">Joint British Diabetes Society (JBDS) for Inpatient Care Group. Steroid use for inpatients with diabetes. Available at: </w:t>
      </w:r>
      <w:hyperlink r:id="rId8" w:history="1">
        <w:r w:rsidRPr="001250B4">
          <w:rPr>
            <w:rStyle w:val="Hyperlink"/>
            <w:rFonts w:ascii="Arial" w:hAnsi="Arial" w:cs="Arial"/>
            <w:color w:val="auto"/>
          </w:rPr>
          <w:t>https://abcdcare/resource/steroid-use-inpatients-diabetes</w:t>
        </w:r>
      </w:hyperlink>
      <w:r w:rsidRPr="001250B4">
        <w:rPr>
          <w:rFonts w:ascii="Arial" w:hAnsi="Arial" w:cs="Arial"/>
        </w:rPr>
        <w:t>. May 202</w:t>
      </w:r>
    </w:p>
    <w:p w14:paraId="7BD04A61"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107.</w:t>
      </w:r>
      <w:r w:rsidRPr="001250B4">
        <w:rPr>
          <w:rFonts w:ascii="Arial" w:hAnsi="Arial" w:cs="Arial"/>
        </w:rPr>
        <w:tab/>
        <w:t>Tamez-Pérez HE, Quintanilla-Flores DL, Rodríguez-Gutiérrez R, González-González JG, Tamez-Peña AL. Steroid hyperglycemia: Prevalence, early detection and therapeutic recommendations: A narrative review. World J Diabetes. 2015;6(8):1073-1081. doi:10.4239/wjd.v6.i8.1073</w:t>
      </w:r>
    </w:p>
    <w:p w14:paraId="00C25664"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108.</w:t>
      </w:r>
      <w:r w:rsidRPr="001250B4">
        <w:rPr>
          <w:rFonts w:ascii="Arial" w:hAnsi="Arial" w:cs="Arial"/>
        </w:rPr>
        <w:tab/>
        <w:t>Pilkey J, Streeter L, Beel A, Hiebert T, Li X. Corticosteroid-induced diabetes in palliative care. J Palliat Med. 2012;15(6):681-9. doi:10.1089/jpm.2011.0513</w:t>
      </w:r>
    </w:p>
    <w:p w14:paraId="3A78E437"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109.</w:t>
      </w:r>
      <w:r w:rsidRPr="001250B4">
        <w:rPr>
          <w:rFonts w:ascii="Arial" w:hAnsi="Arial" w:cs="Arial"/>
        </w:rPr>
        <w:tab/>
        <w:t>Gannon C, Dando N. Dose-sensitive steroid-induced hyperglycaemia. Palliat Med. 2010;24(7):737-9. doi:10.1177/0269216310377816</w:t>
      </w:r>
    </w:p>
    <w:p w14:paraId="4AD7DA10"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lastRenderedPageBreak/>
        <w:t>110.</w:t>
      </w:r>
      <w:r w:rsidRPr="001250B4">
        <w:rPr>
          <w:rFonts w:ascii="Arial" w:hAnsi="Arial" w:cs="Arial"/>
        </w:rPr>
        <w:tab/>
        <w:t>Liu XX, Zhu XM, Miao Q, Ye HY, Zhang ZY, Li YM. Hyperglycemia induced by glucocorticoids in nondiabetic patients: a meta-analysis. Ann Nutr Metab. 2014;65(4):324-32. doi:10.1159/000365892</w:t>
      </w:r>
    </w:p>
    <w:p w14:paraId="55D5731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111.</w:t>
      </w:r>
      <w:r w:rsidRPr="001250B4">
        <w:rPr>
          <w:rFonts w:ascii="Arial" w:hAnsi="Arial" w:cs="Arial"/>
        </w:rPr>
        <w:tab/>
        <w:t>Narwani V, Swafe L, Stavraka C, Dhatariya K. How frequently are bedside glucose levels measured in hospital inpatients on glucocorticoid treatment? Clin Med (Lond). 2014;14(3):327-328. doi:10.7861/clinmedicine.14-3-326a</w:t>
      </w:r>
    </w:p>
    <w:p w14:paraId="78AC82E1"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112.</w:t>
      </w:r>
      <w:r w:rsidRPr="001250B4">
        <w:rPr>
          <w:rFonts w:ascii="Arial" w:hAnsi="Arial" w:cs="Arial"/>
        </w:rPr>
        <w:tab/>
        <w:t>Jeong Y, Han HS, Lee HD, et al. A pilot study evaluating steroid-induced diabetes after antiemetic dexamethasone therapy in chemotherapy-treated cancer patients. Cancer Res Treat. 2016;48(4):1429-1437. doi:10.4143/crt.2015.464</w:t>
      </w:r>
    </w:p>
    <w:p w14:paraId="0D25EFEC"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113.</w:t>
      </w:r>
      <w:r w:rsidRPr="001250B4">
        <w:rPr>
          <w:rFonts w:ascii="Arial" w:hAnsi="Arial" w:cs="Arial"/>
        </w:rPr>
        <w:tab/>
        <w:t>Lyall MJ, Thethy I, Steven L, et al. Diurnal profile of interstitial glucose following dexamethasone prophylaxis for chemotherapy treatment of gynaecological cancer. Diabet Med. 2018;35(11):1508-1514. doi:10.1111/dme.13770</w:t>
      </w:r>
    </w:p>
    <w:p w14:paraId="0371DFB8"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114.</w:t>
      </w:r>
      <w:r w:rsidRPr="001250B4">
        <w:rPr>
          <w:rFonts w:ascii="Arial" w:hAnsi="Arial" w:cs="Arial"/>
        </w:rPr>
        <w:tab/>
        <w:t>Lamar ZS, Dothard A, Kennedy L, et al. Hyperglycemia during first-line R-CHOP or dose adjusted R-EPOCH chemotherapy for non-Hodgkin lymphoma is prevalent and associated with chemotherapy alteration - a retrospective study. Leuk Lymphoma. 2018;59(8):1871-1877. doi:10.1080/10428194.2017.1410889</w:t>
      </w:r>
    </w:p>
    <w:p w14:paraId="42A0450C"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115.</w:t>
      </w:r>
      <w:r w:rsidRPr="001250B4">
        <w:rPr>
          <w:rFonts w:ascii="Arial" w:hAnsi="Arial" w:cs="Arial"/>
        </w:rPr>
        <w:tab/>
        <w:t>Lee S-y, Kurita N, Yokoyama Y, et al. Glucocorticoid-induced diabetes mellitus in patients with lymphoma treated with CHOP chemotherapy. Supportive Care in Cancer. 2014;22(5):1385-1390. doi:10.1007/s00520-013-2097-8</w:t>
      </w:r>
    </w:p>
    <w:p w14:paraId="1985C7D6"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116.</w:t>
      </w:r>
      <w:r w:rsidRPr="001250B4">
        <w:rPr>
          <w:rFonts w:ascii="Arial" w:hAnsi="Arial" w:cs="Arial"/>
        </w:rPr>
        <w:tab/>
        <w:t xml:space="preserve">Healy SJ, Nagaraja HN, Alwan D, Dungan KM. Prevalence, predictors, and outcomes of steroid-induced hyperglycemia in hospitalized patients with hematologic malignancies. Endocrine. </w:t>
      </w:r>
      <w:r w:rsidR="00F66D88" w:rsidRPr="001250B4">
        <w:rPr>
          <w:rFonts w:ascii="Arial" w:hAnsi="Arial" w:cs="Arial"/>
        </w:rPr>
        <w:t>2</w:t>
      </w:r>
      <w:r w:rsidRPr="001250B4">
        <w:rPr>
          <w:rFonts w:ascii="Arial" w:hAnsi="Arial" w:cs="Arial"/>
        </w:rPr>
        <w:t>017;56(1):90-97. doi:10.1007/s12020-016-1220-2</w:t>
      </w:r>
    </w:p>
    <w:p w14:paraId="3C50147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117.</w:t>
      </w:r>
      <w:r w:rsidRPr="001250B4">
        <w:rPr>
          <w:rFonts w:ascii="Arial" w:hAnsi="Arial" w:cs="Arial"/>
        </w:rPr>
        <w:tab/>
        <w:t>Roberts A, James J, Dhatariya K. Management of hyperglycaemia and steroid (glucocorticoid) therapy: a guideline from the Joint British Diabetes Societies (JBDS) for Inpatient Care group. Diabet Med. 2018;35(8):1011-1017. doi:10.1111/dme.13675</w:t>
      </w:r>
    </w:p>
    <w:p w14:paraId="672EDEA4"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118.</w:t>
      </w:r>
      <w:r w:rsidRPr="001250B4">
        <w:rPr>
          <w:rFonts w:ascii="Arial" w:hAnsi="Arial" w:cs="Arial"/>
        </w:rPr>
        <w:tab/>
        <w:t xml:space="preserve">Higham CE, Olsson-Brown A, Carroll P, et al. </w:t>
      </w:r>
      <w:r w:rsidR="00F66D88" w:rsidRPr="001250B4">
        <w:rPr>
          <w:rFonts w:ascii="Arial" w:hAnsi="Arial" w:cs="Arial"/>
        </w:rPr>
        <w:t>Society for Endocrinology emergency guidance</w:t>
      </w:r>
      <w:r w:rsidRPr="001250B4">
        <w:rPr>
          <w:rFonts w:ascii="Arial" w:hAnsi="Arial" w:cs="Arial"/>
        </w:rPr>
        <w:t>: Acute management of the endocrine complications of checkpoint inhibitor therapy. Endocrine connections. 2018;7(7):G1-G7. doi:10.1530/EC-18-0068</w:t>
      </w:r>
    </w:p>
    <w:p w14:paraId="0C20349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119.</w:t>
      </w:r>
      <w:r w:rsidRPr="001250B4">
        <w:rPr>
          <w:rFonts w:ascii="Arial" w:hAnsi="Arial" w:cs="Arial"/>
        </w:rPr>
        <w:tab/>
        <w:t>Przybylski DJ, Birhiray R, Reeves DJ. Severe Hypoglycemia Caused by Lenalidomide. Pharmacotherapy. 2018;38(1):e1-e6. doi:10.1002/phar.2061</w:t>
      </w:r>
    </w:p>
    <w:p w14:paraId="4A8F2840"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120.</w:t>
      </w:r>
      <w:r w:rsidRPr="001250B4">
        <w:rPr>
          <w:rFonts w:ascii="Arial" w:hAnsi="Arial" w:cs="Arial"/>
        </w:rPr>
        <w:tab/>
        <w:t>Electronic Medicines Compendium (emc). Bortezomib. Available from: https://wwwmedicinesorguk/emc/product/10201/smpc#gref. Accessed September 2021;</w:t>
      </w:r>
    </w:p>
    <w:p w14:paraId="71080872"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121.</w:t>
      </w:r>
      <w:r w:rsidRPr="001250B4">
        <w:rPr>
          <w:rFonts w:ascii="Arial" w:hAnsi="Arial" w:cs="Arial"/>
        </w:rPr>
        <w:tab/>
        <w:t>Joint British Diabetes Society (JBDS) for Inpatient Care Group. The Hospital Management of Hypoglycaemia in Adults with Diabetes Mellitus 3rd edition.</w:t>
      </w:r>
    </w:p>
    <w:p w14:paraId="5C38FE84" w14:textId="4632C683" w:rsidR="00002F76" w:rsidRPr="001250B4" w:rsidRDefault="00FC14AC" w:rsidP="001250B4">
      <w:pPr>
        <w:pStyle w:val="EndNoteBibliography"/>
        <w:spacing w:after="0" w:line="276" w:lineRule="auto"/>
        <w:ind w:left="576" w:hanging="576"/>
        <w:rPr>
          <w:rFonts w:ascii="Arial" w:hAnsi="Arial" w:cs="Arial"/>
        </w:rPr>
      </w:pPr>
      <w:r>
        <w:rPr>
          <w:rFonts w:ascii="Arial" w:hAnsi="Arial" w:cs="Arial"/>
        </w:rPr>
        <w:t xml:space="preserve">         </w:t>
      </w:r>
      <w:r w:rsidR="00002F76" w:rsidRPr="001250B4">
        <w:rPr>
          <w:rFonts w:ascii="Arial" w:hAnsi="Arial" w:cs="Arial"/>
        </w:rPr>
        <w:t>Available from: https://abcdcare/joint-british-diabetes-societies-jbds-inpatient-care-group. 2018;</w:t>
      </w:r>
    </w:p>
    <w:p w14:paraId="1188E699"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122.</w:t>
      </w:r>
      <w:r w:rsidRPr="001250B4">
        <w:rPr>
          <w:rFonts w:ascii="Arial" w:hAnsi="Arial" w:cs="Arial"/>
        </w:rPr>
        <w:tab/>
        <w:t>Joint British Diabetes Society for Inpatient Care. The Hospital Management of Hypoglycaemia in Adults with Diabetes Mellitus 4th Edition. Available at: https://abcdcare/sites/abcdcare/files/site_uploads/JBDS_HypoGuideline_4th_edition_FINALpdf. 2020;</w:t>
      </w:r>
    </w:p>
    <w:p w14:paraId="4C032A7D"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123.</w:t>
      </w:r>
      <w:r w:rsidRPr="001250B4">
        <w:rPr>
          <w:rFonts w:ascii="Arial" w:hAnsi="Arial" w:cs="Arial"/>
        </w:rPr>
        <w:tab/>
        <w:t>Joharatnam-Hogan N, Chambers P, Dhatariya K, Board R. A guideline for the outpatient management of glycaemic control in people with cancer. Diabet Med. Jul 9 2021:e14636. doi:10.1111/dme.14636</w:t>
      </w:r>
    </w:p>
    <w:p w14:paraId="3081CC03"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t>124.</w:t>
      </w:r>
      <w:r w:rsidRPr="001250B4">
        <w:rPr>
          <w:rFonts w:ascii="Arial" w:hAnsi="Arial" w:cs="Arial"/>
        </w:rPr>
        <w:tab/>
        <w:t>The UK Chemotherapy Board (UKCB) and Joint British Diabetes Society (JBDS). Management of Glycaemic Control in Patients with Cancer. Available from: https://wwwukchemotherapyboardorg/publications. Accessed September 2021;</w:t>
      </w:r>
    </w:p>
    <w:p w14:paraId="7E7C5751" w14:textId="77777777" w:rsidR="00002F76" w:rsidRPr="001250B4" w:rsidRDefault="00002F76" w:rsidP="001250B4">
      <w:pPr>
        <w:pStyle w:val="EndNoteBibliography"/>
        <w:spacing w:after="0" w:line="276" w:lineRule="auto"/>
        <w:ind w:left="576" w:hanging="576"/>
        <w:rPr>
          <w:rFonts w:ascii="Arial" w:hAnsi="Arial" w:cs="Arial"/>
        </w:rPr>
      </w:pPr>
      <w:r w:rsidRPr="001250B4">
        <w:rPr>
          <w:rFonts w:ascii="Arial" w:hAnsi="Arial" w:cs="Arial"/>
        </w:rPr>
        <w:lastRenderedPageBreak/>
        <w:t>125.</w:t>
      </w:r>
      <w:r w:rsidRPr="001250B4">
        <w:rPr>
          <w:rFonts w:ascii="Arial" w:hAnsi="Arial" w:cs="Arial"/>
        </w:rPr>
        <w:tab/>
        <w:t>Liu J, Li L, Li S, et al. Effects of SGLT2 inhibitors on UTIs and genital infections in type 2 diabetes mellitus: a systematic review and meta-analysis. Sci Rep. Jun 6 2017;7(1):2824. doi:10.1038/s41598-017-02733-w</w:t>
      </w:r>
    </w:p>
    <w:p w14:paraId="032EC287" w14:textId="77777777" w:rsidR="00002F76" w:rsidRPr="00E91A80" w:rsidRDefault="00002F76" w:rsidP="00002F76">
      <w:pPr>
        <w:spacing w:line="360" w:lineRule="auto"/>
        <w:rPr>
          <w:rFonts w:ascii="Arial" w:hAnsi="Arial" w:cs="Arial"/>
        </w:rPr>
      </w:pPr>
    </w:p>
    <w:p w14:paraId="33E97183" w14:textId="77777777" w:rsidR="00002F76" w:rsidRPr="00E91A80" w:rsidRDefault="00002F76" w:rsidP="00002F76">
      <w:pPr>
        <w:spacing w:line="360" w:lineRule="auto"/>
        <w:rPr>
          <w:rFonts w:ascii="Arial" w:hAnsi="Arial" w:cs="Arial"/>
        </w:rPr>
      </w:pPr>
    </w:p>
    <w:p w14:paraId="1DB47879" w14:textId="77777777" w:rsidR="00002F76" w:rsidRPr="00E91A80" w:rsidRDefault="00002F76" w:rsidP="00002F76">
      <w:pPr>
        <w:spacing w:line="360" w:lineRule="auto"/>
        <w:rPr>
          <w:rFonts w:ascii="Arial" w:hAnsi="Arial" w:cs="Arial"/>
        </w:rPr>
      </w:pPr>
    </w:p>
    <w:p w14:paraId="2F7E882F" w14:textId="77777777" w:rsidR="00002F76" w:rsidRPr="00E91A80" w:rsidRDefault="00002F76" w:rsidP="00002F76">
      <w:pPr>
        <w:pStyle w:val="ListParagraph"/>
        <w:spacing w:after="200" w:line="360" w:lineRule="auto"/>
        <w:jc w:val="both"/>
        <w:rPr>
          <w:rFonts w:ascii="Arial" w:hAnsi="Arial" w:cs="Arial"/>
        </w:rPr>
      </w:pPr>
    </w:p>
    <w:p w14:paraId="243B3ED4" w14:textId="77777777" w:rsidR="00002F76" w:rsidRPr="00E91A80" w:rsidRDefault="00002F76" w:rsidP="00002F76">
      <w:pPr>
        <w:spacing w:line="360" w:lineRule="auto"/>
        <w:rPr>
          <w:rFonts w:ascii="Arial" w:hAnsi="Arial" w:cs="Arial"/>
        </w:rPr>
      </w:pPr>
    </w:p>
    <w:p w14:paraId="0FE616FF" w14:textId="77777777" w:rsidR="001B3EA7" w:rsidRPr="00E91A80" w:rsidRDefault="001B3EA7">
      <w:pPr>
        <w:rPr>
          <w:rFonts w:ascii="Arial" w:hAnsi="Arial" w:cs="Arial"/>
        </w:rPr>
      </w:pPr>
    </w:p>
    <w:sectPr w:rsidR="001B3EA7" w:rsidRPr="00E91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187"/>
    <w:multiLevelType w:val="hybridMultilevel"/>
    <w:tmpl w:val="6CA4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4D36"/>
    <w:multiLevelType w:val="multilevel"/>
    <w:tmpl w:val="89AE793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C63DA"/>
    <w:multiLevelType w:val="hybridMultilevel"/>
    <w:tmpl w:val="B504DB10"/>
    <w:lvl w:ilvl="0" w:tplc="10F85C8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5575C"/>
    <w:multiLevelType w:val="multilevel"/>
    <w:tmpl w:val="53F8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55C95"/>
    <w:multiLevelType w:val="hybridMultilevel"/>
    <w:tmpl w:val="0EA4177A"/>
    <w:lvl w:ilvl="0" w:tplc="7484831A">
      <w:numFmt w:val="bullet"/>
      <w:lvlText w:val="-"/>
      <w:lvlJc w:val="left"/>
      <w:pPr>
        <w:ind w:left="720" w:hanging="360"/>
      </w:pPr>
      <w:rPr>
        <w:rFonts w:ascii="Frutiger-Light" w:hAnsi="Frutiger-Light" w:cs="Frutiger-Light"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35B0E"/>
    <w:multiLevelType w:val="hybridMultilevel"/>
    <w:tmpl w:val="0916E7D6"/>
    <w:lvl w:ilvl="0" w:tplc="7484831A">
      <w:numFmt w:val="bullet"/>
      <w:lvlText w:val="-"/>
      <w:lvlJc w:val="left"/>
      <w:pPr>
        <w:ind w:left="720" w:hanging="360"/>
      </w:pPr>
      <w:rPr>
        <w:rFonts w:ascii="Frutiger-Light" w:hAnsi="Frutiger-Light" w:cs="Frutiger-Light"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20EDA"/>
    <w:multiLevelType w:val="multilevel"/>
    <w:tmpl w:val="D65ACCF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346D4"/>
    <w:multiLevelType w:val="hybridMultilevel"/>
    <w:tmpl w:val="F960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279C7"/>
    <w:multiLevelType w:val="hybridMultilevel"/>
    <w:tmpl w:val="5B00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779A6"/>
    <w:multiLevelType w:val="multilevel"/>
    <w:tmpl w:val="3DA6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E73E5"/>
    <w:multiLevelType w:val="hybridMultilevel"/>
    <w:tmpl w:val="E004BBF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03F37"/>
    <w:multiLevelType w:val="multilevel"/>
    <w:tmpl w:val="AE3223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2A5985"/>
    <w:multiLevelType w:val="hybridMultilevel"/>
    <w:tmpl w:val="331E7A82"/>
    <w:lvl w:ilvl="0" w:tplc="71288B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33589"/>
    <w:multiLevelType w:val="hybridMultilevel"/>
    <w:tmpl w:val="215874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2802CA"/>
    <w:multiLevelType w:val="hybridMultilevel"/>
    <w:tmpl w:val="FAE48584"/>
    <w:lvl w:ilvl="0" w:tplc="6D16444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275F3D"/>
    <w:multiLevelType w:val="multilevel"/>
    <w:tmpl w:val="CE3A355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883CC6"/>
    <w:multiLevelType w:val="multilevel"/>
    <w:tmpl w:val="86AAC3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34EA6"/>
    <w:multiLevelType w:val="hybridMultilevel"/>
    <w:tmpl w:val="D22E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D1CA4"/>
    <w:multiLevelType w:val="multilevel"/>
    <w:tmpl w:val="1294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074D6"/>
    <w:multiLevelType w:val="hybridMultilevel"/>
    <w:tmpl w:val="154676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4C48DB"/>
    <w:multiLevelType w:val="hybridMultilevel"/>
    <w:tmpl w:val="65B8C500"/>
    <w:lvl w:ilvl="0" w:tplc="7484831A">
      <w:numFmt w:val="bullet"/>
      <w:lvlText w:val="-"/>
      <w:lvlJc w:val="left"/>
      <w:pPr>
        <w:ind w:left="720" w:hanging="360"/>
      </w:pPr>
      <w:rPr>
        <w:rFonts w:ascii="Frutiger-Light" w:hAnsi="Frutiger-Light" w:cs="Frutiger-Light"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C94CF1"/>
    <w:multiLevelType w:val="multilevel"/>
    <w:tmpl w:val="E0FA68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978F4"/>
    <w:multiLevelType w:val="multilevel"/>
    <w:tmpl w:val="F9B40B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76C5C"/>
    <w:multiLevelType w:val="multilevel"/>
    <w:tmpl w:val="C03674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ED21E1"/>
    <w:multiLevelType w:val="hybridMultilevel"/>
    <w:tmpl w:val="22488462"/>
    <w:lvl w:ilvl="0" w:tplc="E31061E6">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A100B"/>
    <w:multiLevelType w:val="multilevel"/>
    <w:tmpl w:val="6AE6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89334F"/>
    <w:multiLevelType w:val="multilevel"/>
    <w:tmpl w:val="3ED002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F728BF"/>
    <w:multiLevelType w:val="multilevel"/>
    <w:tmpl w:val="E1DE8D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FC3DFA"/>
    <w:multiLevelType w:val="multilevel"/>
    <w:tmpl w:val="DD50F1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C450BA"/>
    <w:multiLevelType w:val="multilevel"/>
    <w:tmpl w:val="4DE0E5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8C2B58"/>
    <w:multiLevelType w:val="multilevel"/>
    <w:tmpl w:val="FE92CB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173646"/>
    <w:multiLevelType w:val="hybridMultilevel"/>
    <w:tmpl w:val="A8CAD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E023AB"/>
    <w:multiLevelType w:val="multilevel"/>
    <w:tmpl w:val="2858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20"/>
  </w:num>
  <w:num w:numId="5">
    <w:abstractNumId w:val="19"/>
  </w:num>
  <w:num w:numId="6">
    <w:abstractNumId w:val="0"/>
  </w:num>
  <w:num w:numId="7">
    <w:abstractNumId w:val="17"/>
  </w:num>
  <w:num w:numId="8">
    <w:abstractNumId w:val="10"/>
  </w:num>
  <w:num w:numId="9">
    <w:abstractNumId w:val="7"/>
  </w:num>
  <w:num w:numId="10">
    <w:abstractNumId w:val="24"/>
  </w:num>
  <w:num w:numId="11">
    <w:abstractNumId w:val="13"/>
  </w:num>
  <w:num w:numId="12">
    <w:abstractNumId w:val="14"/>
  </w:num>
  <w:num w:numId="13">
    <w:abstractNumId w:val="25"/>
  </w:num>
  <w:num w:numId="14">
    <w:abstractNumId w:val="18"/>
  </w:num>
  <w:num w:numId="15">
    <w:abstractNumId w:val="29"/>
  </w:num>
  <w:num w:numId="16">
    <w:abstractNumId w:val="9"/>
  </w:num>
  <w:num w:numId="17">
    <w:abstractNumId w:val="16"/>
  </w:num>
  <w:num w:numId="18">
    <w:abstractNumId w:val="1"/>
  </w:num>
  <w:num w:numId="19">
    <w:abstractNumId w:val="28"/>
  </w:num>
  <w:num w:numId="20">
    <w:abstractNumId w:val="6"/>
  </w:num>
  <w:num w:numId="21">
    <w:abstractNumId w:val="11"/>
  </w:num>
  <w:num w:numId="22">
    <w:abstractNumId w:val="26"/>
  </w:num>
  <w:num w:numId="23">
    <w:abstractNumId w:val="23"/>
  </w:num>
  <w:num w:numId="24">
    <w:abstractNumId w:val="21"/>
  </w:num>
  <w:num w:numId="25">
    <w:abstractNumId w:val="30"/>
  </w:num>
  <w:num w:numId="26">
    <w:abstractNumId w:val="22"/>
  </w:num>
  <w:num w:numId="27">
    <w:abstractNumId w:val="27"/>
  </w:num>
  <w:num w:numId="28">
    <w:abstractNumId w:val="12"/>
  </w:num>
  <w:num w:numId="29">
    <w:abstractNumId w:val="32"/>
  </w:num>
  <w:num w:numId="30">
    <w:abstractNumId w:val="15"/>
  </w:num>
  <w:num w:numId="31">
    <w:abstractNumId w:val="31"/>
  </w:num>
  <w:num w:numId="32">
    <w:abstractNumId w:val="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02F76"/>
    <w:rsid w:val="00002F76"/>
    <w:rsid w:val="0003060E"/>
    <w:rsid w:val="00031C9F"/>
    <w:rsid w:val="001038B2"/>
    <w:rsid w:val="001250B4"/>
    <w:rsid w:val="00166CBD"/>
    <w:rsid w:val="001B3EA7"/>
    <w:rsid w:val="001C5A4F"/>
    <w:rsid w:val="001E501A"/>
    <w:rsid w:val="002357EB"/>
    <w:rsid w:val="002A0323"/>
    <w:rsid w:val="002C3F79"/>
    <w:rsid w:val="002D55F5"/>
    <w:rsid w:val="003F5774"/>
    <w:rsid w:val="004135A4"/>
    <w:rsid w:val="00462C96"/>
    <w:rsid w:val="005F15BA"/>
    <w:rsid w:val="006354C4"/>
    <w:rsid w:val="00664A6B"/>
    <w:rsid w:val="0067418B"/>
    <w:rsid w:val="00715A14"/>
    <w:rsid w:val="00754BE7"/>
    <w:rsid w:val="00785400"/>
    <w:rsid w:val="008E193D"/>
    <w:rsid w:val="00901255"/>
    <w:rsid w:val="00946B9E"/>
    <w:rsid w:val="009F53D6"/>
    <w:rsid w:val="00A102D8"/>
    <w:rsid w:val="00A30B0F"/>
    <w:rsid w:val="00A4356B"/>
    <w:rsid w:val="00C04B27"/>
    <w:rsid w:val="00C24CBA"/>
    <w:rsid w:val="00C96EE5"/>
    <w:rsid w:val="00CD0451"/>
    <w:rsid w:val="00D035B5"/>
    <w:rsid w:val="00D65487"/>
    <w:rsid w:val="00DE180E"/>
    <w:rsid w:val="00E015D8"/>
    <w:rsid w:val="00E60358"/>
    <w:rsid w:val="00E91A80"/>
    <w:rsid w:val="00EA5F01"/>
    <w:rsid w:val="00F0758C"/>
    <w:rsid w:val="00F66D88"/>
    <w:rsid w:val="00FC1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B88F"/>
  <w15:chartTrackingRefBased/>
  <w15:docId w15:val="{6E8E52AF-3D1A-4940-80C6-4569C005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F76"/>
    <w:rPr>
      <w:lang w:eastAsia="en-US"/>
    </w:rPr>
  </w:style>
  <w:style w:type="paragraph" w:styleId="Heading1">
    <w:name w:val="heading 1"/>
    <w:basedOn w:val="Normal"/>
    <w:next w:val="Normal"/>
    <w:link w:val="Heading1Char"/>
    <w:uiPriority w:val="9"/>
    <w:qFormat/>
    <w:rsid w:val="00002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2F76"/>
    <w:pPr>
      <w:keepNext/>
      <w:keepLines/>
      <w:spacing w:before="40" w:after="120"/>
      <w:outlineLvl w:val="1"/>
    </w:pPr>
    <w:rPr>
      <w:rFonts w:ascii="Calibri" w:eastAsiaTheme="majorEastAsia" w:hAnsi="Calibri" w:cstheme="majorBidi"/>
      <w:b/>
      <w:color w:val="473367"/>
      <w:sz w:val="26"/>
      <w:szCs w:val="26"/>
    </w:rPr>
  </w:style>
  <w:style w:type="paragraph" w:styleId="Heading3">
    <w:name w:val="heading 3"/>
    <w:basedOn w:val="Normal"/>
    <w:next w:val="Normal"/>
    <w:link w:val="Heading3Char"/>
    <w:uiPriority w:val="9"/>
    <w:unhideWhenUsed/>
    <w:qFormat/>
    <w:rsid w:val="00002F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2F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2F7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F7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002F76"/>
    <w:rPr>
      <w:rFonts w:ascii="Calibri" w:eastAsiaTheme="majorEastAsia" w:hAnsi="Calibri" w:cstheme="majorBidi"/>
      <w:b/>
      <w:color w:val="473367"/>
      <w:sz w:val="26"/>
      <w:szCs w:val="26"/>
      <w:lang w:eastAsia="en-US"/>
    </w:rPr>
  </w:style>
  <w:style w:type="character" w:customStyle="1" w:styleId="Heading3Char">
    <w:name w:val="Heading 3 Char"/>
    <w:basedOn w:val="DefaultParagraphFont"/>
    <w:link w:val="Heading3"/>
    <w:uiPriority w:val="9"/>
    <w:rsid w:val="00002F76"/>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002F76"/>
    <w:rPr>
      <w:rFonts w:asciiTheme="majorHAnsi" w:eastAsiaTheme="majorEastAsia" w:hAnsiTheme="majorHAnsi" w:cstheme="majorBidi"/>
      <w:i/>
      <w:iCs/>
      <w:color w:val="2E74B5" w:themeColor="accent1" w:themeShade="BF"/>
      <w:lang w:eastAsia="en-US"/>
    </w:rPr>
  </w:style>
  <w:style w:type="character" w:customStyle="1" w:styleId="Heading5Char">
    <w:name w:val="Heading 5 Char"/>
    <w:basedOn w:val="DefaultParagraphFont"/>
    <w:link w:val="Heading5"/>
    <w:uiPriority w:val="9"/>
    <w:rsid w:val="00002F76"/>
    <w:rPr>
      <w:rFonts w:asciiTheme="majorHAnsi" w:eastAsiaTheme="majorEastAsia" w:hAnsiTheme="majorHAnsi" w:cstheme="majorBidi"/>
      <w:color w:val="2E74B5" w:themeColor="accent1" w:themeShade="BF"/>
      <w:lang w:eastAsia="en-US"/>
    </w:rPr>
  </w:style>
  <w:style w:type="paragraph" w:styleId="ListParagraph">
    <w:name w:val="List Paragraph"/>
    <w:basedOn w:val="Normal"/>
    <w:uiPriority w:val="34"/>
    <w:qFormat/>
    <w:rsid w:val="00002F76"/>
    <w:pPr>
      <w:ind w:left="720"/>
      <w:contextualSpacing/>
    </w:pPr>
  </w:style>
  <w:style w:type="character" w:styleId="Hyperlink">
    <w:name w:val="Hyperlink"/>
    <w:uiPriority w:val="99"/>
    <w:unhideWhenUsed/>
    <w:rsid w:val="00002F76"/>
    <w:rPr>
      <w:color w:val="0000FF"/>
      <w:u w:val="single"/>
    </w:rPr>
  </w:style>
  <w:style w:type="paragraph" w:customStyle="1" w:styleId="EndNoteBibliographyTitle">
    <w:name w:val="EndNote Bibliography Title"/>
    <w:basedOn w:val="Normal"/>
    <w:link w:val="EndNoteBibliographyTitleChar"/>
    <w:rsid w:val="00002F7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02F76"/>
    <w:rPr>
      <w:rFonts w:ascii="Calibri" w:hAnsi="Calibri" w:cs="Calibri"/>
      <w:noProof/>
      <w:lang w:val="en-US" w:eastAsia="en-US"/>
    </w:rPr>
  </w:style>
  <w:style w:type="paragraph" w:customStyle="1" w:styleId="EndNoteBibliography">
    <w:name w:val="EndNote Bibliography"/>
    <w:basedOn w:val="Normal"/>
    <w:link w:val="EndNoteBibliographyChar"/>
    <w:rsid w:val="00002F7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02F76"/>
    <w:rPr>
      <w:rFonts w:ascii="Calibri" w:hAnsi="Calibri" w:cs="Calibri"/>
      <w:noProof/>
      <w:lang w:val="en-US" w:eastAsia="en-US"/>
    </w:rPr>
  </w:style>
  <w:style w:type="table" w:customStyle="1" w:styleId="PlainTable51">
    <w:name w:val="Plain Table 51"/>
    <w:basedOn w:val="TableNormal"/>
    <w:uiPriority w:val="45"/>
    <w:rsid w:val="00002F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002F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0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F76"/>
    <w:rPr>
      <w:rFonts w:ascii="Segoe UI" w:hAnsi="Segoe UI" w:cs="Segoe UI"/>
      <w:sz w:val="18"/>
      <w:szCs w:val="18"/>
      <w:lang w:eastAsia="en-US"/>
    </w:rPr>
  </w:style>
  <w:style w:type="paragraph" w:styleId="CommentText">
    <w:name w:val="annotation text"/>
    <w:basedOn w:val="Normal"/>
    <w:link w:val="CommentTextChar"/>
    <w:uiPriority w:val="99"/>
    <w:unhideWhenUsed/>
    <w:rsid w:val="00002F76"/>
    <w:pPr>
      <w:spacing w:line="240" w:lineRule="auto"/>
    </w:pPr>
    <w:rPr>
      <w:sz w:val="20"/>
      <w:szCs w:val="20"/>
    </w:rPr>
  </w:style>
  <w:style w:type="character" w:customStyle="1" w:styleId="CommentTextChar">
    <w:name w:val="Comment Text Char"/>
    <w:basedOn w:val="DefaultParagraphFont"/>
    <w:link w:val="CommentText"/>
    <w:uiPriority w:val="99"/>
    <w:rsid w:val="00002F76"/>
    <w:rPr>
      <w:sz w:val="20"/>
      <w:szCs w:val="20"/>
      <w:lang w:eastAsia="en-US"/>
    </w:rPr>
  </w:style>
  <w:style w:type="character" w:styleId="CommentReference">
    <w:name w:val="annotation reference"/>
    <w:basedOn w:val="DefaultParagraphFont"/>
    <w:uiPriority w:val="99"/>
    <w:semiHidden/>
    <w:unhideWhenUsed/>
    <w:rsid w:val="00002F76"/>
    <w:rPr>
      <w:sz w:val="16"/>
      <w:szCs w:val="16"/>
    </w:rPr>
  </w:style>
  <w:style w:type="paragraph" w:styleId="CommentSubject">
    <w:name w:val="annotation subject"/>
    <w:basedOn w:val="CommentText"/>
    <w:next w:val="CommentText"/>
    <w:link w:val="CommentSubjectChar"/>
    <w:uiPriority w:val="99"/>
    <w:semiHidden/>
    <w:unhideWhenUsed/>
    <w:rsid w:val="00002F76"/>
    <w:rPr>
      <w:b/>
      <w:bCs/>
    </w:rPr>
  </w:style>
  <w:style w:type="character" w:customStyle="1" w:styleId="CommentSubjectChar">
    <w:name w:val="Comment Subject Char"/>
    <w:basedOn w:val="CommentTextChar"/>
    <w:link w:val="CommentSubject"/>
    <w:uiPriority w:val="99"/>
    <w:semiHidden/>
    <w:rsid w:val="00002F76"/>
    <w:rPr>
      <w:b/>
      <w:bCs/>
      <w:sz w:val="20"/>
      <w:szCs w:val="20"/>
      <w:lang w:eastAsia="en-US"/>
    </w:rPr>
  </w:style>
  <w:style w:type="character" w:customStyle="1" w:styleId="creative-commons-article">
    <w:name w:val="creative-commons-article"/>
    <w:basedOn w:val="DefaultParagraphFont"/>
    <w:rsid w:val="00002F76"/>
  </w:style>
  <w:style w:type="character" w:customStyle="1" w:styleId="icon-cc">
    <w:name w:val="icon-cc"/>
    <w:basedOn w:val="DefaultParagraphFont"/>
    <w:rsid w:val="00002F76"/>
  </w:style>
  <w:style w:type="character" w:customStyle="1" w:styleId="icon-by">
    <w:name w:val="icon-by"/>
    <w:basedOn w:val="DefaultParagraphFont"/>
    <w:rsid w:val="00002F76"/>
  </w:style>
  <w:style w:type="character" w:customStyle="1" w:styleId="icon-nc">
    <w:name w:val="icon-nc"/>
    <w:basedOn w:val="DefaultParagraphFont"/>
    <w:rsid w:val="00002F76"/>
  </w:style>
  <w:style w:type="character" w:styleId="HTMLCite">
    <w:name w:val="HTML Cite"/>
    <w:basedOn w:val="DefaultParagraphFont"/>
    <w:uiPriority w:val="99"/>
    <w:semiHidden/>
    <w:unhideWhenUsed/>
    <w:rsid w:val="00002F76"/>
    <w:rPr>
      <w:i/>
      <w:iCs/>
    </w:rPr>
  </w:style>
  <w:style w:type="character" w:customStyle="1" w:styleId="highwire-cite-article-type">
    <w:name w:val="highwire-cite-article-type"/>
    <w:basedOn w:val="DefaultParagraphFont"/>
    <w:rsid w:val="00002F76"/>
  </w:style>
  <w:style w:type="character" w:customStyle="1" w:styleId="highwire-cite-journal">
    <w:name w:val="highwire-cite-journal"/>
    <w:basedOn w:val="DefaultParagraphFont"/>
    <w:rsid w:val="00002F76"/>
  </w:style>
  <w:style w:type="character" w:customStyle="1" w:styleId="highwire-cite-published-year">
    <w:name w:val="highwire-cite-published-year"/>
    <w:basedOn w:val="DefaultParagraphFont"/>
    <w:rsid w:val="00002F76"/>
  </w:style>
  <w:style w:type="character" w:customStyle="1" w:styleId="highwire-cite-volume-issue">
    <w:name w:val="highwire-cite-volume-issue"/>
    <w:basedOn w:val="DefaultParagraphFont"/>
    <w:rsid w:val="00002F76"/>
  </w:style>
  <w:style w:type="character" w:customStyle="1" w:styleId="highwire-cite-doi">
    <w:name w:val="highwire-cite-doi"/>
    <w:basedOn w:val="DefaultParagraphFont"/>
    <w:rsid w:val="00002F76"/>
  </w:style>
  <w:style w:type="character" w:customStyle="1" w:styleId="authors-list-item">
    <w:name w:val="authors-list-item"/>
    <w:basedOn w:val="DefaultParagraphFont"/>
    <w:rsid w:val="00002F76"/>
  </w:style>
  <w:style w:type="character" w:customStyle="1" w:styleId="author-sup-separator">
    <w:name w:val="author-sup-separator"/>
    <w:basedOn w:val="DefaultParagraphFont"/>
    <w:rsid w:val="00002F76"/>
  </w:style>
  <w:style w:type="character" w:customStyle="1" w:styleId="comma">
    <w:name w:val="comma"/>
    <w:basedOn w:val="DefaultParagraphFont"/>
    <w:rsid w:val="00002F76"/>
  </w:style>
  <w:style w:type="paragraph" w:styleId="NormalWeb">
    <w:name w:val="Normal (Web)"/>
    <w:basedOn w:val="Normal"/>
    <w:uiPriority w:val="99"/>
    <w:semiHidden/>
    <w:unhideWhenUsed/>
    <w:rsid w:val="00002F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02F76"/>
    <w:rPr>
      <w:color w:val="954F72" w:themeColor="followedHyperlink"/>
      <w:u w:val="single"/>
    </w:rPr>
  </w:style>
  <w:style w:type="paragraph" w:styleId="Revision">
    <w:name w:val="Revision"/>
    <w:hidden/>
    <w:uiPriority w:val="99"/>
    <w:semiHidden/>
    <w:rsid w:val="00002F76"/>
    <w:pPr>
      <w:spacing w:after="0" w:line="240" w:lineRule="auto"/>
    </w:pPr>
    <w:rPr>
      <w:lang w:eastAsia="en-US"/>
    </w:rPr>
  </w:style>
  <w:style w:type="character" w:customStyle="1" w:styleId="accordion-tabbedtab-mobile">
    <w:name w:val="accordion-tabbed__tab-mobile"/>
    <w:basedOn w:val="DefaultParagraphFont"/>
    <w:rsid w:val="00002F76"/>
  </w:style>
  <w:style w:type="character" w:customStyle="1" w:styleId="comma-separator">
    <w:name w:val="comma-separator"/>
    <w:basedOn w:val="DefaultParagraphFont"/>
    <w:rsid w:val="00002F76"/>
  </w:style>
  <w:style w:type="character" w:customStyle="1" w:styleId="name">
    <w:name w:val="name"/>
    <w:basedOn w:val="DefaultParagraphFont"/>
    <w:rsid w:val="00002F76"/>
  </w:style>
  <w:style w:type="paragraph" w:styleId="NoSpacing">
    <w:name w:val="No Spacing"/>
    <w:uiPriority w:val="1"/>
    <w:qFormat/>
    <w:rsid w:val="00002F76"/>
    <w:pPr>
      <w:spacing w:after="0" w:line="240" w:lineRule="auto"/>
    </w:pPr>
    <w:rPr>
      <w:lang w:eastAsia="en-US"/>
    </w:rPr>
  </w:style>
  <w:style w:type="character" w:styleId="Emphasis">
    <w:name w:val="Emphasis"/>
    <w:basedOn w:val="DefaultParagraphFont"/>
    <w:uiPriority w:val="20"/>
    <w:qFormat/>
    <w:rsid w:val="00E91A80"/>
    <w:rPr>
      <w:i/>
      <w:iCs/>
    </w:rPr>
  </w:style>
  <w:style w:type="character" w:customStyle="1" w:styleId="highwire-cite-metadata-volume">
    <w:name w:val="highwire-cite-metadata-volume"/>
    <w:basedOn w:val="DefaultParagraphFont"/>
    <w:rsid w:val="00E91A80"/>
  </w:style>
  <w:style w:type="character" w:customStyle="1" w:styleId="highwire-cite-metadata-issue">
    <w:name w:val="highwire-cite-metadata-issue"/>
    <w:basedOn w:val="DefaultParagraphFont"/>
    <w:rsid w:val="00E91A80"/>
  </w:style>
  <w:style w:type="character" w:customStyle="1" w:styleId="highwire-cite-metadata-pages">
    <w:name w:val="highwire-cite-metadata-pages"/>
    <w:basedOn w:val="DefaultParagraphFont"/>
    <w:rsid w:val="00E91A80"/>
  </w:style>
  <w:style w:type="character" w:customStyle="1" w:styleId="label">
    <w:name w:val="label"/>
    <w:basedOn w:val="DefaultParagraphFont"/>
    <w:rsid w:val="00E91A80"/>
  </w:style>
  <w:style w:type="character" w:styleId="UnresolvedMention">
    <w:name w:val="Unresolved Mention"/>
    <w:basedOn w:val="DefaultParagraphFont"/>
    <w:uiPriority w:val="99"/>
    <w:semiHidden/>
    <w:unhideWhenUsed/>
    <w:rsid w:val="00413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1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dcare/resource/steroid-use-inpatients-diabetes" TargetMode="External"/><Relationship Id="rId3" Type="http://schemas.openxmlformats.org/officeDocument/2006/relationships/settings" Target="settings.xml"/><Relationship Id="rId7" Type="http://schemas.openxmlformats.org/officeDocument/2006/relationships/hyperlink" Target="https://doi.org/10.2337/dc21-S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betesatlas.org/atlas/tenth-edition/" TargetMode="External"/><Relationship Id="rId5" Type="http://schemas.openxmlformats.org/officeDocument/2006/relationships/hyperlink" Target="mailto:nalinie.joharatnam-hogan@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22</Pages>
  <Words>9993</Words>
  <Characters>56962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66822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Joharatnam-Hogan, Nalinie</dc:creator>
  <cp:keywords/>
  <dc:description/>
  <cp:lastModifiedBy>Kenneth Feingold</cp:lastModifiedBy>
  <cp:revision>10</cp:revision>
  <dcterms:created xsi:type="dcterms:W3CDTF">2021-12-07T19:29:00Z</dcterms:created>
  <dcterms:modified xsi:type="dcterms:W3CDTF">2021-12-12T03:43:00Z</dcterms:modified>
</cp:coreProperties>
</file>